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word/diagrams/quickStyle2.xml" ContentType="application/vnd.openxmlformats-officedocument.drawingml.diagramStyle+xml"/>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word/charts/chart10.xml" ContentType="application/vnd.openxmlformats-officedocument.drawingml.chart+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diagrams/layout3.xml" ContentType="application/vnd.openxmlformats-officedocument.drawingml.diagramLayout+xml"/>
  <Override PartName="/word/diagrams/layout4.xml" ContentType="application/vnd.openxmlformats-officedocument.drawingml.diagramLayou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word/charts/chart1.xml" ContentType="application/vnd.openxmlformats-officedocument.drawingml.char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A31" w:rsidRPr="0017614D" w:rsidRDefault="006D2A31" w:rsidP="006D2A31">
      <w:pPr>
        <w:autoSpaceDE w:val="0"/>
        <w:autoSpaceDN w:val="0"/>
        <w:adjustRightInd w:val="0"/>
        <w:spacing w:after="0" w:line="240" w:lineRule="auto"/>
        <w:jc w:val="center"/>
        <w:rPr>
          <w:rFonts w:ascii="Times New Roman" w:hAnsi="Times New Roman" w:cs="Times New Roman"/>
          <w:sz w:val="21"/>
          <w:szCs w:val="21"/>
          <w:lang w:val="lt-LT"/>
        </w:rPr>
      </w:pPr>
      <w:bookmarkStart w:id="0" w:name="_Toc336110804"/>
      <w:r w:rsidRPr="0017614D">
        <w:rPr>
          <w:rFonts w:ascii="Times New Roman" w:hAnsi="Times New Roman" w:cs="Times New Roman"/>
          <w:b/>
          <w:bCs/>
          <w:sz w:val="32"/>
          <w:szCs w:val="32"/>
          <w:lang w:val="lt-LT"/>
        </w:rPr>
        <w:t>MYKOLO ROMERIO UNIVERSITETAS</w:t>
      </w:r>
    </w:p>
    <w:p w:rsidR="006D2A31" w:rsidRPr="0017614D" w:rsidRDefault="006D2A31" w:rsidP="006D2A31">
      <w:pPr>
        <w:autoSpaceDE w:val="0"/>
        <w:autoSpaceDN w:val="0"/>
        <w:adjustRightInd w:val="0"/>
        <w:spacing w:after="0" w:line="240" w:lineRule="auto"/>
        <w:jc w:val="center"/>
        <w:rPr>
          <w:rFonts w:ascii="Times New Roman" w:hAnsi="Times New Roman" w:cs="Times New Roman"/>
          <w:sz w:val="21"/>
          <w:szCs w:val="21"/>
          <w:lang w:val="lt-LT"/>
        </w:rPr>
      </w:pPr>
      <w:r w:rsidRPr="0017614D">
        <w:rPr>
          <w:rFonts w:ascii="Times New Roman" w:hAnsi="Times New Roman" w:cs="Times New Roman"/>
          <w:b/>
          <w:bCs/>
          <w:sz w:val="28"/>
          <w:szCs w:val="28"/>
          <w:lang w:val="lt-LT"/>
        </w:rPr>
        <w:t>EKONOMIKOS IR FINANS</w:t>
      </w:r>
      <w:r w:rsidRPr="0017614D">
        <w:rPr>
          <w:rFonts w:ascii="TimesNewRomanPS-BoldMT" w:eastAsia="TimesNewRomanPS-BoldMT" w:hAnsi="Times New Roman" w:cs="TimesNewRomanPS-BoldMT"/>
          <w:b/>
          <w:bCs/>
          <w:sz w:val="28"/>
          <w:szCs w:val="28"/>
          <w:lang w:val="lt-LT"/>
        </w:rPr>
        <w:t>Ų</w:t>
      </w:r>
      <w:r w:rsidRPr="0017614D">
        <w:rPr>
          <w:rFonts w:ascii="TimesNewRomanPS-BoldMT" w:eastAsia="TimesNewRomanPS-BoldMT" w:hAnsi="Times New Roman" w:cs="TimesNewRomanPS-BoldMT"/>
          <w:b/>
          <w:bCs/>
          <w:sz w:val="28"/>
          <w:szCs w:val="28"/>
          <w:lang w:val="lt-LT"/>
        </w:rPr>
        <w:t xml:space="preserve"> </w:t>
      </w:r>
      <w:r w:rsidRPr="0017614D">
        <w:rPr>
          <w:rFonts w:ascii="Times New Roman" w:hAnsi="Times New Roman" w:cs="Times New Roman"/>
          <w:b/>
          <w:bCs/>
          <w:sz w:val="28"/>
          <w:szCs w:val="28"/>
          <w:lang w:val="lt-LT"/>
        </w:rPr>
        <w:t>VALDYMO FAKULTETAS</w:t>
      </w:r>
    </w:p>
    <w:p w:rsidR="006D2A31" w:rsidRPr="0017614D" w:rsidRDefault="006D2A31" w:rsidP="006D2A31">
      <w:pPr>
        <w:autoSpaceDE w:val="0"/>
        <w:autoSpaceDN w:val="0"/>
        <w:adjustRightInd w:val="0"/>
        <w:spacing w:after="0" w:line="240" w:lineRule="auto"/>
        <w:jc w:val="center"/>
        <w:rPr>
          <w:rFonts w:ascii="Times New Roman" w:hAnsi="Times New Roman" w:cs="Times New Roman"/>
          <w:b/>
          <w:bCs/>
          <w:sz w:val="24"/>
          <w:szCs w:val="24"/>
          <w:lang w:val="lt-LT"/>
        </w:rPr>
      </w:pPr>
      <w:r w:rsidRPr="0017614D">
        <w:rPr>
          <w:rFonts w:ascii="Times New Roman" w:hAnsi="Times New Roman" w:cs="Times New Roman"/>
          <w:b/>
          <w:bCs/>
          <w:sz w:val="24"/>
          <w:szCs w:val="24"/>
          <w:lang w:val="lt-LT"/>
        </w:rPr>
        <w:t>BANKININKYST</w:t>
      </w:r>
      <w:r w:rsidRPr="0017614D">
        <w:rPr>
          <w:rFonts w:ascii="TimesNewRomanPS-BoldMT" w:eastAsia="TimesNewRomanPS-BoldMT" w:hAnsi="Times New Roman" w:cs="TimesNewRomanPS-BoldMT"/>
          <w:b/>
          <w:bCs/>
          <w:sz w:val="24"/>
          <w:szCs w:val="24"/>
          <w:lang w:val="lt-LT"/>
        </w:rPr>
        <w:t>Ė</w:t>
      </w:r>
      <w:r w:rsidRPr="0017614D">
        <w:rPr>
          <w:rFonts w:ascii="Times New Roman" w:hAnsi="Times New Roman" w:cs="Times New Roman"/>
          <w:b/>
          <w:bCs/>
          <w:sz w:val="24"/>
          <w:szCs w:val="24"/>
          <w:lang w:val="lt-LT"/>
        </w:rPr>
        <w:t>S IR INVESTICIJ</w:t>
      </w:r>
      <w:r w:rsidRPr="0017614D">
        <w:rPr>
          <w:rFonts w:ascii="TimesNewRomanPS-BoldMT" w:eastAsia="TimesNewRomanPS-BoldMT" w:hAnsi="Times New Roman" w:cs="TimesNewRomanPS-BoldMT"/>
          <w:b/>
          <w:bCs/>
          <w:sz w:val="24"/>
          <w:szCs w:val="24"/>
          <w:lang w:val="lt-LT"/>
        </w:rPr>
        <w:t>Ų</w:t>
      </w:r>
      <w:r w:rsidRPr="0017614D">
        <w:rPr>
          <w:rFonts w:ascii="TimesNewRomanPS-BoldMT" w:eastAsia="TimesNewRomanPS-BoldMT" w:hAnsi="Times New Roman" w:cs="TimesNewRomanPS-BoldMT"/>
          <w:b/>
          <w:bCs/>
          <w:sz w:val="24"/>
          <w:szCs w:val="24"/>
          <w:lang w:val="lt-LT"/>
        </w:rPr>
        <w:t xml:space="preserve"> </w:t>
      </w:r>
      <w:r w:rsidRPr="0017614D">
        <w:rPr>
          <w:rFonts w:ascii="Times New Roman" w:hAnsi="Times New Roman" w:cs="Times New Roman"/>
          <w:b/>
          <w:bCs/>
          <w:sz w:val="24"/>
          <w:szCs w:val="24"/>
          <w:lang w:val="lt-LT"/>
        </w:rPr>
        <w:t>KATEDRA</w:t>
      </w:r>
    </w:p>
    <w:p w:rsidR="006D2A31" w:rsidRPr="0017614D" w:rsidRDefault="006D2A31" w:rsidP="006D2A31">
      <w:pPr>
        <w:autoSpaceDE w:val="0"/>
        <w:autoSpaceDN w:val="0"/>
        <w:adjustRightInd w:val="0"/>
        <w:spacing w:after="0" w:line="240" w:lineRule="auto"/>
        <w:jc w:val="center"/>
        <w:rPr>
          <w:rFonts w:ascii="Times New Roman" w:hAnsi="Times New Roman" w:cs="Times New Roman"/>
          <w:b/>
          <w:bCs/>
          <w:sz w:val="24"/>
          <w:szCs w:val="24"/>
          <w:lang w:val="lt-LT"/>
        </w:rPr>
      </w:pPr>
    </w:p>
    <w:p w:rsidR="006D2A31" w:rsidRPr="0017614D" w:rsidRDefault="006D2A31" w:rsidP="006D2A31">
      <w:pPr>
        <w:autoSpaceDE w:val="0"/>
        <w:autoSpaceDN w:val="0"/>
        <w:adjustRightInd w:val="0"/>
        <w:spacing w:after="0" w:line="240" w:lineRule="auto"/>
        <w:jc w:val="center"/>
        <w:rPr>
          <w:rFonts w:ascii="Times New Roman" w:hAnsi="Times New Roman" w:cs="Times New Roman"/>
          <w:b/>
          <w:bCs/>
          <w:sz w:val="24"/>
          <w:szCs w:val="24"/>
          <w:lang w:val="lt-LT"/>
        </w:rPr>
      </w:pPr>
    </w:p>
    <w:p w:rsidR="006D2A31" w:rsidRPr="0017614D" w:rsidRDefault="006D2A31" w:rsidP="006D2A31">
      <w:pPr>
        <w:autoSpaceDE w:val="0"/>
        <w:autoSpaceDN w:val="0"/>
        <w:adjustRightInd w:val="0"/>
        <w:spacing w:after="0" w:line="240" w:lineRule="auto"/>
        <w:jc w:val="center"/>
        <w:rPr>
          <w:rFonts w:ascii="Times New Roman" w:hAnsi="Times New Roman" w:cs="Times New Roman"/>
          <w:b/>
          <w:bCs/>
          <w:sz w:val="24"/>
          <w:szCs w:val="24"/>
          <w:lang w:val="lt-LT"/>
        </w:rPr>
      </w:pPr>
    </w:p>
    <w:p w:rsidR="006D2A31" w:rsidRPr="0017614D" w:rsidRDefault="006D2A31" w:rsidP="006D2A31">
      <w:pPr>
        <w:autoSpaceDE w:val="0"/>
        <w:autoSpaceDN w:val="0"/>
        <w:adjustRightInd w:val="0"/>
        <w:spacing w:after="0" w:line="240" w:lineRule="auto"/>
        <w:jc w:val="center"/>
        <w:rPr>
          <w:rFonts w:ascii="Times New Roman" w:hAnsi="Times New Roman" w:cs="Times New Roman"/>
          <w:b/>
          <w:bCs/>
          <w:sz w:val="24"/>
          <w:szCs w:val="24"/>
          <w:lang w:val="lt-LT"/>
        </w:rPr>
      </w:pPr>
    </w:p>
    <w:p w:rsidR="006D2A31" w:rsidRPr="0017614D" w:rsidRDefault="006D2A31" w:rsidP="006D2A31">
      <w:pPr>
        <w:autoSpaceDE w:val="0"/>
        <w:autoSpaceDN w:val="0"/>
        <w:adjustRightInd w:val="0"/>
        <w:spacing w:after="0" w:line="240" w:lineRule="auto"/>
        <w:jc w:val="center"/>
        <w:rPr>
          <w:rFonts w:ascii="Times New Roman" w:hAnsi="Times New Roman" w:cs="Times New Roman"/>
          <w:b/>
          <w:bCs/>
          <w:sz w:val="24"/>
          <w:szCs w:val="24"/>
          <w:lang w:val="lt-LT"/>
        </w:rPr>
      </w:pPr>
    </w:p>
    <w:p w:rsidR="006D2A31" w:rsidRPr="0017614D" w:rsidRDefault="006D2A31" w:rsidP="006D2A31">
      <w:pPr>
        <w:autoSpaceDE w:val="0"/>
        <w:autoSpaceDN w:val="0"/>
        <w:adjustRightInd w:val="0"/>
        <w:spacing w:after="0" w:line="240" w:lineRule="auto"/>
        <w:jc w:val="center"/>
        <w:rPr>
          <w:rFonts w:ascii="Times New Roman" w:hAnsi="Times New Roman" w:cs="Times New Roman"/>
          <w:b/>
          <w:bCs/>
          <w:sz w:val="24"/>
          <w:szCs w:val="24"/>
          <w:lang w:val="lt-LT"/>
        </w:rPr>
      </w:pPr>
    </w:p>
    <w:p w:rsidR="006D2A31" w:rsidRPr="0017614D" w:rsidRDefault="006D2A31" w:rsidP="006D2A31">
      <w:pPr>
        <w:autoSpaceDE w:val="0"/>
        <w:autoSpaceDN w:val="0"/>
        <w:adjustRightInd w:val="0"/>
        <w:spacing w:after="0" w:line="240" w:lineRule="auto"/>
        <w:jc w:val="center"/>
        <w:rPr>
          <w:rFonts w:ascii="Times New Roman" w:hAnsi="Times New Roman" w:cs="Times New Roman"/>
          <w:b/>
          <w:bCs/>
          <w:sz w:val="24"/>
          <w:szCs w:val="24"/>
          <w:lang w:val="lt-LT"/>
        </w:rPr>
      </w:pPr>
    </w:p>
    <w:p w:rsidR="006D2A31" w:rsidRPr="0017614D" w:rsidRDefault="006D2A31" w:rsidP="006D2A31">
      <w:pPr>
        <w:autoSpaceDE w:val="0"/>
        <w:autoSpaceDN w:val="0"/>
        <w:adjustRightInd w:val="0"/>
        <w:spacing w:after="0" w:line="240" w:lineRule="auto"/>
        <w:jc w:val="center"/>
        <w:rPr>
          <w:rFonts w:ascii="Times New Roman" w:hAnsi="Times New Roman" w:cs="Times New Roman"/>
          <w:b/>
          <w:bCs/>
          <w:sz w:val="24"/>
          <w:szCs w:val="24"/>
          <w:lang w:val="lt-LT"/>
        </w:rPr>
      </w:pPr>
    </w:p>
    <w:p w:rsidR="006D2A31" w:rsidRPr="0017614D" w:rsidRDefault="006D2A31" w:rsidP="006D2A31">
      <w:pPr>
        <w:autoSpaceDE w:val="0"/>
        <w:autoSpaceDN w:val="0"/>
        <w:adjustRightInd w:val="0"/>
        <w:spacing w:after="0" w:line="240" w:lineRule="auto"/>
        <w:jc w:val="center"/>
        <w:rPr>
          <w:rFonts w:ascii="Times New Roman" w:hAnsi="Times New Roman" w:cs="Times New Roman"/>
          <w:b/>
          <w:bCs/>
          <w:sz w:val="32"/>
          <w:szCs w:val="32"/>
          <w:lang w:val="lt-LT"/>
        </w:rPr>
      </w:pPr>
      <w:r w:rsidRPr="0017614D">
        <w:rPr>
          <w:rFonts w:ascii="Times New Roman" w:hAnsi="Times New Roman" w:cs="Times New Roman"/>
          <w:b/>
          <w:bCs/>
          <w:sz w:val="32"/>
          <w:szCs w:val="32"/>
          <w:lang w:val="lt-LT"/>
        </w:rPr>
        <w:t>EVELINA BERCEVIČ</w:t>
      </w:r>
    </w:p>
    <w:p w:rsidR="006D2A31" w:rsidRPr="0017614D" w:rsidRDefault="006D2A31" w:rsidP="006D2A31">
      <w:pPr>
        <w:autoSpaceDE w:val="0"/>
        <w:autoSpaceDN w:val="0"/>
        <w:adjustRightInd w:val="0"/>
        <w:spacing w:after="0" w:line="240" w:lineRule="auto"/>
        <w:jc w:val="center"/>
        <w:rPr>
          <w:rFonts w:ascii="Times New Roman" w:hAnsi="Times New Roman" w:cs="Times New Roman"/>
          <w:b/>
          <w:bCs/>
          <w:sz w:val="32"/>
          <w:szCs w:val="32"/>
          <w:lang w:val="lt-LT"/>
        </w:rPr>
      </w:pPr>
    </w:p>
    <w:p w:rsidR="006D2A31" w:rsidRPr="0017614D" w:rsidRDefault="006D2A31" w:rsidP="006D2A31">
      <w:pPr>
        <w:autoSpaceDE w:val="0"/>
        <w:autoSpaceDN w:val="0"/>
        <w:adjustRightInd w:val="0"/>
        <w:spacing w:after="0" w:line="240" w:lineRule="auto"/>
        <w:jc w:val="center"/>
        <w:rPr>
          <w:rFonts w:ascii="Times New Roman" w:hAnsi="Times New Roman" w:cs="Times New Roman"/>
          <w:b/>
          <w:bCs/>
          <w:sz w:val="32"/>
          <w:szCs w:val="32"/>
          <w:lang w:val="lt-LT"/>
        </w:rPr>
      </w:pPr>
    </w:p>
    <w:p w:rsidR="006D2A31" w:rsidRPr="0017614D" w:rsidRDefault="006D2A31" w:rsidP="006D2A31">
      <w:pPr>
        <w:autoSpaceDE w:val="0"/>
        <w:autoSpaceDN w:val="0"/>
        <w:adjustRightInd w:val="0"/>
        <w:spacing w:after="0" w:line="240" w:lineRule="auto"/>
        <w:jc w:val="center"/>
        <w:rPr>
          <w:rFonts w:ascii="Times New Roman" w:hAnsi="Times New Roman" w:cs="Times New Roman"/>
          <w:b/>
          <w:bCs/>
          <w:sz w:val="32"/>
          <w:szCs w:val="32"/>
          <w:lang w:val="lt-LT"/>
        </w:rPr>
      </w:pPr>
    </w:p>
    <w:p w:rsidR="006D2A31" w:rsidRPr="0017614D" w:rsidRDefault="006D2A31" w:rsidP="006D2A31">
      <w:pPr>
        <w:autoSpaceDE w:val="0"/>
        <w:autoSpaceDN w:val="0"/>
        <w:adjustRightInd w:val="0"/>
        <w:spacing w:after="0" w:line="240" w:lineRule="auto"/>
        <w:jc w:val="center"/>
        <w:rPr>
          <w:rFonts w:ascii="Times New Roman" w:hAnsi="Times New Roman" w:cs="Times New Roman"/>
          <w:b/>
          <w:bCs/>
          <w:sz w:val="32"/>
          <w:szCs w:val="32"/>
          <w:lang w:val="lt-LT"/>
        </w:rPr>
      </w:pPr>
    </w:p>
    <w:p w:rsidR="006D2A31" w:rsidRPr="0017614D" w:rsidRDefault="006D2A31" w:rsidP="006D2A31">
      <w:pPr>
        <w:autoSpaceDE w:val="0"/>
        <w:autoSpaceDN w:val="0"/>
        <w:adjustRightInd w:val="0"/>
        <w:spacing w:after="0" w:line="240" w:lineRule="auto"/>
        <w:jc w:val="center"/>
        <w:rPr>
          <w:rFonts w:ascii="Times New Roman" w:hAnsi="Times New Roman" w:cs="Times New Roman"/>
          <w:b/>
          <w:bCs/>
          <w:sz w:val="32"/>
          <w:szCs w:val="32"/>
          <w:lang w:val="lt-LT"/>
        </w:rPr>
      </w:pPr>
    </w:p>
    <w:p w:rsidR="006D2A31" w:rsidRPr="0017614D" w:rsidRDefault="006D2A31" w:rsidP="006D2A31">
      <w:pPr>
        <w:autoSpaceDE w:val="0"/>
        <w:autoSpaceDN w:val="0"/>
        <w:adjustRightInd w:val="0"/>
        <w:spacing w:after="0" w:line="240" w:lineRule="auto"/>
        <w:jc w:val="center"/>
        <w:rPr>
          <w:rFonts w:ascii="Times New Roman" w:hAnsi="Times New Roman" w:cs="Times New Roman"/>
          <w:b/>
          <w:bCs/>
          <w:sz w:val="40"/>
          <w:szCs w:val="40"/>
          <w:lang w:val="lt-LT"/>
        </w:rPr>
      </w:pPr>
      <w:r w:rsidRPr="0017614D">
        <w:rPr>
          <w:rFonts w:ascii="Times New Roman" w:hAnsi="Times New Roman" w:cs="Times New Roman"/>
          <w:b/>
          <w:bCs/>
          <w:sz w:val="40"/>
          <w:szCs w:val="40"/>
          <w:lang w:val="lt-LT"/>
        </w:rPr>
        <w:t>KOMPLEKSI</w:t>
      </w:r>
      <w:r w:rsidR="006E51F7" w:rsidRPr="0017614D">
        <w:rPr>
          <w:rFonts w:ascii="Times New Roman" w:hAnsi="Times New Roman" w:cs="Times New Roman"/>
          <w:b/>
          <w:bCs/>
          <w:sz w:val="40"/>
          <w:szCs w:val="40"/>
          <w:lang w:val="lt-LT"/>
        </w:rPr>
        <w:t>NĖS</w:t>
      </w:r>
      <w:r w:rsidRPr="0017614D">
        <w:rPr>
          <w:rFonts w:ascii="Times New Roman" w:hAnsi="Times New Roman" w:cs="Times New Roman"/>
          <w:b/>
          <w:bCs/>
          <w:sz w:val="40"/>
          <w:szCs w:val="40"/>
          <w:lang w:val="lt-LT"/>
        </w:rPr>
        <w:t xml:space="preserve"> BANKROTO GRĖSMĖS NUSTATYMO METODIKOS TINKAMUMO LIETUVOS </w:t>
      </w:r>
      <w:r w:rsidR="008A74CE" w:rsidRPr="0017614D">
        <w:rPr>
          <w:rFonts w:ascii="Times New Roman" w:hAnsi="Times New Roman" w:cs="Times New Roman"/>
          <w:b/>
          <w:bCs/>
          <w:sz w:val="40"/>
          <w:szCs w:val="40"/>
          <w:lang w:val="lt-LT"/>
        </w:rPr>
        <w:t xml:space="preserve">TRANSPORTAVIMO </w:t>
      </w:r>
      <w:r w:rsidRPr="0017614D">
        <w:rPr>
          <w:rFonts w:ascii="Times New Roman" w:hAnsi="Times New Roman" w:cs="Times New Roman"/>
          <w:b/>
          <w:bCs/>
          <w:sz w:val="40"/>
          <w:szCs w:val="40"/>
          <w:lang w:val="lt-LT"/>
        </w:rPr>
        <w:t>ĮMONĖMS ĮVERTINIMAS</w:t>
      </w:r>
    </w:p>
    <w:p w:rsidR="006D2A31" w:rsidRPr="0017614D" w:rsidRDefault="006D2A31" w:rsidP="006D2A31">
      <w:pPr>
        <w:autoSpaceDE w:val="0"/>
        <w:autoSpaceDN w:val="0"/>
        <w:adjustRightInd w:val="0"/>
        <w:spacing w:after="0" w:line="240" w:lineRule="auto"/>
        <w:jc w:val="center"/>
        <w:rPr>
          <w:rFonts w:ascii="Times New Roman" w:hAnsi="Times New Roman" w:cs="Times New Roman"/>
          <w:b/>
          <w:bCs/>
          <w:sz w:val="28"/>
          <w:szCs w:val="28"/>
          <w:lang w:val="lt-LT"/>
        </w:rPr>
      </w:pPr>
      <w:r w:rsidRPr="0017614D">
        <w:rPr>
          <w:rFonts w:ascii="Times New Roman" w:hAnsi="Times New Roman" w:cs="Times New Roman"/>
          <w:b/>
          <w:bCs/>
          <w:sz w:val="28"/>
          <w:szCs w:val="28"/>
          <w:lang w:val="lt-LT"/>
        </w:rPr>
        <w:t>Magistro baigiamasis darbas</w:t>
      </w:r>
    </w:p>
    <w:p w:rsidR="006D2A31" w:rsidRPr="0017614D" w:rsidRDefault="006D2A31" w:rsidP="006D2A31">
      <w:pPr>
        <w:autoSpaceDE w:val="0"/>
        <w:autoSpaceDN w:val="0"/>
        <w:adjustRightInd w:val="0"/>
        <w:spacing w:after="0" w:line="240" w:lineRule="auto"/>
        <w:jc w:val="center"/>
        <w:rPr>
          <w:rFonts w:ascii="Times New Roman" w:hAnsi="Times New Roman" w:cs="Times New Roman"/>
          <w:b/>
          <w:bCs/>
          <w:sz w:val="28"/>
          <w:szCs w:val="28"/>
          <w:lang w:val="lt-LT"/>
        </w:rPr>
      </w:pPr>
    </w:p>
    <w:p w:rsidR="006D2A31" w:rsidRPr="0017614D" w:rsidRDefault="006D2A31" w:rsidP="006D2A31">
      <w:pPr>
        <w:autoSpaceDE w:val="0"/>
        <w:autoSpaceDN w:val="0"/>
        <w:adjustRightInd w:val="0"/>
        <w:spacing w:after="0" w:line="240" w:lineRule="auto"/>
        <w:jc w:val="center"/>
        <w:rPr>
          <w:rFonts w:ascii="Times New Roman" w:hAnsi="Times New Roman" w:cs="Times New Roman"/>
          <w:b/>
          <w:bCs/>
          <w:sz w:val="28"/>
          <w:szCs w:val="28"/>
          <w:lang w:val="lt-LT"/>
        </w:rPr>
      </w:pPr>
    </w:p>
    <w:p w:rsidR="006D2A31" w:rsidRPr="0017614D" w:rsidRDefault="006D2A31" w:rsidP="006D2A31">
      <w:pPr>
        <w:autoSpaceDE w:val="0"/>
        <w:autoSpaceDN w:val="0"/>
        <w:adjustRightInd w:val="0"/>
        <w:spacing w:after="0" w:line="240" w:lineRule="auto"/>
        <w:jc w:val="center"/>
        <w:rPr>
          <w:rFonts w:ascii="Times New Roman" w:hAnsi="Times New Roman" w:cs="Times New Roman"/>
          <w:b/>
          <w:bCs/>
          <w:sz w:val="28"/>
          <w:szCs w:val="28"/>
          <w:lang w:val="lt-LT"/>
        </w:rPr>
      </w:pPr>
    </w:p>
    <w:p w:rsidR="006D2A31" w:rsidRPr="0017614D" w:rsidRDefault="006D2A31" w:rsidP="006D2A31">
      <w:pPr>
        <w:autoSpaceDE w:val="0"/>
        <w:autoSpaceDN w:val="0"/>
        <w:adjustRightInd w:val="0"/>
        <w:spacing w:after="0" w:line="240" w:lineRule="auto"/>
        <w:jc w:val="center"/>
        <w:rPr>
          <w:rFonts w:ascii="Times New Roman" w:hAnsi="Times New Roman" w:cs="Times New Roman"/>
          <w:b/>
          <w:bCs/>
          <w:sz w:val="28"/>
          <w:szCs w:val="28"/>
          <w:lang w:val="lt-LT"/>
        </w:rPr>
      </w:pPr>
    </w:p>
    <w:p w:rsidR="006D2A31" w:rsidRPr="0017614D" w:rsidRDefault="006D2A31" w:rsidP="006D2A31">
      <w:pPr>
        <w:autoSpaceDE w:val="0"/>
        <w:autoSpaceDN w:val="0"/>
        <w:adjustRightInd w:val="0"/>
        <w:spacing w:after="0" w:line="240" w:lineRule="auto"/>
        <w:jc w:val="center"/>
        <w:rPr>
          <w:rFonts w:ascii="Times New Roman" w:hAnsi="Times New Roman" w:cs="Times New Roman"/>
          <w:b/>
          <w:bCs/>
          <w:sz w:val="28"/>
          <w:szCs w:val="28"/>
          <w:lang w:val="lt-LT"/>
        </w:rPr>
      </w:pPr>
    </w:p>
    <w:p w:rsidR="006D2A31" w:rsidRPr="0017614D" w:rsidRDefault="006D2A31" w:rsidP="006D2A31">
      <w:pPr>
        <w:autoSpaceDE w:val="0"/>
        <w:autoSpaceDN w:val="0"/>
        <w:adjustRightInd w:val="0"/>
        <w:spacing w:after="0" w:line="240" w:lineRule="auto"/>
        <w:jc w:val="center"/>
        <w:rPr>
          <w:rFonts w:ascii="Times New Roman" w:hAnsi="Times New Roman" w:cs="Times New Roman"/>
          <w:b/>
          <w:bCs/>
          <w:sz w:val="28"/>
          <w:szCs w:val="28"/>
          <w:lang w:val="lt-LT"/>
        </w:rPr>
      </w:pPr>
    </w:p>
    <w:p w:rsidR="006D2A31" w:rsidRPr="0017614D" w:rsidRDefault="006D2A31" w:rsidP="006D2A31">
      <w:pPr>
        <w:autoSpaceDE w:val="0"/>
        <w:autoSpaceDN w:val="0"/>
        <w:adjustRightInd w:val="0"/>
        <w:spacing w:after="0" w:line="240" w:lineRule="auto"/>
        <w:jc w:val="center"/>
        <w:rPr>
          <w:rFonts w:ascii="Times New Roman" w:hAnsi="Times New Roman" w:cs="Times New Roman"/>
          <w:b/>
          <w:bCs/>
          <w:sz w:val="28"/>
          <w:szCs w:val="28"/>
          <w:lang w:val="lt-LT"/>
        </w:rPr>
      </w:pPr>
    </w:p>
    <w:p w:rsidR="006D2A31" w:rsidRPr="0017614D" w:rsidRDefault="006D2A31" w:rsidP="006D2A31">
      <w:pPr>
        <w:autoSpaceDE w:val="0"/>
        <w:autoSpaceDN w:val="0"/>
        <w:adjustRightInd w:val="0"/>
        <w:spacing w:after="0" w:line="240" w:lineRule="auto"/>
        <w:rPr>
          <w:rFonts w:ascii="Times New Roman" w:hAnsi="Times New Roman" w:cs="Times New Roman"/>
          <w:b/>
          <w:bCs/>
          <w:sz w:val="21"/>
          <w:szCs w:val="21"/>
          <w:lang w:val="lt-LT"/>
        </w:rPr>
      </w:pPr>
    </w:p>
    <w:p w:rsidR="006D2A31" w:rsidRPr="0017614D" w:rsidRDefault="006D2A31" w:rsidP="006D2A31">
      <w:pPr>
        <w:autoSpaceDE w:val="0"/>
        <w:autoSpaceDN w:val="0"/>
        <w:adjustRightInd w:val="0"/>
        <w:spacing w:after="0" w:line="240" w:lineRule="auto"/>
        <w:rPr>
          <w:rFonts w:ascii="Times New Roman" w:hAnsi="Times New Roman" w:cs="Times New Roman"/>
          <w:b/>
          <w:bCs/>
          <w:sz w:val="21"/>
          <w:szCs w:val="21"/>
          <w:lang w:val="lt-LT"/>
        </w:rPr>
      </w:pPr>
    </w:p>
    <w:p w:rsidR="006D2A31" w:rsidRPr="0017614D" w:rsidRDefault="006D2A31" w:rsidP="00981FBB">
      <w:pPr>
        <w:autoSpaceDE w:val="0"/>
        <w:autoSpaceDN w:val="0"/>
        <w:adjustRightInd w:val="0"/>
        <w:spacing w:after="0" w:line="240" w:lineRule="auto"/>
        <w:jc w:val="right"/>
        <w:rPr>
          <w:rFonts w:ascii="Times New Roman" w:hAnsi="Times New Roman" w:cs="Times New Roman"/>
          <w:b/>
          <w:bCs/>
          <w:sz w:val="28"/>
          <w:szCs w:val="28"/>
          <w:lang w:val="lt-LT"/>
        </w:rPr>
      </w:pPr>
      <w:r w:rsidRPr="0017614D">
        <w:rPr>
          <w:rFonts w:ascii="Times New Roman" w:hAnsi="Times New Roman" w:cs="Times New Roman"/>
          <w:b/>
          <w:bCs/>
          <w:sz w:val="28"/>
          <w:szCs w:val="28"/>
          <w:lang w:val="lt-LT"/>
        </w:rPr>
        <w:t>Vadovė</w:t>
      </w:r>
    </w:p>
    <w:p w:rsidR="006D2A31" w:rsidRPr="0017614D" w:rsidRDefault="006D2A31" w:rsidP="00981FBB">
      <w:pPr>
        <w:autoSpaceDE w:val="0"/>
        <w:autoSpaceDN w:val="0"/>
        <w:adjustRightInd w:val="0"/>
        <w:spacing w:after="0" w:line="240" w:lineRule="auto"/>
        <w:jc w:val="right"/>
        <w:rPr>
          <w:rFonts w:ascii="Times New Roman" w:hAnsi="Times New Roman" w:cs="Times New Roman"/>
          <w:b/>
          <w:bCs/>
          <w:sz w:val="28"/>
          <w:szCs w:val="28"/>
          <w:lang w:val="lt-LT"/>
        </w:rPr>
      </w:pPr>
      <w:r w:rsidRPr="0017614D">
        <w:rPr>
          <w:rFonts w:ascii="Times New Roman" w:hAnsi="Times New Roman" w:cs="Times New Roman"/>
          <w:b/>
          <w:bCs/>
          <w:sz w:val="28"/>
          <w:szCs w:val="28"/>
          <w:lang w:val="lt-LT"/>
        </w:rPr>
        <w:t>prof. dr. D. Jurevičienė</w:t>
      </w:r>
    </w:p>
    <w:p w:rsidR="006D2A31" w:rsidRPr="0017614D" w:rsidRDefault="006D2A31" w:rsidP="006D2A31">
      <w:pPr>
        <w:autoSpaceDE w:val="0"/>
        <w:autoSpaceDN w:val="0"/>
        <w:adjustRightInd w:val="0"/>
        <w:spacing w:after="0" w:line="240" w:lineRule="auto"/>
        <w:rPr>
          <w:rFonts w:ascii="Times New Roman" w:hAnsi="Times New Roman" w:cs="Times New Roman"/>
          <w:b/>
          <w:bCs/>
          <w:sz w:val="28"/>
          <w:szCs w:val="28"/>
          <w:lang w:val="lt-LT"/>
        </w:rPr>
      </w:pPr>
    </w:p>
    <w:p w:rsidR="006D2A31" w:rsidRPr="0017614D" w:rsidRDefault="006D2A31" w:rsidP="006D2A31">
      <w:pPr>
        <w:autoSpaceDE w:val="0"/>
        <w:autoSpaceDN w:val="0"/>
        <w:adjustRightInd w:val="0"/>
        <w:spacing w:after="0" w:line="240" w:lineRule="auto"/>
        <w:rPr>
          <w:rFonts w:ascii="Times New Roman" w:hAnsi="Times New Roman" w:cs="Times New Roman"/>
          <w:b/>
          <w:bCs/>
          <w:sz w:val="28"/>
          <w:szCs w:val="28"/>
          <w:lang w:val="lt-LT"/>
        </w:rPr>
      </w:pPr>
    </w:p>
    <w:p w:rsidR="006D2A31" w:rsidRPr="0017614D" w:rsidRDefault="006D2A31" w:rsidP="006D2A31">
      <w:pPr>
        <w:autoSpaceDE w:val="0"/>
        <w:autoSpaceDN w:val="0"/>
        <w:adjustRightInd w:val="0"/>
        <w:spacing w:after="0" w:line="240" w:lineRule="auto"/>
        <w:rPr>
          <w:rFonts w:ascii="Times New Roman" w:hAnsi="Times New Roman" w:cs="Times New Roman"/>
          <w:b/>
          <w:bCs/>
          <w:sz w:val="28"/>
          <w:szCs w:val="28"/>
          <w:lang w:val="lt-LT"/>
        </w:rPr>
      </w:pPr>
    </w:p>
    <w:p w:rsidR="006D2A31" w:rsidRPr="0017614D" w:rsidRDefault="006D2A31" w:rsidP="006D2A31">
      <w:pPr>
        <w:autoSpaceDE w:val="0"/>
        <w:autoSpaceDN w:val="0"/>
        <w:adjustRightInd w:val="0"/>
        <w:spacing w:after="0" w:line="240" w:lineRule="auto"/>
        <w:rPr>
          <w:rFonts w:ascii="Times New Roman" w:hAnsi="Times New Roman" w:cs="Times New Roman"/>
          <w:b/>
          <w:bCs/>
          <w:sz w:val="28"/>
          <w:szCs w:val="28"/>
          <w:lang w:val="lt-LT"/>
        </w:rPr>
      </w:pPr>
    </w:p>
    <w:p w:rsidR="006D2A31" w:rsidRPr="0017614D" w:rsidRDefault="006D2A31" w:rsidP="006D2A31">
      <w:pPr>
        <w:autoSpaceDE w:val="0"/>
        <w:autoSpaceDN w:val="0"/>
        <w:adjustRightInd w:val="0"/>
        <w:spacing w:after="0" w:line="240" w:lineRule="auto"/>
        <w:rPr>
          <w:rFonts w:ascii="Times New Roman" w:hAnsi="Times New Roman" w:cs="Times New Roman"/>
          <w:b/>
          <w:bCs/>
          <w:sz w:val="28"/>
          <w:szCs w:val="28"/>
          <w:lang w:val="lt-LT"/>
        </w:rPr>
      </w:pPr>
    </w:p>
    <w:p w:rsidR="006D2A31" w:rsidRPr="0017614D" w:rsidRDefault="006D2A31" w:rsidP="006D2A31">
      <w:pPr>
        <w:autoSpaceDE w:val="0"/>
        <w:autoSpaceDN w:val="0"/>
        <w:adjustRightInd w:val="0"/>
        <w:spacing w:after="0" w:line="240" w:lineRule="auto"/>
        <w:rPr>
          <w:rFonts w:ascii="Times New Roman" w:hAnsi="Times New Roman" w:cs="Times New Roman"/>
          <w:b/>
          <w:bCs/>
          <w:sz w:val="28"/>
          <w:szCs w:val="28"/>
          <w:lang w:val="lt-LT"/>
        </w:rPr>
      </w:pPr>
    </w:p>
    <w:p w:rsidR="006D2A31" w:rsidRPr="0017614D" w:rsidRDefault="006D2A31" w:rsidP="006D2A31">
      <w:pPr>
        <w:autoSpaceDE w:val="0"/>
        <w:autoSpaceDN w:val="0"/>
        <w:adjustRightInd w:val="0"/>
        <w:spacing w:after="0" w:line="240" w:lineRule="auto"/>
        <w:rPr>
          <w:rFonts w:ascii="Times New Roman" w:hAnsi="Times New Roman" w:cs="Times New Roman"/>
          <w:b/>
          <w:bCs/>
          <w:sz w:val="21"/>
          <w:szCs w:val="21"/>
          <w:lang w:val="lt-LT"/>
        </w:rPr>
      </w:pPr>
    </w:p>
    <w:p w:rsidR="006D2A31" w:rsidRPr="0017614D" w:rsidRDefault="006D2A31" w:rsidP="006D2A31">
      <w:pPr>
        <w:autoSpaceDE w:val="0"/>
        <w:autoSpaceDN w:val="0"/>
        <w:adjustRightInd w:val="0"/>
        <w:spacing w:after="0" w:line="240" w:lineRule="auto"/>
        <w:jc w:val="center"/>
        <w:rPr>
          <w:rFonts w:ascii="Times New Roman" w:hAnsi="Times New Roman" w:cs="Times New Roman"/>
          <w:b/>
          <w:bCs/>
          <w:sz w:val="28"/>
          <w:szCs w:val="28"/>
          <w:lang w:val="lt-LT"/>
        </w:rPr>
      </w:pPr>
      <w:r w:rsidRPr="0017614D">
        <w:rPr>
          <w:rFonts w:ascii="Times New Roman" w:hAnsi="Times New Roman" w:cs="Times New Roman"/>
          <w:b/>
          <w:bCs/>
          <w:sz w:val="28"/>
          <w:szCs w:val="28"/>
          <w:lang w:val="lt-LT"/>
        </w:rPr>
        <w:t>VILNIUS, 2013</w:t>
      </w:r>
    </w:p>
    <w:p w:rsidR="006D2A31" w:rsidRPr="0017614D" w:rsidRDefault="006D2A31" w:rsidP="006D2A31">
      <w:pPr>
        <w:autoSpaceDE w:val="0"/>
        <w:autoSpaceDN w:val="0"/>
        <w:adjustRightInd w:val="0"/>
        <w:spacing w:after="0" w:line="240" w:lineRule="auto"/>
        <w:jc w:val="center"/>
        <w:rPr>
          <w:rFonts w:ascii="Times New Roman" w:hAnsi="Times New Roman" w:cs="Times New Roman"/>
          <w:sz w:val="21"/>
          <w:szCs w:val="21"/>
          <w:lang w:val="lt-LT"/>
        </w:rPr>
      </w:pPr>
    </w:p>
    <w:p w:rsidR="006D2A31" w:rsidRPr="0017614D" w:rsidRDefault="006D2A31" w:rsidP="006D2A31">
      <w:pPr>
        <w:autoSpaceDE w:val="0"/>
        <w:autoSpaceDN w:val="0"/>
        <w:adjustRightInd w:val="0"/>
        <w:spacing w:after="0" w:line="240" w:lineRule="auto"/>
        <w:jc w:val="center"/>
        <w:rPr>
          <w:rFonts w:ascii="Times New Roman" w:hAnsi="Times New Roman" w:cs="Times New Roman"/>
          <w:b/>
          <w:bCs/>
          <w:sz w:val="32"/>
          <w:szCs w:val="32"/>
          <w:lang w:val="lt-LT"/>
        </w:rPr>
        <w:sectPr w:rsidR="006D2A31" w:rsidRPr="0017614D" w:rsidSect="00387E65">
          <w:headerReference w:type="default" r:id="rId7"/>
          <w:pgSz w:w="12240" w:h="15840"/>
          <w:pgMar w:top="1134" w:right="567" w:bottom="1134" w:left="1418" w:header="720" w:footer="720" w:gutter="0"/>
          <w:cols w:space="720"/>
          <w:titlePg/>
          <w:docGrid w:linePitch="360"/>
        </w:sectPr>
      </w:pPr>
    </w:p>
    <w:p w:rsidR="006D2A31" w:rsidRPr="0017614D" w:rsidRDefault="006D2A31" w:rsidP="006D2A31">
      <w:pPr>
        <w:autoSpaceDE w:val="0"/>
        <w:autoSpaceDN w:val="0"/>
        <w:adjustRightInd w:val="0"/>
        <w:spacing w:after="0" w:line="240" w:lineRule="auto"/>
        <w:jc w:val="center"/>
        <w:rPr>
          <w:rFonts w:ascii="Times New Roman" w:hAnsi="Times New Roman" w:cs="Times New Roman"/>
          <w:sz w:val="21"/>
          <w:szCs w:val="21"/>
          <w:lang w:val="lt-LT"/>
        </w:rPr>
      </w:pPr>
      <w:r w:rsidRPr="0017614D">
        <w:rPr>
          <w:rFonts w:ascii="Times New Roman" w:hAnsi="Times New Roman" w:cs="Times New Roman"/>
          <w:b/>
          <w:bCs/>
          <w:sz w:val="32"/>
          <w:szCs w:val="32"/>
          <w:lang w:val="lt-LT"/>
        </w:rPr>
        <w:lastRenderedPageBreak/>
        <w:t>MYKOLO ROMERIO UNIVERSITETAS</w:t>
      </w:r>
    </w:p>
    <w:p w:rsidR="006D2A31" w:rsidRPr="0017614D" w:rsidRDefault="006D2A31" w:rsidP="006D2A31">
      <w:pPr>
        <w:autoSpaceDE w:val="0"/>
        <w:autoSpaceDN w:val="0"/>
        <w:adjustRightInd w:val="0"/>
        <w:spacing w:after="0" w:line="240" w:lineRule="auto"/>
        <w:jc w:val="center"/>
        <w:rPr>
          <w:rFonts w:ascii="Times New Roman" w:hAnsi="Times New Roman" w:cs="Times New Roman"/>
          <w:sz w:val="21"/>
          <w:szCs w:val="21"/>
          <w:lang w:val="lt-LT"/>
        </w:rPr>
      </w:pPr>
      <w:r w:rsidRPr="0017614D">
        <w:rPr>
          <w:rFonts w:ascii="Times New Roman" w:hAnsi="Times New Roman" w:cs="Times New Roman"/>
          <w:b/>
          <w:bCs/>
          <w:sz w:val="28"/>
          <w:szCs w:val="28"/>
          <w:lang w:val="lt-LT"/>
        </w:rPr>
        <w:t>EKONOMIKOS IR FINANS</w:t>
      </w:r>
      <w:r w:rsidRPr="0017614D">
        <w:rPr>
          <w:rFonts w:ascii="TimesNewRomanPS-BoldMT" w:eastAsia="TimesNewRomanPS-BoldMT" w:hAnsi="Times New Roman" w:cs="TimesNewRomanPS-BoldMT"/>
          <w:b/>
          <w:bCs/>
          <w:sz w:val="28"/>
          <w:szCs w:val="28"/>
          <w:lang w:val="lt-LT"/>
        </w:rPr>
        <w:t>Ų</w:t>
      </w:r>
      <w:r w:rsidRPr="0017614D">
        <w:rPr>
          <w:rFonts w:ascii="TimesNewRomanPS-BoldMT" w:eastAsia="TimesNewRomanPS-BoldMT" w:hAnsi="Times New Roman" w:cs="TimesNewRomanPS-BoldMT"/>
          <w:b/>
          <w:bCs/>
          <w:sz w:val="28"/>
          <w:szCs w:val="28"/>
          <w:lang w:val="lt-LT"/>
        </w:rPr>
        <w:t xml:space="preserve"> </w:t>
      </w:r>
      <w:r w:rsidRPr="0017614D">
        <w:rPr>
          <w:rFonts w:ascii="Times New Roman" w:hAnsi="Times New Roman" w:cs="Times New Roman"/>
          <w:b/>
          <w:bCs/>
          <w:sz w:val="28"/>
          <w:szCs w:val="28"/>
          <w:lang w:val="lt-LT"/>
        </w:rPr>
        <w:t>VALDYMO FAKULTETAS</w:t>
      </w:r>
    </w:p>
    <w:p w:rsidR="006D2A31" w:rsidRPr="0017614D" w:rsidRDefault="006D2A31" w:rsidP="006D2A31">
      <w:pPr>
        <w:autoSpaceDE w:val="0"/>
        <w:autoSpaceDN w:val="0"/>
        <w:adjustRightInd w:val="0"/>
        <w:spacing w:after="0" w:line="240" w:lineRule="auto"/>
        <w:jc w:val="center"/>
        <w:rPr>
          <w:rFonts w:ascii="Times New Roman" w:hAnsi="Times New Roman" w:cs="Times New Roman"/>
          <w:b/>
          <w:bCs/>
          <w:sz w:val="24"/>
          <w:szCs w:val="24"/>
          <w:lang w:val="lt-LT"/>
        </w:rPr>
      </w:pPr>
      <w:r w:rsidRPr="0017614D">
        <w:rPr>
          <w:rFonts w:ascii="Times New Roman" w:hAnsi="Times New Roman" w:cs="Times New Roman"/>
          <w:b/>
          <w:bCs/>
          <w:sz w:val="24"/>
          <w:szCs w:val="24"/>
          <w:lang w:val="lt-LT"/>
        </w:rPr>
        <w:t>BANKININKYST</w:t>
      </w:r>
      <w:r w:rsidRPr="0017614D">
        <w:rPr>
          <w:rFonts w:ascii="TimesNewRomanPS-BoldMT" w:eastAsia="TimesNewRomanPS-BoldMT" w:hAnsi="Times New Roman" w:cs="TimesNewRomanPS-BoldMT"/>
          <w:b/>
          <w:bCs/>
          <w:sz w:val="24"/>
          <w:szCs w:val="24"/>
          <w:lang w:val="lt-LT"/>
        </w:rPr>
        <w:t>Ė</w:t>
      </w:r>
      <w:r w:rsidRPr="0017614D">
        <w:rPr>
          <w:rFonts w:ascii="Times New Roman" w:hAnsi="Times New Roman" w:cs="Times New Roman"/>
          <w:b/>
          <w:bCs/>
          <w:sz w:val="24"/>
          <w:szCs w:val="24"/>
          <w:lang w:val="lt-LT"/>
        </w:rPr>
        <w:t>S IR INVESTICIJ</w:t>
      </w:r>
      <w:r w:rsidRPr="0017614D">
        <w:rPr>
          <w:rFonts w:ascii="TimesNewRomanPS-BoldMT" w:eastAsia="TimesNewRomanPS-BoldMT" w:hAnsi="Times New Roman" w:cs="TimesNewRomanPS-BoldMT"/>
          <w:b/>
          <w:bCs/>
          <w:sz w:val="24"/>
          <w:szCs w:val="24"/>
          <w:lang w:val="lt-LT"/>
        </w:rPr>
        <w:t>Ų</w:t>
      </w:r>
      <w:r w:rsidRPr="0017614D">
        <w:rPr>
          <w:rFonts w:ascii="TimesNewRomanPS-BoldMT" w:eastAsia="TimesNewRomanPS-BoldMT" w:hAnsi="Times New Roman" w:cs="TimesNewRomanPS-BoldMT"/>
          <w:b/>
          <w:bCs/>
          <w:sz w:val="24"/>
          <w:szCs w:val="24"/>
          <w:lang w:val="lt-LT"/>
        </w:rPr>
        <w:t xml:space="preserve"> </w:t>
      </w:r>
      <w:r w:rsidRPr="0017614D">
        <w:rPr>
          <w:rFonts w:ascii="Times New Roman" w:hAnsi="Times New Roman" w:cs="Times New Roman"/>
          <w:b/>
          <w:bCs/>
          <w:sz w:val="24"/>
          <w:szCs w:val="24"/>
          <w:lang w:val="lt-LT"/>
        </w:rPr>
        <w:t>KATEDRA</w:t>
      </w:r>
    </w:p>
    <w:p w:rsidR="006D2A31" w:rsidRPr="0017614D" w:rsidRDefault="006D2A31" w:rsidP="006D2A31">
      <w:pPr>
        <w:autoSpaceDE w:val="0"/>
        <w:autoSpaceDN w:val="0"/>
        <w:adjustRightInd w:val="0"/>
        <w:spacing w:after="0" w:line="240" w:lineRule="auto"/>
        <w:rPr>
          <w:rFonts w:ascii="Times New Roman" w:hAnsi="Times New Roman" w:cs="Times New Roman"/>
          <w:b/>
          <w:bCs/>
          <w:lang w:val="lt-LT"/>
        </w:rPr>
      </w:pPr>
    </w:p>
    <w:p w:rsidR="006D2A31" w:rsidRPr="0017614D" w:rsidRDefault="006D2A31" w:rsidP="006D2A31">
      <w:pPr>
        <w:autoSpaceDE w:val="0"/>
        <w:autoSpaceDN w:val="0"/>
        <w:adjustRightInd w:val="0"/>
        <w:spacing w:after="0" w:line="240" w:lineRule="auto"/>
        <w:rPr>
          <w:rFonts w:ascii="Times New Roman" w:hAnsi="Times New Roman" w:cs="Times New Roman"/>
          <w:b/>
          <w:bCs/>
          <w:lang w:val="lt-LT"/>
        </w:rPr>
      </w:pPr>
    </w:p>
    <w:p w:rsidR="006D2A31" w:rsidRPr="0017614D" w:rsidRDefault="006D2A31" w:rsidP="006D2A31">
      <w:pPr>
        <w:autoSpaceDE w:val="0"/>
        <w:autoSpaceDN w:val="0"/>
        <w:adjustRightInd w:val="0"/>
        <w:spacing w:after="0" w:line="240" w:lineRule="auto"/>
        <w:rPr>
          <w:rFonts w:ascii="Times New Roman" w:hAnsi="Times New Roman" w:cs="Times New Roman"/>
          <w:b/>
          <w:bCs/>
          <w:lang w:val="lt-LT"/>
        </w:rPr>
      </w:pPr>
    </w:p>
    <w:p w:rsidR="006D2A31" w:rsidRPr="0017614D" w:rsidRDefault="006D2A31" w:rsidP="006D2A31">
      <w:pPr>
        <w:autoSpaceDE w:val="0"/>
        <w:autoSpaceDN w:val="0"/>
        <w:adjustRightInd w:val="0"/>
        <w:spacing w:after="0" w:line="240" w:lineRule="auto"/>
        <w:rPr>
          <w:rFonts w:ascii="Times New Roman" w:hAnsi="Times New Roman" w:cs="Times New Roman"/>
          <w:b/>
          <w:bCs/>
          <w:lang w:val="lt-LT"/>
        </w:rPr>
      </w:pPr>
    </w:p>
    <w:p w:rsidR="006D2A31" w:rsidRDefault="006D2A31" w:rsidP="006D2A31">
      <w:pPr>
        <w:autoSpaceDE w:val="0"/>
        <w:autoSpaceDN w:val="0"/>
        <w:adjustRightInd w:val="0"/>
        <w:spacing w:after="0" w:line="240" w:lineRule="auto"/>
        <w:rPr>
          <w:rFonts w:ascii="Times New Roman" w:hAnsi="Times New Roman" w:cs="Times New Roman"/>
          <w:b/>
          <w:bCs/>
          <w:lang w:val="lt-LT"/>
        </w:rPr>
      </w:pPr>
    </w:p>
    <w:p w:rsidR="005A7515" w:rsidRDefault="005A7515" w:rsidP="006D2A31">
      <w:pPr>
        <w:autoSpaceDE w:val="0"/>
        <w:autoSpaceDN w:val="0"/>
        <w:adjustRightInd w:val="0"/>
        <w:spacing w:after="0" w:line="240" w:lineRule="auto"/>
        <w:rPr>
          <w:rFonts w:ascii="Times New Roman" w:hAnsi="Times New Roman" w:cs="Times New Roman"/>
          <w:b/>
          <w:bCs/>
          <w:lang w:val="lt-LT"/>
        </w:rPr>
      </w:pPr>
    </w:p>
    <w:p w:rsidR="005A7515" w:rsidRDefault="005A7515" w:rsidP="006D2A31">
      <w:pPr>
        <w:autoSpaceDE w:val="0"/>
        <w:autoSpaceDN w:val="0"/>
        <w:adjustRightInd w:val="0"/>
        <w:spacing w:after="0" w:line="240" w:lineRule="auto"/>
        <w:rPr>
          <w:rFonts w:ascii="Times New Roman" w:hAnsi="Times New Roman" w:cs="Times New Roman"/>
          <w:b/>
          <w:bCs/>
          <w:lang w:val="lt-LT"/>
        </w:rPr>
      </w:pPr>
    </w:p>
    <w:p w:rsidR="005A7515" w:rsidRDefault="005A7515" w:rsidP="006D2A31">
      <w:pPr>
        <w:autoSpaceDE w:val="0"/>
        <w:autoSpaceDN w:val="0"/>
        <w:adjustRightInd w:val="0"/>
        <w:spacing w:after="0" w:line="240" w:lineRule="auto"/>
        <w:rPr>
          <w:rFonts w:ascii="Times New Roman" w:hAnsi="Times New Roman" w:cs="Times New Roman"/>
          <w:b/>
          <w:bCs/>
          <w:lang w:val="lt-LT"/>
        </w:rPr>
      </w:pPr>
    </w:p>
    <w:p w:rsidR="005A7515" w:rsidRPr="0017614D" w:rsidRDefault="005A7515" w:rsidP="006D2A31">
      <w:pPr>
        <w:autoSpaceDE w:val="0"/>
        <w:autoSpaceDN w:val="0"/>
        <w:adjustRightInd w:val="0"/>
        <w:spacing w:after="0" w:line="240" w:lineRule="auto"/>
        <w:rPr>
          <w:rFonts w:ascii="Times New Roman" w:hAnsi="Times New Roman" w:cs="Times New Roman"/>
          <w:b/>
          <w:bCs/>
          <w:lang w:val="lt-LT"/>
        </w:rPr>
      </w:pPr>
    </w:p>
    <w:p w:rsidR="006D2A31" w:rsidRDefault="006D2A31" w:rsidP="006D2A31">
      <w:pPr>
        <w:autoSpaceDE w:val="0"/>
        <w:autoSpaceDN w:val="0"/>
        <w:adjustRightInd w:val="0"/>
        <w:spacing w:after="0" w:line="240" w:lineRule="auto"/>
        <w:rPr>
          <w:rFonts w:ascii="Times New Roman" w:hAnsi="Times New Roman" w:cs="Times New Roman"/>
          <w:b/>
          <w:bCs/>
          <w:lang w:val="lt-LT"/>
        </w:rPr>
      </w:pPr>
    </w:p>
    <w:p w:rsidR="005A7515" w:rsidRDefault="005A7515" w:rsidP="006D2A31">
      <w:pPr>
        <w:autoSpaceDE w:val="0"/>
        <w:autoSpaceDN w:val="0"/>
        <w:adjustRightInd w:val="0"/>
        <w:spacing w:after="0" w:line="240" w:lineRule="auto"/>
        <w:rPr>
          <w:rFonts w:ascii="Times New Roman" w:hAnsi="Times New Roman" w:cs="Times New Roman"/>
          <w:b/>
          <w:bCs/>
          <w:lang w:val="lt-LT"/>
        </w:rPr>
      </w:pPr>
    </w:p>
    <w:p w:rsidR="005A7515" w:rsidRDefault="005A7515" w:rsidP="006D2A31">
      <w:pPr>
        <w:autoSpaceDE w:val="0"/>
        <w:autoSpaceDN w:val="0"/>
        <w:adjustRightInd w:val="0"/>
        <w:spacing w:after="0" w:line="240" w:lineRule="auto"/>
        <w:rPr>
          <w:rFonts w:ascii="Times New Roman" w:hAnsi="Times New Roman" w:cs="Times New Roman"/>
          <w:b/>
          <w:bCs/>
          <w:lang w:val="lt-LT"/>
        </w:rPr>
      </w:pPr>
    </w:p>
    <w:p w:rsidR="005A7515" w:rsidRPr="0017614D" w:rsidRDefault="005A7515" w:rsidP="006D2A31">
      <w:pPr>
        <w:autoSpaceDE w:val="0"/>
        <w:autoSpaceDN w:val="0"/>
        <w:adjustRightInd w:val="0"/>
        <w:spacing w:after="0" w:line="240" w:lineRule="auto"/>
        <w:rPr>
          <w:rFonts w:ascii="Times New Roman" w:hAnsi="Times New Roman" w:cs="Times New Roman"/>
          <w:b/>
          <w:bCs/>
          <w:lang w:val="lt-LT"/>
        </w:rPr>
      </w:pPr>
    </w:p>
    <w:p w:rsidR="006D2A31" w:rsidRPr="0017614D" w:rsidRDefault="006D2A31" w:rsidP="006D2A31">
      <w:pPr>
        <w:autoSpaceDE w:val="0"/>
        <w:autoSpaceDN w:val="0"/>
        <w:adjustRightInd w:val="0"/>
        <w:spacing w:after="0" w:line="240" w:lineRule="auto"/>
        <w:rPr>
          <w:rFonts w:ascii="Times New Roman" w:hAnsi="Times New Roman" w:cs="Times New Roman"/>
          <w:b/>
          <w:bCs/>
          <w:lang w:val="lt-LT"/>
        </w:rPr>
      </w:pPr>
    </w:p>
    <w:p w:rsidR="006D2A31" w:rsidRPr="0017614D" w:rsidRDefault="00697522" w:rsidP="006D2A31">
      <w:pPr>
        <w:autoSpaceDE w:val="0"/>
        <w:autoSpaceDN w:val="0"/>
        <w:adjustRightInd w:val="0"/>
        <w:spacing w:after="0" w:line="240" w:lineRule="auto"/>
        <w:jc w:val="center"/>
        <w:rPr>
          <w:rFonts w:ascii="Times New Roman" w:hAnsi="Times New Roman" w:cs="Times New Roman"/>
          <w:b/>
          <w:bCs/>
          <w:sz w:val="40"/>
          <w:szCs w:val="40"/>
          <w:lang w:val="lt-LT"/>
        </w:rPr>
      </w:pPr>
      <w:r w:rsidRPr="0017614D">
        <w:rPr>
          <w:rFonts w:ascii="Times New Roman" w:hAnsi="Times New Roman" w:cs="Times New Roman"/>
          <w:b/>
          <w:bCs/>
          <w:sz w:val="40"/>
          <w:szCs w:val="40"/>
          <w:lang w:val="lt-LT"/>
        </w:rPr>
        <w:t>KOMPLEKSINĖS</w:t>
      </w:r>
      <w:r w:rsidR="006D2A31" w:rsidRPr="0017614D">
        <w:rPr>
          <w:rFonts w:ascii="Times New Roman" w:hAnsi="Times New Roman" w:cs="Times New Roman"/>
          <w:b/>
          <w:bCs/>
          <w:sz w:val="40"/>
          <w:szCs w:val="40"/>
          <w:lang w:val="lt-LT"/>
        </w:rPr>
        <w:t xml:space="preserve"> BANKROTO GRĖSMĖS NUSTATYMO METODIKOS TINKAMUMO LIETUVOS </w:t>
      </w:r>
      <w:r w:rsidR="008A74CE" w:rsidRPr="0017614D">
        <w:rPr>
          <w:rFonts w:ascii="Times New Roman" w:hAnsi="Times New Roman" w:cs="Times New Roman"/>
          <w:b/>
          <w:bCs/>
          <w:sz w:val="40"/>
          <w:szCs w:val="40"/>
          <w:lang w:val="lt-LT"/>
        </w:rPr>
        <w:t xml:space="preserve">TRANSPORTAVIMO </w:t>
      </w:r>
      <w:r w:rsidR="006D2A31" w:rsidRPr="0017614D">
        <w:rPr>
          <w:rFonts w:ascii="Times New Roman" w:hAnsi="Times New Roman" w:cs="Times New Roman"/>
          <w:b/>
          <w:bCs/>
          <w:sz w:val="40"/>
          <w:szCs w:val="40"/>
          <w:lang w:val="lt-LT"/>
        </w:rPr>
        <w:t>ĮMONĖMS ĮVERTINIMAS</w:t>
      </w:r>
    </w:p>
    <w:p w:rsidR="006D2A31" w:rsidRPr="0017614D" w:rsidRDefault="006D2A31" w:rsidP="006D2A31">
      <w:pPr>
        <w:autoSpaceDE w:val="0"/>
        <w:autoSpaceDN w:val="0"/>
        <w:adjustRightInd w:val="0"/>
        <w:spacing w:after="0" w:line="240" w:lineRule="auto"/>
        <w:jc w:val="center"/>
        <w:rPr>
          <w:rFonts w:ascii="Times New Roman" w:hAnsi="Times New Roman" w:cs="Times New Roman"/>
          <w:b/>
          <w:bCs/>
          <w:sz w:val="28"/>
          <w:szCs w:val="28"/>
          <w:lang w:val="lt-LT"/>
        </w:rPr>
      </w:pPr>
      <w:r w:rsidRPr="0017614D">
        <w:rPr>
          <w:rFonts w:ascii="Times New Roman" w:hAnsi="Times New Roman" w:cs="Times New Roman"/>
          <w:b/>
          <w:bCs/>
          <w:sz w:val="28"/>
          <w:szCs w:val="28"/>
          <w:lang w:val="lt-LT"/>
        </w:rPr>
        <w:t>Finansų valdymo magistro baigiamasis darbas</w:t>
      </w:r>
    </w:p>
    <w:p w:rsidR="006D2A31" w:rsidRPr="0017614D" w:rsidRDefault="006D2A31" w:rsidP="006D2A31">
      <w:pPr>
        <w:autoSpaceDE w:val="0"/>
        <w:autoSpaceDN w:val="0"/>
        <w:adjustRightInd w:val="0"/>
        <w:spacing w:after="0" w:line="240" w:lineRule="auto"/>
        <w:jc w:val="center"/>
        <w:rPr>
          <w:rFonts w:ascii="Times New Roman" w:hAnsi="Times New Roman" w:cs="Times New Roman"/>
          <w:b/>
          <w:bCs/>
          <w:sz w:val="28"/>
          <w:szCs w:val="28"/>
          <w:lang w:val="lt-LT"/>
        </w:rPr>
      </w:pPr>
      <w:r w:rsidRPr="0017614D">
        <w:rPr>
          <w:rFonts w:ascii="Times New Roman" w:hAnsi="Times New Roman" w:cs="Times New Roman"/>
          <w:b/>
          <w:bCs/>
          <w:sz w:val="28"/>
          <w:szCs w:val="28"/>
          <w:lang w:val="lt-LT"/>
        </w:rPr>
        <w:t>Studij</w:t>
      </w:r>
      <w:r w:rsidRPr="0017614D">
        <w:rPr>
          <w:rFonts w:ascii="TimesNewRomanPS-BoldMT" w:eastAsia="TimesNewRomanPS-BoldMT" w:hAnsi="Times New Roman" w:cs="TimesNewRomanPS-BoldMT"/>
          <w:b/>
          <w:bCs/>
          <w:sz w:val="28"/>
          <w:szCs w:val="28"/>
          <w:lang w:val="lt-LT"/>
        </w:rPr>
        <w:t>ų</w:t>
      </w:r>
      <w:r w:rsidRPr="0017614D">
        <w:rPr>
          <w:rFonts w:ascii="TimesNewRomanPS-BoldMT" w:eastAsia="TimesNewRomanPS-BoldMT" w:hAnsi="Times New Roman" w:cs="TimesNewRomanPS-BoldMT"/>
          <w:b/>
          <w:bCs/>
          <w:sz w:val="28"/>
          <w:szCs w:val="28"/>
          <w:lang w:val="lt-LT"/>
        </w:rPr>
        <w:t xml:space="preserve"> </w:t>
      </w:r>
      <w:r w:rsidRPr="0017614D">
        <w:rPr>
          <w:rFonts w:ascii="Times New Roman" w:hAnsi="Times New Roman" w:cs="Times New Roman"/>
          <w:b/>
          <w:bCs/>
          <w:sz w:val="28"/>
          <w:szCs w:val="28"/>
          <w:lang w:val="lt-LT"/>
        </w:rPr>
        <w:t xml:space="preserve">programa </w:t>
      </w:r>
      <w:r w:rsidR="00981FBB" w:rsidRPr="00723EA0">
        <w:rPr>
          <w:rFonts w:ascii="Times New Roman" w:hAnsi="Times New Roman" w:cs="Times New Roman"/>
          <w:b/>
          <w:sz w:val="28"/>
        </w:rPr>
        <w:t>621N30005</w:t>
      </w:r>
    </w:p>
    <w:p w:rsidR="006D2A31" w:rsidRPr="0017614D" w:rsidRDefault="006D2A31" w:rsidP="006D2A31">
      <w:pPr>
        <w:autoSpaceDE w:val="0"/>
        <w:autoSpaceDN w:val="0"/>
        <w:adjustRightInd w:val="0"/>
        <w:spacing w:after="0" w:line="240" w:lineRule="auto"/>
        <w:rPr>
          <w:rFonts w:ascii="Times New Roman" w:hAnsi="Times New Roman" w:cs="Times New Roman"/>
          <w:b/>
          <w:bCs/>
          <w:lang w:val="lt-LT"/>
        </w:rPr>
      </w:pPr>
    </w:p>
    <w:p w:rsidR="006D2A31" w:rsidRPr="0017614D" w:rsidRDefault="006D2A31" w:rsidP="006D2A31">
      <w:pPr>
        <w:autoSpaceDE w:val="0"/>
        <w:autoSpaceDN w:val="0"/>
        <w:adjustRightInd w:val="0"/>
        <w:spacing w:after="0" w:line="240" w:lineRule="auto"/>
        <w:rPr>
          <w:rFonts w:ascii="Times New Roman" w:hAnsi="Times New Roman" w:cs="Times New Roman"/>
          <w:b/>
          <w:bCs/>
          <w:lang w:val="lt-LT"/>
        </w:rPr>
      </w:pPr>
    </w:p>
    <w:p w:rsidR="006D2A31" w:rsidRPr="0017614D" w:rsidRDefault="006D2A31" w:rsidP="006D2A31">
      <w:pPr>
        <w:autoSpaceDE w:val="0"/>
        <w:autoSpaceDN w:val="0"/>
        <w:adjustRightInd w:val="0"/>
        <w:spacing w:after="0" w:line="240" w:lineRule="auto"/>
        <w:rPr>
          <w:rFonts w:ascii="Times New Roman" w:hAnsi="Times New Roman" w:cs="Times New Roman"/>
          <w:b/>
          <w:bCs/>
          <w:lang w:val="lt-LT"/>
        </w:rPr>
      </w:pPr>
    </w:p>
    <w:p w:rsidR="006D2A31" w:rsidRPr="0017614D" w:rsidRDefault="006D2A31" w:rsidP="006D2A31">
      <w:pPr>
        <w:autoSpaceDE w:val="0"/>
        <w:autoSpaceDN w:val="0"/>
        <w:adjustRightInd w:val="0"/>
        <w:spacing w:after="0" w:line="240" w:lineRule="auto"/>
        <w:rPr>
          <w:rFonts w:ascii="Times New Roman" w:hAnsi="Times New Roman" w:cs="Times New Roman"/>
          <w:b/>
          <w:bCs/>
          <w:lang w:val="lt-LT"/>
        </w:rPr>
      </w:pPr>
    </w:p>
    <w:p w:rsidR="006D2A31" w:rsidRPr="0017614D" w:rsidRDefault="006D2A31" w:rsidP="006D2A31">
      <w:pPr>
        <w:autoSpaceDE w:val="0"/>
        <w:autoSpaceDN w:val="0"/>
        <w:adjustRightInd w:val="0"/>
        <w:spacing w:after="0" w:line="240" w:lineRule="auto"/>
        <w:rPr>
          <w:rFonts w:ascii="Times New Roman" w:hAnsi="Times New Roman" w:cs="Times New Roman"/>
          <w:b/>
          <w:bCs/>
          <w:lang w:val="lt-LT"/>
        </w:rPr>
      </w:pPr>
    </w:p>
    <w:p w:rsidR="006D2A31" w:rsidRPr="0017614D" w:rsidRDefault="006D2A31" w:rsidP="006D2A31">
      <w:pPr>
        <w:autoSpaceDE w:val="0"/>
        <w:autoSpaceDN w:val="0"/>
        <w:adjustRightInd w:val="0"/>
        <w:spacing w:after="0" w:line="360" w:lineRule="auto"/>
        <w:rPr>
          <w:rFonts w:ascii="Times New Roman" w:hAnsi="Times New Roman" w:cs="Times New Roman"/>
          <w:b/>
          <w:bCs/>
          <w:lang w:val="lt-LT"/>
        </w:rPr>
      </w:pPr>
    </w:p>
    <w:p w:rsidR="006D2A31" w:rsidRPr="0017614D" w:rsidRDefault="006D2A31" w:rsidP="006D2A31">
      <w:pPr>
        <w:autoSpaceDE w:val="0"/>
        <w:autoSpaceDN w:val="0"/>
        <w:adjustRightInd w:val="0"/>
        <w:spacing w:after="0" w:line="360" w:lineRule="auto"/>
        <w:rPr>
          <w:rFonts w:ascii="Times New Roman" w:hAnsi="Times New Roman" w:cs="Times New Roman"/>
          <w:b/>
          <w:bCs/>
          <w:sz w:val="24"/>
          <w:szCs w:val="24"/>
          <w:lang w:val="lt-LT"/>
        </w:rPr>
      </w:pPr>
      <w:r w:rsidRPr="0017614D">
        <w:rPr>
          <w:rFonts w:ascii="Times New Roman" w:hAnsi="Times New Roman" w:cs="Times New Roman"/>
          <w:b/>
          <w:bCs/>
          <w:sz w:val="24"/>
          <w:szCs w:val="24"/>
          <w:lang w:val="lt-LT"/>
        </w:rPr>
        <w:t xml:space="preserve">                                                                                                             Vadovė</w:t>
      </w:r>
    </w:p>
    <w:p w:rsidR="006D2A31" w:rsidRPr="0017614D" w:rsidRDefault="006D2A31" w:rsidP="006D2A31">
      <w:pPr>
        <w:autoSpaceDE w:val="0"/>
        <w:autoSpaceDN w:val="0"/>
        <w:adjustRightInd w:val="0"/>
        <w:spacing w:after="0" w:line="360" w:lineRule="auto"/>
        <w:rPr>
          <w:rFonts w:ascii="Times New Roman" w:hAnsi="Times New Roman" w:cs="Times New Roman"/>
          <w:b/>
          <w:bCs/>
          <w:sz w:val="24"/>
          <w:szCs w:val="24"/>
          <w:lang w:val="lt-LT"/>
        </w:rPr>
      </w:pPr>
      <w:r w:rsidRPr="0017614D">
        <w:rPr>
          <w:rFonts w:ascii="Times New Roman" w:hAnsi="Times New Roman" w:cs="Times New Roman"/>
          <w:bCs/>
          <w:i/>
          <w:sz w:val="24"/>
          <w:szCs w:val="24"/>
          <w:lang w:val="lt-LT"/>
        </w:rPr>
        <w:t xml:space="preserve">                                                                                                             .............. </w:t>
      </w:r>
      <w:r w:rsidRPr="0017614D">
        <w:rPr>
          <w:rFonts w:ascii="Times New Roman" w:hAnsi="Times New Roman" w:cs="Times New Roman"/>
          <w:b/>
          <w:bCs/>
          <w:sz w:val="24"/>
          <w:szCs w:val="24"/>
          <w:lang w:val="lt-LT"/>
        </w:rPr>
        <w:t>prof. dr. D. Jurevičienė</w:t>
      </w:r>
    </w:p>
    <w:p w:rsidR="006D2A31" w:rsidRPr="0017614D" w:rsidRDefault="006D2A31" w:rsidP="006D2A31">
      <w:pPr>
        <w:autoSpaceDE w:val="0"/>
        <w:autoSpaceDN w:val="0"/>
        <w:adjustRightInd w:val="0"/>
        <w:spacing w:after="0" w:line="360" w:lineRule="auto"/>
        <w:rPr>
          <w:rFonts w:ascii="Times New Roman" w:hAnsi="Times New Roman" w:cs="Times New Roman"/>
          <w:b/>
          <w:bCs/>
          <w:sz w:val="24"/>
          <w:szCs w:val="24"/>
          <w:lang w:val="lt-LT"/>
        </w:rPr>
      </w:pPr>
      <w:r w:rsidRPr="0017614D">
        <w:rPr>
          <w:rFonts w:ascii="Times New Roman" w:hAnsi="Times New Roman" w:cs="Times New Roman"/>
          <w:b/>
          <w:bCs/>
          <w:sz w:val="24"/>
          <w:szCs w:val="24"/>
          <w:lang w:val="lt-LT"/>
        </w:rPr>
        <w:t xml:space="preserve">                                                                                    </w:t>
      </w:r>
      <w:r w:rsidR="00AA73D8" w:rsidRPr="0017614D">
        <w:rPr>
          <w:rFonts w:ascii="Times New Roman" w:hAnsi="Times New Roman" w:cs="Times New Roman"/>
          <w:b/>
          <w:bCs/>
          <w:sz w:val="24"/>
          <w:szCs w:val="24"/>
          <w:lang w:val="lt-LT"/>
        </w:rPr>
        <w:t xml:space="preserve">                         2013 </w:t>
      </w:r>
      <w:r w:rsidR="00981FBB">
        <w:rPr>
          <w:rFonts w:ascii="Times New Roman" w:hAnsi="Times New Roman" w:cs="Times New Roman"/>
          <w:b/>
          <w:bCs/>
          <w:sz w:val="24"/>
          <w:szCs w:val="24"/>
          <w:lang w:val="lt-LT"/>
        </w:rPr>
        <w:t>12</w:t>
      </w:r>
    </w:p>
    <w:p w:rsidR="006D2A31" w:rsidRPr="0017614D" w:rsidRDefault="006D2A31" w:rsidP="006D2A31">
      <w:pPr>
        <w:autoSpaceDE w:val="0"/>
        <w:autoSpaceDN w:val="0"/>
        <w:adjustRightInd w:val="0"/>
        <w:spacing w:after="0" w:line="360" w:lineRule="auto"/>
        <w:rPr>
          <w:rFonts w:ascii="Times New Roman" w:hAnsi="Times New Roman" w:cs="Times New Roman"/>
          <w:b/>
          <w:bCs/>
          <w:sz w:val="24"/>
          <w:szCs w:val="24"/>
          <w:lang w:val="lt-LT"/>
        </w:rPr>
      </w:pPr>
    </w:p>
    <w:p w:rsidR="006D2A31" w:rsidRPr="0017614D" w:rsidRDefault="006D2A31" w:rsidP="006D2A31">
      <w:pPr>
        <w:autoSpaceDE w:val="0"/>
        <w:autoSpaceDN w:val="0"/>
        <w:adjustRightInd w:val="0"/>
        <w:spacing w:after="0" w:line="240" w:lineRule="auto"/>
        <w:rPr>
          <w:rFonts w:ascii="Times New Roman" w:hAnsi="Times New Roman" w:cs="Times New Roman"/>
          <w:b/>
          <w:bCs/>
          <w:lang w:val="lt-LT"/>
        </w:rPr>
      </w:pPr>
    </w:p>
    <w:p w:rsidR="006D2A31" w:rsidRPr="0017614D" w:rsidRDefault="006D2A31" w:rsidP="006D2A31">
      <w:pPr>
        <w:autoSpaceDE w:val="0"/>
        <w:autoSpaceDN w:val="0"/>
        <w:adjustRightInd w:val="0"/>
        <w:spacing w:after="0" w:line="360" w:lineRule="auto"/>
        <w:rPr>
          <w:rFonts w:ascii="Times New Roman" w:hAnsi="Times New Roman" w:cs="Times New Roman"/>
          <w:b/>
          <w:bCs/>
          <w:lang w:val="lt-LT"/>
        </w:rPr>
      </w:pPr>
    </w:p>
    <w:p w:rsidR="006D2A31" w:rsidRPr="0017614D" w:rsidRDefault="006D2A31" w:rsidP="006D2A31">
      <w:pPr>
        <w:autoSpaceDE w:val="0"/>
        <w:autoSpaceDN w:val="0"/>
        <w:adjustRightInd w:val="0"/>
        <w:spacing w:after="0" w:line="360" w:lineRule="auto"/>
        <w:rPr>
          <w:rFonts w:ascii="Times New Roman" w:hAnsi="Times New Roman" w:cs="Times New Roman"/>
          <w:sz w:val="24"/>
          <w:szCs w:val="24"/>
          <w:lang w:val="lt-LT"/>
        </w:rPr>
      </w:pPr>
      <w:r w:rsidRPr="0017614D">
        <w:rPr>
          <w:rFonts w:ascii="Times New Roman" w:hAnsi="Times New Roman" w:cs="Times New Roman"/>
          <w:b/>
          <w:bCs/>
          <w:sz w:val="24"/>
          <w:szCs w:val="24"/>
          <w:lang w:val="lt-LT"/>
        </w:rPr>
        <w:t xml:space="preserve">Recenzentas </w:t>
      </w:r>
      <w:r w:rsidRPr="0017614D">
        <w:rPr>
          <w:rFonts w:ascii="Times New Roman" w:hAnsi="Times New Roman" w:cs="Times New Roman"/>
          <w:sz w:val="24"/>
          <w:szCs w:val="24"/>
          <w:lang w:val="lt-LT"/>
        </w:rPr>
        <w:t xml:space="preserve">                                                                                        </w:t>
      </w:r>
      <w:r w:rsidRPr="0017614D">
        <w:rPr>
          <w:rFonts w:ascii="Times New Roman" w:hAnsi="Times New Roman" w:cs="Times New Roman"/>
          <w:b/>
          <w:sz w:val="24"/>
          <w:szCs w:val="24"/>
          <w:lang w:val="lt-LT"/>
        </w:rPr>
        <w:t>Atliko</w:t>
      </w:r>
    </w:p>
    <w:p w:rsidR="006D2A31" w:rsidRPr="0017614D" w:rsidRDefault="006D2A31" w:rsidP="006D2A31">
      <w:pPr>
        <w:autoSpaceDE w:val="0"/>
        <w:autoSpaceDN w:val="0"/>
        <w:adjustRightInd w:val="0"/>
        <w:spacing w:after="0" w:line="360" w:lineRule="auto"/>
        <w:rPr>
          <w:rFonts w:ascii="Times New Roman" w:hAnsi="Times New Roman" w:cs="Times New Roman"/>
          <w:b/>
          <w:bCs/>
          <w:sz w:val="24"/>
          <w:szCs w:val="24"/>
          <w:lang w:val="lt-LT"/>
        </w:rPr>
      </w:pPr>
      <w:r w:rsidRPr="0017614D">
        <w:rPr>
          <w:rFonts w:ascii="Times New Roman" w:hAnsi="Times New Roman" w:cs="Times New Roman"/>
          <w:b/>
          <w:bCs/>
          <w:sz w:val="24"/>
          <w:szCs w:val="24"/>
          <w:lang w:val="lt-LT"/>
        </w:rPr>
        <w:t xml:space="preserve">……………...                                                           </w:t>
      </w:r>
      <w:r w:rsidR="0017614D" w:rsidRPr="0017614D">
        <w:rPr>
          <w:rFonts w:ascii="Times New Roman" w:hAnsi="Times New Roman" w:cs="Times New Roman"/>
          <w:b/>
          <w:bCs/>
          <w:sz w:val="24"/>
          <w:szCs w:val="24"/>
          <w:lang w:val="lt-LT"/>
        </w:rPr>
        <w:t xml:space="preserve">                           Fmns2</w:t>
      </w:r>
      <w:r w:rsidRPr="0017614D">
        <w:rPr>
          <w:rFonts w:ascii="Times New Roman" w:hAnsi="Times New Roman" w:cs="Times New Roman"/>
          <w:b/>
          <w:bCs/>
          <w:sz w:val="24"/>
          <w:szCs w:val="24"/>
          <w:lang w:val="lt-LT"/>
        </w:rPr>
        <w:t>-01 gr. stud.</w:t>
      </w:r>
    </w:p>
    <w:p w:rsidR="006D2A31" w:rsidRPr="0017614D" w:rsidRDefault="006D2A31" w:rsidP="006D2A31">
      <w:pPr>
        <w:autoSpaceDE w:val="0"/>
        <w:autoSpaceDN w:val="0"/>
        <w:adjustRightInd w:val="0"/>
        <w:spacing w:after="0" w:line="360" w:lineRule="auto"/>
        <w:rPr>
          <w:rFonts w:ascii="Times New Roman" w:hAnsi="Times New Roman" w:cs="Times New Roman"/>
          <w:b/>
          <w:bCs/>
          <w:sz w:val="24"/>
          <w:szCs w:val="24"/>
          <w:lang w:val="lt-LT"/>
        </w:rPr>
      </w:pPr>
      <w:r w:rsidRPr="0017614D">
        <w:rPr>
          <w:rFonts w:ascii="Times New Roman" w:hAnsi="Times New Roman" w:cs="Times New Roman"/>
          <w:b/>
          <w:bCs/>
          <w:sz w:val="24"/>
          <w:szCs w:val="24"/>
          <w:lang w:val="lt-LT"/>
        </w:rPr>
        <w:t xml:space="preserve">2013 </w:t>
      </w:r>
      <w:r w:rsidR="00981FBB">
        <w:rPr>
          <w:rFonts w:ascii="Times New Roman" w:hAnsi="Times New Roman" w:cs="Times New Roman"/>
          <w:b/>
          <w:bCs/>
          <w:sz w:val="24"/>
          <w:szCs w:val="24"/>
          <w:lang w:val="lt-LT"/>
        </w:rPr>
        <w:t>12</w:t>
      </w:r>
      <w:r w:rsidRPr="0017614D">
        <w:rPr>
          <w:rFonts w:ascii="Times New Roman" w:hAnsi="Times New Roman" w:cs="Times New Roman"/>
          <w:b/>
          <w:bCs/>
          <w:sz w:val="24"/>
          <w:szCs w:val="24"/>
          <w:lang w:val="lt-LT"/>
        </w:rPr>
        <w:t xml:space="preserve">                                                                                                   </w:t>
      </w:r>
      <w:r w:rsidRPr="0017614D">
        <w:rPr>
          <w:rFonts w:ascii="Times New Roman" w:hAnsi="Times New Roman" w:cs="Times New Roman"/>
          <w:bCs/>
          <w:i/>
          <w:sz w:val="24"/>
          <w:szCs w:val="24"/>
          <w:lang w:val="lt-LT"/>
        </w:rPr>
        <w:t>..............</w:t>
      </w:r>
      <w:r w:rsidRPr="0017614D">
        <w:rPr>
          <w:rFonts w:ascii="Times New Roman" w:hAnsi="Times New Roman" w:cs="Times New Roman"/>
          <w:b/>
          <w:bCs/>
          <w:sz w:val="24"/>
          <w:szCs w:val="24"/>
          <w:lang w:val="lt-LT"/>
        </w:rPr>
        <w:t xml:space="preserve"> E. Bercevič</w:t>
      </w:r>
    </w:p>
    <w:p w:rsidR="006D2A31" w:rsidRPr="0017614D" w:rsidRDefault="006D2A31" w:rsidP="006D2A31">
      <w:pPr>
        <w:autoSpaceDE w:val="0"/>
        <w:autoSpaceDN w:val="0"/>
        <w:adjustRightInd w:val="0"/>
        <w:spacing w:after="0" w:line="240" w:lineRule="auto"/>
        <w:rPr>
          <w:rFonts w:ascii="Times New Roman" w:hAnsi="Times New Roman" w:cs="Times New Roman"/>
          <w:b/>
          <w:sz w:val="24"/>
          <w:szCs w:val="24"/>
          <w:lang w:val="lt-LT"/>
        </w:rPr>
      </w:pPr>
      <w:r w:rsidRPr="0017614D">
        <w:rPr>
          <w:rFonts w:ascii="Times New Roman" w:hAnsi="Times New Roman" w:cs="Times New Roman"/>
          <w:sz w:val="18"/>
          <w:szCs w:val="18"/>
          <w:lang w:val="lt-LT"/>
        </w:rPr>
        <w:t xml:space="preserve">                                                                                                                                                    </w:t>
      </w:r>
      <w:r w:rsidR="00AA73D8" w:rsidRPr="0017614D">
        <w:rPr>
          <w:rFonts w:ascii="Times New Roman" w:hAnsi="Times New Roman" w:cs="Times New Roman"/>
          <w:b/>
          <w:sz w:val="24"/>
          <w:szCs w:val="24"/>
          <w:lang w:val="lt-LT"/>
        </w:rPr>
        <w:t xml:space="preserve">2013 </w:t>
      </w:r>
      <w:r w:rsidR="00981FBB">
        <w:rPr>
          <w:rFonts w:ascii="Times New Roman" w:hAnsi="Times New Roman" w:cs="Times New Roman"/>
          <w:b/>
          <w:sz w:val="24"/>
          <w:szCs w:val="24"/>
          <w:lang w:val="lt-LT"/>
        </w:rPr>
        <w:t>12</w:t>
      </w:r>
    </w:p>
    <w:p w:rsidR="006D2A31" w:rsidRPr="0017614D" w:rsidRDefault="006D2A31" w:rsidP="006D2A31">
      <w:pPr>
        <w:autoSpaceDE w:val="0"/>
        <w:autoSpaceDN w:val="0"/>
        <w:adjustRightInd w:val="0"/>
        <w:spacing w:after="0" w:line="240" w:lineRule="auto"/>
        <w:rPr>
          <w:rFonts w:ascii="Times New Roman" w:hAnsi="Times New Roman" w:cs="Times New Roman"/>
          <w:sz w:val="18"/>
          <w:szCs w:val="18"/>
          <w:lang w:val="lt-LT"/>
        </w:rPr>
      </w:pPr>
    </w:p>
    <w:p w:rsidR="006D2A31" w:rsidRPr="0017614D" w:rsidRDefault="006D2A31" w:rsidP="006D2A31">
      <w:pPr>
        <w:autoSpaceDE w:val="0"/>
        <w:autoSpaceDN w:val="0"/>
        <w:adjustRightInd w:val="0"/>
        <w:spacing w:after="0" w:line="240" w:lineRule="auto"/>
        <w:rPr>
          <w:rFonts w:ascii="Times New Roman" w:hAnsi="Times New Roman" w:cs="Times New Roman"/>
          <w:sz w:val="18"/>
          <w:szCs w:val="18"/>
          <w:lang w:val="lt-LT"/>
        </w:rPr>
      </w:pPr>
    </w:p>
    <w:p w:rsidR="006D2A31" w:rsidRPr="0017614D" w:rsidRDefault="006D2A31" w:rsidP="006D2A31">
      <w:pPr>
        <w:autoSpaceDE w:val="0"/>
        <w:autoSpaceDN w:val="0"/>
        <w:adjustRightInd w:val="0"/>
        <w:spacing w:after="0" w:line="240" w:lineRule="auto"/>
        <w:rPr>
          <w:rFonts w:ascii="Times New Roman" w:hAnsi="Times New Roman" w:cs="Times New Roman"/>
          <w:sz w:val="18"/>
          <w:szCs w:val="18"/>
          <w:lang w:val="lt-LT"/>
        </w:rPr>
      </w:pPr>
    </w:p>
    <w:p w:rsidR="006D2A31" w:rsidRPr="0017614D" w:rsidRDefault="006D2A31" w:rsidP="006D2A31">
      <w:pPr>
        <w:autoSpaceDE w:val="0"/>
        <w:autoSpaceDN w:val="0"/>
        <w:adjustRightInd w:val="0"/>
        <w:spacing w:after="0" w:line="240" w:lineRule="auto"/>
        <w:rPr>
          <w:rFonts w:ascii="Times New Roman" w:hAnsi="Times New Roman" w:cs="Times New Roman"/>
          <w:sz w:val="18"/>
          <w:szCs w:val="18"/>
          <w:lang w:val="lt-LT"/>
        </w:rPr>
      </w:pPr>
    </w:p>
    <w:p w:rsidR="006D2A31" w:rsidRPr="0017614D" w:rsidRDefault="006D2A31" w:rsidP="006D2A31">
      <w:pPr>
        <w:autoSpaceDE w:val="0"/>
        <w:autoSpaceDN w:val="0"/>
        <w:adjustRightInd w:val="0"/>
        <w:spacing w:after="0" w:line="240" w:lineRule="auto"/>
        <w:rPr>
          <w:rFonts w:ascii="Times New Roman" w:hAnsi="Times New Roman" w:cs="Times New Roman"/>
          <w:sz w:val="18"/>
          <w:szCs w:val="18"/>
          <w:lang w:val="lt-LT"/>
        </w:rPr>
      </w:pPr>
    </w:p>
    <w:p w:rsidR="006D2A31" w:rsidRPr="0017614D" w:rsidRDefault="006D2A31" w:rsidP="006D2A31">
      <w:pPr>
        <w:autoSpaceDE w:val="0"/>
        <w:autoSpaceDN w:val="0"/>
        <w:adjustRightInd w:val="0"/>
        <w:spacing w:after="0" w:line="240" w:lineRule="auto"/>
        <w:jc w:val="center"/>
        <w:rPr>
          <w:rFonts w:ascii="Times New Roman" w:hAnsi="Times New Roman" w:cs="Times New Roman"/>
          <w:b/>
          <w:bCs/>
          <w:sz w:val="28"/>
          <w:szCs w:val="28"/>
          <w:lang w:val="lt-LT"/>
        </w:rPr>
      </w:pPr>
      <w:bookmarkStart w:id="1" w:name="_Toc322116012"/>
      <w:bookmarkStart w:id="2" w:name="_Toc322284537"/>
      <w:r w:rsidRPr="0017614D">
        <w:rPr>
          <w:rFonts w:ascii="Times New Roman" w:hAnsi="Times New Roman" w:cs="Times New Roman"/>
          <w:b/>
          <w:bCs/>
          <w:sz w:val="28"/>
          <w:szCs w:val="28"/>
          <w:lang w:val="lt-LT"/>
        </w:rPr>
        <w:t>VILNIUS, 2013</w:t>
      </w:r>
    </w:p>
    <w:p w:rsidR="006D2A31" w:rsidRPr="0017614D" w:rsidRDefault="006D2A31" w:rsidP="006D2A31">
      <w:pPr>
        <w:pStyle w:val="Heading2"/>
        <w:rPr>
          <w:lang w:val="lt-LT"/>
        </w:rPr>
        <w:sectPr w:rsidR="006D2A31" w:rsidRPr="0017614D" w:rsidSect="00387E65">
          <w:pgSz w:w="12240" w:h="15840"/>
          <w:pgMar w:top="1134" w:right="567" w:bottom="1134" w:left="1418" w:header="720" w:footer="720" w:gutter="0"/>
          <w:cols w:space="720"/>
          <w:titlePg/>
          <w:docGrid w:linePitch="360"/>
        </w:sectPr>
      </w:pPr>
      <w:bookmarkStart w:id="3" w:name="_Toc323151223"/>
      <w:bookmarkStart w:id="4" w:name="_Toc323151394"/>
    </w:p>
    <w:p w:rsidR="006D2A31" w:rsidRPr="0017614D" w:rsidRDefault="006D2A31" w:rsidP="006D2A31">
      <w:pPr>
        <w:pStyle w:val="Heading1"/>
        <w:rPr>
          <w:lang w:val="lt-LT"/>
        </w:rPr>
      </w:pPr>
      <w:bookmarkStart w:id="5" w:name="_Toc359261615"/>
      <w:bookmarkStart w:id="6" w:name="_Toc359261676"/>
      <w:bookmarkStart w:id="7" w:name="_Toc359261781"/>
      <w:bookmarkStart w:id="8" w:name="_Toc373011760"/>
      <w:bookmarkStart w:id="9" w:name="_Toc373012463"/>
      <w:bookmarkStart w:id="10" w:name="_Toc373670201"/>
      <w:bookmarkStart w:id="11" w:name="_Toc373682562"/>
      <w:bookmarkStart w:id="12" w:name="_Toc374655641"/>
      <w:r w:rsidRPr="0017614D">
        <w:rPr>
          <w:lang w:val="lt-LT"/>
        </w:rPr>
        <w:lastRenderedPageBreak/>
        <w:t>TURINYS</w:t>
      </w:r>
      <w:bookmarkEnd w:id="1"/>
      <w:bookmarkEnd w:id="2"/>
      <w:bookmarkEnd w:id="3"/>
      <w:bookmarkEnd w:id="4"/>
      <w:bookmarkEnd w:id="5"/>
      <w:bookmarkEnd w:id="6"/>
      <w:bookmarkEnd w:id="7"/>
      <w:bookmarkEnd w:id="8"/>
      <w:bookmarkEnd w:id="9"/>
      <w:bookmarkEnd w:id="10"/>
      <w:bookmarkEnd w:id="11"/>
      <w:bookmarkEnd w:id="12"/>
    </w:p>
    <w:p w:rsidR="003E401B" w:rsidRPr="003E401B" w:rsidRDefault="0020234E" w:rsidP="003E401B">
      <w:pPr>
        <w:pStyle w:val="TOC1"/>
        <w:tabs>
          <w:tab w:val="right" w:leader="dot" w:pos="10196"/>
        </w:tabs>
        <w:rPr>
          <w:rFonts w:ascii="Times New Roman" w:eastAsiaTheme="minorEastAsia" w:hAnsi="Times New Roman" w:cs="Times New Roman"/>
          <w:noProof/>
          <w:sz w:val="24"/>
          <w:szCs w:val="24"/>
        </w:rPr>
      </w:pPr>
      <w:r w:rsidRPr="0017614D">
        <w:rPr>
          <w:rFonts w:ascii="Times New Roman" w:hAnsi="Times New Roman" w:cs="Times New Roman"/>
          <w:sz w:val="24"/>
          <w:szCs w:val="24"/>
          <w:lang w:val="lt-LT"/>
        </w:rPr>
        <w:fldChar w:fldCharType="begin"/>
      </w:r>
      <w:r w:rsidR="006D2A31" w:rsidRPr="0017614D">
        <w:rPr>
          <w:rFonts w:ascii="Times New Roman" w:hAnsi="Times New Roman" w:cs="Times New Roman"/>
          <w:sz w:val="24"/>
          <w:szCs w:val="24"/>
          <w:lang w:val="lt-LT"/>
        </w:rPr>
        <w:instrText xml:space="preserve"> TOC \o "1-4" \h \z \u </w:instrText>
      </w:r>
      <w:r w:rsidRPr="0017614D">
        <w:rPr>
          <w:rFonts w:ascii="Times New Roman" w:hAnsi="Times New Roman" w:cs="Times New Roman"/>
          <w:sz w:val="24"/>
          <w:szCs w:val="24"/>
          <w:lang w:val="lt-LT"/>
        </w:rPr>
        <w:fldChar w:fldCharType="separate"/>
      </w:r>
    </w:p>
    <w:p w:rsidR="003E401B" w:rsidRPr="003E401B" w:rsidRDefault="0020234E">
      <w:pPr>
        <w:pStyle w:val="TOC1"/>
        <w:tabs>
          <w:tab w:val="right" w:leader="dot" w:pos="10196"/>
        </w:tabs>
        <w:rPr>
          <w:rFonts w:ascii="Times New Roman" w:eastAsiaTheme="minorEastAsia" w:hAnsi="Times New Roman" w:cs="Times New Roman"/>
          <w:noProof/>
          <w:sz w:val="24"/>
          <w:szCs w:val="24"/>
        </w:rPr>
      </w:pPr>
      <w:hyperlink w:anchor="_Toc374655644" w:history="1">
        <w:r w:rsidR="003E401B" w:rsidRPr="003E401B">
          <w:rPr>
            <w:rStyle w:val="Hyperlink"/>
            <w:rFonts w:ascii="Times New Roman" w:hAnsi="Times New Roman" w:cs="Times New Roman"/>
            <w:noProof/>
            <w:sz w:val="24"/>
            <w:szCs w:val="24"/>
            <w:lang w:val="lt-LT"/>
          </w:rPr>
          <w:t>ĮVADAS</w:t>
        </w:r>
        <w:r w:rsidR="003E401B" w:rsidRPr="003E401B">
          <w:rPr>
            <w:rFonts w:ascii="Times New Roman" w:hAnsi="Times New Roman" w:cs="Times New Roman"/>
            <w:noProof/>
            <w:webHidden/>
            <w:sz w:val="24"/>
            <w:szCs w:val="24"/>
          </w:rPr>
          <w:tab/>
        </w:r>
        <w:r w:rsidRPr="003E401B">
          <w:rPr>
            <w:rFonts w:ascii="Times New Roman" w:hAnsi="Times New Roman" w:cs="Times New Roman"/>
            <w:noProof/>
            <w:webHidden/>
            <w:sz w:val="24"/>
            <w:szCs w:val="24"/>
          </w:rPr>
          <w:fldChar w:fldCharType="begin"/>
        </w:r>
        <w:r w:rsidR="003E401B" w:rsidRPr="003E401B">
          <w:rPr>
            <w:rFonts w:ascii="Times New Roman" w:hAnsi="Times New Roman" w:cs="Times New Roman"/>
            <w:noProof/>
            <w:webHidden/>
            <w:sz w:val="24"/>
            <w:szCs w:val="24"/>
          </w:rPr>
          <w:instrText xml:space="preserve"> PAGEREF _Toc374655644 \h </w:instrText>
        </w:r>
        <w:r w:rsidRPr="003E401B">
          <w:rPr>
            <w:rFonts w:ascii="Times New Roman" w:hAnsi="Times New Roman" w:cs="Times New Roman"/>
            <w:noProof/>
            <w:webHidden/>
            <w:sz w:val="24"/>
            <w:szCs w:val="24"/>
          </w:rPr>
        </w:r>
        <w:r w:rsidRPr="003E401B">
          <w:rPr>
            <w:rFonts w:ascii="Times New Roman" w:hAnsi="Times New Roman" w:cs="Times New Roman"/>
            <w:noProof/>
            <w:webHidden/>
            <w:sz w:val="24"/>
            <w:szCs w:val="24"/>
          </w:rPr>
          <w:fldChar w:fldCharType="separate"/>
        </w:r>
        <w:r w:rsidR="003C7149">
          <w:rPr>
            <w:rFonts w:ascii="Times New Roman" w:hAnsi="Times New Roman" w:cs="Times New Roman"/>
            <w:noProof/>
            <w:webHidden/>
            <w:sz w:val="24"/>
            <w:szCs w:val="24"/>
          </w:rPr>
          <w:t>6</w:t>
        </w:r>
        <w:r w:rsidRPr="003E401B">
          <w:rPr>
            <w:rFonts w:ascii="Times New Roman" w:hAnsi="Times New Roman" w:cs="Times New Roman"/>
            <w:noProof/>
            <w:webHidden/>
            <w:sz w:val="24"/>
            <w:szCs w:val="24"/>
          </w:rPr>
          <w:fldChar w:fldCharType="end"/>
        </w:r>
      </w:hyperlink>
    </w:p>
    <w:p w:rsidR="003E401B" w:rsidRPr="003E401B" w:rsidRDefault="0020234E">
      <w:pPr>
        <w:pStyle w:val="TOC1"/>
        <w:tabs>
          <w:tab w:val="right" w:leader="dot" w:pos="10196"/>
        </w:tabs>
        <w:rPr>
          <w:rFonts w:ascii="Times New Roman" w:eastAsiaTheme="minorEastAsia" w:hAnsi="Times New Roman" w:cs="Times New Roman"/>
          <w:noProof/>
          <w:sz w:val="24"/>
          <w:szCs w:val="24"/>
        </w:rPr>
      </w:pPr>
      <w:hyperlink w:anchor="_Toc374655645" w:history="1">
        <w:r w:rsidR="003E401B" w:rsidRPr="003E401B">
          <w:rPr>
            <w:rStyle w:val="Hyperlink"/>
            <w:rFonts w:ascii="Times New Roman" w:hAnsi="Times New Roman" w:cs="Times New Roman"/>
            <w:noProof/>
            <w:sz w:val="24"/>
            <w:szCs w:val="24"/>
            <w:lang w:val="lt-LT"/>
          </w:rPr>
          <w:t>1. ĮMONIŲ BANKROTO PROBLEMATIKA BEI PREVENCIJA</w:t>
        </w:r>
        <w:r w:rsidR="003E401B" w:rsidRPr="003E401B">
          <w:rPr>
            <w:rFonts w:ascii="Times New Roman" w:hAnsi="Times New Roman" w:cs="Times New Roman"/>
            <w:noProof/>
            <w:webHidden/>
            <w:sz w:val="24"/>
            <w:szCs w:val="24"/>
          </w:rPr>
          <w:tab/>
        </w:r>
        <w:r w:rsidRPr="003E401B">
          <w:rPr>
            <w:rFonts w:ascii="Times New Roman" w:hAnsi="Times New Roman" w:cs="Times New Roman"/>
            <w:noProof/>
            <w:webHidden/>
            <w:sz w:val="24"/>
            <w:szCs w:val="24"/>
          </w:rPr>
          <w:fldChar w:fldCharType="begin"/>
        </w:r>
        <w:r w:rsidR="003E401B" w:rsidRPr="003E401B">
          <w:rPr>
            <w:rFonts w:ascii="Times New Roman" w:hAnsi="Times New Roman" w:cs="Times New Roman"/>
            <w:noProof/>
            <w:webHidden/>
            <w:sz w:val="24"/>
            <w:szCs w:val="24"/>
          </w:rPr>
          <w:instrText xml:space="preserve"> PAGEREF _Toc374655645 \h </w:instrText>
        </w:r>
        <w:r w:rsidRPr="003E401B">
          <w:rPr>
            <w:rFonts w:ascii="Times New Roman" w:hAnsi="Times New Roman" w:cs="Times New Roman"/>
            <w:noProof/>
            <w:webHidden/>
            <w:sz w:val="24"/>
            <w:szCs w:val="24"/>
          </w:rPr>
        </w:r>
        <w:r w:rsidRPr="003E401B">
          <w:rPr>
            <w:rFonts w:ascii="Times New Roman" w:hAnsi="Times New Roman" w:cs="Times New Roman"/>
            <w:noProof/>
            <w:webHidden/>
            <w:sz w:val="24"/>
            <w:szCs w:val="24"/>
          </w:rPr>
          <w:fldChar w:fldCharType="separate"/>
        </w:r>
        <w:r w:rsidR="003C7149">
          <w:rPr>
            <w:rFonts w:ascii="Times New Roman" w:hAnsi="Times New Roman" w:cs="Times New Roman"/>
            <w:noProof/>
            <w:webHidden/>
            <w:sz w:val="24"/>
            <w:szCs w:val="24"/>
          </w:rPr>
          <w:t>9</w:t>
        </w:r>
        <w:r w:rsidRPr="003E401B">
          <w:rPr>
            <w:rFonts w:ascii="Times New Roman" w:hAnsi="Times New Roman" w:cs="Times New Roman"/>
            <w:noProof/>
            <w:webHidden/>
            <w:sz w:val="24"/>
            <w:szCs w:val="24"/>
          </w:rPr>
          <w:fldChar w:fldCharType="end"/>
        </w:r>
      </w:hyperlink>
    </w:p>
    <w:p w:rsidR="003E401B" w:rsidRPr="003E401B" w:rsidRDefault="0020234E">
      <w:pPr>
        <w:pStyle w:val="TOC2"/>
        <w:tabs>
          <w:tab w:val="right" w:leader="dot" w:pos="10196"/>
        </w:tabs>
        <w:rPr>
          <w:rFonts w:ascii="Times New Roman" w:eastAsiaTheme="minorEastAsia" w:hAnsi="Times New Roman" w:cs="Times New Roman"/>
          <w:noProof/>
          <w:sz w:val="24"/>
          <w:szCs w:val="24"/>
        </w:rPr>
      </w:pPr>
      <w:hyperlink w:anchor="_Toc374655646" w:history="1">
        <w:r w:rsidR="003E401B" w:rsidRPr="003E401B">
          <w:rPr>
            <w:rStyle w:val="Hyperlink"/>
            <w:rFonts w:ascii="Times New Roman" w:hAnsi="Times New Roman" w:cs="Times New Roman"/>
            <w:noProof/>
            <w:sz w:val="24"/>
            <w:szCs w:val="24"/>
            <w:lang w:val="lt-LT"/>
          </w:rPr>
          <w:t>1.1. Įmonių bankroto teoriniai aspektai</w:t>
        </w:r>
        <w:r w:rsidR="003E401B" w:rsidRPr="003E401B">
          <w:rPr>
            <w:rFonts w:ascii="Times New Roman" w:hAnsi="Times New Roman" w:cs="Times New Roman"/>
            <w:noProof/>
            <w:webHidden/>
            <w:sz w:val="24"/>
            <w:szCs w:val="24"/>
          </w:rPr>
          <w:tab/>
        </w:r>
        <w:r w:rsidRPr="003E401B">
          <w:rPr>
            <w:rFonts w:ascii="Times New Roman" w:hAnsi="Times New Roman" w:cs="Times New Roman"/>
            <w:noProof/>
            <w:webHidden/>
            <w:sz w:val="24"/>
            <w:szCs w:val="24"/>
          </w:rPr>
          <w:fldChar w:fldCharType="begin"/>
        </w:r>
        <w:r w:rsidR="003E401B" w:rsidRPr="003E401B">
          <w:rPr>
            <w:rFonts w:ascii="Times New Roman" w:hAnsi="Times New Roman" w:cs="Times New Roman"/>
            <w:noProof/>
            <w:webHidden/>
            <w:sz w:val="24"/>
            <w:szCs w:val="24"/>
          </w:rPr>
          <w:instrText xml:space="preserve"> PAGEREF _Toc374655646 \h </w:instrText>
        </w:r>
        <w:r w:rsidRPr="003E401B">
          <w:rPr>
            <w:rFonts w:ascii="Times New Roman" w:hAnsi="Times New Roman" w:cs="Times New Roman"/>
            <w:noProof/>
            <w:webHidden/>
            <w:sz w:val="24"/>
            <w:szCs w:val="24"/>
          </w:rPr>
        </w:r>
        <w:r w:rsidRPr="003E401B">
          <w:rPr>
            <w:rFonts w:ascii="Times New Roman" w:hAnsi="Times New Roman" w:cs="Times New Roman"/>
            <w:noProof/>
            <w:webHidden/>
            <w:sz w:val="24"/>
            <w:szCs w:val="24"/>
          </w:rPr>
          <w:fldChar w:fldCharType="separate"/>
        </w:r>
        <w:r w:rsidR="003C7149">
          <w:rPr>
            <w:rFonts w:ascii="Times New Roman" w:hAnsi="Times New Roman" w:cs="Times New Roman"/>
            <w:noProof/>
            <w:webHidden/>
            <w:sz w:val="24"/>
            <w:szCs w:val="24"/>
          </w:rPr>
          <w:t>9</w:t>
        </w:r>
        <w:r w:rsidRPr="003E401B">
          <w:rPr>
            <w:rFonts w:ascii="Times New Roman" w:hAnsi="Times New Roman" w:cs="Times New Roman"/>
            <w:noProof/>
            <w:webHidden/>
            <w:sz w:val="24"/>
            <w:szCs w:val="24"/>
          </w:rPr>
          <w:fldChar w:fldCharType="end"/>
        </w:r>
      </w:hyperlink>
    </w:p>
    <w:p w:rsidR="003E401B" w:rsidRPr="003E401B" w:rsidRDefault="0020234E">
      <w:pPr>
        <w:pStyle w:val="TOC3"/>
        <w:tabs>
          <w:tab w:val="right" w:leader="dot" w:pos="10196"/>
        </w:tabs>
        <w:rPr>
          <w:rFonts w:ascii="Times New Roman" w:eastAsiaTheme="minorEastAsia" w:hAnsi="Times New Roman" w:cs="Times New Roman"/>
          <w:noProof/>
          <w:sz w:val="24"/>
          <w:szCs w:val="24"/>
        </w:rPr>
      </w:pPr>
      <w:hyperlink w:anchor="_Toc374655647" w:history="1">
        <w:r w:rsidR="003E401B" w:rsidRPr="003E401B">
          <w:rPr>
            <w:rStyle w:val="Hyperlink"/>
            <w:rFonts w:ascii="Times New Roman" w:hAnsi="Times New Roman" w:cs="Times New Roman"/>
            <w:noProof/>
            <w:sz w:val="24"/>
            <w:szCs w:val="24"/>
            <w:lang w:val="lt-LT"/>
          </w:rPr>
          <w:t>1.1.1. Įmonių bankroto kaip ekonominio reiškinio esmė</w:t>
        </w:r>
        <w:r w:rsidR="003E401B" w:rsidRPr="003E401B">
          <w:rPr>
            <w:rFonts w:ascii="Times New Roman" w:hAnsi="Times New Roman" w:cs="Times New Roman"/>
            <w:noProof/>
            <w:webHidden/>
            <w:sz w:val="24"/>
            <w:szCs w:val="24"/>
          </w:rPr>
          <w:tab/>
        </w:r>
        <w:r w:rsidRPr="003E401B">
          <w:rPr>
            <w:rFonts w:ascii="Times New Roman" w:hAnsi="Times New Roman" w:cs="Times New Roman"/>
            <w:noProof/>
            <w:webHidden/>
            <w:sz w:val="24"/>
            <w:szCs w:val="24"/>
          </w:rPr>
          <w:fldChar w:fldCharType="begin"/>
        </w:r>
        <w:r w:rsidR="003E401B" w:rsidRPr="003E401B">
          <w:rPr>
            <w:rFonts w:ascii="Times New Roman" w:hAnsi="Times New Roman" w:cs="Times New Roman"/>
            <w:noProof/>
            <w:webHidden/>
            <w:sz w:val="24"/>
            <w:szCs w:val="24"/>
          </w:rPr>
          <w:instrText xml:space="preserve"> PAGEREF _Toc374655647 \h </w:instrText>
        </w:r>
        <w:r w:rsidRPr="003E401B">
          <w:rPr>
            <w:rFonts w:ascii="Times New Roman" w:hAnsi="Times New Roman" w:cs="Times New Roman"/>
            <w:noProof/>
            <w:webHidden/>
            <w:sz w:val="24"/>
            <w:szCs w:val="24"/>
          </w:rPr>
        </w:r>
        <w:r w:rsidRPr="003E401B">
          <w:rPr>
            <w:rFonts w:ascii="Times New Roman" w:hAnsi="Times New Roman" w:cs="Times New Roman"/>
            <w:noProof/>
            <w:webHidden/>
            <w:sz w:val="24"/>
            <w:szCs w:val="24"/>
          </w:rPr>
          <w:fldChar w:fldCharType="separate"/>
        </w:r>
        <w:r w:rsidR="003C7149">
          <w:rPr>
            <w:rFonts w:ascii="Times New Roman" w:hAnsi="Times New Roman" w:cs="Times New Roman"/>
            <w:noProof/>
            <w:webHidden/>
            <w:sz w:val="24"/>
            <w:szCs w:val="24"/>
          </w:rPr>
          <w:t>9</w:t>
        </w:r>
        <w:r w:rsidRPr="003E401B">
          <w:rPr>
            <w:rFonts w:ascii="Times New Roman" w:hAnsi="Times New Roman" w:cs="Times New Roman"/>
            <w:noProof/>
            <w:webHidden/>
            <w:sz w:val="24"/>
            <w:szCs w:val="24"/>
          </w:rPr>
          <w:fldChar w:fldCharType="end"/>
        </w:r>
      </w:hyperlink>
    </w:p>
    <w:p w:rsidR="003E401B" w:rsidRPr="003E401B" w:rsidRDefault="0020234E">
      <w:pPr>
        <w:pStyle w:val="TOC3"/>
        <w:tabs>
          <w:tab w:val="right" w:leader="dot" w:pos="10196"/>
        </w:tabs>
        <w:rPr>
          <w:rFonts w:ascii="Times New Roman" w:eastAsiaTheme="minorEastAsia" w:hAnsi="Times New Roman" w:cs="Times New Roman"/>
          <w:noProof/>
          <w:sz w:val="24"/>
          <w:szCs w:val="24"/>
        </w:rPr>
      </w:pPr>
      <w:hyperlink w:anchor="_Toc374655648" w:history="1">
        <w:r w:rsidR="003E401B" w:rsidRPr="003E401B">
          <w:rPr>
            <w:rStyle w:val="Hyperlink"/>
            <w:rFonts w:ascii="Times New Roman" w:hAnsi="Times New Roman" w:cs="Times New Roman"/>
            <w:noProof/>
            <w:sz w:val="24"/>
            <w:szCs w:val="24"/>
            <w:lang w:val="lt-LT"/>
          </w:rPr>
          <w:t>1.1.2. Įmonių bankrotą sąlygojantys veiksniai</w:t>
        </w:r>
        <w:r w:rsidR="003E401B" w:rsidRPr="003E401B">
          <w:rPr>
            <w:rFonts w:ascii="Times New Roman" w:hAnsi="Times New Roman" w:cs="Times New Roman"/>
            <w:noProof/>
            <w:webHidden/>
            <w:sz w:val="24"/>
            <w:szCs w:val="24"/>
          </w:rPr>
          <w:tab/>
        </w:r>
        <w:r w:rsidRPr="003E401B">
          <w:rPr>
            <w:rFonts w:ascii="Times New Roman" w:hAnsi="Times New Roman" w:cs="Times New Roman"/>
            <w:noProof/>
            <w:webHidden/>
            <w:sz w:val="24"/>
            <w:szCs w:val="24"/>
          </w:rPr>
          <w:fldChar w:fldCharType="begin"/>
        </w:r>
        <w:r w:rsidR="003E401B" w:rsidRPr="003E401B">
          <w:rPr>
            <w:rFonts w:ascii="Times New Roman" w:hAnsi="Times New Roman" w:cs="Times New Roman"/>
            <w:noProof/>
            <w:webHidden/>
            <w:sz w:val="24"/>
            <w:szCs w:val="24"/>
          </w:rPr>
          <w:instrText xml:space="preserve"> PAGEREF _Toc374655648 \h </w:instrText>
        </w:r>
        <w:r w:rsidRPr="003E401B">
          <w:rPr>
            <w:rFonts w:ascii="Times New Roman" w:hAnsi="Times New Roman" w:cs="Times New Roman"/>
            <w:noProof/>
            <w:webHidden/>
            <w:sz w:val="24"/>
            <w:szCs w:val="24"/>
          </w:rPr>
        </w:r>
        <w:r w:rsidRPr="003E401B">
          <w:rPr>
            <w:rFonts w:ascii="Times New Roman" w:hAnsi="Times New Roman" w:cs="Times New Roman"/>
            <w:noProof/>
            <w:webHidden/>
            <w:sz w:val="24"/>
            <w:szCs w:val="24"/>
          </w:rPr>
          <w:fldChar w:fldCharType="separate"/>
        </w:r>
        <w:r w:rsidR="003C7149">
          <w:rPr>
            <w:rFonts w:ascii="Times New Roman" w:hAnsi="Times New Roman" w:cs="Times New Roman"/>
            <w:noProof/>
            <w:webHidden/>
            <w:sz w:val="24"/>
            <w:szCs w:val="24"/>
          </w:rPr>
          <w:t>13</w:t>
        </w:r>
        <w:r w:rsidRPr="003E401B">
          <w:rPr>
            <w:rFonts w:ascii="Times New Roman" w:hAnsi="Times New Roman" w:cs="Times New Roman"/>
            <w:noProof/>
            <w:webHidden/>
            <w:sz w:val="24"/>
            <w:szCs w:val="24"/>
          </w:rPr>
          <w:fldChar w:fldCharType="end"/>
        </w:r>
      </w:hyperlink>
    </w:p>
    <w:p w:rsidR="003E401B" w:rsidRPr="003E401B" w:rsidRDefault="0020234E">
      <w:pPr>
        <w:pStyle w:val="TOC3"/>
        <w:tabs>
          <w:tab w:val="right" w:leader="dot" w:pos="10196"/>
        </w:tabs>
        <w:rPr>
          <w:rFonts w:ascii="Times New Roman" w:eastAsiaTheme="minorEastAsia" w:hAnsi="Times New Roman" w:cs="Times New Roman"/>
          <w:noProof/>
          <w:sz w:val="24"/>
          <w:szCs w:val="24"/>
        </w:rPr>
      </w:pPr>
      <w:hyperlink w:anchor="_Toc374655649" w:history="1">
        <w:r w:rsidR="003E401B" w:rsidRPr="003E401B">
          <w:rPr>
            <w:rStyle w:val="Hyperlink"/>
            <w:rFonts w:ascii="Times New Roman" w:hAnsi="Times New Roman" w:cs="Times New Roman"/>
            <w:noProof/>
            <w:sz w:val="24"/>
            <w:szCs w:val="24"/>
            <w:lang w:val="lt-LT"/>
          </w:rPr>
          <w:t>1.1.3. Imonių bankroto požymiai</w:t>
        </w:r>
        <w:r w:rsidR="003E401B" w:rsidRPr="003E401B">
          <w:rPr>
            <w:rFonts w:ascii="Times New Roman" w:hAnsi="Times New Roman" w:cs="Times New Roman"/>
            <w:noProof/>
            <w:webHidden/>
            <w:sz w:val="24"/>
            <w:szCs w:val="24"/>
          </w:rPr>
          <w:tab/>
        </w:r>
        <w:r w:rsidRPr="003E401B">
          <w:rPr>
            <w:rFonts w:ascii="Times New Roman" w:hAnsi="Times New Roman" w:cs="Times New Roman"/>
            <w:noProof/>
            <w:webHidden/>
            <w:sz w:val="24"/>
            <w:szCs w:val="24"/>
          </w:rPr>
          <w:fldChar w:fldCharType="begin"/>
        </w:r>
        <w:r w:rsidR="003E401B" w:rsidRPr="003E401B">
          <w:rPr>
            <w:rFonts w:ascii="Times New Roman" w:hAnsi="Times New Roman" w:cs="Times New Roman"/>
            <w:noProof/>
            <w:webHidden/>
            <w:sz w:val="24"/>
            <w:szCs w:val="24"/>
          </w:rPr>
          <w:instrText xml:space="preserve"> PAGEREF _Toc374655649 \h </w:instrText>
        </w:r>
        <w:r w:rsidRPr="003E401B">
          <w:rPr>
            <w:rFonts w:ascii="Times New Roman" w:hAnsi="Times New Roman" w:cs="Times New Roman"/>
            <w:noProof/>
            <w:webHidden/>
            <w:sz w:val="24"/>
            <w:szCs w:val="24"/>
          </w:rPr>
        </w:r>
        <w:r w:rsidRPr="003E401B">
          <w:rPr>
            <w:rFonts w:ascii="Times New Roman" w:hAnsi="Times New Roman" w:cs="Times New Roman"/>
            <w:noProof/>
            <w:webHidden/>
            <w:sz w:val="24"/>
            <w:szCs w:val="24"/>
          </w:rPr>
          <w:fldChar w:fldCharType="separate"/>
        </w:r>
        <w:r w:rsidR="003C7149">
          <w:rPr>
            <w:rFonts w:ascii="Times New Roman" w:hAnsi="Times New Roman" w:cs="Times New Roman"/>
            <w:noProof/>
            <w:webHidden/>
            <w:sz w:val="24"/>
            <w:szCs w:val="24"/>
          </w:rPr>
          <w:t>18</w:t>
        </w:r>
        <w:r w:rsidRPr="003E401B">
          <w:rPr>
            <w:rFonts w:ascii="Times New Roman" w:hAnsi="Times New Roman" w:cs="Times New Roman"/>
            <w:noProof/>
            <w:webHidden/>
            <w:sz w:val="24"/>
            <w:szCs w:val="24"/>
          </w:rPr>
          <w:fldChar w:fldCharType="end"/>
        </w:r>
      </w:hyperlink>
    </w:p>
    <w:p w:rsidR="003E401B" w:rsidRPr="003E401B" w:rsidRDefault="0020234E">
      <w:pPr>
        <w:pStyle w:val="TOC3"/>
        <w:tabs>
          <w:tab w:val="right" w:leader="dot" w:pos="10196"/>
        </w:tabs>
        <w:rPr>
          <w:rFonts w:ascii="Times New Roman" w:eastAsiaTheme="minorEastAsia" w:hAnsi="Times New Roman" w:cs="Times New Roman"/>
          <w:noProof/>
          <w:sz w:val="24"/>
          <w:szCs w:val="24"/>
        </w:rPr>
      </w:pPr>
      <w:hyperlink w:anchor="_Toc374655650" w:history="1">
        <w:r w:rsidR="003E401B" w:rsidRPr="003E401B">
          <w:rPr>
            <w:rStyle w:val="Hyperlink"/>
            <w:rFonts w:ascii="Times New Roman" w:hAnsi="Times New Roman" w:cs="Times New Roman"/>
            <w:noProof/>
            <w:sz w:val="24"/>
            <w:szCs w:val="24"/>
            <w:lang w:val="lt-LT"/>
          </w:rPr>
          <w:t>1.1.4. Įmonių bankroto pasekmės šalies ūkiui</w:t>
        </w:r>
        <w:r w:rsidR="003E401B" w:rsidRPr="003E401B">
          <w:rPr>
            <w:rFonts w:ascii="Times New Roman" w:hAnsi="Times New Roman" w:cs="Times New Roman"/>
            <w:noProof/>
            <w:webHidden/>
            <w:sz w:val="24"/>
            <w:szCs w:val="24"/>
          </w:rPr>
          <w:tab/>
        </w:r>
        <w:r w:rsidRPr="003E401B">
          <w:rPr>
            <w:rFonts w:ascii="Times New Roman" w:hAnsi="Times New Roman" w:cs="Times New Roman"/>
            <w:noProof/>
            <w:webHidden/>
            <w:sz w:val="24"/>
            <w:szCs w:val="24"/>
          </w:rPr>
          <w:fldChar w:fldCharType="begin"/>
        </w:r>
        <w:r w:rsidR="003E401B" w:rsidRPr="003E401B">
          <w:rPr>
            <w:rFonts w:ascii="Times New Roman" w:hAnsi="Times New Roman" w:cs="Times New Roman"/>
            <w:noProof/>
            <w:webHidden/>
            <w:sz w:val="24"/>
            <w:szCs w:val="24"/>
          </w:rPr>
          <w:instrText xml:space="preserve"> PAGEREF _Toc374655650 \h </w:instrText>
        </w:r>
        <w:r w:rsidRPr="003E401B">
          <w:rPr>
            <w:rFonts w:ascii="Times New Roman" w:hAnsi="Times New Roman" w:cs="Times New Roman"/>
            <w:noProof/>
            <w:webHidden/>
            <w:sz w:val="24"/>
            <w:szCs w:val="24"/>
          </w:rPr>
        </w:r>
        <w:r w:rsidRPr="003E401B">
          <w:rPr>
            <w:rFonts w:ascii="Times New Roman" w:hAnsi="Times New Roman" w:cs="Times New Roman"/>
            <w:noProof/>
            <w:webHidden/>
            <w:sz w:val="24"/>
            <w:szCs w:val="24"/>
          </w:rPr>
          <w:fldChar w:fldCharType="separate"/>
        </w:r>
        <w:r w:rsidR="003C7149">
          <w:rPr>
            <w:rFonts w:ascii="Times New Roman" w:hAnsi="Times New Roman" w:cs="Times New Roman"/>
            <w:noProof/>
            <w:webHidden/>
            <w:sz w:val="24"/>
            <w:szCs w:val="24"/>
          </w:rPr>
          <w:t>20</w:t>
        </w:r>
        <w:r w:rsidRPr="003E401B">
          <w:rPr>
            <w:rFonts w:ascii="Times New Roman" w:hAnsi="Times New Roman" w:cs="Times New Roman"/>
            <w:noProof/>
            <w:webHidden/>
            <w:sz w:val="24"/>
            <w:szCs w:val="24"/>
          </w:rPr>
          <w:fldChar w:fldCharType="end"/>
        </w:r>
      </w:hyperlink>
    </w:p>
    <w:p w:rsidR="003E401B" w:rsidRPr="003E401B" w:rsidRDefault="0020234E">
      <w:pPr>
        <w:pStyle w:val="TOC2"/>
        <w:tabs>
          <w:tab w:val="right" w:leader="dot" w:pos="10196"/>
        </w:tabs>
        <w:rPr>
          <w:rFonts w:ascii="Times New Roman" w:eastAsiaTheme="minorEastAsia" w:hAnsi="Times New Roman" w:cs="Times New Roman"/>
          <w:noProof/>
          <w:sz w:val="24"/>
          <w:szCs w:val="24"/>
        </w:rPr>
      </w:pPr>
      <w:hyperlink w:anchor="_Toc374655651" w:history="1">
        <w:r w:rsidR="003E401B" w:rsidRPr="003E401B">
          <w:rPr>
            <w:rStyle w:val="Hyperlink"/>
            <w:rFonts w:ascii="Times New Roman" w:hAnsi="Times New Roman" w:cs="Times New Roman"/>
            <w:noProof/>
            <w:sz w:val="24"/>
            <w:szCs w:val="24"/>
            <w:lang w:val="lt-LT"/>
          </w:rPr>
          <w:t>1.2. Įmonių bankroto prevencija</w:t>
        </w:r>
        <w:r w:rsidR="003E401B" w:rsidRPr="003E401B">
          <w:rPr>
            <w:rFonts w:ascii="Times New Roman" w:hAnsi="Times New Roman" w:cs="Times New Roman"/>
            <w:noProof/>
            <w:webHidden/>
            <w:sz w:val="24"/>
            <w:szCs w:val="24"/>
          </w:rPr>
          <w:tab/>
        </w:r>
        <w:r w:rsidRPr="003E401B">
          <w:rPr>
            <w:rFonts w:ascii="Times New Roman" w:hAnsi="Times New Roman" w:cs="Times New Roman"/>
            <w:noProof/>
            <w:webHidden/>
            <w:sz w:val="24"/>
            <w:szCs w:val="24"/>
          </w:rPr>
          <w:fldChar w:fldCharType="begin"/>
        </w:r>
        <w:r w:rsidR="003E401B" w:rsidRPr="003E401B">
          <w:rPr>
            <w:rFonts w:ascii="Times New Roman" w:hAnsi="Times New Roman" w:cs="Times New Roman"/>
            <w:noProof/>
            <w:webHidden/>
            <w:sz w:val="24"/>
            <w:szCs w:val="24"/>
          </w:rPr>
          <w:instrText xml:space="preserve"> PAGEREF _Toc374655651 \h </w:instrText>
        </w:r>
        <w:r w:rsidRPr="003E401B">
          <w:rPr>
            <w:rFonts w:ascii="Times New Roman" w:hAnsi="Times New Roman" w:cs="Times New Roman"/>
            <w:noProof/>
            <w:webHidden/>
            <w:sz w:val="24"/>
            <w:szCs w:val="24"/>
          </w:rPr>
        </w:r>
        <w:r w:rsidRPr="003E401B">
          <w:rPr>
            <w:rFonts w:ascii="Times New Roman" w:hAnsi="Times New Roman" w:cs="Times New Roman"/>
            <w:noProof/>
            <w:webHidden/>
            <w:sz w:val="24"/>
            <w:szCs w:val="24"/>
          </w:rPr>
          <w:fldChar w:fldCharType="separate"/>
        </w:r>
        <w:r w:rsidR="003C7149">
          <w:rPr>
            <w:rFonts w:ascii="Times New Roman" w:hAnsi="Times New Roman" w:cs="Times New Roman"/>
            <w:noProof/>
            <w:webHidden/>
            <w:sz w:val="24"/>
            <w:szCs w:val="24"/>
          </w:rPr>
          <w:t>23</w:t>
        </w:r>
        <w:r w:rsidRPr="003E401B">
          <w:rPr>
            <w:rFonts w:ascii="Times New Roman" w:hAnsi="Times New Roman" w:cs="Times New Roman"/>
            <w:noProof/>
            <w:webHidden/>
            <w:sz w:val="24"/>
            <w:szCs w:val="24"/>
          </w:rPr>
          <w:fldChar w:fldCharType="end"/>
        </w:r>
      </w:hyperlink>
    </w:p>
    <w:p w:rsidR="003E401B" w:rsidRPr="003E401B" w:rsidRDefault="0020234E">
      <w:pPr>
        <w:pStyle w:val="TOC3"/>
        <w:tabs>
          <w:tab w:val="right" w:leader="dot" w:pos="10196"/>
        </w:tabs>
        <w:rPr>
          <w:rFonts w:ascii="Times New Roman" w:eastAsiaTheme="minorEastAsia" w:hAnsi="Times New Roman" w:cs="Times New Roman"/>
          <w:noProof/>
          <w:sz w:val="24"/>
          <w:szCs w:val="24"/>
        </w:rPr>
      </w:pPr>
      <w:hyperlink w:anchor="_Toc374655652" w:history="1">
        <w:r w:rsidR="003E401B" w:rsidRPr="003E401B">
          <w:rPr>
            <w:rStyle w:val="Hyperlink"/>
            <w:rFonts w:ascii="Times New Roman" w:hAnsi="Times New Roman" w:cs="Times New Roman"/>
            <w:noProof/>
            <w:sz w:val="24"/>
            <w:szCs w:val="24"/>
            <w:lang w:val="lt-LT"/>
          </w:rPr>
          <w:t>1.2.1. Įmonių bankroto prevencijos būtinumas</w:t>
        </w:r>
        <w:r w:rsidR="003E401B" w:rsidRPr="003E401B">
          <w:rPr>
            <w:rFonts w:ascii="Times New Roman" w:hAnsi="Times New Roman" w:cs="Times New Roman"/>
            <w:noProof/>
            <w:webHidden/>
            <w:sz w:val="24"/>
            <w:szCs w:val="24"/>
          </w:rPr>
          <w:tab/>
        </w:r>
        <w:r w:rsidRPr="003E401B">
          <w:rPr>
            <w:rFonts w:ascii="Times New Roman" w:hAnsi="Times New Roman" w:cs="Times New Roman"/>
            <w:noProof/>
            <w:webHidden/>
            <w:sz w:val="24"/>
            <w:szCs w:val="24"/>
          </w:rPr>
          <w:fldChar w:fldCharType="begin"/>
        </w:r>
        <w:r w:rsidR="003E401B" w:rsidRPr="003E401B">
          <w:rPr>
            <w:rFonts w:ascii="Times New Roman" w:hAnsi="Times New Roman" w:cs="Times New Roman"/>
            <w:noProof/>
            <w:webHidden/>
            <w:sz w:val="24"/>
            <w:szCs w:val="24"/>
          </w:rPr>
          <w:instrText xml:space="preserve"> PAGEREF _Toc374655652 \h </w:instrText>
        </w:r>
        <w:r w:rsidRPr="003E401B">
          <w:rPr>
            <w:rFonts w:ascii="Times New Roman" w:hAnsi="Times New Roman" w:cs="Times New Roman"/>
            <w:noProof/>
            <w:webHidden/>
            <w:sz w:val="24"/>
            <w:szCs w:val="24"/>
          </w:rPr>
        </w:r>
        <w:r w:rsidRPr="003E401B">
          <w:rPr>
            <w:rFonts w:ascii="Times New Roman" w:hAnsi="Times New Roman" w:cs="Times New Roman"/>
            <w:noProof/>
            <w:webHidden/>
            <w:sz w:val="24"/>
            <w:szCs w:val="24"/>
          </w:rPr>
          <w:fldChar w:fldCharType="separate"/>
        </w:r>
        <w:r w:rsidR="003C7149">
          <w:rPr>
            <w:rFonts w:ascii="Times New Roman" w:hAnsi="Times New Roman" w:cs="Times New Roman"/>
            <w:noProof/>
            <w:webHidden/>
            <w:sz w:val="24"/>
            <w:szCs w:val="24"/>
          </w:rPr>
          <w:t>23</w:t>
        </w:r>
        <w:r w:rsidRPr="003E401B">
          <w:rPr>
            <w:rFonts w:ascii="Times New Roman" w:hAnsi="Times New Roman" w:cs="Times New Roman"/>
            <w:noProof/>
            <w:webHidden/>
            <w:sz w:val="24"/>
            <w:szCs w:val="24"/>
          </w:rPr>
          <w:fldChar w:fldCharType="end"/>
        </w:r>
      </w:hyperlink>
    </w:p>
    <w:p w:rsidR="003E401B" w:rsidRPr="003E401B" w:rsidRDefault="0020234E">
      <w:pPr>
        <w:pStyle w:val="TOC3"/>
        <w:tabs>
          <w:tab w:val="right" w:leader="dot" w:pos="10196"/>
        </w:tabs>
        <w:rPr>
          <w:rFonts w:ascii="Times New Roman" w:eastAsiaTheme="minorEastAsia" w:hAnsi="Times New Roman" w:cs="Times New Roman"/>
          <w:noProof/>
          <w:sz w:val="24"/>
          <w:szCs w:val="24"/>
        </w:rPr>
      </w:pPr>
      <w:hyperlink w:anchor="_Toc374655653" w:history="1">
        <w:r w:rsidR="003E401B" w:rsidRPr="003E401B">
          <w:rPr>
            <w:rStyle w:val="Hyperlink"/>
            <w:rFonts w:ascii="Times New Roman" w:hAnsi="Times New Roman" w:cs="Times New Roman"/>
            <w:noProof/>
            <w:sz w:val="24"/>
            <w:szCs w:val="24"/>
            <w:lang w:val="lt-LT"/>
          </w:rPr>
          <w:t>1.2.2. Įmonių bankroto prevencijos sistema</w:t>
        </w:r>
        <w:r w:rsidR="003E401B" w:rsidRPr="003E401B">
          <w:rPr>
            <w:rFonts w:ascii="Times New Roman" w:hAnsi="Times New Roman" w:cs="Times New Roman"/>
            <w:noProof/>
            <w:webHidden/>
            <w:sz w:val="24"/>
            <w:szCs w:val="24"/>
          </w:rPr>
          <w:tab/>
        </w:r>
        <w:r w:rsidRPr="003E401B">
          <w:rPr>
            <w:rFonts w:ascii="Times New Roman" w:hAnsi="Times New Roman" w:cs="Times New Roman"/>
            <w:noProof/>
            <w:webHidden/>
            <w:sz w:val="24"/>
            <w:szCs w:val="24"/>
          </w:rPr>
          <w:fldChar w:fldCharType="begin"/>
        </w:r>
        <w:r w:rsidR="003E401B" w:rsidRPr="003E401B">
          <w:rPr>
            <w:rFonts w:ascii="Times New Roman" w:hAnsi="Times New Roman" w:cs="Times New Roman"/>
            <w:noProof/>
            <w:webHidden/>
            <w:sz w:val="24"/>
            <w:szCs w:val="24"/>
          </w:rPr>
          <w:instrText xml:space="preserve"> PAGEREF _Toc374655653 \h </w:instrText>
        </w:r>
        <w:r w:rsidRPr="003E401B">
          <w:rPr>
            <w:rFonts w:ascii="Times New Roman" w:hAnsi="Times New Roman" w:cs="Times New Roman"/>
            <w:noProof/>
            <w:webHidden/>
            <w:sz w:val="24"/>
            <w:szCs w:val="24"/>
          </w:rPr>
        </w:r>
        <w:r w:rsidRPr="003E401B">
          <w:rPr>
            <w:rFonts w:ascii="Times New Roman" w:hAnsi="Times New Roman" w:cs="Times New Roman"/>
            <w:noProof/>
            <w:webHidden/>
            <w:sz w:val="24"/>
            <w:szCs w:val="24"/>
          </w:rPr>
          <w:fldChar w:fldCharType="separate"/>
        </w:r>
        <w:r w:rsidR="003C7149">
          <w:rPr>
            <w:rFonts w:ascii="Times New Roman" w:hAnsi="Times New Roman" w:cs="Times New Roman"/>
            <w:noProof/>
            <w:webHidden/>
            <w:sz w:val="24"/>
            <w:szCs w:val="24"/>
          </w:rPr>
          <w:t>29</w:t>
        </w:r>
        <w:r w:rsidRPr="003E401B">
          <w:rPr>
            <w:rFonts w:ascii="Times New Roman" w:hAnsi="Times New Roman" w:cs="Times New Roman"/>
            <w:noProof/>
            <w:webHidden/>
            <w:sz w:val="24"/>
            <w:szCs w:val="24"/>
          </w:rPr>
          <w:fldChar w:fldCharType="end"/>
        </w:r>
      </w:hyperlink>
    </w:p>
    <w:p w:rsidR="003E401B" w:rsidRPr="003E401B" w:rsidRDefault="0020234E">
      <w:pPr>
        <w:pStyle w:val="TOC1"/>
        <w:tabs>
          <w:tab w:val="right" w:leader="dot" w:pos="10196"/>
        </w:tabs>
        <w:rPr>
          <w:rFonts w:ascii="Times New Roman" w:eastAsiaTheme="minorEastAsia" w:hAnsi="Times New Roman" w:cs="Times New Roman"/>
          <w:noProof/>
          <w:sz w:val="24"/>
          <w:szCs w:val="24"/>
        </w:rPr>
      </w:pPr>
      <w:hyperlink w:anchor="_Toc374655654" w:history="1">
        <w:r w:rsidR="003E401B" w:rsidRPr="003E401B">
          <w:rPr>
            <w:rStyle w:val="Hyperlink"/>
            <w:rFonts w:ascii="Times New Roman" w:hAnsi="Times New Roman" w:cs="Times New Roman"/>
            <w:noProof/>
            <w:sz w:val="24"/>
            <w:szCs w:val="24"/>
            <w:lang w:val="lt-LT"/>
          </w:rPr>
          <w:t>2. KOMPLEKSINĖ BANKROTO GRĖSMĖS DIAGNOZAVIMO METODIKA</w:t>
        </w:r>
        <w:r w:rsidR="003E401B" w:rsidRPr="003E401B">
          <w:rPr>
            <w:rFonts w:ascii="Times New Roman" w:hAnsi="Times New Roman" w:cs="Times New Roman"/>
            <w:noProof/>
            <w:webHidden/>
            <w:sz w:val="24"/>
            <w:szCs w:val="24"/>
          </w:rPr>
          <w:tab/>
        </w:r>
        <w:r w:rsidRPr="003E401B">
          <w:rPr>
            <w:rFonts w:ascii="Times New Roman" w:hAnsi="Times New Roman" w:cs="Times New Roman"/>
            <w:noProof/>
            <w:webHidden/>
            <w:sz w:val="24"/>
            <w:szCs w:val="24"/>
          </w:rPr>
          <w:fldChar w:fldCharType="begin"/>
        </w:r>
        <w:r w:rsidR="003E401B" w:rsidRPr="003E401B">
          <w:rPr>
            <w:rFonts w:ascii="Times New Roman" w:hAnsi="Times New Roman" w:cs="Times New Roman"/>
            <w:noProof/>
            <w:webHidden/>
            <w:sz w:val="24"/>
            <w:szCs w:val="24"/>
          </w:rPr>
          <w:instrText xml:space="preserve"> PAGEREF _Toc374655654 \h </w:instrText>
        </w:r>
        <w:r w:rsidRPr="003E401B">
          <w:rPr>
            <w:rFonts w:ascii="Times New Roman" w:hAnsi="Times New Roman" w:cs="Times New Roman"/>
            <w:noProof/>
            <w:webHidden/>
            <w:sz w:val="24"/>
            <w:szCs w:val="24"/>
          </w:rPr>
        </w:r>
        <w:r w:rsidRPr="003E401B">
          <w:rPr>
            <w:rFonts w:ascii="Times New Roman" w:hAnsi="Times New Roman" w:cs="Times New Roman"/>
            <w:noProof/>
            <w:webHidden/>
            <w:sz w:val="24"/>
            <w:szCs w:val="24"/>
          </w:rPr>
          <w:fldChar w:fldCharType="separate"/>
        </w:r>
        <w:r w:rsidR="003C7149">
          <w:rPr>
            <w:rFonts w:ascii="Times New Roman" w:hAnsi="Times New Roman" w:cs="Times New Roman"/>
            <w:noProof/>
            <w:webHidden/>
            <w:sz w:val="24"/>
            <w:szCs w:val="24"/>
          </w:rPr>
          <w:t>33</w:t>
        </w:r>
        <w:r w:rsidRPr="003E401B">
          <w:rPr>
            <w:rFonts w:ascii="Times New Roman" w:hAnsi="Times New Roman" w:cs="Times New Roman"/>
            <w:noProof/>
            <w:webHidden/>
            <w:sz w:val="24"/>
            <w:szCs w:val="24"/>
          </w:rPr>
          <w:fldChar w:fldCharType="end"/>
        </w:r>
      </w:hyperlink>
    </w:p>
    <w:p w:rsidR="003E401B" w:rsidRPr="003E401B" w:rsidRDefault="0020234E">
      <w:pPr>
        <w:pStyle w:val="TOC1"/>
        <w:tabs>
          <w:tab w:val="right" w:leader="dot" w:pos="10196"/>
        </w:tabs>
        <w:rPr>
          <w:rFonts w:ascii="Times New Roman" w:eastAsiaTheme="minorEastAsia" w:hAnsi="Times New Roman" w:cs="Times New Roman"/>
          <w:noProof/>
          <w:sz w:val="24"/>
          <w:szCs w:val="24"/>
        </w:rPr>
      </w:pPr>
      <w:hyperlink w:anchor="_Toc374655655" w:history="1">
        <w:r w:rsidR="003E401B" w:rsidRPr="003E401B">
          <w:rPr>
            <w:rStyle w:val="Hyperlink"/>
            <w:rFonts w:ascii="Times New Roman" w:hAnsi="Times New Roman" w:cs="Times New Roman"/>
            <w:noProof/>
            <w:sz w:val="24"/>
            <w:szCs w:val="24"/>
            <w:lang w:val="lt-LT"/>
          </w:rPr>
          <w:t>3. KOMPLEKSINĖS BANKROTO GRĖSMĖS DIAGNOZAVIMO METODIKOS TAIKYMO LIETUVOS TRANSPORTAVIMO ĮMONĖMS TYRIMAS</w:t>
        </w:r>
        <w:r w:rsidR="003E401B" w:rsidRPr="003E401B">
          <w:rPr>
            <w:rFonts w:ascii="Times New Roman" w:hAnsi="Times New Roman" w:cs="Times New Roman"/>
            <w:noProof/>
            <w:webHidden/>
            <w:sz w:val="24"/>
            <w:szCs w:val="24"/>
          </w:rPr>
          <w:tab/>
        </w:r>
        <w:r w:rsidRPr="003E401B">
          <w:rPr>
            <w:rFonts w:ascii="Times New Roman" w:hAnsi="Times New Roman" w:cs="Times New Roman"/>
            <w:noProof/>
            <w:webHidden/>
            <w:sz w:val="24"/>
            <w:szCs w:val="24"/>
          </w:rPr>
          <w:fldChar w:fldCharType="begin"/>
        </w:r>
        <w:r w:rsidR="003E401B" w:rsidRPr="003E401B">
          <w:rPr>
            <w:rFonts w:ascii="Times New Roman" w:hAnsi="Times New Roman" w:cs="Times New Roman"/>
            <w:noProof/>
            <w:webHidden/>
            <w:sz w:val="24"/>
            <w:szCs w:val="24"/>
          </w:rPr>
          <w:instrText xml:space="preserve"> PAGEREF _Toc374655655 \h </w:instrText>
        </w:r>
        <w:r w:rsidRPr="003E401B">
          <w:rPr>
            <w:rFonts w:ascii="Times New Roman" w:hAnsi="Times New Roman" w:cs="Times New Roman"/>
            <w:noProof/>
            <w:webHidden/>
            <w:sz w:val="24"/>
            <w:szCs w:val="24"/>
          </w:rPr>
        </w:r>
        <w:r w:rsidRPr="003E401B">
          <w:rPr>
            <w:rFonts w:ascii="Times New Roman" w:hAnsi="Times New Roman" w:cs="Times New Roman"/>
            <w:noProof/>
            <w:webHidden/>
            <w:sz w:val="24"/>
            <w:szCs w:val="24"/>
          </w:rPr>
          <w:fldChar w:fldCharType="separate"/>
        </w:r>
        <w:r w:rsidR="003C7149">
          <w:rPr>
            <w:rFonts w:ascii="Times New Roman" w:hAnsi="Times New Roman" w:cs="Times New Roman"/>
            <w:noProof/>
            <w:webHidden/>
            <w:sz w:val="24"/>
            <w:szCs w:val="24"/>
          </w:rPr>
          <w:t>44</w:t>
        </w:r>
        <w:r w:rsidRPr="003E401B">
          <w:rPr>
            <w:rFonts w:ascii="Times New Roman" w:hAnsi="Times New Roman" w:cs="Times New Roman"/>
            <w:noProof/>
            <w:webHidden/>
            <w:sz w:val="24"/>
            <w:szCs w:val="24"/>
          </w:rPr>
          <w:fldChar w:fldCharType="end"/>
        </w:r>
      </w:hyperlink>
    </w:p>
    <w:p w:rsidR="003E401B" w:rsidRPr="003E401B" w:rsidRDefault="0020234E">
      <w:pPr>
        <w:pStyle w:val="TOC2"/>
        <w:tabs>
          <w:tab w:val="right" w:leader="dot" w:pos="10196"/>
        </w:tabs>
        <w:rPr>
          <w:rFonts w:ascii="Times New Roman" w:eastAsiaTheme="minorEastAsia" w:hAnsi="Times New Roman" w:cs="Times New Roman"/>
          <w:noProof/>
          <w:sz w:val="24"/>
          <w:szCs w:val="24"/>
        </w:rPr>
      </w:pPr>
      <w:hyperlink w:anchor="_Toc374655656" w:history="1">
        <w:r w:rsidR="003E401B" w:rsidRPr="003E401B">
          <w:rPr>
            <w:rStyle w:val="Hyperlink"/>
            <w:rFonts w:ascii="Times New Roman" w:hAnsi="Times New Roman" w:cs="Times New Roman"/>
            <w:noProof/>
            <w:sz w:val="24"/>
            <w:szCs w:val="24"/>
            <w:lang w:val="lt-LT"/>
          </w:rPr>
          <w:t>3.1. Tyrimo apžvalga</w:t>
        </w:r>
        <w:r w:rsidR="003E401B" w:rsidRPr="003E401B">
          <w:rPr>
            <w:rFonts w:ascii="Times New Roman" w:hAnsi="Times New Roman" w:cs="Times New Roman"/>
            <w:noProof/>
            <w:webHidden/>
            <w:sz w:val="24"/>
            <w:szCs w:val="24"/>
          </w:rPr>
          <w:tab/>
        </w:r>
        <w:r w:rsidRPr="003E401B">
          <w:rPr>
            <w:rFonts w:ascii="Times New Roman" w:hAnsi="Times New Roman" w:cs="Times New Roman"/>
            <w:noProof/>
            <w:webHidden/>
            <w:sz w:val="24"/>
            <w:szCs w:val="24"/>
          </w:rPr>
          <w:fldChar w:fldCharType="begin"/>
        </w:r>
        <w:r w:rsidR="003E401B" w:rsidRPr="003E401B">
          <w:rPr>
            <w:rFonts w:ascii="Times New Roman" w:hAnsi="Times New Roman" w:cs="Times New Roman"/>
            <w:noProof/>
            <w:webHidden/>
            <w:sz w:val="24"/>
            <w:szCs w:val="24"/>
          </w:rPr>
          <w:instrText xml:space="preserve"> PAGEREF _Toc374655656 \h </w:instrText>
        </w:r>
        <w:r w:rsidRPr="003E401B">
          <w:rPr>
            <w:rFonts w:ascii="Times New Roman" w:hAnsi="Times New Roman" w:cs="Times New Roman"/>
            <w:noProof/>
            <w:webHidden/>
            <w:sz w:val="24"/>
            <w:szCs w:val="24"/>
          </w:rPr>
        </w:r>
        <w:r w:rsidRPr="003E401B">
          <w:rPr>
            <w:rFonts w:ascii="Times New Roman" w:hAnsi="Times New Roman" w:cs="Times New Roman"/>
            <w:noProof/>
            <w:webHidden/>
            <w:sz w:val="24"/>
            <w:szCs w:val="24"/>
          </w:rPr>
          <w:fldChar w:fldCharType="separate"/>
        </w:r>
        <w:r w:rsidR="003C7149">
          <w:rPr>
            <w:rFonts w:ascii="Times New Roman" w:hAnsi="Times New Roman" w:cs="Times New Roman"/>
            <w:noProof/>
            <w:webHidden/>
            <w:sz w:val="24"/>
            <w:szCs w:val="24"/>
          </w:rPr>
          <w:t>44</w:t>
        </w:r>
        <w:r w:rsidRPr="003E401B">
          <w:rPr>
            <w:rFonts w:ascii="Times New Roman" w:hAnsi="Times New Roman" w:cs="Times New Roman"/>
            <w:noProof/>
            <w:webHidden/>
            <w:sz w:val="24"/>
            <w:szCs w:val="24"/>
          </w:rPr>
          <w:fldChar w:fldCharType="end"/>
        </w:r>
      </w:hyperlink>
    </w:p>
    <w:p w:rsidR="003E401B" w:rsidRPr="003E401B" w:rsidRDefault="0020234E">
      <w:pPr>
        <w:pStyle w:val="TOC2"/>
        <w:tabs>
          <w:tab w:val="right" w:leader="dot" w:pos="10196"/>
        </w:tabs>
        <w:rPr>
          <w:rFonts w:ascii="Times New Roman" w:eastAsiaTheme="minorEastAsia" w:hAnsi="Times New Roman" w:cs="Times New Roman"/>
          <w:noProof/>
          <w:sz w:val="24"/>
          <w:szCs w:val="24"/>
        </w:rPr>
      </w:pPr>
      <w:hyperlink w:anchor="_Toc374655657" w:history="1">
        <w:r w:rsidR="003E401B" w:rsidRPr="003E401B">
          <w:rPr>
            <w:rStyle w:val="Hyperlink"/>
            <w:rFonts w:ascii="Times New Roman" w:hAnsi="Times New Roman" w:cs="Times New Roman"/>
            <w:noProof/>
            <w:sz w:val="24"/>
            <w:szCs w:val="24"/>
            <w:lang w:val="lt-LT"/>
          </w:rPr>
          <w:t>3.2. Transportavimo įmonių išorės aplinkos tyrimas</w:t>
        </w:r>
        <w:r w:rsidR="003E401B" w:rsidRPr="003E401B">
          <w:rPr>
            <w:rFonts w:ascii="Times New Roman" w:hAnsi="Times New Roman" w:cs="Times New Roman"/>
            <w:noProof/>
            <w:webHidden/>
            <w:sz w:val="24"/>
            <w:szCs w:val="24"/>
          </w:rPr>
          <w:tab/>
        </w:r>
        <w:r w:rsidRPr="003E401B">
          <w:rPr>
            <w:rFonts w:ascii="Times New Roman" w:hAnsi="Times New Roman" w:cs="Times New Roman"/>
            <w:noProof/>
            <w:webHidden/>
            <w:sz w:val="24"/>
            <w:szCs w:val="24"/>
          </w:rPr>
          <w:fldChar w:fldCharType="begin"/>
        </w:r>
        <w:r w:rsidR="003E401B" w:rsidRPr="003E401B">
          <w:rPr>
            <w:rFonts w:ascii="Times New Roman" w:hAnsi="Times New Roman" w:cs="Times New Roman"/>
            <w:noProof/>
            <w:webHidden/>
            <w:sz w:val="24"/>
            <w:szCs w:val="24"/>
          </w:rPr>
          <w:instrText xml:space="preserve"> PAGEREF _Toc374655657 \h </w:instrText>
        </w:r>
        <w:r w:rsidRPr="003E401B">
          <w:rPr>
            <w:rFonts w:ascii="Times New Roman" w:hAnsi="Times New Roman" w:cs="Times New Roman"/>
            <w:noProof/>
            <w:webHidden/>
            <w:sz w:val="24"/>
            <w:szCs w:val="24"/>
          </w:rPr>
        </w:r>
        <w:r w:rsidRPr="003E401B">
          <w:rPr>
            <w:rFonts w:ascii="Times New Roman" w:hAnsi="Times New Roman" w:cs="Times New Roman"/>
            <w:noProof/>
            <w:webHidden/>
            <w:sz w:val="24"/>
            <w:szCs w:val="24"/>
          </w:rPr>
          <w:fldChar w:fldCharType="separate"/>
        </w:r>
        <w:r w:rsidR="003C7149">
          <w:rPr>
            <w:rFonts w:ascii="Times New Roman" w:hAnsi="Times New Roman" w:cs="Times New Roman"/>
            <w:noProof/>
            <w:webHidden/>
            <w:sz w:val="24"/>
            <w:szCs w:val="24"/>
          </w:rPr>
          <w:t>47</w:t>
        </w:r>
        <w:r w:rsidRPr="003E401B">
          <w:rPr>
            <w:rFonts w:ascii="Times New Roman" w:hAnsi="Times New Roman" w:cs="Times New Roman"/>
            <w:noProof/>
            <w:webHidden/>
            <w:sz w:val="24"/>
            <w:szCs w:val="24"/>
          </w:rPr>
          <w:fldChar w:fldCharType="end"/>
        </w:r>
      </w:hyperlink>
    </w:p>
    <w:p w:rsidR="003E401B" w:rsidRPr="003E401B" w:rsidRDefault="0020234E">
      <w:pPr>
        <w:pStyle w:val="TOC2"/>
        <w:tabs>
          <w:tab w:val="right" w:leader="dot" w:pos="10196"/>
        </w:tabs>
        <w:rPr>
          <w:rFonts w:ascii="Times New Roman" w:eastAsiaTheme="minorEastAsia" w:hAnsi="Times New Roman" w:cs="Times New Roman"/>
          <w:noProof/>
          <w:sz w:val="24"/>
          <w:szCs w:val="24"/>
        </w:rPr>
      </w:pPr>
      <w:hyperlink w:anchor="_Toc374655658" w:history="1">
        <w:r w:rsidR="003E401B" w:rsidRPr="003E401B">
          <w:rPr>
            <w:rStyle w:val="Hyperlink"/>
            <w:rFonts w:ascii="Times New Roman" w:hAnsi="Times New Roman" w:cs="Times New Roman"/>
            <w:noProof/>
            <w:sz w:val="24"/>
            <w:szCs w:val="24"/>
            <w:lang w:val="lt-LT"/>
          </w:rPr>
          <w:t>3.3. Transportavimo įmonių vidaus aplinkos tyrimas</w:t>
        </w:r>
        <w:r w:rsidR="003E401B" w:rsidRPr="003E401B">
          <w:rPr>
            <w:rFonts w:ascii="Times New Roman" w:hAnsi="Times New Roman" w:cs="Times New Roman"/>
            <w:noProof/>
            <w:webHidden/>
            <w:sz w:val="24"/>
            <w:szCs w:val="24"/>
          </w:rPr>
          <w:tab/>
        </w:r>
        <w:r w:rsidRPr="003E401B">
          <w:rPr>
            <w:rFonts w:ascii="Times New Roman" w:hAnsi="Times New Roman" w:cs="Times New Roman"/>
            <w:noProof/>
            <w:webHidden/>
            <w:sz w:val="24"/>
            <w:szCs w:val="24"/>
          </w:rPr>
          <w:fldChar w:fldCharType="begin"/>
        </w:r>
        <w:r w:rsidR="003E401B" w:rsidRPr="003E401B">
          <w:rPr>
            <w:rFonts w:ascii="Times New Roman" w:hAnsi="Times New Roman" w:cs="Times New Roman"/>
            <w:noProof/>
            <w:webHidden/>
            <w:sz w:val="24"/>
            <w:szCs w:val="24"/>
          </w:rPr>
          <w:instrText xml:space="preserve"> PAGEREF _Toc374655658 \h </w:instrText>
        </w:r>
        <w:r w:rsidRPr="003E401B">
          <w:rPr>
            <w:rFonts w:ascii="Times New Roman" w:hAnsi="Times New Roman" w:cs="Times New Roman"/>
            <w:noProof/>
            <w:webHidden/>
            <w:sz w:val="24"/>
            <w:szCs w:val="24"/>
          </w:rPr>
        </w:r>
        <w:r w:rsidRPr="003E401B">
          <w:rPr>
            <w:rFonts w:ascii="Times New Roman" w:hAnsi="Times New Roman" w:cs="Times New Roman"/>
            <w:noProof/>
            <w:webHidden/>
            <w:sz w:val="24"/>
            <w:szCs w:val="24"/>
          </w:rPr>
          <w:fldChar w:fldCharType="separate"/>
        </w:r>
        <w:r w:rsidR="003C7149">
          <w:rPr>
            <w:rFonts w:ascii="Times New Roman" w:hAnsi="Times New Roman" w:cs="Times New Roman"/>
            <w:noProof/>
            <w:webHidden/>
            <w:sz w:val="24"/>
            <w:szCs w:val="24"/>
          </w:rPr>
          <w:t>50</w:t>
        </w:r>
        <w:r w:rsidRPr="003E401B">
          <w:rPr>
            <w:rFonts w:ascii="Times New Roman" w:hAnsi="Times New Roman" w:cs="Times New Roman"/>
            <w:noProof/>
            <w:webHidden/>
            <w:sz w:val="24"/>
            <w:szCs w:val="24"/>
          </w:rPr>
          <w:fldChar w:fldCharType="end"/>
        </w:r>
      </w:hyperlink>
    </w:p>
    <w:p w:rsidR="003E401B" w:rsidRPr="003E401B" w:rsidRDefault="0020234E">
      <w:pPr>
        <w:pStyle w:val="TOC2"/>
        <w:tabs>
          <w:tab w:val="right" w:leader="dot" w:pos="10196"/>
        </w:tabs>
        <w:rPr>
          <w:rFonts w:ascii="Times New Roman" w:eastAsiaTheme="minorEastAsia" w:hAnsi="Times New Roman" w:cs="Times New Roman"/>
          <w:noProof/>
          <w:sz w:val="24"/>
          <w:szCs w:val="24"/>
        </w:rPr>
      </w:pPr>
      <w:hyperlink w:anchor="_Toc374655659" w:history="1">
        <w:r w:rsidR="003E401B" w:rsidRPr="003E401B">
          <w:rPr>
            <w:rStyle w:val="Hyperlink"/>
            <w:rFonts w:ascii="Times New Roman" w:hAnsi="Times New Roman" w:cs="Times New Roman"/>
            <w:noProof/>
            <w:sz w:val="24"/>
            <w:szCs w:val="24"/>
            <w:lang w:val="lt-LT"/>
          </w:rPr>
          <w:t>3.4. Absoliutinių transportavimo įmonių rodiklių ir jų pokyčių vertinimas</w:t>
        </w:r>
        <w:r w:rsidR="003E401B" w:rsidRPr="003E401B">
          <w:rPr>
            <w:rFonts w:ascii="Times New Roman" w:hAnsi="Times New Roman" w:cs="Times New Roman"/>
            <w:noProof/>
            <w:webHidden/>
            <w:sz w:val="24"/>
            <w:szCs w:val="24"/>
          </w:rPr>
          <w:tab/>
        </w:r>
        <w:r w:rsidRPr="003E401B">
          <w:rPr>
            <w:rFonts w:ascii="Times New Roman" w:hAnsi="Times New Roman" w:cs="Times New Roman"/>
            <w:noProof/>
            <w:webHidden/>
            <w:sz w:val="24"/>
            <w:szCs w:val="24"/>
          </w:rPr>
          <w:fldChar w:fldCharType="begin"/>
        </w:r>
        <w:r w:rsidR="003E401B" w:rsidRPr="003E401B">
          <w:rPr>
            <w:rFonts w:ascii="Times New Roman" w:hAnsi="Times New Roman" w:cs="Times New Roman"/>
            <w:noProof/>
            <w:webHidden/>
            <w:sz w:val="24"/>
            <w:szCs w:val="24"/>
          </w:rPr>
          <w:instrText xml:space="preserve"> PAGEREF _Toc374655659 \h </w:instrText>
        </w:r>
        <w:r w:rsidRPr="003E401B">
          <w:rPr>
            <w:rFonts w:ascii="Times New Roman" w:hAnsi="Times New Roman" w:cs="Times New Roman"/>
            <w:noProof/>
            <w:webHidden/>
            <w:sz w:val="24"/>
            <w:szCs w:val="24"/>
          </w:rPr>
        </w:r>
        <w:r w:rsidRPr="003E401B">
          <w:rPr>
            <w:rFonts w:ascii="Times New Roman" w:hAnsi="Times New Roman" w:cs="Times New Roman"/>
            <w:noProof/>
            <w:webHidden/>
            <w:sz w:val="24"/>
            <w:szCs w:val="24"/>
          </w:rPr>
          <w:fldChar w:fldCharType="separate"/>
        </w:r>
        <w:r w:rsidR="003C7149">
          <w:rPr>
            <w:rFonts w:ascii="Times New Roman" w:hAnsi="Times New Roman" w:cs="Times New Roman"/>
            <w:noProof/>
            <w:webHidden/>
            <w:sz w:val="24"/>
            <w:szCs w:val="24"/>
          </w:rPr>
          <w:t>53</w:t>
        </w:r>
        <w:r w:rsidRPr="003E401B">
          <w:rPr>
            <w:rFonts w:ascii="Times New Roman" w:hAnsi="Times New Roman" w:cs="Times New Roman"/>
            <w:noProof/>
            <w:webHidden/>
            <w:sz w:val="24"/>
            <w:szCs w:val="24"/>
          </w:rPr>
          <w:fldChar w:fldCharType="end"/>
        </w:r>
      </w:hyperlink>
    </w:p>
    <w:p w:rsidR="003E401B" w:rsidRPr="003E401B" w:rsidRDefault="0020234E">
      <w:pPr>
        <w:pStyle w:val="TOC2"/>
        <w:tabs>
          <w:tab w:val="right" w:leader="dot" w:pos="10196"/>
        </w:tabs>
        <w:rPr>
          <w:rFonts w:ascii="Times New Roman" w:eastAsiaTheme="minorEastAsia" w:hAnsi="Times New Roman" w:cs="Times New Roman"/>
          <w:noProof/>
          <w:sz w:val="24"/>
          <w:szCs w:val="24"/>
        </w:rPr>
      </w:pPr>
      <w:hyperlink w:anchor="_Toc374655660" w:history="1">
        <w:r w:rsidR="003E401B" w:rsidRPr="003E401B">
          <w:rPr>
            <w:rStyle w:val="Hyperlink"/>
            <w:rFonts w:ascii="Times New Roman" w:hAnsi="Times New Roman" w:cs="Times New Roman"/>
            <w:noProof/>
            <w:sz w:val="24"/>
            <w:szCs w:val="24"/>
            <w:lang w:val="lt-LT"/>
          </w:rPr>
          <w:t>3.5. Transportavimo įmonių finansinių santykinių rodiklių skaičiavimas ir vertinimas</w:t>
        </w:r>
        <w:r w:rsidR="003E401B" w:rsidRPr="003E401B">
          <w:rPr>
            <w:rFonts w:ascii="Times New Roman" w:hAnsi="Times New Roman" w:cs="Times New Roman"/>
            <w:noProof/>
            <w:webHidden/>
            <w:sz w:val="24"/>
            <w:szCs w:val="24"/>
          </w:rPr>
          <w:tab/>
        </w:r>
        <w:r w:rsidRPr="003E401B">
          <w:rPr>
            <w:rFonts w:ascii="Times New Roman" w:hAnsi="Times New Roman" w:cs="Times New Roman"/>
            <w:noProof/>
            <w:webHidden/>
            <w:sz w:val="24"/>
            <w:szCs w:val="24"/>
          </w:rPr>
          <w:fldChar w:fldCharType="begin"/>
        </w:r>
        <w:r w:rsidR="003E401B" w:rsidRPr="003E401B">
          <w:rPr>
            <w:rFonts w:ascii="Times New Roman" w:hAnsi="Times New Roman" w:cs="Times New Roman"/>
            <w:noProof/>
            <w:webHidden/>
            <w:sz w:val="24"/>
            <w:szCs w:val="24"/>
          </w:rPr>
          <w:instrText xml:space="preserve"> PAGEREF _Toc374655660 \h </w:instrText>
        </w:r>
        <w:r w:rsidRPr="003E401B">
          <w:rPr>
            <w:rFonts w:ascii="Times New Roman" w:hAnsi="Times New Roman" w:cs="Times New Roman"/>
            <w:noProof/>
            <w:webHidden/>
            <w:sz w:val="24"/>
            <w:szCs w:val="24"/>
          </w:rPr>
        </w:r>
        <w:r w:rsidRPr="003E401B">
          <w:rPr>
            <w:rFonts w:ascii="Times New Roman" w:hAnsi="Times New Roman" w:cs="Times New Roman"/>
            <w:noProof/>
            <w:webHidden/>
            <w:sz w:val="24"/>
            <w:szCs w:val="24"/>
          </w:rPr>
          <w:fldChar w:fldCharType="separate"/>
        </w:r>
        <w:r w:rsidR="003C7149">
          <w:rPr>
            <w:rFonts w:ascii="Times New Roman" w:hAnsi="Times New Roman" w:cs="Times New Roman"/>
            <w:noProof/>
            <w:webHidden/>
            <w:sz w:val="24"/>
            <w:szCs w:val="24"/>
          </w:rPr>
          <w:t>57</w:t>
        </w:r>
        <w:r w:rsidRPr="003E401B">
          <w:rPr>
            <w:rFonts w:ascii="Times New Roman" w:hAnsi="Times New Roman" w:cs="Times New Roman"/>
            <w:noProof/>
            <w:webHidden/>
            <w:sz w:val="24"/>
            <w:szCs w:val="24"/>
          </w:rPr>
          <w:fldChar w:fldCharType="end"/>
        </w:r>
      </w:hyperlink>
    </w:p>
    <w:p w:rsidR="003E401B" w:rsidRPr="003E401B" w:rsidRDefault="0020234E">
      <w:pPr>
        <w:pStyle w:val="TOC2"/>
        <w:tabs>
          <w:tab w:val="right" w:leader="dot" w:pos="10196"/>
        </w:tabs>
        <w:rPr>
          <w:rFonts w:ascii="Times New Roman" w:eastAsiaTheme="minorEastAsia" w:hAnsi="Times New Roman" w:cs="Times New Roman"/>
          <w:noProof/>
          <w:sz w:val="24"/>
          <w:szCs w:val="24"/>
        </w:rPr>
      </w:pPr>
      <w:hyperlink w:anchor="_Toc374655661" w:history="1">
        <w:r w:rsidR="003E401B" w:rsidRPr="003E401B">
          <w:rPr>
            <w:rStyle w:val="Hyperlink"/>
            <w:rFonts w:ascii="Times New Roman" w:hAnsi="Times New Roman" w:cs="Times New Roman"/>
            <w:noProof/>
            <w:sz w:val="24"/>
            <w:szCs w:val="24"/>
            <w:lang w:val="lt-LT"/>
          </w:rPr>
          <w:t>3.6. Bankroto prognozavimo modelių taikymas transportavimo įmonėms</w:t>
        </w:r>
        <w:r w:rsidR="003E401B" w:rsidRPr="003E401B">
          <w:rPr>
            <w:rFonts w:ascii="Times New Roman" w:hAnsi="Times New Roman" w:cs="Times New Roman"/>
            <w:noProof/>
            <w:webHidden/>
            <w:sz w:val="24"/>
            <w:szCs w:val="24"/>
          </w:rPr>
          <w:tab/>
        </w:r>
        <w:r w:rsidRPr="003E401B">
          <w:rPr>
            <w:rFonts w:ascii="Times New Roman" w:hAnsi="Times New Roman" w:cs="Times New Roman"/>
            <w:noProof/>
            <w:webHidden/>
            <w:sz w:val="24"/>
            <w:szCs w:val="24"/>
          </w:rPr>
          <w:fldChar w:fldCharType="begin"/>
        </w:r>
        <w:r w:rsidR="003E401B" w:rsidRPr="003E401B">
          <w:rPr>
            <w:rFonts w:ascii="Times New Roman" w:hAnsi="Times New Roman" w:cs="Times New Roman"/>
            <w:noProof/>
            <w:webHidden/>
            <w:sz w:val="24"/>
            <w:szCs w:val="24"/>
          </w:rPr>
          <w:instrText xml:space="preserve"> PAGEREF _Toc374655661 \h </w:instrText>
        </w:r>
        <w:r w:rsidRPr="003E401B">
          <w:rPr>
            <w:rFonts w:ascii="Times New Roman" w:hAnsi="Times New Roman" w:cs="Times New Roman"/>
            <w:noProof/>
            <w:webHidden/>
            <w:sz w:val="24"/>
            <w:szCs w:val="24"/>
          </w:rPr>
        </w:r>
        <w:r w:rsidRPr="003E401B">
          <w:rPr>
            <w:rFonts w:ascii="Times New Roman" w:hAnsi="Times New Roman" w:cs="Times New Roman"/>
            <w:noProof/>
            <w:webHidden/>
            <w:sz w:val="24"/>
            <w:szCs w:val="24"/>
          </w:rPr>
          <w:fldChar w:fldCharType="separate"/>
        </w:r>
        <w:r w:rsidR="003C7149">
          <w:rPr>
            <w:rFonts w:ascii="Times New Roman" w:hAnsi="Times New Roman" w:cs="Times New Roman"/>
            <w:noProof/>
            <w:webHidden/>
            <w:sz w:val="24"/>
            <w:szCs w:val="24"/>
          </w:rPr>
          <w:t>63</w:t>
        </w:r>
        <w:r w:rsidRPr="003E401B">
          <w:rPr>
            <w:rFonts w:ascii="Times New Roman" w:hAnsi="Times New Roman" w:cs="Times New Roman"/>
            <w:noProof/>
            <w:webHidden/>
            <w:sz w:val="24"/>
            <w:szCs w:val="24"/>
          </w:rPr>
          <w:fldChar w:fldCharType="end"/>
        </w:r>
      </w:hyperlink>
    </w:p>
    <w:p w:rsidR="003E401B" w:rsidRPr="003E401B" w:rsidRDefault="0020234E">
      <w:pPr>
        <w:pStyle w:val="TOC2"/>
        <w:tabs>
          <w:tab w:val="right" w:leader="dot" w:pos="10196"/>
        </w:tabs>
        <w:rPr>
          <w:rFonts w:ascii="Times New Roman" w:eastAsiaTheme="minorEastAsia" w:hAnsi="Times New Roman" w:cs="Times New Roman"/>
          <w:noProof/>
          <w:sz w:val="24"/>
          <w:szCs w:val="24"/>
        </w:rPr>
      </w:pPr>
      <w:hyperlink w:anchor="_Toc374655662" w:history="1">
        <w:r w:rsidR="003E401B" w:rsidRPr="003E401B">
          <w:rPr>
            <w:rStyle w:val="Hyperlink"/>
            <w:rFonts w:ascii="Times New Roman" w:hAnsi="Times New Roman" w:cs="Times New Roman"/>
            <w:noProof/>
            <w:sz w:val="24"/>
            <w:szCs w:val="24"/>
            <w:lang w:val="lt-LT"/>
          </w:rPr>
          <w:t>3.7. Post-diagnostinių priemonių pasirinkimas transportavimo įmonėms</w:t>
        </w:r>
        <w:r w:rsidR="003E401B" w:rsidRPr="003E401B">
          <w:rPr>
            <w:rFonts w:ascii="Times New Roman" w:hAnsi="Times New Roman" w:cs="Times New Roman"/>
            <w:noProof/>
            <w:webHidden/>
            <w:sz w:val="24"/>
            <w:szCs w:val="24"/>
          </w:rPr>
          <w:tab/>
        </w:r>
        <w:r w:rsidRPr="003E401B">
          <w:rPr>
            <w:rFonts w:ascii="Times New Roman" w:hAnsi="Times New Roman" w:cs="Times New Roman"/>
            <w:noProof/>
            <w:webHidden/>
            <w:sz w:val="24"/>
            <w:szCs w:val="24"/>
          </w:rPr>
          <w:fldChar w:fldCharType="begin"/>
        </w:r>
        <w:r w:rsidR="003E401B" w:rsidRPr="003E401B">
          <w:rPr>
            <w:rFonts w:ascii="Times New Roman" w:hAnsi="Times New Roman" w:cs="Times New Roman"/>
            <w:noProof/>
            <w:webHidden/>
            <w:sz w:val="24"/>
            <w:szCs w:val="24"/>
          </w:rPr>
          <w:instrText xml:space="preserve"> PAGEREF _Toc374655662 \h </w:instrText>
        </w:r>
        <w:r w:rsidRPr="003E401B">
          <w:rPr>
            <w:rFonts w:ascii="Times New Roman" w:hAnsi="Times New Roman" w:cs="Times New Roman"/>
            <w:noProof/>
            <w:webHidden/>
            <w:sz w:val="24"/>
            <w:szCs w:val="24"/>
          </w:rPr>
        </w:r>
        <w:r w:rsidRPr="003E401B">
          <w:rPr>
            <w:rFonts w:ascii="Times New Roman" w:hAnsi="Times New Roman" w:cs="Times New Roman"/>
            <w:noProof/>
            <w:webHidden/>
            <w:sz w:val="24"/>
            <w:szCs w:val="24"/>
          </w:rPr>
          <w:fldChar w:fldCharType="separate"/>
        </w:r>
        <w:r w:rsidR="003C7149">
          <w:rPr>
            <w:rFonts w:ascii="Times New Roman" w:hAnsi="Times New Roman" w:cs="Times New Roman"/>
            <w:noProof/>
            <w:webHidden/>
            <w:sz w:val="24"/>
            <w:szCs w:val="24"/>
          </w:rPr>
          <w:t>67</w:t>
        </w:r>
        <w:r w:rsidRPr="003E401B">
          <w:rPr>
            <w:rFonts w:ascii="Times New Roman" w:hAnsi="Times New Roman" w:cs="Times New Roman"/>
            <w:noProof/>
            <w:webHidden/>
            <w:sz w:val="24"/>
            <w:szCs w:val="24"/>
          </w:rPr>
          <w:fldChar w:fldCharType="end"/>
        </w:r>
      </w:hyperlink>
    </w:p>
    <w:p w:rsidR="003E401B" w:rsidRPr="003E401B" w:rsidRDefault="0020234E">
      <w:pPr>
        <w:pStyle w:val="TOC1"/>
        <w:tabs>
          <w:tab w:val="right" w:leader="dot" w:pos="10196"/>
        </w:tabs>
        <w:rPr>
          <w:rFonts w:ascii="Times New Roman" w:eastAsiaTheme="minorEastAsia" w:hAnsi="Times New Roman" w:cs="Times New Roman"/>
          <w:noProof/>
          <w:sz w:val="24"/>
          <w:szCs w:val="24"/>
        </w:rPr>
      </w:pPr>
      <w:hyperlink w:anchor="_Toc374655663" w:history="1">
        <w:r w:rsidR="003E401B" w:rsidRPr="003E401B">
          <w:rPr>
            <w:rStyle w:val="Hyperlink"/>
            <w:rFonts w:ascii="Times New Roman" w:hAnsi="Times New Roman" w:cs="Times New Roman"/>
            <w:noProof/>
            <w:sz w:val="24"/>
            <w:szCs w:val="24"/>
            <w:lang w:val="lt-LT"/>
          </w:rPr>
          <w:t>IŠVADOS IR SIŪLYMAI</w:t>
        </w:r>
        <w:r w:rsidR="003E401B" w:rsidRPr="003E401B">
          <w:rPr>
            <w:rFonts w:ascii="Times New Roman" w:hAnsi="Times New Roman" w:cs="Times New Roman"/>
            <w:noProof/>
            <w:webHidden/>
            <w:sz w:val="24"/>
            <w:szCs w:val="24"/>
          </w:rPr>
          <w:tab/>
        </w:r>
        <w:r w:rsidRPr="003E401B">
          <w:rPr>
            <w:rFonts w:ascii="Times New Roman" w:hAnsi="Times New Roman" w:cs="Times New Roman"/>
            <w:noProof/>
            <w:webHidden/>
            <w:sz w:val="24"/>
            <w:szCs w:val="24"/>
          </w:rPr>
          <w:fldChar w:fldCharType="begin"/>
        </w:r>
        <w:r w:rsidR="003E401B" w:rsidRPr="003E401B">
          <w:rPr>
            <w:rFonts w:ascii="Times New Roman" w:hAnsi="Times New Roman" w:cs="Times New Roman"/>
            <w:noProof/>
            <w:webHidden/>
            <w:sz w:val="24"/>
            <w:szCs w:val="24"/>
          </w:rPr>
          <w:instrText xml:space="preserve"> PAGEREF _Toc374655663 \h </w:instrText>
        </w:r>
        <w:r w:rsidRPr="003E401B">
          <w:rPr>
            <w:rFonts w:ascii="Times New Roman" w:hAnsi="Times New Roman" w:cs="Times New Roman"/>
            <w:noProof/>
            <w:webHidden/>
            <w:sz w:val="24"/>
            <w:szCs w:val="24"/>
          </w:rPr>
        </w:r>
        <w:r w:rsidRPr="003E401B">
          <w:rPr>
            <w:rFonts w:ascii="Times New Roman" w:hAnsi="Times New Roman" w:cs="Times New Roman"/>
            <w:noProof/>
            <w:webHidden/>
            <w:sz w:val="24"/>
            <w:szCs w:val="24"/>
          </w:rPr>
          <w:fldChar w:fldCharType="separate"/>
        </w:r>
        <w:r w:rsidR="003C7149">
          <w:rPr>
            <w:rFonts w:ascii="Times New Roman" w:hAnsi="Times New Roman" w:cs="Times New Roman"/>
            <w:noProof/>
            <w:webHidden/>
            <w:sz w:val="24"/>
            <w:szCs w:val="24"/>
          </w:rPr>
          <w:t>70</w:t>
        </w:r>
        <w:r w:rsidRPr="003E401B">
          <w:rPr>
            <w:rFonts w:ascii="Times New Roman" w:hAnsi="Times New Roman" w:cs="Times New Roman"/>
            <w:noProof/>
            <w:webHidden/>
            <w:sz w:val="24"/>
            <w:szCs w:val="24"/>
          </w:rPr>
          <w:fldChar w:fldCharType="end"/>
        </w:r>
      </w:hyperlink>
    </w:p>
    <w:p w:rsidR="003E401B" w:rsidRPr="003E401B" w:rsidRDefault="0020234E">
      <w:pPr>
        <w:pStyle w:val="TOC1"/>
        <w:tabs>
          <w:tab w:val="right" w:leader="dot" w:pos="10196"/>
        </w:tabs>
        <w:rPr>
          <w:rFonts w:ascii="Times New Roman" w:eastAsiaTheme="minorEastAsia" w:hAnsi="Times New Roman" w:cs="Times New Roman"/>
          <w:noProof/>
          <w:sz w:val="24"/>
          <w:szCs w:val="24"/>
        </w:rPr>
      </w:pPr>
      <w:hyperlink w:anchor="_Toc374655664" w:history="1">
        <w:r w:rsidR="003E401B" w:rsidRPr="003E401B">
          <w:rPr>
            <w:rStyle w:val="Hyperlink"/>
            <w:rFonts w:ascii="Times New Roman" w:hAnsi="Times New Roman" w:cs="Times New Roman"/>
            <w:noProof/>
            <w:sz w:val="24"/>
            <w:szCs w:val="24"/>
            <w:lang w:val="lt-LT"/>
          </w:rPr>
          <w:t>LITERATŪRA</w:t>
        </w:r>
        <w:r w:rsidR="003E401B" w:rsidRPr="003E401B">
          <w:rPr>
            <w:rFonts w:ascii="Times New Roman" w:hAnsi="Times New Roman" w:cs="Times New Roman"/>
            <w:noProof/>
            <w:webHidden/>
            <w:sz w:val="24"/>
            <w:szCs w:val="24"/>
          </w:rPr>
          <w:tab/>
        </w:r>
        <w:r w:rsidRPr="003E401B">
          <w:rPr>
            <w:rFonts w:ascii="Times New Roman" w:hAnsi="Times New Roman" w:cs="Times New Roman"/>
            <w:noProof/>
            <w:webHidden/>
            <w:sz w:val="24"/>
            <w:szCs w:val="24"/>
          </w:rPr>
          <w:fldChar w:fldCharType="begin"/>
        </w:r>
        <w:r w:rsidR="003E401B" w:rsidRPr="003E401B">
          <w:rPr>
            <w:rFonts w:ascii="Times New Roman" w:hAnsi="Times New Roman" w:cs="Times New Roman"/>
            <w:noProof/>
            <w:webHidden/>
            <w:sz w:val="24"/>
            <w:szCs w:val="24"/>
          </w:rPr>
          <w:instrText xml:space="preserve"> PAGEREF _Toc374655664 \h </w:instrText>
        </w:r>
        <w:r w:rsidRPr="003E401B">
          <w:rPr>
            <w:rFonts w:ascii="Times New Roman" w:hAnsi="Times New Roman" w:cs="Times New Roman"/>
            <w:noProof/>
            <w:webHidden/>
            <w:sz w:val="24"/>
            <w:szCs w:val="24"/>
          </w:rPr>
        </w:r>
        <w:r w:rsidRPr="003E401B">
          <w:rPr>
            <w:rFonts w:ascii="Times New Roman" w:hAnsi="Times New Roman" w:cs="Times New Roman"/>
            <w:noProof/>
            <w:webHidden/>
            <w:sz w:val="24"/>
            <w:szCs w:val="24"/>
          </w:rPr>
          <w:fldChar w:fldCharType="separate"/>
        </w:r>
        <w:r w:rsidR="003C7149">
          <w:rPr>
            <w:rFonts w:ascii="Times New Roman" w:hAnsi="Times New Roman" w:cs="Times New Roman"/>
            <w:noProof/>
            <w:webHidden/>
            <w:sz w:val="24"/>
            <w:szCs w:val="24"/>
          </w:rPr>
          <w:t>72</w:t>
        </w:r>
        <w:r w:rsidRPr="003E401B">
          <w:rPr>
            <w:rFonts w:ascii="Times New Roman" w:hAnsi="Times New Roman" w:cs="Times New Roman"/>
            <w:noProof/>
            <w:webHidden/>
            <w:sz w:val="24"/>
            <w:szCs w:val="24"/>
          </w:rPr>
          <w:fldChar w:fldCharType="end"/>
        </w:r>
      </w:hyperlink>
    </w:p>
    <w:p w:rsidR="003E401B" w:rsidRPr="003E401B" w:rsidRDefault="0020234E">
      <w:pPr>
        <w:pStyle w:val="TOC1"/>
        <w:tabs>
          <w:tab w:val="right" w:leader="dot" w:pos="10196"/>
        </w:tabs>
        <w:rPr>
          <w:rFonts w:ascii="Times New Roman" w:eastAsiaTheme="minorEastAsia" w:hAnsi="Times New Roman" w:cs="Times New Roman"/>
          <w:noProof/>
          <w:sz w:val="24"/>
          <w:szCs w:val="24"/>
        </w:rPr>
      </w:pPr>
      <w:hyperlink w:anchor="_Toc374655665" w:history="1">
        <w:r w:rsidR="003E401B" w:rsidRPr="003E401B">
          <w:rPr>
            <w:rStyle w:val="Hyperlink"/>
            <w:rFonts w:ascii="Times New Roman" w:hAnsi="Times New Roman" w:cs="Times New Roman"/>
            <w:noProof/>
            <w:sz w:val="24"/>
            <w:szCs w:val="24"/>
            <w:lang w:val="lt-LT"/>
          </w:rPr>
          <w:t>ANOTACIJA</w:t>
        </w:r>
        <w:r w:rsidR="003E401B" w:rsidRPr="003E401B">
          <w:rPr>
            <w:rFonts w:ascii="Times New Roman" w:hAnsi="Times New Roman" w:cs="Times New Roman"/>
            <w:noProof/>
            <w:webHidden/>
            <w:sz w:val="24"/>
            <w:szCs w:val="24"/>
          </w:rPr>
          <w:tab/>
        </w:r>
        <w:r w:rsidRPr="003E401B">
          <w:rPr>
            <w:rFonts w:ascii="Times New Roman" w:hAnsi="Times New Roman" w:cs="Times New Roman"/>
            <w:noProof/>
            <w:webHidden/>
            <w:sz w:val="24"/>
            <w:szCs w:val="24"/>
          </w:rPr>
          <w:fldChar w:fldCharType="begin"/>
        </w:r>
        <w:r w:rsidR="003E401B" w:rsidRPr="003E401B">
          <w:rPr>
            <w:rFonts w:ascii="Times New Roman" w:hAnsi="Times New Roman" w:cs="Times New Roman"/>
            <w:noProof/>
            <w:webHidden/>
            <w:sz w:val="24"/>
            <w:szCs w:val="24"/>
          </w:rPr>
          <w:instrText xml:space="preserve"> PAGEREF _Toc374655665 \h </w:instrText>
        </w:r>
        <w:r w:rsidRPr="003E401B">
          <w:rPr>
            <w:rFonts w:ascii="Times New Roman" w:hAnsi="Times New Roman" w:cs="Times New Roman"/>
            <w:noProof/>
            <w:webHidden/>
            <w:sz w:val="24"/>
            <w:szCs w:val="24"/>
          </w:rPr>
        </w:r>
        <w:r w:rsidRPr="003E401B">
          <w:rPr>
            <w:rFonts w:ascii="Times New Roman" w:hAnsi="Times New Roman" w:cs="Times New Roman"/>
            <w:noProof/>
            <w:webHidden/>
            <w:sz w:val="24"/>
            <w:szCs w:val="24"/>
          </w:rPr>
          <w:fldChar w:fldCharType="separate"/>
        </w:r>
        <w:r w:rsidR="003C7149">
          <w:rPr>
            <w:rFonts w:ascii="Times New Roman" w:hAnsi="Times New Roman" w:cs="Times New Roman"/>
            <w:noProof/>
            <w:webHidden/>
            <w:sz w:val="24"/>
            <w:szCs w:val="24"/>
          </w:rPr>
          <w:t>76</w:t>
        </w:r>
        <w:r w:rsidRPr="003E401B">
          <w:rPr>
            <w:rFonts w:ascii="Times New Roman" w:hAnsi="Times New Roman" w:cs="Times New Roman"/>
            <w:noProof/>
            <w:webHidden/>
            <w:sz w:val="24"/>
            <w:szCs w:val="24"/>
          </w:rPr>
          <w:fldChar w:fldCharType="end"/>
        </w:r>
      </w:hyperlink>
    </w:p>
    <w:p w:rsidR="003E401B" w:rsidRPr="003E401B" w:rsidRDefault="0020234E">
      <w:pPr>
        <w:pStyle w:val="TOC1"/>
        <w:tabs>
          <w:tab w:val="right" w:leader="dot" w:pos="10196"/>
        </w:tabs>
        <w:rPr>
          <w:rFonts w:ascii="Times New Roman" w:eastAsiaTheme="minorEastAsia" w:hAnsi="Times New Roman" w:cs="Times New Roman"/>
          <w:noProof/>
          <w:sz w:val="24"/>
          <w:szCs w:val="24"/>
        </w:rPr>
      </w:pPr>
      <w:hyperlink w:anchor="_Toc374655666" w:history="1">
        <w:r w:rsidR="003E401B" w:rsidRPr="003E401B">
          <w:rPr>
            <w:rStyle w:val="Hyperlink"/>
            <w:rFonts w:ascii="Times New Roman" w:hAnsi="Times New Roman" w:cs="Times New Roman"/>
            <w:noProof/>
            <w:sz w:val="24"/>
            <w:szCs w:val="24"/>
            <w:lang w:val="lt-LT"/>
          </w:rPr>
          <w:t>ANNOTATION</w:t>
        </w:r>
        <w:r w:rsidR="003E401B" w:rsidRPr="003E401B">
          <w:rPr>
            <w:rFonts w:ascii="Times New Roman" w:hAnsi="Times New Roman" w:cs="Times New Roman"/>
            <w:noProof/>
            <w:webHidden/>
            <w:sz w:val="24"/>
            <w:szCs w:val="24"/>
          </w:rPr>
          <w:tab/>
        </w:r>
        <w:r w:rsidRPr="003E401B">
          <w:rPr>
            <w:rFonts w:ascii="Times New Roman" w:hAnsi="Times New Roman" w:cs="Times New Roman"/>
            <w:noProof/>
            <w:webHidden/>
            <w:sz w:val="24"/>
            <w:szCs w:val="24"/>
          </w:rPr>
          <w:fldChar w:fldCharType="begin"/>
        </w:r>
        <w:r w:rsidR="003E401B" w:rsidRPr="003E401B">
          <w:rPr>
            <w:rFonts w:ascii="Times New Roman" w:hAnsi="Times New Roman" w:cs="Times New Roman"/>
            <w:noProof/>
            <w:webHidden/>
            <w:sz w:val="24"/>
            <w:szCs w:val="24"/>
          </w:rPr>
          <w:instrText xml:space="preserve"> PAGEREF _Toc374655666 \h </w:instrText>
        </w:r>
        <w:r w:rsidRPr="003E401B">
          <w:rPr>
            <w:rFonts w:ascii="Times New Roman" w:hAnsi="Times New Roman" w:cs="Times New Roman"/>
            <w:noProof/>
            <w:webHidden/>
            <w:sz w:val="24"/>
            <w:szCs w:val="24"/>
          </w:rPr>
        </w:r>
        <w:r w:rsidRPr="003E401B">
          <w:rPr>
            <w:rFonts w:ascii="Times New Roman" w:hAnsi="Times New Roman" w:cs="Times New Roman"/>
            <w:noProof/>
            <w:webHidden/>
            <w:sz w:val="24"/>
            <w:szCs w:val="24"/>
          </w:rPr>
          <w:fldChar w:fldCharType="separate"/>
        </w:r>
        <w:r w:rsidR="003C7149">
          <w:rPr>
            <w:rFonts w:ascii="Times New Roman" w:hAnsi="Times New Roman" w:cs="Times New Roman"/>
            <w:noProof/>
            <w:webHidden/>
            <w:sz w:val="24"/>
            <w:szCs w:val="24"/>
          </w:rPr>
          <w:t>77</w:t>
        </w:r>
        <w:r w:rsidRPr="003E401B">
          <w:rPr>
            <w:rFonts w:ascii="Times New Roman" w:hAnsi="Times New Roman" w:cs="Times New Roman"/>
            <w:noProof/>
            <w:webHidden/>
            <w:sz w:val="24"/>
            <w:szCs w:val="24"/>
          </w:rPr>
          <w:fldChar w:fldCharType="end"/>
        </w:r>
      </w:hyperlink>
    </w:p>
    <w:p w:rsidR="003E401B" w:rsidRPr="003E401B" w:rsidRDefault="0020234E">
      <w:pPr>
        <w:pStyle w:val="TOC1"/>
        <w:tabs>
          <w:tab w:val="right" w:leader="dot" w:pos="10196"/>
        </w:tabs>
        <w:rPr>
          <w:rFonts w:ascii="Times New Roman" w:eastAsiaTheme="minorEastAsia" w:hAnsi="Times New Roman" w:cs="Times New Roman"/>
          <w:noProof/>
          <w:sz w:val="24"/>
          <w:szCs w:val="24"/>
        </w:rPr>
      </w:pPr>
      <w:hyperlink w:anchor="_Toc374655667" w:history="1">
        <w:r w:rsidR="003E401B" w:rsidRPr="003E401B">
          <w:rPr>
            <w:rStyle w:val="Hyperlink"/>
            <w:rFonts w:ascii="Times New Roman" w:hAnsi="Times New Roman" w:cs="Times New Roman"/>
            <w:noProof/>
            <w:sz w:val="24"/>
            <w:szCs w:val="24"/>
            <w:lang w:val="lt-LT"/>
          </w:rPr>
          <w:t>SANTRAUKA</w:t>
        </w:r>
        <w:r w:rsidR="003E401B" w:rsidRPr="003E401B">
          <w:rPr>
            <w:rFonts w:ascii="Times New Roman" w:hAnsi="Times New Roman" w:cs="Times New Roman"/>
            <w:noProof/>
            <w:webHidden/>
            <w:sz w:val="24"/>
            <w:szCs w:val="24"/>
          </w:rPr>
          <w:tab/>
        </w:r>
        <w:r w:rsidRPr="003E401B">
          <w:rPr>
            <w:rFonts w:ascii="Times New Roman" w:hAnsi="Times New Roman" w:cs="Times New Roman"/>
            <w:noProof/>
            <w:webHidden/>
            <w:sz w:val="24"/>
            <w:szCs w:val="24"/>
          </w:rPr>
          <w:fldChar w:fldCharType="begin"/>
        </w:r>
        <w:r w:rsidR="003E401B" w:rsidRPr="003E401B">
          <w:rPr>
            <w:rFonts w:ascii="Times New Roman" w:hAnsi="Times New Roman" w:cs="Times New Roman"/>
            <w:noProof/>
            <w:webHidden/>
            <w:sz w:val="24"/>
            <w:szCs w:val="24"/>
          </w:rPr>
          <w:instrText xml:space="preserve"> PAGEREF _Toc374655667 \h </w:instrText>
        </w:r>
        <w:r w:rsidRPr="003E401B">
          <w:rPr>
            <w:rFonts w:ascii="Times New Roman" w:hAnsi="Times New Roman" w:cs="Times New Roman"/>
            <w:noProof/>
            <w:webHidden/>
            <w:sz w:val="24"/>
            <w:szCs w:val="24"/>
          </w:rPr>
        </w:r>
        <w:r w:rsidRPr="003E401B">
          <w:rPr>
            <w:rFonts w:ascii="Times New Roman" w:hAnsi="Times New Roman" w:cs="Times New Roman"/>
            <w:noProof/>
            <w:webHidden/>
            <w:sz w:val="24"/>
            <w:szCs w:val="24"/>
          </w:rPr>
          <w:fldChar w:fldCharType="separate"/>
        </w:r>
        <w:r w:rsidR="003C7149">
          <w:rPr>
            <w:rFonts w:ascii="Times New Roman" w:hAnsi="Times New Roman" w:cs="Times New Roman"/>
            <w:noProof/>
            <w:webHidden/>
            <w:sz w:val="24"/>
            <w:szCs w:val="24"/>
          </w:rPr>
          <w:t>78</w:t>
        </w:r>
        <w:r w:rsidRPr="003E401B">
          <w:rPr>
            <w:rFonts w:ascii="Times New Roman" w:hAnsi="Times New Roman" w:cs="Times New Roman"/>
            <w:noProof/>
            <w:webHidden/>
            <w:sz w:val="24"/>
            <w:szCs w:val="24"/>
          </w:rPr>
          <w:fldChar w:fldCharType="end"/>
        </w:r>
      </w:hyperlink>
    </w:p>
    <w:p w:rsidR="003E401B" w:rsidRPr="003E401B" w:rsidRDefault="0020234E">
      <w:pPr>
        <w:pStyle w:val="TOC1"/>
        <w:tabs>
          <w:tab w:val="right" w:leader="dot" w:pos="10196"/>
        </w:tabs>
        <w:rPr>
          <w:rFonts w:ascii="Times New Roman" w:eastAsiaTheme="minorEastAsia" w:hAnsi="Times New Roman" w:cs="Times New Roman"/>
          <w:noProof/>
          <w:sz w:val="24"/>
          <w:szCs w:val="24"/>
        </w:rPr>
      </w:pPr>
      <w:hyperlink w:anchor="_Toc374655668" w:history="1">
        <w:r w:rsidR="003E401B" w:rsidRPr="003E401B">
          <w:rPr>
            <w:rStyle w:val="Hyperlink"/>
            <w:rFonts w:ascii="Times New Roman" w:hAnsi="Times New Roman" w:cs="Times New Roman"/>
            <w:noProof/>
            <w:sz w:val="24"/>
            <w:szCs w:val="24"/>
            <w:lang w:val="lt-LT"/>
          </w:rPr>
          <w:t>SUMMARY</w:t>
        </w:r>
        <w:r w:rsidR="003E401B" w:rsidRPr="003E401B">
          <w:rPr>
            <w:rFonts w:ascii="Times New Roman" w:hAnsi="Times New Roman" w:cs="Times New Roman"/>
            <w:noProof/>
            <w:webHidden/>
            <w:sz w:val="24"/>
            <w:szCs w:val="24"/>
          </w:rPr>
          <w:tab/>
        </w:r>
        <w:r w:rsidRPr="003E401B">
          <w:rPr>
            <w:rFonts w:ascii="Times New Roman" w:hAnsi="Times New Roman" w:cs="Times New Roman"/>
            <w:noProof/>
            <w:webHidden/>
            <w:sz w:val="24"/>
            <w:szCs w:val="24"/>
          </w:rPr>
          <w:fldChar w:fldCharType="begin"/>
        </w:r>
        <w:r w:rsidR="003E401B" w:rsidRPr="003E401B">
          <w:rPr>
            <w:rFonts w:ascii="Times New Roman" w:hAnsi="Times New Roman" w:cs="Times New Roman"/>
            <w:noProof/>
            <w:webHidden/>
            <w:sz w:val="24"/>
            <w:szCs w:val="24"/>
          </w:rPr>
          <w:instrText xml:space="preserve"> PAGEREF _Toc374655668 \h </w:instrText>
        </w:r>
        <w:r w:rsidRPr="003E401B">
          <w:rPr>
            <w:rFonts w:ascii="Times New Roman" w:hAnsi="Times New Roman" w:cs="Times New Roman"/>
            <w:noProof/>
            <w:webHidden/>
            <w:sz w:val="24"/>
            <w:szCs w:val="24"/>
          </w:rPr>
        </w:r>
        <w:r w:rsidRPr="003E401B">
          <w:rPr>
            <w:rFonts w:ascii="Times New Roman" w:hAnsi="Times New Roman" w:cs="Times New Roman"/>
            <w:noProof/>
            <w:webHidden/>
            <w:sz w:val="24"/>
            <w:szCs w:val="24"/>
          </w:rPr>
          <w:fldChar w:fldCharType="separate"/>
        </w:r>
        <w:r w:rsidR="003C7149">
          <w:rPr>
            <w:rFonts w:ascii="Times New Roman" w:hAnsi="Times New Roman" w:cs="Times New Roman"/>
            <w:noProof/>
            <w:webHidden/>
            <w:sz w:val="24"/>
            <w:szCs w:val="24"/>
          </w:rPr>
          <w:t>80</w:t>
        </w:r>
        <w:r w:rsidRPr="003E401B">
          <w:rPr>
            <w:rFonts w:ascii="Times New Roman" w:hAnsi="Times New Roman" w:cs="Times New Roman"/>
            <w:noProof/>
            <w:webHidden/>
            <w:sz w:val="24"/>
            <w:szCs w:val="24"/>
          </w:rPr>
          <w:fldChar w:fldCharType="end"/>
        </w:r>
      </w:hyperlink>
    </w:p>
    <w:p w:rsidR="003E401B" w:rsidRDefault="0020234E">
      <w:pPr>
        <w:pStyle w:val="TOC1"/>
        <w:tabs>
          <w:tab w:val="right" w:leader="dot" w:pos="10196"/>
        </w:tabs>
        <w:rPr>
          <w:rFonts w:eastAsiaTheme="minorEastAsia"/>
          <w:noProof/>
        </w:rPr>
      </w:pPr>
      <w:hyperlink w:anchor="_Toc374655669" w:history="1">
        <w:r w:rsidR="003E401B" w:rsidRPr="003E401B">
          <w:rPr>
            <w:rStyle w:val="Hyperlink"/>
            <w:rFonts w:ascii="Times New Roman" w:eastAsia="TimesNewRomanPSMT" w:hAnsi="Times New Roman" w:cs="Times New Roman"/>
            <w:noProof/>
            <w:sz w:val="24"/>
            <w:szCs w:val="24"/>
            <w:lang w:val="lt-LT"/>
          </w:rPr>
          <w:t>PRIEDAI</w:t>
        </w:r>
        <w:r w:rsidR="003E401B" w:rsidRPr="003E401B">
          <w:rPr>
            <w:rFonts w:ascii="Times New Roman" w:hAnsi="Times New Roman" w:cs="Times New Roman"/>
            <w:noProof/>
            <w:webHidden/>
            <w:sz w:val="24"/>
            <w:szCs w:val="24"/>
          </w:rPr>
          <w:tab/>
        </w:r>
        <w:r w:rsidRPr="003E401B">
          <w:rPr>
            <w:rFonts w:ascii="Times New Roman" w:hAnsi="Times New Roman" w:cs="Times New Roman"/>
            <w:noProof/>
            <w:webHidden/>
            <w:sz w:val="24"/>
            <w:szCs w:val="24"/>
          </w:rPr>
          <w:fldChar w:fldCharType="begin"/>
        </w:r>
        <w:r w:rsidR="003E401B" w:rsidRPr="003E401B">
          <w:rPr>
            <w:rFonts w:ascii="Times New Roman" w:hAnsi="Times New Roman" w:cs="Times New Roman"/>
            <w:noProof/>
            <w:webHidden/>
            <w:sz w:val="24"/>
            <w:szCs w:val="24"/>
          </w:rPr>
          <w:instrText xml:space="preserve"> PAGEREF _Toc374655669 \h </w:instrText>
        </w:r>
        <w:r w:rsidRPr="003E401B">
          <w:rPr>
            <w:rFonts w:ascii="Times New Roman" w:hAnsi="Times New Roman" w:cs="Times New Roman"/>
            <w:noProof/>
            <w:webHidden/>
            <w:sz w:val="24"/>
            <w:szCs w:val="24"/>
          </w:rPr>
        </w:r>
        <w:r w:rsidRPr="003E401B">
          <w:rPr>
            <w:rFonts w:ascii="Times New Roman" w:hAnsi="Times New Roman" w:cs="Times New Roman"/>
            <w:noProof/>
            <w:webHidden/>
            <w:sz w:val="24"/>
            <w:szCs w:val="24"/>
          </w:rPr>
          <w:fldChar w:fldCharType="separate"/>
        </w:r>
        <w:r w:rsidR="003C7149">
          <w:rPr>
            <w:rFonts w:ascii="Times New Roman" w:hAnsi="Times New Roman" w:cs="Times New Roman"/>
            <w:noProof/>
            <w:webHidden/>
            <w:sz w:val="24"/>
            <w:szCs w:val="24"/>
          </w:rPr>
          <w:t>82</w:t>
        </w:r>
        <w:r w:rsidRPr="003E401B">
          <w:rPr>
            <w:rFonts w:ascii="Times New Roman" w:hAnsi="Times New Roman" w:cs="Times New Roman"/>
            <w:noProof/>
            <w:webHidden/>
            <w:sz w:val="24"/>
            <w:szCs w:val="24"/>
          </w:rPr>
          <w:fldChar w:fldCharType="end"/>
        </w:r>
      </w:hyperlink>
    </w:p>
    <w:p w:rsidR="006D2A31" w:rsidRDefault="0020234E" w:rsidP="006D2A31">
      <w:pPr>
        <w:rPr>
          <w:rFonts w:ascii="Times New Roman" w:hAnsi="Times New Roman" w:cs="Times New Roman"/>
          <w:sz w:val="24"/>
          <w:szCs w:val="24"/>
          <w:lang w:val="lt-LT"/>
        </w:rPr>
      </w:pPr>
      <w:r w:rsidRPr="0017614D">
        <w:rPr>
          <w:rFonts w:ascii="Times New Roman" w:hAnsi="Times New Roman" w:cs="Times New Roman"/>
          <w:sz w:val="24"/>
          <w:szCs w:val="24"/>
          <w:lang w:val="lt-LT"/>
        </w:rPr>
        <w:fldChar w:fldCharType="end"/>
      </w:r>
    </w:p>
    <w:p w:rsidR="003E401B" w:rsidRPr="0017614D" w:rsidRDefault="003E401B" w:rsidP="006D2A31">
      <w:pPr>
        <w:rPr>
          <w:rFonts w:ascii="Times New Roman" w:hAnsi="Times New Roman" w:cs="Times New Roman"/>
          <w:sz w:val="24"/>
          <w:szCs w:val="24"/>
          <w:lang w:val="lt-LT"/>
        </w:rPr>
      </w:pPr>
    </w:p>
    <w:p w:rsidR="00535423" w:rsidRPr="0017614D" w:rsidRDefault="00535423" w:rsidP="00535423">
      <w:pPr>
        <w:spacing w:after="0"/>
        <w:contextualSpacing/>
        <w:rPr>
          <w:lang w:val="lt-LT"/>
        </w:rPr>
      </w:pPr>
      <w:bookmarkStart w:id="13" w:name="_Toc322114235"/>
      <w:bookmarkStart w:id="14" w:name="_Toc322114478"/>
      <w:bookmarkStart w:id="15" w:name="_Toc322116013"/>
      <w:bookmarkStart w:id="16" w:name="_Toc322284538"/>
      <w:bookmarkStart w:id="17" w:name="_Toc323151224"/>
      <w:bookmarkStart w:id="18" w:name="_Toc323151395"/>
      <w:bookmarkStart w:id="19" w:name="_Toc359261616"/>
      <w:bookmarkStart w:id="20" w:name="_Toc359261677"/>
      <w:bookmarkStart w:id="21" w:name="_Toc359261782"/>
    </w:p>
    <w:p w:rsidR="006D2A31" w:rsidRPr="0017614D" w:rsidRDefault="006D2A31" w:rsidP="00535423">
      <w:pPr>
        <w:pStyle w:val="Heading1"/>
        <w:spacing w:before="0" w:line="240" w:lineRule="auto"/>
        <w:contextualSpacing/>
        <w:rPr>
          <w:lang w:val="lt-LT"/>
        </w:rPr>
      </w:pPr>
      <w:bookmarkStart w:id="22" w:name="_Toc373011761"/>
      <w:bookmarkStart w:id="23" w:name="_Toc373012464"/>
      <w:bookmarkStart w:id="24" w:name="_Toc373670202"/>
      <w:bookmarkStart w:id="25" w:name="_Toc373682563"/>
      <w:bookmarkStart w:id="26" w:name="_Toc374655642"/>
      <w:r w:rsidRPr="0017614D">
        <w:rPr>
          <w:lang w:val="lt-LT"/>
        </w:rPr>
        <w:t>LENTELĖS</w:t>
      </w:r>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9B25F5" w:rsidRPr="0017614D" w:rsidRDefault="009B25F5" w:rsidP="009B25F5">
      <w:pPr>
        <w:rPr>
          <w:lang w:val="lt-LT"/>
        </w:rPr>
      </w:pPr>
    </w:p>
    <w:p w:rsidR="005B765D" w:rsidRPr="0017614D" w:rsidRDefault="005B765D" w:rsidP="005B765D">
      <w:pPr>
        <w:spacing w:after="0" w:line="360" w:lineRule="auto"/>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1 lentelė. Lietuvos ir užsienio autorių pateikiamų bankroto sąvokų palyginimas.......................................12</w:t>
      </w:r>
    </w:p>
    <w:p w:rsidR="005B765D" w:rsidRPr="0017614D" w:rsidRDefault="005B765D" w:rsidP="005B765D">
      <w:pPr>
        <w:spacing w:after="0" w:line="360" w:lineRule="auto"/>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2 lentelė. Išorės aplinkos veiksniai, turintys įtakos įmonės veiklai pagal A. Januševičiūtę ir D. Jurevičienę...................................................................................................................................................14</w:t>
      </w:r>
    </w:p>
    <w:p w:rsidR="005B765D" w:rsidRPr="0017614D" w:rsidRDefault="005B765D" w:rsidP="005B765D">
      <w:pPr>
        <w:spacing w:after="0" w:line="360" w:lineRule="auto"/>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3 lentelė. Verslo žlugimo priežastys pagal Birgham....................................................................................17</w:t>
      </w:r>
    </w:p>
    <w:p w:rsidR="005B765D" w:rsidRPr="0017614D" w:rsidRDefault="005B765D" w:rsidP="005B765D">
      <w:pPr>
        <w:spacing w:after="0" w:line="360" w:lineRule="auto"/>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4 lentelė. Bankroto požymiai.......................................................................................................................18</w:t>
      </w:r>
    </w:p>
    <w:p w:rsidR="005B765D" w:rsidRPr="0017614D" w:rsidRDefault="005B765D" w:rsidP="005B765D">
      <w:pPr>
        <w:spacing w:after="0" w:line="360" w:lineRule="auto"/>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5 lentelė. Bankroto pasekmės šalies ūkiui...................................................................................................22</w:t>
      </w:r>
    </w:p>
    <w:p w:rsidR="005B765D" w:rsidRPr="0017614D" w:rsidRDefault="005B765D" w:rsidP="005B765D">
      <w:pPr>
        <w:spacing w:after="0" w:line="360" w:lineRule="auto"/>
        <w:contextualSpacing/>
        <w:jc w:val="both"/>
        <w:rPr>
          <w:rFonts w:ascii="Times New Roman" w:eastAsia="Times New Roman" w:hAnsi="Times New Roman" w:cs="Times New Roman"/>
          <w:sz w:val="24"/>
          <w:szCs w:val="24"/>
          <w:lang w:val="lt-LT"/>
        </w:rPr>
      </w:pPr>
      <w:r w:rsidRPr="0017614D">
        <w:rPr>
          <w:rFonts w:ascii="Times New Roman" w:hAnsi="Times New Roman" w:cs="Times New Roman"/>
          <w:sz w:val="24"/>
          <w:szCs w:val="24"/>
          <w:lang w:val="lt-LT"/>
        </w:rPr>
        <w:t>6 lentelė. Lietuvoje pradėtų bankroto procesų skaičius pagal darbuotojų skaičių.......................................26</w:t>
      </w:r>
    </w:p>
    <w:p w:rsidR="005B765D" w:rsidRPr="0017614D" w:rsidRDefault="005B765D" w:rsidP="005B765D">
      <w:pPr>
        <w:spacing w:after="0" w:line="360" w:lineRule="auto"/>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7 lentelė. Pagrindiniai finansiniai santykiniai rodikliai.................................................</w:t>
      </w:r>
      <w:r w:rsidR="00186457">
        <w:rPr>
          <w:rFonts w:ascii="Times New Roman" w:hAnsi="Times New Roman" w:cs="Times New Roman"/>
          <w:sz w:val="24"/>
          <w:szCs w:val="24"/>
          <w:lang w:val="lt-LT"/>
        </w:rPr>
        <w:t>..............................37</w:t>
      </w:r>
    </w:p>
    <w:p w:rsidR="005B765D" w:rsidRPr="0017614D" w:rsidRDefault="005B765D" w:rsidP="005B765D">
      <w:pPr>
        <w:spacing w:after="0" w:line="360" w:lineRule="auto"/>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8 lentelė. Tyrimui pasirinktų bankrutavusių įmonių pagrindinės charakteristikos......................................45</w:t>
      </w:r>
    </w:p>
    <w:p w:rsidR="005B765D" w:rsidRPr="0017614D" w:rsidRDefault="005B765D" w:rsidP="005B765D">
      <w:pPr>
        <w:spacing w:after="0" w:line="360" w:lineRule="auto"/>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9 lentelė. Tyrimui pasirinktų veikiančių įmonių pagrindinės charakteristikos............................................45</w:t>
      </w:r>
    </w:p>
    <w:p w:rsidR="005B765D" w:rsidRPr="0017614D" w:rsidRDefault="005B765D" w:rsidP="005B765D">
      <w:pPr>
        <w:spacing w:after="0" w:line="360" w:lineRule="auto"/>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10 lentelė. UAB „Achemarida“, UAB „Romas ir ko“, UAB „Girteka“ ir UAB „Autoverslas“ 2008-2010 m. bendrojo trumpalaikio mokumo koeficientai..........................................................................................57</w:t>
      </w:r>
    </w:p>
    <w:p w:rsidR="005B765D" w:rsidRPr="0017614D" w:rsidRDefault="005B765D" w:rsidP="005B765D">
      <w:pPr>
        <w:spacing w:after="0" w:line="360" w:lineRule="auto"/>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11 lentelė. UAB „Achemarida“, UAB „Romas ir ko“, UAB „Girteka“ ir UAB „Autoverslas“ 2008-2010 m. greitojo trumpalaikio mokumo koeficientai............................................................................................58</w:t>
      </w:r>
    </w:p>
    <w:p w:rsidR="005B765D" w:rsidRPr="0017614D" w:rsidRDefault="005B765D" w:rsidP="005B765D">
      <w:pPr>
        <w:spacing w:after="0" w:line="360" w:lineRule="auto"/>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12 lentelė. UAB „Achemarida“, UAB „Romas ir ko“, UAB „Girteka“ ir UAB „Autoverslas“ 2008-2010 m. bendrieji skolos koeficientai...................................................................................................................59</w:t>
      </w:r>
    </w:p>
    <w:p w:rsidR="005B765D" w:rsidRPr="0017614D" w:rsidRDefault="005B765D" w:rsidP="005B765D">
      <w:pPr>
        <w:spacing w:after="0" w:line="360" w:lineRule="auto"/>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13 lentelė. UAB „Achemarida“, UAB „Romas ir ko“, UAB „Girteka“ ir UAB „Autoverslas“ 2008-2010 m. finansinio sverto koeficientai..................................................................................................................60</w:t>
      </w:r>
    </w:p>
    <w:p w:rsidR="005B765D" w:rsidRPr="0017614D" w:rsidRDefault="005B765D" w:rsidP="005B765D">
      <w:pPr>
        <w:spacing w:after="0" w:line="360" w:lineRule="auto"/>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14 lentelė. UAB „Achemarida“, UAB „Romas ir ko“, UAB „Girteka“ ir UAB „Autoverslas“ 2008-2010 m. grynojo pardavimų pelningumo koeficientai..........................................................................................60</w:t>
      </w:r>
    </w:p>
    <w:p w:rsidR="005B765D" w:rsidRPr="0017614D" w:rsidRDefault="005B765D" w:rsidP="005B765D">
      <w:pPr>
        <w:spacing w:after="0" w:line="360" w:lineRule="auto"/>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15 lentelė. UAB „Achemarida“, UAB „Romas ir ko“, UAB „Girteka“ ir UAB „Autoverslas“ 2008-2010 m. turto pelningumo koeficientai.................................................................................................................61</w:t>
      </w:r>
    </w:p>
    <w:p w:rsidR="005B765D" w:rsidRPr="0017614D" w:rsidRDefault="005B765D" w:rsidP="005B765D">
      <w:pPr>
        <w:spacing w:after="0" w:line="360" w:lineRule="auto"/>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16 lentelė. UAB „Achemarida“, UAB „Romas ir ko“, UAB „Girteka“ ir UAB „Autoverslas“ 2008-2010 m. nuosavo kapitalo pelningumo koeficientai.............................................................................................61</w:t>
      </w:r>
    </w:p>
    <w:p w:rsidR="005B765D" w:rsidRPr="0017614D" w:rsidRDefault="005B765D" w:rsidP="005B765D">
      <w:pPr>
        <w:spacing w:after="0" w:line="360" w:lineRule="auto"/>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17 lentelė. UAB „Achemarida“, UAB „Romas ir ko“, UAB „Girteka“ ir UAB „Autoverslas“ 2008-2010 m. pardavimo savikainos lygio koeficientai................................................................................................62</w:t>
      </w:r>
    </w:p>
    <w:p w:rsidR="009B25F5" w:rsidRPr="0017614D" w:rsidRDefault="009B25F5" w:rsidP="00AA73D8">
      <w:pPr>
        <w:jc w:val="both"/>
        <w:rPr>
          <w:color w:val="FF0000"/>
          <w:lang w:val="lt-LT"/>
        </w:rPr>
      </w:pPr>
    </w:p>
    <w:p w:rsidR="006D2A31" w:rsidRPr="0017614D" w:rsidRDefault="006D2A31" w:rsidP="006D2A31">
      <w:pPr>
        <w:spacing w:line="360" w:lineRule="auto"/>
        <w:rPr>
          <w:color w:val="FF0000"/>
          <w:lang w:val="lt-LT"/>
        </w:rPr>
      </w:pPr>
    </w:p>
    <w:p w:rsidR="006D2A31" w:rsidRPr="0017614D" w:rsidRDefault="006D2A31" w:rsidP="006D2A31">
      <w:pPr>
        <w:spacing w:line="360" w:lineRule="auto"/>
        <w:contextualSpacing/>
        <w:jc w:val="both"/>
        <w:rPr>
          <w:color w:val="FF0000"/>
          <w:lang w:val="lt-LT"/>
        </w:rPr>
      </w:pPr>
    </w:p>
    <w:p w:rsidR="005B765D" w:rsidRPr="0017614D" w:rsidRDefault="005B765D" w:rsidP="005B765D">
      <w:pPr>
        <w:pStyle w:val="Heading1"/>
        <w:spacing w:before="0" w:line="240" w:lineRule="auto"/>
        <w:contextualSpacing/>
        <w:rPr>
          <w:lang w:val="lt-LT"/>
        </w:rPr>
      </w:pPr>
      <w:bookmarkStart w:id="27" w:name="_Toc322114236"/>
      <w:bookmarkStart w:id="28" w:name="_Toc322114479"/>
      <w:bookmarkStart w:id="29" w:name="_Toc322116014"/>
      <w:bookmarkStart w:id="30" w:name="_Toc322284539"/>
      <w:bookmarkStart w:id="31" w:name="_Toc323151225"/>
      <w:bookmarkStart w:id="32" w:name="_Toc323151396"/>
      <w:bookmarkStart w:id="33" w:name="_Toc359261617"/>
      <w:bookmarkStart w:id="34" w:name="_Toc359261678"/>
      <w:bookmarkStart w:id="35" w:name="_Toc359261783"/>
      <w:bookmarkStart w:id="36" w:name="_Toc373011762"/>
      <w:bookmarkStart w:id="37" w:name="_Toc373012465"/>
      <w:bookmarkStart w:id="38" w:name="_Toc373670203"/>
      <w:bookmarkStart w:id="39" w:name="_Toc373682564"/>
    </w:p>
    <w:p w:rsidR="006D2A31" w:rsidRPr="0017614D" w:rsidRDefault="00535423" w:rsidP="005B765D">
      <w:pPr>
        <w:pStyle w:val="Heading1"/>
        <w:spacing w:before="0" w:line="240" w:lineRule="auto"/>
        <w:contextualSpacing/>
        <w:rPr>
          <w:lang w:val="lt-LT"/>
        </w:rPr>
      </w:pPr>
      <w:bookmarkStart w:id="40" w:name="_Toc374655643"/>
      <w:r w:rsidRPr="0017614D">
        <w:rPr>
          <w:lang w:val="lt-LT"/>
        </w:rPr>
        <w:t>P</w:t>
      </w:r>
      <w:r w:rsidR="006D2A31" w:rsidRPr="0017614D">
        <w:rPr>
          <w:lang w:val="lt-LT"/>
        </w:rPr>
        <w:t>AVEIKSLAI</w:t>
      </w:r>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6D2A31" w:rsidRPr="0017614D" w:rsidRDefault="005B765D" w:rsidP="005B765D">
      <w:pPr>
        <w:tabs>
          <w:tab w:val="left" w:pos="5970"/>
        </w:tabs>
        <w:rPr>
          <w:color w:val="FF0000"/>
          <w:lang w:val="lt-LT"/>
        </w:rPr>
      </w:pPr>
      <w:r w:rsidRPr="0017614D">
        <w:rPr>
          <w:color w:val="FF0000"/>
          <w:lang w:val="lt-LT"/>
        </w:rPr>
        <w:tab/>
      </w:r>
    </w:p>
    <w:p w:rsidR="005B765D" w:rsidRPr="0017614D" w:rsidRDefault="005B765D" w:rsidP="005B765D">
      <w:pPr>
        <w:spacing w:after="0" w:line="360" w:lineRule="auto"/>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1 pav. Sąlygos, leidžiančios iškelti įmonei bankroto procedūrą..................................................................11</w:t>
      </w:r>
    </w:p>
    <w:p w:rsidR="005B765D" w:rsidRPr="0017614D" w:rsidRDefault="005B765D" w:rsidP="005B765D">
      <w:pPr>
        <w:spacing w:after="0" w:line="360" w:lineRule="auto"/>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2 pav. Bankroto riziką sąlygojantys veiksniai.............................................................................................17</w:t>
      </w:r>
    </w:p>
    <w:p w:rsidR="005B765D" w:rsidRPr="0017614D" w:rsidRDefault="005B765D" w:rsidP="005B765D">
      <w:pPr>
        <w:spacing w:after="0" w:line="360" w:lineRule="auto"/>
        <w:contextualSpacing/>
        <w:jc w:val="both"/>
        <w:rPr>
          <w:rFonts w:ascii="Times New Roman" w:hAnsi="Times New Roman" w:cs="Times New Roman"/>
          <w:sz w:val="24"/>
          <w:lang w:val="lt-LT"/>
        </w:rPr>
      </w:pPr>
      <w:r w:rsidRPr="0017614D">
        <w:rPr>
          <w:rFonts w:ascii="Times New Roman" w:hAnsi="Times New Roman" w:cs="Times New Roman"/>
          <w:sz w:val="24"/>
          <w:lang w:val="lt-LT"/>
        </w:rPr>
        <w:t>3 pav. Lietuvoje pradėtų ir baigtų bankroto procesų skaičiaus dinamika 1993 - 2012 metais....................24</w:t>
      </w:r>
    </w:p>
    <w:p w:rsidR="005B765D" w:rsidRPr="0017614D" w:rsidRDefault="005B765D" w:rsidP="005B765D">
      <w:pPr>
        <w:spacing w:after="0" w:line="360" w:lineRule="auto"/>
        <w:contextualSpacing/>
        <w:jc w:val="both"/>
        <w:rPr>
          <w:rFonts w:ascii="Times New Roman" w:hAnsi="Times New Roman" w:cs="Times New Roman"/>
          <w:sz w:val="24"/>
          <w:lang w:val="lt-LT"/>
        </w:rPr>
      </w:pPr>
      <w:r w:rsidRPr="0017614D">
        <w:rPr>
          <w:rFonts w:ascii="Times New Roman" w:hAnsi="Times New Roman" w:cs="Times New Roman"/>
          <w:sz w:val="24"/>
          <w:lang w:val="lt-LT"/>
        </w:rPr>
        <w:t>4 pav. Veikiančių bei bankrutuojančių įmonių santykis pagal apskritis Lietuvoje.....................................26</w:t>
      </w:r>
    </w:p>
    <w:p w:rsidR="005B765D" w:rsidRPr="0017614D" w:rsidRDefault="005B765D" w:rsidP="005B765D">
      <w:pPr>
        <w:spacing w:after="0" w:line="360" w:lineRule="auto"/>
        <w:contextualSpacing/>
        <w:jc w:val="both"/>
        <w:rPr>
          <w:rFonts w:ascii="Times New Roman" w:hAnsi="Times New Roman" w:cs="Times New Roman"/>
          <w:sz w:val="24"/>
          <w:lang w:val="lt-LT"/>
        </w:rPr>
      </w:pPr>
      <w:r w:rsidRPr="0017614D">
        <w:rPr>
          <w:rFonts w:ascii="Times New Roman" w:hAnsi="Times New Roman" w:cs="Times New Roman"/>
          <w:sz w:val="24"/>
          <w:lang w:val="lt-LT"/>
        </w:rPr>
        <w:t>5 pav. Pradėtų bankroto procesų skaičius pagal ekonominės veiklos rūšis Lietuvoje.................................27</w:t>
      </w:r>
    </w:p>
    <w:p w:rsidR="005B765D" w:rsidRPr="0017614D" w:rsidRDefault="005B765D" w:rsidP="005B765D">
      <w:pPr>
        <w:spacing w:after="0" w:line="360" w:lineRule="auto"/>
        <w:contextualSpacing/>
        <w:jc w:val="both"/>
        <w:rPr>
          <w:rFonts w:ascii="Times New Roman" w:hAnsi="Times New Roman" w:cs="Times New Roman"/>
          <w:sz w:val="24"/>
          <w:lang w:val="lt-LT"/>
        </w:rPr>
      </w:pPr>
      <w:r w:rsidRPr="0017614D">
        <w:rPr>
          <w:rFonts w:ascii="Times New Roman" w:hAnsi="Times New Roman" w:cs="Times New Roman"/>
          <w:sz w:val="24"/>
          <w:lang w:val="lt-LT"/>
        </w:rPr>
        <w:t>6 pav. Lietuvoje bankrutuojančių bei bankrutavusių įmonių turtas bei kreditiniai reikalavimai 2001-2012 m..................................................................................................................................................................28</w:t>
      </w:r>
    </w:p>
    <w:p w:rsidR="005B765D" w:rsidRPr="0017614D" w:rsidRDefault="005B765D" w:rsidP="005B765D">
      <w:pPr>
        <w:spacing w:after="0" w:line="360" w:lineRule="auto"/>
        <w:contextualSpacing/>
        <w:jc w:val="both"/>
        <w:rPr>
          <w:rFonts w:ascii="Times New Roman" w:hAnsi="Times New Roman" w:cs="Times New Roman"/>
          <w:sz w:val="24"/>
          <w:lang w:val="lt-LT"/>
        </w:rPr>
      </w:pPr>
      <w:r w:rsidRPr="0017614D">
        <w:rPr>
          <w:rFonts w:ascii="Times New Roman" w:hAnsi="Times New Roman" w:cs="Times New Roman"/>
          <w:sz w:val="24"/>
          <w:lang w:val="lt-LT"/>
        </w:rPr>
        <w:t>7 pav. Įmonių bankroto grėsmės diagnostikos sistemos schema...................................</w:t>
      </w:r>
      <w:r w:rsidR="00186457">
        <w:rPr>
          <w:rFonts w:ascii="Times New Roman" w:hAnsi="Times New Roman" w:cs="Times New Roman"/>
          <w:sz w:val="24"/>
          <w:lang w:val="lt-LT"/>
        </w:rPr>
        <w:t>..............................32</w:t>
      </w:r>
    </w:p>
    <w:p w:rsidR="005B765D" w:rsidRPr="0017614D" w:rsidRDefault="00186457" w:rsidP="005B765D">
      <w:pPr>
        <w:spacing w:after="0" w:line="360" w:lineRule="auto"/>
        <w:contextualSpacing/>
        <w:jc w:val="both"/>
        <w:rPr>
          <w:rFonts w:ascii="Times New Roman" w:hAnsi="Times New Roman" w:cs="Times New Roman"/>
          <w:sz w:val="24"/>
          <w:lang w:val="lt-LT"/>
        </w:rPr>
      </w:pPr>
      <w:r>
        <w:rPr>
          <w:rFonts w:ascii="Times New Roman" w:hAnsi="Times New Roman" w:cs="Times New Roman"/>
          <w:sz w:val="24"/>
          <w:lang w:val="lt-LT"/>
        </w:rPr>
        <w:t>8</w:t>
      </w:r>
      <w:r w:rsidR="005B765D" w:rsidRPr="0017614D">
        <w:rPr>
          <w:rFonts w:ascii="Times New Roman" w:hAnsi="Times New Roman" w:cs="Times New Roman"/>
          <w:sz w:val="24"/>
          <w:lang w:val="lt-LT"/>
        </w:rPr>
        <w:t xml:space="preserve"> pav. Išorinės aplinkos veiksniai..................................................................................</w:t>
      </w:r>
      <w:r>
        <w:rPr>
          <w:rFonts w:ascii="Times New Roman" w:hAnsi="Times New Roman" w:cs="Times New Roman"/>
          <w:sz w:val="24"/>
          <w:lang w:val="lt-LT"/>
        </w:rPr>
        <w:t>..............................34</w:t>
      </w:r>
    </w:p>
    <w:p w:rsidR="005B765D" w:rsidRPr="0017614D" w:rsidRDefault="00186457" w:rsidP="005B765D">
      <w:pPr>
        <w:spacing w:after="0" w:line="360" w:lineRule="auto"/>
        <w:contextualSpacing/>
        <w:jc w:val="both"/>
        <w:rPr>
          <w:rFonts w:ascii="Times New Roman" w:hAnsi="Times New Roman" w:cs="Times New Roman"/>
          <w:sz w:val="24"/>
          <w:lang w:val="lt-LT"/>
        </w:rPr>
      </w:pPr>
      <w:r>
        <w:rPr>
          <w:rFonts w:ascii="Times New Roman" w:hAnsi="Times New Roman" w:cs="Times New Roman"/>
          <w:sz w:val="24"/>
          <w:lang w:val="lt-LT"/>
        </w:rPr>
        <w:t>9</w:t>
      </w:r>
      <w:r w:rsidR="005B765D" w:rsidRPr="0017614D">
        <w:rPr>
          <w:rFonts w:ascii="Times New Roman" w:hAnsi="Times New Roman" w:cs="Times New Roman"/>
          <w:sz w:val="24"/>
          <w:lang w:val="lt-LT"/>
        </w:rPr>
        <w:t xml:space="preserve"> pav. Organizacijos vidinė aplinka.............................</w:t>
      </w:r>
      <w:r>
        <w:rPr>
          <w:rFonts w:ascii="Times New Roman" w:hAnsi="Times New Roman" w:cs="Times New Roman"/>
          <w:sz w:val="24"/>
          <w:lang w:val="lt-LT"/>
        </w:rPr>
        <w:t>..</w:t>
      </w:r>
      <w:r w:rsidR="005B765D" w:rsidRPr="0017614D">
        <w:rPr>
          <w:rFonts w:ascii="Times New Roman" w:hAnsi="Times New Roman" w:cs="Times New Roman"/>
          <w:sz w:val="24"/>
          <w:lang w:val="lt-LT"/>
        </w:rPr>
        <w:t>................................................</w:t>
      </w:r>
      <w:r>
        <w:rPr>
          <w:rFonts w:ascii="Times New Roman" w:hAnsi="Times New Roman" w:cs="Times New Roman"/>
          <w:sz w:val="24"/>
          <w:lang w:val="lt-LT"/>
        </w:rPr>
        <w:t>..............................35</w:t>
      </w:r>
    </w:p>
    <w:p w:rsidR="005B765D" w:rsidRDefault="00186457" w:rsidP="005B765D">
      <w:pPr>
        <w:spacing w:after="0" w:line="360" w:lineRule="auto"/>
        <w:contextualSpacing/>
        <w:jc w:val="both"/>
        <w:rPr>
          <w:rFonts w:ascii="Times New Roman" w:hAnsi="Times New Roman" w:cs="Times New Roman"/>
          <w:sz w:val="24"/>
          <w:lang w:val="lt-LT"/>
        </w:rPr>
      </w:pPr>
      <w:r>
        <w:rPr>
          <w:rFonts w:ascii="Times New Roman" w:hAnsi="Times New Roman" w:cs="Times New Roman"/>
          <w:sz w:val="24"/>
          <w:lang w:val="lt-LT"/>
        </w:rPr>
        <w:t>10</w:t>
      </w:r>
      <w:r w:rsidR="005B765D" w:rsidRPr="0017614D">
        <w:rPr>
          <w:rFonts w:ascii="Times New Roman" w:hAnsi="Times New Roman" w:cs="Times New Roman"/>
          <w:sz w:val="24"/>
          <w:lang w:val="lt-LT"/>
        </w:rPr>
        <w:t xml:space="preserve"> pav. Bankroto prognozavimo modelių klaifikacija.................................................................................39</w:t>
      </w:r>
    </w:p>
    <w:p w:rsidR="00186457" w:rsidRPr="0017614D" w:rsidRDefault="00186457" w:rsidP="005B765D">
      <w:pPr>
        <w:spacing w:after="0" w:line="360" w:lineRule="auto"/>
        <w:contextualSpacing/>
        <w:jc w:val="both"/>
        <w:rPr>
          <w:rFonts w:ascii="Times New Roman" w:hAnsi="Times New Roman" w:cs="Times New Roman"/>
          <w:sz w:val="24"/>
          <w:lang w:val="lt-LT"/>
        </w:rPr>
      </w:pPr>
      <w:r>
        <w:rPr>
          <w:rFonts w:ascii="Times New Roman" w:hAnsi="Times New Roman" w:cs="Times New Roman"/>
          <w:sz w:val="24"/>
          <w:lang w:val="lt-LT"/>
        </w:rPr>
        <w:t>11</w:t>
      </w:r>
      <w:r w:rsidRPr="0017614D">
        <w:rPr>
          <w:rFonts w:ascii="Times New Roman" w:hAnsi="Times New Roman" w:cs="Times New Roman"/>
          <w:sz w:val="24"/>
          <w:lang w:val="lt-LT"/>
        </w:rPr>
        <w:t xml:space="preserve"> pav. Kompleksinės įmonių bankroto grėsmės diag</w:t>
      </w:r>
      <w:r>
        <w:rPr>
          <w:rFonts w:ascii="Times New Roman" w:hAnsi="Times New Roman" w:cs="Times New Roman"/>
          <w:sz w:val="24"/>
          <w:lang w:val="lt-LT"/>
        </w:rPr>
        <w:t>nostikos schema...............</w:t>
      </w:r>
      <w:r w:rsidRPr="0017614D">
        <w:rPr>
          <w:rFonts w:ascii="Times New Roman" w:hAnsi="Times New Roman" w:cs="Times New Roman"/>
          <w:sz w:val="24"/>
          <w:lang w:val="lt-LT"/>
        </w:rPr>
        <w:t>..........</w:t>
      </w:r>
      <w:r>
        <w:rPr>
          <w:rFonts w:ascii="Times New Roman" w:hAnsi="Times New Roman" w:cs="Times New Roman"/>
          <w:sz w:val="24"/>
          <w:lang w:val="lt-LT"/>
        </w:rPr>
        <w:t>.............................43</w:t>
      </w:r>
    </w:p>
    <w:p w:rsidR="005B765D" w:rsidRPr="0017614D" w:rsidRDefault="005B765D" w:rsidP="005B765D">
      <w:pPr>
        <w:spacing w:after="0" w:line="360" w:lineRule="auto"/>
        <w:contextualSpacing/>
        <w:jc w:val="both"/>
        <w:rPr>
          <w:rFonts w:ascii="Times New Roman" w:hAnsi="Times New Roman" w:cs="Times New Roman"/>
          <w:sz w:val="24"/>
          <w:lang w:val="lt-LT"/>
        </w:rPr>
      </w:pPr>
      <w:r w:rsidRPr="0017614D">
        <w:rPr>
          <w:rFonts w:ascii="Times New Roman" w:hAnsi="Times New Roman" w:cs="Times New Roman"/>
          <w:sz w:val="24"/>
          <w:lang w:val="lt-LT"/>
        </w:rPr>
        <w:t>12 pav. 2008-2012 m. vartotojų kainų pokyčiai..........................................................................................48</w:t>
      </w:r>
    </w:p>
    <w:p w:rsidR="005B765D" w:rsidRPr="0017614D" w:rsidRDefault="005B765D" w:rsidP="005B765D">
      <w:pPr>
        <w:spacing w:after="0" w:line="360" w:lineRule="auto"/>
        <w:contextualSpacing/>
        <w:jc w:val="both"/>
        <w:rPr>
          <w:rFonts w:ascii="Times New Roman" w:hAnsi="Times New Roman" w:cs="Times New Roman"/>
          <w:sz w:val="24"/>
          <w:lang w:val="lt-LT"/>
        </w:rPr>
      </w:pPr>
      <w:r w:rsidRPr="0017614D">
        <w:rPr>
          <w:rFonts w:ascii="Times New Roman" w:hAnsi="Times New Roman" w:cs="Times New Roman"/>
          <w:sz w:val="24"/>
          <w:lang w:val="lt-LT"/>
        </w:rPr>
        <w:t>13 pav. 2008-2012 m. vidutinė 6 mėnesių Vilibor palūkanų norma............................................................48</w:t>
      </w:r>
    </w:p>
    <w:p w:rsidR="005B765D" w:rsidRPr="0017614D" w:rsidRDefault="005B765D" w:rsidP="005B765D">
      <w:pPr>
        <w:spacing w:after="0" w:line="360" w:lineRule="auto"/>
        <w:contextualSpacing/>
        <w:jc w:val="both"/>
        <w:rPr>
          <w:rFonts w:ascii="Times New Roman" w:hAnsi="Times New Roman" w:cs="Times New Roman"/>
          <w:sz w:val="24"/>
          <w:lang w:val="lt-LT"/>
        </w:rPr>
      </w:pPr>
      <w:r w:rsidRPr="0017614D">
        <w:rPr>
          <w:rFonts w:ascii="Times New Roman" w:hAnsi="Times New Roman" w:cs="Times New Roman"/>
          <w:sz w:val="24"/>
          <w:lang w:val="lt-LT"/>
        </w:rPr>
        <w:t>14 pav. UAB „Achemarida“, UAB „Romas ir ko“, UAB „Girteka“ ir UAB „Autoverslas“ organizacinė sistema..........................................................................................................................................................5</w:t>
      </w:r>
      <w:r w:rsidR="00587A25">
        <w:rPr>
          <w:rFonts w:ascii="Times New Roman" w:hAnsi="Times New Roman" w:cs="Times New Roman"/>
          <w:sz w:val="24"/>
          <w:lang w:val="lt-LT"/>
        </w:rPr>
        <w:t>1</w:t>
      </w:r>
    </w:p>
    <w:p w:rsidR="005B765D" w:rsidRPr="0017614D" w:rsidRDefault="005B765D" w:rsidP="005B765D">
      <w:pPr>
        <w:spacing w:after="0" w:line="360" w:lineRule="auto"/>
        <w:contextualSpacing/>
        <w:jc w:val="both"/>
        <w:rPr>
          <w:rFonts w:ascii="Times New Roman" w:hAnsi="Times New Roman" w:cs="Times New Roman"/>
          <w:sz w:val="24"/>
          <w:lang w:val="lt-LT"/>
        </w:rPr>
      </w:pPr>
      <w:r w:rsidRPr="0017614D">
        <w:rPr>
          <w:rFonts w:ascii="Times New Roman" w:hAnsi="Times New Roman" w:cs="Times New Roman"/>
          <w:sz w:val="24"/>
          <w:lang w:val="lt-LT"/>
        </w:rPr>
        <w:t>15 pav. UAB „Achemarida“, UAB „Romas ir ko“, UAB „Girteka“ ir UAB „Autoverslas“ bankroto tikimybės apskaičiuotos Altman modelio pagalba.......................................................................................63</w:t>
      </w:r>
    </w:p>
    <w:p w:rsidR="005B765D" w:rsidRPr="0017614D" w:rsidRDefault="005B765D" w:rsidP="005B765D">
      <w:pPr>
        <w:spacing w:after="0" w:line="360" w:lineRule="auto"/>
        <w:contextualSpacing/>
        <w:jc w:val="both"/>
        <w:rPr>
          <w:rFonts w:ascii="Times New Roman" w:hAnsi="Times New Roman" w:cs="Times New Roman"/>
          <w:sz w:val="24"/>
          <w:lang w:val="lt-LT"/>
        </w:rPr>
      </w:pPr>
      <w:r w:rsidRPr="0017614D">
        <w:rPr>
          <w:rFonts w:ascii="Times New Roman" w:hAnsi="Times New Roman" w:cs="Times New Roman"/>
          <w:sz w:val="24"/>
          <w:lang w:val="lt-LT"/>
        </w:rPr>
        <w:t>16 pav. UAB „Achemarida“, UAB „Romas ir ko“, UAB „Girteka“ ir UAB „Autoverslas“ bankroto tikimybės apskaičiuotos Springate modelio pagalba...................................................................................64</w:t>
      </w:r>
    </w:p>
    <w:p w:rsidR="005B765D" w:rsidRPr="0017614D" w:rsidRDefault="005B765D" w:rsidP="005B765D">
      <w:pPr>
        <w:spacing w:after="0" w:line="360" w:lineRule="auto"/>
        <w:contextualSpacing/>
        <w:jc w:val="both"/>
        <w:rPr>
          <w:rFonts w:ascii="Times New Roman" w:hAnsi="Times New Roman" w:cs="Times New Roman"/>
          <w:sz w:val="24"/>
          <w:lang w:val="lt-LT"/>
        </w:rPr>
      </w:pPr>
      <w:r w:rsidRPr="0017614D">
        <w:rPr>
          <w:rFonts w:ascii="Times New Roman" w:hAnsi="Times New Roman" w:cs="Times New Roman"/>
          <w:sz w:val="24"/>
          <w:lang w:val="lt-LT"/>
        </w:rPr>
        <w:t>17 pav. UAB „Achemarida“, UAB „Romas ir ko“, UAB „Girteka“ ir UAB „Autoverslas“ bankroto tikimybės apskaičiuotos Ta</w:t>
      </w:r>
      <w:r w:rsidR="00E6354F">
        <w:rPr>
          <w:rFonts w:ascii="Times New Roman" w:hAnsi="Times New Roman" w:cs="Times New Roman"/>
          <w:sz w:val="24"/>
          <w:lang w:val="lt-LT"/>
        </w:rPr>
        <w:t>f</w:t>
      </w:r>
      <w:r w:rsidRPr="0017614D">
        <w:rPr>
          <w:rFonts w:ascii="Times New Roman" w:hAnsi="Times New Roman" w:cs="Times New Roman"/>
          <w:sz w:val="24"/>
          <w:lang w:val="lt-LT"/>
        </w:rPr>
        <w:t>fler modelio pagalba.....................................</w:t>
      </w:r>
      <w:r w:rsidR="00E6354F">
        <w:rPr>
          <w:rFonts w:ascii="Times New Roman" w:hAnsi="Times New Roman" w:cs="Times New Roman"/>
          <w:sz w:val="24"/>
          <w:lang w:val="lt-LT"/>
        </w:rPr>
        <w:t>..............................</w:t>
      </w:r>
      <w:r w:rsidRPr="0017614D">
        <w:rPr>
          <w:rFonts w:ascii="Times New Roman" w:hAnsi="Times New Roman" w:cs="Times New Roman"/>
          <w:sz w:val="24"/>
          <w:lang w:val="lt-LT"/>
        </w:rPr>
        <w:t>....................64</w:t>
      </w:r>
    </w:p>
    <w:p w:rsidR="005B765D" w:rsidRPr="0017614D" w:rsidRDefault="005B765D" w:rsidP="005B765D">
      <w:pPr>
        <w:spacing w:after="0" w:line="360" w:lineRule="auto"/>
        <w:contextualSpacing/>
        <w:jc w:val="both"/>
        <w:rPr>
          <w:rFonts w:ascii="Times New Roman" w:hAnsi="Times New Roman" w:cs="Times New Roman"/>
          <w:sz w:val="24"/>
          <w:lang w:val="lt-LT"/>
        </w:rPr>
      </w:pPr>
      <w:r w:rsidRPr="0017614D">
        <w:rPr>
          <w:rFonts w:ascii="Times New Roman" w:hAnsi="Times New Roman" w:cs="Times New Roman"/>
          <w:sz w:val="24"/>
          <w:lang w:val="lt-LT"/>
        </w:rPr>
        <w:t>18 pav. UAB „Achemarida“, UAB „Romas ir ko“, UAB „Girteka“ ir UAB „Autoverslas“ bankroto tikimybės apskaičiuotos Liss modelio pagalba............................................................................................65</w:t>
      </w:r>
    </w:p>
    <w:p w:rsidR="005B765D" w:rsidRPr="0017614D" w:rsidRDefault="005B765D" w:rsidP="005B765D">
      <w:pPr>
        <w:spacing w:after="0" w:line="360" w:lineRule="auto"/>
        <w:contextualSpacing/>
        <w:jc w:val="both"/>
        <w:rPr>
          <w:rFonts w:ascii="Times New Roman" w:hAnsi="Times New Roman" w:cs="Times New Roman"/>
          <w:sz w:val="24"/>
          <w:lang w:val="lt-LT"/>
        </w:rPr>
      </w:pPr>
      <w:r w:rsidRPr="0017614D">
        <w:rPr>
          <w:rFonts w:ascii="Times New Roman" w:hAnsi="Times New Roman" w:cs="Times New Roman"/>
          <w:sz w:val="24"/>
          <w:lang w:val="lt-LT"/>
        </w:rPr>
        <w:t>19 pav. UAB „Achemarida“, UAB „Romas ir ko“, UAB „Girteka“ ir UAB „Autoverslas“ bankroto tikimybės apskaičiuotos Zavgren modelio pagalba.....................................................................................65</w:t>
      </w:r>
    </w:p>
    <w:p w:rsidR="005B765D" w:rsidRPr="0017614D" w:rsidRDefault="005B765D" w:rsidP="005B765D">
      <w:pPr>
        <w:spacing w:after="0" w:line="360" w:lineRule="auto"/>
        <w:contextualSpacing/>
        <w:jc w:val="both"/>
        <w:rPr>
          <w:rFonts w:ascii="Times New Roman" w:hAnsi="Times New Roman" w:cs="Times New Roman"/>
          <w:sz w:val="24"/>
          <w:lang w:val="lt-LT"/>
        </w:rPr>
      </w:pPr>
      <w:r w:rsidRPr="0017614D">
        <w:rPr>
          <w:rFonts w:ascii="Times New Roman" w:hAnsi="Times New Roman" w:cs="Times New Roman"/>
          <w:sz w:val="24"/>
          <w:lang w:val="lt-LT"/>
        </w:rPr>
        <w:t>20 pav. UAB „Achemarida“, UAB „Romas ir ko“, UAB „Girteka“ ir UAB „Autoverslas“ bankroto tikimybės apskaičiuotos Chesser modelio pagalba......................................................................................66</w:t>
      </w:r>
    </w:p>
    <w:p w:rsidR="00487B55" w:rsidRPr="0017614D" w:rsidRDefault="00487B55" w:rsidP="00487B55">
      <w:pPr>
        <w:rPr>
          <w:lang w:val="lt-LT"/>
        </w:rPr>
      </w:pPr>
    </w:p>
    <w:p w:rsidR="005B765D" w:rsidRPr="0017614D" w:rsidRDefault="005B765D" w:rsidP="005B765D">
      <w:pPr>
        <w:pStyle w:val="Heading1"/>
        <w:spacing w:before="0" w:line="240" w:lineRule="auto"/>
        <w:contextualSpacing/>
        <w:rPr>
          <w:lang w:val="lt-LT"/>
        </w:rPr>
      </w:pPr>
    </w:p>
    <w:p w:rsidR="00AC6999" w:rsidRPr="0017614D" w:rsidRDefault="00AC6999" w:rsidP="005B765D">
      <w:pPr>
        <w:pStyle w:val="Heading1"/>
        <w:spacing w:before="0" w:line="360" w:lineRule="auto"/>
        <w:contextualSpacing/>
        <w:rPr>
          <w:lang w:val="lt-LT"/>
        </w:rPr>
      </w:pPr>
      <w:bookmarkStart w:id="41" w:name="_Toc374655644"/>
      <w:r w:rsidRPr="0017614D">
        <w:rPr>
          <w:lang w:val="lt-LT"/>
        </w:rPr>
        <w:t>ĮVADAS</w:t>
      </w:r>
      <w:bookmarkEnd w:id="41"/>
    </w:p>
    <w:p w:rsidR="00AC6999" w:rsidRPr="0017614D" w:rsidRDefault="00AC6999" w:rsidP="00AA3637">
      <w:pPr>
        <w:spacing w:after="0" w:line="360" w:lineRule="auto"/>
        <w:contextualSpacing/>
        <w:rPr>
          <w:lang w:val="lt-LT"/>
        </w:rPr>
      </w:pPr>
    </w:p>
    <w:p w:rsidR="0092314A" w:rsidRDefault="00EF5CAD" w:rsidP="00AA3637">
      <w:pPr>
        <w:spacing w:after="0" w:line="360" w:lineRule="auto"/>
        <w:ind w:right="-74" w:firstLine="720"/>
        <w:contextualSpacing/>
        <w:jc w:val="both"/>
        <w:rPr>
          <w:rFonts w:ascii="Times New Roman" w:hAnsi="Times New Roman" w:cs="Times New Roman"/>
          <w:sz w:val="24"/>
          <w:szCs w:val="24"/>
          <w:lang w:val="lt-LT"/>
        </w:rPr>
      </w:pPr>
      <w:r w:rsidRPr="0017614D">
        <w:rPr>
          <w:rFonts w:ascii="Times New Roman" w:hAnsi="Times New Roman"/>
          <w:sz w:val="24"/>
          <w:szCs w:val="24"/>
          <w:lang w:val="lt-LT"/>
        </w:rPr>
        <w:t xml:space="preserve">Šiuolaikinėmis dinamiškos ir konkurencingos rinkos sąlygomis </w:t>
      </w:r>
      <w:r w:rsidRPr="0017614D">
        <w:rPr>
          <w:rFonts w:ascii="Times New Roman" w:hAnsi="Times New Roman" w:cs="Times New Roman"/>
          <w:sz w:val="24"/>
          <w:szCs w:val="24"/>
          <w:lang w:val="lt-LT"/>
        </w:rPr>
        <w:t>verslininkai gali atrasti daugiau galimybių, bet tuo pačiu jie</w:t>
      </w:r>
      <w:r w:rsidR="005A7515">
        <w:rPr>
          <w:rFonts w:ascii="Times New Roman" w:hAnsi="Times New Roman" w:cs="Times New Roman"/>
          <w:sz w:val="24"/>
          <w:szCs w:val="24"/>
          <w:lang w:val="lt-LT"/>
        </w:rPr>
        <w:t xml:space="preserve"> susiduria ir su didesne rizika. Verslininkų prisiimama rizika neretai gali sąlygoti įmonės bankrotą, ko pasekoje iškyla grėsmė ne tik įmonės vadovams, darbuotojams bet ir visos šalies ekonomikai.</w:t>
      </w:r>
      <w:r w:rsidRPr="0017614D">
        <w:rPr>
          <w:rFonts w:ascii="Times New Roman" w:hAnsi="Times New Roman" w:cs="Times New Roman"/>
          <w:sz w:val="24"/>
          <w:szCs w:val="24"/>
          <w:lang w:val="lt-LT"/>
        </w:rPr>
        <w:t xml:space="preserve"> </w:t>
      </w:r>
    </w:p>
    <w:p w:rsidR="001A2B05" w:rsidRPr="0017614D" w:rsidRDefault="001A2B05" w:rsidP="00AA3637">
      <w:pPr>
        <w:spacing w:after="0" w:line="360" w:lineRule="auto"/>
        <w:ind w:right="-71" w:firstLine="720"/>
        <w:contextualSpacing/>
        <w:jc w:val="both"/>
        <w:rPr>
          <w:rFonts w:ascii="Times New Roman" w:hAnsi="Times New Roman" w:cs="Times New Roman"/>
          <w:b/>
          <w:sz w:val="24"/>
          <w:szCs w:val="24"/>
          <w:lang w:val="lt-LT"/>
        </w:rPr>
      </w:pPr>
      <w:r w:rsidRPr="0017614D">
        <w:rPr>
          <w:rFonts w:ascii="Times New Roman" w:hAnsi="Times New Roman" w:cs="Times New Roman"/>
          <w:b/>
          <w:sz w:val="24"/>
          <w:szCs w:val="24"/>
          <w:lang w:val="lt-LT"/>
        </w:rPr>
        <w:t>Tyrimo a</w:t>
      </w:r>
      <w:r w:rsidR="00AC6999" w:rsidRPr="0017614D">
        <w:rPr>
          <w:rFonts w:ascii="Times New Roman" w:hAnsi="Times New Roman" w:cs="Times New Roman"/>
          <w:b/>
          <w:sz w:val="24"/>
          <w:szCs w:val="24"/>
          <w:lang w:val="lt-LT"/>
        </w:rPr>
        <w:t xml:space="preserve">ktualumas. </w:t>
      </w:r>
      <w:r w:rsidR="007064C3" w:rsidRPr="0017614D">
        <w:rPr>
          <w:rFonts w:ascii="Times New Roman" w:hAnsi="Times New Roman" w:cs="Times New Roman"/>
          <w:sz w:val="24"/>
          <w:szCs w:val="24"/>
          <w:lang w:val="lt-LT"/>
        </w:rPr>
        <w:t xml:space="preserve">Bankrotas yra labai aktuali nūdienos problema, paplitusi ne tik Lietuvoje, bet ir Europoje. </w:t>
      </w:r>
      <w:r w:rsidR="0006328F" w:rsidRPr="0017614D">
        <w:rPr>
          <w:rFonts w:ascii="Times New Roman" w:hAnsi="Times New Roman" w:cs="Times New Roman"/>
          <w:sz w:val="24"/>
          <w:szCs w:val="24"/>
          <w:lang w:val="lt-LT"/>
        </w:rPr>
        <w:t xml:space="preserve">2008 - 2009 metais </w:t>
      </w:r>
      <w:r w:rsidR="008A74CE" w:rsidRPr="0017614D">
        <w:rPr>
          <w:rFonts w:ascii="Times New Roman" w:hAnsi="Times New Roman" w:cs="Times New Roman"/>
          <w:sz w:val="24"/>
          <w:szCs w:val="24"/>
          <w:lang w:val="lt-LT"/>
        </w:rPr>
        <w:t>„</w:t>
      </w:r>
      <w:r w:rsidR="0006328F" w:rsidRPr="0017614D">
        <w:rPr>
          <w:rFonts w:ascii="Times New Roman" w:hAnsi="Times New Roman" w:cs="Times New Roman"/>
          <w:sz w:val="24"/>
          <w:szCs w:val="24"/>
          <w:lang w:val="lt-LT"/>
        </w:rPr>
        <w:t>praūžusi</w:t>
      </w:r>
      <w:r w:rsidR="008A74CE" w:rsidRPr="0017614D">
        <w:rPr>
          <w:rFonts w:ascii="Times New Roman" w:hAnsi="Times New Roman" w:cs="Times New Roman"/>
          <w:sz w:val="24"/>
          <w:szCs w:val="24"/>
          <w:lang w:val="lt-LT"/>
        </w:rPr>
        <w:t>“</w:t>
      </w:r>
      <w:r w:rsidR="0006328F" w:rsidRPr="0017614D">
        <w:rPr>
          <w:rFonts w:ascii="Times New Roman" w:hAnsi="Times New Roman" w:cs="Times New Roman"/>
          <w:sz w:val="24"/>
          <w:szCs w:val="24"/>
          <w:lang w:val="lt-LT"/>
        </w:rPr>
        <w:t xml:space="preserve"> didžiausia nuo 1993 metų bankrotų banga pasiglemžė ne tik naujai susikūrusias ir smulkias įmones, bet ir dideles, seniai veikiančias, tradicijas puoselėjančias bendroves. </w:t>
      </w:r>
      <w:r w:rsidR="007064C3" w:rsidRPr="0017614D">
        <w:rPr>
          <w:rFonts w:ascii="Times New Roman" w:hAnsi="Times New Roman" w:cs="Times New Roman"/>
          <w:sz w:val="24"/>
          <w:szCs w:val="24"/>
          <w:lang w:val="lt-LT"/>
        </w:rPr>
        <w:t xml:space="preserve">Šios problemos mastai verčia sunerimti ir imtis ryžtingų veiksmų jai sumažinti. </w:t>
      </w:r>
      <w:r w:rsidR="00AC6999" w:rsidRPr="0017614D">
        <w:rPr>
          <w:rFonts w:ascii="Times New Roman" w:hAnsi="Times New Roman" w:cs="Times New Roman"/>
          <w:sz w:val="24"/>
          <w:szCs w:val="24"/>
          <w:lang w:val="lt-LT"/>
        </w:rPr>
        <w:t xml:space="preserve">Įmonių bankrotas – tai ne tik pačios įmonės problema. Jo pasekmės pasireiškia visos šalies ūkio mastu. Nukenčia ne tik pats verslininkas, bet ir įmonės darbuotojai, kreditoriai, partneriai ir net visos šalies gyventojai. Dėl šios priežasties verslininkai turėtų atsakingiau pažiūrėti į savo verslo </w:t>
      </w:r>
      <w:r w:rsidR="0006328F" w:rsidRPr="0017614D">
        <w:rPr>
          <w:rFonts w:ascii="Times New Roman" w:hAnsi="Times New Roman" w:cs="Times New Roman"/>
          <w:sz w:val="24"/>
          <w:szCs w:val="24"/>
          <w:lang w:val="lt-LT"/>
        </w:rPr>
        <w:t xml:space="preserve">stabilumo bei </w:t>
      </w:r>
      <w:r w:rsidR="00AC6999" w:rsidRPr="0017614D">
        <w:rPr>
          <w:rFonts w:ascii="Times New Roman" w:hAnsi="Times New Roman" w:cs="Times New Roman"/>
          <w:sz w:val="24"/>
          <w:szCs w:val="24"/>
          <w:lang w:val="lt-LT"/>
        </w:rPr>
        <w:t xml:space="preserve">tęstinumo užtikrinimą. </w:t>
      </w:r>
    </w:p>
    <w:p w:rsidR="001F5FE5" w:rsidRPr="0017614D" w:rsidRDefault="001A2B05" w:rsidP="00AA3637">
      <w:pPr>
        <w:widowControl w:val="0"/>
        <w:overflowPunct w:val="0"/>
        <w:autoSpaceDE w:val="0"/>
        <w:autoSpaceDN w:val="0"/>
        <w:adjustRightInd w:val="0"/>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Dažnai verslininkai yra girdėję apie tam tikras atskiras b</w:t>
      </w:r>
      <w:r w:rsidR="000C4DF5" w:rsidRPr="0017614D">
        <w:rPr>
          <w:rFonts w:ascii="Times New Roman" w:hAnsi="Times New Roman" w:cs="Times New Roman"/>
          <w:sz w:val="24"/>
          <w:szCs w:val="24"/>
          <w:lang w:val="lt-LT"/>
        </w:rPr>
        <w:t>ankroto grėsmės nustatymo</w:t>
      </w:r>
      <w:r w:rsidR="002135A8" w:rsidRPr="0017614D">
        <w:rPr>
          <w:rFonts w:ascii="Times New Roman" w:hAnsi="Times New Roman" w:cs="Times New Roman"/>
          <w:sz w:val="24"/>
          <w:szCs w:val="24"/>
          <w:lang w:val="lt-LT"/>
        </w:rPr>
        <w:t xml:space="preserve"> priemones, be to daugelis mokslininkų yra nagrinėję įmonių bankrotų problemas kokiu nors vienu aspektu - tyrė bankroto priežastis, nagrinėjo finansines ataskaitas ar sukūrė bankroto prognozavimo modelius, </w:t>
      </w:r>
      <w:r w:rsidRPr="0017614D">
        <w:rPr>
          <w:rFonts w:ascii="Times New Roman" w:hAnsi="Times New Roman" w:cs="Times New Roman"/>
          <w:sz w:val="24"/>
          <w:szCs w:val="24"/>
          <w:lang w:val="lt-LT"/>
        </w:rPr>
        <w:t>tačiau ši</w:t>
      </w:r>
      <w:r w:rsidR="00946905" w:rsidRPr="0017614D">
        <w:rPr>
          <w:rFonts w:ascii="Times New Roman" w:hAnsi="Times New Roman" w:cs="Times New Roman"/>
          <w:sz w:val="24"/>
          <w:szCs w:val="24"/>
          <w:lang w:val="lt-LT"/>
        </w:rPr>
        <w:t>uolaikinės</w:t>
      </w:r>
      <w:r w:rsidRPr="0017614D">
        <w:rPr>
          <w:rFonts w:ascii="Times New Roman" w:hAnsi="Times New Roman" w:cs="Times New Roman"/>
          <w:sz w:val="24"/>
          <w:szCs w:val="24"/>
          <w:lang w:val="lt-LT"/>
        </w:rPr>
        <w:t xml:space="preserve"> įmonės priskiriamos sudėtingų sistemų kategorijai, be to, jos egzistuoja ne mažiau sudėtingoje terpėje, susirai</w:t>
      </w:r>
      <w:r w:rsidR="002135A8" w:rsidRPr="0017614D">
        <w:rPr>
          <w:rFonts w:ascii="Times New Roman" w:hAnsi="Times New Roman" w:cs="Times New Roman"/>
          <w:sz w:val="24"/>
          <w:szCs w:val="24"/>
          <w:lang w:val="lt-LT"/>
        </w:rPr>
        <w:t>zgusios globalizacijos saitais, kas</w:t>
      </w:r>
      <w:r w:rsidRPr="0017614D">
        <w:rPr>
          <w:rFonts w:ascii="Times New Roman" w:hAnsi="Times New Roman" w:cs="Times New Roman"/>
          <w:sz w:val="24"/>
          <w:szCs w:val="24"/>
          <w:lang w:val="lt-LT"/>
        </w:rPr>
        <w:t xml:space="preserve"> diktuoja būtinybę bankroto grėsmės vertinimams taikyti atitinkamo sudėtingumo kriterijų sistemas. </w:t>
      </w:r>
      <w:r w:rsidR="002135A8" w:rsidRPr="0017614D">
        <w:rPr>
          <w:rFonts w:ascii="Times New Roman" w:hAnsi="Times New Roman" w:cs="Times New Roman"/>
          <w:sz w:val="24"/>
          <w:szCs w:val="24"/>
          <w:lang w:val="lt-LT"/>
        </w:rPr>
        <w:t xml:space="preserve">Verslininkai turi suprasti, kad siekiant užtikrinti savo verslo tęstinumą, jie privalo ne tik </w:t>
      </w:r>
      <w:r w:rsidR="0006328F" w:rsidRPr="0017614D">
        <w:rPr>
          <w:rFonts w:ascii="Times New Roman" w:hAnsi="Times New Roman" w:cs="Times New Roman"/>
          <w:sz w:val="24"/>
          <w:szCs w:val="24"/>
          <w:lang w:val="lt-LT"/>
        </w:rPr>
        <w:t xml:space="preserve">nuolat sekti </w:t>
      </w:r>
      <w:r w:rsidR="001F5FE5" w:rsidRPr="0017614D">
        <w:rPr>
          <w:rFonts w:ascii="Times New Roman" w:hAnsi="Times New Roman" w:cs="Times New Roman"/>
          <w:sz w:val="24"/>
          <w:szCs w:val="24"/>
          <w:lang w:val="lt-LT"/>
        </w:rPr>
        <w:t>finansinių rodiklių pokyčius, bet ir</w:t>
      </w:r>
      <w:r w:rsidR="0006328F" w:rsidRPr="0017614D">
        <w:rPr>
          <w:rFonts w:ascii="Times New Roman" w:hAnsi="Times New Roman" w:cs="Times New Roman"/>
          <w:sz w:val="24"/>
          <w:szCs w:val="24"/>
          <w:lang w:val="lt-LT"/>
        </w:rPr>
        <w:t xml:space="preserve"> taikyti </w:t>
      </w:r>
      <w:r w:rsidR="005F35BE" w:rsidRPr="0017614D">
        <w:rPr>
          <w:rFonts w:ascii="Times New Roman" w:hAnsi="Times New Roman" w:cs="Times New Roman"/>
          <w:sz w:val="24"/>
          <w:szCs w:val="24"/>
          <w:lang w:val="lt-LT"/>
        </w:rPr>
        <w:t xml:space="preserve">bankroto prognozavimo modelius, </w:t>
      </w:r>
      <w:r w:rsidR="001F5FE5" w:rsidRPr="0017614D">
        <w:rPr>
          <w:rFonts w:ascii="Times New Roman" w:hAnsi="Times New Roman" w:cs="Times New Roman"/>
          <w:sz w:val="24"/>
          <w:szCs w:val="24"/>
          <w:lang w:val="lt-LT"/>
        </w:rPr>
        <w:t>analizuoti vidinę bei išorinę įmonės aplinką. Tokia įmonės veiklos stabilumo ir tęstinumo vertinimo metodika, gali padėti ne tik iš anksto nust</w:t>
      </w:r>
      <w:r w:rsidR="008A74CE" w:rsidRPr="0017614D">
        <w:rPr>
          <w:rFonts w:ascii="Times New Roman" w:hAnsi="Times New Roman" w:cs="Times New Roman"/>
          <w:sz w:val="24"/>
          <w:szCs w:val="24"/>
          <w:lang w:val="lt-LT"/>
        </w:rPr>
        <w:t xml:space="preserve">atyti bankroto tikimybę, bet ir, svarbiausia, </w:t>
      </w:r>
      <w:r w:rsidR="001F5FE5" w:rsidRPr="0017614D">
        <w:rPr>
          <w:rFonts w:ascii="Times New Roman" w:hAnsi="Times New Roman" w:cs="Times New Roman"/>
          <w:sz w:val="24"/>
          <w:szCs w:val="24"/>
          <w:lang w:val="lt-LT"/>
        </w:rPr>
        <w:t xml:space="preserve">laiku imtis strateginių </w:t>
      </w:r>
      <w:r w:rsidR="008A74CE" w:rsidRPr="0017614D">
        <w:rPr>
          <w:rFonts w:ascii="Times New Roman" w:hAnsi="Times New Roman" w:cs="Times New Roman"/>
          <w:sz w:val="24"/>
          <w:szCs w:val="24"/>
          <w:lang w:val="lt-LT"/>
        </w:rPr>
        <w:t xml:space="preserve">bei operatyvinių </w:t>
      </w:r>
      <w:r w:rsidR="001F5FE5" w:rsidRPr="0017614D">
        <w:rPr>
          <w:rFonts w:ascii="Times New Roman" w:hAnsi="Times New Roman" w:cs="Times New Roman"/>
          <w:sz w:val="24"/>
          <w:szCs w:val="24"/>
          <w:lang w:val="lt-LT"/>
        </w:rPr>
        <w:t>veiksmų įmonės veiklai gerinti.</w:t>
      </w:r>
    </w:p>
    <w:p w:rsidR="00AC6999" w:rsidRPr="0017614D" w:rsidRDefault="001A2B05" w:rsidP="00AA3637">
      <w:pPr>
        <w:spacing w:after="0" w:line="360" w:lineRule="auto"/>
        <w:ind w:right="-74" w:firstLine="720"/>
        <w:contextualSpacing/>
        <w:jc w:val="both"/>
        <w:rPr>
          <w:rFonts w:ascii="Times New Roman" w:hAnsi="Times New Roman" w:cs="Times New Roman"/>
          <w:b/>
          <w:bCs/>
          <w:sz w:val="24"/>
          <w:szCs w:val="24"/>
          <w:lang w:val="lt-LT"/>
        </w:rPr>
      </w:pPr>
      <w:r w:rsidRPr="0017614D">
        <w:rPr>
          <w:rFonts w:ascii="Times New Roman" w:hAnsi="Times New Roman" w:cs="Times New Roman"/>
          <w:b/>
          <w:bCs/>
          <w:sz w:val="24"/>
          <w:szCs w:val="24"/>
          <w:lang w:val="lt-LT"/>
        </w:rPr>
        <w:t>Tyrimo</w:t>
      </w:r>
      <w:r w:rsidR="00AC6999" w:rsidRPr="0017614D">
        <w:rPr>
          <w:rFonts w:ascii="Times New Roman" w:hAnsi="Times New Roman" w:cs="Times New Roman"/>
          <w:b/>
          <w:bCs/>
          <w:sz w:val="24"/>
          <w:szCs w:val="24"/>
          <w:lang w:val="lt-LT"/>
        </w:rPr>
        <w:t xml:space="preserve"> problema. </w:t>
      </w:r>
      <w:r w:rsidR="00AC6999" w:rsidRPr="0017614D">
        <w:rPr>
          <w:rFonts w:ascii="Times New Roman" w:hAnsi="Times New Roman" w:cs="Times New Roman"/>
          <w:sz w:val="24"/>
          <w:szCs w:val="24"/>
          <w:lang w:val="lt-LT"/>
        </w:rPr>
        <w:t xml:space="preserve">Nepakankamas </w:t>
      </w:r>
      <w:r w:rsidR="00231A54" w:rsidRPr="0017614D">
        <w:rPr>
          <w:rFonts w:ascii="Times New Roman" w:hAnsi="Times New Roman" w:cs="Times New Roman"/>
          <w:sz w:val="24"/>
          <w:szCs w:val="24"/>
          <w:lang w:val="lt-LT"/>
        </w:rPr>
        <w:t>kompleksinės</w:t>
      </w:r>
      <w:r w:rsidR="007F0830" w:rsidRPr="0017614D">
        <w:rPr>
          <w:rFonts w:ascii="Times New Roman" w:hAnsi="Times New Roman" w:cs="Times New Roman"/>
          <w:sz w:val="24"/>
          <w:szCs w:val="24"/>
          <w:lang w:val="lt-LT"/>
        </w:rPr>
        <w:t xml:space="preserve"> ba</w:t>
      </w:r>
      <w:r w:rsidR="00231A54" w:rsidRPr="0017614D">
        <w:rPr>
          <w:rFonts w:ascii="Times New Roman" w:hAnsi="Times New Roman" w:cs="Times New Roman"/>
          <w:sz w:val="24"/>
          <w:szCs w:val="24"/>
          <w:lang w:val="lt-LT"/>
        </w:rPr>
        <w:t>nkroto grėsmės diagnozavimo metodikos</w:t>
      </w:r>
      <w:r w:rsidR="0017614D">
        <w:rPr>
          <w:rFonts w:ascii="Times New Roman" w:hAnsi="Times New Roman" w:cs="Times New Roman"/>
          <w:sz w:val="24"/>
          <w:szCs w:val="24"/>
          <w:lang w:val="lt-LT"/>
        </w:rPr>
        <w:t>, apimančios ne tik skirtingus analizės būdus bet ir post-diagnostinių priemonių taikymą, ištyrimas bei jos</w:t>
      </w:r>
      <w:r w:rsidR="007F0830" w:rsidRPr="0017614D">
        <w:rPr>
          <w:rFonts w:ascii="Times New Roman" w:hAnsi="Times New Roman" w:cs="Times New Roman"/>
          <w:sz w:val="24"/>
          <w:szCs w:val="24"/>
          <w:lang w:val="lt-LT"/>
        </w:rPr>
        <w:t xml:space="preserve"> tinkamumo </w:t>
      </w:r>
      <w:r w:rsidR="00476877" w:rsidRPr="0017614D">
        <w:rPr>
          <w:rFonts w:ascii="Times New Roman" w:hAnsi="Times New Roman" w:cs="Times New Roman"/>
          <w:sz w:val="24"/>
          <w:szCs w:val="24"/>
          <w:lang w:val="lt-LT"/>
        </w:rPr>
        <w:t>Lietuvos</w:t>
      </w:r>
      <w:r w:rsidR="00231A54" w:rsidRPr="0017614D">
        <w:rPr>
          <w:rFonts w:ascii="Times New Roman" w:hAnsi="Times New Roman" w:cs="Times New Roman"/>
          <w:sz w:val="24"/>
          <w:szCs w:val="24"/>
          <w:lang w:val="lt-LT"/>
        </w:rPr>
        <w:t xml:space="preserve"> transportavimo</w:t>
      </w:r>
      <w:r w:rsidR="00476877" w:rsidRPr="0017614D">
        <w:rPr>
          <w:rFonts w:ascii="Times New Roman" w:hAnsi="Times New Roman" w:cs="Times New Roman"/>
          <w:sz w:val="24"/>
          <w:szCs w:val="24"/>
          <w:lang w:val="lt-LT"/>
        </w:rPr>
        <w:t xml:space="preserve"> įmonėms </w:t>
      </w:r>
      <w:r w:rsidR="0017614D">
        <w:rPr>
          <w:rFonts w:ascii="Times New Roman" w:hAnsi="Times New Roman" w:cs="Times New Roman"/>
          <w:sz w:val="24"/>
          <w:szCs w:val="24"/>
          <w:lang w:val="lt-LT"/>
        </w:rPr>
        <w:t>nustatymas</w:t>
      </w:r>
      <w:r w:rsidR="007F0830" w:rsidRPr="0017614D">
        <w:rPr>
          <w:rFonts w:ascii="Times New Roman" w:hAnsi="Times New Roman" w:cs="Times New Roman"/>
          <w:sz w:val="24"/>
          <w:szCs w:val="24"/>
          <w:lang w:val="lt-LT"/>
        </w:rPr>
        <w:t xml:space="preserve">.  </w:t>
      </w:r>
    </w:p>
    <w:p w:rsidR="00AC6999" w:rsidRPr="0017614D" w:rsidRDefault="00C350A8" w:rsidP="00AA3637">
      <w:pPr>
        <w:spacing w:after="0" w:line="360" w:lineRule="auto"/>
        <w:ind w:right="-74" w:firstLine="720"/>
        <w:contextualSpacing/>
        <w:jc w:val="both"/>
        <w:rPr>
          <w:rFonts w:ascii="Times New Roman" w:hAnsi="Times New Roman" w:cs="Times New Roman"/>
          <w:b/>
          <w:bCs/>
          <w:sz w:val="24"/>
          <w:szCs w:val="24"/>
          <w:lang w:val="lt-LT"/>
        </w:rPr>
      </w:pPr>
      <w:r w:rsidRPr="0017614D">
        <w:rPr>
          <w:rFonts w:ascii="Times New Roman" w:hAnsi="Times New Roman" w:cs="Times New Roman"/>
          <w:b/>
          <w:bCs/>
          <w:sz w:val="24"/>
          <w:szCs w:val="24"/>
          <w:lang w:val="lt-LT"/>
        </w:rPr>
        <w:t>Tyrimo</w:t>
      </w:r>
      <w:r w:rsidR="00AC6999" w:rsidRPr="0017614D">
        <w:rPr>
          <w:rFonts w:ascii="Times New Roman" w:hAnsi="Times New Roman" w:cs="Times New Roman"/>
          <w:b/>
          <w:bCs/>
          <w:sz w:val="24"/>
          <w:szCs w:val="24"/>
          <w:lang w:val="lt-LT"/>
        </w:rPr>
        <w:t xml:space="preserve"> objektas.</w:t>
      </w:r>
      <w:r w:rsidR="001F5FE5" w:rsidRPr="0017614D">
        <w:rPr>
          <w:rFonts w:ascii="Times New Roman" w:hAnsi="Times New Roman" w:cs="Times New Roman"/>
          <w:b/>
          <w:bCs/>
          <w:sz w:val="24"/>
          <w:szCs w:val="24"/>
          <w:lang w:val="lt-LT"/>
        </w:rPr>
        <w:t xml:space="preserve"> </w:t>
      </w:r>
      <w:r w:rsidR="00697522" w:rsidRPr="0017614D">
        <w:rPr>
          <w:rFonts w:ascii="Times New Roman" w:hAnsi="Times New Roman" w:cs="Times New Roman"/>
          <w:sz w:val="24"/>
          <w:szCs w:val="24"/>
          <w:lang w:val="lt-LT"/>
        </w:rPr>
        <w:t>Kompleksinės</w:t>
      </w:r>
      <w:r w:rsidR="002B2202" w:rsidRPr="0017614D">
        <w:rPr>
          <w:rFonts w:ascii="Times New Roman" w:hAnsi="Times New Roman" w:cs="Times New Roman"/>
          <w:sz w:val="24"/>
          <w:szCs w:val="24"/>
          <w:lang w:val="lt-LT"/>
        </w:rPr>
        <w:t xml:space="preserve"> b</w:t>
      </w:r>
      <w:r w:rsidR="00231A54" w:rsidRPr="0017614D">
        <w:rPr>
          <w:rFonts w:ascii="Times New Roman" w:hAnsi="Times New Roman" w:cs="Times New Roman"/>
          <w:sz w:val="24"/>
          <w:szCs w:val="24"/>
          <w:lang w:val="lt-LT"/>
        </w:rPr>
        <w:t>ankroto grėsmės diagnozavimo</w:t>
      </w:r>
      <w:r w:rsidR="00AC6999" w:rsidRPr="0017614D">
        <w:rPr>
          <w:rFonts w:ascii="Times New Roman" w:hAnsi="Times New Roman" w:cs="Times New Roman"/>
          <w:sz w:val="24"/>
          <w:szCs w:val="24"/>
          <w:lang w:val="lt-LT"/>
        </w:rPr>
        <w:t xml:space="preserve"> </w:t>
      </w:r>
      <w:r w:rsidR="00697522" w:rsidRPr="0017614D">
        <w:rPr>
          <w:rFonts w:ascii="Times New Roman" w:hAnsi="Times New Roman" w:cs="Times New Roman"/>
          <w:sz w:val="24"/>
          <w:szCs w:val="24"/>
          <w:lang w:val="lt-LT"/>
        </w:rPr>
        <w:t>metodikos</w:t>
      </w:r>
      <w:r w:rsidR="00AC6999" w:rsidRPr="0017614D">
        <w:rPr>
          <w:rFonts w:ascii="Times New Roman" w:hAnsi="Times New Roman" w:cs="Times New Roman"/>
          <w:sz w:val="24"/>
          <w:szCs w:val="24"/>
          <w:lang w:val="lt-LT"/>
        </w:rPr>
        <w:t xml:space="preserve"> tinkamumas</w:t>
      </w:r>
      <w:r w:rsidR="002B2202" w:rsidRPr="0017614D">
        <w:rPr>
          <w:rFonts w:ascii="Times New Roman" w:hAnsi="Times New Roman" w:cs="Times New Roman"/>
          <w:sz w:val="24"/>
          <w:szCs w:val="24"/>
          <w:lang w:val="lt-LT"/>
        </w:rPr>
        <w:t xml:space="preserve"> </w:t>
      </w:r>
      <w:r w:rsidR="00476877" w:rsidRPr="0017614D">
        <w:rPr>
          <w:rFonts w:ascii="Times New Roman" w:hAnsi="Times New Roman" w:cs="Times New Roman"/>
          <w:sz w:val="24"/>
          <w:szCs w:val="24"/>
          <w:lang w:val="lt-LT"/>
        </w:rPr>
        <w:t>Lietuvos</w:t>
      </w:r>
      <w:r w:rsidR="00231A54" w:rsidRPr="0017614D">
        <w:rPr>
          <w:rFonts w:ascii="Times New Roman" w:hAnsi="Times New Roman" w:cs="Times New Roman"/>
          <w:sz w:val="24"/>
          <w:szCs w:val="24"/>
          <w:lang w:val="lt-LT"/>
        </w:rPr>
        <w:t xml:space="preserve"> transportavimo</w:t>
      </w:r>
      <w:r w:rsidR="00476877" w:rsidRPr="0017614D">
        <w:rPr>
          <w:rFonts w:ascii="Times New Roman" w:hAnsi="Times New Roman" w:cs="Times New Roman"/>
          <w:sz w:val="24"/>
          <w:szCs w:val="24"/>
          <w:lang w:val="lt-LT"/>
        </w:rPr>
        <w:t xml:space="preserve"> įmonių </w:t>
      </w:r>
      <w:r w:rsidR="002B2202" w:rsidRPr="0017614D">
        <w:rPr>
          <w:rFonts w:ascii="Times New Roman" w:hAnsi="Times New Roman" w:cs="Times New Roman"/>
          <w:sz w:val="24"/>
          <w:szCs w:val="24"/>
          <w:lang w:val="lt-LT"/>
        </w:rPr>
        <w:t>bankroto grėsmei nustatyti</w:t>
      </w:r>
      <w:r w:rsidR="00AC6999" w:rsidRPr="0017614D">
        <w:rPr>
          <w:rFonts w:ascii="Times New Roman" w:hAnsi="Times New Roman" w:cs="Times New Roman"/>
          <w:sz w:val="24"/>
          <w:szCs w:val="24"/>
          <w:lang w:val="lt-LT"/>
        </w:rPr>
        <w:t>.</w:t>
      </w:r>
    </w:p>
    <w:p w:rsidR="0092314A" w:rsidRDefault="00C350A8" w:rsidP="00AA3637">
      <w:pPr>
        <w:tabs>
          <w:tab w:val="left" w:pos="3271"/>
        </w:tabs>
        <w:spacing w:after="0" w:line="360" w:lineRule="auto"/>
        <w:ind w:right="-74" w:firstLine="720"/>
        <w:contextualSpacing/>
        <w:jc w:val="both"/>
        <w:rPr>
          <w:rFonts w:ascii="Times New Roman" w:hAnsi="Times New Roman" w:cs="Times New Roman"/>
          <w:sz w:val="24"/>
          <w:szCs w:val="24"/>
          <w:lang w:val="lt-LT"/>
        </w:rPr>
      </w:pPr>
      <w:r w:rsidRPr="0017614D">
        <w:rPr>
          <w:rFonts w:ascii="Times New Roman" w:hAnsi="Times New Roman" w:cs="Times New Roman"/>
          <w:b/>
          <w:bCs/>
          <w:sz w:val="24"/>
          <w:szCs w:val="24"/>
          <w:lang w:val="lt-LT"/>
        </w:rPr>
        <w:t>Tyrimo</w:t>
      </w:r>
      <w:r w:rsidR="00AC6999" w:rsidRPr="0017614D">
        <w:rPr>
          <w:rFonts w:ascii="Times New Roman" w:hAnsi="Times New Roman" w:cs="Times New Roman"/>
          <w:b/>
          <w:bCs/>
          <w:sz w:val="24"/>
          <w:szCs w:val="24"/>
          <w:lang w:val="lt-LT"/>
        </w:rPr>
        <w:t xml:space="preserve"> tikslas. </w:t>
      </w:r>
      <w:r w:rsidR="00AC6999" w:rsidRPr="0017614D">
        <w:rPr>
          <w:rFonts w:ascii="Times New Roman" w:hAnsi="Times New Roman" w:cs="Times New Roman"/>
          <w:sz w:val="24"/>
          <w:szCs w:val="24"/>
          <w:lang w:val="lt-LT"/>
        </w:rPr>
        <w:t xml:space="preserve">Įvertinti </w:t>
      </w:r>
      <w:r w:rsidR="00697522" w:rsidRPr="0017614D">
        <w:rPr>
          <w:rFonts w:ascii="Times New Roman" w:hAnsi="Times New Roman" w:cs="Times New Roman"/>
          <w:sz w:val="24"/>
          <w:szCs w:val="24"/>
          <w:lang w:val="lt-LT"/>
        </w:rPr>
        <w:t>kompleksinės</w:t>
      </w:r>
      <w:r w:rsidR="00231A54" w:rsidRPr="0017614D">
        <w:rPr>
          <w:rFonts w:ascii="Times New Roman" w:hAnsi="Times New Roman" w:cs="Times New Roman"/>
          <w:sz w:val="24"/>
          <w:szCs w:val="24"/>
          <w:lang w:val="lt-LT"/>
        </w:rPr>
        <w:t xml:space="preserve"> bankroto grėsmės diagnozavimo</w:t>
      </w:r>
      <w:r w:rsidR="002B2202" w:rsidRPr="0017614D">
        <w:rPr>
          <w:rFonts w:ascii="Times New Roman" w:hAnsi="Times New Roman" w:cs="Times New Roman"/>
          <w:sz w:val="24"/>
          <w:szCs w:val="24"/>
          <w:lang w:val="lt-LT"/>
        </w:rPr>
        <w:t xml:space="preserve"> metodik</w:t>
      </w:r>
      <w:r w:rsidR="00697522" w:rsidRPr="0017614D">
        <w:rPr>
          <w:rFonts w:ascii="Times New Roman" w:hAnsi="Times New Roman" w:cs="Times New Roman"/>
          <w:sz w:val="24"/>
          <w:szCs w:val="24"/>
          <w:lang w:val="lt-LT"/>
        </w:rPr>
        <w:t>os</w:t>
      </w:r>
      <w:r w:rsidR="002B2202" w:rsidRPr="0017614D">
        <w:rPr>
          <w:rFonts w:ascii="Times New Roman" w:hAnsi="Times New Roman" w:cs="Times New Roman"/>
          <w:sz w:val="24"/>
          <w:szCs w:val="24"/>
          <w:lang w:val="lt-LT"/>
        </w:rPr>
        <w:t xml:space="preserve"> tinkamumą </w:t>
      </w:r>
      <w:r w:rsidR="00476877" w:rsidRPr="0017614D">
        <w:rPr>
          <w:rFonts w:ascii="Times New Roman" w:hAnsi="Times New Roman" w:cs="Times New Roman"/>
          <w:sz w:val="24"/>
          <w:szCs w:val="24"/>
          <w:lang w:val="lt-LT"/>
        </w:rPr>
        <w:t xml:space="preserve">Lietuvos </w:t>
      </w:r>
      <w:r w:rsidR="00AA3637" w:rsidRPr="0017614D">
        <w:rPr>
          <w:rFonts w:ascii="Times New Roman" w:hAnsi="Times New Roman" w:cs="Times New Roman"/>
          <w:sz w:val="24"/>
          <w:szCs w:val="24"/>
          <w:lang w:val="lt-LT"/>
        </w:rPr>
        <w:t xml:space="preserve">transportavimo </w:t>
      </w:r>
      <w:r w:rsidR="00476877" w:rsidRPr="0017614D">
        <w:rPr>
          <w:rFonts w:ascii="Times New Roman" w:hAnsi="Times New Roman" w:cs="Times New Roman"/>
          <w:sz w:val="24"/>
          <w:szCs w:val="24"/>
          <w:lang w:val="lt-LT"/>
        </w:rPr>
        <w:t xml:space="preserve">įmonių </w:t>
      </w:r>
      <w:r w:rsidR="002B2202" w:rsidRPr="0017614D">
        <w:rPr>
          <w:rFonts w:ascii="Times New Roman" w:hAnsi="Times New Roman" w:cs="Times New Roman"/>
          <w:sz w:val="24"/>
          <w:szCs w:val="24"/>
          <w:lang w:val="lt-LT"/>
        </w:rPr>
        <w:t>bankroto grėsmei nustatyti</w:t>
      </w:r>
      <w:r w:rsidR="00AA3637" w:rsidRPr="0017614D">
        <w:rPr>
          <w:rFonts w:ascii="Times New Roman" w:hAnsi="Times New Roman" w:cs="Times New Roman"/>
          <w:sz w:val="24"/>
          <w:szCs w:val="24"/>
          <w:lang w:val="lt-LT"/>
        </w:rPr>
        <w:t xml:space="preserve"> bei pasiūlyti post-diagnostines priemones nagrinėjamoms įmonėms</w:t>
      </w:r>
      <w:r w:rsidR="00AC6999" w:rsidRPr="0017614D">
        <w:rPr>
          <w:rFonts w:ascii="Times New Roman" w:hAnsi="Times New Roman" w:cs="Times New Roman"/>
          <w:sz w:val="24"/>
          <w:szCs w:val="24"/>
          <w:lang w:val="lt-LT"/>
        </w:rPr>
        <w:t xml:space="preserve">. </w:t>
      </w:r>
    </w:p>
    <w:p w:rsidR="00AC6999" w:rsidRPr="0017614D" w:rsidRDefault="00C350A8" w:rsidP="00AA3637">
      <w:pPr>
        <w:spacing w:after="0" w:line="360" w:lineRule="auto"/>
        <w:ind w:right="-74" w:firstLine="720"/>
        <w:contextualSpacing/>
        <w:jc w:val="both"/>
        <w:rPr>
          <w:rFonts w:ascii="Times New Roman" w:hAnsi="Times New Roman" w:cs="Times New Roman"/>
          <w:b/>
          <w:bCs/>
          <w:sz w:val="24"/>
          <w:szCs w:val="24"/>
          <w:lang w:val="lt-LT"/>
        </w:rPr>
      </w:pPr>
      <w:r w:rsidRPr="0017614D">
        <w:rPr>
          <w:rFonts w:ascii="Times New Roman" w:hAnsi="Times New Roman" w:cs="Times New Roman"/>
          <w:b/>
          <w:bCs/>
          <w:sz w:val="24"/>
          <w:szCs w:val="24"/>
          <w:lang w:val="lt-LT"/>
        </w:rPr>
        <w:lastRenderedPageBreak/>
        <w:t>Tyrimo</w:t>
      </w:r>
      <w:r w:rsidR="001F5FE5" w:rsidRPr="0017614D">
        <w:rPr>
          <w:rFonts w:ascii="Times New Roman" w:hAnsi="Times New Roman" w:cs="Times New Roman"/>
          <w:b/>
          <w:bCs/>
          <w:sz w:val="24"/>
          <w:szCs w:val="24"/>
          <w:lang w:val="lt-LT"/>
        </w:rPr>
        <w:t xml:space="preserve"> uždaviniai:</w:t>
      </w:r>
    </w:p>
    <w:p w:rsidR="00AC6999" w:rsidRPr="0017614D" w:rsidRDefault="000C4339" w:rsidP="00417443">
      <w:pPr>
        <w:pStyle w:val="ListParagraph"/>
        <w:numPr>
          <w:ilvl w:val="0"/>
          <w:numId w:val="16"/>
        </w:numPr>
        <w:spacing w:after="0" w:line="360" w:lineRule="auto"/>
        <w:ind w:right="-74"/>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Susisteminti</w:t>
      </w:r>
      <w:r w:rsidR="00AC6999" w:rsidRPr="0017614D">
        <w:rPr>
          <w:rFonts w:ascii="Times New Roman" w:hAnsi="Times New Roman" w:cs="Times New Roman"/>
          <w:sz w:val="24"/>
          <w:szCs w:val="24"/>
          <w:lang w:val="lt-LT"/>
        </w:rPr>
        <w:t xml:space="preserve"> bankroto teorinius aspektus;</w:t>
      </w:r>
    </w:p>
    <w:p w:rsidR="00AC6999" w:rsidRPr="0017614D" w:rsidRDefault="000C4339" w:rsidP="00417443">
      <w:pPr>
        <w:pStyle w:val="ListParagraph"/>
        <w:numPr>
          <w:ilvl w:val="0"/>
          <w:numId w:val="16"/>
        </w:numPr>
        <w:spacing w:after="0" w:line="360" w:lineRule="auto"/>
        <w:ind w:right="-74"/>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Pagrįsti</w:t>
      </w:r>
      <w:r w:rsidR="00F4649B" w:rsidRPr="0017614D">
        <w:rPr>
          <w:rFonts w:ascii="Times New Roman" w:hAnsi="Times New Roman" w:cs="Times New Roman"/>
          <w:sz w:val="24"/>
          <w:szCs w:val="24"/>
          <w:lang w:val="lt-LT"/>
        </w:rPr>
        <w:t xml:space="preserve"> bankroto prevencijos</w:t>
      </w:r>
      <w:r w:rsidR="00AC6999" w:rsidRPr="0017614D">
        <w:rPr>
          <w:rFonts w:ascii="Times New Roman" w:hAnsi="Times New Roman" w:cs="Times New Roman"/>
          <w:sz w:val="24"/>
          <w:szCs w:val="24"/>
          <w:lang w:val="lt-LT"/>
        </w:rPr>
        <w:t xml:space="preserve"> </w:t>
      </w:r>
      <w:r w:rsidR="002B2202" w:rsidRPr="0017614D">
        <w:rPr>
          <w:rFonts w:ascii="Times New Roman" w:hAnsi="Times New Roman" w:cs="Times New Roman"/>
          <w:sz w:val="24"/>
          <w:szCs w:val="24"/>
          <w:lang w:val="lt-LT"/>
        </w:rPr>
        <w:t>būtin</w:t>
      </w:r>
      <w:r w:rsidR="00AC6999" w:rsidRPr="0017614D">
        <w:rPr>
          <w:rFonts w:ascii="Times New Roman" w:hAnsi="Times New Roman" w:cs="Times New Roman"/>
          <w:sz w:val="24"/>
          <w:szCs w:val="24"/>
          <w:lang w:val="lt-LT"/>
        </w:rPr>
        <w:t xml:space="preserve">umą remiantis </w:t>
      </w:r>
      <w:r w:rsidR="002B2202" w:rsidRPr="0017614D">
        <w:rPr>
          <w:rFonts w:ascii="Times New Roman" w:hAnsi="Times New Roman" w:cs="Times New Roman"/>
          <w:sz w:val="24"/>
          <w:szCs w:val="24"/>
          <w:lang w:val="lt-LT"/>
        </w:rPr>
        <w:t>1993 – 2012</w:t>
      </w:r>
      <w:r w:rsidR="00AC6999" w:rsidRPr="0017614D">
        <w:rPr>
          <w:rFonts w:ascii="Times New Roman" w:hAnsi="Times New Roman" w:cs="Times New Roman"/>
          <w:sz w:val="24"/>
          <w:szCs w:val="24"/>
          <w:lang w:val="lt-LT"/>
        </w:rPr>
        <w:t xml:space="preserve"> m. įmonių bankroto kitimo </w:t>
      </w:r>
      <w:r w:rsidR="002B2202" w:rsidRPr="0017614D">
        <w:rPr>
          <w:rFonts w:ascii="Times New Roman" w:hAnsi="Times New Roman" w:cs="Times New Roman"/>
          <w:sz w:val="24"/>
          <w:szCs w:val="24"/>
          <w:lang w:val="lt-LT"/>
        </w:rPr>
        <w:t>dinamika</w:t>
      </w:r>
      <w:r w:rsidR="00AC6999" w:rsidRPr="0017614D">
        <w:rPr>
          <w:rFonts w:ascii="Times New Roman" w:hAnsi="Times New Roman" w:cs="Times New Roman"/>
          <w:sz w:val="24"/>
          <w:szCs w:val="24"/>
          <w:lang w:val="lt-LT"/>
        </w:rPr>
        <w:t xml:space="preserve"> Lietuvoje;</w:t>
      </w:r>
    </w:p>
    <w:p w:rsidR="00AC6999" w:rsidRPr="0017614D" w:rsidRDefault="005A7515" w:rsidP="00417443">
      <w:pPr>
        <w:pStyle w:val="ListParagraph"/>
        <w:numPr>
          <w:ilvl w:val="0"/>
          <w:numId w:val="16"/>
        </w:numPr>
        <w:spacing w:after="0" w:line="360" w:lineRule="auto"/>
        <w:ind w:right="-74"/>
        <w:jc w:val="both"/>
        <w:rPr>
          <w:rFonts w:ascii="Times New Roman" w:hAnsi="Times New Roman" w:cs="Times New Roman"/>
          <w:sz w:val="24"/>
          <w:szCs w:val="24"/>
          <w:lang w:val="lt-LT"/>
        </w:rPr>
      </w:pPr>
      <w:r>
        <w:rPr>
          <w:rFonts w:ascii="Times New Roman" w:hAnsi="Times New Roman" w:cs="Times New Roman"/>
          <w:sz w:val="24"/>
          <w:szCs w:val="24"/>
          <w:lang w:val="lt-LT"/>
        </w:rPr>
        <w:t>Parengti</w:t>
      </w:r>
      <w:r w:rsidR="00C350A8" w:rsidRPr="0017614D">
        <w:rPr>
          <w:rFonts w:ascii="Times New Roman" w:hAnsi="Times New Roman" w:cs="Times New Roman"/>
          <w:sz w:val="24"/>
          <w:szCs w:val="24"/>
          <w:lang w:val="lt-LT"/>
        </w:rPr>
        <w:t xml:space="preserve"> </w:t>
      </w:r>
      <w:r w:rsidR="00697522" w:rsidRPr="0017614D">
        <w:rPr>
          <w:rFonts w:ascii="Times New Roman" w:hAnsi="Times New Roman" w:cs="Times New Roman"/>
          <w:sz w:val="24"/>
          <w:szCs w:val="24"/>
          <w:lang w:val="lt-LT"/>
        </w:rPr>
        <w:t>kompleksinę</w:t>
      </w:r>
      <w:r w:rsidR="001C00DF" w:rsidRPr="0017614D">
        <w:rPr>
          <w:rFonts w:ascii="Times New Roman" w:hAnsi="Times New Roman" w:cs="Times New Roman"/>
          <w:sz w:val="24"/>
          <w:szCs w:val="24"/>
          <w:lang w:val="lt-LT"/>
        </w:rPr>
        <w:t xml:space="preserve"> bankroto </w:t>
      </w:r>
      <w:r>
        <w:rPr>
          <w:rFonts w:ascii="Times New Roman" w:hAnsi="Times New Roman" w:cs="Times New Roman"/>
          <w:sz w:val="24"/>
          <w:szCs w:val="24"/>
          <w:lang w:val="lt-LT"/>
        </w:rPr>
        <w:t xml:space="preserve">grėsmės </w:t>
      </w:r>
      <w:r w:rsidR="000C4DF5" w:rsidRPr="0017614D">
        <w:rPr>
          <w:rFonts w:ascii="Times New Roman" w:hAnsi="Times New Roman" w:cs="Times New Roman"/>
          <w:sz w:val="24"/>
          <w:szCs w:val="24"/>
          <w:lang w:val="lt-LT"/>
        </w:rPr>
        <w:t>diagnozavimo</w:t>
      </w:r>
      <w:r>
        <w:rPr>
          <w:rFonts w:ascii="Times New Roman" w:hAnsi="Times New Roman" w:cs="Times New Roman"/>
          <w:sz w:val="24"/>
          <w:szCs w:val="24"/>
          <w:lang w:val="lt-LT"/>
        </w:rPr>
        <w:t xml:space="preserve"> metodologiją</w:t>
      </w:r>
      <w:r w:rsidR="00476877" w:rsidRPr="0017614D">
        <w:rPr>
          <w:rFonts w:ascii="Times New Roman" w:hAnsi="Times New Roman" w:cs="Times New Roman"/>
          <w:sz w:val="24"/>
          <w:szCs w:val="24"/>
          <w:lang w:val="lt-LT"/>
        </w:rPr>
        <w:t>;</w:t>
      </w:r>
    </w:p>
    <w:p w:rsidR="00AC6999" w:rsidRPr="0017614D" w:rsidRDefault="000C4339" w:rsidP="00417443">
      <w:pPr>
        <w:pStyle w:val="ListParagraph"/>
        <w:numPr>
          <w:ilvl w:val="0"/>
          <w:numId w:val="16"/>
        </w:numPr>
        <w:spacing w:after="0" w:line="360" w:lineRule="auto"/>
        <w:ind w:right="-74"/>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P</w:t>
      </w:r>
      <w:r w:rsidR="001C00DF" w:rsidRPr="0017614D">
        <w:rPr>
          <w:rFonts w:ascii="Times New Roman" w:hAnsi="Times New Roman" w:cs="Times New Roman"/>
          <w:sz w:val="24"/>
          <w:szCs w:val="24"/>
          <w:lang w:val="lt-LT"/>
        </w:rPr>
        <w:t>ritaikyti</w:t>
      </w:r>
      <w:r w:rsidR="00697522" w:rsidRPr="0017614D">
        <w:rPr>
          <w:rFonts w:ascii="Times New Roman" w:hAnsi="Times New Roman" w:cs="Times New Roman"/>
          <w:sz w:val="24"/>
          <w:szCs w:val="24"/>
          <w:lang w:val="lt-LT"/>
        </w:rPr>
        <w:t xml:space="preserve"> kompleksinę</w:t>
      </w:r>
      <w:r w:rsidR="00C350A8" w:rsidRPr="0017614D">
        <w:rPr>
          <w:rFonts w:ascii="Times New Roman" w:hAnsi="Times New Roman" w:cs="Times New Roman"/>
          <w:sz w:val="24"/>
          <w:szCs w:val="24"/>
          <w:lang w:val="lt-LT"/>
        </w:rPr>
        <w:t xml:space="preserve"> bankroto grėsmės nustatymo metodi</w:t>
      </w:r>
      <w:r w:rsidR="001C00DF" w:rsidRPr="0017614D">
        <w:rPr>
          <w:rFonts w:ascii="Times New Roman" w:hAnsi="Times New Roman" w:cs="Times New Roman"/>
          <w:sz w:val="24"/>
          <w:szCs w:val="24"/>
          <w:lang w:val="lt-LT"/>
        </w:rPr>
        <w:t xml:space="preserve">ką pasirinktoms </w:t>
      </w:r>
      <w:r w:rsidR="00F4649B" w:rsidRPr="0017614D">
        <w:rPr>
          <w:rFonts w:ascii="Times New Roman" w:hAnsi="Times New Roman" w:cs="Times New Roman"/>
          <w:sz w:val="24"/>
          <w:szCs w:val="24"/>
          <w:lang w:val="lt-LT"/>
        </w:rPr>
        <w:t xml:space="preserve">bankrutavusioms ir nebankrutavusioms </w:t>
      </w:r>
      <w:r w:rsidR="001C00DF" w:rsidRPr="0017614D">
        <w:rPr>
          <w:rFonts w:ascii="Times New Roman" w:hAnsi="Times New Roman" w:cs="Times New Roman"/>
          <w:sz w:val="24"/>
          <w:szCs w:val="24"/>
          <w:lang w:val="lt-LT"/>
        </w:rPr>
        <w:t xml:space="preserve">Lietuvos </w:t>
      </w:r>
      <w:r w:rsidR="00AA3637" w:rsidRPr="0017614D">
        <w:rPr>
          <w:rFonts w:ascii="Times New Roman" w:hAnsi="Times New Roman" w:cs="Times New Roman"/>
          <w:sz w:val="24"/>
          <w:szCs w:val="24"/>
          <w:lang w:val="lt-LT"/>
        </w:rPr>
        <w:t xml:space="preserve">transportavimo </w:t>
      </w:r>
      <w:r w:rsidR="001C00DF" w:rsidRPr="0017614D">
        <w:rPr>
          <w:rFonts w:ascii="Times New Roman" w:hAnsi="Times New Roman" w:cs="Times New Roman"/>
          <w:sz w:val="24"/>
          <w:szCs w:val="24"/>
          <w:lang w:val="lt-LT"/>
        </w:rPr>
        <w:t>įmonėms</w:t>
      </w:r>
      <w:r w:rsidR="00AA3637" w:rsidRPr="0017614D">
        <w:rPr>
          <w:rFonts w:ascii="Times New Roman" w:hAnsi="Times New Roman" w:cs="Times New Roman"/>
          <w:sz w:val="24"/>
          <w:szCs w:val="24"/>
          <w:lang w:val="lt-LT"/>
        </w:rPr>
        <w:t xml:space="preserve"> bei pasiūlyti post-diagnostines priemones</w:t>
      </w:r>
      <w:r w:rsidR="00476877" w:rsidRPr="0017614D">
        <w:rPr>
          <w:rFonts w:ascii="Times New Roman" w:hAnsi="Times New Roman" w:cs="Times New Roman"/>
          <w:sz w:val="24"/>
          <w:szCs w:val="24"/>
          <w:lang w:val="lt-LT"/>
        </w:rPr>
        <w:t>;</w:t>
      </w:r>
    </w:p>
    <w:p w:rsidR="0092314A" w:rsidRPr="0017614D" w:rsidRDefault="00AC6999" w:rsidP="00417443">
      <w:pPr>
        <w:pStyle w:val="ListParagraph"/>
        <w:numPr>
          <w:ilvl w:val="0"/>
          <w:numId w:val="16"/>
        </w:numPr>
        <w:spacing w:after="0" w:line="360" w:lineRule="auto"/>
        <w:ind w:right="-74"/>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Nustatyti </w:t>
      </w:r>
      <w:r w:rsidR="00C350A8" w:rsidRPr="0017614D">
        <w:rPr>
          <w:rFonts w:ascii="Times New Roman" w:hAnsi="Times New Roman" w:cs="Times New Roman"/>
          <w:sz w:val="24"/>
          <w:szCs w:val="24"/>
          <w:lang w:val="lt-LT"/>
        </w:rPr>
        <w:t xml:space="preserve">pasirinktos metodikos tinkamumą </w:t>
      </w:r>
      <w:r w:rsidR="00AA3637" w:rsidRPr="0017614D">
        <w:rPr>
          <w:rFonts w:ascii="Times New Roman" w:hAnsi="Times New Roman" w:cs="Times New Roman"/>
          <w:sz w:val="24"/>
          <w:szCs w:val="24"/>
          <w:lang w:val="lt-LT"/>
        </w:rPr>
        <w:t>Lietuvos transportavimo įmonių bankroto grėsmei diagnzuoti</w:t>
      </w:r>
      <w:r w:rsidR="00C350A8" w:rsidRPr="0017614D">
        <w:rPr>
          <w:rFonts w:ascii="Times New Roman" w:hAnsi="Times New Roman" w:cs="Times New Roman"/>
          <w:sz w:val="24"/>
          <w:szCs w:val="24"/>
          <w:lang w:val="lt-LT"/>
        </w:rPr>
        <w:t>.</w:t>
      </w:r>
    </w:p>
    <w:p w:rsidR="0092314A" w:rsidRPr="0017614D" w:rsidRDefault="00C350A8" w:rsidP="00AA3637">
      <w:pPr>
        <w:spacing w:after="0" w:line="360" w:lineRule="auto"/>
        <w:ind w:right="-74" w:firstLine="720"/>
        <w:contextualSpacing/>
        <w:jc w:val="both"/>
        <w:rPr>
          <w:rFonts w:ascii="Times New Roman" w:hAnsi="Times New Roman" w:cs="Times New Roman"/>
          <w:b/>
          <w:sz w:val="24"/>
          <w:szCs w:val="24"/>
          <w:lang w:val="lt-LT"/>
        </w:rPr>
      </w:pPr>
      <w:r w:rsidRPr="0017614D">
        <w:rPr>
          <w:rFonts w:ascii="Times New Roman" w:hAnsi="Times New Roman" w:cs="Times New Roman"/>
          <w:b/>
          <w:sz w:val="24"/>
          <w:szCs w:val="24"/>
          <w:lang w:val="lt-LT"/>
        </w:rPr>
        <w:t>Tyrimo</w:t>
      </w:r>
      <w:r w:rsidR="00AC6999" w:rsidRPr="0017614D">
        <w:rPr>
          <w:rFonts w:ascii="Times New Roman" w:hAnsi="Times New Roman" w:cs="Times New Roman"/>
          <w:b/>
          <w:sz w:val="24"/>
          <w:szCs w:val="24"/>
          <w:lang w:val="lt-LT"/>
        </w:rPr>
        <w:t xml:space="preserve"> metodai.</w:t>
      </w:r>
      <w:r w:rsidR="002F428B" w:rsidRPr="0017614D">
        <w:rPr>
          <w:rFonts w:ascii="Times New Roman" w:hAnsi="Times New Roman" w:cs="Times New Roman"/>
          <w:b/>
          <w:sz w:val="24"/>
          <w:szCs w:val="24"/>
          <w:lang w:val="lt-LT"/>
        </w:rPr>
        <w:t xml:space="preserve"> </w:t>
      </w:r>
      <w:r w:rsidR="000C4339" w:rsidRPr="0017614D">
        <w:rPr>
          <w:rFonts w:ascii="Times New Roman" w:hAnsi="Times New Roman" w:cs="Times New Roman"/>
          <w:sz w:val="24"/>
          <w:szCs w:val="24"/>
          <w:lang w:val="lt-LT"/>
        </w:rPr>
        <w:t>Darbe</w:t>
      </w:r>
      <w:r w:rsidR="00AC6999" w:rsidRPr="0017614D">
        <w:rPr>
          <w:rFonts w:ascii="Times New Roman" w:hAnsi="Times New Roman" w:cs="Times New Roman"/>
          <w:sz w:val="24"/>
          <w:szCs w:val="24"/>
          <w:lang w:val="lt-LT"/>
        </w:rPr>
        <w:t xml:space="preserve"> taikomi mokslinės literatūros </w:t>
      </w:r>
      <w:r w:rsidRPr="0017614D">
        <w:rPr>
          <w:rFonts w:ascii="Times New Roman" w:hAnsi="Times New Roman" w:cs="Times New Roman"/>
          <w:sz w:val="24"/>
          <w:szCs w:val="24"/>
          <w:lang w:val="lt-LT"/>
        </w:rPr>
        <w:t xml:space="preserve">bei teisės aktų </w:t>
      </w:r>
      <w:r w:rsidR="00AC6999" w:rsidRPr="0017614D">
        <w:rPr>
          <w:rFonts w:ascii="Times New Roman" w:hAnsi="Times New Roman" w:cs="Times New Roman"/>
          <w:sz w:val="24"/>
          <w:szCs w:val="24"/>
          <w:lang w:val="lt-LT"/>
        </w:rPr>
        <w:t xml:space="preserve">analizės, loginės lyginamosios analizės, </w:t>
      </w:r>
      <w:r w:rsidRPr="0017614D">
        <w:rPr>
          <w:rFonts w:ascii="Times New Roman" w:hAnsi="Times New Roman" w:cs="Times New Roman"/>
          <w:sz w:val="24"/>
          <w:szCs w:val="24"/>
          <w:lang w:val="lt-LT"/>
        </w:rPr>
        <w:t>apibendrinimo, statistinių duomenų analizės bei</w:t>
      </w:r>
      <w:r w:rsidR="00AC6999" w:rsidRPr="0017614D">
        <w:rPr>
          <w:rFonts w:ascii="Times New Roman" w:hAnsi="Times New Roman" w:cs="Times New Roman"/>
          <w:sz w:val="24"/>
          <w:szCs w:val="24"/>
          <w:lang w:val="lt-LT"/>
        </w:rPr>
        <w:t xml:space="preserve"> kiekybinės analizės metodai</w:t>
      </w:r>
      <w:r w:rsidR="00231A54" w:rsidRPr="0017614D">
        <w:rPr>
          <w:rFonts w:ascii="Times New Roman" w:hAnsi="Times New Roman" w:cs="Times New Roman"/>
          <w:sz w:val="24"/>
          <w:szCs w:val="24"/>
          <w:lang w:val="lt-LT"/>
        </w:rPr>
        <w:t xml:space="preserve"> –</w:t>
      </w:r>
      <w:r w:rsidR="00683271" w:rsidRPr="0017614D">
        <w:rPr>
          <w:rFonts w:ascii="Times New Roman" w:hAnsi="Times New Roman" w:cs="Times New Roman"/>
          <w:sz w:val="24"/>
          <w:szCs w:val="24"/>
          <w:lang w:val="lt-LT"/>
        </w:rPr>
        <w:t xml:space="preserve"> absoliuti</w:t>
      </w:r>
      <w:r w:rsidR="00231A54" w:rsidRPr="0017614D">
        <w:rPr>
          <w:rFonts w:ascii="Times New Roman" w:hAnsi="Times New Roman" w:cs="Times New Roman"/>
          <w:sz w:val="24"/>
          <w:szCs w:val="24"/>
          <w:lang w:val="lt-LT"/>
        </w:rPr>
        <w:t>nių finansinių rodiklių analizė, finansinių santykinių rodiklių apskaičiavimas ir vertinimas, bankroto prognozavimo modelių taikymas</w:t>
      </w:r>
      <w:r w:rsidR="00AC6999" w:rsidRPr="0017614D">
        <w:rPr>
          <w:rFonts w:ascii="Times New Roman" w:hAnsi="Times New Roman" w:cs="Times New Roman"/>
          <w:sz w:val="24"/>
          <w:szCs w:val="24"/>
          <w:lang w:val="lt-LT"/>
        </w:rPr>
        <w:t>.</w:t>
      </w:r>
    </w:p>
    <w:p w:rsidR="00F4649B" w:rsidRPr="0017614D" w:rsidRDefault="00F4649B" w:rsidP="00AA3637">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b/>
          <w:sz w:val="24"/>
          <w:szCs w:val="24"/>
          <w:lang w:val="lt-LT"/>
        </w:rPr>
        <w:t>Tyrimo</w:t>
      </w:r>
      <w:r w:rsidR="00C350A8" w:rsidRPr="0017614D">
        <w:rPr>
          <w:rFonts w:ascii="Times New Roman" w:hAnsi="Times New Roman" w:cs="Times New Roman"/>
          <w:b/>
          <w:sz w:val="24"/>
          <w:szCs w:val="24"/>
          <w:lang w:val="lt-LT"/>
        </w:rPr>
        <w:t xml:space="preserve"> naujumas. </w:t>
      </w:r>
      <w:r w:rsidRPr="0017614D">
        <w:rPr>
          <w:rFonts w:ascii="Times New Roman" w:hAnsi="Times New Roman" w:cs="Times New Roman"/>
          <w:sz w:val="24"/>
          <w:szCs w:val="24"/>
          <w:lang w:val="lt-LT"/>
        </w:rPr>
        <w:t>Bankroto problema yra iškelta jau labai seniai. Daug m</w:t>
      </w:r>
      <w:r w:rsidR="005A7515">
        <w:rPr>
          <w:rFonts w:ascii="Times New Roman" w:hAnsi="Times New Roman" w:cs="Times New Roman"/>
          <w:sz w:val="24"/>
          <w:szCs w:val="24"/>
          <w:lang w:val="lt-LT"/>
        </w:rPr>
        <w:t>okslininkų savo darbuose rašė</w:t>
      </w:r>
      <w:r w:rsidRPr="0017614D">
        <w:rPr>
          <w:rFonts w:ascii="Times New Roman" w:hAnsi="Times New Roman" w:cs="Times New Roman"/>
          <w:sz w:val="24"/>
          <w:szCs w:val="24"/>
          <w:lang w:val="lt-LT"/>
        </w:rPr>
        <w:t xml:space="preserve"> apie tai, kaip įmonės galėtų išvengti bankroto. Labai dažnai literatūroje yra </w:t>
      </w:r>
      <w:r w:rsidR="005A7515">
        <w:rPr>
          <w:rFonts w:ascii="Times New Roman" w:hAnsi="Times New Roman" w:cs="Times New Roman"/>
          <w:sz w:val="24"/>
          <w:szCs w:val="24"/>
          <w:lang w:val="lt-LT"/>
        </w:rPr>
        <w:t>minimi</w:t>
      </w:r>
      <w:r w:rsidRPr="0017614D">
        <w:rPr>
          <w:rFonts w:ascii="Times New Roman" w:hAnsi="Times New Roman" w:cs="Times New Roman"/>
          <w:sz w:val="24"/>
          <w:szCs w:val="24"/>
          <w:lang w:val="lt-LT"/>
        </w:rPr>
        <w:t xml:space="preserve"> sukurti</w:t>
      </w:r>
      <w:r w:rsidR="0017614D">
        <w:rPr>
          <w:rFonts w:ascii="Times New Roman" w:hAnsi="Times New Roman" w:cs="Times New Roman"/>
          <w:sz w:val="24"/>
          <w:szCs w:val="24"/>
          <w:lang w:val="lt-LT"/>
        </w:rPr>
        <w:t xml:space="preserve"> specialū</w:t>
      </w:r>
      <w:r w:rsidRPr="0017614D">
        <w:rPr>
          <w:rFonts w:ascii="Times New Roman" w:hAnsi="Times New Roman" w:cs="Times New Roman"/>
          <w:sz w:val="24"/>
          <w:szCs w:val="24"/>
          <w:lang w:val="lt-LT"/>
        </w:rPr>
        <w:t>s bankroto prognozavimo modeliai. Tačiau išanalizavus mokslinę literatūrą paaiškėjo, kad dauguma autorių šio reiškinio problematiką</w:t>
      </w:r>
      <w:r w:rsidR="005A7515">
        <w:rPr>
          <w:rFonts w:ascii="Times New Roman" w:hAnsi="Times New Roman" w:cs="Times New Roman"/>
          <w:sz w:val="24"/>
          <w:szCs w:val="24"/>
          <w:lang w:val="lt-LT"/>
        </w:rPr>
        <w:t xml:space="preserve"> nagrinėjo tik </w:t>
      </w:r>
      <w:r w:rsidR="00C66D09" w:rsidRPr="0017614D">
        <w:rPr>
          <w:rFonts w:ascii="Times New Roman" w:hAnsi="Times New Roman" w:cs="Times New Roman"/>
          <w:sz w:val="24"/>
          <w:szCs w:val="24"/>
          <w:lang w:val="lt-LT"/>
        </w:rPr>
        <w:t>kokiu nors</w:t>
      </w:r>
      <w:r w:rsidRPr="0017614D">
        <w:rPr>
          <w:rFonts w:ascii="Times New Roman" w:hAnsi="Times New Roman" w:cs="Times New Roman"/>
          <w:sz w:val="24"/>
          <w:szCs w:val="24"/>
          <w:lang w:val="lt-LT"/>
        </w:rPr>
        <w:t xml:space="preserve"> </w:t>
      </w:r>
      <w:r w:rsidR="005A7515">
        <w:rPr>
          <w:rFonts w:ascii="Times New Roman" w:hAnsi="Times New Roman" w:cs="Times New Roman"/>
          <w:sz w:val="24"/>
          <w:szCs w:val="24"/>
          <w:lang w:val="lt-LT"/>
        </w:rPr>
        <w:t xml:space="preserve">vienu </w:t>
      </w:r>
      <w:r w:rsidRPr="0017614D">
        <w:rPr>
          <w:rFonts w:ascii="Times New Roman" w:hAnsi="Times New Roman" w:cs="Times New Roman"/>
          <w:sz w:val="24"/>
          <w:szCs w:val="24"/>
          <w:lang w:val="lt-LT"/>
        </w:rPr>
        <w:t xml:space="preserve">aspektu. </w:t>
      </w:r>
      <w:r w:rsidRPr="0017614D">
        <w:rPr>
          <w:rStyle w:val="hps"/>
          <w:rFonts w:ascii="Times New Roman" w:hAnsi="Times New Roman" w:cs="Times New Roman"/>
          <w:sz w:val="24"/>
          <w:szCs w:val="24"/>
          <w:lang w:val="lt-LT"/>
        </w:rPr>
        <w:t>Lietuvoje</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panašius tyrimus atliko tokie autoriai kaip</w:t>
      </w:r>
      <w:r w:rsidRPr="0017614D">
        <w:rPr>
          <w:rFonts w:ascii="Times New Roman" w:hAnsi="Times New Roman" w:cs="Times New Roman"/>
          <w:sz w:val="24"/>
          <w:szCs w:val="24"/>
          <w:lang w:val="lt-LT"/>
        </w:rPr>
        <w:t xml:space="preserve"> K. </w:t>
      </w:r>
      <w:r w:rsidRPr="0017614D">
        <w:rPr>
          <w:rStyle w:val="hps"/>
          <w:rFonts w:ascii="Times New Roman" w:hAnsi="Times New Roman" w:cs="Times New Roman"/>
          <w:sz w:val="24"/>
          <w:szCs w:val="24"/>
          <w:lang w:val="lt-LT"/>
        </w:rPr>
        <w:t>Garškaitė</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(200</w:t>
      </w:r>
      <w:r w:rsidR="002F428B" w:rsidRPr="0017614D">
        <w:rPr>
          <w:rStyle w:val="hps"/>
          <w:rFonts w:ascii="Times New Roman" w:hAnsi="Times New Roman" w:cs="Times New Roman"/>
          <w:sz w:val="24"/>
          <w:szCs w:val="24"/>
          <w:lang w:val="lt-LT"/>
        </w:rPr>
        <w:t>8</w:t>
      </w:r>
      <w:r w:rsidRPr="0017614D">
        <w:rPr>
          <w:rStyle w:val="hps"/>
          <w:rFonts w:ascii="Times New Roman" w:hAnsi="Times New Roman" w:cs="Times New Roman"/>
          <w:sz w:val="24"/>
          <w:szCs w:val="24"/>
          <w:lang w:val="lt-LT"/>
        </w:rPr>
        <w:t>)</w:t>
      </w:r>
      <w:r w:rsidRPr="0017614D">
        <w:rPr>
          <w:rFonts w:ascii="Times New Roman" w:hAnsi="Times New Roman" w:cs="Times New Roman"/>
          <w:sz w:val="24"/>
          <w:szCs w:val="24"/>
          <w:lang w:val="lt-LT"/>
        </w:rPr>
        <w:t xml:space="preserve">, Č. </w:t>
      </w:r>
      <w:r w:rsidRPr="0017614D">
        <w:rPr>
          <w:rStyle w:val="hps"/>
          <w:rFonts w:ascii="Times New Roman" w:hAnsi="Times New Roman" w:cs="Times New Roman"/>
          <w:sz w:val="24"/>
          <w:szCs w:val="24"/>
          <w:lang w:val="lt-LT"/>
        </w:rPr>
        <w:t>Purlys</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(2001)</w:t>
      </w:r>
      <w:r w:rsidRPr="0017614D">
        <w:rPr>
          <w:rFonts w:ascii="Times New Roman" w:hAnsi="Times New Roman" w:cs="Times New Roman"/>
          <w:sz w:val="24"/>
          <w:szCs w:val="24"/>
          <w:lang w:val="lt-LT"/>
        </w:rPr>
        <w:t xml:space="preserve">, M. </w:t>
      </w:r>
      <w:r w:rsidRPr="0017614D">
        <w:rPr>
          <w:rStyle w:val="hps"/>
          <w:rFonts w:ascii="Times New Roman" w:hAnsi="Times New Roman" w:cs="Times New Roman"/>
          <w:sz w:val="24"/>
          <w:szCs w:val="24"/>
          <w:lang w:val="lt-LT"/>
        </w:rPr>
        <w:t>Tvaronavičienė</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(2002),</w:t>
      </w:r>
      <w:r w:rsidRPr="0017614D">
        <w:rPr>
          <w:rFonts w:ascii="Times New Roman" w:hAnsi="Times New Roman" w:cs="Times New Roman"/>
          <w:sz w:val="24"/>
          <w:szCs w:val="24"/>
          <w:lang w:val="lt-LT"/>
        </w:rPr>
        <w:t xml:space="preserve"> S. </w:t>
      </w:r>
      <w:r w:rsidRPr="0017614D">
        <w:rPr>
          <w:rStyle w:val="hps"/>
          <w:rFonts w:ascii="Times New Roman" w:hAnsi="Times New Roman" w:cs="Times New Roman"/>
          <w:sz w:val="24"/>
          <w:szCs w:val="24"/>
          <w:lang w:val="lt-LT"/>
        </w:rPr>
        <w:t>Grigaravičius</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(2002)</w:t>
      </w:r>
      <w:r w:rsidR="002F428B" w:rsidRPr="0017614D">
        <w:rPr>
          <w:rStyle w:val="hps"/>
          <w:rFonts w:ascii="Times New Roman" w:hAnsi="Times New Roman" w:cs="Times New Roman"/>
          <w:sz w:val="24"/>
          <w:szCs w:val="24"/>
          <w:lang w:val="lt-LT"/>
        </w:rPr>
        <w:t xml:space="preserve">, D. Rugenytė ir kiti (2010), Lebedžinskaitė (2007), A. Baležentis ir J. Vijeikis (2010), D. </w:t>
      </w:r>
      <w:r w:rsidR="002F428B" w:rsidRPr="0017614D">
        <w:rPr>
          <w:rFonts w:ascii="Times New Roman" w:hAnsi="Times New Roman" w:cs="Times New Roman"/>
          <w:sz w:val="24"/>
          <w:szCs w:val="24"/>
          <w:lang w:val="lt-LT"/>
        </w:rPr>
        <w:t xml:space="preserve">Beržinskienė ir kiti (2007), </w:t>
      </w:r>
      <w:r w:rsidR="002F428B" w:rsidRPr="0017614D">
        <w:rPr>
          <w:rFonts w:ascii="Times New Roman" w:hAnsi="Times New Roman" w:cs="Times New Roman"/>
          <w:b/>
          <w:sz w:val="24"/>
          <w:szCs w:val="24"/>
          <w:lang w:val="lt-LT"/>
        </w:rPr>
        <w:t xml:space="preserve"> </w:t>
      </w:r>
      <w:r w:rsidR="002F428B" w:rsidRPr="0017614D">
        <w:rPr>
          <w:rFonts w:ascii="Times New Roman" w:hAnsi="Times New Roman" w:cs="Times New Roman"/>
          <w:sz w:val="24"/>
          <w:szCs w:val="24"/>
          <w:lang w:val="lt-LT"/>
        </w:rPr>
        <w:t xml:space="preserve">J. Karalevičienė ir R. Bužinskienė (2011), R. Krancevičiūtė (2012) </w:t>
      </w:r>
      <w:r w:rsidR="002F428B" w:rsidRPr="0017614D">
        <w:rPr>
          <w:rStyle w:val="hps"/>
          <w:rFonts w:ascii="Times New Roman" w:hAnsi="Times New Roman" w:cs="Times New Roman"/>
          <w:sz w:val="24"/>
          <w:szCs w:val="24"/>
          <w:lang w:val="lt-LT"/>
        </w:rPr>
        <w:t xml:space="preserve"> bei</w:t>
      </w:r>
      <w:r w:rsidRPr="0017614D">
        <w:rPr>
          <w:rStyle w:val="hps"/>
          <w:rFonts w:ascii="Times New Roman" w:hAnsi="Times New Roman" w:cs="Times New Roman"/>
          <w:sz w:val="24"/>
          <w:szCs w:val="24"/>
          <w:lang w:val="lt-LT"/>
        </w:rPr>
        <w:t xml:space="preserve"> kiti. Tuo tarpu tik nedaugėlis kalba apie tai, kad bankroto grėsmę reikėtų vertinti sujungiant kelias metodikas į vieną, tokiu būdu visapusiškai įverti</w:t>
      </w:r>
      <w:r w:rsidR="00EA1A84" w:rsidRPr="0017614D">
        <w:rPr>
          <w:rStyle w:val="hps"/>
          <w:rFonts w:ascii="Times New Roman" w:hAnsi="Times New Roman" w:cs="Times New Roman"/>
          <w:sz w:val="24"/>
          <w:szCs w:val="24"/>
          <w:lang w:val="lt-LT"/>
        </w:rPr>
        <w:t xml:space="preserve">nant įmonės būklė. </w:t>
      </w:r>
      <w:r w:rsidR="00203582" w:rsidRPr="0017614D">
        <w:rPr>
          <w:rStyle w:val="hps"/>
          <w:rFonts w:ascii="Times New Roman" w:hAnsi="Times New Roman" w:cs="Times New Roman"/>
          <w:sz w:val="24"/>
          <w:szCs w:val="24"/>
          <w:lang w:val="lt-LT"/>
        </w:rPr>
        <w:t>Be to mokslinėje literatūroje nėra akcentuojama, kad negalima apsiriboti tik bankroto diagnozavimu, būtina taikyti ir post-diagnostines priemones.</w:t>
      </w:r>
    </w:p>
    <w:p w:rsidR="00F4649B" w:rsidRPr="0017614D" w:rsidRDefault="00AC6999" w:rsidP="00AA3637">
      <w:pPr>
        <w:spacing w:after="0" w:line="360" w:lineRule="auto"/>
        <w:ind w:right="-74" w:firstLine="720"/>
        <w:contextualSpacing/>
        <w:jc w:val="both"/>
        <w:rPr>
          <w:rFonts w:ascii="Times New Roman" w:hAnsi="Times New Roman" w:cs="Times New Roman"/>
          <w:sz w:val="24"/>
          <w:szCs w:val="24"/>
          <w:lang w:val="lt-LT"/>
        </w:rPr>
      </w:pPr>
      <w:r w:rsidRPr="0017614D">
        <w:rPr>
          <w:rFonts w:ascii="Times New Roman" w:hAnsi="Times New Roman" w:cs="Times New Roman"/>
          <w:b/>
          <w:sz w:val="24"/>
          <w:szCs w:val="24"/>
          <w:lang w:val="lt-LT"/>
        </w:rPr>
        <w:t>Darbo struktūra.</w:t>
      </w:r>
      <w:r w:rsidR="002F428B" w:rsidRPr="0017614D">
        <w:rPr>
          <w:rFonts w:ascii="Times New Roman" w:hAnsi="Times New Roman" w:cs="Times New Roman"/>
          <w:b/>
          <w:sz w:val="24"/>
          <w:szCs w:val="24"/>
          <w:lang w:val="lt-LT"/>
        </w:rPr>
        <w:t xml:space="preserve"> </w:t>
      </w:r>
      <w:r w:rsidRPr="0017614D">
        <w:rPr>
          <w:rFonts w:ascii="Times New Roman" w:hAnsi="Times New Roman" w:cs="Times New Roman"/>
          <w:sz w:val="24"/>
          <w:szCs w:val="24"/>
          <w:lang w:val="lt-LT"/>
        </w:rPr>
        <w:t xml:space="preserve">Darbą sudaro trys dalys. Pirmoje dalyje yra </w:t>
      </w:r>
      <w:r w:rsidR="00590A9E" w:rsidRPr="0017614D">
        <w:rPr>
          <w:rFonts w:ascii="Times New Roman" w:hAnsi="Times New Roman" w:cs="Times New Roman"/>
          <w:sz w:val="24"/>
          <w:szCs w:val="24"/>
          <w:lang w:val="lt-LT"/>
        </w:rPr>
        <w:t>susisteminamos įvairių autorių nuomonės apie bankroto teorinius aspektus – palyginamos lietuvių ir užsienio mokslininkų pateikiamos</w:t>
      </w:r>
      <w:r w:rsidRPr="0017614D">
        <w:rPr>
          <w:rFonts w:ascii="Times New Roman" w:hAnsi="Times New Roman" w:cs="Times New Roman"/>
          <w:sz w:val="24"/>
          <w:szCs w:val="24"/>
          <w:lang w:val="lt-LT"/>
        </w:rPr>
        <w:t xml:space="preserve"> bankroto sąvok</w:t>
      </w:r>
      <w:r w:rsidR="00590A9E" w:rsidRPr="0017614D">
        <w:rPr>
          <w:rFonts w:ascii="Times New Roman" w:hAnsi="Times New Roman" w:cs="Times New Roman"/>
          <w:sz w:val="24"/>
          <w:szCs w:val="24"/>
          <w:lang w:val="lt-LT"/>
        </w:rPr>
        <w:t>os</w:t>
      </w:r>
      <w:r w:rsidRPr="0017614D">
        <w:rPr>
          <w:rFonts w:ascii="Times New Roman" w:hAnsi="Times New Roman" w:cs="Times New Roman"/>
          <w:sz w:val="24"/>
          <w:szCs w:val="24"/>
          <w:lang w:val="lt-LT"/>
        </w:rPr>
        <w:t>, aptariamos bankrotą sukeliančios priežastys</w:t>
      </w:r>
      <w:r w:rsidR="0092314A" w:rsidRPr="0017614D">
        <w:rPr>
          <w:rFonts w:ascii="Times New Roman" w:hAnsi="Times New Roman" w:cs="Times New Roman"/>
          <w:sz w:val="24"/>
          <w:szCs w:val="24"/>
          <w:lang w:val="lt-LT"/>
        </w:rPr>
        <w:t xml:space="preserve">, </w:t>
      </w:r>
      <w:r w:rsidR="00590A9E" w:rsidRPr="0017614D">
        <w:rPr>
          <w:rFonts w:ascii="Times New Roman" w:hAnsi="Times New Roman" w:cs="Times New Roman"/>
          <w:sz w:val="24"/>
          <w:szCs w:val="24"/>
          <w:lang w:val="lt-LT"/>
        </w:rPr>
        <w:t>išnagrinėjami šio reiškinio</w:t>
      </w:r>
      <w:r w:rsidR="0092314A" w:rsidRPr="0017614D">
        <w:rPr>
          <w:rFonts w:ascii="Times New Roman" w:hAnsi="Times New Roman" w:cs="Times New Roman"/>
          <w:sz w:val="24"/>
          <w:szCs w:val="24"/>
          <w:lang w:val="lt-LT"/>
        </w:rPr>
        <w:t xml:space="preserve"> požymiai</w:t>
      </w:r>
      <w:r w:rsidRPr="0017614D">
        <w:rPr>
          <w:rFonts w:ascii="Times New Roman" w:hAnsi="Times New Roman" w:cs="Times New Roman"/>
          <w:sz w:val="24"/>
          <w:szCs w:val="24"/>
          <w:lang w:val="lt-LT"/>
        </w:rPr>
        <w:t xml:space="preserve"> bei pasekmės šalies ūkiui. </w:t>
      </w:r>
      <w:r w:rsidR="00F4649B" w:rsidRPr="0017614D">
        <w:rPr>
          <w:rFonts w:ascii="Times New Roman" w:hAnsi="Times New Roman" w:cs="Times New Roman"/>
          <w:sz w:val="24"/>
          <w:szCs w:val="24"/>
          <w:lang w:val="lt-LT"/>
        </w:rPr>
        <w:t>Taip pat šioje</w:t>
      </w:r>
      <w:r w:rsidRPr="0017614D">
        <w:rPr>
          <w:rFonts w:ascii="Times New Roman" w:hAnsi="Times New Roman" w:cs="Times New Roman"/>
          <w:sz w:val="24"/>
          <w:szCs w:val="24"/>
          <w:lang w:val="lt-LT"/>
        </w:rPr>
        <w:t xml:space="preserve"> dalyje yra pagrindžiamas bankroto </w:t>
      </w:r>
      <w:r w:rsidR="00F4649B" w:rsidRPr="0017614D">
        <w:rPr>
          <w:rFonts w:ascii="Times New Roman" w:hAnsi="Times New Roman" w:cs="Times New Roman"/>
          <w:sz w:val="24"/>
          <w:szCs w:val="24"/>
          <w:lang w:val="lt-LT"/>
        </w:rPr>
        <w:t>prevencijos</w:t>
      </w:r>
      <w:r w:rsidRPr="0017614D">
        <w:rPr>
          <w:rFonts w:ascii="Times New Roman" w:hAnsi="Times New Roman" w:cs="Times New Roman"/>
          <w:sz w:val="24"/>
          <w:szCs w:val="24"/>
          <w:lang w:val="lt-LT"/>
        </w:rPr>
        <w:t xml:space="preserve"> </w:t>
      </w:r>
      <w:r w:rsidR="009831CA" w:rsidRPr="0017614D">
        <w:rPr>
          <w:rFonts w:ascii="Times New Roman" w:hAnsi="Times New Roman" w:cs="Times New Roman"/>
          <w:sz w:val="24"/>
          <w:szCs w:val="24"/>
          <w:lang w:val="lt-LT"/>
        </w:rPr>
        <w:t>būtinumas</w:t>
      </w:r>
      <w:r w:rsidR="0092314A" w:rsidRPr="0017614D">
        <w:rPr>
          <w:rFonts w:ascii="Times New Roman" w:hAnsi="Times New Roman" w:cs="Times New Roman"/>
          <w:sz w:val="24"/>
          <w:szCs w:val="24"/>
          <w:lang w:val="lt-LT"/>
        </w:rPr>
        <w:t>, remiantis 1993 – 2012</w:t>
      </w:r>
      <w:r w:rsidRPr="0017614D">
        <w:rPr>
          <w:rFonts w:ascii="Times New Roman" w:hAnsi="Times New Roman" w:cs="Times New Roman"/>
          <w:sz w:val="24"/>
          <w:szCs w:val="24"/>
          <w:lang w:val="lt-LT"/>
        </w:rPr>
        <w:t xml:space="preserve"> m. bankrotų dinamika Lietuvoje</w:t>
      </w:r>
      <w:r w:rsidR="00F4649B" w:rsidRPr="0017614D">
        <w:rPr>
          <w:rFonts w:ascii="Times New Roman" w:hAnsi="Times New Roman" w:cs="Times New Roman"/>
          <w:sz w:val="24"/>
          <w:szCs w:val="24"/>
          <w:lang w:val="lt-LT"/>
        </w:rPr>
        <w:t xml:space="preserve"> bei aptariamas įvairių mokslininkų požiūris į bankroto prevencijos sistemą</w:t>
      </w:r>
      <w:r w:rsidRPr="0017614D">
        <w:rPr>
          <w:rFonts w:ascii="Times New Roman" w:hAnsi="Times New Roman" w:cs="Times New Roman"/>
          <w:sz w:val="24"/>
          <w:szCs w:val="24"/>
          <w:lang w:val="lt-LT"/>
        </w:rPr>
        <w:t xml:space="preserve">. </w:t>
      </w:r>
      <w:r w:rsidR="00F4649B" w:rsidRPr="0017614D">
        <w:rPr>
          <w:rFonts w:ascii="Times New Roman" w:hAnsi="Times New Roman" w:cs="Times New Roman"/>
          <w:sz w:val="24"/>
          <w:szCs w:val="24"/>
          <w:lang w:val="lt-LT"/>
        </w:rPr>
        <w:t>Antroje dalyje yra išanalizuojama</w:t>
      </w:r>
      <w:r w:rsidRPr="0017614D">
        <w:rPr>
          <w:rFonts w:ascii="Times New Roman" w:hAnsi="Times New Roman" w:cs="Times New Roman"/>
          <w:sz w:val="24"/>
          <w:szCs w:val="24"/>
          <w:lang w:val="lt-LT"/>
        </w:rPr>
        <w:t xml:space="preserve"> </w:t>
      </w:r>
      <w:r w:rsidR="009831CA" w:rsidRPr="0017614D">
        <w:rPr>
          <w:rFonts w:ascii="Times New Roman" w:hAnsi="Times New Roman" w:cs="Times New Roman"/>
          <w:sz w:val="24"/>
          <w:szCs w:val="24"/>
          <w:lang w:val="lt-LT"/>
        </w:rPr>
        <w:t>kompleksinė</w:t>
      </w:r>
      <w:r w:rsidR="0092314A" w:rsidRPr="0017614D">
        <w:rPr>
          <w:rFonts w:ascii="Times New Roman" w:hAnsi="Times New Roman" w:cs="Times New Roman"/>
          <w:sz w:val="24"/>
          <w:szCs w:val="24"/>
          <w:lang w:val="lt-LT"/>
        </w:rPr>
        <w:t xml:space="preserve"> </w:t>
      </w:r>
      <w:r w:rsidR="000C4DF5" w:rsidRPr="0017614D">
        <w:rPr>
          <w:rFonts w:ascii="Times New Roman" w:hAnsi="Times New Roman" w:cs="Times New Roman"/>
          <w:sz w:val="24"/>
          <w:szCs w:val="24"/>
          <w:lang w:val="lt-LT"/>
        </w:rPr>
        <w:t>bankroto grėsmės nustatymo</w:t>
      </w:r>
      <w:r w:rsidRPr="0017614D">
        <w:rPr>
          <w:rFonts w:ascii="Times New Roman" w:hAnsi="Times New Roman" w:cs="Times New Roman"/>
          <w:sz w:val="24"/>
          <w:szCs w:val="24"/>
          <w:lang w:val="lt-LT"/>
        </w:rPr>
        <w:t xml:space="preserve"> m</w:t>
      </w:r>
      <w:r w:rsidR="00673CC1" w:rsidRPr="0017614D">
        <w:rPr>
          <w:rFonts w:ascii="Times New Roman" w:hAnsi="Times New Roman" w:cs="Times New Roman"/>
          <w:sz w:val="24"/>
          <w:szCs w:val="24"/>
          <w:lang w:val="lt-LT"/>
        </w:rPr>
        <w:t xml:space="preserve">etodika bei jos elementai – vidinės </w:t>
      </w:r>
      <w:r w:rsidR="009831CA" w:rsidRPr="0017614D">
        <w:rPr>
          <w:rFonts w:ascii="Times New Roman" w:hAnsi="Times New Roman" w:cs="Times New Roman"/>
          <w:sz w:val="24"/>
          <w:szCs w:val="24"/>
          <w:lang w:val="lt-LT"/>
        </w:rPr>
        <w:t>bei</w:t>
      </w:r>
      <w:r w:rsidR="00673CC1" w:rsidRPr="0017614D">
        <w:rPr>
          <w:rFonts w:ascii="Times New Roman" w:hAnsi="Times New Roman" w:cs="Times New Roman"/>
          <w:sz w:val="24"/>
          <w:szCs w:val="24"/>
          <w:lang w:val="lt-LT"/>
        </w:rPr>
        <w:t xml:space="preserve"> išorinės aplinkos analizė, absoliutinių bei santykinių</w:t>
      </w:r>
      <w:r w:rsidR="009831CA" w:rsidRPr="0017614D">
        <w:rPr>
          <w:rFonts w:ascii="Times New Roman" w:hAnsi="Times New Roman" w:cs="Times New Roman"/>
          <w:sz w:val="24"/>
          <w:szCs w:val="24"/>
          <w:lang w:val="lt-LT"/>
        </w:rPr>
        <w:t xml:space="preserve"> finansinių </w:t>
      </w:r>
      <w:r w:rsidR="0017614D">
        <w:rPr>
          <w:rFonts w:ascii="Times New Roman" w:hAnsi="Times New Roman" w:cs="Times New Roman"/>
          <w:sz w:val="24"/>
          <w:szCs w:val="24"/>
          <w:lang w:val="lt-LT"/>
        </w:rPr>
        <w:lastRenderedPageBreak/>
        <w:t>rodiklių analizė,</w:t>
      </w:r>
      <w:r w:rsidR="005A7515">
        <w:rPr>
          <w:rFonts w:ascii="Times New Roman" w:hAnsi="Times New Roman" w:cs="Times New Roman"/>
          <w:sz w:val="24"/>
          <w:szCs w:val="24"/>
          <w:lang w:val="lt-LT"/>
        </w:rPr>
        <w:t xml:space="preserve"> bankroto prognozavimo modeliai</w:t>
      </w:r>
      <w:r w:rsidR="00673CC1" w:rsidRPr="0017614D">
        <w:rPr>
          <w:rFonts w:ascii="Times New Roman" w:hAnsi="Times New Roman" w:cs="Times New Roman"/>
          <w:sz w:val="24"/>
          <w:szCs w:val="24"/>
          <w:lang w:val="lt-LT"/>
        </w:rPr>
        <w:t xml:space="preserve"> </w:t>
      </w:r>
      <w:r w:rsidR="0017614D">
        <w:rPr>
          <w:rFonts w:ascii="Times New Roman" w:hAnsi="Times New Roman" w:cs="Times New Roman"/>
          <w:sz w:val="24"/>
          <w:szCs w:val="24"/>
          <w:lang w:val="lt-LT"/>
        </w:rPr>
        <w:t>bei post-diagnostinės priemonės</w:t>
      </w:r>
      <w:r w:rsidR="009831CA" w:rsidRPr="0017614D">
        <w:rPr>
          <w:rFonts w:ascii="Times New Roman" w:hAnsi="Times New Roman" w:cs="Times New Roman"/>
          <w:sz w:val="24"/>
          <w:szCs w:val="24"/>
          <w:lang w:val="lt-LT"/>
        </w:rPr>
        <w:t xml:space="preserve">. </w:t>
      </w:r>
      <w:r w:rsidR="00F4649B" w:rsidRPr="0017614D">
        <w:rPr>
          <w:rFonts w:ascii="Times New Roman" w:hAnsi="Times New Roman" w:cs="Times New Roman"/>
          <w:sz w:val="24"/>
          <w:szCs w:val="24"/>
          <w:lang w:val="lt-LT"/>
        </w:rPr>
        <w:t>Tuo tarpu p</w:t>
      </w:r>
      <w:r w:rsidRPr="0017614D">
        <w:rPr>
          <w:rFonts w:ascii="Times New Roman" w:hAnsi="Times New Roman" w:cs="Times New Roman"/>
          <w:sz w:val="24"/>
          <w:szCs w:val="24"/>
          <w:lang w:val="lt-LT"/>
        </w:rPr>
        <w:t>askutinėj</w:t>
      </w:r>
      <w:r w:rsidR="00820015" w:rsidRPr="0017614D">
        <w:rPr>
          <w:rFonts w:ascii="Times New Roman" w:hAnsi="Times New Roman" w:cs="Times New Roman"/>
          <w:sz w:val="24"/>
          <w:szCs w:val="24"/>
          <w:lang w:val="lt-LT"/>
        </w:rPr>
        <w:t>e dalyje</w:t>
      </w:r>
      <w:r w:rsidR="009831CA" w:rsidRPr="0017614D">
        <w:rPr>
          <w:rFonts w:ascii="Times New Roman" w:hAnsi="Times New Roman" w:cs="Times New Roman"/>
          <w:sz w:val="24"/>
          <w:szCs w:val="24"/>
          <w:lang w:val="lt-LT"/>
        </w:rPr>
        <w:t xml:space="preserve"> pasirinkta kompleksinė</w:t>
      </w:r>
      <w:r w:rsidR="0092314A" w:rsidRPr="0017614D">
        <w:rPr>
          <w:rFonts w:ascii="Times New Roman" w:hAnsi="Times New Roman" w:cs="Times New Roman"/>
          <w:sz w:val="24"/>
          <w:szCs w:val="24"/>
          <w:lang w:val="lt-LT"/>
        </w:rPr>
        <w:t xml:space="preserve"> </w:t>
      </w:r>
      <w:r w:rsidR="0017614D" w:rsidRPr="0017614D">
        <w:rPr>
          <w:rFonts w:ascii="Times New Roman" w:hAnsi="Times New Roman" w:cs="Times New Roman"/>
          <w:sz w:val="24"/>
          <w:szCs w:val="24"/>
          <w:lang w:val="lt-LT"/>
        </w:rPr>
        <w:t>gre</w:t>
      </w:r>
      <w:r w:rsidR="000C4DF5" w:rsidRPr="0017614D">
        <w:rPr>
          <w:rFonts w:ascii="Times New Roman" w:hAnsi="Times New Roman" w:cs="Times New Roman"/>
          <w:sz w:val="24"/>
          <w:szCs w:val="24"/>
          <w:lang w:val="lt-LT"/>
        </w:rPr>
        <w:t xml:space="preserve">siančio </w:t>
      </w:r>
      <w:r w:rsidR="0092314A" w:rsidRPr="0017614D">
        <w:rPr>
          <w:rFonts w:ascii="Times New Roman" w:hAnsi="Times New Roman" w:cs="Times New Roman"/>
          <w:sz w:val="24"/>
          <w:szCs w:val="24"/>
          <w:lang w:val="lt-LT"/>
        </w:rPr>
        <w:t xml:space="preserve">bankroto </w:t>
      </w:r>
      <w:r w:rsidR="000C4DF5" w:rsidRPr="0017614D">
        <w:rPr>
          <w:rFonts w:ascii="Times New Roman" w:hAnsi="Times New Roman" w:cs="Times New Roman"/>
          <w:sz w:val="24"/>
          <w:szCs w:val="24"/>
          <w:lang w:val="lt-LT"/>
        </w:rPr>
        <w:t>diagnozavimo</w:t>
      </w:r>
      <w:r w:rsidR="0092314A" w:rsidRPr="0017614D">
        <w:rPr>
          <w:rFonts w:ascii="Times New Roman" w:hAnsi="Times New Roman" w:cs="Times New Roman"/>
          <w:sz w:val="24"/>
          <w:szCs w:val="24"/>
          <w:lang w:val="lt-LT"/>
        </w:rPr>
        <w:t xml:space="preserve"> metodika yra pritaikoma</w:t>
      </w:r>
      <w:r w:rsidRPr="0017614D">
        <w:rPr>
          <w:rFonts w:ascii="Times New Roman" w:hAnsi="Times New Roman" w:cs="Times New Roman"/>
          <w:sz w:val="24"/>
          <w:szCs w:val="24"/>
          <w:lang w:val="lt-LT"/>
        </w:rPr>
        <w:t xml:space="preserve"> </w:t>
      </w:r>
      <w:r w:rsidR="0092314A" w:rsidRPr="0017614D">
        <w:rPr>
          <w:rFonts w:ascii="Times New Roman" w:hAnsi="Times New Roman" w:cs="Times New Roman"/>
          <w:sz w:val="24"/>
          <w:szCs w:val="24"/>
          <w:lang w:val="lt-LT"/>
        </w:rPr>
        <w:t xml:space="preserve">4 </w:t>
      </w:r>
      <w:r w:rsidR="00203582" w:rsidRPr="0017614D">
        <w:rPr>
          <w:rFonts w:ascii="Times New Roman" w:hAnsi="Times New Roman" w:cs="Times New Roman"/>
          <w:sz w:val="24"/>
          <w:szCs w:val="24"/>
          <w:lang w:val="lt-LT"/>
        </w:rPr>
        <w:t xml:space="preserve">transportavimo šakos </w:t>
      </w:r>
      <w:r w:rsidR="0092314A" w:rsidRPr="0017614D">
        <w:rPr>
          <w:rFonts w:ascii="Times New Roman" w:hAnsi="Times New Roman" w:cs="Times New Roman"/>
          <w:sz w:val="24"/>
          <w:szCs w:val="24"/>
          <w:lang w:val="lt-LT"/>
        </w:rPr>
        <w:t>bendrovėms (iš jų 2 bankrutavusioms i</w:t>
      </w:r>
      <w:r w:rsidR="00203582" w:rsidRPr="0017614D">
        <w:rPr>
          <w:rFonts w:ascii="Times New Roman" w:hAnsi="Times New Roman" w:cs="Times New Roman"/>
          <w:sz w:val="24"/>
          <w:szCs w:val="24"/>
          <w:lang w:val="lt-LT"/>
        </w:rPr>
        <w:t xml:space="preserve">r 2 sėkmingai veikiančioms), </w:t>
      </w:r>
      <w:r w:rsidR="0092314A" w:rsidRPr="0017614D">
        <w:rPr>
          <w:rFonts w:ascii="Times New Roman" w:hAnsi="Times New Roman" w:cs="Times New Roman"/>
          <w:sz w:val="24"/>
          <w:szCs w:val="24"/>
          <w:lang w:val="lt-LT"/>
        </w:rPr>
        <w:t>nustatomas šios metodikos</w:t>
      </w:r>
      <w:r w:rsidRPr="0017614D">
        <w:rPr>
          <w:rFonts w:ascii="Times New Roman" w:hAnsi="Times New Roman" w:cs="Times New Roman"/>
          <w:sz w:val="24"/>
          <w:szCs w:val="24"/>
          <w:lang w:val="lt-LT"/>
        </w:rPr>
        <w:t xml:space="preserve"> tinkamumas </w:t>
      </w:r>
      <w:r w:rsidR="00F4649B" w:rsidRPr="0017614D">
        <w:rPr>
          <w:rFonts w:ascii="Times New Roman" w:hAnsi="Times New Roman" w:cs="Times New Roman"/>
          <w:sz w:val="24"/>
          <w:szCs w:val="24"/>
          <w:lang w:val="lt-LT"/>
        </w:rPr>
        <w:t xml:space="preserve">Lietuvos </w:t>
      </w:r>
      <w:r w:rsidR="00203582" w:rsidRPr="0017614D">
        <w:rPr>
          <w:rFonts w:ascii="Times New Roman" w:hAnsi="Times New Roman" w:cs="Times New Roman"/>
          <w:sz w:val="24"/>
          <w:szCs w:val="24"/>
          <w:lang w:val="lt-LT"/>
        </w:rPr>
        <w:t xml:space="preserve">transportavimo </w:t>
      </w:r>
      <w:r w:rsidR="00F4649B" w:rsidRPr="0017614D">
        <w:rPr>
          <w:rFonts w:ascii="Times New Roman" w:hAnsi="Times New Roman" w:cs="Times New Roman"/>
          <w:sz w:val="24"/>
          <w:szCs w:val="24"/>
          <w:lang w:val="lt-LT"/>
        </w:rPr>
        <w:t xml:space="preserve">įmonių </w:t>
      </w:r>
      <w:r w:rsidRPr="0017614D">
        <w:rPr>
          <w:rFonts w:ascii="Times New Roman" w:hAnsi="Times New Roman" w:cs="Times New Roman"/>
          <w:sz w:val="24"/>
          <w:szCs w:val="24"/>
          <w:lang w:val="lt-LT"/>
        </w:rPr>
        <w:t>bankrotui prognozuoti</w:t>
      </w:r>
      <w:r w:rsidR="00203582" w:rsidRPr="0017614D">
        <w:rPr>
          <w:rFonts w:ascii="Times New Roman" w:hAnsi="Times New Roman" w:cs="Times New Roman"/>
          <w:sz w:val="24"/>
          <w:szCs w:val="24"/>
          <w:lang w:val="lt-LT"/>
        </w:rPr>
        <w:t xml:space="preserve"> bei pasiūlomos post-diagnostinės priemonės</w:t>
      </w:r>
      <w:r w:rsidR="005A7515">
        <w:rPr>
          <w:rFonts w:ascii="Times New Roman" w:hAnsi="Times New Roman" w:cs="Times New Roman"/>
          <w:sz w:val="24"/>
          <w:szCs w:val="24"/>
          <w:lang w:val="lt-LT"/>
        </w:rPr>
        <w:t xml:space="preserve"> nagrinėjamoms įmonėms</w:t>
      </w:r>
      <w:r w:rsidRPr="0017614D">
        <w:rPr>
          <w:rFonts w:ascii="Times New Roman" w:hAnsi="Times New Roman" w:cs="Times New Roman"/>
          <w:sz w:val="24"/>
          <w:szCs w:val="24"/>
          <w:lang w:val="lt-LT"/>
        </w:rPr>
        <w:t>.</w:t>
      </w:r>
    </w:p>
    <w:p w:rsidR="00AA3637" w:rsidRDefault="00A93CCE" w:rsidP="00B22DEA">
      <w:pPr>
        <w:spacing w:after="0" w:line="360" w:lineRule="auto"/>
        <w:ind w:right="-74" w:firstLine="720"/>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T</w:t>
      </w:r>
      <w:r w:rsidR="00B22DEA">
        <w:rPr>
          <w:rFonts w:ascii="Times New Roman" w:hAnsi="Times New Roman" w:cs="Times New Roman"/>
          <w:sz w:val="24"/>
          <w:szCs w:val="24"/>
          <w:lang w:val="lt-LT"/>
        </w:rPr>
        <w:t xml:space="preserve">arpiniai </w:t>
      </w:r>
      <w:r>
        <w:rPr>
          <w:rFonts w:ascii="Times New Roman" w:hAnsi="Times New Roman" w:cs="Times New Roman"/>
          <w:sz w:val="24"/>
          <w:szCs w:val="24"/>
          <w:lang w:val="lt-LT"/>
        </w:rPr>
        <w:t xml:space="preserve">tyrimo </w:t>
      </w:r>
      <w:r w:rsidR="00B22DEA">
        <w:rPr>
          <w:rFonts w:ascii="Times New Roman" w:hAnsi="Times New Roman" w:cs="Times New Roman"/>
          <w:sz w:val="24"/>
          <w:szCs w:val="24"/>
          <w:lang w:val="lt-LT"/>
        </w:rPr>
        <w:t>rezultatai yra publikuoti žemiau nurodytuose moksliniuose straipsniuose:</w:t>
      </w:r>
    </w:p>
    <w:p w:rsidR="00261062" w:rsidRPr="00261062" w:rsidRDefault="00261062" w:rsidP="00417443">
      <w:pPr>
        <w:pStyle w:val="ListParagraph"/>
        <w:numPr>
          <w:ilvl w:val="0"/>
          <w:numId w:val="32"/>
        </w:numPr>
        <w:spacing w:after="0" w:line="360" w:lineRule="auto"/>
        <w:jc w:val="both"/>
        <w:rPr>
          <w:rFonts w:ascii="Times New Roman" w:hAnsi="Times New Roman" w:cs="Times New Roman"/>
          <w:sz w:val="24"/>
          <w:szCs w:val="24"/>
          <w:lang w:val="lt-LT"/>
        </w:rPr>
      </w:pPr>
      <w:r w:rsidRPr="00261062">
        <w:rPr>
          <w:rFonts w:ascii="Times New Roman" w:hAnsi="Times New Roman" w:cs="Times New Roman"/>
          <w:b/>
          <w:sz w:val="24"/>
          <w:szCs w:val="24"/>
          <w:lang w:val="lt-LT"/>
        </w:rPr>
        <w:t>„</w:t>
      </w:r>
      <w:r w:rsidRPr="00261062">
        <w:rPr>
          <w:rFonts w:ascii="Times New Roman" w:eastAsia="TimesNewRomanPS-BoldMT" w:hAnsi="Times New Roman" w:cs="Times New Roman"/>
          <w:bCs/>
          <w:sz w:val="24"/>
          <w:szCs w:val="24"/>
          <w:lang w:val="lt-LT"/>
        </w:rPr>
        <w:t>Evalution of linear discriminant analysis bancruptcy prediction models“</w:t>
      </w:r>
      <w:r w:rsidRPr="00261062">
        <w:rPr>
          <w:rFonts w:ascii="Times New Roman" w:eastAsia="TimesNewRomanPS-BoldMT" w:hAnsi="Times New Roman" w:cs="Times New Roman"/>
          <w:b/>
          <w:bCs/>
          <w:sz w:val="24"/>
          <w:szCs w:val="24"/>
          <w:lang w:val="lt-LT"/>
        </w:rPr>
        <w:t xml:space="preserve"> </w:t>
      </w:r>
      <w:r w:rsidRPr="00261062">
        <w:rPr>
          <w:rFonts w:ascii="Times New Roman" w:eastAsia="TimesNewRomanPS-BoldMT" w:hAnsi="Times New Roman" w:cs="Times New Roman"/>
          <w:bCs/>
          <w:sz w:val="24"/>
          <w:szCs w:val="24"/>
          <w:lang w:val="lt-LT"/>
        </w:rPr>
        <w:t>publikuota</w:t>
      </w:r>
      <w:r>
        <w:rPr>
          <w:rFonts w:ascii="Times New Roman" w:eastAsia="TimesNewRomanPS-BoldMT" w:hAnsi="Times New Roman" w:cs="Times New Roman"/>
          <w:bCs/>
          <w:sz w:val="24"/>
          <w:szCs w:val="24"/>
          <w:lang w:val="lt-LT"/>
        </w:rPr>
        <w:t>me</w:t>
      </w:r>
      <w:r w:rsidRPr="00261062">
        <w:rPr>
          <w:rFonts w:ascii="Times New Roman" w:eastAsia="TimesNewRomanPS-BoldMT" w:hAnsi="Times New Roman" w:cs="Times New Roman"/>
          <w:bCs/>
          <w:sz w:val="24"/>
          <w:szCs w:val="24"/>
          <w:lang w:val="lt-LT"/>
        </w:rPr>
        <w:t xml:space="preserve"> 2012 m. išleistame tarptautiniame mokslinių darbų rinkinyje skirtame Bratislavos Ekonomikos universiteto verslo ekonomikos katedros 60-mečiui</w:t>
      </w:r>
      <w:r>
        <w:rPr>
          <w:rFonts w:ascii="Times New Roman" w:eastAsia="TimesNewRomanPS-BoldMT" w:hAnsi="Times New Roman" w:cs="Times New Roman"/>
          <w:bCs/>
          <w:sz w:val="24"/>
          <w:szCs w:val="24"/>
          <w:lang w:val="lt-LT"/>
        </w:rPr>
        <w:t>.</w:t>
      </w:r>
    </w:p>
    <w:p w:rsidR="00261062" w:rsidRDefault="00261062" w:rsidP="00417443">
      <w:pPr>
        <w:pStyle w:val="ListParagraph"/>
        <w:numPr>
          <w:ilvl w:val="0"/>
          <w:numId w:val="32"/>
        </w:numPr>
        <w:spacing w:after="0" w:line="360" w:lineRule="auto"/>
        <w:jc w:val="both"/>
        <w:rPr>
          <w:rFonts w:ascii="Times New Roman" w:hAnsi="Times New Roman" w:cs="Times New Roman"/>
          <w:sz w:val="24"/>
          <w:szCs w:val="24"/>
          <w:lang w:val="lt-LT"/>
        </w:rPr>
      </w:pPr>
      <w:r>
        <w:rPr>
          <w:rFonts w:ascii="Times New Roman" w:hAnsi="Times New Roman" w:cs="Times New Roman"/>
          <w:b/>
          <w:sz w:val="24"/>
          <w:szCs w:val="24"/>
          <w:lang w:val="lt-LT"/>
        </w:rPr>
        <w:t>„</w:t>
      </w:r>
      <w:r w:rsidR="00B22DEA" w:rsidRPr="00B22DEA">
        <w:rPr>
          <w:rFonts w:ascii="Times New Roman" w:hAnsi="Times New Roman" w:cs="Times New Roman"/>
          <w:sz w:val="24"/>
          <w:szCs w:val="24"/>
          <w:lang w:val="lt-LT"/>
        </w:rPr>
        <w:t>The Evaluation of Bankruptcy Prediction Models for Lithuanian Companies</w:t>
      </w:r>
      <w:r>
        <w:rPr>
          <w:rFonts w:ascii="Times New Roman" w:hAnsi="Times New Roman" w:cs="Times New Roman"/>
          <w:sz w:val="24"/>
          <w:szCs w:val="24"/>
          <w:lang w:val="lt-LT"/>
        </w:rPr>
        <w:t>“ 2013 m. publikuotame Brno Technologijų universiteto moksliniame žurnale „</w:t>
      </w:r>
      <w:r w:rsidR="00B22DEA" w:rsidRPr="00B22DEA">
        <w:rPr>
          <w:rFonts w:ascii="Times New Roman" w:hAnsi="Times New Roman" w:cs="Times New Roman"/>
          <w:sz w:val="24"/>
          <w:szCs w:val="24"/>
          <w:lang w:val="lt-LT"/>
        </w:rPr>
        <w:t>Tr</w:t>
      </w:r>
      <w:r>
        <w:rPr>
          <w:rFonts w:ascii="Times New Roman" w:hAnsi="Times New Roman" w:cs="Times New Roman"/>
          <w:sz w:val="24"/>
          <w:szCs w:val="24"/>
          <w:lang w:val="lt-LT"/>
        </w:rPr>
        <w:t>endy ekonomiky a managementu“</w:t>
      </w:r>
      <w:r w:rsidR="00B22DEA">
        <w:rPr>
          <w:rFonts w:ascii="Times New Roman" w:hAnsi="Times New Roman" w:cs="Times New Roman"/>
          <w:sz w:val="24"/>
          <w:szCs w:val="24"/>
          <w:lang w:val="lt-LT"/>
        </w:rPr>
        <w:t>.</w:t>
      </w:r>
      <w:r w:rsidR="00B22DEA" w:rsidRPr="00B22DEA">
        <w:rPr>
          <w:rFonts w:ascii="Times New Roman" w:hAnsi="Times New Roman" w:cs="Times New Roman"/>
          <w:sz w:val="24"/>
          <w:szCs w:val="24"/>
          <w:lang w:val="lt-LT"/>
        </w:rPr>
        <w:t xml:space="preserve"> </w:t>
      </w:r>
    </w:p>
    <w:p w:rsidR="00AA3637" w:rsidRPr="0017614D" w:rsidRDefault="00AA3637" w:rsidP="00AA3637">
      <w:pPr>
        <w:spacing w:after="0" w:line="360" w:lineRule="auto"/>
        <w:ind w:right="-74" w:firstLine="720"/>
        <w:contextualSpacing/>
        <w:jc w:val="both"/>
        <w:rPr>
          <w:rFonts w:ascii="Times New Roman" w:hAnsi="Times New Roman" w:cs="Times New Roman"/>
          <w:sz w:val="24"/>
          <w:szCs w:val="24"/>
          <w:lang w:val="lt-LT"/>
        </w:rPr>
      </w:pPr>
    </w:p>
    <w:p w:rsidR="00AA3637" w:rsidRPr="0017614D" w:rsidRDefault="00AA3637" w:rsidP="00AA3637">
      <w:pPr>
        <w:spacing w:after="0" w:line="360" w:lineRule="auto"/>
        <w:ind w:right="-74" w:firstLine="720"/>
        <w:contextualSpacing/>
        <w:jc w:val="both"/>
        <w:rPr>
          <w:rFonts w:ascii="Times New Roman" w:hAnsi="Times New Roman" w:cs="Times New Roman"/>
          <w:sz w:val="24"/>
          <w:szCs w:val="24"/>
          <w:lang w:val="lt-LT"/>
        </w:rPr>
      </w:pPr>
    </w:p>
    <w:p w:rsidR="00AA3637" w:rsidRPr="0017614D" w:rsidRDefault="00AA3637" w:rsidP="00AA3637">
      <w:pPr>
        <w:spacing w:after="0" w:line="360" w:lineRule="auto"/>
        <w:ind w:right="-74" w:firstLine="720"/>
        <w:contextualSpacing/>
        <w:jc w:val="both"/>
        <w:rPr>
          <w:rFonts w:ascii="Times New Roman" w:hAnsi="Times New Roman" w:cs="Times New Roman"/>
          <w:sz w:val="24"/>
          <w:szCs w:val="24"/>
          <w:lang w:val="lt-LT"/>
        </w:rPr>
      </w:pPr>
    </w:p>
    <w:p w:rsidR="00AA3637" w:rsidRPr="0017614D" w:rsidRDefault="00AA3637" w:rsidP="00AA3637">
      <w:pPr>
        <w:spacing w:after="0" w:line="360" w:lineRule="auto"/>
        <w:ind w:right="-74" w:firstLine="720"/>
        <w:contextualSpacing/>
        <w:jc w:val="both"/>
        <w:rPr>
          <w:rFonts w:ascii="Times New Roman" w:hAnsi="Times New Roman" w:cs="Times New Roman"/>
          <w:sz w:val="24"/>
          <w:szCs w:val="24"/>
          <w:lang w:val="lt-LT"/>
        </w:rPr>
      </w:pPr>
    </w:p>
    <w:p w:rsidR="00AA3637" w:rsidRPr="0017614D" w:rsidRDefault="00AA3637" w:rsidP="00AA3637">
      <w:pPr>
        <w:spacing w:after="0" w:line="360" w:lineRule="auto"/>
        <w:ind w:right="-74" w:firstLine="720"/>
        <w:contextualSpacing/>
        <w:jc w:val="both"/>
        <w:rPr>
          <w:rFonts w:ascii="Times New Roman" w:hAnsi="Times New Roman" w:cs="Times New Roman"/>
          <w:sz w:val="24"/>
          <w:szCs w:val="24"/>
          <w:lang w:val="lt-LT"/>
        </w:rPr>
      </w:pPr>
    </w:p>
    <w:p w:rsidR="00AA3637" w:rsidRPr="0017614D" w:rsidRDefault="00AA3637" w:rsidP="00AA3637">
      <w:pPr>
        <w:spacing w:after="0" w:line="360" w:lineRule="auto"/>
        <w:ind w:right="-74" w:firstLine="720"/>
        <w:contextualSpacing/>
        <w:jc w:val="both"/>
        <w:rPr>
          <w:rFonts w:ascii="Times New Roman" w:hAnsi="Times New Roman" w:cs="Times New Roman"/>
          <w:sz w:val="24"/>
          <w:szCs w:val="24"/>
          <w:lang w:val="lt-LT"/>
        </w:rPr>
      </w:pPr>
    </w:p>
    <w:p w:rsidR="00AA3637" w:rsidRPr="0017614D" w:rsidRDefault="00AA3637" w:rsidP="00AA3637">
      <w:pPr>
        <w:spacing w:after="0" w:line="360" w:lineRule="auto"/>
        <w:ind w:right="-74" w:firstLine="720"/>
        <w:contextualSpacing/>
        <w:jc w:val="both"/>
        <w:rPr>
          <w:rFonts w:ascii="Times New Roman" w:hAnsi="Times New Roman" w:cs="Times New Roman"/>
          <w:sz w:val="24"/>
          <w:szCs w:val="24"/>
          <w:lang w:val="lt-LT"/>
        </w:rPr>
      </w:pPr>
    </w:p>
    <w:p w:rsidR="00AA3637" w:rsidRPr="0017614D" w:rsidRDefault="00AA3637" w:rsidP="00AA3637">
      <w:pPr>
        <w:spacing w:after="0" w:line="360" w:lineRule="auto"/>
        <w:ind w:right="-74" w:firstLine="720"/>
        <w:contextualSpacing/>
        <w:jc w:val="both"/>
        <w:rPr>
          <w:rFonts w:ascii="Times New Roman" w:hAnsi="Times New Roman" w:cs="Times New Roman"/>
          <w:sz w:val="24"/>
          <w:szCs w:val="24"/>
          <w:lang w:val="lt-LT"/>
        </w:rPr>
      </w:pPr>
    </w:p>
    <w:p w:rsidR="00AA3637" w:rsidRPr="0017614D" w:rsidRDefault="00AA3637" w:rsidP="00AA3637">
      <w:pPr>
        <w:spacing w:after="0" w:line="360" w:lineRule="auto"/>
        <w:ind w:right="-74" w:firstLine="720"/>
        <w:contextualSpacing/>
        <w:jc w:val="both"/>
        <w:rPr>
          <w:rFonts w:ascii="Times New Roman" w:hAnsi="Times New Roman" w:cs="Times New Roman"/>
          <w:sz w:val="24"/>
          <w:szCs w:val="24"/>
          <w:lang w:val="lt-LT"/>
        </w:rPr>
      </w:pPr>
    </w:p>
    <w:p w:rsidR="00AA3637" w:rsidRPr="0017614D" w:rsidRDefault="00AA3637" w:rsidP="00AA3637">
      <w:pPr>
        <w:spacing w:after="0" w:line="360" w:lineRule="auto"/>
        <w:ind w:right="-74" w:firstLine="720"/>
        <w:contextualSpacing/>
        <w:jc w:val="both"/>
        <w:rPr>
          <w:rFonts w:ascii="Times New Roman" w:hAnsi="Times New Roman" w:cs="Times New Roman"/>
          <w:sz w:val="24"/>
          <w:szCs w:val="24"/>
          <w:lang w:val="lt-LT"/>
        </w:rPr>
      </w:pPr>
    </w:p>
    <w:p w:rsidR="00AA3637" w:rsidRPr="0017614D" w:rsidRDefault="00AA3637" w:rsidP="00AA3637">
      <w:pPr>
        <w:spacing w:after="0" w:line="360" w:lineRule="auto"/>
        <w:ind w:right="-74" w:firstLine="720"/>
        <w:contextualSpacing/>
        <w:jc w:val="both"/>
        <w:rPr>
          <w:rFonts w:ascii="Times New Roman" w:hAnsi="Times New Roman" w:cs="Times New Roman"/>
          <w:sz w:val="24"/>
          <w:szCs w:val="24"/>
          <w:lang w:val="lt-LT"/>
        </w:rPr>
      </w:pPr>
    </w:p>
    <w:p w:rsidR="00AA3637" w:rsidRPr="0017614D" w:rsidRDefault="00AA3637" w:rsidP="00AA3637">
      <w:pPr>
        <w:spacing w:after="0" w:line="360" w:lineRule="auto"/>
        <w:ind w:right="-74" w:firstLine="720"/>
        <w:contextualSpacing/>
        <w:jc w:val="both"/>
        <w:rPr>
          <w:rFonts w:ascii="Times New Roman" w:hAnsi="Times New Roman" w:cs="Times New Roman"/>
          <w:sz w:val="24"/>
          <w:szCs w:val="24"/>
          <w:lang w:val="lt-LT"/>
        </w:rPr>
      </w:pPr>
    </w:p>
    <w:p w:rsidR="00AA3637" w:rsidRPr="0017614D" w:rsidRDefault="00AA3637" w:rsidP="00AA3637">
      <w:pPr>
        <w:spacing w:after="0" w:line="360" w:lineRule="auto"/>
        <w:ind w:right="-74" w:firstLine="720"/>
        <w:contextualSpacing/>
        <w:jc w:val="both"/>
        <w:rPr>
          <w:rFonts w:ascii="Times New Roman" w:hAnsi="Times New Roman" w:cs="Times New Roman"/>
          <w:sz w:val="24"/>
          <w:szCs w:val="24"/>
          <w:lang w:val="lt-LT"/>
        </w:rPr>
      </w:pPr>
    </w:p>
    <w:p w:rsidR="00AA3637" w:rsidRPr="0017614D" w:rsidRDefault="00AA3637" w:rsidP="00AA3637">
      <w:pPr>
        <w:spacing w:after="0" w:line="360" w:lineRule="auto"/>
        <w:ind w:right="-74" w:firstLine="720"/>
        <w:contextualSpacing/>
        <w:jc w:val="both"/>
        <w:rPr>
          <w:rFonts w:ascii="Times New Roman" w:hAnsi="Times New Roman" w:cs="Times New Roman"/>
          <w:sz w:val="24"/>
          <w:szCs w:val="24"/>
          <w:lang w:val="lt-LT"/>
        </w:rPr>
      </w:pPr>
    </w:p>
    <w:p w:rsidR="00AA3637" w:rsidRPr="0017614D" w:rsidRDefault="00AA3637" w:rsidP="00AA3637">
      <w:pPr>
        <w:spacing w:after="0" w:line="360" w:lineRule="auto"/>
        <w:ind w:right="-74" w:firstLine="720"/>
        <w:contextualSpacing/>
        <w:jc w:val="both"/>
        <w:rPr>
          <w:rFonts w:ascii="Times New Roman" w:hAnsi="Times New Roman" w:cs="Times New Roman"/>
          <w:sz w:val="24"/>
          <w:szCs w:val="24"/>
          <w:lang w:val="lt-LT"/>
        </w:rPr>
      </w:pPr>
    </w:p>
    <w:p w:rsidR="00AA3637" w:rsidRPr="0017614D" w:rsidRDefault="00AA3637" w:rsidP="00AA3637">
      <w:pPr>
        <w:spacing w:after="0" w:line="360" w:lineRule="auto"/>
        <w:ind w:right="-74" w:firstLine="720"/>
        <w:contextualSpacing/>
        <w:jc w:val="both"/>
        <w:rPr>
          <w:rFonts w:ascii="Times New Roman" w:hAnsi="Times New Roman" w:cs="Times New Roman"/>
          <w:sz w:val="24"/>
          <w:szCs w:val="24"/>
          <w:lang w:val="lt-LT"/>
        </w:rPr>
      </w:pPr>
    </w:p>
    <w:p w:rsidR="00AA3637" w:rsidRPr="0017614D" w:rsidRDefault="00AA3637" w:rsidP="00AA3637">
      <w:pPr>
        <w:spacing w:after="0" w:line="360" w:lineRule="auto"/>
        <w:ind w:right="-74" w:firstLine="720"/>
        <w:contextualSpacing/>
        <w:jc w:val="both"/>
        <w:rPr>
          <w:rFonts w:ascii="Times New Roman" w:hAnsi="Times New Roman" w:cs="Times New Roman"/>
          <w:sz w:val="24"/>
          <w:szCs w:val="24"/>
          <w:lang w:val="lt-LT"/>
        </w:rPr>
      </w:pPr>
    </w:p>
    <w:p w:rsidR="00AA3637" w:rsidRPr="0017614D" w:rsidRDefault="00AA3637" w:rsidP="00AA3637">
      <w:pPr>
        <w:spacing w:after="0" w:line="360" w:lineRule="auto"/>
        <w:ind w:right="-74" w:firstLine="720"/>
        <w:contextualSpacing/>
        <w:jc w:val="both"/>
        <w:rPr>
          <w:rFonts w:ascii="Times New Roman" w:hAnsi="Times New Roman" w:cs="Times New Roman"/>
          <w:sz w:val="24"/>
          <w:szCs w:val="24"/>
          <w:lang w:val="lt-LT"/>
        </w:rPr>
      </w:pPr>
    </w:p>
    <w:p w:rsidR="00AA3637" w:rsidRDefault="00AA3637" w:rsidP="00AA3637">
      <w:pPr>
        <w:spacing w:after="0" w:line="360" w:lineRule="auto"/>
        <w:ind w:right="-74" w:firstLine="720"/>
        <w:contextualSpacing/>
        <w:jc w:val="both"/>
        <w:rPr>
          <w:rFonts w:ascii="Times New Roman" w:hAnsi="Times New Roman" w:cs="Times New Roman"/>
          <w:sz w:val="24"/>
          <w:szCs w:val="24"/>
          <w:lang w:val="lt-LT"/>
        </w:rPr>
      </w:pPr>
    </w:p>
    <w:p w:rsidR="00261062" w:rsidRDefault="00261062" w:rsidP="00AA3637">
      <w:pPr>
        <w:spacing w:after="0" w:line="360" w:lineRule="auto"/>
        <w:ind w:right="-74" w:firstLine="720"/>
        <w:contextualSpacing/>
        <w:jc w:val="both"/>
        <w:rPr>
          <w:rFonts w:ascii="Times New Roman" w:hAnsi="Times New Roman" w:cs="Times New Roman"/>
          <w:sz w:val="24"/>
          <w:szCs w:val="24"/>
          <w:lang w:val="lt-LT"/>
        </w:rPr>
      </w:pPr>
    </w:p>
    <w:p w:rsidR="00261062" w:rsidRPr="0017614D" w:rsidRDefault="00261062" w:rsidP="00AA3637">
      <w:pPr>
        <w:spacing w:after="0" w:line="360" w:lineRule="auto"/>
        <w:ind w:right="-74" w:firstLine="720"/>
        <w:contextualSpacing/>
        <w:jc w:val="both"/>
        <w:rPr>
          <w:rFonts w:ascii="Times New Roman" w:hAnsi="Times New Roman" w:cs="Times New Roman"/>
          <w:sz w:val="24"/>
          <w:szCs w:val="24"/>
          <w:lang w:val="lt-LT"/>
        </w:rPr>
      </w:pPr>
    </w:p>
    <w:p w:rsidR="00954C4B" w:rsidRPr="0017614D" w:rsidRDefault="00954C4B" w:rsidP="00EA1A84">
      <w:pPr>
        <w:pStyle w:val="Heading1"/>
        <w:spacing w:before="0"/>
        <w:contextualSpacing/>
        <w:rPr>
          <w:lang w:val="lt-LT"/>
        </w:rPr>
      </w:pPr>
      <w:bookmarkStart w:id="42" w:name="_Toc374655645"/>
      <w:r w:rsidRPr="0017614D">
        <w:rPr>
          <w:lang w:val="lt-LT"/>
        </w:rPr>
        <w:t xml:space="preserve">1. ĮMONIŲ BANKROTO </w:t>
      </w:r>
      <w:bookmarkStart w:id="43" w:name="_Toc319615914"/>
      <w:bookmarkEnd w:id="0"/>
      <w:r w:rsidR="000B26B1" w:rsidRPr="0017614D">
        <w:rPr>
          <w:lang w:val="lt-LT"/>
        </w:rPr>
        <w:t>PROBLEMATIKA BEI PREVENCIJA</w:t>
      </w:r>
      <w:bookmarkEnd w:id="42"/>
    </w:p>
    <w:p w:rsidR="00954C4B" w:rsidRPr="0017614D" w:rsidRDefault="00954C4B" w:rsidP="00EA1A84">
      <w:pPr>
        <w:spacing w:after="0" w:line="240" w:lineRule="auto"/>
        <w:contextualSpacing/>
        <w:rPr>
          <w:rFonts w:ascii="Times New Roman" w:hAnsi="Times New Roman" w:cs="Times New Roman"/>
          <w:sz w:val="24"/>
          <w:szCs w:val="24"/>
          <w:lang w:val="lt-LT"/>
        </w:rPr>
      </w:pPr>
    </w:p>
    <w:p w:rsidR="00EC5749" w:rsidRPr="0017614D" w:rsidRDefault="00EC5749" w:rsidP="00EA1A84">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bCs/>
          <w:sz w:val="24"/>
          <w:szCs w:val="24"/>
          <w:lang w:val="lt-LT"/>
        </w:rPr>
        <w:t xml:space="preserve">Pastaraisiais metais, kai </w:t>
      </w:r>
      <w:r w:rsidR="00A4340C" w:rsidRPr="0017614D">
        <w:rPr>
          <w:rFonts w:ascii="Times New Roman" w:hAnsi="Times New Roman" w:cs="Times New Roman"/>
          <w:bCs/>
          <w:sz w:val="24"/>
          <w:szCs w:val="24"/>
          <w:lang w:val="lt-LT"/>
        </w:rPr>
        <w:t>visuomenėje, o ypač žiniasklaidoje,</w:t>
      </w:r>
      <w:r w:rsidRPr="0017614D">
        <w:rPr>
          <w:rFonts w:ascii="Times New Roman" w:hAnsi="Times New Roman" w:cs="Times New Roman"/>
          <w:bCs/>
          <w:sz w:val="24"/>
          <w:szCs w:val="24"/>
          <w:lang w:val="lt-LT"/>
        </w:rPr>
        <w:t xml:space="preserve"> buvo dažnai li</w:t>
      </w:r>
      <w:r w:rsidR="00C66D09" w:rsidRPr="0017614D">
        <w:rPr>
          <w:rFonts w:ascii="Times New Roman" w:hAnsi="Times New Roman" w:cs="Times New Roman"/>
          <w:bCs/>
          <w:sz w:val="24"/>
          <w:szCs w:val="24"/>
          <w:lang w:val="lt-LT"/>
        </w:rPr>
        <w:t>nksniuojamas žodis „krizė“, kai</w:t>
      </w:r>
      <w:r w:rsidRPr="0017614D">
        <w:rPr>
          <w:rFonts w:ascii="Times New Roman" w:hAnsi="Times New Roman" w:cs="Times New Roman"/>
          <w:bCs/>
          <w:sz w:val="24"/>
          <w:szCs w:val="24"/>
          <w:lang w:val="lt-LT"/>
        </w:rPr>
        <w:t xml:space="preserve"> vis girdėdavome, jog kažkas tapo nemokus, jog daugeliui įmonių gresia ar jau </w:t>
      </w:r>
      <w:r w:rsidR="00C66D09" w:rsidRPr="0017614D">
        <w:rPr>
          <w:rFonts w:ascii="Times New Roman" w:hAnsi="Times New Roman" w:cs="Times New Roman"/>
          <w:bCs/>
          <w:sz w:val="24"/>
          <w:szCs w:val="24"/>
          <w:lang w:val="lt-LT"/>
        </w:rPr>
        <w:t xml:space="preserve">yra </w:t>
      </w:r>
      <w:r w:rsidRPr="0017614D">
        <w:rPr>
          <w:rFonts w:ascii="Times New Roman" w:hAnsi="Times New Roman" w:cs="Times New Roman"/>
          <w:bCs/>
          <w:sz w:val="24"/>
          <w:szCs w:val="24"/>
          <w:lang w:val="lt-LT"/>
        </w:rPr>
        <w:t>keliamas bankrotas</w:t>
      </w:r>
      <w:r w:rsidRPr="0017614D">
        <w:rPr>
          <w:rFonts w:ascii="Times New Roman" w:hAnsi="Times New Roman" w:cs="Times New Roman"/>
          <w:sz w:val="24"/>
          <w:szCs w:val="24"/>
          <w:lang w:val="lt-LT"/>
        </w:rPr>
        <w:t>, j</w:t>
      </w:r>
      <w:r w:rsidR="00954C4B" w:rsidRPr="0017614D">
        <w:rPr>
          <w:rFonts w:ascii="Times New Roman" w:hAnsi="Times New Roman" w:cs="Times New Roman"/>
          <w:sz w:val="24"/>
          <w:szCs w:val="24"/>
          <w:lang w:val="lt-LT"/>
        </w:rPr>
        <w:t>okia įmonė negal</w:t>
      </w:r>
      <w:r w:rsidRPr="0017614D">
        <w:rPr>
          <w:rFonts w:ascii="Times New Roman" w:hAnsi="Times New Roman" w:cs="Times New Roman"/>
          <w:sz w:val="24"/>
          <w:szCs w:val="24"/>
          <w:lang w:val="lt-LT"/>
        </w:rPr>
        <w:t>ėtų</w:t>
      </w:r>
      <w:r w:rsidR="00954C4B" w:rsidRPr="0017614D">
        <w:rPr>
          <w:rFonts w:ascii="Times New Roman" w:hAnsi="Times New Roman" w:cs="Times New Roman"/>
          <w:sz w:val="24"/>
          <w:szCs w:val="24"/>
          <w:lang w:val="lt-LT"/>
        </w:rPr>
        <w:t xml:space="preserve"> būti </w:t>
      </w:r>
      <w:r w:rsidRPr="0017614D">
        <w:rPr>
          <w:rFonts w:ascii="Times New Roman" w:hAnsi="Times New Roman" w:cs="Times New Roman"/>
          <w:sz w:val="24"/>
          <w:szCs w:val="24"/>
          <w:lang w:val="lt-LT"/>
        </w:rPr>
        <w:t>užtikrinta</w:t>
      </w:r>
      <w:r w:rsidR="00954C4B" w:rsidRPr="0017614D">
        <w:rPr>
          <w:rFonts w:ascii="Times New Roman" w:hAnsi="Times New Roman" w:cs="Times New Roman"/>
          <w:sz w:val="24"/>
          <w:szCs w:val="24"/>
          <w:lang w:val="lt-LT"/>
        </w:rPr>
        <w:t xml:space="preserve"> dėl savo veiklos tęstinumo ateityje, prekių ar paslaugų paklausos bei dėl kitų veiksnių, turinčių įtakos sėkmingam verslo plėtojimui. Neretai, </w:t>
      </w:r>
      <w:r w:rsidR="00EC61CE" w:rsidRPr="0017614D">
        <w:rPr>
          <w:rFonts w:ascii="Times New Roman" w:hAnsi="Times New Roman" w:cs="Times New Roman"/>
          <w:sz w:val="24"/>
          <w:szCs w:val="24"/>
          <w:lang w:val="lt-LT"/>
        </w:rPr>
        <w:t xml:space="preserve">įvairūs išorinės aplinkos veiksniai ar tiesiog nepakankama vadovo </w:t>
      </w:r>
      <w:r w:rsidR="00C66D09" w:rsidRPr="0017614D">
        <w:rPr>
          <w:rFonts w:ascii="Times New Roman" w:hAnsi="Times New Roman" w:cs="Times New Roman"/>
          <w:sz w:val="24"/>
          <w:szCs w:val="24"/>
          <w:lang w:val="lt-LT"/>
        </w:rPr>
        <w:t>kompetencija bei</w:t>
      </w:r>
      <w:r w:rsidR="00EC61CE" w:rsidRPr="0017614D">
        <w:rPr>
          <w:rFonts w:ascii="Times New Roman" w:hAnsi="Times New Roman" w:cs="Times New Roman"/>
          <w:sz w:val="24"/>
          <w:szCs w:val="24"/>
          <w:lang w:val="lt-LT"/>
        </w:rPr>
        <w:t xml:space="preserve"> atmestinis įmonės valdymas</w:t>
      </w:r>
      <w:r w:rsidR="00954C4B" w:rsidRPr="0017614D">
        <w:rPr>
          <w:rFonts w:ascii="Times New Roman" w:hAnsi="Times New Roman" w:cs="Times New Roman"/>
          <w:sz w:val="24"/>
          <w:szCs w:val="24"/>
          <w:lang w:val="lt-LT"/>
        </w:rPr>
        <w:t xml:space="preserve"> gali privesti prie bankroto – kas reiškia, kad iškyla grėsmė ne tik įmonės vadovams, tačiau ir darbuotojams bei visos šalies ekonomikai. Dėl šių priežasčių įmonių vadovai </w:t>
      </w:r>
      <w:r w:rsidR="00A4340C" w:rsidRPr="0017614D">
        <w:rPr>
          <w:rFonts w:ascii="Times New Roman" w:hAnsi="Times New Roman" w:cs="Times New Roman"/>
          <w:sz w:val="24"/>
          <w:szCs w:val="24"/>
          <w:lang w:val="lt-LT"/>
        </w:rPr>
        <w:t xml:space="preserve">privalo </w:t>
      </w:r>
      <w:r w:rsidR="000407AD" w:rsidRPr="0017614D">
        <w:rPr>
          <w:rFonts w:ascii="Times New Roman" w:hAnsi="Times New Roman" w:cs="Times New Roman"/>
          <w:sz w:val="24"/>
          <w:szCs w:val="24"/>
          <w:lang w:val="lt-LT"/>
        </w:rPr>
        <w:t>skirti</w:t>
      </w:r>
      <w:r w:rsidR="00A4340C" w:rsidRPr="0017614D">
        <w:rPr>
          <w:rFonts w:ascii="Times New Roman" w:hAnsi="Times New Roman" w:cs="Times New Roman"/>
          <w:sz w:val="24"/>
          <w:szCs w:val="24"/>
          <w:lang w:val="lt-LT"/>
        </w:rPr>
        <w:t xml:space="preserve"> dėmesį</w:t>
      </w:r>
      <w:r w:rsidR="000407AD" w:rsidRPr="0017614D">
        <w:rPr>
          <w:rFonts w:ascii="Times New Roman" w:hAnsi="Times New Roman" w:cs="Times New Roman"/>
          <w:sz w:val="24"/>
          <w:szCs w:val="24"/>
          <w:lang w:val="lt-LT"/>
        </w:rPr>
        <w:t xml:space="preserve"> į</w:t>
      </w:r>
      <w:r w:rsidR="00954C4B" w:rsidRPr="0017614D">
        <w:rPr>
          <w:rFonts w:ascii="Times New Roman" w:hAnsi="Times New Roman" w:cs="Times New Roman"/>
          <w:sz w:val="24"/>
          <w:szCs w:val="24"/>
          <w:lang w:val="lt-LT"/>
        </w:rPr>
        <w:t xml:space="preserve">monių finansinės būklės bei vykdomų projektų įvertinimui, tokiu būdu </w:t>
      </w:r>
      <w:r w:rsidR="00EC61CE" w:rsidRPr="0017614D">
        <w:rPr>
          <w:rFonts w:ascii="Times New Roman" w:hAnsi="Times New Roman" w:cs="Times New Roman"/>
          <w:sz w:val="24"/>
          <w:szCs w:val="24"/>
          <w:lang w:val="lt-LT"/>
        </w:rPr>
        <w:t xml:space="preserve">išanksto nustatant vidines įmonės krizes bei tuo pačiu </w:t>
      </w:r>
      <w:r w:rsidR="00954C4B" w:rsidRPr="0017614D">
        <w:rPr>
          <w:rFonts w:ascii="Times New Roman" w:hAnsi="Times New Roman" w:cs="Times New Roman"/>
          <w:sz w:val="24"/>
          <w:szCs w:val="24"/>
          <w:lang w:val="lt-LT"/>
        </w:rPr>
        <w:t>išvengiant bendrovės likvidavimo.</w:t>
      </w:r>
      <w:bookmarkEnd w:id="43"/>
    </w:p>
    <w:p w:rsidR="0098675B" w:rsidRPr="0017614D" w:rsidRDefault="000B26B1" w:rsidP="0098675B">
      <w:pPr>
        <w:pStyle w:val="Heading2"/>
        <w:contextualSpacing/>
        <w:rPr>
          <w:lang w:val="lt-LT"/>
        </w:rPr>
      </w:pPr>
      <w:bookmarkStart w:id="44" w:name="_Toc374655646"/>
      <w:r w:rsidRPr="0017614D">
        <w:rPr>
          <w:lang w:val="lt-LT"/>
        </w:rPr>
        <w:t>1.1. Įmonių bankroto teoriniai aspektai</w:t>
      </w:r>
      <w:bookmarkEnd w:id="44"/>
    </w:p>
    <w:p w:rsidR="0098675B" w:rsidRPr="0017614D" w:rsidRDefault="0098675B" w:rsidP="0098675B">
      <w:pPr>
        <w:rPr>
          <w:lang w:val="lt-LT"/>
        </w:rPr>
      </w:pPr>
    </w:p>
    <w:p w:rsidR="000B26B1" w:rsidRPr="0017614D" w:rsidRDefault="0084411C" w:rsidP="0098675B">
      <w:pPr>
        <w:spacing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Norint</w:t>
      </w:r>
      <w:r w:rsidR="0098675B" w:rsidRPr="0017614D">
        <w:rPr>
          <w:rFonts w:ascii="Times New Roman" w:hAnsi="Times New Roman" w:cs="Times New Roman"/>
          <w:sz w:val="24"/>
          <w:szCs w:val="24"/>
          <w:lang w:val="lt-LT"/>
        </w:rPr>
        <w:t xml:space="preserve"> </w:t>
      </w:r>
      <w:r w:rsidRPr="0017614D">
        <w:rPr>
          <w:rFonts w:ascii="Times New Roman" w:hAnsi="Times New Roman" w:cs="Times New Roman"/>
          <w:sz w:val="24"/>
          <w:szCs w:val="24"/>
          <w:lang w:val="lt-LT"/>
        </w:rPr>
        <w:t xml:space="preserve">išsiaiškinti, </w:t>
      </w:r>
      <w:r w:rsidR="0098675B" w:rsidRPr="0017614D">
        <w:rPr>
          <w:rFonts w:ascii="Times New Roman" w:hAnsi="Times New Roman" w:cs="Times New Roman"/>
          <w:sz w:val="24"/>
          <w:szCs w:val="24"/>
          <w:lang w:val="lt-LT"/>
        </w:rPr>
        <w:t xml:space="preserve">kaip išvengti bankroto tiesiog būtina aptarti šio reiškinio </w:t>
      </w:r>
      <w:r w:rsidRPr="0017614D">
        <w:rPr>
          <w:rFonts w:ascii="Times New Roman" w:hAnsi="Times New Roman" w:cs="Times New Roman"/>
          <w:sz w:val="24"/>
          <w:szCs w:val="24"/>
          <w:lang w:val="lt-LT"/>
        </w:rPr>
        <w:t>samprat</w:t>
      </w:r>
      <w:r w:rsidR="0098675B" w:rsidRPr="0017614D">
        <w:rPr>
          <w:rFonts w:ascii="Times New Roman" w:hAnsi="Times New Roman" w:cs="Times New Roman"/>
          <w:sz w:val="24"/>
          <w:szCs w:val="24"/>
          <w:lang w:val="lt-LT"/>
        </w:rPr>
        <w:t>ą, dėl ko jis atsiranda, kokiais požymiais pasižymi bei kokios yra galimos jo pasekmės. Tik suprantat reiškinio kilmę bei jam būdingus dalykus galima kalbėti apie priemones, kurių pagalba galima būtų jį sustabdyti.</w:t>
      </w:r>
    </w:p>
    <w:p w:rsidR="00954C4B" w:rsidRPr="0017614D" w:rsidRDefault="00954C4B" w:rsidP="000B26B1">
      <w:pPr>
        <w:pStyle w:val="Heading3"/>
        <w:contextualSpacing/>
        <w:rPr>
          <w:lang w:val="lt-LT"/>
        </w:rPr>
      </w:pPr>
      <w:bookmarkStart w:id="45" w:name="_Toc319615915"/>
      <w:bookmarkStart w:id="46" w:name="_Toc319759549"/>
      <w:bookmarkStart w:id="47" w:name="_Toc336110805"/>
      <w:bookmarkStart w:id="48" w:name="_Toc374655647"/>
      <w:r w:rsidRPr="0017614D">
        <w:rPr>
          <w:lang w:val="lt-LT"/>
        </w:rPr>
        <w:t>1.1.</w:t>
      </w:r>
      <w:r w:rsidR="000B26B1" w:rsidRPr="0017614D">
        <w:rPr>
          <w:lang w:val="lt-LT"/>
        </w:rPr>
        <w:t>1.</w:t>
      </w:r>
      <w:r w:rsidRPr="0017614D">
        <w:rPr>
          <w:lang w:val="lt-LT"/>
        </w:rPr>
        <w:t xml:space="preserve"> </w:t>
      </w:r>
      <w:bookmarkStart w:id="49" w:name="_Toc319176742"/>
      <w:bookmarkStart w:id="50" w:name="_Toc319615916"/>
      <w:bookmarkEnd w:id="45"/>
      <w:bookmarkEnd w:id="46"/>
      <w:bookmarkEnd w:id="47"/>
      <w:r w:rsidRPr="0017614D">
        <w:rPr>
          <w:lang w:val="lt-LT"/>
        </w:rPr>
        <w:t>Įmonių bankroto kaip ekonominio reiškinio esmė</w:t>
      </w:r>
      <w:bookmarkEnd w:id="48"/>
    </w:p>
    <w:p w:rsidR="00954C4B" w:rsidRPr="0017614D" w:rsidRDefault="00954C4B" w:rsidP="00954C4B">
      <w:pPr>
        <w:spacing w:line="240" w:lineRule="auto"/>
        <w:contextualSpacing/>
        <w:rPr>
          <w:rFonts w:ascii="Times New Roman" w:hAnsi="Times New Roman" w:cs="Times New Roman"/>
          <w:sz w:val="24"/>
          <w:szCs w:val="24"/>
          <w:lang w:val="lt-LT"/>
        </w:rPr>
      </w:pPr>
    </w:p>
    <w:p w:rsidR="004C0714" w:rsidRPr="0017614D" w:rsidRDefault="00246225" w:rsidP="004C0714">
      <w:pPr>
        <w:spacing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Įmonės bankrutavo</w:t>
      </w:r>
      <w:r w:rsidR="00954C4B" w:rsidRPr="0017614D">
        <w:rPr>
          <w:rFonts w:ascii="Times New Roman" w:hAnsi="Times New Roman" w:cs="Times New Roman"/>
          <w:sz w:val="24"/>
          <w:szCs w:val="24"/>
          <w:lang w:val="lt-LT"/>
        </w:rPr>
        <w:t xml:space="preserve"> visais laikais ir visose šalyse. Įmonės kuriasi, po to bankr</w:t>
      </w:r>
      <w:r w:rsidRPr="0017614D">
        <w:rPr>
          <w:rFonts w:ascii="Times New Roman" w:hAnsi="Times New Roman" w:cs="Times New Roman"/>
          <w:sz w:val="24"/>
          <w:szCs w:val="24"/>
          <w:lang w:val="lt-LT"/>
        </w:rPr>
        <w:t>utuoja arba yra likviduojamos - š</w:t>
      </w:r>
      <w:r w:rsidR="00954C4B" w:rsidRPr="0017614D">
        <w:rPr>
          <w:rFonts w:ascii="Times New Roman" w:hAnsi="Times New Roman" w:cs="Times New Roman"/>
          <w:sz w:val="24"/>
          <w:szCs w:val="24"/>
          <w:lang w:val="lt-LT"/>
        </w:rPr>
        <w:t>is ciklas yra neišvengiamas</w:t>
      </w:r>
      <w:r w:rsidR="00BA45F9" w:rsidRPr="0017614D">
        <w:rPr>
          <w:rFonts w:ascii="Times New Roman" w:hAnsi="Times New Roman" w:cs="Times New Roman"/>
          <w:sz w:val="24"/>
          <w:szCs w:val="24"/>
          <w:lang w:val="lt-LT"/>
        </w:rPr>
        <w:t>.</w:t>
      </w:r>
      <w:r w:rsidR="00954C4B" w:rsidRPr="0017614D">
        <w:rPr>
          <w:rFonts w:ascii="Times New Roman" w:hAnsi="Times New Roman" w:cs="Times New Roman"/>
          <w:sz w:val="24"/>
          <w:szCs w:val="24"/>
          <w:lang w:val="lt-LT"/>
        </w:rPr>
        <w:t xml:space="preserve"> Besiplėčiančios rinkos, didėjančios konkurencijos bei besikeičiančios mikro ir makro ekonomikos veiksnių dėka bankrotas tapo nuolatinių reiškiniu, </w:t>
      </w:r>
      <w:r w:rsidR="004C0714" w:rsidRPr="0017614D">
        <w:rPr>
          <w:rFonts w:ascii="Times New Roman" w:hAnsi="Times New Roman" w:cs="Times New Roman"/>
          <w:sz w:val="24"/>
          <w:szCs w:val="24"/>
          <w:lang w:val="lt-LT"/>
        </w:rPr>
        <w:t xml:space="preserve">todėl yra </w:t>
      </w:r>
      <w:r w:rsidR="00BA45F9" w:rsidRPr="0017614D">
        <w:rPr>
          <w:rFonts w:ascii="Times New Roman" w:hAnsi="Times New Roman" w:cs="Times New Roman"/>
          <w:sz w:val="24"/>
          <w:szCs w:val="24"/>
          <w:lang w:val="lt-LT"/>
        </w:rPr>
        <w:t xml:space="preserve">labai svarbu išsiaiškinti jo prasmę bei </w:t>
      </w:r>
      <w:r w:rsidRPr="0017614D">
        <w:rPr>
          <w:rFonts w:ascii="Times New Roman" w:hAnsi="Times New Roman" w:cs="Times New Roman"/>
          <w:sz w:val="24"/>
          <w:szCs w:val="24"/>
          <w:lang w:val="lt-LT"/>
        </w:rPr>
        <w:t>nustatyti priežastis</w:t>
      </w:r>
      <w:r w:rsidR="004C0714" w:rsidRPr="0017614D">
        <w:rPr>
          <w:rFonts w:ascii="Times New Roman" w:hAnsi="Times New Roman" w:cs="Times New Roman"/>
          <w:sz w:val="24"/>
          <w:szCs w:val="24"/>
          <w:lang w:val="lt-LT"/>
        </w:rPr>
        <w:t>. Dėl pakankamai sudėtingos šio reiškinio problematikos iki šiol nėra nustatyto</w:t>
      </w:r>
      <w:r w:rsidR="00BA45F9" w:rsidRPr="0017614D">
        <w:rPr>
          <w:rFonts w:ascii="Times New Roman" w:hAnsi="Times New Roman" w:cs="Times New Roman"/>
          <w:sz w:val="24"/>
          <w:szCs w:val="24"/>
          <w:lang w:val="lt-LT"/>
        </w:rPr>
        <w:t xml:space="preserve"> vieningo bankroto apibrėžimo, į</w:t>
      </w:r>
      <w:r w:rsidR="004C0714" w:rsidRPr="0017614D">
        <w:rPr>
          <w:rFonts w:ascii="Times New Roman" w:hAnsi="Times New Roman" w:cs="Times New Roman"/>
          <w:sz w:val="24"/>
          <w:szCs w:val="24"/>
          <w:lang w:val="lt-LT"/>
        </w:rPr>
        <w:t>va</w:t>
      </w:r>
      <w:r w:rsidR="00BA45F9" w:rsidRPr="0017614D">
        <w:rPr>
          <w:rFonts w:ascii="Times New Roman" w:hAnsi="Times New Roman" w:cs="Times New Roman"/>
          <w:sz w:val="24"/>
          <w:szCs w:val="24"/>
          <w:lang w:val="lt-LT"/>
        </w:rPr>
        <w:t>irūs autoriai pateikia skirtingą</w:t>
      </w:r>
      <w:r w:rsidR="004C0714" w:rsidRPr="0017614D">
        <w:rPr>
          <w:rFonts w:ascii="Times New Roman" w:hAnsi="Times New Roman" w:cs="Times New Roman"/>
          <w:sz w:val="24"/>
          <w:szCs w:val="24"/>
          <w:lang w:val="lt-LT"/>
        </w:rPr>
        <w:t xml:space="preserve"> šios sąvokos interpretaciją. </w:t>
      </w:r>
    </w:p>
    <w:p w:rsidR="00954C4B" w:rsidRPr="0017614D" w:rsidRDefault="004C0714" w:rsidP="004C0714">
      <w:pPr>
        <w:spacing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„Bankroto“</w:t>
      </w:r>
      <w:r w:rsidR="00954C4B" w:rsidRPr="0017614D">
        <w:rPr>
          <w:rFonts w:ascii="Times New Roman" w:hAnsi="Times New Roman" w:cs="Times New Roman"/>
          <w:sz w:val="24"/>
          <w:szCs w:val="24"/>
          <w:lang w:val="lt-LT"/>
        </w:rPr>
        <w:t xml:space="preserve"> kilmė yra aiškinama dvejopai. </w:t>
      </w:r>
      <w:r w:rsidRPr="0017614D">
        <w:rPr>
          <w:rFonts w:ascii="Times New Roman" w:hAnsi="Times New Roman" w:cs="Times New Roman"/>
          <w:sz w:val="24"/>
          <w:szCs w:val="24"/>
          <w:lang w:val="lt-LT"/>
        </w:rPr>
        <w:t>Šis žodis</w:t>
      </w:r>
      <w:r w:rsidR="00954C4B" w:rsidRPr="0017614D">
        <w:rPr>
          <w:rFonts w:ascii="Times New Roman" w:hAnsi="Times New Roman" w:cs="Times New Roman"/>
          <w:sz w:val="24"/>
          <w:szCs w:val="24"/>
          <w:lang w:val="lt-LT"/>
        </w:rPr>
        <w:t xml:space="preserve"> yra kilęs iš senovės lotynų žodžių „bancus“ ir „ruptus“, kas išvertus į lietuvių </w:t>
      </w:r>
      <w:r w:rsidR="00E6354F">
        <w:rPr>
          <w:rFonts w:ascii="Times New Roman" w:hAnsi="Times New Roman" w:cs="Times New Roman"/>
          <w:sz w:val="24"/>
          <w:szCs w:val="24"/>
          <w:lang w:val="lt-LT"/>
        </w:rPr>
        <w:t>kalbą reiškia „sulaužytas suolas</w:t>
      </w:r>
      <w:r w:rsidR="00954C4B" w:rsidRPr="0017614D">
        <w:rPr>
          <w:rFonts w:ascii="Times New Roman" w:hAnsi="Times New Roman" w:cs="Times New Roman"/>
          <w:sz w:val="24"/>
          <w:szCs w:val="24"/>
          <w:lang w:val="lt-LT"/>
        </w:rPr>
        <w:t>“. Tokius stalus turėjo pirmieji bankininkai. Jie stovėjo viešose vietose, ant jų būdavo dedami mokami pinigai, bankininkai išrašinėjo vekselius. Tuo metu visuomenėje susiklostė tradicija, kad bankininkui žlugus, jis privalo sulaužyti savo suolą, taip visiems parodydamas, kad nebegali tęsti savo veiklos. Ši praktika ypač dažnai buvo taikoma Italijoje (Mackevičius, Rakštelienė, 2005, 2 p.).</w:t>
      </w:r>
      <w:bookmarkEnd w:id="49"/>
      <w:bookmarkEnd w:id="50"/>
      <w:r w:rsidR="00954C4B" w:rsidRPr="0017614D">
        <w:rPr>
          <w:rFonts w:ascii="Times New Roman" w:hAnsi="Times New Roman" w:cs="Times New Roman"/>
          <w:sz w:val="24"/>
          <w:szCs w:val="24"/>
          <w:lang w:val="lt-LT"/>
        </w:rPr>
        <w:t xml:space="preserve">  </w:t>
      </w:r>
      <w:bookmarkStart w:id="51" w:name="_Toc319176743"/>
      <w:bookmarkStart w:id="52" w:name="_Toc319615917"/>
    </w:p>
    <w:p w:rsidR="00BA45F9" w:rsidRPr="0017614D" w:rsidRDefault="00954C4B" w:rsidP="00954C4B">
      <w:pPr>
        <w:spacing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lastRenderedPageBreak/>
        <w:t xml:space="preserve">Dabartiniais laikais žodį „bankrotas“ galime pritaikyti ne tik bankams, bet ir kitoms įmonėms, o kaikuriose šalyse net ir fiziniams asmenims. Šiame darbe visgi </w:t>
      </w:r>
      <w:r w:rsidR="000D7378" w:rsidRPr="0017614D">
        <w:rPr>
          <w:rFonts w:ascii="Times New Roman" w:hAnsi="Times New Roman" w:cs="Times New Roman"/>
          <w:sz w:val="24"/>
          <w:szCs w:val="24"/>
          <w:lang w:val="lt-LT"/>
        </w:rPr>
        <w:t>koncetruosimės ties įmonių bankroto subtilybėmis</w:t>
      </w:r>
      <w:r w:rsidR="004C0714" w:rsidRPr="0017614D">
        <w:rPr>
          <w:rFonts w:ascii="Times New Roman" w:hAnsi="Times New Roman" w:cs="Times New Roman"/>
          <w:sz w:val="24"/>
          <w:szCs w:val="24"/>
          <w:lang w:val="lt-LT"/>
        </w:rPr>
        <w:t>.</w:t>
      </w:r>
      <w:r w:rsidRPr="0017614D">
        <w:rPr>
          <w:rFonts w:ascii="Times New Roman" w:hAnsi="Times New Roman" w:cs="Times New Roman"/>
          <w:sz w:val="24"/>
          <w:szCs w:val="24"/>
          <w:lang w:val="lt-LT"/>
        </w:rPr>
        <w:t xml:space="preserve"> </w:t>
      </w:r>
    </w:p>
    <w:p w:rsidR="004C0714" w:rsidRPr="0017614D" w:rsidRDefault="00954C4B" w:rsidP="00BA45F9">
      <w:pPr>
        <w:spacing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Oksfordo verslo žodyne žodis bankrotas yra aiškinamas kaip įmonės būsena, kai ji negali grąžinti savo skolų (Longman business dictionary, 2007). Tuo tarpu rusų autorius K. V. Baldin (2007) bankrotą api</w:t>
      </w:r>
      <w:r w:rsidR="000F4A10" w:rsidRPr="0017614D">
        <w:rPr>
          <w:rFonts w:ascii="Times New Roman" w:hAnsi="Times New Roman" w:cs="Times New Roman"/>
          <w:sz w:val="24"/>
          <w:szCs w:val="24"/>
          <w:lang w:val="lt-LT"/>
        </w:rPr>
        <w:t>brėžia truputi plačiau. Pa</w:t>
      </w:r>
      <w:r w:rsidR="00237D36" w:rsidRPr="0017614D">
        <w:rPr>
          <w:rFonts w:ascii="Times New Roman" w:hAnsi="Times New Roman" w:cs="Times New Roman"/>
          <w:sz w:val="24"/>
          <w:szCs w:val="24"/>
          <w:lang w:val="lt-LT"/>
        </w:rPr>
        <w:t>sak</w:t>
      </w:r>
      <w:r w:rsidR="000F4A10" w:rsidRPr="0017614D">
        <w:rPr>
          <w:rFonts w:ascii="Times New Roman" w:hAnsi="Times New Roman" w:cs="Times New Roman"/>
          <w:sz w:val="24"/>
          <w:szCs w:val="24"/>
          <w:lang w:val="lt-LT"/>
        </w:rPr>
        <w:t xml:space="preserve"> j</w:t>
      </w:r>
      <w:r w:rsidR="00237D36" w:rsidRPr="0017614D">
        <w:rPr>
          <w:rFonts w:ascii="Times New Roman" w:hAnsi="Times New Roman" w:cs="Times New Roman"/>
          <w:sz w:val="24"/>
          <w:szCs w:val="24"/>
          <w:lang w:val="lt-LT"/>
        </w:rPr>
        <w:t>o</w:t>
      </w:r>
      <w:r w:rsidRPr="0017614D">
        <w:rPr>
          <w:rFonts w:ascii="Times New Roman" w:hAnsi="Times New Roman" w:cs="Times New Roman"/>
          <w:sz w:val="24"/>
          <w:szCs w:val="24"/>
          <w:lang w:val="lt-LT"/>
        </w:rPr>
        <w:t xml:space="preserve"> bankrotas – tai  arbitražinio teismo pripažintas arba skolininko paskelbtas įmonės negalėjimas įvykdyti savo piniginių įsipareigojimų kreditoriams bei atlikti būtinų mokėjimų.</w:t>
      </w:r>
      <w:bookmarkEnd w:id="51"/>
      <w:bookmarkEnd w:id="52"/>
      <w:r w:rsidR="00BA45F9" w:rsidRPr="0017614D">
        <w:rPr>
          <w:rFonts w:ascii="Times New Roman" w:hAnsi="Times New Roman" w:cs="Times New Roman"/>
          <w:sz w:val="24"/>
          <w:szCs w:val="24"/>
          <w:lang w:val="lt-LT"/>
        </w:rPr>
        <w:t xml:space="preserve"> </w:t>
      </w:r>
    </w:p>
    <w:p w:rsidR="00E1115F" w:rsidRPr="0017614D" w:rsidRDefault="00954C4B" w:rsidP="00AC4E93">
      <w:pPr>
        <w:autoSpaceDE w:val="0"/>
        <w:autoSpaceDN w:val="0"/>
        <w:adjustRightInd w:val="0"/>
        <w:spacing w:line="360" w:lineRule="auto"/>
        <w:ind w:firstLine="539"/>
        <w:contextualSpacing/>
        <w:jc w:val="both"/>
        <w:rPr>
          <w:rFonts w:ascii="Times New Roman" w:hAnsi="Times New Roman" w:cs="Times New Roman"/>
          <w:sz w:val="24"/>
          <w:szCs w:val="24"/>
          <w:lang w:val="lt-LT"/>
        </w:rPr>
      </w:pPr>
      <w:bookmarkStart w:id="53" w:name="_Toc319176744"/>
      <w:bookmarkStart w:id="54" w:name="_Toc319615918"/>
      <w:r w:rsidRPr="0017614D">
        <w:rPr>
          <w:rFonts w:ascii="Times New Roman" w:hAnsi="Times New Roman" w:cs="Times New Roman"/>
          <w:sz w:val="24"/>
          <w:szCs w:val="24"/>
          <w:lang w:val="lt-LT"/>
        </w:rPr>
        <w:t xml:space="preserve">Kitas autorius Satyajit Das (2006) teigia, kad bankroto apibrėžimas visgi turėtų būti pateikiamas įstatymų ir jurisdikcijos šviesoje. Įstatymai dažnai prisideda prie visuomenės požiūrio formavimo į tam tikrus dalykus, todėl jie yra labai svarbūs. Šiuo atveju jie gali nulemti tai, kaip žmonės supranta patį bankrotą, jo sąvoką ir procesą, pasitikės bankrutuojančiomis įmonėmis ar ne, kaip į jas reaguos. Galima sakyti, kad per įstatymus yra išreiškiamas požiūris į bankrotą visos valstybės vardu. </w:t>
      </w:r>
      <w:r w:rsidR="00E1115F" w:rsidRPr="0017614D">
        <w:rPr>
          <w:rFonts w:ascii="Times New Roman" w:hAnsi="Times New Roman" w:cs="Times New Roman"/>
          <w:sz w:val="24"/>
          <w:szCs w:val="24"/>
          <w:lang w:val="lt-LT"/>
        </w:rPr>
        <w:t xml:space="preserve">Daugumos valstybių teisiniuose aktuose bankrotas yra apibrėžiamas kaip kreditorių bei jų </w:t>
      </w:r>
      <w:r w:rsidR="00237D36" w:rsidRPr="0017614D">
        <w:rPr>
          <w:rFonts w:ascii="Times New Roman" w:hAnsi="Times New Roman" w:cs="Times New Roman"/>
          <w:sz w:val="24"/>
          <w:szCs w:val="24"/>
          <w:lang w:val="lt-LT"/>
        </w:rPr>
        <w:t>paskolų gavėjų</w:t>
      </w:r>
      <w:r w:rsidR="00E1115F" w:rsidRPr="0017614D">
        <w:rPr>
          <w:rFonts w:ascii="Times New Roman" w:hAnsi="Times New Roman" w:cs="Times New Roman"/>
          <w:sz w:val="24"/>
          <w:szCs w:val="24"/>
          <w:lang w:val="lt-LT"/>
        </w:rPr>
        <w:t xml:space="preserve"> naudai ir jų teisių gynimui skirta teisė, kai skolininkai negali ar nenori mokėti savo skolų (European Judicial Network in Civil And Comercial Matters, 2004). </w:t>
      </w:r>
      <w:r w:rsidR="00A63CCF" w:rsidRPr="0017614D">
        <w:rPr>
          <w:rFonts w:ascii="Times New Roman" w:hAnsi="Times New Roman" w:cs="Times New Roman"/>
          <w:sz w:val="24"/>
          <w:szCs w:val="24"/>
          <w:lang w:val="lt-LT"/>
        </w:rPr>
        <w:t>I</w:t>
      </w:r>
      <w:r w:rsidR="00E1115F" w:rsidRPr="0017614D">
        <w:rPr>
          <w:rFonts w:ascii="Times New Roman" w:hAnsi="Times New Roman" w:cs="Times New Roman"/>
          <w:sz w:val="24"/>
          <w:szCs w:val="24"/>
          <w:lang w:val="lt-LT"/>
        </w:rPr>
        <w:t xml:space="preserve">š to išplaukia, kad bankrotas atsirado kaip valstybės interesas apsaugoti kreditorius </w:t>
      </w:r>
      <w:r w:rsidR="00E1115F" w:rsidRPr="0017614D">
        <w:rPr>
          <w:rFonts w:ascii="Times New Roman" w:eastAsia="TimesNewRomanPSMT" w:hAnsi="Times New Roman" w:cs="Times New Roman"/>
          <w:sz w:val="24"/>
          <w:szCs w:val="24"/>
          <w:lang w:val="lt-LT" w:eastAsia="lt-LT"/>
        </w:rPr>
        <w:t>(Biscotti, 2010, p. 328).</w:t>
      </w:r>
      <w:r w:rsidR="00E1115F" w:rsidRPr="0017614D">
        <w:rPr>
          <w:rFonts w:ascii="Times New Roman" w:hAnsi="Times New Roman" w:cs="Times New Roman"/>
          <w:sz w:val="24"/>
          <w:szCs w:val="24"/>
          <w:lang w:val="lt-LT"/>
        </w:rPr>
        <w:t xml:space="preserve"> </w:t>
      </w:r>
    </w:p>
    <w:p w:rsidR="00E1115F" w:rsidRPr="0017614D" w:rsidRDefault="00E1115F" w:rsidP="00AC4E93">
      <w:pPr>
        <w:autoSpaceDE w:val="0"/>
        <w:autoSpaceDN w:val="0"/>
        <w:adjustRightInd w:val="0"/>
        <w:spacing w:line="360" w:lineRule="auto"/>
        <w:ind w:firstLine="539"/>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Apibendrinant  užsienio  literatūroje  pateiktus  bankroto  sampratos apibrėžimus,  galima daryti išvadą, kad jis yra siejamas su negalėjimu grąžinti susidariusių skolų dėl atsiradusio įmonės nemokumo.  </w:t>
      </w:r>
    </w:p>
    <w:p w:rsidR="005B412B" w:rsidRPr="0017614D" w:rsidRDefault="00AC4E93" w:rsidP="00A63CCF">
      <w:pPr>
        <w:tabs>
          <w:tab w:val="left" w:pos="540"/>
        </w:tabs>
        <w:autoSpaceDE w:val="0"/>
        <w:autoSpaceDN w:val="0"/>
        <w:adjustRightInd w:val="0"/>
        <w:spacing w:line="360" w:lineRule="auto"/>
        <w:ind w:firstLine="539"/>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eastAsia="en-GB" w:bidi="hi-IN"/>
        </w:rPr>
        <w:t xml:space="preserve">Panašią šio reiškinio problemą iškelia ir Lietuvos autoriai. A. </w:t>
      </w:r>
      <w:r w:rsidRPr="0017614D">
        <w:rPr>
          <w:rFonts w:ascii="Times New Roman" w:hAnsi="Times New Roman" w:cs="Times New Roman"/>
          <w:sz w:val="24"/>
          <w:szCs w:val="24"/>
          <w:lang w:val="lt-LT"/>
        </w:rPr>
        <w:t xml:space="preserve">Sakalas ir R. Virbickaitė (2003) bankrotą apibūdina kaip neigiamą rinkos ekonomikos reiškinį, kadangi įmonė yra likviduojama. Pagal Č. Purlį (2001) įmonių bankrotas tai makroekonominė problema, o </w:t>
      </w:r>
      <w:r w:rsidRPr="0017614D">
        <w:rPr>
          <w:rFonts w:ascii="Times New Roman" w:hAnsi="Times New Roman" w:cs="Times New Roman"/>
          <w:bCs/>
          <w:sz w:val="24"/>
          <w:szCs w:val="24"/>
          <w:lang w:val="lt-LT"/>
        </w:rPr>
        <w:t>D. Rugenytė</w:t>
      </w:r>
      <w:r w:rsidR="00B97FBA">
        <w:rPr>
          <w:rFonts w:ascii="Times New Roman" w:hAnsi="Times New Roman" w:cs="Times New Roman"/>
          <w:bCs/>
          <w:sz w:val="24"/>
          <w:szCs w:val="24"/>
          <w:lang w:val="lt-LT"/>
        </w:rPr>
        <w:t xml:space="preserve"> ir kt.</w:t>
      </w:r>
      <w:r w:rsidRPr="0017614D">
        <w:rPr>
          <w:rFonts w:ascii="Times New Roman" w:hAnsi="Times New Roman" w:cs="Times New Roman"/>
          <w:bCs/>
          <w:sz w:val="24"/>
          <w:szCs w:val="24"/>
          <w:lang w:val="lt-LT"/>
        </w:rPr>
        <w:t xml:space="preserve"> (2010) pabrėžia, kad bankrotas yra didžiausią grėsmę kelianti įmonių veiklos vystymosi alternatyva, todėl jam turi b</w:t>
      </w:r>
      <w:r w:rsidR="00A63CCF" w:rsidRPr="0017614D">
        <w:rPr>
          <w:rFonts w:ascii="Times New Roman" w:hAnsi="Times New Roman" w:cs="Times New Roman"/>
          <w:bCs/>
          <w:sz w:val="24"/>
          <w:szCs w:val="24"/>
          <w:lang w:val="lt-LT"/>
        </w:rPr>
        <w:t>ūti skiriamas ypatingas dėmesys.</w:t>
      </w:r>
    </w:p>
    <w:p w:rsidR="00E1115F" w:rsidRPr="0017614D" w:rsidRDefault="005B412B" w:rsidP="00A63CCF">
      <w:pPr>
        <w:tabs>
          <w:tab w:val="left" w:pos="540"/>
        </w:tabs>
        <w:autoSpaceDE w:val="0"/>
        <w:autoSpaceDN w:val="0"/>
        <w:adjustRightInd w:val="0"/>
        <w:spacing w:line="360" w:lineRule="auto"/>
        <w:ind w:firstLine="539"/>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Tuo tarpu </w:t>
      </w:r>
      <w:r w:rsidR="00AC4E93" w:rsidRPr="0017614D">
        <w:rPr>
          <w:rFonts w:ascii="Times New Roman" w:hAnsi="Times New Roman" w:cs="Times New Roman"/>
          <w:sz w:val="24"/>
          <w:szCs w:val="24"/>
          <w:lang w:val="lt-LT"/>
        </w:rPr>
        <w:t xml:space="preserve"> </w:t>
      </w:r>
      <w:r w:rsidRPr="0017614D">
        <w:rPr>
          <w:rFonts w:ascii="Times New Roman" w:hAnsi="Times New Roman" w:cs="Times New Roman"/>
          <w:bCs/>
          <w:sz w:val="24"/>
          <w:szCs w:val="24"/>
          <w:lang w:val="lt-LT"/>
        </w:rPr>
        <w:t>L. Lebedžinskaitė (2007) pateikia truputi platesnį bankroto sąvokos apibrėžimą, kuris taip pat apima ir pagrindines šio reiškinio pasekmes. Jos teigimu, bankrotas tai vienas</w:t>
      </w:r>
      <w:r w:rsidRPr="0017614D">
        <w:rPr>
          <w:rFonts w:ascii="Times New Roman" w:hAnsi="Times New Roman" w:cs="Times New Roman"/>
          <w:sz w:val="24"/>
          <w:szCs w:val="24"/>
          <w:lang w:val="lt-LT"/>
        </w:rPr>
        <w:t xml:space="preserve"> iš nemaloniausių verslo kalbos žodžių, kuris asocijuojasi su įmonės priverst</w:t>
      </w:r>
      <w:r w:rsidR="00237D36" w:rsidRPr="0017614D">
        <w:rPr>
          <w:rFonts w:ascii="Times New Roman" w:hAnsi="Times New Roman" w:cs="Times New Roman"/>
          <w:sz w:val="24"/>
          <w:szCs w:val="24"/>
          <w:lang w:val="lt-LT"/>
        </w:rPr>
        <w:t>ine baigtimi, lydima išaugusių skolų</w:t>
      </w:r>
      <w:r w:rsidRPr="0017614D">
        <w:rPr>
          <w:rFonts w:ascii="Times New Roman" w:hAnsi="Times New Roman" w:cs="Times New Roman"/>
          <w:sz w:val="24"/>
          <w:szCs w:val="24"/>
          <w:lang w:val="lt-LT"/>
        </w:rPr>
        <w:t>, ilgu žalą patyrusių kreditorių sąrašu, darbuotojams</w:t>
      </w:r>
      <w:r w:rsidRPr="0017614D">
        <w:rPr>
          <w:rFonts w:ascii="Times New Roman" w:hAnsi="Times New Roman" w:cs="Times New Roman"/>
          <w:bCs/>
          <w:sz w:val="24"/>
          <w:szCs w:val="24"/>
          <w:lang w:val="lt-LT"/>
        </w:rPr>
        <w:t xml:space="preserve"> </w:t>
      </w:r>
      <w:r w:rsidRPr="0017614D">
        <w:rPr>
          <w:rFonts w:ascii="Times New Roman" w:hAnsi="Times New Roman" w:cs="Times New Roman"/>
          <w:sz w:val="24"/>
          <w:szCs w:val="24"/>
          <w:lang w:val="lt-LT"/>
        </w:rPr>
        <w:t>neišmokėtais atlyginimais ir panašiais nemaloniais dalykais.</w:t>
      </w:r>
    </w:p>
    <w:p w:rsidR="00713F61" w:rsidRPr="0017614D" w:rsidRDefault="00713F61" w:rsidP="00F2770C">
      <w:pPr>
        <w:tabs>
          <w:tab w:val="left" w:pos="540"/>
        </w:tabs>
        <w:autoSpaceDE w:val="0"/>
        <w:autoSpaceDN w:val="0"/>
        <w:adjustRightInd w:val="0"/>
        <w:spacing w:after="0" w:line="360" w:lineRule="auto"/>
        <w:ind w:left="60"/>
        <w:contextualSpacing/>
        <w:jc w:val="both"/>
        <w:rPr>
          <w:rFonts w:ascii="Times New Roman" w:hAnsi="Times New Roman" w:cs="Times New Roman"/>
          <w:bCs/>
          <w:sz w:val="24"/>
          <w:szCs w:val="24"/>
          <w:lang w:val="lt-LT"/>
        </w:rPr>
      </w:pPr>
      <w:r w:rsidRPr="0017614D">
        <w:rPr>
          <w:rFonts w:ascii="Times New Roman" w:hAnsi="Times New Roman" w:cs="Times New Roman"/>
          <w:sz w:val="24"/>
          <w:szCs w:val="24"/>
          <w:lang w:val="lt-LT"/>
        </w:rPr>
        <w:tab/>
      </w:r>
      <w:r w:rsidR="00AC216C" w:rsidRPr="0017614D">
        <w:rPr>
          <w:rFonts w:ascii="Times New Roman" w:hAnsi="Times New Roman" w:cs="Times New Roman"/>
          <w:sz w:val="24"/>
          <w:szCs w:val="24"/>
          <w:lang w:val="lt-LT"/>
        </w:rPr>
        <w:t xml:space="preserve">Kitu kampu į bankrotą žiūri ir </w:t>
      </w:r>
      <w:r w:rsidR="00AC216C" w:rsidRPr="0017614D">
        <w:rPr>
          <w:rFonts w:ascii="Times New Roman" w:hAnsi="Times New Roman" w:cs="Times New Roman"/>
          <w:bCs/>
          <w:sz w:val="24"/>
          <w:szCs w:val="24"/>
          <w:lang w:val="lt-LT"/>
        </w:rPr>
        <w:t xml:space="preserve">A. Sakalas ir A. </w:t>
      </w:r>
      <w:r w:rsidR="00AC216C" w:rsidRPr="0017614D">
        <w:rPr>
          <w:rFonts w:ascii="Times New Roman" w:hAnsi="Times New Roman" w:cs="Times New Roman"/>
          <w:sz w:val="24"/>
          <w:szCs w:val="24"/>
          <w:lang w:val="lt-LT"/>
        </w:rPr>
        <w:t>Savanevičienė (2003). Jie įmonės bankrotą sieja s</w:t>
      </w:r>
      <w:r w:rsidR="00237D36" w:rsidRPr="0017614D">
        <w:rPr>
          <w:rFonts w:ascii="Times New Roman" w:hAnsi="Times New Roman" w:cs="Times New Roman"/>
          <w:sz w:val="24"/>
          <w:szCs w:val="24"/>
          <w:lang w:val="lt-LT"/>
        </w:rPr>
        <w:t xml:space="preserve">u krize. Pagal juos, bankrotas </w:t>
      </w:r>
      <w:r w:rsidR="00237D36" w:rsidRPr="0017614D">
        <w:rPr>
          <w:rFonts w:ascii="Times New Roman" w:eastAsia="Calibri" w:hAnsi="Times New Roman" w:cs="Times New Roman"/>
          <w:sz w:val="24"/>
          <w:szCs w:val="24"/>
          <w:lang w:val="lt-LT"/>
        </w:rPr>
        <w:t>yra paskutinė krizinės situacijos stadija, reiškianti sistemos žlugimą</w:t>
      </w:r>
      <w:r w:rsidRPr="0017614D">
        <w:rPr>
          <w:rFonts w:ascii="Times New Roman" w:hAnsi="Times New Roman" w:cs="Times New Roman"/>
          <w:sz w:val="24"/>
          <w:szCs w:val="24"/>
          <w:lang w:val="lt-LT"/>
        </w:rPr>
        <w:t xml:space="preserve">. </w:t>
      </w:r>
      <w:r w:rsidR="00AC216C" w:rsidRPr="0017614D">
        <w:rPr>
          <w:rFonts w:ascii="Times New Roman" w:hAnsi="Times New Roman" w:cs="Times New Roman"/>
          <w:sz w:val="24"/>
          <w:szCs w:val="24"/>
          <w:lang w:val="lt-LT"/>
        </w:rPr>
        <w:t>Panašu požiūrį išreiškia ir A. Baležentis su J. Vijeikiu (2010). Jie bankrotą apibūdina</w:t>
      </w:r>
      <w:r w:rsidR="00AC216C" w:rsidRPr="0017614D">
        <w:rPr>
          <w:rFonts w:ascii="Times New Roman" w:hAnsi="Times New Roman" w:cs="Times New Roman"/>
          <w:bCs/>
          <w:sz w:val="24"/>
          <w:szCs w:val="24"/>
          <w:lang w:val="lt-LT"/>
        </w:rPr>
        <w:t xml:space="preserve"> kaip krizės pasekmę. Jų </w:t>
      </w:r>
      <w:r w:rsidR="00AC216C" w:rsidRPr="0017614D">
        <w:rPr>
          <w:rFonts w:ascii="Times New Roman" w:hAnsi="Times New Roman" w:cs="Times New Roman"/>
          <w:bCs/>
          <w:sz w:val="24"/>
          <w:szCs w:val="24"/>
          <w:lang w:val="lt-LT"/>
        </w:rPr>
        <w:lastRenderedPageBreak/>
        <w:t xml:space="preserve">teigimu, </w:t>
      </w:r>
      <w:r w:rsidR="00AC216C" w:rsidRPr="0017614D">
        <w:rPr>
          <w:rFonts w:ascii="Times New Roman" w:hAnsi="Times New Roman" w:cs="Times New Roman"/>
          <w:sz w:val="24"/>
          <w:szCs w:val="24"/>
          <w:lang w:val="lt-LT"/>
        </w:rPr>
        <w:t xml:space="preserve">krizė tai sisteminis įmonės funkcionavimo ir vystymo sutrikimas. Šiuo atveju galima išskirti dvi pagrindines įmonės ekonominio nuosmukio stadijas: </w:t>
      </w:r>
    </w:p>
    <w:p w:rsidR="00713F61" w:rsidRPr="0017614D" w:rsidRDefault="00AC216C" w:rsidP="00417443">
      <w:pPr>
        <w:pStyle w:val="ListParagraph"/>
        <w:numPr>
          <w:ilvl w:val="0"/>
          <w:numId w:val="7"/>
        </w:numPr>
        <w:spacing w:after="0" w:line="360" w:lineRule="auto"/>
        <w:rPr>
          <w:rFonts w:ascii="Times New Roman" w:hAnsi="Times New Roman" w:cs="Times New Roman"/>
          <w:sz w:val="24"/>
          <w:szCs w:val="24"/>
          <w:lang w:val="lt-LT"/>
        </w:rPr>
      </w:pPr>
      <w:r w:rsidRPr="0017614D">
        <w:rPr>
          <w:rFonts w:ascii="Times New Roman" w:hAnsi="Times New Roman" w:cs="Times New Roman"/>
          <w:sz w:val="24"/>
          <w:szCs w:val="24"/>
          <w:lang w:val="lt-LT"/>
        </w:rPr>
        <w:t>krizinė (iki nemokumo ribos);</w:t>
      </w:r>
    </w:p>
    <w:p w:rsidR="00AC216C" w:rsidRPr="0017614D" w:rsidRDefault="00AC216C" w:rsidP="00417443">
      <w:pPr>
        <w:pStyle w:val="ListParagraph"/>
        <w:numPr>
          <w:ilvl w:val="0"/>
          <w:numId w:val="7"/>
        </w:numPr>
        <w:spacing w:after="0" w:line="360" w:lineRule="auto"/>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bankroto (už nemokumo ribos). </w:t>
      </w:r>
    </w:p>
    <w:p w:rsidR="00AC216C" w:rsidRPr="0017614D" w:rsidRDefault="00AC216C" w:rsidP="00F2770C">
      <w:pPr>
        <w:tabs>
          <w:tab w:val="left" w:pos="540"/>
        </w:tabs>
        <w:autoSpaceDE w:val="0"/>
        <w:autoSpaceDN w:val="0"/>
        <w:adjustRightInd w:val="0"/>
        <w:spacing w:after="0" w:line="360" w:lineRule="auto"/>
        <w:ind w:left="62"/>
        <w:contextualSpacing/>
        <w:jc w:val="both"/>
        <w:rPr>
          <w:rFonts w:ascii="Times New Roman" w:hAnsi="Times New Roman" w:cs="Times New Roman"/>
          <w:bCs/>
          <w:sz w:val="24"/>
          <w:szCs w:val="24"/>
          <w:u w:val="single"/>
          <w:lang w:val="lt-LT"/>
        </w:rPr>
      </w:pPr>
      <w:r w:rsidRPr="0017614D">
        <w:rPr>
          <w:rFonts w:ascii="Times New Roman" w:hAnsi="Times New Roman" w:cs="Times New Roman"/>
          <w:sz w:val="24"/>
          <w:szCs w:val="24"/>
          <w:lang w:val="lt-LT"/>
        </w:rPr>
        <w:t>Iš to išplaukia, kad įmonės bankrotas tai nepažabotos krizės paskutinioji stadija (</w:t>
      </w:r>
      <w:r w:rsidR="00B97FBA">
        <w:rPr>
          <w:rFonts w:ascii="Times New Roman" w:hAnsi="Times New Roman" w:cs="Times New Roman"/>
          <w:bCs/>
          <w:sz w:val="24"/>
          <w:szCs w:val="24"/>
          <w:lang w:val="lt-LT"/>
        </w:rPr>
        <w:t>Baležentis, Vijeikis, 2010</w:t>
      </w:r>
      <w:r w:rsidRPr="0017614D">
        <w:rPr>
          <w:rFonts w:ascii="Times New Roman" w:hAnsi="Times New Roman" w:cs="Times New Roman"/>
          <w:bCs/>
          <w:sz w:val="24"/>
          <w:szCs w:val="24"/>
          <w:lang w:val="lt-LT"/>
        </w:rPr>
        <w:t>).</w:t>
      </w:r>
    </w:p>
    <w:p w:rsidR="00234DE5" w:rsidRPr="0017614D" w:rsidRDefault="00AC216C" w:rsidP="00AC216C">
      <w:pPr>
        <w:tabs>
          <w:tab w:val="left" w:pos="540"/>
        </w:tabs>
        <w:autoSpaceDE w:val="0"/>
        <w:autoSpaceDN w:val="0"/>
        <w:adjustRightInd w:val="0"/>
        <w:spacing w:line="360" w:lineRule="auto"/>
        <w:ind w:left="60"/>
        <w:jc w:val="both"/>
        <w:rPr>
          <w:rFonts w:ascii="Times New Roman" w:hAnsi="Times New Roman" w:cs="Times New Roman"/>
          <w:sz w:val="24"/>
          <w:szCs w:val="24"/>
          <w:lang w:val="lt-LT"/>
        </w:rPr>
      </w:pPr>
      <w:r w:rsidRPr="0017614D">
        <w:rPr>
          <w:rFonts w:ascii="Times New Roman" w:hAnsi="Times New Roman" w:cs="Times New Roman"/>
          <w:bCs/>
          <w:sz w:val="24"/>
          <w:szCs w:val="24"/>
          <w:lang w:val="lt-LT"/>
        </w:rPr>
        <w:tab/>
      </w:r>
      <w:r w:rsidR="00AC4E93" w:rsidRPr="0017614D">
        <w:rPr>
          <w:rFonts w:ascii="Times New Roman" w:hAnsi="Times New Roman" w:cs="Times New Roman"/>
          <w:sz w:val="24"/>
          <w:szCs w:val="24"/>
          <w:lang w:val="lt-LT"/>
        </w:rPr>
        <w:t xml:space="preserve">Nereikėtų pamiršti ir Lietuvos jurisdikcijos pateikiamų bankroto apibrėžimų. </w:t>
      </w:r>
      <w:r w:rsidR="00954C4B" w:rsidRPr="0017614D">
        <w:rPr>
          <w:rFonts w:ascii="Times New Roman" w:hAnsi="Times New Roman" w:cs="Times New Roman"/>
          <w:sz w:val="24"/>
          <w:szCs w:val="24"/>
          <w:lang w:val="lt-LT"/>
        </w:rPr>
        <w:t xml:space="preserve">Lietuvos Respublikos bankroto įstatymas </w:t>
      </w:r>
      <w:r w:rsidR="00704EFE" w:rsidRPr="0017614D">
        <w:rPr>
          <w:rFonts w:ascii="Times New Roman" w:hAnsi="Times New Roman" w:cs="Times New Roman"/>
          <w:sz w:val="24"/>
          <w:szCs w:val="24"/>
          <w:lang w:val="lt-LT"/>
        </w:rPr>
        <w:t>š</w:t>
      </w:r>
      <w:r w:rsidR="00B71821" w:rsidRPr="0017614D">
        <w:rPr>
          <w:rFonts w:ascii="Times New Roman" w:hAnsi="Times New Roman" w:cs="Times New Roman"/>
          <w:sz w:val="24"/>
          <w:szCs w:val="24"/>
          <w:lang w:val="lt-LT"/>
        </w:rPr>
        <w:t>į</w:t>
      </w:r>
      <w:r w:rsidR="00704EFE" w:rsidRPr="0017614D">
        <w:rPr>
          <w:rFonts w:ascii="Times New Roman" w:hAnsi="Times New Roman" w:cs="Times New Roman"/>
          <w:sz w:val="24"/>
          <w:szCs w:val="24"/>
          <w:lang w:val="lt-LT"/>
        </w:rPr>
        <w:t xml:space="preserve"> reiškinį apibūdina</w:t>
      </w:r>
      <w:r w:rsidR="00954C4B" w:rsidRPr="0017614D">
        <w:rPr>
          <w:rFonts w:ascii="Times New Roman" w:hAnsi="Times New Roman" w:cs="Times New Roman"/>
          <w:sz w:val="24"/>
          <w:szCs w:val="24"/>
          <w:lang w:val="lt-LT"/>
        </w:rPr>
        <w:t xml:space="preserve"> taip: “Bankrotas – tai nemokios įmonės būsena, kai įmonei teisme yra iškelta bankroto byla arba kreditoriai įmonėje vykdo bankroto pr</w:t>
      </w:r>
      <w:r w:rsidR="00B97FBA">
        <w:rPr>
          <w:rFonts w:ascii="Times New Roman" w:hAnsi="Times New Roman" w:cs="Times New Roman"/>
          <w:sz w:val="24"/>
          <w:szCs w:val="24"/>
          <w:lang w:val="lt-LT"/>
        </w:rPr>
        <w:t>ocedūras ne teismo tvarka” (LR Įmonių b</w:t>
      </w:r>
      <w:r w:rsidR="00954C4B" w:rsidRPr="0017614D">
        <w:rPr>
          <w:rFonts w:ascii="Times New Roman" w:hAnsi="Times New Roman" w:cs="Times New Roman"/>
          <w:sz w:val="24"/>
          <w:szCs w:val="24"/>
          <w:lang w:val="lt-LT"/>
        </w:rPr>
        <w:t>ankroto įstatymas, 2001).</w:t>
      </w:r>
      <w:bookmarkEnd w:id="53"/>
      <w:bookmarkEnd w:id="54"/>
      <w:r w:rsidR="00954C4B" w:rsidRPr="0017614D">
        <w:rPr>
          <w:rFonts w:ascii="Times New Roman" w:hAnsi="Times New Roman" w:cs="Times New Roman"/>
          <w:sz w:val="24"/>
          <w:szCs w:val="24"/>
          <w:lang w:val="lt-LT"/>
        </w:rPr>
        <w:t xml:space="preserve"> </w:t>
      </w:r>
      <w:r w:rsidR="00234DE5" w:rsidRPr="0017614D">
        <w:rPr>
          <w:rFonts w:ascii="Times New Roman" w:hAnsi="Times New Roman" w:cs="Times New Roman"/>
          <w:sz w:val="24"/>
          <w:szCs w:val="24"/>
          <w:lang w:val="lt-LT"/>
        </w:rPr>
        <w:t>Tame pačiame įstatyme yra nurodytos sąlygos, kurias atitinkant įmonei gali būti iškelta bankroto byla</w:t>
      </w:r>
      <w:r w:rsidR="00B71821" w:rsidRPr="0017614D">
        <w:rPr>
          <w:rFonts w:ascii="Times New Roman" w:hAnsi="Times New Roman" w:cs="Times New Roman"/>
          <w:sz w:val="24"/>
          <w:szCs w:val="24"/>
          <w:lang w:val="lt-LT"/>
        </w:rPr>
        <w:t xml:space="preserve"> (žr. 1 pav.).</w:t>
      </w:r>
    </w:p>
    <w:p w:rsidR="0030702A" w:rsidRPr="0017614D" w:rsidRDefault="0030702A" w:rsidP="0030702A">
      <w:pPr>
        <w:spacing w:line="360" w:lineRule="auto"/>
        <w:ind w:left="720"/>
        <w:rPr>
          <w:rFonts w:ascii="Times New Roman" w:hAnsi="Times New Roman" w:cs="Times New Roman"/>
          <w:sz w:val="24"/>
          <w:lang w:val="lt-LT"/>
        </w:rPr>
      </w:pPr>
      <w:r w:rsidRPr="0017614D">
        <w:rPr>
          <w:rFonts w:ascii="Times New Roman" w:hAnsi="Times New Roman" w:cs="Times New Roman"/>
          <w:noProof/>
          <w:sz w:val="24"/>
        </w:rPr>
        <w:drawing>
          <wp:inline distT="0" distB="0" distL="0" distR="0">
            <wp:extent cx="5486400" cy="3200400"/>
            <wp:effectExtent l="0" t="19050" r="0" b="1905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2B57E2" w:rsidRPr="002B57E2" w:rsidRDefault="002B57E2" w:rsidP="002B57E2">
      <w:pPr>
        <w:spacing w:line="360" w:lineRule="auto"/>
        <w:ind w:firstLine="720"/>
        <w:contextualSpacing/>
        <w:jc w:val="both"/>
        <w:rPr>
          <w:rFonts w:ascii="Times New Roman" w:hAnsi="Times New Roman" w:cs="Times New Roman"/>
          <w:sz w:val="20"/>
          <w:lang w:val="lt-LT"/>
        </w:rPr>
      </w:pPr>
      <w:r w:rsidRPr="005D3FF6">
        <w:rPr>
          <w:rFonts w:ascii="Times New Roman" w:hAnsi="Times New Roman" w:cs="Times New Roman"/>
          <w:b/>
          <w:sz w:val="20"/>
          <w:lang w:val="lt-LT"/>
        </w:rPr>
        <w:t>Šaltinis:</w:t>
      </w:r>
      <w:r w:rsidRPr="005D3FF6">
        <w:rPr>
          <w:rFonts w:ascii="Times New Roman" w:hAnsi="Times New Roman" w:cs="Times New Roman"/>
          <w:sz w:val="20"/>
          <w:lang w:val="lt-LT"/>
        </w:rPr>
        <w:t xml:space="preserve"> suda</w:t>
      </w:r>
      <w:r>
        <w:rPr>
          <w:rFonts w:ascii="Times New Roman" w:hAnsi="Times New Roman" w:cs="Times New Roman"/>
          <w:sz w:val="20"/>
          <w:lang w:val="lt-LT"/>
        </w:rPr>
        <w:t>ryta pagal LR Įmonių b</w:t>
      </w:r>
      <w:r w:rsidRPr="005D3FF6">
        <w:rPr>
          <w:rFonts w:ascii="Times New Roman" w:hAnsi="Times New Roman" w:cs="Times New Roman"/>
          <w:sz w:val="20"/>
          <w:lang w:val="lt-LT"/>
        </w:rPr>
        <w:t>ankroto įstatymą, 2001.</w:t>
      </w:r>
      <w:r w:rsidRPr="005D3FF6">
        <w:rPr>
          <w:rFonts w:ascii="Times New Roman" w:hAnsi="Times New Roman" w:cs="Times New Roman"/>
          <w:sz w:val="20"/>
          <w:lang w:val="lt-LT"/>
        </w:rPr>
        <w:tab/>
      </w:r>
    </w:p>
    <w:p w:rsidR="00B71821" w:rsidRPr="0017614D" w:rsidRDefault="00B71821" w:rsidP="00B71821">
      <w:pPr>
        <w:spacing w:line="360" w:lineRule="auto"/>
        <w:contextualSpacing/>
        <w:jc w:val="center"/>
        <w:rPr>
          <w:rFonts w:ascii="Times New Roman" w:hAnsi="Times New Roman" w:cs="Times New Roman"/>
          <w:b/>
          <w:szCs w:val="24"/>
          <w:lang w:val="lt-LT"/>
        </w:rPr>
      </w:pPr>
      <w:r w:rsidRPr="0017614D">
        <w:rPr>
          <w:rFonts w:ascii="Times New Roman" w:hAnsi="Times New Roman" w:cs="Times New Roman"/>
          <w:szCs w:val="24"/>
          <w:lang w:val="lt-LT"/>
        </w:rPr>
        <w:t>1 pav.</w:t>
      </w:r>
      <w:r w:rsidRPr="0017614D">
        <w:rPr>
          <w:rFonts w:ascii="Times New Roman" w:hAnsi="Times New Roman" w:cs="Times New Roman"/>
          <w:b/>
          <w:szCs w:val="24"/>
          <w:lang w:val="lt-LT"/>
        </w:rPr>
        <w:t xml:space="preserve"> Sąlygos</w:t>
      </w:r>
      <w:r w:rsidR="00316E53" w:rsidRPr="0017614D">
        <w:rPr>
          <w:rFonts w:ascii="Times New Roman" w:hAnsi="Times New Roman" w:cs="Times New Roman"/>
          <w:b/>
          <w:szCs w:val="24"/>
          <w:lang w:val="lt-LT"/>
        </w:rPr>
        <w:t>,</w:t>
      </w:r>
      <w:r w:rsidRPr="0017614D">
        <w:rPr>
          <w:rFonts w:ascii="Times New Roman" w:hAnsi="Times New Roman" w:cs="Times New Roman"/>
          <w:b/>
          <w:szCs w:val="24"/>
          <w:lang w:val="lt-LT"/>
        </w:rPr>
        <w:t xml:space="preserve"> leidžiančios iškelti įmonei bankroto procedūrą</w:t>
      </w:r>
    </w:p>
    <w:p w:rsidR="00B71821" w:rsidRPr="0017614D" w:rsidRDefault="00B71821" w:rsidP="00713F61">
      <w:pPr>
        <w:tabs>
          <w:tab w:val="left" w:pos="540"/>
        </w:tabs>
        <w:autoSpaceDE w:val="0"/>
        <w:autoSpaceDN w:val="0"/>
        <w:adjustRightInd w:val="0"/>
        <w:spacing w:line="360" w:lineRule="auto"/>
        <w:ind w:firstLine="540"/>
        <w:contextualSpacing/>
        <w:jc w:val="both"/>
        <w:rPr>
          <w:rFonts w:ascii="Times New Roman" w:hAnsi="Times New Roman" w:cs="Times New Roman"/>
          <w:sz w:val="24"/>
          <w:szCs w:val="24"/>
          <w:lang w:val="lt-LT"/>
        </w:rPr>
      </w:pPr>
    </w:p>
    <w:p w:rsidR="00954C4B" w:rsidRPr="0017614D" w:rsidRDefault="00704EFE" w:rsidP="00713F61">
      <w:pPr>
        <w:tabs>
          <w:tab w:val="left" w:pos="540"/>
        </w:tabs>
        <w:autoSpaceDE w:val="0"/>
        <w:autoSpaceDN w:val="0"/>
        <w:adjustRightInd w:val="0"/>
        <w:spacing w:line="360" w:lineRule="auto"/>
        <w:ind w:firstLine="540"/>
        <w:contextualSpacing/>
        <w:jc w:val="both"/>
        <w:rPr>
          <w:rFonts w:ascii="Times New Roman" w:hAnsi="Times New Roman" w:cs="Times New Roman"/>
          <w:bCs/>
          <w:sz w:val="24"/>
          <w:szCs w:val="24"/>
          <w:lang w:val="lt-LT"/>
        </w:rPr>
      </w:pPr>
      <w:r w:rsidRPr="0017614D">
        <w:rPr>
          <w:rFonts w:ascii="Times New Roman" w:hAnsi="Times New Roman" w:cs="Times New Roman"/>
          <w:sz w:val="24"/>
          <w:szCs w:val="24"/>
          <w:lang w:val="lt-LT"/>
        </w:rPr>
        <w:t>Tuo tarpu Lietuvos Respublikos restruktūrizavimo įstatyme randama,</w:t>
      </w:r>
      <w:r w:rsidRPr="0017614D">
        <w:rPr>
          <w:rFonts w:ascii="Times New Roman" w:hAnsi="Times New Roman" w:cs="Times New Roman"/>
          <w:bCs/>
          <w:sz w:val="24"/>
          <w:szCs w:val="24"/>
          <w:lang w:val="lt-LT"/>
        </w:rPr>
        <w:t xml:space="preserve"> kad įmonės bankrotas yra kraštutinė priemonė, taikoma tada, kai įmonės galimybės atkurti savo ilgalaikį mokumą yra išsemtos ir ją gelbėti nėra prasmės (LR Restruktūrizavimo įstatymas, 2010). </w:t>
      </w:r>
    </w:p>
    <w:p w:rsidR="00F06716" w:rsidRPr="00B97FBA" w:rsidRDefault="00954C4B" w:rsidP="00F06716">
      <w:pPr>
        <w:spacing w:after="0" w:line="360" w:lineRule="auto"/>
        <w:ind w:firstLine="720"/>
        <w:contextualSpacing/>
        <w:jc w:val="both"/>
        <w:rPr>
          <w:rFonts w:ascii="Times New Roman" w:hAnsi="Times New Roman" w:cs="Times New Roman"/>
          <w:sz w:val="24"/>
          <w:szCs w:val="24"/>
          <w:lang w:val="lt-LT"/>
        </w:rPr>
      </w:pPr>
      <w:bookmarkStart w:id="55" w:name="_Toc319176745"/>
      <w:bookmarkStart w:id="56" w:name="_Toc319615919"/>
      <w:r w:rsidRPr="0017614D">
        <w:rPr>
          <w:rFonts w:ascii="Times New Roman" w:hAnsi="Times New Roman" w:cs="Times New Roman"/>
          <w:sz w:val="24"/>
          <w:szCs w:val="24"/>
          <w:lang w:val="lt-LT"/>
        </w:rPr>
        <w:t xml:space="preserve">Kaip matome visose aukščiau paminėtuose apibrėžimuose bankrotas yra tapatinamas su nemokumu ir skolų negrąžinimu. Bankrotas ir nemokumas yra labai artimos sąvokos – kai įmonė yra </w:t>
      </w:r>
      <w:r w:rsidRPr="0017614D">
        <w:rPr>
          <w:rFonts w:ascii="Times New Roman" w:hAnsi="Times New Roman" w:cs="Times New Roman"/>
          <w:sz w:val="24"/>
          <w:szCs w:val="24"/>
          <w:lang w:val="lt-LT"/>
        </w:rPr>
        <w:lastRenderedPageBreak/>
        <w:t>nemoki ji artėja prie bankroto. Nemokumą apibrėžia jau prieš tai paminėtas Lietuvos Respublikos bankroto įstatymas, kuriame yra akcentuojama įmonės turto ir įsipareigojimų riba, kurios įmonei negalima peržengti nenorint tapti nemokiai. Pagal šį įstatymą, įmonės nemokumas tai būsena, kai įmonė nevykdo įsipareigojimų (nemoka skolų, neatlieka iš anksto apmokėtų darbų ir kt.) ir pradelsti įmonės įsipareigojimai (skolos, neatlikti darbai ir kt.) viršija pusę į jos ba</w:t>
      </w:r>
      <w:r w:rsidR="00B97FBA">
        <w:rPr>
          <w:rFonts w:ascii="Times New Roman" w:hAnsi="Times New Roman" w:cs="Times New Roman"/>
          <w:sz w:val="24"/>
          <w:szCs w:val="24"/>
          <w:lang w:val="lt-LT"/>
        </w:rPr>
        <w:t>lansą įrašyto turto vertės (LR Įmonių b</w:t>
      </w:r>
      <w:r w:rsidRPr="0017614D">
        <w:rPr>
          <w:rFonts w:ascii="Times New Roman" w:hAnsi="Times New Roman" w:cs="Times New Roman"/>
          <w:sz w:val="24"/>
          <w:szCs w:val="24"/>
          <w:lang w:val="lt-LT"/>
        </w:rPr>
        <w:t>ankroto įstatymas, 2001). Tuo tarpu kitas lietuvių autorius - S. Grigaravičius (2003), atvirkščiai, didesnį dėmesį skiria skolų uždelsimo terminui. Jo nuomone, įmonės nemokumas – tai įmonės negalėjimas per daugiau kaip 90 kalendorinių dienų (3 mėnesių) laikotarpį laiku įvykdyti finansinius įsipareigojimus kreditoriams sutartomis sąlygomis, neatsižvelgiant į įmonės kapitalo struktūrą ir bankroto bylos iškėlimą.</w:t>
      </w:r>
      <w:bookmarkEnd w:id="55"/>
      <w:bookmarkEnd w:id="56"/>
      <w:r w:rsidRPr="0017614D">
        <w:rPr>
          <w:rFonts w:ascii="Times New Roman" w:hAnsi="Times New Roman" w:cs="Times New Roman"/>
          <w:sz w:val="24"/>
          <w:szCs w:val="24"/>
          <w:lang w:val="lt-LT"/>
        </w:rPr>
        <w:t xml:space="preserve"> </w:t>
      </w:r>
      <w:r w:rsidR="00F06716" w:rsidRPr="0017614D">
        <w:rPr>
          <w:rFonts w:ascii="Times New Roman" w:hAnsi="Times New Roman" w:cs="Times New Roman"/>
          <w:sz w:val="24"/>
          <w:szCs w:val="24"/>
          <w:lang w:val="lt-LT"/>
        </w:rPr>
        <w:t>Apie nemokumą yra kalbama ir</w:t>
      </w:r>
      <w:r w:rsidR="00EA2B06" w:rsidRPr="0017614D">
        <w:rPr>
          <w:rFonts w:ascii="Times New Roman" w:hAnsi="Times New Roman" w:cs="Times New Roman"/>
          <w:sz w:val="24"/>
          <w:szCs w:val="24"/>
          <w:lang w:val="lt-LT"/>
        </w:rPr>
        <w:t xml:space="preserve"> Bazelio tarptautinio komercinių bankų priežiūros komiteto </w:t>
      </w:r>
      <w:r w:rsidR="00F06716" w:rsidRPr="0017614D">
        <w:rPr>
          <w:rFonts w:ascii="Times New Roman" w:hAnsi="Times New Roman" w:cs="Times New Roman"/>
          <w:sz w:val="24"/>
          <w:szCs w:val="24"/>
          <w:lang w:val="lt-LT"/>
        </w:rPr>
        <w:t>sukurtoje</w:t>
      </w:r>
      <w:r w:rsidR="00EA2B06" w:rsidRPr="0017614D">
        <w:rPr>
          <w:rFonts w:ascii="Times New Roman" w:hAnsi="Times New Roman" w:cs="Times New Roman"/>
          <w:sz w:val="24"/>
          <w:szCs w:val="24"/>
          <w:lang w:val="lt-LT"/>
        </w:rPr>
        <w:t xml:space="preserve"> rizikos vertinimo metodik</w:t>
      </w:r>
      <w:r w:rsidR="00F06716" w:rsidRPr="0017614D">
        <w:rPr>
          <w:rFonts w:ascii="Times New Roman" w:hAnsi="Times New Roman" w:cs="Times New Roman"/>
          <w:sz w:val="24"/>
          <w:szCs w:val="24"/>
          <w:lang w:val="lt-LT"/>
        </w:rPr>
        <w:t>oje</w:t>
      </w:r>
      <w:r w:rsidR="00EA2B06" w:rsidRPr="0017614D">
        <w:rPr>
          <w:rFonts w:ascii="Times New Roman" w:hAnsi="Times New Roman" w:cs="Times New Roman"/>
          <w:sz w:val="24"/>
          <w:szCs w:val="24"/>
          <w:lang w:val="lt-LT"/>
        </w:rPr>
        <w:t xml:space="preserve"> „Bazelis II“</w:t>
      </w:r>
      <w:r w:rsidR="00F06716" w:rsidRPr="0017614D">
        <w:rPr>
          <w:rFonts w:ascii="Times New Roman" w:hAnsi="Times New Roman" w:cs="Times New Roman"/>
          <w:sz w:val="24"/>
          <w:szCs w:val="24"/>
          <w:lang w:val="lt-LT"/>
        </w:rPr>
        <w:t xml:space="preserve">. Šioje metodikoje yra nurodyta, kad </w:t>
      </w:r>
      <w:r w:rsidR="00EA2B06" w:rsidRPr="0017614D">
        <w:rPr>
          <w:rFonts w:ascii="Times New Roman" w:hAnsi="Times New Roman" w:cs="Times New Roman"/>
          <w:sz w:val="24"/>
          <w:szCs w:val="24"/>
          <w:lang w:val="lt-LT"/>
        </w:rPr>
        <w:t>juridinis subjektas yra nemokus, kai jis atitinka dvi sąlygas</w:t>
      </w:r>
      <w:r w:rsidR="00A24F9A">
        <w:rPr>
          <w:rFonts w:ascii="Times New Roman" w:hAnsi="Times New Roman" w:cs="Times New Roman"/>
          <w:sz w:val="24"/>
          <w:szCs w:val="24"/>
          <w:lang w:val="lt-LT"/>
        </w:rPr>
        <w:t xml:space="preserve"> (</w:t>
      </w:r>
      <w:r w:rsidR="00B97FBA" w:rsidRPr="00B97FBA">
        <w:rPr>
          <w:rFonts w:ascii="Times New Roman" w:hAnsi="Times New Roman" w:cs="Times New Roman"/>
          <w:sz w:val="24"/>
          <w:szCs w:val="24"/>
        </w:rPr>
        <w:t>Bazelio tarptautinio komercinių bankų priežiūros komitetas</w:t>
      </w:r>
      <w:r w:rsidR="00A24F9A" w:rsidRPr="00B97FBA">
        <w:rPr>
          <w:rFonts w:ascii="Times New Roman" w:hAnsi="Times New Roman" w:cs="Times New Roman"/>
          <w:sz w:val="24"/>
          <w:szCs w:val="24"/>
          <w:lang w:val="lt-LT"/>
        </w:rPr>
        <w:t>, 2004)</w:t>
      </w:r>
      <w:r w:rsidR="00F06716" w:rsidRPr="00B97FBA">
        <w:rPr>
          <w:rFonts w:ascii="Times New Roman" w:hAnsi="Times New Roman" w:cs="Times New Roman"/>
          <w:sz w:val="24"/>
          <w:szCs w:val="24"/>
          <w:lang w:val="lt-LT"/>
        </w:rPr>
        <w:t>:</w:t>
      </w:r>
    </w:p>
    <w:p w:rsidR="00F06716" w:rsidRPr="0017614D" w:rsidRDefault="00EA2B06" w:rsidP="00417443">
      <w:pPr>
        <w:pStyle w:val="ListParagraph"/>
        <w:numPr>
          <w:ilvl w:val="0"/>
          <w:numId w:val="29"/>
        </w:numPr>
        <w:spacing w:after="0" w:line="360" w:lineRule="auto"/>
        <w:jc w:val="both"/>
        <w:rPr>
          <w:rFonts w:ascii="Times New Roman" w:hAnsi="Times New Roman" w:cs="Times New Roman"/>
          <w:sz w:val="24"/>
          <w:szCs w:val="24"/>
          <w:lang w:val="lt-LT"/>
        </w:rPr>
      </w:pPr>
      <w:r w:rsidRPr="0017614D">
        <w:rPr>
          <w:rStyle w:val="hps"/>
          <w:rFonts w:ascii="Times New Roman" w:hAnsi="Times New Roman" w:cs="Times New Roman"/>
          <w:sz w:val="24"/>
          <w:szCs w:val="24"/>
          <w:lang w:val="lt-LT"/>
        </w:rPr>
        <w:t>mažai tikėtina, kad</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paskolos gavėjas</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galės</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grąžinti</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skolą</w:t>
      </w:r>
      <w:r w:rsidRPr="0017614D">
        <w:rPr>
          <w:rFonts w:ascii="Times New Roman" w:hAnsi="Times New Roman" w:cs="Times New Roman"/>
          <w:sz w:val="24"/>
          <w:szCs w:val="24"/>
          <w:lang w:val="lt-LT"/>
        </w:rPr>
        <w:t xml:space="preserve">, nepateikdamas </w:t>
      </w:r>
      <w:r w:rsidRPr="0017614D">
        <w:rPr>
          <w:rStyle w:val="hps"/>
          <w:rFonts w:ascii="Times New Roman" w:hAnsi="Times New Roman" w:cs="Times New Roman"/>
          <w:sz w:val="24"/>
          <w:szCs w:val="24"/>
          <w:lang w:val="lt-LT"/>
        </w:rPr>
        <w:t>jokio</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užstato;</w:t>
      </w:r>
    </w:p>
    <w:p w:rsidR="00F06716" w:rsidRPr="0017614D" w:rsidRDefault="00EA2B06" w:rsidP="00417443">
      <w:pPr>
        <w:pStyle w:val="ListParagraph"/>
        <w:numPr>
          <w:ilvl w:val="0"/>
          <w:numId w:val="29"/>
        </w:numPr>
        <w:spacing w:after="0" w:line="360" w:lineRule="auto"/>
        <w:jc w:val="both"/>
        <w:rPr>
          <w:rStyle w:val="hps"/>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paskolos gavėjas </w:t>
      </w:r>
      <w:r w:rsidRPr="0017614D">
        <w:rPr>
          <w:rStyle w:val="hps"/>
          <w:rFonts w:ascii="Times New Roman" w:hAnsi="Times New Roman" w:cs="Times New Roman"/>
          <w:sz w:val="24"/>
          <w:szCs w:val="24"/>
          <w:lang w:val="lt-LT"/>
        </w:rPr>
        <w:t>pradelsė reikšmingus įsipareigojimus daugiau kaip 90 dienų</w:t>
      </w:r>
      <w:r w:rsidR="00F06716" w:rsidRPr="0017614D">
        <w:rPr>
          <w:rStyle w:val="hps"/>
          <w:rFonts w:ascii="Times New Roman" w:hAnsi="Times New Roman" w:cs="Times New Roman"/>
          <w:sz w:val="24"/>
          <w:szCs w:val="24"/>
          <w:lang w:val="lt-LT"/>
        </w:rPr>
        <w:t>.</w:t>
      </w:r>
    </w:p>
    <w:p w:rsidR="00F06716" w:rsidRPr="0017614D" w:rsidRDefault="00F06716" w:rsidP="00F06716">
      <w:pPr>
        <w:spacing w:after="0" w:line="360" w:lineRule="auto"/>
        <w:ind w:firstLine="720"/>
        <w:contextualSpacing/>
        <w:jc w:val="both"/>
        <w:rPr>
          <w:rStyle w:val="hps"/>
          <w:rFonts w:ascii="Times New Roman" w:hAnsi="Times New Roman" w:cs="Times New Roman"/>
          <w:sz w:val="24"/>
          <w:szCs w:val="24"/>
          <w:lang w:val="lt-LT"/>
        </w:rPr>
      </w:pPr>
      <w:r w:rsidRPr="0017614D">
        <w:rPr>
          <w:rStyle w:val="hps"/>
          <w:rFonts w:ascii="Times New Roman" w:hAnsi="Times New Roman" w:cs="Times New Roman"/>
          <w:sz w:val="24"/>
          <w:szCs w:val="24"/>
          <w:lang w:val="lt-LT"/>
        </w:rPr>
        <w:t>Svarbu atkreipti dėmesį, kad antroji sąlyga yra tapati su S. Grigaravičiaus (2003) pateikiamu nemokumo apibrėžimu.</w:t>
      </w:r>
    </w:p>
    <w:p w:rsidR="00AC216C" w:rsidRPr="0017614D" w:rsidRDefault="00FA6921" w:rsidP="00F06716">
      <w:pPr>
        <w:tabs>
          <w:tab w:val="left" w:pos="540"/>
        </w:tabs>
        <w:autoSpaceDE w:val="0"/>
        <w:autoSpaceDN w:val="0"/>
        <w:adjustRightInd w:val="0"/>
        <w:spacing w:after="0" w:line="360" w:lineRule="auto"/>
        <w:ind w:left="-30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ab/>
      </w:r>
      <w:r w:rsidR="007B043E" w:rsidRPr="0017614D">
        <w:rPr>
          <w:rFonts w:ascii="Times New Roman" w:hAnsi="Times New Roman" w:cs="Times New Roman"/>
          <w:sz w:val="24"/>
          <w:szCs w:val="24"/>
          <w:lang w:val="lt-LT"/>
        </w:rPr>
        <w:t xml:space="preserve">Apžvelgus lietuvių autorių pateikiamas sąvokas, matome, </w:t>
      </w:r>
      <w:r w:rsidR="00E2406B" w:rsidRPr="0017614D">
        <w:rPr>
          <w:rFonts w:ascii="Times New Roman" w:hAnsi="Times New Roman" w:cs="Times New Roman"/>
          <w:sz w:val="24"/>
          <w:szCs w:val="24"/>
          <w:lang w:val="lt-LT"/>
        </w:rPr>
        <w:t>kad nors daugelis autorių pateikia iš išorės skirtingas bankroto sąvokas, tačiau jų esmė išlieka labai panaši.</w:t>
      </w:r>
      <w:r w:rsidR="007B043E" w:rsidRPr="0017614D">
        <w:rPr>
          <w:rFonts w:ascii="Times New Roman" w:hAnsi="Times New Roman" w:cs="Times New Roman"/>
          <w:sz w:val="24"/>
          <w:szCs w:val="24"/>
          <w:lang w:val="lt-LT"/>
        </w:rPr>
        <w:t xml:space="preserve"> Visos šios sąvokos papildo viena kitą ir sudaro pilną vaizdą apie bankroto reiškinį. Apibendrinus jas galima teigti, kad bankrotas – tai neigi</w:t>
      </w:r>
      <w:r w:rsidR="00A4487D" w:rsidRPr="0017614D">
        <w:rPr>
          <w:rFonts w:ascii="Times New Roman" w:hAnsi="Times New Roman" w:cs="Times New Roman"/>
          <w:sz w:val="24"/>
          <w:szCs w:val="24"/>
          <w:lang w:val="lt-LT"/>
        </w:rPr>
        <w:t>amą atspalvį turintys</w:t>
      </w:r>
      <w:r w:rsidR="007B043E" w:rsidRPr="0017614D">
        <w:rPr>
          <w:rFonts w:ascii="Times New Roman" w:hAnsi="Times New Roman" w:cs="Times New Roman"/>
          <w:sz w:val="24"/>
          <w:szCs w:val="24"/>
          <w:lang w:val="lt-LT"/>
        </w:rPr>
        <w:t xml:space="preserve"> reiškinys, pasižymintis įmonės ne</w:t>
      </w:r>
      <w:r w:rsidR="00A4487D" w:rsidRPr="0017614D">
        <w:rPr>
          <w:rFonts w:ascii="Times New Roman" w:hAnsi="Times New Roman" w:cs="Times New Roman"/>
          <w:sz w:val="24"/>
          <w:szCs w:val="24"/>
          <w:lang w:val="lt-LT"/>
        </w:rPr>
        <w:t>sugebėjimu</w:t>
      </w:r>
      <w:r w:rsidR="007B043E" w:rsidRPr="0017614D">
        <w:rPr>
          <w:rFonts w:ascii="Times New Roman" w:hAnsi="Times New Roman" w:cs="Times New Roman"/>
          <w:sz w:val="24"/>
          <w:szCs w:val="24"/>
          <w:lang w:val="lt-LT"/>
        </w:rPr>
        <w:t xml:space="preserve"> </w:t>
      </w:r>
      <w:r w:rsidR="00E2406B" w:rsidRPr="0017614D">
        <w:rPr>
          <w:rFonts w:ascii="Times New Roman" w:hAnsi="Times New Roman" w:cs="Times New Roman"/>
          <w:sz w:val="24"/>
          <w:szCs w:val="24"/>
          <w:lang w:val="lt-LT"/>
        </w:rPr>
        <w:t>įvykdyti</w:t>
      </w:r>
      <w:r w:rsidR="00A4487D" w:rsidRPr="0017614D">
        <w:rPr>
          <w:rFonts w:ascii="Times New Roman" w:hAnsi="Times New Roman" w:cs="Times New Roman"/>
          <w:sz w:val="24"/>
          <w:szCs w:val="24"/>
          <w:lang w:val="lt-LT"/>
        </w:rPr>
        <w:t xml:space="preserve"> turimų</w:t>
      </w:r>
      <w:r w:rsidR="007B043E" w:rsidRPr="0017614D">
        <w:rPr>
          <w:rFonts w:ascii="Times New Roman" w:hAnsi="Times New Roman" w:cs="Times New Roman"/>
          <w:sz w:val="24"/>
          <w:szCs w:val="24"/>
          <w:lang w:val="lt-LT"/>
        </w:rPr>
        <w:t xml:space="preserve"> </w:t>
      </w:r>
      <w:r w:rsidR="00E2406B" w:rsidRPr="0017614D">
        <w:rPr>
          <w:rFonts w:ascii="Times New Roman" w:hAnsi="Times New Roman" w:cs="Times New Roman"/>
          <w:sz w:val="24"/>
          <w:szCs w:val="24"/>
          <w:lang w:val="lt-LT"/>
        </w:rPr>
        <w:t xml:space="preserve">finansinių </w:t>
      </w:r>
      <w:r w:rsidR="007B043E" w:rsidRPr="0017614D">
        <w:rPr>
          <w:rFonts w:ascii="Times New Roman" w:hAnsi="Times New Roman" w:cs="Times New Roman"/>
          <w:sz w:val="24"/>
          <w:szCs w:val="24"/>
          <w:lang w:val="lt-LT"/>
        </w:rPr>
        <w:t>įsipareigojimų</w:t>
      </w:r>
      <w:r w:rsidR="00A4487D" w:rsidRPr="0017614D">
        <w:rPr>
          <w:rFonts w:ascii="Times New Roman" w:hAnsi="Times New Roman" w:cs="Times New Roman"/>
          <w:sz w:val="24"/>
          <w:szCs w:val="24"/>
          <w:lang w:val="lt-LT"/>
        </w:rPr>
        <w:t>, kas priverčia įmonę</w:t>
      </w:r>
      <w:r w:rsidR="007B043E" w:rsidRPr="0017614D">
        <w:rPr>
          <w:rFonts w:ascii="Times New Roman" w:hAnsi="Times New Roman" w:cs="Times New Roman"/>
          <w:sz w:val="24"/>
          <w:szCs w:val="24"/>
          <w:lang w:val="lt-LT"/>
        </w:rPr>
        <w:t xml:space="preserve"> </w:t>
      </w:r>
      <w:r w:rsidR="00A4487D" w:rsidRPr="0017614D">
        <w:rPr>
          <w:rFonts w:ascii="Times New Roman" w:hAnsi="Times New Roman" w:cs="Times New Roman"/>
          <w:sz w:val="24"/>
          <w:szCs w:val="24"/>
          <w:lang w:val="lt-LT"/>
        </w:rPr>
        <w:t>pasitraukti</w:t>
      </w:r>
      <w:r w:rsidR="007B043E" w:rsidRPr="0017614D">
        <w:rPr>
          <w:rFonts w:ascii="Times New Roman" w:hAnsi="Times New Roman" w:cs="Times New Roman"/>
          <w:sz w:val="24"/>
          <w:szCs w:val="24"/>
          <w:lang w:val="lt-LT"/>
        </w:rPr>
        <w:t xml:space="preserve"> iš rinkos</w:t>
      </w:r>
      <w:r w:rsidR="00A4487D" w:rsidRPr="0017614D">
        <w:rPr>
          <w:rFonts w:ascii="Times New Roman" w:hAnsi="Times New Roman" w:cs="Times New Roman"/>
          <w:sz w:val="24"/>
          <w:szCs w:val="24"/>
          <w:lang w:val="lt-LT"/>
        </w:rPr>
        <w:t>.</w:t>
      </w:r>
    </w:p>
    <w:p w:rsidR="005536CD" w:rsidRPr="0017614D" w:rsidRDefault="005536CD" w:rsidP="00F06716">
      <w:pPr>
        <w:tabs>
          <w:tab w:val="left" w:pos="540"/>
        </w:tabs>
        <w:autoSpaceDE w:val="0"/>
        <w:autoSpaceDN w:val="0"/>
        <w:adjustRightInd w:val="0"/>
        <w:spacing w:after="0" w:line="360" w:lineRule="auto"/>
        <w:ind w:left="-30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ab/>
        <w:t xml:space="preserve">Aptarus Lietuvos ir užsienio autorių pateikiamas bankroto sąvokas taip pat yra tikslinga jas palyginti. Šiuo tikslu buvo sudaryta </w:t>
      </w:r>
      <w:r w:rsidR="00A24F9A">
        <w:rPr>
          <w:rFonts w:ascii="Times New Roman" w:hAnsi="Times New Roman" w:cs="Times New Roman"/>
          <w:sz w:val="24"/>
          <w:szCs w:val="24"/>
          <w:lang w:val="lt-LT"/>
        </w:rPr>
        <w:t>1 lentelė, kurioje susisteminti</w:t>
      </w:r>
      <w:r w:rsidRPr="0017614D">
        <w:rPr>
          <w:rFonts w:ascii="Times New Roman" w:hAnsi="Times New Roman" w:cs="Times New Roman"/>
          <w:sz w:val="24"/>
          <w:szCs w:val="24"/>
          <w:lang w:val="lt-LT"/>
        </w:rPr>
        <w:t xml:space="preserve"> Lietuvos ir užsienio autor</w:t>
      </w:r>
      <w:r w:rsidR="00A24F9A">
        <w:rPr>
          <w:rFonts w:ascii="Times New Roman" w:hAnsi="Times New Roman" w:cs="Times New Roman"/>
          <w:sz w:val="24"/>
          <w:szCs w:val="24"/>
          <w:lang w:val="lt-LT"/>
        </w:rPr>
        <w:t>ių bei jurisdikcijos pateikiami apibrėžimai</w:t>
      </w:r>
      <w:r w:rsidRPr="0017614D">
        <w:rPr>
          <w:rFonts w:ascii="Times New Roman" w:hAnsi="Times New Roman" w:cs="Times New Roman"/>
          <w:sz w:val="24"/>
          <w:szCs w:val="24"/>
          <w:lang w:val="lt-LT"/>
        </w:rPr>
        <w:t>.</w:t>
      </w:r>
    </w:p>
    <w:p w:rsidR="00947BFC" w:rsidRPr="0017614D" w:rsidRDefault="00947BFC" w:rsidP="00F06716">
      <w:pPr>
        <w:tabs>
          <w:tab w:val="left" w:pos="540"/>
        </w:tabs>
        <w:autoSpaceDE w:val="0"/>
        <w:autoSpaceDN w:val="0"/>
        <w:adjustRightInd w:val="0"/>
        <w:spacing w:after="0" w:line="360" w:lineRule="auto"/>
        <w:ind w:left="-300"/>
        <w:contextualSpacing/>
        <w:jc w:val="both"/>
        <w:rPr>
          <w:rFonts w:ascii="Times New Roman" w:hAnsi="Times New Roman" w:cs="Times New Roman"/>
          <w:sz w:val="24"/>
          <w:szCs w:val="24"/>
          <w:lang w:val="lt-LT"/>
        </w:rPr>
      </w:pPr>
    </w:p>
    <w:p w:rsidR="002C116C" w:rsidRPr="0017614D" w:rsidRDefault="002C116C" w:rsidP="002C116C">
      <w:pPr>
        <w:spacing w:line="360" w:lineRule="auto"/>
        <w:contextualSpacing/>
        <w:jc w:val="center"/>
        <w:rPr>
          <w:rFonts w:ascii="Times New Roman" w:hAnsi="Times New Roman" w:cs="Times New Roman"/>
          <w:b/>
          <w:szCs w:val="24"/>
          <w:lang w:val="lt-LT"/>
        </w:rPr>
      </w:pPr>
      <w:r w:rsidRPr="0017614D">
        <w:rPr>
          <w:rFonts w:ascii="Times New Roman" w:hAnsi="Times New Roman" w:cs="Times New Roman"/>
          <w:szCs w:val="24"/>
          <w:lang w:val="lt-LT"/>
        </w:rPr>
        <w:t>1 lentelė.</w:t>
      </w:r>
      <w:r w:rsidRPr="0017614D">
        <w:rPr>
          <w:rFonts w:ascii="Times New Roman" w:hAnsi="Times New Roman" w:cs="Times New Roman"/>
          <w:b/>
          <w:szCs w:val="24"/>
          <w:lang w:val="lt-LT"/>
        </w:rPr>
        <w:t xml:space="preserve"> Lietuvos ir užsienio autorių pateikiamų bankroto sąvokų palyginimas</w:t>
      </w:r>
    </w:p>
    <w:tbl>
      <w:tblPr>
        <w:tblStyle w:val="LightGrid-Accent6"/>
        <w:tblW w:w="0" w:type="auto"/>
        <w:tblLook w:val="04A0"/>
      </w:tblPr>
      <w:tblGrid>
        <w:gridCol w:w="4788"/>
        <w:gridCol w:w="4788"/>
      </w:tblGrid>
      <w:tr w:rsidR="00947BFC" w:rsidRPr="0017614D" w:rsidTr="00F11E3B">
        <w:trPr>
          <w:cnfStyle w:val="100000000000"/>
        </w:trPr>
        <w:tc>
          <w:tcPr>
            <w:cnfStyle w:val="001000000000"/>
            <w:tcW w:w="9576" w:type="dxa"/>
            <w:gridSpan w:val="2"/>
          </w:tcPr>
          <w:p w:rsidR="00947BFC" w:rsidRPr="0017614D" w:rsidRDefault="00947BFC" w:rsidP="00F11E3B">
            <w:pPr>
              <w:spacing w:line="276" w:lineRule="auto"/>
              <w:jc w:val="center"/>
              <w:rPr>
                <w:rFonts w:ascii="Times New Roman" w:hAnsi="Times New Roman" w:cs="Times New Roman"/>
                <w:lang w:val="lt-LT"/>
              </w:rPr>
            </w:pPr>
            <w:r w:rsidRPr="0017614D">
              <w:rPr>
                <w:rFonts w:ascii="Times New Roman" w:hAnsi="Times New Roman" w:cs="Times New Roman"/>
                <w:lang w:val="lt-LT"/>
              </w:rPr>
              <w:t>Bankrotas</w:t>
            </w:r>
          </w:p>
        </w:tc>
      </w:tr>
      <w:tr w:rsidR="00947BFC" w:rsidRPr="0017614D" w:rsidTr="00F11E3B">
        <w:trPr>
          <w:cnfStyle w:val="000000100000"/>
        </w:trPr>
        <w:tc>
          <w:tcPr>
            <w:cnfStyle w:val="001000000000"/>
            <w:tcW w:w="4788" w:type="dxa"/>
          </w:tcPr>
          <w:p w:rsidR="00947BFC" w:rsidRPr="0017614D" w:rsidRDefault="00947BFC" w:rsidP="00F11E3B">
            <w:pPr>
              <w:spacing w:line="276" w:lineRule="auto"/>
              <w:jc w:val="center"/>
              <w:rPr>
                <w:rFonts w:ascii="Times New Roman" w:hAnsi="Times New Roman" w:cs="Times New Roman"/>
                <w:b w:val="0"/>
                <w:i/>
                <w:lang w:val="lt-LT"/>
              </w:rPr>
            </w:pPr>
            <w:r w:rsidRPr="0017614D">
              <w:rPr>
                <w:rFonts w:ascii="Times New Roman" w:hAnsi="Times New Roman" w:cs="Times New Roman"/>
                <w:b w:val="0"/>
                <w:i/>
                <w:lang w:val="lt-LT"/>
              </w:rPr>
              <w:t>Pasak užsienio autorių bei jurisdikcijos</w:t>
            </w:r>
          </w:p>
        </w:tc>
        <w:tc>
          <w:tcPr>
            <w:tcW w:w="4788" w:type="dxa"/>
          </w:tcPr>
          <w:p w:rsidR="00947BFC" w:rsidRPr="0017614D" w:rsidRDefault="00947BFC" w:rsidP="00F11E3B">
            <w:pPr>
              <w:spacing w:line="276" w:lineRule="auto"/>
              <w:jc w:val="center"/>
              <w:cnfStyle w:val="000000100000"/>
              <w:rPr>
                <w:rFonts w:ascii="Times New Roman" w:hAnsi="Times New Roman" w:cs="Times New Roman"/>
                <w:i/>
                <w:lang w:val="lt-LT"/>
              </w:rPr>
            </w:pPr>
            <w:r w:rsidRPr="0017614D">
              <w:rPr>
                <w:rFonts w:ascii="Times New Roman" w:hAnsi="Times New Roman" w:cs="Times New Roman"/>
                <w:i/>
                <w:lang w:val="lt-LT"/>
              </w:rPr>
              <w:t>Pasak Lietuvos autorių bei jurisdikcijos</w:t>
            </w:r>
          </w:p>
        </w:tc>
      </w:tr>
      <w:tr w:rsidR="00947BFC" w:rsidRPr="0017614D" w:rsidTr="00F11E3B">
        <w:trPr>
          <w:cnfStyle w:val="000000010000"/>
        </w:trPr>
        <w:tc>
          <w:tcPr>
            <w:cnfStyle w:val="001000000000"/>
            <w:tcW w:w="4788" w:type="dxa"/>
          </w:tcPr>
          <w:p w:rsidR="00947BFC" w:rsidRPr="0017614D" w:rsidRDefault="00947BFC" w:rsidP="00417443">
            <w:pPr>
              <w:pStyle w:val="ListParagraph"/>
              <w:numPr>
                <w:ilvl w:val="0"/>
                <w:numId w:val="30"/>
              </w:numPr>
              <w:spacing w:line="276" w:lineRule="auto"/>
              <w:jc w:val="both"/>
              <w:rPr>
                <w:rFonts w:ascii="Times New Roman" w:hAnsi="Times New Roman" w:cs="Times New Roman"/>
                <w:b w:val="0"/>
                <w:lang w:val="lt-LT"/>
              </w:rPr>
            </w:pPr>
            <w:r w:rsidRPr="0017614D">
              <w:rPr>
                <w:rFonts w:ascii="Times New Roman" w:hAnsi="Times New Roman" w:cs="Times New Roman"/>
                <w:b w:val="0"/>
                <w:lang w:val="lt-LT"/>
              </w:rPr>
              <w:t>įmonės būsena, kai ji negali grąžinti savo skolų;</w:t>
            </w:r>
          </w:p>
          <w:p w:rsidR="00947BFC" w:rsidRPr="0017614D" w:rsidRDefault="00947BFC" w:rsidP="00417443">
            <w:pPr>
              <w:pStyle w:val="ListParagraph"/>
              <w:numPr>
                <w:ilvl w:val="0"/>
                <w:numId w:val="30"/>
              </w:numPr>
              <w:jc w:val="both"/>
              <w:rPr>
                <w:rFonts w:ascii="Times New Roman" w:hAnsi="Times New Roman" w:cs="Times New Roman"/>
                <w:bCs w:val="0"/>
                <w:lang w:val="lt-LT"/>
              </w:rPr>
            </w:pPr>
            <w:r w:rsidRPr="0017614D">
              <w:rPr>
                <w:rFonts w:ascii="Times New Roman" w:hAnsi="Times New Roman" w:cs="Times New Roman"/>
                <w:b w:val="0"/>
                <w:lang w:val="lt-LT"/>
              </w:rPr>
              <w:t xml:space="preserve">teismo pripažintas arba skolininko </w:t>
            </w:r>
            <w:r w:rsidR="00F2770C" w:rsidRPr="0017614D">
              <w:rPr>
                <w:rFonts w:ascii="Times New Roman" w:hAnsi="Times New Roman" w:cs="Times New Roman"/>
                <w:b w:val="0"/>
                <w:lang w:val="lt-LT"/>
              </w:rPr>
              <w:t>paskelbtas įmonės negalėjimas įvykdyti savo piniginių įsipareigojimų kreditoriams bei atlikti būtinų mokėjimų;</w:t>
            </w:r>
          </w:p>
        </w:tc>
        <w:tc>
          <w:tcPr>
            <w:tcW w:w="4788" w:type="dxa"/>
          </w:tcPr>
          <w:p w:rsidR="00F2770C" w:rsidRPr="0017614D" w:rsidRDefault="00947BFC" w:rsidP="00417443">
            <w:pPr>
              <w:pStyle w:val="ListParagraph"/>
              <w:numPr>
                <w:ilvl w:val="0"/>
                <w:numId w:val="30"/>
              </w:numPr>
              <w:spacing w:line="276" w:lineRule="auto"/>
              <w:jc w:val="both"/>
              <w:cnfStyle w:val="000000010000"/>
              <w:rPr>
                <w:rFonts w:ascii="Times New Roman" w:hAnsi="Times New Roman" w:cs="Times New Roman"/>
                <w:lang w:val="lt-LT"/>
              </w:rPr>
            </w:pPr>
            <w:r w:rsidRPr="0017614D">
              <w:rPr>
                <w:rFonts w:ascii="Times New Roman" w:hAnsi="Times New Roman" w:cs="Times New Roman"/>
                <w:lang w:val="lt-LT"/>
              </w:rPr>
              <w:t>įmonės priverstinė baigtis, lydima išaugusių skolų, padidėjusiu žalą patyrusių kreditorių skaičiumi, darbuotojams</w:t>
            </w:r>
            <w:r w:rsidRPr="0017614D">
              <w:rPr>
                <w:rFonts w:ascii="Times New Roman" w:hAnsi="Times New Roman" w:cs="Times New Roman"/>
                <w:bCs/>
                <w:lang w:val="lt-LT"/>
              </w:rPr>
              <w:t xml:space="preserve"> </w:t>
            </w:r>
            <w:r w:rsidR="00F2770C" w:rsidRPr="0017614D">
              <w:rPr>
                <w:rFonts w:ascii="Times New Roman" w:hAnsi="Times New Roman" w:cs="Times New Roman"/>
                <w:lang w:val="lt-LT"/>
              </w:rPr>
              <w:t>neišmokėtais atlyginimais ir kt.;</w:t>
            </w:r>
          </w:p>
          <w:p w:rsidR="00947BFC" w:rsidRPr="0017614D" w:rsidRDefault="00F2770C" w:rsidP="00417443">
            <w:pPr>
              <w:pStyle w:val="ListParagraph"/>
              <w:numPr>
                <w:ilvl w:val="0"/>
                <w:numId w:val="31"/>
              </w:numPr>
              <w:spacing w:line="276" w:lineRule="auto"/>
              <w:jc w:val="both"/>
              <w:cnfStyle w:val="000000010000"/>
              <w:rPr>
                <w:rFonts w:ascii="Times New Roman" w:eastAsia="Calibri" w:hAnsi="Times New Roman" w:cs="Times New Roman"/>
                <w:lang w:val="lt-LT"/>
              </w:rPr>
            </w:pPr>
            <w:r w:rsidRPr="0017614D">
              <w:rPr>
                <w:rFonts w:ascii="Times New Roman" w:eastAsia="Calibri" w:hAnsi="Times New Roman" w:cs="Times New Roman"/>
                <w:lang w:val="lt-LT"/>
              </w:rPr>
              <w:t xml:space="preserve">paskutinė krizinės situacijos stadija, </w:t>
            </w:r>
          </w:p>
        </w:tc>
      </w:tr>
    </w:tbl>
    <w:p w:rsidR="005536CD" w:rsidRPr="0017614D" w:rsidRDefault="005536CD" w:rsidP="00E6354F">
      <w:pPr>
        <w:spacing w:line="360" w:lineRule="auto"/>
        <w:contextualSpacing/>
        <w:jc w:val="right"/>
        <w:rPr>
          <w:rFonts w:ascii="Times New Roman" w:hAnsi="Times New Roman" w:cs="Times New Roman"/>
          <w:sz w:val="24"/>
          <w:szCs w:val="24"/>
          <w:lang w:val="lt-LT"/>
        </w:rPr>
      </w:pPr>
      <w:r w:rsidRPr="0017614D">
        <w:rPr>
          <w:rFonts w:ascii="Times New Roman" w:hAnsi="Times New Roman" w:cs="Times New Roman"/>
          <w:sz w:val="24"/>
          <w:szCs w:val="24"/>
          <w:lang w:val="lt-LT"/>
        </w:rPr>
        <w:t>1 lentel</w:t>
      </w:r>
      <w:r w:rsidRPr="0017614D">
        <w:rPr>
          <w:rFonts w:ascii="TimesNewRomanPSMT" w:eastAsia="TimesNewRomanPSMT" w:hAnsi="Times New Roman" w:cs="TimesNewRomanPSMT"/>
          <w:sz w:val="24"/>
          <w:szCs w:val="24"/>
          <w:lang w:val="lt-LT"/>
        </w:rPr>
        <w:t>ė</w:t>
      </w:r>
      <w:r w:rsidRPr="0017614D">
        <w:rPr>
          <w:rFonts w:ascii="Times New Roman" w:hAnsi="Times New Roman" w:cs="Times New Roman"/>
          <w:sz w:val="24"/>
          <w:szCs w:val="24"/>
          <w:lang w:val="lt-LT"/>
        </w:rPr>
        <w:t>s t</w:t>
      </w:r>
      <w:r w:rsidRPr="0017614D">
        <w:rPr>
          <w:rFonts w:ascii="TimesNewRomanPSMT" w:eastAsia="TimesNewRomanPSMT" w:hAnsi="Times New Roman" w:cs="TimesNewRomanPSMT"/>
          <w:sz w:val="24"/>
          <w:szCs w:val="24"/>
          <w:lang w:val="lt-LT"/>
        </w:rPr>
        <w:t>ę</w:t>
      </w:r>
      <w:r w:rsidRPr="0017614D">
        <w:rPr>
          <w:rFonts w:ascii="Times New Roman" w:hAnsi="Times New Roman" w:cs="Times New Roman"/>
          <w:sz w:val="24"/>
          <w:szCs w:val="24"/>
          <w:lang w:val="lt-LT"/>
        </w:rPr>
        <w:t>sinys pateiktas kitame puslapyje</w:t>
      </w:r>
    </w:p>
    <w:p w:rsidR="005536CD" w:rsidRPr="0017614D" w:rsidRDefault="005536CD" w:rsidP="00E6354F">
      <w:pPr>
        <w:spacing w:line="360" w:lineRule="auto"/>
        <w:contextualSpacing/>
        <w:jc w:val="right"/>
        <w:rPr>
          <w:rFonts w:ascii="Times New Roman" w:hAnsi="Times New Roman" w:cs="Times New Roman"/>
          <w:b/>
          <w:sz w:val="20"/>
          <w:szCs w:val="20"/>
          <w:lang w:val="lt-LT"/>
        </w:rPr>
      </w:pPr>
      <w:r w:rsidRPr="0017614D">
        <w:rPr>
          <w:rFonts w:ascii="Times New Roman" w:hAnsi="Times New Roman" w:cs="Times New Roman"/>
          <w:sz w:val="24"/>
          <w:szCs w:val="24"/>
          <w:lang w:val="lt-LT"/>
        </w:rPr>
        <w:lastRenderedPageBreak/>
        <w:t>1 lentel</w:t>
      </w:r>
      <w:r w:rsidRPr="0017614D">
        <w:rPr>
          <w:rFonts w:ascii="TimesNewRomanPSMT" w:eastAsia="TimesNewRomanPSMT" w:hAnsi="Times New Roman" w:cs="TimesNewRomanPSMT"/>
          <w:sz w:val="24"/>
          <w:szCs w:val="24"/>
          <w:lang w:val="lt-LT"/>
        </w:rPr>
        <w:t>ė</w:t>
      </w:r>
      <w:r w:rsidRPr="0017614D">
        <w:rPr>
          <w:rFonts w:ascii="Times New Roman" w:hAnsi="Times New Roman" w:cs="Times New Roman"/>
          <w:sz w:val="24"/>
          <w:szCs w:val="24"/>
          <w:lang w:val="lt-LT"/>
        </w:rPr>
        <w:t>s t</w:t>
      </w:r>
      <w:r w:rsidRPr="0017614D">
        <w:rPr>
          <w:rFonts w:ascii="TimesNewRomanPSMT" w:eastAsia="TimesNewRomanPSMT" w:hAnsi="Times New Roman" w:cs="TimesNewRomanPSMT"/>
          <w:sz w:val="24"/>
          <w:szCs w:val="24"/>
          <w:lang w:val="lt-LT"/>
        </w:rPr>
        <w:t>ę</w:t>
      </w:r>
      <w:r w:rsidRPr="0017614D">
        <w:rPr>
          <w:rFonts w:ascii="Times New Roman" w:hAnsi="Times New Roman" w:cs="Times New Roman"/>
          <w:sz w:val="24"/>
          <w:szCs w:val="24"/>
          <w:lang w:val="lt-LT"/>
        </w:rPr>
        <w:t>sinys</w:t>
      </w:r>
    </w:p>
    <w:tbl>
      <w:tblPr>
        <w:tblStyle w:val="LightGrid-Accent6"/>
        <w:tblW w:w="0" w:type="auto"/>
        <w:tblLook w:val="04A0"/>
      </w:tblPr>
      <w:tblGrid>
        <w:gridCol w:w="4788"/>
        <w:gridCol w:w="4788"/>
      </w:tblGrid>
      <w:tr w:rsidR="005536CD" w:rsidRPr="0017614D" w:rsidTr="00535423">
        <w:trPr>
          <w:cnfStyle w:val="100000000000"/>
        </w:trPr>
        <w:tc>
          <w:tcPr>
            <w:cnfStyle w:val="001000000000"/>
            <w:tcW w:w="9576" w:type="dxa"/>
            <w:gridSpan w:val="2"/>
          </w:tcPr>
          <w:p w:rsidR="005536CD" w:rsidRPr="0017614D" w:rsidRDefault="005536CD" w:rsidP="00535423">
            <w:pPr>
              <w:spacing w:line="276" w:lineRule="auto"/>
              <w:jc w:val="center"/>
              <w:rPr>
                <w:rFonts w:ascii="Times New Roman" w:hAnsi="Times New Roman" w:cs="Times New Roman"/>
                <w:lang w:val="lt-LT"/>
              </w:rPr>
            </w:pPr>
            <w:r w:rsidRPr="0017614D">
              <w:rPr>
                <w:rFonts w:ascii="Times New Roman" w:hAnsi="Times New Roman" w:cs="Times New Roman"/>
                <w:lang w:val="lt-LT"/>
              </w:rPr>
              <w:t>Bankrotas</w:t>
            </w:r>
          </w:p>
        </w:tc>
      </w:tr>
      <w:tr w:rsidR="005536CD" w:rsidRPr="0017614D" w:rsidTr="00535423">
        <w:trPr>
          <w:cnfStyle w:val="000000100000"/>
        </w:trPr>
        <w:tc>
          <w:tcPr>
            <w:cnfStyle w:val="001000000000"/>
            <w:tcW w:w="4788" w:type="dxa"/>
          </w:tcPr>
          <w:p w:rsidR="005536CD" w:rsidRPr="0017614D" w:rsidRDefault="005536CD" w:rsidP="00535423">
            <w:pPr>
              <w:spacing w:line="276" w:lineRule="auto"/>
              <w:jc w:val="center"/>
              <w:rPr>
                <w:rFonts w:ascii="Times New Roman" w:hAnsi="Times New Roman" w:cs="Times New Roman"/>
                <w:b w:val="0"/>
                <w:i/>
                <w:lang w:val="lt-LT"/>
              </w:rPr>
            </w:pPr>
            <w:r w:rsidRPr="0017614D">
              <w:rPr>
                <w:rFonts w:ascii="Times New Roman" w:hAnsi="Times New Roman" w:cs="Times New Roman"/>
                <w:b w:val="0"/>
                <w:i/>
                <w:lang w:val="lt-LT"/>
              </w:rPr>
              <w:t>Pasak užsienio autorių bei jurisdikcijos</w:t>
            </w:r>
          </w:p>
        </w:tc>
        <w:tc>
          <w:tcPr>
            <w:tcW w:w="4788" w:type="dxa"/>
          </w:tcPr>
          <w:p w:rsidR="005536CD" w:rsidRPr="0017614D" w:rsidRDefault="005536CD" w:rsidP="00535423">
            <w:pPr>
              <w:spacing w:line="276" w:lineRule="auto"/>
              <w:jc w:val="center"/>
              <w:cnfStyle w:val="000000100000"/>
              <w:rPr>
                <w:rFonts w:ascii="Times New Roman" w:hAnsi="Times New Roman" w:cs="Times New Roman"/>
                <w:i/>
                <w:lang w:val="lt-LT"/>
              </w:rPr>
            </w:pPr>
            <w:r w:rsidRPr="0017614D">
              <w:rPr>
                <w:rFonts w:ascii="Times New Roman" w:hAnsi="Times New Roman" w:cs="Times New Roman"/>
                <w:i/>
                <w:lang w:val="lt-LT"/>
              </w:rPr>
              <w:t>Pasak Lietuvos autorių bei jurisdikcijos</w:t>
            </w:r>
          </w:p>
        </w:tc>
      </w:tr>
      <w:tr w:rsidR="005536CD" w:rsidRPr="0017614D" w:rsidTr="00535423">
        <w:trPr>
          <w:cnfStyle w:val="000000010000"/>
        </w:trPr>
        <w:tc>
          <w:tcPr>
            <w:cnfStyle w:val="001000000000"/>
            <w:tcW w:w="4788" w:type="dxa"/>
          </w:tcPr>
          <w:p w:rsidR="005536CD" w:rsidRPr="0017614D" w:rsidRDefault="005536CD" w:rsidP="00417443">
            <w:pPr>
              <w:pStyle w:val="ListParagraph"/>
              <w:numPr>
                <w:ilvl w:val="0"/>
                <w:numId w:val="30"/>
              </w:numPr>
              <w:spacing w:line="276" w:lineRule="auto"/>
              <w:jc w:val="both"/>
              <w:rPr>
                <w:rFonts w:ascii="Times New Roman" w:hAnsi="Times New Roman" w:cs="Times New Roman"/>
                <w:b w:val="0"/>
                <w:lang w:val="lt-LT"/>
              </w:rPr>
            </w:pPr>
            <w:r w:rsidRPr="0017614D">
              <w:rPr>
                <w:rFonts w:ascii="Times New Roman" w:hAnsi="Times New Roman" w:cs="Times New Roman"/>
                <w:b w:val="0"/>
                <w:lang w:val="lt-LT"/>
              </w:rPr>
              <w:t>kreditorių naudai ir jų teisių gynimui skirta teisė, kai paskolų gavėjai negali ar nenori mokėti savo skolų;</w:t>
            </w:r>
          </w:p>
          <w:p w:rsidR="005536CD" w:rsidRPr="0017614D" w:rsidRDefault="005536CD" w:rsidP="00417443">
            <w:pPr>
              <w:pStyle w:val="ListParagraph"/>
              <w:numPr>
                <w:ilvl w:val="0"/>
                <w:numId w:val="30"/>
              </w:numPr>
              <w:spacing w:line="276" w:lineRule="auto"/>
              <w:jc w:val="both"/>
              <w:rPr>
                <w:rFonts w:ascii="Times New Roman" w:hAnsi="Times New Roman" w:cs="Times New Roman"/>
                <w:b w:val="0"/>
                <w:lang w:val="lt-LT"/>
              </w:rPr>
            </w:pPr>
            <w:r w:rsidRPr="0017614D">
              <w:rPr>
                <w:rFonts w:ascii="Times New Roman" w:hAnsi="Times New Roman" w:cs="Times New Roman"/>
                <w:b w:val="0"/>
                <w:lang w:val="lt-LT"/>
              </w:rPr>
              <w:t>valstybės interesas apsaugoti kreditorius.</w:t>
            </w:r>
          </w:p>
        </w:tc>
        <w:tc>
          <w:tcPr>
            <w:tcW w:w="4788" w:type="dxa"/>
          </w:tcPr>
          <w:p w:rsidR="005536CD" w:rsidRPr="0017614D" w:rsidRDefault="005536CD" w:rsidP="00F2770C">
            <w:pPr>
              <w:pStyle w:val="ListParagraph"/>
              <w:spacing w:line="276" w:lineRule="auto"/>
              <w:jc w:val="both"/>
              <w:cnfStyle w:val="000000010000"/>
              <w:rPr>
                <w:rFonts w:ascii="Times New Roman" w:eastAsia="Calibri" w:hAnsi="Times New Roman" w:cs="Times New Roman"/>
                <w:lang w:val="lt-LT"/>
              </w:rPr>
            </w:pPr>
            <w:r w:rsidRPr="0017614D">
              <w:rPr>
                <w:rFonts w:ascii="Times New Roman" w:eastAsia="Calibri" w:hAnsi="Times New Roman" w:cs="Times New Roman"/>
                <w:lang w:val="lt-LT"/>
              </w:rPr>
              <w:t>reiškianti sistemos žlugimą;</w:t>
            </w:r>
          </w:p>
          <w:p w:rsidR="005536CD" w:rsidRPr="0017614D" w:rsidRDefault="005536CD" w:rsidP="00417443">
            <w:pPr>
              <w:pStyle w:val="ListParagraph"/>
              <w:numPr>
                <w:ilvl w:val="0"/>
                <w:numId w:val="31"/>
              </w:numPr>
              <w:spacing w:line="276" w:lineRule="auto"/>
              <w:jc w:val="both"/>
              <w:cnfStyle w:val="000000010000"/>
              <w:rPr>
                <w:rFonts w:ascii="Times New Roman" w:hAnsi="Times New Roman" w:cs="Times New Roman"/>
                <w:lang w:val="lt-LT"/>
              </w:rPr>
            </w:pPr>
            <w:r w:rsidRPr="0017614D">
              <w:rPr>
                <w:rFonts w:ascii="Times New Roman" w:hAnsi="Times New Roman" w:cs="Times New Roman"/>
                <w:lang w:val="lt-LT"/>
              </w:rPr>
              <w:t>nepažabotos krizės paskutinioji stadija;</w:t>
            </w:r>
          </w:p>
          <w:p w:rsidR="005536CD" w:rsidRPr="0017614D" w:rsidRDefault="005536CD" w:rsidP="00417443">
            <w:pPr>
              <w:pStyle w:val="ListParagraph"/>
              <w:numPr>
                <w:ilvl w:val="0"/>
                <w:numId w:val="31"/>
              </w:numPr>
              <w:spacing w:line="276" w:lineRule="auto"/>
              <w:jc w:val="both"/>
              <w:cnfStyle w:val="000000010000"/>
              <w:rPr>
                <w:rFonts w:ascii="Times New Roman" w:hAnsi="Times New Roman" w:cs="Times New Roman"/>
                <w:lang w:val="lt-LT"/>
              </w:rPr>
            </w:pPr>
            <w:r w:rsidRPr="0017614D">
              <w:rPr>
                <w:rFonts w:ascii="Times New Roman" w:hAnsi="Times New Roman" w:cs="Times New Roman"/>
                <w:lang w:val="lt-LT"/>
              </w:rPr>
              <w:t>nemokios įmonės būsena, kai įmonei teisme yra iškelta bankroto byla arba yra vykdomos bankroto procedūros ne teismo tvarka;</w:t>
            </w:r>
          </w:p>
          <w:p w:rsidR="005536CD" w:rsidRPr="0017614D" w:rsidRDefault="005536CD" w:rsidP="00417443">
            <w:pPr>
              <w:pStyle w:val="ListParagraph"/>
              <w:numPr>
                <w:ilvl w:val="0"/>
                <w:numId w:val="31"/>
              </w:numPr>
              <w:spacing w:line="276" w:lineRule="auto"/>
              <w:jc w:val="both"/>
              <w:cnfStyle w:val="000000010000"/>
              <w:rPr>
                <w:rFonts w:ascii="Times New Roman" w:hAnsi="Times New Roman" w:cs="Times New Roman"/>
                <w:lang w:val="lt-LT"/>
              </w:rPr>
            </w:pPr>
            <w:r w:rsidRPr="0017614D">
              <w:rPr>
                <w:rFonts w:ascii="Times New Roman" w:hAnsi="Times New Roman" w:cs="Times New Roman"/>
                <w:bCs/>
                <w:lang w:val="lt-LT"/>
              </w:rPr>
              <w:t>priemonė, taikoma, kai įmonės galimybės atkurti mokumą yra išsemtos.</w:t>
            </w:r>
          </w:p>
        </w:tc>
      </w:tr>
    </w:tbl>
    <w:p w:rsidR="002C116C" w:rsidRPr="005D3FF6" w:rsidRDefault="00947BFC" w:rsidP="00F2770C">
      <w:pPr>
        <w:spacing w:after="0" w:line="240" w:lineRule="auto"/>
        <w:contextualSpacing/>
        <w:rPr>
          <w:rFonts w:ascii="Times New Roman" w:hAnsi="Times New Roman" w:cs="Times New Roman"/>
          <w:bCs/>
          <w:sz w:val="20"/>
          <w:lang w:val="lt-LT"/>
        </w:rPr>
      </w:pPr>
      <w:r w:rsidRPr="005D3FF6">
        <w:rPr>
          <w:rFonts w:ascii="Times New Roman" w:hAnsi="Times New Roman" w:cs="Times New Roman"/>
          <w:b/>
          <w:sz w:val="20"/>
          <w:lang w:val="lt-LT"/>
        </w:rPr>
        <w:t>Šaltinis:</w:t>
      </w:r>
      <w:r w:rsidRPr="005D3FF6">
        <w:rPr>
          <w:rFonts w:ascii="Times New Roman" w:hAnsi="Times New Roman" w:cs="Times New Roman"/>
          <w:sz w:val="20"/>
          <w:lang w:val="lt-LT"/>
        </w:rPr>
        <w:t xml:space="preserve"> sudaryta pagal </w:t>
      </w:r>
      <w:r w:rsidR="002C116C" w:rsidRPr="005D3FF6">
        <w:rPr>
          <w:rFonts w:ascii="Times New Roman" w:hAnsi="Times New Roman" w:cs="Times New Roman"/>
          <w:sz w:val="20"/>
          <w:lang w:val="lt-LT"/>
        </w:rPr>
        <w:t>Longman business dictionary, 2007, Baldin</w:t>
      </w:r>
      <w:r w:rsidR="00F231FF">
        <w:rPr>
          <w:rFonts w:ascii="Times New Roman" w:hAnsi="Times New Roman" w:cs="Times New Roman"/>
          <w:sz w:val="20"/>
          <w:lang w:val="lt-LT"/>
        </w:rPr>
        <w:t xml:space="preserve"> ir kt.</w:t>
      </w:r>
      <w:r w:rsidR="002C116C" w:rsidRPr="005D3FF6">
        <w:rPr>
          <w:rFonts w:ascii="Times New Roman" w:hAnsi="Times New Roman" w:cs="Times New Roman"/>
          <w:sz w:val="20"/>
          <w:lang w:val="lt-LT"/>
        </w:rPr>
        <w:t xml:space="preserve">, 2007, European Judicial Network in Civil And Comercial Matters, 2004, </w:t>
      </w:r>
      <w:r w:rsidR="002C116C" w:rsidRPr="005D3FF6">
        <w:rPr>
          <w:rFonts w:ascii="Times New Roman" w:eastAsia="TimesNewRomanPSMT" w:hAnsi="Times New Roman" w:cs="Times New Roman"/>
          <w:sz w:val="20"/>
          <w:lang w:val="lt-LT" w:eastAsia="lt-LT"/>
        </w:rPr>
        <w:t>Biscotti, 2010,</w:t>
      </w:r>
      <w:r w:rsidR="002C116C" w:rsidRPr="005D3FF6">
        <w:rPr>
          <w:rFonts w:ascii="Times New Roman" w:hAnsi="Times New Roman" w:cs="Times New Roman"/>
          <w:sz w:val="20"/>
          <w:lang w:val="lt-LT"/>
        </w:rPr>
        <w:t xml:space="preserve"> </w:t>
      </w:r>
      <w:r w:rsidR="002C116C" w:rsidRPr="005D3FF6">
        <w:rPr>
          <w:rFonts w:ascii="Times New Roman" w:hAnsi="Times New Roman" w:cs="Times New Roman"/>
          <w:bCs/>
          <w:sz w:val="20"/>
          <w:lang w:val="lt-LT"/>
        </w:rPr>
        <w:t>Lebedžinskaitė, 2007,</w:t>
      </w:r>
      <w:r w:rsidR="002C116C" w:rsidRPr="005D3FF6">
        <w:rPr>
          <w:rFonts w:ascii="Times New Roman" w:hAnsi="Times New Roman" w:cs="Times New Roman"/>
          <w:sz w:val="20"/>
          <w:lang w:val="lt-LT"/>
        </w:rPr>
        <w:t xml:space="preserve"> </w:t>
      </w:r>
      <w:r w:rsidR="002C116C" w:rsidRPr="005D3FF6">
        <w:rPr>
          <w:rFonts w:ascii="Times New Roman" w:hAnsi="Times New Roman" w:cs="Times New Roman"/>
          <w:bCs/>
          <w:sz w:val="20"/>
          <w:lang w:val="lt-LT"/>
        </w:rPr>
        <w:t xml:space="preserve">Sakalas, </w:t>
      </w:r>
      <w:r w:rsidR="002C116C" w:rsidRPr="005D3FF6">
        <w:rPr>
          <w:rFonts w:ascii="Times New Roman" w:hAnsi="Times New Roman" w:cs="Times New Roman"/>
          <w:sz w:val="20"/>
          <w:lang w:val="lt-LT"/>
        </w:rPr>
        <w:t xml:space="preserve">Savanevičienė, 2003, </w:t>
      </w:r>
      <w:r w:rsidR="00B97FBA">
        <w:rPr>
          <w:rFonts w:ascii="Times New Roman" w:hAnsi="Times New Roman" w:cs="Times New Roman"/>
          <w:sz w:val="20"/>
          <w:lang w:val="lt-LT"/>
        </w:rPr>
        <w:t>Baležentis, Vijeikiu, 2010, LR Įmonių b</w:t>
      </w:r>
      <w:r w:rsidR="002C116C" w:rsidRPr="005D3FF6">
        <w:rPr>
          <w:rFonts w:ascii="Times New Roman" w:hAnsi="Times New Roman" w:cs="Times New Roman"/>
          <w:sz w:val="20"/>
          <w:lang w:val="lt-LT"/>
        </w:rPr>
        <w:t xml:space="preserve">ankroto įstatymas, 2001, </w:t>
      </w:r>
      <w:r w:rsidR="002C116C" w:rsidRPr="005D3FF6">
        <w:rPr>
          <w:rFonts w:ascii="Times New Roman" w:hAnsi="Times New Roman" w:cs="Times New Roman"/>
          <w:bCs/>
          <w:sz w:val="20"/>
          <w:lang w:val="lt-LT"/>
        </w:rPr>
        <w:t>LR Restruktūrizavimo įstatymas, 2010.</w:t>
      </w:r>
    </w:p>
    <w:p w:rsidR="00F2770C" w:rsidRPr="0017614D" w:rsidRDefault="00F2770C" w:rsidP="00F2770C">
      <w:pPr>
        <w:spacing w:after="0" w:line="240" w:lineRule="auto"/>
        <w:contextualSpacing/>
        <w:rPr>
          <w:rFonts w:ascii="Times New Roman" w:hAnsi="Times New Roman" w:cs="Times New Roman"/>
          <w:lang w:val="lt-LT"/>
        </w:rPr>
      </w:pPr>
    </w:p>
    <w:p w:rsidR="00947BFC" w:rsidRPr="0017614D" w:rsidRDefault="005536CD" w:rsidP="00F2770C">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Apibendrinant 1 lentelėje pateiktus duomenis galima daryti išvadą</w:t>
      </w:r>
      <w:r w:rsidR="002C116C" w:rsidRPr="0017614D">
        <w:rPr>
          <w:rFonts w:ascii="Times New Roman" w:hAnsi="Times New Roman" w:cs="Times New Roman"/>
          <w:sz w:val="24"/>
          <w:szCs w:val="24"/>
          <w:lang w:val="lt-LT"/>
        </w:rPr>
        <w:t xml:space="preserve">, kad </w:t>
      </w:r>
      <w:r w:rsidR="007F1077" w:rsidRPr="0017614D">
        <w:rPr>
          <w:rFonts w:ascii="Times New Roman" w:hAnsi="Times New Roman" w:cs="Times New Roman"/>
          <w:sz w:val="24"/>
          <w:szCs w:val="24"/>
          <w:lang w:val="lt-LT"/>
        </w:rPr>
        <w:t>tiek užsienio, tiek lietuvių</w:t>
      </w:r>
      <w:r w:rsidR="002C116C" w:rsidRPr="0017614D">
        <w:rPr>
          <w:rFonts w:ascii="Times New Roman" w:hAnsi="Times New Roman" w:cs="Times New Roman"/>
          <w:sz w:val="24"/>
          <w:szCs w:val="24"/>
          <w:lang w:val="lt-LT"/>
        </w:rPr>
        <w:t xml:space="preserve"> autoriai kalbėdami apie bankrotą </w:t>
      </w:r>
      <w:r w:rsidRPr="0017614D">
        <w:rPr>
          <w:rFonts w:ascii="Times New Roman" w:hAnsi="Times New Roman" w:cs="Times New Roman"/>
          <w:sz w:val="24"/>
          <w:szCs w:val="24"/>
          <w:lang w:val="lt-LT"/>
        </w:rPr>
        <w:t>pabrėžia</w:t>
      </w:r>
      <w:r w:rsidR="002C116C" w:rsidRPr="0017614D">
        <w:rPr>
          <w:rFonts w:ascii="Times New Roman" w:hAnsi="Times New Roman" w:cs="Times New Roman"/>
          <w:sz w:val="24"/>
          <w:szCs w:val="24"/>
          <w:lang w:val="lt-LT"/>
        </w:rPr>
        <w:t xml:space="preserve"> įmonių nesugebėjimą grąžinti</w:t>
      </w:r>
      <w:r w:rsidRPr="0017614D">
        <w:rPr>
          <w:rFonts w:ascii="Times New Roman" w:hAnsi="Times New Roman" w:cs="Times New Roman"/>
          <w:sz w:val="24"/>
          <w:szCs w:val="24"/>
          <w:lang w:val="lt-LT"/>
        </w:rPr>
        <w:t xml:space="preserve"> prisiimtų įsipareigojimų. V</w:t>
      </w:r>
      <w:r w:rsidR="007F1077" w:rsidRPr="0017614D">
        <w:rPr>
          <w:rFonts w:ascii="Times New Roman" w:hAnsi="Times New Roman" w:cs="Times New Roman"/>
          <w:sz w:val="24"/>
          <w:szCs w:val="24"/>
          <w:lang w:val="lt-LT"/>
        </w:rPr>
        <w:t>isgi tarp jų bankroto supra</w:t>
      </w:r>
      <w:r w:rsidRPr="0017614D">
        <w:rPr>
          <w:rFonts w:ascii="Times New Roman" w:hAnsi="Times New Roman" w:cs="Times New Roman"/>
          <w:sz w:val="24"/>
          <w:szCs w:val="24"/>
          <w:lang w:val="lt-LT"/>
        </w:rPr>
        <w:t>timo yra pastebimi ir skirtumai -</w:t>
      </w:r>
      <w:r w:rsidR="007F1077" w:rsidRPr="0017614D">
        <w:rPr>
          <w:rFonts w:ascii="Times New Roman" w:hAnsi="Times New Roman" w:cs="Times New Roman"/>
          <w:sz w:val="24"/>
          <w:szCs w:val="24"/>
          <w:lang w:val="lt-LT"/>
        </w:rPr>
        <w:t xml:space="preserve"> </w:t>
      </w:r>
      <w:r w:rsidRPr="0017614D">
        <w:rPr>
          <w:rFonts w:ascii="Times New Roman" w:hAnsi="Times New Roman" w:cs="Times New Roman"/>
          <w:sz w:val="24"/>
          <w:szCs w:val="24"/>
          <w:lang w:val="lt-LT"/>
        </w:rPr>
        <w:t>u</w:t>
      </w:r>
      <w:r w:rsidR="007F1077" w:rsidRPr="0017614D">
        <w:rPr>
          <w:rFonts w:ascii="Times New Roman" w:hAnsi="Times New Roman" w:cs="Times New Roman"/>
          <w:sz w:val="24"/>
          <w:szCs w:val="24"/>
          <w:lang w:val="lt-LT"/>
        </w:rPr>
        <w:t>žsienio jurisdikcijoje yra pabrėžiama, kad bankrotas yra visų pirmą procesas, kuriuo yra siekiama apsaugoti kreditorių teises, t</w:t>
      </w:r>
      <w:r w:rsidRPr="0017614D">
        <w:rPr>
          <w:rFonts w:ascii="Times New Roman" w:hAnsi="Times New Roman" w:cs="Times New Roman"/>
          <w:sz w:val="24"/>
          <w:szCs w:val="24"/>
          <w:lang w:val="lt-LT"/>
        </w:rPr>
        <w:t>u</w:t>
      </w:r>
      <w:r w:rsidR="007F1077" w:rsidRPr="0017614D">
        <w:rPr>
          <w:rFonts w:ascii="Times New Roman" w:hAnsi="Times New Roman" w:cs="Times New Roman"/>
          <w:sz w:val="24"/>
          <w:szCs w:val="24"/>
          <w:lang w:val="lt-LT"/>
        </w:rPr>
        <w:t xml:space="preserve">o tarpu Lietuvos autoriai ir jurisdikcija į bankrotą žiūri kaip į įmonės krizės stadiją. </w:t>
      </w:r>
    </w:p>
    <w:p w:rsidR="007F1077" w:rsidRPr="0017614D" w:rsidRDefault="007F1077" w:rsidP="00F2770C">
      <w:pPr>
        <w:spacing w:after="0" w:line="360" w:lineRule="auto"/>
        <w:ind w:firstLine="720"/>
        <w:contextualSpacing/>
        <w:jc w:val="both"/>
        <w:rPr>
          <w:rFonts w:ascii="Times New Roman" w:hAnsi="Times New Roman" w:cs="Times New Roman"/>
          <w:sz w:val="24"/>
          <w:szCs w:val="24"/>
          <w:lang w:val="lt-LT"/>
        </w:rPr>
      </w:pPr>
    </w:p>
    <w:p w:rsidR="00954C4B" w:rsidRPr="0017614D" w:rsidRDefault="00954C4B" w:rsidP="00F2770C">
      <w:pPr>
        <w:pStyle w:val="Heading3"/>
        <w:spacing w:before="0"/>
        <w:contextualSpacing/>
        <w:rPr>
          <w:lang w:val="lt-LT"/>
        </w:rPr>
      </w:pPr>
      <w:bookmarkStart w:id="57" w:name="_Toc319615921"/>
      <w:bookmarkStart w:id="58" w:name="_Toc319759550"/>
      <w:bookmarkStart w:id="59" w:name="_Toc336110806"/>
      <w:bookmarkStart w:id="60" w:name="_Toc374655648"/>
      <w:r w:rsidRPr="0017614D">
        <w:rPr>
          <w:rFonts w:ascii="Times New Roman" w:hAnsi="Times New Roman" w:cs="Times New Roman"/>
          <w:sz w:val="24"/>
          <w:szCs w:val="24"/>
          <w:lang w:val="lt-LT"/>
        </w:rPr>
        <w:t>1</w:t>
      </w:r>
      <w:r w:rsidRPr="0017614D">
        <w:rPr>
          <w:lang w:val="lt-LT"/>
        </w:rPr>
        <w:t>.</w:t>
      </w:r>
      <w:r w:rsidR="000B26B1" w:rsidRPr="0017614D">
        <w:rPr>
          <w:lang w:val="lt-LT"/>
        </w:rPr>
        <w:t>1.</w:t>
      </w:r>
      <w:r w:rsidRPr="0017614D">
        <w:rPr>
          <w:lang w:val="lt-LT"/>
        </w:rPr>
        <w:t>2. Įmonių bankrot</w:t>
      </w:r>
      <w:bookmarkEnd w:id="57"/>
      <w:bookmarkEnd w:id="58"/>
      <w:r w:rsidRPr="0017614D">
        <w:rPr>
          <w:lang w:val="lt-LT"/>
        </w:rPr>
        <w:t>ą sąlygojantys veiksniai</w:t>
      </w:r>
      <w:bookmarkEnd w:id="59"/>
      <w:bookmarkEnd w:id="60"/>
    </w:p>
    <w:p w:rsidR="00D91B5B" w:rsidRPr="0017614D" w:rsidRDefault="00D91B5B" w:rsidP="00F2770C">
      <w:pPr>
        <w:spacing w:after="0"/>
        <w:contextualSpacing/>
        <w:rPr>
          <w:lang w:val="lt-LT"/>
        </w:rPr>
      </w:pPr>
    </w:p>
    <w:p w:rsidR="000574A0" w:rsidRPr="0017614D" w:rsidRDefault="00954C4B" w:rsidP="00F2770C">
      <w:pPr>
        <w:spacing w:after="0" w:line="360" w:lineRule="auto"/>
        <w:ind w:firstLine="720"/>
        <w:contextualSpacing/>
        <w:jc w:val="both"/>
        <w:rPr>
          <w:rFonts w:ascii="Times New Roman" w:hAnsi="Times New Roman" w:cs="Times New Roman"/>
          <w:sz w:val="24"/>
          <w:szCs w:val="24"/>
          <w:lang w:val="lt-LT"/>
        </w:rPr>
      </w:pPr>
      <w:bookmarkStart w:id="61" w:name="_Toc319176748"/>
      <w:bookmarkStart w:id="62" w:name="_Toc319615922"/>
      <w:r w:rsidRPr="0017614D">
        <w:rPr>
          <w:rFonts w:ascii="Times New Roman" w:hAnsi="Times New Roman" w:cs="Times New Roman"/>
          <w:sz w:val="24"/>
          <w:szCs w:val="24"/>
          <w:lang w:val="lt-LT"/>
        </w:rPr>
        <w:t>Kiekvienas geras ar blogas įvykis turi priežastį. Tik išsiaiškinus dėl ko atsitinka vieni ar kiti dalykai galima bandyti juos valdyti arba net jų išvengti, todėl yra labai svarbu atsižvelgti į tai, kas nulemia įmonių bankrotą.</w:t>
      </w:r>
      <w:bookmarkEnd w:id="61"/>
      <w:bookmarkEnd w:id="62"/>
      <w:r w:rsidRPr="0017614D">
        <w:rPr>
          <w:rFonts w:ascii="Times New Roman" w:hAnsi="Times New Roman" w:cs="Times New Roman"/>
          <w:sz w:val="24"/>
          <w:szCs w:val="24"/>
          <w:lang w:val="lt-LT"/>
        </w:rPr>
        <w:t xml:space="preserve"> </w:t>
      </w:r>
    </w:p>
    <w:p w:rsidR="000574A0" w:rsidRPr="0017614D" w:rsidRDefault="000574A0" w:rsidP="00572CC0">
      <w:pPr>
        <w:spacing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Kaip teigia R. Krancevičiūtė (2012), bankrotas – tai didžiausią grėsmę kelianti įmonių veiklos vystymosi alternatyva. Įvertinus tai, kad krizė įmonėse – natūrali veiklos proceso dalis, galima teigti, kad jos baigtis priklauso nuo įmonės vidinio potencialo: vadovų kompetencijos, darbo išteklių kokybės bei finansinių pajėgumų (Krancevičiūtė, 2012, 1 p.).</w:t>
      </w:r>
    </w:p>
    <w:p w:rsidR="00954C4B" w:rsidRPr="0017614D" w:rsidRDefault="008A13C3" w:rsidP="00FA0AB0">
      <w:pPr>
        <w:spacing w:line="360" w:lineRule="auto"/>
        <w:ind w:firstLine="720"/>
        <w:contextualSpacing/>
        <w:jc w:val="both"/>
        <w:rPr>
          <w:rFonts w:ascii="Times New Roman" w:hAnsi="Times New Roman" w:cs="Times New Roman"/>
          <w:sz w:val="24"/>
          <w:szCs w:val="24"/>
          <w:lang w:val="lt-LT"/>
        </w:rPr>
      </w:pPr>
      <w:bookmarkStart w:id="63" w:name="_Toc319176749"/>
      <w:bookmarkStart w:id="64" w:name="_Toc319615923"/>
      <w:r w:rsidRPr="0017614D">
        <w:rPr>
          <w:rFonts w:ascii="Times New Roman" w:hAnsi="Times New Roman" w:cs="Times New Roman"/>
          <w:sz w:val="24"/>
          <w:szCs w:val="24"/>
          <w:lang w:val="lt-LT"/>
        </w:rPr>
        <w:t>Kitas l</w:t>
      </w:r>
      <w:r w:rsidR="00954C4B" w:rsidRPr="0017614D">
        <w:rPr>
          <w:rFonts w:ascii="Times New Roman" w:hAnsi="Times New Roman" w:cs="Times New Roman"/>
          <w:sz w:val="24"/>
          <w:szCs w:val="24"/>
          <w:lang w:val="lt-LT"/>
        </w:rPr>
        <w:t xml:space="preserve">ietuvių autorius Grigaravičius (2003) pateikia trys pagal jį pagrindines bankroto priežastis. Kaip esminę įmonių bankrutavimo priežastį jis įvardija ekonominius arba makroekonominius veiksnius. Tam tikrų ekonominių veiksnių kitimas gali neigiamai paveikti įmonę bei privesti ja prie nemokumo, o vėliau ir bankroto. Čia reikėtų išskirti tokius veiksnius, kaip: palūkanų normų ir infliacijos lygis, užsienio prekybos apimtys, nacionalinės valiutos vertė ir stabilumas bei gyventojų perkamoji galia. Antroji pagal svarbą įmonių bankrutavimo priežastis yra vidiniai įmonės veiksniai, iš kurių pagrindiniai yra įmonių vadovų veiklos patirtis ir amžius bei jo kompetencijos. Toliau pagal svarbumą eina šalies įstatyminė bazė, </w:t>
      </w:r>
      <w:r w:rsidR="00A24F9A">
        <w:rPr>
          <w:rFonts w:ascii="Times New Roman" w:hAnsi="Times New Roman" w:cs="Times New Roman"/>
          <w:sz w:val="24"/>
          <w:szCs w:val="24"/>
          <w:lang w:val="lt-LT"/>
        </w:rPr>
        <w:lastRenderedPageBreak/>
        <w:t>reglamentuojanti</w:t>
      </w:r>
      <w:r w:rsidR="00954C4B" w:rsidRPr="0017614D">
        <w:rPr>
          <w:rFonts w:ascii="Times New Roman" w:hAnsi="Times New Roman" w:cs="Times New Roman"/>
          <w:sz w:val="24"/>
          <w:szCs w:val="24"/>
          <w:lang w:val="lt-LT"/>
        </w:rPr>
        <w:t xml:space="preserve"> įmonės veiklą ir bankroto procesą. Nuo to, kaip yra vykdomas bankroto procesas gali priklausyti ir bankrutuojančių įmonių skaičius</w:t>
      </w:r>
      <w:r w:rsidRPr="0017614D">
        <w:rPr>
          <w:rFonts w:ascii="Times New Roman" w:hAnsi="Times New Roman" w:cs="Times New Roman"/>
          <w:sz w:val="24"/>
          <w:szCs w:val="24"/>
          <w:lang w:val="lt-LT"/>
        </w:rPr>
        <w:t xml:space="preserve"> (Jurevičienė, Bercevič, 2012)</w:t>
      </w:r>
      <w:r w:rsidR="00954C4B" w:rsidRPr="0017614D">
        <w:rPr>
          <w:rFonts w:ascii="Times New Roman" w:hAnsi="Times New Roman" w:cs="Times New Roman"/>
          <w:sz w:val="24"/>
          <w:szCs w:val="24"/>
          <w:lang w:val="lt-LT"/>
        </w:rPr>
        <w:t>.</w:t>
      </w:r>
      <w:bookmarkEnd w:id="63"/>
      <w:bookmarkEnd w:id="64"/>
      <w:r w:rsidR="00954C4B" w:rsidRPr="0017614D">
        <w:rPr>
          <w:rFonts w:ascii="Times New Roman" w:hAnsi="Times New Roman" w:cs="Times New Roman"/>
          <w:sz w:val="24"/>
          <w:szCs w:val="24"/>
          <w:lang w:val="lt-LT"/>
        </w:rPr>
        <w:t xml:space="preserve"> </w:t>
      </w:r>
      <w:r w:rsidR="00F90556" w:rsidRPr="0017614D">
        <w:rPr>
          <w:rFonts w:ascii="Times New Roman" w:hAnsi="Times New Roman" w:cs="Times New Roman"/>
          <w:sz w:val="24"/>
          <w:szCs w:val="24"/>
          <w:lang w:val="lt-LT"/>
        </w:rPr>
        <w:t>Tuo tarpu V. Rugenytė (2010</w:t>
      </w:r>
      <w:r w:rsidR="00954C4B" w:rsidRPr="0017614D">
        <w:rPr>
          <w:rFonts w:ascii="Times New Roman" w:hAnsi="Times New Roman" w:cs="Times New Roman"/>
          <w:sz w:val="24"/>
          <w:szCs w:val="24"/>
          <w:lang w:val="lt-LT"/>
        </w:rPr>
        <w:t>) teigia, kad bankroto procesų priežastimi dažniausia yra apyvartinių lėšų trūkumas ir rinkos praradimas, susijęs su padidėjusia konkurentų įtaka. Taip pat įmonę prie bankroto gali privesti užsakymų praradimas, blogas verslo administravimas ir kiti veiksniai.</w:t>
      </w:r>
    </w:p>
    <w:p w:rsidR="00954C4B" w:rsidRPr="0017614D" w:rsidRDefault="008A13C3" w:rsidP="00F2770C">
      <w:pPr>
        <w:spacing w:after="0" w:line="360" w:lineRule="auto"/>
        <w:ind w:firstLine="720"/>
        <w:contextualSpacing/>
        <w:jc w:val="both"/>
        <w:rPr>
          <w:rFonts w:ascii="Times New Roman" w:hAnsi="Times New Roman" w:cs="Times New Roman"/>
          <w:sz w:val="24"/>
          <w:szCs w:val="24"/>
          <w:lang w:val="lt-LT"/>
        </w:rPr>
      </w:pPr>
      <w:bookmarkStart w:id="65" w:name="_Toc319176751"/>
      <w:bookmarkStart w:id="66" w:name="_Toc319615925"/>
      <w:r w:rsidRPr="0017614D">
        <w:rPr>
          <w:rFonts w:ascii="Times New Roman" w:hAnsi="Times New Roman" w:cs="Times New Roman"/>
          <w:sz w:val="24"/>
          <w:szCs w:val="24"/>
          <w:lang w:val="lt-LT"/>
        </w:rPr>
        <w:t>Be to l</w:t>
      </w:r>
      <w:r w:rsidR="00954C4B" w:rsidRPr="0017614D">
        <w:rPr>
          <w:rFonts w:ascii="Times New Roman" w:hAnsi="Times New Roman" w:cs="Times New Roman"/>
          <w:sz w:val="24"/>
          <w:szCs w:val="24"/>
          <w:lang w:val="lt-LT"/>
        </w:rPr>
        <w:t xml:space="preserve">iteratūroje dažnai organizacijos bankrotas yra įvardijamas kaip įvairių negatyvių išorinių ir vidinių </w:t>
      </w:r>
      <w:r w:rsidR="00C458E7" w:rsidRPr="0017614D">
        <w:rPr>
          <w:rFonts w:ascii="Times New Roman" w:hAnsi="Times New Roman" w:cs="Times New Roman"/>
          <w:sz w:val="24"/>
          <w:szCs w:val="24"/>
          <w:lang w:val="lt-LT"/>
        </w:rPr>
        <w:t>veiksnių</w:t>
      </w:r>
      <w:r w:rsidR="00954C4B" w:rsidRPr="0017614D">
        <w:rPr>
          <w:rFonts w:ascii="Times New Roman" w:hAnsi="Times New Roman" w:cs="Times New Roman"/>
          <w:sz w:val="24"/>
          <w:szCs w:val="24"/>
          <w:lang w:val="lt-LT"/>
        </w:rPr>
        <w:t xml:space="preserve"> įtakos įmonės veiklai rezultatas. Pasaulinė praktika parodė, kad finansinio nestabilumo grėsmė </w:t>
      </w:r>
      <w:r w:rsidR="00E6354F">
        <w:rPr>
          <w:rFonts w:ascii="Times New Roman" w:hAnsi="Times New Roman" w:cs="Times New Roman"/>
          <w:sz w:val="24"/>
          <w:szCs w:val="24"/>
          <w:lang w:val="lt-LT"/>
        </w:rPr>
        <w:t>įmonėms kyla vidutiniškai 25-30 proc.</w:t>
      </w:r>
      <w:r w:rsidR="00954C4B" w:rsidRPr="0017614D">
        <w:rPr>
          <w:rFonts w:ascii="Times New Roman" w:hAnsi="Times New Roman" w:cs="Times New Roman"/>
          <w:sz w:val="24"/>
          <w:szCs w:val="24"/>
          <w:lang w:val="lt-LT"/>
        </w:rPr>
        <w:t xml:space="preserve"> atvejų dėl</w:t>
      </w:r>
      <w:r w:rsidR="00E6354F">
        <w:rPr>
          <w:rFonts w:ascii="Times New Roman" w:hAnsi="Times New Roman" w:cs="Times New Roman"/>
          <w:sz w:val="24"/>
          <w:szCs w:val="24"/>
          <w:lang w:val="lt-LT"/>
        </w:rPr>
        <w:t xml:space="preserve"> išorinių veiksnių ir net 70-75 proc.</w:t>
      </w:r>
      <w:r w:rsidR="00954C4B" w:rsidRPr="0017614D">
        <w:rPr>
          <w:rFonts w:ascii="Times New Roman" w:hAnsi="Times New Roman" w:cs="Times New Roman"/>
          <w:sz w:val="24"/>
          <w:szCs w:val="24"/>
          <w:lang w:val="lt-LT"/>
        </w:rPr>
        <w:t xml:space="preserve"> atvejų dėl vidinių, susijusių su neracionaliu valdymų, veiksnių (Baldin ir kt., 2007, p. 22). </w:t>
      </w:r>
      <w:r w:rsidR="008D6409" w:rsidRPr="0017614D">
        <w:rPr>
          <w:rFonts w:ascii="Times New Roman" w:hAnsi="Times New Roman" w:cs="Times New Roman"/>
          <w:sz w:val="24"/>
          <w:szCs w:val="24"/>
          <w:lang w:val="lt-LT"/>
        </w:rPr>
        <w:t xml:space="preserve">Išorinė įmonės aplinka apima viską, kas yra už įmonės ribų, tačiau gali daryti įtaką įmonės veiklos efektyvumui bei rezultatyvumui. Apie išorės veiksnių analizės svarbą yra rašę tokie autoriai kaip Wai Peng Wong ir kt. (2013), Hércules Antonio do Prado ir kt. (2009), Ramūnas Časas ir Vilma Dambrauskaitė (2011) bei kiti. Šie autoriai pabrėžia, kad išorės veiksniai daro poveikį įmonės struktūrai, kultūrai, vadybai bei jos rezultatams. </w:t>
      </w:r>
      <w:r w:rsidR="00954C4B" w:rsidRPr="0017614D">
        <w:rPr>
          <w:rFonts w:ascii="Times New Roman" w:hAnsi="Times New Roman" w:cs="Times New Roman"/>
          <w:sz w:val="24"/>
          <w:szCs w:val="24"/>
          <w:lang w:val="lt-LT"/>
        </w:rPr>
        <w:t xml:space="preserve">H. </w:t>
      </w:r>
      <w:r w:rsidR="00954C4B" w:rsidRPr="0017614D">
        <w:rPr>
          <w:rFonts w:ascii="Times New Roman" w:eastAsia="TimesNewRomanPSMT" w:hAnsi="Times New Roman" w:cs="Times New Roman"/>
          <w:sz w:val="24"/>
          <w:szCs w:val="24"/>
          <w:lang w:val="lt-LT"/>
        </w:rPr>
        <w:t>Ooghe ir S. De Prijcker</w:t>
      </w:r>
      <w:r w:rsidR="00954C4B" w:rsidRPr="0017614D">
        <w:rPr>
          <w:rFonts w:ascii="Times New Roman" w:hAnsi="Times New Roman" w:cs="Times New Roman"/>
          <w:sz w:val="24"/>
          <w:szCs w:val="24"/>
          <w:lang w:val="lt-LT"/>
        </w:rPr>
        <w:t xml:space="preserve"> (2006) prie išorinių bankrotą sukeliančių veiksnių priskyrė: </w:t>
      </w:r>
    </w:p>
    <w:p w:rsidR="00954C4B" w:rsidRPr="0017614D" w:rsidRDefault="00954C4B" w:rsidP="00417443">
      <w:pPr>
        <w:pStyle w:val="ListParagraph"/>
        <w:numPr>
          <w:ilvl w:val="0"/>
          <w:numId w:val="8"/>
        </w:numPr>
        <w:spacing w:after="0" w:line="360" w:lineRule="auto"/>
        <w:jc w:val="both"/>
        <w:rPr>
          <w:rFonts w:ascii="Times New Roman" w:hAnsi="Times New Roman" w:cs="Times New Roman"/>
          <w:sz w:val="24"/>
          <w:lang w:val="lt-LT"/>
        </w:rPr>
      </w:pPr>
      <w:r w:rsidRPr="0017614D">
        <w:rPr>
          <w:rFonts w:ascii="Times New Roman" w:hAnsi="Times New Roman" w:cs="Times New Roman"/>
          <w:sz w:val="24"/>
          <w:lang w:val="lt-LT"/>
        </w:rPr>
        <w:t xml:space="preserve">stichines nelaimes; </w:t>
      </w:r>
    </w:p>
    <w:p w:rsidR="00954C4B" w:rsidRPr="0017614D" w:rsidRDefault="00954C4B" w:rsidP="00417443">
      <w:pPr>
        <w:pStyle w:val="ListParagraph"/>
        <w:numPr>
          <w:ilvl w:val="0"/>
          <w:numId w:val="8"/>
        </w:numPr>
        <w:spacing w:after="0" w:line="360" w:lineRule="auto"/>
        <w:jc w:val="both"/>
        <w:rPr>
          <w:rFonts w:ascii="Times New Roman" w:hAnsi="Times New Roman" w:cs="Times New Roman"/>
          <w:sz w:val="24"/>
          <w:lang w:val="lt-LT"/>
        </w:rPr>
      </w:pPr>
      <w:r w:rsidRPr="0017614D">
        <w:rPr>
          <w:rFonts w:ascii="Times New Roman" w:hAnsi="Times New Roman" w:cs="Times New Roman"/>
          <w:sz w:val="24"/>
          <w:lang w:val="lt-LT"/>
        </w:rPr>
        <w:t>politinius veiksnius;</w:t>
      </w:r>
    </w:p>
    <w:p w:rsidR="00954C4B" w:rsidRPr="0017614D" w:rsidRDefault="00954C4B" w:rsidP="00417443">
      <w:pPr>
        <w:pStyle w:val="ListParagraph"/>
        <w:numPr>
          <w:ilvl w:val="0"/>
          <w:numId w:val="8"/>
        </w:numPr>
        <w:spacing w:after="0" w:line="360" w:lineRule="auto"/>
        <w:jc w:val="both"/>
        <w:rPr>
          <w:rFonts w:ascii="Times New Roman" w:hAnsi="Times New Roman" w:cs="Times New Roman"/>
          <w:sz w:val="24"/>
          <w:lang w:val="lt-LT"/>
        </w:rPr>
      </w:pPr>
      <w:r w:rsidRPr="0017614D">
        <w:rPr>
          <w:rFonts w:ascii="Times New Roman" w:hAnsi="Times New Roman" w:cs="Times New Roman"/>
          <w:sz w:val="24"/>
          <w:lang w:val="lt-LT"/>
        </w:rPr>
        <w:t xml:space="preserve">ekonominę bei finansinę aplinką. </w:t>
      </w:r>
    </w:p>
    <w:p w:rsidR="00393555" w:rsidRPr="0017614D" w:rsidRDefault="00393555" w:rsidP="00F2770C">
      <w:pPr>
        <w:pStyle w:val="Default"/>
        <w:spacing w:line="360" w:lineRule="auto"/>
        <w:ind w:firstLine="360"/>
        <w:contextualSpacing/>
        <w:jc w:val="both"/>
        <w:rPr>
          <w:color w:val="auto"/>
          <w:lang w:val="lt-LT"/>
        </w:rPr>
      </w:pPr>
      <w:r w:rsidRPr="0017614D">
        <w:rPr>
          <w:color w:val="auto"/>
          <w:lang w:val="lt-LT"/>
        </w:rPr>
        <w:t xml:space="preserve">Tuo tarpu Žvinklys ir Vabalas (2006) </w:t>
      </w:r>
      <w:r w:rsidR="008A13C3" w:rsidRPr="0017614D">
        <w:rPr>
          <w:color w:val="auto"/>
          <w:lang w:val="lt-LT"/>
        </w:rPr>
        <w:t>kaip išorines bankroto priežastis</w:t>
      </w:r>
      <w:r w:rsidRPr="0017614D">
        <w:rPr>
          <w:color w:val="auto"/>
          <w:lang w:val="lt-LT"/>
        </w:rPr>
        <w:t xml:space="preserve"> </w:t>
      </w:r>
      <w:r w:rsidR="008A13C3" w:rsidRPr="0017614D">
        <w:rPr>
          <w:color w:val="auto"/>
          <w:lang w:val="lt-LT"/>
        </w:rPr>
        <w:t>nurodo</w:t>
      </w:r>
      <w:r w:rsidRPr="0017614D">
        <w:rPr>
          <w:color w:val="auto"/>
          <w:lang w:val="lt-LT"/>
        </w:rPr>
        <w:t>:</w:t>
      </w:r>
    </w:p>
    <w:p w:rsidR="00393555" w:rsidRPr="0017614D" w:rsidRDefault="008A13C3" w:rsidP="00417443">
      <w:pPr>
        <w:pStyle w:val="Default"/>
        <w:numPr>
          <w:ilvl w:val="0"/>
          <w:numId w:val="6"/>
        </w:numPr>
        <w:spacing w:after="69" w:line="360" w:lineRule="auto"/>
        <w:jc w:val="both"/>
        <w:rPr>
          <w:color w:val="auto"/>
          <w:lang w:val="lt-LT"/>
        </w:rPr>
      </w:pPr>
      <w:r w:rsidRPr="0017614D">
        <w:rPr>
          <w:color w:val="auto"/>
          <w:lang w:val="lt-LT"/>
        </w:rPr>
        <w:t>š</w:t>
      </w:r>
      <w:r w:rsidR="00393555" w:rsidRPr="0017614D">
        <w:rPr>
          <w:color w:val="auto"/>
          <w:lang w:val="lt-LT"/>
        </w:rPr>
        <w:t xml:space="preserve">alies, kurioje veikia įmonė, ūkio krizė; </w:t>
      </w:r>
    </w:p>
    <w:p w:rsidR="00393555" w:rsidRPr="0017614D" w:rsidRDefault="008A13C3" w:rsidP="00417443">
      <w:pPr>
        <w:pStyle w:val="Default"/>
        <w:numPr>
          <w:ilvl w:val="0"/>
          <w:numId w:val="6"/>
        </w:numPr>
        <w:spacing w:after="69" w:line="360" w:lineRule="auto"/>
        <w:jc w:val="both"/>
        <w:rPr>
          <w:color w:val="auto"/>
          <w:lang w:val="lt-LT"/>
        </w:rPr>
      </w:pPr>
      <w:r w:rsidRPr="0017614D">
        <w:rPr>
          <w:color w:val="auto"/>
          <w:lang w:val="lt-LT"/>
        </w:rPr>
        <w:t>n</w:t>
      </w:r>
      <w:r w:rsidR="00393555" w:rsidRPr="0017614D">
        <w:rPr>
          <w:color w:val="auto"/>
          <w:lang w:val="lt-LT"/>
        </w:rPr>
        <w:t xml:space="preserve">epalankūs valiutų kursų svyravimai; </w:t>
      </w:r>
    </w:p>
    <w:p w:rsidR="00393555" w:rsidRPr="0017614D" w:rsidRDefault="008A13C3" w:rsidP="00417443">
      <w:pPr>
        <w:pStyle w:val="Default"/>
        <w:numPr>
          <w:ilvl w:val="0"/>
          <w:numId w:val="6"/>
        </w:numPr>
        <w:spacing w:after="69" w:line="360" w:lineRule="auto"/>
        <w:jc w:val="both"/>
        <w:rPr>
          <w:color w:val="auto"/>
          <w:lang w:val="lt-LT"/>
        </w:rPr>
      </w:pPr>
      <w:r w:rsidRPr="0017614D">
        <w:rPr>
          <w:color w:val="auto"/>
          <w:lang w:val="lt-LT"/>
        </w:rPr>
        <w:t>n</w:t>
      </w:r>
      <w:r w:rsidR="00393555" w:rsidRPr="0017614D">
        <w:rPr>
          <w:color w:val="auto"/>
          <w:lang w:val="lt-LT"/>
        </w:rPr>
        <w:t xml:space="preserve">egalėjimas konvertuoti valiutų kursų; </w:t>
      </w:r>
    </w:p>
    <w:p w:rsidR="00393555" w:rsidRPr="0017614D" w:rsidRDefault="008A13C3" w:rsidP="00417443">
      <w:pPr>
        <w:pStyle w:val="Default"/>
        <w:numPr>
          <w:ilvl w:val="0"/>
          <w:numId w:val="6"/>
        </w:numPr>
        <w:spacing w:after="69" w:line="360" w:lineRule="auto"/>
        <w:jc w:val="both"/>
        <w:rPr>
          <w:color w:val="auto"/>
          <w:lang w:val="lt-LT"/>
        </w:rPr>
      </w:pPr>
      <w:r w:rsidRPr="0017614D">
        <w:rPr>
          <w:color w:val="auto"/>
          <w:lang w:val="lt-LT"/>
        </w:rPr>
        <w:t>s</w:t>
      </w:r>
      <w:r w:rsidR="00393555" w:rsidRPr="0017614D">
        <w:rPr>
          <w:color w:val="auto"/>
          <w:lang w:val="lt-LT"/>
        </w:rPr>
        <w:t>taigus med</w:t>
      </w:r>
      <w:r w:rsidRPr="0017614D">
        <w:rPr>
          <w:color w:val="auto"/>
          <w:lang w:val="lt-LT"/>
        </w:rPr>
        <w:t>ž</w:t>
      </w:r>
      <w:r w:rsidR="00393555" w:rsidRPr="0017614D">
        <w:rPr>
          <w:color w:val="auto"/>
          <w:lang w:val="lt-LT"/>
        </w:rPr>
        <w:t xml:space="preserve">iagų kainų didėjimas; </w:t>
      </w:r>
    </w:p>
    <w:p w:rsidR="00393555" w:rsidRPr="0017614D" w:rsidRDefault="008A13C3" w:rsidP="00417443">
      <w:pPr>
        <w:pStyle w:val="Default"/>
        <w:numPr>
          <w:ilvl w:val="0"/>
          <w:numId w:val="6"/>
        </w:numPr>
        <w:spacing w:line="360" w:lineRule="auto"/>
        <w:contextualSpacing/>
        <w:jc w:val="both"/>
        <w:rPr>
          <w:color w:val="auto"/>
          <w:lang w:val="lt-LT"/>
        </w:rPr>
      </w:pPr>
      <w:r w:rsidRPr="0017614D">
        <w:rPr>
          <w:color w:val="auto"/>
          <w:lang w:val="lt-LT"/>
        </w:rPr>
        <w:t>n</w:t>
      </w:r>
      <w:r w:rsidR="00393555" w:rsidRPr="0017614D">
        <w:rPr>
          <w:color w:val="auto"/>
          <w:lang w:val="lt-LT"/>
        </w:rPr>
        <w:t xml:space="preserve">epalanki muitų politika ir panašiai. </w:t>
      </w:r>
    </w:p>
    <w:p w:rsidR="008D6409" w:rsidRPr="0017614D" w:rsidRDefault="00A24F9A" w:rsidP="008D6409">
      <w:pPr>
        <w:spacing w:after="0" w:line="360" w:lineRule="auto"/>
        <w:ind w:firstLine="720"/>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I</w:t>
      </w:r>
      <w:r w:rsidR="008D6409" w:rsidRPr="0017614D">
        <w:rPr>
          <w:rFonts w:ascii="Times New Roman" w:hAnsi="Times New Roman" w:cs="Times New Roman"/>
          <w:sz w:val="24"/>
          <w:szCs w:val="24"/>
          <w:lang w:val="lt-LT"/>
        </w:rPr>
        <w:t xml:space="preserve">šorės veiksnius komentuoja </w:t>
      </w:r>
      <w:r>
        <w:rPr>
          <w:rFonts w:ascii="Times New Roman" w:hAnsi="Times New Roman" w:cs="Times New Roman"/>
          <w:sz w:val="24"/>
          <w:szCs w:val="24"/>
          <w:lang w:val="lt-LT"/>
        </w:rPr>
        <w:t xml:space="preserve">ir </w:t>
      </w:r>
      <w:r w:rsidR="008D6409" w:rsidRPr="0017614D">
        <w:rPr>
          <w:rFonts w:ascii="Times New Roman" w:hAnsi="Times New Roman" w:cs="Times New Roman"/>
          <w:sz w:val="24"/>
          <w:szCs w:val="24"/>
          <w:lang w:val="lt-LT"/>
        </w:rPr>
        <w:t xml:space="preserve">A. Januševičiūtė bei D. Jurevičienė (2009). </w:t>
      </w:r>
      <w:r>
        <w:rPr>
          <w:rFonts w:ascii="Times New Roman" w:hAnsi="Times New Roman" w:cs="Times New Roman"/>
          <w:sz w:val="24"/>
          <w:szCs w:val="24"/>
          <w:lang w:val="lt-LT"/>
        </w:rPr>
        <w:t xml:space="preserve">Autorės nurodo konkrečius veiksnius, o ne jų grupes, kurie jų nuomone </w:t>
      </w:r>
      <w:r w:rsidRPr="0017614D">
        <w:rPr>
          <w:rFonts w:ascii="Times New Roman" w:hAnsi="Times New Roman" w:cs="Times New Roman"/>
          <w:sz w:val="24"/>
          <w:szCs w:val="24"/>
          <w:lang w:val="lt-LT"/>
        </w:rPr>
        <w:t xml:space="preserve">daro didžiausią įtaką įmonių veiklai bei </w:t>
      </w:r>
      <w:r>
        <w:rPr>
          <w:rFonts w:ascii="Times New Roman" w:hAnsi="Times New Roman" w:cs="Times New Roman"/>
          <w:sz w:val="24"/>
          <w:szCs w:val="24"/>
          <w:lang w:val="lt-LT"/>
        </w:rPr>
        <w:t>gali nu</w:t>
      </w:r>
      <w:r w:rsidR="008B029E">
        <w:rPr>
          <w:rFonts w:ascii="Times New Roman" w:hAnsi="Times New Roman" w:cs="Times New Roman"/>
          <w:sz w:val="24"/>
          <w:szCs w:val="24"/>
          <w:lang w:val="lt-LT"/>
        </w:rPr>
        <w:t xml:space="preserve">lemti bankrotą (žr. </w:t>
      </w:r>
      <w:r w:rsidR="00FA0AB0" w:rsidRPr="0017614D">
        <w:rPr>
          <w:rFonts w:ascii="Times New Roman" w:hAnsi="Times New Roman" w:cs="Times New Roman"/>
          <w:sz w:val="24"/>
          <w:szCs w:val="24"/>
          <w:lang w:val="lt-LT"/>
        </w:rPr>
        <w:t>2</w:t>
      </w:r>
      <w:r w:rsidR="008B029E">
        <w:rPr>
          <w:rFonts w:ascii="Times New Roman" w:hAnsi="Times New Roman" w:cs="Times New Roman"/>
          <w:sz w:val="24"/>
          <w:szCs w:val="24"/>
          <w:lang w:val="lt-LT"/>
        </w:rPr>
        <w:t xml:space="preserve"> lent.)</w:t>
      </w:r>
      <w:r w:rsidR="008D6409" w:rsidRPr="0017614D">
        <w:rPr>
          <w:rFonts w:ascii="Times New Roman" w:hAnsi="Times New Roman" w:cs="Times New Roman"/>
          <w:sz w:val="24"/>
          <w:szCs w:val="24"/>
          <w:lang w:val="lt-LT"/>
        </w:rPr>
        <w:t>.</w:t>
      </w:r>
      <w:r w:rsidR="008B029E">
        <w:rPr>
          <w:rFonts w:ascii="Times New Roman" w:hAnsi="Times New Roman" w:cs="Times New Roman"/>
          <w:sz w:val="24"/>
          <w:szCs w:val="24"/>
          <w:lang w:val="lt-LT"/>
        </w:rPr>
        <w:t xml:space="preserve"> Visgi galima pastebėti, kad šiuos veiksnius galima priskirti toms pačioms aukščiau paminėtoms</w:t>
      </w:r>
      <w:r w:rsidR="008D6409" w:rsidRPr="0017614D">
        <w:rPr>
          <w:rFonts w:ascii="Times New Roman" w:hAnsi="Times New Roman" w:cs="Times New Roman"/>
          <w:sz w:val="24"/>
          <w:szCs w:val="24"/>
          <w:lang w:val="lt-LT"/>
        </w:rPr>
        <w:t xml:space="preserve"> </w:t>
      </w:r>
      <w:r w:rsidR="008B029E" w:rsidRPr="0017614D">
        <w:rPr>
          <w:rFonts w:ascii="Times New Roman" w:eastAsia="TimesNewRomanPSMT" w:hAnsi="Times New Roman" w:cs="Times New Roman"/>
          <w:sz w:val="24"/>
          <w:szCs w:val="24"/>
          <w:lang w:val="lt-LT"/>
        </w:rPr>
        <w:t>Ooghe ir S. De Prijcker</w:t>
      </w:r>
      <w:r w:rsidR="008B029E" w:rsidRPr="0017614D">
        <w:rPr>
          <w:rFonts w:ascii="Times New Roman" w:hAnsi="Times New Roman" w:cs="Times New Roman"/>
          <w:sz w:val="24"/>
          <w:szCs w:val="24"/>
          <w:lang w:val="lt-LT"/>
        </w:rPr>
        <w:t xml:space="preserve"> (2006)</w:t>
      </w:r>
      <w:r w:rsidR="008B029E">
        <w:rPr>
          <w:rFonts w:ascii="Times New Roman" w:hAnsi="Times New Roman" w:cs="Times New Roman"/>
          <w:sz w:val="24"/>
          <w:szCs w:val="24"/>
          <w:lang w:val="lt-LT"/>
        </w:rPr>
        <w:t xml:space="preserve"> pateikiamoms išorės veiksnių grupėms.</w:t>
      </w:r>
    </w:p>
    <w:p w:rsidR="008D6409" w:rsidRPr="0017614D" w:rsidRDefault="008D6409" w:rsidP="00FA0AB0">
      <w:pPr>
        <w:pStyle w:val="ListParagraph"/>
        <w:spacing w:after="0" w:line="240" w:lineRule="auto"/>
        <w:ind w:left="1080"/>
        <w:jc w:val="both"/>
        <w:rPr>
          <w:rFonts w:ascii="Times New Roman" w:hAnsi="Times New Roman" w:cs="Times New Roman"/>
          <w:sz w:val="24"/>
          <w:szCs w:val="24"/>
          <w:lang w:val="lt-LT"/>
        </w:rPr>
      </w:pPr>
    </w:p>
    <w:p w:rsidR="008D6409" w:rsidRPr="0017614D" w:rsidRDefault="00FA0AB0" w:rsidP="00FA0AB0">
      <w:pPr>
        <w:spacing w:after="0" w:line="240" w:lineRule="auto"/>
        <w:ind w:left="720"/>
        <w:contextualSpacing/>
        <w:jc w:val="center"/>
        <w:rPr>
          <w:lang w:val="lt-LT"/>
        </w:rPr>
      </w:pPr>
      <w:r w:rsidRPr="0017614D">
        <w:rPr>
          <w:rFonts w:ascii="Times New Roman" w:hAnsi="Times New Roman" w:cs="Times New Roman"/>
          <w:szCs w:val="24"/>
          <w:lang w:val="lt-LT"/>
        </w:rPr>
        <w:t>2</w:t>
      </w:r>
      <w:r w:rsidR="008D6409" w:rsidRPr="0017614D">
        <w:rPr>
          <w:rFonts w:ascii="Times New Roman" w:hAnsi="Times New Roman" w:cs="Times New Roman"/>
          <w:szCs w:val="24"/>
          <w:lang w:val="lt-LT"/>
        </w:rPr>
        <w:t xml:space="preserve"> lentelė.</w:t>
      </w:r>
      <w:r w:rsidR="008D6409" w:rsidRPr="0017614D">
        <w:rPr>
          <w:rFonts w:ascii="Times New Roman" w:hAnsi="Times New Roman" w:cs="Times New Roman"/>
          <w:b/>
          <w:szCs w:val="24"/>
          <w:lang w:val="lt-LT"/>
        </w:rPr>
        <w:t xml:space="preserve"> </w:t>
      </w:r>
      <w:r w:rsidR="008D6409" w:rsidRPr="0017614D">
        <w:rPr>
          <w:rFonts w:ascii="Times New Roman" w:hAnsi="Times New Roman" w:cs="Times New Roman"/>
          <w:b/>
          <w:lang w:val="lt-LT"/>
        </w:rPr>
        <w:t>Išorės aplinkos veiksniai, turintys įtakos įmonės veiklai pagal A. Januševičiūtę ir D. Jurevičienę</w:t>
      </w:r>
    </w:p>
    <w:tbl>
      <w:tblPr>
        <w:tblStyle w:val="MediumShading1-Accent6"/>
        <w:tblW w:w="0" w:type="auto"/>
        <w:jc w:val="center"/>
        <w:tblLook w:val="01E0"/>
      </w:tblPr>
      <w:tblGrid>
        <w:gridCol w:w="852"/>
        <w:gridCol w:w="8459"/>
      </w:tblGrid>
      <w:tr w:rsidR="008D6409" w:rsidRPr="0017614D" w:rsidTr="00F4304D">
        <w:trPr>
          <w:cnfStyle w:val="100000000000"/>
          <w:jc w:val="center"/>
        </w:trPr>
        <w:tc>
          <w:tcPr>
            <w:cnfStyle w:val="001000000000"/>
            <w:tcW w:w="852" w:type="dxa"/>
            <w:shd w:val="clear" w:color="auto" w:fill="FABF8F" w:themeFill="accent6" w:themeFillTint="99"/>
          </w:tcPr>
          <w:p w:rsidR="008D6409" w:rsidRPr="0017614D" w:rsidRDefault="008D6409" w:rsidP="00F4304D">
            <w:pPr>
              <w:suppressAutoHyphens/>
              <w:spacing w:line="360" w:lineRule="auto"/>
              <w:contextualSpacing/>
              <w:jc w:val="center"/>
              <w:rPr>
                <w:rFonts w:ascii="Times New Roman" w:hAnsi="Times New Roman" w:cs="Times New Roman"/>
                <w:color w:val="auto"/>
                <w:lang w:val="lt-LT"/>
              </w:rPr>
            </w:pPr>
            <w:r w:rsidRPr="0017614D">
              <w:rPr>
                <w:rFonts w:ascii="Times New Roman" w:hAnsi="Times New Roman" w:cs="Times New Roman"/>
                <w:color w:val="auto"/>
                <w:lang w:val="lt-LT"/>
              </w:rPr>
              <w:t>Eil.Nr.</w:t>
            </w:r>
          </w:p>
        </w:tc>
        <w:tc>
          <w:tcPr>
            <w:cnfStyle w:val="000100000000"/>
            <w:tcW w:w="8459" w:type="dxa"/>
            <w:shd w:val="clear" w:color="auto" w:fill="FABF8F" w:themeFill="accent6" w:themeFillTint="99"/>
          </w:tcPr>
          <w:p w:rsidR="008D6409" w:rsidRPr="0017614D" w:rsidRDefault="008D6409" w:rsidP="00F4304D">
            <w:pPr>
              <w:suppressAutoHyphens/>
              <w:spacing w:line="360" w:lineRule="auto"/>
              <w:contextualSpacing/>
              <w:jc w:val="center"/>
              <w:rPr>
                <w:rFonts w:ascii="Times New Roman" w:hAnsi="Times New Roman" w:cs="Times New Roman"/>
                <w:color w:val="auto"/>
                <w:lang w:val="lt-LT"/>
              </w:rPr>
            </w:pPr>
            <w:r w:rsidRPr="0017614D">
              <w:rPr>
                <w:rFonts w:ascii="Times New Roman" w:hAnsi="Times New Roman" w:cs="Times New Roman"/>
                <w:color w:val="auto"/>
                <w:lang w:val="lt-LT"/>
              </w:rPr>
              <w:t>Išorės aplinkos veiksniai</w:t>
            </w:r>
          </w:p>
        </w:tc>
      </w:tr>
      <w:tr w:rsidR="008D6409" w:rsidRPr="0017614D" w:rsidTr="00F4304D">
        <w:trPr>
          <w:cnfStyle w:val="010000000000"/>
          <w:jc w:val="center"/>
        </w:trPr>
        <w:tc>
          <w:tcPr>
            <w:cnfStyle w:val="001000000000"/>
            <w:tcW w:w="852" w:type="dxa"/>
          </w:tcPr>
          <w:p w:rsidR="008D6409" w:rsidRPr="0017614D" w:rsidRDefault="008D6409" w:rsidP="00F4304D">
            <w:pPr>
              <w:suppressAutoHyphens/>
              <w:spacing w:line="276" w:lineRule="auto"/>
              <w:contextualSpacing/>
              <w:jc w:val="center"/>
              <w:rPr>
                <w:rFonts w:ascii="Times New Roman" w:hAnsi="Times New Roman" w:cs="Times New Roman"/>
                <w:b w:val="0"/>
                <w:lang w:val="lt-LT"/>
              </w:rPr>
            </w:pPr>
            <w:r w:rsidRPr="0017614D">
              <w:rPr>
                <w:rFonts w:ascii="Times New Roman" w:hAnsi="Times New Roman" w:cs="Times New Roman"/>
                <w:b w:val="0"/>
                <w:lang w:val="lt-LT"/>
              </w:rPr>
              <w:t>1.</w:t>
            </w:r>
          </w:p>
        </w:tc>
        <w:tc>
          <w:tcPr>
            <w:cnfStyle w:val="000100000000"/>
            <w:tcW w:w="8459" w:type="dxa"/>
          </w:tcPr>
          <w:p w:rsidR="008D6409" w:rsidRPr="0017614D" w:rsidRDefault="008D6409" w:rsidP="00F4304D">
            <w:pPr>
              <w:suppressAutoHyphens/>
              <w:spacing w:line="276" w:lineRule="auto"/>
              <w:contextualSpacing/>
              <w:jc w:val="both"/>
              <w:rPr>
                <w:rFonts w:ascii="Times New Roman" w:hAnsi="Times New Roman" w:cs="Times New Roman"/>
                <w:b w:val="0"/>
                <w:lang w:val="lt-LT"/>
              </w:rPr>
            </w:pPr>
            <w:r w:rsidRPr="0017614D">
              <w:rPr>
                <w:rFonts w:ascii="Times New Roman" w:hAnsi="Times New Roman" w:cs="Times New Roman"/>
                <w:b w:val="0"/>
                <w:lang w:val="lt-LT"/>
              </w:rPr>
              <w:t>Ekonomikos lėtėjimas</w:t>
            </w:r>
          </w:p>
        </w:tc>
      </w:tr>
    </w:tbl>
    <w:p w:rsidR="008D6409" w:rsidRPr="0017614D" w:rsidRDefault="00FA0AB0" w:rsidP="002B57E2">
      <w:pPr>
        <w:spacing w:after="0"/>
        <w:ind w:left="720"/>
        <w:contextualSpacing/>
        <w:jc w:val="right"/>
        <w:rPr>
          <w:rFonts w:ascii="Times New Roman" w:hAnsi="Times New Roman" w:cs="Times New Roman"/>
          <w:sz w:val="24"/>
          <w:szCs w:val="24"/>
          <w:lang w:val="lt-LT"/>
        </w:rPr>
      </w:pPr>
      <w:r w:rsidRPr="0017614D">
        <w:rPr>
          <w:rFonts w:ascii="Times New Roman" w:hAnsi="Times New Roman" w:cs="Times New Roman"/>
          <w:sz w:val="24"/>
          <w:szCs w:val="24"/>
          <w:lang w:val="lt-LT"/>
        </w:rPr>
        <w:t>2</w:t>
      </w:r>
      <w:r w:rsidR="008D6409" w:rsidRPr="0017614D">
        <w:rPr>
          <w:rFonts w:ascii="Times New Roman" w:hAnsi="Times New Roman" w:cs="Times New Roman"/>
          <w:sz w:val="24"/>
          <w:szCs w:val="24"/>
          <w:lang w:val="lt-LT"/>
        </w:rPr>
        <w:t xml:space="preserve"> lentel</w:t>
      </w:r>
      <w:r w:rsidR="008D6409" w:rsidRPr="0017614D">
        <w:rPr>
          <w:rFonts w:ascii="TimesNewRomanPSMT" w:eastAsia="TimesNewRomanPSMT" w:hAnsi="Times New Roman" w:cs="TimesNewRomanPSMT"/>
          <w:sz w:val="24"/>
          <w:szCs w:val="24"/>
          <w:lang w:val="lt-LT"/>
        </w:rPr>
        <w:t>ė</w:t>
      </w:r>
      <w:r w:rsidR="008D6409" w:rsidRPr="0017614D">
        <w:rPr>
          <w:rFonts w:ascii="Times New Roman" w:hAnsi="Times New Roman" w:cs="Times New Roman"/>
          <w:sz w:val="24"/>
          <w:szCs w:val="24"/>
          <w:lang w:val="lt-LT"/>
        </w:rPr>
        <w:t>s t</w:t>
      </w:r>
      <w:r w:rsidR="008D6409" w:rsidRPr="0017614D">
        <w:rPr>
          <w:rFonts w:ascii="TimesNewRomanPSMT" w:eastAsia="TimesNewRomanPSMT" w:hAnsi="Times New Roman" w:cs="TimesNewRomanPSMT"/>
          <w:sz w:val="24"/>
          <w:szCs w:val="24"/>
          <w:lang w:val="lt-LT"/>
        </w:rPr>
        <w:t>ę</w:t>
      </w:r>
      <w:r w:rsidR="008D6409" w:rsidRPr="0017614D">
        <w:rPr>
          <w:rFonts w:ascii="Times New Roman" w:hAnsi="Times New Roman" w:cs="Times New Roman"/>
          <w:sz w:val="24"/>
          <w:szCs w:val="24"/>
          <w:lang w:val="lt-LT"/>
        </w:rPr>
        <w:t>sinys pateiktas kitame puslapyje</w:t>
      </w:r>
    </w:p>
    <w:p w:rsidR="008D6409" w:rsidRPr="0017614D" w:rsidRDefault="00FA0AB0" w:rsidP="002B57E2">
      <w:pPr>
        <w:spacing w:after="0"/>
        <w:ind w:left="720"/>
        <w:contextualSpacing/>
        <w:jc w:val="right"/>
        <w:rPr>
          <w:rFonts w:ascii="Times New Roman" w:hAnsi="Times New Roman" w:cs="Times New Roman"/>
          <w:b/>
          <w:sz w:val="20"/>
          <w:szCs w:val="20"/>
          <w:lang w:val="lt-LT"/>
        </w:rPr>
      </w:pPr>
      <w:r w:rsidRPr="0017614D">
        <w:rPr>
          <w:rFonts w:ascii="Times New Roman" w:hAnsi="Times New Roman" w:cs="Times New Roman"/>
          <w:sz w:val="24"/>
          <w:szCs w:val="24"/>
          <w:lang w:val="lt-LT"/>
        </w:rPr>
        <w:lastRenderedPageBreak/>
        <w:t>2</w:t>
      </w:r>
      <w:r w:rsidR="008D6409" w:rsidRPr="0017614D">
        <w:rPr>
          <w:rFonts w:ascii="Times New Roman" w:hAnsi="Times New Roman" w:cs="Times New Roman"/>
          <w:sz w:val="24"/>
          <w:szCs w:val="24"/>
          <w:lang w:val="lt-LT"/>
        </w:rPr>
        <w:t xml:space="preserve"> lentel</w:t>
      </w:r>
      <w:r w:rsidR="008D6409" w:rsidRPr="0017614D">
        <w:rPr>
          <w:rFonts w:ascii="TimesNewRomanPSMT" w:eastAsia="TimesNewRomanPSMT" w:hAnsi="Times New Roman" w:cs="TimesNewRomanPSMT"/>
          <w:sz w:val="24"/>
          <w:szCs w:val="24"/>
          <w:lang w:val="lt-LT"/>
        </w:rPr>
        <w:t>ė</w:t>
      </w:r>
      <w:r w:rsidR="008D6409" w:rsidRPr="0017614D">
        <w:rPr>
          <w:rFonts w:ascii="Times New Roman" w:hAnsi="Times New Roman" w:cs="Times New Roman"/>
          <w:sz w:val="24"/>
          <w:szCs w:val="24"/>
          <w:lang w:val="lt-LT"/>
        </w:rPr>
        <w:t>s t</w:t>
      </w:r>
      <w:r w:rsidR="008D6409" w:rsidRPr="0017614D">
        <w:rPr>
          <w:rFonts w:ascii="TimesNewRomanPSMT" w:eastAsia="TimesNewRomanPSMT" w:hAnsi="Times New Roman" w:cs="TimesNewRomanPSMT"/>
          <w:sz w:val="24"/>
          <w:szCs w:val="24"/>
          <w:lang w:val="lt-LT"/>
        </w:rPr>
        <w:t>ę</w:t>
      </w:r>
      <w:r w:rsidR="008D6409" w:rsidRPr="0017614D">
        <w:rPr>
          <w:rFonts w:ascii="Times New Roman" w:hAnsi="Times New Roman" w:cs="Times New Roman"/>
          <w:sz w:val="24"/>
          <w:szCs w:val="24"/>
          <w:lang w:val="lt-LT"/>
        </w:rPr>
        <w:t>sinys</w:t>
      </w:r>
    </w:p>
    <w:tbl>
      <w:tblPr>
        <w:tblStyle w:val="MediumShading1-Accent6"/>
        <w:tblW w:w="0" w:type="auto"/>
        <w:jc w:val="center"/>
        <w:tblLook w:val="01E0"/>
      </w:tblPr>
      <w:tblGrid>
        <w:gridCol w:w="852"/>
        <w:gridCol w:w="8459"/>
      </w:tblGrid>
      <w:tr w:rsidR="008D6409" w:rsidRPr="0017614D" w:rsidTr="00F4304D">
        <w:trPr>
          <w:cnfStyle w:val="100000000000"/>
          <w:jc w:val="center"/>
        </w:trPr>
        <w:tc>
          <w:tcPr>
            <w:cnfStyle w:val="001000000000"/>
            <w:tcW w:w="852" w:type="dxa"/>
            <w:shd w:val="clear" w:color="auto" w:fill="FABF8F" w:themeFill="accent6" w:themeFillTint="99"/>
          </w:tcPr>
          <w:p w:rsidR="008D6409" w:rsidRPr="0017614D" w:rsidRDefault="008D6409" w:rsidP="00F4304D">
            <w:pPr>
              <w:suppressAutoHyphens/>
              <w:spacing w:line="276" w:lineRule="auto"/>
              <w:contextualSpacing/>
              <w:jc w:val="center"/>
              <w:rPr>
                <w:rFonts w:ascii="Times New Roman" w:hAnsi="Times New Roman" w:cs="Times New Roman"/>
                <w:color w:val="auto"/>
                <w:lang w:val="lt-LT"/>
              </w:rPr>
            </w:pPr>
            <w:r w:rsidRPr="0017614D">
              <w:rPr>
                <w:rFonts w:ascii="Times New Roman" w:hAnsi="Times New Roman" w:cs="Times New Roman"/>
                <w:color w:val="auto"/>
                <w:lang w:val="lt-LT"/>
              </w:rPr>
              <w:t>Eil.Nr.</w:t>
            </w:r>
          </w:p>
        </w:tc>
        <w:tc>
          <w:tcPr>
            <w:cnfStyle w:val="000100000000"/>
            <w:tcW w:w="8459" w:type="dxa"/>
            <w:shd w:val="clear" w:color="auto" w:fill="FABF8F" w:themeFill="accent6" w:themeFillTint="99"/>
          </w:tcPr>
          <w:p w:rsidR="008D6409" w:rsidRPr="0017614D" w:rsidRDefault="008D6409" w:rsidP="00F4304D">
            <w:pPr>
              <w:suppressAutoHyphens/>
              <w:spacing w:line="276" w:lineRule="auto"/>
              <w:contextualSpacing/>
              <w:jc w:val="center"/>
              <w:rPr>
                <w:rFonts w:ascii="Times New Roman" w:hAnsi="Times New Roman" w:cs="Times New Roman"/>
                <w:color w:val="auto"/>
                <w:lang w:val="lt-LT"/>
              </w:rPr>
            </w:pPr>
            <w:r w:rsidRPr="0017614D">
              <w:rPr>
                <w:rFonts w:ascii="Times New Roman" w:hAnsi="Times New Roman" w:cs="Times New Roman"/>
                <w:color w:val="auto"/>
                <w:lang w:val="lt-LT"/>
              </w:rPr>
              <w:t>Išorės aplinkos veiksniai</w:t>
            </w:r>
          </w:p>
        </w:tc>
      </w:tr>
      <w:tr w:rsidR="008D6409" w:rsidRPr="0017614D" w:rsidTr="00F4304D">
        <w:trPr>
          <w:cnfStyle w:val="000000100000"/>
          <w:jc w:val="center"/>
        </w:trPr>
        <w:tc>
          <w:tcPr>
            <w:cnfStyle w:val="001000000000"/>
            <w:tcW w:w="852" w:type="dxa"/>
          </w:tcPr>
          <w:p w:rsidR="008D6409" w:rsidRPr="0017614D" w:rsidRDefault="008D6409" w:rsidP="00F4304D">
            <w:pPr>
              <w:suppressAutoHyphens/>
              <w:spacing w:line="276" w:lineRule="auto"/>
              <w:contextualSpacing/>
              <w:jc w:val="center"/>
              <w:rPr>
                <w:rFonts w:ascii="Times New Roman" w:hAnsi="Times New Roman" w:cs="Times New Roman"/>
                <w:b w:val="0"/>
                <w:lang w:val="lt-LT"/>
              </w:rPr>
            </w:pPr>
            <w:r w:rsidRPr="0017614D">
              <w:rPr>
                <w:rFonts w:ascii="Times New Roman" w:hAnsi="Times New Roman" w:cs="Times New Roman"/>
                <w:b w:val="0"/>
                <w:lang w:val="lt-LT"/>
              </w:rPr>
              <w:t>2.</w:t>
            </w:r>
          </w:p>
        </w:tc>
        <w:tc>
          <w:tcPr>
            <w:cnfStyle w:val="000100000000"/>
            <w:tcW w:w="8459" w:type="dxa"/>
          </w:tcPr>
          <w:p w:rsidR="008D6409" w:rsidRPr="0017614D" w:rsidRDefault="008D6409" w:rsidP="00F4304D">
            <w:pPr>
              <w:suppressAutoHyphens/>
              <w:spacing w:line="276" w:lineRule="auto"/>
              <w:contextualSpacing/>
              <w:jc w:val="both"/>
              <w:rPr>
                <w:rFonts w:ascii="Times New Roman" w:hAnsi="Times New Roman" w:cs="Times New Roman"/>
                <w:b w:val="0"/>
                <w:lang w:val="lt-LT"/>
              </w:rPr>
            </w:pPr>
            <w:r w:rsidRPr="0017614D">
              <w:rPr>
                <w:rFonts w:ascii="Times New Roman" w:hAnsi="Times New Roman" w:cs="Times New Roman"/>
                <w:b w:val="0"/>
                <w:lang w:val="lt-LT"/>
              </w:rPr>
              <w:t>Finansinės ir ekonominės kitų šalių krizės (JAV dolerio kurso smukimas, Rusijos krizė)</w:t>
            </w:r>
          </w:p>
        </w:tc>
      </w:tr>
      <w:tr w:rsidR="008D6409" w:rsidRPr="0017614D" w:rsidTr="00F4304D">
        <w:trPr>
          <w:cnfStyle w:val="000000010000"/>
          <w:jc w:val="center"/>
        </w:trPr>
        <w:tc>
          <w:tcPr>
            <w:cnfStyle w:val="001000000000"/>
            <w:tcW w:w="852" w:type="dxa"/>
          </w:tcPr>
          <w:p w:rsidR="008D6409" w:rsidRPr="0017614D" w:rsidRDefault="001F2BF1" w:rsidP="00F4304D">
            <w:pPr>
              <w:suppressAutoHyphens/>
              <w:spacing w:line="276" w:lineRule="auto"/>
              <w:contextualSpacing/>
              <w:jc w:val="center"/>
              <w:rPr>
                <w:rFonts w:ascii="Times New Roman" w:hAnsi="Times New Roman" w:cs="Times New Roman"/>
                <w:b w:val="0"/>
                <w:lang w:val="lt-LT"/>
              </w:rPr>
            </w:pPr>
            <w:r w:rsidRPr="0017614D">
              <w:rPr>
                <w:rFonts w:ascii="Times New Roman" w:hAnsi="Times New Roman" w:cs="Times New Roman"/>
                <w:b w:val="0"/>
                <w:lang w:val="lt-LT"/>
              </w:rPr>
              <w:t>3</w:t>
            </w:r>
            <w:r w:rsidR="008D6409" w:rsidRPr="0017614D">
              <w:rPr>
                <w:rFonts w:ascii="Times New Roman" w:hAnsi="Times New Roman" w:cs="Times New Roman"/>
                <w:b w:val="0"/>
                <w:lang w:val="lt-LT"/>
              </w:rPr>
              <w:t>.</w:t>
            </w:r>
          </w:p>
        </w:tc>
        <w:tc>
          <w:tcPr>
            <w:cnfStyle w:val="000100000000"/>
            <w:tcW w:w="8459" w:type="dxa"/>
          </w:tcPr>
          <w:p w:rsidR="008D6409" w:rsidRPr="0017614D" w:rsidRDefault="008D6409" w:rsidP="00F4304D">
            <w:pPr>
              <w:suppressAutoHyphens/>
              <w:spacing w:line="276" w:lineRule="auto"/>
              <w:contextualSpacing/>
              <w:jc w:val="both"/>
              <w:rPr>
                <w:rFonts w:ascii="Times New Roman" w:hAnsi="Times New Roman" w:cs="Times New Roman"/>
                <w:b w:val="0"/>
                <w:lang w:val="lt-LT"/>
              </w:rPr>
            </w:pPr>
            <w:r w:rsidRPr="0017614D">
              <w:rPr>
                <w:rFonts w:ascii="Times New Roman" w:hAnsi="Times New Roman" w:cs="Times New Roman"/>
                <w:b w:val="0"/>
                <w:lang w:val="lt-LT"/>
              </w:rPr>
              <w:t>Rinkos pokyčiai (rinkų siaurėjimas ar plėtra)</w:t>
            </w:r>
          </w:p>
        </w:tc>
      </w:tr>
      <w:tr w:rsidR="008D6409" w:rsidRPr="0017614D" w:rsidTr="00F4304D">
        <w:trPr>
          <w:cnfStyle w:val="000000100000"/>
          <w:jc w:val="center"/>
        </w:trPr>
        <w:tc>
          <w:tcPr>
            <w:cnfStyle w:val="001000000000"/>
            <w:tcW w:w="852" w:type="dxa"/>
          </w:tcPr>
          <w:p w:rsidR="008D6409" w:rsidRPr="0017614D" w:rsidRDefault="001F2BF1" w:rsidP="00F4304D">
            <w:pPr>
              <w:suppressAutoHyphens/>
              <w:spacing w:line="276" w:lineRule="auto"/>
              <w:contextualSpacing/>
              <w:jc w:val="center"/>
              <w:rPr>
                <w:rFonts w:ascii="Times New Roman" w:hAnsi="Times New Roman" w:cs="Times New Roman"/>
                <w:b w:val="0"/>
                <w:lang w:val="lt-LT"/>
              </w:rPr>
            </w:pPr>
            <w:r w:rsidRPr="0017614D">
              <w:rPr>
                <w:rFonts w:ascii="Times New Roman" w:hAnsi="Times New Roman" w:cs="Times New Roman"/>
                <w:b w:val="0"/>
                <w:lang w:val="lt-LT"/>
              </w:rPr>
              <w:t>4</w:t>
            </w:r>
            <w:r w:rsidR="008D6409" w:rsidRPr="0017614D">
              <w:rPr>
                <w:rFonts w:ascii="Times New Roman" w:hAnsi="Times New Roman" w:cs="Times New Roman"/>
                <w:b w:val="0"/>
                <w:lang w:val="lt-LT"/>
              </w:rPr>
              <w:t>.</w:t>
            </w:r>
          </w:p>
        </w:tc>
        <w:tc>
          <w:tcPr>
            <w:cnfStyle w:val="000100000000"/>
            <w:tcW w:w="8459" w:type="dxa"/>
          </w:tcPr>
          <w:p w:rsidR="008D6409" w:rsidRPr="0017614D" w:rsidRDefault="008D6409" w:rsidP="00F4304D">
            <w:pPr>
              <w:suppressAutoHyphens/>
              <w:spacing w:line="276" w:lineRule="auto"/>
              <w:contextualSpacing/>
              <w:jc w:val="both"/>
              <w:rPr>
                <w:rFonts w:ascii="Times New Roman" w:hAnsi="Times New Roman" w:cs="Times New Roman"/>
                <w:b w:val="0"/>
                <w:lang w:val="lt-LT"/>
              </w:rPr>
            </w:pPr>
            <w:r w:rsidRPr="0017614D">
              <w:rPr>
                <w:rFonts w:ascii="Times New Roman" w:hAnsi="Times New Roman" w:cs="Times New Roman"/>
                <w:b w:val="0"/>
                <w:lang w:val="lt-LT"/>
              </w:rPr>
              <w:t>Įstatymų kaita ir korupcija viešajame sektoriuje</w:t>
            </w:r>
          </w:p>
        </w:tc>
      </w:tr>
      <w:tr w:rsidR="008D6409" w:rsidRPr="0017614D" w:rsidTr="00F4304D">
        <w:trPr>
          <w:cnfStyle w:val="000000010000"/>
          <w:jc w:val="center"/>
        </w:trPr>
        <w:tc>
          <w:tcPr>
            <w:cnfStyle w:val="001000000000"/>
            <w:tcW w:w="852" w:type="dxa"/>
          </w:tcPr>
          <w:p w:rsidR="008D6409" w:rsidRPr="0017614D" w:rsidRDefault="001F2BF1" w:rsidP="00F4304D">
            <w:pPr>
              <w:suppressAutoHyphens/>
              <w:spacing w:line="276" w:lineRule="auto"/>
              <w:contextualSpacing/>
              <w:jc w:val="center"/>
              <w:rPr>
                <w:rFonts w:ascii="Times New Roman" w:hAnsi="Times New Roman" w:cs="Times New Roman"/>
                <w:b w:val="0"/>
                <w:lang w:val="lt-LT"/>
              </w:rPr>
            </w:pPr>
            <w:r w:rsidRPr="0017614D">
              <w:rPr>
                <w:rFonts w:ascii="Times New Roman" w:hAnsi="Times New Roman" w:cs="Times New Roman"/>
                <w:b w:val="0"/>
                <w:lang w:val="lt-LT"/>
              </w:rPr>
              <w:t>5</w:t>
            </w:r>
            <w:r w:rsidR="008D6409" w:rsidRPr="0017614D">
              <w:rPr>
                <w:rFonts w:ascii="Times New Roman" w:hAnsi="Times New Roman" w:cs="Times New Roman"/>
                <w:b w:val="0"/>
                <w:lang w:val="lt-LT"/>
              </w:rPr>
              <w:t>.</w:t>
            </w:r>
          </w:p>
        </w:tc>
        <w:tc>
          <w:tcPr>
            <w:cnfStyle w:val="000100000000"/>
            <w:tcW w:w="8459" w:type="dxa"/>
          </w:tcPr>
          <w:p w:rsidR="008D6409" w:rsidRPr="0017614D" w:rsidRDefault="008D6409" w:rsidP="00F4304D">
            <w:pPr>
              <w:suppressAutoHyphens/>
              <w:spacing w:line="276" w:lineRule="auto"/>
              <w:contextualSpacing/>
              <w:jc w:val="both"/>
              <w:rPr>
                <w:rFonts w:ascii="Times New Roman" w:hAnsi="Times New Roman" w:cs="Times New Roman"/>
                <w:b w:val="0"/>
                <w:lang w:val="lt-LT"/>
              </w:rPr>
            </w:pPr>
            <w:r w:rsidRPr="0017614D">
              <w:rPr>
                <w:rFonts w:ascii="Times New Roman" w:hAnsi="Times New Roman" w:cs="Times New Roman"/>
                <w:b w:val="0"/>
                <w:lang w:val="lt-LT"/>
              </w:rPr>
              <w:t>Partnerių nesekmės (tiekėjų, antrinių įmonių)</w:t>
            </w:r>
          </w:p>
        </w:tc>
      </w:tr>
      <w:tr w:rsidR="008D6409" w:rsidRPr="0017614D" w:rsidTr="00F4304D">
        <w:trPr>
          <w:cnfStyle w:val="000000100000"/>
          <w:jc w:val="center"/>
        </w:trPr>
        <w:tc>
          <w:tcPr>
            <w:cnfStyle w:val="001000000000"/>
            <w:tcW w:w="852" w:type="dxa"/>
          </w:tcPr>
          <w:p w:rsidR="008D6409" w:rsidRPr="0017614D" w:rsidRDefault="001F2BF1" w:rsidP="00F4304D">
            <w:pPr>
              <w:suppressAutoHyphens/>
              <w:spacing w:line="276" w:lineRule="auto"/>
              <w:contextualSpacing/>
              <w:jc w:val="center"/>
              <w:rPr>
                <w:rFonts w:ascii="Times New Roman" w:hAnsi="Times New Roman" w:cs="Times New Roman"/>
                <w:b w:val="0"/>
                <w:lang w:val="lt-LT"/>
              </w:rPr>
            </w:pPr>
            <w:r w:rsidRPr="0017614D">
              <w:rPr>
                <w:rFonts w:ascii="Times New Roman" w:hAnsi="Times New Roman" w:cs="Times New Roman"/>
                <w:b w:val="0"/>
                <w:lang w:val="lt-LT"/>
              </w:rPr>
              <w:t>6</w:t>
            </w:r>
            <w:r w:rsidR="008D6409" w:rsidRPr="0017614D">
              <w:rPr>
                <w:rFonts w:ascii="Times New Roman" w:hAnsi="Times New Roman" w:cs="Times New Roman"/>
                <w:b w:val="0"/>
                <w:lang w:val="lt-LT"/>
              </w:rPr>
              <w:t>.</w:t>
            </w:r>
          </w:p>
        </w:tc>
        <w:tc>
          <w:tcPr>
            <w:cnfStyle w:val="000100000000"/>
            <w:tcW w:w="8459" w:type="dxa"/>
          </w:tcPr>
          <w:p w:rsidR="008D6409" w:rsidRPr="0017614D" w:rsidRDefault="008D6409" w:rsidP="00F4304D">
            <w:pPr>
              <w:suppressAutoHyphens/>
              <w:spacing w:line="276" w:lineRule="auto"/>
              <w:contextualSpacing/>
              <w:jc w:val="both"/>
              <w:rPr>
                <w:rFonts w:ascii="Times New Roman" w:hAnsi="Times New Roman" w:cs="Times New Roman"/>
                <w:b w:val="0"/>
                <w:lang w:val="lt-LT"/>
              </w:rPr>
            </w:pPr>
            <w:r w:rsidRPr="0017614D">
              <w:rPr>
                <w:rFonts w:ascii="Times New Roman" w:hAnsi="Times New Roman" w:cs="Times New Roman"/>
                <w:b w:val="0"/>
                <w:lang w:val="lt-LT"/>
              </w:rPr>
              <w:t>Kreditų gavimo tvarka</w:t>
            </w:r>
          </w:p>
        </w:tc>
      </w:tr>
      <w:tr w:rsidR="008D6409" w:rsidRPr="0017614D" w:rsidTr="001F2BF1">
        <w:trPr>
          <w:cnfStyle w:val="010000000000"/>
          <w:jc w:val="center"/>
        </w:trPr>
        <w:tc>
          <w:tcPr>
            <w:cnfStyle w:val="001000000000"/>
            <w:tcW w:w="852" w:type="dxa"/>
            <w:shd w:val="clear" w:color="auto" w:fill="auto"/>
          </w:tcPr>
          <w:p w:rsidR="008D6409" w:rsidRPr="0017614D" w:rsidRDefault="001F2BF1" w:rsidP="00F4304D">
            <w:pPr>
              <w:suppressAutoHyphens/>
              <w:spacing w:line="276" w:lineRule="auto"/>
              <w:contextualSpacing/>
              <w:jc w:val="center"/>
              <w:rPr>
                <w:rFonts w:ascii="Times New Roman" w:hAnsi="Times New Roman" w:cs="Times New Roman"/>
                <w:b w:val="0"/>
                <w:lang w:val="lt-LT"/>
              </w:rPr>
            </w:pPr>
            <w:r w:rsidRPr="0017614D">
              <w:rPr>
                <w:rFonts w:ascii="Times New Roman" w:hAnsi="Times New Roman" w:cs="Times New Roman"/>
                <w:b w:val="0"/>
                <w:lang w:val="lt-LT"/>
              </w:rPr>
              <w:t>7</w:t>
            </w:r>
            <w:r w:rsidR="008D6409" w:rsidRPr="0017614D">
              <w:rPr>
                <w:rFonts w:ascii="Times New Roman" w:hAnsi="Times New Roman" w:cs="Times New Roman"/>
                <w:b w:val="0"/>
                <w:lang w:val="lt-LT"/>
              </w:rPr>
              <w:t>.</w:t>
            </w:r>
          </w:p>
        </w:tc>
        <w:tc>
          <w:tcPr>
            <w:cnfStyle w:val="000100000000"/>
            <w:tcW w:w="8459" w:type="dxa"/>
            <w:shd w:val="clear" w:color="auto" w:fill="auto"/>
          </w:tcPr>
          <w:p w:rsidR="008D6409" w:rsidRPr="0017614D" w:rsidRDefault="008D6409" w:rsidP="001F2BF1">
            <w:pPr>
              <w:suppressAutoHyphens/>
              <w:spacing w:line="276" w:lineRule="auto"/>
              <w:contextualSpacing/>
              <w:jc w:val="both"/>
              <w:rPr>
                <w:rFonts w:ascii="Times New Roman" w:hAnsi="Times New Roman" w:cs="Times New Roman"/>
                <w:b w:val="0"/>
                <w:lang w:val="lt-LT"/>
              </w:rPr>
            </w:pPr>
            <w:r w:rsidRPr="0017614D">
              <w:rPr>
                <w:rFonts w:ascii="Times New Roman" w:hAnsi="Times New Roman" w:cs="Times New Roman"/>
                <w:b w:val="0"/>
                <w:lang w:val="lt-LT"/>
              </w:rPr>
              <w:t>Įmonių teikiamų finansinių atskaitomybių griežtos kontrolės nebuvimas</w:t>
            </w:r>
          </w:p>
        </w:tc>
      </w:tr>
    </w:tbl>
    <w:p w:rsidR="008D6409" w:rsidRPr="0017614D" w:rsidRDefault="008D6409" w:rsidP="005D3FF6">
      <w:pPr>
        <w:spacing w:after="0" w:line="240" w:lineRule="auto"/>
        <w:ind w:left="720"/>
        <w:contextualSpacing/>
        <w:rPr>
          <w:rFonts w:ascii="Times New Roman" w:hAnsi="Times New Roman" w:cs="Times New Roman"/>
          <w:lang w:val="lt-LT"/>
        </w:rPr>
      </w:pPr>
      <w:r w:rsidRPr="005D3FF6">
        <w:rPr>
          <w:rFonts w:ascii="Times New Roman" w:hAnsi="Times New Roman" w:cs="Times New Roman"/>
          <w:b/>
          <w:sz w:val="20"/>
          <w:lang w:val="lt-LT"/>
        </w:rPr>
        <w:t>Šaltinis:</w:t>
      </w:r>
      <w:r w:rsidRPr="005D3FF6">
        <w:rPr>
          <w:rFonts w:ascii="Times New Roman" w:hAnsi="Times New Roman" w:cs="Times New Roman"/>
          <w:sz w:val="20"/>
          <w:lang w:val="lt-LT"/>
        </w:rPr>
        <w:t xml:space="preserve"> </w:t>
      </w:r>
      <w:r w:rsidR="008B029E" w:rsidRPr="005D3FF6">
        <w:rPr>
          <w:rFonts w:ascii="Times New Roman" w:hAnsi="Times New Roman" w:cs="Times New Roman"/>
          <w:sz w:val="20"/>
          <w:lang w:val="lt-LT"/>
        </w:rPr>
        <w:t xml:space="preserve">Sudaryta pagal </w:t>
      </w:r>
      <w:r w:rsidRPr="005D3FF6">
        <w:rPr>
          <w:rFonts w:ascii="Times New Roman" w:hAnsi="Times New Roman" w:cs="Times New Roman"/>
          <w:sz w:val="20"/>
          <w:lang w:val="lt-LT"/>
        </w:rPr>
        <w:t>Januševičiūtė, Jurevičienė, 2009.</w:t>
      </w:r>
    </w:p>
    <w:p w:rsidR="008D6409" w:rsidRPr="0017614D" w:rsidRDefault="008D6409" w:rsidP="008D6409">
      <w:pPr>
        <w:spacing w:after="0" w:line="360" w:lineRule="auto"/>
        <w:ind w:firstLine="720"/>
        <w:contextualSpacing/>
        <w:jc w:val="both"/>
        <w:rPr>
          <w:rFonts w:ascii="Times New Roman" w:hAnsi="Times New Roman" w:cs="Times New Roman"/>
          <w:sz w:val="24"/>
          <w:szCs w:val="24"/>
          <w:lang w:val="lt-LT"/>
        </w:rPr>
      </w:pPr>
    </w:p>
    <w:p w:rsidR="008D6409" w:rsidRPr="0017614D" w:rsidRDefault="008D6409" w:rsidP="008D6409">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Apibendrinant skirtingų autorių paminėtus išorės veiksnius, galime matyti, kad iš esmės viskas kas vyksta už įmonės ribų turi vienokį ar kitokį poveikį įmonei, todėl galima spėti, kad yra dar ne vienas išorės veik</w:t>
      </w:r>
      <w:r w:rsidR="006671D8">
        <w:rPr>
          <w:rFonts w:ascii="Times New Roman" w:hAnsi="Times New Roman" w:cs="Times New Roman"/>
          <w:sz w:val="24"/>
          <w:szCs w:val="24"/>
          <w:lang w:val="lt-LT"/>
        </w:rPr>
        <w:t>snys, kuris nebuvo paminėtas</w:t>
      </w:r>
      <w:r w:rsidRPr="0017614D">
        <w:rPr>
          <w:rFonts w:ascii="Times New Roman" w:hAnsi="Times New Roman" w:cs="Times New Roman"/>
          <w:sz w:val="24"/>
          <w:szCs w:val="24"/>
          <w:lang w:val="lt-LT"/>
        </w:rPr>
        <w:t xml:space="preserve">, bet galėtų sąlygoti įmonės bankrotą. </w:t>
      </w:r>
    </w:p>
    <w:p w:rsidR="00FF4091" w:rsidRPr="0017614D" w:rsidRDefault="00FF4091" w:rsidP="00FF4091">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Vidiniai veiksniai priešingai nei išorės yra apibrėžiami kaip tokie veiksniai, kuriuos įmonė gali pati kontroliuoti bei kuriems ji gali daryti tiesioginę įtaką. </w:t>
      </w:r>
    </w:p>
    <w:p w:rsidR="00FF4091" w:rsidRPr="0017614D" w:rsidRDefault="00FF4091" w:rsidP="00FF4091">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G. Gandellini ir kt. (2012) išskyria, kad įmonės vidinė aplinka susideda iš trijų elementų:</w:t>
      </w:r>
    </w:p>
    <w:p w:rsidR="00FF4091" w:rsidRPr="0017614D" w:rsidRDefault="00FF4091" w:rsidP="00417443">
      <w:pPr>
        <w:pStyle w:val="ListParagraph"/>
        <w:numPr>
          <w:ilvl w:val="0"/>
          <w:numId w:val="20"/>
        </w:numPr>
        <w:spacing w:after="0" w:line="360" w:lineRule="auto"/>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Ištekliai;</w:t>
      </w:r>
    </w:p>
    <w:p w:rsidR="00FF4091" w:rsidRPr="0017614D" w:rsidRDefault="00FF4091" w:rsidP="00417443">
      <w:pPr>
        <w:pStyle w:val="ListParagraph"/>
        <w:numPr>
          <w:ilvl w:val="0"/>
          <w:numId w:val="20"/>
        </w:numPr>
        <w:spacing w:after="0" w:line="360" w:lineRule="auto"/>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Pajėgumas;</w:t>
      </w:r>
    </w:p>
    <w:p w:rsidR="00FF4091" w:rsidRPr="0017614D" w:rsidRDefault="00FF4091" w:rsidP="00417443">
      <w:pPr>
        <w:pStyle w:val="ListParagraph"/>
        <w:numPr>
          <w:ilvl w:val="0"/>
          <w:numId w:val="20"/>
        </w:numPr>
        <w:spacing w:after="0" w:line="360" w:lineRule="auto"/>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Kompetencijos.</w:t>
      </w:r>
    </w:p>
    <w:p w:rsidR="00FF4091" w:rsidRPr="0017614D" w:rsidRDefault="00FF4091" w:rsidP="00FF4091">
      <w:pPr>
        <w:spacing w:after="0" w:line="360" w:lineRule="auto"/>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Ištekliai tai yra įmonės turtas, kurį įmonė gali panaudoti ir kontroliuoti. Jie gali būt</w:t>
      </w:r>
      <w:r w:rsidR="001F2BF1" w:rsidRPr="0017614D">
        <w:rPr>
          <w:rFonts w:ascii="Times New Roman" w:hAnsi="Times New Roman" w:cs="Times New Roman"/>
          <w:sz w:val="24"/>
          <w:szCs w:val="24"/>
          <w:lang w:val="lt-LT"/>
        </w:rPr>
        <w:t>i suskirstyti į fizinio</w:t>
      </w:r>
      <w:r w:rsidRPr="0017614D">
        <w:rPr>
          <w:rFonts w:ascii="Times New Roman" w:hAnsi="Times New Roman" w:cs="Times New Roman"/>
          <w:sz w:val="24"/>
          <w:szCs w:val="24"/>
          <w:lang w:val="lt-LT"/>
        </w:rPr>
        <w:t xml:space="preserve">, žmogiškojo bei organizacinio kapitalo išteklius. Taip pat išteklius galima suskirstyti į materialųjį ir nematerialųjį turtą, pirmam priskiriant visus pastatus, atsargas bei kitą turtą turintį materialiąją formą, tuo tarpu kitam priskiriant procesus, kultūrą, reputaciją ir kitą. Pajėgumą G. Gandellini (2012) apibrėžia kaip gebėjimą sujungti bei išnaudoti įmonės išteklius. Tuo tarpu kompetencija yra platesnė sąvoka negu ištekliai. Įmonės gali turėti tuos pačius išteklius, tačiau skirtingai juos valdyti bei išnaudoti ir gauti skirtingus rezultatus. Taigi kompetenciją galima apibrėžti kaip gerą tam tikros srities išmanymą.Visi šie trys elementai atspindi </w:t>
      </w:r>
      <w:r w:rsidR="004C2C9E">
        <w:rPr>
          <w:rFonts w:ascii="Times New Roman" w:hAnsi="Times New Roman" w:cs="Times New Roman"/>
          <w:sz w:val="24"/>
          <w:szCs w:val="24"/>
          <w:lang w:val="lt-LT"/>
        </w:rPr>
        <w:t>ne tik įmonės stipriąsias, bet ir atskleidžia silpną</w:t>
      </w:r>
      <w:r w:rsidR="00556401" w:rsidRPr="0017614D">
        <w:rPr>
          <w:rFonts w:ascii="Times New Roman" w:hAnsi="Times New Roman" w:cs="Times New Roman"/>
          <w:sz w:val="24"/>
          <w:szCs w:val="24"/>
          <w:lang w:val="lt-LT"/>
        </w:rPr>
        <w:t>sias puses,</w:t>
      </w:r>
      <w:r w:rsidRPr="0017614D">
        <w:rPr>
          <w:rFonts w:ascii="Times New Roman" w:hAnsi="Times New Roman" w:cs="Times New Roman"/>
          <w:sz w:val="24"/>
          <w:szCs w:val="24"/>
          <w:lang w:val="lt-LT"/>
        </w:rPr>
        <w:t xml:space="preserve"> k</w:t>
      </w:r>
      <w:r w:rsidR="00556401" w:rsidRPr="0017614D">
        <w:rPr>
          <w:rFonts w:ascii="Times New Roman" w:hAnsi="Times New Roman" w:cs="Times New Roman"/>
          <w:sz w:val="24"/>
          <w:szCs w:val="24"/>
          <w:lang w:val="lt-LT"/>
        </w:rPr>
        <w:t>urios gali sąlygoti net įmonės bankrotą.</w:t>
      </w:r>
    </w:p>
    <w:p w:rsidR="00954C4B" w:rsidRPr="0017614D" w:rsidRDefault="00556401" w:rsidP="00F2770C">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Tuo tarpu </w:t>
      </w:r>
      <w:r w:rsidR="007F773E" w:rsidRPr="0017614D">
        <w:rPr>
          <w:rFonts w:ascii="Times New Roman" w:hAnsi="Times New Roman" w:cs="Times New Roman"/>
          <w:sz w:val="24"/>
          <w:szCs w:val="24"/>
          <w:lang w:val="lt-LT"/>
        </w:rPr>
        <w:t xml:space="preserve">V. Baldin (2007) </w:t>
      </w:r>
      <w:bookmarkStart w:id="67" w:name="_Toc319176755"/>
      <w:bookmarkStart w:id="68" w:name="_Toc319615929"/>
      <w:bookmarkEnd w:id="65"/>
      <w:bookmarkEnd w:id="66"/>
      <w:r w:rsidRPr="0017614D">
        <w:rPr>
          <w:rFonts w:ascii="Times New Roman" w:hAnsi="Times New Roman" w:cs="Times New Roman"/>
          <w:sz w:val="24"/>
          <w:szCs w:val="24"/>
          <w:lang w:val="lt-LT"/>
        </w:rPr>
        <w:t>nuomone,</w:t>
      </w:r>
      <w:r w:rsidR="00954C4B" w:rsidRPr="0017614D">
        <w:rPr>
          <w:rFonts w:ascii="Times New Roman" w:hAnsi="Times New Roman" w:cs="Times New Roman"/>
          <w:sz w:val="24"/>
          <w:szCs w:val="24"/>
          <w:lang w:val="lt-LT"/>
        </w:rPr>
        <w:t xml:space="preserve"> vidi</w:t>
      </w:r>
      <w:r w:rsidRPr="0017614D">
        <w:rPr>
          <w:rFonts w:ascii="Times New Roman" w:hAnsi="Times New Roman" w:cs="Times New Roman"/>
          <w:sz w:val="24"/>
          <w:szCs w:val="24"/>
          <w:lang w:val="lt-LT"/>
        </w:rPr>
        <w:t>nės aplinkos faktorių grupei reikia priskirti</w:t>
      </w:r>
      <w:r w:rsidR="00954C4B" w:rsidRPr="0017614D">
        <w:rPr>
          <w:rFonts w:ascii="Times New Roman" w:hAnsi="Times New Roman" w:cs="Times New Roman"/>
          <w:sz w:val="24"/>
          <w:szCs w:val="24"/>
          <w:lang w:val="lt-LT"/>
        </w:rPr>
        <w:t>:</w:t>
      </w:r>
      <w:bookmarkEnd w:id="67"/>
      <w:bookmarkEnd w:id="68"/>
    </w:p>
    <w:p w:rsidR="00954C4B" w:rsidRPr="0017614D" w:rsidRDefault="00C458E7" w:rsidP="00417443">
      <w:pPr>
        <w:pStyle w:val="ListParagraph"/>
        <w:numPr>
          <w:ilvl w:val="0"/>
          <w:numId w:val="9"/>
        </w:numPr>
        <w:spacing w:after="0" w:line="360" w:lineRule="auto"/>
        <w:jc w:val="both"/>
        <w:rPr>
          <w:rFonts w:ascii="Times New Roman" w:hAnsi="Times New Roman" w:cs="Times New Roman"/>
          <w:sz w:val="24"/>
          <w:szCs w:val="24"/>
          <w:lang w:val="lt-LT"/>
        </w:rPr>
      </w:pPr>
      <w:bookmarkStart w:id="69" w:name="_Toc319176756"/>
      <w:bookmarkStart w:id="70" w:name="_Toc319615930"/>
      <w:r w:rsidRPr="0017614D">
        <w:rPr>
          <w:rFonts w:ascii="Times New Roman" w:hAnsi="Times New Roman" w:cs="Times New Roman"/>
          <w:sz w:val="24"/>
          <w:szCs w:val="24"/>
          <w:lang w:val="lt-LT"/>
        </w:rPr>
        <w:t>Veiklos</w:t>
      </w:r>
      <w:r w:rsidR="00954C4B" w:rsidRPr="0017614D">
        <w:rPr>
          <w:rFonts w:ascii="Times New Roman" w:hAnsi="Times New Roman" w:cs="Times New Roman"/>
          <w:sz w:val="24"/>
          <w:szCs w:val="24"/>
          <w:lang w:val="lt-LT"/>
        </w:rPr>
        <w:t xml:space="preserve"> veiksnius – jie apima tiek, gamybinius, tiek valdymo procesus;</w:t>
      </w:r>
      <w:bookmarkEnd w:id="69"/>
      <w:bookmarkEnd w:id="70"/>
    </w:p>
    <w:p w:rsidR="00954C4B" w:rsidRPr="0017614D" w:rsidRDefault="00954C4B" w:rsidP="00417443">
      <w:pPr>
        <w:pStyle w:val="ListParagraph"/>
        <w:numPr>
          <w:ilvl w:val="0"/>
          <w:numId w:val="9"/>
        </w:numPr>
        <w:spacing w:after="0" w:line="360" w:lineRule="auto"/>
        <w:jc w:val="both"/>
        <w:rPr>
          <w:rFonts w:ascii="Times New Roman" w:hAnsi="Times New Roman" w:cs="Times New Roman"/>
          <w:sz w:val="24"/>
          <w:szCs w:val="24"/>
          <w:lang w:val="lt-LT"/>
        </w:rPr>
      </w:pPr>
      <w:bookmarkStart w:id="71" w:name="_Toc319176757"/>
      <w:bookmarkStart w:id="72" w:name="_Toc319615931"/>
      <w:r w:rsidRPr="0017614D">
        <w:rPr>
          <w:rFonts w:ascii="Times New Roman" w:hAnsi="Times New Roman" w:cs="Times New Roman"/>
          <w:sz w:val="24"/>
          <w:szCs w:val="24"/>
          <w:lang w:val="lt-LT"/>
        </w:rPr>
        <w:t>Finansinius veiksnius, t. y. įmonės bankrotas kaip neracionalios finansinės politikos rezultatas;</w:t>
      </w:r>
      <w:bookmarkEnd w:id="71"/>
      <w:bookmarkEnd w:id="72"/>
    </w:p>
    <w:p w:rsidR="00954C4B" w:rsidRPr="0017614D" w:rsidRDefault="00C458E7" w:rsidP="00417443">
      <w:pPr>
        <w:pStyle w:val="ListParagraph"/>
        <w:numPr>
          <w:ilvl w:val="0"/>
          <w:numId w:val="9"/>
        </w:numPr>
        <w:spacing w:after="0" w:line="360" w:lineRule="auto"/>
        <w:jc w:val="both"/>
        <w:rPr>
          <w:rFonts w:ascii="Times New Roman" w:hAnsi="Times New Roman" w:cs="Times New Roman"/>
          <w:sz w:val="24"/>
          <w:szCs w:val="24"/>
          <w:lang w:val="lt-LT"/>
        </w:rPr>
      </w:pPr>
      <w:bookmarkStart w:id="73" w:name="_Toc319176758"/>
      <w:bookmarkStart w:id="74" w:name="_Toc319615932"/>
      <w:r w:rsidRPr="0017614D">
        <w:rPr>
          <w:rFonts w:ascii="Times New Roman" w:hAnsi="Times New Roman" w:cs="Times New Roman"/>
          <w:sz w:val="24"/>
          <w:szCs w:val="24"/>
          <w:lang w:val="lt-LT"/>
        </w:rPr>
        <w:t>Investicinius</w:t>
      </w:r>
      <w:r w:rsidR="00954C4B" w:rsidRPr="0017614D">
        <w:rPr>
          <w:rFonts w:ascii="Times New Roman" w:hAnsi="Times New Roman" w:cs="Times New Roman"/>
          <w:sz w:val="24"/>
          <w:szCs w:val="24"/>
          <w:lang w:val="lt-LT"/>
        </w:rPr>
        <w:t xml:space="preserve"> veiksniai, susiję su neefektyvia organizacijos investicijų politika.</w:t>
      </w:r>
      <w:bookmarkEnd w:id="73"/>
      <w:bookmarkEnd w:id="74"/>
    </w:p>
    <w:p w:rsidR="009B3E21" w:rsidRPr="0017614D" w:rsidRDefault="000574A0" w:rsidP="00F2770C">
      <w:pPr>
        <w:tabs>
          <w:tab w:val="left" w:pos="540"/>
        </w:tabs>
        <w:spacing w:after="0" w:line="360" w:lineRule="auto"/>
        <w:contextualSpacing/>
        <w:jc w:val="both"/>
        <w:rPr>
          <w:rFonts w:ascii="Times New Roman" w:hAnsi="Times New Roman" w:cs="Times New Roman"/>
          <w:bCs/>
          <w:sz w:val="24"/>
          <w:szCs w:val="24"/>
          <w:lang w:val="lt-LT"/>
        </w:rPr>
      </w:pPr>
      <w:r w:rsidRPr="0017614D">
        <w:rPr>
          <w:rFonts w:ascii="Times New Roman" w:hAnsi="Times New Roman" w:cs="Times New Roman"/>
          <w:bCs/>
          <w:sz w:val="24"/>
          <w:szCs w:val="24"/>
          <w:lang w:val="lt-LT"/>
        </w:rPr>
        <w:tab/>
      </w:r>
      <w:r w:rsidR="009B3E21" w:rsidRPr="0017614D">
        <w:rPr>
          <w:rFonts w:ascii="Times New Roman" w:hAnsi="Times New Roman" w:cs="Times New Roman"/>
          <w:bCs/>
          <w:sz w:val="24"/>
          <w:szCs w:val="24"/>
          <w:lang w:val="lt-LT"/>
        </w:rPr>
        <w:t>2001 metų Statistikos departamento metinėje apžvalgoje pateikta, kad pagrindinės įmonių nemokumo ir nuostolingos veiklos priežastys yra šio</w:t>
      </w:r>
      <w:r w:rsidR="004C2C9E">
        <w:rPr>
          <w:rFonts w:ascii="Times New Roman" w:hAnsi="Times New Roman" w:cs="Times New Roman"/>
          <w:bCs/>
          <w:sz w:val="24"/>
          <w:szCs w:val="24"/>
          <w:lang w:val="lt-LT"/>
        </w:rPr>
        <w:t>s</w:t>
      </w:r>
      <w:r w:rsidR="006671D8">
        <w:rPr>
          <w:rFonts w:ascii="Times New Roman" w:hAnsi="Times New Roman" w:cs="Times New Roman"/>
          <w:bCs/>
          <w:sz w:val="24"/>
          <w:szCs w:val="24"/>
          <w:lang w:val="lt-LT"/>
        </w:rPr>
        <w:t xml:space="preserve"> </w:t>
      </w:r>
      <w:r w:rsidR="006671D8" w:rsidRPr="0017614D">
        <w:rPr>
          <w:rFonts w:ascii="Times New Roman" w:hAnsi="Times New Roman" w:cs="Times New Roman"/>
          <w:sz w:val="24"/>
          <w:lang w:val="lt-LT"/>
        </w:rPr>
        <w:t>(Sa</w:t>
      </w:r>
      <w:r w:rsidR="006671D8">
        <w:rPr>
          <w:rFonts w:ascii="Times New Roman" w:hAnsi="Times New Roman" w:cs="Times New Roman"/>
          <w:sz w:val="24"/>
          <w:lang w:val="lt-LT"/>
        </w:rPr>
        <w:t>kalas, Virbickaitė, 2003</w:t>
      </w:r>
      <w:r w:rsidR="006671D8" w:rsidRPr="0017614D">
        <w:rPr>
          <w:rFonts w:ascii="Times New Roman" w:hAnsi="Times New Roman" w:cs="Times New Roman"/>
          <w:sz w:val="24"/>
          <w:lang w:val="lt-LT"/>
        </w:rPr>
        <w:t>)</w:t>
      </w:r>
      <w:r w:rsidR="009B3E21" w:rsidRPr="0017614D">
        <w:rPr>
          <w:rFonts w:ascii="Times New Roman" w:hAnsi="Times New Roman" w:cs="Times New Roman"/>
          <w:bCs/>
          <w:sz w:val="24"/>
          <w:szCs w:val="24"/>
          <w:lang w:val="lt-LT"/>
        </w:rPr>
        <w:t>:</w:t>
      </w:r>
    </w:p>
    <w:p w:rsidR="009B3E21" w:rsidRPr="0017614D" w:rsidRDefault="009B3E21" w:rsidP="00417443">
      <w:pPr>
        <w:pStyle w:val="ListParagraph"/>
        <w:numPr>
          <w:ilvl w:val="0"/>
          <w:numId w:val="10"/>
        </w:numPr>
        <w:spacing w:after="0" w:line="360" w:lineRule="auto"/>
        <w:jc w:val="both"/>
        <w:rPr>
          <w:rFonts w:ascii="Times New Roman" w:hAnsi="Times New Roman" w:cs="Times New Roman"/>
          <w:sz w:val="24"/>
          <w:lang w:val="lt-LT"/>
        </w:rPr>
      </w:pPr>
      <w:r w:rsidRPr="0017614D">
        <w:rPr>
          <w:rFonts w:ascii="Times New Roman" w:hAnsi="Times New Roman" w:cs="Times New Roman"/>
          <w:sz w:val="24"/>
          <w:lang w:val="lt-LT"/>
        </w:rPr>
        <w:lastRenderedPageBreak/>
        <w:t>žemas įmonių gamybinių pajėgumų panaudojimas;</w:t>
      </w:r>
    </w:p>
    <w:p w:rsidR="009B3E21" w:rsidRPr="0017614D" w:rsidRDefault="009B3E21" w:rsidP="00417443">
      <w:pPr>
        <w:pStyle w:val="ListParagraph"/>
        <w:numPr>
          <w:ilvl w:val="0"/>
          <w:numId w:val="10"/>
        </w:numPr>
        <w:spacing w:line="360" w:lineRule="auto"/>
        <w:jc w:val="both"/>
        <w:rPr>
          <w:rFonts w:ascii="Times New Roman" w:hAnsi="Times New Roman" w:cs="Times New Roman"/>
          <w:sz w:val="24"/>
          <w:lang w:val="lt-LT"/>
        </w:rPr>
      </w:pPr>
      <w:r w:rsidRPr="0017614D">
        <w:rPr>
          <w:rFonts w:ascii="Times New Roman" w:hAnsi="Times New Roman" w:cs="Times New Roman"/>
          <w:sz w:val="24"/>
          <w:lang w:val="lt-LT"/>
        </w:rPr>
        <w:t xml:space="preserve">kuro, energetinių išteklių, vietinių žaliavų ir kitų materialinių išteklių neracionalus naudojimas; </w:t>
      </w:r>
    </w:p>
    <w:p w:rsidR="009B3E21" w:rsidRPr="0017614D" w:rsidRDefault="009B3E21" w:rsidP="00417443">
      <w:pPr>
        <w:pStyle w:val="ListParagraph"/>
        <w:numPr>
          <w:ilvl w:val="0"/>
          <w:numId w:val="10"/>
        </w:numPr>
        <w:spacing w:line="360" w:lineRule="auto"/>
        <w:jc w:val="both"/>
        <w:rPr>
          <w:rFonts w:ascii="Times New Roman" w:hAnsi="Times New Roman" w:cs="Times New Roman"/>
          <w:sz w:val="24"/>
          <w:lang w:val="lt-LT"/>
        </w:rPr>
      </w:pPr>
      <w:r w:rsidRPr="0017614D">
        <w:rPr>
          <w:rFonts w:ascii="Times New Roman" w:hAnsi="Times New Roman" w:cs="Times New Roman"/>
          <w:sz w:val="24"/>
          <w:lang w:val="lt-LT"/>
        </w:rPr>
        <w:t>įmonių valdymo organų neveiklumas, laiku nesiimant priemonių spręsti klausimo dėl bendrovės įstatinio kapitalo sumažinimo, bendrovės likvidavimo ar įstatinio ir nuosavo kapitalo skirtumo padengimo akcininkų papildomais įnašais, dėl ko įmonės daugelį metų kaupia nuostolius;</w:t>
      </w:r>
    </w:p>
    <w:p w:rsidR="009B3E21" w:rsidRPr="0017614D" w:rsidRDefault="009B3E21" w:rsidP="00417443">
      <w:pPr>
        <w:pStyle w:val="ListParagraph"/>
        <w:numPr>
          <w:ilvl w:val="0"/>
          <w:numId w:val="10"/>
        </w:numPr>
        <w:spacing w:line="360" w:lineRule="auto"/>
        <w:jc w:val="both"/>
        <w:rPr>
          <w:rFonts w:ascii="Times New Roman" w:hAnsi="Times New Roman" w:cs="Times New Roman"/>
          <w:sz w:val="24"/>
          <w:lang w:val="lt-LT"/>
        </w:rPr>
      </w:pPr>
      <w:r w:rsidRPr="0017614D">
        <w:rPr>
          <w:rFonts w:ascii="Times New Roman" w:hAnsi="Times New Roman" w:cs="Times New Roman"/>
          <w:sz w:val="24"/>
          <w:lang w:val="lt-LT"/>
        </w:rPr>
        <w:t>įmonių nesugebėjimas prisitaikyti prie rinkos sąlygų, konkuruoti;</w:t>
      </w:r>
    </w:p>
    <w:p w:rsidR="009B3E21" w:rsidRPr="0017614D" w:rsidRDefault="009B3E21" w:rsidP="00417443">
      <w:pPr>
        <w:pStyle w:val="ListParagraph"/>
        <w:numPr>
          <w:ilvl w:val="0"/>
          <w:numId w:val="10"/>
        </w:numPr>
        <w:spacing w:line="360" w:lineRule="auto"/>
        <w:jc w:val="both"/>
        <w:rPr>
          <w:rFonts w:ascii="Times New Roman" w:hAnsi="Times New Roman" w:cs="Times New Roman"/>
          <w:sz w:val="24"/>
          <w:lang w:val="lt-LT"/>
        </w:rPr>
      </w:pPr>
      <w:r w:rsidRPr="0017614D">
        <w:rPr>
          <w:rFonts w:ascii="Times New Roman" w:hAnsi="Times New Roman" w:cs="Times New Roman"/>
          <w:sz w:val="24"/>
          <w:lang w:val="lt-LT"/>
        </w:rPr>
        <w:t>lėtas didelių įmonių restruktūrizavimas, agresyvumo, ieškant naujų rinkų, stoka;</w:t>
      </w:r>
    </w:p>
    <w:p w:rsidR="00572CC0" w:rsidRPr="0017614D" w:rsidRDefault="009B3E21" w:rsidP="00417443">
      <w:pPr>
        <w:pStyle w:val="ListParagraph"/>
        <w:numPr>
          <w:ilvl w:val="0"/>
          <w:numId w:val="10"/>
        </w:numPr>
        <w:spacing w:after="0" w:line="360" w:lineRule="auto"/>
        <w:jc w:val="both"/>
        <w:rPr>
          <w:rFonts w:ascii="Times New Roman" w:hAnsi="Times New Roman" w:cs="Times New Roman"/>
          <w:sz w:val="24"/>
          <w:lang w:val="lt-LT"/>
        </w:rPr>
      </w:pPr>
      <w:r w:rsidRPr="0017614D">
        <w:rPr>
          <w:rFonts w:ascii="Times New Roman" w:hAnsi="Times New Roman" w:cs="Times New Roman"/>
          <w:sz w:val="24"/>
          <w:lang w:val="lt-LT"/>
        </w:rPr>
        <w:t>teikiamų įmonių fin</w:t>
      </w:r>
      <w:r w:rsidR="00F2770C" w:rsidRPr="0017614D">
        <w:rPr>
          <w:rFonts w:ascii="Times New Roman" w:hAnsi="Times New Roman" w:cs="Times New Roman"/>
          <w:sz w:val="24"/>
          <w:lang w:val="lt-LT"/>
        </w:rPr>
        <w:t xml:space="preserve">ansinių atskaitomybių </w:t>
      </w:r>
      <w:r w:rsidRPr="0017614D">
        <w:rPr>
          <w:rFonts w:ascii="Times New Roman" w:hAnsi="Times New Roman" w:cs="Times New Roman"/>
          <w:sz w:val="24"/>
          <w:lang w:val="lt-LT"/>
        </w:rPr>
        <w:t>griežtos kontrolės, nust</w:t>
      </w:r>
      <w:r w:rsidR="006671D8">
        <w:rPr>
          <w:rFonts w:ascii="Times New Roman" w:hAnsi="Times New Roman" w:cs="Times New Roman"/>
          <w:sz w:val="24"/>
          <w:lang w:val="lt-LT"/>
        </w:rPr>
        <w:t>atant pažeidimus, nebuvimas</w:t>
      </w:r>
      <w:r w:rsidRPr="0017614D">
        <w:rPr>
          <w:rFonts w:ascii="Times New Roman" w:hAnsi="Times New Roman" w:cs="Times New Roman"/>
          <w:sz w:val="24"/>
          <w:lang w:val="lt-LT"/>
        </w:rPr>
        <w:t>.</w:t>
      </w:r>
    </w:p>
    <w:p w:rsidR="000574A0" w:rsidRPr="006671D8" w:rsidRDefault="000574A0" w:rsidP="00F2770C">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0"/>
          <w:lang w:val="lt-LT"/>
        </w:rPr>
        <w:t>Tuo tarpu Įmonių bankroto valdymo departamentas prie Ūkio ministerijos savo apžvalgoje pateikia tr</w:t>
      </w:r>
      <w:r w:rsidR="003549AB">
        <w:rPr>
          <w:rFonts w:ascii="Times New Roman" w:hAnsi="Times New Roman" w:cs="Times New Roman"/>
          <w:sz w:val="24"/>
          <w:szCs w:val="20"/>
          <w:lang w:val="lt-LT"/>
        </w:rPr>
        <w:t>i</w:t>
      </w:r>
      <w:r w:rsidRPr="0017614D">
        <w:rPr>
          <w:rFonts w:ascii="Times New Roman" w:hAnsi="Times New Roman" w:cs="Times New Roman"/>
          <w:sz w:val="24"/>
          <w:szCs w:val="20"/>
          <w:lang w:val="lt-LT"/>
        </w:rPr>
        <w:t xml:space="preserve">s pagrindines bankroto </w:t>
      </w:r>
      <w:r w:rsidRPr="006671D8">
        <w:rPr>
          <w:rFonts w:ascii="Times New Roman" w:hAnsi="Times New Roman" w:cs="Times New Roman"/>
          <w:sz w:val="24"/>
          <w:szCs w:val="24"/>
          <w:lang w:val="lt-LT"/>
        </w:rPr>
        <w:t>priežastis</w:t>
      </w:r>
      <w:r w:rsidR="006671D8" w:rsidRPr="006671D8">
        <w:rPr>
          <w:rFonts w:ascii="Times New Roman" w:hAnsi="Times New Roman" w:cs="Times New Roman"/>
          <w:sz w:val="24"/>
          <w:szCs w:val="24"/>
          <w:lang w:val="lt-LT"/>
        </w:rPr>
        <w:t xml:space="preserve"> </w:t>
      </w:r>
      <w:r w:rsidR="006671D8">
        <w:rPr>
          <w:rFonts w:ascii="Times New Roman" w:hAnsi="Times New Roman" w:cs="Times New Roman"/>
          <w:sz w:val="24"/>
          <w:szCs w:val="24"/>
          <w:lang w:val="lt-LT"/>
        </w:rPr>
        <w:t>(Krancevičiūtė, 2012)</w:t>
      </w:r>
      <w:r w:rsidRPr="006671D8">
        <w:rPr>
          <w:rFonts w:ascii="Times New Roman" w:hAnsi="Times New Roman" w:cs="Times New Roman"/>
          <w:sz w:val="24"/>
          <w:szCs w:val="24"/>
          <w:lang w:val="lt-LT"/>
        </w:rPr>
        <w:t xml:space="preserve">: </w:t>
      </w:r>
    </w:p>
    <w:p w:rsidR="000574A0" w:rsidRPr="0017614D" w:rsidRDefault="000574A0" w:rsidP="00417443">
      <w:pPr>
        <w:pStyle w:val="Default"/>
        <w:numPr>
          <w:ilvl w:val="0"/>
          <w:numId w:val="5"/>
        </w:numPr>
        <w:spacing w:line="360" w:lineRule="auto"/>
        <w:contextualSpacing/>
        <w:jc w:val="both"/>
        <w:rPr>
          <w:color w:val="auto"/>
          <w:szCs w:val="20"/>
          <w:lang w:val="lt-LT"/>
        </w:rPr>
      </w:pPr>
      <w:r w:rsidRPr="0017614D">
        <w:rPr>
          <w:color w:val="auto"/>
          <w:szCs w:val="20"/>
          <w:lang w:val="lt-LT"/>
        </w:rPr>
        <w:t>Įmonės vadovai blogai organizavo įmonės darbą arba apskrit</w:t>
      </w:r>
      <w:r w:rsidR="001F2BF1" w:rsidRPr="0017614D">
        <w:rPr>
          <w:color w:val="auto"/>
          <w:szCs w:val="20"/>
          <w:lang w:val="lt-LT"/>
        </w:rPr>
        <w:t>ai jo neorganizavo (</w:t>
      </w:r>
      <w:r w:rsidRPr="0017614D">
        <w:rPr>
          <w:color w:val="auto"/>
          <w:szCs w:val="20"/>
          <w:lang w:val="lt-LT"/>
        </w:rPr>
        <w:t>pardavimas neįsitikinus, kad kita šalis yra moki, aplaidi buhalterinė apska</w:t>
      </w:r>
      <w:r w:rsidR="001F2BF1" w:rsidRPr="0017614D">
        <w:rPr>
          <w:color w:val="auto"/>
          <w:szCs w:val="20"/>
          <w:lang w:val="lt-LT"/>
        </w:rPr>
        <w:t>ita, atsakomybės vengimas</w:t>
      </w:r>
      <w:r w:rsidRPr="0017614D">
        <w:rPr>
          <w:color w:val="auto"/>
          <w:szCs w:val="20"/>
          <w:lang w:val="lt-LT"/>
        </w:rPr>
        <w:t xml:space="preserve">); </w:t>
      </w:r>
    </w:p>
    <w:p w:rsidR="000574A0" w:rsidRPr="0017614D" w:rsidRDefault="000574A0" w:rsidP="00417443">
      <w:pPr>
        <w:pStyle w:val="Default"/>
        <w:numPr>
          <w:ilvl w:val="0"/>
          <w:numId w:val="5"/>
        </w:numPr>
        <w:spacing w:line="360" w:lineRule="auto"/>
        <w:contextualSpacing/>
        <w:jc w:val="both"/>
        <w:rPr>
          <w:color w:val="auto"/>
          <w:szCs w:val="20"/>
          <w:lang w:val="lt-LT"/>
        </w:rPr>
      </w:pPr>
      <w:r w:rsidRPr="0017614D">
        <w:rPr>
          <w:color w:val="auto"/>
          <w:szCs w:val="20"/>
          <w:lang w:val="lt-LT"/>
        </w:rPr>
        <w:t xml:space="preserve">Buvo sudarinėjami įmonei nuostolingi sandoriai (turto įsigijimas ir pardavimas už mažesnę kainą, nuostolingi sandoriai su ofšorinėmis kompanijomis ir kt.); </w:t>
      </w:r>
    </w:p>
    <w:p w:rsidR="000574A0" w:rsidRPr="0017614D" w:rsidRDefault="000574A0" w:rsidP="00417443">
      <w:pPr>
        <w:pStyle w:val="Default"/>
        <w:numPr>
          <w:ilvl w:val="0"/>
          <w:numId w:val="5"/>
        </w:numPr>
        <w:spacing w:line="360" w:lineRule="auto"/>
        <w:contextualSpacing/>
        <w:jc w:val="both"/>
        <w:rPr>
          <w:color w:val="auto"/>
          <w:szCs w:val="20"/>
          <w:lang w:val="lt-LT"/>
        </w:rPr>
      </w:pPr>
      <w:r w:rsidRPr="0017614D">
        <w:rPr>
          <w:color w:val="auto"/>
          <w:szCs w:val="20"/>
          <w:lang w:val="lt-LT"/>
        </w:rPr>
        <w:t xml:space="preserve">Akivaizdžiai gresiant bankrotui buvo paslėptas, iššvaistytas ar perleistas kitiems asmenims turtas, kuris galėjo </w:t>
      </w:r>
      <w:r w:rsidR="006671D8">
        <w:rPr>
          <w:color w:val="auto"/>
          <w:szCs w:val="20"/>
          <w:lang w:val="lt-LT"/>
        </w:rPr>
        <w:t>būti pateiktas skoloms padengti.</w:t>
      </w:r>
    </w:p>
    <w:p w:rsidR="00954C4B" w:rsidRPr="0017614D" w:rsidRDefault="00954C4B" w:rsidP="00F2770C">
      <w:pPr>
        <w:spacing w:after="0" w:line="360" w:lineRule="auto"/>
        <w:ind w:firstLine="720"/>
        <w:contextualSpacing/>
        <w:jc w:val="both"/>
        <w:rPr>
          <w:rFonts w:ascii="Times New Roman" w:hAnsi="Times New Roman" w:cs="Times New Roman"/>
          <w:sz w:val="24"/>
          <w:szCs w:val="24"/>
          <w:lang w:val="lt-LT"/>
        </w:rPr>
      </w:pPr>
      <w:bookmarkStart w:id="75" w:name="_Toc319176759"/>
      <w:bookmarkStart w:id="76" w:name="_Toc319615933"/>
      <w:r w:rsidRPr="0017614D">
        <w:rPr>
          <w:rFonts w:ascii="Times New Roman" w:hAnsi="Times New Roman" w:cs="Times New Roman"/>
          <w:sz w:val="24"/>
          <w:szCs w:val="24"/>
          <w:lang w:val="lt-LT"/>
        </w:rPr>
        <w:t>Iš užsienio autorių apie įmonių nemokumo būklės susidarymo priežastis taip pat rašė ir R. Stuart bei P. Abetti (1990). Jie išskyrė visiškai kitokius tris veiksnius, turinčius įtakos įmonės artėjimui prie bankroto. Pasak jų tai, visų pirmą, valdymo veiksniai – vadovo asmeninės savybės, valdymo kultūra, verslo vizija, įmonės organizacinė struktūra, techninių galimybių neišnaudojimas, realių galimybių neįvertinimas. Toliau eina strateginio valdymo veiksnys, būtinų strateginių sprendimų prasilenkimas su kintančiomis verslo sąlygomis, ir paskutinis - operatyvinio valdymo veiksnys, pažymintis kritinio požiūrio stygių bei per didelio skolinto kapitalo lygį.</w:t>
      </w:r>
      <w:bookmarkEnd w:id="75"/>
      <w:bookmarkEnd w:id="76"/>
      <w:r w:rsidRPr="0017614D">
        <w:rPr>
          <w:rFonts w:ascii="Times New Roman" w:hAnsi="Times New Roman" w:cs="Times New Roman"/>
          <w:sz w:val="24"/>
          <w:szCs w:val="24"/>
          <w:lang w:val="lt-LT"/>
        </w:rPr>
        <w:t xml:space="preserve"> </w:t>
      </w:r>
    </w:p>
    <w:p w:rsidR="00572CC0" w:rsidRPr="0017614D" w:rsidRDefault="00954C4B" w:rsidP="00C458E7">
      <w:pPr>
        <w:spacing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Kas sukelia bankrotą, taip pat nagrinėjo ir E. B. Brigham su M. C. Ehrhardt. Jie pateikia Dun &amp; Bradstreet Inc. atliktą tyrimą, kurio metu buvo išsiaiškinta kokios yra </w:t>
      </w:r>
      <w:r w:rsidR="00FA0AB0" w:rsidRPr="0017614D">
        <w:rPr>
          <w:rFonts w:ascii="Times New Roman" w:hAnsi="Times New Roman" w:cs="Times New Roman"/>
          <w:sz w:val="24"/>
          <w:szCs w:val="24"/>
          <w:lang w:val="lt-LT"/>
        </w:rPr>
        <w:t>verslo žlugimo priežastys (žr. 3</w:t>
      </w:r>
      <w:r w:rsidRPr="0017614D">
        <w:rPr>
          <w:rFonts w:ascii="Times New Roman" w:hAnsi="Times New Roman" w:cs="Times New Roman"/>
          <w:sz w:val="24"/>
          <w:szCs w:val="24"/>
          <w:lang w:val="lt-LT"/>
        </w:rPr>
        <w:t xml:space="preserve"> lent.). Šio tyrimo rezultatai parodė, kad dažniausiai bendrovės žlunga dėl finansinių ir ekonominių faktor</w:t>
      </w:r>
      <w:r w:rsidR="00E6354F">
        <w:rPr>
          <w:rFonts w:ascii="Times New Roman" w:hAnsi="Times New Roman" w:cs="Times New Roman"/>
          <w:sz w:val="24"/>
          <w:szCs w:val="24"/>
          <w:lang w:val="lt-LT"/>
        </w:rPr>
        <w:t>ių, atitinkamai jie sudarė 47,3 proc. ir 37,1 proc</w:t>
      </w:r>
      <w:r w:rsidR="00C458E7" w:rsidRPr="0017614D">
        <w:rPr>
          <w:rFonts w:ascii="Times New Roman" w:hAnsi="Times New Roman" w:cs="Times New Roman"/>
          <w:sz w:val="24"/>
          <w:szCs w:val="24"/>
          <w:lang w:val="lt-LT"/>
        </w:rPr>
        <w:t xml:space="preserve">. Finansiniam </w:t>
      </w:r>
      <w:r w:rsidR="003549AB">
        <w:rPr>
          <w:rFonts w:ascii="Times New Roman" w:hAnsi="Times New Roman" w:cs="Times New Roman"/>
          <w:sz w:val="24"/>
          <w:szCs w:val="24"/>
          <w:lang w:val="lt-LT"/>
        </w:rPr>
        <w:t>faktoriui</w:t>
      </w:r>
      <w:r w:rsidRPr="0017614D">
        <w:rPr>
          <w:rFonts w:ascii="Times New Roman" w:hAnsi="Times New Roman" w:cs="Times New Roman"/>
          <w:sz w:val="24"/>
          <w:szCs w:val="24"/>
          <w:lang w:val="lt-LT"/>
        </w:rPr>
        <w:t xml:space="preserve"> buvo priskirti du pagrindiniai veiksniai: per didelės skolos ir nepakankamas kapitalas. Tuo tarpu ekonominis apima šakos </w:t>
      </w:r>
      <w:r w:rsidRPr="0017614D">
        <w:rPr>
          <w:rFonts w:ascii="Times New Roman" w:hAnsi="Times New Roman" w:cs="Times New Roman"/>
          <w:sz w:val="24"/>
          <w:szCs w:val="24"/>
          <w:lang w:val="lt-LT"/>
        </w:rPr>
        <w:lastRenderedPageBreak/>
        <w:t>silpnybes ir pasirinktos viet</w:t>
      </w:r>
      <w:r w:rsidR="00E6354F">
        <w:rPr>
          <w:rFonts w:ascii="Times New Roman" w:hAnsi="Times New Roman" w:cs="Times New Roman"/>
          <w:sz w:val="24"/>
          <w:szCs w:val="24"/>
          <w:lang w:val="lt-LT"/>
        </w:rPr>
        <w:t>os verslui netinkamumą. Likę 14 proc.</w:t>
      </w:r>
      <w:r w:rsidRPr="0017614D">
        <w:rPr>
          <w:rFonts w:ascii="Times New Roman" w:hAnsi="Times New Roman" w:cs="Times New Roman"/>
          <w:sz w:val="24"/>
          <w:szCs w:val="24"/>
          <w:lang w:val="lt-LT"/>
        </w:rPr>
        <w:t xml:space="preserve"> įmonių žlunga dėl įvairių netekimų,</w:t>
      </w:r>
      <w:r w:rsidR="00E6354F">
        <w:rPr>
          <w:rFonts w:ascii="Times New Roman" w:hAnsi="Times New Roman" w:cs="Times New Roman"/>
          <w:sz w:val="24"/>
          <w:szCs w:val="24"/>
          <w:lang w:val="lt-LT"/>
        </w:rPr>
        <w:t xml:space="preserve"> katastrofų bei apgaulių ir 1,6 proc.</w:t>
      </w:r>
      <w:r w:rsidRPr="0017614D">
        <w:rPr>
          <w:rFonts w:ascii="Times New Roman" w:hAnsi="Times New Roman" w:cs="Times New Roman"/>
          <w:sz w:val="24"/>
          <w:szCs w:val="24"/>
          <w:lang w:val="lt-LT"/>
        </w:rPr>
        <w:t xml:space="preserve"> dėl kitų neįvardytų priežasčių</w:t>
      </w:r>
      <w:r w:rsidR="00572CC0" w:rsidRPr="0017614D">
        <w:rPr>
          <w:rFonts w:ascii="Times New Roman" w:hAnsi="Times New Roman" w:cs="Times New Roman"/>
          <w:sz w:val="24"/>
          <w:szCs w:val="24"/>
          <w:lang w:val="lt-LT"/>
        </w:rPr>
        <w:t xml:space="preserve"> (Jurevičienė, Bercevič, 2013)</w:t>
      </w:r>
      <w:r w:rsidRPr="0017614D">
        <w:rPr>
          <w:rFonts w:ascii="Times New Roman" w:hAnsi="Times New Roman" w:cs="Times New Roman"/>
          <w:sz w:val="24"/>
          <w:szCs w:val="24"/>
          <w:lang w:val="lt-LT"/>
        </w:rPr>
        <w:t>.</w:t>
      </w:r>
    </w:p>
    <w:p w:rsidR="001A3345" w:rsidRPr="0017614D" w:rsidRDefault="001A3345" w:rsidP="001F2BF1">
      <w:pPr>
        <w:spacing w:line="240" w:lineRule="auto"/>
        <w:ind w:firstLine="720"/>
        <w:contextualSpacing/>
        <w:jc w:val="both"/>
        <w:rPr>
          <w:rFonts w:ascii="Times New Roman" w:hAnsi="Times New Roman" w:cs="Times New Roman"/>
          <w:sz w:val="24"/>
          <w:szCs w:val="24"/>
          <w:lang w:val="lt-LT"/>
        </w:rPr>
      </w:pPr>
    </w:p>
    <w:p w:rsidR="00954C4B" w:rsidRPr="0017614D" w:rsidRDefault="00FA0AB0" w:rsidP="001F2BF1">
      <w:pPr>
        <w:spacing w:line="240" w:lineRule="auto"/>
        <w:contextualSpacing/>
        <w:jc w:val="center"/>
        <w:rPr>
          <w:rFonts w:ascii="Times New Roman" w:hAnsi="Times New Roman" w:cs="Times New Roman"/>
          <w:b/>
          <w:szCs w:val="24"/>
          <w:lang w:val="lt-LT"/>
        </w:rPr>
      </w:pPr>
      <w:r w:rsidRPr="0017614D">
        <w:rPr>
          <w:rFonts w:ascii="Times New Roman" w:hAnsi="Times New Roman" w:cs="Times New Roman"/>
          <w:szCs w:val="24"/>
          <w:lang w:val="lt-LT"/>
        </w:rPr>
        <w:t>3</w:t>
      </w:r>
      <w:r w:rsidR="00954C4B" w:rsidRPr="0017614D">
        <w:rPr>
          <w:rFonts w:ascii="Times New Roman" w:hAnsi="Times New Roman" w:cs="Times New Roman"/>
          <w:szCs w:val="24"/>
          <w:lang w:val="lt-LT"/>
        </w:rPr>
        <w:t xml:space="preserve"> lentelė.</w:t>
      </w:r>
      <w:r w:rsidR="00954C4B" w:rsidRPr="0017614D">
        <w:rPr>
          <w:rFonts w:ascii="Times New Roman" w:hAnsi="Times New Roman" w:cs="Times New Roman"/>
          <w:b/>
          <w:szCs w:val="24"/>
          <w:lang w:val="lt-LT"/>
        </w:rPr>
        <w:t xml:space="preserve"> Verslo žlugimo priežastys pagal Birgham</w:t>
      </w:r>
    </w:p>
    <w:tbl>
      <w:tblPr>
        <w:tblStyle w:val="LightGrid-Accent6"/>
        <w:tblW w:w="0" w:type="auto"/>
        <w:jc w:val="center"/>
        <w:tblLook w:val="04A0"/>
      </w:tblPr>
      <w:tblGrid>
        <w:gridCol w:w="3085"/>
        <w:gridCol w:w="2977"/>
      </w:tblGrid>
      <w:tr w:rsidR="00954C4B" w:rsidRPr="0017614D" w:rsidTr="00E524EC">
        <w:trPr>
          <w:cnfStyle w:val="100000000000"/>
          <w:jc w:val="center"/>
        </w:trPr>
        <w:tc>
          <w:tcPr>
            <w:cnfStyle w:val="001000000000"/>
            <w:tcW w:w="3085" w:type="dxa"/>
          </w:tcPr>
          <w:p w:rsidR="00954C4B" w:rsidRPr="0017614D" w:rsidRDefault="00954C4B" w:rsidP="005559C8">
            <w:pPr>
              <w:contextualSpacing/>
              <w:jc w:val="center"/>
              <w:rPr>
                <w:rFonts w:ascii="Times New Roman" w:hAnsi="Times New Roman" w:cs="Times New Roman"/>
                <w:b w:val="0"/>
                <w:szCs w:val="24"/>
                <w:lang w:val="lt-LT"/>
              </w:rPr>
            </w:pPr>
            <w:r w:rsidRPr="0017614D">
              <w:rPr>
                <w:rFonts w:ascii="Times New Roman" w:hAnsi="Times New Roman" w:cs="Times New Roman"/>
                <w:b w:val="0"/>
                <w:szCs w:val="24"/>
                <w:lang w:val="lt-LT"/>
              </w:rPr>
              <w:t>Verslo žlugimo priežastis</w:t>
            </w:r>
          </w:p>
        </w:tc>
        <w:tc>
          <w:tcPr>
            <w:tcW w:w="2977" w:type="dxa"/>
          </w:tcPr>
          <w:p w:rsidR="00954C4B" w:rsidRPr="0017614D" w:rsidRDefault="00E6354F" w:rsidP="005559C8">
            <w:pPr>
              <w:contextualSpacing/>
              <w:jc w:val="center"/>
              <w:cnfStyle w:val="100000000000"/>
              <w:rPr>
                <w:rFonts w:ascii="Times New Roman" w:hAnsi="Times New Roman" w:cs="Times New Roman"/>
                <w:b w:val="0"/>
                <w:szCs w:val="24"/>
                <w:lang w:val="lt-LT"/>
              </w:rPr>
            </w:pPr>
            <w:r>
              <w:rPr>
                <w:rFonts w:ascii="Times New Roman" w:hAnsi="Times New Roman" w:cs="Times New Roman"/>
                <w:b w:val="0"/>
                <w:szCs w:val="24"/>
                <w:lang w:val="lt-LT"/>
              </w:rPr>
              <w:t>Žlugusių įmonių dalis (proc.</w:t>
            </w:r>
            <w:r w:rsidR="00954C4B" w:rsidRPr="0017614D">
              <w:rPr>
                <w:rFonts w:ascii="Times New Roman" w:hAnsi="Times New Roman" w:cs="Times New Roman"/>
                <w:b w:val="0"/>
                <w:szCs w:val="24"/>
                <w:lang w:val="lt-LT"/>
              </w:rPr>
              <w:t>)</w:t>
            </w:r>
          </w:p>
        </w:tc>
      </w:tr>
      <w:tr w:rsidR="00954C4B" w:rsidRPr="0017614D" w:rsidTr="00E524EC">
        <w:trPr>
          <w:cnfStyle w:val="000000100000"/>
          <w:jc w:val="center"/>
        </w:trPr>
        <w:tc>
          <w:tcPr>
            <w:cnfStyle w:val="001000000000"/>
            <w:tcW w:w="3085" w:type="dxa"/>
          </w:tcPr>
          <w:p w:rsidR="00954C4B" w:rsidRPr="0017614D" w:rsidRDefault="00954C4B" w:rsidP="005559C8">
            <w:pPr>
              <w:contextualSpacing/>
              <w:jc w:val="both"/>
              <w:rPr>
                <w:rFonts w:ascii="Times New Roman" w:hAnsi="Times New Roman" w:cs="Times New Roman"/>
                <w:szCs w:val="24"/>
                <w:lang w:val="lt-LT"/>
              </w:rPr>
            </w:pPr>
            <w:r w:rsidRPr="0017614D">
              <w:rPr>
                <w:rFonts w:ascii="Times New Roman" w:hAnsi="Times New Roman" w:cs="Times New Roman"/>
                <w:szCs w:val="24"/>
                <w:lang w:val="lt-LT"/>
              </w:rPr>
              <w:t>Finansiniai veiksniai</w:t>
            </w:r>
          </w:p>
        </w:tc>
        <w:tc>
          <w:tcPr>
            <w:tcW w:w="2977" w:type="dxa"/>
          </w:tcPr>
          <w:p w:rsidR="00954C4B" w:rsidRPr="0017614D" w:rsidRDefault="00954C4B" w:rsidP="005559C8">
            <w:pPr>
              <w:contextualSpacing/>
              <w:jc w:val="center"/>
              <w:cnfStyle w:val="000000100000"/>
              <w:rPr>
                <w:rFonts w:ascii="Times New Roman" w:hAnsi="Times New Roman" w:cs="Times New Roman"/>
                <w:szCs w:val="24"/>
                <w:lang w:val="lt-LT"/>
              </w:rPr>
            </w:pPr>
            <w:r w:rsidRPr="0017614D">
              <w:rPr>
                <w:rFonts w:ascii="Times New Roman" w:hAnsi="Times New Roman" w:cs="Times New Roman"/>
                <w:szCs w:val="24"/>
                <w:lang w:val="lt-LT"/>
              </w:rPr>
              <w:t>47,3</w:t>
            </w:r>
          </w:p>
        </w:tc>
      </w:tr>
      <w:tr w:rsidR="00954C4B" w:rsidRPr="0017614D" w:rsidTr="00E524EC">
        <w:trPr>
          <w:cnfStyle w:val="000000010000"/>
          <w:jc w:val="center"/>
        </w:trPr>
        <w:tc>
          <w:tcPr>
            <w:cnfStyle w:val="001000000000"/>
            <w:tcW w:w="3085" w:type="dxa"/>
          </w:tcPr>
          <w:p w:rsidR="00954C4B" w:rsidRPr="0017614D" w:rsidRDefault="00954C4B" w:rsidP="005559C8">
            <w:pPr>
              <w:contextualSpacing/>
              <w:jc w:val="both"/>
              <w:rPr>
                <w:rFonts w:ascii="Times New Roman" w:hAnsi="Times New Roman" w:cs="Times New Roman"/>
                <w:szCs w:val="24"/>
                <w:lang w:val="lt-LT"/>
              </w:rPr>
            </w:pPr>
            <w:r w:rsidRPr="0017614D">
              <w:rPr>
                <w:rFonts w:ascii="Times New Roman" w:hAnsi="Times New Roman" w:cs="Times New Roman"/>
                <w:szCs w:val="24"/>
                <w:lang w:val="lt-LT"/>
              </w:rPr>
              <w:t>Ekonominiai veiksniai</w:t>
            </w:r>
          </w:p>
        </w:tc>
        <w:tc>
          <w:tcPr>
            <w:tcW w:w="2977" w:type="dxa"/>
          </w:tcPr>
          <w:p w:rsidR="00954C4B" w:rsidRPr="0017614D" w:rsidRDefault="00954C4B" w:rsidP="005559C8">
            <w:pPr>
              <w:contextualSpacing/>
              <w:jc w:val="center"/>
              <w:cnfStyle w:val="000000010000"/>
              <w:rPr>
                <w:rFonts w:ascii="Times New Roman" w:hAnsi="Times New Roman" w:cs="Times New Roman"/>
                <w:szCs w:val="24"/>
                <w:lang w:val="lt-LT"/>
              </w:rPr>
            </w:pPr>
            <w:r w:rsidRPr="0017614D">
              <w:rPr>
                <w:rFonts w:ascii="Times New Roman" w:hAnsi="Times New Roman" w:cs="Times New Roman"/>
                <w:szCs w:val="24"/>
                <w:lang w:val="lt-LT"/>
              </w:rPr>
              <w:t>37,1</w:t>
            </w:r>
          </w:p>
        </w:tc>
      </w:tr>
      <w:tr w:rsidR="00954C4B" w:rsidRPr="0017614D" w:rsidTr="00E524EC">
        <w:trPr>
          <w:cnfStyle w:val="000000100000"/>
          <w:jc w:val="center"/>
        </w:trPr>
        <w:tc>
          <w:tcPr>
            <w:cnfStyle w:val="001000000000"/>
            <w:tcW w:w="3085" w:type="dxa"/>
          </w:tcPr>
          <w:p w:rsidR="00954C4B" w:rsidRPr="0017614D" w:rsidRDefault="00954C4B" w:rsidP="005559C8">
            <w:pPr>
              <w:contextualSpacing/>
              <w:jc w:val="both"/>
              <w:rPr>
                <w:rFonts w:ascii="Times New Roman" w:hAnsi="Times New Roman" w:cs="Times New Roman"/>
                <w:szCs w:val="24"/>
                <w:lang w:val="lt-LT"/>
              </w:rPr>
            </w:pPr>
            <w:r w:rsidRPr="0017614D">
              <w:rPr>
                <w:rFonts w:ascii="Times New Roman" w:hAnsi="Times New Roman" w:cs="Times New Roman"/>
                <w:szCs w:val="24"/>
                <w:lang w:val="lt-LT"/>
              </w:rPr>
              <w:t>Netekimai</w:t>
            </w:r>
          </w:p>
        </w:tc>
        <w:tc>
          <w:tcPr>
            <w:tcW w:w="2977" w:type="dxa"/>
          </w:tcPr>
          <w:p w:rsidR="00954C4B" w:rsidRPr="0017614D" w:rsidRDefault="00954C4B" w:rsidP="005559C8">
            <w:pPr>
              <w:contextualSpacing/>
              <w:jc w:val="center"/>
              <w:cnfStyle w:val="000000100000"/>
              <w:rPr>
                <w:rFonts w:ascii="Times New Roman" w:hAnsi="Times New Roman" w:cs="Times New Roman"/>
                <w:szCs w:val="24"/>
                <w:lang w:val="lt-LT"/>
              </w:rPr>
            </w:pPr>
            <w:r w:rsidRPr="0017614D">
              <w:rPr>
                <w:rFonts w:ascii="Times New Roman" w:hAnsi="Times New Roman" w:cs="Times New Roman"/>
                <w:szCs w:val="24"/>
                <w:lang w:val="lt-LT"/>
              </w:rPr>
              <w:t>14.0</w:t>
            </w:r>
          </w:p>
        </w:tc>
      </w:tr>
      <w:tr w:rsidR="00954C4B" w:rsidRPr="0017614D" w:rsidTr="00E524EC">
        <w:trPr>
          <w:cnfStyle w:val="000000010000"/>
          <w:jc w:val="center"/>
        </w:trPr>
        <w:tc>
          <w:tcPr>
            <w:cnfStyle w:val="001000000000"/>
            <w:tcW w:w="3085" w:type="dxa"/>
          </w:tcPr>
          <w:p w:rsidR="00954C4B" w:rsidRPr="0017614D" w:rsidRDefault="00954C4B" w:rsidP="005559C8">
            <w:pPr>
              <w:contextualSpacing/>
              <w:jc w:val="both"/>
              <w:rPr>
                <w:rFonts w:ascii="Times New Roman" w:hAnsi="Times New Roman" w:cs="Times New Roman"/>
                <w:szCs w:val="24"/>
                <w:lang w:val="lt-LT"/>
              </w:rPr>
            </w:pPr>
            <w:r w:rsidRPr="0017614D">
              <w:rPr>
                <w:rFonts w:ascii="Times New Roman" w:hAnsi="Times New Roman" w:cs="Times New Roman"/>
                <w:szCs w:val="24"/>
                <w:lang w:val="lt-LT"/>
              </w:rPr>
              <w:t xml:space="preserve">Kiti </w:t>
            </w:r>
            <w:r w:rsidR="00C458E7" w:rsidRPr="0017614D">
              <w:rPr>
                <w:rFonts w:ascii="Times New Roman" w:hAnsi="Times New Roman" w:cs="Times New Roman"/>
                <w:szCs w:val="24"/>
                <w:lang w:val="lt-LT"/>
              </w:rPr>
              <w:t>veiksniai</w:t>
            </w:r>
          </w:p>
        </w:tc>
        <w:tc>
          <w:tcPr>
            <w:tcW w:w="2977" w:type="dxa"/>
          </w:tcPr>
          <w:p w:rsidR="00954C4B" w:rsidRPr="0017614D" w:rsidRDefault="00954C4B" w:rsidP="005559C8">
            <w:pPr>
              <w:contextualSpacing/>
              <w:jc w:val="center"/>
              <w:cnfStyle w:val="000000010000"/>
              <w:rPr>
                <w:rFonts w:ascii="Times New Roman" w:hAnsi="Times New Roman" w:cs="Times New Roman"/>
                <w:szCs w:val="24"/>
                <w:lang w:val="lt-LT"/>
              </w:rPr>
            </w:pPr>
            <w:r w:rsidRPr="0017614D">
              <w:rPr>
                <w:rFonts w:ascii="Times New Roman" w:hAnsi="Times New Roman" w:cs="Times New Roman"/>
                <w:szCs w:val="24"/>
                <w:lang w:val="lt-LT"/>
              </w:rPr>
              <w:t>1,6</w:t>
            </w:r>
          </w:p>
        </w:tc>
      </w:tr>
      <w:tr w:rsidR="00954C4B" w:rsidRPr="0017614D" w:rsidTr="00E524EC">
        <w:trPr>
          <w:cnfStyle w:val="000000100000"/>
          <w:jc w:val="center"/>
        </w:trPr>
        <w:tc>
          <w:tcPr>
            <w:cnfStyle w:val="001000000000"/>
            <w:tcW w:w="3085" w:type="dxa"/>
          </w:tcPr>
          <w:p w:rsidR="00954C4B" w:rsidRPr="0017614D" w:rsidRDefault="00954C4B" w:rsidP="005559C8">
            <w:pPr>
              <w:contextualSpacing/>
              <w:jc w:val="both"/>
              <w:rPr>
                <w:rFonts w:ascii="Times New Roman" w:hAnsi="Times New Roman" w:cs="Times New Roman"/>
                <w:b w:val="0"/>
                <w:szCs w:val="24"/>
                <w:lang w:val="lt-LT"/>
              </w:rPr>
            </w:pPr>
            <w:r w:rsidRPr="0017614D">
              <w:rPr>
                <w:rFonts w:ascii="Times New Roman" w:hAnsi="Times New Roman" w:cs="Times New Roman"/>
                <w:b w:val="0"/>
                <w:szCs w:val="24"/>
                <w:lang w:val="lt-LT"/>
              </w:rPr>
              <w:t>Iš viso</w:t>
            </w:r>
          </w:p>
        </w:tc>
        <w:tc>
          <w:tcPr>
            <w:tcW w:w="2977" w:type="dxa"/>
          </w:tcPr>
          <w:p w:rsidR="00954C4B" w:rsidRPr="0017614D" w:rsidRDefault="00954C4B" w:rsidP="005559C8">
            <w:pPr>
              <w:contextualSpacing/>
              <w:jc w:val="center"/>
              <w:cnfStyle w:val="000000100000"/>
              <w:rPr>
                <w:rFonts w:ascii="Times New Roman" w:hAnsi="Times New Roman" w:cs="Times New Roman"/>
                <w:b/>
                <w:szCs w:val="24"/>
                <w:lang w:val="lt-LT"/>
              </w:rPr>
            </w:pPr>
            <w:r w:rsidRPr="0017614D">
              <w:rPr>
                <w:rFonts w:ascii="Times New Roman" w:hAnsi="Times New Roman" w:cs="Times New Roman"/>
                <w:b/>
                <w:szCs w:val="24"/>
                <w:lang w:val="lt-LT"/>
              </w:rPr>
              <w:t>100,0</w:t>
            </w:r>
          </w:p>
        </w:tc>
      </w:tr>
    </w:tbl>
    <w:p w:rsidR="00954C4B" w:rsidRPr="005D3FF6" w:rsidRDefault="00954C4B" w:rsidP="001F2BF1">
      <w:pPr>
        <w:spacing w:after="0" w:line="240" w:lineRule="auto"/>
        <w:ind w:firstLine="720"/>
        <w:contextualSpacing/>
        <w:jc w:val="both"/>
        <w:rPr>
          <w:rFonts w:ascii="Times New Roman" w:hAnsi="Times New Roman" w:cs="Times New Roman"/>
          <w:sz w:val="20"/>
          <w:szCs w:val="24"/>
          <w:lang w:val="lt-LT"/>
        </w:rPr>
      </w:pPr>
      <w:r w:rsidRPr="005D3FF6">
        <w:rPr>
          <w:rFonts w:ascii="Times New Roman" w:hAnsi="Times New Roman" w:cs="Times New Roman"/>
          <w:b/>
          <w:sz w:val="20"/>
          <w:szCs w:val="24"/>
          <w:lang w:val="lt-LT"/>
        </w:rPr>
        <w:t>Šaltinis:</w:t>
      </w:r>
      <w:r w:rsidRPr="005D3FF6">
        <w:rPr>
          <w:rFonts w:ascii="Times New Roman" w:hAnsi="Times New Roman" w:cs="Times New Roman"/>
          <w:sz w:val="20"/>
          <w:szCs w:val="24"/>
          <w:lang w:val="lt-LT"/>
        </w:rPr>
        <w:t xml:space="preserve"> </w:t>
      </w:r>
      <w:r w:rsidR="00C46E5B" w:rsidRPr="005D3FF6">
        <w:rPr>
          <w:rFonts w:ascii="Times New Roman" w:hAnsi="Times New Roman" w:cs="Times New Roman"/>
          <w:sz w:val="20"/>
          <w:szCs w:val="24"/>
          <w:lang w:val="lt-LT"/>
        </w:rPr>
        <w:t>Jurevičienė, Bercevič, 2013</w:t>
      </w:r>
      <w:r w:rsidRPr="005D3FF6">
        <w:rPr>
          <w:rFonts w:ascii="Times New Roman" w:hAnsi="Times New Roman" w:cs="Times New Roman"/>
          <w:sz w:val="20"/>
          <w:szCs w:val="24"/>
          <w:lang w:val="lt-LT"/>
        </w:rPr>
        <w:t>.</w:t>
      </w:r>
    </w:p>
    <w:p w:rsidR="00954C4B" w:rsidRPr="0017614D" w:rsidRDefault="00954C4B" w:rsidP="001F2BF1">
      <w:pPr>
        <w:spacing w:after="0" w:line="240" w:lineRule="auto"/>
        <w:ind w:firstLine="720"/>
        <w:contextualSpacing/>
        <w:jc w:val="both"/>
        <w:rPr>
          <w:rFonts w:ascii="Times New Roman" w:hAnsi="Times New Roman" w:cs="Times New Roman"/>
          <w:sz w:val="24"/>
          <w:szCs w:val="24"/>
          <w:lang w:val="lt-LT"/>
        </w:rPr>
      </w:pPr>
    </w:p>
    <w:p w:rsidR="00954C4B" w:rsidRPr="0017614D" w:rsidRDefault="00954C4B" w:rsidP="00FA0AB0">
      <w:pPr>
        <w:spacing w:after="0" w:line="360" w:lineRule="auto"/>
        <w:ind w:firstLine="720"/>
        <w:contextualSpacing/>
        <w:jc w:val="both"/>
        <w:rPr>
          <w:rFonts w:ascii="Times New Roman" w:hAnsi="Times New Roman" w:cs="Times New Roman"/>
          <w:sz w:val="24"/>
          <w:szCs w:val="24"/>
          <w:lang w:val="lt-LT"/>
        </w:rPr>
      </w:pPr>
      <w:bookmarkStart w:id="77" w:name="_Toc319176760"/>
      <w:bookmarkStart w:id="78" w:name="_Toc319615934"/>
      <w:r w:rsidRPr="0017614D">
        <w:rPr>
          <w:rFonts w:ascii="Times New Roman" w:hAnsi="Times New Roman" w:cs="Times New Roman"/>
          <w:sz w:val="24"/>
          <w:szCs w:val="24"/>
          <w:lang w:val="lt-LT"/>
        </w:rPr>
        <w:t xml:space="preserve">Komentuodami šį tyrimą </w:t>
      </w:r>
      <w:r w:rsidR="009177F7" w:rsidRPr="0017614D">
        <w:rPr>
          <w:rFonts w:ascii="Times New Roman" w:hAnsi="Times New Roman" w:cs="Times New Roman"/>
          <w:sz w:val="24"/>
          <w:szCs w:val="24"/>
          <w:lang w:val="lt-LT"/>
        </w:rPr>
        <w:t>autoriai taip pat pabrėžė</w:t>
      </w:r>
      <w:r w:rsidRPr="0017614D">
        <w:rPr>
          <w:rFonts w:ascii="Times New Roman" w:hAnsi="Times New Roman" w:cs="Times New Roman"/>
          <w:sz w:val="24"/>
          <w:szCs w:val="24"/>
          <w:lang w:val="lt-LT"/>
        </w:rPr>
        <w:t>, kad finansiniai veiksniai, turintys įtakos įmonės žlugimui, pasireiškia daug anksčiau n</w:t>
      </w:r>
      <w:r w:rsidR="0017614D" w:rsidRPr="0017614D">
        <w:rPr>
          <w:rFonts w:ascii="Times New Roman" w:hAnsi="Times New Roman" w:cs="Times New Roman"/>
          <w:sz w:val="24"/>
          <w:szCs w:val="24"/>
          <w:lang w:val="lt-LT"/>
        </w:rPr>
        <w:t>egu įmonė bankrutuoja, todėl gre</w:t>
      </w:r>
      <w:r w:rsidR="00EC12C6">
        <w:rPr>
          <w:rFonts w:ascii="Times New Roman" w:hAnsi="Times New Roman" w:cs="Times New Roman"/>
          <w:sz w:val="24"/>
          <w:szCs w:val="24"/>
          <w:lang w:val="lt-LT"/>
        </w:rPr>
        <w:t>siantį</w:t>
      </w:r>
      <w:r w:rsidR="006671D8">
        <w:rPr>
          <w:rFonts w:ascii="Times New Roman" w:hAnsi="Times New Roman" w:cs="Times New Roman"/>
          <w:sz w:val="24"/>
          <w:szCs w:val="24"/>
          <w:lang w:val="lt-LT"/>
        </w:rPr>
        <w:t xml:space="preserve"> pavojų beveik visada galima</w:t>
      </w:r>
      <w:r w:rsidRPr="0017614D">
        <w:rPr>
          <w:rFonts w:ascii="Times New Roman" w:hAnsi="Times New Roman" w:cs="Times New Roman"/>
          <w:sz w:val="24"/>
          <w:szCs w:val="24"/>
          <w:lang w:val="lt-LT"/>
        </w:rPr>
        <w:t xml:space="preserve"> nuspėti (Brigham, Ehrhardt, 2008).</w:t>
      </w:r>
      <w:bookmarkEnd w:id="77"/>
      <w:bookmarkEnd w:id="78"/>
    </w:p>
    <w:p w:rsidR="00954C4B" w:rsidRPr="0017614D" w:rsidRDefault="009177F7" w:rsidP="00FA0AB0">
      <w:pPr>
        <w:spacing w:after="0" w:line="360" w:lineRule="auto"/>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ab/>
        <w:t>Apibendrinant visų prieš tai paminėtų autorių minti</w:t>
      </w:r>
      <w:r w:rsidR="002A3E4F" w:rsidRPr="0017614D">
        <w:rPr>
          <w:rFonts w:ascii="Times New Roman" w:hAnsi="Times New Roman" w:cs="Times New Roman"/>
          <w:sz w:val="24"/>
          <w:szCs w:val="24"/>
          <w:lang w:val="lt-LT"/>
        </w:rPr>
        <w:t xml:space="preserve">s buvo </w:t>
      </w:r>
      <w:r w:rsidR="000939C2" w:rsidRPr="0017614D">
        <w:rPr>
          <w:rFonts w:ascii="Times New Roman" w:hAnsi="Times New Roman" w:cs="Times New Roman"/>
          <w:sz w:val="24"/>
          <w:szCs w:val="24"/>
          <w:lang w:val="lt-LT"/>
        </w:rPr>
        <w:t>sudaryta schema</w:t>
      </w:r>
      <w:r w:rsidR="00EC12C6">
        <w:rPr>
          <w:rFonts w:ascii="Times New Roman" w:hAnsi="Times New Roman" w:cs="Times New Roman"/>
          <w:sz w:val="24"/>
          <w:szCs w:val="24"/>
          <w:lang w:val="lt-LT"/>
        </w:rPr>
        <w:t>, apimanti</w:t>
      </w:r>
      <w:r w:rsidRPr="0017614D">
        <w:rPr>
          <w:rFonts w:ascii="Times New Roman" w:hAnsi="Times New Roman" w:cs="Times New Roman"/>
          <w:sz w:val="24"/>
          <w:szCs w:val="24"/>
          <w:lang w:val="lt-LT"/>
        </w:rPr>
        <w:t xml:space="preserve"> </w:t>
      </w:r>
      <w:r w:rsidR="00FA0AB0" w:rsidRPr="0017614D">
        <w:rPr>
          <w:rFonts w:ascii="Times New Roman" w:hAnsi="Times New Roman" w:cs="Times New Roman"/>
          <w:sz w:val="24"/>
          <w:szCs w:val="24"/>
          <w:lang w:val="lt-LT"/>
        </w:rPr>
        <w:t xml:space="preserve">pagrindinius </w:t>
      </w:r>
      <w:r w:rsidRPr="0017614D">
        <w:rPr>
          <w:rFonts w:ascii="Times New Roman" w:hAnsi="Times New Roman" w:cs="Times New Roman"/>
          <w:sz w:val="24"/>
          <w:szCs w:val="24"/>
          <w:lang w:val="lt-LT"/>
        </w:rPr>
        <w:t xml:space="preserve">veiksnius </w:t>
      </w:r>
      <w:r w:rsidR="002A3E4F" w:rsidRPr="0017614D">
        <w:rPr>
          <w:rFonts w:ascii="Times New Roman" w:hAnsi="Times New Roman" w:cs="Times New Roman"/>
          <w:sz w:val="24"/>
          <w:szCs w:val="24"/>
          <w:lang w:val="lt-LT"/>
        </w:rPr>
        <w:t>kurie lemia bankroto riziką be</w:t>
      </w:r>
      <w:r w:rsidR="00FA0AB0" w:rsidRPr="0017614D">
        <w:rPr>
          <w:rFonts w:ascii="Times New Roman" w:hAnsi="Times New Roman" w:cs="Times New Roman"/>
          <w:sz w:val="24"/>
          <w:szCs w:val="24"/>
          <w:lang w:val="lt-LT"/>
        </w:rPr>
        <w:t>i</w:t>
      </w:r>
      <w:r w:rsidR="00B42894" w:rsidRPr="0017614D">
        <w:rPr>
          <w:rFonts w:ascii="Times New Roman" w:hAnsi="Times New Roman" w:cs="Times New Roman"/>
          <w:sz w:val="24"/>
          <w:szCs w:val="24"/>
          <w:lang w:val="lt-LT"/>
        </w:rPr>
        <w:t xml:space="preserve"> priežastinius ryšius </w:t>
      </w:r>
      <w:r w:rsidR="00FA0AB0" w:rsidRPr="0017614D">
        <w:rPr>
          <w:rFonts w:ascii="Times New Roman" w:hAnsi="Times New Roman" w:cs="Times New Roman"/>
          <w:sz w:val="24"/>
          <w:szCs w:val="24"/>
          <w:lang w:val="lt-LT"/>
        </w:rPr>
        <w:t xml:space="preserve">tarp jų </w:t>
      </w:r>
      <w:r w:rsidR="00B42894" w:rsidRPr="0017614D">
        <w:rPr>
          <w:rFonts w:ascii="Times New Roman" w:hAnsi="Times New Roman" w:cs="Times New Roman"/>
          <w:sz w:val="24"/>
          <w:szCs w:val="24"/>
          <w:lang w:val="lt-LT"/>
        </w:rPr>
        <w:t>(žr. 2</w:t>
      </w:r>
      <w:r w:rsidR="002A3E4F" w:rsidRPr="0017614D">
        <w:rPr>
          <w:rFonts w:ascii="Times New Roman" w:hAnsi="Times New Roman" w:cs="Times New Roman"/>
          <w:sz w:val="24"/>
          <w:szCs w:val="24"/>
          <w:lang w:val="lt-LT"/>
        </w:rPr>
        <w:t xml:space="preserve"> pav.).</w:t>
      </w:r>
    </w:p>
    <w:p w:rsidR="00F11E3B" w:rsidRPr="0017614D" w:rsidRDefault="00F11E3B" w:rsidP="001F2BF1">
      <w:pPr>
        <w:spacing w:after="0" w:line="240" w:lineRule="auto"/>
        <w:contextualSpacing/>
        <w:jc w:val="both"/>
        <w:rPr>
          <w:rFonts w:ascii="Times New Roman" w:hAnsi="Times New Roman" w:cs="Times New Roman"/>
          <w:sz w:val="24"/>
          <w:szCs w:val="24"/>
          <w:lang w:val="lt-LT"/>
        </w:rPr>
      </w:pPr>
    </w:p>
    <w:p w:rsidR="00954C4B" w:rsidRPr="0017614D" w:rsidRDefault="004F1AD8" w:rsidP="001F2BF1">
      <w:pPr>
        <w:spacing w:line="240" w:lineRule="auto"/>
        <w:contextualSpacing/>
        <w:jc w:val="both"/>
        <w:rPr>
          <w:rFonts w:ascii="Times New Roman" w:hAnsi="Times New Roman" w:cs="Times New Roman"/>
          <w:sz w:val="24"/>
          <w:szCs w:val="24"/>
          <w:lang w:val="lt-LT"/>
        </w:rPr>
      </w:pPr>
      <w:r>
        <w:rPr>
          <w:rFonts w:ascii="Times New Roman" w:hAnsi="Times New Roman" w:cs="Times New Roman"/>
          <w:noProof/>
          <w:sz w:val="24"/>
          <w:szCs w:val="24"/>
        </w:rPr>
        <w:drawing>
          <wp:inline distT="0" distB="0" distL="0" distR="0">
            <wp:extent cx="6429375" cy="4019550"/>
            <wp:effectExtent l="19050" t="0" r="9525"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6435557" cy="4023415"/>
                    </a:xfrm>
                    <a:prstGeom prst="rect">
                      <a:avLst/>
                    </a:prstGeom>
                    <a:noFill/>
                    <a:ln w="9525">
                      <a:noFill/>
                      <a:miter lim="800000"/>
                      <a:headEnd/>
                      <a:tailEnd/>
                    </a:ln>
                  </pic:spPr>
                </pic:pic>
              </a:graphicData>
            </a:graphic>
          </wp:inline>
        </w:drawing>
      </w:r>
      <w:bookmarkStart w:id="79" w:name="_Toc319176774"/>
      <w:bookmarkStart w:id="80" w:name="_Toc319615948"/>
    </w:p>
    <w:p w:rsidR="00954C4B" w:rsidRDefault="00954C4B" w:rsidP="001F2BF1">
      <w:pPr>
        <w:ind w:firstLine="720"/>
        <w:contextualSpacing/>
        <w:jc w:val="both"/>
        <w:rPr>
          <w:rFonts w:ascii="Times New Roman" w:hAnsi="Times New Roman" w:cs="Times New Roman"/>
          <w:sz w:val="20"/>
          <w:szCs w:val="24"/>
          <w:lang w:val="lt-LT"/>
        </w:rPr>
      </w:pPr>
      <w:r w:rsidRPr="005D3FF6">
        <w:rPr>
          <w:rFonts w:ascii="Times New Roman" w:hAnsi="Times New Roman" w:cs="Times New Roman"/>
          <w:b/>
          <w:sz w:val="20"/>
          <w:szCs w:val="24"/>
          <w:lang w:val="lt-LT"/>
        </w:rPr>
        <w:t>Šaltinis:</w:t>
      </w:r>
      <w:r w:rsidR="006671D8" w:rsidRPr="005D3FF6">
        <w:rPr>
          <w:rFonts w:ascii="Times New Roman" w:hAnsi="Times New Roman" w:cs="Times New Roman"/>
          <w:sz w:val="20"/>
          <w:szCs w:val="24"/>
          <w:lang w:val="lt-LT"/>
        </w:rPr>
        <w:t xml:space="preserve"> S</w:t>
      </w:r>
      <w:r w:rsidRPr="005D3FF6">
        <w:rPr>
          <w:rFonts w:ascii="Times New Roman" w:hAnsi="Times New Roman" w:cs="Times New Roman"/>
          <w:sz w:val="20"/>
          <w:szCs w:val="24"/>
          <w:lang w:val="lt-LT"/>
        </w:rPr>
        <w:t xml:space="preserve">udaryta pagal Grigaravičius, 2003; Baldin ir kt., 2007; Stuart, Abetti, 1990; </w:t>
      </w:r>
      <w:r w:rsidR="002A3E4F" w:rsidRPr="005D3FF6">
        <w:rPr>
          <w:rFonts w:ascii="Times New Roman" w:hAnsi="Times New Roman" w:cs="Times New Roman"/>
          <w:sz w:val="20"/>
          <w:szCs w:val="24"/>
          <w:lang w:val="lt-LT"/>
        </w:rPr>
        <w:t>Stundžienė Boguslauskas, 2006, Jurevičienė, Bercevič</w:t>
      </w:r>
      <w:r w:rsidR="00F43A0C" w:rsidRPr="005D3FF6">
        <w:rPr>
          <w:rFonts w:ascii="Times New Roman" w:hAnsi="Times New Roman" w:cs="Times New Roman"/>
          <w:sz w:val="20"/>
          <w:szCs w:val="24"/>
          <w:lang w:val="lt-LT"/>
        </w:rPr>
        <w:t>,</w:t>
      </w:r>
      <w:r w:rsidR="002A3E4F" w:rsidRPr="005D3FF6">
        <w:rPr>
          <w:rFonts w:ascii="Times New Roman" w:hAnsi="Times New Roman" w:cs="Times New Roman"/>
          <w:sz w:val="20"/>
          <w:szCs w:val="24"/>
          <w:lang w:val="lt-LT"/>
        </w:rPr>
        <w:t xml:space="preserve"> 2013</w:t>
      </w:r>
      <w:r w:rsidRPr="005D3FF6">
        <w:rPr>
          <w:rFonts w:ascii="Times New Roman" w:hAnsi="Times New Roman" w:cs="Times New Roman"/>
          <w:sz w:val="20"/>
          <w:szCs w:val="24"/>
          <w:lang w:val="lt-LT"/>
        </w:rPr>
        <w:t>.</w:t>
      </w:r>
      <w:r w:rsidRPr="005D3FF6">
        <w:rPr>
          <w:rFonts w:ascii="Times New Roman" w:hAnsi="Times New Roman" w:cs="Times New Roman"/>
          <w:sz w:val="20"/>
          <w:szCs w:val="24"/>
          <w:lang w:val="lt-LT"/>
        </w:rPr>
        <w:tab/>
      </w:r>
    </w:p>
    <w:p w:rsidR="002B57E2" w:rsidRPr="0017614D" w:rsidRDefault="002B57E2" w:rsidP="002B57E2">
      <w:pPr>
        <w:contextualSpacing/>
        <w:jc w:val="center"/>
        <w:rPr>
          <w:rFonts w:ascii="Times New Roman" w:hAnsi="Times New Roman" w:cs="Times New Roman"/>
          <w:b/>
          <w:szCs w:val="24"/>
          <w:lang w:val="lt-LT"/>
        </w:rPr>
      </w:pPr>
      <w:r w:rsidRPr="0017614D">
        <w:rPr>
          <w:rFonts w:ascii="Times New Roman" w:hAnsi="Times New Roman" w:cs="Times New Roman"/>
          <w:szCs w:val="24"/>
          <w:lang w:val="lt-LT"/>
        </w:rPr>
        <w:t>2 pav.</w:t>
      </w:r>
      <w:r w:rsidRPr="0017614D">
        <w:rPr>
          <w:rFonts w:ascii="Times New Roman" w:hAnsi="Times New Roman" w:cs="Times New Roman"/>
          <w:b/>
          <w:szCs w:val="24"/>
          <w:lang w:val="lt-LT"/>
        </w:rPr>
        <w:t xml:space="preserve"> Bankroto riziką sąlygojantys veiksniai</w:t>
      </w:r>
    </w:p>
    <w:p w:rsidR="00954C4B" w:rsidRPr="0017614D" w:rsidRDefault="002A3E4F" w:rsidP="00B42894">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lastRenderedPageBreak/>
        <w:t>Taigi, kaip matome įmonės žlugimą gali sukelti labai daug įvairiausių veiksnių. Jo</w:t>
      </w:r>
      <w:r w:rsidR="00954C4B" w:rsidRPr="0017614D">
        <w:rPr>
          <w:rFonts w:ascii="Times New Roman" w:hAnsi="Times New Roman" w:cs="Times New Roman"/>
          <w:sz w:val="24"/>
          <w:szCs w:val="24"/>
          <w:lang w:val="lt-LT"/>
        </w:rPr>
        <w:t xml:space="preserve"> priežastimi gali tapti ir pasaulio arba šalies ekonomikos lygmenyje įvykę pokyčiai, ir įmonės viduje netinkamai koordinuojami procesai</w:t>
      </w:r>
      <w:bookmarkEnd w:id="79"/>
      <w:bookmarkEnd w:id="80"/>
      <w:r w:rsidRPr="0017614D">
        <w:rPr>
          <w:rFonts w:ascii="Times New Roman" w:hAnsi="Times New Roman" w:cs="Times New Roman"/>
          <w:sz w:val="24"/>
          <w:szCs w:val="24"/>
          <w:lang w:val="lt-LT"/>
        </w:rPr>
        <w:t>, kas parodo, kad įmonės būklę visada reikia analizuoti visapusiškai, įvertinant visus šiuos veiksnius.</w:t>
      </w:r>
    </w:p>
    <w:p w:rsidR="00B42894" w:rsidRPr="0017614D" w:rsidRDefault="00B42894" w:rsidP="00B42894">
      <w:pPr>
        <w:spacing w:after="0" w:line="360" w:lineRule="auto"/>
        <w:ind w:firstLine="720"/>
        <w:contextualSpacing/>
        <w:jc w:val="both"/>
        <w:rPr>
          <w:rFonts w:ascii="Times New Roman" w:hAnsi="Times New Roman" w:cs="Times New Roman"/>
          <w:sz w:val="24"/>
          <w:szCs w:val="24"/>
          <w:lang w:val="lt-LT"/>
        </w:rPr>
      </w:pPr>
    </w:p>
    <w:p w:rsidR="001E009B" w:rsidRPr="0017614D" w:rsidRDefault="001E009B" w:rsidP="00B42894">
      <w:pPr>
        <w:pStyle w:val="Heading3"/>
        <w:spacing w:before="0"/>
        <w:contextualSpacing/>
        <w:rPr>
          <w:lang w:val="lt-LT"/>
        </w:rPr>
      </w:pPr>
      <w:bookmarkStart w:id="81" w:name="_Toc374655649"/>
      <w:r w:rsidRPr="0017614D">
        <w:rPr>
          <w:lang w:val="lt-LT"/>
        </w:rPr>
        <w:t>1.</w:t>
      </w:r>
      <w:r w:rsidR="000B26B1" w:rsidRPr="0017614D">
        <w:rPr>
          <w:lang w:val="lt-LT"/>
        </w:rPr>
        <w:t>1.</w:t>
      </w:r>
      <w:r w:rsidRPr="0017614D">
        <w:rPr>
          <w:lang w:val="lt-LT"/>
        </w:rPr>
        <w:t>3. Imonių bankroto požymiai</w:t>
      </w:r>
      <w:bookmarkEnd w:id="81"/>
    </w:p>
    <w:p w:rsidR="001E009B" w:rsidRPr="0017614D" w:rsidRDefault="001E009B" w:rsidP="00B42894">
      <w:pPr>
        <w:spacing w:after="0" w:line="360" w:lineRule="auto"/>
        <w:ind w:firstLine="720"/>
        <w:contextualSpacing/>
        <w:jc w:val="both"/>
        <w:rPr>
          <w:rFonts w:ascii="Times New Roman" w:hAnsi="Times New Roman" w:cs="Times New Roman"/>
          <w:sz w:val="24"/>
          <w:szCs w:val="24"/>
          <w:lang w:val="lt-LT"/>
        </w:rPr>
      </w:pPr>
    </w:p>
    <w:p w:rsidR="001E009B" w:rsidRPr="0017614D" w:rsidRDefault="001E009B" w:rsidP="00B42894">
      <w:pPr>
        <w:spacing w:after="0" w:line="360" w:lineRule="auto"/>
        <w:ind w:firstLine="539"/>
        <w:contextualSpacing/>
        <w:jc w:val="both"/>
        <w:rPr>
          <w:rFonts w:ascii="Times New Roman" w:hAnsi="Times New Roman" w:cs="Times New Roman"/>
          <w:bCs/>
          <w:sz w:val="24"/>
          <w:szCs w:val="24"/>
          <w:lang w:val="lt-LT"/>
        </w:rPr>
      </w:pPr>
      <w:r w:rsidRPr="0017614D">
        <w:rPr>
          <w:rFonts w:ascii="Times New Roman" w:hAnsi="Times New Roman" w:cs="Times New Roman"/>
          <w:bCs/>
          <w:sz w:val="24"/>
          <w:szCs w:val="24"/>
          <w:lang w:val="lt-LT"/>
        </w:rPr>
        <w:t>Iki šiol mokslinėje literatūroje nėra apibrėžtas baigtinis sąrašas požymių, kurie parodytų artėjančią bankroto grėsmę. Šis reiškinys gali pasireikšti per įvairius veiksnius, kurių laikui bėgant yra išskiriama vis daugiau. Visgi yra tikslinga apžvelgti pagrindinius ir dažniausiai pasitaikančius įvairių autorių nurodomus požymius, kurie gali būti kaip signalas, leidžiantis spręsti apie įmonės bankrotą.</w:t>
      </w:r>
    </w:p>
    <w:p w:rsidR="00131359" w:rsidRPr="0017614D" w:rsidRDefault="00CD06A8" w:rsidP="009B75D5">
      <w:pPr>
        <w:spacing w:line="360" w:lineRule="auto"/>
        <w:ind w:firstLine="539"/>
        <w:contextualSpacing/>
        <w:jc w:val="both"/>
        <w:rPr>
          <w:rFonts w:ascii="Times New Roman" w:hAnsi="Times New Roman" w:cs="Times New Roman"/>
          <w:sz w:val="24"/>
          <w:szCs w:val="24"/>
          <w:lang w:val="lt-LT"/>
        </w:rPr>
      </w:pPr>
      <w:r w:rsidRPr="0017614D">
        <w:rPr>
          <w:rFonts w:ascii="Times New Roman" w:hAnsi="Times New Roman" w:cs="Times New Roman"/>
          <w:bCs/>
          <w:sz w:val="24"/>
          <w:szCs w:val="24"/>
          <w:lang w:val="lt-LT"/>
        </w:rPr>
        <w:t xml:space="preserve">D. </w:t>
      </w:r>
      <w:r w:rsidRPr="0017614D">
        <w:rPr>
          <w:rFonts w:ascii="Times New Roman" w:hAnsi="Times New Roman" w:cs="Times New Roman"/>
          <w:sz w:val="24"/>
          <w:szCs w:val="24"/>
          <w:lang w:val="lt-LT"/>
        </w:rPr>
        <w:t xml:space="preserve">Beržinskienė, S. Stoškus ir R. Virbickaitė (2007) </w:t>
      </w:r>
      <w:r w:rsidRPr="0017614D">
        <w:rPr>
          <w:rFonts w:ascii="Times New Roman" w:hAnsi="Times New Roman" w:cs="Times New Roman"/>
          <w:bCs/>
          <w:sz w:val="24"/>
          <w:szCs w:val="24"/>
          <w:lang w:val="lt-LT"/>
        </w:rPr>
        <w:t xml:space="preserve">atlikę bankrutavusių įmonių veiklos analizę, pastebėjo, kad </w:t>
      </w:r>
      <w:r w:rsidRPr="0017614D">
        <w:rPr>
          <w:rFonts w:ascii="Times New Roman" w:hAnsi="Times New Roman" w:cs="Times New Roman"/>
          <w:sz w:val="24"/>
          <w:szCs w:val="24"/>
          <w:lang w:val="lt-LT"/>
        </w:rPr>
        <w:t>bankrutavusios</w:t>
      </w:r>
      <w:r w:rsidRPr="0017614D">
        <w:rPr>
          <w:rFonts w:ascii="Times New Roman" w:hAnsi="Times New Roman" w:cs="Times New Roman"/>
          <w:bCs/>
          <w:sz w:val="24"/>
          <w:szCs w:val="24"/>
          <w:lang w:val="lt-LT"/>
        </w:rPr>
        <w:t xml:space="preserve"> </w:t>
      </w:r>
      <w:r w:rsidRPr="0017614D">
        <w:rPr>
          <w:rFonts w:ascii="Times New Roman" w:hAnsi="Times New Roman" w:cs="Times New Roman"/>
          <w:sz w:val="24"/>
          <w:szCs w:val="24"/>
          <w:lang w:val="lt-LT"/>
        </w:rPr>
        <w:t xml:space="preserve">įmonės dažnai nepastebi </w:t>
      </w:r>
      <w:r w:rsidR="00ED3FB5" w:rsidRPr="0017614D">
        <w:rPr>
          <w:rFonts w:ascii="Times New Roman" w:hAnsi="Times New Roman" w:cs="Times New Roman"/>
          <w:sz w:val="24"/>
          <w:szCs w:val="24"/>
          <w:lang w:val="lt-LT"/>
        </w:rPr>
        <w:t>atsiradusių pirminių bankroto po</w:t>
      </w:r>
      <w:r w:rsidRPr="0017614D">
        <w:rPr>
          <w:rFonts w:ascii="Times New Roman" w:hAnsi="Times New Roman" w:cs="Times New Roman"/>
          <w:sz w:val="24"/>
          <w:szCs w:val="24"/>
          <w:lang w:val="lt-LT"/>
        </w:rPr>
        <w:t>žymių, o juk laiku pastebėjus problemas, galima jas valdyti ir taip išvengti žymių praradimų. Būtent dėl šios priežasties tokie</w:t>
      </w:r>
      <w:r w:rsidR="00131359" w:rsidRPr="0017614D">
        <w:rPr>
          <w:rFonts w:ascii="Times New Roman" w:hAnsi="Times New Roman" w:cs="Times New Roman"/>
          <w:bCs/>
          <w:sz w:val="24"/>
          <w:szCs w:val="24"/>
          <w:lang w:val="lt-LT"/>
        </w:rPr>
        <w:t xml:space="preserve"> autoriai kaip </w:t>
      </w:r>
      <w:r w:rsidR="001E009B" w:rsidRPr="0017614D">
        <w:rPr>
          <w:rFonts w:ascii="Times New Roman" w:hAnsi="Times New Roman" w:cs="Times New Roman"/>
          <w:bCs/>
          <w:sz w:val="24"/>
          <w:szCs w:val="24"/>
          <w:lang w:val="lt-LT"/>
        </w:rPr>
        <w:t>M. Tvaronavičienė (2001)</w:t>
      </w:r>
      <w:r w:rsidR="00131359" w:rsidRPr="0017614D">
        <w:rPr>
          <w:rFonts w:ascii="Times New Roman" w:hAnsi="Times New Roman" w:cs="Times New Roman"/>
          <w:bCs/>
          <w:sz w:val="24"/>
          <w:szCs w:val="24"/>
          <w:lang w:val="lt-LT"/>
        </w:rPr>
        <w:t xml:space="preserve">, </w:t>
      </w:r>
      <w:r w:rsidR="00131359" w:rsidRPr="0017614D">
        <w:rPr>
          <w:rFonts w:ascii="Times New Roman" w:hAnsi="Times New Roman" w:cs="Times New Roman"/>
          <w:sz w:val="24"/>
          <w:szCs w:val="24"/>
          <w:lang w:val="lt-LT"/>
        </w:rPr>
        <w:t xml:space="preserve">J. Karalevičienė ir R. Bužinskienė (2011) teigia, kad tiek pačiai įmonei, tiek išoriniams subjektams yra labai svarbu, kuo anksčiau diagnozuoti įmonės būklės pablogėjimą ir atsiradusią bankroto grėsmę. </w:t>
      </w:r>
      <w:r w:rsidRPr="0017614D">
        <w:rPr>
          <w:rFonts w:ascii="Times New Roman" w:hAnsi="Times New Roman" w:cs="Times New Roman"/>
          <w:sz w:val="24"/>
          <w:szCs w:val="24"/>
          <w:lang w:val="lt-LT"/>
        </w:rPr>
        <w:t>Tokiu tikslu įmonė</w:t>
      </w:r>
      <w:r w:rsidR="00131359" w:rsidRPr="0017614D">
        <w:rPr>
          <w:rFonts w:ascii="Times New Roman" w:hAnsi="Times New Roman" w:cs="Times New Roman"/>
          <w:sz w:val="24"/>
          <w:szCs w:val="24"/>
          <w:lang w:val="lt-LT"/>
        </w:rPr>
        <w:t>m</w:t>
      </w:r>
      <w:r w:rsidRPr="0017614D">
        <w:rPr>
          <w:rFonts w:ascii="Times New Roman" w:hAnsi="Times New Roman" w:cs="Times New Roman"/>
          <w:sz w:val="24"/>
          <w:szCs w:val="24"/>
          <w:lang w:val="lt-LT"/>
        </w:rPr>
        <w:t>s yra</w:t>
      </w:r>
      <w:r w:rsidR="00131359" w:rsidRPr="0017614D">
        <w:rPr>
          <w:rFonts w:ascii="Times New Roman" w:hAnsi="Times New Roman" w:cs="Times New Roman"/>
          <w:sz w:val="24"/>
          <w:szCs w:val="24"/>
          <w:lang w:val="lt-LT"/>
        </w:rPr>
        <w:t xml:space="preserve"> tikslinga sukurti aiškius kriterijus, leidžiančius spręsti apie įmonės būklę.</w:t>
      </w:r>
    </w:p>
    <w:p w:rsidR="00CD06A8" w:rsidRPr="0017614D" w:rsidRDefault="0015251A" w:rsidP="00ED3FB5">
      <w:pPr>
        <w:spacing w:after="0" w:line="360" w:lineRule="auto"/>
        <w:ind w:left="62" w:firstLine="482"/>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Apie bankroto požymius savo straipsniuose kalbėjo tiek u</w:t>
      </w:r>
      <w:r w:rsidR="00CD06A8" w:rsidRPr="0017614D">
        <w:rPr>
          <w:rFonts w:ascii="Times New Roman" w:hAnsi="Times New Roman" w:cs="Times New Roman"/>
          <w:sz w:val="24"/>
          <w:szCs w:val="24"/>
          <w:lang w:val="lt-LT"/>
        </w:rPr>
        <w:t>žsienio</w:t>
      </w:r>
      <w:r w:rsidRPr="0017614D">
        <w:rPr>
          <w:rFonts w:ascii="Times New Roman" w:hAnsi="Times New Roman" w:cs="Times New Roman"/>
          <w:sz w:val="24"/>
          <w:szCs w:val="24"/>
          <w:lang w:val="lt-LT"/>
        </w:rPr>
        <w:t>, tiek lietuvių</w:t>
      </w:r>
      <w:r w:rsidR="00CD06A8" w:rsidRPr="0017614D">
        <w:rPr>
          <w:rFonts w:ascii="Times New Roman" w:hAnsi="Times New Roman" w:cs="Times New Roman"/>
          <w:sz w:val="24"/>
          <w:szCs w:val="24"/>
          <w:lang w:val="lt-LT"/>
        </w:rPr>
        <w:t xml:space="preserve"> autoriai</w:t>
      </w:r>
      <w:r w:rsidR="006434CF" w:rsidRPr="0017614D">
        <w:rPr>
          <w:rFonts w:ascii="Times New Roman" w:hAnsi="Times New Roman" w:cs="Times New Roman"/>
          <w:sz w:val="24"/>
          <w:szCs w:val="24"/>
          <w:lang w:val="lt-LT"/>
        </w:rPr>
        <w:t>. Pavyzdžiui,</w:t>
      </w:r>
      <w:r w:rsidR="00CD06A8" w:rsidRPr="0017614D">
        <w:rPr>
          <w:rFonts w:ascii="Times New Roman" w:hAnsi="Times New Roman" w:cs="Times New Roman"/>
          <w:sz w:val="24"/>
          <w:szCs w:val="24"/>
          <w:lang w:val="lt-LT"/>
        </w:rPr>
        <w:t xml:space="preserve"> J. Sokolov ir M. Piatov (2000) išskiria 13 pagrindinių požymių</w:t>
      </w:r>
      <w:r w:rsidR="00914B44" w:rsidRPr="0017614D">
        <w:rPr>
          <w:rFonts w:ascii="Times New Roman" w:hAnsi="Times New Roman" w:cs="Times New Roman"/>
          <w:sz w:val="24"/>
          <w:szCs w:val="24"/>
          <w:lang w:val="lt-LT"/>
        </w:rPr>
        <w:t xml:space="preserve"> s</w:t>
      </w:r>
      <w:r w:rsidR="006434CF" w:rsidRPr="0017614D">
        <w:rPr>
          <w:rFonts w:ascii="Times New Roman" w:hAnsi="Times New Roman" w:cs="Times New Roman"/>
          <w:sz w:val="24"/>
          <w:szCs w:val="24"/>
          <w:lang w:val="lt-LT"/>
        </w:rPr>
        <w:t>ignalizuojančių bankroto grėsmę</w:t>
      </w:r>
      <w:r w:rsidR="00914B44" w:rsidRPr="0017614D">
        <w:rPr>
          <w:rFonts w:ascii="Times New Roman" w:hAnsi="Times New Roman" w:cs="Times New Roman"/>
          <w:sz w:val="24"/>
          <w:szCs w:val="24"/>
          <w:lang w:val="lt-LT"/>
        </w:rPr>
        <w:t>. Jų nuomone, bankrotą parodo problemos su žmogiškaisiais ištekliais, darbo organizavimu, tiekėjais, partneriais, taip pat tam tikri finansiniai rodikliai kaip pavyzdžiui pelningumas</w:t>
      </w:r>
      <w:r w:rsidR="009B75D5" w:rsidRPr="0017614D">
        <w:rPr>
          <w:rFonts w:ascii="Times New Roman" w:hAnsi="Times New Roman" w:cs="Times New Roman"/>
          <w:sz w:val="24"/>
          <w:szCs w:val="24"/>
          <w:lang w:val="lt-LT"/>
        </w:rPr>
        <w:t xml:space="preserve"> b</w:t>
      </w:r>
      <w:r w:rsidR="00914B44" w:rsidRPr="0017614D">
        <w:rPr>
          <w:rFonts w:ascii="Times New Roman" w:hAnsi="Times New Roman" w:cs="Times New Roman"/>
          <w:sz w:val="24"/>
          <w:szCs w:val="24"/>
          <w:lang w:val="lt-LT"/>
        </w:rPr>
        <w:t xml:space="preserve">ei </w:t>
      </w:r>
      <w:r w:rsidR="009B75D5" w:rsidRPr="0017614D">
        <w:rPr>
          <w:rFonts w:ascii="Times New Roman" w:hAnsi="Times New Roman" w:cs="Times New Roman"/>
          <w:sz w:val="24"/>
          <w:szCs w:val="24"/>
          <w:lang w:val="lt-LT"/>
        </w:rPr>
        <w:t>kiti.</w:t>
      </w:r>
      <w:r w:rsidR="006434CF" w:rsidRPr="0017614D">
        <w:rPr>
          <w:rFonts w:ascii="Times New Roman" w:hAnsi="Times New Roman" w:cs="Times New Roman"/>
          <w:sz w:val="24"/>
          <w:szCs w:val="24"/>
          <w:lang w:val="lt-LT"/>
        </w:rPr>
        <w:t xml:space="preserve"> Apie tai kokie požymiai liūdija bankrotą, kalbėjo ir S. Grigaravičius (2002), kuris išskyrė mokumo problemas, vadovų nekompetetingumą bei kitus požymius. Svarbu paminėti, kad visi šie autoriai kaip pagrindinius bankroto požymius išskiria sumažėjusi pelningumą, padidėjusias skolas bei darbuotojų kaitą. Literatūroje pateikiami bankr</w:t>
      </w:r>
      <w:r w:rsidR="001F2BF1" w:rsidRPr="0017614D">
        <w:rPr>
          <w:rFonts w:ascii="Times New Roman" w:hAnsi="Times New Roman" w:cs="Times New Roman"/>
          <w:sz w:val="24"/>
          <w:szCs w:val="24"/>
          <w:lang w:val="lt-LT"/>
        </w:rPr>
        <w:t>oto požymiai buvo apibendrinti 4</w:t>
      </w:r>
      <w:r w:rsidR="006434CF" w:rsidRPr="0017614D">
        <w:rPr>
          <w:rFonts w:ascii="Times New Roman" w:hAnsi="Times New Roman" w:cs="Times New Roman"/>
          <w:sz w:val="24"/>
          <w:szCs w:val="24"/>
          <w:lang w:val="lt-LT"/>
        </w:rPr>
        <w:t xml:space="preserve"> lentelėje. </w:t>
      </w:r>
    </w:p>
    <w:p w:rsidR="00FF418E" w:rsidRPr="0017614D" w:rsidRDefault="00FF418E" w:rsidP="001F2BF1">
      <w:pPr>
        <w:spacing w:after="0"/>
        <w:ind w:left="62" w:firstLine="482"/>
        <w:contextualSpacing/>
        <w:jc w:val="both"/>
        <w:rPr>
          <w:rFonts w:ascii="Times New Roman" w:hAnsi="Times New Roman" w:cs="Times New Roman"/>
          <w:sz w:val="24"/>
          <w:szCs w:val="24"/>
          <w:lang w:val="lt-LT"/>
        </w:rPr>
      </w:pPr>
    </w:p>
    <w:p w:rsidR="00CD06A8" w:rsidRPr="0017614D" w:rsidRDefault="001F2BF1" w:rsidP="001F2BF1">
      <w:pPr>
        <w:spacing w:after="0"/>
        <w:contextualSpacing/>
        <w:jc w:val="center"/>
        <w:rPr>
          <w:rFonts w:ascii="Times New Roman" w:hAnsi="Times New Roman" w:cs="Times New Roman"/>
          <w:szCs w:val="24"/>
          <w:lang w:val="lt-LT"/>
        </w:rPr>
      </w:pPr>
      <w:r w:rsidRPr="0017614D">
        <w:rPr>
          <w:rFonts w:ascii="Times New Roman" w:hAnsi="Times New Roman" w:cs="Times New Roman"/>
          <w:szCs w:val="24"/>
          <w:lang w:val="lt-LT"/>
        </w:rPr>
        <w:t>4</w:t>
      </w:r>
      <w:r w:rsidR="00CD06A8" w:rsidRPr="0017614D">
        <w:rPr>
          <w:rFonts w:ascii="Times New Roman" w:hAnsi="Times New Roman" w:cs="Times New Roman"/>
          <w:szCs w:val="24"/>
          <w:lang w:val="lt-LT"/>
        </w:rPr>
        <w:t xml:space="preserve"> lentelė.</w:t>
      </w:r>
      <w:r w:rsidR="00CD06A8" w:rsidRPr="0017614D">
        <w:rPr>
          <w:rFonts w:ascii="Times New Roman" w:hAnsi="Times New Roman" w:cs="Times New Roman"/>
          <w:b/>
          <w:szCs w:val="24"/>
          <w:lang w:val="lt-LT"/>
        </w:rPr>
        <w:t xml:space="preserve"> </w:t>
      </w:r>
      <w:r w:rsidR="005559C8" w:rsidRPr="0017614D">
        <w:rPr>
          <w:rFonts w:ascii="Times New Roman" w:hAnsi="Times New Roman" w:cs="Times New Roman"/>
          <w:b/>
          <w:szCs w:val="24"/>
          <w:lang w:val="lt-LT"/>
        </w:rPr>
        <w:t>B</w:t>
      </w:r>
      <w:r w:rsidR="00CD06A8" w:rsidRPr="0017614D">
        <w:rPr>
          <w:rFonts w:ascii="Times New Roman" w:hAnsi="Times New Roman" w:cs="Times New Roman"/>
          <w:b/>
          <w:szCs w:val="24"/>
          <w:lang w:val="lt-LT"/>
        </w:rPr>
        <w:t>ankroto požymiai</w:t>
      </w:r>
    </w:p>
    <w:tbl>
      <w:tblPr>
        <w:tblStyle w:val="LightGrid-Accent6"/>
        <w:tblW w:w="0" w:type="auto"/>
        <w:jc w:val="center"/>
        <w:tblLook w:val="01E0"/>
      </w:tblPr>
      <w:tblGrid>
        <w:gridCol w:w="910"/>
        <w:gridCol w:w="8377"/>
      </w:tblGrid>
      <w:tr w:rsidR="00CD06A8" w:rsidRPr="0017614D" w:rsidTr="00E524EC">
        <w:trPr>
          <w:cnfStyle w:val="100000000000"/>
          <w:jc w:val="center"/>
        </w:trPr>
        <w:tc>
          <w:tcPr>
            <w:cnfStyle w:val="001000000000"/>
            <w:tcW w:w="910" w:type="dxa"/>
          </w:tcPr>
          <w:p w:rsidR="00CD06A8" w:rsidRPr="0017614D" w:rsidRDefault="00CD06A8" w:rsidP="005559C8">
            <w:pPr>
              <w:suppressAutoHyphens/>
              <w:spacing w:line="276" w:lineRule="auto"/>
              <w:jc w:val="center"/>
              <w:rPr>
                <w:rFonts w:ascii="Times New Roman" w:hAnsi="Times New Roman" w:cs="Times New Roman"/>
                <w:szCs w:val="24"/>
                <w:lang w:val="lt-LT"/>
              </w:rPr>
            </w:pPr>
            <w:r w:rsidRPr="0017614D">
              <w:rPr>
                <w:rFonts w:ascii="Times New Roman" w:hAnsi="Times New Roman" w:cs="Times New Roman"/>
                <w:szCs w:val="24"/>
                <w:lang w:val="lt-LT"/>
              </w:rPr>
              <w:t>Eil.Nr.</w:t>
            </w:r>
          </w:p>
        </w:tc>
        <w:tc>
          <w:tcPr>
            <w:cnfStyle w:val="000100000000"/>
            <w:tcW w:w="8377" w:type="dxa"/>
          </w:tcPr>
          <w:p w:rsidR="00CD06A8" w:rsidRPr="0017614D" w:rsidRDefault="00CD06A8" w:rsidP="005559C8">
            <w:pPr>
              <w:suppressAutoHyphens/>
              <w:spacing w:line="276" w:lineRule="auto"/>
              <w:jc w:val="center"/>
              <w:rPr>
                <w:rFonts w:ascii="Times New Roman" w:hAnsi="Times New Roman" w:cs="Times New Roman"/>
                <w:szCs w:val="24"/>
                <w:lang w:val="lt-LT"/>
              </w:rPr>
            </w:pPr>
            <w:r w:rsidRPr="0017614D">
              <w:rPr>
                <w:rFonts w:ascii="Times New Roman" w:hAnsi="Times New Roman" w:cs="Times New Roman"/>
                <w:szCs w:val="24"/>
                <w:lang w:val="lt-LT"/>
              </w:rPr>
              <w:t>Požymiai</w:t>
            </w:r>
          </w:p>
        </w:tc>
      </w:tr>
      <w:tr w:rsidR="00CD06A8" w:rsidRPr="0017614D" w:rsidTr="00E524EC">
        <w:trPr>
          <w:cnfStyle w:val="000000100000"/>
          <w:trHeight w:val="254"/>
          <w:jc w:val="center"/>
        </w:trPr>
        <w:tc>
          <w:tcPr>
            <w:cnfStyle w:val="001000000000"/>
            <w:tcW w:w="910" w:type="dxa"/>
          </w:tcPr>
          <w:p w:rsidR="00CD06A8" w:rsidRPr="0017614D" w:rsidRDefault="00CD06A8" w:rsidP="005559C8">
            <w:pPr>
              <w:suppressAutoHyphens/>
              <w:spacing w:line="276" w:lineRule="auto"/>
              <w:jc w:val="center"/>
              <w:rPr>
                <w:rFonts w:ascii="Times New Roman" w:hAnsi="Times New Roman" w:cs="Times New Roman"/>
                <w:b w:val="0"/>
                <w:szCs w:val="24"/>
                <w:lang w:val="lt-LT"/>
              </w:rPr>
            </w:pPr>
            <w:r w:rsidRPr="0017614D">
              <w:rPr>
                <w:rFonts w:ascii="Times New Roman" w:hAnsi="Times New Roman" w:cs="Times New Roman"/>
                <w:b w:val="0"/>
                <w:szCs w:val="24"/>
                <w:lang w:val="lt-LT"/>
              </w:rPr>
              <w:t>1.</w:t>
            </w:r>
          </w:p>
        </w:tc>
        <w:tc>
          <w:tcPr>
            <w:cnfStyle w:val="000100000000"/>
            <w:tcW w:w="8377" w:type="dxa"/>
          </w:tcPr>
          <w:p w:rsidR="00CD06A8" w:rsidRPr="0017614D" w:rsidRDefault="00CD06A8" w:rsidP="005559C8">
            <w:pPr>
              <w:tabs>
                <w:tab w:val="left" w:pos="540"/>
              </w:tabs>
              <w:suppressAutoHyphens/>
              <w:spacing w:line="276" w:lineRule="auto"/>
              <w:jc w:val="both"/>
              <w:rPr>
                <w:rFonts w:ascii="Times New Roman" w:hAnsi="Times New Roman" w:cs="Times New Roman"/>
                <w:b w:val="0"/>
                <w:szCs w:val="24"/>
                <w:lang w:val="lt-LT"/>
              </w:rPr>
            </w:pPr>
            <w:r w:rsidRPr="0017614D">
              <w:rPr>
                <w:rFonts w:ascii="Times New Roman" w:hAnsi="Times New Roman" w:cs="Times New Roman"/>
                <w:b w:val="0"/>
                <w:szCs w:val="24"/>
                <w:lang w:val="lt-LT"/>
              </w:rPr>
              <w:t>Didėja darbuotojų kaita, įmonę palieka administracijos atstovai</w:t>
            </w:r>
          </w:p>
        </w:tc>
      </w:tr>
      <w:tr w:rsidR="00CD06A8" w:rsidRPr="0017614D" w:rsidTr="00E524EC">
        <w:trPr>
          <w:cnfStyle w:val="000000010000"/>
          <w:jc w:val="center"/>
        </w:trPr>
        <w:tc>
          <w:tcPr>
            <w:cnfStyle w:val="001000000000"/>
            <w:tcW w:w="910" w:type="dxa"/>
          </w:tcPr>
          <w:p w:rsidR="00CD06A8" w:rsidRPr="0017614D" w:rsidRDefault="00CD06A8" w:rsidP="005559C8">
            <w:pPr>
              <w:suppressAutoHyphens/>
              <w:spacing w:line="276" w:lineRule="auto"/>
              <w:jc w:val="center"/>
              <w:rPr>
                <w:rFonts w:ascii="Times New Roman" w:hAnsi="Times New Roman" w:cs="Times New Roman"/>
                <w:b w:val="0"/>
                <w:szCs w:val="24"/>
                <w:lang w:val="lt-LT"/>
              </w:rPr>
            </w:pPr>
            <w:r w:rsidRPr="0017614D">
              <w:rPr>
                <w:rFonts w:ascii="Times New Roman" w:hAnsi="Times New Roman" w:cs="Times New Roman"/>
                <w:b w:val="0"/>
                <w:szCs w:val="24"/>
                <w:lang w:val="lt-LT"/>
              </w:rPr>
              <w:t>2.</w:t>
            </w:r>
          </w:p>
        </w:tc>
        <w:tc>
          <w:tcPr>
            <w:cnfStyle w:val="000100000000"/>
            <w:tcW w:w="8377" w:type="dxa"/>
          </w:tcPr>
          <w:p w:rsidR="00CD06A8" w:rsidRPr="0017614D" w:rsidRDefault="00CD06A8" w:rsidP="005559C8">
            <w:pPr>
              <w:tabs>
                <w:tab w:val="left" w:pos="540"/>
              </w:tabs>
              <w:suppressAutoHyphens/>
              <w:spacing w:line="276" w:lineRule="auto"/>
              <w:jc w:val="both"/>
              <w:rPr>
                <w:rFonts w:ascii="Times New Roman" w:hAnsi="Times New Roman" w:cs="Times New Roman"/>
                <w:b w:val="0"/>
                <w:szCs w:val="24"/>
                <w:lang w:val="lt-LT"/>
              </w:rPr>
            </w:pPr>
            <w:r w:rsidRPr="0017614D">
              <w:rPr>
                <w:rFonts w:ascii="Times New Roman" w:hAnsi="Times New Roman" w:cs="Times New Roman"/>
                <w:b w:val="0"/>
                <w:szCs w:val="24"/>
                <w:lang w:val="lt-LT"/>
              </w:rPr>
              <w:t>Paduoda pareiškimą išeiti iš darbo vyriausiasis buhalteris</w:t>
            </w:r>
          </w:p>
        </w:tc>
      </w:tr>
      <w:tr w:rsidR="00CD06A8" w:rsidRPr="0017614D" w:rsidTr="00E524EC">
        <w:trPr>
          <w:cnfStyle w:val="000000100000"/>
          <w:jc w:val="center"/>
        </w:trPr>
        <w:tc>
          <w:tcPr>
            <w:cnfStyle w:val="001000000000"/>
            <w:tcW w:w="910" w:type="dxa"/>
          </w:tcPr>
          <w:p w:rsidR="00CD06A8" w:rsidRPr="0017614D" w:rsidRDefault="00CD06A8" w:rsidP="005559C8">
            <w:pPr>
              <w:suppressAutoHyphens/>
              <w:spacing w:line="276" w:lineRule="auto"/>
              <w:jc w:val="center"/>
              <w:rPr>
                <w:rFonts w:ascii="Times New Roman" w:hAnsi="Times New Roman" w:cs="Times New Roman"/>
                <w:b w:val="0"/>
                <w:szCs w:val="24"/>
                <w:lang w:val="lt-LT"/>
              </w:rPr>
            </w:pPr>
            <w:r w:rsidRPr="0017614D">
              <w:rPr>
                <w:rFonts w:ascii="Times New Roman" w:hAnsi="Times New Roman" w:cs="Times New Roman"/>
                <w:b w:val="0"/>
                <w:szCs w:val="24"/>
                <w:lang w:val="lt-LT"/>
              </w:rPr>
              <w:t>3.</w:t>
            </w:r>
          </w:p>
        </w:tc>
        <w:tc>
          <w:tcPr>
            <w:cnfStyle w:val="000100000000"/>
            <w:tcW w:w="8377" w:type="dxa"/>
          </w:tcPr>
          <w:p w:rsidR="00CD06A8" w:rsidRPr="0017614D" w:rsidRDefault="00CD06A8" w:rsidP="005559C8">
            <w:pPr>
              <w:tabs>
                <w:tab w:val="left" w:pos="540"/>
              </w:tabs>
              <w:suppressAutoHyphens/>
              <w:spacing w:line="276" w:lineRule="auto"/>
              <w:jc w:val="both"/>
              <w:rPr>
                <w:rFonts w:ascii="Times New Roman" w:hAnsi="Times New Roman" w:cs="Times New Roman"/>
                <w:b w:val="0"/>
                <w:szCs w:val="24"/>
                <w:lang w:val="lt-LT"/>
              </w:rPr>
            </w:pPr>
            <w:r w:rsidRPr="0017614D">
              <w:rPr>
                <w:rFonts w:ascii="Times New Roman" w:hAnsi="Times New Roman" w:cs="Times New Roman"/>
                <w:b w:val="0"/>
                <w:szCs w:val="24"/>
                <w:lang w:val="lt-LT"/>
              </w:rPr>
              <w:t>Kartojasi techniniai ir organizaciniai nesklandumai įmonės veikloje</w:t>
            </w:r>
          </w:p>
        </w:tc>
      </w:tr>
      <w:tr w:rsidR="00CD06A8" w:rsidRPr="0017614D" w:rsidTr="00E524EC">
        <w:trPr>
          <w:cnfStyle w:val="010000000000"/>
          <w:trHeight w:val="240"/>
          <w:jc w:val="center"/>
        </w:trPr>
        <w:tc>
          <w:tcPr>
            <w:cnfStyle w:val="001000000000"/>
            <w:tcW w:w="910" w:type="dxa"/>
          </w:tcPr>
          <w:p w:rsidR="00CD06A8" w:rsidRPr="0017614D" w:rsidRDefault="00CD06A8" w:rsidP="005559C8">
            <w:pPr>
              <w:suppressAutoHyphens/>
              <w:spacing w:line="276" w:lineRule="auto"/>
              <w:jc w:val="center"/>
              <w:rPr>
                <w:rFonts w:ascii="Times New Roman" w:hAnsi="Times New Roman" w:cs="Times New Roman"/>
                <w:b w:val="0"/>
                <w:szCs w:val="24"/>
                <w:lang w:val="lt-LT"/>
              </w:rPr>
            </w:pPr>
            <w:r w:rsidRPr="0017614D">
              <w:rPr>
                <w:rFonts w:ascii="Times New Roman" w:hAnsi="Times New Roman" w:cs="Times New Roman"/>
                <w:b w:val="0"/>
                <w:szCs w:val="24"/>
                <w:lang w:val="lt-LT"/>
              </w:rPr>
              <w:t>4.</w:t>
            </w:r>
          </w:p>
        </w:tc>
        <w:tc>
          <w:tcPr>
            <w:cnfStyle w:val="000100000000"/>
            <w:tcW w:w="8377" w:type="dxa"/>
          </w:tcPr>
          <w:p w:rsidR="00CD06A8" w:rsidRPr="0017614D" w:rsidRDefault="00CD06A8" w:rsidP="005559C8">
            <w:pPr>
              <w:tabs>
                <w:tab w:val="left" w:pos="540"/>
              </w:tabs>
              <w:suppressAutoHyphens/>
              <w:spacing w:line="276" w:lineRule="auto"/>
              <w:jc w:val="both"/>
              <w:rPr>
                <w:rFonts w:ascii="Times New Roman" w:hAnsi="Times New Roman" w:cs="Times New Roman"/>
                <w:b w:val="0"/>
                <w:szCs w:val="24"/>
                <w:lang w:val="lt-LT"/>
              </w:rPr>
            </w:pPr>
            <w:r w:rsidRPr="0017614D">
              <w:rPr>
                <w:rFonts w:ascii="Times New Roman" w:hAnsi="Times New Roman" w:cs="Times New Roman"/>
                <w:b w:val="0"/>
                <w:szCs w:val="24"/>
                <w:lang w:val="lt-LT"/>
              </w:rPr>
              <w:t>Mažėja pardavimų apimtis, užsakymų skaičius ir vis mažiau lankosi pirkėjų</w:t>
            </w:r>
          </w:p>
        </w:tc>
      </w:tr>
    </w:tbl>
    <w:p w:rsidR="00ED3FB5" w:rsidRPr="0017614D" w:rsidRDefault="001F2BF1" w:rsidP="002B57E2">
      <w:pPr>
        <w:spacing w:line="360" w:lineRule="auto"/>
        <w:contextualSpacing/>
        <w:jc w:val="right"/>
        <w:rPr>
          <w:rFonts w:ascii="Times New Roman" w:hAnsi="Times New Roman" w:cs="Times New Roman"/>
          <w:sz w:val="24"/>
          <w:szCs w:val="24"/>
          <w:lang w:val="lt-LT"/>
        </w:rPr>
      </w:pPr>
      <w:r w:rsidRPr="0017614D">
        <w:rPr>
          <w:rFonts w:ascii="Times New Roman" w:hAnsi="Times New Roman" w:cs="Times New Roman"/>
          <w:sz w:val="24"/>
          <w:szCs w:val="24"/>
          <w:lang w:val="lt-LT"/>
        </w:rPr>
        <w:t>4</w:t>
      </w:r>
      <w:r w:rsidR="00ED3FB5" w:rsidRPr="0017614D">
        <w:rPr>
          <w:rFonts w:ascii="Times New Roman" w:hAnsi="Times New Roman" w:cs="Times New Roman"/>
          <w:sz w:val="24"/>
          <w:szCs w:val="24"/>
          <w:lang w:val="lt-LT"/>
        </w:rPr>
        <w:t xml:space="preserve"> lentel</w:t>
      </w:r>
      <w:r w:rsidR="00ED3FB5" w:rsidRPr="0017614D">
        <w:rPr>
          <w:rFonts w:ascii="TimesNewRomanPSMT" w:eastAsia="TimesNewRomanPSMT" w:hAnsi="Times New Roman" w:cs="TimesNewRomanPSMT"/>
          <w:sz w:val="24"/>
          <w:szCs w:val="24"/>
          <w:lang w:val="lt-LT"/>
        </w:rPr>
        <w:t>ė</w:t>
      </w:r>
      <w:r w:rsidR="00ED3FB5" w:rsidRPr="0017614D">
        <w:rPr>
          <w:rFonts w:ascii="Times New Roman" w:hAnsi="Times New Roman" w:cs="Times New Roman"/>
          <w:sz w:val="24"/>
          <w:szCs w:val="24"/>
          <w:lang w:val="lt-LT"/>
        </w:rPr>
        <w:t>s t</w:t>
      </w:r>
      <w:r w:rsidR="00ED3FB5" w:rsidRPr="0017614D">
        <w:rPr>
          <w:rFonts w:ascii="TimesNewRomanPSMT" w:eastAsia="TimesNewRomanPSMT" w:hAnsi="Times New Roman" w:cs="TimesNewRomanPSMT"/>
          <w:sz w:val="24"/>
          <w:szCs w:val="24"/>
          <w:lang w:val="lt-LT"/>
        </w:rPr>
        <w:t>ę</w:t>
      </w:r>
      <w:r w:rsidR="00ED3FB5" w:rsidRPr="0017614D">
        <w:rPr>
          <w:rFonts w:ascii="Times New Roman" w:hAnsi="Times New Roman" w:cs="Times New Roman"/>
          <w:sz w:val="24"/>
          <w:szCs w:val="24"/>
          <w:lang w:val="lt-LT"/>
        </w:rPr>
        <w:t>sinys pateiktas kitame puslapyje</w:t>
      </w:r>
    </w:p>
    <w:p w:rsidR="00ED3FB5" w:rsidRPr="0017614D" w:rsidRDefault="001F2BF1" w:rsidP="002B57E2">
      <w:pPr>
        <w:spacing w:line="360" w:lineRule="auto"/>
        <w:contextualSpacing/>
        <w:jc w:val="right"/>
        <w:rPr>
          <w:rFonts w:ascii="Times New Roman" w:hAnsi="Times New Roman" w:cs="Times New Roman"/>
          <w:b/>
          <w:sz w:val="20"/>
          <w:szCs w:val="20"/>
          <w:lang w:val="lt-LT"/>
        </w:rPr>
      </w:pPr>
      <w:r w:rsidRPr="0017614D">
        <w:rPr>
          <w:rFonts w:ascii="Times New Roman" w:hAnsi="Times New Roman" w:cs="Times New Roman"/>
          <w:sz w:val="24"/>
          <w:szCs w:val="24"/>
          <w:lang w:val="lt-LT"/>
        </w:rPr>
        <w:lastRenderedPageBreak/>
        <w:t>4</w:t>
      </w:r>
      <w:r w:rsidR="00ED3FB5" w:rsidRPr="0017614D">
        <w:rPr>
          <w:rFonts w:ascii="Times New Roman" w:hAnsi="Times New Roman" w:cs="Times New Roman"/>
          <w:sz w:val="24"/>
          <w:szCs w:val="24"/>
          <w:lang w:val="lt-LT"/>
        </w:rPr>
        <w:t xml:space="preserve"> lentel</w:t>
      </w:r>
      <w:r w:rsidR="00ED3FB5" w:rsidRPr="0017614D">
        <w:rPr>
          <w:rFonts w:ascii="TimesNewRomanPSMT" w:eastAsia="TimesNewRomanPSMT" w:hAnsi="Times New Roman" w:cs="TimesNewRomanPSMT"/>
          <w:sz w:val="24"/>
          <w:szCs w:val="24"/>
          <w:lang w:val="lt-LT"/>
        </w:rPr>
        <w:t>ė</w:t>
      </w:r>
      <w:r w:rsidR="00ED3FB5" w:rsidRPr="0017614D">
        <w:rPr>
          <w:rFonts w:ascii="Times New Roman" w:hAnsi="Times New Roman" w:cs="Times New Roman"/>
          <w:sz w:val="24"/>
          <w:szCs w:val="24"/>
          <w:lang w:val="lt-LT"/>
        </w:rPr>
        <w:t>s t</w:t>
      </w:r>
      <w:r w:rsidR="00ED3FB5" w:rsidRPr="0017614D">
        <w:rPr>
          <w:rFonts w:ascii="TimesNewRomanPSMT" w:eastAsia="TimesNewRomanPSMT" w:hAnsi="Times New Roman" w:cs="TimesNewRomanPSMT"/>
          <w:sz w:val="24"/>
          <w:szCs w:val="24"/>
          <w:lang w:val="lt-LT"/>
        </w:rPr>
        <w:t>ę</w:t>
      </w:r>
      <w:r w:rsidR="00ED3FB5" w:rsidRPr="0017614D">
        <w:rPr>
          <w:rFonts w:ascii="Times New Roman" w:hAnsi="Times New Roman" w:cs="Times New Roman"/>
          <w:sz w:val="24"/>
          <w:szCs w:val="24"/>
          <w:lang w:val="lt-LT"/>
        </w:rPr>
        <w:t>sinys</w:t>
      </w:r>
    </w:p>
    <w:tbl>
      <w:tblPr>
        <w:tblStyle w:val="LightGrid-Accent6"/>
        <w:tblW w:w="0" w:type="auto"/>
        <w:jc w:val="center"/>
        <w:tblLook w:val="01E0"/>
      </w:tblPr>
      <w:tblGrid>
        <w:gridCol w:w="910"/>
        <w:gridCol w:w="8377"/>
      </w:tblGrid>
      <w:tr w:rsidR="00ED3FB5" w:rsidRPr="0017614D" w:rsidTr="0015251A">
        <w:trPr>
          <w:cnfStyle w:val="100000000000"/>
          <w:jc w:val="center"/>
        </w:trPr>
        <w:tc>
          <w:tcPr>
            <w:cnfStyle w:val="001000000000"/>
            <w:tcW w:w="910" w:type="dxa"/>
          </w:tcPr>
          <w:p w:rsidR="00ED3FB5" w:rsidRPr="0017614D" w:rsidRDefault="00ED3FB5" w:rsidP="00535423">
            <w:pPr>
              <w:suppressAutoHyphens/>
              <w:spacing w:line="276" w:lineRule="auto"/>
              <w:jc w:val="center"/>
              <w:rPr>
                <w:rFonts w:ascii="Times New Roman" w:hAnsi="Times New Roman" w:cs="Times New Roman"/>
                <w:szCs w:val="24"/>
                <w:lang w:val="lt-LT"/>
              </w:rPr>
            </w:pPr>
            <w:r w:rsidRPr="0017614D">
              <w:rPr>
                <w:rFonts w:ascii="Times New Roman" w:hAnsi="Times New Roman" w:cs="Times New Roman"/>
                <w:szCs w:val="24"/>
                <w:lang w:val="lt-LT"/>
              </w:rPr>
              <w:t>Eil.Nr.</w:t>
            </w:r>
          </w:p>
        </w:tc>
        <w:tc>
          <w:tcPr>
            <w:cnfStyle w:val="000100000000"/>
            <w:tcW w:w="8377" w:type="dxa"/>
          </w:tcPr>
          <w:p w:rsidR="00ED3FB5" w:rsidRPr="0017614D" w:rsidRDefault="00ED3FB5" w:rsidP="00535423">
            <w:pPr>
              <w:suppressAutoHyphens/>
              <w:spacing w:line="276" w:lineRule="auto"/>
              <w:jc w:val="center"/>
              <w:rPr>
                <w:rFonts w:ascii="Times New Roman" w:hAnsi="Times New Roman" w:cs="Times New Roman"/>
                <w:szCs w:val="24"/>
                <w:lang w:val="lt-LT"/>
              </w:rPr>
            </w:pPr>
            <w:r w:rsidRPr="0017614D">
              <w:rPr>
                <w:rFonts w:ascii="Times New Roman" w:hAnsi="Times New Roman" w:cs="Times New Roman"/>
                <w:szCs w:val="24"/>
                <w:lang w:val="lt-LT"/>
              </w:rPr>
              <w:t>Požymiai</w:t>
            </w:r>
          </w:p>
        </w:tc>
      </w:tr>
      <w:tr w:rsidR="003A3984" w:rsidRPr="0017614D" w:rsidTr="0015251A">
        <w:trPr>
          <w:cnfStyle w:val="000000100000"/>
          <w:jc w:val="center"/>
        </w:trPr>
        <w:tc>
          <w:tcPr>
            <w:cnfStyle w:val="001000000000"/>
            <w:tcW w:w="910" w:type="dxa"/>
          </w:tcPr>
          <w:p w:rsidR="003A3984" w:rsidRPr="0017614D" w:rsidRDefault="003A3984" w:rsidP="00F4304D">
            <w:pPr>
              <w:suppressAutoHyphens/>
              <w:spacing w:line="276" w:lineRule="auto"/>
              <w:jc w:val="center"/>
              <w:rPr>
                <w:rFonts w:ascii="Times New Roman" w:hAnsi="Times New Roman" w:cs="Times New Roman"/>
                <w:b w:val="0"/>
                <w:szCs w:val="24"/>
                <w:lang w:val="lt-LT"/>
              </w:rPr>
            </w:pPr>
            <w:r w:rsidRPr="0017614D">
              <w:rPr>
                <w:rFonts w:ascii="Times New Roman" w:hAnsi="Times New Roman" w:cs="Times New Roman"/>
                <w:b w:val="0"/>
                <w:szCs w:val="24"/>
                <w:lang w:val="lt-LT"/>
              </w:rPr>
              <w:t>5.</w:t>
            </w:r>
          </w:p>
        </w:tc>
        <w:tc>
          <w:tcPr>
            <w:cnfStyle w:val="000100000000"/>
            <w:tcW w:w="8377" w:type="dxa"/>
          </w:tcPr>
          <w:p w:rsidR="003A3984" w:rsidRPr="0017614D" w:rsidRDefault="003A3984" w:rsidP="00F4304D">
            <w:pPr>
              <w:tabs>
                <w:tab w:val="left" w:pos="540"/>
              </w:tabs>
              <w:suppressAutoHyphens/>
              <w:spacing w:line="276" w:lineRule="auto"/>
              <w:jc w:val="both"/>
              <w:rPr>
                <w:rFonts w:ascii="Times New Roman" w:hAnsi="Times New Roman" w:cs="Times New Roman"/>
                <w:b w:val="0"/>
                <w:szCs w:val="24"/>
                <w:lang w:val="lt-LT"/>
              </w:rPr>
            </w:pPr>
            <w:r w:rsidRPr="0017614D">
              <w:rPr>
                <w:rFonts w:ascii="Times New Roman" w:hAnsi="Times New Roman" w:cs="Times New Roman"/>
                <w:b w:val="0"/>
                <w:szCs w:val="24"/>
                <w:lang w:val="lt-LT"/>
              </w:rPr>
              <w:t>Kyla problemų su atsiskaitymais</w:t>
            </w:r>
          </w:p>
        </w:tc>
      </w:tr>
      <w:tr w:rsidR="003A3984" w:rsidRPr="0017614D" w:rsidTr="0015251A">
        <w:trPr>
          <w:cnfStyle w:val="000000010000"/>
          <w:jc w:val="center"/>
        </w:trPr>
        <w:tc>
          <w:tcPr>
            <w:cnfStyle w:val="001000000000"/>
            <w:tcW w:w="910" w:type="dxa"/>
          </w:tcPr>
          <w:p w:rsidR="003A3984" w:rsidRPr="0017614D" w:rsidRDefault="003A3984" w:rsidP="00F4304D">
            <w:pPr>
              <w:suppressAutoHyphens/>
              <w:spacing w:line="276" w:lineRule="auto"/>
              <w:jc w:val="center"/>
              <w:rPr>
                <w:rFonts w:ascii="Times New Roman" w:hAnsi="Times New Roman" w:cs="Times New Roman"/>
                <w:b w:val="0"/>
                <w:szCs w:val="24"/>
                <w:lang w:val="lt-LT"/>
              </w:rPr>
            </w:pPr>
            <w:r w:rsidRPr="0017614D">
              <w:rPr>
                <w:rFonts w:ascii="Times New Roman" w:hAnsi="Times New Roman" w:cs="Times New Roman"/>
                <w:b w:val="0"/>
                <w:szCs w:val="24"/>
                <w:lang w:val="lt-LT"/>
              </w:rPr>
              <w:t>6.</w:t>
            </w:r>
          </w:p>
        </w:tc>
        <w:tc>
          <w:tcPr>
            <w:cnfStyle w:val="000100000000"/>
            <w:tcW w:w="8377" w:type="dxa"/>
          </w:tcPr>
          <w:p w:rsidR="003A3984" w:rsidRPr="0017614D" w:rsidRDefault="003A3984" w:rsidP="00F4304D">
            <w:pPr>
              <w:tabs>
                <w:tab w:val="left" w:pos="540"/>
              </w:tabs>
              <w:suppressAutoHyphens/>
              <w:spacing w:line="276" w:lineRule="auto"/>
              <w:jc w:val="both"/>
              <w:rPr>
                <w:rFonts w:ascii="Times New Roman" w:hAnsi="Times New Roman" w:cs="Times New Roman"/>
                <w:b w:val="0"/>
                <w:szCs w:val="24"/>
                <w:lang w:val="lt-LT"/>
              </w:rPr>
            </w:pPr>
            <w:r w:rsidRPr="0017614D">
              <w:rPr>
                <w:rFonts w:ascii="Times New Roman" w:hAnsi="Times New Roman" w:cs="Times New Roman"/>
                <w:b w:val="0"/>
                <w:szCs w:val="24"/>
                <w:lang w:val="lt-LT"/>
              </w:rPr>
              <w:t>Didėja priklausomybė nuo vieno užsakovo (arba vieno tiekėjo)</w:t>
            </w:r>
          </w:p>
        </w:tc>
      </w:tr>
      <w:tr w:rsidR="003A3984" w:rsidRPr="0017614D" w:rsidTr="0015251A">
        <w:trPr>
          <w:cnfStyle w:val="000000100000"/>
          <w:jc w:val="center"/>
        </w:trPr>
        <w:tc>
          <w:tcPr>
            <w:cnfStyle w:val="001000000000"/>
            <w:tcW w:w="910" w:type="dxa"/>
          </w:tcPr>
          <w:p w:rsidR="003A3984" w:rsidRPr="0017614D" w:rsidRDefault="003A3984" w:rsidP="00F4304D">
            <w:pPr>
              <w:suppressAutoHyphens/>
              <w:spacing w:line="276" w:lineRule="auto"/>
              <w:jc w:val="center"/>
              <w:rPr>
                <w:rFonts w:ascii="Times New Roman" w:hAnsi="Times New Roman" w:cs="Times New Roman"/>
                <w:b w:val="0"/>
                <w:szCs w:val="24"/>
                <w:lang w:val="lt-LT"/>
              </w:rPr>
            </w:pPr>
            <w:r w:rsidRPr="0017614D">
              <w:rPr>
                <w:rFonts w:ascii="Times New Roman" w:hAnsi="Times New Roman" w:cs="Times New Roman"/>
                <w:b w:val="0"/>
                <w:szCs w:val="24"/>
                <w:lang w:val="lt-LT"/>
              </w:rPr>
              <w:t>7.</w:t>
            </w:r>
          </w:p>
        </w:tc>
        <w:tc>
          <w:tcPr>
            <w:cnfStyle w:val="000100000000"/>
            <w:tcW w:w="8377" w:type="dxa"/>
          </w:tcPr>
          <w:p w:rsidR="003A3984" w:rsidRPr="0017614D" w:rsidRDefault="003A3984" w:rsidP="00F4304D">
            <w:pPr>
              <w:tabs>
                <w:tab w:val="left" w:pos="540"/>
              </w:tabs>
              <w:suppressAutoHyphens/>
              <w:spacing w:line="276" w:lineRule="auto"/>
              <w:jc w:val="both"/>
              <w:rPr>
                <w:rFonts w:ascii="Times New Roman" w:hAnsi="Times New Roman" w:cs="Times New Roman"/>
                <w:b w:val="0"/>
                <w:szCs w:val="24"/>
                <w:lang w:val="lt-LT"/>
              </w:rPr>
            </w:pPr>
            <w:r w:rsidRPr="0017614D">
              <w:rPr>
                <w:rFonts w:ascii="Times New Roman" w:hAnsi="Times New Roman" w:cs="Times New Roman"/>
                <w:b w:val="0"/>
                <w:szCs w:val="24"/>
                <w:lang w:val="lt-LT"/>
              </w:rPr>
              <w:t>Sutarčių sąlygos įmonės atžvilgiu tampa vis griežtesnės</w:t>
            </w:r>
          </w:p>
        </w:tc>
      </w:tr>
      <w:tr w:rsidR="003A3984" w:rsidRPr="0017614D" w:rsidTr="0015251A">
        <w:trPr>
          <w:cnfStyle w:val="000000010000"/>
          <w:jc w:val="center"/>
        </w:trPr>
        <w:tc>
          <w:tcPr>
            <w:cnfStyle w:val="001000000000"/>
            <w:tcW w:w="910" w:type="dxa"/>
          </w:tcPr>
          <w:p w:rsidR="003A3984" w:rsidRPr="0017614D" w:rsidRDefault="003A3984" w:rsidP="00F4304D">
            <w:pPr>
              <w:suppressAutoHyphens/>
              <w:spacing w:line="276" w:lineRule="auto"/>
              <w:jc w:val="center"/>
              <w:rPr>
                <w:rFonts w:ascii="Times New Roman" w:hAnsi="Times New Roman" w:cs="Times New Roman"/>
                <w:b w:val="0"/>
                <w:szCs w:val="24"/>
                <w:lang w:val="lt-LT"/>
              </w:rPr>
            </w:pPr>
            <w:r w:rsidRPr="0017614D">
              <w:rPr>
                <w:rFonts w:ascii="Times New Roman" w:hAnsi="Times New Roman" w:cs="Times New Roman"/>
                <w:b w:val="0"/>
                <w:szCs w:val="24"/>
                <w:lang w:val="lt-LT"/>
              </w:rPr>
              <w:t>8.</w:t>
            </w:r>
          </w:p>
        </w:tc>
        <w:tc>
          <w:tcPr>
            <w:cnfStyle w:val="000100000000"/>
            <w:tcW w:w="8377" w:type="dxa"/>
          </w:tcPr>
          <w:p w:rsidR="003A3984" w:rsidRPr="0017614D" w:rsidRDefault="003A3984" w:rsidP="00F4304D">
            <w:pPr>
              <w:tabs>
                <w:tab w:val="left" w:pos="540"/>
              </w:tabs>
              <w:suppressAutoHyphens/>
              <w:spacing w:line="276" w:lineRule="auto"/>
              <w:jc w:val="both"/>
              <w:rPr>
                <w:rFonts w:ascii="Times New Roman" w:hAnsi="Times New Roman" w:cs="Times New Roman"/>
                <w:b w:val="0"/>
                <w:szCs w:val="24"/>
                <w:lang w:val="lt-LT"/>
              </w:rPr>
            </w:pPr>
            <w:r w:rsidRPr="0017614D">
              <w:rPr>
                <w:rFonts w:ascii="Times New Roman" w:hAnsi="Times New Roman" w:cs="Times New Roman"/>
                <w:b w:val="0"/>
                <w:szCs w:val="24"/>
                <w:lang w:val="lt-LT"/>
              </w:rPr>
              <w:t>Iškeliami ieškiniai, kurie gali būti pralaimėti</w:t>
            </w:r>
          </w:p>
        </w:tc>
      </w:tr>
      <w:tr w:rsidR="003A3984" w:rsidRPr="0017614D" w:rsidTr="0015251A">
        <w:trPr>
          <w:cnfStyle w:val="000000100000"/>
          <w:jc w:val="center"/>
        </w:trPr>
        <w:tc>
          <w:tcPr>
            <w:cnfStyle w:val="001000000000"/>
            <w:tcW w:w="910" w:type="dxa"/>
          </w:tcPr>
          <w:p w:rsidR="003A3984" w:rsidRPr="0017614D" w:rsidRDefault="003A3984" w:rsidP="00F4304D">
            <w:pPr>
              <w:suppressAutoHyphens/>
              <w:spacing w:line="276" w:lineRule="auto"/>
              <w:jc w:val="center"/>
              <w:rPr>
                <w:rFonts w:ascii="Times New Roman" w:hAnsi="Times New Roman" w:cs="Times New Roman"/>
                <w:b w:val="0"/>
                <w:szCs w:val="24"/>
                <w:lang w:val="lt-LT"/>
              </w:rPr>
            </w:pPr>
            <w:r w:rsidRPr="0017614D">
              <w:rPr>
                <w:rFonts w:ascii="Times New Roman" w:hAnsi="Times New Roman" w:cs="Times New Roman"/>
                <w:b w:val="0"/>
                <w:szCs w:val="24"/>
                <w:lang w:val="lt-LT"/>
              </w:rPr>
              <w:t>9.</w:t>
            </w:r>
          </w:p>
        </w:tc>
        <w:tc>
          <w:tcPr>
            <w:cnfStyle w:val="000100000000"/>
            <w:tcW w:w="8377" w:type="dxa"/>
          </w:tcPr>
          <w:p w:rsidR="003A3984" w:rsidRPr="0017614D" w:rsidRDefault="003A3984" w:rsidP="00F4304D">
            <w:pPr>
              <w:tabs>
                <w:tab w:val="left" w:pos="540"/>
              </w:tabs>
              <w:suppressAutoHyphens/>
              <w:spacing w:line="276" w:lineRule="auto"/>
              <w:jc w:val="both"/>
              <w:rPr>
                <w:rFonts w:ascii="Times New Roman" w:hAnsi="Times New Roman" w:cs="Times New Roman"/>
                <w:b w:val="0"/>
                <w:szCs w:val="24"/>
                <w:lang w:val="lt-LT"/>
              </w:rPr>
            </w:pPr>
            <w:r w:rsidRPr="0017614D">
              <w:rPr>
                <w:rFonts w:ascii="Times New Roman" w:hAnsi="Times New Roman" w:cs="Times New Roman"/>
                <w:b w:val="0"/>
                <w:szCs w:val="24"/>
                <w:lang w:val="lt-LT"/>
              </w:rPr>
              <w:t>Mažėja darbo drausmė įmonėjė</w:t>
            </w:r>
          </w:p>
        </w:tc>
      </w:tr>
      <w:tr w:rsidR="003A3984" w:rsidRPr="0017614D" w:rsidTr="0015251A">
        <w:trPr>
          <w:cnfStyle w:val="000000010000"/>
          <w:jc w:val="center"/>
        </w:trPr>
        <w:tc>
          <w:tcPr>
            <w:cnfStyle w:val="001000000000"/>
            <w:tcW w:w="910" w:type="dxa"/>
          </w:tcPr>
          <w:p w:rsidR="003A3984" w:rsidRPr="0017614D" w:rsidRDefault="003A3984" w:rsidP="0015251A">
            <w:pPr>
              <w:suppressAutoHyphens/>
              <w:spacing w:line="276" w:lineRule="auto"/>
              <w:jc w:val="center"/>
              <w:rPr>
                <w:rFonts w:ascii="Times New Roman" w:hAnsi="Times New Roman" w:cs="Times New Roman"/>
                <w:b w:val="0"/>
                <w:szCs w:val="24"/>
                <w:lang w:val="lt-LT"/>
              </w:rPr>
            </w:pPr>
            <w:r w:rsidRPr="0017614D">
              <w:rPr>
                <w:rFonts w:ascii="Times New Roman" w:hAnsi="Times New Roman" w:cs="Times New Roman"/>
                <w:b w:val="0"/>
                <w:szCs w:val="24"/>
                <w:lang w:val="lt-LT"/>
              </w:rPr>
              <w:t>10.</w:t>
            </w:r>
          </w:p>
        </w:tc>
        <w:tc>
          <w:tcPr>
            <w:cnfStyle w:val="000100000000"/>
            <w:tcW w:w="8377" w:type="dxa"/>
          </w:tcPr>
          <w:p w:rsidR="003A3984" w:rsidRPr="0017614D" w:rsidRDefault="003A3984" w:rsidP="00535423">
            <w:pPr>
              <w:tabs>
                <w:tab w:val="left" w:pos="540"/>
              </w:tabs>
              <w:suppressAutoHyphens/>
              <w:spacing w:line="276" w:lineRule="auto"/>
              <w:jc w:val="both"/>
              <w:rPr>
                <w:rFonts w:ascii="Times New Roman" w:hAnsi="Times New Roman" w:cs="Times New Roman"/>
                <w:b w:val="0"/>
                <w:szCs w:val="24"/>
                <w:lang w:val="lt-LT"/>
              </w:rPr>
            </w:pPr>
            <w:r w:rsidRPr="0017614D">
              <w:rPr>
                <w:rFonts w:ascii="Times New Roman" w:hAnsi="Times New Roman" w:cs="Times New Roman"/>
                <w:b w:val="0"/>
                <w:szCs w:val="24"/>
                <w:lang w:val="lt-LT"/>
              </w:rPr>
              <w:t>Kuriami pernelyg optimistiniai ateities planai</w:t>
            </w:r>
          </w:p>
        </w:tc>
      </w:tr>
      <w:tr w:rsidR="003A3984" w:rsidRPr="0017614D" w:rsidTr="0015251A">
        <w:trPr>
          <w:cnfStyle w:val="000000100000"/>
          <w:jc w:val="center"/>
        </w:trPr>
        <w:tc>
          <w:tcPr>
            <w:cnfStyle w:val="001000000000"/>
            <w:tcW w:w="910" w:type="dxa"/>
          </w:tcPr>
          <w:p w:rsidR="003A3984" w:rsidRPr="0017614D" w:rsidRDefault="003A3984" w:rsidP="00535423">
            <w:pPr>
              <w:suppressAutoHyphens/>
              <w:spacing w:line="276" w:lineRule="auto"/>
              <w:jc w:val="center"/>
              <w:rPr>
                <w:rFonts w:ascii="Times New Roman" w:hAnsi="Times New Roman" w:cs="Times New Roman"/>
                <w:b w:val="0"/>
                <w:szCs w:val="24"/>
                <w:lang w:val="lt-LT"/>
              </w:rPr>
            </w:pPr>
            <w:r w:rsidRPr="0017614D">
              <w:rPr>
                <w:rFonts w:ascii="Times New Roman" w:hAnsi="Times New Roman" w:cs="Times New Roman"/>
                <w:b w:val="0"/>
                <w:szCs w:val="24"/>
                <w:lang w:val="lt-LT"/>
              </w:rPr>
              <w:t>11.</w:t>
            </w:r>
          </w:p>
        </w:tc>
        <w:tc>
          <w:tcPr>
            <w:cnfStyle w:val="000100000000"/>
            <w:tcW w:w="8377" w:type="dxa"/>
          </w:tcPr>
          <w:p w:rsidR="003A3984" w:rsidRPr="0017614D" w:rsidRDefault="003A3984" w:rsidP="00535423">
            <w:pPr>
              <w:tabs>
                <w:tab w:val="left" w:pos="540"/>
              </w:tabs>
              <w:suppressAutoHyphens/>
              <w:spacing w:line="276" w:lineRule="auto"/>
              <w:jc w:val="both"/>
              <w:rPr>
                <w:rFonts w:ascii="Times New Roman" w:hAnsi="Times New Roman" w:cs="Times New Roman"/>
                <w:b w:val="0"/>
                <w:szCs w:val="24"/>
                <w:lang w:val="lt-LT"/>
              </w:rPr>
            </w:pPr>
            <w:r w:rsidRPr="0017614D">
              <w:rPr>
                <w:rFonts w:ascii="Times New Roman" w:hAnsi="Times New Roman" w:cs="Times New Roman"/>
                <w:b w:val="0"/>
                <w:szCs w:val="24"/>
                <w:lang w:val="lt-LT"/>
              </w:rPr>
              <w:t>Pažeidžiamas techninių ir finansinių procesų ritmingumas</w:t>
            </w:r>
          </w:p>
        </w:tc>
      </w:tr>
      <w:tr w:rsidR="003A3984" w:rsidRPr="0017614D" w:rsidTr="0015251A">
        <w:trPr>
          <w:cnfStyle w:val="000000010000"/>
          <w:jc w:val="center"/>
        </w:trPr>
        <w:tc>
          <w:tcPr>
            <w:cnfStyle w:val="001000000000"/>
            <w:tcW w:w="910" w:type="dxa"/>
          </w:tcPr>
          <w:p w:rsidR="003A3984" w:rsidRPr="0017614D" w:rsidRDefault="003A3984" w:rsidP="00535423">
            <w:pPr>
              <w:suppressAutoHyphens/>
              <w:spacing w:line="276" w:lineRule="auto"/>
              <w:jc w:val="center"/>
              <w:rPr>
                <w:rFonts w:ascii="Times New Roman" w:hAnsi="Times New Roman" w:cs="Times New Roman"/>
                <w:b w:val="0"/>
                <w:szCs w:val="24"/>
                <w:lang w:val="lt-LT"/>
              </w:rPr>
            </w:pPr>
            <w:r w:rsidRPr="0017614D">
              <w:rPr>
                <w:rFonts w:ascii="Times New Roman" w:hAnsi="Times New Roman" w:cs="Times New Roman"/>
                <w:b w:val="0"/>
                <w:szCs w:val="24"/>
                <w:lang w:val="lt-LT"/>
              </w:rPr>
              <w:t>12.</w:t>
            </w:r>
          </w:p>
        </w:tc>
        <w:tc>
          <w:tcPr>
            <w:cnfStyle w:val="000100000000"/>
            <w:tcW w:w="8377" w:type="dxa"/>
          </w:tcPr>
          <w:p w:rsidR="003A3984" w:rsidRPr="0017614D" w:rsidRDefault="003A3984" w:rsidP="00535423">
            <w:pPr>
              <w:tabs>
                <w:tab w:val="left" w:pos="540"/>
              </w:tabs>
              <w:suppressAutoHyphens/>
              <w:spacing w:line="276" w:lineRule="auto"/>
              <w:jc w:val="both"/>
              <w:rPr>
                <w:rFonts w:ascii="Times New Roman" w:hAnsi="Times New Roman" w:cs="Times New Roman"/>
                <w:b w:val="0"/>
                <w:szCs w:val="24"/>
                <w:lang w:val="lt-LT"/>
              </w:rPr>
            </w:pPr>
            <w:r w:rsidRPr="0017614D">
              <w:rPr>
                <w:rFonts w:ascii="Times New Roman" w:hAnsi="Times New Roman" w:cs="Times New Roman"/>
                <w:b w:val="0"/>
                <w:szCs w:val="24"/>
                <w:lang w:val="lt-LT"/>
              </w:rPr>
              <w:t>Mažėja įmonės pelningumas</w:t>
            </w:r>
          </w:p>
        </w:tc>
      </w:tr>
      <w:tr w:rsidR="003A3984" w:rsidRPr="0017614D" w:rsidTr="0015251A">
        <w:trPr>
          <w:cnfStyle w:val="000000100000"/>
          <w:jc w:val="center"/>
        </w:trPr>
        <w:tc>
          <w:tcPr>
            <w:cnfStyle w:val="001000000000"/>
            <w:tcW w:w="910" w:type="dxa"/>
          </w:tcPr>
          <w:p w:rsidR="003A3984" w:rsidRPr="0017614D" w:rsidRDefault="003A3984" w:rsidP="00535423">
            <w:pPr>
              <w:suppressAutoHyphens/>
              <w:jc w:val="center"/>
              <w:rPr>
                <w:rFonts w:ascii="Times New Roman" w:hAnsi="Times New Roman" w:cs="Times New Roman"/>
                <w:b w:val="0"/>
                <w:szCs w:val="24"/>
                <w:lang w:val="lt-LT"/>
              </w:rPr>
            </w:pPr>
            <w:r w:rsidRPr="0017614D">
              <w:rPr>
                <w:rFonts w:ascii="Times New Roman" w:hAnsi="Times New Roman" w:cs="Times New Roman"/>
                <w:b w:val="0"/>
                <w:szCs w:val="24"/>
                <w:lang w:val="lt-LT"/>
              </w:rPr>
              <w:t>13.</w:t>
            </w:r>
          </w:p>
        </w:tc>
        <w:tc>
          <w:tcPr>
            <w:cnfStyle w:val="000100000000"/>
            <w:tcW w:w="8377" w:type="dxa"/>
          </w:tcPr>
          <w:p w:rsidR="003A3984" w:rsidRPr="0017614D" w:rsidRDefault="003A3984" w:rsidP="00535423">
            <w:pPr>
              <w:tabs>
                <w:tab w:val="left" w:pos="540"/>
              </w:tabs>
              <w:suppressAutoHyphens/>
              <w:jc w:val="both"/>
              <w:rPr>
                <w:rFonts w:ascii="Times New Roman" w:hAnsi="Times New Roman" w:cs="Times New Roman"/>
                <w:szCs w:val="24"/>
                <w:lang w:val="lt-LT"/>
              </w:rPr>
            </w:pPr>
            <w:r w:rsidRPr="0017614D">
              <w:rPr>
                <w:rFonts w:ascii="Times New Roman" w:hAnsi="Times New Roman" w:cs="Times New Roman"/>
                <w:b w:val="0"/>
                <w:bCs w:val="0"/>
                <w:szCs w:val="24"/>
                <w:lang w:val="lt-LT"/>
              </w:rPr>
              <w:t>Didėjantys įmonių finansiniai įsipareigojimai kreditoriams</w:t>
            </w:r>
          </w:p>
        </w:tc>
      </w:tr>
      <w:tr w:rsidR="003A3984" w:rsidRPr="0017614D" w:rsidTr="0015251A">
        <w:trPr>
          <w:cnfStyle w:val="000000010000"/>
          <w:jc w:val="center"/>
        </w:trPr>
        <w:tc>
          <w:tcPr>
            <w:cnfStyle w:val="001000000000"/>
            <w:tcW w:w="910" w:type="dxa"/>
          </w:tcPr>
          <w:p w:rsidR="003A3984" w:rsidRPr="0017614D" w:rsidRDefault="003A3984" w:rsidP="00535423">
            <w:pPr>
              <w:suppressAutoHyphens/>
              <w:jc w:val="center"/>
              <w:rPr>
                <w:rFonts w:ascii="Times New Roman" w:hAnsi="Times New Roman" w:cs="Times New Roman"/>
                <w:b w:val="0"/>
                <w:szCs w:val="24"/>
                <w:lang w:val="lt-LT"/>
              </w:rPr>
            </w:pPr>
            <w:r w:rsidRPr="0017614D">
              <w:rPr>
                <w:rFonts w:ascii="Times New Roman" w:hAnsi="Times New Roman" w:cs="Times New Roman"/>
                <w:b w:val="0"/>
                <w:szCs w:val="24"/>
                <w:lang w:val="lt-LT"/>
              </w:rPr>
              <w:t>14.</w:t>
            </w:r>
          </w:p>
        </w:tc>
        <w:tc>
          <w:tcPr>
            <w:cnfStyle w:val="000100000000"/>
            <w:tcW w:w="8377" w:type="dxa"/>
          </w:tcPr>
          <w:p w:rsidR="003A3984" w:rsidRPr="0017614D" w:rsidRDefault="003A3984" w:rsidP="00535423">
            <w:pPr>
              <w:tabs>
                <w:tab w:val="left" w:pos="540"/>
              </w:tabs>
              <w:suppressAutoHyphens/>
              <w:jc w:val="both"/>
              <w:rPr>
                <w:rFonts w:ascii="Times New Roman" w:hAnsi="Times New Roman" w:cs="Times New Roman"/>
                <w:szCs w:val="24"/>
                <w:lang w:val="lt-LT"/>
              </w:rPr>
            </w:pPr>
            <w:r w:rsidRPr="0017614D">
              <w:rPr>
                <w:rFonts w:ascii="Times New Roman" w:hAnsi="Times New Roman" w:cs="Times New Roman"/>
                <w:b w:val="0"/>
                <w:bCs w:val="0"/>
                <w:szCs w:val="24"/>
                <w:lang w:val="lt-LT"/>
              </w:rPr>
              <w:t>Ribojamas dividentų mokėjimas (siekiant padidinti grynųjų pinigų kiekį ar sukaupti lėšas, skirtas skolų grąžinimui)</w:t>
            </w:r>
          </w:p>
        </w:tc>
      </w:tr>
      <w:tr w:rsidR="003A3984" w:rsidRPr="0017614D" w:rsidTr="0015251A">
        <w:trPr>
          <w:cnfStyle w:val="000000100000"/>
          <w:jc w:val="center"/>
        </w:trPr>
        <w:tc>
          <w:tcPr>
            <w:cnfStyle w:val="001000000000"/>
            <w:tcW w:w="910" w:type="dxa"/>
          </w:tcPr>
          <w:p w:rsidR="003A3984" w:rsidRPr="0017614D" w:rsidRDefault="003A3984" w:rsidP="00535423">
            <w:pPr>
              <w:suppressAutoHyphens/>
              <w:jc w:val="center"/>
              <w:rPr>
                <w:rFonts w:ascii="Times New Roman" w:hAnsi="Times New Roman" w:cs="Times New Roman"/>
                <w:b w:val="0"/>
                <w:szCs w:val="24"/>
                <w:lang w:val="lt-LT"/>
              </w:rPr>
            </w:pPr>
            <w:r w:rsidRPr="0017614D">
              <w:rPr>
                <w:rFonts w:ascii="Times New Roman" w:hAnsi="Times New Roman" w:cs="Times New Roman"/>
                <w:b w:val="0"/>
                <w:szCs w:val="24"/>
                <w:lang w:val="lt-LT"/>
              </w:rPr>
              <w:t>15.</w:t>
            </w:r>
          </w:p>
        </w:tc>
        <w:tc>
          <w:tcPr>
            <w:cnfStyle w:val="000100000000"/>
            <w:tcW w:w="8377" w:type="dxa"/>
          </w:tcPr>
          <w:p w:rsidR="003A3984" w:rsidRPr="0017614D" w:rsidRDefault="003A3984" w:rsidP="00535423">
            <w:pPr>
              <w:tabs>
                <w:tab w:val="left" w:pos="540"/>
              </w:tabs>
              <w:suppressAutoHyphens/>
              <w:jc w:val="both"/>
              <w:rPr>
                <w:rFonts w:ascii="Times New Roman" w:hAnsi="Times New Roman" w:cs="Times New Roman"/>
                <w:szCs w:val="24"/>
                <w:lang w:val="lt-LT"/>
              </w:rPr>
            </w:pPr>
            <w:r w:rsidRPr="0017614D">
              <w:rPr>
                <w:rFonts w:ascii="Times New Roman" w:hAnsi="Times New Roman" w:cs="Times New Roman"/>
                <w:b w:val="0"/>
                <w:bCs w:val="0"/>
                <w:szCs w:val="24"/>
                <w:lang w:val="lt-LT"/>
              </w:rPr>
              <w:t>Blogėjantys įmonių likvidumo, mokumo, pelningumo, turto panaudojimo efektyvumo ir kiti finansiniai rodikliai</w:t>
            </w:r>
          </w:p>
        </w:tc>
      </w:tr>
      <w:tr w:rsidR="003A3984" w:rsidRPr="0017614D" w:rsidTr="0015251A">
        <w:trPr>
          <w:cnfStyle w:val="000000010000"/>
          <w:jc w:val="center"/>
        </w:trPr>
        <w:tc>
          <w:tcPr>
            <w:cnfStyle w:val="001000000000"/>
            <w:tcW w:w="910" w:type="dxa"/>
          </w:tcPr>
          <w:p w:rsidR="003A3984" w:rsidRPr="0017614D" w:rsidRDefault="003A3984" w:rsidP="00535423">
            <w:pPr>
              <w:suppressAutoHyphens/>
              <w:jc w:val="center"/>
              <w:rPr>
                <w:rFonts w:ascii="Times New Roman" w:hAnsi="Times New Roman" w:cs="Times New Roman"/>
                <w:b w:val="0"/>
                <w:szCs w:val="24"/>
                <w:lang w:val="lt-LT"/>
              </w:rPr>
            </w:pPr>
            <w:r w:rsidRPr="0017614D">
              <w:rPr>
                <w:rFonts w:ascii="Times New Roman" w:hAnsi="Times New Roman" w:cs="Times New Roman"/>
                <w:b w:val="0"/>
                <w:szCs w:val="24"/>
                <w:lang w:val="lt-LT"/>
              </w:rPr>
              <w:t>16.</w:t>
            </w:r>
          </w:p>
        </w:tc>
        <w:tc>
          <w:tcPr>
            <w:cnfStyle w:val="000100000000"/>
            <w:tcW w:w="8377" w:type="dxa"/>
          </w:tcPr>
          <w:p w:rsidR="003A3984" w:rsidRPr="0017614D" w:rsidRDefault="003A3984" w:rsidP="006434CF">
            <w:pPr>
              <w:tabs>
                <w:tab w:val="left" w:pos="540"/>
              </w:tabs>
              <w:suppressAutoHyphens/>
              <w:spacing w:line="276" w:lineRule="auto"/>
              <w:jc w:val="both"/>
              <w:rPr>
                <w:rFonts w:ascii="Times New Roman" w:hAnsi="Times New Roman" w:cs="Times New Roman"/>
                <w:b w:val="0"/>
                <w:bCs w:val="0"/>
                <w:szCs w:val="24"/>
                <w:lang w:val="lt-LT"/>
              </w:rPr>
            </w:pPr>
            <w:r w:rsidRPr="0017614D">
              <w:rPr>
                <w:rFonts w:ascii="Times New Roman" w:hAnsi="Times New Roman" w:cs="Times New Roman"/>
                <w:b w:val="0"/>
                <w:bCs w:val="0"/>
                <w:szCs w:val="24"/>
                <w:lang w:val="lt-LT"/>
              </w:rPr>
              <w:t>Vieningos ir pastovios apskaitos politikos nebuvimas (apskaitos politikos nepastovumas, dažnas apskaitos politikos keitimas, vėlavimas laiku pateikti įmonių veiklos finansinius duomenis, turinčio gerą reputaciją auditoriaus pakeitimas į mažiau žinomą ir mažiau patikimą auditorių)</w:t>
            </w:r>
          </w:p>
        </w:tc>
      </w:tr>
      <w:tr w:rsidR="003A3984" w:rsidRPr="0017614D" w:rsidTr="0015251A">
        <w:trPr>
          <w:cnfStyle w:val="000000100000"/>
          <w:jc w:val="center"/>
        </w:trPr>
        <w:tc>
          <w:tcPr>
            <w:cnfStyle w:val="001000000000"/>
            <w:tcW w:w="910" w:type="dxa"/>
          </w:tcPr>
          <w:p w:rsidR="003A3984" w:rsidRPr="0017614D" w:rsidRDefault="003A3984" w:rsidP="00535423">
            <w:pPr>
              <w:suppressAutoHyphens/>
              <w:jc w:val="center"/>
              <w:rPr>
                <w:rFonts w:ascii="Times New Roman" w:hAnsi="Times New Roman" w:cs="Times New Roman"/>
                <w:b w:val="0"/>
                <w:szCs w:val="24"/>
                <w:lang w:val="lt-LT"/>
              </w:rPr>
            </w:pPr>
            <w:r w:rsidRPr="0017614D">
              <w:rPr>
                <w:rFonts w:ascii="Times New Roman" w:hAnsi="Times New Roman" w:cs="Times New Roman"/>
                <w:b w:val="0"/>
                <w:szCs w:val="24"/>
                <w:lang w:val="lt-LT"/>
              </w:rPr>
              <w:t>17.</w:t>
            </w:r>
          </w:p>
        </w:tc>
        <w:tc>
          <w:tcPr>
            <w:cnfStyle w:val="000100000000"/>
            <w:tcW w:w="8377" w:type="dxa"/>
          </w:tcPr>
          <w:p w:rsidR="003A3984" w:rsidRPr="0017614D" w:rsidRDefault="003A3984" w:rsidP="006434CF">
            <w:pPr>
              <w:tabs>
                <w:tab w:val="left" w:pos="540"/>
              </w:tabs>
              <w:suppressAutoHyphens/>
              <w:spacing w:line="276" w:lineRule="auto"/>
              <w:jc w:val="both"/>
              <w:rPr>
                <w:rFonts w:ascii="Times New Roman" w:hAnsi="Times New Roman" w:cs="Times New Roman"/>
                <w:b w:val="0"/>
                <w:bCs w:val="0"/>
                <w:szCs w:val="24"/>
                <w:lang w:val="lt-LT"/>
              </w:rPr>
            </w:pPr>
            <w:r w:rsidRPr="0017614D">
              <w:rPr>
                <w:rFonts w:ascii="Times New Roman" w:hAnsi="Times New Roman" w:cs="Times New Roman"/>
                <w:b w:val="0"/>
                <w:bCs w:val="0"/>
                <w:szCs w:val="24"/>
                <w:lang w:val="lt-LT"/>
              </w:rPr>
              <w:t>Įmonių vadovų neryžtingumas, iniciatyvos priimti radikalius sprendimus stoka</w:t>
            </w:r>
          </w:p>
        </w:tc>
      </w:tr>
      <w:tr w:rsidR="003A3984" w:rsidRPr="0017614D" w:rsidTr="0015251A">
        <w:trPr>
          <w:cnfStyle w:val="000000010000"/>
          <w:jc w:val="center"/>
        </w:trPr>
        <w:tc>
          <w:tcPr>
            <w:cnfStyle w:val="001000000000"/>
            <w:tcW w:w="910" w:type="dxa"/>
          </w:tcPr>
          <w:p w:rsidR="003A3984" w:rsidRPr="0017614D" w:rsidRDefault="003A3984" w:rsidP="00535423">
            <w:pPr>
              <w:suppressAutoHyphens/>
              <w:jc w:val="center"/>
              <w:rPr>
                <w:rFonts w:ascii="Times New Roman" w:hAnsi="Times New Roman" w:cs="Times New Roman"/>
                <w:b w:val="0"/>
                <w:szCs w:val="24"/>
                <w:lang w:val="lt-LT"/>
              </w:rPr>
            </w:pPr>
            <w:r w:rsidRPr="0017614D">
              <w:rPr>
                <w:rFonts w:ascii="Times New Roman" w:hAnsi="Times New Roman" w:cs="Times New Roman"/>
                <w:b w:val="0"/>
                <w:szCs w:val="24"/>
                <w:lang w:val="lt-LT"/>
              </w:rPr>
              <w:t>18.</w:t>
            </w:r>
          </w:p>
        </w:tc>
        <w:tc>
          <w:tcPr>
            <w:cnfStyle w:val="000100000000"/>
            <w:tcW w:w="8377" w:type="dxa"/>
          </w:tcPr>
          <w:p w:rsidR="003A3984" w:rsidRPr="0017614D" w:rsidRDefault="003A3984" w:rsidP="006434CF">
            <w:pPr>
              <w:tabs>
                <w:tab w:val="left" w:pos="540"/>
              </w:tabs>
              <w:suppressAutoHyphens/>
              <w:spacing w:line="276" w:lineRule="auto"/>
              <w:jc w:val="both"/>
              <w:rPr>
                <w:rFonts w:ascii="Times New Roman" w:hAnsi="Times New Roman" w:cs="Times New Roman"/>
                <w:b w:val="0"/>
                <w:bCs w:val="0"/>
                <w:szCs w:val="24"/>
                <w:lang w:val="lt-LT"/>
              </w:rPr>
            </w:pPr>
            <w:r w:rsidRPr="0017614D">
              <w:rPr>
                <w:rFonts w:ascii="Times New Roman" w:hAnsi="Times New Roman" w:cs="Times New Roman"/>
                <w:b w:val="0"/>
                <w:bCs w:val="0"/>
                <w:szCs w:val="24"/>
                <w:lang w:val="lt-LT"/>
              </w:rPr>
              <w:t>Įmonės  užimamos  rinkos  dalies  mažėjimas  (tai  iš  dalies  susiję  su įmonių pajamų ir apyvartos mažėjimu, skirtumas tik tas, kad šiuo atveju rinkos dalies mažėjimas vertinamas kiekybiškai)</w:t>
            </w:r>
          </w:p>
        </w:tc>
      </w:tr>
      <w:tr w:rsidR="003A3984" w:rsidRPr="0017614D" w:rsidTr="0015251A">
        <w:trPr>
          <w:cnfStyle w:val="000000100000"/>
          <w:jc w:val="center"/>
        </w:trPr>
        <w:tc>
          <w:tcPr>
            <w:cnfStyle w:val="001000000000"/>
            <w:tcW w:w="910" w:type="dxa"/>
          </w:tcPr>
          <w:p w:rsidR="003A3984" w:rsidRPr="0017614D" w:rsidRDefault="003A3984" w:rsidP="00535423">
            <w:pPr>
              <w:suppressAutoHyphens/>
              <w:jc w:val="center"/>
              <w:rPr>
                <w:rFonts w:ascii="Times New Roman" w:hAnsi="Times New Roman" w:cs="Times New Roman"/>
                <w:b w:val="0"/>
                <w:szCs w:val="24"/>
                <w:lang w:val="lt-LT"/>
              </w:rPr>
            </w:pPr>
            <w:r w:rsidRPr="0017614D">
              <w:rPr>
                <w:rFonts w:ascii="Times New Roman" w:hAnsi="Times New Roman" w:cs="Times New Roman"/>
                <w:b w:val="0"/>
                <w:szCs w:val="24"/>
                <w:lang w:val="lt-LT"/>
              </w:rPr>
              <w:t>19.</w:t>
            </w:r>
          </w:p>
        </w:tc>
        <w:tc>
          <w:tcPr>
            <w:cnfStyle w:val="000100000000"/>
            <w:tcW w:w="8377" w:type="dxa"/>
          </w:tcPr>
          <w:p w:rsidR="003A3984" w:rsidRPr="0017614D" w:rsidRDefault="003A3984" w:rsidP="006434CF">
            <w:pPr>
              <w:tabs>
                <w:tab w:val="left" w:pos="540"/>
              </w:tabs>
              <w:suppressAutoHyphens/>
              <w:spacing w:line="276" w:lineRule="auto"/>
              <w:jc w:val="both"/>
              <w:rPr>
                <w:rFonts w:ascii="Times New Roman" w:hAnsi="Times New Roman" w:cs="Times New Roman"/>
                <w:b w:val="0"/>
                <w:bCs w:val="0"/>
                <w:szCs w:val="24"/>
                <w:lang w:val="lt-LT"/>
              </w:rPr>
            </w:pPr>
            <w:r w:rsidRPr="0017614D">
              <w:rPr>
                <w:rFonts w:ascii="Times New Roman" w:hAnsi="Times New Roman" w:cs="Times New Roman"/>
                <w:b w:val="0"/>
                <w:bCs w:val="0"/>
                <w:szCs w:val="24"/>
                <w:lang w:val="lt-LT"/>
              </w:rPr>
              <w:t>Veiklos strategijos ir planavimo nebuvimas (ypač ilgalaikiame laikotarpyje)</w:t>
            </w:r>
          </w:p>
        </w:tc>
      </w:tr>
      <w:tr w:rsidR="003A3984" w:rsidRPr="0017614D" w:rsidTr="00E809CD">
        <w:trPr>
          <w:cnfStyle w:val="010000000000"/>
          <w:jc w:val="center"/>
        </w:trPr>
        <w:tc>
          <w:tcPr>
            <w:cnfStyle w:val="001000000000"/>
            <w:tcW w:w="910" w:type="dxa"/>
            <w:shd w:val="clear" w:color="auto" w:fill="auto"/>
          </w:tcPr>
          <w:p w:rsidR="003A3984" w:rsidRPr="0017614D" w:rsidRDefault="003A3984" w:rsidP="00535423">
            <w:pPr>
              <w:suppressAutoHyphens/>
              <w:jc w:val="center"/>
              <w:rPr>
                <w:rFonts w:ascii="Times New Roman" w:hAnsi="Times New Roman" w:cs="Times New Roman"/>
                <w:b w:val="0"/>
                <w:szCs w:val="24"/>
                <w:lang w:val="lt-LT"/>
              </w:rPr>
            </w:pPr>
            <w:r w:rsidRPr="0017614D">
              <w:rPr>
                <w:rFonts w:ascii="Times New Roman" w:hAnsi="Times New Roman" w:cs="Times New Roman"/>
                <w:b w:val="0"/>
                <w:szCs w:val="24"/>
                <w:lang w:val="lt-LT"/>
              </w:rPr>
              <w:t>20.</w:t>
            </w:r>
          </w:p>
        </w:tc>
        <w:tc>
          <w:tcPr>
            <w:cnfStyle w:val="000100000000"/>
            <w:tcW w:w="8377" w:type="dxa"/>
            <w:shd w:val="clear" w:color="auto" w:fill="auto"/>
          </w:tcPr>
          <w:p w:rsidR="003A3984" w:rsidRPr="0017614D" w:rsidRDefault="003A3984" w:rsidP="006434CF">
            <w:pPr>
              <w:tabs>
                <w:tab w:val="left" w:pos="540"/>
              </w:tabs>
              <w:suppressAutoHyphens/>
              <w:spacing w:line="276" w:lineRule="auto"/>
              <w:jc w:val="both"/>
              <w:rPr>
                <w:rFonts w:ascii="Times New Roman" w:hAnsi="Times New Roman" w:cs="Times New Roman"/>
                <w:b w:val="0"/>
                <w:bCs w:val="0"/>
                <w:szCs w:val="24"/>
                <w:lang w:val="lt-LT"/>
              </w:rPr>
            </w:pPr>
            <w:r w:rsidRPr="0017614D">
              <w:rPr>
                <w:rFonts w:ascii="Times New Roman" w:hAnsi="Times New Roman" w:cs="Times New Roman"/>
                <w:b w:val="0"/>
                <w:bCs w:val="0"/>
                <w:szCs w:val="24"/>
                <w:lang w:val="lt-LT"/>
              </w:rPr>
              <w:t>Aukščiausios valdymo grandies vadovų įmonių mokumo problemos ar jos sudėtingumo nesuvokimas</w:t>
            </w:r>
          </w:p>
        </w:tc>
      </w:tr>
    </w:tbl>
    <w:p w:rsidR="0015251A" w:rsidRPr="005D3FF6" w:rsidRDefault="00CD06A8" w:rsidP="0015251A">
      <w:pPr>
        <w:spacing w:before="120"/>
        <w:ind w:left="62" w:firstLine="482"/>
        <w:contextualSpacing/>
        <w:rPr>
          <w:rFonts w:ascii="Times New Roman" w:eastAsia="TimesNewRomanPSMT" w:hAnsi="Times New Roman" w:cs="Times New Roman"/>
          <w:sz w:val="20"/>
          <w:szCs w:val="24"/>
          <w:lang w:val="lt-LT"/>
        </w:rPr>
      </w:pPr>
      <w:r w:rsidRPr="005D3FF6">
        <w:rPr>
          <w:rFonts w:ascii="Times New Roman" w:hAnsi="Times New Roman" w:cs="Times New Roman"/>
          <w:b/>
          <w:sz w:val="20"/>
          <w:szCs w:val="24"/>
          <w:lang w:val="lt-LT"/>
        </w:rPr>
        <w:t>Šaltinis:</w:t>
      </w:r>
      <w:r w:rsidRPr="005D3FF6">
        <w:rPr>
          <w:rFonts w:ascii="Times New Roman" w:hAnsi="Times New Roman" w:cs="Times New Roman"/>
          <w:sz w:val="20"/>
          <w:szCs w:val="24"/>
          <w:lang w:val="lt-LT"/>
        </w:rPr>
        <w:t xml:space="preserve"> </w:t>
      </w:r>
      <w:r w:rsidR="006671D8" w:rsidRPr="005D3FF6">
        <w:rPr>
          <w:rFonts w:ascii="Times New Roman" w:hAnsi="Times New Roman" w:cs="Times New Roman"/>
          <w:sz w:val="20"/>
          <w:szCs w:val="24"/>
          <w:lang w:val="lt-LT"/>
        </w:rPr>
        <w:t xml:space="preserve">Sudaryta pagal </w:t>
      </w:r>
      <w:r w:rsidRPr="005D3FF6">
        <w:rPr>
          <w:rFonts w:ascii="Times New Roman" w:eastAsia="TimesNewRomanPSMT" w:hAnsi="Times New Roman" w:cs="Times New Roman"/>
          <w:sz w:val="20"/>
          <w:szCs w:val="24"/>
          <w:lang w:val="lt-LT"/>
        </w:rPr>
        <w:t xml:space="preserve">Соколов, Пятов, 2000, </w:t>
      </w:r>
      <w:r w:rsidR="0015251A" w:rsidRPr="005D3FF6">
        <w:rPr>
          <w:rFonts w:ascii="Times New Roman" w:hAnsi="Times New Roman" w:cs="Times New Roman"/>
          <w:bCs/>
          <w:sz w:val="20"/>
          <w:szCs w:val="24"/>
          <w:lang w:val="lt-LT"/>
        </w:rPr>
        <w:t>Grigaravičius, 2002.</w:t>
      </w:r>
    </w:p>
    <w:p w:rsidR="0015251A" w:rsidRPr="0017614D" w:rsidRDefault="0015251A" w:rsidP="0015251A">
      <w:pPr>
        <w:tabs>
          <w:tab w:val="left" w:pos="540"/>
        </w:tabs>
        <w:spacing w:before="120"/>
        <w:contextualSpacing/>
        <w:rPr>
          <w:rFonts w:ascii="Times New Roman" w:hAnsi="Times New Roman" w:cs="Times New Roman"/>
          <w:bCs/>
          <w:szCs w:val="24"/>
          <w:lang w:val="lt-LT"/>
        </w:rPr>
      </w:pPr>
    </w:p>
    <w:p w:rsidR="0015251A" w:rsidRPr="0017614D" w:rsidRDefault="003A3984" w:rsidP="0015251A">
      <w:pPr>
        <w:tabs>
          <w:tab w:val="left" w:pos="540"/>
        </w:tabs>
        <w:spacing w:line="360" w:lineRule="auto"/>
        <w:ind w:left="62"/>
        <w:contextualSpacing/>
        <w:jc w:val="both"/>
        <w:rPr>
          <w:rFonts w:ascii="Times New Roman" w:hAnsi="Times New Roman" w:cs="Times New Roman"/>
          <w:bCs/>
          <w:sz w:val="24"/>
          <w:szCs w:val="24"/>
          <w:lang w:val="lt-LT"/>
        </w:rPr>
      </w:pPr>
      <w:r w:rsidRPr="0017614D">
        <w:rPr>
          <w:rFonts w:ascii="Times New Roman" w:hAnsi="Times New Roman" w:cs="Times New Roman"/>
          <w:bCs/>
          <w:sz w:val="24"/>
          <w:szCs w:val="24"/>
          <w:lang w:val="lt-LT"/>
        </w:rPr>
        <w:tab/>
        <w:t>Be to</w:t>
      </w:r>
      <w:r w:rsidR="0015251A" w:rsidRPr="0017614D">
        <w:rPr>
          <w:rFonts w:ascii="Times New Roman" w:hAnsi="Times New Roman" w:cs="Times New Roman"/>
          <w:bCs/>
          <w:sz w:val="24"/>
          <w:szCs w:val="24"/>
          <w:lang w:val="lt-LT"/>
        </w:rPr>
        <w:t xml:space="preserve"> K. Grigaitienė ir Š. Patkauskienė (2007) savo magistro darbe pateikia apibendrintą išvadą, kad bankroto grėsmę parodo pastovus įmonės veiklos nuostolingumas, partnerių atsisakymas teikti komercinį kreditą, dažnai nesėkmingi bandymai gauti bankų kreditus, apyvartinio kapitalo trūkumas bei kiti.</w:t>
      </w:r>
    </w:p>
    <w:p w:rsidR="00914B44" w:rsidRPr="0017614D" w:rsidRDefault="005559C8" w:rsidP="00ED3FB5">
      <w:pPr>
        <w:tabs>
          <w:tab w:val="left" w:pos="540"/>
        </w:tabs>
        <w:spacing w:after="0" w:line="360" w:lineRule="auto"/>
        <w:ind w:left="62"/>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ab/>
        <w:t>Tuo tarpu kitas autorius</w:t>
      </w:r>
      <w:r w:rsidR="00777A1A">
        <w:rPr>
          <w:rFonts w:ascii="Times New Roman" w:hAnsi="Times New Roman" w:cs="Times New Roman"/>
          <w:sz w:val="24"/>
          <w:szCs w:val="24"/>
          <w:lang w:val="lt-LT"/>
        </w:rPr>
        <w:t>,</w:t>
      </w:r>
      <w:r w:rsidR="00914B44" w:rsidRPr="0017614D">
        <w:rPr>
          <w:rFonts w:ascii="Times New Roman" w:hAnsi="Times New Roman" w:cs="Times New Roman"/>
          <w:sz w:val="24"/>
          <w:szCs w:val="24"/>
          <w:lang w:val="lt-LT"/>
        </w:rPr>
        <w:t xml:space="preserve"> J. Argenti</w:t>
      </w:r>
      <w:r w:rsidR="00777A1A">
        <w:rPr>
          <w:rFonts w:ascii="Times New Roman" w:hAnsi="Times New Roman" w:cs="Times New Roman"/>
          <w:sz w:val="24"/>
          <w:szCs w:val="24"/>
          <w:lang w:val="lt-LT"/>
        </w:rPr>
        <w:t>,</w:t>
      </w:r>
      <w:r w:rsidR="00914B44" w:rsidRPr="0017614D">
        <w:rPr>
          <w:rFonts w:ascii="Times New Roman" w:hAnsi="Times New Roman" w:cs="Times New Roman"/>
          <w:sz w:val="24"/>
          <w:szCs w:val="24"/>
          <w:lang w:val="lt-LT"/>
        </w:rPr>
        <w:t xml:space="preserve"> kurdamas modelį bankroto grėsmei nustatyti pabrėžė, kad įmonė turėtų susirūpinti savo būkle, kai yra pastebima, kad:</w:t>
      </w:r>
    </w:p>
    <w:p w:rsidR="00914B44" w:rsidRPr="0017614D" w:rsidRDefault="00914B44" w:rsidP="00417443">
      <w:pPr>
        <w:pStyle w:val="ListParagraph"/>
        <w:numPr>
          <w:ilvl w:val="0"/>
          <w:numId w:val="11"/>
        </w:numPr>
        <w:spacing w:after="0" w:line="360" w:lineRule="auto"/>
        <w:rPr>
          <w:rFonts w:ascii="Times New Roman" w:hAnsi="Times New Roman" w:cs="Times New Roman"/>
          <w:sz w:val="24"/>
          <w:lang w:val="lt-LT"/>
        </w:rPr>
      </w:pPr>
      <w:r w:rsidRPr="0017614D">
        <w:rPr>
          <w:rFonts w:ascii="Times New Roman" w:hAnsi="Times New Roman" w:cs="Times New Roman"/>
          <w:sz w:val="24"/>
          <w:lang w:val="lt-LT"/>
        </w:rPr>
        <w:t xml:space="preserve">įmonės finansinių rodiklių reikšmės akivaizdžiai pablogėjo; </w:t>
      </w:r>
    </w:p>
    <w:p w:rsidR="00914B44" w:rsidRPr="0017614D" w:rsidRDefault="00914B44" w:rsidP="00417443">
      <w:pPr>
        <w:pStyle w:val="ListParagraph"/>
        <w:numPr>
          <w:ilvl w:val="0"/>
          <w:numId w:val="11"/>
        </w:numPr>
        <w:spacing w:after="0" w:line="360" w:lineRule="auto"/>
        <w:rPr>
          <w:rFonts w:ascii="Times New Roman" w:hAnsi="Times New Roman" w:cs="Times New Roman"/>
          <w:sz w:val="24"/>
          <w:lang w:val="lt-LT"/>
        </w:rPr>
      </w:pPr>
      <w:r w:rsidRPr="0017614D">
        <w:rPr>
          <w:rFonts w:ascii="Times New Roman" w:hAnsi="Times New Roman" w:cs="Times New Roman"/>
          <w:sz w:val="24"/>
          <w:lang w:val="lt-LT"/>
        </w:rPr>
        <w:t>siekiant nuslėpti įmonės trūkumus yra „gražinami“ buhalterinės apskaitos duomenys;</w:t>
      </w:r>
    </w:p>
    <w:p w:rsidR="00914B44" w:rsidRPr="0017614D" w:rsidRDefault="00E15DF4" w:rsidP="00417443">
      <w:pPr>
        <w:pStyle w:val="ListParagraph"/>
        <w:numPr>
          <w:ilvl w:val="0"/>
          <w:numId w:val="11"/>
        </w:numPr>
        <w:spacing w:after="0" w:line="360" w:lineRule="auto"/>
        <w:rPr>
          <w:rFonts w:ascii="Times New Roman" w:hAnsi="Times New Roman" w:cs="Times New Roman"/>
          <w:sz w:val="24"/>
          <w:lang w:val="lt-LT"/>
        </w:rPr>
      </w:pPr>
      <w:r w:rsidRPr="0017614D">
        <w:rPr>
          <w:rFonts w:ascii="Times New Roman" w:hAnsi="Times New Roman" w:cs="Times New Roman"/>
          <w:sz w:val="24"/>
          <w:lang w:val="lt-LT"/>
        </w:rPr>
        <w:t>blogėja įmonės nefinansiniai rodikliai, tokie kaip produkto kokybė</w:t>
      </w:r>
      <w:r w:rsidR="00914B44" w:rsidRPr="0017614D">
        <w:rPr>
          <w:rFonts w:ascii="Times New Roman" w:hAnsi="Times New Roman" w:cs="Times New Roman"/>
          <w:sz w:val="24"/>
          <w:lang w:val="lt-LT"/>
        </w:rPr>
        <w:t xml:space="preserve">, darbo </w:t>
      </w:r>
      <w:r w:rsidRPr="0017614D">
        <w:rPr>
          <w:rFonts w:ascii="Times New Roman" w:hAnsi="Times New Roman" w:cs="Times New Roman"/>
          <w:sz w:val="24"/>
          <w:lang w:val="lt-LT"/>
        </w:rPr>
        <w:t>našumas, psichologinis</w:t>
      </w:r>
      <w:r w:rsidR="00914B44" w:rsidRPr="0017614D">
        <w:rPr>
          <w:rFonts w:ascii="Times New Roman" w:hAnsi="Times New Roman" w:cs="Times New Roman"/>
          <w:sz w:val="24"/>
          <w:lang w:val="lt-LT"/>
        </w:rPr>
        <w:t xml:space="preserve">  </w:t>
      </w:r>
      <w:r w:rsidRPr="0017614D">
        <w:rPr>
          <w:rFonts w:ascii="Times New Roman" w:hAnsi="Times New Roman" w:cs="Times New Roman"/>
          <w:sz w:val="24"/>
          <w:lang w:val="lt-LT"/>
        </w:rPr>
        <w:t>klimatas</w:t>
      </w:r>
      <w:r w:rsidR="00914B44" w:rsidRPr="0017614D">
        <w:rPr>
          <w:rFonts w:ascii="Times New Roman" w:hAnsi="Times New Roman" w:cs="Times New Roman"/>
          <w:sz w:val="24"/>
          <w:lang w:val="lt-LT"/>
        </w:rPr>
        <w:t xml:space="preserve"> </w:t>
      </w:r>
      <w:r w:rsidRPr="0017614D">
        <w:rPr>
          <w:rFonts w:ascii="Times New Roman" w:hAnsi="Times New Roman" w:cs="Times New Roman"/>
          <w:sz w:val="24"/>
          <w:lang w:val="lt-LT"/>
        </w:rPr>
        <w:t>ir t.t.;</w:t>
      </w:r>
      <w:r w:rsidR="00914B44" w:rsidRPr="0017614D">
        <w:rPr>
          <w:rFonts w:ascii="Times New Roman" w:hAnsi="Times New Roman" w:cs="Times New Roman"/>
          <w:sz w:val="24"/>
          <w:lang w:val="lt-LT"/>
        </w:rPr>
        <w:t xml:space="preserve"> </w:t>
      </w:r>
    </w:p>
    <w:p w:rsidR="00914B44" w:rsidRPr="0017614D" w:rsidRDefault="00E15DF4" w:rsidP="00417443">
      <w:pPr>
        <w:pStyle w:val="ListParagraph"/>
        <w:numPr>
          <w:ilvl w:val="0"/>
          <w:numId w:val="11"/>
        </w:numPr>
        <w:spacing w:after="0" w:line="360" w:lineRule="auto"/>
        <w:rPr>
          <w:rFonts w:ascii="Times New Roman" w:hAnsi="Times New Roman" w:cs="Times New Roman"/>
          <w:sz w:val="24"/>
          <w:lang w:val="lt-LT"/>
        </w:rPr>
      </w:pPr>
      <w:r w:rsidRPr="0017614D">
        <w:rPr>
          <w:rFonts w:ascii="Times New Roman" w:hAnsi="Times New Roman" w:cs="Times New Roman"/>
          <w:sz w:val="24"/>
          <w:lang w:val="lt-LT"/>
        </w:rPr>
        <w:t xml:space="preserve">įmonėje kartojasi </w:t>
      </w:r>
      <w:r w:rsidR="00914B44" w:rsidRPr="0017614D">
        <w:rPr>
          <w:rFonts w:ascii="Times New Roman" w:hAnsi="Times New Roman" w:cs="Times New Roman"/>
          <w:sz w:val="24"/>
          <w:lang w:val="lt-LT"/>
        </w:rPr>
        <w:t>skandalai, atsistatydinimai, teismo ieškiniai</w:t>
      </w:r>
      <w:r w:rsidRPr="0017614D">
        <w:rPr>
          <w:rFonts w:ascii="Times New Roman" w:hAnsi="Times New Roman" w:cs="Times New Roman"/>
          <w:sz w:val="24"/>
          <w:lang w:val="lt-LT"/>
        </w:rPr>
        <w:t xml:space="preserve"> ir kita</w:t>
      </w:r>
      <w:r w:rsidR="00914B44" w:rsidRPr="0017614D">
        <w:rPr>
          <w:rFonts w:ascii="Times New Roman" w:hAnsi="Times New Roman" w:cs="Times New Roman"/>
          <w:sz w:val="24"/>
          <w:lang w:val="lt-LT"/>
        </w:rPr>
        <w:t xml:space="preserve"> (Bivainis, Garškaitė, 2000, p. 13). </w:t>
      </w:r>
    </w:p>
    <w:p w:rsidR="00404F1D" w:rsidRPr="0017614D" w:rsidRDefault="00CD06A8" w:rsidP="00ED3FB5">
      <w:pPr>
        <w:tabs>
          <w:tab w:val="left" w:pos="540"/>
        </w:tabs>
        <w:spacing w:after="0" w:line="360" w:lineRule="auto"/>
        <w:ind w:left="62"/>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lastRenderedPageBreak/>
        <w:tab/>
      </w:r>
      <w:r w:rsidR="00404F1D" w:rsidRPr="0017614D">
        <w:rPr>
          <w:rFonts w:ascii="Times New Roman" w:hAnsi="Times New Roman" w:cs="Times New Roman"/>
          <w:sz w:val="24"/>
          <w:szCs w:val="24"/>
          <w:lang w:val="lt-LT"/>
        </w:rPr>
        <w:t xml:space="preserve">G. </w:t>
      </w:r>
      <w:r w:rsidR="009F48A8" w:rsidRPr="0017614D">
        <w:rPr>
          <w:rFonts w:ascii="Times New Roman" w:hAnsi="Times New Roman" w:cs="Times New Roman"/>
          <w:sz w:val="24"/>
          <w:szCs w:val="24"/>
          <w:lang w:val="lt-LT"/>
        </w:rPr>
        <w:t>Savickaja (2003) nuomone be visų</w:t>
      </w:r>
      <w:r w:rsidR="00404F1D" w:rsidRPr="0017614D">
        <w:rPr>
          <w:rFonts w:ascii="Times New Roman" w:hAnsi="Times New Roman" w:cs="Times New Roman"/>
          <w:sz w:val="24"/>
          <w:szCs w:val="24"/>
          <w:lang w:val="lt-LT"/>
        </w:rPr>
        <w:t xml:space="preserve"> jau aukščiau paminėtų požymių</w:t>
      </w:r>
      <w:r w:rsidR="005559C8" w:rsidRPr="0017614D">
        <w:rPr>
          <w:rFonts w:ascii="Times New Roman" w:hAnsi="Times New Roman" w:cs="Times New Roman"/>
          <w:sz w:val="24"/>
          <w:szCs w:val="24"/>
          <w:lang w:val="lt-LT"/>
        </w:rPr>
        <w:t xml:space="preserve"> įmonė turėtų atkreipti dėmesį į</w:t>
      </w:r>
      <w:r w:rsidR="00404F1D" w:rsidRPr="0017614D">
        <w:rPr>
          <w:rFonts w:ascii="Times New Roman" w:hAnsi="Times New Roman" w:cs="Times New Roman"/>
          <w:sz w:val="24"/>
          <w:szCs w:val="24"/>
          <w:lang w:val="lt-LT"/>
        </w:rPr>
        <w:t xml:space="preserve"> savo būklę kai:</w:t>
      </w:r>
    </w:p>
    <w:p w:rsidR="00CD06A8" w:rsidRPr="0017614D" w:rsidRDefault="00C24D3A" w:rsidP="00417443">
      <w:pPr>
        <w:pStyle w:val="ListParagraph"/>
        <w:numPr>
          <w:ilvl w:val="0"/>
          <w:numId w:val="12"/>
        </w:numPr>
        <w:spacing w:after="0" w:line="360" w:lineRule="auto"/>
        <w:rPr>
          <w:rFonts w:ascii="Times New Roman" w:hAnsi="Times New Roman" w:cs="Times New Roman"/>
          <w:sz w:val="24"/>
          <w:lang w:val="lt-LT"/>
        </w:rPr>
      </w:pPr>
      <w:r w:rsidRPr="0017614D">
        <w:rPr>
          <w:rFonts w:ascii="Times New Roman" w:hAnsi="Times New Roman" w:cs="Times New Roman"/>
          <w:sz w:val="24"/>
          <w:lang w:val="lt-LT"/>
        </w:rPr>
        <w:t xml:space="preserve">pastebima </w:t>
      </w:r>
      <w:r w:rsidR="00CD06A8" w:rsidRPr="0017614D">
        <w:rPr>
          <w:rFonts w:ascii="Times New Roman" w:hAnsi="Times New Roman" w:cs="Times New Roman"/>
          <w:sz w:val="24"/>
          <w:lang w:val="lt-LT"/>
        </w:rPr>
        <w:t>pernelyg didelė įmonės priklausomybė nuo kurio nors vieno projekto, tam tikros turto rūšies, pirkimo ar pardavimo rinkos;</w:t>
      </w:r>
    </w:p>
    <w:p w:rsidR="00CD06A8" w:rsidRPr="0017614D" w:rsidRDefault="004D6508" w:rsidP="00417443">
      <w:pPr>
        <w:pStyle w:val="ListParagraph"/>
        <w:numPr>
          <w:ilvl w:val="0"/>
          <w:numId w:val="12"/>
        </w:numPr>
        <w:spacing w:after="0" w:line="360" w:lineRule="auto"/>
        <w:rPr>
          <w:rFonts w:ascii="Times New Roman" w:hAnsi="Times New Roman" w:cs="Times New Roman"/>
          <w:sz w:val="24"/>
          <w:lang w:val="lt-LT"/>
        </w:rPr>
      </w:pPr>
      <w:r w:rsidRPr="0017614D">
        <w:rPr>
          <w:rFonts w:ascii="Times New Roman" w:hAnsi="Times New Roman" w:cs="Times New Roman"/>
          <w:sz w:val="24"/>
          <w:lang w:val="lt-LT"/>
        </w:rPr>
        <w:t xml:space="preserve">nėra įvertinamas </w:t>
      </w:r>
      <w:r w:rsidR="00CD06A8" w:rsidRPr="0017614D">
        <w:rPr>
          <w:rFonts w:ascii="Times New Roman" w:hAnsi="Times New Roman" w:cs="Times New Roman"/>
          <w:sz w:val="24"/>
          <w:lang w:val="lt-LT"/>
        </w:rPr>
        <w:t>technikos ir technol</w:t>
      </w:r>
      <w:r w:rsidRPr="0017614D">
        <w:rPr>
          <w:rFonts w:ascii="Times New Roman" w:hAnsi="Times New Roman" w:cs="Times New Roman"/>
          <w:sz w:val="24"/>
          <w:lang w:val="lt-LT"/>
        </w:rPr>
        <w:t>ogijos atnaujinimo reikšmingumas</w:t>
      </w:r>
      <w:r w:rsidR="00CD06A8" w:rsidRPr="0017614D">
        <w:rPr>
          <w:rFonts w:ascii="Times New Roman" w:hAnsi="Times New Roman" w:cs="Times New Roman"/>
          <w:sz w:val="24"/>
          <w:lang w:val="lt-LT"/>
        </w:rPr>
        <w:t>;</w:t>
      </w:r>
    </w:p>
    <w:p w:rsidR="00CD06A8" w:rsidRPr="0017614D" w:rsidRDefault="004D6508" w:rsidP="00417443">
      <w:pPr>
        <w:pStyle w:val="ListParagraph"/>
        <w:numPr>
          <w:ilvl w:val="0"/>
          <w:numId w:val="12"/>
        </w:numPr>
        <w:spacing w:after="0" w:line="360" w:lineRule="auto"/>
        <w:rPr>
          <w:rFonts w:ascii="Times New Roman" w:hAnsi="Times New Roman" w:cs="Times New Roman"/>
          <w:sz w:val="24"/>
          <w:lang w:val="lt-LT"/>
        </w:rPr>
      </w:pPr>
      <w:r w:rsidRPr="0017614D">
        <w:rPr>
          <w:rFonts w:ascii="Times New Roman" w:hAnsi="Times New Roman" w:cs="Times New Roman"/>
          <w:sz w:val="24"/>
          <w:lang w:val="lt-LT"/>
        </w:rPr>
        <w:t xml:space="preserve">pasikartoja </w:t>
      </w:r>
      <w:r w:rsidR="00CD06A8" w:rsidRPr="0017614D">
        <w:rPr>
          <w:rFonts w:ascii="Times New Roman" w:hAnsi="Times New Roman" w:cs="Times New Roman"/>
          <w:sz w:val="24"/>
          <w:lang w:val="lt-LT"/>
        </w:rPr>
        <w:t>patyrusių valdymo aparato darbuotojų praradimas;</w:t>
      </w:r>
    </w:p>
    <w:p w:rsidR="00CD06A8" w:rsidRPr="0017614D" w:rsidRDefault="004D6508" w:rsidP="00417443">
      <w:pPr>
        <w:pStyle w:val="ListParagraph"/>
        <w:numPr>
          <w:ilvl w:val="0"/>
          <w:numId w:val="12"/>
        </w:numPr>
        <w:spacing w:after="0" w:line="360" w:lineRule="auto"/>
        <w:rPr>
          <w:rFonts w:ascii="Times New Roman" w:hAnsi="Times New Roman" w:cs="Times New Roman"/>
          <w:sz w:val="24"/>
          <w:lang w:val="lt-LT"/>
        </w:rPr>
      </w:pPr>
      <w:r w:rsidRPr="0017614D">
        <w:rPr>
          <w:rFonts w:ascii="Times New Roman" w:hAnsi="Times New Roman" w:cs="Times New Roman"/>
          <w:sz w:val="24"/>
          <w:lang w:val="lt-LT"/>
        </w:rPr>
        <w:t xml:space="preserve">pastebimas </w:t>
      </w:r>
      <w:r w:rsidR="00CD06A8" w:rsidRPr="0017614D">
        <w:rPr>
          <w:rFonts w:ascii="Times New Roman" w:hAnsi="Times New Roman" w:cs="Times New Roman"/>
          <w:sz w:val="24"/>
          <w:lang w:val="lt-LT"/>
        </w:rPr>
        <w:t>neritmingas darbas ir prastovos;</w:t>
      </w:r>
    </w:p>
    <w:p w:rsidR="00CD06A8" w:rsidRPr="0017614D" w:rsidRDefault="004D6508" w:rsidP="00417443">
      <w:pPr>
        <w:pStyle w:val="ListParagraph"/>
        <w:numPr>
          <w:ilvl w:val="0"/>
          <w:numId w:val="12"/>
        </w:numPr>
        <w:spacing w:after="0" w:line="360" w:lineRule="auto"/>
        <w:rPr>
          <w:rFonts w:ascii="Times New Roman" w:hAnsi="Times New Roman" w:cs="Times New Roman"/>
          <w:sz w:val="24"/>
          <w:lang w:val="lt-LT"/>
        </w:rPr>
      </w:pPr>
      <w:r w:rsidRPr="0017614D">
        <w:rPr>
          <w:rFonts w:ascii="Times New Roman" w:hAnsi="Times New Roman" w:cs="Times New Roman"/>
          <w:sz w:val="24"/>
          <w:lang w:val="lt-LT"/>
        </w:rPr>
        <w:t xml:space="preserve">sudaromos </w:t>
      </w:r>
      <w:r w:rsidR="00CD06A8" w:rsidRPr="0017614D">
        <w:rPr>
          <w:rFonts w:ascii="Times New Roman" w:hAnsi="Times New Roman" w:cs="Times New Roman"/>
          <w:sz w:val="24"/>
          <w:lang w:val="lt-LT"/>
        </w:rPr>
        <w:t>neefektyvios ilagalaikės sutartys;</w:t>
      </w:r>
    </w:p>
    <w:p w:rsidR="00404F1D" w:rsidRPr="0017614D" w:rsidRDefault="004D6508" w:rsidP="00417443">
      <w:pPr>
        <w:pStyle w:val="ListParagraph"/>
        <w:numPr>
          <w:ilvl w:val="0"/>
          <w:numId w:val="12"/>
        </w:numPr>
        <w:spacing w:after="0" w:line="360" w:lineRule="auto"/>
        <w:rPr>
          <w:rFonts w:ascii="Times New Roman" w:hAnsi="Times New Roman" w:cs="Times New Roman"/>
          <w:sz w:val="24"/>
          <w:lang w:val="lt-LT"/>
        </w:rPr>
      </w:pPr>
      <w:r w:rsidRPr="0017614D">
        <w:rPr>
          <w:rFonts w:ascii="Times New Roman" w:hAnsi="Times New Roman" w:cs="Times New Roman"/>
          <w:sz w:val="24"/>
          <w:lang w:val="lt-LT"/>
        </w:rPr>
        <w:t xml:space="preserve">susidaro </w:t>
      </w:r>
      <w:r w:rsidR="00CD06A8" w:rsidRPr="0017614D">
        <w:rPr>
          <w:rFonts w:ascii="Times New Roman" w:hAnsi="Times New Roman" w:cs="Times New Roman"/>
          <w:sz w:val="24"/>
          <w:lang w:val="lt-LT"/>
        </w:rPr>
        <w:t>kapitalinių įdėjimų nepakankamu</w:t>
      </w:r>
      <w:r w:rsidR="009F48A8" w:rsidRPr="0017614D">
        <w:rPr>
          <w:rFonts w:ascii="Times New Roman" w:hAnsi="Times New Roman" w:cs="Times New Roman"/>
          <w:sz w:val="24"/>
          <w:lang w:val="lt-LT"/>
        </w:rPr>
        <w:t>mas</w:t>
      </w:r>
      <w:r w:rsidR="00CD06A8" w:rsidRPr="0017614D">
        <w:rPr>
          <w:rFonts w:ascii="Times New Roman" w:hAnsi="Times New Roman" w:cs="Times New Roman"/>
          <w:sz w:val="24"/>
          <w:lang w:val="lt-LT"/>
        </w:rPr>
        <w:t>.</w:t>
      </w:r>
    </w:p>
    <w:p w:rsidR="00404F1D" w:rsidRPr="0017614D" w:rsidRDefault="00404F1D" w:rsidP="00ED3FB5">
      <w:pPr>
        <w:tabs>
          <w:tab w:val="left" w:pos="540"/>
        </w:tabs>
        <w:spacing w:after="0" w:line="360" w:lineRule="auto"/>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Šie požymiai dar neduoda pagrindo teigti, kad įmonės finansinė būklė yra labai b</w:t>
      </w:r>
      <w:r w:rsidR="004D6508" w:rsidRPr="0017614D">
        <w:rPr>
          <w:rFonts w:ascii="Times New Roman" w:hAnsi="Times New Roman" w:cs="Times New Roman"/>
          <w:sz w:val="24"/>
          <w:szCs w:val="24"/>
          <w:lang w:val="lt-LT"/>
        </w:rPr>
        <w:t>loga, tačiau parodo kad jeigu ateityje</w:t>
      </w:r>
      <w:r w:rsidRPr="0017614D">
        <w:rPr>
          <w:rFonts w:ascii="Times New Roman" w:hAnsi="Times New Roman" w:cs="Times New Roman"/>
          <w:sz w:val="24"/>
          <w:szCs w:val="24"/>
          <w:lang w:val="lt-LT"/>
        </w:rPr>
        <w:t xml:space="preserve"> nebus imtasi jokių priemonių, bankrotas gali būti labai tikėtinas.</w:t>
      </w:r>
    </w:p>
    <w:p w:rsidR="00FF418E" w:rsidRPr="0017614D" w:rsidRDefault="005559C8" w:rsidP="0015251A">
      <w:pPr>
        <w:tabs>
          <w:tab w:val="left" w:pos="540"/>
        </w:tabs>
        <w:spacing w:after="0" w:line="360" w:lineRule="auto"/>
        <w:contextualSpacing/>
        <w:jc w:val="both"/>
        <w:rPr>
          <w:rFonts w:ascii="Times New Roman" w:hAnsi="Times New Roman" w:cs="Times New Roman"/>
          <w:iCs/>
          <w:sz w:val="24"/>
          <w:szCs w:val="24"/>
          <w:lang w:val="lt-LT"/>
        </w:rPr>
      </w:pPr>
      <w:r w:rsidRPr="0017614D">
        <w:rPr>
          <w:rFonts w:ascii="Times New Roman" w:hAnsi="Times New Roman" w:cs="Times New Roman"/>
          <w:bCs/>
          <w:sz w:val="24"/>
          <w:szCs w:val="24"/>
          <w:lang w:val="lt-LT"/>
        </w:rPr>
        <w:tab/>
      </w:r>
      <w:r w:rsidR="009B3E21" w:rsidRPr="0017614D">
        <w:rPr>
          <w:rFonts w:ascii="Times New Roman" w:hAnsi="Times New Roman" w:cs="Times New Roman"/>
          <w:iCs/>
          <w:sz w:val="24"/>
          <w:szCs w:val="24"/>
          <w:lang w:val="lt-LT"/>
        </w:rPr>
        <w:t>Apžvelgus įvairių autorių išskiriamus bankroto požymius galima pastebėti, kad jų egzistuoja išties nemažai, jie visi yra skirtingi ir gali tikti ne kiekvienai įmonei. Visgi akivaizdu, kad įmonės privalo į juos visus atsižvelgti, siekdamos kuo anksčiau pastebėti bankroto grėsmę. Laiku sureagavus į tokius veiksnius galima bandyti juos valdyti ir taip sumažinti bankroto tikimybę.</w:t>
      </w:r>
    </w:p>
    <w:p w:rsidR="007220D0" w:rsidRPr="0017614D" w:rsidRDefault="00954C4B" w:rsidP="00F43A0C">
      <w:pPr>
        <w:pStyle w:val="Heading3"/>
        <w:contextualSpacing/>
        <w:rPr>
          <w:lang w:val="lt-LT"/>
        </w:rPr>
      </w:pPr>
      <w:bookmarkStart w:id="82" w:name="_Toc319615949"/>
      <w:bookmarkStart w:id="83" w:name="_Toc319759551"/>
      <w:bookmarkStart w:id="84" w:name="_Toc336110807"/>
      <w:bookmarkStart w:id="85" w:name="_Toc374655650"/>
      <w:r w:rsidRPr="0017614D">
        <w:rPr>
          <w:lang w:val="lt-LT"/>
        </w:rPr>
        <w:t>1.</w:t>
      </w:r>
      <w:r w:rsidR="000B26B1" w:rsidRPr="0017614D">
        <w:rPr>
          <w:lang w:val="lt-LT"/>
        </w:rPr>
        <w:t>1.</w:t>
      </w:r>
      <w:r w:rsidR="001E009B" w:rsidRPr="0017614D">
        <w:rPr>
          <w:lang w:val="lt-LT"/>
        </w:rPr>
        <w:t>4</w:t>
      </w:r>
      <w:r w:rsidRPr="0017614D">
        <w:rPr>
          <w:lang w:val="lt-LT"/>
        </w:rPr>
        <w:t>. Įmonių bankroto pasekmės</w:t>
      </w:r>
      <w:bookmarkEnd w:id="82"/>
      <w:bookmarkEnd w:id="83"/>
      <w:r w:rsidRPr="0017614D">
        <w:rPr>
          <w:lang w:val="lt-LT"/>
        </w:rPr>
        <w:t xml:space="preserve"> šalies ūkiui</w:t>
      </w:r>
      <w:bookmarkEnd w:id="84"/>
      <w:bookmarkEnd w:id="85"/>
    </w:p>
    <w:p w:rsidR="00F43A0C" w:rsidRPr="0017614D" w:rsidRDefault="00F43A0C" w:rsidP="00F43A0C">
      <w:pPr>
        <w:contextualSpacing/>
        <w:rPr>
          <w:lang w:val="lt-LT"/>
        </w:rPr>
      </w:pPr>
    </w:p>
    <w:p w:rsidR="005236C4" w:rsidRPr="0017614D" w:rsidRDefault="00954C4B" w:rsidP="00954C4B">
      <w:pPr>
        <w:spacing w:line="360" w:lineRule="auto"/>
        <w:ind w:firstLine="720"/>
        <w:contextualSpacing/>
        <w:jc w:val="both"/>
        <w:rPr>
          <w:rFonts w:ascii="Times New Roman" w:hAnsi="Times New Roman" w:cs="Times New Roman"/>
          <w:sz w:val="24"/>
          <w:szCs w:val="24"/>
          <w:lang w:val="lt-LT"/>
        </w:rPr>
      </w:pPr>
      <w:bookmarkStart w:id="86" w:name="_Toc319176776"/>
      <w:bookmarkStart w:id="87" w:name="_Toc319615950"/>
      <w:r w:rsidRPr="0017614D">
        <w:rPr>
          <w:rFonts w:ascii="Times New Roman" w:hAnsi="Times New Roman" w:cs="Times New Roman"/>
          <w:sz w:val="24"/>
          <w:szCs w:val="24"/>
          <w:lang w:val="lt-LT"/>
        </w:rPr>
        <w:t>Įmonės bankrotas tai ne tik pačios įmonės problema. Bankrotas yra svarbus visos makroekonomikos mastu. Jo pasekmės turi įtakos ne tik pačiai įmonei bet ir lemia bendrą valstybės ekonomikos vystymosi raidą.</w:t>
      </w:r>
    </w:p>
    <w:p w:rsidR="00954C4B" w:rsidRPr="0017614D" w:rsidRDefault="00954C4B" w:rsidP="00954C4B">
      <w:pPr>
        <w:spacing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 Pagal Č. Purlį (2001) didelis bankrotų skaičius neigiamai veikia ekonomiką, nes bankrutuoja stambios, seniai susikūrusios įmonės, kuriose dirba daug žmonių, o vietoje jų kuriasi naujos mažos įmonės su nedideliu ar labai mažu samdomų darbuotojų skaičiumi. Naujos įmonės neturi gamybos organizavimo ir valdymo įgūdžių, nepakankamai vertina rinkotyros reikšmę, darbuotojų kvalifikaciją, jų įgūdžius, darbo organizavimo kokybę ir viso to reikšmę darbo rezultatams. Taip pat įmonių bankrotas sukelia daug ekonominių ir socialinių problemų valstybės mastu, o bankroto sukeltas problemas neretai tenka spręsti valstybei.</w:t>
      </w:r>
      <w:bookmarkEnd w:id="86"/>
      <w:bookmarkEnd w:id="87"/>
    </w:p>
    <w:p w:rsidR="00C07676" w:rsidRPr="0017614D" w:rsidRDefault="00954C4B" w:rsidP="00954C4B">
      <w:pPr>
        <w:spacing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R. Shkurti ir B. Duraj (2010) teigia, kad bankrotas gali paveikti visą šaką, kuriai priklauso bankrutuojančios įmonės, jei ši šaka yra veikiama sisteminės rizikos, taip pat priklausomai nuo bankrutuojančios įmonės dydžio, bankrotas turi poveikį visai ekonomikai bei visuomenei.</w:t>
      </w:r>
    </w:p>
    <w:p w:rsidR="00C07676" w:rsidRPr="0017614D" w:rsidRDefault="00C07676" w:rsidP="005559C8">
      <w:pPr>
        <w:autoSpaceDE w:val="0"/>
        <w:autoSpaceDN w:val="0"/>
        <w:adjustRightInd w:val="0"/>
        <w:spacing w:line="360" w:lineRule="auto"/>
        <w:ind w:firstLine="539"/>
        <w:contextualSpacing/>
        <w:jc w:val="both"/>
        <w:rPr>
          <w:rFonts w:ascii="Times New Roman" w:hAnsi="Times New Roman" w:cs="Times New Roman"/>
          <w:bCs/>
          <w:sz w:val="24"/>
          <w:szCs w:val="24"/>
          <w:u w:val="single"/>
          <w:lang w:val="lt-LT"/>
        </w:rPr>
      </w:pPr>
      <w:r w:rsidRPr="0017614D">
        <w:rPr>
          <w:rFonts w:ascii="Times New Roman" w:hAnsi="Times New Roman" w:cs="Times New Roman"/>
          <w:bCs/>
          <w:sz w:val="24"/>
          <w:szCs w:val="24"/>
          <w:lang w:val="lt-LT"/>
        </w:rPr>
        <w:t xml:space="preserve">Tup tarpu A. Sakalas ir A. Savanevičienė (2003) kalbėdami apie bankroto sukeliamas pasekmes, atkreipia dėmesį ne tik į pasekmes ekonomikai bei darbuotojams bet ir tai, jog bankrotas pirmiausia </w:t>
      </w:r>
      <w:r w:rsidRPr="0017614D">
        <w:rPr>
          <w:rFonts w:ascii="Times New Roman" w:hAnsi="Times New Roman" w:cs="Times New Roman"/>
          <w:bCs/>
          <w:sz w:val="24"/>
          <w:szCs w:val="24"/>
          <w:lang w:val="lt-LT"/>
        </w:rPr>
        <w:lastRenderedPageBreak/>
        <w:t>nuskriaudžia įmonės savininkus – priverčia juos perle</w:t>
      </w:r>
      <w:r w:rsidR="00C066C1" w:rsidRPr="0017614D">
        <w:rPr>
          <w:rFonts w:ascii="Times New Roman" w:hAnsi="Times New Roman" w:cs="Times New Roman"/>
          <w:bCs/>
          <w:sz w:val="24"/>
          <w:szCs w:val="24"/>
          <w:lang w:val="lt-LT"/>
        </w:rPr>
        <w:t xml:space="preserve">isti savo turtą, jo atsisakyti </w:t>
      </w:r>
      <w:r w:rsidRPr="0017614D">
        <w:rPr>
          <w:rFonts w:ascii="Times New Roman" w:hAnsi="Times New Roman" w:cs="Times New Roman"/>
          <w:bCs/>
          <w:sz w:val="24"/>
          <w:szCs w:val="24"/>
          <w:lang w:val="lt-LT"/>
        </w:rPr>
        <w:t>arba blogiausiu atveju – palikti verslą kitiems verslininkams (Sakalas, Savanevičienė, 2003, p.136).</w:t>
      </w:r>
    </w:p>
    <w:p w:rsidR="00954C4B" w:rsidRPr="0017614D" w:rsidRDefault="00954C4B" w:rsidP="005559C8">
      <w:pPr>
        <w:spacing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Su </w:t>
      </w:r>
      <w:r w:rsidR="00C07676" w:rsidRPr="0017614D">
        <w:rPr>
          <w:rFonts w:ascii="Times New Roman" w:hAnsi="Times New Roman" w:cs="Times New Roman"/>
          <w:sz w:val="24"/>
          <w:szCs w:val="24"/>
          <w:lang w:val="lt-LT"/>
        </w:rPr>
        <w:t>visais aukščiau paminėtais autoriais</w:t>
      </w:r>
      <w:r w:rsidRPr="0017614D">
        <w:rPr>
          <w:rFonts w:ascii="Times New Roman" w:hAnsi="Times New Roman" w:cs="Times New Roman"/>
          <w:sz w:val="24"/>
          <w:szCs w:val="24"/>
          <w:lang w:val="lt-LT"/>
        </w:rPr>
        <w:t xml:space="preserve"> sutinka ir Bivainis bei Garškaitė (2000), pasak kurių </w:t>
      </w:r>
      <w:bookmarkStart w:id="88" w:name="_Toc319176777"/>
      <w:bookmarkStart w:id="89" w:name="_Toc319615951"/>
      <w:r w:rsidRPr="0017614D">
        <w:rPr>
          <w:rFonts w:ascii="Times New Roman" w:hAnsi="Times New Roman" w:cs="Times New Roman"/>
          <w:sz w:val="24"/>
          <w:szCs w:val="24"/>
          <w:lang w:val="lt-LT"/>
        </w:rPr>
        <w:t xml:space="preserve">bankrutuojančios įmonės sukelia ekonomines ir socialines problemas. Dėl bankrotų silpnėja šalies ūkio konkurencingumas, nėra sumokami mokesčiai į valstybių ir savivaldybių biudžetus, socialiniam draudimui bei kitiems valstybiniams fondams, nėra patenkinami kreditorių reikalavimas, kas neretai sukelia kitų, su bankrutuojančia įmone susijusių partnerių, ekonominius sunkumus bei bankrotą. Tuo tarpu atsiradusios socialinės problemos yra vienos iš didžiausių ir skausmingiausių šalies ūkiui, ypatingai jas pajaučia žemos kompetencijos darbo jėga – žmonės lieka be darbo ir pastovių pajamų, atsiranda netikrumas dėl ateities, kinta bendras žmonių pragyvenimo lygis.  </w:t>
      </w:r>
    </w:p>
    <w:p w:rsidR="00C07676" w:rsidRPr="0017614D" w:rsidRDefault="00C07676" w:rsidP="00707725">
      <w:pPr>
        <w:spacing w:line="360" w:lineRule="auto"/>
        <w:ind w:firstLine="54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Dar viena bankroto sukelta neigiama pasekmė – padidėjusios garantinio fondo įmokos. Šis mokestis yra tapęs bankrutuojančių įmonių „gelbėjimosi  ratu“, tačiau 2011 metais, pastebėjus kad garantinio fondo iždas yra per mažas ir valstybė yra nepajėgi visiems bankrutuojančių ar bankrutavusių įmonių darbuotojams išmokėti išmokas, nuo 2012 metų sausio 1 dienos b</w:t>
      </w:r>
      <w:r w:rsidR="00E6354F">
        <w:rPr>
          <w:rFonts w:ascii="Times New Roman" w:hAnsi="Times New Roman" w:cs="Times New Roman"/>
          <w:sz w:val="24"/>
          <w:szCs w:val="24"/>
          <w:lang w:val="lt-LT"/>
        </w:rPr>
        <w:t>uvo padidintas iki 0,2 proc</w:t>
      </w:r>
      <w:r w:rsidRPr="0017614D">
        <w:rPr>
          <w:rFonts w:ascii="Times New Roman" w:hAnsi="Times New Roman" w:cs="Times New Roman"/>
          <w:sz w:val="24"/>
          <w:szCs w:val="24"/>
          <w:lang w:val="lt-LT"/>
        </w:rPr>
        <w:t>. Atitinkamai,   dirbančios  ir  įmokas  į  GF  mokančios  įmonės  turi  finansu</w:t>
      </w:r>
      <w:r w:rsidR="00F90556" w:rsidRPr="0017614D">
        <w:rPr>
          <w:rFonts w:ascii="Times New Roman" w:hAnsi="Times New Roman" w:cs="Times New Roman"/>
          <w:sz w:val="24"/>
          <w:szCs w:val="24"/>
          <w:lang w:val="lt-LT"/>
        </w:rPr>
        <w:t>oti  nemokių įmonių darbuotojus</w:t>
      </w:r>
      <w:r w:rsidRPr="0017614D">
        <w:rPr>
          <w:rFonts w:ascii="Times New Roman" w:hAnsi="Times New Roman" w:cs="Times New Roman"/>
          <w:sz w:val="24"/>
          <w:szCs w:val="24"/>
          <w:lang w:val="lt-LT"/>
        </w:rPr>
        <w:t xml:space="preserve">. </w:t>
      </w:r>
    </w:p>
    <w:p w:rsidR="00C07676" w:rsidRPr="0017614D" w:rsidRDefault="00C07676" w:rsidP="00D13A69">
      <w:pPr>
        <w:tabs>
          <w:tab w:val="left" w:pos="540"/>
        </w:tabs>
        <w:spacing w:line="360" w:lineRule="auto"/>
        <w:ind w:firstLine="540"/>
        <w:contextualSpacing/>
        <w:jc w:val="both"/>
        <w:rPr>
          <w:rFonts w:ascii="Times New Roman" w:hAnsi="Times New Roman" w:cs="Times New Roman"/>
          <w:bCs/>
          <w:sz w:val="24"/>
          <w:szCs w:val="24"/>
          <w:lang w:val="lt-LT"/>
        </w:rPr>
      </w:pPr>
      <w:r w:rsidRPr="0017614D">
        <w:rPr>
          <w:rFonts w:ascii="Times New Roman" w:hAnsi="Times New Roman" w:cs="Times New Roman"/>
          <w:bCs/>
          <w:sz w:val="24"/>
          <w:szCs w:val="24"/>
          <w:lang w:val="lt-LT"/>
        </w:rPr>
        <w:t xml:space="preserve">Apibendrinus galima </w:t>
      </w:r>
      <w:r w:rsidR="00707725" w:rsidRPr="0017614D">
        <w:rPr>
          <w:rFonts w:ascii="Times New Roman" w:hAnsi="Times New Roman" w:cs="Times New Roman"/>
          <w:bCs/>
          <w:sz w:val="24"/>
          <w:szCs w:val="24"/>
          <w:lang w:val="lt-LT"/>
        </w:rPr>
        <w:t>daryti išvadas</w:t>
      </w:r>
      <w:r w:rsidRPr="0017614D">
        <w:rPr>
          <w:rFonts w:ascii="Times New Roman" w:hAnsi="Times New Roman" w:cs="Times New Roman"/>
          <w:bCs/>
          <w:sz w:val="24"/>
          <w:szCs w:val="24"/>
          <w:lang w:val="lt-LT"/>
        </w:rPr>
        <w:t xml:space="preserve">, kad </w:t>
      </w:r>
      <w:r w:rsidR="00707725" w:rsidRPr="0017614D">
        <w:rPr>
          <w:rFonts w:ascii="Times New Roman" w:hAnsi="Times New Roman" w:cs="Times New Roman"/>
          <w:bCs/>
          <w:sz w:val="24"/>
          <w:szCs w:val="24"/>
          <w:lang w:val="lt-LT"/>
        </w:rPr>
        <w:t>bankroto sukeliamos</w:t>
      </w:r>
      <w:r w:rsidRPr="0017614D">
        <w:rPr>
          <w:rFonts w:ascii="Times New Roman" w:hAnsi="Times New Roman" w:cs="Times New Roman"/>
          <w:bCs/>
          <w:sz w:val="24"/>
          <w:szCs w:val="24"/>
          <w:lang w:val="lt-LT"/>
        </w:rPr>
        <w:t xml:space="preserve"> problemos yra pavojingos šalies ekonomikai dėl silpnėjanč</w:t>
      </w:r>
      <w:r w:rsidR="00707725" w:rsidRPr="0017614D">
        <w:rPr>
          <w:rFonts w:ascii="Times New Roman" w:hAnsi="Times New Roman" w:cs="Times New Roman"/>
          <w:bCs/>
          <w:sz w:val="24"/>
          <w:szCs w:val="24"/>
          <w:lang w:val="lt-LT"/>
        </w:rPr>
        <w:t xml:space="preserve">io šalies ūkio konkurencingumo bei </w:t>
      </w:r>
      <w:r w:rsidRPr="0017614D">
        <w:rPr>
          <w:rFonts w:ascii="Times New Roman" w:hAnsi="Times New Roman" w:cs="Times New Roman"/>
          <w:bCs/>
          <w:sz w:val="24"/>
          <w:szCs w:val="24"/>
          <w:lang w:val="lt-LT"/>
        </w:rPr>
        <w:t xml:space="preserve">nesumokėtų mokesčių, kas tiesiogiai paliečia kiekvieną </w:t>
      </w:r>
      <w:r w:rsidR="00D13A69" w:rsidRPr="0017614D">
        <w:rPr>
          <w:rFonts w:ascii="Times New Roman" w:hAnsi="Times New Roman" w:cs="Times New Roman"/>
          <w:bCs/>
          <w:sz w:val="24"/>
          <w:szCs w:val="24"/>
          <w:lang w:val="lt-LT"/>
        </w:rPr>
        <w:t>šalies gyventoją</w:t>
      </w:r>
      <w:r w:rsidR="00707725" w:rsidRPr="0017614D">
        <w:rPr>
          <w:rFonts w:ascii="Times New Roman" w:hAnsi="Times New Roman" w:cs="Times New Roman"/>
          <w:bCs/>
          <w:sz w:val="24"/>
          <w:szCs w:val="24"/>
          <w:lang w:val="lt-LT"/>
        </w:rPr>
        <w:t>, ant kuri</w:t>
      </w:r>
      <w:r w:rsidR="00D13A69" w:rsidRPr="0017614D">
        <w:rPr>
          <w:rFonts w:ascii="Times New Roman" w:hAnsi="Times New Roman" w:cs="Times New Roman"/>
          <w:bCs/>
          <w:sz w:val="24"/>
          <w:szCs w:val="24"/>
          <w:lang w:val="lt-LT"/>
        </w:rPr>
        <w:t>o</w:t>
      </w:r>
      <w:r w:rsidR="00707725" w:rsidRPr="0017614D">
        <w:rPr>
          <w:rFonts w:ascii="Times New Roman" w:hAnsi="Times New Roman" w:cs="Times New Roman"/>
          <w:bCs/>
          <w:sz w:val="24"/>
          <w:szCs w:val="24"/>
          <w:lang w:val="lt-LT"/>
        </w:rPr>
        <w:t xml:space="preserve"> pečių</w:t>
      </w:r>
      <w:r w:rsidR="00D13A69" w:rsidRPr="0017614D">
        <w:rPr>
          <w:rFonts w:ascii="Times New Roman" w:hAnsi="Times New Roman" w:cs="Times New Roman"/>
          <w:bCs/>
          <w:sz w:val="24"/>
          <w:szCs w:val="24"/>
          <w:lang w:val="lt-LT"/>
        </w:rPr>
        <w:t xml:space="preserve"> kaip mokesčių mokėtojo</w:t>
      </w:r>
      <w:r w:rsidRPr="0017614D">
        <w:rPr>
          <w:rFonts w:ascii="Times New Roman" w:hAnsi="Times New Roman" w:cs="Times New Roman"/>
          <w:bCs/>
          <w:sz w:val="24"/>
          <w:szCs w:val="24"/>
          <w:lang w:val="lt-LT"/>
        </w:rPr>
        <w:t xml:space="preserve">, gula bankrutavusių įmonių problemos. </w:t>
      </w:r>
      <w:r w:rsidR="00707725" w:rsidRPr="0017614D">
        <w:rPr>
          <w:rFonts w:ascii="Times New Roman" w:hAnsi="Times New Roman" w:cs="Times New Roman"/>
          <w:bCs/>
          <w:sz w:val="24"/>
          <w:szCs w:val="24"/>
          <w:lang w:val="lt-LT"/>
        </w:rPr>
        <w:t xml:space="preserve">Taip pat </w:t>
      </w:r>
      <w:r w:rsidR="00707725" w:rsidRPr="0017614D">
        <w:rPr>
          <w:rFonts w:ascii="Times New Roman" w:hAnsi="Times New Roman" w:cs="Times New Roman"/>
          <w:sz w:val="24"/>
          <w:szCs w:val="24"/>
          <w:lang w:val="lt-LT"/>
        </w:rPr>
        <w:t>bankrotas tai socialinė nelaimė, kuri siejama su darbuotojų atleidimu iš darbo bei darbo vietų naikinimu.</w:t>
      </w:r>
    </w:p>
    <w:p w:rsidR="00D13A69" w:rsidRPr="0017614D" w:rsidRDefault="00D13A69" w:rsidP="00D13A69">
      <w:pPr>
        <w:tabs>
          <w:tab w:val="left" w:pos="540"/>
        </w:tabs>
        <w:autoSpaceDE w:val="0"/>
        <w:autoSpaceDN w:val="0"/>
        <w:adjustRightInd w:val="0"/>
        <w:spacing w:line="360" w:lineRule="auto"/>
        <w:ind w:left="62"/>
        <w:contextualSpacing/>
        <w:jc w:val="both"/>
        <w:rPr>
          <w:rFonts w:ascii="Times New Roman" w:hAnsi="Times New Roman" w:cs="Times New Roman"/>
          <w:sz w:val="24"/>
          <w:szCs w:val="24"/>
          <w:lang w:val="lt-LT"/>
        </w:rPr>
      </w:pPr>
      <w:r w:rsidRPr="0017614D">
        <w:rPr>
          <w:lang w:val="lt-LT"/>
        </w:rPr>
        <w:tab/>
      </w:r>
      <w:r w:rsidRPr="0017614D">
        <w:rPr>
          <w:rFonts w:ascii="Times New Roman" w:hAnsi="Times New Roman" w:cs="Times New Roman"/>
          <w:sz w:val="24"/>
          <w:szCs w:val="24"/>
          <w:lang w:val="lt-LT"/>
        </w:rPr>
        <w:t xml:space="preserve">Tačiau, nepaisant to, kad bankrotas visuotinai pripažįstamas nuostolingu visuomenei reiškiniu, kai kurie autoriai į šį reiškinį pažvelgė iš kitos pusės, tai yra kaip į pozityvią ir neatsiejamą rinkos santykių dalį, skatinančią technikos, gamybos  bei visos visuomenės pažangą. </w:t>
      </w:r>
    </w:p>
    <w:p w:rsidR="00D13A69" w:rsidRPr="0017614D" w:rsidRDefault="00D13A69" w:rsidP="00D13A69">
      <w:pPr>
        <w:tabs>
          <w:tab w:val="left" w:pos="540"/>
        </w:tabs>
        <w:autoSpaceDE w:val="0"/>
        <w:autoSpaceDN w:val="0"/>
        <w:adjustRightInd w:val="0"/>
        <w:spacing w:line="360" w:lineRule="auto"/>
        <w:ind w:firstLine="539"/>
        <w:contextualSpacing/>
        <w:jc w:val="both"/>
        <w:rPr>
          <w:rFonts w:ascii="Times New Roman" w:hAnsi="Times New Roman" w:cs="Times New Roman"/>
          <w:sz w:val="24"/>
          <w:lang w:val="lt-LT"/>
        </w:rPr>
      </w:pPr>
      <w:r w:rsidRPr="0017614D">
        <w:rPr>
          <w:rFonts w:ascii="Times New Roman" w:hAnsi="Times New Roman" w:cs="Times New Roman"/>
          <w:sz w:val="24"/>
          <w:lang w:val="lt-LT"/>
        </w:rPr>
        <w:t>M. Tvaronavičienė (2001) teigia kad įmonių bankrotas yra neišvengiamas rinkos ekonomikos reiškinys. Anot jos, yra natūralu, kad vienos įmonės, neišsilaikiusios konkurencinėje kovoje, bankrutuoja, o kitos užima jų vietą (Tvaronavičienė, 2001, p. 135).</w:t>
      </w:r>
    </w:p>
    <w:p w:rsidR="00D13A69" w:rsidRPr="0017614D" w:rsidRDefault="00D13A69" w:rsidP="00D13A69">
      <w:pPr>
        <w:tabs>
          <w:tab w:val="left" w:pos="540"/>
        </w:tabs>
        <w:autoSpaceDE w:val="0"/>
        <w:autoSpaceDN w:val="0"/>
        <w:adjustRightInd w:val="0"/>
        <w:spacing w:line="360" w:lineRule="auto"/>
        <w:ind w:left="62"/>
        <w:contextualSpacing/>
        <w:jc w:val="both"/>
        <w:rPr>
          <w:rFonts w:ascii="Times New Roman" w:hAnsi="Times New Roman" w:cs="Times New Roman"/>
          <w:u w:val="single"/>
          <w:lang w:val="lt-LT"/>
        </w:rPr>
      </w:pPr>
      <w:r w:rsidRPr="0017614D">
        <w:rPr>
          <w:lang w:val="lt-LT"/>
        </w:rPr>
        <w:tab/>
      </w:r>
      <w:r w:rsidRPr="0017614D">
        <w:rPr>
          <w:rFonts w:ascii="Times New Roman" w:hAnsi="Times New Roman" w:cs="Times New Roman"/>
          <w:sz w:val="24"/>
          <w:lang w:val="lt-LT"/>
        </w:rPr>
        <w:t>Pasak R. Andriulevičiūtės ir R. Survilaitės (2009) į bankroto reiškinį vis dėl to reikėtų pažvelgti kaip į natūralų rinkos dalyvių dinamikos procesą. Bankrotas tai nėra vien tik nesėkmė</w:t>
      </w:r>
      <w:r w:rsidR="00C066C1" w:rsidRPr="0017614D">
        <w:rPr>
          <w:rFonts w:ascii="Times New Roman" w:hAnsi="Times New Roman" w:cs="Times New Roman"/>
          <w:sz w:val="24"/>
          <w:lang w:val="lt-LT"/>
        </w:rPr>
        <w:t xml:space="preserve"> ar kreditoriaus interesų gynimas</w:t>
      </w:r>
      <w:r w:rsidRPr="0017614D">
        <w:rPr>
          <w:rFonts w:ascii="Times New Roman" w:hAnsi="Times New Roman" w:cs="Times New Roman"/>
          <w:sz w:val="24"/>
          <w:lang w:val="lt-LT"/>
        </w:rPr>
        <w:t xml:space="preserve">. Bankrotas – tai kartu ir galimybė iš naujo sėkmingiau bei apdairiau pamėginti vykdyti komercinę veiklą. Tai būdas iš rinkos pašalinti nesėkmingai dirbančius verslininkus, vengiančius ir negalinčius tinkamai atsiskaityti su kreditoriais </w:t>
      </w:r>
      <w:r w:rsidR="00D91B5B" w:rsidRPr="0017614D">
        <w:rPr>
          <w:rFonts w:ascii="Times New Roman" w:hAnsi="Times New Roman" w:cs="Times New Roman"/>
          <w:bCs/>
          <w:sz w:val="24"/>
          <w:lang w:val="lt-LT"/>
        </w:rPr>
        <w:t xml:space="preserve">(Rugenytė ir kt., </w:t>
      </w:r>
      <w:r w:rsidRPr="0017614D">
        <w:rPr>
          <w:rFonts w:ascii="Times New Roman" w:hAnsi="Times New Roman" w:cs="Times New Roman"/>
          <w:sz w:val="24"/>
          <w:lang w:val="lt-LT"/>
        </w:rPr>
        <w:t>2010, p. 145).</w:t>
      </w:r>
    </w:p>
    <w:p w:rsidR="00954C4B" w:rsidRPr="0017614D" w:rsidRDefault="00D13A69" w:rsidP="00D13A69">
      <w:pPr>
        <w:tabs>
          <w:tab w:val="left" w:pos="540"/>
        </w:tabs>
        <w:autoSpaceDE w:val="0"/>
        <w:autoSpaceDN w:val="0"/>
        <w:adjustRightInd w:val="0"/>
        <w:spacing w:line="360" w:lineRule="auto"/>
        <w:ind w:left="62"/>
        <w:contextualSpacing/>
        <w:jc w:val="both"/>
        <w:rPr>
          <w:lang w:val="lt-LT"/>
        </w:rPr>
      </w:pPr>
      <w:r w:rsidRPr="0017614D">
        <w:rPr>
          <w:rFonts w:ascii="Times New Roman" w:hAnsi="Times New Roman" w:cs="Times New Roman"/>
          <w:sz w:val="24"/>
          <w:szCs w:val="24"/>
          <w:lang w:val="lt-LT"/>
        </w:rPr>
        <w:lastRenderedPageBreak/>
        <w:tab/>
      </w:r>
      <w:r w:rsidR="00954C4B" w:rsidRPr="0017614D">
        <w:rPr>
          <w:rFonts w:ascii="Times New Roman" w:hAnsi="Times New Roman" w:cs="Times New Roman"/>
          <w:sz w:val="24"/>
          <w:szCs w:val="24"/>
          <w:lang w:val="lt-LT"/>
        </w:rPr>
        <w:t xml:space="preserve">Bankrotas tai procesas leidžiantis padidinti konkurenciją rinkoje, jis skatina natūralią atranką – rinkoje išlieka tik geriausios kompanijos (Garškienė, Garškaitė, 2004). Bankrotas taip pat skatina kapitalo koncentraciją, nes neretai įmones prie bankroto veda patys akcininkai, turintys galimybę daryti įtaką strateginės reikšmės sprendimams ir palaipsniui perimti įmonės turtą, ūkis atsikrato neperspektyvių įmonių, neretai </w:t>
      </w:r>
      <w:r w:rsidR="006671D8">
        <w:rPr>
          <w:rFonts w:ascii="Times New Roman" w:hAnsi="Times New Roman" w:cs="Times New Roman"/>
          <w:sz w:val="24"/>
          <w:szCs w:val="24"/>
          <w:lang w:val="lt-LT"/>
        </w:rPr>
        <w:t>gaminančių pasenusius gaminius,</w:t>
      </w:r>
      <w:r w:rsidR="00954C4B" w:rsidRPr="0017614D">
        <w:rPr>
          <w:rFonts w:ascii="Times New Roman" w:hAnsi="Times New Roman" w:cs="Times New Roman"/>
          <w:sz w:val="24"/>
          <w:szCs w:val="24"/>
          <w:lang w:val="lt-LT"/>
        </w:rPr>
        <w:t xml:space="preserve"> likviduojamos nereikalingos struktūros, atsiranda galimybė atleisti neefektyviai dirbančius darbuotojus (Burkšaitienė, Mazintienė, 2011).</w:t>
      </w:r>
    </w:p>
    <w:p w:rsidR="00707725" w:rsidRPr="0017614D" w:rsidRDefault="00707725" w:rsidP="0002535E">
      <w:pPr>
        <w:tabs>
          <w:tab w:val="left" w:pos="540"/>
        </w:tabs>
        <w:spacing w:line="360" w:lineRule="auto"/>
        <w:ind w:firstLine="540"/>
        <w:contextualSpacing/>
        <w:jc w:val="both"/>
        <w:rPr>
          <w:rFonts w:ascii="Times New Roman" w:hAnsi="Times New Roman" w:cs="Times New Roman"/>
          <w:bCs/>
          <w:sz w:val="24"/>
          <w:szCs w:val="24"/>
          <w:lang w:val="lt-LT"/>
        </w:rPr>
      </w:pPr>
      <w:r w:rsidRPr="0017614D">
        <w:rPr>
          <w:rFonts w:ascii="Times New Roman" w:hAnsi="Times New Roman" w:cs="Times New Roman"/>
          <w:sz w:val="24"/>
          <w:szCs w:val="24"/>
          <w:lang w:val="lt-LT"/>
        </w:rPr>
        <w:t xml:space="preserve">A. Sakalas ir A. Savanevičienė (2003) taip pat išskiria ne tik neigiamą, bet ir teigiamą bankroto aspektą. </w:t>
      </w:r>
      <w:r w:rsidRPr="0017614D">
        <w:rPr>
          <w:rFonts w:ascii="Times New Roman" w:hAnsi="Times New Roman" w:cs="Times New Roman"/>
          <w:bCs/>
          <w:sz w:val="24"/>
          <w:szCs w:val="24"/>
          <w:lang w:val="lt-LT"/>
        </w:rPr>
        <w:t>Šių autorių nuomone, bankrotas tai yra būtina priemonė, leidžianti panaikinti blogybę, kurios nelikvidavus, situacija tik dar labiau pablogėtų (Sakalas, Savanevičienė, 2003 p. 136 ).</w:t>
      </w:r>
      <w:r w:rsidRPr="0017614D">
        <w:rPr>
          <w:rFonts w:ascii="Times New Roman" w:hAnsi="Times New Roman" w:cs="Times New Roman"/>
          <w:bCs/>
          <w:sz w:val="24"/>
          <w:szCs w:val="24"/>
          <w:u w:val="single"/>
          <w:lang w:val="lt-LT"/>
        </w:rPr>
        <w:t xml:space="preserve"> </w:t>
      </w:r>
      <w:r w:rsidRPr="0017614D">
        <w:rPr>
          <w:rFonts w:ascii="Times New Roman" w:hAnsi="Times New Roman" w:cs="Times New Roman"/>
          <w:bCs/>
          <w:sz w:val="24"/>
          <w:szCs w:val="24"/>
          <w:lang w:val="lt-LT"/>
        </w:rPr>
        <w:t xml:space="preserve"> </w:t>
      </w:r>
    </w:p>
    <w:p w:rsidR="00707725" w:rsidRPr="0017614D" w:rsidRDefault="00707725" w:rsidP="0002535E">
      <w:pPr>
        <w:tabs>
          <w:tab w:val="left" w:pos="540"/>
        </w:tabs>
        <w:spacing w:line="360" w:lineRule="auto"/>
        <w:ind w:firstLine="540"/>
        <w:contextualSpacing/>
        <w:jc w:val="both"/>
        <w:rPr>
          <w:rFonts w:ascii="Times New Roman" w:hAnsi="Times New Roman" w:cs="Times New Roman"/>
          <w:sz w:val="24"/>
          <w:szCs w:val="24"/>
          <w:lang w:val="lt-LT"/>
        </w:rPr>
      </w:pPr>
      <w:r w:rsidRPr="0017614D">
        <w:rPr>
          <w:rFonts w:ascii="Times New Roman" w:hAnsi="Times New Roman" w:cs="Times New Roman"/>
          <w:bCs/>
          <w:sz w:val="24"/>
          <w:szCs w:val="24"/>
          <w:lang w:val="lt-LT"/>
        </w:rPr>
        <w:t>Taigi, aptarus teigiamas bankroto pasekmes, galima daryti išvadą, kad juos išskiriantys autoriai yra teisūs. Kartais įmonės</w:t>
      </w:r>
      <w:r w:rsidR="0002535E" w:rsidRPr="0017614D">
        <w:rPr>
          <w:rFonts w:ascii="Times New Roman" w:hAnsi="Times New Roman" w:cs="Times New Roman"/>
          <w:bCs/>
          <w:sz w:val="24"/>
          <w:szCs w:val="24"/>
          <w:lang w:val="lt-LT"/>
        </w:rPr>
        <w:t xml:space="preserve"> bankrotas yra geras sprendimas, nes tokiu būdu yra pagerinama visos šalies ekonominė būklė. T</w:t>
      </w:r>
      <w:r w:rsidRPr="0017614D">
        <w:rPr>
          <w:rFonts w:ascii="Times New Roman" w:hAnsi="Times New Roman" w:cs="Times New Roman"/>
          <w:bCs/>
          <w:sz w:val="24"/>
          <w:szCs w:val="24"/>
          <w:lang w:val="lt-LT"/>
        </w:rPr>
        <w:t>ačiau</w:t>
      </w:r>
      <w:r w:rsidR="0002535E" w:rsidRPr="0017614D">
        <w:rPr>
          <w:rFonts w:ascii="Times New Roman" w:hAnsi="Times New Roman" w:cs="Times New Roman"/>
          <w:bCs/>
          <w:sz w:val="24"/>
          <w:szCs w:val="24"/>
          <w:lang w:val="lt-LT"/>
        </w:rPr>
        <w:t xml:space="preserve"> visgi</w:t>
      </w:r>
      <w:r w:rsidRPr="0017614D">
        <w:rPr>
          <w:rFonts w:ascii="Times New Roman" w:hAnsi="Times New Roman" w:cs="Times New Roman"/>
          <w:bCs/>
          <w:sz w:val="24"/>
          <w:szCs w:val="24"/>
          <w:lang w:val="lt-LT"/>
        </w:rPr>
        <w:t xml:space="preserve"> verta pritarti</w:t>
      </w:r>
      <w:r w:rsidR="0002535E" w:rsidRPr="0017614D">
        <w:rPr>
          <w:rFonts w:ascii="Times New Roman" w:hAnsi="Times New Roman" w:cs="Times New Roman"/>
          <w:bCs/>
          <w:sz w:val="24"/>
          <w:szCs w:val="24"/>
          <w:lang w:val="lt-LT"/>
        </w:rPr>
        <w:t xml:space="preserve"> ir</w:t>
      </w:r>
      <w:r w:rsidRPr="0017614D">
        <w:rPr>
          <w:rFonts w:ascii="Times New Roman" w:hAnsi="Times New Roman" w:cs="Times New Roman"/>
          <w:bCs/>
          <w:sz w:val="24"/>
          <w:szCs w:val="24"/>
          <w:lang w:val="lt-LT"/>
        </w:rPr>
        <w:t xml:space="preserve"> J. Mackevičiaus ir A. Rakšt</w:t>
      </w:r>
      <w:r w:rsidR="00C066C1" w:rsidRPr="0017614D">
        <w:rPr>
          <w:rFonts w:ascii="Times New Roman" w:hAnsi="Times New Roman" w:cs="Times New Roman"/>
          <w:bCs/>
          <w:sz w:val="24"/>
          <w:szCs w:val="24"/>
          <w:lang w:val="lt-LT"/>
        </w:rPr>
        <w:t>elienės (2005) pasisakymui, kad</w:t>
      </w:r>
      <w:r w:rsidRPr="0017614D">
        <w:rPr>
          <w:rFonts w:ascii="Times New Roman" w:hAnsi="Times New Roman" w:cs="Times New Roman"/>
          <w:bCs/>
          <w:sz w:val="24"/>
          <w:szCs w:val="24"/>
          <w:lang w:val="lt-LT"/>
        </w:rPr>
        <w:t xml:space="preserve"> </w:t>
      </w:r>
      <w:r w:rsidRPr="0017614D">
        <w:rPr>
          <w:rFonts w:ascii="Times New Roman" w:hAnsi="Times New Roman" w:cs="Times New Roman"/>
          <w:sz w:val="24"/>
          <w:szCs w:val="24"/>
          <w:lang w:val="lt-LT"/>
        </w:rPr>
        <w:t xml:space="preserve">nors įmonių bankrotas turi ir tam tikro teigiamo poveikio, </w:t>
      </w:r>
      <w:r w:rsidR="0002535E" w:rsidRPr="0017614D">
        <w:rPr>
          <w:rFonts w:ascii="Times New Roman" w:hAnsi="Times New Roman" w:cs="Times New Roman"/>
          <w:sz w:val="24"/>
          <w:szCs w:val="24"/>
          <w:lang w:val="lt-LT"/>
        </w:rPr>
        <w:t>bet</w:t>
      </w:r>
      <w:r w:rsidRPr="0017614D">
        <w:rPr>
          <w:rFonts w:ascii="Times New Roman" w:hAnsi="Times New Roman" w:cs="Times New Roman"/>
          <w:sz w:val="24"/>
          <w:szCs w:val="24"/>
          <w:lang w:val="lt-LT"/>
        </w:rPr>
        <w:t xml:space="preserve"> jo neigiama įtaka šalies ūkiui yra gerokai didesnė</w:t>
      </w:r>
      <w:r w:rsidR="0002535E" w:rsidRPr="0017614D">
        <w:rPr>
          <w:rFonts w:ascii="Times New Roman" w:hAnsi="Times New Roman" w:cs="Times New Roman"/>
          <w:bCs/>
          <w:sz w:val="24"/>
          <w:szCs w:val="24"/>
          <w:lang w:val="lt-LT"/>
        </w:rPr>
        <w:t>.</w:t>
      </w:r>
    </w:p>
    <w:p w:rsidR="00954C4B" w:rsidRPr="0017614D" w:rsidRDefault="00954C4B" w:rsidP="00E8798A">
      <w:pPr>
        <w:spacing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Išnagrinėtos kelių autor</w:t>
      </w:r>
      <w:r w:rsidR="00C066C1" w:rsidRPr="0017614D">
        <w:rPr>
          <w:rFonts w:ascii="Times New Roman" w:hAnsi="Times New Roman" w:cs="Times New Roman"/>
          <w:sz w:val="24"/>
          <w:szCs w:val="24"/>
          <w:lang w:val="lt-LT"/>
        </w:rPr>
        <w:t>ių nuomonės buvo susistemintos 5</w:t>
      </w:r>
      <w:r w:rsidRPr="0017614D">
        <w:rPr>
          <w:rFonts w:ascii="Times New Roman" w:hAnsi="Times New Roman" w:cs="Times New Roman"/>
          <w:sz w:val="24"/>
          <w:szCs w:val="24"/>
          <w:lang w:val="lt-LT"/>
        </w:rPr>
        <w:t xml:space="preserve"> lentelėje, išskiriant tiek teigiamą, tiek neigiamą bankroto įtaką šalies ūkiui. </w:t>
      </w:r>
      <w:r w:rsidR="0002535E" w:rsidRPr="0017614D">
        <w:rPr>
          <w:rFonts w:ascii="Times New Roman" w:hAnsi="Times New Roman" w:cs="Times New Roman"/>
          <w:sz w:val="24"/>
          <w:szCs w:val="24"/>
          <w:lang w:val="lt-LT"/>
        </w:rPr>
        <w:t>Šios lentelės duomenys</w:t>
      </w:r>
      <w:r w:rsidRPr="0017614D">
        <w:rPr>
          <w:rFonts w:ascii="Times New Roman" w:hAnsi="Times New Roman" w:cs="Times New Roman"/>
          <w:sz w:val="24"/>
          <w:szCs w:val="24"/>
          <w:lang w:val="lt-LT"/>
        </w:rPr>
        <w:t xml:space="preserve"> </w:t>
      </w:r>
      <w:r w:rsidR="0002535E" w:rsidRPr="0017614D">
        <w:rPr>
          <w:rFonts w:ascii="Times New Roman" w:hAnsi="Times New Roman" w:cs="Times New Roman"/>
          <w:sz w:val="24"/>
          <w:szCs w:val="24"/>
          <w:lang w:val="lt-LT"/>
        </w:rPr>
        <w:t xml:space="preserve">tik patvirtina prieš tai padarytą išvadą, </w:t>
      </w:r>
      <w:r w:rsidRPr="0017614D">
        <w:rPr>
          <w:rFonts w:ascii="Times New Roman" w:hAnsi="Times New Roman" w:cs="Times New Roman"/>
          <w:sz w:val="24"/>
          <w:szCs w:val="24"/>
          <w:lang w:val="lt-LT"/>
        </w:rPr>
        <w:t>kad visgi bankroto sukeliamų problemų yra</w:t>
      </w:r>
      <w:r w:rsidR="00777A1A">
        <w:rPr>
          <w:rFonts w:ascii="Times New Roman" w:hAnsi="Times New Roman" w:cs="Times New Roman"/>
          <w:sz w:val="24"/>
          <w:szCs w:val="24"/>
          <w:lang w:val="lt-LT"/>
        </w:rPr>
        <w:t xml:space="preserve"> pastebima daugiau ir jų pasekmė</w:t>
      </w:r>
      <w:r w:rsidRPr="0017614D">
        <w:rPr>
          <w:rFonts w:ascii="Times New Roman" w:hAnsi="Times New Roman" w:cs="Times New Roman"/>
          <w:sz w:val="24"/>
          <w:szCs w:val="24"/>
          <w:lang w:val="lt-LT"/>
        </w:rPr>
        <w:t>s yra skaudesnės visuomenei negu iš bankroto gaunama nauda.</w:t>
      </w:r>
    </w:p>
    <w:p w:rsidR="00954C4B" w:rsidRPr="0017614D" w:rsidRDefault="00954C4B" w:rsidP="008C0945">
      <w:pPr>
        <w:ind w:firstLine="720"/>
        <w:contextualSpacing/>
        <w:jc w:val="both"/>
        <w:rPr>
          <w:rFonts w:ascii="Times New Roman" w:hAnsi="Times New Roman" w:cs="Times New Roman"/>
          <w:sz w:val="24"/>
          <w:szCs w:val="24"/>
          <w:lang w:val="lt-LT"/>
        </w:rPr>
      </w:pPr>
    </w:p>
    <w:p w:rsidR="00954C4B" w:rsidRPr="0017614D" w:rsidRDefault="00C066C1" w:rsidP="008C0945">
      <w:pPr>
        <w:contextualSpacing/>
        <w:jc w:val="center"/>
        <w:rPr>
          <w:rFonts w:ascii="Times New Roman" w:hAnsi="Times New Roman" w:cs="Times New Roman"/>
          <w:b/>
          <w:szCs w:val="24"/>
          <w:lang w:val="lt-LT"/>
        </w:rPr>
      </w:pPr>
      <w:r w:rsidRPr="0017614D">
        <w:rPr>
          <w:rFonts w:ascii="Times New Roman" w:hAnsi="Times New Roman" w:cs="Times New Roman"/>
          <w:szCs w:val="24"/>
          <w:lang w:val="lt-LT"/>
        </w:rPr>
        <w:t>5</w:t>
      </w:r>
      <w:r w:rsidR="00954C4B" w:rsidRPr="0017614D">
        <w:rPr>
          <w:rFonts w:ascii="Times New Roman" w:hAnsi="Times New Roman" w:cs="Times New Roman"/>
          <w:szCs w:val="24"/>
          <w:lang w:val="lt-LT"/>
        </w:rPr>
        <w:t xml:space="preserve"> lentelė.</w:t>
      </w:r>
      <w:r w:rsidR="00954C4B" w:rsidRPr="0017614D">
        <w:rPr>
          <w:rFonts w:ascii="Times New Roman" w:hAnsi="Times New Roman" w:cs="Times New Roman"/>
          <w:b/>
          <w:szCs w:val="24"/>
          <w:lang w:val="lt-LT"/>
        </w:rPr>
        <w:t xml:space="preserve"> Bankroto pasekmės šalies ūkiui</w:t>
      </w:r>
    </w:p>
    <w:tbl>
      <w:tblPr>
        <w:tblStyle w:val="MediumGrid1-Accent6"/>
        <w:tblW w:w="0" w:type="auto"/>
        <w:tblLook w:val="04A0"/>
      </w:tblPr>
      <w:tblGrid>
        <w:gridCol w:w="5211"/>
        <w:gridCol w:w="5211"/>
      </w:tblGrid>
      <w:tr w:rsidR="00954C4B" w:rsidRPr="0017614D" w:rsidTr="00E524EC">
        <w:trPr>
          <w:cnfStyle w:val="100000000000"/>
        </w:trPr>
        <w:tc>
          <w:tcPr>
            <w:cnfStyle w:val="001000000000"/>
            <w:tcW w:w="10422" w:type="dxa"/>
            <w:gridSpan w:val="2"/>
          </w:tcPr>
          <w:p w:rsidR="00954C4B" w:rsidRPr="0017614D" w:rsidRDefault="00954C4B" w:rsidP="005559C8">
            <w:pPr>
              <w:contextualSpacing/>
              <w:jc w:val="center"/>
              <w:rPr>
                <w:rFonts w:ascii="Times New Roman" w:hAnsi="Times New Roman" w:cs="Times New Roman"/>
                <w:lang w:val="lt-LT"/>
              </w:rPr>
            </w:pPr>
            <w:r w:rsidRPr="0017614D">
              <w:rPr>
                <w:rFonts w:ascii="Times New Roman" w:hAnsi="Times New Roman" w:cs="Times New Roman"/>
                <w:lang w:val="lt-LT"/>
              </w:rPr>
              <w:t>BANKROTO PASEKMĖS</w:t>
            </w:r>
          </w:p>
        </w:tc>
      </w:tr>
      <w:tr w:rsidR="00954C4B" w:rsidRPr="0017614D" w:rsidTr="00E524EC">
        <w:trPr>
          <w:cnfStyle w:val="000000100000"/>
        </w:trPr>
        <w:tc>
          <w:tcPr>
            <w:cnfStyle w:val="001000000000"/>
            <w:tcW w:w="5211" w:type="dxa"/>
          </w:tcPr>
          <w:p w:rsidR="00954C4B" w:rsidRPr="0017614D" w:rsidRDefault="00954C4B" w:rsidP="005559C8">
            <w:pPr>
              <w:contextualSpacing/>
              <w:jc w:val="center"/>
              <w:rPr>
                <w:rFonts w:ascii="Times New Roman" w:hAnsi="Times New Roman" w:cs="Times New Roman"/>
                <w:lang w:val="lt-LT"/>
              </w:rPr>
            </w:pPr>
            <w:r w:rsidRPr="0017614D">
              <w:rPr>
                <w:rFonts w:ascii="Times New Roman" w:hAnsi="Times New Roman" w:cs="Times New Roman"/>
                <w:lang w:val="lt-LT"/>
              </w:rPr>
              <w:t>NEIGIAMA BANKROTO ĮTAKA ŠALIES ŪKIUI</w:t>
            </w:r>
          </w:p>
        </w:tc>
        <w:tc>
          <w:tcPr>
            <w:tcW w:w="5211" w:type="dxa"/>
          </w:tcPr>
          <w:p w:rsidR="00954C4B" w:rsidRPr="0017614D" w:rsidRDefault="00954C4B" w:rsidP="005559C8">
            <w:pPr>
              <w:contextualSpacing/>
              <w:jc w:val="center"/>
              <w:cnfStyle w:val="000000100000"/>
              <w:rPr>
                <w:rFonts w:ascii="Times New Roman" w:hAnsi="Times New Roman" w:cs="Times New Roman"/>
                <w:b/>
                <w:lang w:val="lt-LT"/>
              </w:rPr>
            </w:pPr>
            <w:r w:rsidRPr="0017614D">
              <w:rPr>
                <w:rFonts w:ascii="Times New Roman" w:hAnsi="Times New Roman" w:cs="Times New Roman"/>
                <w:b/>
                <w:lang w:val="lt-LT"/>
              </w:rPr>
              <w:t>TEIGIAMA BANKROTO ĮTAKA ŠALIES ŪKIUI</w:t>
            </w:r>
          </w:p>
        </w:tc>
      </w:tr>
      <w:tr w:rsidR="00954C4B" w:rsidRPr="0017614D" w:rsidTr="00E524EC">
        <w:tc>
          <w:tcPr>
            <w:cnfStyle w:val="001000000000"/>
            <w:tcW w:w="5211" w:type="dxa"/>
          </w:tcPr>
          <w:p w:rsidR="00954C4B" w:rsidRPr="0017614D" w:rsidRDefault="00954C4B" w:rsidP="005559C8">
            <w:pPr>
              <w:contextualSpacing/>
              <w:jc w:val="both"/>
              <w:rPr>
                <w:rFonts w:ascii="Times New Roman" w:hAnsi="Times New Roman" w:cs="Times New Roman"/>
                <w:u w:val="single"/>
                <w:lang w:val="lt-LT"/>
              </w:rPr>
            </w:pPr>
            <w:r w:rsidRPr="0017614D">
              <w:rPr>
                <w:rFonts w:ascii="Times New Roman" w:hAnsi="Times New Roman" w:cs="Times New Roman"/>
                <w:i/>
                <w:u w:val="single"/>
                <w:lang w:val="lt-LT"/>
              </w:rPr>
              <w:t>Ekonominės problemos</w:t>
            </w:r>
            <w:r w:rsidRPr="0017614D">
              <w:rPr>
                <w:rFonts w:ascii="Times New Roman" w:hAnsi="Times New Roman" w:cs="Times New Roman"/>
                <w:u w:val="single"/>
                <w:lang w:val="lt-LT"/>
              </w:rPr>
              <w:t>:</w:t>
            </w:r>
          </w:p>
          <w:p w:rsidR="00954C4B" w:rsidRPr="0017614D" w:rsidRDefault="00954C4B" w:rsidP="00505592">
            <w:pPr>
              <w:pStyle w:val="ListParagraph"/>
              <w:numPr>
                <w:ilvl w:val="0"/>
                <w:numId w:val="1"/>
              </w:numPr>
              <w:jc w:val="both"/>
              <w:rPr>
                <w:rFonts w:ascii="Times New Roman" w:hAnsi="Times New Roman" w:cs="Times New Roman"/>
                <w:b w:val="0"/>
                <w:lang w:val="lt-LT"/>
              </w:rPr>
            </w:pPr>
            <w:r w:rsidRPr="0017614D">
              <w:rPr>
                <w:rFonts w:ascii="Times New Roman" w:hAnsi="Times New Roman" w:cs="Times New Roman"/>
                <w:b w:val="0"/>
                <w:lang w:val="lt-LT"/>
              </w:rPr>
              <w:t xml:space="preserve">gamybinių pajėgumų praradimas, susilpnėjęs bendras šalies ūkio konkurencingumas; </w:t>
            </w:r>
          </w:p>
          <w:p w:rsidR="00954C4B" w:rsidRPr="0017614D" w:rsidRDefault="00954C4B" w:rsidP="00C066C1">
            <w:pPr>
              <w:pStyle w:val="ListParagraph"/>
              <w:numPr>
                <w:ilvl w:val="0"/>
                <w:numId w:val="1"/>
              </w:numPr>
              <w:jc w:val="both"/>
              <w:rPr>
                <w:rFonts w:ascii="Times New Roman" w:hAnsi="Times New Roman" w:cs="Times New Roman"/>
                <w:b w:val="0"/>
                <w:lang w:val="lt-LT"/>
              </w:rPr>
            </w:pPr>
            <w:r w:rsidRPr="0017614D">
              <w:rPr>
                <w:rFonts w:ascii="Times New Roman" w:hAnsi="Times New Roman" w:cs="Times New Roman"/>
                <w:b w:val="0"/>
                <w:lang w:val="lt-LT"/>
              </w:rPr>
              <w:t>nesumokėti mokesčiai;</w:t>
            </w:r>
            <w:r w:rsidR="002D389C" w:rsidRPr="0017614D">
              <w:rPr>
                <w:rFonts w:ascii="Times New Roman" w:hAnsi="Times New Roman" w:cs="Times New Roman"/>
                <w:lang w:val="lt-LT"/>
              </w:rPr>
              <w:t xml:space="preserve"> </w:t>
            </w:r>
          </w:p>
          <w:p w:rsidR="00E809CD" w:rsidRPr="0017614D" w:rsidRDefault="00E809CD" w:rsidP="00E809CD">
            <w:pPr>
              <w:pStyle w:val="ListParagraph"/>
              <w:numPr>
                <w:ilvl w:val="0"/>
                <w:numId w:val="1"/>
              </w:numPr>
              <w:jc w:val="both"/>
              <w:rPr>
                <w:rFonts w:ascii="Times New Roman" w:hAnsi="Times New Roman" w:cs="Times New Roman"/>
                <w:b w:val="0"/>
                <w:lang w:val="lt-LT"/>
              </w:rPr>
            </w:pPr>
            <w:r w:rsidRPr="0017614D">
              <w:rPr>
                <w:rFonts w:ascii="Times New Roman" w:hAnsi="Times New Roman" w:cs="Times New Roman"/>
                <w:b w:val="0"/>
                <w:lang w:val="lt-LT"/>
              </w:rPr>
              <w:t>nepatenkinti kreditoriniai reikalavimai.</w:t>
            </w:r>
          </w:p>
          <w:p w:rsidR="00E809CD" w:rsidRPr="0017614D" w:rsidRDefault="00E809CD" w:rsidP="00E809CD">
            <w:pPr>
              <w:pStyle w:val="ListParagraph"/>
              <w:numPr>
                <w:ilvl w:val="0"/>
                <w:numId w:val="1"/>
              </w:numPr>
              <w:jc w:val="both"/>
              <w:rPr>
                <w:rFonts w:ascii="Times New Roman" w:hAnsi="Times New Roman" w:cs="Times New Roman"/>
                <w:b w:val="0"/>
                <w:lang w:val="lt-LT"/>
              </w:rPr>
            </w:pPr>
            <w:r w:rsidRPr="0017614D">
              <w:rPr>
                <w:rFonts w:ascii="Times New Roman" w:hAnsi="Times New Roman" w:cs="Times New Roman"/>
                <w:b w:val="0"/>
                <w:lang w:val="lt-LT"/>
              </w:rPr>
              <w:t xml:space="preserve">kitų rinkos dalyvių, turinčia su bankrutuojančia įmone verslo ryšių (nesumokėti kreditiniai įsipareigojimai ir pan.), ekonominiai sunkumai ar net bankrotas; </w:t>
            </w:r>
          </w:p>
          <w:p w:rsidR="00E809CD" w:rsidRPr="0017614D" w:rsidRDefault="00E809CD" w:rsidP="00E809CD">
            <w:pPr>
              <w:pStyle w:val="ListParagraph"/>
              <w:numPr>
                <w:ilvl w:val="0"/>
                <w:numId w:val="1"/>
              </w:numPr>
              <w:jc w:val="both"/>
              <w:rPr>
                <w:rFonts w:ascii="Times New Roman" w:hAnsi="Times New Roman" w:cs="Times New Roman"/>
                <w:b w:val="0"/>
                <w:lang w:val="lt-LT"/>
              </w:rPr>
            </w:pPr>
            <w:r w:rsidRPr="0017614D">
              <w:rPr>
                <w:rFonts w:ascii="Times New Roman" w:hAnsi="Times New Roman" w:cs="Times New Roman"/>
                <w:b w:val="0"/>
                <w:lang w:val="lt-LT"/>
              </w:rPr>
              <w:t>papildomos išmokos iš valstybės biudžeto: socialinės išmokos, taip pat išmokos darbo jėgai perkvalifikuoti.</w:t>
            </w:r>
          </w:p>
          <w:p w:rsidR="00E809CD" w:rsidRPr="0017614D" w:rsidRDefault="00E809CD" w:rsidP="00E809CD">
            <w:pPr>
              <w:pStyle w:val="ListParagraph"/>
              <w:jc w:val="both"/>
              <w:rPr>
                <w:rFonts w:ascii="Times New Roman" w:hAnsi="Times New Roman" w:cs="Times New Roman"/>
                <w:b w:val="0"/>
                <w:lang w:val="lt-LT"/>
              </w:rPr>
            </w:pPr>
          </w:p>
          <w:p w:rsidR="00E809CD" w:rsidRPr="0017614D" w:rsidRDefault="00E809CD" w:rsidP="00E809CD">
            <w:pPr>
              <w:contextualSpacing/>
              <w:jc w:val="both"/>
              <w:rPr>
                <w:rFonts w:ascii="Times New Roman" w:hAnsi="Times New Roman" w:cs="Times New Roman"/>
                <w:i/>
                <w:u w:val="single"/>
                <w:lang w:val="lt-LT"/>
              </w:rPr>
            </w:pPr>
            <w:r w:rsidRPr="0017614D">
              <w:rPr>
                <w:rFonts w:ascii="Times New Roman" w:hAnsi="Times New Roman" w:cs="Times New Roman"/>
                <w:i/>
                <w:u w:val="single"/>
                <w:lang w:val="lt-LT"/>
              </w:rPr>
              <w:t>Socialinės problemos:</w:t>
            </w:r>
          </w:p>
          <w:p w:rsidR="00E809CD" w:rsidRPr="0017614D" w:rsidRDefault="00E809CD" w:rsidP="00E809CD">
            <w:pPr>
              <w:pStyle w:val="ListParagraph"/>
              <w:numPr>
                <w:ilvl w:val="0"/>
                <w:numId w:val="2"/>
              </w:numPr>
              <w:jc w:val="both"/>
              <w:rPr>
                <w:rFonts w:ascii="Times New Roman" w:hAnsi="Times New Roman" w:cs="Times New Roman"/>
                <w:b w:val="0"/>
                <w:lang w:val="lt-LT"/>
              </w:rPr>
            </w:pPr>
            <w:r w:rsidRPr="0017614D">
              <w:rPr>
                <w:rFonts w:ascii="Times New Roman" w:hAnsi="Times New Roman" w:cs="Times New Roman"/>
                <w:b w:val="0"/>
                <w:lang w:val="lt-LT"/>
              </w:rPr>
              <w:t>nedarbo augimas;</w:t>
            </w:r>
          </w:p>
          <w:p w:rsidR="00E809CD" w:rsidRPr="0017614D" w:rsidRDefault="00E809CD" w:rsidP="00E809CD">
            <w:pPr>
              <w:pStyle w:val="ListParagraph"/>
              <w:numPr>
                <w:ilvl w:val="0"/>
                <w:numId w:val="2"/>
              </w:numPr>
              <w:jc w:val="both"/>
              <w:rPr>
                <w:rFonts w:ascii="Times New Roman" w:hAnsi="Times New Roman" w:cs="Times New Roman"/>
                <w:b w:val="0"/>
                <w:lang w:val="lt-LT"/>
              </w:rPr>
            </w:pPr>
            <w:r w:rsidRPr="0017614D">
              <w:rPr>
                <w:rFonts w:ascii="Times New Roman" w:hAnsi="Times New Roman" w:cs="Times New Roman"/>
                <w:b w:val="0"/>
                <w:lang w:val="lt-LT"/>
              </w:rPr>
              <w:t>bendrojo šalies gyventojų gyvenimo lygio kritimas;</w:t>
            </w:r>
          </w:p>
        </w:tc>
        <w:tc>
          <w:tcPr>
            <w:tcW w:w="5211" w:type="dxa"/>
          </w:tcPr>
          <w:p w:rsidR="00954C4B" w:rsidRPr="0017614D" w:rsidRDefault="00954C4B" w:rsidP="005559C8">
            <w:pPr>
              <w:contextualSpacing/>
              <w:jc w:val="both"/>
              <w:cnfStyle w:val="000000000000"/>
              <w:rPr>
                <w:rFonts w:ascii="Times New Roman" w:hAnsi="Times New Roman" w:cs="Times New Roman"/>
                <w:b/>
                <w:i/>
                <w:u w:val="single"/>
                <w:lang w:val="lt-LT"/>
              </w:rPr>
            </w:pPr>
            <w:r w:rsidRPr="0017614D">
              <w:rPr>
                <w:rFonts w:ascii="Times New Roman" w:hAnsi="Times New Roman" w:cs="Times New Roman"/>
                <w:b/>
                <w:i/>
                <w:u w:val="single"/>
                <w:lang w:val="lt-LT"/>
              </w:rPr>
              <w:t>Nauda šalies ūkiui:</w:t>
            </w:r>
          </w:p>
          <w:p w:rsidR="00954C4B" w:rsidRPr="0017614D" w:rsidRDefault="00954C4B" w:rsidP="00505592">
            <w:pPr>
              <w:pStyle w:val="ListParagraph"/>
              <w:numPr>
                <w:ilvl w:val="0"/>
                <w:numId w:val="3"/>
              </w:numPr>
              <w:jc w:val="both"/>
              <w:cnfStyle w:val="000000000000"/>
              <w:rPr>
                <w:rFonts w:ascii="Times New Roman" w:hAnsi="Times New Roman" w:cs="Times New Roman"/>
                <w:lang w:val="lt-LT"/>
              </w:rPr>
            </w:pPr>
            <w:r w:rsidRPr="0017614D">
              <w:rPr>
                <w:rFonts w:ascii="Times New Roman" w:hAnsi="Times New Roman" w:cs="Times New Roman"/>
                <w:lang w:val="lt-LT"/>
              </w:rPr>
              <w:t xml:space="preserve">skatina kapitalo koncentraciją; </w:t>
            </w:r>
          </w:p>
          <w:p w:rsidR="00954C4B" w:rsidRPr="0017614D" w:rsidRDefault="00954C4B" w:rsidP="00505592">
            <w:pPr>
              <w:pStyle w:val="ListParagraph"/>
              <w:numPr>
                <w:ilvl w:val="0"/>
                <w:numId w:val="3"/>
              </w:numPr>
              <w:jc w:val="both"/>
              <w:cnfStyle w:val="000000000000"/>
              <w:rPr>
                <w:rFonts w:ascii="Times New Roman" w:hAnsi="Times New Roman" w:cs="Times New Roman"/>
                <w:lang w:val="lt-LT"/>
              </w:rPr>
            </w:pPr>
            <w:r w:rsidRPr="0017614D">
              <w:rPr>
                <w:rFonts w:ascii="Times New Roman" w:hAnsi="Times New Roman" w:cs="Times New Roman"/>
                <w:lang w:val="lt-LT"/>
              </w:rPr>
              <w:t>ūkis atsikrato neefektyvių įmonių;</w:t>
            </w:r>
          </w:p>
          <w:p w:rsidR="00954C4B" w:rsidRPr="0017614D" w:rsidRDefault="00954C4B" w:rsidP="00C066C1">
            <w:pPr>
              <w:pStyle w:val="ListParagraph"/>
              <w:numPr>
                <w:ilvl w:val="0"/>
                <w:numId w:val="3"/>
              </w:numPr>
              <w:jc w:val="both"/>
              <w:cnfStyle w:val="000000000000"/>
              <w:rPr>
                <w:rFonts w:ascii="Times New Roman" w:hAnsi="Times New Roman" w:cs="Times New Roman"/>
                <w:lang w:val="lt-LT"/>
              </w:rPr>
            </w:pPr>
            <w:r w:rsidRPr="0017614D">
              <w:rPr>
                <w:rFonts w:ascii="Times New Roman" w:hAnsi="Times New Roman" w:cs="Times New Roman"/>
                <w:lang w:val="lt-LT"/>
              </w:rPr>
              <w:t>likviduojami nenaudojami pajėgumai;</w:t>
            </w:r>
          </w:p>
          <w:p w:rsidR="00E809CD" w:rsidRPr="0017614D" w:rsidRDefault="00E809CD" w:rsidP="00E809CD">
            <w:pPr>
              <w:pStyle w:val="ListParagraph"/>
              <w:numPr>
                <w:ilvl w:val="0"/>
                <w:numId w:val="3"/>
              </w:numPr>
              <w:jc w:val="both"/>
              <w:cnfStyle w:val="000000000000"/>
              <w:rPr>
                <w:rFonts w:ascii="Times New Roman" w:hAnsi="Times New Roman" w:cs="Times New Roman"/>
                <w:lang w:val="lt-LT"/>
              </w:rPr>
            </w:pPr>
            <w:r w:rsidRPr="0017614D">
              <w:rPr>
                <w:rFonts w:ascii="Times New Roman" w:hAnsi="Times New Roman" w:cs="Times New Roman"/>
                <w:lang w:val="lt-LT"/>
              </w:rPr>
              <w:t>atsiranda galimybė atleisti perteklinius darbuotojus.</w:t>
            </w:r>
          </w:p>
          <w:p w:rsidR="00E809CD" w:rsidRPr="0017614D" w:rsidRDefault="00E809CD" w:rsidP="00E809CD">
            <w:pPr>
              <w:contextualSpacing/>
              <w:jc w:val="both"/>
              <w:cnfStyle w:val="000000000000"/>
              <w:rPr>
                <w:rFonts w:ascii="Times New Roman" w:hAnsi="Times New Roman" w:cs="Times New Roman"/>
                <w:lang w:val="lt-LT"/>
              </w:rPr>
            </w:pPr>
          </w:p>
          <w:p w:rsidR="00E809CD" w:rsidRPr="0017614D" w:rsidRDefault="00E809CD" w:rsidP="00E809CD">
            <w:pPr>
              <w:contextualSpacing/>
              <w:jc w:val="both"/>
              <w:cnfStyle w:val="000000000000"/>
              <w:rPr>
                <w:rFonts w:ascii="Times New Roman" w:hAnsi="Times New Roman" w:cs="Times New Roman"/>
                <w:b/>
                <w:i/>
                <w:u w:val="single"/>
                <w:lang w:val="lt-LT"/>
              </w:rPr>
            </w:pPr>
            <w:r w:rsidRPr="0017614D">
              <w:rPr>
                <w:rFonts w:ascii="Times New Roman" w:hAnsi="Times New Roman" w:cs="Times New Roman"/>
                <w:b/>
                <w:i/>
                <w:u w:val="single"/>
                <w:lang w:val="lt-LT"/>
              </w:rPr>
              <w:t>Nauda įmonei:</w:t>
            </w:r>
          </w:p>
          <w:p w:rsidR="00E809CD" w:rsidRPr="0017614D" w:rsidRDefault="00E809CD" w:rsidP="00E809CD">
            <w:pPr>
              <w:pStyle w:val="ListParagraph"/>
              <w:numPr>
                <w:ilvl w:val="0"/>
                <w:numId w:val="4"/>
              </w:numPr>
              <w:jc w:val="both"/>
              <w:cnfStyle w:val="000000000000"/>
              <w:rPr>
                <w:rFonts w:ascii="Times New Roman" w:hAnsi="Times New Roman" w:cs="Times New Roman"/>
                <w:lang w:val="lt-LT"/>
              </w:rPr>
            </w:pPr>
            <w:r w:rsidRPr="0017614D">
              <w:rPr>
                <w:rFonts w:ascii="Times New Roman" w:hAnsi="Times New Roman" w:cs="Times New Roman"/>
                <w:lang w:val="lt-LT"/>
              </w:rPr>
              <w:t>atsiranda galimybė įmonei restruktūrizuotis;</w:t>
            </w:r>
          </w:p>
          <w:p w:rsidR="00E809CD" w:rsidRPr="0017614D" w:rsidRDefault="00E809CD" w:rsidP="00E809CD">
            <w:pPr>
              <w:pStyle w:val="ListParagraph"/>
              <w:numPr>
                <w:ilvl w:val="0"/>
                <w:numId w:val="4"/>
              </w:numPr>
              <w:jc w:val="both"/>
              <w:cnfStyle w:val="000000000000"/>
              <w:rPr>
                <w:rFonts w:ascii="Times New Roman" w:hAnsi="Times New Roman" w:cs="Times New Roman"/>
                <w:lang w:val="lt-LT"/>
              </w:rPr>
            </w:pPr>
            <w:r w:rsidRPr="0017614D">
              <w:rPr>
                <w:rFonts w:ascii="Times New Roman" w:hAnsi="Times New Roman" w:cs="Times New Roman"/>
                <w:lang w:val="lt-LT"/>
              </w:rPr>
              <w:t xml:space="preserve">leidžia laiku grąžinti skolas kreditoriams. </w:t>
            </w:r>
          </w:p>
          <w:p w:rsidR="00E809CD" w:rsidRPr="0017614D" w:rsidRDefault="00E809CD" w:rsidP="00C066C1">
            <w:pPr>
              <w:pStyle w:val="ListParagraph"/>
              <w:numPr>
                <w:ilvl w:val="0"/>
                <w:numId w:val="3"/>
              </w:numPr>
              <w:jc w:val="both"/>
              <w:cnfStyle w:val="000000000000"/>
              <w:rPr>
                <w:rFonts w:ascii="Times New Roman" w:hAnsi="Times New Roman" w:cs="Times New Roman"/>
                <w:lang w:val="lt-LT"/>
              </w:rPr>
            </w:pPr>
          </w:p>
        </w:tc>
      </w:tr>
    </w:tbl>
    <w:bookmarkEnd w:id="88"/>
    <w:bookmarkEnd w:id="89"/>
    <w:p w:rsidR="006F5BE7" w:rsidRPr="0017614D" w:rsidRDefault="00C066C1" w:rsidP="002B57E2">
      <w:pPr>
        <w:spacing w:line="360" w:lineRule="auto"/>
        <w:contextualSpacing/>
        <w:jc w:val="right"/>
        <w:rPr>
          <w:rFonts w:ascii="Times New Roman" w:hAnsi="Times New Roman" w:cs="Times New Roman"/>
          <w:sz w:val="24"/>
          <w:szCs w:val="24"/>
          <w:lang w:val="lt-LT"/>
        </w:rPr>
      </w:pPr>
      <w:r w:rsidRPr="0017614D">
        <w:rPr>
          <w:rFonts w:ascii="Times New Roman" w:hAnsi="Times New Roman" w:cs="Times New Roman"/>
          <w:sz w:val="24"/>
          <w:szCs w:val="24"/>
          <w:lang w:val="lt-LT"/>
        </w:rPr>
        <w:t>5</w:t>
      </w:r>
      <w:r w:rsidR="006F5BE7" w:rsidRPr="0017614D">
        <w:rPr>
          <w:rFonts w:ascii="Times New Roman" w:hAnsi="Times New Roman" w:cs="Times New Roman"/>
          <w:sz w:val="24"/>
          <w:szCs w:val="24"/>
          <w:lang w:val="lt-LT"/>
        </w:rPr>
        <w:t xml:space="preserve"> lentel</w:t>
      </w:r>
      <w:r w:rsidR="006F5BE7" w:rsidRPr="0017614D">
        <w:rPr>
          <w:rFonts w:ascii="TimesNewRomanPSMT" w:eastAsia="TimesNewRomanPSMT" w:hAnsi="Times New Roman" w:cs="TimesNewRomanPSMT"/>
          <w:sz w:val="24"/>
          <w:szCs w:val="24"/>
          <w:lang w:val="lt-LT"/>
        </w:rPr>
        <w:t>ė</w:t>
      </w:r>
      <w:r w:rsidR="006F5BE7" w:rsidRPr="0017614D">
        <w:rPr>
          <w:rFonts w:ascii="Times New Roman" w:hAnsi="Times New Roman" w:cs="Times New Roman"/>
          <w:sz w:val="24"/>
          <w:szCs w:val="24"/>
          <w:lang w:val="lt-LT"/>
        </w:rPr>
        <w:t>s t</w:t>
      </w:r>
      <w:r w:rsidR="006F5BE7" w:rsidRPr="0017614D">
        <w:rPr>
          <w:rFonts w:ascii="TimesNewRomanPSMT" w:eastAsia="TimesNewRomanPSMT" w:hAnsi="Times New Roman" w:cs="TimesNewRomanPSMT"/>
          <w:sz w:val="24"/>
          <w:szCs w:val="24"/>
          <w:lang w:val="lt-LT"/>
        </w:rPr>
        <w:t>ę</w:t>
      </w:r>
      <w:r w:rsidR="006F5BE7" w:rsidRPr="0017614D">
        <w:rPr>
          <w:rFonts w:ascii="Times New Roman" w:hAnsi="Times New Roman" w:cs="Times New Roman"/>
          <w:sz w:val="24"/>
          <w:szCs w:val="24"/>
          <w:lang w:val="lt-LT"/>
        </w:rPr>
        <w:t>sinys pateiktas kitame puslapyje</w:t>
      </w:r>
    </w:p>
    <w:p w:rsidR="006F5BE7" w:rsidRPr="0017614D" w:rsidRDefault="00C066C1" w:rsidP="002B57E2">
      <w:pPr>
        <w:spacing w:line="360" w:lineRule="auto"/>
        <w:contextualSpacing/>
        <w:jc w:val="right"/>
        <w:rPr>
          <w:rFonts w:ascii="Times New Roman" w:hAnsi="Times New Roman" w:cs="Times New Roman"/>
          <w:b/>
          <w:sz w:val="20"/>
          <w:szCs w:val="20"/>
          <w:lang w:val="lt-LT"/>
        </w:rPr>
      </w:pPr>
      <w:r w:rsidRPr="0017614D">
        <w:rPr>
          <w:rFonts w:ascii="Times New Roman" w:hAnsi="Times New Roman" w:cs="Times New Roman"/>
          <w:sz w:val="24"/>
          <w:szCs w:val="24"/>
          <w:lang w:val="lt-LT"/>
        </w:rPr>
        <w:lastRenderedPageBreak/>
        <w:t>5</w:t>
      </w:r>
      <w:r w:rsidR="006F5BE7" w:rsidRPr="0017614D">
        <w:rPr>
          <w:rFonts w:ascii="Times New Roman" w:hAnsi="Times New Roman" w:cs="Times New Roman"/>
          <w:sz w:val="24"/>
          <w:szCs w:val="24"/>
          <w:lang w:val="lt-LT"/>
        </w:rPr>
        <w:t xml:space="preserve"> lentel</w:t>
      </w:r>
      <w:r w:rsidR="006F5BE7" w:rsidRPr="0017614D">
        <w:rPr>
          <w:rFonts w:ascii="TimesNewRomanPSMT" w:eastAsia="TimesNewRomanPSMT" w:hAnsi="Times New Roman" w:cs="TimesNewRomanPSMT"/>
          <w:sz w:val="24"/>
          <w:szCs w:val="24"/>
          <w:lang w:val="lt-LT"/>
        </w:rPr>
        <w:t>ė</w:t>
      </w:r>
      <w:r w:rsidR="006F5BE7" w:rsidRPr="0017614D">
        <w:rPr>
          <w:rFonts w:ascii="Times New Roman" w:hAnsi="Times New Roman" w:cs="Times New Roman"/>
          <w:sz w:val="24"/>
          <w:szCs w:val="24"/>
          <w:lang w:val="lt-LT"/>
        </w:rPr>
        <w:t>s t</w:t>
      </w:r>
      <w:r w:rsidR="006F5BE7" w:rsidRPr="0017614D">
        <w:rPr>
          <w:rFonts w:ascii="TimesNewRomanPSMT" w:eastAsia="TimesNewRomanPSMT" w:hAnsi="Times New Roman" w:cs="TimesNewRomanPSMT"/>
          <w:sz w:val="24"/>
          <w:szCs w:val="24"/>
          <w:lang w:val="lt-LT"/>
        </w:rPr>
        <w:t>ę</w:t>
      </w:r>
      <w:r w:rsidR="006F5BE7" w:rsidRPr="0017614D">
        <w:rPr>
          <w:rFonts w:ascii="Times New Roman" w:hAnsi="Times New Roman" w:cs="Times New Roman"/>
          <w:sz w:val="24"/>
          <w:szCs w:val="24"/>
          <w:lang w:val="lt-LT"/>
        </w:rPr>
        <w:t>sinys</w:t>
      </w:r>
    </w:p>
    <w:tbl>
      <w:tblPr>
        <w:tblStyle w:val="MediumGrid1-Accent6"/>
        <w:tblW w:w="0" w:type="auto"/>
        <w:tblLook w:val="04A0"/>
      </w:tblPr>
      <w:tblGrid>
        <w:gridCol w:w="5211"/>
        <w:gridCol w:w="5211"/>
      </w:tblGrid>
      <w:tr w:rsidR="006F5BE7" w:rsidRPr="0017614D" w:rsidTr="00A5715B">
        <w:trPr>
          <w:cnfStyle w:val="100000000000"/>
        </w:trPr>
        <w:tc>
          <w:tcPr>
            <w:cnfStyle w:val="001000000000"/>
            <w:tcW w:w="10422" w:type="dxa"/>
            <w:gridSpan w:val="2"/>
          </w:tcPr>
          <w:p w:rsidR="006F5BE7" w:rsidRPr="0017614D" w:rsidRDefault="006F5BE7" w:rsidP="00A5715B">
            <w:pPr>
              <w:contextualSpacing/>
              <w:jc w:val="center"/>
              <w:rPr>
                <w:rFonts w:ascii="Times New Roman" w:hAnsi="Times New Roman" w:cs="Times New Roman"/>
                <w:lang w:val="lt-LT"/>
              </w:rPr>
            </w:pPr>
            <w:r w:rsidRPr="0017614D">
              <w:rPr>
                <w:rFonts w:ascii="Times New Roman" w:hAnsi="Times New Roman" w:cs="Times New Roman"/>
                <w:lang w:val="lt-LT"/>
              </w:rPr>
              <w:t>BANKROTO PASEKMĖS</w:t>
            </w:r>
          </w:p>
        </w:tc>
      </w:tr>
      <w:tr w:rsidR="006F5BE7" w:rsidRPr="0017614D" w:rsidTr="00A5715B">
        <w:trPr>
          <w:cnfStyle w:val="000000100000"/>
        </w:trPr>
        <w:tc>
          <w:tcPr>
            <w:cnfStyle w:val="001000000000"/>
            <w:tcW w:w="5211" w:type="dxa"/>
          </w:tcPr>
          <w:p w:rsidR="006F5BE7" w:rsidRPr="0017614D" w:rsidRDefault="006F5BE7" w:rsidP="00A5715B">
            <w:pPr>
              <w:contextualSpacing/>
              <w:jc w:val="center"/>
              <w:rPr>
                <w:rFonts w:ascii="Times New Roman" w:hAnsi="Times New Roman" w:cs="Times New Roman"/>
                <w:lang w:val="lt-LT"/>
              </w:rPr>
            </w:pPr>
            <w:r w:rsidRPr="0017614D">
              <w:rPr>
                <w:rFonts w:ascii="Times New Roman" w:hAnsi="Times New Roman" w:cs="Times New Roman"/>
                <w:lang w:val="lt-LT"/>
              </w:rPr>
              <w:t>NEIGIAMA BANKROTO ĮTAKA ŠALIES ŪKIUI</w:t>
            </w:r>
          </w:p>
        </w:tc>
        <w:tc>
          <w:tcPr>
            <w:tcW w:w="5211" w:type="dxa"/>
          </w:tcPr>
          <w:p w:rsidR="006F5BE7" w:rsidRPr="0017614D" w:rsidRDefault="006F5BE7" w:rsidP="00A5715B">
            <w:pPr>
              <w:contextualSpacing/>
              <w:jc w:val="center"/>
              <w:cnfStyle w:val="000000100000"/>
              <w:rPr>
                <w:rFonts w:ascii="Times New Roman" w:hAnsi="Times New Roman" w:cs="Times New Roman"/>
                <w:b/>
                <w:lang w:val="lt-LT"/>
              </w:rPr>
            </w:pPr>
            <w:r w:rsidRPr="0017614D">
              <w:rPr>
                <w:rFonts w:ascii="Times New Roman" w:hAnsi="Times New Roman" w:cs="Times New Roman"/>
                <w:b/>
                <w:lang w:val="lt-LT"/>
              </w:rPr>
              <w:t>TEIGIAMA BANKROTO ĮTAKA ŠALIES ŪKIUI</w:t>
            </w:r>
          </w:p>
        </w:tc>
      </w:tr>
      <w:tr w:rsidR="006F5BE7" w:rsidRPr="0017614D" w:rsidTr="00A5715B">
        <w:tc>
          <w:tcPr>
            <w:cnfStyle w:val="001000000000"/>
            <w:tcW w:w="5211" w:type="dxa"/>
          </w:tcPr>
          <w:p w:rsidR="00C066C1" w:rsidRPr="0017614D" w:rsidRDefault="00C066C1" w:rsidP="00C066C1">
            <w:pPr>
              <w:pStyle w:val="ListParagraph"/>
              <w:jc w:val="both"/>
              <w:rPr>
                <w:rFonts w:ascii="Times New Roman" w:hAnsi="Times New Roman" w:cs="Times New Roman"/>
                <w:b w:val="0"/>
                <w:lang w:val="lt-LT"/>
              </w:rPr>
            </w:pPr>
          </w:p>
          <w:p w:rsidR="006F5BE7" w:rsidRPr="0017614D" w:rsidRDefault="006F5BE7" w:rsidP="00A5715B">
            <w:pPr>
              <w:pStyle w:val="ListParagraph"/>
              <w:numPr>
                <w:ilvl w:val="0"/>
                <w:numId w:val="2"/>
              </w:numPr>
              <w:jc w:val="both"/>
              <w:rPr>
                <w:rFonts w:ascii="Times New Roman" w:hAnsi="Times New Roman" w:cs="Times New Roman"/>
                <w:b w:val="0"/>
                <w:lang w:val="lt-LT"/>
              </w:rPr>
            </w:pPr>
            <w:r w:rsidRPr="0017614D">
              <w:rPr>
                <w:rFonts w:ascii="Times New Roman" w:hAnsi="Times New Roman" w:cs="Times New Roman"/>
                <w:b w:val="0"/>
                <w:lang w:val="lt-LT"/>
              </w:rPr>
              <w:t>gyventojų nepasitenkinimas šalies silpna ūkio būkle;</w:t>
            </w:r>
          </w:p>
          <w:p w:rsidR="006F5BE7" w:rsidRPr="0017614D" w:rsidRDefault="006F5BE7" w:rsidP="00A5715B">
            <w:pPr>
              <w:pStyle w:val="ListParagraph"/>
              <w:numPr>
                <w:ilvl w:val="0"/>
                <w:numId w:val="2"/>
              </w:numPr>
              <w:jc w:val="both"/>
              <w:rPr>
                <w:rFonts w:ascii="Times New Roman" w:hAnsi="Times New Roman" w:cs="Times New Roman"/>
                <w:b w:val="0"/>
                <w:lang w:val="lt-LT"/>
              </w:rPr>
            </w:pPr>
            <w:r w:rsidRPr="0017614D">
              <w:rPr>
                <w:rFonts w:ascii="Times New Roman" w:hAnsi="Times New Roman" w:cs="Times New Roman"/>
                <w:b w:val="0"/>
                <w:lang w:val="lt-LT"/>
              </w:rPr>
              <w:t>netikrumas dėl ateities;</w:t>
            </w:r>
          </w:p>
          <w:p w:rsidR="006F5BE7" w:rsidRPr="0017614D" w:rsidRDefault="006F5BE7" w:rsidP="00A5715B">
            <w:pPr>
              <w:pStyle w:val="ListParagraph"/>
              <w:numPr>
                <w:ilvl w:val="0"/>
                <w:numId w:val="2"/>
              </w:numPr>
              <w:jc w:val="both"/>
              <w:rPr>
                <w:rFonts w:ascii="Times New Roman" w:hAnsi="Times New Roman" w:cs="Times New Roman"/>
                <w:b w:val="0"/>
                <w:lang w:val="lt-LT"/>
              </w:rPr>
            </w:pPr>
            <w:r w:rsidRPr="0017614D">
              <w:rPr>
                <w:rFonts w:ascii="Times New Roman" w:hAnsi="Times New Roman" w:cs="Times New Roman"/>
                <w:b w:val="0"/>
                <w:lang w:val="lt-LT"/>
              </w:rPr>
              <w:t>gyventojų emigracija („protų nutekėjimas“).</w:t>
            </w:r>
          </w:p>
          <w:p w:rsidR="006F5BE7" w:rsidRPr="0017614D" w:rsidRDefault="006F5BE7" w:rsidP="00A5715B">
            <w:pPr>
              <w:contextualSpacing/>
              <w:jc w:val="both"/>
              <w:rPr>
                <w:rFonts w:ascii="Times New Roman" w:hAnsi="Times New Roman" w:cs="Times New Roman"/>
                <w:lang w:val="lt-LT"/>
              </w:rPr>
            </w:pPr>
          </w:p>
        </w:tc>
        <w:tc>
          <w:tcPr>
            <w:tcW w:w="5211" w:type="dxa"/>
          </w:tcPr>
          <w:p w:rsidR="006F5BE7" w:rsidRPr="0017614D" w:rsidRDefault="006F5BE7" w:rsidP="00E809CD">
            <w:pPr>
              <w:pStyle w:val="ListParagraph"/>
              <w:jc w:val="both"/>
              <w:cnfStyle w:val="000000000000"/>
              <w:rPr>
                <w:rFonts w:ascii="Times New Roman" w:hAnsi="Times New Roman" w:cs="Times New Roman"/>
                <w:lang w:val="lt-LT"/>
              </w:rPr>
            </w:pPr>
          </w:p>
        </w:tc>
      </w:tr>
    </w:tbl>
    <w:p w:rsidR="00954C4B" w:rsidRPr="005D3FF6" w:rsidRDefault="00954C4B" w:rsidP="006F5BE7">
      <w:pPr>
        <w:ind w:firstLine="720"/>
        <w:contextualSpacing/>
        <w:jc w:val="both"/>
        <w:rPr>
          <w:rFonts w:ascii="Times New Roman" w:hAnsi="Times New Roman" w:cs="Times New Roman"/>
          <w:sz w:val="20"/>
          <w:szCs w:val="24"/>
          <w:lang w:val="lt-LT"/>
        </w:rPr>
      </w:pPr>
      <w:r w:rsidRPr="005D3FF6">
        <w:rPr>
          <w:rFonts w:ascii="Times New Roman" w:hAnsi="Times New Roman" w:cs="Times New Roman"/>
          <w:b/>
          <w:sz w:val="20"/>
          <w:szCs w:val="24"/>
          <w:lang w:val="lt-LT"/>
        </w:rPr>
        <w:t>Šaltinis:</w:t>
      </w:r>
      <w:r w:rsidRPr="005D3FF6">
        <w:rPr>
          <w:rFonts w:ascii="Times New Roman" w:hAnsi="Times New Roman" w:cs="Times New Roman"/>
          <w:sz w:val="20"/>
          <w:szCs w:val="24"/>
          <w:lang w:val="lt-LT"/>
        </w:rPr>
        <w:t xml:space="preserve"> Sudaryta pagal Valackienė, 2005; Purlys, 2001; Sakalas, </w:t>
      </w:r>
      <w:r w:rsidR="00B97FBA">
        <w:rPr>
          <w:rFonts w:ascii="Times New Roman" w:hAnsi="Times New Roman" w:cs="Times New Roman"/>
          <w:sz w:val="20"/>
          <w:szCs w:val="24"/>
          <w:lang w:val="lt-LT"/>
        </w:rPr>
        <w:t xml:space="preserve">Virbickaitė, </w:t>
      </w:r>
      <w:r w:rsidRPr="005D3FF6">
        <w:rPr>
          <w:rFonts w:ascii="Times New Roman" w:hAnsi="Times New Roman" w:cs="Times New Roman"/>
          <w:sz w:val="20"/>
          <w:szCs w:val="24"/>
          <w:lang w:val="lt-LT"/>
        </w:rPr>
        <w:t xml:space="preserve">2003; Januševičiūtė, Jurevičienė, 2009; Bivainis, Garškaitė, 2000; </w:t>
      </w:r>
      <w:r w:rsidRPr="005D3FF6">
        <w:rPr>
          <w:rFonts w:ascii="Times New Roman" w:eastAsia="TimesNewRomanPSMT" w:hAnsi="Times New Roman" w:cs="Times New Roman"/>
          <w:sz w:val="20"/>
          <w:szCs w:val="24"/>
          <w:lang w:val="lt-LT"/>
        </w:rPr>
        <w:t xml:space="preserve">Shkurti, Duraj, 2010; </w:t>
      </w:r>
      <w:r w:rsidR="001F7E1A" w:rsidRPr="005D3FF6">
        <w:rPr>
          <w:rFonts w:ascii="Times New Roman" w:hAnsi="Times New Roman" w:cs="Times New Roman"/>
          <w:sz w:val="20"/>
          <w:szCs w:val="24"/>
          <w:lang w:val="lt-LT"/>
        </w:rPr>
        <w:t>Garškienė, Garškaitė, 2004; Jurevičienė, Bercevič, 2012.</w:t>
      </w:r>
    </w:p>
    <w:p w:rsidR="00F90556" w:rsidRPr="0017614D" w:rsidRDefault="00F90556" w:rsidP="00E8798A">
      <w:pPr>
        <w:spacing w:line="360" w:lineRule="auto"/>
        <w:ind w:firstLine="720"/>
        <w:contextualSpacing/>
        <w:jc w:val="both"/>
        <w:rPr>
          <w:rFonts w:ascii="Times New Roman" w:hAnsi="Times New Roman" w:cs="Times New Roman"/>
          <w:szCs w:val="24"/>
          <w:lang w:val="lt-LT"/>
        </w:rPr>
      </w:pPr>
    </w:p>
    <w:p w:rsidR="006F5BE7" w:rsidRPr="0017614D" w:rsidRDefault="00954C4B" w:rsidP="00AB3BCC">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Apibendrinant, galima </w:t>
      </w:r>
      <w:r w:rsidR="00292DD6" w:rsidRPr="0017614D">
        <w:rPr>
          <w:rFonts w:ascii="Times New Roman" w:hAnsi="Times New Roman" w:cs="Times New Roman"/>
          <w:sz w:val="24"/>
          <w:szCs w:val="24"/>
          <w:lang w:val="lt-LT"/>
        </w:rPr>
        <w:t>teigti,</w:t>
      </w:r>
      <w:r w:rsidRPr="0017614D">
        <w:rPr>
          <w:rFonts w:ascii="Times New Roman" w:hAnsi="Times New Roman" w:cs="Times New Roman"/>
          <w:sz w:val="24"/>
          <w:szCs w:val="24"/>
          <w:lang w:val="lt-LT"/>
        </w:rPr>
        <w:t xml:space="preserve"> </w:t>
      </w:r>
      <w:r w:rsidR="00292DD6" w:rsidRPr="0017614D">
        <w:rPr>
          <w:rFonts w:ascii="Times New Roman" w:hAnsi="Times New Roman" w:cs="Times New Roman"/>
          <w:iCs/>
          <w:sz w:val="24"/>
          <w:szCs w:val="24"/>
          <w:lang w:val="lt-LT"/>
        </w:rPr>
        <w:t xml:space="preserve">kad yra išskiriami </w:t>
      </w:r>
      <w:r w:rsidR="00292DD6" w:rsidRPr="0017614D">
        <w:rPr>
          <w:rFonts w:ascii="Times New Roman" w:hAnsi="Times New Roman" w:cs="Times New Roman"/>
          <w:sz w:val="24"/>
          <w:szCs w:val="24"/>
          <w:lang w:val="lt-LT"/>
        </w:rPr>
        <w:t xml:space="preserve">du visiškai </w:t>
      </w:r>
      <w:r w:rsidR="00E87A83" w:rsidRPr="0017614D">
        <w:rPr>
          <w:rFonts w:ascii="Times New Roman" w:hAnsi="Times New Roman" w:cs="Times New Roman"/>
          <w:sz w:val="24"/>
          <w:szCs w:val="24"/>
          <w:lang w:val="lt-LT"/>
        </w:rPr>
        <w:t xml:space="preserve">skirtingi </w:t>
      </w:r>
      <w:r w:rsidR="00292DD6" w:rsidRPr="0017614D">
        <w:rPr>
          <w:rFonts w:ascii="Times New Roman" w:hAnsi="Times New Roman" w:cs="Times New Roman"/>
          <w:sz w:val="24"/>
          <w:szCs w:val="24"/>
          <w:lang w:val="lt-LT"/>
        </w:rPr>
        <w:t>požiūriai į bankrotą – neigiamas bei teigiamas, tačiau pabrėžtina, kad dauguma autorių nėra kategoriški šiuo klausimu bei dalinai pritaria ir vienam, ir kitam požiūriui. Visgi</w:t>
      </w:r>
      <w:r w:rsidRPr="0017614D">
        <w:rPr>
          <w:rFonts w:ascii="Times New Roman" w:hAnsi="Times New Roman" w:cs="Times New Roman"/>
          <w:sz w:val="24"/>
          <w:szCs w:val="24"/>
          <w:lang w:val="lt-LT"/>
        </w:rPr>
        <w:t xml:space="preserve"> nors įmonių bankrotas turi ir teigiamo poveikio, tačiau visuomeniniu požiūriu dažniau jis yra vertinamas kaip negatyvus reiškinys. </w:t>
      </w:r>
      <w:r w:rsidR="0002535E" w:rsidRPr="0017614D">
        <w:rPr>
          <w:rFonts w:ascii="Times New Roman" w:hAnsi="Times New Roman" w:cs="Times New Roman"/>
          <w:sz w:val="24"/>
          <w:szCs w:val="24"/>
          <w:lang w:val="lt-LT"/>
        </w:rPr>
        <w:t xml:space="preserve">Bankroto pasekmės paliečia tiek valstybę, jos ekonomiką, tiek įmonės vadovus, darbuotojus bei kreditorius. </w:t>
      </w:r>
      <w:r w:rsidR="005C32C0">
        <w:rPr>
          <w:rFonts w:ascii="Times New Roman" w:hAnsi="Times New Roman" w:cs="Times New Roman"/>
          <w:sz w:val="24"/>
          <w:szCs w:val="24"/>
          <w:lang w:val="lt-LT"/>
        </w:rPr>
        <w:t>Aukščiau išvardytos</w:t>
      </w:r>
      <w:r w:rsidRPr="0017614D">
        <w:rPr>
          <w:rFonts w:ascii="Times New Roman" w:hAnsi="Times New Roman" w:cs="Times New Roman"/>
          <w:sz w:val="24"/>
          <w:szCs w:val="24"/>
          <w:lang w:val="lt-LT"/>
        </w:rPr>
        <w:t xml:space="preserve"> </w:t>
      </w:r>
      <w:r w:rsidR="0002535E" w:rsidRPr="0017614D">
        <w:rPr>
          <w:rFonts w:ascii="Times New Roman" w:hAnsi="Times New Roman" w:cs="Times New Roman"/>
          <w:sz w:val="24"/>
          <w:szCs w:val="24"/>
          <w:lang w:val="lt-LT"/>
        </w:rPr>
        <w:t>bankroto pasekmės</w:t>
      </w:r>
      <w:r w:rsidRPr="0017614D">
        <w:rPr>
          <w:rFonts w:ascii="Times New Roman" w:hAnsi="Times New Roman" w:cs="Times New Roman"/>
          <w:sz w:val="24"/>
          <w:szCs w:val="24"/>
          <w:lang w:val="lt-LT"/>
        </w:rPr>
        <w:t xml:space="preserve"> parodo, kaip įmonių bankrotas gali paveikti visą šalies ūkį, todėl įmonių vadovai siekdami ne tik savo, bet ir kitų gerovės, turėtų labai rimtai žiūrėti į galimai g</w:t>
      </w:r>
      <w:r w:rsidR="0017614D" w:rsidRPr="0017614D">
        <w:rPr>
          <w:rFonts w:ascii="Times New Roman" w:hAnsi="Times New Roman" w:cs="Times New Roman"/>
          <w:sz w:val="24"/>
          <w:szCs w:val="24"/>
          <w:lang w:val="lt-LT"/>
        </w:rPr>
        <w:t>re</w:t>
      </w:r>
      <w:r w:rsidR="00E87A83" w:rsidRPr="0017614D">
        <w:rPr>
          <w:rFonts w:ascii="Times New Roman" w:hAnsi="Times New Roman" w:cs="Times New Roman"/>
          <w:sz w:val="24"/>
          <w:szCs w:val="24"/>
          <w:lang w:val="lt-LT"/>
        </w:rPr>
        <w:t>siantį</w:t>
      </w:r>
      <w:r w:rsidRPr="0017614D">
        <w:rPr>
          <w:rFonts w:ascii="Times New Roman" w:hAnsi="Times New Roman" w:cs="Times New Roman"/>
          <w:sz w:val="24"/>
          <w:szCs w:val="24"/>
          <w:lang w:val="lt-LT"/>
        </w:rPr>
        <w:t xml:space="preserve"> bankrotą ir imtis visų reikalingų priemonių, kad jo išvengti.</w:t>
      </w:r>
    </w:p>
    <w:p w:rsidR="00A41355" w:rsidRPr="0017614D" w:rsidRDefault="00A41355" w:rsidP="00AB3BCC">
      <w:pPr>
        <w:spacing w:after="0" w:line="360" w:lineRule="auto"/>
        <w:ind w:firstLine="720"/>
        <w:contextualSpacing/>
        <w:jc w:val="both"/>
        <w:rPr>
          <w:rFonts w:ascii="Times New Roman" w:hAnsi="Times New Roman" w:cs="Times New Roman"/>
          <w:sz w:val="24"/>
          <w:szCs w:val="24"/>
          <w:lang w:val="lt-LT"/>
        </w:rPr>
      </w:pPr>
    </w:p>
    <w:p w:rsidR="000B26B1" w:rsidRPr="0017614D" w:rsidRDefault="006D591B" w:rsidP="00AB3BCC">
      <w:pPr>
        <w:pStyle w:val="Heading2"/>
        <w:spacing w:before="0"/>
        <w:contextualSpacing/>
        <w:rPr>
          <w:lang w:val="lt-LT"/>
        </w:rPr>
      </w:pPr>
      <w:bookmarkStart w:id="90" w:name="_Toc374655651"/>
      <w:r w:rsidRPr="0017614D">
        <w:rPr>
          <w:lang w:val="lt-LT"/>
        </w:rPr>
        <w:t>1.2. Įmonių b</w:t>
      </w:r>
      <w:r w:rsidR="000B26B1" w:rsidRPr="0017614D">
        <w:rPr>
          <w:lang w:val="lt-LT"/>
        </w:rPr>
        <w:t>ankroto prevencija</w:t>
      </w:r>
      <w:bookmarkEnd w:id="90"/>
    </w:p>
    <w:p w:rsidR="00A26974" w:rsidRPr="0017614D" w:rsidRDefault="00A26974" w:rsidP="00AB3BCC">
      <w:pPr>
        <w:spacing w:after="0"/>
        <w:contextualSpacing/>
        <w:rPr>
          <w:lang w:val="lt-LT"/>
        </w:rPr>
      </w:pPr>
    </w:p>
    <w:p w:rsidR="00A26974" w:rsidRPr="0017614D" w:rsidRDefault="00A26974" w:rsidP="007A209B">
      <w:pPr>
        <w:spacing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Įmonių bankrotai nėra naujas </w:t>
      </w:r>
      <w:r w:rsidR="008241E2" w:rsidRPr="0017614D">
        <w:rPr>
          <w:rFonts w:ascii="Times New Roman" w:hAnsi="Times New Roman" w:cs="Times New Roman"/>
          <w:sz w:val="24"/>
          <w:szCs w:val="24"/>
          <w:lang w:val="lt-LT"/>
        </w:rPr>
        <w:t>dalykas</w:t>
      </w:r>
      <w:r w:rsidRPr="0017614D">
        <w:rPr>
          <w:rFonts w:ascii="Times New Roman" w:hAnsi="Times New Roman" w:cs="Times New Roman"/>
          <w:sz w:val="24"/>
          <w:szCs w:val="24"/>
          <w:lang w:val="lt-LT"/>
        </w:rPr>
        <w:t xml:space="preserve">, priešingai tai labai senas, neigiamas ir visuotinai nepageidaujamas reiškinys, egzistuojantis ištisus laikmečius. Tačiau, jeigu paklaustume verslininkų ar įmonės vadovų, kiek dėmesio jie skiria bankroto prevencijai, dauguma greičiausiai atsakytų, kad nieko nedaro. Dažnai įmonių vadovai neįvertina, kokios rimtos gali būti bankroto pasekmės ir dėl to nesupranta kaip svarbu užkirsti kelią šiam reiškiniui. </w:t>
      </w:r>
    </w:p>
    <w:p w:rsidR="00333B48" w:rsidRPr="0017614D" w:rsidRDefault="005C4748" w:rsidP="007A209B">
      <w:pPr>
        <w:pStyle w:val="Heading3"/>
        <w:contextualSpacing/>
        <w:rPr>
          <w:lang w:val="lt-LT"/>
        </w:rPr>
      </w:pPr>
      <w:bookmarkStart w:id="91" w:name="_Toc374655652"/>
      <w:r w:rsidRPr="0017614D">
        <w:rPr>
          <w:lang w:val="lt-LT"/>
        </w:rPr>
        <w:t>1.</w:t>
      </w:r>
      <w:r w:rsidR="000B26B1" w:rsidRPr="0017614D">
        <w:rPr>
          <w:lang w:val="lt-LT"/>
        </w:rPr>
        <w:t>2</w:t>
      </w:r>
      <w:r w:rsidR="00333B48" w:rsidRPr="0017614D">
        <w:rPr>
          <w:lang w:val="lt-LT"/>
        </w:rPr>
        <w:t>.</w:t>
      </w:r>
      <w:r w:rsidR="000B26B1" w:rsidRPr="0017614D">
        <w:rPr>
          <w:lang w:val="lt-LT"/>
        </w:rPr>
        <w:t>1.</w:t>
      </w:r>
      <w:r w:rsidR="00333B48" w:rsidRPr="0017614D">
        <w:rPr>
          <w:lang w:val="lt-LT"/>
        </w:rPr>
        <w:t xml:space="preserve"> </w:t>
      </w:r>
      <w:r w:rsidR="006D591B" w:rsidRPr="0017614D">
        <w:rPr>
          <w:lang w:val="lt-LT"/>
        </w:rPr>
        <w:t>Įmonių b</w:t>
      </w:r>
      <w:r w:rsidR="00387E65" w:rsidRPr="0017614D">
        <w:rPr>
          <w:lang w:val="lt-LT"/>
        </w:rPr>
        <w:t xml:space="preserve">ankroto </w:t>
      </w:r>
      <w:r w:rsidRPr="0017614D">
        <w:rPr>
          <w:lang w:val="lt-LT"/>
        </w:rPr>
        <w:t>prevencijos</w:t>
      </w:r>
      <w:r w:rsidR="00333B48" w:rsidRPr="0017614D">
        <w:rPr>
          <w:lang w:val="lt-LT"/>
        </w:rPr>
        <w:t xml:space="preserve"> būtinumas</w:t>
      </w:r>
      <w:bookmarkEnd w:id="91"/>
    </w:p>
    <w:p w:rsidR="00333B48" w:rsidRPr="0017614D" w:rsidRDefault="00333B48" w:rsidP="007A209B">
      <w:pPr>
        <w:spacing w:line="360" w:lineRule="auto"/>
        <w:ind w:firstLine="720"/>
        <w:contextualSpacing/>
        <w:jc w:val="both"/>
        <w:rPr>
          <w:rFonts w:ascii="Times New Roman" w:hAnsi="Times New Roman" w:cs="Times New Roman"/>
          <w:sz w:val="24"/>
          <w:szCs w:val="24"/>
          <w:lang w:val="lt-LT"/>
        </w:rPr>
      </w:pPr>
    </w:p>
    <w:p w:rsidR="00333B48" w:rsidRPr="0017614D" w:rsidRDefault="00333B48" w:rsidP="007A209B">
      <w:pPr>
        <w:spacing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Tik pamatę, kokias neigiamas pasekmes bankroto procesai sukelia visos šalies ekonomikai bei jos gyventojams, suprasime kaip svarbu yra stengtis to išvengti.</w:t>
      </w:r>
    </w:p>
    <w:p w:rsidR="009E7F02" w:rsidRPr="0017614D" w:rsidRDefault="00333B48" w:rsidP="009E7F02">
      <w:pPr>
        <w:spacing w:line="360" w:lineRule="auto"/>
        <w:ind w:firstLine="539"/>
        <w:contextualSpacing/>
        <w:jc w:val="both"/>
        <w:rPr>
          <w:rFonts w:ascii="Times New Roman" w:eastAsia="Times New Roman" w:hAnsi="Times New Roman" w:cs="Times New Roman"/>
          <w:sz w:val="24"/>
          <w:szCs w:val="24"/>
          <w:lang w:val="lt-LT"/>
        </w:rPr>
      </w:pPr>
      <w:r w:rsidRPr="0017614D">
        <w:rPr>
          <w:rFonts w:ascii="Times New Roman" w:hAnsi="Times New Roman" w:cs="Times New Roman"/>
          <w:sz w:val="24"/>
          <w:szCs w:val="24"/>
          <w:lang w:val="lt-LT"/>
        </w:rPr>
        <w:t xml:space="preserve">Kiekvienas vadovas turi būti suinteresuotas savo įmonės veiklos tęstinumu. Veiklos tęstinumas - tai labai svarbus principas, kurio turi būti laikomasi tvarkant apskaitą, vykdant ūkines, komercines, gamybines ir investicines operacijas. Šis principas apima organizacines, technines ir personalo valdymo priemones, parengtas siekiant užtikrinti esminių veiklos funkcijų vykdymą nenumatytais atvejais. </w:t>
      </w:r>
      <w:r w:rsidRPr="0017614D">
        <w:rPr>
          <w:rFonts w:ascii="Times New Roman" w:hAnsi="Times New Roman" w:cs="Times New Roman"/>
          <w:sz w:val="24"/>
          <w:szCs w:val="24"/>
          <w:lang w:val="lt-LT"/>
        </w:rPr>
        <w:lastRenderedPageBreak/>
        <w:t xml:space="preserve">Lietuvos įmonių praktika rodo, kad užtikrinti veiklos tęstinumo principą nėra lengva. Šį faktą geriausiai atspindi </w:t>
      </w:r>
      <w:r w:rsidR="009E7F02" w:rsidRPr="0017614D">
        <w:rPr>
          <w:rFonts w:ascii="Times New Roman" w:hAnsi="Times New Roman" w:cs="Times New Roman"/>
          <w:sz w:val="24"/>
          <w:szCs w:val="24"/>
          <w:lang w:val="lt-LT"/>
        </w:rPr>
        <w:t>įmonių bankroto ir restruktūrizavimo procesų 2012 metų apžvalga, kurią parengė Įmonių bankroto valdymo departamentas prie LR ūkio ministerijos. Šioje apžvalgoje yra nurodoma, kad laikotarpiu nuo 1993 sausio 1 d. iki 201</w:t>
      </w:r>
      <w:r w:rsidR="001F5EF2" w:rsidRPr="0017614D">
        <w:rPr>
          <w:rFonts w:ascii="Times New Roman" w:hAnsi="Times New Roman" w:cs="Times New Roman"/>
          <w:sz w:val="24"/>
          <w:szCs w:val="24"/>
          <w:lang w:val="lt-LT"/>
        </w:rPr>
        <w:t>2</w:t>
      </w:r>
      <w:r w:rsidR="009E7F02" w:rsidRPr="0017614D">
        <w:rPr>
          <w:rFonts w:ascii="Times New Roman" w:hAnsi="Times New Roman" w:cs="Times New Roman"/>
          <w:sz w:val="24"/>
          <w:szCs w:val="24"/>
          <w:lang w:val="lt-LT"/>
        </w:rPr>
        <w:t xml:space="preserve"> gruodžio 31 d. bankrotas buvo paskelbtas 12983 įmonėms ir 15 bankų, iš kurių 9043 įmonėms (69,7 proc.) ir 14 bankų (93,3 proc.) bankroto procesas baigtas, o 3940 įmonėse tebevykdomas (Įmonių bankroto valdymo departa</w:t>
      </w:r>
      <w:r w:rsidR="006671D8">
        <w:rPr>
          <w:rFonts w:ascii="Times New Roman" w:hAnsi="Times New Roman" w:cs="Times New Roman"/>
          <w:sz w:val="24"/>
          <w:szCs w:val="24"/>
          <w:lang w:val="lt-LT"/>
        </w:rPr>
        <w:t>mentas, 2012</w:t>
      </w:r>
      <w:r w:rsidR="009E7F02" w:rsidRPr="0017614D">
        <w:rPr>
          <w:rFonts w:ascii="Times New Roman" w:hAnsi="Times New Roman" w:cs="Times New Roman"/>
          <w:sz w:val="24"/>
          <w:szCs w:val="24"/>
          <w:lang w:val="lt-LT"/>
        </w:rPr>
        <w:t xml:space="preserve">). </w:t>
      </w:r>
      <w:r w:rsidR="009E7F02" w:rsidRPr="0017614D">
        <w:rPr>
          <w:rFonts w:ascii="Times New Roman" w:eastAsia="Times New Roman" w:hAnsi="Times New Roman" w:cs="Times New Roman"/>
          <w:sz w:val="24"/>
          <w:szCs w:val="24"/>
          <w:lang w:val="lt-LT"/>
        </w:rPr>
        <w:t xml:space="preserve">2012 m. sausio – </w:t>
      </w:r>
      <w:r w:rsidR="005C32C0">
        <w:rPr>
          <w:rFonts w:ascii="Times New Roman" w:eastAsia="Times New Roman" w:hAnsi="Times New Roman" w:cs="Times New Roman"/>
          <w:sz w:val="24"/>
          <w:szCs w:val="24"/>
          <w:lang w:val="lt-LT"/>
        </w:rPr>
        <w:t>g</w:t>
      </w:r>
      <w:r w:rsidR="009E7F02" w:rsidRPr="0017614D">
        <w:rPr>
          <w:rFonts w:ascii="Times New Roman" w:eastAsia="Times New Roman" w:hAnsi="Times New Roman" w:cs="Times New Roman"/>
          <w:sz w:val="24"/>
          <w:szCs w:val="24"/>
          <w:lang w:val="lt-LT"/>
        </w:rPr>
        <w:t xml:space="preserve">ruodžio mėn. bankroto procesai buvo pradėti 1400 įmonių. Šis skaičius yra 127 įmonėmis arba 10 proc. didesnis nei 2011 m. </w:t>
      </w:r>
    </w:p>
    <w:p w:rsidR="009E7F02" w:rsidRPr="0017614D" w:rsidRDefault="001F5EF2" w:rsidP="00A26974">
      <w:pPr>
        <w:spacing w:after="120" w:line="360" w:lineRule="auto"/>
        <w:ind w:firstLine="539"/>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1993 - 2012</w:t>
      </w:r>
      <w:r w:rsidR="009E7F02" w:rsidRPr="0017614D">
        <w:rPr>
          <w:rFonts w:ascii="Times New Roman" w:hAnsi="Times New Roman" w:cs="Times New Roman"/>
          <w:sz w:val="24"/>
          <w:szCs w:val="24"/>
          <w:lang w:val="lt-LT"/>
        </w:rPr>
        <w:t xml:space="preserve"> metų pradėtų ir baigtų bankroto procesų </w:t>
      </w:r>
      <w:r w:rsidR="009C0E78" w:rsidRPr="0017614D">
        <w:rPr>
          <w:rFonts w:ascii="Times New Roman" w:hAnsi="Times New Roman" w:cs="Times New Roman"/>
          <w:sz w:val="24"/>
          <w:szCs w:val="24"/>
          <w:lang w:val="lt-LT"/>
        </w:rPr>
        <w:t>skaičiaus dinamiką atvaizduoja 3</w:t>
      </w:r>
      <w:r w:rsidR="009E7F02" w:rsidRPr="0017614D">
        <w:rPr>
          <w:rFonts w:ascii="Times New Roman" w:hAnsi="Times New Roman" w:cs="Times New Roman"/>
          <w:sz w:val="24"/>
          <w:szCs w:val="24"/>
          <w:lang w:val="lt-LT"/>
        </w:rPr>
        <w:t xml:space="preserve"> paveikslas. </w:t>
      </w:r>
    </w:p>
    <w:p w:rsidR="008241E2" w:rsidRPr="0017614D" w:rsidRDefault="008241E2" w:rsidP="00A26974">
      <w:pPr>
        <w:spacing w:after="120" w:line="360" w:lineRule="auto"/>
        <w:ind w:firstLine="539"/>
        <w:contextualSpacing/>
        <w:jc w:val="both"/>
        <w:rPr>
          <w:rFonts w:ascii="Times New Roman" w:hAnsi="Times New Roman" w:cs="Times New Roman"/>
          <w:sz w:val="24"/>
          <w:szCs w:val="24"/>
          <w:lang w:val="lt-LT"/>
        </w:rPr>
      </w:pPr>
    </w:p>
    <w:p w:rsidR="009E7F02" w:rsidRPr="0017614D" w:rsidRDefault="00F74B60" w:rsidP="00F74B60">
      <w:pPr>
        <w:spacing w:after="120" w:line="360" w:lineRule="auto"/>
        <w:ind w:firstLine="539"/>
        <w:contextualSpacing/>
        <w:jc w:val="both"/>
        <w:rPr>
          <w:rFonts w:ascii="Times New Roman" w:hAnsi="Times New Roman" w:cs="Times New Roman"/>
          <w:sz w:val="24"/>
          <w:szCs w:val="24"/>
          <w:lang w:val="lt-LT"/>
        </w:rPr>
      </w:pPr>
      <w:r w:rsidRPr="0017614D">
        <w:rPr>
          <w:rFonts w:ascii="Times New Roman" w:hAnsi="Times New Roman" w:cs="Times New Roman"/>
          <w:noProof/>
          <w:sz w:val="24"/>
          <w:szCs w:val="24"/>
        </w:rPr>
        <w:drawing>
          <wp:inline distT="0" distB="0" distL="0" distR="0">
            <wp:extent cx="5657850" cy="2400300"/>
            <wp:effectExtent l="19050" t="0" r="19050" b="0"/>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E7F02" w:rsidRPr="005D3FF6" w:rsidRDefault="009E7F02" w:rsidP="005D3FF6">
      <w:pPr>
        <w:spacing w:after="0"/>
        <w:ind w:left="539"/>
        <w:contextualSpacing/>
        <w:rPr>
          <w:rFonts w:ascii="Times New Roman" w:hAnsi="Times New Roman" w:cs="Times New Roman"/>
          <w:sz w:val="20"/>
          <w:szCs w:val="20"/>
          <w:lang w:val="lt-LT"/>
        </w:rPr>
      </w:pPr>
      <w:r w:rsidRPr="005D3FF6">
        <w:rPr>
          <w:rFonts w:ascii="Times New Roman" w:hAnsi="Times New Roman" w:cs="Times New Roman"/>
          <w:b/>
          <w:sz w:val="20"/>
          <w:szCs w:val="20"/>
          <w:lang w:val="lt-LT"/>
        </w:rPr>
        <w:t>Šaltinis:</w:t>
      </w:r>
      <w:r w:rsidR="009B65EE" w:rsidRPr="005D3FF6">
        <w:rPr>
          <w:rFonts w:ascii="Times New Roman" w:hAnsi="Times New Roman" w:cs="Times New Roman"/>
          <w:sz w:val="20"/>
          <w:szCs w:val="20"/>
          <w:lang w:val="lt-LT"/>
        </w:rPr>
        <w:t xml:space="preserve"> </w:t>
      </w:r>
      <w:r w:rsidR="002E08A9" w:rsidRPr="005D3FF6">
        <w:rPr>
          <w:rFonts w:ascii="Times New Roman" w:hAnsi="Times New Roman" w:cs="Times New Roman"/>
          <w:sz w:val="20"/>
          <w:szCs w:val="20"/>
          <w:lang w:val="lt-LT"/>
        </w:rPr>
        <w:t>Įmonių bankroto valdymo departamentas, 2012</w:t>
      </w:r>
      <w:r w:rsidRPr="005D3FF6">
        <w:rPr>
          <w:rFonts w:ascii="Times New Roman" w:hAnsi="Times New Roman" w:cs="Times New Roman"/>
          <w:sz w:val="20"/>
          <w:szCs w:val="20"/>
          <w:lang w:val="lt-LT"/>
        </w:rPr>
        <w:t>.</w:t>
      </w:r>
    </w:p>
    <w:p w:rsidR="002B57E2" w:rsidRPr="0017614D" w:rsidRDefault="002B57E2" w:rsidP="002B57E2">
      <w:pPr>
        <w:spacing w:after="0"/>
        <w:ind w:left="539"/>
        <w:contextualSpacing/>
        <w:jc w:val="center"/>
        <w:rPr>
          <w:rFonts w:ascii="Times New Roman" w:hAnsi="Times New Roman" w:cs="Times New Roman"/>
          <w:lang w:val="lt-LT"/>
        </w:rPr>
      </w:pPr>
      <w:r w:rsidRPr="0017614D">
        <w:rPr>
          <w:rFonts w:ascii="Times New Roman" w:hAnsi="Times New Roman" w:cs="Times New Roman"/>
          <w:lang w:val="lt-LT"/>
        </w:rPr>
        <w:t>3 pav.</w:t>
      </w:r>
      <w:r w:rsidRPr="0017614D">
        <w:rPr>
          <w:rFonts w:ascii="Times New Roman" w:hAnsi="Times New Roman" w:cs="Times New Roman"/>
          <w:b/>
          <w:lang w:val="lt-LT"/>
        </w:rPr>
        <w:t xml:space="preserve"> Lietuvoje pradėtų ir baigtų bankroto procesų skaičiaus dinamika 1993 - 2012 metais</w:t>
      </w:r>
    </w:p>
    <w:p w:rsidR="0083663F" w:rsidRPr="0017614D" w:rsidRDefault="0083663F" w:rsidP="0083663F">
      <w:pPr>
        <w:ind w:left="539"/>
        <w:contextualSpacing/>
        <w:rPr>
          <w:rFonts w:ascii="Times New Roman" w:hAnsi="Times New Roman" w:cs="Times New Roman"/>
          <w:lang w:val="lt-LT"/>
        </w:rPr>
      </w:pPr>
    </w:p>
    <w:p w:rsidR="0032400C" w:rsidRPr="0017614D" w:rsidRDefault="00CE4F47" w:rsidP="0083663F">
      <w:pPr>
        <w:spacing w:line="360" w:lineRule="auto"/>
        <w:ind w:firstLine="539"/>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1993 -</w:t>
      </w:r>
      <w:r w:rsidR="0032400C" w:rsidRPr="0017614D">
        <w:rPr>
          <w:rFonts w:ascii="Times New Roman" w:hAnsi="Times New Roman" w:cs="Times New Roman"/>
          <w:sz w:val="24"/>
          <w:szCs w:val="24"/>
          <w:lang w:val="lt-LT"/>
        </w:rPr>
        <w:t xml:space="preserve"> 2002 metų</w:t>
      </w:r>
      <w:r w:rsidRPr="0017614D">
        <w:rPr>
          <w:rFonts w:ascii="Times New Roman" w:hAnsi="Times New Roman" w:cs="Times New Roman"/>
          <w:sz w:val="24"/>
          <w:szCs w:val="24"/>
          <w:lang w:val="lt-LT"/>
        </w:rPr>
        <w:t xml:space="preserve"> laikotarpyje yra matomas ryškus bankrutuojančių įmonių skaičiaus augimas</w:t>
      </w:r>
      <w:r w:rsidR="0032400C" w:rsidRPr="0017614D">
        <w:rPr>
          <w:rFonts w:ascii="Times New Roman" w:hAnsi="Times New Roman" w:cs="Times New Roman"/>
          <w:sz w:val="24"/>
          <w:szCs w:val="24"/>
          <w:lang w:val="lt-LT"/>
        </w:rPr>
        <w:t xml:space="preserve">, tuo tarpu vėliau - nuo 2003 iki 2007 metų, bankroto skaičius augo </w:t>
      </w:r>
      <w:r w:rsidR="009C0E78" w:rsidRPr="0017614D">
        <w:rPr>
          <w:rFonts w:ascii="Times New Roman" w:hAnsi="Times New Roman" w:cs="Times New Roman"/>
          <w:sz w:val="24"/>
          <w:szCs w:val="24"/>
          <w:lang w:val="lt-LT"/>
        </w:rPr>
        <w:t>nežymiai ir 2007 metais net</w:t>
      </w:r>
      <w:r w:rsidR="0032400C" w:rsidRPr="0017614D">
        <w:rPr>
          <w:rFonts w:ascii="Times New Roman" w:hAnsi="Times New Roman" w:cs="Times New Roman"/>
          <w:sz w:val="24"/>
          <w:szCs w:val="24"/>
          <w:lang w:val="lt-LT"/>
        </w:rPr>
        <w:t xml:space="preserve"> buvo pastebėtas įmonių bankroto skaičiaus mažėjimas</w:t>
      </w:r>
      <w:r w:rsidRPr="0017614D">
        <w:rPr>
          <w:rFonts w:ascii="Times New Roman" w:hAnsi="Times New Roman" w:cs="Times New Roman"/>
          <w:sz w:val="24"/>
          <w:szCs w:val="24"/>
          <w:lang w:val="lt-LT"/>
        </w:rPr>
        <w:t xml:space="preserve"> (žr. </w:t>
      </w:r>
      <w:r w:rsidR="009C0E78" w:rsidRPr="0017614D">
        <w:rPr>
          <w:rFonts w:ascii="Times New Roman" w:hAnsi="Times New Roman" w:cs="Times New Roman"/>
          <w:sz w:val="24"/>
          <w:szCs w:val="24"/>
          <w:lang w:val="lt-LT"/>
        </w:rPr>
        <w:t>3</w:t>
      </w:r>
      <w:r w:rsidRPr="0017614D">
        <w:rPr>
          <w:rFonts w:ascii="Times New Roman" w:hAnsi="Times New Roman" w:cs="Times New Roman"/>
          <w:sz w:val="24"/>
          <w:szCs w:val="24"/>
          <w:lang w:val="lt-LT"/>
        </w:rPr>
        <w:t xml:space="preserve"> pav.)</w:t>
      </w:r>
      <w:r w:rsidR="0032400C" w:rsidRPr="0017614D">
        <w:rPr>
          <w:rFonts w:ascii="Times New Roman" w:hAnsi="Times New Roman" w:cs="Times New Roman"/>
          <w:sz w:val="24"/>
          <w:szCs w:val="24"/>
          <w:lang w:val="lt-LT"/>
        </w:rPr>
        <w:t xml:space="preserve">. Visgi 2008 metais prasidėjusi ekonominė krizė visiškai pakeitė situaciją. 2008 metais </w:t>
      </w:r>
      <w:r w:rsidR="009C0E78" w:rsidRPr="0017614D">
        <w:rPr>
          <w:rFonts w:ascii="Times New Roman" w:hAnsi="Times New Roman" w:cs="Times New Roman"/>
          <w:sz w:val="24"/>
          <w:szCs w:val="24"/>
          <w:lang w:val="lt-LT"/>
        </w:rPr>
        <w:t>bankrotai pasiekė didžiausią</w:t>
      </w:r>
      <w:r w:rsidR="0032400C" w:rsidRPr="0017614D">
        <w:rPr>
          <w:rFonts w:ascii="Times New Roman" w:hAnsi="Times New Roman" w:cs="Times New Roman"/>
          <w:sz w:val="24"/>
          <w:szCs w:val="24"/>
          <w:lang w:val="lt-LT"/>
        </w:rPr>
        <w:t xml:space="preserve"> </w:t>
      </w:r>
      <w:r w:rsidRPr="0017614D">
        <w:rPr>
          <w:rFonts w:ascii="Times New Roman" w:hAnsi="Times New Roman" w:cs="Times New Roman"/>
          <w:sz w:val="24"/>
          <w:szCs w:val="24"/>
          <w:lang w:val="lt-LT"/>
        </w:rPr>
        <w:t>per Nepriklausomybės laikotarpį</w:t>
      </w:r>
      <w:r w:rsidR="0032400C" w:rsidRPr="0017614D">
        <w:rPr>
          <w:rFonts w:ascii="Times New Roman" w:hAnsi="Times New Roman" w:cs="Times New Roman"/>
          <w:sz w:val="24"/>
          <w:szCs w:val="24"/>
          <w:lang w:val="lt-LT"/>
        </w:rPr>
        <w:t xml:space="preserve"> skaičių – bankrutavo 957 įmonės. Per vienerius metus lyginant su 2007 metais, įmonių bankrotai išaugo net 57,9 proc. Tuo tarpu 2009 metais buvo pasiektas pikas ir bankrotų skaičius tais metais padvigubėjo lyginant su prieš tai einančiais metais ir pasiekė net 1844.</w:t>
      </w:r>
      <w:r w:rsidR="00240BC1" w:rsidRPr="0017614D">
        <w:rPr>
          <w:rFonts w:ascii="Times New Roman" w:hAnsi="Times New Roman" w:cs="Times New Roman"/>
          <w:sz w:val="24"/>
          <w:szCs w:val="24"/>
          <w:lang w:val="lt-LT"/>
        </w:rPr>
        <w:t xml:space="preserve"> Nuo 2009 metų bankrotų skaičius tendencingai mažėjo, tačiau 2012 metais vėl truputi pakilo.</w:t>
      </w:r>
    </w:p>
    <w:p w:rsidR="00240BC1" w:rsidRPr="0017614D" w:rsidRDefault="009C0E78" w:rsidP="0083663F">
      <w:pPr>
        <w:spacing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bCs/>
          <w:sz w:val="24"/>
          <w:szCs w:val="24"/>
          <w:lang w:val="lt-LT"/>
        </w:rPr>
        <w:t>D. Rugenytė i</w:t>
      </w:r>
      <w:r w:rsidR="000F7568" w:rsidRPr="0017614D">
        <w:rPr>
          <w:rFonts w:ascii="Times New Roman" w:hAnsi="Times New Roman" w:cs="Times New Roman"/>
          <w:bCs/>
          <w:sz w:val="24"/>
          <w:szCs w:val="24"/>
          <w:lang w:val="lt-LT"/>
        </w:rPr>
        <w:t xml:space="preserve">r kiti </w:t>
      </w:r>
      <w:r w:rsidR="00240BC1" w:rsidRPr="0017614D">
        <w:rPr>
          <w:rFonts w:ascii="Times New Roman" w:hAnsi="Times New Roman" w:cs="Times New Roman"/>
          <w:bCs/>
          <w:sz w:val="24"/>
          <w:szCs w:val="24"/>
          <w:lang w:val="lt-LT"/>
        </w:rPr>
        <w:t xml:space="preserve">(2010)  pastebi,  kad  </w:t>
      </w:r>
      <w:r w:rsidR="00240BC1" w:rsidRPr="0017614D">
        <w:rPr>
          <w:rFonts w:ascii="Times New Roman" w:hAnsi="Times New Roman" w:cs="Times New Roman"/>
          <w:sz w:val="24"/>
          <w:szCs w:val="24"/>
          <w:lang w:val="lt-LT"/>
        </w:rPr>
        <w:t>ekonominės  krizės metu  bankrotų  s</w:t>
      </w:r>
      <w:r w:rsidRPr="0017614D">
        <w:rPr>
          <w:rFonts w:ascii="Times New Roman" w:hAnsi="Times New Roman" w:cs="Times New Roman"/>
          <w:sz w:val="24"/>
          <w:szCs w:val="24"/>
          <w:lang w:val="lt-LT"/>
        </w:rPr>
        <w:t>kaičius  Lietuvoje  auga geometrine</w:t>
      </w:r>
      <w:r w:rsidR="00240BC1" w:rsidRPr="0017614D">
        <w:rPr>
          <w:rFonts w:ascii="Times New Roman" w:hAnsi="Times New Roman" w:cs="Times New Roman"/>
          <w:sz w:val="24"/>
          <w:szCs w:val="24"/>
          <w:lang w:val="lt-LT"/>
        </w:rPr>
        <w:t xml:space="preserve"> progresija. Tai tik įrodo, kad Lietuvos verslas nėra pasirengęs ekstremalioms situacijoms. Vieno ūkio subjekto nemokumas neišvengiamai paliečia kitus ūkio subjektus, kurie, </w:t>
      </w:r>
      <w:r w:rsidR="00240BC1" w:rsidRPr="0017614D">
        <w:rPr>
          <w:rFonts w:ascii="Times New Roman" w:hAnsi="Times New Roman" w:cs="Times New Roman"/>
          <w:sz w:val="24"/>
          <w:szCs w:val="24"/>
          <w:lang w:val="lt-LT"/>
        </w:rPr>
        <w:lastRenderedPageBreak/>
        <w:t xml:space="preserve">negalėdami atgauti skolų iš bankrutuojančio skolininko, nesugeba įvykdyti </w:t>
      </w:r>
      <w:r w:rsidR="000F7568" w:rsidRPr="0017614D">
        <w:rPr>
          <w:rFonts w:ascii="Times New Roman" w:hAnsi="Times New Roman" w:cs="Times New Roman"/>
          <w:sz w:val="24"/>
          <w:szCs w:val="24"/>
          <w:lang w:val="lt-LT"/>
        </w:rPr>
        <w:t xml:space="preserve">savo </w:t>
      </w:r>
      <w:r w:rsidR="00240BC1" w:rsidRPr="0017614D">
        <w:rPr>
          <w:rFonts w:ascii="Times New Roman" w:hAnsi="Times New Roman" w:cs="Times New Roman"/>
          <w:sz w:val="24"/>
          <w:szCs w:val="24"/>
          <w:lang w:val="lt-LT"/>
        </w:rPr>
        <w:t>įsipareigojimų ir taip pat bankrutuoja (</w:t>
      </w:r>
      <w:r w:rsidR="008E325E" w:rsidRPr="0017614D">
        <w:rPr>
          <w:rFonts w:ascii="Times New Roman" w:hAnsi="Times New Roman" w:cs="Times New Roman"/>
          <w:bCs/>
          <w:sz w:val="24"/>
          <w:szCs w:val="24"/>
          <w:lang w:val="lt-LT"/>
        </w:rPr>
        <w:t xml:space="preserve">Rugenytė ir kt., </w:t>
      </w:r>
      <w:r w:rsidR="00240BC1" w:rsidRPr="0017614D">
        <w:rPr>
          <w:rFonts w:ascii="Times New Roman" w:hAnsi="Times New Roman" w:cs="Times New Roman"/>
          <w:sz w:val="24"/>
          <w:szCs w:val="24"/>
          <w:lang w:val="lt-LT"/>
        </w:rPr>
        <w:t xml:space="preserve">2010, p. 144-145). </w:t>
      </w:r>
    </w:p>
    <w:p w:rsidR="000433EF" w:rsidRPr="0017614D" w:rsidRDefault="000433EF" w:rsidP="002E08A9">
      <w:pPr>
        <w:spacing w:line="360" w:lineRule="auto"/>
        <w:ind w:firstLine="539"/>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Panašu pastebėjimą pateikė ir Europos gyvenimo ir darbo sąlygų gerinimo fondas. Pagal fondo pateiktus duomenis iki </w:t>
      </w:r>
      <w:r w:rsidRPr="0017614D">
        <w:rPr>
          <w:rStyle w:val="hps"/>
          <w:rFonts w:ascii="Times New Roman" w:hAnsi="Times New Roman" w:cs="Times New Roman"/>
          <w:sz w:val="24"/>
          <w:szCs w:val="24"/>
          <w:lang w:val="lt-LT"/>
        </w:rPr>
        <w:t>2009 metų vidurio</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bankrotų</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skaičius išaugo</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daugelyje Europos šalių</w:t>
      </w:r>
      <w:r w:rsidR="000F7568" w:rsidRPr="0017614D">
        <w:rPr>
          <w:rFonts w:ascii="Times New Roman" w:hAnsi="Times New Roman" w:cs="Times New Roman"/>
          <w:sz w:val="24"/>
          <w:szCs w:val="24"/>
          <w:lang w:val="lt-LT"/>
        </w:rPr>
        <w:t>. Pavyzdžiui</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Danijoje,</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bankrotų</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skaičius</w:t>
      </w:r>
      <w:r w:rsidRPr="0017614D">
        <w:rPr>
          <w:rFonts w:ascii="Times New Roman" w:hAnsi="Times New Roman" w:cs="Times New Roman"/>
          <w:sz w:val="24"/>
          <w:szCs w:val="24"/>
          <w:lang w:val="lt-LT"/>
        </w:rPr>
        <w:t xml:space="preserve"> </w:t>
      </w:r>
      <w:r w:rsidR="008241E2" w:rsidRPr="0017614D">
        <w:rPr>
          <w:rStyle w:val="hps"/>
          <w:rFonts w:ascii="Times New Roman" w:hAnsi="Times New Roman" w:cs="Times New Roman"/>
          <w:sz w:val="24"/>
          <w:szCs w:val="24"/>
          <w:lang w:val="lt-LT"/>
        </w:rPr>
        <w:t>išaugo per metus</w:t>
      </w:r>
      <w:r w:rsidRPr="0017614D">
        <w:rPr>
          <w:rStyle w:val="hps"/>
          <w:rFonts w:ascii="Times New Roman" w:hAnsi="Times New Roman" w:cs="Times New Roman"/>
          <w:sz w:val="24"/>
          <w:szCs w:val="24"/>
          <w:lang w:val="lt-LT"/>
        </w:rPr>
        <w:t xml:space="preserve"> 85 proc.</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o Ispanijoje</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pradėtų</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bankroto bylų skaičius</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nuo 2008 - 2009 m</w:t>
      </w:r>
      <w:r w:rsidRPr="0017614D">
        <w:rPr>
          <w:rFonts w:ascii="Times New Roman" w:hAnsi="Times New Roman" w:cs="Times New Roman"/>
          <w:sz w:val="24"/>
          <w:szCs w:val="24"/>
          <w:lang w:val="lt-LT"/>
        </w:rPr>
        <w:t xml:space="preserve">etais </w:t>
      </w:r>
      <w:r w:rsidRPr="0017614D">
        <w:rPr>
          <w:rStyle w:val="hps"/>
          <w:rFonts w:ascii="Times New Roman" w:hAnsi="Times New Roman" w:cs="Times New Roman"/>
          <w:sz w:val="24"/>
          <w:szCs w:val="24"/>
          <w:lang w:val="lt-LT"/>
        </w:rPr>
        <w:t>padidėjo</w:t>
      </w:r>
      <w:r w:rsidRPr="0017614D">
        <w:rPr>
          <w:rFonts w:ascii="Times New Roman" w:hAnsi="Times New Roman" w:cs="Times New Roman"/>
          <w:sz w:val="24"/>
          <w:szCs w:val="24"/>
          <w:lang w:val="lt-LT"/>
        </w:rPr>
        <w:t xml:space="preserve"> net 1</w:t>
      </w:r>
      <w:r w:rsidRPr="0017614D">
        <w:rPr>
          <w:rStyle w:val="hps"/>
          <w:rFonts w:ascii="Times New Roman" w:hAnsi="Times New Roman" w:cs="Times New Roman"/>
          <w:sz w:val="24"/>
          <w:szCs w:val="24"/>
          <w:lang w:val="lt-LT"/>
        </w:rPr>
        <w:t>67 proc</w:t>
      </w:r>
      <w:r w:rsidRPr="002E08A9">
        <w:rPr>
          <w:rStyle w:val="hps"/>
          <w:rFonts w:ascii="Times New Roman" w:hAnsi="Times New Roman" w:cs="Times New Roman"/>
          <w:sz w:val="24"/>
          <w:szCs w:val="24"/>
          <w:lang w:val="lt-LT"/>
        </w:rPr>
        <w:t xml:space="preserve">. </w:t>
      </w:r>
      <w:r w:rsidRPr="002E08A9">
        <w:rPr>
          <w:rFonts w:ascii="Times New Roman" w:hAnsi="Times New Roman" w:cs="Times New Roman"/>
          <w:sz w:val="24"/>
          <w:szCs w:val="24"/>
          <w:lang w:val="lt-LT"/>
        </w:rPr>
        <w:t>(Euro</w:t>
      </w:r>
      <w:r w:rsidR="008E325E" w:rsidRPr="002E08A9">
        <w:rPr>
          <w:rFonts w:ascii="Times New Roman" w:hAnsi="Times New Roman" w:cs="Times New Roman"/>
          <w:sz w:val="24"/>
          <w:szCs w:val="24"/>
          <w:lang w:val="lt-LT"/>
        </w:rPr>
        <w:t>pean foundation...</w:t>
      </w:r>
      <w:r w:rsidR="002E08A9">
        <w:rPr>
          <w:rFonts w:ascii="Times New Roman" w:hAnsi="Times New Roman" w:cs="Times New Roman"/>
          <w:sz w:val="24"/>
          <w:szCs w:val="24"/>
          <w:lang w:val="lt-LT"/>
        </w:rPr>
        <w:t>, 2009</w:t>
      </w:r>
      <w:r w:rsidRPr="002E08A9">
        <w:rPr>
          <w:rFonts w:ascii="Times New Roman" w:hAnsi="Times New Roman" w:cs="Times New Roman"/>
          <w:sz w:val="24"/>
          <w:szCs w:val="24"/>
          <w:lang w:val="lt-LT"/>
        </w:rPr>
        <w:t>).</w:t>
      </w:r>
      <w:r w:rsidR="002E08A9">
        <w:rPr>
          <w:rFonts w:ascii="Times New Roman" w:hAnsi="Times New Roman" w:cs="Times New Roman"/>
          <w:sz w:val="24"/>
          <w:szCs w:val="24"/>
          <w:lang w:val="lt-LT"/>
        </w:rPr>
        <w:t xml:space="preserve"> </w:t>
      </w:r>
      <w:r w:rsidRPr="0017614D">
        <w:rPr>
          <w:rFonts w:ascii="Times New Roman" w:hAnsi="Times New Roman" w:cs="Times New Roman"/>
          <w:sz w:val="24"/>
          <w:szCs w:val="24"/>
          <w:lang w:val="lt-LT"/>
        </w:rPr>
        <w:t xml:space="preserve">Taigi, akivaizdu, kad finansinė krizė turėjo ženklų poveikį įmonių bankrotams 2008 - 2009 metais, kuriais bankrutavo ne tik rinkos naujokai bet ir seniai susikūrusios bei turtingos įmonės. Todėl šiuos metus galima vertinti kaip ypač sunkius ir nuostolingus daugeliui įmonių. </w:t>
      </w:r>
    </w:p>
    <w:p w:rsidR="000433EF" w:rsidRPr="0017614D" w:rsidRDefault="000433EF" w:rsidP="00F7625E">
      <w:pPr>
        <w:spacing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Tačiau, žinoma, nereikia apsigauti – bankroto rizika yra aukšta ne tik nuosmukio metu. Nuo 1993 iki 2012 metų vidutiniškai Lietuvoje per metus bankrotas buvo paskelbtas 649 įmonėse, kas yra pakankamai au</w:t>
      </w:r>
      <w:r w:rsidR="0010694A" w:rsidRPr="0017614D">
        <w:rPr>
          <w:rFonts w:ascii="Times New Roman" w:hAnsi="Times New Roman" w:cs="Times New Roman"/>
          <w:sz w:val="24"/>
          <w:szCs w:val="24"/>
          <w:lang w:val="lt-LT"/>
        </w:rPr>
        <w:t>kštas rodiklis kaip tokiai nedidelei</w:t>
      </w:r>
      <w:r w:rsidRPr="0017614D">
        <w:rPr>
          <w:rFonts w:ascii="Times New Roman" w:hAnsi="Times New Roman" w:cs="Times New Roman"/>
          <w:sz w:val="24"/>
          <w:szCs w:val="24"/>
          <w:lang w:val="lt-LT"/>
        </w:rPr>
        <w:t xml:space="preserve"> šaliai (</w:t>
      </w:r>
      <w:r w:rsidR="002E08A9" w:rsidRPr="0017614D">
        <w:rPr>
          <w:rFonts w:ascii="Times New Roman" w:hAnsi="Times New Roman" w:cs="Times New Roman"/>
          <w:sz w:val="24"/>
          <w:szCs w:val="24"/>
          <w:lang w:val="lt-LT"/>
        </w:rPr>
        <w:t>Įmonių bankroto valdymo departa</w:t>
      </w:r>
      <w:r w:rsidR="002E08A9">
        <w:rPr>
          <w:rFonts w:ascii="Times New Roman" w:hAnsi="Times New Roman" w:cs="Times New Roman"/>
          <w:sz w:val="24"/>
          <w:szCs w:val="24"/>
          <w:lang w:val="lt-LT"/>
        </w:rPr>
        <w:t>mentas, 2012</w:t>
      </w:r>
      <w:r w:rsidRPr="0017614D">
        <w:rPr>
          <w:rFonts w:ascii="Times New Roman" w:hAnsi="Times New Roman" w:cs="Times New Roman"/>
          <w:sz w:val="24"/>
          <w:szCs w:val="24"/>
          <w:lang w:val="lt-LT"/>
        </w:rPr>
        <w:t xml:space="preserve">). </w:t>
      </w:r>
    </w:p>
    <w:p w:rsidR="0010694A" w:rsidRPr="0017614D" w:rsidRDefault="0010694A" w:rsidP="00F7625E">
      <w:pPr>
        <w:spacing w:line="360" w:lineRule="auto"/>
        <w:ind w:firstLine="54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Kita svarbi priežastis, kodėl reikėtų stengtis išvengti bankroto yra tai, kad šios procedūros užtrunka pernelyg ilgai, kas vėlgi gali turėti neigiamų pasekmių visos šalies ekonomikos mastu. </w:t>
      </w:r>
      <w:r w:rsidR="00F7625E" w:rsidRPr="0017614D">
        <w:rPr>
          <w:rFonts w:ascii="Times New Roman" w:hAnsi="Times New Roman" w:cs="Times New Roman"/>
          <w:sz w:val="24"/>
          <w:szCs w:val="24"/>
          <w:lang w:val="lt-LT"/>
        </w:rPr>
        <w:t xml:space="preserve">Statistikos departamento prie Lietuvos Respublikos Vyriausybės duomenimis, bankroto procesai trunka dvejus ar net trejus metus. Tai patvirtina ir </w:t>
      </w:r>
      <w:r w:rsidR="00034302" w:rsidRPr="0017614D">
        <w:rPr>
          <w:rFonts w:ascii="Times New Roman" w:hAnsi="Times New Roman" w:cs="Times New Roman"/>
          <w:sz w:val="24"/>
          <w:szCs w:val="24"/>
          <w:lang w:val="lt-LT"/>
        </w:rPr>
        <w:t xml:space="preserve">duomenys, pateikti </w:t>
      </w:r>
      <w:r w:rsidR="005D7D5D" w:rsidRPr="0017614D">
        <w:rPr>
          <w:rFonts w:ascii="Times New Roman" w:hAnsi="Times New Roman" w:cs="Times New Roman"/>
          <w:sz w:val="24"/>
          <w:szCs w:val="24"/>
          <w:lang w:val="lt-LT"/>
        </w:rPr>
        <w:t>3</w:t>
      </w:r>
      <w:r w:rsidR="00F7625E" w:rsidRPr="0017614D">
        <w:rPr>
          <w:rFonts w:ascii="Times New Roman" w:hAnsi="Times New Roman" w:cs="Times New Roman"/>
          <w:sz w:val="24"/>
          <w:szCs w:val="24"/>
          <w:lang w:val="lt-LT"/>
        </w:rPr>
        <w:t xml:space="preserve"> paveiksl</w:t>
      </w:r>
      <w:r w:rsidR="00034302" w:rsidRPr="0017614D">
        <w:rPr>
          <w:rFonts w:ascii="Times New Roman" w:hAnsi="Times New Roman" w:cs="Times New Roman"/>
          <w:sz w:val="24"/>
          <w:szCs w:val="24"/>
          <w:lang w:val="lt-LT"/>
        </w:rPr>
        <w:t>e</w:t>
      </w:r>
      <w:r w:rsidR="00F7625E" w:rsidRPr="0017614D">
        <w:rPr>
          <w:rFonts w:ascii="Times New Roman" w:hAnsi="Times New Roman" w:cs="Times New Roman"/>
          <w:sz w:val="24"/>
          <w:szCs w:val="24"/>
          <w:lang w:val="lt-LT"/>
        </w:rPr>
        <w:t xml:space="preserve">, kuriame matome, kad dauguma nuo 2008 m. pradėtų bankroto procesų 2012 metais dar nebuvo užbaigti. </w:t>
      </w:r>
      <w:r w:rsidRPr="0017614D">
        <w:rPr>
          <w:rFonts w:ascii="Times New Roman" w:hAnsi="Times New Roman" w:cs="Times New Roman"/>
          <w:sz w:val="24"/>
          <w:szCs w:val="24"/>
          <w:lang w:val="lt-LT"/>
        </w:rPr>
        <w:t>Per ilgai užtrukusios įmonių bankroto procedūros sudaro sąlygas iššvaistyti įmonės turtą ir sukaupti dar daugiau skolų. Dėl šių priežasčių įmonė tampa nepatraukli pirkėjams kaip verslo</w:t>
      </w:r>
      <w:r w:rsidR="0017614D" w:rsidRPr="0017614D">
        <w:rPr>
          <w:rFonts w:ascii="Times New Roman" w:hAnsi="Times New Roman" w:cs="Times New Roman"/>
          <w:sz w:val="24"/>
          <w:szCs w:val="24"/>
          <w:lang w:val="lt-LT"/>
        </w:rPr>
        <w:t xml:space="preserve"> vienetas. Laiku neįvertinus gre</w:t>
      </w:r>
      <w:r w:rsidRPr="0017614D">
        <w:rPr>
          <w:rFonts w:ascii="Times New Roman" w:hAnsi="Times New Roman" w:cs="Times New Roman"/>
          <w:sz w:val="24"/>
          <w:szCs w:val="24"/>
          <w:lang w:val="lt-LT"/>
        </w:rPr>
        <w:t xml:space="preserve">siančio bankroto verslo reorganizavimui ar naujo pradėjimui dažnai jau nebelieka jokių bankrutuojančios įmonės rezervų (Stoškus ir kt., 2007). </w:t>
      </w:r>
      <w:r w:rsidR="00716930" w:rsidRPr="0017614D">
        <w:rPr>
          <w:rFonts w:ascii="Times New Roman" w:hAnsi="Times New Roman" w:cs="Times New Roman"/>
          <w:sz w:val="24"/>
          <w:szCs w:val="24"/>
          <w:lang w:val="lt-LT"/>
        </w:rPr>
        <w:t>Pagal M. Tvaronavičienę (2001) laiku nenutraukus bankrutuojančios įmonės veiklos, neišvengiamai didėja bankroto sukelti nuostoliai,  įmonė dar labiau įsiskolina darbuotojams, biudžetui, Sodrai, tiekėjams, o viso to pasekmė – didėjančios socialinės ir ekonominės problemos. Be to, dalis bankroto procedūrų išlaidų yra perkėliama</w:t>
      </w:r>
      <w:r w:rsidR="00A26974" w:rsidRPr="0017614D">
        <w:rPr>
          <w:rFonts w:ascii="Times New Roman" w:hAnsi="Times New Roman" w:cs="Times New Roman"/>
          <w:sz w:val="24"/>
          <w:szCs w:val="24"/>
          <w:lang w:val="lt-LT"/>
        </w:rPr>
        <w:t xml:space="preserve"> ant mokesčių mokėtojų pečių, ka</w:t>
      </w:r>
      <w:r w:rsidR="00716930" w:rsidRPr="0017614D">
        <w:rPr>
          <w:rFonts w:ascii="Times New Roman" w:hAnsi="Times New Roman" w:cs="Times New Roman"/>
          <w:sz w:val="24"/>
          <w:szCs w:val="24"/>
          <w:lang w:val="lt-LT"/>
        </w:rPr>
        <w:t xml:space="preserve">s vėlgi stabdo ekonomikos augimą. </w:t>
      </w:r>
    </w:p>
    <w:p w:rsidR="005D3FF6" w:rsidRPr="0017614D" w:rsidRDefault="00B25C02" w:rsidP="005D3FF6">
      <w:pPr>
        <w:spacing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Toliau </w:t>
      </w:r>
      <w:r w:rsidR="003412CC" w:rsidRPr="0017614D">
        <w:rPr>
          <w:rFonts w:ascii="Times New Roman" w:hAnsi="Times New Roman" w:cs="Times New Roman"/>
          <w:sz w:val="24"/>
          <w:szCs w:val="24"/>
          <w:lang w:val="lt-LT"/>
        </w:rPr>
        <w:t>yra pateikiamas</w:t>
      </w:r>
      <w:r w:rsidRPr="0017614D">
        <w:rPr>
          <w:rFonts w:ascii="Times New Roman" w:hAnsi="Times New Roman" w:cs="Times New Roman"/>
          <w:sz w:val="24"/>
          <w:szCs w:val="24"/>
          <w:lang w:val="lt-LT"/>
        </w:rPr>
        <w:t xml:space="preserve"> bankrutuojančių ir bankrutavusių įmonių pasiskirstym</w:t>
      </w:r>
      <w:r w:rsidR="003412CC" w:rsidRPr="0017614D">
        <w:rPr>
          <w:rFonts w:ascii="Times New Roman" w:hAnsi="Times New Roman" w:cs="Times New Roman"/>
          <w:sz w:val="24"/>
          <w:szCs w:val="24"/>
          <w:lang w:val="lt-LT"/>
        </w:rPr>
        <w:t>as</w:t>
      </w:r>
      <w:r w:rsidRPr="0017614D">
        <w:rPr>
          <w:rFonts w:ascii="Times New Roman" w:hAnsi="Times New Roman" w:cs="Times New Roman"/>
          <w:sz w:val="24"/>
          <w:szCs w:val="24"/>
          <w:lang w:val="lt-LT"/>
        </w:rPr>
        <w:t xml:space="preserve"> pagal įmonės dydį</w:t>
      </w:r>
      <w:r w:rsidR="005D7D5D" w:rsidRPr="0017614D">
        <w:rPr>
          <w:rFonts w:ascii="Times New Roman" w:hAnsi="Times New Roman" w:cs="Times New Roman"/>
          <w:sz w:val="24"/>
          <w:szCs w:val="24"/>
          <w:lang w:val="lt-LT"/>
        </w:rPr>
        <w:t xml:space="preserve"> (žr. 6 lent.)</w:t>
      </w:r>
      <w:r w:rsidRPr="0017614D">
        <w:rPr>
          <w:rFonts w:ascii="Times New Roman" w:hAnsi="Times New Roman" w:cs="Times New Roman"/>
          <w:sz w:val="24"/>
          <w:szCs w:val="24"/>
          <w:lang w:val="lt-LT"/>
        </w:rPr>
        <w:t xml:space="preserve">. </w:t>
      </w:r>
      <w:r w:rsidR="005D3FF6" w:rsidRPr="0017614D">
        <w:rPr>
          <w:rFonts w:ascii="Times New Roman" w:hAnsi="Times New Roman" w:cs="Times New Roman"/>
          <w:sz w:val="24"/>
          <w:szCs w:val="24"/>
          <w:lang w:val="lt-LT"/>
        </w:rPr>
        <w:t xml:space="preserve">Iš duomenų pateiktų 6 lentelėje matyti, kad dažniausiai bankrutuoja smulkios įmonės. </w:t>
      </w:r>
      <w:r w:rsidR="005D3FF6" w:rsidRPr="0017614D">
        <w:rPr>
          <w:rFonts w:ascii="Times New Roman" w:eastAsia="Times New Roman" w:hAnsi="Times New Roman" w:cs="Times New Roman"/>
          <w:sz w:val="24"/>
          <w:szCs w:val="24"/>
          <w:lang w:val="lt-LT"/>
        </w:rPr>
        <w:t>1993 – 2012 m. laikotarpiu 82 proc. bankrutuojančių ir bankrutavusių įmonių sudarė labai mažos įmonės, kuriose bankroto proceso pradžioje visai nebuvo arba dirbo iki 9 darbuotojų. Įmonės, kuriose dirbo nuo 10 iki 49 darbuotojų sudarė 12,7 proc., o 50 ir daugiau darbuotojų turinčios įmonės – 3,1 proc</w:t>
      </w:r>
      <w:r w:rsidR="005D3FF6" w:rsidRPr="002E08A9">
        <w:rPr>
          <w:rFonts w:ascii="Times New Roman" w:eastAsia="Times New Roman" w:hAnsi="Times New Roman" w:cs="Times New Roman"/>
          <w:sz w:val="24"/>
          <w:szCs w:val="24"/>
          <w:lang w:val="lt-LT"/>
        </w:rPr>
        <w:t xml:space="preserve">. </w:t>
      </w:r>
      <w:r w:rsidR="005D3FF6" w:rsidRPr="002E08A9">
        <w:rPr>
          <w:rFonts w:ascii="Times New Roman" w:hAnsi="Times New Roman" w:cs="Times New Roman"/>
          <w:sz w:val="24"/>
          <w:szCs w:val="24"/>
          <w:lang w:val="lt-LT"/>
        </w:rPr>
        <w:t>(Įmonių bankroto valdymo departamentas, 2012)</w:t>
      </w:r>
      <w:r w:rsidR="005D3FF6" w:rsidRPr="002E08A9">
        <w:rPr>
          <w:rFonts w:ascii="Times New Roman" w:eastAsia="Times New Roman" w:hAnsi="Times New Roman" w:cs="Times New Roman"/>
          <w:sz w:val="24"/>
          <w:szCs w:val="24"/>
          <w:lang w:val="lt-LT"/>
        </w:rPr>
        <w:t>. Visgi, nors dažniausiai bankrutuoja ir mažos įmonės</w:t>
      </w:r>
      <w:r w:rsidR="005D3FF6" w:rsidRPr="0017614D">
        <w:rPr>
          <w:rFonts w:ascii="Times New Roman" w:eastAsia="Times New Roman" w:hAnsi="Times New Roman" w:cs="Times New Roman"/>
          <w:sz w:val="24"/>
          <w:szCs w:val="24"/>
          <w:lang w:val="lt-LT"/>
        </w:rPr>
        <w:t xml:space="preserve">, tačiau </w:t>
      </w:r>
      <w:r w:rsidR="005D3FF6" w:rsidRPr="0017614D">
        <w:rPr>
          <w:rFonts w:ascii="Times New Roman" w:hAnsi="Times New Roman" w:cs="Times New Roman"/>
          <w:sz w:val="24"/>
          <w:szCs w:val="24"/>
          <w:lang w:val="lt-LT"/>
        </w:rPr>
        <w:t xml:space="preserve">apytiksliai </w:t>
      </w:r>
      <w:r w:rsidR="005D3FF6" w:rsidRPr="0017614D">
        <w:rPr>
          <w:rFonts w:ascii="Times New Roman" w:hAnsi="Times New Roman" w:cs="Times New Roman"/>
          <w:sz w:val="24"/>
          <w:szCs w:val="24"/>
          <w:lang w:val="lt-LT"/>
        </w:rPr>
        <w:lastRenderedPageBreak/>
        <w:t>paskaičiavus pagal 3 lentelės duomenis matosi, kad dėl 1993 – 2012 m. bankrutavusių įmonių be darbo liko  daugiau nei 100 tūkst. žmonių, kas padidino šalies ne tik ekonomines, bet ir socialines problemas.</w:t>
      </w:r>
    </w:p>
    <w:p w:rsidR="005D3FF6" w:rsidRDefault="005D3FF6" w:rsidP="005D7D5D">
      <w:pPr>
        <w:spacing w:after="0" w:line="360" w:lineRule="auto"/>
        <w:ind w:firstLine="539"/>
        <w:contextualSpacing/>
        <w:jc w:val="center"/>
        <w:rPr>
          <w:rFonts w:ascii="Times New Roman" w:hAnsi="Times New Roman" w:cs="Times New Roman"/>
          <w:szCs w:val="24"/>
          <w:lang w:val="lt-LT"/>
        </w:rPr>
      </w:pPr>
    </w:p>
    <w:p w:rsidR="00B25C02" w:rsidRPr="0017614D" w:rsidRDefault="005D7D5D" w:rsidP="005D7D5D">
      <w:pPr>
        <w:spacing w:after="0" w:line="360" w:lineRule="auto"/>
        <w:ind w:firstLine="539"/>
        <w:contextualSpacing/>
        <w:jc w:val="center"/>
        <w:rPr>
          <w:rFonts w:ascii="Times New Roman" w:eastAsia="Times New Roman" w:hAnsi="Times New Roman" w:cs="Times New Roman"/>
          <w:sz w:val="24"/>
          <w:szCs w:val="24"/>
          <w:lang w:val="lt-LT"/>
        </w:rPr>
      </w:pPr>
      <w:r w:rsidRPr="0017614D">
        <w:rPr>
          <w:rFonts w:ascii="Times New Roman" w:hAnsi="Times New Roman" w:cs="Times New Roman"/>
          <w:szCs w:val="24"/>
          <w:lang w:val="lt-LT"/>
        </w:rPr>
        <w:t>6</w:t>
      </w:r>
      <w:r w:rsidR="00B25C02" w:rsidRPr="0017614D">
        <w:rPr>
          <w:rFonts w:ascii="Times New Roman" w:hAnsi="Times New Roman" w:cs="Times New Roman"/>
          <w:szCs w:val="24"/>
          <w:lang w:val="lt-LT"/>
        </w:rPr>
        <w:t xml:space="preserve"> lentelė.</w:t>
      </w:r>
      <w:r w:rsidR="00B25C02" w:rsidRPr="0017614D">
        <w:rPr>
          <w:rFonts w:ascii="Times New Roman" w:hAnsi="Times New Roman" w:cs="Times New Roman"/>
          <w:b/>
          <w:szCs w:val="24"/>
          <w:lang w:val="lt-LT"/>
        </w:rPr>
        <w:t xml:space="preserve"> </w:t>
      </w:r>
      <w:r w:rsidR="00415D66" w:rsidRPr="0017614D">
        <w:rPr>
          <w:rFonts w:ascii="Times New Roman" w:hAnsi="Times New Roman" w:cs="Times New Roman"/>
          <w:b/>
          <w:lang w:val="lt-LT"/>
        </w:rPr>
        <w:t>Lietuvoje p</w:t>
      </w:r>
      <w:r w:rsidR="00B25C02" w:rsidRPr="0017614D">
        <w:rPr>
          <w:rFonts w:ascii="Times New Roman" w:hAnsi="Times New Roman" w:cs="Times New Roman"/>
          <w:b/>
          <w:lang w:val="lt-LT"/>
        </w:rPr>
        <w:t>radėtų bankroto procesų skaičius pagal darbuotojų skaičių</w:t>
      </w:r>
    </w:p>
    <w:tbl>
      <w:tblPr>
        <w:tblStyle w:val="LightShading-Accent6"/>
        <w:tblW w:w="0" w:type="auto"/>
        <w:jc w:val="center"/>
        <w:tblLook w:val="04A0"/>
      </w:tblPr>
      <w:tblGrid>
        <w:gridCol w:w="1794"/>
        <w:gridCol w:w="3210"/>
      </w:tblGrid>
      <w:tr w:rsidR="00B25C02" w:rsidRPr="0017614D" w:rsidTr="00F142F6">
        <w:trPr>
          <w:cnfStyle w:val="100000000000"/>
          <w:jc w:val="center"/>
        </w:trPr>
        <w:tc>
          <w:tcPr>
            <w:cnfStyle w:val="001000000000"/>
            <w:tcW w:w="1794" w:type="dxa"/>
          </w:tcPr>
          <w:p w:rsidR="00B25C02" w:rsidRPr="0017614D" w:rsidRDefault="00B25C02" w:rsidP="00297207">
            <w:pPr>
              <w:contextualSpacing/>
              <w:jc w:val="center"/>
              <w:rPr>
                <w:rFonts w:ascii="Times New Roman" w:hAnsi="Times New Roman" w:cs="Times New Roman"/>
                <w:b w:val="0"/>
                <w:color w:val="auto"/>
                <w:lang w:val="lt-LT"/>
              </w:rPr>
            </w:pPr>
            <w:r w:rsidRPr="0017614D">
              <w:rPr>
                <w:rFonts w:ascii="Times New Roman" w:hAnsi="Times New Roman" w:cs="Times New Roman"/>
                <w:b w:val="0"/>
                <w:color w:val="auto"/>
                <w:lang w:val="lt-LT"/>
              </w:rPr>
              <w:t>Darbuotojų skaičius</w:t>
            </w:r>
          </w:p>
        </w:tc>
        <w:tc>
          <w:tcPr>
            <w:tcW w:w="3210" w:type="dxa"/>
          </w:tcPr>
          <w:p w:rsidR="00B25C02" w:rsidRPr="0017614D" w:rsidRDefault="00B25C02" w:rsidP="00297207">
            <w:pPr>
              <w:contextualSpacing/>
              <w:jc w:val="center"/>
              <w:cnfStyle w:val="100000000000"/>
              <w:rPr>
                <w:rFonts w:ascii="Times New Roman" w:hAnsi="Times New Roman" w:cs="Times New Roman"/>
                <w:b w:val="0"/>
                <w:color w:val="auto"/>
                <w:lang w:val="lt-LT"/>
              </w:rPr>
            </w:pPr>
            <w:r w:rsidRPr="0017614D">
              <w:rPr>
                <w:rFonts w:ascii="Times New Roman" w:hAnsi="Times New Roman" w:cs="Times New Roman"/>
                <w:b w:val="0"/>
                <w:color w:val="auto"/>
                <w:lang w:val="lt-LT"/>
              </w:rPr>
              <w:t>1993-2012 m. bankrutavusios ir bankrutuojančios įmonės</w:t>
            </w:r>
          </w:p>
        </w:tc>
      </w:tr>
      <w:tr w:rsidR="00B25C02" w:rsidRPr="0017614D" w:rsidTr="00F142F6">
        <w:trPr>
          <w:cnfStyle w:val="000000100000"/>
          <w:jc w:val="center"/>
        </w:trPr>
        <w:tc>
          <w:tcPr>
            <w:cnfStyle w:val="001000000000"/>
            <w:tcW w:w="1794" w:type="dxa"/>
          </w:tcPr>
          <w:p w:rsidR="00B25C02" w:rsidRPr="0017614D" w:rsidRDefault="00B25C02" w:rsidP="00297207">
            <w:pPr>
              <w:contextualSpacing/>
              <w:jc w:val="center"/>
              <w:rPr>
                <w:rFonts w:ascii="Times New Roman" w:hAnsi="Times New Roman" w:cs="Times New Roman"/>
                <w:i/>
                <w:color w:val="auto"/>
                <w:lang w:val="lt-LT"/>
              </w:rPr>
            </w:pPr>
            <w:r w:rsidRPr="0017614D">
              <w:rPr>
                <w:rFonts w:ascii="Times New Roman" w:hAnsi="Times New Roman" w:cs="Times New Roman"/>
                <w:i/>
                <w:color w:val="auto"/>
                <w:lang w:val="lt-LT"/>
              </w:rPr>
              <w:t>Nėra duomenų</w:t>
            </w:r>
          </w:p>
        </w:tc>
        <w:tc>
          <w:tcPr>
            <w:tcW w:w="3210" w:type="dxa"/>
          </w:tcPr>
          <w:p w:rsidR="00B25C02" w:rsidRPr="0017614D" w:rsidRDefault="00B25C02" w:rsidP="00297207">
            <w:pPr>
              <w:contextualSpacing/>
              <w:jc w:val="center"/>
              <w:cnfStyle w:val="000000100000"/>
              <w:rPr>
                <w:rFonts w:ascii="Times New Roman" w:hAnsi="Times New Roman" w:cs="Times New Roman"/>
                <w:color w:val="auto"/>
                <w:lang w:val="lt-LT"/>
              </w:rPr>
            </w:pPr>
            <w:r w:rsidRPr="0017614D">
              <w:rPr>
                <w:rFonts w:ascii="Times New Roman" w:hAnsi="Times New Roman" w:cs="Times New Roman"/>
                <w:color w:val="auto"/>
                <w:lang w:val="lt-LT"/>
              </w:rPr>
              <w:t>280</w:t>
            </w:r>
          </w:p>
        </w:tc>
      </w:tr>
      <w:tr w:rsidR="00B25C02" w:rsidRPr="0017614D" w:rsidTr="00F142F6">
        <w:trPr>
          <w:jc w:val="center"/>
        </w:trPr>
        <w:tc>
          <w:tcPr>
            <w:cnfStyle w:val="001000000000"/>
            <w:tcW w:w="1794" w:type="dxa"/>
          </w:tcPr>
          <w:p w:rsidR="00B25C02" w:rsidRPr="0017614D" w:rsidRDefault="00B25C02" w:rsidP="00297207">
            <w:pPr>
              <w:contextualSpacing/>
              <w:jc w:val="center"/>
              <w:rPr>
                <w:rFonts w:ascii="Times New Roman" w:hAnsi="Times New Roman" w:cs="Times New Roman"/>
                <w:i/>
                <w:color w:val="auto"/>
                <w:lang w:val="lt-LT"/>
              </w:rPr>
            </w:pPr>
            <w:r w:rsidRPr="0017614D">
              <w:rPr>
                <w:rFonts w:ascii="Times New Roman" w:hAnsi="Times New Roman" w:cs="Times New Roman"/>
                <w:i/>
                <w:color w:val="auto"/>
                <w:lang w:val="lt-LT"/>
              </w:rPr>
              <w:t>0</w:t>
            </w:r>
          </w:p>
        </w:tc>
        <w:tc>
          <w:tcPr>
            <w:tcW w:w="3210" w:type="dxa"/>
          </w:tcPr>
          <w:p w:rsidR="00B25C02" w:rsidRPr="0017614D" w:rsidRDefault="00B25C02" w:rsidP="00297207">
            <w:pPr>
              <w:contextualSpacing/>
              <w:jc w:val="center"/>
              <w:cnfStyle w:val="000000000000"/>
              <w:rPr>
                <w:rFonts w:ascii="Times New Roman" w:hAnsi="Times New Roman" w:cs="Times New Roman"/>
                <w:color w:val="auto"/>
                <w:lang w:val="lt-LT"/>
              </w:rPr>
            </w:pPr>
            <w:r w:rsidRPr="0017614D">
              <w:rPr>
                <w:rFonts w:ascii="Times New Roman" w:hAnsi="Times New Roman" w:cs="Times New Roman"/>
                <w:color w:val="auto"/>
                <w:lang w:val="lt-LT"/>
              </w:rPr>
              <w:t>4383</w:t>
            </w:r>
          </w:p>
        </w:tc>
      </w:tr>
      <w:tr w:rsidR="00B25C02" w:rsidRPr="0017614D" w:rsidTr="00F142F6">
        <w:trPr>
          <w:cnfStyle w:val="000000100000"/>
          <w:jc w:val="center"/>
        </w:trPr>
        <w:tc>
          <w:tcPr>
            <w:cnfStyle w:val="001000000000"/>
            <w:tcW w:w="1794" w:type="dxa"/>
          </w:tcPr>
          <w:p w:rsidR="00B25C02" w:rsidRPr="0017614D" w:rsidRDefault="00B25C02" w:rsidP="00297207">
            <w:pPr>
              <w:contextualSpacing/>
              <w:jc w:val="center"/>
              <w:rPr>
                <w:rFonts w:ascii="Times New Roman" w:hAnsi="Times New Roman" w:cs="Times New Roman"/>
                <w:i/>
                <w:color w:val="auto"/>
                <w:lang w:val="lt-LT"/>
              </w:rPr>
            </w:pPr>
            <w:r w:rsidRPr="0017614D">
              <w:rPr>
                <w:rFonts w:ascii="Times New Roman" w:hAnsi="Times New Roman" w:cs="Times New Roman"/>
                <w:i/>
                <w:color w:val="auto"/>
                <w:lang w:val="lt-LT"/>
              </w:rPr>
              <w:t xml:space="preserve">1 </w:t>
            </w:r>
            <w:r w:rsidR="00A26974" w:rsidRPr="0017614D">
              <w:rPr>
                <w:rFonts w:ascii="Times New Roman" w:hAnsi="Times New Roman" w:cs="Times New Roman"/>
                <w:i/>
                <w:color w:val="auto"/>
                <w:lang w:val="lt-LT"/>
              </w:rPr>
              <w:t>–</w:t>
            </w:r>
            <w:r w:rsidRPr="0017614D">
              <w:rPr>
                <w:rFonts w:ascii="Times New Roman" w:hAnsi="Times New Roman" w:cs="Times New Roman"/>
                <w:i/>
                <w:color w:val="auto"/>
                <w:lang w:val="lt-LT"/>
              </w:rPr>
              <w:t xml:space="preserve"> 9</w:t>
            </w:r>
          </w:p>
        </w:tc>
        <w:tc>
          <w:tcPr>
            <w:tcW w:w="3210" w:type="dxa"/>
          </w:tcPr>
          <w:p w:rsidR="00B25C02" w:rsidRPr="0017614D" w:rsidRDefault="00B25C02" w:rsidP="00297207">
            <w:pPr>
              <w:contextualSpacing/>
              <w:jc w:val="center"/>
              <w:cnfStyle w:val="000000100000"/>
              <w:rPr>
                <w:rFonts w:ascii="Times New Roman" w:hAnsi="Times New Roman" w:cs="Times New Roman"/>
                <w:color w:val="auto"/>
                <w:lang w:val="lt-LT"/>
              </w:rPr>
            </w:pPr>
            <w:r w:rsidRPr="0017614D">
              <w:rPr>
                <w:rFonts w:ascii="Times New Roman" w:hAnsi="Times New Roman" w:cs="Times New Roman"/>
                <w:color w:val="auto"/>
                <w:lang w:val="lt-LT"/>
              </w:rPr>
              <w:t>6267</w:t>
            </w:r>
          </w:p>
        </w:tc>
      </w:tr>
      <w:tr w:rsidR="00B25C02" w:rsidRPr="0017614D" w:rsidTr="00F142F6">
        <w:trPr>
          <w:jc w:val="center"/>
        </w:trPr>
        <w:tc>
          <w:tcPr>
            <w:cnfStyle w:val="001000000000"/>
            <w:tcW w:w="1794" w:type="dxa"/>
          </w:tcPr>
          <w:p w:rsidR="00B25C02" w:rsidRPr="0017614D" w:rsidRDefault="00B25C02" w:rsidP="00297207">
            <w:pPr>
              <w:contextualSpacing/>
              <w:jc w:val="center"/>
              <w:rPr>
                <w:rFonts w:ascii="Times New Roman" w:hAnsi="Times New Roman" w:cs="Times New Roman"/>
                <w:i/>
                <w:color w:val="auto"/>
                <w:lang w:val="lt-LT"/>
              </w:rPr>
            </w:pPr>
            <w:r w:rsidRPr="0017614D">
              <w:rPr>
                <w:rFonts w:ascii="Times New Roman" w:hAnsi="Times New Roman" w:cs="Times New Roman"/>
                <w:i/>
                <w:color w:val="auto"/>
                <w:lang w:val="lt-LT"/>
              </w:rPr>
              <w:t xml:space="preserve">10 </w:t>
            </w:r>
            <w:r w:rsidR="00A26974" w:rsidRPr="0017614D">
              <w:rPr>
                <w:rFonts w:ascii="Times New Roman" w:hAnsi="Times New Roman" w:cs="Times New Roman"/>
                <w:i/>
                <w:color w:val="auto"/>
                <w:lang w:val="lt-LT"/>
              </w:rPr>
              <w:t>–</w:t>
            </w:r>
            <w:r w:rsidRPr="0017614D">
              <w:rPr>
                <w:rFonts w:ascii="Times New Roman" w:hAnsi="Times New Roman" w:cs="Times New Roman"/>
                <w:i/>
                <w:color w:val="auto"/>
                <w:lang w:val="lt-LT"/>
              </w:rPr>
              <w:t xml:space="preserve"> 49</w:t>
            </w:r>
          </w:p>
        </w:tc>
        <w:tc>
          <w:tcPr>
            <w:tcW w:w="3210" w:type="dxa"/>
          </w:tcPr>
          <w:p w:rsidR="00B25C02" w:rsidRPr="0017614D" w:rsidRDefault="00B25C02" w:rsidP="00297207">
            <w:pPr>
              <w:contextualSpacing/>
              <w:jc w:val="center"/>
              <w:cnfStyle w:val="000000000000"/>
              <w:rPr>
                <w:rFonts w:ascii="Times New Roman" w:hAnsi="Times New Roman" w:cs="Times New Roman"/>
                <w:color w:val="auto"/>
                <w:lang w:val="lt-LT"/>
              </w:rPr>
            </w:pPr>
            <w:r w:rsidRPr="0017614D">
              <w:rPr>
                <w:rFonts w:ascii="Times New Roman" w:hAnsi="Times New Roman" w:cs="Times New Roman"/>
                <w:color w:val="auto"/>
                <w:lang w:val="lt-LT"/>
              </w:rPr>
              <w:t>1649</w:t>
            </w:r>
          </w:p>
        </w:tc>
      </w:tr>
      <w:tr w:rsidR="00B25C02" w:rsidRPr="0017614D" w:rsidTr="00F142F6">
        <w:trPr>
          <w:cnfStyle w:val="000000100000"/>
          <w:jc w:val="center"/>
        </w:trPr>
        <w:tc>
          <w:tcPr>
            <w:cnfStyle w:val="001000000000"/>
            <w:tcW w:w="1794" w:type="dxa"/>
          </w:tcPr>
          <w:p w:rsidR="00B25C02" w:rsidRPr="0017614D" w:rsidRDefault="00B25C02" w:rsidP="00297207">
            <w:pPr>
              <w:contextualSpacing/>
              <w:jc w:val="center"/>
              <w:rPr>
                <w:rFonts w:ascii="Times New Roman" w:hAnsi="Times New Roman" w:cs="Times New Roman"/>
                <w:i/>
                <w:color w:val="auto"/>
                <w:lang w:val="lt-LT"/>
              </w:rPr>
            </w:pPr>
            <w:r w:rsidRPr="0017614D">
              <w:rPr>
                <w:rFonts w:ascii="Times New Roman" w:hAnsi="Times New Roman" w:cs="Times New Roman"/>
                <w:i/>
                <w:color w:val="auto"/>
                <w:lang w:val="lt-LT"/>
              </w:rPr>
              <w:t>50 – 249</w:t>
            </w:r>
          </w:p>
        </w:tc>
        <w:tc>
          <w:tcPr>
            <w:tcW w:w="3210" w:type="dxa"/>
          </w:tcPr>
          <w:p w:rsidR="00B25C02" w:rsidRPr="0017614D" w:rsidRDefault="00B25C02" w:rsidP="00297207">
            <w:pPr>
              <w:contextualSpacing/>
              <w:jc w:val="center"/>
              <w:cnfStyle w:val="000000100000"/>
              <w:rPr>
                <w:rFonts w:ascii="Times New Roman" w:hAnsi="Times New Roman" w:cs="Times New Roman"/>
                <w:color w:val="auto"/>
                <w:lang w:val="lt-LT"/>
              </w:rPr>
            </w:pPr>
            <w:r w:rsidRPr="0017614D">
              <w:rPr>
                <w:rFonts w:ascii="Times New Roman" w:hAnsi="Times New Roman" w:cs="Times New Roman"/>
                <w:color w:val="auto"/>
                <w:lang w:val="lt-LT"/>
              </w:rPr>
              <w:t>354</w:t>
            </w:r>
          </w:p>
        </w:tc>
      </w:tr>
      <w:tr w:rsidR="00B25C02" w:rsidRPr="0017614D" w:rsidTr="00F142F6">
        <w:trPr>
          <w:jc w:val="center"/>
        </w:trPr>
        <w:tc>
          <w:tcPr>
            <w:cnfStyle w:val="001000000000"/>
            <w:tcW w:w="1794" w:type="dxa"/>
          </w:tcPr>
          <w:p w:rsidR="00B25C02" w:rsidRPr="0017614D" w:rsidRDefault="00B25C02" w:rsidP="00297207">
            <w:pPr>
              <w:contextualSpacing/>
              <w:jc w:val="center"/>
              <w:rPr>
                <w:rFonts w:ascii="Times New Roman" w:hAnsi="Times New Roman" w:cs="Times New Roman"/>
                <w:i/>
                <w:color w:val="auto"/>
                <w:lang w:val="lt-LT"/>
              </w:rPr>
            </w:pPr>
            <w:r w:rsidRPr="0017614D">
              <w:rPr>
                <w:rFonts w:ascii="Times New Roman" w:hAnsi="Times New Roman" w:cs="Times New Roman"/>
                <w:i/>
                <w:color w:val="auto"/>
                <w:lang w:val="lt-LT"/>
              </w:rPr>
              <w:t>250 ir daugiau</w:t>
            </w:r>
          </w:p>
        </w:tc>
        <w:tc>
          <w:tcPr>
            <w:tcW w:w="3210" w:type="dxa"/>
          </w:tcPr>
          <w:p w:rsidR="00B25C02" w:rsidRPr="0017614D" w:rsidRDefault="00B25C02" w:rsidP="00297207">
            <w:pPr>
              <w:contextualSpacing/>
              <w:jc w:val="center"/>
              <w:cnfStyle w:val="000000000000"/>
              <w:rPr>
                <w:rFonts w:ascii="Times New Roman" w:hAnsi="Times New Roman" w:cs="Times New Roman"/>
                <w:color w:val="auto"/>
                <w:lang w:val="lt-LT"/>
              </w:rPr>
            </w:pPr>
            <w:r w:rsidRPr="0017614D">
              <w:rPr>
                <w:rFonts w:ascii="Times New Roman" w:hAnsi="Times New Roman" w:cs="Times New Roman"/>
                <w:color w:val="auto"/>
                <w:lang w:val="lt-LT"/>
              </w:rPr>
              <w:t>50</w:t>
            </w:r>
          </w:p>
        </w:tc>
      </w:tr>
      <w:tr w:rsidR="00B25C02" w:rsidRPr="0017614D" w:rsidTr="00F142F6">
        <w:trPr>
          <w:cnfStyle w:val="000000100000"/>
          <w:jc w:val="center"/>
        </w:trPr>
        <w:tc>
          <w:tcPr>
            <w:cnfStyle w:val="001000000000"/>
            <w:tcW w:w="1794" w:type="dxa"/>
          </w:tcPr>
          <w:p w:rsidR="00B25C02" w:rsidRPr="0017614D" w:rsidRDefault="00B25C02" w:rsidP="00297207">
            <w:pPr>
              <w:contextualSpacing/>
              <w:jc w:val="center"/>
              <w:rPr>
                <w:rFonts w:ascii="Times New Roman" w:hAnsi="Times New Roman" w:cs="Times New Roman"/>
                <w:b w:val="0"/>
                <w:i/>
                <w:color w:val="auto"/>
                <w:lang w:val="lt-LT"/>
              </w:rPr>
            </w:pPr>
            <w:r w:rsidRPr="0017614D">
              <w:rPr>
                <w:rFonts w:ascii="Times New Roman" w:hAnsi="Times New Roman" w:cs="Times New Roman"/>
                <w:b w:val="0"/>
                <w:i/>
                <w:color w:val="auto"/>
                <w:lang w:val="lt-LT"/>
              </w:rPr>
              <w:t>Iš viso</w:t>
            </w:r>
          </w:p>
        </w:tc>
        <w:tc>
          <w:tcPr>
            <w:tcW w:w="3210" w:type="dxa"/>
          </w:tcPr>
          <w:p w:rsidR="00B25C02" w:rsidRPr="0017614D" w:rsidRDefault="00B25C02" w:rsidP="00297207">
            <w:pPr>
              <w:contextualSpacing/>
              <w:jc w:val="center"/>
              <w:cnfStyle w:val="000000100000"/>
              <w:rPr>
                <w:rFonts w:ascii="Times New Roman" w:hAnsi="Times New Roman" w:cs="Times New Roman"/>
                <w:b/>
                <w:color w:val="auto"/>
                <w:lang w:val="lt-LT"/>
              </w:rPr>
            </w:pPr>
            <w:r w:rsidRPr="0017614D">
              <w:rPr>
                <w:rFonts w:ascii="Times New Roman" w:hAnsi="Times New Roman" w:cs="Times New Roman"/>
                <w:b/>
                <w:color w:val="auto"/>
                <w:lang w:val="lt-LT"/>
              </w:rPr>
              <w:t>12983</w:t>
            </w:r>
          </w:p>
        </w:tc>
      </w:tr>
    </w:tbl>
    <w:p w:rsidR="00B25C02" w:rsidRPr="005D3FF6" w:rsidRDefault="00B25C02" w:rsidP="00B25C02">
      <w:pPr>
        <w:contextualSpacing/>
        <w:rPr>
          <w:rFonts w:ascii="Times New Roman" w:hAnsi="Times New Roman" w:cs="Times New Roman"/>
          <w:sz w:val="20"/>
          <w:szCs w:val="20"/>
          <w:lang w:val="lt-LT"/>
        </w:rPr>
      </w:pPr>
      <w:r w:rsidRPr="005D3FF6">
        <w:rPr>
          <w:rFonts w:ascii="Times New Roman" w:hAnsi="Times New Roman" w:cs="Times New Roman"/>
          <w:b/>
          <w:sz w:val="20"/>
          <w:szCs w:val="20"/>
          <w:lang w:val="lt-LT"/>
        </w:rPr>
        <w:t>Šaltinis:</w:t>
      </w:r>
      <w:r w:rsidRPr="005D3FF6">
        <w:rPr>
          <w:rFonts w:ascii="Times New Roman" w:hAnsi="Times New Roman" w:cs="Times New Roman"/>
          <w:sz w:val="20"/>
          <w:szCs w:val="20"/>
          <w:lang w:val="lt-LT"/>
        </w:rPr>
        <w:t xml:space="preserve"> </w:t>
      </w:r>
      <w:r w:rsidR="002E08A9" w:rsidRPr="005D3FF6">
        <w:rPr>
          <w:rFonts w:ascii="Times New Roman" w:hAnsi="Times New Roman" w:cs="Times New Roman"/>
          <w:sz w:val="20"/>
          <w:szCs w:val="20"/>
          <w:lang w:val="lt-LT"/>
        </w:rPr>
        <w:t>Įmonių bankroto valdymo departamentas, 2012</w:t>
      </w:r>
      <w:r w:rsidR="009B65EE" w:rsidRPr="005D3FF6">
        <w:rPr>
          <w:rFonts w:ascii="Times New Roman" w:hAnsi="Times New Roman" w:cs="Times New Roman"/>
          <w:sz w:val="20"/>
          <w:szCs w:val="20"/>
          <w:lang w:val="lt-LT"/>
        </w:rPr>
        <w:t>.</w:t>
      </w:r>
    </w:p>
    <w:p w:rsidR="00B25C02" w:rsidRPr="0017614D" w:rsidRDefault="00B25C02" w:rsidP="00B25C02">
      <w:pPr>
        <w:contextualSpacing/>
        <w:rPr>
          <w:rFonts w:ascii="Times New Roman" w:hAnsi="Times New Roman" w:cs="Times New Roman"/>
          <w:lang w:val="lt-LT"/>
        </w:rPr>
      </w:pPr>
    </w:p>
    <w:p w:rsidR="005D7D5D" w:rsidRPr="0017614D" w:rsidRDefault="00CC0B69" w:rsidP="00CC0B69">
      <w:pPr>
        <w:spacing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Tikslinga būtų </w:t>
      </w:r>
      <w:r w:rsidR="00616E2A" w:rsidRPr="0017614D">
        <w:rPr>
          <w:rFonts w:ascii="Times New Roman" w:hAnsi="Times New Roman" w:cs="Times New Roman"/>
          <w:sz w:val="24"/>
          <w:szCs w:val="24"/>
          <w:lang w:val="lt-LT"/>
        </w:rPr>
        <w:t>palyginti</w:t>
      </w:r>
      <w:r w:rsidRPr="0017614D">
        <w:rPr>
          <w:rFonts w:ascii="Times New Roman" w:hAnsi="Times New Roman" w:cs="Times New Roman"/>
          <w:sz w:val="24"/>
          <w:szCs w:val="24"/>
          <w:lang w:val="lt-LT"/>
        </w:rPr>
        <w:t xml:space="preserve"> ir</w:t>
      </w:r>
      <w:r w:rsidR="00616E2A" w:rsidRPr="0017614D">
        <w:rPr>
          <w:rFonts w:ascii="Times New Roman" w:hAnsi="Times New Roman" w:cs="Times New Roman"/>
          <w:sz w:val="24"/>
          <w:szCs w:val="24"/>
          <w:lang w:val="lt-LT"/>
        </w:rPr>
        <w:t xml:space="preserve"> veikiančių bei</w:t>
      </w:r>
      <w:r w:rsidR="002E08A9">
        <w:rPr>
          <w:rFonts w:ascii="Times New Roman" w:hAnsi="Times New Roman" w:cs="Times New Roman"/>
          <w:sz w:val="24"/>
          <w:szCs w:val="24"/>
          <w:lang w:val="lt-LT"/>
        </w:rPr>
        <w:t xml:space="preserve"> bankrutuojančių įmonių skaičių</w:t>
      </w:r>
      <w:r w:rsidRPr="0017614D">
        <w:rPr>
          <w:rFonts w:ascii="Times New Roman" w:hAnsi="Times New Roman" w:cs="Times New Roman"/>
          <w:sz w:val="24"/>
          <w:szCs w:val="24"/>
          <w:lang w:val="lt-LT"/>
        </w:rPr>
        <w:t xml:space="preserve"> pagal apskritis</w:t>
      </w:r>
      <w:r w:rsidR="00616E2A" w:rsidRPr="0017614D">
        <w:rPr>
          <w:rFonts w:ascii="Times New Roman" w:hAnsi="Times New Roman" w:cs="Times New Roman"/>
          <w:sz w:val="24"/>
          <w:szCs w:val="24"/>
          <w:lang w:val="lt-LT"/>
        </w:rPr>
        <w:t>. Šiuo tikslų buvo paskaičiuotas santykis, kuris parodo, kokiai veikiančių įmonių daliai buvo iškeltas bankroto procesas</w:t>
      </w:r>
      <w:r w:rsidR="005D7D5D" w:rsidRPr="0017614D">
        <w:rPr>
          <w:rFonts w:ascii="Times New Roman" w:hAnsi="Times New Roman" w:cs="Times New Roman"/>
          <w:sz w:val="24"/>
          <w:szCs w:val="24"/>
          <w:lang w:val="lt-LT"/>
        </w:rPr>
        <w:t xml:space="preserve"> (žr. 4</w:t>
      </w:r>
      <w:r w:rsidR="008D07FA" w:rsidRPr="0017614D">
        <w:rPr>
          <w:rFonts w:ascii="Times New Roman" w:hAnsi="Times New Roman" w:cs="Times New Roman"/>
          <w:sz w:val="24"/>
          <w:szCs w:val="24"/>
          <w:lang w:val="lt-LT"/>
        </w:rPr>
        <w:t xml:space="preserve"> pav.)</w:t>
      </w:r>
      <w:r w:rsidRPr="0017614D">
        <w:rPr>
          <w:rFonts w:ascii="Times New Roman" w:hAnsi="Times New Roman" w:cs="Times New Roman"/>
          <w:sz w:val="24"/>
          <w:szCs w:val="24"/>
          <w:lang w:val="lt-LT"/>
        </w:rPr>
        <w:t xml:space="preserve">. </w:t>
      </w:r>
    </w:p>
    <w:p w:rsidR="00E809CD" w:rsidRPr="0017614D" w:rsidRDefault="00E809CD" w:rsidP="00CC0B69">
      <w:pPr>
        <w:spacing w:line="360" w:lineRule="auto"/>
        <w:ind w:firstLine="720"/>
        <w:contextualSpacing/>
        <w:jc w:val="both"/>
        <w:rPr>
          <w:rFonts w:ascii="Times New Roman" w:hAnsi="Times New Roman" w:cs="Times New Roman"/>
          <w:sz w:val="20"/>
          <w:szCs w:val="24"/>
          <w:lang w:val="lt-LT"/>
        </w:rPr>
      </w:pPr>
    </w:p>
    <w:p w:rsidR="008241E2" w:rsidRPr="0017614D" w:rsidRDefault="00616E2A" w:rsidP="00CC0B69">
      <w:pPr>
        <w:spacing w:line="360" w:lineRule="auto"/>
        <w:ind w:firstLine="720"/>
        <w:contextualSpacing/>
        <w:jc w:val="both"/>
        <w:rPr>
          <w:rFonts w:ascii="Times New Roman" w:hAnsi="Times New Roman" w:cs="Times New Roman"/>
          <w:sz w:val="20"/>
          <w:szCs w:val="24"/>
          <w:lang w:val="lt-LT"/>
        </w:rPr>
      </w:pPr>
      <w:r w:rsidRPr="0017614D">
        <w:rPr>
          <w:rFonts w:ascii="Times New Roman" w:hAnsi="Times New Roman" w:cs="Times New Roman"/>
          <w:noProof/>
          <w:sz w:val="20"/>
          <w:szCs w:val="24"/>
        </w:rPr>
        <w:drawing>
          <wp:inline distT="0" distB="0" distL="0" distR="0">
            <wp:extent cx="5686425" cy="2743200"/>
            <wp:effectExtent l="19050" t="0" r="9525" b="0"/>
            <wp:docPr id="2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56FBC" w:rsidRPr="005D3FF6" w:rsidRDefault="00CC0B69" w:rsidP="00D36717">
      <w:pPr>
        <w:spacing w:after="0"/>
        <w:ind w:left="539"/>
        <w:contextualSpacing/>
        <w:rPr>
          <w:rFonts w:ascii="Times New Roman" w:hAnsi="Times New Roman" w:cs="Times New Roman"/>
          <w:sz w:val="20"/>
          <w:szCs w:val="20"/>
          <w:lang w:val="lt-LT"/>
        </w:rPr>
      </w:pPr>
      <w:r w:rsidRPr="005D3FF6">
        <w:rPr>
          <w:rFonts w:ascii="Times New Roman" w:hAnsi="Times New Roman" w:cs="Times New Roman"/>
          <w:b/>
          <w:sz w:val="20"/>
          <w:szCs w:val="20"/>
          <w:lang w:val="lt-LT"/>
        </w:rPr>
        <w:t>Šaltinis:</w:t>
      </w:r>
      <w:r w:rsidRPr="005D3FF6">
        <w:rPr>
          <w:rFonts w:ascii="Times New Roman" w:hAnsi="Times New Roman" w:cs="Times New Roman"/>
          <w:sz w:val="20"/>
          <w:szCs w:val="20"/>
          <w:lang w:val="lt-LT"/>
        </w:rPr>
        <w:t xml:space="preserve"> </w:t>
      </w:r>
      <w:r w:rsidR="002E08A9" w:rsidRPr="005D3FF6">
        <w:rPr>
          <w:rFonts w:ascii="Times New Roman" w:hAnsi="Times New Roman" w:cs="Times New Roman"/>
          <w:sz w:val="20"/>
          <w:szCs w:val="20"/>
          <w:lang w:val="lt-LT"/>
        </w:rPr>
        <w:t>Įmonių bankroto valdymo departamentas, 2012</w:t>
      </w:r>
      <w:r w:rsidR="009B65EE" w:rsidRPr="005D3FF6">
        <w:rPr>
          <w:rFonts w:ascii="Times New Roman" w:hAnsi="Times New Roman" w:cs="Times New Roman"/>
          <w:sz w:val="20"/>
          <w:szCs w:val="20"/>
          <w:lang w:val="lt-LT"/>
        </w:rPr>
        <w:t>.</w:t>
      </w:r>
    </w:p>
    <w:p w:rsidR="002B57E2" w:rsidRPr="0017614D" w:rsidRDefault="002B57E2" w:rsidP="002B57E2">
      <w:pPr>
        <w:spacing w:after="0"/>
        <w:ind w:left="539"/>
        <w:contextualSpacing/>
        <w:jc w:val="center"/>
        <w:rPr>
          <w:rFonts w:ascii="Times New Roman" w:hAnsi="Times New Roman" w:cs="Times New Roman"/>
          <w:lang w:val="lt-LT"/>
        </w:rPr>
      </w:pPr>
      <w:r w:rsidRPr="0017614D">
        <w:rPr>
          <w:rFonts w:ascii="Times New Roman" w:hAnsi="Times New Roman" w:cs="Times New Roman"/>
          <w:lang w:val="lt-LT"/>
        </w:rPr>
        <w:t>4 pav.</w:t>
      </w:r>
      <w:r w:rsidRPr="0017614D">
        <w:rPr>
          <w:rFonts w:ascii="Times New Roman" w:hAnsi="Times New Roman" w:cs="Times New Roman"/>
          <w:b/>
          <w:lang w:val="lt-LT"/>
        </w:rPr>
        <w:t xml:space="preserve"> Veikiančių bei bankrutuojančių įmonių santykis pagal apskritis Lietuvoje</w:t>
      </w:r>
    </w:p>
    <w:p w:rsidR="00E809CD" w:rsidRPr="0017614D" w:rsidRDefault="00E809CD" w:rsidP="00D36717">
      <w:pPr>
        <w:spacing w:after="0"/>
        <w:ind w:left="539"/>
        <w:contextualSpacing/>
        <w:rPr>
          <w:rFonts w:ascii="Times New Roman" w:hAnsi="Times New Roman" w:cs="Times New Roman"/>
          <w:color w:val="FF0000"/>
          <w:lang w:val="lt-LT"/>
        </w:rPr>
      </w:pPr>
    </w:p>
    <w:p w:rsidR="00E809CD" w:rsidRPr="0017614D" w:rsidRDefault="00E809CD" w:rsidP="002E08A9">
      <w:pPr>
        <w:spacing w:line="360" w:lineRule="auto"/>
        <w:ind w:firstLine="720"/>
        <w:contextualSpacing/>
        <w:jc w:val="both"/>
        <w:rPr>
          <w:rFonts w:ascii="Times New Roman" w:hAnsi="Times New Roman" w:cs="Times New Roman"/>
          <w:sz w:val="24"/>
          <w:szCs w:val="24"/>
          <w:lang w:val="lt-LT"/>
        </w:rPr>
      </w:pPr>
      <w:r w:rsidRPr="0017614D">
        <w:rPr>
          <w:rFonts w:ascii="Times New Roman" w:eastAsia="Times New Roman" w:hAnsi="Times New Roman" w:cs="Times New Roman"/>
          <w:sz w:val="24"/>
          <w:szCs w:val="24"/>
          <w:lang w:val="lt-LT"/>
        </w:rPr>
        <w:t>Per visą laikotarpį nuo 1993 m. iki 2012m. šis rodiklis buvo didžiausias 2012 m. Utenos apskrityje. Be to matosi, kad 2009-2010 m. viso</w:t>
      </w:r>
      <w:r w:rsidR="00E6354F">
        <w:rPr>
          <w:rFonts w:ascii="Times New Roman" w:eastAsia="Times New Roman" w:hAnsi="Times New Roman" w:cs="Times New Roman"/>
          <w:sz w:val="24"/>
          <w:szCs w:val="24"/>
          <w:lang w:val="lt-LT"/>
        </w:rPr>
        <w:t>se apskrityse bankrutavo apie 3 proc.</w:t>
      </w:r>
      <w:r w:rsidRPr="0017614D">
        <w:rPr>
          <w:rFonts w:ascii="Times New Roman" w:eastAsia="Times New Roman" w:hAnsi="Times New Roman" w:cs="Times New Roman"/>
          <w:sz w:val="24"/>
          <w:szCs w:val="24"/>
          <w:lang w:val="lt-LT"/>
        </w:rPr>
        <w:t xml:space="preserve"> visų veikiančių įmonių per metus. </w:t>
      </w:r>
      <w:r w:rsidRPr="0017614D">
        <w:rPr>
          <w:rFonts w:ascii="Times New Roman" w:hAnsi="Times New Roman" w:cs="Times New Roman"/>
          <w:sz w:val="24"/>
          <w:szCs w:val="24"/>
          <w:lang w:val="lt-LT"/>
        </w:rPr>
        <w:t>Tai parodo, kad visos apskritys susiduria su panašia bankroto rizika, o bankrutavusių įmonių skaičiui didesnę įtaką daro ekonominiai veiksniai nei tai kokioje apskrityje įmonė įsikūrusi.</w:t>
      </w:r>
      <w:r w:rsidR="002E08A9">
        <w:rPr>
          <w:rFonts w:ascii="Times New Roman" w:hAnsi="Times New Roman" w:cs="Times New Roman"/>
          <w:sz w:val="24"/>
          <w:szCs w:val="24"/>
          <w:lang w:val="lt-LT"/>
        </w:rPr>
        <w:t xml:space="preserve"> </w:t>
      </w:r>
      <w:r w:rsidRPr="0017614D">
        <w:rPr>
          <w:rFonts w:ascii="Times New Roman" w:hAnsi="Times New Roman" w:cs="Times New Roman"/>
          <w:sz w:val="24"/>
          <w:szCs w:val="24"/>
          <w:lang w:val="lt-LT"/>
        </w:rPr>
        <w:t xml:space="preserve">Tiek dideliuose miestuose, tiek mažesniuose miesteliuose bankrotų pasekmė yra padidėjęs nedarbas, kas ne tik </w:t>
      </w:r>
      <w:r w:rsidRPr="0017614D">
        <w:rPr>
          <w:rFonts w:ascii="Times New Roman" w:hAnsi="Times New Roman" w:cs="Times New Roman"/>
          <w:sz w:val="24"/>
          <w:szCs w:val="24"/>
          <w:lang w:val="lt-LT"/>
        </w:rPr>
        <w:lastRenderedPageBreak/>
        <w:t>turi įtakos žmonių pajamoms, bet ir jų perkamajai galiai, kurios sumažėjimas gali sulėtinti visą šalies ekonomiką.</w:t>
      </w:r>
    </w:p>
    <w:p w:rsidR="00E55ADE" w:rsidRPr="0017614D" w:rsidRDefault="00E55ADE" w:rsidP="00D36717">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Bankrutuojančios įmonės taip pat gali paveikti visą ekonomiką ir kitu aspektu – daug panašia veik</w:t>
      </w:r>
      <w:r w:rsidR="001A47AF">
        <w:rPr>
          <w:rFonts w:ascii="Times New Roman" w:hAnsi="Times New Roman" w:cs="Times New Roman"/>
          <w:sz w:val="24"/>
          <w:szCs w:val="24"/>
          <w:lang w:val="lt-LT"/>
        </w:rPr>
        <w:t xml:space="preserve">la užsiimančių įmonių bankrotų </w:t>
      </w:r>
      <w:r w:rsidRPr="0017614D">
        <w:rPr>
          <w:rFonts w:ascii="Times New Roman" w:hAnsi="Times New Roman" w:cs="Times New Roman"/>
          <w:sz w:val="24"/>
          <w:szCs w:val="24"/>
          <w:lang w:val="lt-LT"/>
        </w:rPr>
        <w:t xml:space="preserve">gali nulemti šakos vystymosi sulėtėjimą, todėl bankroto </w:t>
      </w:r>
      <w:r w:rsidR="00C43C31" w:rsidRPr="0017614D">
        <w:rPr>
          <w:rFonts w:ascii="Times New Roman" w:hAnsi="Times New Roman" w:cs="Times New Roman"/>
          <w:sz w:val="24"/>
          <w:szCs w:val="24"/>
          <w:lang w:val="lt-LT"/>
        </w:rPr>
        <w:t>statistikos</w:t>
      </w:r>
      <w:r w:rsidRPr="0017614D">
        <w:rPr>
          <w:rFonts w:ascii="Times New Roman" w:hAnsi="Times New Roman" w:cs="Times New Roman"/>
          <w:sz w:val="24"/>
          <w:szCs w:val="24"/>
          <w:lang w:val="lt-LT"/>
        </w:rPr>
        <w:t xml:space="preserve"> įvertinimas taip pat turi didelę praktinę reikšmę, kai jis atliekamas ne šalies mastu, bet pagal ekonominės veiklas</w:t>
      </w:r>
      <w:r w:rsidR="00D36717" w:rsidRPr="0017614D">
        <w:rPr>
          <w:rFonts w:ascii="Times New Roman" w:hAnsi="Times New Roman" w:cs="Times New Roman"/>
          <w:sz w:val="24"/>
          <w:szCs w:val="24"/>
          <w:lang w:val="lt-LT"/>
        </w:rPr>
        <w:t xml:space="preserve"> (žr. 5</w:t>
      </w:r>
      <w:r w:rsidR="008D07FA" w:rsidRPr="0017614D">
        <w:rPr>
          <w:rFonts w:ascii="Times New Roman" w:hAnsi="Times New Roman" w:cs="Times New Roman"/>
          <w:sz w:val="24"/>
          <w:szCs w:val="24"/>
          <w:lang w:val="lt-LT"/>
        </w:rPr>
        <w:t xml:space="preserve"> pav.)</w:t>
      </w:r>
      <w:r w:rsidRPr="0017614D">
        <w:rPr>
          <w:rFonts w:ascii="Times New Roman" w:hAnsi="Times New Roman" w:cs="Times New Roman"/>
          <w:sz w:val="24"/>
          <w:szCs w:val="24"/>
          <w:lang w:val="lt-LT"/>
        </w:rPr>
        <w:t>.</w:t>
      </w:r>
    </w:p>
    <w:p w:rsidR="008241E2" w:rsidRPr="0017614D" w:rsidRDefault="008241E2" w:rsidP="00D36717">
      <w:pPr>
        <w:spacing w:after="0" w:line="360" w:lineRule="auto"/>
        <w:ind w:firstLine="539"/>
        <w:contextualSpacing/>
        <w:jc w:val="both"/>
        <w:rPr>
          <w:rFonts w:ascii="Times New Roman" w:eastAsia="Times New Roman" w:hAnsi="Times New Roman" w:cs="Times New Roman"/>
          <w:sz w:val="24"/>
          <w:szCs w:val="24"/>
          <w:lang w:val="lt-LT"/>
        </w:rPr>
      </w:pPr>
    </w:p>
    <w:p w:rsidR="00E55ADE" w:rsidRPr="0017614D" w:rsidRDefault="007A7C39" w:rsidP="007A7C39">
      <w:pPr>
        <w:spacing w:after="0" w:line="360" w:lineRule="auto"/>
        <w:ind w:firstLine="539"/>
        <w:contextualSpacing/>
        <w:jc w:val="both"/>
        <w:rPr>
          <w:rFonts w:ascii="Times New Roman" w:eastAsia="Times New Roman" w:hAnsi="Times New Roman" w:cs="Times New Roman"/>
          <w:sz w:val="24"/>
          <w:szCs w:val="24"/>
          <w:lang w:val="lt-LT"/>
        </w:rPr>
      </w:pPr>
      <w:r w:rsidRPr="0017614D">
        <w:rPr>
          <w:rFonts w:ascii="Times New Roman" w:eastAsia="Times New Roman" w:hAnsi="Times New Roman" w:cs="Times New Roman"/>
          <w:noProof/>
          <w:sz w:val="24"/>
          <w:szCs w:val="24"/>
        </w:rPr>
        <w:drawing>
          <wp:inline distT="0" distB="0" distL="0" distR="0">
            <wp:extent cx="5829300" cy="3381375"/>
            <wp:effectExtent l="19050" t="0" r="19050" b="0"/>
            <wp:docPr id="1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55ADE" w:rsidRPr="005D3FF6" w:rsidRDefault="00E55ADE" w:rsidP="00D36717">
      <w:pPr>
        <w:spacing w:after="0"/>
        <w:ind w:left="539"/>
        <w:contextualSpacing/>
        <w:rPr>
          <w:rFonts w:ascii="Times New Roman" w:hAnsi="Times New Roman" w:cs="Times New Roman"/>
          <w:sz w:val="20"/>
          <w:szCs w:val="20"/>
          <w:lang w:val="lt-LT"/>
        </w:rPr>
      </w:pPr>
      <w:r w:rsidRPr="005D3FF6">
        <w:rPr>
          <w:rFonts w:ascii="Times New Roman" w:hAnsi="Times New Roman" w:cs="Times New Roman"/>
          <w:b/>
          <w:sz w:val="20"/>
          <w:szCs w:val="20"/>
          <w:lang w:val="lt-LT"/>
        </w:rPr>
        <w:t>Šaltinis:</w:t>
      </w:r>
      <w:r w:rsidRPr="005D3FF6">
        <w:rPr>
          <w:rFonts w:ascii="Times New Roman" w:hAnsi="Times New Roman" w:cs="Times New Roman"/>
          <w:sz w:val="20"/>
          <w:szCs w:val="20"/>
          <w:lang w:val="lt-LT"/>
        </w:rPr>
        <w:t xml:space="preserve"> </w:t>
      </w:r>
      <w:r w:rsidR="002E08A9" w:rsidRPr="005D3FF6">
        <w:rPr>
          <w:rFonts w:ascii="Times New Roman" w:hAnsi="Times New Roman" w:cs="Times New Roman"/>
          <w:sz w:val="20"/>
          <w:szCs w:val="20"/>
          <w:lang w:val="lt-LT"/>
        </w:rPr>
        <w:t>Įmonių bankroto valdymo departamentas, 2012</w:t>
      </w:r>
      <w:r w:rsidR="009B65EE" w:rsidRPr="005D3FF6">
        <w:rPr>
          <w:rFonts w:ascii="Times New Roman" w:hAnsi="Times New Roman" w:cs="Times New Roman"/>
          <w:sz w:val="20"/>
          <w:szCs w:val="20"/>
          <w:lang w:val="lt-LT"/>
        </w:rPr>
        <w:t>.</w:t>
      </w:r>
    </w:p>
    <w:p w:rsidR="002B57E2" w:rsidRPr="0017614D" w:rsidRDefault="002B57E2" w:rsidP="002B57E2">
      <w:pPr>
        <w:spacing w:after="0"/>
        <w:ind w:left="539"/>
        <w:contextualSpacing/>
        <w:jc w:val="center"/>
        <w:rPr>
          <w:rFonts w:ascii="Times New Roman" w:hAnsi="Times New Roman" w:cs="Times New Roman"/>
          <w:lang w:val="lt-LT"/>
        </w:rPr>
      </w:pPr>
      <w:r w:rsidRPr="0017614D">
        <w:rPr>
          <w:rFonts w:ascii="Times New Roman" w:hAnsi="Times New Roman" w:cs="Times New Roman"/>
          <w:lang w:val="lt-LT"/>
        </w:rPr>
        <w:t>5 pav.</w:t>
      </w:r>
      <w:r w:rsidRPr="0017614D">
        <w:rPr>
          <w:rFonts w:ascii="Times New Roman" w:hAnsi="Times New Roman" w:cs="Times New Roman"/>
          <w:b/>
          <w:lang w:val="lt-LT"/>
        </w:rPr>
        <w:t xml:space="preserve"> Pradėtų bankroto procesų skaičius pagal ekonominės veiklos rūšis Lietuvoje</w:t>
      </w:r>
    </w:p>
    <w:p w:rsidR="00E809CD" w:rsidRPr="0017614D" w:rsidRDefault="00E809CD" w:rsidP="00D36717">
      <w:pPr>
        <w:spacing w:after="0"/>
        <w:ind w:left="539"/>
        <w:contextualSpacing/>
        <w:rPr>
          <w:rFonts w:ascii="Times New Roman" w:hAnsi="Times New Roman" w:cs="Times New Roman"/>
          <w:color w:val="FF0000"/>
          <w:lang w:val="lt-LT"/>
        </w:rPr>
      </w:pPr>
    </w:p>
    <w:p w:rsidR="00282851" w:rsidRPr="0017614D" w:rsidRDefault="00282851" w:rsidP="00D36717">
      <w:pPr>
        <w:spacing w:after="0" w:line="360" w:lineRule="auto"/>
        <w:ind w:firstLine="539"/>
        <w:contextualSpacing/>
        <w:jc w:val="both"/>
        <w:rPr>
          <w:rFonts w:ascii="Times New Roman" w:eastAsia="Times New Roman" w:hAnsi="Times New Roman" w:cs="Times New Roman"/>
          <w:sz w:val="24"/>
          <w:szCs w:val="24"/>
          <w:lang w:val="lt-LT"/>
        </w:rPr>
      </w:pPr>
      <w:r w:rsidRPr="0017614D">
        <w:rPr>
          <w:rFonts w:ascii="Times New Roman" w:eastAsia="Times New Roman" w:hAnsi="Times New Roman" w:cs="Times New Roman"/>
          <w:sz w:val="24"/>
          <w:szCs w:val="24"/>
          <w:lang w:val="lt-LT"/>
        </w:rPr>
        <w:t>2012 m. Daugiausia bankroto procesų pradėta įmonėms, užsiimančioms didmenine ir mažmenine prekyba - 27,1 proc., statyba - 18,9 proc., apdirbamąja gamyba - 12,2 proc., administracine ir aptarnavimo veikla - 9,9 proc., transporto ir saugojimo - 8,2</w:t>
      </w:r>
      <w:r w:rsidR="002E08A9">
        <w:rPr>
          <w:rFonts w:ascii="Times New Roman" w:eastAsia="Times New Roman" w:hAnsi="Times New Roman" w:cs="Times New Roman"/>
          <w:sz w:val="24"/>
          <w:szCs w:val="24"/>
          <w:lang w:val="lt-LT"/>
        </w:rPr>
        <w:t xml:space="preserve"> </w:t>
      </w:r>
      <w:r w:rsidRPr="0017614D">
        <w:rPr>
          <w:rFonts w:ascii="Times New Roman" w:eastAsia="Times New Roman" w:hAnsi="Times New Roman" w:cs="Times New Roman"/>
          <w:sz w:val="24"/>
          <w:szCs w:val="24"/>
          <w:lang w:val="lt-LT"/>
        </w:rPr>
        <w:t>proc. bei apgyvendinimo ir maitinimo paslaugų veikla - 6,6 proc</w:t>
      </w:r>
      <w:r w:rsidRPr="002E08A9">
        <w:rPr>
          <w:rFonts w:ascii="Times New Roman" w:eastAsia="Times New Roman" w:hAnsi="Times New Roman" w:cs="Times New Roman"/>
          <w:sz w:val="24"/>
          <w:szCs w:val="24"/>
          <w:lang w:val="lt-LT"/>
        </w:rPr>
        <w:t xml:space="preserve">. </w:t>
      </w:r>
      <w:r w:rsidRPr="002E08A9">
        <w:rPr>
          <w:rFonts w:ascii="Times New Roman" w:hAnsi="Times New Roman" w:cs="Times New Roman"/>
          <w:sz w:val="24"/>
          <w:szCs w:val="24"/>
          <w:lang w:val="lt-LT"/>
        </w:rPr>
        <w:t>(</w:t>
      </w:r>
      <w:r w:rsidR="002E08A9" w:rsidRPr="002E08A9">
        <w:rPr>
          <w:rFonts w:ascii="Times New Roman" w:hAnsi="Times New Roman" w:cs="Times New Roman"/>
          <w:sz w:val="24"/>
          <w:szCs w:val="24"/>
          <w:lang w:val="lt-LT"/>
        </w:rPr>
        <w:t>Įmonių bankroto valdymo departamentas, 2012</w:t>
      </w:r>
      <w:r w:rsidRPr="002E08A9">
        <w:rPr>
          <w:rFonts w:ascii="Times New Roman" w:hAnsi="Times New Roman" w:cs="Times New Roman"/>
          <w:sz w:val="24"/>
          <w:szCs w:val="24"/>
          <w:lang w:val="lt-LT"/>
        </w:rPr>
        <w:t>)</w:t>
      </w:r>
      <w:r w:rsidRPr="002E08A9">
        <w:rPr>
          <w:rFonts w:ascii="Times New Roman" w:eastAsia="Times New Roman" w:hAnsi="Times New Roman" w:cs="Times New Roman"/>
          <w:sz w:val="24"/>
          <w:szCs w:val="24"/>
          <w:lang w:val="lt-LT"/>
        </w:rPr>
        <w:t>.</w:t>
      </w:r>
      <w:r w:rsidRPr="0017614D">
        <w:rPr>
          <w:rFonts w:ascii="Times New Roman" w:eastAsia="Times New Roman" w:hAnsi="Times New Roman" w:cs="Times New Roman"/>
          <w:sz w:val="24"/>
          <w:szCs w:val="24"/>
          <w:lang w:val="lt-LT"/>
        </w:rPr>
        <w:t xml:space="preserve"> Šie skaičiai parodo, kad didžiausias nepastovumas ir bankroto rizika visgi egzistuoja paslaugų sekt</w:t>
      </w:r>
      <w:r w:rsidR="001A47AF">
        <w:rPr>
          <w:rFonts w:ascii="Times New Roman" w:eastAsia="Times New Roman" w:hAnsi="Times New Roman" w:cs="Times New Roman"/>
          <w:sz w:val="24"/>
          <w:szCs w:val="24"/>
          <w:lang w:val="lt-LT"/>
        </w:rPr>
        <w:t>oriuje, kas gali nulemti mažesnį</w:t>
      </w:r>
      <w:r w:rsidRPr="0017614D">
        <w:rPr>
          <w:rFonts w:ascii="Times New Roman" w:eastAsia="Times New Roman" w:hAnsi="Times New Roman" w:cs="Times New Roman"/>
          <w:sz w:val="24"/>
          <w:szCs w:val="24"/>
          <w:lang w:val="lt-LT"/>
        </w:rPr>
        <w:t xml:space="preserve"> paslaugų sektoriaus išsivystymą negu kitose Europos šalyse.</w:t>
      </w:r>
    </w:p>
    <w:p w:rsidR="00CD3C3F" w:rsidRPr="0017614D" w:rsidRDefault="00CD3C3F" w:rsidP="00E55ADE">
      <w:pPr>
        <w:spacing w:line="360" w:lineRule="auto"/>
        <w:ind w:firstLine="539"/>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Dar viena svarbi priežastis, kodėl verta daryti viską siekiant išvengti bankroto yra tai, kad labai dažnai bankrutavus įmonei nėra patenkinami kreditoriniai reikalavimai. Tai neigiamai veikia ne tik kreditorių finansinę būklę, bet ir visą ekonomiką.</w:t>
      </w:r>
    </w:p>
    <w:p w:rsidR="001D76F8" w:rsidRPr="002E08A9" w:rsidRDefault="001D76F8" w:rsidP="001D76F8">
      <w:pPr>
        <w:spacing w:line="360" w:lineRule="auto"/>
        <w:ind w:firstLine="539"/>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lastRenderedPageBreak/>
        <w:t>Lietuvos Įmonių bankroto valdymo departamentas savo parengtoje įmonių bankroto ir restruktūrizavimo procesų 2012 metų apžvalgoje pateikia statistiką, parodančią įmonių turto ir kreditorinių reikalavimų santykį</w:t>
      </w:r>
      <w:r w:rsidR="00D36717" w:rsidRPr="0017614D">
        <w:rPr>
          <w:rFonts w:ascii="Times New Roman" w:hAnsi="Times New Roman" w:cs="Times New Roman"/>
          <w:sz w:val="24"/>
          <w:szCs w:val="24"/>
          <w:lang w:val="lt-LT"/>
        </w:rPr>
        <w:t xml:space="preserve"> (žr. 6 pav.)</w:t>
      </w:r>
      <w:r w:rsidRPr="0017614D">
        <w:rPr>
          <w:rFonts w:ascii="Times New Roman" w:hAnsi="Times New Roman" w:cs="Times New Roman"/>
          <w:sz w:val="24"/>
          <w:szCs w:val="24"/>
          <w:lang w:val="lt-LT"/>
        </w:rPr>
        <w:t xml:space="preserve">. </w:t>
      </w:r>
      <w:r w:rsidRPr="0017614D">
        <w:rPr>
          <w:rFonts w:ascii="Times New Roman" w:eastAsia="Times New Roman" w:hAnsi="Times New Roman" w:cs="Times New Roman"/>
          <w:sz w:val="24"/>
          <w:szCs w:val="24"/>
          <w:lang w:val="lt-LT"/>
        </w:rPr>
        <w:t>Visų 1993 – 2012 m. bankrutuojančių ir bankrutavusių 12983 įmonių turto vertė bankr</w:t>
      </w:r>
      <w:r w:rsidR="00D36717" w:rsidRPr="0017614D">
        <w:rPr>
          <w:rFonts w:ascii="Times New Roman" w:eastAsia="Times New Roman" w:hAnsi="Times New Roman" w:cs="Times New Roman"/>
          <w:sz w:val="24"/>
          <w:szCs w:val="24"/>
          <w:lang w:val="lt-LT"/>
        </w:rPr>
        <w:t>oto proceso pradžioje sudarė 17</w:t>
      </w:r>
      <w:r w:rsidRPr="0017614D">
        <w:rPr>
          <w:rFonts w:ascii="Times New Roman" w:eastAsia="Times New Roman" w:hAnsi="Times New Roman" w:cs="Times New Roman"/>
          <w:sz w:val="24"/>
          <w:szCs w:val="24"/>
          <w:lang w:val="lt-LT"/>
        </w:rPr>
        <w:t>313,83 mln. Lt, arba 66,5 proc. nuo bankroto proceso pradžios  patvirtintų k</w:t>
      </w:r>
      <w:r w:rsidR="00D36717" w:rsidRPr="0017614D">
        <w:rPr>
          <w:rFonts w:ascii="Times New Roman" w:eastAsia="Times New Roman" w:hAnsi="Times New Roman" w:cs="Times New Roman"/>
          <w:sz w:val="24"/>
          <w:szCs w:val="24"/>
          <w:lang w:val="lt-LT"/>
        </w:rPr>
        <w:t>reditorių reikalavimų sumos (26</w:t>
      </w:r>
      <w:r w:rsidRPr="0017614D">
        <w:rPr>
          <w:rFonts w:ascii="Times New Roman" w:eastAsia="Times New Roman" w:hAnsi="Times New Roman" w:cs="Times New Roman"/>
          <w:sz w:val="24"/>
          <w:szCs w:val="24"/>
          <w:lang w:val="lt-LT"/>
        </w:rPr>
        <w:t>015,99</w:t>
      </w:r>
      <w:r w:rsidR="00D36717" w:rsidRPr="0017614D">
        <w:rPr>
          <w:rFonts w:ascii="Times New Roman" w:eastAsia="Times New Roman" w:hAnsi="Times New Roman" w:cs="Times New Roman"/>
          <w:sz w:val="24"/>
          <w:szCs w:val="24"/>
          <w:lang w:val="lt-LT"/>
        </w:rPr>
        <w:t xml:space="preserve"> </w:t>
      </w:r>
      <w:r w:rsidRPr="0017614D">
        <w:rPr>
          <w:rFonts w:ascii="Times New Roman" w:eastAsia="Times New Roman" w:hAnsi="Times New Roman" w:cs="Times New Roman"/>
          <w:sz w:val="24"/>
          <w:szCs w:val="24"/>
          <w:lang w:val="lt-LT"/>
        </w:rPr>
        <w:t>mln. Lt). Tai reiškia, kad įmonių skolos  kreditoriams apie 1,5 karto viršijo balansuose nurodytą turtą.</w:t>
      </w:r>
      <w:r w:rsidRPr="0017614D">
        <w:rPr>
          <w:rFonts w:ascii="Times New Roman" w:hAnsi="Times New Roman" w:cs="Times New Roman"/>
          <w:sz w:val="24"/>
          <w:szCs w:val="24"/>
          <w:lang w:val="lt-LT"/>
        </w:rPr>
        <w:t xml:space="preserve"> </w:t>
      </w:r>
      <w:r w:rsidRPr="0017614D">
        <w:rPr>
          <w:rFonts w:ascii="Times New Roman" w:eastAsia="Times New Roman" w:hAnsi="Times New Roman" w:cs="Times New Roman"/>
          <w:sz w:val="24"/>
          <w:szCs w:val="24"/>
          <w:lang w:val="lt-LT"/>
        </w:rPr>
        <w:t>2012 m. bankrutuojančių ir bankrutavusių įmonių kreditorių reikalavimų ir turto santykis siekė 1,1, o 2011 m. – 1,</w:t>
      </w:r>
      <w:r w:rsidRPr="002E08A9">
        <w:rPr>
          <w:rFonts w:ascii="Times New Roman" w:eastAsia="Times New Roman" w:hAnsi="Times New Roman" w:cs="Times New Roman"/>
          <w:sz w:val="24"/>
          <w:szCs w:val="24"/>
          <w:lang w:val="lt-LT"/>
        </w:rPr>
        <w:t xml:space="preserve">4 </w:t>
      </w:r>
      <w:r w:rsidRPr="002E08A9">
        <w:rPr>
          <w:rFonts w:ascii="Times New Roman" w:hAnsi="Times New Roman" w:cs="Times New Roman"/>
          <w:sz w:val="24"/>
          <w:szCs w:val="24"/>
          <w:lang w:val="lt-LT"/>
        </w:rPr>
        <w:t>(</w:t>
      </w:r>
      <w:r w:rsidR="002E08A9" w:rsidRPr="002E08A9">
        <w:rPr>
          <w:rFonts w:ascii="Times New Roman" w:hAnsi="Times New Roman" w:cs="Times New Roman"/>
          <w:sz w:val="24"/>
          <w:szCs w:val="24"/>
          <w:lang w:val="lt-LT"/>
        </w:rPr>
        <w:t>Įmonių bankroto valdymo departamentas, 2012</w:t>
      </w:r>
      <w:r w:rsidRPr="002E08A9">
        <w:rPr>
          <w:rFonts w:ascii="Times New Roman" w:hAnsi="Times New Roman" w:cs="Times New Roman"/>
          <w:sz w:val="24"/>
          <w:szCs w:val="24"/>
          <w:lang w:val="lt-LT"/>
        </w:rPr>
        <w:t>).</w:t>
      </w:r>
    </w:p>
    <w:p w:rsidR="00EC7DE5" w:rsidRPr="0017614D" w:rsidRDefault="00EC7DE5" w:rsidP="001D76F8">
      <w:pPr>
        <w:spacing w:line="360" w:lineRule="auto"/>
        <w:ind w:firstLine="539"/>
        <w:contextualSpacing/>
        <w:jc w:val="both"/>
        <w:rPr>
          <w:rFonts w:ascii="Times New Roman" w:hAnsi="Times New Roman" w:cs="Times New Roman"/>
          <w:sz w:val="24"/>
          <w:szCs w:val="24"/>
          <w:lang w:val="lt-LT"/>
        </w:rPr>
      </w:pPr>
    </w:p>
    <w:p w:rsidR="001D76F8" w:rsidRPr="0017614D" w:rsidRDefault="00EC7DE5" w:rsidP="00E809CD">
      <w:pPr>
        <w:spacing w:line="360" w:lineRule="auto"/>
        <w:ind w:firstLine="539"/>
        <w:contextualSpacing/>
        <w:rPr>
          <w:rFonts w:ascii="Times New Roman" w:hAnsi="Times New Roman" w:cs="Times New Roman"/>
          <w:sz w:val="24"/>
          <w:szCs w:val="24"/>
          <w:lang w:val="lt-LT"/>
        </w:rPr>
      </w:pPr>
      <w:r w:rsidRPr="0017614D">
        <w:rPr>
          <w:rFonts w:ascii="Times New Roman" w:hAnsi="Times New Roman" w:cs="Times New Roman"/>
          <w:noProof/>
          <w:sz w:val="24"/>
          <w:szCs w:val="24"/>
        </w:rPr>
        <w:drawing>
          <wp:inline distT="0" distB="0" distL="0" distR="0">
            <wp:extent cx="5800725" cy="2876550"/>
            <wp:effectExtent l="19050" t="0" r="9525" b="0"/>
            <wp:docPr id="15"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D76F8" w:rsidRPr="005D3FF6" w:rsidRDefault="001D76F8" w:rsidP="00E809CD">
      <w:pPr>
        <w:spacing w:after="0"/>
        <w:ind w:left="539"/>
        <w:contextualSpacing/>
        <w:rPr>
          <w:rFonts w:ascii="Times New Roman" w:hAnsi="Times New Roman" w:cs="Times New Roman"/>
          <w:color w:val="FF0000"/>
          <w:sz w:val="20"/>
          <w:szCs w:val="20"/>
          <w:lang w:val="lt-LT"/>
        </w:rPr>
      </w:pPr>
      <w:r w:rsidRPr="005D3FF6">
        <w:rPr>
          <w:rFonts w:ascii="Times New Roman" w:hAnsi="Times New Roman" w:cs="Times New Roman"/>
          <w:b/>
          <w:sz w:val="20"/>
          <w:szCs w:val="20"/>
          <w:lang w:val="lt-LT"/>
        </w:rPr>
        <w:t>Šaltinis:</w:t>
      </w:r>
      <w:r w:rsidRPr="005D3FF6">
        <w:rPr>
          <w:rFonts w:ascii="Times New Roman" w:hAnsi="Times New Roman" w:cs="Times New Roman"/>
          <w:sz w:val="20"/>
          <w:szCs w:val="20"/>
          <w:lang w:val="lt-LT"/>
        </w:rPr>
        <w:t xml:space="preserve"> </w:t>
      </w:r>
      <w:r w:rsidR="002E08A9" w:rsidRPr="005D3FF6">
        <w:rPr>
          <w:rFonts w:ascii="Times New Roman" w:hAnsi="Times New Roman" w:cs="Times New Roman"/>
          <w:sz w:val="20"/>
          <w:szCs w:val="20"/>
          <w:lang w:val="lt-LT"/>
        </w:rPr>
        <w:t>Įmonių bankroto valdymo departamentas, 2012</w:t>
      </w:r>
      <w:r w:rsidR="009B65EE" w:rsidRPr="005D3FF6">
        <w:rPr>
          <w:rFonts w:ascii="Times New Roman" w:hAnsi="Times New Roman" w:cs="Times New Roman"/>
          <w:sz w:val="20"/>
          <w:szCs w:val="20"/>
          <w:lang w:val="lt-LT"/>
        </w:rPr>
        <w:t>.</w:t>
      </w:r>
    </w:p>
    <w:p w:rsidR="002B57E2" w:rsidRPr="0017614D" w:rsidRDefault="002B57E2" w:rsidP="002B57E2">
      <w:pPr>
        <w:spacing w:after="0"/>
        <w:ind w:left="539"/>
        <w:contextualSpacing/>
        <w:jc w:val="center"/>
        <w:rPr>
          <w:rFonts w:ascii="Times New Roman" w:hAnsi="Times New Roman" w:cs="Times New Roman"/>
          <w:lang w:val="lt-LT"/>
        </w:rPr>
      </w:pPr>
      <w:r w:rsidRPr="0017614D">
        <w:rPr>
          <w:rFonts w:ascii="Times New Roman" w:hAnsi="Times New Roman" w:cs="Times New Roman"/>
          <w:lang w:val="lt-LT"/>
        </w:rPr>
        <w:t>6 pav.</w:t>
      </w:r>
      <w:r w:rsidRPr="0017614D">
        <w:rPr>
          <w:rFonts w:ascii="Times New Roman" w:hAnsi="Times New Roman" w:cs="Times New Roman"/>
          <w:b/>
          <w:lang w:val="lt-LT"/>
        </w:rPr>
        <w:t xml:space="preserve"> Lietuvoje bankrutuojančių bei bankrutavusių įmonių turtas bei kreditiniai reikalavimai 2001-2012 m.</w:t>
      </w:r>
    </w:p>
    <w:p w:rsidR="001D76F8" w:rsidRPr="0017614D" w:rsidRDefault="001D76F8" w:rsidP="00E809CD">
      <w:pPr>
        <w:spacing w:after="0"/>
        <w:ind w:firstLine="539"/>
        <w:contextualSpacing/>
        <w:rPr>
          <w:rFonts w:ascii="Times New Roman" w:hAnsi="Times New Roman" w:cs="Times New Roman"/>
          <w:lang w:val="lt-LT"/>
        </w:rPr>
      </w:pPr>
    </w:p>
    <w:p w:rsidR="0034722D" w:rsidRPr="0017614D" w:rsidRDefault="002F4547" w:rsidP="0034722D">
      <w:pPr>
        <w:spacing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Iš </w:t>
      </w:r>
      <w:r w:rsidR="00D36717" w:rsidRPr="0017614D">
        <w:rPr>
          <w:rFonts w:ascii="Times New Roman" w:hAnsi="Times New Roman" w:cs="Times New Roman"/>
          <w:sz w:val="24"/>
          <w:szCs w:val="24"/>
          <w:lang w:val="lt-LT"/>
        </w:rPr>
        <w:t>6</w:t>
      </w:r>
      <w:r w:rsidRPr="0017614D">
        <w:rPr>
          <w:rFonts w:ascii="Times New Roman" w:hAnsi="Times New Roman" w:cs="Times New Roman"/>
          <w:sz w:val="24"/>
          <w:szCs w:val="24"/>
          <w:lang w:val="lt-LT"/>
        </w:rPr>
        <w:t xml:space="preserve"> paveikslo </w:t>
      </w:r>
      <w:r w:rsidR="00282851" w:rsidRPr="0017614D">
        <w:rPr>
          <w:rFonts w:ascii="Times New Roman" w:hAnsi="Times New Roman" w:cs="Times New Roman"/>
          <w:sz w:val="24"/>
          <w:szCs w:val="24"/>
          <w:lang w:val="lt-LT"/>
        </w:rPr>
        <w:t xml:space="preserve">duomenų </w:t>
      </w:r>
      <w:r w:rsidRPr="0017614D">
        <w:rPr>
          <w:rFonts w:ascii="Times New Roman" w:hAnsi="Times New Roman" w:cs="Times New Roman"/>
          <w:sz w:val="24"/>
          <w:szCs w:val="24"/>
          <w:lang w:val="lt-LT"/>
        </w:rPr>
        <w:t xml:space="preserve">matome, kad beveik nei vienais metais </w:t>
      </w:r>
      <w:r w:rsidR="0034722D" w:rsidRPr="0017614D">
        <w:rPr>
          <w:rFonts w:ascii="Times New Roman" w:hAnsi="Times New Roman" w:cs="Times New Roman"/>
          <w:sz w:val="24"/>
          <w:szCs w:val="24"/>
          <w:lang w:val="lt-LT"/>
        </w:rPr>
        <w:t xml:space="preserve">bankrutuojančios įmonės negalėtų padengti įsipareigojimų savo turtu. </w:t>
      </w:r>
      <w:r w:rsidR="00282851" w:rsidRPr="0017614D">
        <w:rPr>
          <w:rFonts w:ascii="Times New Roman" w:hAnsi="Times New Roman" w:cs="Times New Roman"/>
          <w:sz w:val="24"/>
          <w:szCs w:val="24"/>
          <w:lang w:val="lt-LT"/>
        </w:rPr>
        <w:t>Per visą</w:t>
      </w:r>
      <w:r w:rsidRPr="0017614D">
        <w:rPr>
          <w:rFonts w:ascii="Times New Roman" w:hAnsi="Times New Roman" w:cs="Times New Roman"/>
          <w:sz w:val="24"/>
          <w:szCs w:val="24"/>
          <w:lang w:val="lt-LT"/>
        </w:rPr>
        <w:t xml:space="preserve"> nagrinėjamą laikotarpį geresnė situacija buvo pastebėta t</w:t>
      </w:r>
      <w:r w:rsidR="00282851" w:rsidRPr="0017614D">
        <w:rPr>
          <w:rFonts w:ascii="Times New Roman" w:hAnsi="Times New Roman" w:cs="Times New Roman"/>
          <w:sz w:val="24"/>
          <w:szCs w:val="24"/>
          <w:lang w:val="lt-LT"/>
        </w:rPr>
        <w:t>ik 2006 ir 2012 metais kai skolų</w:t>
      </w:r>
      <w:r w:rsidRPr="0017614D">
        <w:rPr>
          <w:rFonts w:ascii="Times New Roman" w:hAnsi="Times New Roman" w:cs="Times New Roman"/>
          <w:sz w:val="24"/>
          <w:szCs w:val="24"/>
          <w:lang w:val="lt-LT"/>
        </w:rPr>
        <w:t xml:space="preserve"> ir turto santykis svyravo tarp 1 ir 1,1. Dėl negrąžintų skolų tiekėjams, partneriams bei bankams</w:t>
      </w:r>
      <w:r w:rsidR="0034722D" w:rsidRPr="0017614D">
        <w:rPr>
          <w:rFonts w:ascii="Times New Roman" w:hAnsi="Times New Roman" w:cs="Times New Roman"/>
          <w:sz w:val="24"/>
          <w:szCs w:val="24"/>
          <w:lang w:val="lt-LT"/>
        </w:rPr>
        <w:t xml:space="preserve"> nukentėtų ne tik </w:t>
      </w:r>
      <w:r w:rsidRPr="0017614D">
        <w:rPr>
          <w:rFonts w:ascii="Times New Roman" w:hAnsi="Times New Roman" w:cs="Times New Roman"/>
          <w:sz w:val="24"/>
          <w:szCs w:val="24"/>
          <w:lang w:val="lt-LT"/>
        </w:rPr>
        <w:t xml:space="preserve">patys </w:t>
      </w:r>
      <w:r w:rsidR="0034722D" w:rsidRPr="0017614D">
        <w:rPr>
          <w:rFonts w:ascii="Times New Roman" w:hAnsi="Times New Roman" w:cs="Times New Roman"/>
          <w:sz w:val="24"/>
          <w:szCs w:val="24"/>
          <w:lang w:val="lt-LT"/>
        </w:rPr>
        <w:t>kreditoriai, bet</w:t>
      </w:r>
      <w:r w:rsidRPr="0017614D">
        <w:rPr>
          <w:rFonts w:ascii="Times New Roman" w:hAnsi="Times New Roman" w:cs="Times New Roman"/>
          <w:sz w:val="24"/>
          <w:szCs w:val="24"/>
          <w:lang w:val="lt-LT"/>
        </w:rPr>
        <w:t xml:space="preserve">  tuo pačiu</w:t>
      </w:r>
      <w:r w:rsidR="0034722D" w:rsidRPr="0017614D">
        <w:rPr>
          <w:rFonts w:ascii="Times New Roman" w:hAnsi="Times New Roman" w:cs="Times New Roman"/>
          <w:sz w:val="24"/>
          <w:szCs w:val="24"/>
          <w:lang w:val="lt-LT"/>
        </w:rPr>
        <w:t xml:space="preserve"> ir įmonės darbuotojai, kurie rizikuoja ne</w:t>
      </w:r>
      <w:r w:rsidRPr="0017614D">
        <w:rPr>
          <w:rFonts w:ascii="Times New Roman" w:hAnsi="Times New Roman" w:cs="Times New Roman"/>
          <w:sz w:val="24"/>
          <w:szCs w:val="24"/>
          <w:lang w:val="lt-LT"/>
        </w:rPr>
        <w:t>at</w:t>
      </w:r>
      <w:r w:rsidR="0034722D" w:rsidRPr="0017614D">
        <w:rPr>
          <w:rFonts w:ascii="Times New Roman" w:hAnsi="Times New Roman" w:cs="Times New Roman"/>
          <w:sz w:val="24"/>
          <w:szCs w:val="24"/>
          <w:lang w:val="lt-LT"/>
        </w:rPr>
        <w:t>gauti atlygio už savo darbą, kas yra ne mažiau svarbu.</w:t>
      </w:r>
    </w:p>
    <w:p w:rsidR="00297207" w:rsidRPr="0017614D" w:rsidRDefault="00282851" w:rsidP="00297207">
      <w:pPr>
        <w:spacing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Išnagrinėti statistiniai duomenys</w:t>
      </w:r>
      <w:r w:rsidR="002F4547" w:rsidRPr="0017614D">
        <w:rPr>
          <w:rFonts w:ascii="Times New Roman" w:hAnsi="Times New Roman" w:cs="Times New Roman"/>
          <w:sz w:val="24"/>
          <w:szCs w:val="24"/>
          <w:lang w:val="lt-LT"/>
        </w:rPr>
        <w:t xml:space="preserve"> tik pagrindžia tai, kad rizika bankrutuoti egzistuoja visada. Jau 1993 metais buvo atkreiptas dėmesys į šio proceso aktualumą. Apžvelgta Lietuvos įmonių bankroto statistika byloja apie paskutiniais metais augančius šio ekonominio reiškinio mastus. Taip pat didelis bankrutuojančių įmonių skaičius rodo, kad bankroto </w:t>
      </w:r>
      <w:r w:rsidR="00C43C31" w:rsidRPr="0017614D">
        <w:rPr>
          <w:rFonts w:ascii="Times New Roman" w:hAnsi="Times New Roman" w:cs="Times New Roman"/>
          <w:sz w:val="24"/>
          <w:szCs w:val="24"/>
          <w:lang w:val="lt-LT"/>
        </w:rPr>
        <w:t>prevencijai</w:t>
      </w:r>
      <w:r w:rsidR="002F4547" w:rsidRPr="0017614D">
        <w:rPr>
          <w:rFonts w:ascii="Times New Roman" w:hAnsi="Times New Roman" w:cs="Times New Roman"/>
          <w:sz w:val="24"/>
          <w:szCs w:val="24"/>
          <w:lang w:val="lt-LT"/>
        </w:rPr>
        <w:t xml:space="preserve"> yra skiriama nepakankamai dėmesio arba </w:t>
      </w:r>
      <w:r w:rsidR="002F4547" w:rsidRPr="0017614D">
        <w:rPr>
          <w:rFonts w:ascii="Times New Roman" w:hAnsi="Times New Roman" w:cs="Times New Roman"/>
          <w:sz w:val="24"/>
          <w:szCs w:val="24"/>
          <w:lang w:val="lt-LT"/>
        </w:rPr>
        <w:lastRenderedPageBreak/>
        <w:t xml:space="preserve">tai yra daroma per vėlai. Kiekvienos, net ir mažiausios įmonės bankrotas neišvengiamai turės neigiamų pasekmių tiek įmonės darbuotojams, tiek visai visuomenei. Vieno ūkio subjekto nemokumas paliečia kitus ūkio subjektus, kurie, negalėdami atgauti skolų iš bankrutuojančio skolininko, nesugeba įvykdyti įsipareigojimų ir taip pat bankrutuoja. Todėl </w:t>
      </w:r>
      <w:r w:rsidR="00297207" w:rsidRPr="0017614D">
        <w:rPr>
          <w:rFonts w:ascii="Times New Roman" w:hAnsi="Times New Roman" w:cs="Times New Roman"/>
          <w:sz w:val="24"/>
          <w:szCs w:val="24"/>
          <w:lang w:val="lt-LT"/>
        </w:rPr>
        <w:t xml:space="preserve">apibendrinant bankroto </w:t>
      </w:r>
      <w:r w:rsidR="00C43C31" w:rsidRPr="0017614D">
        <w:rPr>
          <w:rFonts w:ascii="Times New Roman" w:hAnsi="Times New Roman" w:cs="Times New Roman"/>
          <w:sz w:val="24"/>
          <w:szCs w:val="24"/>
          <w:lang w:val="lt-LT"/>
        </w:rPr>
        <w:t>prevencijos</w:t>
      </w:r>
      <w:r w:rsidR="00297207" w:rsidRPr="0017614D">
        <w:rPr>
          <w:rFonts w:ascii="Times New Roman" w:hAnsi="Times New Roman" w:cs="Times New Roman"/>
          <w:sz w:val="24"/>
          <w:szCs w:val="24"/>
          <w:lang w:val="lt-LT"/>
        </w:rPr>
        <w:t xml:space="preserve"> būtinumą, galima teigti, kad bankroto </w:t>
      </w:r>
      <w:r w:rsidR="00C43C31" w:rsidRPr="0017614D">
        <w:rPr>
          <w:rFonts w:ascii="Times New Roman" w:hAnsi="Times New Roman" w:cs="Times New Roman"/>
          <w:sz w:val="24"/>
          <w:szCs w:val="24"/>
          <w:lang w:val="lt-LT"/>
        </w:rPr>
        <w:t>prevencijos priemonių taikymas</w:t>
      </w:r>
      <w:r w:rsidR="00297207" w:rsidRPr="0017614D">
        <w:rPr>
          <w:rFonts w:ascii="Times New Roman" w:hAnsi="Times New Roman" w:cs="Times New Roman"/>
          <w:sz w:val="24"/>
          <w:szCs w:val="24"/>
          <w:lang w:val="lt-LT"/>
        </w:rPr>
        <w:t xml:space="preserve"> yra būtinas tiek pačiai įmonei, tiek valstybei. Įmonei laiku pastebėjus, kad jos veiklai gresia bankrotas, ji galėtų priimti įmonei palankius sprendimus, įgalinančius išvengti pavojaus. Tokiu atveju įmonei galbūt pavyktų išvengti bankroto, tuo pačiu ir darb</w:t>
      </w:r>
      <w:r w:rsidR="002E08A9">
        <w:rPr>
          <w:rFonts w:ascii="Times New Roman" w:hAnsi="Times New Roman" w:cs="Times New Roman"/>
          <w:sz w:val="24"/>
          <w:szCs w:val="24"/>
          <w:lang w:val="lt-LT"/>
        </w:rPr>
        <w:t>uotojai neprarastų darbo vietų bei</w:t>
      </w:r>
      <w:r w:rsidR="00297207" w:rsidRPr="0017614D">
        <w:rPr>
          <w:rFonts w:ascii="Times New Roman" w:hAnsi="Times New Roman" w:cs="Times New Roman"/>
          <w:sz w:val="24"/>
          <w:szCs w:val="24"/>
          <w:lang w:val="lt-LT"/>
        </w:rPr>
        <w:t xml:space="preserve"> ne</w:t>
      </w:r>
      <w:r w:rsidR="002E08A9">
        <w:rPr>
          <w:rFonts w:ascii="Times New Roman" w:hAnsi="Times New Roman" w:cs="Times New Roman"/>
          <w:sz w:val="24"/>
          <w:szCs w:val="24"/>
          <w:lang w:val="lt-LT"/>
        </w:rPr>
        <w:t>padidė</w:t>
      </w:r>
      <w:r w:rsidR="00297207" w:rsidRPr="0017614D">
        <w:rPr>
          <w:rFonts w:ascii="Times New Roman" w:hAnsi="Times New Roman" w:cs="Times New Roman"/>
          <w:sz w:val="24"/>
          <w:szCs w:val="24"/>
          <w:lang w:val="lt-LT"/>
        </w:rPr>
        <w:t>tų valstybės nedarbo lygis.</w:t>
      </w:r>
    </w:p>
    <w:p w:rsidR="005C4748" w:rsidRPr="0017614D" w:rsidRDefault="006D591B" w:rsidP="00C43C31">
      <w:pPr>
        <w:pStyle w:val="Heading3"/>
        <w:contextualSpacing/>
        <w:rPr>
          <w:rFonts w:eastAsiaTheme="minorHAnsi"/>
          <w:lang w:val="lt-LT"/>
        </w:rPr>
      </w:pPr>
      <w:bookmarkStart w:id="92" w:name="_Toc374655653"/>
      <w:r w:rsidRPr="0017614D">
        <w:rPr>
          <w:rFonts w:eastAsiaTheme="minorHAnsi"/>
          <w:lang w:val="lt-LT"/>
        </w:rPr>
        <w:t>1.2.2. Įmonių b</w:t>
      </w:r>
      <w:r w:rsidR="00742B93" w:rsidRPr="0017614D">
        <w:rPr>
          <w:rFonts w:eastAsiaTheme="minorHAnsi"/>
          <w:lang w:val="lt-LT"/>
        </w:rPr>
        <w:t>ankroto prevencijos sistema</w:t>
      </w:r>
      <w:bookmarkEnd w:id="92"/>
    </w:p>
    <w:p w:rsidR="00A41355" w:rsidRPr="0017614D" w:rsidRDefault="00A41355" w:rsidP="00A41355">
      <w:pPr>
        <w:contextualSpacing/>
        <w:rPr>
          <w:lang w:val="lt-LT"/>
        </w:rPr>
      </w:pPr>
    </w:p>
    <w:p w:rsidR="005C4748" w:rsidRPr="0017614D" w:rsidRDefault="00FA1BBC" w:rsidP="00742B93">
      <w:pPr>
        <w:autoSpaceDE w:val="0"/>
        <w:autoSpaceDN w:val="0"/>
        <w:adjustRightInd w:val="0"/>
        <w:spacing w:after="0" w:line="360" w:lineRule="auto"/>
        <w:ind w:firstLine="737"/>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Aptarus bankroto grėsmės problematiką bei  jos prevencijos svarbą tampa akivaizdu,</w:t>
      </w:r>
      <w:r w:rsidR="00742B93" w:rsidRPr="0017614D">
        <w:rPr>
          <w:rFonts w:ascii="Times New Roman" w:hAnsi="Times New Roman" w:cs="Times New Roman"/>
          <w:sz w:val="24"/>
          <w:szCs w:val="24"/>
          <w:lang w:val="lt-LT"/>
        </w:rPr>
        <w:t xml:space="preserve"> </w:t>
      </w:r>
      <w:r w:rsidRPr="0017614D">
        <w:rPr>
          <w:rFonts w:ascii="Times New Roman" w:hAnsi="Times New Roman" w:cs="Times New Roman"/>
          <w:sz w:val="24"/>
          <w:szCs w:val="24"/>
          <w:lang w:val="lt-LT"/>
        </w:rPr>
        <w:t xml:space="preserve">kad įmonės privalo imtis visų galimų priemonių siekiant išvengti šios blogybės. </w:t>
      </w:r>
      <w:r w:rsidRPr="0017614D">
        <w:rPr>
          <w:rFonts w:ascii="Times New Roman" w:eastAsia="TimesNewRomanPSMT" w:hAnsi="Times New Roman" w:cs="Times New Roman"/>
          <w:sz w:val="24"/>
          <w:szCs w:val="24"/>
          <w:lang w:val="lt-LT"/>
        </w:rPr>
        <w:t>Bankro</w:t>
      </w:r>
      <w:r w:rsidR="00282851" w:rsidRPr="0017614D">
        <w:rPr>
          <w:rFonts w:ascii="Times New Roman" w:eastAsia="TimesNewRomanPSMT" w:hAnsi="Times New Roman" w:cs="Times New Roman"/>
          <w:sz w:val="24"/>
          <w:szCs w:val="24"/>
          <w:lang w:val="lt-LT"/>
        </w:rPr>
        <w:t>to rizika gali kilti kiekvienai įmonei</w:t>
      </w:r>
      <w:r w:rsidRPr="0017614D">
        <w:rPr>
          <w:rFonts w:ascii="Times New Roman" w:eastAsia="TimesNewRomanPSMT" w:hAnsi="Times New Roman" w:cs="Times New Roman"/>
          <w:sz w:val="24"/>
          <w:szCs w:val="24"/>
          <w:lang w:val="lt-LT"/>
        </w:rPr>
        <w:t xml:space="preserve"> </w:t>
      </w:r>
      <w:r w:rsidR="00282851" w:rsidRPr="0017614D">
        <w:rPr>
          <w:rFonts w:ascii="Times New Roman" w:eastAsia="TimesNewRomanPSMT" w:hAnsi="Times New Roman" w:cs="Times New Roman"/>
          <w:sz w:val="24"/>
          <w:szCs w:val="24"/>
          <w:lang w:val="lt-LT"/>
        </w:rPr>
        <w:t>jos veiklos laikotarpiu</w:t>
      </w:r>
      <w:r w:rsidRPr="0017614D">
        <w:rPr>
          <w:rFonts w:ascii="Times New Roman" w:eastAsia="TimesNewRomanPSMT" w:hAnsi="Times New Roman" w:cs="Times New Roman"/>
          <w:sz w:val="24"/>
          <w:szCs w:val="24"/>
          <w:lang w:val="lt-LT"/>
        </w:rPr>
        <w:t>, todėl vertinimas, analizė ir bankroto rizikos diagnozavimas yra nuolatinis rūpestis tiek mokslininkams, tiek vadovams (</w:t>
      </w:r>
      <w:r w:rsidRPr="0017614D">
        <w:rPr>
          <w:rFonts w:ascii="Times New Roman" w:hAnsi="Times New Roman" w:cs="Times New Roman"/>
          <w:sz w:val="24"/>
          <w:szCs w:val="24"/>
          <w:lang w:val="lt-LT"/>
        </w:rPr>
        <w:t xml:space="preserve">Karalevičienė, Bužinskienė, 2011, p.114). </w:t>
      </w:r>
    </w:p>
    <w:p w:rsidR="005C4748" w:rsidRPr="0017614D" w:rsidRDefault="005C4748" w:rsidP="005C4748">
      <w:pPr>
        <w:spacing w:line="360" w:lineRule="auto"/>
        <w:ind w:firstLine="539"/>
        <w:contextualSpacing/>
        <w:jc w:val="both"/>
        <w:rPr>
          <w:lang w:val="lt-LT"/>
        </w:rPr>
      </w:pPr>
      <w:r w:rsidRPr="0017614D">
        <w:rPr>
          <w:rFonts w:ascii="Times New Roman" w:hAnsi="Times New Roman" w:cs="Times New Roman"/>
          <w:sz w:val="24"/>
          <w:szCs w:val="24"/>
          <w:lang w:val="lt-LT"/>
        </w:rPr>
        <w:t>Bankroto išvengimas turi prasidėti nuo laiku atliktos jo diagnostikos. Viena veiksmingiausių bankroto diagnostikos ir prevencijos priemonių yra įmonių veiklos analizė. Tik nuodugni ir laiku atlikta analizė padės tinkamai valdyti įmonės išteklius, nustatyti jų naudojimo tendencijas, priimti optimalius investicinius ir finansinius sprendimus bei parengti įmonės ateities prognozes. Tos įmonės, kuriose yra tinkamai organizuota analitinė veikla gali anksčiau nustatyti artėjančią veiklos krizę, operatyviai į ją sureaguoti ir sumažinti bankroto tikimybę (Krancevičiūtė, 2012).</w:t>
      </w:r>
    </w:p>
    <w:p w:rsidR="005C4748" w:rsidRPr="0017614D" w:rsidRDefault="005C4748" w:rsidP="005C4748">
      <w:pPr>
        <w:spacing w:line="360" w:lineRule="auto"/>
        <w:ind w:firstLine="539"/>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Tokios pačios nuomonės laikosi ir </w:t>
      </w:r>
      <w:r w:rsidR="0068126E" w:rsidRPr="0017614D">
        <w:rPr>
          <w:rFonts w:ascii="Times New Roman" w:hAnsi="Times New Roman" w:cs="Times New Roman"/>
          <w:sz w:val="24"/>
          <w:szCs w:val="24"/>
          <w:lang w:val="lt-LT"/>
        </w:rPr>
        <w:t>Stoškus bei</w:t>
      </w:r>
      <w:r w:rsidRPr="0017614D">
        <w:rPr>
          <w:rFonts w:ascii="Times New Roman" w:hAnsi="Times New Roman" w:cs="Times New Roman"/>
          <w:sz w:val="24"/>
          <w:szCs w:val="24"/>
          <w:lang w:val="lt-LT"/>
        </w:rPr>
        <w:t xml:space="preserve"> kiti (2007) kurie teigia, kad, bankroto įmanoma išvengti deramai įvertinus bankroto tikimybę, laiku diagnozavus pirminius požymius bei užtikrinus prevencijos priemonių veiksmingumą įmonės veikloje. Taigi, bankroto diagnostika turi būti pagrįsta nuolatiniu ūkio subjekto finansinės būklės stebėjimu ir vertinimu, siekiant kuo anksčiau pastebėti krizės sukeltus tikėtino bankroto požymius, nustatyti jos atsiradimo priežastis bei sprendimo galimybes (Krancevičiūtė, 2012).</w:t>
      </w:r>
    </w:p>
    <w:p w:rsidR="00E92F3A" w:rsidRPr="0017614D" w:rsidRDefault="00E92F3A" w:rsidP="0067581C">
      <w:pPr>
        <w:autoSpaceDE w:val="0"/>
        <w:autoSpaceDN w:val="0"/>
        <w:adjustRightInd w:val="0"/>
        <w:spacing w:after="0" w:line="360" w:lineRule="auto"/>
        <w:ind w:firstLine="539"/>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Bankroto grėsmę taip pat galima suprasti kaip tam tikrą riziką, todėl bankroto prevencijos sistemai galima priskirti ir</w:t>
      </w:r>
      <w:r w:rsidR="005476C7" w:rsidRPr="0017614D">
        <w:rPr>
          <w:rFonts w:ascii="Times New Roman" w:hAnsi="Times New Roman" w:cs="Times New Roman"/>
          <w:sz w:val="24"/>
          <w:szCs w:val="24"/>
          <w:lang w:val="lt-LT"/>
        </w:rPr>
        <w:t xml:space="preserve"> užsienio autorių D. Shattemano ir kt.</w:t>
      </w:r>
      <w:r w:rsidRPr="0017614D">
        <w:rPr>
          <w:rFonts w:ascii="Times New Roman" w:hAnsi="Times New Roman" w:cs="Times New Roman"/>
          <w:sz w:val="24"/>
          <w:szCs w:val="24"/>
          <w:lang w:val="lt-LT"/>
        </w:rPr>
        <w:t xml:space="preserve"> (2006) indėlį, kurie ženkliai prisidėjo prie rizikos valdymo sistemos apibūdinimo. Bankroto grėsmė tai yra rizika, kurią reikia valdyti siekiant užkirsti kelią jos padariniams. </w:t>
      </w:r>
      <w:r w:rsidR="005476C7" w:rsidRPr="0017614D">
        <w:rPr>
          <w:rFonts w:ascii="Times New Roman" w:hAnsi="Times New Roman" w:cs="Times New Roman"/>
          <w:sz w:val="24"/>
          <w:szCs w:val="24"/>
          <w:lang w:val="lt-LT"/>
        </w:rPr>
        <w:t xml:space="preserve">Pasak D. Shattemano ir kt. (2006) </w:t>
      </w:r>
      <w:r w:rsidRPr="0017614D">
        <w:rPr>
          <w:rFonts w:ascii="Times New Roman" w:hAnsi="Times New Roman" w:cs="Times New Roman"/>
          <w:sz w:val="24"/>
          <w:szCs w:val="24"/>
          <w:lang w:val="lt-LT"/>
        </w:rPr>
        <w:t xml:space="preserve"> rizikos valdymo sistema susideda iš trijų etapų:</w:t>
      </w:r>
    </w:p>
    <w:p w:rsidR="00E92F3A" w:rsidRPr="0017614D" w:rsidRDefault="00E92F3A" w:rsidP="00417443">
      <w:pPr>
        <w:pStyle w:val="ListParagraph"/>
        <w:numPr>
          <w:ilvl w:val="0"/>
          <w:numId w:val="19"/>
        </w:numPr>
        <w:autoSpaceDE w:val="0"/>
        <w:autoSpaceDN w:val="0"/>
        <w:adjustRightInd w:val="0"/>
        <w:spacing w:after="0" w:line="360" w:lineRule="auto"/>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Rizikos nustatymas;</w:t>
      </w:r>
    </w:p>
    <w:p w:rsidR="00E92F3A" w:rsidRPr="0017614D" w:rsidRDefault="00E92F3A" w:rsidP="00417443">
      <w:pPr>
        <w:pStyle w:val="ListParagraph"/>
        <w:numPr>
          <w:ilvl w:val="0"/>
          <w:numId w:val="19"/>
        </w:numPr>
        <w:autoSpaceDE w:val="0"/>
        <w:autoSpaceDN w:val="0"/>
        <w:adjustRightInd w:val="0"/>
        <w:spacing w:after="0" w:line="360" w:lineRule="auto"/>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Rizikos analizė;</w:t>
      </w:r>
    </w:p>
    <w:p w:rsidR="0067581C" w:rsidRPr="0017614D" w:rsidRDefault="00E92F3A" w:rsidP="00417443">
      <w:pPr>
        <w:pStyle w:val="ListParagraph"/>
        <w:numPr>
          <w:ilvl w:val="0"/>
          <w:numId w:val="19"/>
        </w:numPr>
        <w:autoSpaceDE w:val="0"/>
        <w:autoSpaceDN w:val="0"/>
        <w:adjustRightInd w:val="0"/>
        <w:spacing w:after="0" w:line="360" w:lineRule="auto"/>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lastRenderedPageBreak/>
        <w:t>Atsakas į riziką.</w:t>
      </w:r>
    </w:p>
    <w:p w:rsidR="00E92F3A" w:rsidRPr="0017614D" w:rsidRDefault="00E92F3A" w:rsidP="0067581C">
      <w:pPr>
        <w:autoSpaceDE w:val="0"/>
        <w:autoSpaceDN w:val="0"/>
        <w:adjustRightInd w:val="0"/>
        <w:spacing w:after="0" w:line="360" w:lineRule="auto"/>
        <w:ind w:firstLine="539"/>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Ši tri</w:t>
      </w:r>
      <w:r w:rsidR="005476C7" w:rsidRPr="0017614D">
        <w:rPr>
          <w:rFonts w:ascii="Times New Roman" w:hAnsi="Times New Roman" w:cs="Times New Roman"/>
          <w:sz w:val="24"/>
          <w:szCs w:val="24"/>
          <w:lang w:val="lt-LT"/>
        </w:rPr>
        <w:t>jų etapų sistema apima rizikos nustatymą</w:t>
      </w:r>
      <w:r w:rsidRPr="0017614D">
        <w:rPr>
          <w:rFonts w:ascii="Times New Roman" w:hAnsi="Times New Roman" w:cs="Times New Roman"/>
          <w:sz w:val="24"/>
          <w:szCs w:val="24"/>
          <w:lang w:val="lt-LT"/>
        </w:rPr>
        <w:t>, t</w:t>
      </w:r>
      <w:r w:rsidR="005476C7" w:rsidRPr="0017614D">
        <w:rPr>
          <w:rFonts w:ascii="Times New Roman" w:hAnsi="Times New Roman" w:cs="Times New Roman"/>
          <w:sz w:val="24"/>
          <w:szCs w:val="24"/>
          <w:lang w:val="lt-LT"/>
        </w:rPr>
        <w:t>. y. įmonės probleminių sričių identifikavimą</w:t>
      </w:r>
      <w:r w:rsidRPr="0017614D">
        <w:rPr>
          <w:rFonts w:ascii="Times New Roman" w:hAnsi="Times New Roman" w:cs="Times New Roman"/>
          <w:sz w:val="24"/>
          <w:szCs w:val="24"/>
          <w:lang w:val="lt-LT"/>
        </w:rPr>
        <w:t xml:space="preserve">, šių probleminių sričių analizę ir įvertinimą kiekybine išraiška bei priemonių, kurios sumažintų bankroto riziką, pasirinkimą ir taikymą.   </w:t>
      </w:r>
    </w:p>
    <w:p w:rsidR="005C4748" w:rsidRPr="0017614D" w:rsidRDefault="00E92F3A" w:rsidP="002E08A9">
      <w:pPr>
        <w:spacing w:after="0" w:line="360" w:lineRule="auto"/>
        <w:ind w:firstLine="539"/>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Tuo tarpu p</w:t>
      </w:r>
      <w:r w:rsidR="005C4748" w:rsidRPr="0017614D">
        <w:rPr>
          <w:rFonts w:ascii="Times New Roman" w:hAnsi="Times New Roman" w:cs="Times New Roman"/>
          <w:sz w:val="24"/>
          <w:szCs w:val="24"/>
          <w:lang w:val="lt-LT"/>
        </w:rPr>
        <w:t>agal Bivainį ir Garškaitę (2010) įmonių</w:t>
      </w:r>
      <w:r w:rsidR="00E63EB1" w:rsidRPr="0017614D">
        <w:rPr>
          <w:rFonts w:ascii="Times New Roman" w:hAnsi="Times New Roman" w:cs="Times New Roman"/>
          <w:sz w:val="24"/>
          <w:szCs w:val="24"/>
          <w:lang w:val="lt-LT"/>
        </w:rPr>
        <w:t xml:space="preserve"> bankroto prevencijos</w:t>
      </w:r>
      <w:r w:rsidR="005C4748" w:rsidRPr="0017614D">
        <w:rPr>
          <w:rFonts w:ascii="Times New Roman" w:hAnsi="Times New Roman" w:cs="Times New Roman"/>
          <w:sz w:val="24"/>
          <w:szCs w:val="24"/>
          <w:lang w:val="lt-LT"/>
        </w:rPr>
        <w:t xml:space="preserve"> sistema gali būti apibrėžta kaip kompleksinis, retrospektyvinis</w:t>
      </w:r>
      <w:r w:rsidR="0068126E" w:rsidRPr="0017614D">
        <w:rPr>
          <w:rFonts w:ascii="Times New Roman" w:hAnsi="Times New Roman" w:cs="Times New Roman"/>
          <w:sz w:val="24"/>
          <w:szCs w:val="24"/>
          <w:lang w:val="lt-LT"/>
        </w:rPr>
        <w:t>, operatyvinis bei perspektyvinis</w:t>
      </w:r>
      <w:r w:rsidR="005C4748" w:rsidRPr="0017614D">
        <w:rPr>
          <w:rFonts w:ascii="Times New Roman" w:hAnsi="Times New Roman" w:cs="Times New Roman"/>
          <w:sz w:val="24"/>
          <w:szCs w:val="24"/>
          <w:lang w:val="lt-LT"/>
        </w:rPr>
        <w:t xml:space="preserve"> įmonės veiklos tyrimas, kurio tikslas įvertinti įmonės finansinę būklę siekiant nustatyti krizės mąstą bei veiksnius, lemiančius pablogėjusią finansinę įmonės būklę, ir numatyti orientacines bankroto prevencijos priemones. Remiantis tų pačių autorių nuomone, įmonių bankroto grėsmės</w:t>
      </w:r>
      <w:r w:rsidR="00E63EB1" w:rsidRPr="0017614D">
        <w:rPr>
          <w:rFonts w:ascii="Times New Roman" w:hAnsi="Times New Roman" w:cs="Times New Roman"/>
          <w:sz w:val="24"/>
          <w:szCs w:val="24"/>
          <w:lang w:val="lt-LT"/>
        </w:rPr>
        <w:t xml:space="preserve"> diagnostika turi būti atliekama</w:t>
      </w:r>
      <w:r w:rsidR="005C4748" w:rsidRPr="0017614D">
        <w:rPr>
          <w:rFonts w:ascii="Times New Roman" w:hAnsi="Times New Roman" w:cs="Times New Roman"/>
          <w:sz w:val="24"/>
          <w:szCs w:val="24"/>
          <w:lang w:val="lt-LT"/>
        </w:rPr>
        <w:t xml:space="preserve"> remiantis keturiais pagrindiniais principais:</w:t>
      </w:r>
    </w:p>
    <w:p w:rsidR="005C4748" w:rsidRPr="0017614D" w:rsidRDefault="005C4748" w:rsidP="00417443">
      <w:pPr>
        <w:pStyle w:val="ListParagraph"/>
        <w:numPr>
          <w:ilvl w:val="0"/>
          <w:numId w:val="13"/>
        </w:numPr>
        <w:autoSpaceDE w:val="0"/>
        <w:autoSpaceDN w:val="0"/>
        <w:adjustRightInd w:val="0"/>
        <w:spacing w:after="0" w:line="360" w:lineRule="auto"/>
        <w:jc w:val="both"/>
        <w:rPr>
          <w:rFonts w:ascii="Times New Roman" w:hAnsi="Times New Roman" w:cs="Times New Roman"/>
          <w:sz w:val="24"/>
          <w:szCs w:val="24"/>
          <w:lang w:val="lt-LT"/>
        </w:rPr>
      </w:pPr>
      <w:r w:rsidRPr="0017614D">
        <w:rPr>
          <w:rFonts w:ascii="Times New Roman" w:hAnsi="Times New Roman" w:cs="Times New Roman"/>
          <w:iCs/>
          <w:sz w:val="24"/>
          <w:szCs w:val="24"/>
          <w:lang w:val="lt-LT"/>
        </w:rPr>
        <w:t>Periodiškas ir operatyvus įmonių finansinės būklės ver</w:t>
      </w:r>
      <w:r w:rsidR="00987385" w:rsidRPr="0017614D">
        <w:rPr>
          <w:rFonts w:ascii="Times New Roman" w:hAnsi="Times New Roman" w:cs="Times New Roman"/>
          <w:iCs/>
          <w:sz w:val="24"/>
          <w:szCs w:val="24"/>
          <w:lang w:val="lt-LT"/>
        </w:rPr>
        <w:t>t</w:t>
      </w:r>
      <w:r w:rsidRPr="0017614D">
        <w:rPr>
          <w:rFonts w:ascii="Times New Roman" w:hAnsi="Times New Roman" w:cs="Times New Roman"/>
          <w:iCs/>
          <w:sz w:val="24"/>
          <w:szCs w:val="24"/>
          <w:lang w:val="lt-LT"/>
        </w:rPr>
        <w:t>inimas.</w:t>
      </w:r>
      <w:r w:rsidRPr="0017614D">
        <w:rPr>
          <w:rFonts w:ascii="Times New Roman" w:hAnsi="Times New Roman" w:cs="Times New Roman"/>
          <w:sz w:val="24"/>
          <w:szCs w:val="24"/>
          <w:lang w:val="lt-LT"/>
        </w:rPr>
        <w:t xml:space="preserve"> Įmonių būklė turi būti vertinama kas kažkiek laiko, taip stengiantis diagnozuoti krizinę būklę kuo ankstesnėse stadijose, kai dar yra tikslinga naudoti įvairias jos įveikimo priemones.</w:t>
      </w:r>
    </w:p>
    <w:p w:rsidR="005C4748" w:rsidRPr="0017614D" w:rsidRDefault="005C4748" w:rsidP="00417443">
      <w:pPr>
        <w:pStyle w:val="ListParagraph"/>
        <w:numPr>
          <w:ilvl w:val="0"/>
          <w:numId w:val="13"/>
        </w:numPr>
        <w:autoSpaceDE w:val="0"/>
        <w:autoSpaceDN w:val="0"/>
        <w:adjustRightInd w:val="0"/>
        <w:spacing w:after="0" w:line="360" w:lineRule="auto"/>
        <w:jc w:val="both"/>
        <w:rPr>
          <w:rFonts w:ascii="Times New Roman" w:hAnsi="Times New Roman" w:cs="Times New Roman"/>
          <w:iCs/>
          <w:sz w:val="24"/>
          <w:szCs w:val="24"/>
          <w:lang w:val="lt-LT"/>
        </w:rPr>
      </w:pPr>
      <w:r w:rsidRPr="0017614D">
        <w:rPr>
          <w:rFonts w:ascii="Times New Roman" w:hAnsi="Times New Roman" w:cs="Times New Roman"/>
          <w:iCs/>
          <w:sz w:val="24"/>
          <w:szCs w:val="24"/>
          <w:lang w:val="lt-LT"/>
        </w:rPr>
        <w:t xml:space="preserve">Įmonių bankroto grėsmės vertinimo rodiklių nustatymas. Būtina nustatyti kriterijus, kurių pagalba bus diagnozuojamas bankrotas. Kiekvienos įmonės pasirinkti vertinimo rodikliai gali būti individualūs. Pavyzdžiui, įmonės gali naudoti </w:t>
      </w:r>
      <w:r w:rsidRPr="0017614D">
        <w:rPr>
          <w:rFonts w:ascii="Times New Roman" w:hAnsi="Times New Roman" w:cs="Times New Roman"/>
          <w:sz w:val="24"/>
          <w:szCs w:val="24"/>
          <w:lang w:val="lt-LT"/>
        </w:rPr>
        <w:t>įvairių autorių</w:t>
      </w:r>
      <w:r w:rsidRPr="0017614D">
        <w:rPr>
          <w:rFonts w:ascii="Times New Roman" w:hAnsi="Times New Roman" w:cs="Times New Roman"/>
          <w:iCs/>
          <w:sz w:val="24"/>
          <w:szCs w:val="24"/>
          <w:lang w:val="lt-LT"/>
        </w:rPr>
        <w:t xml:space="preserve"> </w:t>
      </w:r>
      <w:r w:rsidRPr="0017614D">
        <w:rPr>
          <w:rFonts w:ascii="Times New Roman" w:hAnsi="Times New Roman" w:cs="Times New Roman"/>
          <w:sz w:val="24"/>
          <w:szCs w:val="24"/>
          <w:lang w:val="lt-LT"/>
        </w:rPr>
        <w:t>siūlomus finansinius rodiklius, iš kurių reikėtų tinkamai</w:t>
      </w:r>
      <w:r w:rsidRPr="0017614D">
        <w:rPr>
          <w:rFonts w:ascii="Times New Roman" w:hAnsi="Times New Roman" w:cs="Times New Roman"/>
          <w:iCs/>
          <w:sz w:val="24"/>
          <w:szCs w:val="24"/>
          <w:lang w:val="lt-LT"/>
        </w:rPr>
        <w:t xml:space="preserve"> </w:t>
      </w:r>
      <w:r w:rsidRPr="0017614D">
        <w:rPr>
          <w:rFonts w:ascii="Times New Roman" w:hAnsi="Times New Roman" w:cs="Times New Roman"/>
          <w:sz w:val="24"/>
          <w:szCs w:val="24"/>
          <w:lang w:val="lt-LT"/>
        </w:rPr>
        <w:t>atsirinkti tuos, kurie galėtų prognozuoti bankroto grėsmę (Mackevičius 2010).</w:t>
      </w:r>
    </w:p>
    <w:p w:rsidR="005C4748" w:rsidRPr="0017614D" w:rsidRDefault="005C4748" w:rsidP="00417443">
      <w:pPr>
        <w:pStyle w:val="ListParagraph"/>
        <w:numPr>
          <w:ilvl w:val="0"/>
          <w:numId w:val="13"/>
        </w:numPr>
        <w:autoSpaceDE w:val="0"/>
        <w:autoSpaceDN w:val="0"/>
        <w:adjustRightInd w:val="0"/>
        <w:spacing w:after="0" w:line="360" w:lineRule="auto"/>
        <w:jc w:val="both"/>
        <w:rPr>
          <w:rFonts w:ascii="Times New Roman" w:hAnsi="Times New Roman" w:cs="Times New Roman"/>
          <w:sz w:val="24"/>
          <w:szCs w:val="24"/>
          <w:lang w:val="lt-LT"/>
        </w:rPr>
      </w:pPr>
      <w:r w:rsidRPr="0017614D">
        <w:rPr>
          <w:rFonts w:ascii="Times New Roman" w:hAnsi="Times New Roman" w:cs="Times New Roman"/>
          <w:iCs/>
          <w:sz w:val="24"/>
          <w:szCs w:val="24"/>
          <w:lang w:val="lt-LT"/>
        </w:rPr>
        <w:t xml:space="preserve">Tinkamas krizinių ūkinės veiklos reiškinių identifikavimas. </w:t>
      </w:r>
      <w:r w:rsidRPr="0017614D">
        <w:rPr>
          <w:rFonts w:ascii="Times New Roman" w:hAnsi="Times New Roman" w:cs="Times New Roman"/>
          <w:sz w:val="24"/>
          <w:szCs w:val="24"/>
          <w:lang w:val="lt-LT"/>
        </w:rPr>
        <w:t>Egzistuojant bankroto tikimybei, įmonėje pasireiškia kriziniai reiškiniai, kuriuos ne visada yra lengva pastebėti. Dažnai jie atrodo kaip natūrali ūkinės veiklos dalis ir įmonių vadovai nesureikšmina galimų tokių reiškinių pasekmių. Visgi tokie kriziniai reišk</w:t>
      </w:r>
      <w:r w:rsidR="001A47AF">
        <w:rPr>
          <w:rFonts w:ascii="Times New Roman" w:hAnsi="Times New Roman" w:cs="Times New Roman"/>
          <w:sz w:val="24"/>
          <w:szCs w:val="24"/>
          <w:lang w:val="lt-LT"/>
        </w:rPr>
        <w:t>iniai dažnai pasižymi grandinine</w:t>
      </w:r>
      <w:r w:rsidRPr="0017614D">
        <w:rPr>
          <w:rFonts w:ascii="Times New Roman" w:hAnsi="Times New Roman" w:cs="Times New Roman"/>
          <w:sz w:val="24"/>
          <w:szCs w:val="24"/>
          <w:lang w:val="lt-LT"/>
        </w:rPr>
        <w:t xml:space="preserve"> reakcija, todėl laiku jų neidentifikavus, situacija gali eiti vis blogyn ir tuo sunkiau bus atstatyti pažeistą finansinę pusiausvyrą.</w:t>
      </w:r>
    </w:p>
    <w:p w:rsidR="005C4748" w:rsidRPr="0017614D" w:rsidRDefault="005C4748" w:rsidP="00417443">
      <w:pPr>
        <w:pStyle w:val="ListParagraph"/>
        <w:numPr>
          <w:ilvl w:val="0"/>
          <w:numId w:val="13"/>
        </w:numPr>
        <w:autoSpaceDE w:val="0"/>
        <w:autoSpaceDN w:val="0"/>
        <w:adjustRightInd w:val="0"/>
        <w:spacing w:after="0" w:line="360" w:lineRule="auto"/>
        <w:jc w:val="both"/>
        <w:rPr>
          <w:rFonts w:ascii="Times New Roman" w:hAnsi="Times New Roman" w:cs="Times New Roman"/>
          <w:sz w:val="24"/>
          <w:szCs w:val="24"/>
          <w:lang w:val="lt-LT"/>
        </w:rPr>
      </w:pPr>
      <w:r w:rsidRPr="0017614D">
        <w:rPr>
          <w:rFonts w:ascii="Times New Roman" w:hAnsi="Times New Roman" w:cs="Times New Roman"/>
          <w:iCs/>
          <w:sz w:val="24"/>
          <w:szCs w:val="24"/>
          <w:lang w:val="lt-LT"/>
        </w:rPr>
        <w:t>Adekvačiai ir objektyviai įvertinti bankroto grėsmės įmonei mastą. Taip pat svarbu įvertinti, kokioje krizės stadijoje įmonė yra, nes p</w:t>
      </w:r>
      <w:r w:rsidRPr="0017614D">
        <w:rPr>
          <w:rFonts w:ascii="Times New Roman" w:hAnsi="Times New Roman" w:cs="Times New Roman"/>
          <w:sz w:val="24"/>
          <w:szCs w:val="24"/>
          <w:lang w:val="lt-LT"/>
        </w:rPr>
        <w:t>riklausomai nuo bankroto grėsmės masto įmonės pasirenka</w:t>
      </w:r>
      <w:r w:rsidRPr="0017614D">
        <w:rPr>
          <w:rFonts w:ascii="Times New Roman" w:hAnsi="Times New Roman" w:cs="Times New Roman"/>
          <w:iCs/>
          <w:sz w:val="24"/>
          <w:szCs w:val="24"/>
          <w:lang w:val="lt-LT"/>
        </w:rPr>
        <w:t xml:space="preserve"> </w:t>
      </w:r>
      <w:r w:rsidRPr="0017614D">
        <w:rPr>
          <w:rFonts w:ascii="Times New Roman" w:hAnsi="Times New Roman" w:cs="Times New Roman"/>
          <w:sz w:val="24"/>
          <w:szCs w:val="24"/>
          <w:lang w:val="lt-LT"/>
        </w:rPr>
        <w:t>priemones, skirtas įveikti susidariusią</w:t>
      </w:r>
      <w:r w:rsidRPr="0017614D">
        <w:rPr>
          <w:rFonts w:ascii="Times New Roman" w:hAnsi="Times New Roman" w:cs="Times New Roman"/>
          <w:iCs/>
          <w:sz w:val="24"/>
          <w:szCs w:val="24"/>
          <w:lang w:val="lt-LT"/>
        </w:rPr>
        <w:t xml:space="preserve"> </w:t>
      </w:r>
      <w:r w:rsidRPr="0017614D">
        <w:rPr>
          <w:rFonts w:ascii="Times New Roman" w:hAnsi="Times New Roman" w:cs="Times New Roman"/>
          <w:sz w:val="24"/>
          <w:szCs w:val="24"/>
          <w:lang w:val="lt-LT"/>
        </w:rPr>
        <w:t>krizę. Šių priemonių naudojimas turi būti adekvatus</w:t>
      </w:r>
      <w:r w:rsidRPr="0017614D">
        <w:rPr>
          <w:rFonts w:ascii="Times New Roman" w:hAnsi="Times New Roman" w:cs="Times New Roman"/>
          <w:iCs/>
          <w:sz w:val="24"/>
          <w:szCs w:val="24"/>
          <w:lang w:val="lt-LT"/>
        </w:rPr>
        <w:t xml:space="preserve"> </w:t>
      </w:r>
      <w:r w:rsidR="00E63EB1" w:rsidRPr="0017614D">
        <w:rPr>
          <w:rFonts w:ascii="Times New Roman" w:hAnsi="Times New Roman" w:cs="Times New Roman"/>
          <w:sz w:val="24"/>
          <w:szCs w:val="24"/>
          <w:lang w:val="lt-LT"/>
        </w:rPr>
        <w:t>bankroto grėsmės mastui.</w:t>
      </w:r>
    </w:p>
    <w:p w:rsidR="00E63EB1" w:rsidRPr="0017614D" w:rsidRDefault="00E63EB1" w:rsidP="0067581C">
      <w:pPr>
        <w:autoSpaceDE w:val="0"/>
        <w:autoSpaceDN w:val="0"/>
        <w:adjustRightInd w:val="0"/>
        <w:spacing w:after="0" w:line="360" w:lineRule="auto"/>
        <w:ind w:firstLine="539"/>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Šie principai turi būti taikomi nepriklausomai nuo to koks bankroto grėsmės diagnostiko</w:t>
      </w:r>
      <w:r w:rsidR="00BA6F16" w:rsidRPr="0017614D">
        <w:rPr>
          <w:rFonts w:ascii="Times New Roman" w:hAnsi="Times New Roman" w:cs="Times New Roman"/>
          <w:sz w:val="24"/>
          <w:szCs w:val="24"/>
          <w:lang w:val="lt-LT"/>
        </w:rPr>
        <w:t>s</w:t>
      </w:r>
      <w:r w:rsidRPr="0017614D">
        <w:rPr>
          <w:rFonts w:ascii="Times New Roman" w:hAnsi="Times New Roman" w:cs="Times New Roman"/>
          <w:sz w:val="24"/>
          <w:szCs w:val="24"/>
          <w:lang w:val="lt-LT"/>
        </w:rPr>
        <w:t xml:space="preserve"> metodas yra naudojamas. Tiek skai</w:t>
      </w:r>
      <w:r w:rsidR="00987385" w:rsidRPr="0017614D">
        <w:rPr>
          <w:rFonts w:ascii="Times New Roman" w:hAnsi="Times New Roman" w:cs="Times New Roman"/>
          <w:sz w:val="24"/>
          <w:szCs w:val="24"/>
          <w:lang w:val="lt-LT"/>
        </w:rPr>
        <w:t>čiuojant absoliutinius</w:t>
      </w:r>
      <w:r w:rsidRPr="0017614D">
        <w:rPr>
          <w:rFonts w:ascii="Times New Roman" w:hAnsi="Times New Roman" w:cs="Times New Roman"/>
          <w:sz w:val="24"/>
          <w:szCs w:val="24"/>
          <w:lang w:val="lt-LT"/>
        </w:rPr>
        <w:t xml:space="preserve">, tiek </w:t>
      </w:r>
      <w:r w:rsidR="00987385" w:rsidRPr="0017614D">
        <w:rPr>
          <w:rFonts w:ascii="Times New Roman" w:hAnsi="Times New Roman" w:cs="Times New Roman"/>
          <w:sz w:val="24"/>
          <w:szCs w:val="24"/>
          <w:lang w:val="lt-LT"/>
        </w:rPr>
        <w:t xml:space="preserve">finansinius santykinius rodiklius, taikant bankroto prognozavimo modelius ar atliekant kokybinę įmonės veiklos analizę turi būti vertinama įmonės būklė, ji </w:t>
      </w:r>
      <w:r w:rsidR="00987385" w:rsidRPr="0017614D">
        <w:rPr>
          <w:rFonts w:ascii="Times New Roman" w:hAnsi="Times New Roman" w:cs="Times New Roman"/>
          <w:sz w:val="24"/>
          <w:szCs w:val="24"/>
          <w:lang w:val="lt-LT"/>
        </w:rPr>
        <w:lastRenderedPageBreak/>
        <w:t>palyginama su nustatytais kriterijais</w:t>
      </w:r>
      <w:r w:rsidR="00A74EEB" w:rsidRPr="0017614D">
        <w:rPr>
          <w:rFonts w:ascii="Times New Roman" w:hAnsi="Times New Roman" w:cs="Times New Roman"/>
          <w:sz w:val="24"/>
          <w:szCs w:val="24"/>
          <w:lang w:val="lt-LT"/>
        </w:rPr>
        <w:t>,</w:t>
      </w:r>
      <w:r w:rsidR="00987385" w:rsidRPr="0017614D">
        <w:rPr>
          <w:rFonts w:ascii="Times New Roman" w:hAnsi="Times New Roman" w:cs="Times New Roman"/>
          <w:sz w:val="24"/>
          <w:szCs w:val="24"/>
          <w:lang w:val="lt-LT"/>
        </w:rPr>
        <w:t xml:space="preserve"> identifikuojamos problemos bei ieškoma kaip šias problemas galima būtų išsprėsti.</w:t>
      </w:r>
    </w:p>
    <w:p w:rsidR="00A87E9F" w:rsidRPr="0017614D" w:rsidRDefault="00E92F3A" w:rsidP="00A87E9F">
      <w:pPr>
        <w:autoSpaceDE w:val="0"/>
        <w:autoSpaceDN w:val="0"/>
        <w:adjustRightInd w:val="0"/>
        <w:spacing w:after="0" w:line="360" w:lineRule="auto"/>
        <w:ind w:firstLine="539"/>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Nemažai apie bankroto prevenciją kalbėjo ir</w:t>
      </w:r>
      <w:r w:rsidR="006072FA" w:rsidRPr="0017614D">
        <w:rPr>
          <w:rFonts w:ascii="Times New Roman" w:hAnsi="Times New Roman" w:cs="Times New Roman"/>
          <w:sz w:val="24"/>
          <w:szCs w:val="24"/>
          <w:lang w:val="lt-LT"/>
        </w:rPr>
        <w:t xml:space="preserve"> </w:t>
      </w:r>
      <w:r w:rsidR="00A87E9F" w:rsidRPr="0017614D">
        <w:rPr>
          <w:rFonts w:ascii="Times New Roman" w:hAnsi="Times New Roman" w:cs="Times New Roman"/>
          <w:sz w:val="24"/>
          <w:szCs w:val="24"/>
          <w:lang w:val="lt-LT"/>
        </w:rPr>
        <w:t>Mackevičius (2010), Karalevičienė, Bužinskienė (2011), Bivainis ir Garškaite (2010) bei kiti autoriai</w:t>
      </w:r>
      <w:r w:rsidRPr="0017614D">
        <w:rPr>
          <w:rFonts w:ascii="Times New Roman" w:hAnsi="Times New Roman" w:cs="Times New Roman"/>
          <w:sz w:val="24"/>
          <w:szCs w:val="24"/>
          <w:lang w:val="lt-LT"/>
        </w:rPr>
        <w:t>, kurie</w:t>
      </w:r>
      <w:r w:rsidR="00A87E9F" w:rsidRPr="0017614D">
        <w:rPr>
          <w:rFonts w:ascii="Times New Roman" w:hAnsi="Times New Roman" w:cs="Times New Roman"/>
          <w:sz w:val="24"/>
          <w:szCs w:val="24"/>
          <w:lang w:val="lt-LT"/>
        </w:rPr>
        <w:t xml:space="preserve"> bankroto </w:t>
      </w:r>
      <w:r w:rsidRPr="0017614D">
        <w:rPr>
          <w:rFonts w:ascii="Times New Roman" w:hAnsi="Times New Roman" w:cs="Times New Roman"/>
          <w:sz w:val="24"/>
          <w:szCs w:val="24"/>
          <w:lang w:val="lt-LT"/>
        </w:rPr>
        <w:t>prevencijos sistemą apibūdina šiek tiek kitaip. Jie siūlo bankroto prevenciją</w:t>
      </w:r>
      <w:r w:rsidR="00A87E9F" w:rsidRPr="0017614D">
        <w:rPr>
          <w:rFonts w:ascii="Times New Roman" w:hAnsi="Times New Roman" w:cs="Times New Roman"/>
          <w:sz w:val="24"/>
          <w:szCs w:val="24"/>
          <w:lang w:val="lt-LT"/>
        </w:rPr>
        <w:t xml:space="preserve"> atlikti </w:t>
      </w:r>
      <w:r w:rsidRPr="0017614D">
        <w:rPr>
          <w:rFonts w:ascii="Times New Roman" w:hAnsi="Times New Roman" w:cs="Times New Roman"/>
          <w:sz w:val="24"/>
          <w:szCs w:val="24"/>
          <w:lang w:val="lt-LT"/>
        </w:rPr>
        <w:t>keliais etapais</w:t>
      </w:r>
      <w:r w:rsidR="00A87E9F" w:rsidRPr="0017614D">
        <w:rPr>
          <w:rFonts w:ascii="Times New Roman" w:hAnsi="Times New Roman" w:cs="Times New Roman"/>
          <w:sz w:val="24"/>
          <w:szCs w:val="24"/>
          <w:lang w:val="lt-LT"/>
        </w:rPr>
        <w:t xml:space="preserve">. Jų nuomone, taikyti tik vieną bankroto tikimybės prognozavimo būdą, kaip pavyzdžiui bankroto prognozavimo tikimybės skaičiavimas Altman modelio pagalba, yra netikslinga ir subjektyvu. Tokie modeliai dažniausiai įvertina įmonės būklę tik iš vienos pusės ir neatspindi pilno vaizdo. Būtent dėl šios priežasties autoriai </w:t>
      </w:r>
      <w:r w:rsidR="002E08A9">
        <w:rPr>
          <w:rFonts w:ascii="Times New Roman" w:hAnsi="Times New Roman" w:cs="Times New Roman"/>
          <w:sz w:val="24"/>
          <w:szCs w:val="24"/>
          <w:lang w:val="lt-LT"/>
        </w:rPr>
        <w:t>apibūdina</w:t>
      </w:r>
      <w:r w:rsidR="00A87E9F" w:rsidRPr="0017614D">
        <w:rPr>
          <w:rFonts w:ascii="Times New Roman" w:hAnsi="Times New Roman" w:cs="Times New Roman"/>
          <w:sz w:val="24"/>
          <w:szCs w:val="24"/>
          <w:lang w:val="lt-LT"/>
        </w:rPr>
        <w:t xml:space="preserve"> </w:t>
      </w:r>
      <w:r w:rsidRPr="0017614D">
        <w:rPr>
          <w:rFonts w:ascii="Times New Roman" w:hAnsi="Times New Roman" w:cs="Times New Roman"/>
          <w:sz w:val="24"/>
          <w:szCs w:val="24"/>
          <w:lang w:val="lt-LT"/>
        </w:rPr>
        <w:t>bankroto prevencijos sistemą</w:t>
      </w:r>
      <w:r w:rsidR="002E08A9">
        <w:rPr>
          <w:rFonts w:ascii="Times New Roman" w:hAnsi="Times New Roman" w:cs="Times New Roman"/>
          <w:sz w:val="24"/>
          <w:szCs w:val="24"/>
          <w:lang w:val="lt-LT"/>
        </w:rPr>
        <w:t>, kaip</w:t>
      </w:r>
      <w:r w:rsidR="00A87E9F" w:rsidRPr="0017614D">
        <w:rPr>
          <w:rFonts w:ascii="Times New Roman" w:hAnsi="Times New Roman" w:cs="Times New Roman"/>
          <w:sz w:val="24"/>
          <w:szCs w:val="24"/>
          <w:lang w:val="lt-LT"/>
        </w:rPr>
        <w:t xml:space="preserve"> savyje apima</w:t>
      </w:r>
      <w:r w:rsidR="002E08A9">
        <w:rPr>
          <w:rFonts w:ascii="Times New Roman" w:hAnsi="Times New Roman" w:cs="Times New Roman"/>
          <w:sz w:val="24"/>
          <w:szCs w:val="24"/>
          <w:lang w:val="lt-LT"/>
        </w:rPr>
        <w:t>nčią</w:t>
      </w:r>
      <w:r w:rsidR="00A87E9F" w:rsidRPr="0017614D">
        <w:rPr>
          <w:rFonts w:ascii="Times New Roman" w:hAnsi="Times New Roman" w:cs="Times New Roman"/>
          <w:sz w:val="24"/>
          <w:szCs w:val="24"/>
          <w:lang w:val="lt-LT"/>
        </w:rPr>
        <w:t xml:space="preserve"> kelis įmonės būklės analizės bei įvertinimo būdus.</w:t>
      </w:r>
    </w:p>
    <w:p w:rsidR="00801C69" w:rsidRPr="0017614D" w:rsidRDefault="00E92F3A" w:rsidP="00801C69">
      <w:pPr>
        <w:autoSpaceDE w:val="0"/>
        <w:autoSpaceDN w:val="0"/>
        <w:adjustRightInd w:val="0"/>
        <w:spacing w:after="0" w:line="360" w:lineRule="auto"/>
        <w:ind w:firstLine="539"/>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Bivainio</w:t>
      </w:r>
      <w:r w:rsidR="00A87E9F" w:rsidRPr="0017614D">
        <w:rPr>
          <w:rFonts w:ascii="Times New Roman" w:hAnsi="Times New Roman" w:cs="Times New Roman"/>
          <w:sz w:val="24"/>
          <w:szCs w:val="24"/>
          <w:lang w:val="lt-LT"/>
        </w:rPr>
        <w:t xml:space="preserve"> ir Garškaitė</w:t>
      </w:r>
      <w:r w:rsidRPr="0017614D">
        <w:rPr>
          <w:rFonts w:ascii="Times New Roman" w:hAnsi="Times New Roman" w:cs="Times New Roman"/>
          <w:sz w:val="24"/>
          <w:szCs w:val="24"/>
          <w:lang w:val="lt-LT"/>
        </w:rPr>
        <w:t>s</w:t>
      </w:r>
      <w:r w:rsidR="00A87E9F" w:rsidRPr="0017614D">
        <w:rPr>
          <w:rFonts w:ascii="Times New Roman" w:hAnsi="Times New Roman" w:cs="Times New Roman"/>
          <w:sz w:val="24"/>
          <w:szCs w:val="24"/>
          <w:lang w:val="lt-LT"/>
        </w:rPr>
        <w:t xml:space="preserve"> (2010)</w:t>
      </w:r>
      <w:r w:rsidRPr="0017614D">
        <w:rPr>
          <w:rFonts w:ascii="Times New Roman" w:hAnsi="Times New Roman" w:cs="Times New Roman"/>
          <w:sz w:val="24"/>
          <w:szCs w:val="24"/>
          <w:lang w:val="lt-LT"/>
        </w:rPr>
        <w:t xml:space="preserve"> nuomone bankroto sistema apima tris etapus</w:t>
      </w:r>
      <w:r w:rsidR="00A87E9F" w:rsidRPr="0017614D">
        <w:rPr>
          <w:rFonts w:ascii="Times New Roman" w:hAnsi="Times New Roman" w:cs="Times New Roman"/>
          <w:sz w:val="24"/>
          <w:szCs w:val="24"/>
          <w:lang w:val="lt-LT"/>
        </w:rPr>
        <w:t xml:space="preserve">. </w:t>
      </w:r>
      <w:r w:rsidR="00801C69" w:rsidRPr="0017614D">
        <w:rPr>
          <w:rFonts w:ascii="Times New Roman" w:hAnsi="Times New Roman" w:cs="Times New Roman"/>
          <w:sz w:val="24"/>
          <w:szCs w:val="24"/>
          <w:lang w:val="lt-LT"/>
        </w:rPr>
        <w:t>Pirmajame etape finansinė įmonių būklė ir bankroto grėsmė vertinama taikant integruotą modelį, pagal kurį gaunamas apibendrinantis įmonės būklės įvertis. Integruoto vertinimo modelis remiasi tokiomis prielaidomis:</w:t>
      </w:r>
    </w:p>
    <w:p w:rsidR="00801C69" w:rsidRPr="0017614D" w:rsidRDefault="00801C69" w:rsidP="00417443">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bankroto grėsmė yra stochastinio pobūdžio priklausomybė nuo santykinių finansinių įmonės rodiklių;</w:t>
      </w:r>
    </w:p>
    <w:p w:rsidR="00801C69" w:rsidRPr="0017614D" w:rsidRDefault="00801C69" w:rsidP="00417443">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priklausomybei aprašyti tinkamiausia yra tiesinės daugianarės regresijos forma;</w:t>
      </w:r>
    </w:p>
    <w:p w:rsidR="00801C69" w:rsidRPr="0017614D" w:rsidRDefault="00801C69" w:rsidP="00417443">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nepriklausomi kintamieji yra santykiniai finansiniai rodikliai – skirtingus įmonės būklės aspektus apibūdinančių rodiklių grupių atstovai. </w:t>
      </w:r>
    </w:p>
    <w:p w:rsidR="00801C69" w:rsidRPr="0017614D" w:rsidRDefault="00801C69" w:rsidP="00801C69">
      <w:pPr>
        <w:autoSpaceDE w:val="0"/>
        <w:autoSpaceDN w:val="0"/>
        <w:adjustRightInd w:val="0"/>
        <w:spacing w:after="0" w:line="360" w:lineRule="auto"/>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Taigi galima sakyti, kad integruotuoju modeliu šie autoriai vadina bankroto tikimybės prognozavimo modelius (pvz. Altman, Liss, Chesser modeliai), kurių rezultatas yra kažkos </w:t>
      </w:r>
      <w:r>
        <w:rPr>
          <w:rFonts w:ascii="Times New Roman" w:hAnsi="Times New Roman" w:cs="Times New Roman"/>
          <w:sz w:val="24"/>
          <w:szCs w:val="24"/>
          <w:lang w:val="lt-LT"/>
        </w:rPr>
        <w:t>įvertis parodantis ar įmonei gre</w:t>
      </w:r>
      <w:r w:rsidRPr="0017614D">
        <w:rPr>
          <w:rFonts w:ascii="Times New Roman" w:hAnsi="Times New Roman" w:cs="Times New Roman"/>
          <w:sz w:val="24"/>
          <w:szCs w:val="24"/>
          <w:lang w:val="lt-LT"/>
        </w:rPr>
        <w:t>sia bankrotas ar ne, tačiau neišskiriantis probleminės srities. Kai šis įvertis rodo krizinę situaciją, yra atliekami antrojo etapo vertinimai.</w:t>
      </w:r>
    </w:p>
    <w:p w:rsidR="00801C69" w:rsidRPr="0017614D" w:rsidRDefault="00801C69" w:rsidP="00801C69">
      <w:pPr>
        <w:autoSpaceDE w:val="0"/>
        <w:autoSpaceDN w:val="0"/>
        <w:adjustRightInd w:val="0"/>
        <w:spacing w:after="0" w:line="360" w:lineRule="auto"/>
        <w:ind w:firstLine="539"/>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Antrajame etape analizuojami santykiniai įmonės finansiniai rodikliai, kurie yra lyginami su planiniais rodikliais, normatyvais ir kitais nustatytais parametrais. Šio etapo rezultatai konkretina probleminę sritį. Nustačius šią sritį galima nustatyti tokią situaciją lėmusius veiksnius. Tam skirtas trečiasis etapas. Trečiajame etape analizuojamos atitinkamų santykinių finansinių rodiklių sudedamosios dalys, išreikštos absoliutiniais finansiniais rodikliais, kurie yra tipinėse įmonių finansinėse ataskaitose. Šio etapo paskirtis – išsiaiškinti, kurių įmonės finansinių ataskaitų straipsnių reikšmių pokyčiai yra negatyvūs ir lėmė kritinę būklę įmonėje.</w:t>
      </w:r>
    </w:p>
    <w:p w:rsidR="00A87E9F" w:rsidRPr="0017614D" w:rsidRDefault="00BB4F5D" w:rsidP="0067581C">
      <w:pPr>
        <w:autoSpaceDE w:val="0"/>
        <w:autoSpaceDN w:val="0"/>
        <w:adjustRightInd w:val="0"/>
        <w:spacing w:after="0" w:line="360" w:lineRule="auto"/>
        <w:ind w:firstLine="539"/>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Siekiant apibendrin</w:t>
      </w:r>
      <w:r w:rsidR="00801C69">
        <w:rPr>
          <w:rFonts w:ascii="Times New Roman" w:hAnsi="Times New Roman" w:cs="Times New Roman"/>
          <w:sz w:val="24"/>
          <w:szCs w:val="24"/>
          <w:lang w:val="lt-LT"/>
        </w:rPr>
        <w:t>t</w:t>
      </w:r>
      <w:r>
        <w:rPr>
          <w:rFonts w:ascii="Times New Roman" w:hAnsi="Times New Roman" w:cs="Times New Roman"/>
          <w:sz w:val="24"/>
          <w:szCs w:val="24"/>
          <w:lang w:val="lt-LT"/>
        </w:rPr>
        <w:t>i</w:t>
      </w:r>
      <w:r w:rsidR="00801C69">
        <w:rPr>
          <w:rFonts w:ascii="Times New Roman" w:hAnsi="Times New Roman" w:cs="Times New Roman"/>
          <w:sz w:val="24"/>
          <w:szCs w:val="24"/>
          <w:lang w:val="lt-LT"/>
        </w:rPr>
        <w:t xml:space="preserve"> aukščiau paminėtus požiūrius į bankroto grėsmės nustatymo sistemą  buvo nubraižyta schema, kurioje buvo susisteminti pagrindiniai šios sistemos elementai (žr.</w:t>
      </w:r>
      <w:r w:rsidR="0067581C" w:rsidRPr="0017614D">
        <w:rPr>
          <w:rFonts w:ascii="Times New Roman" w:hAnsi="Times New Roman" w:cs="Times New Roman"/>
          <w:sz w:val="24"/>
          <w:szCs w:val="24"/>
          <w:lang w:val="lt-LT"/>
        </w:rPr>
        <w:t xml:space="preserve"> 7</w:t>
      </w:r>
      <w:r w:rsidR="00801C69">
        <w:rPr>
          <w:rFonts w:ascii="Times New Roman" w:hAnsi="Times New Roman" w:cs="Times New Roman"/>
          <w:sz w:val="24"/>
          <w:szCs w:val="24"/>
          <w:lang w:val="lt-LT"/>
        </w:rPr>
        <w:t xml:space="preserve"> pav.).</w:t>
      </w:r>
      <w:r w:rsidR="00A87E9F" w:rsidRPr="0017614D">
        <w:rPr>
          <w:rFonts w:ascii="Times New Roman" w:hAnsi="Times New Roman" w:cs="Times New Roman"/>
          <w:sz w:val="24"/>
          <w:szCs w:val="24"/>
          <w:lang w:val="lt-LT"/>
        </w:rPr>
        <w:t xml:space="preserve"> </w:t>
      </w:r>
    </w:p>
    <w:p w:rsidR="005476C7" w:rsidRPr="0017614D" w:rsidRDefault="005476C7" w:rsidP="0067581C">
      <w:pPr>
        <w:autoSpaceDE w:val="0"/>
        <w:autoSpaceDN w:val="0"/>
        <w:adjustRightInd w:val="0"/>
        <w:spacing w:after="0" w:line="360" w:lineRule="auto"/>
        <w:ind w:firstLine="539"/>
        <w:contextualSpacing/>
        <w:jc w:val="both"/>
        <w:rPr>
          <w:rFonts w:ascii="Times New Roman" w:hAnsi="Times New Roman" w:cs="Times New Roman"/>
          <w:sz w:val="24"/>
          <w:szCs w:val="24"/>
          <w:lang w:val="lt-LT"/>
        </w:rPr>
      </w:pPr>
    </w:p>
    <w:p w:rsidR="005476C7" w:rsidRPr="0017614D" w:rsidRDefault="00801C69" w:rsidP="005476C7">
      <w:pPr>
        <w:autoSpaceDE w:val="0"/>
        <w:autoSpaceDN w:val="0"/>
        <w:adjustRightInd w:val="0"/>
        <w:spacing w:after="0" w:line="360" w:lineRule="auto"/>
        <w:jc w:val="center"/>
        <w:rPr>
          <w:rFonts w:ascii="Times New Roman" w:hAnsi="Times New Roman" w:cs="Times New Roman"/>
          <w:noProof/>
          <w:sz w:val="24"/>
          <w:szCs w:val="24"/>
          <w:lang w:val="lt-LT"/>
        </w:rPr>
      </w:pPr>
      <w:r>
        <w:rPr>
          <w:rFonts w:ascii="Times New Roman" w:hAnsi="Times New Roman" w:cs="Times New Roman"/>
          <w:noProof/>
          <w:sz w:val="24"/>
          <w:szCs w:val="24"/>
        </w:rPr>
        <w:lastRenderedPageBreak/>
        <w:drawing>
          <wp:inline distT="0" distB="0" distL="0" distR="0">
            <wp:extent cx="4600575" cy="2895866"/>
            <wp:effectExtent l="19050" t="0" r="9525" b="0"/>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4600575" cy="2895866"/>
                    </a:xfrm>
                    <a:prstGeom prst="rect">
                      <a:avLst/>
                    </a:prstGeom>
                    <a:noFill/>
                    <a:ln w="9525">
                      <a:noFill/>
                      <a:miter lim="800000"/>
                      <a:headEnd/>
                      <a:tailEnd/>
                    </a:ln>
                  </pic:spPr>
                </pic:pic>
              </a:graphicData>
            </a:graphic>
          </wp:inline>
        </w:drawing>
      </w:r>
    </w:p>
    <w:p w:rsidR="005476C7" w:rsidRPr="00BB4F5D" w:rsidRDefault="005476C7" w:rsidP="0067581C">
      <w:pPr>
        <w:spacing w:after="0"/>
        <w:ind w:left="539"/>
        <w:contextualSpacing/>
        <w:rPr>
          <w:rFonts w:ascii="Times New Roman" w:hAnsi="Times New Roman" w:cs="Times New Roman"/>
          <w:sz w:val="20"/>
          <w:szCs w:val="20"/>
          <w:lang w:val="lt-LT"/>
        </w:rPr>
      </w:pPr>
      <w:r w:rsidRPr="00BB4F5D">
        <w:rPr>
          <w:rFonts w:ascii="Times New Roman" w:hAnsi="Times New Roman" w:cs="Times New Roman"/>
          <w:b/>
          <w:sz w:val="20"/>
          <w:szCs w:val="20"/>
          <w:lang w:val="lt-LT"/>
        </w:rPr>
        <w:t>Šaltinis:</w:t>
      </w:r>
      <w:r w:rsidRPr="00BB4F5D">
        <w:rPr>
          <w:rFonts w:ascii="Times New Roman" w:hAnsi="Times New Roman" w:cs="Times New Roman"/>
          <w:sz w:val="20"/>
          <w:szCs w:val="20"/>
          <w:lang w:val="lt-LT"/>
        </w:rPr>
        <w:t xml:space="preserve"> Bivainis, Garškaitė, 2010</w:t>
      </w:r>
      <w:r w:rsidR="00801C69" w:rsidRPr="00BB4F5D">
        <w:rPr>
          <w:rFonts w:ascii="Times New Roman" w:hAnsi="Times New Roman" w:cs="Times New Roman"/>
          <w:sz w:val="20"/>
          <w:szCs w:val="20"/>
          <w:lang w:val="lt-LT"/>
        </w:rPr>
        <w:t>, Mackevičius, 2010, Karalevičienė, Bužinskienė, 2011,</w:t>
      </w:r>
    </w:p>
    <w:p w:rsidR="002B57E2" w:rsidRPr="0017614D" w:rsidRDefault="002B57E2" w:rsidP="002B57E2">
      <w:pPr>
        <w:spacing w:after="0"/>
        <w:ind w:left="539"/>
        <w:jc w:val="center"/>
        <w:rPr>
          <w:rFonts w:ascii="Times New Roman" w:hAnsi="Times New Roman" w:cs="Times New Roman"/>
          <w:lang w:val="lt-LT"/>
        </w:rPr>
      </w:pPr>
      <w:r w:rsidRPr="0017614D">
        <w:rPr>
          <w:rFonts w:ascii="Times New Roman" w:hAnsi="Times New Roman" w:cs="Times New Roman"/>
          <w:lang w:val="lt-LT"/>
        </w:rPr>
        <w:t>7 pav.</w:t>
      </w:r>
      <w:r w:rsidRPr="0017614D">
        <w:rPr>
          <w:rFonts w:ascii="Times New Roman" w:hAnsi="Times New Roman" w:cs="Times New Roman"/>
          <w:b/>
          <w:lang w:val="lt-LT"/>
        </w:rPr>
        <w:t xml:space="preserve"> Įmonių bankroto grėsmės diagnostikos sistemos schema</w:t>
      </w:r>
    </w:p>
    <w:p w:rsidR="00E809CD" w:rsidRPr="0017614D" w:rsidRDefault="00E809CD" w:rsidP="0067581C">
      <w:pPr>
        <w:spacing w:after="0"/>
        <w:ind w:left="539"/>
        <w:contextualSpacing/>
        <w:rPr>
          <w:rFonts w:ascii="Times New Roman" w:hAnsi="Times New Roman" w:cs="Times New Roman"/>
          <w:lang w:val="lt-LT"/>
        </w:rPr>
      </w:pPr>
    </w:p>
    <w:p w:rsidR="0072395E" w:rsidRPr="0017614D" w:rsidRDefault="00A74EEB" w:rsidP="00E63EB1">
      <w:pPr>
        <w:autoSpaceDE w:val="0"/>
        <w:autoSpaceDN w:val="0"/>
        <w:adjustRightInd w:val="0"/>
        <w:spacing w:after="0" w:line="360" w:lineRule="auto"/>
        <w:ind w:firstLine="539"/>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Taigi, ap</w:t>
      </w:r>
      <w:r w:rsidR="00BB4F5D">
        <w:rPr>
          <w:rFonts w:ascii="Times New Roman" w:hAnsi="Times New Roman" w:cs="Times New Roman"/>
          <w:sz w:val="24"/>
          <w:szCs w:val="24"/>
          <w:lang w:val="lt-LT"/>
        </w:rPr>
        <w:t>tarus</w:t>
      </w:r>
      <w:r w:rsidRPr="0017614D">
        <w:rPr>
          <w:rFonts w:ascii="Times New Roman" w:hAnsi="Times New Roman" w:cs="Times New Roman"/>
          <w:sz w:val="24"/>
          <w:szCs w:val="24"/>
          <w:lang w:val="lt-LT"/>
        </w:rPr>
        <w:t xml:space="preserve"> aukščiau paminėtų autorių bankroto grėsmės nustatymo sistemas, galima teigti, kad nors jos yra pakankamai skirtingos, tačiau apima pagrindinę mintį, kad visų pirmą turi būti nustatyta ir įvertinta rizika, kuri sukelia bankroto grėsmę, tuo tarpu vėliau turi būti imtasi priemonių šiai rizikai sumažinti arba išvis panaikinti.</w:t>
      </w:r>
    </w:p>
    <w:p w:rsidR="00BA6F16" w:rsidRPr="0017614D" w:rsidRDefault="00BA6F16" w:rsidP="00E63EB1">
      <w:pPr>
        <w:autoSpaceDE w:val="0"/>
        <w:autoSpaceDN w:val="0"/>
        <w:adjustRightInd w:val="0"/>
        <w:spacing w:after="0" w:line="360" w:lineRule="auto"/>
        <w:ind w:firstLine="539"/>
        <w:jc w:val="both"/>
        <w:rPr>
          <w:rFonts w:ascii="Times New Roman" w:hAnsi="Times New Roman" w:cs="Times New Roman"/>
          <w:sz w:val="24"/>
          <w:szCs w:val="24"/>
          <w:lang w:val="lt-LT"/>
        </w:rPr>
      </w:pPr>
    </w:p>
    <w:p w:rsidR="00A74EEB" w:rsidRPr="0017614D" w:rsidRDefault="00A74EEB" w:rsidP="000F2749">
      <w:pPr>
        <w:autoSpaceDE w:val="0"/>
        <w:autoSpaceDN w:val="0"/>
        <w:adjustRightInd w:val="0"/>
        <w:spacing w:after="0" w:line="360" w:lineRule="auto"/>
        <w:jc w:val="both"/>
        <w:rPr>
          <w:rFonts w:ascii="Times New Roman" w:hAnsi="Times New Roman" w:cs="Times New Roman"/>
          <w:sz w:val="24"/>
          <w:szCs w:val="24"/>
          <w:lang w:val="lt-LT"/>
        </w:rPr>
      </w:pPr>
    </w:p>
    <w:p w:rsidR="005476C7" w:rsidRPr="0017614D" w:rsidRDefault="005476C7" w:rsidP="000F2749">
      <w:pPr>
        <w:autoSpaceDE w:val="0"/>
        <w:autoSpaceDN w:val="0"/>
        <w:adjustRightInd w:val="0"/>
        <w:spacing w:after="0" w:line="360" w:lineRule="auto"/>
        <w:jc w:val="both"/>
        <w:rPr>
          <w:rFonts w:ascii="Times New Roman" w:hAnsi="Times New Roman" w:cs="Times New Roman"/>
          <w:sz w:val="24"/>
          <w:szCs w:val="24"/>
          <w:lang w:val="lt-LT"/>
        </w:rPr>
      </w:pPr>
    </w:p>
    <w:p w:rsidR="005476C7" w:rsidRPr="0017614D" w:rsidRDefault="005476C7" w:rsidP="000F2749">
      <w:pPr>
        <w:autoSpaceDE w:val="0"/>
        <w:autoSpaceDN w:val="0"/>
        <w:adjustRightInd w:val="0"/>
        <w:spacing w:after="0" w:line="360" w:lineRule="auto"/>
        <w:jc w:val="both"/>
        <w:rPr>
          <w:rFonts w:ascii="Times New Roman" w:hAnsi="Times New Roman" w:cs="Times New Roman"/>
          <w:sz w:val="24"/>
          <w:szCs w:val="24"/>
          <w:lang w:val="lt-LT"/>
        </w:rPr>
      </w:pPr>
    </w:p>
    <w:p w:rsidR="005476C7" w:rsidRPr="0017614D" w:rsidRDefault="005476C7" w:rsidP="000F2749">
      <w:pPr>
        <w:autoSpaceDE w:val="0"/>
        <w:autoSpaceDN w:val="0"/>
        <w:adjustRightInd w:val="0"/>
        <w:spacing w:after="0" w:line="360" w:lineRule="auto"/>
        <w:jc w:val="both"/>
        <w:rPr>
          <w:rFonts w:ascii="Times New Roman" w:hAnsi="Times New Roman" w:cs="Times New Roman"/>
          <w:sz w:val="24"/>
          <w:szCs w:val="24"/>
          <w:lang w:val="lt-LT"/>
        </w:rPr>
      </w:pPr>
    </w:p>
    <w:p w:rsidR="005476C7" w:rsidRPr="0017614D" w:rsidRDefault="005476C7" w:rsidP="000F2749">
      <w:pPr>
        <w:autoSpaceDE w:val="0"/>
        <w:autoSpaceDN w:val="0"/>
        <w:adjustRightInd w:val="0"/>
        <w:spacing w:after="0" w:line="360" w:lineRule="auto"/>
        <w:jc w:val="both"/>
        <w:rPr>
          <w:rFonts w:ascii="Times New Roman" w:hAnsi="Times New Roman" w:cs="Times New Roman"/>
          <w:sz w:val="24"/>
          <w:szCs w:val="24"/>
          <w:lang w:val="lt-LT"/>
        </w:rPr>
      </w:pPr>
    </w:p>
    <w:p w:rsidR="005476C7" w:rsidRPr="0017614D" w:rsidRDefault="005476C7" w:rsidP="000F2749">
      <w:pPr>
        <w:autoSpaceDE w:val="0"/>
        <w:autoSpaceDN w:val="0"/>
        <w:adjustRightInd w:val="0"/>
        <w:spacing w:after="0" w:line="360" w:lineRule="auto"/>
        <w:jc w:val="both"/>
        <w:rPr>
          <w:rFonts w:ascii="Times New Roman" w:hAnsi="Times New Roman" w:cs="Times New Roman"/>
          <w:sz w:val="24"/>
          <w:szCs w:val="24"/>
          <w:lang w:val="lt-LT"/>
        </w:rPr>
      </w:pPr>
    </w:p>
    <w:p w:rsidR="005476C7" w:rsidRPr="0017614D" w:rsidRDefault="005476C7" w:rsidP="000F2749">
      <w:pPr>
        <w:autoSpaceDE w:val="0"/>
        <w:autoSpaceDN w:val="0"/>
        <w:adjustRightInd w:val="0"/>
        <w:spacing w:after="0" w:line="360" w:lineRule="auto"/>
        <w:jc w:val="both"/>
        <w:rPr>
          <w:rFonts w:ascii="Times New Roman" w:hAnsi="Times New Roman" w:cs="Times New Roman"/>
          <w:sz w:val="24"/>
          <w:szCs w:val="24"/>
          <w:lang w:val="lt-LT"/>
        </w:rPr>
      </w:pPr>
    </w:p>
    <w:p w:rsidR="005476C7" w:rsidRPr="0017614D" w:rsidRDefault="005476C7" w:rsidP="000F2749">
      <w:pPr>
        <w:autoSpaceDE w:val="0"/>
        <w:autoSpaceDN w:val="0"/>
        <w:adjustRightInd w:val="0"/>
        <w:spacing w:after="0" w:line="360" w:lineRule="auto"/>
        <w:jc w:val="both"/>
        <w:rPr>
          <w:rFonts w:ascii="Times New Roman" w:hAnsi="Times New Roman" w:cs="Times New Roman"/>
          <w:sz w:val="24"/>
          <w:szCs w:val="24"/>
          <w:lang w:val="lt-LT"/>
        </w:rPr>
      </w:pPr>
    </w:p>
    <w:p w:rsidR="00E809CD" w:rsidRDefault="00E809CD" w:rsidP="003228C9">
      <w:pPr>
        <w:pStyle w:val="Heading1"/>
        <w:spacing w:before="0"/>
        <w:contextualSpacing/>
        <w:rPr>
          <w:lang w:val="lt-LT"/>
        </w:rPr>
      </w:pPr>
    </w:p>
    <w:p w:rsidR="005D3FF6" w:rsidRDefault="005D3FF6" w:rsidP="005D3FF6">
      <w:pPr>
        <w:rPr>
          <w:lang w:val="lt-LT"/>
        </w:rPr>
      </w:pPr>
    </w:p>
    <w:p w:rsidR="005D3FF6" w:rsidRDefault="005D3FF6" w:rsidP="005D3FF6">
      <w:pPr>
        <w:rPr>
          <w:lang w:val="lt-LT"/>
        </w:rPr>
      </w:pPr>
    </w:p>
    <w:p w:rsidR="005D3FF6" w:rsidRPr="005D3FF6" w:rsidRDefault="005D3FF6" w:rsidP="005D3FF6">
      <w:pPr>
        <w:rPr>
          <w:lang w:val="lt-LT"/>
        </w:rPr>
      </w:pPr>
    </w:p>
    <w:p w:rsidR="002E08A9" w:rsidRDefault="002E08A9" w:rsidP="002E08A9">
      <w:pPr>
        <w:rPr>
          <w:lang w:val="lt-LT"/>
        </w:rPr>
      </w:pPr>
    </w:p>
    <w:p w:rsidR="002E08A9" w:rsidRPr="002E08A9" w:rsidRDefault="002E08A9" w:rsidP="00180EAE">
      <w:pPr>
        <w:spacing w:after="0"/>
        <w:contextualSpacing/>
        <w:rPr>
          <w:lang w:val="lt-LT"/>
        </w:rPr>
      </w:pPr>
    </w:p>
    <w:p w:rsidR="003228C9" w:rsidRPr="0017614D" w:rsidRDefault="003228C9" w:rsidP="00180EAE">
      <w:pPr>
        <w:pStyle w:val="Heading1"/>
        <w:spacing w:before="0"/>
        <w:contextualSpacing/>
        <w:rPr>
          <w:lang w:val="lt-LT"/>
        </w:rPr>
      </w:pPr>
      <w:bookmarkStart w:id="93" w:name="_Toc374655654"/>
      <w:r w:rsidRPr="0017614D">
        <w:rPr>
          <w:lang w:val="lt-LT"/>
        </w:rPr>
        <w:t xml:space="preserve">2. </w:t>
      </w:r>
      <w:r w:rsidR="00697522" w:rsidRPr="0017614D">
        <w:rPr>
          <w:lang w:val="lt-LT"/>
        </w:rPr>
        <w:t>KOMPLEKSINĖ</w:t>
      </w:r>
      <w:r w:rsidRPr="0017614D">
        <w:rPr>
          <w:lang w:val="lt-LT"/>
        </w:rPr>
        <w:t xml:space="preserve"> BANKROTO GRĖSMĖS DIAGNOZAVIMO METODIKA</w:t>
      </w:r>
      <w:bookmarkEnd w:id="93"/>
    </w:p>
    <w:p w:rsidR="003228C9" w:rsidRPr="0017614D" w:rsidRDefault="003228C9" w:rsidP="003228C9">
      <w:pPr>
        <w:spacing w:after="0"/>
        <w:contextualSpacing/>
        <w:rPr>
          <w:lang w:val="lt-LT"/>
        </w:rPr>
      </w:pPr>
    </w:p>
    <w:p w:rsidR="003228C9" w:rsidRPr="0017614D" w:rsidRDefault="003228C9" w:rsidP="003228C9">
      <w:pPr>
        <w:autoSpaceDE w:val="0"/>
        <w:autoSpaceDN w:val="0"/>
        <w:adjustRightInd w:val="0"/>
        <w:spacing w:after="0" w:line="360" w:lineRule="auto"/>
        <w:ind w:firstLine="737"/>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Pirmame skyriuje aptarėme, kas yra įmonių bankrotas, kokią jis daro įtaką šalies ekonomikai, kodėl  yra svarbu siekti jo išvengti bei ką turėtų apimti bankroto grėsmės diagnostikos sistema. Toliau yra tikslinga plačiau aptarti metodiką, kuri gali būti taikoma siekiant diagnozuoti bankroto grėsmę.</w:t>
      </w:r>
    </w:p>
    <w:p w:rsidR="000B6358" w:rsidRPr="0017614D" w:rsidRDefault="000C7C3C" w:rsidP="003228C9">
      <w:pPr>
        <w:autoSpaceDE w:val="0"/>
        <w:autoSpaceDN w:val="0"/>
        <w:adjustRightInd w:val="0"/>
        <w:spacing w:after="0" w:line="360" w:lineRule="auto"/>
        <w:ind w:firstLine="737"/>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Išankstinis į</w:t>
      </w:r>
      <w:r w:rsidR="003228C9" w:rsidRPr="0017614D">
        <w:rPr>
          <w:rFonts w:ascii="Times New Roman" w:hAnsi="Times New Roman" w:cs="Times New Roman"/>
          <w:sz w:val="24"/>
          <w:szCs w:val="24"/>
          <w:lang w:val="lt-LT"/>
        </w:rPr>
        <w:t xml:space="preserve">monių bankroto </w:t>
      </w:r>
      <w:r w:rsidRPr="0017614D">
        <w:rPr>
          <w:rFonts w:ascii="Times New Roman" w:hAnsi="Times New Roman" w:cs="Times New Roman"/>
          <w:sz w:val="24"/>
          <w:szCs w:val="24"/>
          <w:lang w:val="lt-LT"/>
        </w:rPr>
        <w:t>grėsmės nustatymas</w:t>
      </w:r>
      <w:r w:rsidR="003228C9" w:rsidRPr="0017614D">
        <w:rPr>
          <w:rFonts w:ascii="Times New Roman" w:hAnsi="Times New Roman" w:cs="Times New Roman"/>
          <w:sz w:val="24"/>
          <w:szCs w:val="24"/>
          <w:lang w:val="lt-LT"/>
        </w:rPr>
        <w:t xml:space="preserve"> tai yra būdas kiekybiniais parametrais įvertinti įmonės būklę bei nustatyti negatyvias veiklos tend</w:t>
      </w:r>
      <w:r w:rsidR="00AE11ED">
        <w:rPr>
          <w:rFonts w:ascii="Times New Roman" w:hAnsi="Times New Roman" w:cs="Times New Roman"/>
          <w:sz w:val="24"/>
          <w:szCs w:val="24"/>
          <w:lang w:val="lt-LT"/>
        </w:rPr>
        <w:t>encijas (Garškaitė, 2008</w:t>
      </w:r>
      <w:r w:rsidR="003228C9" w:rsidRPr="0017614D">
        <w:rPr>
          <w:rFonts w:ascii="Times New Roman" w:hAnsi="Times New Roman" w:cs="Times New Roman"/>
          <w:sz w:val="24"/>
          <w:szCs w:val="24"/>
          <w:lang w:val="lt-LT"/>
        </w:rPr>
        <w:t xml:space="preserve">). Bankroto </w:t>
      </w:r>
      <w:r w:rsidR="002E08A9">
        <w:rPr>
          <w:rFonts w:ascii="Times New Roman" w:hAnsi="Times New Roman" w:cs="Times New Roman"/>
          <w:sz w:val="24"/>
          <w:szCs w:val="24"/>
          <w:lang w:val="lt-LT"/>
        </w:rPr>
        <w:t>grėsmės diagnozavimo</w:t>
      </w:r>
      <w:r w:rsidR="003228C9" w:rsidRPr="0017614D">
        <w:rPr>
          <w:rFonts w:ascii="Times New Roman" w:hAnsi="Times New Roman" w:cs="Times New Roman"/>
          <w:sz w:val="24"/>
          <w:szCs w:val="24"/>
          <w:lang w:val="lt-LT"/>
        </w:rPr>
        <w:t xml:space="preserve"> metodikos pagalba galima nustatyti iš</w:t>
      </w:r>
      <w:r w:rsidR="002E08A9">
        <w:rPr>
          <w:rFonts w:ascii="Times New Roman" w:hAnsi="Times New Roman" w:cs="Times New Roman"/>
          <w:sz w:val="24"/>
          <w:szCs w:val="24"/>
          <w:lang w:val="lt-LT"/>
        </w:rPr>
        <w:t xml:space="preserve"> </w:t>
      </w:r>
      <w:r w:rsidR="003228C9" w:rsidRPr="0017614D">
        <w:rPr>
          <w:rFonts w:ascii="Times New Roman" w:hAnsi="Times New Roman" w:cs="Times New Roman"/>
          <w:sz w:val="24"/>
          <w:szCs w:val="24"/>
          <w:lang w:val="lt-LT"/>
        </w:rPr>
        <w:t>anksto bankroto grėsmę ir atitinkamai jos išvengti</w:t>
      </w:r>
      <w:r w:rsidR="000B6358" w:rsidRPr="0017614D">
        <w:rPr>
          <w:rFonts w:ascii="Times New Roman" w:hAnsi="Times New Roman" w:cs="Times New Roman"/>
          <w:sz w:val="24"/>
          <w:szCs w:val="24"/>
          <w:lang w:val="lt-LT"/>
        </w:rPr>
        <w:t xml:space="preserve">. </w:t>
      </w:r>
    </w:p>
    <w:p w:rsidR="003228C9" w:rsidRPr="0017614D" w:rsidRDefault="003228C9" w:rsidP="003228C9">
      <w:pPr>
        <w:autoSpaceDE w:val="0"/>
        <w:autoSpaceDN w:val="0"/>
        <w:adjustRightInd w:val="0"/>
        <w:spacing w:after="0" w:line="360" w:lineRule="auto"/>
        <w:ind w:firstLine="737"/>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Dažnai įmonės vertina savo veiklą bei galimą bankroto grėsmę absoliutinių arba finansinių s</w:t>
      </w:r>
      <w:r w:rsidR="002663B6" w:rsidRPr="0017614D">
        <w:rPr>
          <w:rFonts w:ascii="Times New Roman" w:hAnsi="Times New Roman" w:cs="Times New Roman"/>
          <w:sz w:val="24"/>
          <w:szCs w:val="24"/>
          <w:lang w:val="lt-LT"/>
        </w:rPr>
        <w:t>an</w:t>
      </w:r>
      <w:r w:rsidRPr="0017614D">
        <w:rPr>
          <w:rFonts w:ascii="Times New Roman" w:hAnsi="Times New Roman" w:cs="Times New Roman"/>
          <w:sz w:val="24"/>
          <w:szCs w:val="24"/>
          <w:lang w:val="lt-LT"/>
        </w:rPr>
        <w:t xml:space="preserve">tykinių rodiklių analizės pagalba. Taip pat nemažai populiarūs yra bankroto prognozavimo modeliai, kurie parodo įmonės tikimybę bankrutuoti </w:t>
      </w:r>
      <w:r w:rsidR="003A7BF0" w:rsidRPr="0017614D">
        <w:rPr>
          <w:rFonts w:ascii="Times New Roman" w:hAnsi="Times New Roman" w:cs="Times New Roman"/>
          <w:sz w:val="24"/>
          <w:szCs w:val="24"/>
          <w:lang w:val="lt-LT"/>
        </w:rPr>
        <w:t>„</w:t>
      </w:r>
      <w:r w:rsidRPr="0017614D">
        <w:rPr>
          <w:rFonts w:ascii="Times New Roman" w:hAnsi="Times New Roman" w:cs="Times New Roman"/>
          <w:sz w:val="24"/>
          <w:szCs w:val="24"/>
          <w:lang w:val="lt-LT"/>
        </w:rPr>
        <w:t>artimiausiu metu</w:t>
      </w:r>
      <w:r w:rsidR="003A7BF0" w:rsidRPr="0017614D">
        <w:rPr>
          <w:rFonts w:ascii="Times New Roman" w:hAnsi="Times New Roman" w:cs="Times New Roman"/>
          <w:sz w:val="24"/>
          <w:szCs w:val="24"/>
          <w:lang w:val="lt-LT"/>
        </w:rPr>
        <w:t>“</w:t>
      </w:r>
      <w:r w:rsidRPr="0017614D">
        <w:rPr>
          <w:rFonts w:ascii="Times New Roman" w:hAnsi="Times New Roman" w:cs="Times New Roman"/>
          <w:sz w:val="24"/>
          <w:szCs w:val="24"/>
          <w:lang w:val="lt-LT"/>
        </w:rPr>
        <w:t xml:space="preserve">. </w:t>
      </w:r>
      <w:r w:rsidR="003A7BF0" w:rsidRPr="0017614D">
        <w:rPr>
          <w:rFonts w:ascii="Times New Roman" w:hAnsi="Times New Roman" w:cs="Times New Roman"/>
          <w:sz w:val="24"/>
          <w:szCs w:val="24"/>
          <w:lang w:val="lt-LT"/>
        </w:rPr>
        <w:t>Taigi</w:t>
      </w:r>
      <w:r w:rsidRPr="0017614D">
        <w:rPr>
          <w:rFonts w:ascii="Times New Roman" w:hAnsi="Times New Roman" w:cs="Times New Roman"/>
          <w:sz w:val="24"/>
          <w:szCs w:val="24"/>
          <w:lang w:val="lt-LT"/>
        </w:rPr>
        <w:t xml:space="preserve">, bankroto diagnostikai gali būti taikomi įvarūs metodai, tačiau svarbu atkreipti dėmesį, kad visi jie turi savo trūkumų ir dažnai yra netobuli. Dėl šios priežasties šio darbo tyrimui buvo pasirinkta </w:t>
      </w:r>
      <w:r w:rsidR="00697522" w:rsidRPr="0017614D">
        <w:rPr>
          <w:rFonts w:ascii="Times New Roman" w:hAnsi="Times New Roman" w:cs="Times New Roman"/>
          <w:sz w:val="24"/>
          <w:szCs w:val="24"/>
          <w:lang w:val="lt-LT"/>
        </w:rPr>
        <w:t>kompleksinė</w:t>
      </w:r>
      <w:r w:rsidRPr="0017614D">
        <w:rPr>
          <w:rFonts w:ascii="Times New Roman" w:hAnsi="Times New Roman" w:cs="Times New Roman"/>
          <w:sz w:val="24"/>
          <w:szCs w:val="24"/>
          <w:lang w:val="lt-LT"/>
        </w:rPr>
        <w:t xml:space="preserve"> bankroto diagnostikos metodika, kuri savyje apima daug elementų ir leidžia </w:t>
      </w:r>
      <w:r w:rsidR="003A7BF0" w:rsidRPr="0017614D">
        <w:rPr>
          <w:rFonts w:ascii="Times New Roman" w:hAnsi="Times New Roman" w:cs="Times New Roman"/>
          <w:sz w:val="24"/>
          <w:szCs w:val="24"/>
          <w:lang w:val="lt-LT"/>
        </w:rPr>
        <w:t>atlikti įvairiapusę įmonės analizę</w:t>
      </w:r>
      <w:r w:rsidRPr="0017614D">
        <w:rPr>
          <w:rFonts w:ascii="Times New Roman" w:hAnsi="Times New Roman" w:cs="Times New Roman"/>
          <w:sz w:val="24"/>
          <w:szCs w:val="24"/>
          <w:lang w:val="lt-LT"/>
        </w:rPr>
        <w:t>.</w:t>
      </w:r>
    </w:p>
    <w:p w:rsidR="003228C9" w:rsidRPr="0017614D" w:rsidRDefault="003A7BF0" w:rsidP="003228C9">
      <w:pPr>
        <w:autoSpaceDE w:val="0"/>
        <w:autoSpaceDN w:val="0"/>
        <w:adjustRightInd w:val="0"/>
        <w:spacing w:after="0" w:line="360" w:lineRule="auto"/>
        <w:ind w:firstLine="539"/>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K</w:t>
      </w:r>
      <w:r w:rsidR="00697522" w:rsidRPr="0017614D">
        <w:rPr>
          <w:rFonts w:ascii="Times New Roman" w:hAnsi="Times New Roman" w:cs="Times New Roman"/>
          <w:sz w:val="24"/>
          <w:szCs w:val="24"/>
          <w:lang w:val="lt-LT"/>
        </w:rPr>
        <w:t>ompleksinę</w:t>
      </w:r>
      <w:r w:rsidR="003228C9" w:rsidRPr="0017614D">
        <w:rPr>
          <w:rFonts w:ascii="Times New Roman" w:hAnsi="Times New Roman" w:cs="Times New Roman"/>
          <w:sz w:val="24"/>
          <w:szCs w:val="24"/>
          <w:lang w:val="lt-LT"/>
        </w:rPr>
        <w:t xml:space="preserve"> arba kitaip dar vadinama integruotą bankroto grėsmės nust</w:t>
      </w:r>
      <w:r w:rsidRPr="0017614D">
        <w:rPr>
          <w:rFonts w:ascii="Times New Roman" w:hAnsi="Times New Roman" w:cs="Times New Roman"/>
          <w:sz w:val="24"/>
          <w:szCs w:val="24"/>
          <w:lang w:val="lt-LT"/>
        </w:rPr>
        <w:t>atymo metodiką daugiausiai nagrinėja</w:t>
      </w:r>
      <w:r w:rsidR="003228C9" w:rsidRPr="0017614D">
        <w:rPr>
          <w:rFonts w:ascii="Times New Roman" w:hAnsi="Times New Roman" w:cs="Times New Roman"/>
          <w:sz w:val="24"/>
          <w:szCs w:val="24"/>
          <w:lang w:val="lt-LT"/>
        </w:rPr>
        <w:t xml:space="preserve"> Lietuvių autoriai, tuo tarpu užsienio autoriai neišskiria šios metodikos kaip tokios. Užsienio literatūroje dažniau galima sutikti apibendrintas rizikos nustatymo ir valdymo integruotas metodikas, kurios turi daug bendro su bankroto grėsmės nustatymo metodika, tačiau yra platesnės, bendresnės ir pritaikomos skirtingoms rizikoms. </w:t>
      </w:r>
    </w:p>
    <w:p w:rsidR="000B6358" w:rsidRPr="0017614D" w:rsidRDefault="000B6358" w:rsidP="003228C9">
      <w:pPr>
        <w:autoSpaceDE w:val="0"/>
        <w:autoSpaceDN w:val="0"/>
        <w:adjustRightInd w:val="0"/>
        <w:spacing w:after="0" w:line="360" w:lineRule="auto"/>
        <w:ind w:firstLine="539"/>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Tyrimui pasirinkta naudoti J. Mackevičiaus (2010) pasiūlytą integruotą bankroto grėsmės nustatymo metodiką, kuri apima penkis elementus:</w:t>
      </w:r>
    </w:p>
    <w:p w:rsidR="003228C9" w:rsidRPr="0017614D" w:rsidRDefault="000B6358" w:rsidP="00417443">
      <w:pPr>
        <w:pStyle w:val="ListParagraph"/>
        <w:numPr>
          <w:ilvl w:val="0"/>
          <w:numId w:val="14"/>
        </w:numPr>
        <w:spacing w:after="0" w:line="360" w:lineRule="auto"/>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įmonės išorės</w:t>
      </w:r>
      <w:r w:rsidR="003228C9" w:rsidRPr="0017614D">
        <w:rPr>
          <w:rFonts w:ascii="Times New Roman" w:hAnsi="Times New Roman" w:cs="Times New Roman"/>
          <w:sz w:val="24"/>
          <w:szCs w:val="24"/>
          <w:lang w:val="lt-LT"/>
        </w:rPr>
        <w:t xml:space="preserve"> aplinkos tyrimas;</w:t>
      </w:r>
    </w:p>
    <w:p w:rsidR="000B6358" w:rsidRPr="0017614D" w:rsidRDefault="000B6358" w:rsidP="00417443">
      <w:pPr>
        <w:pStyle w:val="ListParagraph"/>
        <w:numPr>
          <w:ilvl w:val="0"/>
          <w:numId w:val="14"/>
        </w:numPr>
        <w:spacing w:after="0" w:line="360" w:lineRule="auto"/>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įmonės vidaus aplinkos tyrimas;</w:t>
      </w:r>
    </w:p>
    <w:p w:rsidR="003228C9" w:rsidRPr="0017614D" w:rsidRDefault="003228C9" w:rsidP="00417443">
      <w:pPr>
        <w:pStyle w:val="ListParagraph"/>
        <w:numPr>
          <w:ilvl w:val="0"/>
          <w:numId w:val="14"/>
        </w:numPr>
        <w:spacing w:after="0" w:line="360" w:lineRule="auto"/>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absoliutinių finansinių rodiklių pokyčių vertinimas;</w:t>
      </w:r>
    </w:p>
    <w:p w:rsidR="003228C9" w:rsidRPr="0017614D" w:rsidRDefault="003228C9" w:rsidP="00417443">
      <w:pPr>
        <w:pStyle w:val="ListParagraph"/>
        <w:numPr>
          <w:ilvl w:val="0"/>
          <w:numId w:val="14"/>
        </w:numPr>
        <w:spacing w:after="0" w:line="360" w:lineRule="auto"/>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santykinių finansinių rodiklių skaičiavimas ir vertinimas;</w:t>
      </w:r>
    </w:p>
    <w:p w:rsidR="003228C9" w:rsidRPr="0017614D" w:rsidRDefault="003228C9" w:rsidP="00417443">
      <w:pPr>
        <w:pStyle w:val="ListParagraph"/>
        <w:numPr>
          <w:ilvl w:val="0"/>
          <w:numId w:val="14"/>
        </w:numPr>
        <w:spacing w:after="0" w:line="360" w:lineRule="auto"/>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bankroto prognozavimo modelių tai</w:t>
      </w:r>
      <w:r w:rsidR="002663B6" w:rsidRPr="0017614D">
        <w:rPr>
          <w:rFonts w:ascii="Times New Roman" w:hAnsi="Times New Roman" w:cs="Times New Roman"/>
          <w:sz w:val="24"/>
          <w:szCs w:val="24"/>
          <w:lang w:val="lt-LT"/>
        </w:rPr>
        <w:t>kymas</w:t>
      </w:r>
      <w:r w:rsidRPr="0017614D">
        <w:rPr>
          <w:rFonts w:ascii="Times New Roman" w:hAnsi="Times New Roman" w:cs="Times New Roman"/>
          <w:sz w:val="24"/>
          <w:szCs w:val="24"/>
          <w:lang w:val="lt-LT"/>
        </w:rPr>
        <w:t xml:space="preserve">. </w:t>
      </w:r>
    </w:p>
    <w:p w:rsidR="00E809CD" w:rsidRPr="0017614D" w:rsidRDefault="000B6358" w:rsidP="006B39FE">
      <w:pPr>
        <w:spacing w:after="0" w:line="360" w:lineRule="auto"/>
        <w:ind w:firstLine="540"/>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Tačiau atsižvelgiant į tai, kad šie penki elementai apima tik įmonės būklės analizę, bet ne</w:t>
      </w:r>
      <w:r w:rsidR="006B39FE" w:rsidRPr="0017614D">
        <w:rPr>
          <w:rFonts w:ascii="Times New Roman" w:hAnsi="Times New Roman" w:cs="Times New Roman"/>
          <w:sz w:val="24"/>
          <w:szCs w:val="24"/>
          <w:lang w:val="lt-LT"/>
        </w:rPr>
        <w:t>nurodo, ką reikia daryti įvertinus įmonės būklę nuspręsta įmonėms papildomai taikyti šeštąjį elementą</w:t>
      </w:r>
      <w:r w:rsidRPr="0017614D">
        <w:rPr>
          <w:rFonts w:ascii="Times New Roman" w:hAnsi="Times New Roman" w:cs="Times New Roman"/>
          <w:sz w:val="24"/>
          <w:szCs w:val="24"/>
          <w:lang w:val="lt-LT"/>
        </w:rPr>
        <w:t xml:space="preserve"> – post diag</w:t>
      </w:r>
      <w:r w:rsidR="006B39FE" w:rsidRPr="0017614D">
        <w:rPr>
          <w:rFonts w:ascii="Times New Roman" w:hAnsi="Times New Roman" w:cs="Times New Roman"/>
          <w:sz w:val="24"/>
          <w:szCs w:val="24"/>
          <w:lang w:val="lt-LT"/>
        </w:rPr>
        <w:t>nostinių priemonių taikymą</w:t>
      </w:r>
      <w:r w:rsidRPr="0017614D">
        <w:rPr>
          <w:rFonts w:ascii="Times New Roman" w:hAnsi="Times New Roman" w:cs="Times New Roman"/>
          <w:sz w:val="24"/>
          <w:szCs w:val="24"/>
          <w:lang w:val="lt-LT"/>
        </w:rPr>
        <w:t>.</w:t>
      </w:r>
      <w:r w:rsidR="002E08A9">
        <w:rPr>
          <w:rFonts w:ascii="Times New Roman" w:hAnsi="Times New Roman" w:cs="Times New Roman"/>
          <w:sz w:val="24"/>
          <w:szCs w:val="24"/>
          <w:lang w:val="lt-LT"/>
        </w:rPr>
        <w:t xml:space="preserve"> </w:t>
      </w:r>
    </w:p>
    <w:p w:rsidR="003228C9" w:rsidRPr="0017614D" w:rsidRDefault="00895373" w:rsidP="003228C9">
      <w:pPr>
        <w:autoSpaceDE w:val="0"/>
        <w:autoSpaceDN w:val="0"/>
        <w:adjustRightInd w:val="0"/>
        <w:spacing w:after="0" w:line="360" w:lineRule="auto"/>
        <w:ind w:firstLine="73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Taigi</w:t>
      </w:r>
      <w:r w:rsidR="00EE21B9" w:rsidRPr="0017614D">
        <w:rPr>
          <w:rFonts w:ascii="Times New Roman" w:hAnsi="Times New Roman" w:cs="Times New Roman"/>
          <w:sz w:val="24"/>
          <w:szCs w:val="24"/>
          <w:lang w:val="lt-LT"/>
        </w:rPr>
        <w:t>, visų pirmą, įmonėms turi būti atliekama kokybinė analizė. Taip yra, nes įmonės veiklos sėkmei</w:t>
      </w:r>
      <w:r w:rsidR="003228C9" w:rsidRPr="0017614D">
        <w:rPr>
          <w:rFonts w:ascii="Times New Roman" w:hAnsi="Times New Roman" w:cs="Times New Roman"/>
          <w:sz w:val="24"/>
          <w:szCs w:val="24"/>
          <w:lang w:val="lt-LT"/>
        </w:rPr>
        <w:t xml:space="preserve"> neišvengiamai </w:t>
      </w:r>
      <w:r w:rsidR="00EE21B9" w:rsidRPr="0017614D">
        <w:rPr>
          <w:rFonts w:ascii="Times New Roman" w:hAnsi="Times New Roman" w:cs="Times New Roman"/>
          <w:sz w:val="24"/>
          <w:szCs w:val="24"/>
          <w:lang w:val="lt-LT"/>
        </w:rPr>
        <w:t>daro įtaką</w:t>
      </w:r>
      <w:r w:rsidR="003228C9" w:rsidRPr="0017614D">
        <w:rPr>
          <w:rFonts w:ascii="Times New Roman" w:hAnsi="Times New Roman" w:cs="Times New Roman"/>
          <w:sz w:val="24"/>
          <w:szCs w:val="24"/>
          <w:lang w:val="lt-LT"/>
        </w:rPr>
        <w:t xml:space="preserve"> tiek vidaus, tiek įšorės aplin</w:t>
      </w:r>
      <w:r w:rsidR="00EE21B9" w:rsidRPr="0017614D">
        <w:rPr>
          <w:rFonts w:ascii="Times New Roman" w:hAnsi="Times New Roman" w:cs="Times New Roman"/>
          <w:sz w:val="24"/>
          <w:szCs w:val="24"/>
          <w:lang w:val="lt-LT"/>
        </w:rPr>
        <w:t>ka</w:t>
      </w:r>
      <w:r w:rsidR="00DB1D4C" w:rsidRPr="0017614D">
        <w:rPr>
          <w:rFonts w:ascii="Times New Roman" w:hAnsi="Times New Roman" w:cs="Times New Roman"/>
          <w:sz w:val="24"/>
          <w:szCs w:val="24"/>
          <w:lang w:val="lt-LT"/>
        </w:rPr>
        <w:t>, todėl</w:t>
      </w:r>
      <w:r w:rsidR="003228C9" w:rsidRPr="0017614D">
        <w:rPr>
          <w:rFonts w:ascii="Times New Roman" w:hAnsi="Times New Roman" w:cs="Times New Roman"/>
          <w:sz w:val="24"/>
          <w:szCs w:val="24"/>
          <w:lang w:val="lt-LT"/>
        </w:rPr>
        <w:t xml:space="preserve"> </w:t>
      </w:r>
      <w:r w:rsidR="00DB1D4C" w:rsidRPr="0017614D">
        <w:rPr>
          <w:rFonts w:ascii="Times New Roman" w:hAnsi="Times New Roman" w:cs="Times New Roman"/>
          <w:sz w:val="24"/>
          <w:szCs w:val="24"/>
          <w:lang w:val="lt-LT"/>
        </w:rPr>
        <w:t xml:space="preserve">siekiant </w:t>
      </w:r>
      <w:r w:rsidR="003228C9" w:rsidRPr="0017614D">
        <w:rPr>
          <w:rFonts w:ascii="Times New Roman" w:hAnsi="Times New Roman" w:cs="Times New Roman"/>
          <w:sz w:val="24"/>
          <w:szCs w:val="24"/>
          <w:lang w:val="lt-LT"/>
        </w:rPr>
        <w:t>išsiaiškinti</w:t>
      </w:r>
      <w:r w:rsidR="00DB1D4C" w:rsidRPr="0017614D">
        <w:rPr>
          <w:rFonts w:ascii="Times New Roman" w:hAnsi="Times New Roman" w:cs="Times New Roman"/>
          <w:sz w:val="24"/>
          <w:szCs w:val="24"/>
          <w:lang w:val="lt-LT"/>
        </w:rPr>
        <w:t xml:space="preserve"> ar</w:t>
      </w:r>
      <w:r w:rsidR="003228C9" w:rsidRPr="0017614D">
        <w:rPr>
          <w:rFonts w:ascii="Times New Roman" w:hAnsi="Times New Roman" w:cs="Times New Roman"/>
          <w:sz w:val="24"/>
          <w:szCs w:val="24"/>
          <w:lang w:val="lt-LT"/>
        </w:rPr>
        <w:t xml:space="preserve"> </w:t>
      </w:r>
      <w:r w:rsidR="004633A4">
        <w:rPr>
          <w:rFonts w:ascii="Times New Roman" w:hAnsi="Times New Roman" w:cs="Times New Roman"/>
          <w:sz w:val="24"/>
          <w:szCs w:val="24"/>
          <w:lang w:val="lt-LT"/>
        </w:rPr>
        <w:t>įmonei gre</w:t>
      </w:r>
      <w:r w:rsidR="00DB1D4C" w:rsidRPr="0017614D">
        <w:rPr>
          <w:rFonts w:ascii="Times New Roman" w:hAnsi="Times New Roman" w:cs="Times New Roman"/>
          <w:sz w:val="24"/>
          <w:szCs w:val="24"/>
          <w:lang w:val="lt-LT"/>
        </w:rPr>
        <w:t>sia bankrotas</w:t>
      </w:r>
      <w:r w:rsidR="003228C9" w:rsidRPr="0017614D">
        <w:rPr>
          <w:rFonts w:ascii="Times New Roman" w:hAnsi="Times New Roman" w:cs="Times New Roman"/>
          <w:sz w:val="24"/>
          <w:szCs w:val="24"/>
          <w:lang w:val="lt-LT"/>
        </w:rPr>
        <w:t xml:space="preserve"> </w:t>
      </w:r>
      <w:r w:rsidR="00EE21B9" w:rsidRPr="0017614D">
        <w:rPr>
          <w:rFonts w:ascii="Times New Roman" w:hAnsi="Times New Roman" w:cs="Times New Roman"/>
          <w:sz w:val="24"/>
          <w:szCs w:val="24"/>
          <w:lang w:val="lt-LT"/>
        </w:rPr>
        <w:t>būtina</w:t>
      </w:r>
      <w:r w:rsidR="00DB1D4C" w:rsidRPr="0017614D">
        <w:rPr>
          <w:rFonts w:ascii="Times New Roman" w:hAnsi="Times New Roman" w:cs="Times New Roman"/>
          <w:sz w:val="24"/>
          <w:szCs w:val="24"/>
          <w:lang w:val="lt-LT"/>
        </w:rPr>
        <w:t xml:space="preserve"> įvertinti</w:t>
      </w:r>
      <w:r w:rsidR="003228C9" w:rsidRPr="0017614D">
        <w:rPr>
          <w:rFonts w:ascii="Times New Roman" w:hAnsi="Times New Roman" w:cs="Times New Roman"/>
          <w:sz w:val="24"/>
          <w:szCs w:val="24"/>
          <w:lang w:val="lt-LT"/>
        </w:rPr>
        <w:t xml:space="preserve"> šių aplinkų poveikį įmonės veiklai.</w:t>
      </w:r>
    </w:p>
    <w:p w:rsidR="00942A9A" w:rsidRPr="0017614D" w:rsidRDefault="00EE21B9" w:rsidP="00942A9A">
      <w:pPr>
        <w:spacing w:after="0" w:line="360" w:lineRule="auto"/>
        <w:ind w:firstLine="720"/>
        <w:jc w:val="both"/>
        <w:rPr>
          <w:rFonts w:ascii="Times New Roman" w:hAnsi="Times New Roman" w:cs="Times New Roman"/>
          <w:sz w:val="24"/>
          <w:lang w:val="lt-LT"/>
        </w:rPr>
      </w:pPr>
      <w:r w:rsidRPr="0017614D">
        <w:rPr>
          <w:rFonts w:ascii="Times New Roman" w:hAnsi="Times New Roman" w:cs="Times New Roman"/>
          <w:sz w:val="24"/>
          <w:szCs w:val="24"/>
          <w:lang w:val="lt-LT"/>
        </w:rPr>
        <w:lastRenderedPageBreak/>
        <w:t>Pirmame skyriuje buvo aptarta, kad mokslininkai išskiria ne vieną išorinį veiksnį, galintį sukeltį bankrotą, tačiau verta atkreipti dėmesį, kad kiekvienai įmonei ar šakai gali būti reikšmigi skirtingi veiksniai.</w:t>
      </w:r>
      <w:r w:rsidR="00802DA2" w:rsidRPr="0017614D">
        <w:rPr>
          <w:rFonts w:ascii="Times New Roman" w:hAnsi="Times New Roman" w:cs="Times New Roman"/>
          <w:sz w:val="24"/>
          <w:szCs w:val="24"/>
          <w:lang w:val="lt-LT"/>
        </w:rPr>
        <w:t xml:space="preserve"> Šiame tyrime buvo nuspręsta analizuoti išorės aplinką remiantis J. Mackevičiaus (2010)</w:t>
      </w:r>
      <w:r w:rsidR="00DC136A" w:rsidRPr="0017614D">
        <w:rPr>
          <w:rFonts w:ascii="Times New Roman" w:hAnsi="Times New Roman" w:cs="Times New Roman"/>
          <w:sz w:val="24"/>
          <w:szCs w:val="24"/>
          <w:lang w:val="lt-LT"/>
        </w:rPr>
        <w:t xml:space="preserve"> pasi</w:t>
      </w:r>
      <w:r w:rsidR="00895373">
        <w:rPr>
          <w:rFonts w:ascii="Times New Roman" w:hAnsi="Times New Roman" w:cs="Times New Roman"/>
          <w:sz w:val="24"/>
          <w:szCs w:val="24"/>
          <w:lang w:val="lt-LT"/>
        </w:rPr>
        <w:t>ūlytais išorės veiksniais (žr. 8</w:t>
      </w:r>
      <w:r w:rsidR="00DC136A" w:rsidRPr="0017614D">
        <w:rPr>
          <w:rFonts w:ascii="Times New Roman" w:hAnsi="Times New Roman" w:cs="Times New Roman"/>
          <w:sz w:val="24"/>
          <w:szCs w:val="24"/>
          <w:lang w:val="lt-LT"/>
        </w:rPr>
        <w:t xml:space="preserve"> pav.).</w:t>
      </w:r>
      <w:r w:rsidR="00942A9A" w:rsidRPr="0017614D">
        <w:rPr>
          <w:rFonts w:ascii="Times New Roman" w:hAnsi="Times New Roman" w:cs="Times New Roman"/>
          <w:sz w:val="24"/>
          <w:szCs w:val="24"/>
          <w:lang w:val="lt-LT"/>
        </w:rPr>
        <w:t xml:space="preserve"> </w:t>
      </w:r>
      <w:r w:rsidR="00942A9A" w:rsidRPr="0017614D">
        <w:rPr>
          <w:rFonts w:ascii="Times New Roman" w:hAnsi="Times New Roman" w:cs="Times New Roman"/>
          <w:sz w:val="24"/>
          <w:lang w:val="lt-LT"/>
        </w:rPr>
        <w:t xml:space="preserve">Naginėjant </w:t>
      </w:r>
      <w:r w:rsidR="002E08A9">
        <w:rPr>
          <w:rFonts w:ascii="Times New Roman" w:hAnsi="Times New Roman" w:cs="Times New Roman"/>
          <w:sz w:val="24"/>
          <w:lang w:val="lt-LT"/>
        </w:rPr>
        <w:t xml:space="preserve">išorės aplinkos </w:t>
      </w:r>
      <w:r w:rsidR="00942A9A" w:rsidRPr="0017614D">
        <w:rPr>
          <w:rFonts w:ascii="Times New Roman" w:hAnsi="Times New Roman" w:cs="Times New Roman"/>
          <w:sz w:val="24"/>
          <w:lang w:val="lt-LT"/>
        </w:rPr>
        <w:t>ekonominius veiksnius būtina išanalizuoti infliaciją, valstybės monetarinę bei fiskalinę politiką, palūkanų normą, investicinę, užsienio prekybos bei paskolų politikas, eksportą/ importą, ūkio išsivystymą. Tuo tarpu aptariant politinius ir teisinius veiksnius reikia atkreipti dėmesį į teisės aktų pokyčius, valstybinį reguliavimą, politinės sistemos stabilumą. Išorinės aplinkos socialiniai ir kultūriniai veiksniai apima valstybės socialinę politiką, nedarbo lygį, emigraciją bei imigraciją, o technologiniai - valstybės inovacijų bei naujų technologijų atsiradimo skatinimą ir rėmimą</w:t>
      </w:r>
    </w:p>
    <w:p w:rsidR="00DC136A" w:rsidRPr="0017614D" w:rsidRDefault="00DC136A" w:rsidP="00802DA2">
      <w:pPr>
        <w:spacing w:after="0" w:line="360" w:lineRule="auto"/>
        <w:ind w:firstLine="540"/>
        <w:contextualSpacing/>
        <w:jc w:val="both"/>
        <w:rPr>
          <w:rFonts w:ascii="Times New Roman" w:hAnsi="Times New Roman" w:cs="Times New Roman"/>
          <w:sz w:val="24"/>
          <w:szCs w:val="24"/>
          <w:lang w:val="lt-LT"/>
        </w:rPr>
      </w:pPr>
    </w:p>
    <w:p w:rsidR="003228C9" w:rsidRPr="0017614D" w:rsidRDefault="003228C9" w:rsidP="00802DA2">
      <w:pPr>
        <w:spacing w:after="0" w:line="360" w:lineRule="auto"/>
        <w:ind w:firstLine="54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ab/>
      </w:r>
      <w:r w:rsidR="00DC136A" w:rsidRPr="0017614D">
        <w:rPr>
          <w:rFonts w:ascii="Times New Roman" w:hAnsi="Times New Roman" w:cs="Times New Roman"/>
          <w:noProof/>
          <w:sz w:val="24"/>
          <w:szCs w:val="24"/>
        </w:rPr>
        <w:drawing>
          <wp:inline distT="0" distB="0" distL="0" distR="0">
            <wp:extent cx="5734050" cy="2571750"/>
            <wp:effectExtent l="0" t="0" r="0"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E229F2" w:rsidRPr="005D3FF6" w:rsidRDefault="00E229F2" w:rsidP="00E229F2">
      <w:pPr>
        <w:spacing w:after="0"/>
        <w:ind w:left="360"/>
        <w:rPr>
          <w:rFonts w:ascii="Times New Roman" w:hAnsi="Times New Roman" w:cs="Times New Roman"/>
          <w:sz w:val="20"/>
          <w:lang w:val="lt-LT"/>
        </w:rPr>
      </w:pPr>
      <w:r w:rsidRPr="005D3FF6">
        <w:rPr>
          <w:rFonts w:ascii="Times New Roman" w:hAnsi="Times New Roman" w:cs="Times New Roman"/>
          <w:b/>
          <w:sz w:val="20"/>
          <w:lang w:val="lt-LT"/>
        </w:rPr>
        <w:t>Šaltinis:</w:t>
      </w:r>
      <w:r w:rsidRPr="005D3FF6">
        <w:rPr>
          <w:rFonts w:ascii="Times New Roman" w:hAnsi="Times New Roman" w:cs="Times New Roman"/>
          <w:sz w:val="20"/>
          <w:lang w:val="lt-LT"/>
        </w:rPr>
        <w:t xml:space="preserve"> Sudaryta pagal Mackevičius, 2010.</w:t>
      </w:r>
    </w:p>
    <w:p w:rsidR="002B57E2" w:rsidRPr="0017614D" w:rsidRDefault="00895373" w:rsidP="002B57E2">
      <w:pPr>
        <w:spacing w:after="0"/>
        <w:ind w:left="360"/>
        <w:jc w:val="center"/>
        <w:rPr>
          <w:rFonts w:ascii="Times New Roman" w:hAnsi="Times New Roman" w:cs="Times New Roman"/>
          <w:lang w:val="lt-LT"/>
        </w:rPr>
      </w:pPr>
      <w:r>
        <w:rPr>
          <w:rFonts w:ascii="Times New Roman" w:hAnsi="Times New Roman" w:cs="Times New Roman"/>
          <w:lang w:val="lt-LT"/>
        </w:rPr>
        <w:t>8</w:t>
      </w:r>
      <w:r w:rsidR="002B57E2" w:rsidRPr="0017614D">
        <w:rPr>
          <w:rFonts w:ascii="Times New Roman" w:hAnsi="Times New Roman" w:cs="Times New Roman"/>
          <w:lang w:val="lt-LT"/>
        </w:rPr>
        <w:t xml:space="preserve"> pav.</w:t>
      </w:r>
      <w:r w:rsidR="002B57E2" w:rsidRPr="0017614D">
        <w:rPr>
          <w:rFonts w:ascii="Times New Roman" w:hAnsi="Times New Roman" w:cs="Times New Roman"/>
          <w:b/>
          <w:lang w:val="lt-LT"/>
        </w:rPr>
        <w:t xml:space="preserve"> Išorinės aplinkos veiksniai</w:t>
      </w:r>
    </w:p>
    <w:p w:rsidR="00E229F2" w:rsidRPr="0017614D" w:rsidRDefault="00E229F2" w:rsidP="00E229F2">
      <w:pPr>
        <w:spacing w:after="0" w:line="360" w:lineRule="auto"/>
        <w:ind w:left="360"/>
        <w:jc w:val="center"/>
        <w:rPr>
          <w:rFonts w:ascii="Times New Roman" w:hAnsi="Times New Roman" w:cs="Times New Roman"/>
          <w:sz w:val="24"/>
          <w:lang w:val="lt-LT"/>
        </w:rPr>
      </w:pPr>
    </w:p>
    <w:p w:rsidR="003228C9" w:rsidRPr="0017614D" w:rsidRDefault="00802DA2" w:rsidP="003228C9">
      <w:pPr>
        <w:spacing w:after="0" w:line="360" w:lineRule="auto"/>
        <w:ind w:firstLine="720"/>
        <w:contextualSpacing/>
        <w:jc w:val="both"/>
        <w:rPr>
          <w:rFonts w:ascii="Times New Roman" w:hAnsi="Times New Roman" w:cs="Times New Roman"/>
          <w:sz w:val="24"/>
          <w:lang w:val="lt-LT"/>
        </w:rPr>
      </w:pPr>
      <w:r w:rsidRPr="0017614D">
        <w:rPr>
          <w:rFonts w:ascii="Times New Roman" w:hAnsi="Times New Roman" w:cs="Times New Roman"/>
          <w:sz w:val="24"/>
          <w:lang w:val="lt-LT"/>
        </w:rPr>
        <w:t>Šie penki veiksniai buvo pasirinkti ir todėl, kad</w:t>
      </w:r>
      <w:r w:rsidR="003228C9" w:rsidRPr="0017614D">
        <w:rPr>
          <w:rFonts w:ascii="Times New Roman" w:hAnsi="Times New Roman" w:cs="Times New Roman"/>
          <w:sz w:val="24"/>
          <w:lang w:val="lt-LT"/>
        </w:rPr>
        <w:t xml:space="preserve"> </w:t>
      </w:r>
      <w:r w:rsidRPr="0017614D">
        <w:rPr>
          <w:rFonts w:ascii="Times New Roman" w:hAnsi="Times New Roman" w:cs="Times New Roman"/>
          <w:sz w:val="24"/>
          <w:lang w:val="lt-LT"/>
        </w:rPr>
        <w:t>keturi iš jų</w:t>
      </w:r>
      <w:r w:rsidR="003228C9" w:rsidRPr="0017614D">
        <w:rPr>
          <w:rFonts w:ascii="Times New Roman" w:hAnsi="Times New Roman" w:cs="Times New Roman"/>
          <w:sz w:val="24"/>
          <w:lang w:val="lt-LT"/>
        </w:rPr>
        <w:t xml:space="preserve"> (ekonominiai, politiniai ir teisiniai, socialiniai ir kultūriniai bei technologiniai) atitinka pasaulyje pagarsėjusią PEST analizę, kurios pagalba yra analizuojama šalies makroekonominė aplinka, turinti įtaką įmonės veiklai, bei kuri yra naudojama kaip strateginio planavimo priemonė, kuri gali leisti suprasti rinkos augimo ir kitimo veiksnius, verslo poziciją bei potencialą. J. Mackevičius </w:t>
      </w:r>
      <w:r w:rsidR="00180EAE">
        <w:rPr>
          <w:rFonts w:ascii="Times New Roman" w:hAnsi="Times New Roman" w:cs="Times New Roman"/>
          <w:sz w:val="24"/>
          <w:lang w:val="lt-LT"/>
        </w:rPr>
        <w:t xml:space="preserve">(2010) </w:t>
      </w:r>
      <w:r w:rsidR="003228C9" w:rsidRPr="0017614D">
        <w:rPr>
          <w:rFonts w:ascii="Times New Roman" w:hAnsi="Times New Roman" w:cs="Times New Roman"/>
          <w:sz w:val="24"/>
          <w:lang w:val="lt-LT"/>
        </w:rPr>
        <w:t>šią puikiai visiem žinomą analizę papildo tik penktuoju elementų, t. y. ekologiniais veiksniais.</w:t>
      </w:r>
      <w:r w:rsidRPr="0017614D">
        <w:rPr>
          <w:rFonts w:ascii="Times New Roman" w:hAnsi="Times New Roman" w:cs="Times New Roman"/>
          <w:sz w:val="24"/>
          <w:lang w:val="lt-LT"/>
        </w:rPr>
        <w:t xml:space="preserve"> Visgi kalbant apie transportavimo įmones, svarbu atkreipti dėmesį, kad ekologiniai veiksniai joms daro pakankamai nedidelę įtaką, todėl šiam veiksniui gali būti skiriama mažiau dėmesio.</w:t>
      </w:r>
    </w:p>
    <w:p w:rsidR="003228C9" w:rsidRDefault="00352371" w:rsidP="00352371">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lastRenderedPageBreak/>
        <w:t>Atliekant įmonės kokybinę analizę taip pat būtina išanalizuoti ir vidinės aplinkos veiksnius</w:t>
      </w:r>
      <w:r w:rsidR="003228C9" w:rsidRPr="0017614D">
        <w:rPr>
          <w:rFonts w:ascii="Times New Roman" w:hAnsi="Times New Roman" w:cs="Times New Roman"/>
          <w:sz w:val="24"/>
          <w:szCs w:val="24"/>
          <w:lang w:val="lt-LT"/>
        </w:rPr>
        <w:t xml:space="preserve">. </w:t>
      </w:r>
      <w:r w:rsidRPr="0017614D">
        <w:rPr>
          <w:rFonts w:ascii="Times New Roman" w:hAnsi="Times New Roman" w:cs="Times New Roman"/>
          <w:sz w:val="24"/>
          <w:szCs w:val="24"/>
          <w:lang w:val="lt-LT"/>
        </w:rPr>
        <w:t xml:space="preserve">Tyrime buvo pasirinkta analizuoti </w:t>
      </w:r>
      <w:r w:rsidR="003228C9" w:rsidRPr="0017614D">
        <w:rPr>
          <w:rFonts w:ascii="Times New Roman" w:hAnsi="Times New Roman" w:cs="Times New Roman"/>
          <w:sz w:val="24"/>
          <w:szCs w:val="24"/>
          <w:lang w:val="lt-LT"/>
        </w:rPr>
        <w:t>A. N. Liukšinov</w:t>
      </w:r>
      <w:r w:rsidRPr="0017614D">
        <w:rPr>
          <w:rFonts w:ascii="Times New Roman" w:hAnsi="Times New Roman" w:cs="Times New Roman"/>
          <w:sz w:val="24"/>
          <w:szCs w:val="24"/>
          <w:lang w:val="lt-LT"/>
        </w:rPr>
        <w:t>o</w:t>
      </w:r>
      <w:r w:rsidR="003228C9" w:rsidRPr="0017614D">
        <w:rPr>
          <w:rFonts w:ascii="Times New Roman" w:hAnsi="Times New Roman" w:cs="Times New Roman"/>
          <w:sz w:val="24"/>
          <w:szCs w:val="24"/>
          <w:lang w:val="lt-LT"/>
        </w:rPr>
        <w:t xml:space="preserve"> (2000)</w:t>
      </w:r>
      <w:r w:rsidRPr="0017614D">
        <w:rPr>
          <w:rFonts w:ascii="Times New Roman" w:hAnsi="Times New Roman" w:cs="Times New Roman"/>
          <w:sz w:val="24"/>
          <w:szCs w:val="24"/>
          <w:lang w:val="lt-LT"/>
        </w:rPr>
        <w:t xml:space="preserve"> pateikiamus vidinius įmonės veiksnius (žr</w:t>
      </w:r>
      <w:r w:rsidR="00942A9A" w:rsidRPr="0017614D">
        <w:rPr>
          <w:rFonts w:ascii="Times New Roman" w:hAnsi="Times New Roman" w:cs="Times New Roman"/>
          <w:sz w:val="24"/>
          <w:szCs w:val="24"/>
          <w:lang w:val="lt-LT"/>
        </w:rPr>
        <w:t>.</w:t>
      </w:r>
      <w:r w:rsidRPr="0017614D">
        <w:rPr>
          <w:rFonts w:ascii="Times New Roman" w:hAnsi="Times New Roman" w:cs="Times New Roman"/>
          <w:sz w:val="24"/>
          <w:szCs w:val="24"/>
          <w:lang w:val="lt-LT"/>
        </w:rPr>
        <w:t xml:space="preserve"> </w:t>
      </w:r>
      <w:r w:rsidR="00895373">
        <w:rPr>
          <w:rFonts w:ascii="Times New Roman" w:hAnsi="Times New Roman" w:cs="Times New Roman"/>
          <w:sz w:val="24"/>
          <w:szCs w:val="24"/>
          <w:lang w:val="lt-LT"/>
        </w:rPr>
        <w:t>9</w:t>
      </w:r>
      <w:r w:rsidRPr="0017614D">
        <w:rPr>
          <w:rFonts w:ascii="Times New Roman" w:hAnsi="Times New Roman" w:cs="Times New Roman"/>
          <w:sz w:val="24"/>
          <w:szCs w:val="24"/>
          <w:lang w:val="lt-LT"/>
        </w:rPr>
        <w:t xml:space="preserve"> pav.)</w:t>
      </w:r>
      <w:r w:rsidR="003228C9" w:rsidRPr="0017614D">
        <w:rPr>
          <w:rFonts w:ascii="Times New Roman" w:hAnsi="Times New Roman" w:cs="Times New Roman"/>
          <w:sz w:val="24"/>
          <w:szCs w:val="24"/>
          <w:lang w:val="lt-LT"/>
        </w:rPr>
        <w:t>.</w:t>
      </w:r>
      <w:r w:rsidRPr="0017614D">
        <w:rPr>
          <w:rFonts w:ascii="Times New Roman" w:hAnsi="Times New Roman" w:cs="Times New Roman"/>
          <w:sz w:val="24"/>
          <w:szCs w:val="24"/>
          <w:lang w:val="lt-LT"/>
        </w:rPr>
        <w:t xml:space="preserve"> Jo nuomone, būtina išnagrinėti žmone</w:t>
      </w:r>
      <w:r w:rsidR="003228C9" w:rsidRPr="0017614D">
        <w:rPr>
          <w:rFonts w:ascii="Times New Roman" w:hAnsi="Times New Roman" w:cs="Times New Roman"/>
          <w:sz w:val="24"/>
          <w:szCs w:val="24"/>
          <w:lang w:val="lt-LT"/>
        </w:rPr>
        <w:t>s</w:t>
      </w:r>
      <w:r w:rsidRPr="0017614D">
        <w:rPr>
          <w:rFonts w:ascii="Times New Roman" w:hAnsi="Times New Roman" w:cs="Times New Roman"/>
          <w:sz w:val="24"/>
          <w:szCs w:val="24"/>
          <w:lang w:val="lt-LT"/>
        </w:rPr>
        <w:t>, kadangi jie</w:t>
      </w:r>
      <w:r w:rsidR="003228C9" w:rsidRPr="0017614D">
        <w:rPr>
          <w:rFonts w:ascii="Times New Roman" w:hAnsi="Times New Roman" w:cs="Times New Roman"/>
          <w:sz w:val="24"/>
          <w:szCs w:val="24"/>
          <w:lang w:val="lt-LT"/>
        </w:rPr>
        <w:t xml:space="preserve"> yra </w:t>
      </w:r>
      <w:r w:rsidRPr="0017614D">
        <w:rPr>
          <w:rFonts w:ascii="Times New Roman" w:hAnsi="Times New Roman" w:cs="Times New Roman"/>
          <w:sz w:val="24"/>
          <w:szCs w:val="24"/>
          <w:lang w:val="lt-LT"/>
        </w:rPr>
        <w:t>organizacijos pagrindas, nes</w:t>
      </w:r>
      <w:r w:rsidR="003228C9" w:rsidRPr="0017614D">
        <w:rPr>
          <w:rFonts w:ascii="Times New Roman" w:hAnsi="Times New Roman" w:cs="Times New Roman"/>
          <w:sz w:val="24"/>
          <w:szCs w:val="24"/>
          <w:lang w:val="lt-LT"/>
        </w:rPr>
        <w:t xml:space="preserve"> įgyvendina organizacijos tik</w:t>
      </w:r>
      <w:r w:rsidRPr="0017614D">
        <w:rPr>
          <w:rFonts w:ascii="Times New Roman" w:hAnsi="Times New Roman" w:cs="Times New Roman"/>
          <w:sz w:val="24"/>
          <w:szCs w:val="24"/>
          <w:lang w:val="lt-LT"/>
        </w:rPr>
        <w:t>slus, taip pat</w:t>
      </w:r>
      <w:r w:rsidR="003228C9" w:rsidRPr="0017614D">
        <w:rPr>
          <w:rFonts w:ascii="Times New Roman" w:hAnsi="Times New Roman" w:cs="Times New Roman"/>
          <w:sz w:val="24"/>
          <w:szCs w:val="24"/>
          <w:lang w:val="lt-LT"/>
        </w:rPr>
        <w:t xml:space="preserve"> </w:t>
      </w:r>
      <w:r w:rsidRPr="0017614D">
        <w:rPr>
          <w:rFonts w:ascii="Times New Roman" w:hAnsi="Times New Roman" w:cs="Times New Roman"/>
          <w:sz w:val="24"/>
          <w:szCs w:val="24"/>
          <w:lang w:val="lt-LT"/>
        </w:rPr>
        <w:t>tikslus - rezultatus</w:t>
      </w:r>
      <w:r w:rsidR="003228C9" w:rsidRPr="0017614D">
        <w:rPr>
          <w:rFonts w:ascii="Times New Roman" w:hAnsi="Times New Roman" w:cs="Times New Roman"/>
          <w:sz w:val="24"/>
          <w:szCs w:val="24"/>
          <w:lang w:val="lt-LT"/>
        </w:rPr>
        <w:t>, kuriuos organizacija stengiasi</w:t>
      </w:r>
      <w:r w:rsidRPr="0017614D">
        <w:rPr>
          <w:rFonts w:ascii="Times New Roman" w:hAnsi="Times New Roman" w:cs="Times New Roman"/>
          <w:sz w:val="24"/>
          <w:szCs w:val="24"/>
          <w:lang w:val="lt-LT"/>
        </w:rPr>
        <w:t xml:space="preserve"> pasiekti bei užduoti</w:t>
      </w:r>
      <w:r w:rsidR="003228C9" w:rsidRPr="0017614D">
        <w:rPr>
          <w:rFonts w:ascii="Times New Roman" w:hAnsi="Times New Roman" w:cs="Times New Roman"/>
          <w:sz w:val="24"/>
          <w:szCs w:val="24"/>
          <w:lang w:val="lt-LT"/>
        </w:rPr>
        <w:t>s - mažesni</w:t>
      </w:r>
      <w:r w:rsidRPr="0017614D">
        <w:rPr>
          <w:rFonts w:ascii="Times New Roman" w:hAnsi="Times New Roman" w:cs="Times New Roman"/>
          <w:sz w:val="24"/>
          <w:szCs w:val="24"/>
          <w:lang w:val="lt-LT"/>
        </w:rPr>
        <w:t xml:space="preserve">us žingsnelius, </w:t>
      </w:r>
      <w:r w:rsidR="003228C9" w:rsidRPr="0017614D">
        <w:rPr>
          <w:rFonts w:ascii="Times New Roman" w:hAnsi="Times New Roman" w:cs="Times New Roman"/>
          <w:sz w:val="24"/>
          <w:szCs w:val="24"/>
          <w:lang w:val="lt-LT"/>
        </w:rPr>
        <w:t>konkretizuoja</w:t>
      </w:r>
      <w:r w:rsidRPr="0017614D">
        <w:rPr>
          <w:rFonts w:ascii="Times New Roman" w:hAnsi="Times New Roman" w:cs="Times New Roman"/>
          <w:sz w:val="24"/>
          <w:szCs w:val="24"/>
          <w:lang w:val="lt-LT"/>
        </w:rPr>
        <w:t>nčius</w:t>
      </w:r>
      <w:r w:rsidR="003228C9" w:rsidRPr="0017614D">
        <w:rPr>
          <w:rFonts w:ascii="Times New Roman" w:hAnsi="Times New Roman" w:cs="Times New Roman"/>
          <w:sz w:val="24"/>
          <w:szCs w:val="24"/>
          <w:lang w:val="lt-LT"/>
        </w:rPr>
        <w:t xml:space="preserve"> organizacijos tikslus. </w:t>
      </w:r>
      <w:r w:rsidRPr="0017614D">
        <w:rPr>
          <w:rFonts w:ascii="Times New Roman" w:hAnsi="Times New Roman" w:cs="Times New Roman"/>
          <w:sz w:val="24"/>
          <w:szCs w:val="24"/>
          <w:lang w:val="lt-LT"/>
        </w:rPr>
        <w:t>Be to ne mažiau svarbi yra</w:t>
      </w:r>
      <w:r w:rsidR="003228C9" w:rsidRPr="0017614D">
        <w:rPr>
          <w:rFonts w:ascii="Times New Roman" w:hAnsi="Times New Roman" w:cs="Times New Roman"/>
          <w:sz w:val="24"/>
          <w:szCs w:val="24"/>
          <w:lang w:val="lt-LT"/>
        </w:rPr>
        <w:t xml:space="preserve"> technologija, kuri turi būti suprantama kaip įrengimų, įrankių ir atitinkamų techninių žinių derinys reikalingas darbui, informacijai ar medžiagoms transformuoti į produktus arba paslaugas, </w:t>
      </w:r>
      <w:r w:rsidRPr="0017614D">
        <w:rPr>
          <w:rFonts w:ascii="Times New Roman" w:hAnsi="Times New Roman" w:cs="Times New Roman"/>
          <w:sz w:val="24"/>
          <w:szCs w:val="24"/>
          <w:lang w:val="lt-LT"/>
        </w:rPr>
        <w:t xml:space="preserve">ir organizacijos struktūra – </w:t>
      </w:r>
      <w:r w:rsidR="003228C9" w:rsidRPr="0017614D">
        <w:rPr>
          <w:rFonts w:ascii="Times New Roman" w:hAnsi="Times New Roman" w:cs="Times New Roman"/>
          <w:sz w:val="24"/>
          <w:szCs w:val="24"/>
          <w:lang w:val="lt-LT"/>
        </w:rPr>
        <w:t>valdymo lygių ir funkcijų sričių ryšiai</w:t>
      </w:r>
      <w:r w:rsidR="006A1BFF">
        <w:rPr>
          <w:rFonts w:ascii="Times New Roman" w:hAnsi="Times New Roman" w:cs="Times New Roman"/>
          <w:sz w:val="24"/>
          <w:szCs w:val="24"/>
          <w:lang w:val="lt-LT"/>
        </w:rPr>
        <w:t>, vidaus kontrolės sistema</w:t>
      </w:r>
      <w:r w:rsidR="003228C9" w:rsidRPr="0017614D">
        <w:rPr>
          <w:rFonts w:ascii="Times New Roman" w:hAnsi="Times New Roman" w:cs="Times New Roman"/>
          <w:sz w:val="24"/>
          <w:szCs w:val="24"/>
          <w:lang w:val="lt-LT"/>
        </w:rPr>
        <w:t xml:space="preserve">. </w:t>
      </w:r>
      <w:r w:rsidRPr="0017614D">
        <w:rPr>
          <w:rFonts w:ascii="Times New Roman" w:hAnsi="Times New Roman" w:cs="Times New Roman"/>
          <w:sz w:val="24"/>
          <w:szCs w:val="24"/>
          <w:lang w:val="lt-LT"/>
        </w:rPr>
        <w:t>V</w:t>
      </w:r>
      <w:r w:rsidR="003228C9" w:rsidRPr="0017614D">
        <w:rPr>
          <w:rFonts w:ascii="Times New Roman" w:hAnsi="Times New Roman" w:cs="Times New Roman"/>
          <w:sz w:val="24"/>
          <w:szCs w:val="24"/>
          <w:lang w:val="lt-LT"/>
        </w:rPr>
        <w:t>isi šie vidinės aplinkos veiksniai tiesiogiai priklauso vie</w:t>
      </w:r>
      <w:r w:rsidRPr="0017614D">
        <w:rPr>
          <w:rFonts w:ascii="Times New Roman" w:hAnsi="Times New Roman" w:cs="Times New Roman"/>
          <w:sz w:val="24"/>
          <w:szCs w:val="24"/>
          <w:lang w:val="lt-LT"/>
        </w:rPr>
        <w:t xml:space="preserve">nas nuo kito, o jų viduje yra </w:t>
      </w:r>
      <w:r w:rsidR="003228C9" w:rsidRPr="0017614D">
        <w:rPr>
          <w:rFonts w:ascii="Times New Roman" w:hAnsi="Times New Roman" w:cs="Times New Roman"/>
          <w:sz w:val="24"/>
          <w:szCs w:val="24"/>
          <w:lang w:val="lt-LT"/>
        </w:rPr>
        <w:t>įmonės tikslai. Pagrindinių įmonės tikslų pasikeitimas sąlygotų ir kitų veiksnių pokyčius.</w:t>
      </w:r>
    </w:p>
    <w:p w:rsidR="006A1BFF" w:rsidRPr="0017614D" w:rsidRDefault="006A1BFF" w:rsidP="00352371">
      <w:pPr>
        <w:spacing w:after="0" w:line="360" w:lineRule="auto"/>
        <w:ind w:firstLine="720"/>
        <w:contextualSpacing/>
        <w:jc w:val="both"/>
        <w:rPr>
          <w:rFonts w:ascii="Times New Roman" w:hAnsi="Times New Roman" w:cs="Times New Roman"/>
          <w:sz w:val="24"/>
          <w:szCs w:val="24"/>
          <w:lang w:val="lt-LT"/>
        </w:rPr>
      </w:pPr>
    </w:p>
    <w:p w:rsidR="003228C9" w:rsidRPr="0017614D" w:rsidRDefault="003228C9" w:rsidP="003228C9">
      <w:pPr>
        <w:spacing w:after="0" w:line="360" w:lineRule="auto"/>
        <w:contextualSpacing/>
        <w:jc w:val="center"/>
        <w:rPr>
          <w:rFonts w:ascii="Times New Roman" w:hAnsi="Times New Roman" w:cs="Times New Roman"/>
          <w:sz w:val="24"/>
          <w:szCs w:val="24"/>
          <w:lang w:val="lt-LT"/>
        </w:rPr>
      </w:pPr>
      <w:r w:rsidRPr="0017614D">
        <w:rPr>
          <w:rFonts w:ascii="Times New Roman" w:hAnsi="Times New Roman" w:cs="Times New Roman"/>
          <w:noProof/>
          <w:sz w:val="24"/>
          <w:szCs w:val="24"/>
        </w:rPr>
        <w:drawing>
          <wp:inline distT="0" distB="0" distL="0" distR="0">
            <wp:extent cx="4819650" cy="1892420"/>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srcRect/>
                    <a:stretch>
                      <a:fillRect/>
                    </a:stretch>
                  </pic:blipFill>
                  <pic:spPr bwMode="auto">
                    <a:xfrm>
                      <a:off x="0" y="0"/>
                      <a:ext cx="4828019" cy="1895706"/>
                    </a:xfrm>
                    <a:prstGeom prst="rect">
                      <a:avLst/>
                    </a:prstGeom>
                    <a:noFill/>
                    <a:ln w="9525">
                      <a:noFill/>
                      <a:miter lim="800000"/>
                      <a:headEnd/>
                      <a:tailEnd/>
                    </a:ln>
                  </pic:spPr>
                </pic:pic>
              </a:graphicData>
            </a:graphic>
          </wp:inline>
        </w:drawing>
      </w:r>
    </w:p>
    <w:p w:rsidR="003228C9" w:rsidRPr="0017614D" w:rsidRDefault="003228C9" w:rsidP="003228C9">
      <w:pPr>
        <w:spacing w:after="0"/>
        <w:ind w:left="539"/>
        <w:contextualSpacing/>
        <w:rPr>
          <w:rFonts w:ascii="Times New Roman" w:hAnsi="Times New Roman" w:cs="Times New Roman"/>
          <w:lang w:val="lt-LT"/>
        </w:rPr>
      </w:pPr>
      <w:r w:rsidRPr="005D3FF6">
        <w:rPr>
          <w:rFonts w:ascii="Times New Roman" w:hAnsi="Times New Roman" w:cs="Times New Roman"/>
          <w:b/>
          <w:sz w:val="20"/>
          <w:lang w:val="lt-LT"/>
        </w:rPr>
        <w:t>Šaltinis:</w:t>
      </w:r>
      <w:r w:rsidRPr="005D3FF6">
        <w:rPr>
          <w:rFonts w:ascii="Times New Roman" w:hAnsi="Times New Roman" w:cs="Times New Roman"/>
          <w:sz w:val="20"/>
          <w:lang w:val="lt-LT"/>
        </w:rPr>
        <w:t xml:space="preserve"> </w:t>
      </w:r>
      <w:r w:rsidR="006A1BFF" w:rsidRPr="005D3FF6">
        <w:rPr>
          <w:rFonts w:ascii="Times New Roman" w:hAnsi="Times New Roman" w:cs="Times New Roman"/>
          <w:sz w:val="20"/>
          <w:lang w:val="lt-LT"/>
        </w:rPr>
        <w:t xml:space="preserve">Sudaryta pagal </w:t>
      </w:r>
      <w:r w:rsidRPr="005D3FF6">
        <w:rPr>
          <w:rFonts w:ascii="Times New Roman" w:hAnsi="Times New Roman" w:cs="Times New Roman"/>
          <w:sz w:val="20"/>
          <w:lang w:val="lt-LT"/>
        </w:rPr>
        <w:t>Liukšinov, 2000.</w:t>
      </w:r>
    </w:p>
    <w:p w:rsidR="002B57E2" w:rsidRPr="0017614D" w:rsidRDefault="00895373" w:rsidP="002B57E2">
      <w:pPr>
        <w:spacing w:after="0"/>
        <w:ind w:left="539"/>
        <w:contextualSpacing/>
        <w:jc w:val="center"/>
        <w:rPr>
          <w:rFonts w:ascii="Times New Roman" w:hAnsi="Times New Roman" w:cs="Times New Roman"/>
          <w:lang w:val="lt-LT"/>
        </w:rPr>
      </w:pPr>
      <w:r>
        <w:rPr>
          <w:rFonts w:ascii="Times New Roman" w:hAnsi="Times New Roman" w:cs="Times New Roman"/>
          <w:lang w:val="lt-LT"/>
        </w:rPr>
        <w:t>9</w:t>
      </w:r>
      <w:r w:rsidR="002B57E2" w:rsidRPr="0017614D">
        <w:rPr>
          <w:rFonts w:ascii="Times New Roman" w:hAnsi="Times New Roman" w:cs="Times New Roman"/>
          <w:lang w:val="lt-LT"/>
        </w:rPr>
        <w:t xml:space="preserve"> pav.</w:t>
      </w:r>
      <w:r w:rsidR="002B57E2" w:rsidRPr="0017614D">
        <w:rPr>
          <w:rFonts w:ascii="Times New Roman" w:hAnsi="Times New Roman" w:cs="Times New Roman"/>
          <w:b/>
          <w:lang w:val="lt-LT"/>
        </w:rPr>
        <w:t xml:space="preserve"> Organizacijos vidinė aplinka</w:t>
      </w:r>
    </w:p>
    <w:p w:rsidR="00942A9A" w:rsidRPr="0017614D" w:rsidRDefault="00942A9A" w:rsidP="003228C9">
      <w:pPr>
        <w:spacing w:after="0"/>
        <w:ind w:left="539"/>
        <w:contextualSpacing/>
        <w:rPr>
          <w:rFonts w:ascii="Times New Roman" w:hAnsi="Times New Roman" w:cs="Times New Roman"/>
          <w:lang w:val="lt-LT"/>
        </w:rPr>
      </w:pPr>
    </w:p>
    <w:p w:rsidR="00195365" w:rsidRPr="0017614D" w:rsidRDefault="00DB4812" w:rsidP="00195365">
      <w:pPr>
        <w:autoSpaceDE w:val="0"/>
        <w:autoSpaceDN w:val="0"/>
        <w:adjustRightInd w:val="0"/>
        <w:spacing w:after="0" w:line="360" w:lineRule="auto"/>
        <w:ind w:firstLine="737"/>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Visgi vien kokybinės išraiškos veiksnių nepakanka tam, kad galima būtų spręsti apie įmonei</w:t>
      </w:r>
      <w:r w:rsidR="0017614D" w:rsidRPr="0017614D">
        <w:rPr>
          <w:rFonts w:ascii="Times New Roman" w:hAnsi="Times New Roman" w:cs="Times New Roman"/>
          <w:sz w:val="24"/>
          <w:szCs w:val="24"/>
          <w:lang w:val="lt-LT"/>
        </w:rPr>
        <w:t xml:space="preserve"> gre</w:t>
      </w:r>
      <w:r w:rsidR="00195365" w:rsidRPr="0017614D">
        <w:rPr>
          <w:rFonts w:ascii="Times New Roman" w:hAnsi="Times New Roman" w:cs="Times New Roman"/>
          <w:sz w:val="24"/>
          <w:szCs w:val="24"/>
          <w:lang w:val="lt-LT"/>
        </w:rPr>
        <w:t>siančio bankroto tikimybę, kadangi d</w:t>
      </w:r>
      <w:r w:rsidRPr="0017614D">
        <w:rPr>
          <w:rFonts w:ascii="Times New Roman" w:hAnsi="Times New Roman" w:cs="Times New Roman"/>
          <w:sz w:val="24"/>
          <w:szCs w:val="24"/>
          <w:lang w:val="lt-LT"/>
        </w:rPr>
        <w:t xml:space="preserve">ažnai šie veiksniai yra analizuojami ir interpretuojami vieno arba kelių asmenų ir todėl pasižymi subjektyvumu. Dėl šios priežasties analizuojant įmonės veiklą būtina pasitelkti taip pat kiekybinės išraiškos veiksnius, t. y. finansinius įmonės skaičius. Būtent </w:t>
      </w:r>
      <w:r w:rsidR="00195365" w:rsidRPr="0017614D">
        <w:rPr>
          <w:rFonts w:ascii="Times New Roman" w:hAnsi="Times New Roman" w:cs="Times New Roman"/>
          <w:sz w:val="24"/>
          <w:szCs w:val="24"/>
          <w:lang w:val="lt-LT"/>
        </w:rPr>
        <w:t>todėl a</w:t>
      </w:r>
      <w:r w:rsidRPr="0017614D">
        <w:rPr>
          <w:rFonts w:ascii="Times New Roman" w:hAnsi="Times New Roman" w:cs="Times New Roman"/>
          <w:sz w:val="24"/>
          <w:szCs w:val="24"/>
          <w:lang w:val="lt-LT"/>
        </w:rPr>
        <w:t>ptarus pirmuosius du</w:t>
      </w:r>
      <w:r w:rsidR="003228C9" w:rsidRPr="0017614D">
        <w:rPr>
          <w:rFonts w:ascii="Times New Roman" w:hAnsi="Times New Roman" w:cs="Times New Roman"/>
          <w:sz w:val="24"/>
          <w:szCs w:val="24"/>
          <w:lang w:val="lt-LT"/>
        </w:rPr>
        <w:t xml:space="preserve"> </w:t>
      </w:r>
      <w:r w:rsidRPr="0017614D">
        <w:rPr>
          <w:rFonts w:ascii="Times New Roman" w:hAnsi="Times New Roman" w:cs="Times New Roman"/>
          <w:sz w:val="24"/>
          <w:szCs w:val="24"/>
          <w:lang w:val="lt-LT"/>
        </w:rPr>
        <w:t>kokybinės išraiškos kompleksinės</w:t>
      </w:r>
      <w:r w:rsidR="003228C9" w:rsidRPr="0017614D">
        <w:rPr>
          <w:rFonts w:ascii="Times New Roman" w:hAnsi="Times New Roman" w:cs="Times New Roman"/>
          <w:sz w:val="24"/>
          <w:szCs w:val="24"/>
          <w:lang w:val="lt-LT"/>
        </w:rPr>
        <w:t xml:space="preserve"> bankroto diagnozavimo metodikos ele</w:t>
      </w:r>
      <w:r w:rsidRPr="0017614D">
        <w:rPr>
          <w:rFonts w:ascii="Times New Roman" w:hAnsi="Times New Roman" w:cs="Times New Roman"/>
          <w:sz w:val="24"/>
          <w:szCs w:val="24"/>
          <w:lang w:val="lt-LT"/>
        </w:rPr>
        <w:t xml:space="preserve">mentus, tikslinga pereiti prie sekančio žingsnio – kiekybinės </w:t>
      </w:r>
      <w:r w:rsidR="00195365" w:rsidRPr="0017614D">
        <w:rPr>
          <w:rFonts w:ascii="Times New Roman" w:hAnsi="Times New Roman" w:cs="Times New Roman"/>
          <w:sz w:val="24"/>
          <w:szCs w:val="24"/>
          <w:lang w:val="lt-LT"/>
        </w:rPr>
        <w:t>įmonės būklės analizės.</w:t>
      </w:r>
    </w:p>
    <w:p w:rsidR="003228C9" w:rsidRPr="0017614D" w:rsidRDefault="00EF2C00" w:rsidP="00195365">
      <w:pPr>
        <w:autoSpaceDE w:val="0"/>
        <w:autoSpaceDN w:val="0"/>
        <w:adjustRightInd w:val="0"/>
        <w:spacing w:after="0" w:line="360" w:lineRule="auto"/>
        <w:ind w:firstLine="737"/>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Kiekybinę įmonės finansinių duomenų analizę verta pradėti nuo absoliutinių finansinių rodiklių pokyčių įvertinimo. Diagnozuojant</w:t>
      </w:r>
      <w:r w:rsidR="003228C9" w:rsidRPr="0017614D">
        <w:rPr>
          <w:rFonts w:ascii="Times New Roman" w:hAnsi="Times New Roman" w:cs="Times New Roman"/>
          <w:sz w:val="24"/>
          <w:szCs w:val="24"/>
          <w:lang w:val="lt-LT"/>
        </w:rPr>
        <w:t xml:space="preserve"> įmonės bankroto </w:t>
      </w:r>
      <w:r w:rsidRPr="0017614D">
        <w:rPr>
          <w:rFonts w:ascii="Times New Roman" w:hAnsi="Times New Roman" w:cs="Times New Roman"/>
          <w:sz w:val="24"/>
          <w:szCs w:val="24"/>
          <w:lang w:val="lt-LT"/>
        </w:rPr>
        <w:t>tikimybę</w:t>
      </w:r>
      <w:r w:rsidR="003228C9" w:rsidRPr="0017614D">
        <w:rPr>
          <w:rFonts w:ascii="Times New Roman" w:hAnsi="Times New Roman" w:cs="Times New Roman"/>
          <w:sz w:val="24"/>
          <w:szCs w:val="24"/>
          <w:lang w:val="lt-LT"/>
        </w:rPr>
        <w:t xml:space="preserve"> turi būti peržiūrimi visi finansinių ataskaitų (balanso, pelno (nuostolių), pinigų srautų, nuosavo kapitalo pokyčių ataskaitų ir aiškinamojo rašto) absoliutiniai rodikliai. Be to ypatingą dėmesį reikėtų </w:t>
      </w:r>
      <w:r w:rsidR="00383309" w:rsidRPr="0017614D">
        <w:rPr>
          <w:rFonts w:ascii="Times New Roman" w:hAnsi="Times New Roman" w:cs="Times New Roman"/>
          <w:sz w:val="24"/>
          <w:szCs w:val="24"/>
          <w:lang w:val="lt-LT"/>
        </w:rPr>
        <w:t>skirti</w:t>
      </w:r>
      <w:r w:rsidR="003228C9" w:rsidRPr="0017614D">
        <w:rPr>
          <w:rFonts w:ascii="Times New Roman" w:hAnsi="Times New Roman" w:cs="Times New Roman"/>
          <w:sz w:val="24"/>
          <w:szCs w:val="24"/>
          <w:lang w:val="lt-LT"/>
        </w:rPr>
        <w:t xml:space="preserve"> ilgalaikio bei trumpalaikio turto, nuosavo kapi</w:t>
      </w:r>
      <w:r w:rsidR="00383309" w:rsidRPr="0017614D">
        <w:rPr>
          <w:rFonts w:ascii="Times New Roman" w:hAnsi="Times New Roman" w:cs="Times New Roman"/>
          <w:sz w:val="24"/>
          <w:szCs w:val="24"/>
          <w:lang w:val="lt-LT"/>
        </w:rPr>
        <w:t>talo bei įsipareigojimų analizei</w:t>
      </w:r>
      <w:r w:rsidRPr="0017614D">
        <w:rPr>
          <w:rFonts w:ascii="Times New Roman" w:hAnsi="Times New Roman" w:cs="Times New Roman"/>
          <w:sz w:val="24"/>
          <w:szCs w:val="24"/>
          <w:lang w:val="lt-LT"/>
        </w:rPr>
        <w:t>.</w:t>
      </w:r>
      <w:r w:rsidR="003228C9" w:rsidRPr="0017614D">
        <w:rPr>
          <w:rFonts w:ascii="Times New Roman" w:hAnsi="Times New Roman" w:cs="Times New Roman"/>
          <w:sz w:val="24"/>
          <w:szCs w:val="24"/>
          <w:lang w:val="lt-LT"/>
        </w:rPr>
        <w:t xml:space="preserve"> </w:t>
      </w:r>
      <w:r w:rsidRPr="0017614D">
        <w:rPr>
          <w:rFonts w:ascii="Times New Roman" w:hAnsi="Times New Roman" w:cs="Times New Roman"/>
          <w:sz w:val="24"/>
          <w:szCs w:val="24"/>
          <w:lang w:val="lt-LT"/>
        </w:rPr>
        <w:t xml:space="preserve">J. Mackevičius (2010) pabrėžia, kad </w:t>
      </w:r>
      <w:r w:rsidR="00B35662" w:rsidRPr="0017614D">
        <w:rPr>
          <w:rFonts w:ascii="Times New Roman" w:hAnsi="Times New Roman" w:cs="Times New Roman"/>
          <w:sz w:val="24"/>
          <w:szCs w:val="24"/>
          <w:lang w:val="lt-LT"/>
        </w:rPr>
        <w:t xml:space="preserve">vertinant absoliutinius rodiklius </w:t>
      </w:r>
      <w:r w:rsidRPr="0017614D">
        <w:rPr>
          <w:rFonts w:ascii="Times New Roman" w:hAnsi="Times New Roman" w:cs="Times New Roman"/>
          <w:sz w:val="24"/>
          <w:szCs w:val="24"/>
          <w:lang w:val="lt-LT"/>
        </w:rPr>
        <w:t>būtina</w:t>
      </w:r>
      <w:r w:rsidR="003228C9" w:rsidRPr="0017614D">
        <w:rPr>
          <w:rFonts w:ascii="Times New Roman" w:hAnsi="Times New Roman" w:cs="Times New Roman"/>
          <w:sz w:val="24"/>
          <w:szCs w:val="24"/>
          <w:lang w:val="lt-LT"/>
        </w:rPr>
        <w:t xml:space="preserve"> atkreipti dėmesį į žemiau išvardytus balanso straipsnių pokyčių atvejus:</w:t>
      </w:r>
    </w:p>
    <w:p w:rsidR="003228C9" w:rsidRPr="0017614D" w:rsidRDefault="003228C9" w:rsidP="00417443">
      <w:pPr>
        <w:pStyle w:val="ListParagraph"/>
        <w:numPr>
          <w:ilvl w:val="0"/>
          <w:numId w:val="21"/>
        </w:numPr>
        <w:autoSpaceDE w:val="0"/>
        <w:autoSpaceDN w:val="0"/>
        <w:adjustRightInd w:val="0"/>
        <w:spacing w:after="0" w:line="360" w:lineRule="auto"/>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lastRenderedPageBreak/>
        <w:t>ilgalaikio turto sumažėjimas – būtina patikrinti ar turtas nebuvo parduotas siekiant sumažinti piniginių išteklių trūkumą;</w:t>
      </w:r>
    </w:p>
    <w:p w:rsidR="003228C9" w:rsidRPr="0017614D" w:rsidRDefault="003228C9" w:rsidP="00417443">
      <w:pPr>
        <w:pStyle w:val="ListParagraph"/>
        <w:numPr>
          <w:ilvl w:val="0"/>
          <w:numId w:val="21"/>
        </w:numPr>
        <w:autoSpaceDE w:val="0"/>
        <w:autoSpaceDN w:val="0"/>
        <w:adjustRightInd w:val="0"/>
        <w:spacing w:after="0" w:line="360" w:lineRule="auto"/>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ilgalaikio turto padidėjimas – reikia patikrinti, kokiu tikslu buvo pirktas turtas, ar lėšos buvo tinkamai investuotos, ar šios investicijos pagalba yra siekiama padidinti įmonės pelną o ne tik įšaldyti pinigines lėšas.</w:t>
      </w:r>
    </w:p>
    <w:p w:rsidR="003228C9" w:rsidRPr="0017614D" w:rsidRDefault="003228C9" w:rsidP="00417443">
      <w:pPr>
        <w:pStyle w:val="ListParagraph"/>
        <w:numPr>
          <w:ilvl w:val="0"/>
          <w:numId w:val="21"/>
        </w:numPr>
        <w:autoSpaceDE w:val="0"/>
        <w:autoSpaceDN w:val="0"/>
        <w:adjustRightInd w:val="0"/>
        <w:spacing w:after="0" w:line="360" w:lineRule="auto"/>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atsargų augimas – būtina patikrinti, ar tai lėmė pardavimų sulėtėjimas, ar teisingai yra planuojamas gamybos bei atsargų įsigijimo bei pardavimų ciklas, kaip veikia darbo organizacinė sistema.</w:t>
      </w:r>
    </w:p>
    <w:p w:rsidR="003228C9" w:rsidRPr="0017614D" w:rsidRDefault="003228C9" w:rsidP="00417443">
      <w:pPr>
        <w:pStyle w:val="ListParagraph"/>
        <w:numPr>
          <w:ilvl w:val="0"/>
          <w:numId w:val="21"/>
        </w:numPr>
        <w:autoSpaceDE w:val="0"/>
        <w:autoSpaceDN w:val="0"/>
        <w:adjustRightInd w:val="0"/>
        <w:spacing w:after="0" w:line="360" w:lineRule="auto"/>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per vienerius metus gautinų sumų didėjimas – reikia patikrinti, ar įmonės pirkėjai yra mokus, kaip veikia įmonės atsiskaitymų politika.</w:t>
      </w:r>
    </w:p>
    <w:p w:rsidR="003228C9" w:rsidRPr="0017614D" w:rsidRDefault="003228C9" w:rsidP="00417443">
      <w:pPr>
        <w:pStyle w:val="ListParagraph"/>
        <w:numPr>
          <w:ilvl w:val="0"/>
          <w:numId w:val="21"/>
        </w:numPr>
        <w:autoSpaceDE w:val="0"/>
        <w:autoSpaceDN w:val="0"/>
        <w:adjustRightInd w:val="0"/>
        <w:spacing w:after="0" w:line="360" w:lineRule="auto"/>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trumpalaikių ir ilgalaikių įsipareigojimų padidėjimas – yra finansinių problemų indikatorius, priverčiantis atkreipti dėmesį į priežastis, dėl kurių įmonė neatsiskaitė su darbuotojais, tiekėjais, kreditoriais arba galbūt nesumokėjo mokesčių į valstybės biudžetą. Lėšų trūkumas šiam tikslui parodo rimtas įmonės problemas.</w:t>
      </w:r>
    </w:p>
    <w:p w:rsidR="003228C9" w:rsidRPr="0017614D" w:rsidRDefault="003228C9" w:rsidP="003228C9">
      <w:pPr>
        <w:autoSpaceDE w:val="0"/>
        <w:autoSpaceDN w:val="0"/>
        <w:adjustRightInd w:val="0"/>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Nemažiau svarbu yra išnagrinėti pelno (nuostolių) ataskaitos absoliutinius rodiklius. Sie</w:t>
      </w:r>
      <w:r w:rsidR="004633A4">
        <w:rPr>
          <w:rFonts w:ascii="Times New Roman" w:hAnsi="Times New Roman" w:cs="Times New Roman"/>
          <w:sz w:val="24"/>
          <w:szCs w:val="24"/>
          <w:lang w:val="lt-LT"/>
        </w:rPr>
        <w:t>kiant diagnozuoti, ar įmonei gre</w:t>
      </w:r>
      <w:r w:rsidRPr="0017614D">
        <w:rPr>
          <w:rFonts w:ascii="Times New Roman" w:hAnsi="Times New Roman" w:cs="Times New Roman"/>
          <w:sz w:val="24"/>
          <w:szCs w:val="24"/>
          <w:lang w:val="lt-LT"/>
        </w:rPr>
        <w:t>sia bankrotas reikėtų atkreipti dėmesį į tokius šios ataskaitos straipsnius:</w:t>
      </w:r>
    </w:p>
    <w:p w:rsidR="003228C9" w:rsidRPr="0017614D" w:rsidRDefault="003228C9" w:rsidP="00417443">
      <w:pPr>
        <w:pStyle w:val="ListParagraph"/>
        <w:numPr>
          <w:ilvl w:val="0"/>
          <w:numId w:val="22"/>
        </w:numPr>
        <w:autoSpaceDE w:val="0"/>
        <w:autoSpaceDN w:val="0"/>
        <w:adjustRightInd w:val="0"/>
        <w:spacing w:after="0" w:line="360" w:lineRule="auto"/>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Pardavimo pajamos – šiam rodikliui mažėjant galima spręsti apie sumažėjusią paklausą, netinkamai suorganizuotą pardavimo procesą, rinkodaros strategijos trūkumą. Taip pat sumažėjusios pardavimų pajamos gali reikšti, jog įmonė pralaimi konkurencinę kovą arba gamina nekokybišką ar pasenusią produkciją.</w:t>
      </w:r>
    </w:p>
    <w:p w:rsidR="003228C9" w:rsidRPr="0017614D" w:rsidRDefault="003228C9" w:rsidP="00417443">
      <w:pPr>
        <w:pStyle w:val="ListParagraph"/>
        <w:numPr>
          <w:ilvl w:val="0"/>
          <w:numId w:val="22"/>
        </w:numPr>
        <w:autoSpaceDE w:val="0"/>
        <w:autoSpaceDN w:val="0"/>
        <w:adjustRightInd w:val="0"/>
        <w:spacing w:after="0" w:line="360" w:lineRule="auto"/>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Pardavimo sąnaudos – šio straipsnio didėjimas parodo netinkamą veiklos organizavimą, išteklių bei lėšų netaupų naudojimą bei švaistymą.</w:t>
      </w:r>
    </w:p>
    <w:p w:rsidR="003228C9" w:rsidRPr="0017614D" w:rsidRDefault="003228C9" w:rsidP="003228C9">
      <w:pPr>
        <w:autoSpaceDE w:val="0"/>
        <w:autoSpaceDN w:val="0"/>
        <w:adjustRightInd w:val="0"/>
        <w:spacing w:after="0" w:line="360" w:lineRule="auto"/>
        <w:ind w:firstLine="737"/>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 Visgi nors balansa</w:t>
      </w:r>
      <w:r w:rsidR="004633A4">
        <w:rPr>
          <w:rFonts w:ascii="Times New Roman" w:hAnsi="Times New Roman" w:cs="Times New Roman"/>
          <w:sz w:val="24"/>
          <w:szCs w:val="24"/>
          <w:lang w:val="lt-LT"/>
        </w:rPr>
        <w:t>s ir pelno (nuostolio) ataskaita</w:t>
      </w:r>
      <w:r w:rsidRPr="0017614D">
        <w:rPr>
          <w:rFonts w:ascii="Times New Roman" w:hAnsi="Times New Roman" w:cs="Times New Roman"/>
          <w:sz w:val="24"/>
          <w:szCs w:val="24"/>
          <w:lang w:val="lt-LT"/>
        </w:rPr>
        <w:t xml:space="preserve"> yra dažniausiai nagrinėjamos ataskaitos negalima pamiršti ir kitų, kurios duoda ne ką mažiau naudingos informacijos. Pavyzdžiui</w:t>
      </w:r>
      <w:r w:rsidR="004633A4">
        <w:rPr>
          <w:rFonts w:ascii="Times New Roman" w:hAnsi="Times New Roman" w:cs="Times New Roman"/>
          <w:sz w:val="24"/>
          <w:szCs w:val="24"/>
          <w:lang w:val="lt-LT"/>
        </w:rPr>
        <w:t>,</w:t>
      </w:r>
      <w:r w:rsidRPr="0017614D">
        <w:rPr>
          <w:rFonts w:ascii="Times New Roman" w:hAnsi="Times New Roman" w:cs="Times New Roman"/>
          <w:sz w:val="24"/>
          <w:szCs w:val="24"/>
          <w:lang w:val="lt-LT"/>
        </w:rPr>
        <w:t xml:space="preserve"> nagrinėjant pinigų srautų ataskaitą vert</w:t>
      </w:r>
      <w:r w:rsidR="004633A4">
        <w:rPr>
          <w:rFonts w:ascii="Times New Roman" w:hAnsi="Times New Roman" w:cs="Times New Roman"/>
          <w:sz w:val="24"/>
          <w:szCs w:val="24"/>
          <w:lang w:val="lt-LT"/>
        </w:rPr>
        <w:t>a</w:t>
      </w:r>
      <w:r w:rsidRPr="0017614D">
        <w:rPr>
          <w:rFonts w:ascii="Times New Roman" w:hAnsi="Times New Roman" w:cs="Times New Roman"/>
          <w:sz w:val="24"/>
          <w:szCs w:val="24"/>
          <w:lang w:val="lt-LT"/>
        </w:rPr>
        <w:t xml:space="preserve"> atkreipti dėmesį į pagrindinės veiklos pinigų srautus. Šio rodiklio sumažėjimas gali reikšti lėšų pagrindinės įmonės veiklos vykdymui bei plėtojimui trūkumą. Taip pat tai gali parodyti įmonės nesugebėjimą grąžinti paskolą ir palūkanas, sumokėti mokesčius į valstybės biudžetą, išmokėti dividendus akcininkams. Taip pat būtina atkreipti dėmesį į finansinės veiklos pinigų srautus. Jų sumažėjimas parodo, kad galbūt įmonė nesugeba pasinaudoti išoriniais finansavimo šaltiniais arba kreditoriai nesutinka išduoti paskolos įmonei dėl to, kad abejoja </w:t>
      </w:r>
      <w:r w:rsidR="004633A4">
        <w:rPr>
          <w:rFonts w:ascii="Times New Roman" w:hAnsi="Times New Roman" w:cs="Times New Roman"/>
          <w:sz w:val="24"/>
          <w:szCs w:val="24"/>
          <w:lang w:val="lt-LT"/>
        </w:rPr>
        <w:t>jos sugebėjimu</w:t>
      </w:r>
      <w:r w:rsidRPr="0017614D">
        <w:rPr>
          <w:rFonts w:ascii="Times New Roman" w:hAnsi="Times New Roman" w:cs="Times New Roman"/>
          <w:sz w:val="24"/>
          <w:szCs w:val="24"/>
          <w:lang w:val="lt-LT"/>
        </w:rPr>
        <w:t xml:space="preserve"> grąžinti įsiskolinimą. Taip pat tai gali reikšti santykių su trečiaisiais asmenimis pablogėjimą. </w:t>
      </w:r>
    </w:p>
    <w:p w:rsidR="003228C9" w:rsidRPr="0017614D" w:rsidRDefault="00B35662" w:rsidP="003228C9">
      <w:pPr>
        <w:autoSpaceDE w:val="0"/>
        <w:autoSpaceDN w:val="0"/>
        <w:adjustRightInd w:val="0"/>
        <w:spacing w:after="0" w:line="360" w:lineRule="auto"/>
        <w:ind w:firstLine="737"/>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lastRenderedPageBreak/>
        <w:t>Be to, jei</w:t>
      </w:r>
      <w:r w:rsidR="003228C9" w:rsidRPr="0017614D">
        <w:rPr>
          <w:rFonts w:ascii="Times New Roman" w:hAnsi="Times New Roman" w:cs="Times New Roman"/>
          <w:sz w:val="24"/>
          <w:szCs w:val="24"/>
          <w:lang w:val="lt-LT"/>
        </w:rPr>
        <w:t xml:space="preserve"> įmonės finansinėje atskaitomybėje atsiranda tokie straipsniai, kaip „Praėjusių metų nuostoliai“, „Ataskaitinių metų nuostoliai“, „Laiku neapmokėtos paskolos“, galima iškarto daryti išvadą, kad įmonė turi problemų ir jai gresia bankrotas (</w:t>
      </w:r>
      <w:r w:rsidRPr="0017614D">
        <w:rPr>
          <w:rFonts w:ascii="Times New Roman" w:hAnsi="Times New Roman" w:cs="Times New Roman"/>
          <w:sz w:val="24"/>
          <w:szCs w:val="24"/>
          <w:lang w:val="lt-LT"/>
        </w:rPr>
        <w:t>Grigaitienė, Patkauskienė, 2007</w:t>
      </w:r>
      <w:r w:rsidR="003228C9" w:rsidRPr="0017614D">
        <w:rPr>
          <w:rFonts w:ascii="Times New Roman" w:hAnsi="Times New Roman" w:cs="Times New Roman"/>
          <w:sz w:val="24"/>
          <w:szCs w:val="24"/>
          <w:lang w:val="lt-LT"/>
        </w:rPr>
        <w:t>).</w:t>
      </w:r>
    </w:p>
    <w:p w:rsidR="003228C9" w:rsidRPr="0017614D" w:rsidRDefault="00B35662" w:rsidP="0039602C">
      <w:pPr>
        <w:autoSpaceDE w:val="0"/>
        <w:autoSpaceDN w:val="0"/>
        <w:adjustRightInd w:val="0"/>
        <w:spacing w:after="0" w:line="360" w:lineRule="auto"/>
        <w:ind w:firstLine="737"/>
        <w:contextualSpacing/>
        <w:jc w:val="both"/>
        <w:rPr>
          <w:lang w:val="lt-LT"/>
        </w:rPr>
      </w:pPr>
      <w:r w:rsidRPr="0017614D">
        <w:rPr>
          <w:rFonts w:ascii="Times New Roman" w:hAnsi="Times New Roman" w:cs="Times New Roman"/>
          <w:sz w:val="24"/>
          <w:szCs w:val="24"/>
          <w:lang w:val="lt-LT"/>
        </w:rPr>
        <w:t>Visgi, nors</w:t>
      </w:r>
      <w:r w:rsidR="003228C9" w:rsidRPr="0017614D">
        <w:rPr>
          <w:rFonts w:ascii="Times New Roman" w:hAnsi="Times New Roman" w:cs="Times New Roman"/>
          <w:sz w:val="24"/>
          <w:szCs w:val="24"/>
          <w:lang w:val="lt-LT"/>
        </w:rPr>
        <w:t xml:space="preserve"> absoliutinių rodiklių pokyčių vertinimas gali </w:t>
      </w:r>
      <w:r w:rsidRPr="0017614D">
        <w:rPr>
          <w:rFonts w:ascii="Times New Roman" w:hAnsi="Times New Roman" w:cs="Times New Roman"/>
          <w:sz w:val="24"/>
          <w:szCs w:val="24"/>
          <w:lang w:val="lt-LT"/>
        </w:rPr>
        <w:t xml:space="preserve">padėti </w:t>
      </w:r>
      <w:r w:rsidR="003228C9" w:rsidRPr="0017614D">
        <w:rPr>
          <w:rFonts w:ascii="Times New Roman" w:hAnsi="Times New Roman" w:cs="Times New Roman"/>
          <w:sz w:val="24"/>
          <w:szCs w:val="24"/>
          <w:lang w:val="lt-LT"/>
        </w:rPr>
        <w:t>atskleisti įmonės veiklos trūkumu</w:t>
      </w:r>
      <w:r w:rsidRPr="0017614D">
        <w:rPr>
          <w:rFonts w:ascii="Times New Roman" w:hAnsi="Times New Roman" w:cs="Times New Roman"/>
          <w:sz w:val="24"/>
          <w:szCs w:val="24"/>
          <w:lang w:val="lt-LT"/>
        </w:rPr>
        <w:t>s, tačiau nereikia pamiršti, jog</w:t>
      </w:r>
      <w:r w:rsidR="003228C9" w:rsidRPr="0017614D">
        <w:rPr>
          <w:rFonts w:ascii="Times New Roman" w:hAnsi="Times New Roman" w:cs="Times New Roman"/>
          <w:sz w:val="24"/>
          <w:szCs w:val="24"/>
          <w:lang w:val="lt-LT"/>
        </w:rPr>
        <w:t xml:space="preserve"> vien </w:t>
      </w:r>
      <w:r w:rsidR="00383309" w:rsidRPr="0017614D">
        <w:rPr>
          <w:rFonts w:ascii="Times New Roman" w:hAnsi="Times New Roman" w:cs="Times New Roman"/>
          <w:sz w:val="24"/>
          <w:szCs w:val="24"/>
          <w:lang w:val="lt-LT"/>
        </w:rPr>
        <w:t>to</w:t>
      </w:r>
      <w:r w:rsidR="003228C9" w:rsidRPr="0017614D">
        <w:rPr>
          <w:rFonts w:ascii="Times New Roman" w:hAnsi="Times New Roman" w:cs="Times New Roman"/>
          <w:sz w:val="24"/>
          <w:szCs w:val="24"/>
          <w:lang w:val="lt-LT"/>
        </w:rPr>
        <w:t xml:space="preserve"> nepakanka, kad išsiaiškinti įmonės bankroto grėsmės egzistavimą</w:t>
      </w:r>
      <w:r w:rsidR="00B20E23">
        <w:rPr>
          <w:rFonts w:ascii="Times New Roman" w:hAnsi="Times New Roman" w:cs="Times New Roman"/>
          <w:sz w:val="24"/>
          <w:szCs w:val="24"/>
          <w:lang w:val="lt-LT"/>
        </w:rPr>
        <w:t>. Bet kokiu atveju yra būtina gy</w:t>
      </w:r>
      <w:r w:rsidR="003228C9" w:rsidRPr="0017614D">
        <w:rPr>
          <w:rFonts w:ascii="Times New Roman" w:hAnsi="Times New Roman" w:cs="Times New Roman"/>
          <w:sz w:val="24"/>
          <w:szCs w:val="24"/>
          <w:lang w:val="lt-LT"/>
        </w:rPr>
        <w:t>lesnė analizė</w:t>
      </w:r>
      <w:r w:rsidRPr="0017614D">
        <w:rPr>
          <w:rFonts w:ascii="Times New Roman" w:hAnsi="Times New Roman" w:cs="Times New Roman"/>
          <w:sz w:val="24"/>
          <w:szCs w:val="24"/>
          <w:lang w:val="lt-LT"/>
        </w:rPr>
        <w:t>, todėl taikant kompleksinę bankroto grėsmės nustatymo metodiką yra siūloma skaičiuoti ir finansinius santykinius įmonės rodiklius bei juos analizuoti.</w:t>
      </w:r>
      <w:r w:rsidRPr="0017614D">
        <w:rPr>
          <w:lang w:val="lt-LT"/>
        </w:rPr>
        <w:t xml:space="preserve"> </w:t>
      </w:r>
      <w:r w:rsidR="003228C9" w:rsidRPr="0017614D">
        <w:rPr>
          <w:rFonts w:ascii="Times New Roman" w:hAnsi="Times New Roman" w:cs="Times New Roman"/>
          <w:sz w:val="24"/>
          <w:szCs w:val="24"/>
          <w:lang w:val="lt-LT"/>
        </w:rPr>
        <w:t>Šį bankroto prevencijos būdą savo straipsniuose propaguoja tokie autoriai kaip T. Salmi ir kt. (</w:t>
      </w:r>
      <w:r w:rsidR="003228C9" w:rsidRPr="0017614D">
        <w:rPr>
          <w:rFonts w:ascii="Times New Roman" w:eastAsia="Times New Roman" w:hAnsi="Times New Roman" w:cs="Times New Roman"/>
          <w:sz w:val="24"/>
          <w:szCs w:val="24"/>
          <w:lang w:val="lt-LT"/>
        </w:rPr>
        <w:t>1988</w:t>
      </w:r>
      <w:r w:rsidR="003228C9" w:rsidRPr="0017614D">
        <w:rPr>
          <w:rFonts w:ascii="Times New Roman" w:hAnsi="Times New Roman" w:cs="Times New Roman"/>
          <w:sz w:val="24"/>
          <w:szCs w:val="24"/>
          <w:lang w:val="lt-LT"/>
        </w:rPr>
        <w:t>), C. Yoshiko Shirata (</w:t>
      </w:r>
      <w:r w:rsidR="003228C9" w:rsidRPr="0017614D">
        <w:rPr>
          <w:rFonts w:ascii="Times New Roman" w:eastAsia="Times New Roman" w:hAnsi="Times New Roman" w:cs="Times New Roman"/>
          <w:sz w:val="24"/>
          <w:szCs w:val="24"/>
          <w:lang w:val="lt-LT"/>
        </w:rPr>
        <w:t>1998), E. Zeytınoglu ir Y. Deniz Akarım (2013) ir kiti užsienio mokslininkai. Tuo tarpu tarp lietuvių autorių santykinių finansinių rodiklių analizei daugiausiai dėmesio skyrė J. Mackevičius (2010), J. Bivainis bei K. Garškaitė (2010).</w:t>
      </w:r>
      <w:r w:rsidRPr="0017614D">
        <w:rPr>
          <w:lang w:val="lt-LT"/>
        </w:rPr>
        <w:t xml:space="preserve"> </w:t>
      </w:r>
      <w:r w:rsidR="003228C9" w:rsidRPr="0017614D">
        <w:rPr>
          <w:rFonts w:ascii="Times New Roman" w:eastAsia="Times New Roman" w:hAnsi="Times New Roman" w:cs="Times New Roman"/>
          <w:sz w:val="24"/>
          <w:szCs w:val="24"/>
          <w:lang w:val="lt-LT"/>
        </w:rPr>
        <w:t>Visgi, reikėtų atkreipti dėmesį, kad nors santykinių rodiklių skaičiavimas yra pakankamai greitas ir nesunkus procesas, tačiau pasirenkant jį kaip būdą bankroto grėsmei nus</w:t>
      </w:r>
      <w:r w:rsidR="0039602C" w:rsidRPr="0017614D">
        <w:rPr>
          <w:rFonts w:ascii="Times New Roman" w:eastAsia="Times New Roman" w:hAnsi="Times New Roman" w:cs="Times New Roman"/>
          <w:sz w:val="24"/>
          <w:szCs w:val="24"/>
          <w:lang w:val="lt-LT"/>
        </w:rPr>
        <w:t>tatyti iškyla kalusimas,</w:t>
      </w:r>
      <w:r w:rsidR="003228C9" w:rsidRPr="0017614D">
        <w:rPr>
          <w:rFonts w:ascii="Times New Roman" w:hAnsi="Times New Roman" w:cs="Times New Roman"/>
          <w:sz w:val="24"/>
          <w:szCs w:val="24"/>
          <w:lang w:val="lt-LT"/>
        </w:rPr>
        <w:t xml:space="preserve"> kokius gi santykinius finansinius rodiklius pasirinkti skaičiuoti bei kaip juos vertinti. </w:t>
      </w:r>
      <w:r w:rsidR="0039602C" w:rsidRPr="0017614D">
        <w:rPr>
          <w:rFonts w:ascii="Times New Roman" w:hAnsi="Times New Roman" w:cs="Times New Roman"/>
          <w:sz w:val="24"/>
          <w:szCs w:val="24"/>
          <w:lang w:val="lt-LT"/>
        </w:rPr>
        <w:t>Standartiškai įmonėms yra siūloma skaičiuoti kelis pagrindinius rodiklius</w:t>
      </w:r>
      <w:r w:rsidR="003228C9" w:rsidRPr="0017614D">
        <w:rPr>
          <w:rFonts w:ascii="Times New Roman" w:hAnsi="Times New Roman" w:cs="Times New Roman"/>
          <w:sz w:val="24"/>
          <w:szCs w:val="24"/>
          <w:lang w:val="lt-LT"/>
        </w:rPr>
        <w:t xml:space="preserve">, kurie parodytų įmonės veiklos efektyvumą, pelningumą ir t.t. Be to negalima pamiršti ir įmonės veiklos specifikos. Priklausomai nuo šakos, kurioje įmonė dirba gali būti pasirenkami ir kiti labiau specifiški, tačiau individualiu atveju pakankamai svarbūs ir informatyvūs rodikliai. </w:t>
      </w:r>
    </w:p>
    <w:p w:rsidR="003228C9" w:rsidRPr="0017614D" w:rsidRDefault="0039602C" w:rsidP="003228C9">
      <w:pPr>
        <w:spacing w:after="0" w:line="360" w:lineRule="auto"/>
        <w:ind w:firstLine="737"/>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Transportavimo įmonių bankroto grėsmės diagnozavimo tyrimui bu</w:t>
      </w:r>
      <w:r w:rsidR="001A022F" w:rsidRPr="0017614D">
        <w:rPr>
          <w:rFonts w:ascii="Times New Roman" w:hAnsi="Times New Roman" w:cs="Times New Roman"/>
          <w:sz w:val="24"/>
          <w:szCs w:val="24"/>
          <w:lang w:val="lt-LT"/>
        </w:rPr>
        <w:t>vo pasirinkti 8 rodikliai (žr. 7</w:t>
      </w:r>
      <w:r w:rsidRPr="0017614D">
        <w:rPr>
          <w:rFonts w:ascii="Times New Roman" w:hAnsi="Times New Roman" w:cs="Times New Roman"/>
          <w:sz w:val="24"/>
          <w:szCs w:val="24"/>
          <w:lang w:val="lt-LT"/>
        </w:rPr>
        <w:t xml:space="preserve"> lent.), kurie buvo atrinkti s</w:t>
      </w:r>
      <w:r w:rsidR="003228C9" w:rsidRPr="0017614D">
        <w:rPr>
          <w:rFonts w:ascii="Times New Roman" w:hAnsi="Times New Roman" w:cs="Times New Roman"/>
          <w:sz w:val="24"/>
          <w:szCs w:val="24"/>
          <w:lang w:val="lt-LT"/>
        </w:rPr>
        <w:t xml:space="preserve">usisteminus </w:t>
      </w:r>
      <w:r w:rsidR="003228C9" w:rsidRPr="0017614D">
        <w:rPr>
          <w:rFonts w:ascii="Times New Roman" w:hAnsi="Times New Roman" w:cs="Times New Roman"/>
          <w:bCs/>
          <w:color w:val="131413"/>
          <w:sz w:val="24"/>
          <w:szCs w:val="24"/>
          <w:lang w:val="lt-LT"/>
        </w:rPr>
        <w:t>L. V. Philosophov</w:t>
      </w:r>
      <w:r w:rsidR="003228C9" w:rsidRPr="0017614D">
        <w:rPr>
          <w:rFonts w:ascii="Times New Roman" w:hAnsi="Times New Roman" w:cs="Times New Roman"/>
          <w:b/>
          <w:color w:val="FF0000"/>
          <w:sz w:val="24"/>
          <w:szCs w:val="24"/>
          <w:lang w:val="lt-LT"/>
        </w:rPr>
        <w:t xml:space="preserve"> </w:t>
      </w:r>
      <w:r w:rsidR="003228C9" w:rsidRPr="0017614D">
        <w:rPr>
          <w:rFonts w:ascii="Times New Roman" w:hAnsi="Times New Roman" w:cs="Times New Roman"/>
          <w:sz w:val="24"/>
          <w:szCs w:val="24"/>
          <w:lang w:val="lt-LT"/>
        </w:rPr>
        <w:t xml:space="preserve">ir kt. (2008), </w:t>
      </w:r>
      <w:r w:rsidR="003228C9" w:rsidRPr="0017614D">
        <w:rPr>
          <w:rFonts w:ascii="Times New Roman" w:eastAsia="Times New Roman" w:hAnsi="Times New Roman" w:cs="Times New Roman"/>
          <w:sz w:val="24"/>
          <w:szCs w:val="24"/>
          <w:lang w:val="lt-LT"/>
        </w:rPr>
        <w:t>E. Zeytınoglu ir Y. Deniz Akarım (2013), J. Mackevičiaus (2010), J. Bivainio bei K. Garškaitės (2010)</w:t>
      </w:r>
      <w:r w:rsidR="003228C9" w:rsidRPr="0017614D">
        <w:rPr>
          <w:rFonts w:ascii="Times New Roman" w:hAnsi="Times New Roman" w:cs="Times New Roman"/>
          <w:sz w:val="24"/>
          <w:szCs w:val="24"/>
          <w:lang w:val="lt-LT"/>
        </w:rPr>
        <w:t xml:space="preserve"> </w:t>
      </w:r>
      <w:r w:rsidRPr="0017614D">
        <w:rPr>
          <w:rFonts w:ascii="Times New Roman" w:hAnsi="Times New Roman" w:cs="Times New Roman"/>
          <w:sz w:val="24"/>
          <w:szCs w:val="24"/>
          <w:lang w:val="lt-LT"/>
        </w:rPr>
        <w:t>siūlomus skaičiuoti</w:t>
      </w:r>
      <w:r w:rsidR="003228C9" w:rsidRPr="0017614D">
        <w:rPr>
          <w:rFonts w:ascii="Times New Roman" w:hAnsi="Times New Roman" w:cs="Times New Roman"/>
          <w:sz w:val="24"/>
          <w:szCs w:val="24"/>
          <w:lang w:val="lt-LT"/>
        </w:rPr>
        <w:t xml:space="preserve"> finansinius rodiklius, kurie gali parodyti pagrindines įmonių problemas. </w:t>
      </w:r>
    </w:p>
    <w:p w:rsidR="0039602C" w:rsidRPr="0017614D" w:rsidRDefault="0039602C" w:rsidP="003228C9">
      <w:pPr>
        <w:spacing w:after="0" w:line="360" w:lineRule="auto"/>
        <w:ind w:firstLine="737"/>
        <w:contextualSpacing/>
        <w:jc w:val="both"/>
        <w:rPr>
          <w:rFonts w:ascii="Times New Roman" w:hAnsi="Times New Roman" w:cs="Times New Roman"/>
          <w:sz w:val="24"/>
          <w:szCs w:val="24"/>
          <w:lang w:val="lt-LT"/>
        </w:rPr>
      </w:pPr>
    </w:p>
    <w:p w:rsidR="003228C9" w:rsidRPr="0017614D" w:rsidRDefault="001A022F" w:rsidP="003228C9">
      <w:pPr>
        <w:spacing w:after="0"/>
        <w:contextualSpacing/>
        <w:jc w:val="center"/>
        <w:rPr>
          <w:lang w:val="lt-LT"/>
        </w:rPr>
      </w:pPr>
      <w:r w:rsidRPr="0017614D">
        <w:rPr>
          <w:rFonts w:ascii="Times New Roman" w:hAnsi="Times New Roman" w:cs="Times New Roman"/>
          <w:szCs w:val="24"/>
          <w:lang w:val="lt-LT"/>
        </w:rPr>
        <w:t>7</w:t>
      </w:r>
      <w:r w:rsidR="003228C9" w:rsidRPr="0017614D">
        <w:rPr>
          <w:rFonts w:ascii="Times New Roman" w:hAnsi="Times New Roman" w:cs="Times New Roman"/>
          <w:szCs w:val="24"/>
          <w:lang w:val="lt-LT"/>
        </w:rPr>
        <w:t xml:space="preserve"> lentelė.</w:t>
      </w:r>
      <w:r w:rsidR="003228C9" w:rsidRPr="0017614D">
        <w:rPr>
          <w:rFonts w:ascii="Times New Roman" w:hAnsi="Times New Roman" w:cs="Times New Roman"/>
          <w:b/>
          <w:szCs w:val="24"/>
          <w:lang w:val="lt-LT"/>
        </w:rPr>
        <w:t xml:space="preserve"> </w:t>
      </w:r>
      <w:r w:rsidR="003228C9" w:rsidRPr="0017614D">
        <w:rPr>
          <w:rFonts w:ascii="Times New Roman" w:hAnsi="Times New Roman" w:cs="Times New Roman"/>
          <w:b/>
          <w:lang w:val="lt-LT"/>
        </w:rPr>
        <w:t>Pagrindiniai finansiniai santykiniai rodikliai</w:t>
      </w:r>
    </w:p>
    <w:tbl>
      <w:tblPr>
        <w:tblStyle w:val="LightList-Accent6"/>
        <w:tblW w:w="0" w:type="auto"/>
        <w:tblLook w:val="04A0"/>
      </w:tblPr>
      <w:tblGrid>
        <w:gridCol w:w="3474"/>
        <w:gridCol w:w="3474"/>
        <w:gridCol w:w="3474"/>
      </w:tblGrid>
      <w:tr w:rsidR="003228C9" w:rsidRPr="0017614D" w:rsidTr="00A4340C">
        <w:trPr>
          <w:cnfStyle w:val="100000000000"/>
        </w:trPr>
        <w:tc>
          <w:tcPr>
            <w:cnfStyle w:val="001000000000"/>
            <w:tcW w:w="3474" w:type="dxa"/>
            <w:shd w:val="clear" w:color="auto" w:fill="FBD4B4" w:themeFill="accent6" w:themeFillTint="66"/>
          </w:tcPr>
          <w:p w:rsidR="003228C9" w:rsidRPr="0017614D" w:rsidRDefault="003228C9" w:rsidP="00A4340C">
            <w:pPr>
              <w:contextualSpacing/>
              <w:jc w:val="center"/>
              <w:rPr>
                <w:rFonts w:ascii="Times New Roman" w:hAnsi="Times New Roman" w:cs="Times New Roman"/>
                <w:color w:val="auto"/>
                <w:sz w:val="24"/>
                <w:szCs w:val="24"/>
                <w:lang w:val="lt-LT"/>
              </w:rPr>
            </w:pPr>
            <w:r w:rsidRPr="0017614D">
              <w:rPr>
                <w:rFonts w:ascii="Times New Roman" w:hAnsi="Times New Roman" w:cs="Times New Roman"/>
                <w:color w:val="auto"/>
                <w:sz w:val="24"/>
                <w:szCs w:val="24"/>
                <w:lang w:val="lt-LT"/>
              </w:rPr>
              <w:t>Rodiklio pavadinimas</w:t>
            </w:r>
          </w:p>
        </w:tc>
        <w:tc>
          <w:tcPr>
            <w:tcW w:w="3474" w:type="dxa"/>
            <w:shd w:val="clear" w:color="auto" w:fill="FBD4B4" w:themeFill="accent6" w:themeFillTint="66"/>
          </w:tcPr>
          <w:p w:rsidR="003228C9" w:rsidRPr="0017614D" w:rsidRDefault="003228C9" w:rsidP="00A4340C">
            <w:pPr>
              <w:contextualSpacing/>
              <w:jc w:val="center"/>
              <w:cnfStyle w:val="100000000000"/>
              <w:rPr>
                <w:rFonts w:ascii="Times New Roman" w:hAnsi="Times New Roman" w:cs="Times New Roman"/>
                <w:color w:val="auto"/>
                <w:sz w:val="24"/>
                <w:szCs w:val="24"/>
                <w:lang w:val="lt-LT"/>
              </w:rPr>
            </w:pPr>
            <w:r w:rsidRPr="0017614D">
              <w:rPr>
                <w:rFonts w:ascii="Times New Roman" w:hAnsi="Times New Roman" w:cs="Times New Roman"/>
                <w:color w:val="auto"/>
                <w:sz w:val="24"/>
                <w:szCs w:val="24"/>
                <w:lang w:val="lt-LT"/>
              </w:rPr>
              <w:t>Rodiklio apskaičiavimas</w:t>
            </w:r>
          </w:p>
        </w:tc>
        <w:tc>
          <w:tcPr>
            <w:tcW w:w="3474" w:type="dxa"/>
            <w:shd w:val="clear" w:color="auto" w:fill="FBD4B4" w:themeFill="accent6" w:themeFillTint="66"/>
          </w:tcPr>
          <w:p w:rsidR="003228C9" w:rsidRPr="0017614D" w:rsidRDefault="003228C9" w:rsidP="00A4340C">
            <w:pPr>
              <w:contextualSpacing/>
              <w:jc w:val="center"/>
              <w:cnfStyle w:val="100000000000"/>
              <w:rPr>
                <w:rFonts w:ascii="Times New Roman" w:hAnsi="Times New Roman" w:cs="Times New Roman"/>
                <w:color w:val="auto"/>
                <w:sz w:val="24"/>
                <w:szCs w:val="24"/>
                <w:lang w:val="lt-LT"/>
              </w:rPr>
            </w:pPr>
            <w:r w:rsidRPr="0017614D">
              <w:rPr>
                <w:rFonts w:ascii="Times New Roman" w:hAnsi="Times New Roman" w:cs="Times New Roman"/>
                <w:color w:val="auto"/>
                <w:sz w:val="24"/>
                <w:szCs w:val="24"/>
                <w:lang w:val="lt-LT"/>
              </w:rPr>
              <w:t>Rodiklio kritinė reikšmė (netinkama reikšmė)</w:t>
            </w:r>
          </w:p>
        </w:tc>
      </w:tr>
      <w:tr w:rsidR="003228C9" w:rsidRPr="0017614D" w:rsidTr="00A4340C">
        <w:trPr>
          <w:cnfStyle w:val="000000100000"/>
        </w:trPr>
        <w:tc>
          <w:tcPr>
            <w:cnfStyle w:val="001000000000"/>
            <w:tcW w:w="3474" w:type="dxa"/>
          </w:tcPr>
          <w:p w:rsidR="003228C9" w:rsidRPr="0017614D" w:rsidRDefault="003228C9" w:rsidP="00A4340C">
            <w:pPr>
              <w:contextualSpacing/>
              <w:jc w:val="center"/>
              <w:rPr>
                <w:rFonts w:ascii="Times New Roman" w:hAnsi="Times New Roman" w:cs="Times New Roman"/>
                <w:b w:val="0"/>
                <w:i/>
                <w:sz w:val="24"/>
                <w:szCs w:val="24"/>
                <w:lang w:val="lt-LT"/>
              </w:rPr>
            </w:pPr>
            <w:r w:rsidRPr="0017614D">
              <w:rPr>
                <w:rFonts w:ascii="Times New Roman" w:hAnsi="Times New Roman" w:cs="Times New Roman"/>
                <w:b w:val="0"/>
                <w:i/>
                <w:sz w:val="24"/>
                <w:szCs w:val="24"/>
                <w:lang w:val="lt-LT"/>
              </w:rPr>
              <w:t>Bendrasis trumpalaikio mokumo koeficientas</w:t>
            </w:r>
          </w:p>
        </w:tc>
        <w:tc>
          <w:tcPr>
            <w:tcW w:w="3474" w:type="dxa"/>
          </w:tcPr>
          <w:p w:rsidR="003228C9" w:rsidRPr="0017614D" w:rsidRDefault="003228C9" w:rsidP="00A4340C">
            <w:pPr>
              <w:suppressAutoHyphens/>
              <w:autoSpaceDE w:val="0"/>
              <w:autoSpaceDN w:val="0"/>
              <w:adjustRightInd w:val="0"/>
              <w:contextualSpacing/>
              <w:jc w:val="center"/>
              <w:cnfStyle w:val="000000100000"/>
              <w:rPr>
                <w:rFonts w:ascii="Times New Roman" w:hAnsi="Times New Roman" w:cs="Times New Roman"/>
                <w:sz w:val="24"/>
                <w:szCs w:val="24"/>
                <w:u w:val="single"/>
                <w:lang w:val="lt-LT"/>
              </w:rPr>
            </w:pPr>
            <w:r w:rsidRPr="0017614D">
              <w:rPr>
                <w:rFonts w:ascii="Times New Roman" w:hAnsi="Times New Roman" w:cs="Times New Roman"/>
                <w:sz w:val="24"/>
                <w:szCs w:val="24"/>
                <w:u w:val="single"/>
                <w:lang w:val="lt-LT"/>
              </w:rPr>
              <w:t>Trumpalaikis turtas</w:t>
            </w:r>
          </w:p>
          <w:p w:rsidR="003228C9" w:rsidRPr="0017614D" w:rsidRDefault="003228C9" w:rsidP="00A4340C">
            <w:pPr>
              <w:suppressAutoHyphens/>
              <w:autoSpaceDE w:val="0"/>
              <w:autoSpaceDN w:val="0"/>
              <w:adjustRightInd w:val="0"/>
              <w:contextualSpacing/>
              <w:jc w:val="center"/>
              <w:cnfStyle w:val="000000100000"/>
              <w:rPr>
                <w:rFonts w:ascii="Times New Roman" w:hAnsi="Times New Roman" w:cs="Times New Roman"/>
                <w:sz w:val="24"/>
                <w:szCs w:val="24"/>
                <w:lang w:val="lt-LT"/>
              </w:rPr>
            </w:pPr>
            <w:r w:rsidRPr="0017614D">
              <w:rPr>
                <w:rFonts w:ascii="Times New Roman" w:hAnsi="Times New Roman" w:cs="Times New Roman"/>
                <w:sz w:val="24"/>
                <w:szCs w:val="24"/>
                <w:lang w:val="lt-LT"/>
              </w:rPr>
              <w:t>Trumpalaikiai įsipareigojimai</w:t>
            </w:r>
          </w:p>
        </w:tc>
        <w:tc>
          <w:tcPr>
            <w:tcW w:w="3474" w:type="dxa"/>
          </w:tcPr>
          <w:p w:rsidR="003228C9" w:rsidRPr="0017614D" w:rsidRDefault="003228C9" w:rsidP="00A4340C">
            <w:pPr>
              <w:suppressAutoHyphens/>
              <w:autoSpaceDE w:val="0"/>
              <w:autoSpaceDN w:val="0"/>
              <w:adjustRightInd w:val="0"/>
              <w:contextualSpacing/>
              <w:jc w:val="center"/>
              <w:cnfStyle w:val="000000100000"/>
              <w:rPr>
                <w:rFonts w:ascii="Times New Roman" w:hAnsi="Times New Roman" w:cs="Times New Roman"/>
                <w:sz w:val="24"/>
                <w:szCs w:val="24"/>
                <w:lang w:val="lt-LT"/>
              </w:rPr>
            </w:pPr>
            <w:r w:rsidRPr="0017614D">
              <w:rPr>
                <w:rFonts w:ascii="Times New Roman" w:hAnsi="Times New Roman" w:cs="Times New Roman"/>
                <w:sz w:val="24"/>
                <w:szCs w:val="24"/>
                <w:lang w:val="lt-LT"/>
              </w:rPr>
              <w:t>Mažiau už 1,0</w:t>
            </w:r>
          </w:p>
        </w:tc>
      </w:tr>
      <w:tr w:rsidR="003228C9" w:rsidRPr="0017614D" w:rsidTr="00A4340C">
        <w:tc>
          <w:tcPr>
            <w:cnfStyle w:val="001000000000"/>
            <w:tcW w:w="3474" w:type="dxa"/>
          </w:tcPr>
          <w:p w:rsidR="003228C9" w:rsidRPr="0017614D" w:rsidRDefault="003228C9" w:rsidP="00A4340C">
            <w:pPr>
              <w:suppressAutoHyphens/>
              <w:autoSpaceDE w:val="0"/>
              <w:autoSpaceDN w:val="0"/>
              <w:adjustRightInd w:val="0"/>
              <w:contextualSpacing/>
              <w:jc w:val="center"/>
              <w:rPr>
                <w:rFonts w:ascii="Times New Roman" w:hAnsi="Times New Roman" w:cs="Times New Roman"/>
                <w:b w:val="0"/>
                <w:i/>
                <w:sz w:val="24"/>
                <w:szCs w:val="24"/>
                <w:lang w:val="lt-LT"/>
              </w:rPr>
            </w:pPr>
            <w:r w:rsidRPr="0017614D">
              <w:rPr>
                <w:rFonts w:ascii="Times New Roman" w:hAnsi="Times New Roman" w:cs="Times New Roman"/>
                <w:b w:val="0"/>
                <w:i/>
                <w:sz w:val="24"/>
                <w:szCs w:val="24"/>
                <w:lang w:val="lt-LT"/>
              </w:rPr>
              <w:t>Greitojo trumpalaikio mokumo koeficientas</w:t>
            </w:r>
          </w:p>
        </w:tc>
        <w:tc>
          <w:tcPr>
            <w:tcW w:w="3474" w:type="dxa"/>
          </w:tcPr>
          <w:p w:rsidR="003228C9" w:rsidRPr="0017614D" w:rsidRDefault="003228C9" w:rsidP="00A4340C">
            <w:pPr>
              <w:suppressAutoHyphens/>
              <w:autoSpaceDE w:val="0"/>
              <w:autoSpaceDN w:val="0"/>
              <w:adjustRightInd w:val="0"/>
              <w:contextualSpacing/>
              <w:jc w:val="center"/>
              <w:cnfStyle w:val="000000000000"/>
              <w:rPr>
                <w:rFonts w:ascii="Times New Roman" w:hAnsi="Times New Roman" w:cs="Times New Roman"/>
                <w:sz w:val="24"/>
                <w:szCs w:val="24"/>
                <w:u w:val="single"/>
                <w:lang w:val="lt-LT"/>
              </w:rPr>
            </w:pPr>
            <w:r w:rsidRPr="0017614D">
              <w:rPr>
                <w:rFonts w:ascii="Times New Roman" w:hAnsi="Times New Roman" w:cs="Times New Roman"/>
                <w:sz w:val="24"/>
                <w:szCs w:val="24"/>
                <w:u w:val="single"/>
                <w:lang w:val="lt-LT"/>
              </w:rPr>
              <w:t>Trumpalaikis turtas-Atsargos</w:t>
            </w:r>
          </w:p>
          <w:p w:rsidR="003228C9" w:rsidRPr="0017614D" w:rsidRDefault="003228C9" w:rsidP="00A4340C">
            <w:pPr>
              <w:suppressAutoHyphens/>
              <w:autoSpaceDE w:val="0"/>
              <w:autoSpaceDN w:val="0"/>
              <w:adjustRightInd w:val="0"/>
              <w:contextualSpacing/>
              <w:jc w:val="center"/>
              <w:cnfStyle w:val="000000000000"/>
              <w:rPr>
                <w:rFonts w:ascii="Times New Roman" w:hAnsi="Times New Roman" w:cs="Times New Roman"/>
                <w:sz w:val="24"/>
                <w:szCs w:val="24"/>
                <w:lang w:val="lt-LT"/>
              </w:rPr>
            </w:pPr>
            <w:r w:rsidRPr="0017614D">
              <w:rPr>
                <w:rFonts w:ascii="Times New Roman" w:hAnsi="Times New Roman" w:cs="Times New Roman"/>
                <w:sz w:val="24"/>
                <w:szCs w:val="24"/>
                <w:lang w:val="lt-LT"/>
              </w:rPr>
              <w:t>Trumpalaikiai įsipareigojimai</w:t>
            </w:r>
          </w:p>
        </w:tc>
        <w:tc>
          <w:tcPr>
            <w:tcW w:w="3474" w:type="dxa"/>
          </w:tcPr>
          <w:p w:rsidR="003228C9" w:rsidRPr="0017614D" w:rsidRDefault="003228C9" w:rsidP="00A4340C">
            <w:pPr>
              <w:contextualSpacing/>
              <w:jc w:val="center"/>
              <w:cnfStyle w:val="000000000000"/>
              <w:rPr>
                <w:rFonts w:ascii="Times New Roman" w:hAnsi="Times New Roman" w:cs="Times New Roman"/>
                <w:sz w:val="24"/>
                <w:szCs w:val="24"/>
                <w:lang w:val="lt-LT"/>
              </w:rPr>
            </w:pPr>
            <w:r w:rsidRPr="0017614D">
              <w:rPr>
                <w:rFonts w:ascii="Times New Roman" w:hAnsi="Times New Roman" w:cs="Times New Roman"/>
                <w:sz w:val="24"/>
                <w:szCs w:val="24"/>
                <w:lang w:val="lt-LT"/>
              </w:rPr>
              <w:t>Mažiau už 0,5</w:t>
            </w:r>
          </w:p>
        </w:tc>
      </w:tr>
      <w:tr w:rsidR="003228C9" w:rsidRPr="0017614D" w:rsidTr="00A4340C">
        <w:trPr>
          <w:cnfStyle w:val="000000100000"/>
        </w:trPr>
        <w:tc>
          <w:tcPr>
            <w:cnfStyle w:val="001000000000"/>
            <w:tcW w:w="3474" w:type="dxa"/>
          </w:tcPr>
          <w:p w:rsidR="003228C9" w:rsidRPr="0017614D" w:rsidRDefault="003228C9" w:rsidP="00A4340C">
            <w:pPr>
              <w:contextualSpacing/>
              <w:jc w:val="center"/>
              <w:rPr>
                <w:rFonts w:ascii="Times New Roman" w:hAnsi="Times New Roman" w:cs="Times New Roman"/>
                <w:b w:val="0"/>
                <w:i/>
                <w:sz w:val="24"/>
                <w:szCs w:val="24"/>
                <w:lang w:val="lt-LT"/>
              </w:rPr>
            </w:pPr>
            <w:r w:rsidRPr="0017614D">
              <w:rPr>
                <w:rFonts w:ascii="Times New Roman" w:hAnsi="Times New Roman" w:cs="Times New Roman"/>
                <w:b w:val="0"/>
                <w:i/>
                <w:sz w:val="24"/>
                <w:szCs w:val="24"/>
                <w:lang w:val="lt-LT"/>
              </w:rPr>
              <w:t>Bendrasis skolos koeficientas</w:t>
            </w:r>
          </w:p>
        </w:tc>
        <w:tc>
          <w:tcPr>
            <w:tcW w:w="3474" w:type="dxa"/>
          </w:tcPr>
          <w:p w:rsidR="003228C9" w:rsidRPr="0017614D" w:rsidRDefault="003228C9" w:rsidP="00A4340C">
            <w:pPr>
              <w:suppressAutoHyphens/>
              <w:autoSpaceDE w:val="0"/>
              <w:autoSpaceDN w:val="0"/>
              <w:adjustRightInd w:val="0"/>
              <w:contextualSpacing/>
              <w:jc w:val="center"/>
              <w:cnfStyle w:val="000000100000"/>
              <w:rPr>
                <w:rFonts w:ascii="Times New Roman" w:hAnsi="Times New Roman" w:cs="Times New Roman"/>
                <w:sz w:val="24"/>
                <w:szCs w:val="24"/>
                <w:u w:val="single"/>
                <w:lang w:val="lt-LT"/>
              </w:rPr>
            </w:pPr>
            <w:r w:rsidRPr="0017614D">
              <w:rPr>
                <w:rFonts w:ascii="Times New Roman" w:hAnsi="Times New Roman" w:cs="Times New Roman"/>
                <w:sz w:val="24"/>
                <w:szCs w:val="24"/>
                <w:lang w:val="lt-LT"/>
              </w:rPr>
              <w:t xml:space="preserve">Trumpalaikiai ir ilgalaikiai </w:t>
            </w:r>
            <w:r w:rsidRPr="0017614D">
              <w:rPr>
                <w:rFonts w:ascii="Times New Roman" w:hAnsi="Times New Roman" w:cs="Times New Roman"/>
                <w:sz w:val="24"/>
                <w:szCs w:val="24"/>
                <w:u w:val="single"/>
                <w:lang w:val="lt-LT"/>
              </w:rPr>
              <w:t>įsipareigojimai</w:t>
            </w:r>
          </w:p>
          <w:p w:rsidR="003228C9" w:rsidRPr="0017614D" w:rsidRDefault="003228C9" w:rsidP="00A4340C">
            <w:pPr>
              <w:suppressAutoHyphens/>
              <w:autoSpaceDE w:val="0"/>
              <w:autoSpaceDN w:val="0"/>
              <w:adjustRightInd w:val="0"/>
              <w:contextualSpacing/>
              <w:jc w:val="center"/>
              <w:cnfStyle w:val="000000100000"/>
              <w:rPr>
                <w:rFonts w:ascii="Times New Roman" w:hAnsi="Times New Roman" w:cs="Times New Roman"/>
                <w:sz w:val="24"/>
                <w:szCs w:val="24"/>
                <w:lang w:val="lt-LT"/>
              </w:rPr>
            </w:pPr>
            <w:r w:rsidRPr="0017614D">
              <w:rPr>
                <w:rFonts w:ascii="Times New Roman" w:hAnsi="Times New Roman" w:cs="Times New Roman"/>
                <w:sz w:val="24"/>
                <w:szCs w:val="24"/>
                <w:lang w:val="lt-LT"/>
              </w:rPr>
              <w:t>Turtas</w:t>
            </w:r>
          </w:p>
        </w:tc>
        <w:tc>
          <w:tcPr>
            <w:tcW w:w="3474" w:type="dxa"/>
          </w:tcPr>
          <w:p w:rsidR="003228C9" w:rsidRPr="0017614D" w:rsidRDefault="003228C9" w:rsidP="00A4340C">
            <w:pPr>
              <w:contextualSpacing/>
              <w:jc w:val="center"/>
              <w:cnfStyle w:val="000000100000"/>
              <w:rPr>
                <w:rFonts w:ascii="Times New Roman" w:hAnsi="Times New Roman" w:cs="Times New Roman"/>
                <w:sz w:val="24"/>
                <w:szCs w:val="24"/>
                <w:lang w:val="lt-LT"/>
              </w:rPr>
            </w:pPr>
            <w:r w:rsidRPr="0017614D">
              <w:rPr>
                <w:rFonts w:ascii="Times New Roman" w:hAnsi="Times New Roman" w:cs="Times New Roman"/>
                <w:sz w:val="24"/>
                <w:szCs w:val="24"/>
                <w:lang w:val="lt-LT"/>
              </w:rPr>
              <w:t>Daugiau už 1,0</w:t>
            </w:r>
          </w:p>
        </w:tc>
      </w:tr>
      <w:tr w:rsidR="003228C9" w:rsidRPr="0017614D" w:rsidTr="00A4340C">
        <w:tc>
          <w:tcPr>
            <w:cnfStyle w:val="001000000000"/>
            <w:tcW w:w="3474" w:type="dxa"/>
          </w:tcPr>
          <w:p w:rsidR="003228C9" w:rsidRPr="0017614D" w:rsidRDefault="003228C9" w:rsidP="00A4340C">
            <w:pPr>
              <w:contextualSpacing/>
              <w:jc w:val="center"/>
              <w:rPr>
                <w:rFonts w:ascii="Times New Roman" w:hAnsi="Times New Roman" w:cs="Times New Roman"/>
                <w:b w:val="0"/>
                <w:i/>
                <w:sz w:val="24"/>
                <w:szCs w:val="24"/>
                <w:lang w:val="lt-LT"/>
              </w:rPr>
            </w:pPr>
            <w:r w:rsidRPr="0017614D">
              <w:rPr>
                <w:rFonts w:ascii="Times New Roman" w:hAnsi="Times New Roman" w:cs="Times New Roman"/>
                <w:b w:val="0"/>
                <w:i/>
                <w:sz w:val="24"/>
                <w:szCs w:val="24"/>
                <w:lang w:val="lt-LT"/>
              </w:rPr>
              <w:t>Turto pelningumas (ROA)</w:t>
            </w:r>
          </w:p>
        </w:tc>
        <w:tc>
          <w:tcPr>
            <w:tcW w:w="3474" w:type="dxa"/>
          </w:tcPr>
          <w:p w:rsidR="003228C9" w:rsidRPr="0017614D" w:rsidRDefault="003228C9" w:rsidP="00A4340C">
            <w:pPr>
              <w:suppressAutoHyphens/>
              <w:autoSpaceDE w:val="0"/>
              <w:autoSpaceDN w:val="0"/>
              <w:adjustRightInd w:val="0"/>
              <w:contextualSpacing/>
              <w:jc w:val="center"/>
              <w:cnfStyle w:val="000000000000"/>
              <w:rPr>
                <w:rFonts w:ascii="Times New Roman" w:hAnsi="Times New Roman" w:cs="Times New Roman"/>
                <w:sz w:val="24"/>
                <w:szCs w:val="24"/>
                <w:u w:val="single"/>
                <w:lang w:val="lt-LT"/>
              </w:rPr>
            </w:pPr>
            <w:r w:rsidRPr="0017614D">
              <w:rPr>
                <w:rFonts w:ascii="Times New Roman" w:hAnsi="Times New Roman" w:cs="Times New Roman"/>
                <w:sz w:val="24"/>
                <w:szCs w:val="24"/>
                <w:u w:val="single"/>
                <w:lang w:val="lt-LT"/>
              </w:rPr>
              <w:t>Grynasis pelnas</w:t>
            </w:r>
          </w:p>
          <w:p w:rsidR="003228C9" w:rsidRPr="0017614D" w:rsidRDefault="003228C9" w:rsidP="00A4340C">
            <w:pPr>
              <w:suppressAutoHyphens/>
              <w:autoSpaceDE w:val="0"/>
              <w:autoSpaceDN w:val="0"/>
              <w:adjustRightInd w:val="0"/>
              <w:contextualSpacing/>
              <w:jc w:val="center"/>
              <w:cnfStyle w:val="000000000000"/>
              <w:rPr>
                <w:rFonts w:ascii="Times New Roman" w:hAnsi="Times New Roman" w:cs="Times New Roman"/>
                <w:sz w:val="24"/>
                <w:szCs w:val="24"/>
                <w:lang w:val="lt-LT"/>
              </w:rPr>
            </w:pPr>
            <w:r w:rsidRPr="0017614D">
              <w:rPr>
                <w:rFonts w:ascii="Times New Roman" w:hAnsi="Times New Roman" w:cs="Times New Roman"/>
                <w:sz w:val="24"/>
                <w:szCs w:val="24"/>
                <w:lang w:val="lt-LT"/>
              </w:rPr>
              <w:t>Turtas</w:t>
            </w:r>
          </w:p>
        </w:tc>
        <w:tc>
          <w:tcPr>
            <w:tcW w:w="3474" w:type="dxa"/>
          </w:tcPr>
          <w:p w:rsidR="003228C9" w:rsidRPr="0017614D" w:rsidRDefault="003228C9" w:rsidP="00A4340C">
            <w:pPr>
              <w:suppressAutoHyphens/>
              <w:autoSpaceDE w:val="0"/>
              <w:autoSpaceDN w:val="0"/>
              <w:adjustRightInd w:val="0"/>
              <w:contextualSpacing/>
              <w:jc w:val="center"/>
              <w:cnfStyle w:val="000000000000"/>
              <w:rPr>
                <w:rFonts w:ascii="Times New Roman" w:hAnsi="Times New Roman" w:cs="Times New Roman"/>
                <w:sz w:val="24"/>
                <w:szCs w:val="24"/>
                <w:lang w:val="lt-LT"/>
              </w:rPr>
            </w:pPr>
            <w:r w:rsidRPr="0017614D">
              <w:rPr>
                <w:rFonts w:ascii="Times New Roman" w:hAnsi="Times New Roman" w:cs="Times New Roman"/>
                <w:sz w:val="24"/>
                <w:szCs w:val="24"/>
                <w:lang w:val="lt-LT"/>
              </w:rPr>
              <w:t>Neigiamas</w:t>
            </w:r>
          </w:p>
        </w:tc>
      </w:tr>
      <w:tr w:rsidR="003228C9" w:rsidRPr="0017614D" w:rsidTr="00A4340C">
        <w:trPr>
          <w:cnfStyle w:val="000000100000"/>
        </w:trPr>
        <w:tc>
          <w:tcPr>
            <w:cnfStyle w:val="001000000000"/>
            <w:tcW w:w="3474" w:type="dxa"/>
          </w:tcPr>
          <w:p w:rsidR="003228C9" w:rsidRPr="0017614D" w:rsidRDefault="003228C9" w:rsidP="00A4340C">
            <w:pPr>
              <w:contextualSpacing/>
              <w:jc w:val="center"/>
              <w:rPr>
                <w:rFonts w:ascii="Times New Roman" w:hAnsi="Times New Roman" w:cs="Times New Roman"/>
                <w:b w:val="0"/>
                <w:i/>
                <w:sz w:val="24"/>
                <w:szCs w:val="24"/>
                <w:lang w:val="lt-LT"/>
              </w:rPr>
            </w:pPr>
            <w:r w:rsidRPr="0017614D">
              <w:rPr>
                <w:rFonts w:ascii="Times New Roman" w:hAnsi="Times New Roman" w:cs="Times New Roman"/>
                <w:b w:val="0"/>
                <w:i/>
                <w:sz w:val="24"/>
                <w:szCs w:val="24"/>
                <w:lang w:val="lt-LT"/>
              </w:rPr>
              <w:t>Grynasis pardavimo pelningumas</w:t>
            </w:r>
          </w:p>
        </w:tc>
        <w:tc>
          <w:tcPr>
            <w:tcW w:w="3474" w:type="dxa"/>
          </w:tcPr>
          <w:p w:rsidR="003228C9" w:rsidRPr="0017614D" w:rsidRDefault="003228C9" w:rsidP="00A4340C">
            <w:pPr>
              <w:suppressAutoHyphens/>
              <w:autoSpaceDE w:val="0"/>
              <w:autoSpaceDN w:val="0"/>
              <w:adjustRightInd w:val="0"/>
              <w:contextualSpacing/>
              <w:jc w:val="center"/>
              <w:cnfStyle w:val="000000100000"/>
              <w:rPr>
                <w:rFonts w:ascii="Times New Roman" w:hAnsi="Times New Roman" w:cs="Times New Roman"/>
                <w:sz w:val="24"/>
                <w:szCs w:val="24"/>
                <w:u w:val="single"/>
                <w:lang w:val="lt-LT"/>
              </w:rPr>
            </w:pPr>
            <w:r w:rsidRPr="0017614D">
              <w:rPr>
                <w:rFonts w:ascii="Times New Roman" w:hAnsi="Times New Roman" w:cs="Times New Roman"/>
                <w:sz w:val="24"/>
                <w:szCs w:val="24"/>
                <w:u w:val="single"/>
                <w:lang w:val="lt-LT"/>
              </w:rPr>
              <w:t>Grynasis pelnas</w:t>
            </w:r>
          </w:p>
          <w:p w:rsidR="003228C9" w:rsidRPr="0017614D" w:rsidRDefault="003228C9" w:rsidP="00A4340C">
            <w:pPr>
              <w:suppressAutoHyphens/>
              <w:autoSpaceDE w:val="0"/>
              <w:autoSpaceDN w:val="0"/>
              <w:adjustRightInd w:val="0"/>
              <w:contextualSpacing/>
              <w:jc w:val="center"/>
              <w:cnfStyle w:val="000000100000"/>
              <w:rPr>
                <w:rFonts w:ascii="Times New Roman" w:hAnsi="Times New Roman" w:cs="Times New Roman"/>
                <w:sz w:val="24"/>
                <w:szCs w:val="24"/>
                <w:lang w:val="lt-LT"/>
              </w:rPr>
            </w:pPr>
            <w:r w:rsidRPr="0017614D">
              <w:rPr>
                <w:rFonts w:ascii="Times New Roman" w:hAnsi="Times New Roman" w:cs="Times New Roman"/>
                <w:sz w:val="24"/>
                <w:szCs w:val="24"/>
                <w:lang w:val="lt-LT"/>
              </w:rPr>
              <w:t>Pardavimo pajamos</w:t>
            </w:r>
          </w:p>
        </w:tc>
        <w:tc>
          <w:tcPr>
            <w:tcW w:w="3474" w:type="dxa"/>
          </w:tcPr>
          <w:p w:rsidR="003228C9" w:rsidRPr="0017614D" w:rsidRDefault="003228C9" w:rsidP="00A4340C">
            <w:pPr>
              <w:suppressAutoHyphens/>
              <w:autoSpaceDE w:val="0"/>
              <w:autoSpaceDN w:val="0"/>
              <w:adjustRightInd w:val="0"/>
              <w:contextualSpacing/>
              <w:jc w:val="center"/>
              <w:cnfStyle w:val="000000100000"/>
              <w:rPr>
                <w:rFonts w:ascii="Times New Roman" w:hAnsi="Times New Roman" w:cs="Times New Roman"/>
                <w:sz w:val="24"/>
                <w:szCs w:val="24"/>
                <w:lang w:val="lt-LT"/>
              </w:rPr>
            </w:pPr>
            <w:r w:rsidRPr="0017614D">
              <w:rPr>
                <w:rFonts w:ascii="Times New Roman" w:hAnsi="Times New Roman" w:cs="Times New Roman"/>
                <w:sz w:val="24"/>
                <w:szCs w:val="24"/>
                <w:lang w:val="lt-LT"/>
              </w:rPr>
              <w:t>Neigiamas</w:t>
            </w:r>
          </w:p>
        </w:tc>
      </w:tr>
    </w:tbl>
    <w:p w:rsidR="00186457" w:rsidRPr="0017614D" w:rsidRDefault="00186457" w:rsidP="00186457">
      <w:pPr>
        <w:spacing w:line="360" w:lineRule="auto"/>
        <w:contextualSpacing/>
        <w:jc w:val="right"/>
        <w:rPr>
          <w:rFonts w:ascii="Times New Roman" w:hAnsi="Times New Roman" w:cs="Times New Roman"/>
          <w:sz w:val="24"/>
          <w:szCs w:val="24"/>
          <w:lang w:val="lt-LT"/>
        </w:rPr>
      </w:pPr>
      <w:r>
        <w:rPr>
          <w:rFonts w:ascii="Times New Roman" w:hAnsi="Times New Roman" w:cs="Times New Roman"/>
          <w:sz w:val="24"/>
          <w:szCs w:val="24"/>
          <w:lang w:val="lt-LT"/>
        </w:rPr>
        <w:t>7</w:t>
      </w:r>
      <w:r w:rsidRPr="0017614D">
        <w:rPr>
          <w:rFonts w:ascii="Times New Roman" w:hAnsi="Times New Roman" w:cs="Times New Roman"/>
          <w:sz w:val="24"/>
          <w:szCs w:val="24"/>
          <w:lang w:val="lt-LT"/>
        </w:rPr>
        <w:t xml:space="preserve"> lentel</w:t>
      </w:r>
      <w:r w:rsidRPr="0017614D">
        <w:rPr>
          <w:rFonts w:ascii="TimesNewRomanPSMT" w:eastAsia="TimesNewRomanPSMT" w:hAnsi="Times New Roman" w:cs="TimesNewRomanPSMT"/>
          <w:sz w:val="24"/>
          <w:szCs w:val="24"/>
          <w:lang w:val="lt-LT"/>
        </w:rPr>
        <w:t>ė</w:t>
      </w:r>
      <w:r w:rsidRPr="0017614D">
        <w:rPr>
          <w:rFonts w:ascii="Times New Roman" w:hAnsi="Times New Roman" w:cs="Times New Roman"/>
          <w:sz w:val="24"/>
          <w:szCs w:val="24"/>
          <w:lang w:val="lt-LT"/>
        </w:rPr>
        <w:t>s t</w:t>
      </w:r>
      <w:r w:rsidRPr="0017614D">
        <w:rPr>
          <w:rFonts w:ascii="TimesNewRomanPSMT" w:eastAsia="TimesNewRomanPSMT" w:hAnsi="Times New Roman" w:cs="TimesNewRomanPSMT"/>
          <w:sz w:val="24"/>
          <w:szCs w:val="24"/>
          <w:lang w:val="lt-LT"/>
        </w:rPr>
        <w:t>ę</w:t>
      </w:r>
      <w:r w:rsidRPr="0017614D">
        <w:rPr>
          <w:rFonts w:ascii="Times New Roman" w:hAnsi="Times New Roman" w:cs="Times New Roman"/>
          <w:sz w:val="24"/>
          <w:szCs w:val="24"/>
          <w:lang w:val="lt-LT"/>
        </w:rPr>
        <w:t>sinys pateiktas kitame puslapyje</w:t>
      </w:r>
    </w:p>
    <w:p w:rsidR="00186457" w:rsidRPr="0017614D" w:rsidRDefault="00186457" w:rsidP="00186457">
      <w:pPr>
        <w:spacing w:line="360" w:lineRule="auto"/>
        <w:contextualSpacing/>
        <w:jc w:val="right"/>
        <w:rPr>
          <w:rFonts w:ascii="Times New Roman" w:hAnsi="Times New Roman" w:cs="Times New Roman"/>
          <w:b/>
          <w:sz w:val="20"/>
          <w:szCs w:val="20"/>
          <w:lang w:val="lt-LT"/>
        </w:rPr>
      </w:pPr>
      <w:r>
        <w:rPr>
          <w:rFonts w:ascii="Times New Roman" w:hAnsi="Times New Roman" w:cs="Times New Roman"/>
          <w:sz w:val="24"/>
          <w:szCs w:val="24"/>
          <w:lang w:val="lt-LT"/>
        </w:rPr>
        <w:lastRenderedPageBreak/>
        <w:t>7</w:t>
      </w:r>
      <w:r w:rsidRPr="0017614D">
        <w:rPr>
          <w:rFonts w:ascii="Times New Roman" w:hAnsi="Times New Roman" w:cs="Times New Roman"/>
          <w:sz w:val="24"/>
          <w:szCs w:val="24"/>
          <w:lang w:val="lt-LT"/>
        </w:rPr>
        <w:t xml:space="preserve"> lentel</w:t>
      </w:r>
      <w:r w:rsidRPr="0017614D">
        <w:rPr>
          <w:rFonts w:ascii="TimesNewRomanPSMT" w:eastAsia="TimesNewRomanPSMT" w:hAnsi="Times New Roman" w:cs="TimesNewRomanPSMT"/>
          <w:sz w:val="24"/>
          <w:szCs w:val="24"/>
          <w:lang w:val="lt-LT"/>
        </w:rPr>
        <w:t>ė</w:t>
      </w:r>
      <w:r w:rsidRPr="0017614D">
        <w:rPr>
          <w:rFonts w:ascii="Times New Roman" w:hAnsi="Times New Roman" w:cs="Times New Roman"/>
          <w:sz w:val="24"/>
          <w:szCs w:val="24"/>
          <w:lang w:val="lt-LT"/>
        </w:rPr>
        <w:t>s t</w:t>
      </w:r>
      <w:r w:rsidRPr="0017614D">
        <w:rPr>
          <w:rFonts w:ascii="TimesNewRomanPSMT" w:eastAsia="TimesNewRomanPSMT" w:hAnsi="Times New Roman" w:cs="TimesNewRomanPSMT"/>
          <w:sz w:val="24"/>
          <w:szCs w:val="24"/>
          <w:lang w:val="lt-LT"/>
        </w:rPr>
        <w:t>ę</w:t>
      </w:r>
      <w:r w:rsidRPr="0017614D">
        <w:rPr>
          <w:rFonts w:ascii="Times New Roman" w:hAnsi="Times New Roman" w:cs="Times New Roman"/>
          <w:sz w:val="24"/>
          <w:szCs w:val="24"/>
          <w:lang w:val="lt-LT"/>
        </w:rPr>
        <w:t>sinys</w:t>
      </w:r>
    </w:p>
    <w:tbl>
      <w:tblPr>
        <w:tblStyle w:val="LightList-Accent6"/>
        <w:tblW w:w="0" w:type="auto"/>
        <w:tblLook w:val="04A0"/>
      </w:tblPr>
      <w:tblGrid>
        <w:gridCol w:w="3474"/>
        <w:gridCol w:w="3474"/>
        <w:gridCol w:w="3474"/>
      </w:tblGrid>
      <w:tr w:rsidR="00186457" w:rsidRPr="0017614D" w:rsidTr="00CD12BA">
        <w:trPr>
          <w:cnfStyle w:val="100000000000"/>
        </w:trPr>
        <w:tc>
          <w:tcPr>
            <w:cnfStyle w:val="001000000000"/>
            <w:tcW w:w="3474" w:type="dxa"/>
            <w:shd w:val="clear" w:color="auto" w:fill="FBD4B4" w:themeFill="accent6" w:themeFillTint="66"/>
          </w:tcPr>
          <w:p w:rsidR="00186457" w:rsidRPr="0017614D" w:rsidRDefault="00186457" w:rsidP="00CD12BA">
            <w:pPr>
              <w:contextualSpacing/>
              <w:jc w:val="center"/>
              <w:rPr>
                <w:rFonts w:ascii="Times New Roman" w:hAnsi="Times New Roman" w:cs="Times New Roman"/>
                <w:color w:val="auto"/>
                <w:sz w:val="24"/>
                <w:szCs w:val="24"/>
                <w:lang w:val="lt-LT"/>
              </w:rPr>
            </w:pPr>
            <w:r w:rsidRPr="0017614D">
              <w:rPr>
                <w:rFonts w:ascii="Times New Roman" w:hAnsi="Times New Roman" w:cs="Times New Roman"/>
                <w:color w:val="auto"/>
                <w:sz w:val="24"/>
                <w:szCs w:val="24"/>
                <w:lang w:val="lt-LT"/>
              </w:rPr>
              <w:t>Rodiklio pavadinimas</w:t>
            </w:r>
          </w:p>
        </w:tc>
        <w:tc>
          <w:tcPr>
            <w:tcW w:w="3474" w:type="dxa"/>
            <w:shd w:val="clear" w:color="auto" w:fill="FBD4B4" w:themeFill="accent6" w:themeFillTint="66"/>
          </w:tcPr>
          <w:p w:rsidR="00186457" w:rsidRPr="0017614D" w:rsidRDefault="00186457" w:rsidP="00CD12BA">
            <w:pPr>
              <w:contextualSpacing/>
              <w:jc w:val="center"/>
              <w:cnfStyle w:val="100000000000"/>
              <w:rPr>
                <w:rFonts w:ascii="Times New Roman" w:hAnsi="Times New Roman" w:cs="Times New Roman"/>
                <w:color w:val="auto"/>
                <w:sz w:val="24"/>
                <w:szCs w:val="24"/>
                <w:lang w:val="lt-LT"/>
              </w:rPr>
            </w:pPr>
            <w:r w:rsidRPr="0017614D">
              <w:rPr>
                <w:rFonts w:ascii="Times New Roman" w:hAnsi="Times New Roman" w:cs="Times New Roman"/>
                <w:color w:val="auto"/>
                <w:sz w:val="24"/>
                <w:szCs w:val="24"/>
                <w:lang w:val="lt-LT"/>
              </w:rPr>
              <w:t>Rodiklio apskaičiavimas</w:t>
            </w:r>
          </w:p>
        </w:tc>
        <w:tc>
          <w:tcPr>
            <w:tcW w:w="3474" w:type="dxa"/>
            <w:shd w:val="clear" w:color="auto" w:fill="FBD4B4" w:themeFill="accent6" w:themeFillTint="66"/>
          </w:tcPr>
          <w:p w:rsidR="00186457" w:rsidRPr="0017614D" w:rsidRDefault="00186457" w:rsidP="00CD12BA">
            <w:pPr>
              <w:contextualSpacing/>
              <w:jc w:val="center"/>
              <w:cnfStyle w:val="100000000000"/>
              <w:rPr>
                <w:rFonts w:ascii="Times New Roman" w:hAnsi="Times New Roman" w:cs="Times New Roman"/>
                <w:color w:val="auto"/>
                <w:sz w:val="24"/>
                <w:szCs w:val="24"/>
                <w:lang w:val="lt-LT"/>
              </w:rPr>
            </w:pPr>
            <w:r w:rsidRPr="0017614D">
              <w:rPr>
                <w:rFonts w:ascii="Times New Roman" w:hAnsi="Times New Roman" w:cs="Times New Roman"/>
                <w:color w:val="auto"/>
                <w:sz w:val="24"/>
                <w:szCs w:val="24"/>
                <w:lang w:val="lt-LT"/>
              </w:rPr>
              <w:t>Rodiklio kritinė reikšmė (netinkama reikšmė)</w:t>
            </w:r>
          </w:p>
        </w:tc>
      </w:tr>
      <w:tr w:rsidR="00186457" w:rsidRPr="0017614D" w:rsidTr="00CD12BA">
        <w:trPr>
          <w:cnfStyle w:val="000000100000"/>
        </w:trPr>
        <w:tc>
          <w:tcPr>
            <w:cnfStyle w:val="001000000000"/>
            <w:tcW w:w="3474" w:type="dxa"/>
          </w:tcPr>
          <w:p w:rsidR="00186457" w:rsidRPr="0017614D" w:rsidRDefault="00186457" w:rsidP="00CD12BA">
            <w:pPr>
              <w:contextualSpacing/>
              <w:jc w:val="center"/>
              <w:rPr>
                <w:rFonts w:ascii="Times New Roman" w:hAnsi="Times New Roman" w:cs="Times New Roman"/>
                <w:b w:val="0"/>
                <w:i/>
                <w:sz w:val="24"/>
                <w:szCs w:val="24"/>
                <w:lang w:val="lt-LT"/>
              </w:rPr>
            </w:pPr>
            <w:r w:rsidRPr="0017614D">
              <w:rPr>
                <w:rFonts w:ascii="Times New Roman" w:hAnsi="Times New Roman" w:cs="Times New Roman"/>
                <w:b w:val="0"/>
                <w:i/>
                <w:sz w:val="24"/>
                <w:szCs w:val="24"/>
                <w:lang w:val="lt-LT"/>
              </w:rPr>
              <w:t>Grynasis nuosavo kapitalo pelningumas (ROE)</w:t>
            </w:r>
          </w:p>
        </w:tc>
        <w:tc>
          <w:tcPr>
            <w:tcW w:w="3474" w:type="dxa"/>
          </w:tcPr>
          <w:p w:rsidR="00186457" w:rsidRPr="0017614D" w:rsidRDefault="00186457" w:rsidP="00CD12BA">
            <w:pPr>
              <w:suppressAutoHyphens/>
              <w:autoSpaceDE w:val="0"/>
              <w:autoSpaceDN w:val="0"/>
              <w:adjustRightInd w:val="0"/>
              <w:contextualSpacing/>
              <w:jc w:val="center"/>
              <w:cnfStyle w:val="000000100000"/>
              <w:rPr>
                <w:rFonts w:ascii="Times New Roman" w:hAnsi="Times New Roman" w:cs="Times New Roman"/>
                <w:sz w:val="24"/>
                <w:szCs w:val="24"/>
                <w:u w:val="single"/>
                <w:lang w:val="lt-LT"/>
              </w:rPr>
            </w:pPr>
            <w:r w:rsidRPr="0017614D">
              <w:rPr>
                <w:rFonts w:ascii="Times New Roman" w:hAnsi="Times New Roman" w:cs="Times New Roman"/>
                <w:sz w:val="24"/>
                <w:szCs w:val="24"/>
                <w:u w:val="single"/>
                <w:lang w:val="lt-LT"/>
              </w:rPr>
              <w:t>Grynasis pelnas</w:t>
            </w:r>
          </w:p>
          <w:p w:rsidR="00186457" w:rsidRPr="0017614D" w:rsidRDefault="00186457" w:rsidP="00CD12BA">
            <w:pPr>
              <w:suppressAutoHyphens/>
              <w:autoSpaceDE w:val="0"/>
              <w:autoSpaceDN w:val="0"/>
              <w:adjustRightInd w:val="0"/>
              <w:contextualSpacing/>
              <w:jc w:val="center"/>
              <w:cnfStyle w:val="000000100000"/>
              <w:rPr>
                <w:rFonts w:ascii="Times New Roman" w:hAnsi="Times New Roman" w:cs="Times New Roman"/>
                <w:sz w:val="24"/>
                <w:szCs w:val="24"/>
                <w:u w:val="single"/>
                <w:lang w:val="lt-LT"/>
              </w:rPr>
            </w:pPr>
            <w:r w:rsidRPr="0017614D">
              <w:rPr>
                <w:rFonts w:ascii="Times New Roman" w:hAnsi="Times New Roman" w:cs="Times New Roman"/>
                <w:sz w:val="24"/>
                <w:szCs w:val="24"/>
                <w:lang w:val="lt-LT"/>
              </w:rPr>
              <w:t>Nuosavas kapitalas</w:t>
            </w:r>
          </w:p>
        </w:tc>
        <w:tc>
          <w:tcPr>
            <w:tcW w:w="3474" w:type="dxa"/>
          </w:tcPr>
          <w:p w:rsidR="00186457" w:rsidRPr="0017614D" w:rsidRDefault="00186457" w:rsidP="00CD12BA">
            <w:pPr>
              <w:suppressAutoHyphens/>
              <w:autoSpaceDE w:val="0"/>
              <w:autoSpaceDN w:val="0"/>
              <w:adjustRightInd w:val="0"/>
              <w:contextualSpacing/>
              <w:jc w:val="center"/>
              <w:cnfStyle w:val="000000100000"/>
              <w:rPr>
                <w:rFonts w:ascii="Times New Roman" w:hAnsi="Times New Roman" w:cs="Times New Roman"/>
                <w:sz w:val="24"/>
                <w:szCs w:val="24"/>
                <w:lang w:val="lt-LT"/>
              </w:rPr>
            </w:pPr>
            <w:r w:rsidRPr="0017614D">
              <w:rPr>
                <w:rFonts w:ascii="Times New Roman" w:hAnsi="Times New Roman" w:cs="Times New Roman"/>
                <w:sz w:val="24"/>
                <w:szCs w:val="24"/>
                <w:lang w:val="lt-LT"/>
              </w:rPr>
              <w:t>Neigiamas</w:t>
            </w:r>
          </w:p>
        </w:tc>
      </w:tr>
      <w:tr w:rsidR="00186457" w:rsidRPr="0017614D" w:rsidTr="00CD12BA">
        <w:tc>
          <w:tcPr>
            <w:cnfStyle w:val="001000000000"/>
            <w:tcW w:w="3474" w:type="dxa"/>
          </w:tcPr>
          <w:p w:rsidR="00186457" w:rsidRPr="0017614D" w:rsidRDefault="00186457" w:rsidP="00CD12BA">
            <w:pPr>
              <w:contextualSpacing/>
              <w:jc w:val="center"/>
              <w:rPr>
                <w:rFonts w:ascii="Times New Roman" w:hAnsi="Times New Roman" w:cs="Times New Roman"/>
                <w:b w:val="0"/>
                <w:i/>
                <w:sz w:val="24"/>
                <w:szCs w:val="24"/>
                <w:lang w:val="lt-LT"/>
              </w:rPr>
            </w:pPr>
            <w:r w:rsidRPr="0017614D">
              <w:rPr>
                <w:rFonts w:ascii="Times New Roman" w:hAnsi="Times New Roman" w:cs="Times New Roman"/>
                <w:b w:val="0"/>
                <w:i/>
                <w:sz w:val="24"/>
                <w:szCs w:val="24"/>
                <w:lang w:val="lt-LT"/>
              </w:rPr>
              <w:t>Finansinis svertas</w:t>
            </w:r>
          </w:p>
        </w:tc>
        <w:tc>
          <w:tcPr>
            <w:tcW w:w="3474" w:type="dxa"/>
          </w:tcPr>
          <w:p w:rsidR="00186457" w:rsidRPr="0017614D" w:rsidRDefault="00186457" w:rsidP="00CD12BA">
            <w:pPr>
              <w:suppressAutoHyphens/>
              <w:autoSpaceDE w:val="0"/>
              <w:autoSpaceDN w:val="0"/>
              <w:adjustRightInd w:val="0"/>
              <w:contextualSpacing/>
              <w:jc w:val="center"/>
              <w:cnfStyle w:val="000000000000"/>
              <w:rPr>
                <w:rFonts w:ascii="Times New Roman" w:hAnsi="Times New Roman" w:cs="Times New Roman"/>
                <w:sz w:val="24"/>
                <w:szCs w:val="24"/>
                <w:u w:val="single"/>
                <w:lang w:val="lt-LT"/>
              </w:rPr>
            </w:pPr>
            <w:r w:rsidRPr="0017614D">
              <w:rPr>
                <w:rFonts w:ascii="Times New Roman" w:hAnsi="Times New Roman" w:cs="Times New Roman"/>
                <w:sz w:val="24"/>
                <w:szCs w:val="24"/>
                <w:u w:val="single"/>
                <w:lang w:val="lt-LT"/>
              </w:rPr>
              <w:t>Skolintas kapitalas</w:t>
            </w:r>
          </w:p>
          <w:p w:rsidR="00186457" w:rsidRPr="0017614D" w:rsidRDefault="00186457" w:rsidP="00CD12BA">
            <w:pPr>
              <w:suppressAutoHyphens/>
              <w:autoSpaceDE w:val="0"/>
              <w:autoSpaceDN w:val="0"/>
              <w:adjustRightInd w:val="0"/>
              <w:contextualSpacing/>
              <w:jc w:val="center"/>
              <w:cnfStyle w:val="000000000000"/>
              <w:rPr>
                <w:rFonts w:ascii="Times New Roman" w:hAnsi="Times New Roman" w:cs="Times New Roman"/>
                <w:sz w:val="24"/>
                <w:szCs w:val="24"/>
                <w:lang w:val="lt-LT"/>
              </w:rPr>
            </w:pPr>
            <w:r w:rsidRPr="0017614D">
              <w:rPr>
                <w:rFonts w:ascii="Times New Roman" w:hAnsi="Times New Roman" w:cs="Times New Roman"/>
                <w:sz w:val="24"/>
                <w:szCs w:val="24"/>
                <w:lang w:val="lt-LT"/>
              </w:rPr>
              <w:t>Nuosavas kapitalas</w:t>
            </w:r>
          </w:p>
        </w:tc>
        <w:tc>
          <w:tcPr>
            <w:tcW w:w="3474" w:type="dxa"/>
          </w:tcPr>
          <w:p w:rsidR="00186457" w:rsidRPr="0017614D" w:rsidRDefault="00186457" w:rsidP="00CD12BA">
            <w:pPr>
              <w:contextualSpacing/>
              <w:jc w:val="center"/>
              <w:cnfStyle w:val="000000000000"/>
              <w:rPr>
                <w:rFonts w:ascii="Times New Roman" w:hAnsi="Times New Roman" w:cs="Times New Roman"/>
                <w:sz w:val="24"/>
                <w:szCs w:val="24"/>
                <w:lang w:val="lt-LT"/>
              </w:rPr>
            </w:pPr>
            <w:r w:rsidRPr="0017614D">
              <w:rPr>
                <w:rFonts w:ascii="Times New Roman" w:hAnsi="Times New Roman" w:cs="Times New Roman"/>
                <w:sz w:val="24"/>
                <w:szCs w:val="24"/>
                <w:lang w:val="lt-LT"/>
              </w:rPr>
              <w:t>Kuo didesnis nukrypimas nuo kapitalo struktūros pusiausvyros</w:t>
            </w:r>
          </w:p>
        </w:tc>
      </w:tr>
      <w:tr w:rsidR="00186457" w:rsidRPr="0017614D" w:rsidTr="00CD12BA">
        <w:trPr>
          <w:cnfStyle w:val="000000100000"/>
        </w:trPr>
        <w:tc>
          <w:tcPr>
            <w:cnfStyle w:val="001000000000"/>
            <w:tcW w:w="3474" w:type="dxa"/>
          </w:tcPr>
          <w:p w:rsidR="00186457" w:rsidRPr="0017614D" w:rsidRDefault="00186457" w:rsidP="00CD12BA">
            <w:pPr>
              <w:contextualSpacing/>
              <w:jc w:val="center"/>
              <w:rPr>
                <w:rFonts w:ascii="Times New Roman" w:hAnsi="Times New Roman" w:cs="Times New Roman"/>
                <w:b w:val="0"/>
                <w:i/>
                <w:sz w:val="24"/>
                <w:szCs w:val="24"/>
                <w:lang w:val="lt-LT"/>
              </w:rPr>
            </w:pPr>
            <w:r w:rsidRPr="0017614D">
              <w:rPr>
                <w:rFonts w:ascii="Times New Roman" w:hAnsi="Times New Roman" w:cs="Times New Roman"/>
                <w:b w:val="0"/>
                <w:i/>
                <w:sz w:val="24"/>
                <w:szCs w:val="24"/>
                <w:lang w:val="lt-LT"/>
              </w:rPr>
              <w:t>Pardavimo savikainos lygis</w:t>
            </w:r>
          </w:p>
        </w:tc>
        <w:tc>
          <w:tcPr>
            <w:tcW w:w="3474" w:type="dxa"/>
          </w:tcPr>
          <w:p w:rsidR="00186457" w:rsidRPr="0017614D" w:rsidRDefault="00186457" w:rsidP="00CD12BA">
            <w:pPr>
              <w:suppressAutoHyphens/>
              <w:autoSpaceDE w:val="0"/>
              <w:autoSpaceDN w:val="0"/>
              <w:adjustRightInd w:val="0"/>
              <w:contextualSpacing/>
              <w:jc w:val="center"/>
              <w:cnfStyle w:val="000000100000"/>
              <w:rPr>
                <w:rFonts w:ascii="Times New Roman" w:hAnsi="Times New Roman" w:cs="Times New Roman"/>
                <w:sz w:val="24"/>
                <w:szCs w:val="24"/>
                <w:u w:val="single"/>
                <w:lang w:val="lt-LT"/>
              </w:rPr>
            </w:pPr>
            <w:r w:rsidRPr="0017614D">
              <w:rPr>
                <w:rFonts w:ascii="Times New Roman" w:hAnsi="Times New Roman" w:cs="Times New Roman"/>
                <w:sz w:val="24"/>
                <w:szCs w:val="24"/>
                <w:u w:val="single"/>
                <w:lang w:val="lt-LT"/>
              </w:rPr>
              <w:t>Pardavimo savikaina</w:t>
            </w:r>
          </w:p>
          <w:p w:rsidR="00186457" w:rsidRPr="0017614D" w:rsidRDefault="00186457" w:rsidP="00CD12BA">
            <w:pPr>
              <w:suppressAutoHyphens/>
              <w:autoSpaceDE w:val="0"/>
              <w:autoSpaceDN w:val="0"/>
              <w:adjustRightInd w:val="0"/>
              <w:contextualSpacing/>
              <w:jc w:val="center"/>
              <w:cnfStyle w:val="000000100000"/>
              <w:rPr>
                <w:rFonts w:ascii="Times New Roman" w:hAnsi="Times New Roman" w:cs="Times New Roman"/>
                <w:sz w:val="24"/>
                <w:szCs w:val="24"/>
                <w:lang w:val="lt-LT"/>
              </w:rPr>
            </w:pPr>
            <w:r w:rsidRPr="0017614D">
              <w:rPr>
                <w:rFonts w:ascii="Times New Roman" w:hAnsi="Times New Roman" w:cs="Times New Roman"/>
                <w:sz w:val="24"/>
                <w:szCs w:val="24"/>
                <w:lang w:val="lt-LT"/>
              </w:rPr>
              <w:t>Pardavimo pajamos</w:t>
            </w:r>
          </w:p>
        </w:tc>
        <w:tc>
          <w:tcPr>
            <w:tcW w:w="3474" w:type="dxa"/>
          </w:tcPr>
          <w:p w:rsidR="00186457" w:rsidRPr="0017614D" w:rsidRDefault="00186457" w:rsidP="00CD12BA">
            <w:pPr>
              <w:contextualSpacing/>
              <w:jc w:val="center"/>
              <w:cnfStyle w:val="000000100000"/>
              <w:rPr>
                <w:rFonts w:ascii="Times New Roman" w:hAnsi="Times New Roman" w:cs="Times New Roman"/>
                <w:color w:val="FF0000"/>
                <w:sz w:val="24"/>
                <w:szCs w:val="24"/>
                <w:lang w:val="lt-LT"/>
              </w:rPr>
            </w:pPr>
            <w:r w:rsidRPr="0017614D">
              <w:rPr>
                <w:rFonts w:ascii="Times New Roman" w:hAnsi="Times New Roman" w:cs="Times New Roman"/>
                <w:sz w:val="24"/>
                <w:szCs w:val="24"/>
                <w:lang w:val="lt-LT"/>
              </w:rPr>
              <w:t>Daugiau už 1,0</w:t>
            </w:r>
          </w:p>
        </w:tc>
      </w:tr>
    </w:tbl>
    <w:p w:rsidR="003228C9" w:rsidRPr="005D3FF6" w:rsidRDefault="003228C9" w:rsidP="003228C9">
      <w:pPr>
        <w:spacing w:after="0"/>
        <w:ind w:firstLine="720"/>
        <w:contextualSpacing/>
        <w:jc w:val="both"/>
        <w:rPr>
          <w:rFonts w:ascii="Times New Roman" w:hAnsi="Times New Roman" w:cs="Times New Roman"/>
          <w:sz w:val="20"/>
          <w:lang w:val="lt-LT"/>
        </w:rPr>
      </w:pPr>
      <w:r w:rsidRPr="005D3FF6">
        <w:rPr>
          <w:rFonts w:ascii="Times New Roman" w:hAnsi="Times New Roman" w:cs="Times New Roman"/>
          <w:b/>
          <w:sz w:val="20"/>
          <w:lang w:val="lt-LT"/>
        </w:rPr>
        <w:t>Šaltinis:</w:t>
      </w:r>
      <w:r w:rsidRPr="005D3FF6">
        <w:rPr>
          <w:rFonts w:ascii="Times New Roman" w:hAnsi="Times New Roman" w:cs="Times New Roman"/>
          <w:sz w:val="20"/>
          <w:lang w:val="lt-LT"/>
        </w:rPr>
        <w:t xml:space="preserve"> </w:t>
      </w:r>
      <w:r w:rsidR="001A022F" w:rsidRPr="005D3FF6">
        <w:rPr>
          <w:rFonts w:ascii="Times New Roman" w:hAnsi="Times New Roman" w:cs="Times New Roman"/>
          <w:sz w:val="20"/>
          <w:lang w:val="lt-LT"/>
        </w:rPr>
        <w:t xml:space="preserve">Sudaryta pagal </w:t>
      </w:r>
      <w:r w:rsidRPr="005D3FF6">
        <w:rPr>
          <w:rFonts w:ascii="Times New Roman" w:hAnsi="Times New Roman" w:cs="Times New Roman"/>
          <w:bCs/>
          <w:color w:val="131413"/>
          <w:sz w:val="20"/>
          <w:lang w:val="lt-LT"/>
        </w:rPr>
        <w:t>Philosophov</w:t>
      </w:r>
      <w:r w:rsidRPr="005D3FF6">
        <w:rPr>
          <w:rFonts w:ascii="Times New Roman" w:hAnsi="Times New Roman" w:cs="Times New Roman"/>
          <w:b/>
          <w:color w:val="FF0000"/>
          <w:sz w:val="20"/>
          <w:lang w:val="lt-LT"/>
        </w:rPr>
        <w:t xml:space="preserve"> </w:t>
      </w:r>
      <w:r w:rsidR="001A022F" w:rsidRPr="005D3FF6">
        <w:rPr>
          <w:rFonts w:ascii="Times New Roman" w:hAnsi="Times New Roman" w:cs="Times New Roman"/>
          <w:sz w:val="20"/>
          <w:lang w:val="lt-LT"/>
        </w:rPr>
        <w:t>ir kt., 2008</w:t>
      </w:r>
      <w:r w:rsidRPr="005D3FF6">
        <w:rPr>
          <w:rFonts w:ascii="Times New Roman" w:hAnsi="Times New Roman" w:cs="Times New Roman"/>
          <w:sz w:val="20"/>
          <w:lang w:val="lt-LT"/>
        </w:rPr>
        <w:t xml:space="preserve">, </w:t>
      </w:r>
      <w:r w:rsidRPr="005D3FF6">
        <w:rPr>
          <w:rFonts w:ascii="Times New Roman" w:eastAsia="Times New Roman" w:hAnsi="Times New Roman" w:cs="Times New Roman"/>
          <w:sz w:val="20"/>
          <w:lang w:val="lt-LT"/>
        </w:rPr>
        <w:t xml:space="preserve"> Zeytınoglu,</w:t>
      </w:r>
      <w:r w:rsidR="001A022F" w:rsidRPr="005D3FF6">
        <w:rPr>
          <w:rFonts w:ascii="Times New Roman" w:eastAsia="Times New Roman" w:hAnsi="Times New Roman" w:cs="Times New Roman"/>
          <w:sz w:val="20"/>
          <w:lang w:val="lt-LT"/>
        </w:rPr>
        <w:t xml:space="preserve"> Deniz Akarım, 2013, </w:t>
      </w:r>
      <w:r w:rsidRPr="005D3FF6">
        <w:rPr>
          <w:rFonts w:ascii="Times New Roman" w:eastAsia="Times New Roman" w:hAnsi="Times New Roman" w:cs="Times New Roman"/>
          <w:sz w:val="20"/>
          <w:lang w:val="lt-LT"/>
        </w:rPr>
        <w:t>Mack</w:t>
      </w:r>
      <w:r w:rsidR="001A022F" w:rsidRPr="005D3FF6">
        <w:rPr>
          <w:rFonts w:ascii="Times New Roman" w:eastAsia="Times New Roman" w:hAnsi="Times New Roman" w:cs="Times New Roman"/>
          <w:sz w:val="20"/>
          <w:lang w:val="lt-LT"/>
        </w:rPr>
        <w:t xml:space="preserve">evičiaus, 2010, Bivainis, </w:t>
      </w:r>
      <w:r w:rsidRPr="005D3FF6">
        <w:rPr>
          <w:rFonts w:ascii="Times New Roman" w:eastAsia="Times New Roman" w:hAnsi="Times New Roman" w:cs="Times New Roman"/>
          <w:sz w:val="20"/>
          <w:lang w:val="lt-LT"/>
        </w:rPr>
        <w:t>Garškaitė</w:t>
      </w:r>
      <w:r w:rsidR="001A022F" w:rsidRPr="005D3FF6">
        <w:rPr>
          <w:rFonts w:ascii="Times New Roman" w:eastAsia="Times New Roman" w:hAnsi="Times New Roman" w:cs="Times New Roman"/>
          <w:sz w:val="20"/>
          <w:lang w:val="lt-LT"/>
        </w:rPr>
        <w:t>, 2010</w:t>
      </w:r>
      <w:r w:rsidRPr="005D3FF6">
        <w:rPr>
          <w:rFonts w:ascii="Times New Roman" w:hAnsi="Times New Roman" w:cs="Times New Roman"/>
          <w:sz w:val="20"/>
          <w:lang w:val="lt-LT"/>
        </w:rPr>
        <w:t>.</w:t>
      </w:r>
    </w:p>
    <w:p w:rsidR="003228C9" w:rsidRPr="0017614D" w:rsidRDefault="003228C9" w:rsidP="003228C9">
      <w:pPr>
        <w:spacing w:after="0"/>
        <w:ind w:firstLine="720"/>
        <w:contextualSpacing/>
        <w:jc w:val="both"/>
        <w:rPr>
          <w:rFonts w:ascii="Times New Roman" w:hAnsi="Times New Roman" w:cs="Times New Roman"/>
          <w:sz w:val="24"/>
          <w:szCs w:val="24"/>
          <w:lang w:val="lt-LT"/>
        </w:rPr>
      </w:pPr>
    </w:p>
    <w:p w:rsidR="003228C9" w:rsidRPr="0017614D" w:rsidRDefault="001A022F" w:rsidP="003228C9">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7</w:t>
      </w:r>
      <w:r w:rsidR="002624EB" w:rsidRPr="0017614D">
        <w:rPr>
          <w:rFonts w:ascii="Times New Roman" w:hAnsi="Times New Roman" w:cs="Times New Roman"/>
          <w:sz w:val="24"/>
          <w:szCs w:val="24"/>
          <w:lang w:val="lt-LT"/>
        </w:rPr>
        <w:t xml:space="preserve"> lentelėje pateikti rodikliai parodo</w:t>
      </w:r>
      <w:r w:rsidR="003228C9" w:rsidRPr="0017614D">
        <w:rPr>
          <w:rFonts w:ascii="Times New Roman" w:hAnsi="Times New Roman" w:cs="Times New Roman"/>
          <w:sz w:val="24"/>
          <w:szCs w:val="24"/>
          <w:lang w:val="lt-LT"/>
        </w:rPr>
        <w:t>, kad aukščiau paminėtų autorių nuomone ypating</w:t>
      </w:r>
      <w:r w:rsidR="00B20E23">
        <w:rPr>
          <w:rFonts w:ascii="Times New Roman" w:hAnsi="Times New Roman" w:cs="Times New Roman"/>
          <w:sz w:val="24"/>
          <w:szCs w:val="24"/>
          <w:lang w:val="lt-LT"/>
        </w:rPr>
        <w:t>as dėmesy</w:t>
      </w:r>
      <w:r w:rsidR="003228C9" w:rsidRPr="0017614D">
        <w:rPr>
          <w:rFonts w:ascii="Times New Roman" w:hAnsi="Times New Roman" w:cs="Times New Roman"/>
          <w:sz w:val="24"/>
          <w:szCs w:val="24"/>
          <w:lang w:val="lt-LT"/>
        </w:rPr>
        <w:t xml:space="preserve">s skaičiuojant finansinius rodiklius turi būti skiriamas mokumo bei pelningumo rodikliams. </w:t>
      </w:r>
    </w:p>
    <w:p w:rsidR="003228C9" w:rsidRPr="0017614D" w:rsidRDefault="003228C9" w:rsidP="003228C9">
      <w:pPr>
        <w:autoSpaceDE w:val="0"/>
        <w:autoSpaceDN w:val="0"/>
        <w:adjustRightInd w:val="0"/>
        <w:spacing w:after="0" w:line="360" w:lineRule="auto"/>
        <w:ind w:firstLine="737"/>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Taip pat iš tos pačios lentelės </w:t>
      </w:r>
      <w:r w:rsidR="0039602C" w:rsidRPr="0017614D">
        <w:rPr>
          <w:rFonts w:ascii="Times New Roman" w:hAnsi="Times New Roman" w:cs="Times New Roman"/>
          <w:sz w:val="24"/>
          <w:szCs w:val="24"/>
          <w:lang w:val="lt-LT"/>
        </w:rPr>
        <w:t xml:space="preserve">duomenų </w:t>
      </w:r>
      <w:r w:rsidRPr="0017614D">
        <w:rPr>
          <w:rFonts w:ascii="Times New Roman" w:hAnsi="Times New Roman" w:cs="Times New Roman"/>
          <w:sz w:val="24"/>
          <w:szCs w:val="24"/>
          <w:lang w:val="lt-LT"/>
        </w:rPr>
        <w:t>matosi, kad tiesiog apskaičiuoti rodiklį neužtenka, norint iš santykinių rodiklių gauti mums reikalingą bei objektyvią informaciją, apskaičiavus rodiklį būtina jį palyginti su tam tikrais kritiniais dydžiais. Dažniausiai šie kritiniai dydžiai yra nurodomi įvairių autorių publikacijose, tačiau čia kyla klausimas, kiek tai yra tikslinga lyginti nagrinėjamai įmonei apskaičiuotą rodiklį su mokslininkų pateiktomis kritinėmis ribomis, kadangi kritinės reikšmės kiekvienai nagrinėjamai šaliai, šakai bei nagrinėjamam laikotarpiui gali ženkliai skirtis, o kartais dėl verslo sudėtingumo ir išskirtinumo gali būti ne visai racionalu lyginti jį su visa šaka. Dėl šios priežasties apskaičiuotą rodiklį yra tikslinga ne tik palyginti su literatūroje nurodomomis reikšmėmis, tačiau ir palyginti su Lietuvos Statistikos departamento pateikiamomis Lietuvos įmonių vidutinėmis rodiklių reikšmėmis pagal atskirą šaką, kadangi ši statistika parodo, kokia šiuo metu vyrauja situacija Lietuvoje.</w:t>
      </w:r>
    </w:p>
    <w:p w:rsidR="003228C9" w:rsidRPr="0017614D" w:rsidRDefault="003228C9" w:rsidP="003228C9">
      <w:pPr>
        <w:autoSpaceDE w:val="0"/>
        <w:autoSpaceDN w:val="0"/>
        <w:adjustRightInd w:val="0"/>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Paskutinis </w:t>
      </w:r>
      <w:r w:rsidR="0039602C" w:rsidRPr="0017614D">
        <w:rPr>
          <w:rFonts w:ascii="Times New Roman" w:hAnsi="Times New Roman" w:cs="Times New Roman"/>
          <w:sz w:val="24"/>
          <w:szCs w:val="24"/>
          <w:lang w:val="lt-LT"/>
        </w:rPr>
        <w:t xml:space="preserve">kiekybinis </w:t>
      </w:r>
      <w:r w:rsidRPr="0017614D">
        <w:rPr>
          <w:rFonts w:ascii="Times New Roman" w:hAnsi="Times New Roman" w:cs="Times New Roman"/>
          <w:sz w:val="24"/>
          <w:szCs w:val="24"/>
          <w:lang w:val="lt-LT"/>
        </w:rPr>
        <w:t xml:space="preserve">bankroto grėsmės diagnozavimo metodikos elementas yra bankroto prognozavimo modelių taikymas. Daugelio autorių nuomone tai yra patogiausias būdas iš anksto nustatyti bankroto grėsmę, tačiau </w:t>
      </w:r>
      <w:r w:rsidRPr="0017614D">
        <w:rPr>
          <w:rFonts w:ascii="Times New Roman" w:eastAsia="TimesNewRomanPSMT" w:hAnsi="Times New Roman" w:cs="Times New Roman"/>
          <w:sz w:val="24"/>
          <w:szCs w:val="24"/>
          <w:lang w:val="lt-LT" w:eastAsia="lt-LT"/>
        </w:rPr>
        <w:t>labai svarbu</w:t>
      </w:r>
      <w:r w:rsidRPr="0017614D">
        <w:rPr>
          <w:rFonts w:ascii="Times New Roman" w:hAnsi="Times New Roman" w:cs="Times New Roman"/>
          <w:sz w:val="24"/>
          <w:szCs w:val="24"/>
          <w:lang w:val="lt-LT"/>
        </w:rPr>
        <w:t xml:space="preserve"> </w:t>
      </w:r>
      <w:r w:rsidRPr="0017614D">
        <w:rPr>
          <w:rFonts w:ascii="Times New Roman" w:eastAsia="TimesNewRomanPSMT" w:hAnsi="Times New Roman" w:cs="Times New Roman"/>
          <w:sz w:val="24"/>
          <w:szCs w:val="24"/>
          <w:lang w:val="lt-LT" w:eastAsia="lt-LT"/>
        </w:rPr>
        <w:t>pasirinkti tinkamą įmonės bankroto prognozavimo</w:t>
      </w:r>
      <w:r w:rsidRPr="0017614D">
        <w:rPr>
          <w:rFonts w:ascii="Times New Roman" w:hAnsi="Times New Roman" w:cs="Times New Roman"/>
          <w:sz w:val="24"/>
          <w:szCs w:val="24"/>
          <w:lang w:val="lt-LT"/>
        </w:rPr>
        <w:t xml:space="preserve"> </w:t>
      </w:r>
      <w:r w:rsidR="0039602C" w:rsidRPr="0017614D">
        <w:rPr>
          <w:rFonts w:ascii="Times New Roman" w:eastAsia="TimesNewRomanPSMT" w:hAnsi="Times New Roman" w:cs="Times New Roman"/>
          <w:sz w:val="24"/>
          <w:szCs w:val="24"/>
          <w:lang w:val="lt-LT" w:eastAsia="lt-LT"/>
        </w:rPr>
        <w:t>modelį</w:t>
      </w:r>
      <w:r w:rsidRPr="0017614D">
        <w:rPr>
          <w:rFonts w:ascii="Times New Roman" w:eastAsia="TimesNewRomanPSMT" w:hAnsi="Times New Roman" w:cs="Times New Roman"/>
          <w:sz w:val="24"/>
          <w:szCs w:val="24"/>
          <w:lang w:val="lt-LT" w:eastAsia="lt-LT"/>
        </w:rPr>
        <w:t>.</w:t>
      </w:r>
    </w:p>
    <w:p w:rsidR="009D7C0C" w:rsidRPr="0017614D" w:rsidRDefault="003228C9" w:rsidP="00DC6FD2">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D. Jurevičienė ir E. Bercevič (2013) savo straipsnyje „</w:t>
      </w:r>
      <w:r w:rsidRPr="0017614D">
        <w:rPr>
          <w:rFonts w:ascii="Times New Roman" w:eastAsia="Times New Roman" w:hAnsi="Times New Roman" w:cs="Times New Roman"/>
          <w:sz w:val="24"/>
          <w:szCs w:val="24"/>
          <w:lang w:val="lt-LT"/>
        </w:rPr>
        <w:t xml:space="preserve">The Evaluation of Bankruptcy Prediction Models for Lithuanian Companies” išskiria, kad vienas iš bankroto prognozavimo modelių trūkumų yra šių modelių gausumas bei sudėtingumas pasirinkti tinkamus konkrečios įmonės bankroto tikimybės nustatymui. Autorės nurodo, kad bankroto prognozavimo modeliai yra grupuojami pagal jų metodikas, todėl modelių pasirinkimas yra galimas atsižvelgiant į tai kokiai grupei jie priklauso. </w:t>
      </w:r>
      <w:r w:rsidR="00383309" w:rsidRPr="0017614D">
        <w:rPr>
          <w:rFonts w:ascii="Times New Roman" w:eastAsia="Times New Roman" w:hAnsi="Times New Roman" w:cs="Times New Roman"/>
          <w:sz w:val="24"/>
          <w:szCs w:val="24"/>
          <w:lang w:val="lt-LT"/>
        </w:rPr>
        <w:t xml:space="preserve">Apibendrinant D. Jurevičienės bei E. Bercevič (2013) pateiktas </w:t>
      </w:r>
      <w:r w:rsidR="00383309" w:rsidRPr="0017614D">
        <w:rPr>
          <w:rFonts w:ascii="Times New Roman" w:hAnsi="Times New Roman" w:cs="Times New Roman"/>
          <w:sz w:val="24"/>
          <w:szCs w:val="24"/>
          <w:lang w:val="lt-LT"/>
        </w:rPr>
        <w:t>M. Adnan Aziz ir Humayon A. Dar (2006), S. Balcaen ir H. Ooghe (2004) bei J. Mackevičiaus</w:t>
      </w:r>
      <w:r w:rsidR="00180EAE">
        <w:rPr>
          <w:rFonts w:ascii="Times New Roman" w:hAnsi="Times New Roman" w:cs="Times New Roman"/>
          <w:sz w:val="24"/>
          <w:szCs w:val="24"/>
          <w:lang w:val="lt-LT"/>
        </w:rPr>
        <w:t xml:space="preserve"> ir Silvanavičiūtės</w:t>
      </w:r>
      <w:r w:rsidR="00383309" w:rsidRPr="0017614D">
        <w:rPr>
          <w:rFonts w:ascii="Times New Roman" w:hAnsi="Times New Roman" w:cs="Times New Roman"/>
          <w:sz w:val="24"/>
          <w:szCs w:val="24"/>
          <w:lang w:val="lt-LT"/>
        </w:rPr>
        <w:t xml:space="preserve"> (2006) bankroto prognozavimo modelių klasifikacijas galima teigti, kad dažniausiai modeliai yra skirstomi į 2 </w:t>
      </w:r>
      <w:r w:rsidR="00DC6FD2">
        <w:rPr>
          <w:rFonts w:ascii="Times New Roman" w:hAnsi="Times New Roman" w:cs="Times New Roman"/>
          <w:sz w:val="24"/>
          <w:szCs w:val="24"/>
          <w:lang w:val="lt-LT"/>
        </w:rPr>
        <w:t>grupes – klasikinius bei</w:t>
      </w:r>
      <w:r w:rsidR="00383309" w:rsidRPr="0017614D">
        <w:rPr>
          <w:rFonts w:ascii="Times New Roman" w:hAnsi="Times New Roman" w:cs="Times New Roman"/>
          <w:sz w:val="24"/>
          <w:szCs w:val="24"/>
          <w:lang w:val="lt-LT"/>
        </w:rPr>
        <w:t xml:space="preserve"> </w:t>
      </w:r>
      <w:r w:rsidR="00DC6FD2">
        <w:rPr>
          <w:rFonts w:ascii="Times New Roman" w:hAnsi="Times New Roman" w:cs="Times New Roman"/>
          <w:sz w:val="24"/>
          <w:szCs w:val="24"/>
          <w:lang w:val="lt-LT"/>
        </w:rPr>
        <w:t xml:space="preserve">naujus, </w:t>
      </w:r>
      <w:r w:rsidR="00383309" w:rsidRPr="0017614D">
        <w:rPr>
          <w:rFonts w:ascii="Times New Roman" w:hAnsi="Times New Roman" w:cs="Times New Roman"/>
          <w:sz w:val="24"/>
          <w:szCs w:val="24"/>
          <w:lang w:val="lt-LT"/>
        </w:rPr>
        <w:t>pažangesnius</w:t>
      </w:r>
      <w:r w:rsidR="00895373">
        <w:rPr>
          <w:rFonts w:ascii="Times New Roman" w:hAnsi="Times New Roman" w:cs="Times New Roman"/>
          <w:sz w:val="24"/>
          <w:szCs w:val="24"/>
          <w:lang w:val="lt-LT"/>
        </w:rPr>
        <w:t xml:space="preserve"> (žr. 10</w:t>
      </w:r>
      <w:r w:rsidR="00383309" w:rsidRPr="0017614D">
        <w:rPr>
          <w:rFonts w:ascii="Times New Roman" w:hAnsi="Times New Roman" w:cs="Times New Roman"/>
          <w:sz w:val="24"/>
          <w:szCs w:val="24"/>
          <w:lang w:val="lt-LT"/>
        </w:rPr>
        <w:t xml:space="preserve"> pav.). </w:t>
      </w:r>
    </w:p>
    <w:p w:rsidR="003228C9" w:rsidRPr="0017614D" w:rsidRDefault="003228C9" w:rsidP="001A022F">
      <w:pPr>
        <w:spacing w:after="0" w:line="360" w:lineRule="auto"/>
        <w:contextualSpacing/>
        <w:jc w:val="both"/>
        <w:rPr>
          <w:rFonts w:ascii="Times New Roman" w:hAnsi="Times New Roman" w:cs="Times New Roman"/>
          <w:sz w:val="24"/>
          <w:szCs w:val="24"/>
          <w:lang w:val="lt-LT"/>
        </w:rPr>
      </w:pPr>
      <w:r w:rsidRPr="0017614D">
        <w:rPr>
          <w:rFonts w:ascii="Times New Roman" w:hAnsi="Times New Roman" w:cs="Times New Roman"/>
          <w:noProof/>
          <w:sz w:val="24"/>
          <w:szCs w:val="24"/>
        </w:rPr>
        <w:lastRenderedPageBreak/>
        <w:drawing>
          <wp:inline distT="0" distB="0" distL="0" distR="0">
            <wp:extent cx="5915025" cy="1895475"/>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3228C9" w:rsidRDefault="003228C9" w:rsidP="001A022F">
      <w:pPr>
        <w:spacing w:after="0" w:line="240" w:lineRule="auto"/>
        <w:ind w:firstLine="720"/>
        <w:contextualSpacing/>
        <w:jc w:val="both"/>
        <w:rPr>
          <w:rFonts w:ascii="Times New Roman" w:hAnsi="Times New Roman" w:cs="Times New Roman"/>
          <w:lang w:val="lt-LT"/>
        </w:rPr>
      </w:pPr>
      <w:r w:rsidRPr="00DC6FD2">
        <w:rPr>
          <w:rFonts w:ascii="Times New Roman" w:hAnsi="Times New Roman" w:cs="Times New Roman"/>
          <w:b/>
          <w:sz w:val="20"/>
          <w:szCs w:val="20"/>
          <w:lang w:val="lt-LT"/>
        </w:rPr>
        <w:t>Šaltinis:</w:t>
      </w:r>
      <w:r w:rsidRPr="00DC6FD2">
        <w:rPr>
          <w:rFonts w:ascii="Times New Roman" w:hAnsi="Times New Roman" w:cs="Times New Roman"/>
          <w:sz w:val="20"/>
          <w:szCs w:val="20"/>
          <w:lang w:val="lt-LT"/>
        </w:rPr>
        <w:t xml:space="preserve"> Sudaryta pagal D. Jurevičienė, E. Bercevič, 2013</w:t>
      </w:r>
      <w:r w:rsidRPr="0017614D">
        <w:rPr>
          <w:rFonts w:ascii="Times New Roman" w:hAnsi="Times New Roman" w:cs="Times New Roman"/>
          <w:lang w:val="lt-LT"/>
        </w:rPr>
        <w:t>.</w:t>
      </w:r>
    </w:p>
    <w:p w:rsidR="002B57E2" w:rsidRPr="0017614D" w:rsidRDefault="00895373" w:rsidP="002B57E2">
      <w:pPr>
        <w:spacing w:after="0" w:line="240" w:lineRule="auto"/>
        <w:contextualSpacing/>
        <w:jc w:val="center"/>
        <w:rPr>
          <w:rFonts w:ascii="Times New Roman" w:hAnsi="Times New Roman" w:cs="Times New Roman"/>
          <w:b/>
          <w:lang w:val="lt-LT"/>
        </w:rPr>
      </w:pPr>
      <w:r>
        <w:rPr>
          <w:rFonts w:ascii="Times New Roman" w:hAnsi="Times New Roman" w:cs="Times New Roman"/>
          <w:lang w:val="lt-LT"/>
        </w:rPr>
        <w:t>10</w:t>
      </w:r>
      <w:r w:rsidR="002B57E2" w:rsidRPr="0017614D">
        <w:rPr>
          <w:rFonts w:ascii="Times New Roman" w:hAnsi="Times New Roman" w:cs="Times New Roman"/>
          <w:lang w:val="lt-LT"/>
        </w:rPr>
        <w:t xml:space="preserve"> pav.</w:t>
      </w:r>
      <w:r w:rsidR="002B57E2" w:rsidRPr="0017614D">
        <w:rPr>
          <w:rFonts w:ascii="Times New Roman" w:hAnsi="Times New Roman" w:cs="Times New Roman"/>
          <w:b/>
          <w:lang w:val="lt-LT"/>
        </w:rPr>
        <w:t xml:space="preserve"> Bankroto prognozavimo modelių klaifikacija</w:t>
      </w:r>
    </w:p>
    <w:p w:rsidR="008C5B71" w:rsidRDefault="008C5B71" w:rsidP="001A022F">
      <w:pPr>
        <w:spacing w:after="0" w:line="240" w:lineRule="auto"/>
        <w:ind w:firstLine="720"/>
        <w:contextualSpacing/>
        <w:jc w:val="both"/>
        <w:rPr>
          <w:rFonts w:ascii="Times New Roman" w:hAnsi="Times New Roman" w:cs="Times New Roman"/>
          <w:lang w:val="lt-LT"/>
        </w:rPr>
      </w:pPr>
    </w:p>
    <w:p w:rsidR="001A022F" w:rsidRPr="0017614D" w:rsidRDefault="001A022F" w:rsidP="001A022F">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Klasikiniams modeliams galima priskirti vienmatės bei daugiakriterinės diskriminantinės analizės ir logistinės regresijos modelius. Tuo tarpu ktiai</w:t>
      </w:r>
      <w:r w:rsidR="00604CD2">
        <w:rPr>
          <w:rFonts w:ascii="Times New Roman" w:hAnsi="Times New Roman" w:cs="Times New Roman"/>
          <w:sz w:val="24"/>
          <w:szCs w:val="24"/>
          <w:lang w:val="lt-LT"/>
        </w:rPr>
        <w:t>,</w:t>
      </w:r>
      <w:r w:rsidRPr="0017614D">
        <w:rPr>
          <w:rFonts w:ascii="Times New Roman" w:hAnsi="Times New Roman" w:cs="Times New Roman"/>
          <w:sz w:val="24"/>
          <w:szCs w:val="24"/>
          <w:lang w:val="lt-LT"/>
        </w:rPr>
        <w:t xml:space="preserve"> naujesnei alternatyvių modelių grupei yra priskiriami sprendimų medžio, išlikimo analizės ar neuroninių tinklų modeliai.</w:t>
      </w:r>
    </w:p>
    <w:p w:rsidR="003228C9" w:rsidRPr="0017614D" w:rsidRDefault="003228C9" w:rsidP="003228C9">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Tiesinės diskriminantinės analizės modeliai tiesinės funkcijos pagalba nustato priklausomybę tarp bankroto tikimybės (priklausomas kintamasis) ir finansinių įmonės rodiklių (nepriklausomi kintamieji) (Garškaitė, 2008). Tiesinės diskriminantinės analizės modeliai yra išreiškiami žemiau pateikta formule:</w:t>
      </w:r>
    </w:p>
    <w:p w:rsidR="003228C9" w:rsidRPr="0017614D" w:rsidRDefault="003228C9" w:rsidP="003228C9">
      <w:pPr>
        <w:spacing w:after="0" w:line="360" w:lineRule="auto"/>
        <w:ind w:firstLine="720"/>
        <w:contextualSpacing/>
        <w:jc w:val="right"/>
        <w:rPr>
          <w:rFonts w:ascii="Times New Roman" w:hAnsi="Times New Roman" w:cs="Times New Roman"/>
          <w:sz w:val="24"/>
          <w:szCs w:val="24"/>
          <w:lang w:val="lt-LT"/>
        </w:rPr>
      </w:pPr>
      <w:r w:rsidRPr="0017614D">
        <w:rPr>
          <w:rFonts w:ascii="Times New Roman" w:hAnsi="Times New Roman" w:cs="Times New Roman"/>
          <w:sz w:val="24"/>
          <w:szCs w:val="24"/>
          <w:lang w:val="lt-LT"/>
        </w:rPr>
        <w:t>Z= a+b1X1+b2X2+...+bnXn;                                                (1)</w:t>
      </w:r>
    </w:p>
    <w:p w:rsidR="003228C9" w:rsidRPr="0017614D" w:rsidRDefault="003228C9" w:rsidP="003228C9">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kur: </w:t>
      </w:r>
    </w:p>
    <w:p w:rsidR="003228C9" w:rsidRPr="0017614D" w:rsidRDefault="003228C9" w:rsidP="003228C9">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Z – bankroto tikimybė; </w:t>
      </w:r>
    </w:p>
    <w:p w:rsidR="003228C9" w:rsidRPr="0017614D" w:rsidRDefault="003228C9" w:rsidP="003228C9">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a – konstanta; </w:t>
      </w:r>
    </w:p>
    <w:p w:rsidR="003228C9" w:rsidRPr="0017614D" w:rsidRDefault="003228C9" w:rsidP="003228C9">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Xi – finansinis kintamasis; </w:t>
      </w:r>
    </w:p>
    <w:p w:rsidR="003228C9" w:rsidRPr="0017614D" w:rsidRDefault="003228C9" w:rsidP="003228C9">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bi – koeficientas, išreiškiantis ryšį tarp finansinio kintamojo ir bankroto tikimybės.</w:t>
      </w:r>
    </w:p>
    <w:p w:rsidR="003228C9" w:rsidRPr="0017614D" w:rsidRDefault="003228C9" w:rsidP="003228C9">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Tiesinės diskriminantinės modelių grupės pradininkų  yra laikomas amerikiečių ekonomistas E. I. Altmanas. Jo modeliams savo knygose bei straipsniuose daug dėmesio skiria tokie autoriai kaip M. Gombola (1987), R. Collins (1980), J. B. Caouette (2008), J. Mackevičius</w:t>
      </w:r>
      <w:r w:rsidR="00180EAE">
        <w:rPr>
          <w:rFonts w:ascii="Times New Roman" w:hAnsi="Times New Roman" w:cs="Times New Roman"/>
          <w:sz w:val="24"/>
          <w:szCs w:val="24"/>
          <w:lang w:val="lt-LT"/>
        </w:rPr>
        <w:t>, Rakštelienė</w:t>
      </w:r>
      <w:r w:rsidRPr="0017614D">
        <w:rPr>
          <w:rFonts w:ascii="Times New Roman" w:hAnsi="Times New Roman" w:cs="Times New Roman"/>
          <w:sz w:val="24"/>
          <w:szCs w:val="24"/>
          <w:lang w:val="lt-LT"/>
        </w:rPr>
        <w:t xml:space="preserve"> (2005). E. Altmanas pasiūlė įmonės bankrotui nustatyti „Z“ modelį, kuris yra paremtas santykinių rodiklių skaičiavimu, iš kurių išvedamas apibendrintas „Z“ koeficientas. </w:t>
      </w:r>
      <w:r w:rsidR="009D7C0C" w:rsidRPr="0017614D">
        <w:rPr>
          <w:rFonts w:ascii="Times New Roman" w:hAnsi="Times New Roman" w:cs="Times New Roman"/>
          <w:sz w:val="24"/>
          <w:szCs w:val="24"/>
          <w:lang w:val="lt-LT"/>
        </w:rPr>
        <w:t>Jis siekė surasti</w:t>
      </w:r>
      <w:r w:rsidRPr="0017614D">
        <w:rPr>
          <w:rFonts w:ascii="Times New Roman" w:hAnsi="Times New Roman" w:cs="Times New Roman"/>
          <w:sz w:val="24"/>
          <w:szCs w:val="24"/>
          <w:lang w:val="lt-LT"/>
        </w:rPr>
        <w:t xml:space="preserve"> tam tikrą ribą, kuri suskirstytų įmones į dvi grupes - kurioms bankrotas negresia ir kurioms gresia. Remiantis šiuo modeliu vėliau buvo</w:t>
      </w:r>
      <w:r w:rsidR="00383309" w:rsidRPr="0017614D">
        <w:rPr>
          <w:rFonts w:ascii="Times New Roman" w:hAnsi="Times New Roman" w:cs="Times New Roman"/>
          <w:sz w:val="24"/>
          <w:szCs w:val="24"/>
          <w:lang w:val="lt-LT"/>
        </w:rPr>
        <w:t xml:space="preserve"> bandyta sukurti naujus</w:t>
      </w:r>
      <w:r w:rsidRPr="0017614D">
        <w:rPr>
          <w:rFonts w:ascii="Times New Roman" w:hAnsi="Times New Roman" w:cs="Times New Roman"/>
          <w:sz w:val="24"/>
          <w:szCs w:val="24"/>
          <w:lang w:val="lt-LT"/>
        </w:rPr>
        <w:t>, tobulesnius modelius. Tarp jų išsiskyrė 1978 m. Kanados mokslininko G. Springate pateiktas bankroto prognozavimo modelis, be to pagelbėti įmonėms taip pat bandė ir anglų mokslininkai - R. Taffler ir R. Liss (Kučiauškaitė, 2009). Visi šie modeliai yra iš</w:t>
      </w:r>
      <w:r w:rsidR="00383309" w:rsidRPr="0017614D">
        <w:rPr>
          <w:rFonts w:ascii="Times New Roman" w:hAnsi="Times New Roman" w:cs="Times New Roman"/>
          <w:sz w:val="24"/>
          <w:szCs w:val="24"/>
          <w:lang w:val="lt-LT"/>
        </w:rPr>
        <w:t>reikšti formulėmis (žr. 1 pried.</w:t>
      </w:r>
      <w:r w:rsidRPr="0017614D">
        <w:rPr>
          <w:rFonts w:ascii="Times New Roman" w:hAnsi="Times New Roman" w:cs="Times New Roman"/>
          <w:sz w:val="24"/>
          <w:szCs w:val="24"/>
          <w:lang w:val="lt-LT"/>
        </w:rPr>
        <w:t xml:space="preserve">), susidedančiomis iš finansinių kintamųjų ir nekintančių koeficientų. Taip pat </w:t>
      </w:r>
      <w:r w:rsidRPr="0017614D">
        <w:rPr>
          <w:rFonts w:ascii="Times New Roman" w:hAnsi="Times New Roman" w:cs="Times New Roman"/>
          <w:sz w:val="24"/>
          <w:szCs w:val="24"/>
          <w:lang w:val="lt-LT"/>
        </w:rPr>
        <w:lastRenderedPageBreak/>
        <w:t>kiekvienas autorius pasirinko savo modeliui tinkamą kritinę reikšmę, kuri parodo įmonei, ar egzistuoja bankroto tikimybė.</w:t>
      </w:r>
    </w:p>
    <w:p w:rsidR="003228C9" w:rsidRPr="0017614D" w:rsidRDefault="00DC6FD2" w:rsidP="003228C9">
      <w:pPr>
        <w:spacing w:after="0" w:line="360" w:lineRule="auto"/>
        <w:ind w:firstLine="720"/>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Siekinat pasirinkti kokius</w:t>
      </w:r>
      <w:r w:rsidR="003228C9" w:rsidRPr="0017614D">
        <w:rPr>
          <w:rFonts w:ascii="Times New Roman" w:hAnsi="Times New Roman" w:cs="Times New Roman"/>
          <w:sz w:val="24"/>
          <w:szCs w:val="24"/>
          <w:lang w:val="lt-LT"/>
        </w:rPr>
        <w:t xml:space="preserve"> bankroto prognozavimo modelius</w:t>
      </w:r>
      <w:r>
        <w:rPr>
          <w:rFonts w:ascii="Times New Roman" w:hAnsi="Times New Roman" w:cs="Times New Roman"/>
          <w:sz w:val="24"/>
          <w:szCs w:val="24"/>
          <w:lang w:val="lt-LT"/>
        </w:rPr>
        <w:t xml:space="preserve"> taikyti</w:t>
      </w:r>
      <w:r w:rsidR="003228C9" w:rsidRPr="0017614D">
        <w:rPr>
          <w:rFonts w:ascii="Times New Roman" w:hAnsi="Times New Roman" w:cs="Times New Roman"/>
          <w:sz w:val="24"/>
          <w:szCs w:val="24"/>
          <w:lang w:val="lt-LT"/>
        </w:rPr>
        <w:t>, svarbu apžvelgti ir jų pritaikomumą Lietuvos įmonėms. Dauguma mokslininkų yra teigiamai nusiteikę Altmano modelio atžvilgiu, visgi ne vienas pripažįsta, kad Altman modelį reikia tobulinti. Mackevičiaus ir Silmanavičiūtės (2006) tyrimai parodė, kad šis modelis yra tinkamas Lietuvos</w:t>
      </w:r>
      <w:r w:rsidR="00383309" w:rsidRPr="0017614D">
        <w:rPr>
          <w:rFonts w:ascii="Times New Roman" w:hAnsi="Times New Roman" w:cs="Times New Roman"/>
          <w:sz w:val="24"/>
          <w:szCs w:val="24"/>
          <w:lang w:val="lt-LT"/>
        </w:rPr>
        <w:t xml:space="preserve"> įmonėms</w:t>
      </w:r>
      <w:r w:rsidR="003228C9" w:rsidRPr="0017614D">
        <w:rPr>
          <w:rFonts w:ascii="Times New Roman" w:hAnsi="Times New Roman" w:cs="Times New Roman"/>
          <w:sz w:val="24"/>
          <w:szCs w:val="24"/>
          <w:lang w:val="lt-LT"/>
        </w:rPr>
        <w:t>, tačiau apsisaugojimui pataria lyginti jo rezultatus su trumpalaikio bei ilgalaikio mokumo bei pelningumo rodikliais. Teigiamai šį modelį įvertino ir K. Garškaitė (2008). Tuo tarpu Stundžienė ir Boguslauskas (2006) bei M. Tvaronavičienė (2001) kritiškai vertina Altman sukurtą modelį. Šių autorių tyrimo metu buvo pastebėta žymi paklaida, be to šie mokslininkai atkreipia dėmesį, kad jis buvo sukurtas labai seniai. Tuo tarpu kiti modeliai nėra tokie populiarūs tarp Lietuvos autorių. Springate ir Taffler modeliai buvo nagrinėjami Mackevičiaus ir Silvanavičiūtės (2006) bei Garškaitės (2008) tyrimuose, kurie parodė, kad abu modeliai yra tinkami Lietuvos įmonių bankroto diagnozavimui. Tuo tarpu Liss modelio K. Garškaitė nepataria naudoti Lietuvos įmonėms, kadangi atlikto tyrimo metu jis parodė pakankamai kontraversiškus rezultatus.</w:t>
      </w:r>
    </w:p>
    <w:p w:rsidR="003228C9" w:rsidRPr="0017614D" w:rsidRDefault="003228C9" w:rsidP="003228C9">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Kadangi  įmonių bankrotas yra sudėtingas reiškinys ir dažnai vien tiesine priklausomybe jį aprašyti yra netikslinga, buvo sukurti logistinės regresijos modeliai, kuriuose bankroto tikimybei prognozuoti naudojama ir logistinės regresijos funkcija:</w:t>
      </w:r>
    </w:p>
    <w:p w:rsidR="003228C9" w:rsidRPr="0017614D" w:rsidRDefault="003228C9" w:rsidP="003228C9">
      <w:pPr>
        <w:spacing w:after="0" w:line="360" w:lineRule="auto"/>
        <w:ind w:firstLine="720"/>
        <w:contextualSpacing/>
        <w:jc w:val="right"/>
        <w:rPr>
          <w:rFonts w:ascii="Times New Roman" w:hAnsi="Times New Roman" w:cs="Times New Roman"/>
          <w:sz w:val="24"/>
          <w:szCs w:val="24"/>
          <w:lang w:val="lt-LT"/>
        </w:rPr>
      </w:pPr>
      <m:oMath>
        <m:r>
          <w:rPr>
            <w:rFonts w:ascii="Cambria Math" w:hAnsi="Cambria Math" w:cs="Times New Roman"/>
            <w:sz w:val="24"/>
            <w:szCs w:val="24"/>
            <w:lang w:val="lt-LT"/>
          </w:rPr>
          <m:t>P</m:t>
        </m:r>
        <m:r>
          <m:rPr>
            <m:sty m:val="p"/>
          </m:rPr>
          <w:rPr>
            <w:rFonts w:ascii="Cambria Math" w:hAnsi="Times New Roman" w:cs="Times New Roman"/>
            <w:sz w:val="24"/>
            <w:szCs w:val="24"/>
            <w:lang w:val="lt-LT"/>
          </w:rPr>
          <m:t>=</m:t>
        </m:r>
        <m:f>
          <m:fPr>
            <m:ctrlPr>
              <w:rPr>
                <w:rFonts w:ascii="Cambria Math" w:hAnsi="Times New Roman" w:cs="Times New Roman"/>
                <w:sz w:val="24"/>
                <w:szCs w:val="24"/>
                <w:lang w:val="lt-LT"/>
              </w:rPr>
            </m:ctrlPr>
          </m:fPr>
          <m:num>
            <m:r>
              <m:rPr>
                <m:sty m:val="p"/>
              </m:rPr>
              <w:rPr>
                <w:rFonts w:ascii="Cambria Math" w:hAnsi="Times New Roman" w:cs="Times New Roman"/>
                <w:sz w:val="24"/>
                <w:szCs w:val="24"/>
                <w:lang w:val="lt-LT"/>
              </w:rPr>
              <m:t>1</m:t>
            </m:r>
          </m:num>
          <m:den>
            <m:r>
              <m:rPr>
                <m:sty m:val="p"/>
              </m:rPr>
              <w:rPr>
                <w:rFonts w:ascii="Cambria Math" w:hAnsi="Times New Roman" w:cs="Times New Roman"/>
                <w:sz w:val="24"/>
                <w:szCs w:val="24"/>
                <w:lang w:val="lt-LT"/>
              </w:rPr>
              <m:t>1+</m:t>
            </m:r>
            <m:sSup>
              <m:sSupPr>
                <m:ctrlPr>
                  <w:rPr>
                    <w:rFonts w:ascii="Cambria Math" w:hAnsi="Times New Roman" w:cs="Times New Roman"/>
                    <w:sz w:val="24"/>
                    <w:szCs w:val="24"/>
                    <w:lang w:val="lt-LT"/>
                  </w:rPr>
                </m:ctrlPr>
              </m:sSupPr>
              <m:e>
                <m:r>
                  <w:rPr>
                    <w:rFonts w:ascii="Cambria Math" w:hAnsi="Cambria Math" w:cs="Times New Roman"/>
                    <w:sz w:val="24"/>
                    <w:szCs w:val="24"/>
                    <w:lang w:val="lt-LT"/>
                  </w:rPr>
                  <m:t>e</m:t>
                </m:r>
              </m:e>
              <m:sup>
                <m:r>
                  <m:rPr>
                    <m:sty m:val="p"/>
                  </m:rPr>
                  <w:rPr>
                    <w:rFonts w:ascii="Cambria Math" w:hAnsi="Cambria Math" w:cs="Times New Roman"/>
                    <w:sz w:val="24"/>
                    <w:szCs w:val="24"/>
                    <w:lang w:val="lt-LT"/>
                  </w:rPr>
                  <m:t>-</m:t>
                </m:r>
                <m:r>
                  <w:rPr>
                    <w:rFonts w:ascii="Cambria Math" w:hAnsi="Cambria Math" w:cs="Times New Roman"/>
                    <w:sz w:val="24"/>
                    <w:szCs w:val="24"/>
                    <w:lang w:val="lt-LT"/>
                  </w:rPr>
                  <m:t>Z</m:t>
                </m:r>
              </m:sup>
            </m:sSup>
          </m:den>
        </m:f>
      </m:oMath>
      <w:r w:rsidRPr="0017614D">
        <w:rPr>
          <w:rFonts w:ascii="Times New Roman" w:hAnsi="Times New Roman" w:cs="Times New Roman"/>
          <w:sz w:val="24"/>
          <w:szCs w:val="24"/>
          <w:lang w:val="lt-LT"/>
        </w:rPr>
        <w:t>;                                                                         (2)</w:t>
      </w:r>
    </w:p>
    <w:p w:rsidR="003228C9" w:rsidRPr="0017614D" w:rsidRDefault="003228C9" w:rsidP="003228C9">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kur: </w:t>
      </w:r>
    </w:p>
    <w:p w:rsidR="003228C9" w:rsidRPr="0017614D" w:rsidRDefault="003228C9" w:rsidP="003228C9">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P – bankroto tikimybė (tarp 0 ir 1); </w:t>
      </w:r>
    </w:p>
    <w:p w:rsidR="003228C9" w:rsidRPr="0017614D" w:rsidRDefault="003228C9" w:rsidP="003228C9">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e = 2,71828182846; </w:t>
      </w:r>
    </w:p>
    <w:p w:rsidR="003228C9" w:rsidRPr="0017614D" w:rsidRDefault="003228C9" w:rsidP="003228C9">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Z = a+b1X1+b2X2+...+bnXn.</w:t>
      </w:r>
    </w:p>
    <w:p w:rsidR="003228C9" w:rsidRPr="0017614D" w:rsidRDefault="003228C9" w:rsidP="003228C9">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Šiuo būdu yra nustatoma, į kurią iš dviejų grupių patenka analizuojamas objektas – sėkmės, jei įmonė artimiausiu metu nebankrutuos, ir gresiančio bankroto (Ruczinski, 2003). </w:t>
      </w:r>
    </w:p>
    <w:p w:rsidR="003228C9" w:rsidRPr="0017614D" w:rsidRDefault="003228C9" w:rsidP="003228C9">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Populiariausi tarp šios grupės modelių yra Zavgren bei Chesser modeliai. Pirmasis yra ypatingas tuo, kad siūlo naudoti skirtingas išraiškas, priklausomai nuo to kokio senumo duomenys yra naudojami (Mackevičius, 2010). Be to logistinės regresijos modelį sukūrė ir lietuvių autorius Grigaravičius (2003). Jo modelis pasižymi rodiklių gausumu bei tuo, kad jis yra pritaikytas būtent Lietuvos įmonėms. Visų šių modelių Z koeficientų išraiškos be</w:t>
      </w:r>
      <w:r w:rsidR="008F08C9">
        <w:rPr>
          <w:rFonts w:ascii="Times New Roman" w:hAnsi="Times New Roman" w:cs="Times New Roman"/>
          <w:sz w:val="24"/>
          <w:szCs w:val="24"/>
          <w:lang w:val="lt-LT"/>
        </w:rPr>
        <w:t>i kritinės ribos yra pateiktos 1</w:t>
      </w:r>
      <w:r w:rsidRPr="0017614D">
        <w:rPr>
          <w:rFonts w:ascii="Times New Roman" w:hAnsi="Times New Roman" w:cs="Times New Roman"/>
          <w:sz w:val="24"/>
          <w:szCs w:val="24"/>
          <w:lang w:val="lt-LT"/>
        </w:rPr>
        <w:t xml:space="preserve"> priede.</w:t>
      </w:r>
    </w:p>
    <w:p w:rsidR="003228C9" w:rsidRPr="0017614D" w:rsidRDefault="003228C9" w:rsidP="003228C9">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Kalbant apie šių modelių taikymo tinkamumą Lietuvos įmonėms, galima sakyti, kad jie yra vertinami pakankamai kritiškai. Iš lietuvių autorių juos tyrė tik Mackevičius ir Silvanavičiūtė (2006), kurių tyrimas parodė, kad apskaičiuotos bankroto tikimybės nėra tikslios ir tik iš dalies sutapo su tiesinės </w:t>
      </w:r>
      <w:r w:rsidRPr="0017614D">
        <w:rPr>
          <w:rFonts w:ascii="Times New Roman" w:hAnsi="Times New Roman" w:cs="Times New Roman"/>
          <w:sz w:val="24"/>
          <w:szCs w:val="24"/>
          <w:lang w:val="lt-LT"/>
        </w:rPr>
        <w:lastRenderedPageBreak/>
        <w:t>diskriminantinės analizės modelių rezultatais (Garškaitė, 2008, p. 130). Taigi šių autorių teigimu nei Zavgren, nei Chesser modeliai nėra tinkami Lietuvos įmonių bankroto grėsmei diagnozuoti, tuo tarpu Grigaravičiaus modelis yra pakankamai naujas, todėl jis dar nėra ištirtas Lietuvos mokslininkų.</w:t>
      </w:r>
    </w:p>
    <w:p w:rsidR="003228C9" w:rsidRPr="0017614D" w:rsidRDefault="003228C9" w:rsidP="003228C9">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Taip pat, kaip buvo minėta, be klasikinių modelių egzistuoja ir kiti alternatyvūs, taip vadinamieji, dirbtinio intelekto modeliai. P</w:t>
      </w:r>
      <w:r w:rsidR="00604CD2">
        <w:rPr>
          <w:rFonts w:ascii="Times New Roman" w:hAnsi="Times New Roman" w:cs="Times New Roman"/>
          <w:sz w:val="24"/>
          <w:szCs w:val="24"/>
          <w:lang w:val="lt-LT"/>
        </w:rPr>
        <w:t>op</w:t>
      </w:r>
      <w:r w:rsidRPr="0017614D">
        <w:rPr>
          <w:rFonts w:ascii="Times New Roman" w:hAnsi="Times New Roman" w:cs="Times New Roman"/>
          <w:sz w:val="24"/>
          <w:szCs w:val="24"/>
          <w:lang w:val="lt-LT"/>
        </w:rPr>
        <w:t>uliariausi tarp jų yra sprendimų medžio bei neuronų tinklai. Visgi, š</w:t>
      </w:r>
      <w:r w:rsidR="009D7C0C" w:rsidRPr="0017614D">
        <w:rPr>
          <w:rFonts w:ascii="Times New Roman" w:hAnsi="Times New Roman" w:cs="Times New Roman"/>
          <w:sz w:val="24"/>
          <w:szCs w:val="24"/>
          <w:lang w:val="lt-LT"/>
        </w:rPr>
        <w:t>ie modeliai yra dar nauji ir</w:t>
      </w:r>
      <w:r w:rsidRPr="0017614D">
        <w:rPr>
          <w:rFonts w:ascii="Times New Roman" w:hAnsi="Times New Roman" w:cs="Times New Roman"/>
          <w:sz w:val="24"/>
          <w:szCs w:val="24"/>
          <w:lang w:val="lt-LT"/>
        </w:rPr>
        <w:t xml:space="preserve"> Lietuvos mokslininkai nėra plačiai ištyrę jų tinkamumo Lietuvos įmonėms</w:t>
      </w:r>
      <w:r w:rsidR="009D7C0C" w:rsidRPr="0017614D">
        <w:rPr>
          <w:rFonts w:ascii="Times New Roman" w:hAnsi="Times New Roman" w:cs="Times New Roman"/>
          <w:sz w:val="24"/>
          <w:szCs w:val="24"/>
          <w:lang w:val="lt-LT"/>
        </w:rPr>
        <w:t>, todėl šie modeliai tyrime nebus taikomi</w:t>
      </w:r>
      <w:r w:rsidRPr="0017614D">
        <w:rPr>
          <w:rFonts w:ascii="Times New Roman" w:hAnsi="Times New Roman" w:cs="Times New Roman"/>
          <w:sz w:val="24"/>
          <w:szCs w:val="24"/>
          <w:lang w:val="lt-LT"/>
        </w:rPr>
        <w:t>.</w:t>
      </w:r>
    </w:p>
    <w:p w:rsidR="003228C9" w:rsidRPr="0017614D" w:rsidRDefault="003228C9" w:rsidP="003228C9">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Taip pat renkantis, kurį modelį naudoti reikėtų atkreipti dėmesį, kad autoriai šiuos modelius kūrė skirtingu laikotarpiu, ne tose pačiose valstybėse, kurios skiriasi ekonomine, politine, konkurencine ir kt. aplinkomis. Be to, autoriai bankroto prognozavimo modeliams sukurti analizavo skirtingas įmones bei ėmė nevienodą jų imtį. Tai gali sąlygoti šių modelių tinkamumą ne visoms įmonėms (Januševičiūtė, 2010). Apie šakos efektą bankroto prognozavimo modeliuose daug kalba S. Chava straipsnyje „Bankruptcy prediction with industry effects“. Jo nuomone, modelių autoriai bandydami sukurti modelį dažniausiai analizuoja tik vienos šalies ir vienos šakos įmones. Tuo tarpu kitos šakos įmonėms gali būti reikšmingi visai kitokie rodikliai, dėl kitokios jų darbo specifikos ar verslo aplinkos, kuri labai skiriasi skirtingose šalyse. Panaši situacija yra ir su laikotarpiu. Dauguma bankroto prognozavimo modelių buvo sukurta prieš 20 – 40 metų, nuo to laiko pasikeitė šalies ekonominė, politinė, mokestinė, verslo aplinka. Modeliai nėra pritaikyti išskirtinėms sąlygoms, tokioms kaip pavyzdžiui ekonominė krizė, taigi esant skirtingai verslo aplinkai, kitokiom ekonominėms ar politinėms sąlygoms, kiekvienas modelis gali rodyti skirtingus rezultatus.</w:t>
      </w:r>
    </w:p>
    <w:p w:rsidR="003228C9" w:rsidRPr="0017614D" w:rsidRDefault="009D7C0C" w:rsidP="00DD055E">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Remiantis aukščiau paminėtomis </w:t>
      </w:r>
      <w:r w:rsidR="003228C9" w:rsidRPr="0017614D">
        <w:rPr>
          <w:rFonts w:ascii="Times New Roman" w:hAnsi="Times New Roman" w:cs="Times New Roman"/>
          <w:sz w:val="24"/>
          <w:szCs w:val="24"/>
          <w:lang w:val="lt-LT"/>
        </w:rPr>
        <w:t>bankro</w:t>
      </w:r>
      <w:r w:rsidRPr="0017614D">
        <w:rPr>
          <w:rFonts w:ascii="Times New Roman" w:hAnsi="Times New Roman" w:cs="Times New Roman"/>
          <w:sz w:val="24"/>
          <w:szCs w:val="24"/>
          <w:lang w:val="lt-LT"/>
        </w:rPr>
        <w:t xml:space="preserve">to prognozavimo modelių savybėmis </w:t>
      </w:r>
      <w:r w:rsidR="00DD055E" w:rsidRPr="0017614D">
        <w:rPr>
          <w:rFonts w:ascii="Times New Roman" w:hAnsi="Times New Roman" w:cs="Times New Roman"/>
          <w:sz w:val="24"/>
          <w:szCs w:val="24"/>
          <w:lang w:val="lt-LT"/>
        </w:rPr>
        <w:t xml:space="preserve">bei jų populiarumu tarp Lietuvos mokslininkų </w:t>
      </w:r>
      <w:r w:rsidRPr="0017614D">
        <w:rPr>
          <w:rFonts w:ascii="Times New Roman" w:hAnsi="Times New Roman" w:cs="Times New Roman"/>
          <w:sz w:val="24"/>
          <w:szCs w:val="24"/>
          <w:lang w:val="lt-LT"/>
        </w:rPr>
        <w:t xml:space="preserve">buvo pasirinkta tarnsportavimo įmonių bankroto grėsmei nustatyti pritaikyti </w:t>
      </w:r>
      <w:r w:rsidR="00DD055E" w:rsidRPr="0017614D">
        <w:rPr>
          <w:rFonts w:ascii="Times New Roman" w:hAnsi="Times New Roman" w:cs="Times New Roman"/>
          <w:sz w:val="24"/>
          <w:szCs w:val="24"/>
          <w:lang w:val="lt-LT"/>
        </w:rPr>
        <w:t xml:space="preserve">Altman, Springate, Taffler, Liss, Zavgren ir Chesser modeliai. Buvo atsisakyta tirti Grigaravičiaus modelio tinkamumą Lietuvos tarnsportavimo įmonėms, kadangi šis modelis reikalauja daugiau duomenų, kurių įmonių finansinės ataskaitos nepateikia, šį modelį taikyti būtų netikslinga. </w:t>
      </w:r>
    </w:p>
    <w:p w:rsidR="003228C9" w:rsidRPr="0017614D" w:rsidRDefault="00DD055E" w:rsidP="00DD055E">
      <w:pPr>
        <w:pStyle w:val="Default"/>
        <w:spacing w:line="360" w:lineRule="auto"/>
        <w:contextualSpacing/>
        <w:rPr>
          <w:color w:val="auto"/>
          <w:lang w:val="lt-LT"/>
        </w:rPr>
      </w:pPr>
      <w:r w:rsidRPr="0017614D">
        <w:rPr>
          <w:color w:val="auto"/>
          <w:lang w:val="lt-LT"/>
        </w:rPr>
        <w:tab/>
        <w:t xml:space="preserve">Kaip jau buvo minėta, mūsų aptariama kompleksinė bankroto grėsmės diagnozavimo metodika yra išskirtinė tuo, kad ji apima ne tik įmonės būklės analizę, bet yra siūloma taikyti ir post-diagnostines priemones. </w:t>
      </w:r>
      <w:r w:rsidR="003228C9" w:rsidRPr="0017614D">
        <w:rPr>
          <w:lang w:val="lt-LT"/>
        </w:rPr>
        <w:t>Kai įmonei yra diagnozuota bankroto tikimybė ir nustatytos probleminės sritys, ji turėtų imtis tam tikrų veiksmų siekiant veikti stabiliai ir užtikrinti savo veiklos tęstinumą.</w:t>
      </w:r>
    </w:p>
    <w:p w:rsidR="003228C9" w:rsidRPr="0017614D" w:rsidRDefault="003228C9" w:rsidP="003228C9">
      <w:pPr>
        <w:autoSpaceDE w:val="0"/>
        <w:autoSpaceDN w:val="0"/>
        <w:adjustRightInd w:val="0"/>
        <w:spacing w:after="0" w:line="360" w:lineRule="auto"/>
        <w:ind w:firstLine="720"/>
        <w:contextualSpacing/>
        <w:jc w:val="both"/>
        <w:rPr>
          <w:rFonts w:ascii="Times New Roman" w:hAnsi="Times New Roman" w:cs="Times New Roman"/>
          <w:iCs/>
          <w:sz w:val="24"/>
          <w:szCs w:val="24"/>
          <w:lang w:val="lt-LT"/>
        </w:rPr>
      </w:pPr>
      <w:r w:rsidRPr="0017614D">
        <w:rPr>
          <w:rFonts w:ascii="Times New Roman" w:hAnsi="Times New Roman" w:cs="Times New Roman"/>
          <w:sz w:val="24"/>
          <w:szCs w:val="24"/>
          <w:lang w:val="lt-LT"/>
        </w:rPr>
        <w:t>Bivainis ir Garškaitė (2010) teigia, kad tam, kad išvengti bankroto, pradžioje įmonė turi suvaldyti savo problemas iš vidaus. Tam turi būti naudojmos vidines bankroto prevencijos priemones,</w:t>
      </w:r>
      <w:r w:rsidRPr="0017614D">
        <w:rPr>
          <w:rFonts w:ascii="Times New Roman" w:hAnsi="Times New Roman" w:cs="Times New Roman"/>
          <w:iCs/>
          <w:sz w:val="24"/>
          <w:szCs w:val="24"/>
          <w:lang w:val="lt-LT"/>
        </w:rPr>
        <w:t xml:space="preserve"> </w:t>
      </w:r>
      <w:r w:rsidRPr="0017614D">
        <w:rPr>
          <w:rFonts w:ascii="Times New Roman" w:hAnsi="Times New Roman" w:cs="Times New Roman"/>
          <w:sz w:val="24"/>
          <w:szCs w:val="24"/>
          <w:lang w:val="lt-LT"/>
        </w:rPr>
        <w:t>t. y. įmonės potencialas. Šios priemonės</w:t>
      </w:r>
      <w:r w:rsidRPr="0017614D">
        <w:rPr>
          <w:rFonts w:ascii="Times New Roman" w:hAnsi="Times New Roman" w:cs="Times New Roman"/>
          <w:iCs/>
          <w:sz w:val="24"/>
          <w:szCs w:val="24"/>
          <w:lang w:val="lt-LT"/>
        </w:rPr>
        <w:t xml:space="preserve"> </w:t>
      </w:r>
      <w:r w:rsidRPr="0017614D">
        <w:rPr>
          <w:rFonts w:ascii="Times New Roman" w:hAnsi="Times New Roman" w:cs="Times New Roman"/>
          <w:sz w:val="24"/>
          <w:szCs w:val="24"/>
          <w:lang w:val="lt-LT"/>
        </w:rPr>
        <w:t xml:space="preserve">ypač efektyvios pradinėse bankroto grėsmės stadijose. Jeigu bankroto grėsmė </w:t>
      </w:r>
      <w:r w:rsidRPr="0017614D">
        <w:rPr>
          <w:rFonts w:ascii="Times New Roman" w:hAnsi="Times New Roman" w:cs="Times New Roman"/>
          <w:sz w:val="24"/>
          <w:szCs w:val="24"/>
          <w:lang w:val="lt-LT"/>
        </w:rPr>
        <w:lastRenderedPageBreak/>
        <w:t>diagnozuota jau vėlyvoje stadijoje ir yra</w:t>
      </w:r>
      <w:r w:rsidRPr="0017614D">
        <w:rPr>
          <w:rFonts w:ascii="Times New Roman" w:hAnsi="Times New Roman" w:cs="Times New Roman"/>
          <w:iCs/>
          <w:sz w:val="24"/>
          <w:szCs w:val="24"/>
          <w:lang w:val="lt-LT"/>
        </w:rPr>
        <w:t xml:space="preserve"> pakankamai </w:t>
      </w:r>
      <w:r w:rsidRPr="0017614D">
        <w:rPr>
          <w:rFonts w:ascii="Times New Roman" w:hAnsi="Times New Roman" w:cs="Times New Roman"/>
          <w:sz w:val="24"/>
          <w:szCs w:val="24"/>
          <w:lang w:val="lt-LT"/>
        </w:rPr>
        <w:t>didelė, vidinių bankroto prevencijos priemonių taikymas</w:t>
      </w:r>
      <w:r w:rsidRPr="0017614D">
        <w:rPr>
          <w:rFonts w:ascii="Times New Roman" w:hAnsi="Times New Roman" w:cs="Times New Roman"/>
          <w:iCs/>
          <w:sz w:val="24"/>
          <w:szCs w:val="24"/>
          <w:lang w:val="lt-LT"/>
        </w:rPr>
        <w:t xml:space="preserve"> gali jau nepadėti atkurti</w:t>
      </w:r>
      <w:r w:rsidRPr="0017614D">
        <w:rPr>
          <w:rFonts w:ascii="Times New Roman" w:hAnsi="Times New Roman" w:cs="Times New Roman"/>
          <w:sz w:val="24"/>
          <w:szCs w:val="24"/>
          <w:lang w:val="lt-LT"/>
        </w:rPr>
        <w:t xml:space="preserve"> finansinės pusiausvyros. Tokiu atveju įmonėms tikslinga</w:t>
      </w:r>
      <w:r w:rsidRPr="0017614D">
        <w:rPr>
          <w:rFonts w:ascii="Times New Roman" w:hAnsi="Times New Roman" w:cs="Times New Roman"/>
          <w:iCs/>
          <w:sz w:val="24"/>
          <w:szCs w:val="24"/>
          <w:lang w:val="lt-LT"/>
        </w:rPr>
        <w:t xml:space="preserve"> </w:t>
      </w:r>
      <w:r w:rsidRPr="0017614D">
        <w:rPr>
          <w:rFonts w:ascii="Times New Roman" w:hAnsi="Times New Roman" w:cs="Times New Roman"/>
          <w:sz w:val="24"/>
          <w:szCs w:val="24"/>
          <w:lang w:val="lt-LT"/>
        </w:rPr>
        <w:t>taikyti išorines priemones – inicijuoti restruktūrizavimą,</w:t>
      </w:r>
      <w:r w:rsidRPr="0017614D">
        <w:rPr>
          <w:rFonts w:ascii="Times New Roman" w:hAnsi="Times New Roman" w:cs="Times New Roman"/>
          <w:iCs/>
          <w:sz w:val="24"/>
          <w:szCs w:val="24"/>
          <w:lang w:val="lt-LT"/>
        </w:rPr>
        <w:t xml:space="preserve"> </w:t>
      </w:r>
      <w:r w:rsidRPr="0017614D">
        <w:rPr>
          <w:rFonts w:ascii="Times New Roman" w:hAnsi="Times New Roman" w:cs="Times New Roman"/>
          <w:sz w:val="24"/>
          <w:szCs w:val="24"/>
          <w:lang w:val="lt-LT"/>
        </w:rPr>
        <w:t>pasirenkant tam efektyviausią jo formą.</w:t>
      </w:r>
    </w:p>
    <w:p w:rsidR="003228C9" w:rsidRPr="0017614D" w:rsidRDefault="003228C9" w:rsidP="003228C9">
      <w:pPr>
        <w:pStyle w:val="Default"/>
        <w:spacing w:line="360" w:lineRule="auto"/>
        <w:jc w:val="both"/>
        <w:rPr>
          <w:color w:val="auto"/>
          <w:lang w:val="lt-LT"/>
        </w:rPr>
      </w:pPr>
      <w:r w:rsidRPr="0017614D">
        <w:rPr>
          <w:color w:val="auto"/>
          <w:lang w:val="lt-LT"/>
        </w:rPr>
        <w:tab/>
      </w:r>
      <w:r w:rsidR="00DD055E" w:rsidRPr="0017614D">
        <w:rPr>
          <w:color w:val="auto"/>
          <w:lang w:val="lt-LT"/>
        </w:rPr>
        <w:t>Šiame tyrime remsimės</w:t>
      </w:r>
      <w:r w:rsidRPr="0017614D">
        <w:rPr>
          <w:color w:val="auto"/>
          <w:lang w:val="lt-LT"/>
        </w:rPr>
        <w:t xml:space="preserve"> J. Mackeviči</w:t>
      </w:r>
      <w:r w:rsidR="00604CD2">
        <w:rPr>
          <w:color w:val="auto"/>
          <w:lang w:val="lt-LT"/>
        </w:rPr>
        <w:t>a</w:t>
      </w:r>
      <w:r w:rsidRPr="0017614D">
        <w:rPr>
          <w:color w:val="auto"/>
          <w:lang w:val="lt-LT"/>
        </w:rPr>
        <w:t xml:space="preserve">us (2005) </w:t>
      </w:r>
      <w:r w:rsidR="00DD055E" w:rsidRPr="0017614D">
        <w:rPr>
          <w:color w:val="auto"/>
          <w:lang w:val="lt-LT"/>
        </w:rPr>
        <w:t>siūlomomis post-diagnostinėmis priemonėmis, kuris išskiria dvi tokių</w:t>
      </w:r>
      <w:r w:rsidRPr="0017614D">
        <w:rPr>
          <w:color w:val="auto"/>
          <w:lang w:val="lt-LT"/>
        </w:rPr>
        <w:t xml:space="preserve"> priemonių</w:t>
      </w:r>
      <w:r w:rsidR="00DD055E" w:rsidRPr="0017614D">
        <w:rPr>
          <w:color w:val="auto"/>
          <w:lang w:val="lt-LT"/>
        </w:rPr>
        <w:t>,</w:t>
      </w:r>
      <w:r w:rsidRPr="0017614D">
        <w:rPr>
          <w:color w:val="auto"/>
          <w:lang w:val="lt-LT"/>
        </w:rPr>
        <w:t xml:space="preserve"> </w:t>
      </w:r>
      <w:r w:rsidR="00DD055E" w:rsidRPr="0017614D">
        <w:rPr>
          <w:color w:val="auto"/>
          <w:lang w:val="lt-LT"/>
        </w:rPr>
        <w:t xml:space="preserve">skirtų bankrotui išvengti, </w:t>
      </w:r>
      <w:r w:rsidRPr="0017614D">
        <w:rPr>
          <w:color w:val="auto"/>
          <w:lang w:val="lt-LT"/>
        </w:rPr>
        <w:t xml:space="preserve">grupes: </w:t>
      </w:r>
    </w:p>
    <w:p w:rsidR="003228C9" w:rsidRPr="0017614D" w:rsidRDefault="00DD055E" w:rsidP="00417443">
      <w:pPr>
        <w:pStyle w:val="Default"/>
        <w:numPr>
          <w:ilvl w:val="0"/>
          <w:numId w:val="24"/>
        </w:numPr>
        <w:spacing w:line="360" w:lineRule="auto"/>
        <w:contextualSpacing/>
        <w:jc w:val="both"/>
        <w:rPr>
          <w:color w:val="auto"/>
          <w:lang w:val="lt-LT"/>
        </w:rPr>
      </w:pPr>
      <w:r w:rsidRPr="0017614D">
        <w:rPr>
          <w:color w:val="auto"/>
          <w:lang w:val="lt-LT"/>
        </w:rPr>
        <w:t>Operatyvinės</w:t>
      </w:r>
      <w:r w:rsidR="003228C9" w:rsidRPr="0017614D">
        <w:rPr>
          <w:color w:val="auto"/>
          <w:lang w:val="lt-LT"/>
        </w:rPr>
        <w:t xml:space="preserve">; </w:t>
      </w:r>
    </w:p>
    <w:p w:rsidR="003228C9" w:rsidRPr="0017614D" w:rsidRDefault="00DD055E" w:rsidP="00417443">
      <w:pPr>
        <w:pStyle w:val="Default"/>
        <w:numPr>
          <w:ilvl w:val="0"/>
          <w:numId w:val="24"/>
        </w:numPr>
        <w:spacing w:line="360" w:lineRule="auto"/>
        <w:contextualSpacing/>
        <w:jc w:val="both"/>
        <w:rPr>
          <w:color w:val="auto"/>
          <w:lang w:val="lt-LT"/>
        </w:rPr>
      </w:pPr>
      <w:r w:rsidRPr="0017614D">
        <w:rPr>
          <w:color w:val="auto"/>
          <w:lang w:val="lt-LT"/>
        </w:rPr>
        <w:t>Strateginės</w:t>
      </w:r>
      <w:r w:rsidR="003228C9" w:rsidRPr="0017614D">
        <w:rPr>
          <w:color w:val="auto"/>
          <w:lang w:val="lt-LT"/>
        </w:rPr>
        <w:t xml:space="preserve">. </w:t>
      </w:r>
    </w:p>
    <w:p w:rsidR="003228C9" w:rsidRPr="0017614D" w:rsidRDefault="003228C9" w:rsidP="003228C9">
      <w:pPr>
        <w:pStyle w:val="Default"/>
        <w:spacing w:line="360" w:lineRule="auto"/>
        <w:ind w:firstLine="720"/>
        <w:jc w:val="both"/>
        <w:rPr>
          <w:color w:val="auto"/>
          <w:lang w:val="lt-LT"/>
        </w:rPr>
      </w:pPr>
      <w:r w:rsidRPr="0017614D">
        <w:rPr>
          <w:color w:val="auto"/>
          <w:lang w:val="lt-LT"/>
        </w:rPr>
        <w:t>Tarp veiksming</w:t>
      </w:r>
      <w:r w:rsidR="00604CD2">
        <w:rPr>
          <w:color w:val="auto"/>
          <w:lang w:val="lt-LT"/>
        </w:rPr>
        <w:t>iausių operatyvinių priemonių j</w:t>
      </w:r>
      <w:r w:rsidRPr="0017614D">
        <w:rPr>
          <w:color w:val="auto"/>
          <w:lang w:val="lt-LT"/>
        </w:rPr>
        <w:t xml:space="preserve">o nuomone svarbu išskirti: </w:t>
      </w:r>
    </w:p>
    <w:p w:rsidR="003228C9" w:rsidRPr="0017614D" w:rsidRDefault="003228C9" w:rsidP="00417443">
      <w:pPr>
        <w:pStyle w:val="ListParagraph"/>
        <w:numPr>
          <w:ilvl w:val="0"/>
          <w:numId w:val="25"/>
        </w:numPr>
        <w:spacing w:after="0" w:line="360" w:lineRule="auto"/>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Įmonės valdymo sistemos pakeitimai; </w:t>
      </w:r>
    </w:p>
    <w:p w:rsidR="003228C9" w:rsidRPr="0017614D" w:rsidRDefault="003228C9" w:rsidP="00417443">
      <w:pPr>
        <w:pStyle w:val="ListParagraph"/>
        <w:numPr>
          <w:ilvl w:val="0"/>
          <w:numId w:val="25"/>
        </w:numPr>
        <w:spacing w:after="0" w:line="360" w:lineRule="auto"/>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Įmonės restruktūrizavimas; </w:t>
      </w:r>
    </w:p>
    <w:p w:rsidR="003228C9" w:rsidRPr="0017614D" w:rsidRDefault="003228C9" w:rsidP="00417443">
      <w:pPr>
        <w:pStyle w:val="ListParagraph"/>
        <w:numPr>
          <w:ilvl w:val="0"/>
          <w:numId w:val="25"/>
        </w:numPr>
        <w:spacing w:after="0" w:line="360" w:lineRule="auto"/>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Išlaidų mažinimo galimybių paieška; </w:t>
      </w:r>
    </w:p>
    <w:p w:rsidR="003228C9" w:rsidRPr="0017614D" w:rsidRDefault="003228C9" w:rsidP="00417443">
      <w:pPr>
        <w:pStyle w:val="ListParagraph"/>
        <w:numPr>
          <w:ilvl w:val="0"/>
          <w:numId w:val="25"/>
        </w:numPr>
        <w:spacing w:after="0" w:line="360" w:lineRule="auto"/>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Vidaus kontrolės sistemos sustiprinimas ir kt. </w:t>
      </w:r>
    </w:p>
    <w:p w:rsidR="003228C9" w:rsidRPr="0017614D" w:rsidRDefault="003228C9" w:rsidP="003228C9">
      <w:pPr>
        <w:pStyle w:val="Default"/>
        <w:spacing w:line="360" w:lineRule="auto"/>
        <w:ind w:firstLine="720"/>
        <w:jc w:val="both"/>
        <w:rPr>
          <w:color w:val="auto"/>
          <w:lang w:val="lt-LT"/>
        </w:rPr>
      </w:pPr>
      <w:r w:rsidRPr="0017614D">
        <w:rPr>
          <w:color w:val="auto"/>
          <w:lang w:val="lt-LT"/>
        </w:rPr>
        <w:t>Tuo tarpu strateginėms priemonėms bankrotui išvengti yra priskiriami tokie veiksniai kaip pavyzdžiui:</w:t>
      </w:r>
    </w:p>
    <w:p w:rsidR="003228C9" w:rsidRPr="0017614D" w:rsidRDefault="003228C9" w:rsidP="00417443">
      <w:pPr>
        <w:pStyle w:val="ListParagraph"/>
        <w:numPr>
          <w:ilvl w:val="0"/>
          <w:numId w:val="26"/>
        </w:numPr>
        <w:spacing w:after="0" w:line="360" w:lineRule="auto"/>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Darbuotojų kvalifikacijos kėlimas; </w:t>
      </w:r>
    </w:p>
    <w:p w:rsidR="003228C9" w:rsidRPr="0017614D" w:rsidRDefault="003228C9" w:rsidP="00417443">
      <w:pPr>
        <w:pStyle w:val="ListParagraph"/>
        <w:numPr>
          <w:ilvl w:val="0"/>
          <w:numId w:val="26"/>
        </w:numPr>
        <w:spacing w:after="0" w:line="360" w:lineRule="auto"/>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Nuolatinis konkurencinės rinkos tyrimas; </w:t>
      </w:r>
    </w:p>
    <w:p w:rsidR="003228C9" w:rsidRPr="0017614D" w:rsidRDefault="003228C9" w:rsidP="00417443">
      <w:pPr>
        <w:pStyle w:val="ListParagraph"/>
        <w:numPr>
          <w:ilvl w:val="0"/>
          <w:numId w:val="26"/>
        </w:numPr>
        <w:spacing w:after="0" w:line="360" w:lineRule="auto"/>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Produkcijos ir paslaugų pasiūlos analizė; </w:t>
      </w:r>
    </w:p>
    <w:p w:rsidR="003228C9" w:rsidRPr="0017614D" w:rsidRDefault="003228C9" w:rsidP="00417443">
      <w:pPr>
        <w:pStyle w:val="ListParagraph"/>
        <w:numPr>
          <w:ilvl w:val="0"/>
          <w:numId w:val="26"/>
        </w:numPr>
        <w:spacing w:after="0" w:line="360" w:lineRule="auto"/>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Apsirūpinimas reikalingais ištekliais; </w:t>
      </w:r>
    </w:p>
    <w:p w:rsidR="003228C9" w:rsidRPr="0017614D" w:rsidRDefault="003228C9" w:rsidP="00417443">
      <w:pPr>
        <w:pStyle w:val="ListParagraph"/>
        <w:numPr>
          <w:ilvl w:val="0"/>
          <w:numId w:val="26"/>
        </w:numPr>
        <w:spacing w:after="0" w:line="360" w:lineRule="auto"/>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Naujų technologijų taikymas; </w:t>
      </w:r>
    </w:p>
    <w:p w:rsidR="003228C9" w:rsidRPr="0017614D" w:rsidRDefault="003228C9" w:rsidP="00417443">
      <w:pPr>
        <w:pStyle w:val="ListParagraph"/>
        <w:numPr>
          <w:ilvl w:val="0"/>
          <w:numId w:val="26"/>
        </w:numPr>
        <w:spacing w:after="0" w:line="360" w:lineRule="auto"/>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Šalies ekonominės ir politinės padėties analizė. </w:t>
      </w:r>
    </w:p>
    <w:p w:rsidR="003228C9" w:rsidRPr="0017614D" w:rsidRDefault="003228C9" w:rsidP="003228C9">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Kaip matome operatyviniai veiksniai yra tokie, kurie gali duoti iš karto matomą rezultatą. Tarkim sumažinus išlaidas iš karto atsiranda laisvi pinigai, kuriuos galima kažkur panaudoti gerinant įmonės būklę. Tuo tarpu strateginės priemonės yra labiau ilgalaikės, jų rezultatas yra matomas tik praėjus tam tikram laiko tarpui. Strategines priemones įmonės turėtų taikyti visada, ne tik kai situacija yra kritinė, tokiu būdu sumažindamos bankroto grėsmės atsiradymo tikimybę.</w:t>
      </w:r>
    </w:p>
    <w:p w:rsidR="003228C9" w:rsidRDefault="0041085D" w:rsidP="003228C9">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Svarbu, kad</w:t>
      </w:r>
      <w:r w:rsidR="003228C9" w:rsidRPr="0017614D">
        <w:rPr>
          <w:rFonts w:ascii="Times New Roman" w:hAnsi="Times New Roman" w:cs="Times New Roman"/>
          <w:sz w:val="24"/>
          <w:szCs w:val="24"/>
          <w:lang w:val="lt-LT"/>
        </w:rPr>
        <w:t xml:space="preserve"> įmonės vadovai </w:t>
      </w:r>
      <w:r w:rsidRPr="0017614D">
        <w:rPr>
          <w:rFonts w:ascii="Times New Roman" w:hAnsi="Times New Roman" w:cs="Times New Roman"/>
          <w:sz w:val="24"/>
          <w:szCs w:val="24"/>
          <w:lang w:val="lt-LT"/>
        </w:rPr>
        <w:t>nebijotų</w:t>
      </w:r>
      <w:r w:rsidR="003228C9" w:rsidRPr="0017614D">
        <w:rPr>
          <w:rFonts w:ascii="Times New Roman" w:hAnsi="Times New Roman" w:cs="Times New Roman"/>
          <w:sz w:val="24"/>
          <w:szCs w:val="24"/>
          <w:lang w:val="lt-LT"/>
        </w:rPr>
        <w:t xml:space="preserve"> imtis ryžtingų priemonių krizinia</w:t>
      </w:r>
      <w:r w:rsidRPr="0017614D">
        <w:rPr>
          <w:rFonts w:ascii="Times New Roman" w:hAnsi="Times New Roman" w:cs="Times New Roman"/>
          <w:sz w:val="24"/>
          <w:szCs w:val="24"/>
          <w:lang w:val="lt-LT"/>
        </w:rPr>
        <w:t>ms veiksniams pašalinti ar</w:t>
      </w:r>
      <w:r w:rsidR="003228C9" w:rsidRPr="0017614D">
        <w:rPr>
          <w:rFonts w:ascii="Times New Roman" w:hAnsi="Times New Roman" w:cs="Times New Roman"/>
          <w:sz w:val="24"/>
          <w:szCs w:val="24"/>
          <w:lang w:val="lt-LT"/>
        </w:rPr>
        <w:t xml:space="preserve"> sumažinti jų riziką. Racionalūs ir laiku priimti sprendimai dėl įmonės veiklos krypčių koregavimo, struktūros, naujovių ir pažangių technologijų diegimo mažina nemokumo ir bankroto riziką.</w:t>
      </w:r>
    </w:p>
    <w:p w:rsidR="00895373" w:rsidRPr="0017614D" w:rsidRDefault="00895373" w:rsidP="00895373">
      <w:pPr>
        <w:spacing w:after="0" w:line="360" w:lineRule="auto"/>
        <w:ind w:firstLine="540"/>
        <w:jc w:val="both"/>
        <w:rPr>
          <w:rFonts w:ascii="Times New Roman" w:hAnsi="Times New Roman" w:cs="Times New Roman"/>
          <w:sz w:val="24"/>
          <w:szCs w:val="24"/>
          <w:lang w:val="lt-LT"/>
        </w:rPr>
      </w:pPr>
      <w:r>
        <w:rPr>
          <w:rFonts w:ascii="Times New Roman" w:hAnsi="Times New Roman" w:cs="Times New Roman"/>
          <w:sz w:val="24"/>
          <w:szCs w:val="24"/>
          <w:lang w:val="lt-LT"/>
        </w:rPr>
        <w:t>Aptarus visus pasirinktos</w:t>
      </w:r>
      <w:r w:rsidRPr="0017614D">
        <w:rPr>
          <w:rFonts w:ascii="Times New Roman" w:hAnsi="Times New Roman" w:cs="Times New Roman"/>
          <w:sz w:val="24"/>
          <w:szCs w:val="24"/>
          <w:lang w:val="lt-LT"/>
        </w:rPr>
        <w:t xml:space="preserve"> taikyti </w:t>
      </w:r>
      <w:r>
        <w:rPr>
          <w:rFonts w:ascii="Times New Roman" w:hAnsi="Times New Roman" w:cs="Times New Roman"/>
          <w:sz w:val="24"/>
          <w:szCs w:val="24"/>
          <w:lang w:val="lt-LT"/>
        </w:rPr>
        <w:t>komplesinės</w:t>
      </w:r>
      <w:r w:rsidRPr="0017614D">
        <w:rPr>
          <w:rFonts w:ascii="Times New Roman" w:hAnsi="Times New Roman" w:cs="Times New Roman"/>
          <w:sz w:val="24"/>
          <w:szCs w:val="24"/>
          <w:lang w:val="lt-LT"/>
        </w:rPr>
        <w:t xml:space="preserve"> </w:t>
      </w:r>
      <w:r w:rsidR="00A3796F">
        <w:rPr>
          <w:rFonts w:ascii="Times New Roman" w:hAnsi="Times New Roman" w:cs="Times New Roman"/>
          <w:sz w:val="24"/>
          <w:szCs w:val="24"/>
          <w:lang w:val="lt-LT"/>
        </w:rPr>
        <w:t>įmonių</w:t>
      </w:r>
      <w:r w:rsidRPr="0017614D">
        <w:rPr>
          <w:rFonts w:ascii="Times New Roman" w:hAnsi="Times New Roman" w:cs="Times New Roman"/>
          <w:sz w:val="24"/>
          <w:szCs w:val="24"/>
          <w:lang w:val="lt-LT"/>
        </w:rPr>
        <w:t xml:space="preserve"> bankroto grėsmės</w:t>
      </w:r>
      <w:r>
        <w:rPr>
          <w:rFonts w:ascii="Times New Roman" w:hAnsi="Times New Roman" w:cs="Times New Roman"/>
          <w:sz w:val="24"/>
          <w:szCs w:val="24"/>
          <w:lang w:val="lt-LT"/>
        </w:rPr>
        <w:t xml:space="preserve"> diagnozavimo</w:t>
      </w:r>
      <w:r w:rsidRPr="0017614D">
        <w:rPr>
          <w:rFonts w:ascii="Times New Roman" w:hAnsi="Times New Roman" w:cs="Times New Roman"/>
          <w:sz w:val="24"/>
          <w:szCs w:val="24"/>
          <w:lang w:val="lt-LT"/>
        </w:rPr>
        <w:t xml:space="preserve"> </w:t>
      </w:r>
      <w:r>
        <w:rPr>
          <w:rFonts w:ascii="Times New Roman" w:hAnsi="Times New Roman" w:cs="Times New Roman"/>
          <w:sz w:val="24"/>
          <w:szCs w:val="24"/>
          <w:lang w:val="lt-LT"/>
        </w:rPr>
        <w:t>metodikos elementus buvo nubraižyta schema</w:t>
      </w:r>
      <w:r w:rsidR="00A3796F">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A3796F">
        <w:rPr>
          <w:rFonts w:ascii="Times New Roman" w:hAnsi="Times New Roman" w:cs="Times New Roman"/>
          <w:sz w:val="24"/>
          <w:szCs w:val="24"/>
          <w:lang w:val="lt-LT"/>
        </w:rPr>
        <w:t>atspindinti ne tik analizės metodus, kurie bus taikomi tyrime, bei jų eiliškumą.</w:t>
      </w:r>
    </w:p>
    <w:p w:rsidR="00895373" w:rsidRDefault="00895373" w:rsidP="003228C9">
      <w:pPr>
        <w:spacing w:after="0" w:line="360" w:lineRule="auto"/>
        <w:ind w:firstLine="720"/>
        <w:contextualSpacing/>
        <w:jc w:val="both"/>
        <w:rPr>
          <w:rFonts w:ascii="Times New Roman" w:hAnsi="Times New Roman" w:cs="Times New Roman"/>
          <w:sz w:val="24"/>
          <w:szCs w:val="24"/>
          <w:lang w:val="lt-LT"/>
        </w:rPr>
      </w:pPr>
    </w:p>
    <w:p w:rsidR="00895373" w:rsidRPr="0017614D" w:rsidRDefault="00895373" w:rsidP="00895373">
      <w:pPr>
        <w:spacing w:after="0" w:line="360" w:lineRule="auto"/>
        <w:ind w:firstLine="540"/>
        <w:jc w:val="both"/>
        <w:rPr>
          <w:rFonts w:ascii="Times New Roman" w:hAnsi="Times New Roman" w:cs="Times New Roman"/>
          <w:sz w:val="24"/>
          <w:szCs w:val="24"/>
          <w:lang w:val="lt-LT"/>
        </w:rPr>
      </w:pPr>
      <w:r w:rsidRPr="0017614D">
        <w:rPr>
          <w:rFonts w:ascii="Times New Roman" w:hAnsi="Times New Roman" w:cs="Times New Roman"/>
          <w:noProof/>
          <w:sz w:val="24"/>
          <w:szCs w:val="24"/>
        </w:rPr>
        <w:lastRenderedPageBreak/>
        <w:drawing>
          <wp:inline distT="0" distB="0" distL="0" distR="0">
            <wp:extent cx="5462235" cy="4222429"/>
            <wp:effectExtent l="19050" t="0" r="5115"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srcRect/>
                    <a:stretch>
                      <a:fillRect/>
                    </a:stretch>
                  </pic:blipFill>
                  <pic:spPr bwMode="auto">
                    <a:xfrm>
                      <a:off x="0" y="0"/>
                      <a:ext cx="5467416" cy="4226434"/>
                    </a:xfrm>
                    <a:prstGeom prst="rect">
                      <a:avLst/>
                    </a:prstGeom>
                    <a:noFill/>
                    <a:ln w="9525">
                      <a:noFill/>
                      <a:miter lim="800000"/>
                      <a:headEnd/>
                      <a:tailEnd/>
                    </a:ln>
                  </pic:spPr>
                </pic:pic>
              </a:graphicData>
            </a:graphic>
          </wp:inline>
        </w:drawing>
      </w:r>
    </w:p>
    <w:p w:rsidR="00895373" w:rsidRPr="005D3FF6" w:rsidRDefault="00895373" w:rsidP="00895373">
      <w:pPr>
        <w:spacing w:after="0"/>
        <w:ind w:left="539"/>
        <w:contextualSpacing/>
        <w:rPr>
          <w:rFonts w:ascii="Times New Roman" w:hAnsi="Times New Roman" w:cs="Times New Roman"/>
          <w:sz w:val="20"/>
          <w:szCs w:val="20"/>
          <w:lang w:val="lt-LT"/>
        </w:rPr>
      </w:pPr>
      <w:r w:rsidRPr="005D3FF6">
        <w:rPr>
          <w:rFonts w:ascii="Times New Roman" w:hAnsi="Times New Roman" w:cs="Times New Roman"/>
          <w:b/>
          <w:sz w:val="20"/>
          <w:szCs w:val="20"/>
          <w:lang w:val="lt-LT"/>
        </w:rPr>
        <w:t>Šaltinis:</w:t>
      </w:r>
      <w:r w:rsidRPr="005D3FF6">
        <w:rPr>
          <w:rFonts w:ascii="Times New Roman" w:hAnsi="Times New Roman" w:cs="Times New Roman"/>
          <w:sz w:val="20"/>
          <w:szCs w:val="20"/>
          <w:lang w:val="lt-LT"/>
        </w:rPr>
        <w:t xml:space="preserve"> Sudaryta pagal Mackevičius, 2010, Mackevičius, </w:t>
      </w:r>
      <w:r>
        <w:rPr>
          <w:rFonts w:ascii="Times New Roman" w:hAnsi="Times New Roman" w:cs="Times New Roman"/>
          <w:sz w:val="20"/>
          <w:szCs w:val="20"/>
          <w:lang w:val="lt-LT"/>
        </w:rPr>
        <w:t xml:space="preserve">Rakštelienė, </w:t>
      </w:r>
      <w:r w:rsidRPr="005D3FF6">
        <w:rPr>
          <w:rFonts w:ascii="Times New Roman" w:hAnsi="Times New Roman" w:cs="Times New Roman"/>
          <w:sz w:val="20"/>
          <w:szCs w:val="20"/>
          <w:lang w:val="lt-LT"/>
        </w:rPr>
        <w:t>2005, Bivainis, Garškaitė, 2010.</w:t>
      </w:r>
    </w:p>
    <w:p w:rsidR="00895373" w:rsidRDefault="00895373" w:rsidP="00895373">
      <w:pPr>
        <w:spacing w:after="0"/>
        <w:ind w:left="539"/>
        <w:contextualSpacing/>
        <w:jc w:val="center"/>
        <w:rPr>
          <w:rFonts w:ascii="Times New Roman" w:hAnsi="Times New Roman" w:cs="Times New Roman"/>
          <w:b/>
          <w:lang w:val="lt-LT"/>
        </w:rPr>
      </w:pPr>
      <w:r>
        <w:rPr>
          <w:rFonts w:ascii="Times New Roman" w:hAnsi="Times New Roman" w:cs="Times New Roman"/>
          <w:lang w:val="lt-LT"/>
        </w:rPr>
        <w:t>11</w:t>
      </w:r>
      <w:r w:rsidRPr="0017614D">
        <w:rPr>
          <w:rFonts w:ascii="Times New Roman" w:hAnsi="Times New Roman" w:cs="Times New Roman"/>
          <w:lang w:val="lt-LT"/>
        </w:rPr>
        <w:t xml:space="preserve"> pav.</w:t>
      </w:r>
      <w:r w:rsidRPr="0017614D">
        <w:rPr>
          <w:rFonts w:ascii="Times New Roman" w:hAnsi="Times New Roman" w:cs="Times New Roman"/>
          <w:b/>
          <w:lang w:val="lt-LT"/>
        </w:rPr>
        <w:t xml:space="preserve"> Kompleksinės įmonių bankroto grėsmės diagnostikos schema</w:t>
      </w:r>
    </w:p>
    <w:p w:rsidR="00895373" w:rsidRPr="0017614D" w:rsidRDefault="00895373" w:rsidP="003228C9">
      <w:pPr>
        <w:spacing w:after="0" w:line="360" w:lineRule="auto"/>
        <w:ind w:firstLine="720"/>
        <w:contextualSpacing/>
        <w:jc w:val="both"/>
        <w:rPr>
          <w:rFonts w:ascii="Times New Roman" w:hAnsi="Times New Roman" w:cs="Times New Roman"/>
          <w:sz w:val="24"/>
          <w:szCs w:val="24"/>
          <w:lang w:val="lt-LT"/>
        </w:rPr>
      </w:pPr>
    </w:p>
    <w:p w:rsidR="0041085D" w:rsidRPr="0017614D" w:rsidRDefault="00F453AB" w:rsidP="003228C9">
      <w:pPr>
        <w:spacing w:after="0" w:line="360" w:lineRule="auto"/>
        <w:ind w:firstLine="720"/>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Kita</w:t>
      </w:r>
      <w:r w:rsidR="00A3796F">
        <w:rPr>
          <w:rFonts w:ascii="Times New Roman" w:hAnsi="Times New Roman" w:cs="Times New Roman"/>
          <w:sz w:val="24"/>
          <w:szCs w:val="24"/>
          <w:lang w:val="lt-LT"/>
        </w:rPr>
        <w:t>me žingsnyje šie elementai</w:t>
      </w:r>
      <w:r w:rsidR="0041085D" w:rsidRPr="0017614D">
        <w:rPr>
          <w:rFonts w:ascii="Times New Roman" w:hAnsi="Times New Roman" w:cs="Times New Roman"/>
          <w:sz w:val="24"/>
          <w:szCs w:val="24"/>
          <w:lang w:val="lt-LT"/>
        </w:rPr>
        <w:t xml:space="preserve"> bus pritaikyti realioms įmonėms bei bus įvertintas </w:t>
      </w:r>
      <w:r w:rsidR="00A3796F">
        <w:rPr>
          <w:rFonts w:ascii="Times New Roman" w:hAnsi="Times New Roman" w:cs="Times New Roman"/>
          <w:sz w:val="24"/>
          <w:szCs w:val="24"/>
          <w:lang w:val="lt-LT"/>
        </w:rPr>
        <w:t>šios metodikos veiksmingumas ir</w:t>
      </w:r>
      <w:r w:rsidR="0041085D" w:rsidRPr="0017614D">
        <w:rPr>
          <w:rFonts w:ascii="Times New Roman" w:hAnsi="Times New Roman" w:cs="Times New Roman"/>
          <w:sz w:val="24"/>
          <w:szCs w:val="24"/>
          <w:lang w:val="lt-LT"/>
        </w:rPr>
        <w:t xml:space="preserve"> tinkamumas.</w:t>
      </w:r>
    </w:p>
    <w:p w:rsidR="003228C9" w:rsidRPr="0017614D" w:rsidRDefault="003228C9" w:rsidP="003228C9">
      <w:pPr>
        <w:spacing w:after="0" w:line="360" w:lineRule="auto"/>
        <w:ind w:firstLine="720"/>
        <w:contextualSpacing/>
        <w:jc w:val="both"/>
        <w:rPr>
          <w:rFonts w:ascii="Times New Roman" w:hAnsi="Times New Roman" w:cs="Times New Roman"/>
          <w:sz w:val="24"/>
          <w:szCs w:val="24"/>
          <w:lang w:val="lt-LT"/>
        </w:rPr>
      </w:pPr>
    </w:p>
    <w:p w:rsidR="005C3870" w:rsidRPr="0017614D" w:rsidRDefault="005C3870" w:rsidP="005C3870">
      <w:pPr>
        <w:spacing w:after="0" w:line="360" w:lineRule="auto"/>
        <w:ind w:firstLine="720"/>
        <w:contextualSpacing/>
        <w:jc w:val="both"/>
        <w:rPr>
          <w:rFonts w:ascii="Times New Roman" w:hAnsi="Times New Roman" w:cs="Times New Roman"/>
          <w:sz w:val="24"/>
          <w:szCs w:val="24"/>
          <w:lang w:val="lt-LT"/>
        </w:rPr>
      </w:pPr>
    </w:p>
    <w:p w:rsidR="00F4304D" w:rsidRPr="0017614D" w:rsidRDefault="00F4304D" w:rsidP="005C3870">
      <w:pPr>
        <w:spacing w:after="0" w:line="360" w:lineRule="auto"/>
        <w:ind w:firstLine="720"/>
        <w:contextualSpacing/>
        <w:jc w:val="both"/>
        <w:rPr>
          <w:rFonts w:ascii="Times New Roman" w:hAnsi="Times New Roman" w:cs="Times New Roman"/>
          <w:sz w:val="24"/>
          <w:szCs w:val="24"/>
          <w:lang w:val="lt-LT"/>
        </w:rPr>
      </w:pPr>
    </w:p>
    <w:p w:rsidR="00F4304D" w:rsidRPr="0017614D" w:rsidRDefault="00F4304D" w:rsidP="005C3870">
      <w:pPr>
        <w:spacing w:after="0" w:line="360" w:lineRule="auto"/>
        <w:ind w:firstLine="720"/>
        <w:contextualSpacing/>
        <w:jc w:val="both"/>
        <w:rPr>
          <w:rFonts w:ascii="Times New Roman" w:hAnsi="Times New Roman" w:cs="Times New Roman"/>
          <w:sz w:val="24"/>
          <w:szCs w:val="24"/>
          <w:lang w:val="lt-LT"/>
        </w:rPr>
      </w:pPr>
    </w:p>
    <w:p w:rsidR="00F4304D" w:rsidRPr="0017614D" w:rsidRDefault="00F4304D" w:rsidP="005C3870">
      <w:pPr>
        <w:spacing w:after="0" w:line="360" w:lineRule="auto"/>
        <w:ind w:firstLine="720"/>
        <w:contextualSpacing/>
        <w:jc w:val="both"/>
        <w:rPr>
          <w:rFonts w:ascii="Times New Roman" w:hAnsi="Times New Roman" w:cs="Times New Roman"/>
          <w:sz w:val="24"/>
          <w:szCs w:val="24"/>
          <w:lang w:val="lt-LT"/>
        </w:rPr>
      </w:pPr>
    </w:p>
    <w:p w:rsidR="00F4304D" w:rsidRPr="0017614D" w:rsidRDefault="00F4304D" w:rsidP="005C3870">
      <w:pPr>
        <w:spacing w:after="0" w:line="360" w:lineRule="auto"/>
        <w:ind w:firstLine="720"/>
        <w:contextualSpacing/>
        <w:jc w:val="both"/>
        <w:rPr>
          <w:rFonts w:ascii="Times New Roman" w:hAnsi="Times New Roman" w:cs="Times New Roman"/>
          <w:sz w:val="24"/>
          <w:szCs w:val="24"/>
          <w:lang w:val="lt-LT"/>
        </w:rPr>
      </w:pPr>
    </w:p>
    <w:p w:rsidR="00F4304D" w:rsidRPr="0017614D" w:rsidRDefault="00F4304D" w:rsidP="005C3870">
      <w:pPr>
        <w:spacing w:after="0" w:line="360" w:lineRule="auto"/>
        <w:ind w:firstLine="720"/>
        <w:contextualSpacing/>
        <w:jc w:val="both"/>
        <w:rPr>
          <w:rFonts w:ascii="Times New Roman" w:hAnsi="Times New Roman" w:cs="Times New Roman"/>
          <w:sz w:val="24"/>
          <w:szCs w:val="24"/>
          <w:lang w:val="lt-LT"/>
        </w:rPr>
      </w:pPr>
    </w:p>
    <w:p w:rsidR="00F4304D" w:rsidRPr="0017614D" w:rsidRDefault="00F4304D" w:rsidP="005C3870">
      <w:pPr>
        <w:spacing w:after="0" w:line="360" w:lineRule="auto"/>
        <w:ind w:firstLine="720"/>
        <w:contextualSpacing/>
        <w:jc w:val="both"/>
        <w:rPr>
          <w:rFonts w:ascii="Times New Roman" w:hAnsi="Times New Roman" w:cs="Times New Roman"/>
          <w:sz w:val="24"/>
          <w:szCs w:val="24"/>
          <w:lang w:val="lt-LT"/>
        </w:rPr>
      </w:pPr>
    </w:p>
    <w:p w:rsidR="00F4304D" w:rsidRPr="0017614D" w:rsidRDefault="00F4304D" w:rsidP="005C3870">
      <w:pPr>
        <w:spacing w:after="0" w:line="360" w:lineRule="auto"/>
        <w:ind w:firstLine="720"/>
        <w:contextualSpacing/>
        <w:jc w:val="both"/>
        <w:rPr>
          <w:rFonts w:ascii="Times New Roman" w:hAnsi="Times New Roman" w:cs="Times New Roman"/>
          <w:sz w:val="24"/>
          <w:szCs w:val="24"/>
          <w:lang w:val="lt-LT"/>
        </w:rPr>
      </w:pPr>
    </w:p>
    <w:p w:rsidR="00F4304D" w:rsidRPr="0017614D" w:rsidRDefault="00F4304D" w:rsidP="005C3870">
      <w:pPr>
        <w:spacing w:after="0" w:line="360" w:lineRule="auto"/>
        <w:ind w:firstLine="720"/>
        <w:contextualSpacing/>
        <w:jc w:val="both"/>
        <w:rPr>
          <w:rFonts w:ascii="Times New Roman" w:hAnsi="Times New Roman" w:cs="Times New Roman"/>
          <w:sz w:val="24"/>
          <w:szCs w:val="24"/>
          <w:lang w:val="lt-LT"/>
        </w:rPr>
      </w:pPr>
    </w:p>
    <w:p w:rsidR="00F4304D" w:rsidRPr="0017614D" w:rsidRDefault="00F4304D" w:rsidP="005C3870">
      <w:pPr>
        <w:spacing w:after="0" w:line="360" w:lineRule="auto"/>
        <w:ind w:firstLine="720"/>
        <w:contextualSpacing/>
        <w:jc w:val="both"/>
        <w:rPr>
          <w:rFonts w:ascii="Times New Roman" w:hAnsi="Times New Roman" w:cs="Times New Roman"/>
          <w:sz w:val="24"/>
          <w:szCs w:val="24"/>
          <w:lang w:val="lt-LT"/>
        </w:rPr>
      </w:pPr>
    </w:p>
    <w:p w:rsidR="001558C7" w:rsidRPr="0017614D" w:rsidRDefault="001558C7" w:rsidP="005C3870">
      <w:pPr>
        <w:pStyle w:val="Heading1"/>
        <w:spacing w:before="0"/>
        <w:contextualSpacing/>
        <w:rPr>
          <w:lang w:val="lt-LT"/>
        </w:rPr>
      </w:pPr>
    </w:p>
    <w:p w:rsidR="003228C9" w:rsidRPr="0017614D" w:rsidRDefault="003228C9" w:rsidP="005C3870">
      <w:pPr>
        <w:pStyle w:val="Heading1"/>
        <w:spacing w:before="0"/>
        <w:contextualSpacing/>
        <w:rPr>
          <w:szCs w:val="24"/>
          <w:lang w:val="lt-LT"/>
        </w:rPr>
      </w:pPr>
      <w:bookmarkStart w:id="94" w:name="_Toc374655655"/>
      <w:r w:rsidRPr="0017614D">
        <w:rPr>
          <w:lang w:val="lt-LT"/>
        </w:rPr>
        <w:t xml:space="preserve">3. </w:t>
      </w:r>
      <w:r w:rsidR="00697522" w:rsidRPr="0017614D">
        <w:rPr>
          <w:szCs w:val="24"/>
          <w:lang w:val="lt-LT"/>
        </w:rPr>
        <w:t>KOMPLEKSINĖS</w:t>
      </w:r>
      <w:r w:rsidRPr="0017614D">
        <w:rPr>
          <w:szCs w:val="24"/>
          <w:lang w:val="lt-LT"/>
        </w:rPr>
        <w:t xml:space="preserve"> BANKROTO </w:t>
      </w:r>
      <w:r w:rsidR="0017614D">
        <w:rPr>
          <w:szCs w:val="24"/>
          <w:lang w:val="lt-LT"/>
        </w:rPr>
        <w:t xml:space="preserve">GRĖSMĖS </w:t>
      </w:r>
      <w:r w:rsidRPr="0017614D">
        <w:rPr>
          <w:szCs w:val="24"/>
          <w:lang w:val="lt-LT"/>
        </w:rPr>
        <w:t xml:space="preserve">DIAGNOZAVIMO METODIKOS TAIKYMO LIETUVOS </w:t>
      </w:r>
      <w:r w:rsidR="00FA0AB0" w:rsidRPr="0017614D">
        <w:rPr>
          <w:szCs w:val="24"/>
          <w:lang w:val="lt-LT"/>
        </w:rPr>
        <w:t xml:space="preserve">TRANSPORTAVIMO </w:t>
      </w:r>
      <w:r w:rsidRPr="0017614D">
        <w:rPr>
          <w:szCs w:val="24"/>
          <w:lang w:val="lt-LT"/>
        </w:rPr>
        <w:t>ĮMONĖMS TYRIMAS</w:t>
      </w:r>
      <w:bookmarkEnd w:id="94"/>
    </w:p>
    <w:p w:rsidR="003228C9" w:rsidRPr="0017614D" w:rsidRDefault="003228C9" w:rsidP="003228C9">
      <w:pPr>
        <w:contextualSpacing/>
        <w:rPr>
          <w:lang w:val="lt-LT"/>
        </w:rPr>
      </w:pPr>
    </w:p>
    <w:p w:rsidR="003228C9" w:rsidRPr="0017614D" w:rsidRDefault="003228C9" w:rsidP="003228C9">
      <w:pPr>
        <w:autoSpaceDE w:val="0"/>
        <w:autoSpaceDN w:val="0"/>
        <w:adjustRightInd w:val="0"/>
        <w:spacing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Ankstesniam</w:t>
      </w:r>
      <w:r w:rsidR="00697522" w:rsidRPr="0017614D">
        <w:rPr>
          <w:rFonts w:ascii="Times New Roman" w:hAnsi="Times New Roman" w:cs="Times New Roman"/>
          <w:sz w:val="24"/>
          <w:szCs w:val="24"/>
          <w:lang w:val="lt-LT"/>
        </w:rPr>
        <w:t>e skyriuje aptarėme kompleksinę</w:t>
      </w:r>
      <w:r w:rsidRPr="0017614D">
        <w:rPr>
          <w:rFonts w:ascii="Times New Roman" w:hAnsi="Times New Roman" w:cs="Times New Roman"/>
          <w:sz w:val="24"/>
          <w:szCs w:val="24"/>
          <w:lang w:val="lt-LT"/>
        </w:rPr>
        <w:t xml:space="preserve"> bankroto diagnozavimo metodiką, kuri savyje sujungia kelis įmonės analizės bei</w:t>
      </w:r>
      <w:r w:rsidR="002673FC" w:rsidRPr="0017614D">
        <w:rPr>
          <w:rFonts w:ascii="Times New Roman" w:hAnsi="Times New Roman" w:cs="Times New Roman"/>
          <w:sz w:val="24"/>
          <w:szCs w:val="24"/>
          <w:lang w:val="lt-LT"/>
        </w:rPr>
        <w:t xml:space="preserve"> bankroto diagnozavimo</w:t>
      </w:r>
      <w:r w:rsidRPr="0017614D">
        <w:rPr>
          <w:rFonts w:ascii="Times New Roman" w:hAnsi="Times New Roman" w:cs="Times New Roman"/>
          <w:sz w:val="24"/>
          <w:szCs w:val="24"/>
          <w:lang w:val="lt-LT"/>
        </w:rPr>
        <w:t xml:space="preserve"> būdus. Kaip jau išsiaiškinome, šios metodikos pagalba įmonė yra analizuojama keliais skirtingais pjūviais bei aspektais, tokiu būdu siekiant gauti objektyvesnį ir patikimesnį įmonės bankroto tikimybės įvertinimą. Toliau da</w:t>
      </w:r>
      <w:r w:rsidR="002E4703">
        <w:rPr>
          <w:rFonts w:ascii="Times New Roman" w:hAnsi="Times New Roman" w:cs="Times New Roman"/>
          <w:sz w:val="24"/>
          <w:szCs w:val="24"/>
          <w:lang w:val="lt-LT"/>
        </w:rPr>
        <w:t>rbe patikrinsime, ar šis metodas</w:t>
      </w:r>
      <w:r w:rsidRPr="0017614D">
        <w:rPr>
          <w:rFonts w:ascii="Times New Roman" w:hAnsi="Times New Roman" w:cs="Times New Roman"/>
          <w:sz w:val="24"/>
          <w:szCs w:val="24"/>
          <w:lang w:val="lt-LT"/>
        </w:rPr>
        <w:t xml:space="preserve"> yra tinkamas Lietuvos transportavimo šakos įmonių bankrotui prognozuoti. Modelio tinkamumą nustatysime išanalizavę kelių veikiančių ir bankrutavusių įmonių visus i</w:t>
      </w:r>
      <w:r w:rsidR="002673FC" w:rsidRPr="0017614D">
        <w:rPr>
          <w:rFonts w:ascii="Times New Roman" w:hAnsi="Times New Roman" w:cs="Times New Roman"/>
          <w:sz w:val="24"/>
          <w:szCs w:val="24"/>
          <w:lang w:val="lt-LT"/>
        </w:rPr>
        <w:t>ntegruotos bankroto grėsmės nustatymo</w:t>
      </w:r>
      <w:r w:rsidRPr="0017614D">
        <w:rPr>
          <w:rFonts w:ascii="Times New Roman" w:hAnsi="Times New Roman" w:cs="Times New Roman"/>
          <w:sz w:val="24"/>
          <w:szCs w:val="24"/>
          <w:lang w:val="lt-LT"/>
        </w:rPr>
        <w:t xml:space="preserve"> metodikos elementus, t. y. bus įvertinta šių įmonių vidaus ir išorės aplinkos įtaka, apskaičiuoti absoliutiniai ir santykiniai finansiniai rodikliai bei įvertinti jų pokyčiai, be to bus nustatyta bankroto tikimybė remiantis pasirinktais bankroto prognozavimo modeliais</w:t>
      </w:r>
      <w:r w:rsidR="002673FC" w:rsidRPr="0017614D">
        <w:rPr>
          <w:rFonts w:ascii="Times New Roman" w:hAnsi="Times New Roman" w:cs="Times New Roman"/>
          <w:sz w:val="24"/>
          <w:szCs w:val="24"/>
          <w:lang w:val="lt-LT"/>
        </w:rPr>
        <w:t xml:space="preserve"> bei pasiūlytos post-diagnostinės priemonės</w:t>
      </w:r>
      <w:r w:rsidRPr="0017614D">
        <w:rPr>
          <w:rFonts w:ascii="Times New Roman" w:hAnsi="Times New Roman" w:cs="Times New Roman"/>
          <w:sz w:val="24"/>
          <w:szCs w:val="24"/>
          <w:lang w:val="lt-LT"/>
        </w:rPr>
        <w:t xml:space="preserve">. </w:t>
      </w:r>
    </w:p>
    <w:p w:rsidR="003228C9" w:rsidRPr="0017614D" w:rsidRDefault="003228C9" w:rsidP="003228C9">
      <w:pPr>
        <w:autoSpaceDE w:val="0"/>
        <w:autoSpaceDN w:val="0"/>
        <w:adjustRightInd w:val="0"/>
        <w:spacing w:line="360" w:lineRule="auto"/>
        <w:ind w:firstLine="720"/>
        <w:contextualSpacing/>
        <w:jc w:val="both"/>
        <w:rPr>
          <w:rFonts w:ascii="Times New Roman" w:hAnsi="Times New Roman" w:cs="Times New Roman"/>
          <w:sz w:val="24"/>
          <w:szCs w:val="24"/>
          <w:lang w:val="lt-LT"/>
        </w:rPr>
      </w:pPr>
    </w:p>
    <w:p w:rsidR="003228C9" w:rsidRPr="0017614D" w:rsidRDefault="003228C9" w:rsidP="003228C9">
      <w:pPr>
        <w:pStyle w:val="Heading2"/>
        <w:ind w:firstLine="720"/>
        <w:contextualSpacing/>
        <w:rPr>
          <w:rFonts w:ascii="Times New Roman" w:hAnsi="Times New Roman" w:cs="Times New Roman"/>
          <w:sz w:val="24"/>
          <w:szCs w:val="24"/>
          <w:lang w:val="lt-LT"/>
        </w:rPr>
      </w:pPr>
      <w:bookmarkStart w:id="95" w:name="_Toc374655656"/>
      <w:r w:rsidRPr="0017614D">
        <w:rPr>
          <w:rFonts w:ascii="Times New Roman" w:hAnsi="Times New Roman" w:cs="Times New Roman"/>
          <w:sz w:val="24"/>
          <w:szCs w:val="24"/>
          <w:lang w:val="lt-LT"/>
        </w:rPr>
        <w:t>3.1. Tyrimo apžvalga</w:t>
      </w:r>
      <w:bookmarkEnd w:id="95"/>
    </w:p>
    <w:p w:rsidR="003228C9" w:rsidRPr="0017614D" w:rsidRDefault="003228C9" w:rsidP="003228C9">
      <w:pPr>
        <w:ind w:firstLine="720"/>
        <w:contextualSpacing/>
        <w:rPr>
          <w:rFonts w:ascii="Times New Roman" w:hAnsi="Times New Roman" w:cs="Times New Roman"/>
          <w:sz w:val="24"/>
          <w:szCs w:val="24"/>
          <w:lang w:val="lt-LT"/>
        </w:rPr>
      </w:pPr>
    </w:p>
    <w:p w:rsidR="003228C9" w:rsidRPr="0017614D" w:rsidRDefault="003228C9" w:rsidP="003228C9">
      <w:pPr>
        <w:spacing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Tyrimui buvo pasirinktos 2 bankrutavusios ir 2 šiuo metu </w:t>
      </w:r>
      <w:r w:rsidR="002E4703">
        <w:rPr>
          <w:rFonts w:ascii="Times New Roman" w:hAnsi="Times New Roman" w:cs="Times New Roman"/>
          <w:sz w:val="24"/>
          <w:szCs w:val="24"/>
          <w:lang w:val="lt-LT"/>
        </w:rPr>
        <w:t xml:space="preserve">rinkoje </w:t>
      </w:r>
      <w:r w:rsidRPr="0017614D">
        <w:rPr>
          <w:rFonts w:ascii="Times New Roman" w:hAnsi="Times New Roman" w:cs="Times New Roman"/>
          <w:sz w:val="24"/>
          <w:szCs w:val="24"/>
          <w:lang w:val="lt-LT"/>
        </w:rPr>
        <w:t xml:space="preserve">veikiančios įmonės, priklausančios vienai šakai ir teikiančios panašias paslaugas. Pasirinkta nagrinėjama šaka – transporto sektorius. Transportavimo šaką sudaro automobilių, geležinkelių, vandens ir oro transportas, ji apima krovinių ir keleivių gabenimą įvairiomis transporto priemonėmis. Šios šakos esmė yra gabenti įvairių ūkio </w:t>
      </w:r>
      <w:r w:rsidR="002E4703">
        <w:rPr>
          <w:rFonts w:ascii="Times New Roman" w:hAnsi="Times New Roman" w:cs="Times New Roman"/>
          <w:sz w:val="24"/>
          <w:szCs w:val="24"/>
          <w:lang w:val="lt-LT"/>
        </w:rPr>
        <w:t>šakų sukurtą produkciją, keisti</w:t>
      </w:r>
      <w:r w:rsidRPr="0017614D">
        <w:rPr>
          <w:rFonts w:ascii="Times New Roman" w:hAnsi="Times New Roman" w:cs="Times New Roman"/>
          <w:sz w:val="24"/>
          <w:szCs w:val="24"/>
          <w:lang w:val="lt-LT"/>
        </w:rPr>
        <w:t xml:space="preserve"> jos vietą, taip pristatant krovinius jų vartotojams. Transporto produkcija yra - krovinių ir keleivių gabenimo procesas, o galutinis šios veiklos rezultatas yra pervežti kroviniai ar keleiviai</w:t>
      </w:r>
      <w:r w:rsidRPr="0017614D">
        <w:rPr>
          <w:rFonts w:ascii="Times New Roman" w:hAnsi="Times New Roman" w:cs="Times New Roman"/>
          <w:color w:val="FF0000"/>
          <w:sz w:val="24"/>
          <w:szCs w:val="24"/>
          <w:lang w:val="lt-LT"/>
        </w:rPr>
        <w:t xml:space="preserve">. </w:t>
      </w:r>
      <w:r w:rsidRPr="0017614D">
        <w:rPr>
          <w:rFonts w:ascii="Times New Roman" w:hAnsi="Times New Roman" w:cs="Times New Roman"/>
          <w:sz w:val="24"/>
          <w:szCs w:val="24"/>
          <w:lang w:val="lt-LT"/>
        </w:rPr>
        <w:t xml:space="preserve">2011 m. transporto šaka buvo ketvirta, tuo tarpu 2012 m. penkta Lietuvoje pagal bankrutavusių įmonių skaičių, todėl bankroto grėsmės diagnozavimas šios šakos įmonėms yra ypač aktualus (Įmonių bankroto valdymo departamentas prie LR Ūkio ministerijos, 2012). </w:t>
      </w:r>
    </w:p>
    <w:p w:rsidR="003228C9" w:rsidRPr="0017614D" w:rsidRDefault="003228C9" w:rsidP="003228C9">
      <w:pPr>
        <w:spacing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Be to trys iš keturių tyrimui pasirinktų įmonių, priklauso smulkaus ir vidutinio verslo grupei, kadangi tokios bendrovės dažnai yra mažai žinomos, tačiau būtent šiai grupei prikl</w:t>
      </w:r>
      <w:r w:rsidR="00E6354F">
        <w:rPr>
          <w:rFonts w:ascii="Times New Roman" w:hAnsi="Times New Roman" w:cs="Times New Roman"/>
          <w:sz w:val="24"/>
          <w:szCs w:val="24"/>
          <w:lang w:val="lt-LT"/>
        </w:rPr>
        <w:t>ausančios įmonės sudaro virš 90 proc.</w:t>
      </w:r>
      <w:r w:rsidRPr="0017614D">
        <w:rPr>
          <w:rFonts w:ascii="Times New Roman" w:hAnsi="Times New Roman" w:cs="Times New Roman"/>
          <w:sz w:val="24"/>
          <w:szCs w:val="24"/>
          <w:lang w:val="lt-LT"/>
        </w:rPr>
        <w:t xml:space="preserve"> visų Lietuvoje veikiančių įmonių (įmonė yra smulkaus ar vidutinio verslo subjektas kai jos darbuotojų skaičius yra mažesnis nei 250, įmonės metinės pajamos neviršija 138 mln. litų ar įmonės turto balansinė vertė yra ne didesnė kaip 93 mln. Litų (LR Smulkiojo ir vidutinio verslo plėtros įstatymas</w:t>
      </w:r>
      <w:r w:rsidR="00190485">
        <w:rPr>
          <w:rFonts w:ascii="Times New Roman" w:hAnsi="Times New Roman" w:cs="Times New Roman"/>
          <w:sz w:val="24"/>
          <w:szCs w:val="24"/>
          <w:lang w:val="lt-LT"/>
        </w:rPr>
        <w:t>, 2008</w:t>
      </w:r>
      <w:r w:rsidRPr="0017614D">
        <w:rPr>
          <w:rFonts w:ascii="Times New Roman" w:hAnsi="Times New Roman" w:cs="Times New Roman"/>
          <w:sz w:val="24"/>
          <w:szCs w:val="24"/>
          <w:lang w:val="lt-LT"/>
        </w:rPr>
        <w:t>)). Kiekvienos iš tokių įmonių bankrotas turės tiesioginę įtaką šalies ūkio stabilumui, taigi akivaizdu, kad reikia skirti daugiau dėmesio smulkaus ir vidutinio verslo bankroto problematikai.</w:t>
      </w:r>
    </w:p>
    <w:p w:rsidR="003228C9" w:rsidRPr="0017614D" w:rsidRDefault="003228C9" w:rsidP="003228C9">
      <w:pPr>
        <w:spacing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lastRenderedPageBreak/>
        <w:t>Taigi šiam tyrimui iš bankrutavusių įmonių nagrinėjimui buvo pasirinktos dvi uždarosios akcinės bendrovės - UAB „Romas ir Ko“ bei UAB „Achemarida“. Abi šios bendrovės teikė transportavimo ir logistikos paslaugas, kurias galime išskirti į dvi smulkesnes grupes:</w:t>
      </w:r>
    </w:p>
    <w:p w:rsidR="003228C9" w:rsidRPr="0017614D" w:rsidRDefault="003228C9" w:rsidP="00417443">
      <w:pPr>
        <w:pStyle w:val="ListParagraph"/>
        <w:numPr>
          <w:ilvl w:val="0"/>
          <w:numId w:val="23"/>
        </w:numPr>
        <w:spacing w:line="360" w:lineRule="auto"/>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Krovinių gabenimas vietiniais ir tarptautiniais maršrutais;</w:t>
      </w:r>
    </w:p>
    <w:p w:rsidR="003228C9" w:rsidRPr="0017614D" w:rsidRDefault="003228C9" w:rsidP="00417443">
      <w:pPr>
        <w:pStyle w:val="ListParagraph"/>
        <w:numPr>
          <w:ilvl w:val="0"/>
          <w:numId w:val="23"/>
        </w:numPr>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Krovinių gabenimo organizavimas – muitinės dokumentų tvarkymas, maršrutų parinkimas.</w:t>
      </w:r>
    </w:p>
    <w:p w:rsidR="003228C9" w:rsidRPr="0017614D" w:rsidRDefault="003228C9" w:rsidP="003228C9">
      <w:pPr>
        <w:ind w:left="1080"/>
        <w:contextualSpacing/>
        <w:jc w:val="both"/>
        <w:rPr>
          <w:rFonts w:ascii="Times New Roman" w:hAnsi="Times New Roman" w:cs="Times New Roman"/>
          <w:sz w:val="24"/>
          <w:szCs w:val="24"/>
          <w:lang w:val="lt-LT"/>
        </w:rPr>
      </w:pPr>
    </w:p>
    <w:p w:rsidR="003228C9" w:rsidRPr="0017614D" w:rsidRDefault="004E188A" w:rsidP="003228C9">
      <w:pPr>
        <w:contextualSpacing/>
        <w:jc w:val="center"/>
        <w:rPr>
          <w:rFonts w:ascii="Times New Roman" w:hAnsi="Times New Roman" w:cs="Times New Roman"/>
          <w:lang w:val="lt-LT"/>
        </w:rPr>
      </w:pPr>
      <w:r w:rsidRPr="0017614D">
        <w:rPr>
          <w:rFonts w:ascii="Times New Roman" w:hAnsi="Times New Roman" w:cs="Times New Roman"/>
          <w:lang w:val="lt-LT"/>
        </w:rPr>
        <w:t>8</w:t>
      </w:r>
      <w:r w:rsidR="003228C9" w:rsidRPr="0017614D">
        <w:rPr>
          <w:rFonts w:ascii="Times New Roman" w:hAnsi="Times New Roman" w:cs="Times New Roman"/>
          <w:lang w:val="lt-LT"/>
        </w:rPr>
        <w:t xml:space="preserve"> lentelė.</w:t>
      </w:r>
      <w:r w:rsidR="003228C9" w:rsidRPr="0017614D">
        <w:rPr>
          <w:rFonts w:ascii="Times New Roman" w:hAnsi="Times New Roman" w:cs="Times New Roman"/>
          <w:b/>
          <w:lang w:val="lt-LT"/>
        </w:rPr>
        <w:t xml:space="preserve"> Tyrimui pasirinktų bankrutavusių įmonių pagrindinės charakteristikos</w:t>
      </w:r>
    </w:p>
    <w:tbl>
      <w:tblPr>
        <w:tblStyle w:val="LightGrid-Accent6"/>
        <w:tblW w:w="0" w:type="auto"/>
        <w:jc w:val="center"/>
        <w:tblLook w:val="04A0"/>
      </w:tblPr>
      <w:tblGrid>
        <w:gridCol w:w="2394"/>
        <w:gridCol w:w="2109"/>
        <w:gridCol w:w="2551"/>
        <w:gridCol w:w="2126"/>
      </w:tblGrid>
      <w:tr w:rsidR="003228C9" w:rsidRPr="0017614D" w:rsidTr="00A4340C">
        <w:trPr>
          <w:cnfStyle w:val="100000000000"/>
          <w:jc w:val="center"/>
        </w:trPr>
        <w:tc>
          <w:tcPr>
            <w:cnfStyle w:val="001000000000"/>
            <w:tcW w:w="2394" w:type="dxa"/>
          </w:tcPr>
          <w:p w:rsidR="003228C9" w:rsidRPr="0017614D" w:rsidRDefault="003228C9" w:rsidP="00A4340C">
            <w:pPr>
              <w:contextualSpacing/>
              <w:jc w:val="center"/>
              <w:rPr>
                <w:rFonts w:ascii="Times New Roman" w:hAnsi="Times New Roman" w:cs="Times New Roman"/>
                <w:b w:val="0"/>
                <w:sz w:val="24"/>
                <w:szCs w:val="24"/>
                <w:lang w:val="lt-LT"/>
              </w:rPr>
            </w:pPr>
            <w:r w:rsidRPr="0017614D">
              <w:rPr>
                <w:rFonts w:ascii="Times New Roman" w:hAnsi="Times New Roman" w:cs="Times New Roman"/>
                <w:sz w:val="24"/>
                <w:szCs w:val="24"/>
                <w:lang w:val="lt-LT"/>
              </w:rPr>
              <w:t>Įmonės pavadinimas</w:t>
            </w:r>
          </w:p>
        </w:tc>
        <w:tc>
          <w:tcPr>
            <w:tcW w:w="2109" w:type="dxa"/>
          </w:tcPr>
          <w:p w:rsidR="003228C9" w:rsidRPr="0017614D" w:rsidRDefault="003228C9" w:rsidP="00A4340C">
            <w:pPr>
              <w:contextualSpacing/>
              <w:jc w:val="center"/>
              <w:cnfStyle w:val="100000000000"/>
              <w:rPr>
                <w:rFonts w:ascii="Times New Roman" w:hAnsi="Times New Roman" w:cs="Times New Roman"/>
                <w:b w:val="0"/>
                <w:sz w:val="24"/>
                <w:szCs w:val="24"/>
                <w:lang w:val="lt-LT"/>
              </w:rPr>
            </w:pPr>
            <w:r w:rsidRPr="0017614D">
              <w:rPr>
                <w:rFonts w:ascii="Times New Roman" w:hAnsi="Times New Roman" w:cs="Times New Roman"/>
                <w:sz w:val="24"/>
                <w:szCs w:val="24"/>
                <w:lang w:val="lt-LT"/>
              </w:rPr>
              <w:t>Miestas</w:t>
            </w:r>
          </w:p>
        </w:tc>
        <w:tc>
          <w:tcPr>
            <w:tcW w:w="2551" w:type="dxa"/>
          </w:tcPr>
          <w:p w:rsidR="003228C9" w:rsidRPr="0017614D" w:rsidRDefault="003228C9" w:rsidP="00A4340C">
            <w:pPr>
              <w:contextualSpacing/>
              <w:jc w:val="center"/>
              <w:cnfStyle w:val="100000000000"/>
              <w:rPr>
                <w:rFonts w:ascii="Times New Roman" w:hAnsi="Times New Roman" w:cs="Times New Roman"/>
                <w:b w:val="0"/>
                <w:sz w:val="24"/>
                <w:szCs w:val="24"/>
                <w:lang w:val="lt-LT"/>
              </w:rPr>
            </w:pPr>
            <w:r w:rsidRPr="0017614D">
              <w:rPr>
                <w:rFonts w:ascii="Times New Roman" w:hAnsi="Times New Roman" w:cs="Times New Roman"/>
                <w:sz w:val="24"/>
                <w:szCs w:val="24"/>
                <w:lang w:val="lt-LT"/>
              </w:rPr>
              <w:t>Vidutinis darbuotojų skaičius nagrinėjamu laikotarpiu</w:t>
            </w:r>
          </w:p>
        </w:tc>
        <w:tc>
          <w:tcPr>
            <w:tcW w:w="2126" w:type="dxa"/>
          </w:tcPr>
          <w:p w:rsidR="003228C9" w:rsidRPr="0017614D" w:rsidRDefault="003228C9" w:rsidP="00A4340C">
            <w:pPr>
              <w:contextualSpacing/>
              <w:jc w:val="center"/>
              <w:cnfStyle w:val="100000000000"/>
              <w:rPr>
                <w:rFonts w:ascii="Times New Roman" w:hAnsi="Times New Roman" w:cs="Times New Roman"/>
                <w:b w:val="0"/>
                <w:sz w:val="24"/>
                <w:szCs w:val="24"/>
                <w:lang w:val="lt-LT"/>
              </w:rPr>
            </w:pPr>
            <w:r w:rsidRPr="0017614D">
              <w:rPr>
                <w:rFonts w:ascii="Times New Roman" w:hAnsi="Times New Roman" w:cs="Times New Roman"/>
                <w:sz w:val="24"/>
                <w:szCs w:val="24"/>
                <w:lang w:val="lt-LT"/>
              </w:rPr>
              <w:t>Bankroto bylos iškelimo metai</w:t>
            </w:r>
          </w:p>
        </w:tc>
      </w:tr>
      <w:tr w:rsidR="003228C9" w:rsidRPr="0017614D" w:rsidTr="00A4340C">
        <w:trPr>
          <w:cnfStyle w:val="000000100000"/>
          <w:jc w:val="center"/>
        </w:trPr>
        <w:tc>
          <w:tcPr>
            <w:cnfStyle w:val="001000000000"/>
            <w:tcW w:w="2394" w:type="dxa"/>
          </w:tcPr>
          <w:p w:rsidR="003228C9" w:rsidRPr="0017614D" w:rsidRDefault="003228C9" w:rsidP="00A4340C">
            <w:pPr>
              <w:contextualSpacing/>
              <w:rPr>
                <w:rFonts w:ascii="Times New Roman" w:hAnsi="Times New Roman" w:cs="Times New Roman"/>
                <w:i/>
                <w:sz w:val="24"/>
                <w:szCs w:val="24"/>
                <w:lang w:val="lt-LT"/>
              </w:rPr>
            </w:pPr>
            <w:r w:rsidRPr="0017614D">
              <w:rPr>
                <w:rFonts w:ascii="Times New Roman" w:hAnsi="Times New Roman" w:cs="Times New Roman"/>
                <w:i/>
                <w:sz w:val="24"/>
                <w:szCs w:val="24"/>
                <w:lang w:val="lt-LT"/>
              </w:rPr>
              <w:t>UAB „Romas ir Ko“</w:t>
            </w:r>
          </w:p>
        </w:tc>
        <w:tc>
          <w:tcPr>
            <w:tcW w:w="2109" w:type="dxa"/>
          </w:tcPr>
          <w:p w:rsidR="003228C9" w:rsidRPr="0017614D" w:rsidRDefault="003228C9" w:rsidP="00A4340C">
            <w:pPr>
              <w:contextualSpacing/>
              <w:jc w:val="center"/>
              <w:cnfStyle w:val="000000100000"/>
              <w:rPr>
                <w:rFonts w:ascii="Times New Roman" w:hAnsi="Times New Roman" w:cs="Times New Roman"/>
                <w:sz w:val="24"/>
                <w:szCs w:val="24"/>
                <w:lang w:val="lt-LT"/>
              </w:rPr>
            </w:pPr>
            <w:r w:rsidRPr="0017614D">
              <w:rPr>
                <w:rFonts w:ascii="Times New Roman" w:hAnsi="Times New Roman" w:cs="Times New Roman"/>
                <w:sz w:val="24"/>
                <w:szCs w:val="24"/>
                <w:lang w:val="lt-LT"/>
              </w:rPr>
              <w:t>Marijampolės sav., Skaisčiunų k.</w:t>
            </w:r>
          </w:p>
        </w:tc>
        <w:tc>
          <w:tcPr>
            <w:tcW w:w="2551" w:type="dxa"/>
          </w:tcPr>
          <w:p w:rsidR="003228C9" w:rsidRPr="0017614D" w:rsidRDefault="003228C9" w:rsidP="00A4340C">
            <w:pPr>
              <w:contextualSpacing/>
              <w:jc w:val="center"/>
              <w:cnfStyle w:val="000000100000"/>
              <w:rPr>
                <w:rFonts w:ascii="Times New Roman" w:hAnsi="Times New Roman" w:cs="Times New Roman"/>
                <w:sz w:val="24"/>
                <w:szCs w:val="24"/>
                <w:lang w:val="lt-LT"/>
              </w:rPr>
            </w:pPr>
            <w:r w:rsidRPr="0017614D">
              <w:rPr>
                <w:rFonts w:ascii="Times New Roman" w:hAnsi="Times New Roman" w:cs="Times New Roman"/>
                <w:sz w:val="24"/>
                <w:szCs w:val="24"/>
                <w:lang w:val="lt-LT"/>
              </w:rPr>
              <w:t>67</w:t>
            </w:r>
          </w:p>
        </w:tc>
        <w:tc>
          <w:tcPr>
            <w:tcW w:w="2126" w:type="dxa"/>
          </w:tcPr>
          <w:p w:rsidR="003228C9" w:rsidRPr="0017614D" w:rsidRDefault="003228C9" w:rsidP="00A4340C">
            <w:pPr>
              <w:contextualSpacing/>
              <w:jc w:val="center"/>
              <w:cnfStyle w:val="000000100000"/>
              <w:rPr>
                <w:rFonts w:ascii="Times New Roman" w:hAnsi="Times New Roman" w:cs="Times New Roman"/>
                <w:sz w:val="24"/>
                <w:szCs w:val="24"/>
                <w:lang w:val="lt-LT"/>
              </w:rPr>
            </w:pPr>
            <w:r w:rsidRPr="0017614D">
              <w:rPr>
                <w:rFonts w:ascii="Times New Roman" w:hAnsi="Times New Roman" w:cs="Times New Roman"/>
                <w:sz w:val="24"/>
                <w:szCs w:val="24"/>
                <w:lang w:val="lt-LT"/>
              </w:rPr>
              <w:t>2011</w:t>
            </w:r>
          </w:p>
        </w:tc>
      </w:tr>
      <w:tr w:rsidR="003228C9" w:rsidRPr="0017614D" w:rsidTr="00A4340C">
        <w:trPr>
          <w:cnfStyle w:val="000000010000"/>
          <w:jc w:val="center"/>
        </w:trPr>
        <w:tc>
          <w:tcPr>
            <w:cnfStyle w:val="001000000000"/>
            <w:tcW w:w="2394" w:type="dxa"/>
          </w:tcPr>
          <w:p w:rsidR="003228C9" w:rsidRPr="0017614D" w:rsidRDefault="003228C9" w:rsidP="00A4340C">
            <w:pPr>
              <w:contextualSpacing/>
              <w:rPr>
                <w:rFonts w:ascii="Times New Roman" w:hAnsi="Times New Roman" w:cs="Times New Roman"/>
                <w:i/>
                <w:sz w:val="24"/>
                <w:szCs w:val="24"/>
                <w:lang w:val="lt-LT"/>
              </w:rPr>
            </w:pPr>
            <w:r w:rsidRPr="0017614D">
              <w:rPr>
                <w:rFonts w:ascii="Times New Roman" w:hAnsi="Times New Roman" w:cs="Times New Roman"/>
                <w:i/>
                <w:sz w:val="24"/>
                <w:szCs w:val="24"/>
                <w:lang w:val="lt-LT"/>
              </w:rPr>
              <w:t>UAB „ Achemarida“</w:t>
            </w:r>
          </w:p>
        </w:tc>
        <w:tc>
          <w:tcPr>
            <w:tcW w:w="2109" w:type="dxa"/>
          </w:tcPr>
          <w:p w:rsidR="003228C9" w:rsidRPr="0017614D" w:rsidRDefault="003228C9" w:rsidP="00A4340C">
            <w:pPr>
              <w:contextualSpacing/>
              <w:jc w:val="center"/>
              <w:cnfStyle w:val="000000010000"/>
              <w:rPr>
                <w:rFonts w:ascii="Times New Roman" w:hAnsi="Times New Roman" w:cs="Times New Roman"/>
                <w:sz w:val="24"/>
                <w:szCs w:val="24"/>
                <w:lang w:val="lt-LT"/>
              </w:rPr>
            </w:pPr>
            <w:r w:rsidRPr="0017614D">
              <w:rPr>
                <w:rFonts w:ascii="Times New Roman" w:hAnsi="Times New Roman" w:cs="Times New Roman"/>
                <w:sz w:val="24"/>
                <w:szCs w:val="24"/>
                <w:lang w:val="lt-LT"/>
              </w:rPr>
              <w:t>Klaipėda</w:t>
            </w:r>
          </w:p>
        </w:tc>
        <w:tc>
          <w:tcPr>
            <w:tcW w:w="2551" w:type="dxa"/>
          </w:tcPr>
          <w:p w:rsidR="003228C9" w:rsidRPr="0017614D" w:rsidRDefault="003228C9" w:rsidP="00A4340C">
            <w:pPr>
              <w:contextualSpacing/>
              <w:jc w:val="center"/>
              <w:cnfStyle w:val="000000010000"/>
              <w:rPr>
                <w:rFonts w:ascii="Times New Roman" w:hAnsi="Times New Roman" w:cs="Times New Roman"/>
                <w:sz w:val="24"/>
                <w:szCs w:val="24"/>
                <w:lang w:val="lt-LT"/>
              </w:rPr>
            </w:pPr>
            <w:r w:rsidRPr="0017614D">
              <w:rPr>
                <w:rFonts w:ascii="Times New Roman" w:hAnsi="Times New Roman" w:cs="Times New Roman"/>
                <w:sz w:val="24"/>
                <w:szCs w:val="24"/>
                <w:lang w:val="lt-LT"/>
              </w:rPr>
              <w:t>66</w:t>
            </w:r>
          </w:p>
        </w:tc>
        <w:tc>
          <w:tcPr>
            <w:tcW w:w="2126" w:type="dxa"/>
          </w:tcPr>
          <w:p w:rsidR="003228C9" w:rsidRPr="0017614D" w:rsidRDefault="003228C9" w:rsidP="00A4340C">
            <w:pPr>
              <w:contextualSpacing/>
              <w:jc w:val="center"/>
              <w:cnfStyle w:val="000000010000"/>
              <w:rPr>
                <w:rFonts w:ascii="Times New Roman" w:hAnsi="Times New Roman" w:cs="Times New Roman"/>
                <w:sz w:val="24"/>
                <w:szCs w:val="24"/>
                <w:lang w:val="lt-LT"/>
              </w:rPr>
            </w:pPr>
            <w:r w:rsidRPr="0017614D">
              <w:rPr>
                <w:rFonts w:ascii="Times New Roman" w:hAnsi="Times New Roman" w:cs="Times New Roman"/>
                <w:sz w:val="24"/>
                <w:szCs w:val="24"/>
                <w:lang w:val="lt-LT"/>
              </w:rPr>
              <w:t>2011</w:t>
            </w:r>
          </w:p>
        </w:tc>
      </w:tr>
    </w:tbl>
    <w:p w:rsidR="003228C9" w:rsidRPr="0017614D" w:rsidRDefault="003228C9" w:rsidP="003228C9">
      <w:pPr>
        <w:spacing w:line="360" w:lineRule="auto"/>
        <w:ind w:firstLine="720"/>
        <w:contextualSpacing/>
        <w:jc w:val="both"/>
        <w:rPr>
          <w:rFonts w:ascii="Times New Roman" w:hAnsi="Times New Roman" w:cs="Times New Roman"/>
          <w:sz w:val="24"/>
          <w:szCs w:val="24"/>
          <w:lang w:val="lt-LT"/>
        </w:rPr>
      </w:pPr>
    </w:p>
    <w:p w:rsidR="003228C9" w:rsidRPr="0017614D" w:rsidRDefault="003228C9" w:rsidP="003228C9">
      <w:pPr>
        <w:spacing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Abi pasirinktos įmonės priklauso smulkaus ir vidutinio verslo grupei. Jų vidutinis darbuotojų skaičius nagrinėjamu laikotarpiu buvo apie 66-67 žmonės. UAB „Achemarida“ veikė viename iš didžiųjų Lietuvos miestų – Klaipėdoje, tuo tarpu UAB „Romas ir Ko“ buvo įsikūrusi Marijampolės savivaldybėje. Taip pat svarbu paminėti, kad abiems šioms įmonėms bankroto byla buvo iškelta 2011 metais (žr. </w:t>
      </w:r>
      <w:r w:rsidR="004E188A" w:rsidRPr="0017614D">
        <w:rPr>
          <w:rFonts w:ascii="Times New Roman" w:hAnsi="Times New Roman" w:cs="Times New Roman"/>
          <w:sz w:val="24"/>
          <w:szCs w:val="24"/>
          <w:lang w:val="lt-LT"/>
        </w:rPr>
        <w:t>8</w:t>
      </w:r>
      <w:r w:rsidRPr="0017614D">
        <w:rPr>
          <w:rFonts w:ascii="Times New Roman" w:hAnsi="Times New Roman" w:cs="Times New Roman"/>
          <w:sz w:val="24"/>
          <w:szCs w:val="24"/>
          <w:lang w:val="lt-LT"/>
        </w:rPr>
        <w:t xml:space="preserve"> lent.). </w:t>
      </w:r>
    </w:p>
    <w:p w:rsidR="003228C9" w:rsidRPr="0017614D" w:rsidRDefault="003228C9" w:rsidP="003228C9">
      <w:pPr>
        <w:spacing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Be bankrutavusių įmonių taip pat bus nagrinėjamos ir dvi šiuo metu sėkmingai dirbančios  bendrovės: UAB “Girteka“ bei UAB „Autoverslas“. Veikiančios įmonės pasirinktos atsižvelgiant į faktą, kad per nagrinėjamą laikotarpį joms nebuvo iškelta bankroto byla, nesikeitė įmonės forma. Atrinktos bendrovės priklauso tai pačiai transporto šakai. </w:t>
      </w:r>
      <w:r w:rsidR="004E188A" w:rsidRPr="0017614D">
        <w:rPr>
          <w:rFonts w:ascii="Times New Roman" w:hAnsi="Times New Roman" w:cs="Times New Roman"/>
          <w:sz w:val="24"/>
          <w:szCs w:val="24"/>
          <w:lang w:val="lt-LT"/>
        </w:rPr>
        <w:t>9</w:t>
      </w:r>
      <w:r w:rsidRPr="0017614D">
        <w:rPr>
          <w:rFonts w:ascii="Times New Roman" w:hAnsi="Times New Roman" w:cs="Times New Roman"/>
          <w:sz w:val="24"/>
          <w:szCs w:val="24"/>
          <w:lang w:val="lt-LT"/>
        </w:rPr>
        <w:t xml:space="preserve"> lentelėje yra pateikiami kiekvienos iš šių įmonių bendri duomenys. </w:t>
      </w:r>
    </w:p>
    <w:p w:rsidR="003228C9" w:rsidRPr="0017614D" w:rsidRDefault="003228C9" w:rsidP="003228C9">
      <w:pPr>
        <w:spacing w:line="360" w:lineRule="auto"/>
        <w:ind w:firstLine="720"/>
        <w:contextualSpacing/>
        <w:jc w:val="both"/>
        <w:rPr>
          <w:rFonts w:ascii="Times New Roman" w:hAnsi="Times New Roman" w:cs="Times New Roman"/>
          <w:sz w:val="24"/>
          <w:szCs w:val="24"/>
          <w:lang w:val="lt-LT"/>
        </w:rPr>
      </w:pPr>
    </w:p>
    <w:p w:rsidR="003228C9" w:rsidRPr="0017614D" w:rsidRDefault="004E188A" w:rsidP="003228C9">
      <w:pPr>
        <w:spacing w:line="360" w:lineRule="auto"/>
        <w:contextualSpacing/>
        <w:jc w:val="center"/>
        <w:rPr>
          <w:rFonts w:ascii="Times New Roman" w:hAnsi="Times New Roman" w:cs="Times New Roman"/>
          <w:lang w:val="lt-LT"/>
        </w:rPr>
      </w:pPr>
      <w:r w:rsidRPr="0017614D">
        <w:rPr>
          <w:rFonts w:ascii="Times New Roman" w:hAnsi="Times New Roman" w:cs="Times New Roman"/>
          <w:lang w:val="lt-LT"/>
        </w:rPr>
        <w:t>9</w:t>
      </w:r>
      <w:r w:rsidR="003228C9" w:rsidRPr="0017614D">
        <w:rPr>
          <w:rFonts w:ascii="Times New Roman" w:hAnsi="Times New Roman" w:cs="Times New Roman"/>
          <w:lang w:val="lt-LT"/>
        </w:rPr>
        <w:t xml:space="preserve"> lentelė.</w:t>
      </w:r>
      <w:r w:rsidR="003228C9" w:rsidRPr="0017614D">
        <w:rPr>
          <w:rFonts w:ascii="Times New Roman" w:hAnsi="Times New Roman" w:cs="Times New Roman"/>
          <w:b/>
          <w:lang w:val="lt-LT"/>
        </w:rPr>
        <w:t xml:space="preserve"> Tyrimui pasirinktų veikiančių įmonių pagrindinės charakteristikos</w:t>
      </w:r>
    </w:p>
    <w:tbl>
      <w:tblPr>
        <w:tblStyle w:val="LightGrid-Accent6"/>
        <w:tblW w:w="0" w:type="auto"/>
        <w:jc w:val="center"/>
        <w:tblLayout w:type="fixed"/>
        <w:tblLook w:val="04A0"/>
      </w:tblPr>
      <w:tblGrid>
        <w:gridCol w:w="1788"/>
        <w:gridCol w:w="1014"/>
        <w:gridCol w:w="2063"/>
        <w:gridCol w:w="4165"/>
      </w:tblGrid>
      <w:tr w:rsidR="003228C9" w:rsidRPr="0017614D" w:rsidTr="00A4340C">
        <w:trPr>
          <w:cnfStyle w:val="100000000000"/>
          <w:jc w:val="center"/>
        </w:trPr>
        <w:tc>
          <w:tcPr>
            <w:cnfStyle w:val="001000000000"/>
            <w:tcW w:w="1788" w:type="dxa"/>
          </w:tcPr>
          <w:p w:rsidR="003228C9" w:rsidRPr="0017614D" w:rsidRDefault="003228C9" w:rsidP="00A4340C">
            <w:pPr>
              <w:contextualSpacing/>
              <w:jc w:val="center"/>
              <w:rPr>
                <w:rFonts w:ascii="Times New Roman" w:hAnsi="Times New Roman" w:cs="Times New Roman"/>
                <w:b w:val="0"/>
                <w:sz w:val="24"/>
                <w:szCs w:val="24"/>
                <w:lang w:val="lt-LT"/>
              </w:rPr>
            </w:pPr>
            <w:r w:rsidRPr="0017614D">
              <w:rPr>
                <w:rFonts w:ascii="Times New Roman" w:hAnsi="Times New Roman" w:cs="Times New Roman"/>
                <w:sz w:val="24"/>
                <w:szCs w:val="24"/>
                <w:lang w:val="lt-LT"/>
              </w:rPr>
              <w:t>Įmonės pavadinimas</w:t>
            </w:r>
          </w:p>
        </w:tc>
        <w:tc>
          <w:tcPr>
            <w:tcW w:w="1014" w:type="dxa"/>
          </w:tcPr>
          <w:p w:rsidR="003228C9" w:rsidRPr="0017614D" w:rsidRDefault="003228C9" w:rsidP="00A4340C">
            <w:pPr>
              <w:contextualSpacing/>
              <w:jc w:val="center"/>
              <w:cnfStyle w:val="100000000000"/>
              <w:rPr>
                <w:rFonts w:ascii="Times New Roman" w:hAnsi="Times New Roman" w:cs="Times New Roman"/>
                <w:b w:val="0"/>
                <w:sz w:val="24"/>
                <w:szCs w:val="24"/>
                <w:lang w:val="lt-LT"/>
              </w:rPr>
            </w:pPr>
            <w:r w:rsidRPr="0017614D">
              <w:rPr>
                <w:rFonts w:ascii="Times New Roman" w:hAnsi="Times New Roman" w:cs="Times New Roman"/>
                <w:sz w:val="24"/>
                <w:szCs w:val="24"/>
                <w:lang w:val="lt-LT"/>
              </w:rPr>
              <w:t>Miestas</w:t>
            </w:r>
          </w:p>
        </w:tc>
        <w:tc>
          <w:tcPr>
            <w:tcW w:w="2063" w:type="dxa"/>
          </w:tcPr>
          <w:p w:rsidR="003228C9" w:rsidRPr="0017614D" w:rsidRDefault="003228C9" w:rsidP="00A4340C">
            <w:pPr>
              <w:contextualSpacing/>
              <w:jc w:val="center"/>
              <w:cnfStyle w:val="100000000000"/>
              <w:rPr>
                <w:rFonts w:ascii="Times New Roman" w:hAnsi="Times New Roman" w:cs="Times New Roman"/>
                <w:b w:val="0"/>
                <w:sz w:val="24"/>
                <w:szCs w:val="24"/>
                <w:lang w:val="lt-LT"/>
              </w:rPr>
            </w:pPr>
            <w:r w:rsidRPr="0017614D">
              <w:rPr>
                <w:rFonts w:ascii="Times New Roman" w:hAnsi="Times New Roman" w:cs="Times New Roman"/>
                <w:sz w:val="24"/>
                <w:szCs w:val="24"/>
                <w:lang w:val="lt-LT"/>
              </w:rPr>
              <w:t>Veiklos pradžios metai</w:t>
            </w:r>
          </w:p>
        </w:tc>
        <w:tc>
          <w:tcPr>
            <w:tcW w:w="4165" w:type="dxa"/>
          </w:tcPr>
          <w:p w:rsidR="003228C9" w:rsidRPr="0017614D" w:rsidRDefault="003228C9" w:rsidP="00A4340C">
            <w:pPr>
              <w:contextualSpacing/>
              <w:jc w:val="center"/>
              <w:cnfStyle w:val="100000000000"/>
              <w:rPr>
                <w:rFonts w:ascii="Times New Roman" w:hAnsi="Times New Roman" w:cs="Times New Roman"/>
                <w:b w:val="0"/>
                <w:sz w:val="24"/>
                <w:szCs w:val="24"/>
                <w:lang w:val="lt-LT"/>
              </w:rPr>
            </w:pPr>
            <w:r w:rsidRPr="0017614D">
              <w:rPr>
                <w:rFonts w:ascii="Times New Roman" w:hAnsi="Times New Roman" w:cs="Times New Roman"/>
                <w:sz w:val="24"/>
                <w:szCs w:val="24"/>
                <w:lang w:val="lt-LT"/>
              </w:rPr>
              <w:t>Vidutinis darbuotojų skaičius nagrinėjamu laikotarpiu</w:t>
            </w:r>
          </w:p>
        </w:tc>
      </w:tr>
      <w:tr w:rsidR="003228C9" w:rsidRPr="0017614D" w:rsidTr="00A4340C">
        <w:trPr>
          <w:cnfStyle w:val="000000100000"/>
          <w:jc w:val="center"/>
        </w:trPr>
        <w:tc>
          <w:tcPr>
            <w:cnfStyle w:val="001000000000"/>
            <w:tcW w:w="1788" w:type="dxa"/>
          </w:tcPr>
          <w:p w:rsidR="003228C9" w:rsidRPr="0017614D" w:rsidRDefault="003228C9" w:rsidP="00A4340C">
            <w:pPr>
              <w:contextualSpacing/>
              <w:rPr>
                <w:rFonts w:ascii="Times New Roman" w:hAnsi="Times New Roman" w:cs="Times New Roman"/>
                <w:i/>
                <w:sz w:val="24"/>
                <w:szCs w:val="24"/>
                <w:lang w:val="lt-LT"/>
              </w:rPr>
            </w:pPr>
            <w:r w:rsidRPr="0017614D">
              <w:rPr>
                <w:rFonts w:ascii="Times New Roman" w:hAnsi="Times New Roman" w:cs="Times New Roman"/>
                <w:i/>
                <w:sz w:val="24"/>
                <w:szCs w:val="24"/>
                <w:lang w:val="lt-LT"/>
              </w:rPr>
              <w:t>UAB „Girteka“</w:t>
            </w:r>
          </w:p>
        </w:tc>
        <w:tc>
          <w:tcPr>
            <w:tcW w:w="1014" w:type="dxa"/>
          </w:tcPr>
          <w:p w:rsidR="003228C9" w:rsidRPr="0017614D" w:rsidRDefault="003228C9" w:rsidP="00A4340C">
            <w:pPr>
              <w:contextualSpacing/>
              <w:jc w:val="center"/>
              <w:cnfStyle w:val="000000100000"/>
              <w:rPr>
                <w:rFonts w:ascii="Times New Roman" w:hAnsi="Times New Roman" w:cs="Times New Roman"/>
                <w:sz w:val="24"/>
                <w:szCs w:val="24"/>
                <w:lang w:val="lt-LT"/>
              </w:rPr>
            </w:pPr>
            <w:r w:rsidRPr="0017614D">
              <w:rPr>
                <w:rFonts w:ascii="Times New Roman" w:hAnsi="Times New Roman" w:cs="Times New Roman"/>
                <w:sz w:val="24"/>
                <w:szCs w:val="24"/>
                <w:lang w:val="lt-LT"/>
              </w:rPr>
              <w:t>Vilnius</w:t>
            </w:r>
          </w:p>
        </w:tc>
        <w:tc>
          <w:tcPr>
            <w:tcW w:w="2063" w:type="dxa"/>
          </w:tcPr>
          <w:p w:rsidR="003228C9" w:rsidRPr="0017614D" w:rsidRDefault="003228C9" w:rsidP="00A4340C">
            <w:pPr>
              <w:contextualSpacing/>
              <w:jc w:val="center"/>
              <w:cnfStyle w:val="000000100000"/>
              <w:rPr>
                <w:rFonts w:ascii="Times New Roman" w:hAnsi="Times New Roman" w:cs="Times New Roman"/>
                <w:sz w:val="24"/>
                <w:szCs w:val="24"/>
                <w:lang w:val="lt-LT"/>
              </w:rPr>
            </w:pPr>
            <w:r w:rsidRPr="0017614D">
              <w:rPr>
                <w:rFonts w:ascii="Times New Roman" w:hAnsi="Times New Roman" w:cs="Times New Roman"/>
                <w:sz w:val="24"/>
                <w:szCs w:val="24"/>
                <w:lang w:val="lt-LT"/>
              </w:rPr>
              <w:t>1996</w:t>
            </w:r>
          </w:p>
        </w:tc>
        <w:tc>
          <w:tcPr>
            <w:tcW w:w="4165" w:type="dxa"/>
          </w:tcPr>
          <w:p w:rsidR="003228C9" w:rsidRPr="0017614D" w:rsidRDefault="003228C9" w:rsidP="00A4340C">
            <w:pPr>
              <w:contextualSpacing/>
              <w:jc w:val="center"/>
              <w:cnfStyle w:val="000000100000"/>
              <w:rPr>
                <w:rFonts w:ascii="Times New Roman" w:hAnsi="Times New Roman" w:cs="Times New Roman"/>
                <w:sz w:val="24"/>
                <w:szCs w:val="24"/>
                <w:lang w:val="lt-LT"/>
              </w:rPr>
            </w:pPr>
            <w:r w:rsidRPr="0017614D">
              <w:rPr>
                <w:rFonts w:ascii="Times New Roman" w:hAnsi="Times New Roman" w:cs="Times New Roman"/>
                <w:sz w:val="24"/>
                <w:szCs w:val="24"/>
                <w:lang w:val="lt-LT"/>
              </w:rPr>
              <w:t>812</w:t>
            </w:r>
          </w:p>
        </w:tc>
      </w:tr>
      <w:tr w:rsidR="003228C9" w:rsidRPr="0017614D" w:rsidTr="00A4340C">
        <w:trPr>
          <w:cnfStyle w:val="000000010000"/>
          <w:jc w:val="center"/>
        </w:trPr>
        <w:tc>
          <w:tcPr>
            <w:cnfStyle w:val="001000000000"/>
            <w:tcW w:w="1788" w:type="dxa"/>
          </w:tcPr>
          <w:p w:rsidR="003228C9" w:rsidRPr="0017614D" w:rsidRDefault="003228C9" w:rsidP="00A4340C">
            <w:pPr>
              <w:contextualSpacing/>
              <w:rPr>
                <w:rFonts w:ascii="Times New Roman" w:hAnsi="Times New Roman" w:cs="Times New Roman"/>
                <w:i/>
                <w:sz w:val="24"/>
                <w:szCs w:val="24"/>
                <w:lang w:val="lt-LT"/>
              </w:rPr>
            </w:pPr>
            <w:r w:rsidRPr="0017614D">
              <w:rPr>
                <w:rFonts w:ascii="Times New Roman" w:hAnsi="Times New Roman" w:cs="Times New Roman"/>
                <w:i/>
                <w:sz w:val="24"/>
                <w:szCs w:val="24"/>
                <w:lang w:val="lt-LT"/>
              </w:rPr>
              <w:t>UAB „Autoverslas“</w:t>
            </w:r>
          </w:p>
        </w:tc>
        <w:tc>
          <w:tcPr>
            <w:tcW w:w="1014" w:type="dxa"/>
          </w:tcPr>
          <w:p w:rsidR="003228C9" w:rsidRPr="0017614D" w:rsidRDefault="003228C9" w:rsidP="00A4340C">
            <w:pPr>
              <w:contextualSpacing/>
              <w:jc w:val="center"/>
              <w:cnfStyle w:val="000000010000"/>
              <w:rPr>
                <w:rFonts w:ascii="Times New Roman" w:hAnsi="Times New Roman" w:cs="Times New Roman"/>
                <w:sz w:val="24"/>
                <w:szCs w:val="24"/>
                <w:lang w:val="lt-LT"/>
              </w:rPr>
            </w:pPr>
            <w:r w:rsidRPr="0017614D">
              <w:rPr>
                <w:rFonts w:ascii="Times New Roman" w:hAnsi="Times New Roman" w:cs="Times New Roman"/>
                <w:sz w:val="24"/>
                <w:szCs w:val="24"/>
                <w:lang w:val="lt-LT"/>
              </w:rPr>
              <w:t>Vilnius</w:t>
            </w:r>
          </w:p>
        </w:tc>
        <w:tc>
          <w:tcPr>
            <w:tcW w:w="2063" w:type="dxa"/>
          </w:tcPr>
          <w:p w:rsidR="003228C9" w:rsidRPr="0017614D" w:rsidRDefault="003228C9" w:rsidP="00A4340C">
            <w:pPr>
              <w:contextualSpacing/>
              <w:jc w:val="center"/>
              <w:cnfStyle w:val="000000010000"/>
              <w:rPr>
                <w:rFonts w:ascii="Times New Roman" w:hAnsi="Times New Roman" w:cs="Times New Roman"/>
                <w:sz w:val="24"/>
                <w:szCs w:val="24"/>
                <w:lang w:val="lt-LT"/>
              </w:rPr>
            </w:pPr>
            <w:r w:rsidRPr="0017614D">
              <w:rPr>
                <w:rFonts w:ascii="Times New Roman" w:hAnsi="Times New Roman" w:cs="Times New Roman"/>
                <w:sz w:val="24"/>
                <w:szCs w:val="24"/>
                <w:lang w:val="lt-LT"/>
              </w:rPr>
              <w:t>1993</w:t>
            </w:r>
          </w:p>
        </w:tc>
        <w:tc>
          <w:tcPr>
            <w:tcW w:w="4165" w:type="dxa"/>
          </w:tcPr>
          <w:p w:rsidR="003228C9" w:rsidRPr="0017614D" w:rsidRDefault="003228C9" w:rsidP="00A4340C">
            <w:pPr>
              <w:contextualSpacing/>
              <w:jc w:val="center"/>
              <w:cnfStyle w:val="000000010000"/>
              <w:rPr>
                <w:rFonts w:ascii="Times New Roman" w:hAnsi="Times New Roman" w:cs="Times New Roman"/>
                <w:sz w:val="24"/>
                <w:szCs w:val="24"/>
                <w:lang w:val="lt-LT"/>
              </w:rPr>
            </w:pPr>
            <w:r w:rsidRPr="0017614D">
              <w:rPr>
                <w:rFonts w:ascii="Times New Roman" w:hAnsi="Times New Roman" w:cs="Times New Roman"/>
                <w:sz w:val="24"/>
                <w:szCs w:val="24"/>
                <w:lang w:val="lt-LT"/>
              </w:rPr>
              <w:t>102</w:t>
            </w:r>
          </w:p>
        </w:tc>
      </w:tr>
    </w:tbl>
    <w:p w:rsidR="003228C9" w:rsidRPr="0017614D" w:rsidRDefault="003228C9" w:rsidP="003228C9">
      <w:pPr>
        <w:spacing w:after="0" w:line="360" w:lineRule="auto"/>
        <w:ind w:firstLine="720"/>
        <w:contextualSpacing/>
        <w:jc w:val="both"/>
        <w:rPr>
          <w:rFonts w:ascii="Times New Roman" w:hAnsi="Times New Roman" w:cs="Times New Roman"/>
          <w:sz w:val="24"/>
          <w:szCs w:val="24"/>
          <w:lang w:val="lt-LT"/>
        </w:rPr>
      </w:pPr>
    </w:p>
    <w:p w:rsidR="003228C9" w:rsidRPr="0017614D" w:rsidRDefault="004E188A" w:rsidP="003228C9">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Remiantis 9 lentelės duomenimis</w:t>
      </w:r>
      <w:r w:rsidR="003228C9" w:rsidRPr="0017614D">
        <w:rPr>
          <w:rFonts w:ascii="Times New Roman" w:hAnsi="Times New Roman" w:cs="Times New Roman"/>
          <w:sz w:val="24"/>
          <w:szCs w:val="24"/>
          <w:lang w:val="lt-LT"/>
        </w:rPr>
        <w:t xml:space="preserve"> matome, kad viena iš analizuojamų įmonių priklauso didelių ir viena vidutinių įmonių grupei, jų darbuotojų skaičius svyruoja nuo 102 iki 812. Šios bendrovės savo veiklą pradėjo prieš daugiau nei 7 ir 10 metų, šiuo metu jos yra įsikūrusios Lietuvos sostinėje.</w:t>
      </w:r>
    </w:p>
    <w:p w:rsidR="003228C9" w:rsidRPr="0017614D" w:rsidRDefault="003228C9" w:rsidP="003228C9">
      <w:pPr>
        <w:autoSpaceDE w:val="0"/>
        <w:autoSpaceDN w:val="0"/>
        <w:adjustRightInd w:val="0"/>
        <w:spacing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lastRenderedPageBreak/>
        <w:t>Taip pat verta atkreipti dėmesį, kad pasirinktos keturios įmonės neatitinka statistinės imties ir tyrimo rezultatai neatspindi visos visumos. Šis tyrimas atspindi tik</w:t>
      </w:r>
      <w:r w:rsidR="002673FC" w:rsidRPr="0017614D">
        <w:rPr>
          <w:rFonts w:ascii="Times New Roman" w:hAnsi="Times New Roman" w:cs="Times New Roman"/>
          <w:sz w:val="24"/>
          <w:szCs w:val="24"/>
          <w:lang w:val="lt-LT"/>
        </w:rPr>
        <w:t xml:space="preserve"> integruotos bankroto diagnozavimo</w:t>
      </w:r>
      <w:r w:rsidRPr="0017614D">
        <w:rPr>
          <w:rFonts w:ascii="Times New Roman" w:hAnsi="Times New Roman" w:cs="Times New Roman"/>
          <w:sz w:val="24"/>
          <w:szCs w:val="24"/>
          <w:lang w:val="lt-LT"/>
        </w:rPr>
        <w:t xml:space="preserve"> metodikos pritaikomumo rezultatus pasirinktoms bendrovėms.</w:t>
      </w:r>
    </w:p>
    <w:p w:rsidR="003228C9" w:rsidRPr="0017614D" w:rsidRDefault="003228C9" w:rsidP="003228C9">
      <w:pPr>
        <w:spacing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Tiriant įmonių būklę k</w:t>
      </w:r>
      <w:r w:rsidR="00697522" w:rsidRPr="0017614D">
        <w:rPr>
          <w:rFonts w:ascii="Times New Roman" w:hAnsi="Times New Roman" w:cs="Times New Roman"/>
          <w:sz w:val="24"/>
          <w:szCs w:val="24"/>
          <w:lang w:val="lt-LT"/>
        </w:rPr>
        <w:t>ompleksiniu</w:t>
      </w:r>
      <w:r w:rsidRPr="0017614D">
        <w:rPr>
          <w:rFonts w:ascii="Times New Roman" w:hAnsi="Times New Roman" w:cs="Times New Roman"/>
          <w:sz w:val="24"/>
          <w:szCs w:val="24"/>
          <w:lang w:val="lt-LT"/>
        </w:rPr>
        <w:t xml:space="preserve"> bankroto diagnozavimo metodu buvo naudojami įmonių finansinės atskaitomybės dokumentai, kurie buvo gauti iš duomenų bazės Amadeus bei naudojant mokamą Registrų centro prieigą prie įmonių finansinių dokumentų. Taip pat buvo naudojamasi laisvai internete prieinamomis žiniomis/ naujienomis/ komentarais susijusiais su šiomis įmonėmis. Bendrovės buvo analizuojamos trijų metų laikotarpyje – 2008-2010 m. Šis laikotarpis buvo pasirinktas, kadangi bankrutavusioms įmonėms tai yra trys metai prieš bankrotą, be to yra tikslinga ir nebankrutavusias įmones analizuoti tuo pačiu laikotarpiu, kad galima būtų palyginti rezultatus. Bankrutavusios įmonės tyrimo eigoje lentelėse bei paveksluose bus žymimos „*“ ženklu, einančiu prieš pavadinimą, taip siekiant išskirti jas nuo sėkmingai veikiančių įmonių.</w:t>
      </w:r>
    </w:p>
    <w:p w:rsidR="003228C9" w:rsidRPr="0017614D" w:rsidRDefault="003228C9" w:rsidP="003228C9">
      <w:pPr>
        <w:tabs>
          <w:tab w:val="left" w:pos="360"/>
        </w:tabs>
        <w:autoSpaceDE w:val="0"/>
        <w:autoSpaceDN w:val="0"/>
        <w:adjustRightInd w:val="0"/>
        <w:spacing w:after="0" w:line="360" w:lineRule="auto"/>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ab/>
      </w:r>
      <w:r w:rsidRPr="0017614D">
        <w:rPr>
          <w:rFonts w:ascii="Times New Roman" w:hAnsi="Times New Roman" w:cs="Times New Roman"/>
          <w:sz w:val="24"/>
          <w:szCs w:val="24"/>
          <w:lang w:val="lt-LT"/>
        </w:rPr>
        <w:tab/>
        <w:t xml:space="preserve">Atliekant finansinių santykinių rodiklių apskaičiavimą buvo pasirinkta skaičiuoti </w:t>
      </w:r>
      <w:r w:rsidR="002B3E00" w:rsidRPr="0017614D">
        <w:rPr>
          <w:rFonts w:ascii="Times New Roman" w:hAnsi="Times New Roman" w:cs="Times New Roman"/>
          <w:sz w:val="24"/>
          <w:szCs w:val="24"/>
          <w:lang w:val="lt-LT"/>
        </w:rPr>
        <w:t>metodinėje dalyje jau aptartus</w:t>
      </w:r>
      <w:r w:rsidRPr="0017614D">
        <w:rPr>
          <w:rFonts w:ascii="Times New Roman" w:hAnsi="Times New Roman" w:cs="Times New Roman"/>
          <w:sz w:val="24"/>
          <w:szCs w:val="24"/>
          <w:lang w:val="lt-LT"/>
        </w:rPr>
        <w:t xml:space="preserve"> rodiklius: </w:t>
      </w:r>
    </w:p>
    <w:p w:rsidR="003228C9" w:rsidRPr="0017614D" w:rsidRDefault="003228C9" w:rsidP="00417443">
      <w:pPr>
        <w:pStyle w:val="ListParagraph"/>
        <w:numPr>
          <w:ilvl w:val="0"/>
          <w:numId w:val="28"/>
        </w:numPr>
        <w:tabs>
          <w:tab w:val="left" w:pos="360"/>
        </w:tabs>
        <w:autoSpaceDE w:val="0"/>
        <w:autoSpaceDN w:val="0"/>
        <w:adjustRightInd w:val="0"/>
        <w:spacing w:after="0" w:line="360" w:lineRule="auto"/>
        <w:jc w:val="both"/>
        <w:rPr>
          <w:rFonts w:ascii="Times New Roman" w:hAnsi="Times New Roman" w:cs="Times New Roman"/>
          <w:sz w:val="24"/>
          <w:lang w:val="lt-LT"/>
        </w:rPr>
      </w:pPr>
      <w:r w:rsidRPr="0017614D">
        <w:rPr>
          <w:rFonts w:ascii="Times New Roman" w:hAnsi="Times New Roman" w:cs="Times New Roman"/>
          <w:sz w:val="24"/>
          <w:lang w:val="lt-LT"/>
        </w:rPr>
        <w:t>trumpalaikio mokumo rodikliai - bendrasis trumpalaikio mokumo koeficientas, greitojo trumpalaikio mokumo koeficientas;</w:t>
      </w:r>
    </w:p>
    <w:p w:rsidR="003228C9" w:rsidRPr="0017614D" w:rsidRDefault="003228C9" w:rsidP="00417443">
      <w:pPr>
        <w:pStyle w:val="ListParagraph"/>
        <w:numPr>
          <w:ilvl w:val="0"/>
          <w:numId w:val="28"/>
        </w:numPr>
        <w:tabs>
          <w:tab w:val="left" w:pos="360"/>
        </w:tabs>
        <w:autoSpaceDE w:val="0"/>
        <w:autoSpaceDN w:val="0"/>
        <w:adjustRightInd w:val="0"/>
        <w:spacing w:after="0" w:line="360" w:lineRule="auto"/>
        <w:jc w:val="both"/>
        <w:rPr>
          <w:rFonts w:ascii="Times New Roman" w:hAnsi="Times New Roman" w:cs="Times New Roman"/>
          <w:sz w:val="24"/>
          <w:lang w:val="lt-LT"/>
        </w:rPr>
      </w:pPr>
      <w:r w:rsidRPr="0017614D">
        <w:rPr>
          <w:rFonts w:ascii="Times New Roman" w:hAnsi="Times New Roman" w:cs="Times New Roman"/>
          <w:sz w:val="24"/>
          <w:lang w:val="lt-LT"/>
        </w:rPr>
        <w:t>ilgalaikio mokumo rodikliai – bendrasis skolos koeficientas, finansinis svertas;</w:t>
      </w:r>
    </w:p>
    <w:p w:rsidR="003228C9" w:rsidRPr="0017614D" w:rsidRDefault="003228C9" w:rsidP="00417443">
      <w:pPr>
        <w:pStyle w:val="ListParagraph"/>
        <w:numPr>
          <w:ilvl w:val="0"/>
          <w:numId w:val="28"/>
        </w:numPr>
        <w:tabs>
          <w:tab w:val="left" w:pos="360"/>
        </w:tabs>
        <w:autoSpaceDE w:val="0"/>
        <w:autoSpaceDN w:val="0"/>
        <w:adjustRightInd w:val="0"/>
        <w:spacing w:after="0" w:line="360" w:lineRule="auto"/>
        <w:jc w:val="both"/>
        <w:rPr>
          <w:rFonts w:ascii="Times New Roman" w:hAnsi="Times New Roman" w:cs="Times New Roman"/>
          <w:sz w:val="24"/>
          <w:lang w:val="lt-LT"/>
        </w:rPr>
      </w:pPr>
      <w:r w:rsidRPr="0017614D">
        <w:rPr>
          <w:rFonts w:ascii="Times New Roman" w:hAnsi="Times New Roman" w:cs="Times New Roman"/>
          <w:sz w:val="24"/>
          <w:lang w:val="lt-LT"/>
        </w:rPr>
        <w:t>pelningumo rodiklis - grynasis pardavimų pelningumas, turto pelningumas, nuosavo kapitalo pelningumas;</w:t>
      </w:r>
    </w:p>
    <w:p w:rsidR="003228C9" w:rsidRPr="0017614D" w:rsidRDefault="003228C9" w:rsidP="00417443">
      <w:pPr>
        <w:pStyle w:val="ListParagraph"/>
        <w:numPr>
          <w:ilvl w:val="0"/>
          <w:numId w:val="28"/>
        </w:numPr>
        <w:tabs>
          <w:tab w:val="left" w:pos="360"/>
        </w:tabs>
        <w:autoSpaceDE w:val="0"/>
        <w:autoSpaceDN w:val="0"/>
        <w:adjustRightInd w:val="0"/>
        <w:spacing w:after="0" w:line="360" w:lineRule="auto"/>
        <w:jc w:val="both"/>
        <w:rPr>
          <w:rFonts w:ascii="Times New Roman" w:hAnsi="Times New Roman" w:cs="Times New Roman"/>
          <w:sz w:val="24"/>
          <w:lang w:val="lt-LT"/>
        </w:rPr>
      </w:pPr>
      <w:r w:rsidRPr="0017614D">
        <w:rPr>
          <w:rFonts w:ascii="Times New Roman" w:hAnsi="Times New Roman" w:cs="Times New Roman"/>
          <w:sz w:val="24"/>
          <w:lang w:val="lt-LT"/>
        </w:rPr>
        <w:t>veiklos efektyvumo – pardavimo savikainos lygis.</w:t>
      </w:r>
    </w:p>
    <w:p w:rsidR="003228C9" w:rsidRPr="0017614D" w:rsidRDefault="003228C9" w:rsidP="003228C9">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Taip pat tyrimui buvo pasirinkti šeši bankroto prognozavimo modeliai, priklausantys tiesinės diskriminantinės analizės ir logistinės regresijos modelių grupėms. Iš tiesinės diskriminantinės analizės modelių tyrime bus taikomi: Altman, Springate, Taffler, Liss. Tuo tarpu iš logistinės regresijos modelių tyrimui buvo pasirinkti: Zavgren ir Chesser modeliai.</w:t>
      </w:r>
    </w:p>
    <w:p w:rsidR="003228C9" w:rsidRPr="0017614D" w:rsidRDefault="003228C9" w:rsidP="003228C9">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Išanalizavus įmonių aplinkas bei finansines ataskaitas pasirinktais laikotarpiais buvo patikrinta ar </w:t>
      </w:r>
      <w:r w:rsidR="00697522" w:rsidRPr="0017614D">
        <w:rPr>
          <w:rFonts w:ascii="Times New Roman" w:hAnsi="Times New Roman" w:cs="Times New Roman"/>
          <w:sz w:val="24"/>
          <w:szCs w:val="24"/>
          <w:lang w:val="lt-LT"/>
        </w:rPr>
        <w:t>pasirinktas kompleksinis</w:t>
      </w:r>
      <w:r w:rsidR="002673FC" w:rsidRPr="0017614D">
        <w:rPr>
          <w:rFonts w:ascii="Times New Roman" w:hAnsi="Times New Roman" w:cs="Times New Roman"/>
          <w:sz w:val="24"/>
          <w:szCs w:val="24"/>
          <w:lang w:val="lt-LT"/>
        </w:rPr>
        <w:t xml:space="preserve"> bankroto diagnozavimo</w:t>
      </w:r>
      <w:r w:rsidRPr="0017614D">
        <w:rPr>
          <w:rFonts w:ascii="Times New Roman" w:hAnsi="Times New Roman" w:cs="Times New Roman"/>
          <w:sz w:val="24"/>
          <w:szCs w:val="24"/>
          <w:lang w:val="lt-LT"/>
        </w:rPr>
        <w:t xml:space="preserve"> modelis tinka Lietuvos įmonių bankrotui prognozuoti, t. y. ar bankrutavusioms įmonėms galima buvo nuspėti artėjantį bankrotą taikant šį modelį bei ar veikiančios įmonės yra įvertinamos geriau už bankrutavusias. Taip pat buvo palyginta ar taikant atskirus šio modelio elementus galima būtų nuspėti bankrotą. </w:t>
      </w:r>
    </w:p>
    <w:p w:rsidR="004E188A" w:rsidRPr="0017614D" w:rsidRDefault="004E188A" w:rsidP="003228C9">
      <w:pPr>
        <w:spacing w:after="0" w:line="360" w:lineRule="auto"/>
        <w:ind w:firstLine="720"/>
        <w:contextualSpacing/>
        <w:jc w:val="both"/>
        <w:rPr>
          <w:rFonts w:ascii="Times New Roman" w:hAnsi="Times New Roman" w:cs="Times New Roman"/>
          <w:sz w:val="24"/>
          <w:szCs w:val="24"/>
          <w:lang w:val="lt-LT"/>
        </w:rPr>
      </w:pPr>
    </w:p>
    <w:p w:rsidR="004E188A" w:rsidRPr="0017614D" w:rsidRDefault="004E188A" w:rsidP="003228C9">
      <w:pPr>
        <w:spacing w:after="0" w:line="360" w:lineRule="auto"/>
        <w:ind w:firstLine="720"/>
        <w:contextualSpacing/>
        <w:jc w:val="both"/>
        <w:rPr>
          <w:rFonts w:ascii="Times New Roman" w:hAnsi="Times New Roman" w:cs="Times New Roman"/>
          <w:sz w:val="24"/>
          <w:szCs w:val="24"/>
          <w:lang w:val="lt-LT"/>
        </w:rPr>
      </w:pPr>
    </w:p>
    <w:p w:rsidR="003228C9" w:rsidRPr="0017614D" w:rsidRDefault="003228C9" w:rsidP="004E188A">
      <w:pPr>
        <w:pStyle w:val="Heading2"/>
        <w:spacing w:before="0" w:line="240" w:lineRule="auto"/>
        <w:contextualSpacing/>
        <w:rPr>
          <w:lang w:val="lt-LT"/>
        </w:rPr>
      </w:pPr>
      <w:bookmarkStart w:id="96" w:name="_Toc374655657"/>
      <w:r w:rsidRPr="0017614D">
        <w:rPr>
          <w:lang w:val="lt-LT"/>
        </w:rPr>
        <w:lastRenderedPageBreak/>
        <w:t xml:space="preserve">3.2. </w:t>
      </w:r>
      <w:r w:rsidR="00545B5E" w:rsidRPr="0017614D">
        <w:rPr>
          <w:lang w:val="lt-LT"/>
        </w:rPr>
        <w:t>Transportavimo</w:t>
      </w:r>
      <w:r w:rsidR="0035115D" w:rsidRPr="0017614D">
        <w:rPr>
          <w:lang w:val="lt-LT"/>
        </w:rPr>
        <w:t xml:space="preserve"> įmonių i</w:t>
      </w:r>
      <w:r w:rsidR="00545B5E" w:rsidRPr="0017614D">
        <w:rPr>
          <w:lang w:val="lt-LT"/>
        </w:rPr>
        <w:t>šorės aplinkos</w:t>
      </w:r>
      <w:r w:rsidRPr="0017614D">
        <w:rPr>
          <w:lang w:val="lt-LT"/>
        </w:rPr>
        <w:t xml:space="preserve"> tyrimas</w:t>
      </w:r>
      <w:bookmarkEnd w:id="96"/>
    </w:p>
    <w:p w:rsidR="004E188A" w:rsidRPr="0017614D" w:rsidRDefault="004E188A" w:rsidP="004E188A">
      <w:pPr>
        <w:spacing w:after="0" w:line="360" w:lineRule="auto"/>
        <w:ind w:firstLine="720"/>
        <w:contextualSpacing/>
        <w:jc w:val="both"/>
        <w:rPr>
          <w:rFonts w:ascii="Times New Roman" w:hAnsi="Times New Roman" w:cs="Times New Roman"/>
          <w:sz w:val="24"/>
          <w:szCs w:val="24"/>
          <w:lang w:val="lt-LT"/>
        </w:rPr>
      </w:pPr>
    </w:p>
    <w:p w:rsidR="003228C9" w:rsidRPr="0017614D" w:rsidRDefault="00697522" w:rsidP="004E188A">
      <w:pPr>
        <w:spacing w:after="0" w:line="360" w:lineRule="auto"/>
        <w:ind w:firstLine="720"/>
        <w:contextualSpacing/>
        <w:jc w:val="both"/>
        <w:rPr>
          <w:rFonts w:ascii="Times New Roman" w:eastAsia="TimesNewRomanPSMT" w:hAnsi="Times New Roman" w:cs="Times New Roman"/>
          <w:sz w:val="24"/>
          <w:szCs w:val="24"/>
          <w:lang w:val="lt-LT"/>
        </w:rPr>
      </w:pPr>
      <w:r w:rsidRPr="0017614D">
        <w:rPr>
          <w:rFonts w:ascii="Times New Roman" w:hAnsi="Times New Roman" w:cs="Times New Roman"/>
          <w:sz w:val="24"/>
          <w:szCs w:val="24"/>
          <w:lang w:val="lt-LT"/>
        </w:rPr>
        <w:t>Kompleksinės</w:t>
      </w:r>
      <w:r w:rsidR="003228C9" w:rsidRPr="0017614D">
        <w:rPr>
          <w:rFonts w:ascii="Times New Roman" w:hAnsi="Times New Roman" w:cs="Times New Roman"/>
          <w:sz w:val="24"/>
          <w:szCs w:val="24"/>
          <w:lang w:val="lt-LT"/>
        </w:rPr>
        <w:t xml:space="preserve"> bankroto grėsmės nustatymo metodikos pagalba </w:t>
      </w:r>
      <w:r w:rsidR="007E3ABB">
        <w:rPr>
          <w:rFonts w:ascii="Times New Roman" w:hAnsi="Times New Roman" w:cs="Times New Roman"/>
          <w:sz w:val="24"/>
          <w:szCs w:val="24"/>
          <w:lang w:val="lt-LT"/>
        </w:rPr>
        <w:t>siekiant nustatyti ar įmonei gre</w:t>
      </w:r>
      <w:r w:rsidR="003228C9" w:rsidRPr="0017614D">
        <w:rPr>
          <w:rFonts w:ascii="Times New Roman" w:hAnsi="Times New Roman" w:cs="Times New Roman"/>
          <w:sz w:val="24"/>
          <w:szCs w:val="24"/>
          <w:lang w:val="lt-LT"/>
        </w:rPr>
        <w:t>sia bankrotas, visų pirmą turi būti išanalizuota išorinė įmonės aplinka. Kaip jau buvo kalbėta prieš tai, n</w:t>
      </w:r>
      <w:r w:rsidR="003228C9" w:rsidRPr="0017614D">
        <w:rPr>
          <w:rFonts w:ascii="Times New Roman" w:eastAsia="TimesNewRomanPSMT" w:hAnsi="Times New Roman" w:cs="Times New Roman"/>
          <w:sz w:val="24"/>
          <w:szCs w:val="24"/>
          <w:lang w:val="lt-LT"/>
        </w:rPr>
        <w:t>epalankiai pakitusi verslo aplinka, nenumatyti ir nepageidaujami įvykiai gali būti įmonės nemokumo priežastimi bei sukelti bankroto grėsmę.</w:t>
      </w:r>
    </w:p>
    <w:p w:rsidR="003228C9" w:rsidRPr="0017614D" w:rsidRDefault="003228C9" w:rsidP="003228C9">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Šią analizę vertėtų pradėti nuo ekonominės aplinkos. Transportavimo įmonės veikla yra neatsiejama nuo tokių veiksnių kaip ekonomikos vystymosi cikliškumas, infliacija, palūkanų normos pasiketimai bei fiskalinė valstybės politika. Žemiau aptarsime kiekvieną iš jų šiek tiek plačiau atkreipiant dėmesį į įtaką, kurią jie daro įmonės veiklos stabilumui.</w:t>
      </w:r>
    </w:p>
    <w:p w:rsidR="003228C9" w:rsidRPr="0017614D" w:rsidRDefault="003228C9" w:rsidP="003228C9">
      <w:pPr>
        <w:spacing w:after="0" w:line="360" w:lineRule="auto"/>
        <w:ind w:firstLine="720"/>
        <w:contextualSpacing/>
        <w:jc w:val="both"/>
        <w:rPr>
          <w:rFonts w:ascii="Times New Roman" w:hAnsi="Times New Roman" w:cs="Times New Roman"/>
          <w:sz w:val="24"/>
          <w:szCs w:val="24"/>
          <w:lang w:val="lt-LT"/>
        </w:rPr>
      </w:pPr>
      <w:r w:rsidRPr="0017614D">
        <w:rPr>
          <w:rStyle w:val="Emphasis"/>
          <w:rFonts w:ascii="Times New Roman" w:hAnsi="Times New Roman" w:cs="Times New Roman"/>
          <w:sz w:val="24"/>
          <w:szCs w:val="24"/>
          <w:lang w:val="lt-LT"/>
        </w:rPr>
        <w:t xml:space="preserve">Ekonomikos vystymosi cikliškumas - </w:t>
      </w:r>
      <w:r w:rsidRPr="0017614D">
        <w:rPr>
          <w:rFonts w:ascii="Times New Roman" w:hAnsi="Times New Roman" w:cs="Times New Roman"/>
          <w:sz w:val="24"/>
          <w:szCs w:val="24"/>
          <w:lang w:val="lt-LT"/>
        </w:rPr>
        <w:t>ekonomika vystosi ciklo principu: krizė (depresija), pagy</w:t>
      </w:r>
      <w:r w:rsidR="002B3E00" w:rsidRPr="0017614D">
        <w:rPr>
          <w:rFonts w:ascii="Times New Roman" w:hAnsi="Times New Roman" w:cs="Times New Roman"/>
          <w:sz w:val="24"/>
          <w:szCs w:val="24"/>
          <w:lang w:val="lt-LT"/>
        </w:rPr>
        <w:t>vėjimas, pakilimas ir nuosmukis, k</w:t>
      </w:r>
      <w:r w:rsidRPr="0017614D">
        <w:rPr>
          <w:rFonts w:ascii="Times New Roman" w:hAnsi="Times New Roman" w:cs="Times New Roman"/>
          <w:iCs/>
          <w:sz w:val="24"/>
          <w:szCs w:val="24"/>
          <w:lang w:val="lt-LT"/>
        </w:rPr>
        <w:t xml:space="preserve">adangi mes nagrinėjame 2008-2010 m. laikotarpį mums yra aktualu pažiūrėti kokios šio ciklo fazės buvo tais metais. Visai neseniai </w:t>
      </w:r>
      <w:r w:rsidRPr="0017614D">
        <w:rPr>
          <w:rFonts w:ascii="Times New Roman" w:hAnsi="Times New Roman" w:cs="Times New Roman"/>
          <w:sz w:val="24"/>
          <w:szCs w:val="24"/>
          <w:lang w:val="lt-LT"/>
        </w:rPr>
        <w:t xml:space="preserve"> nuo 2008 iki apytiksliai 2010 m. Lietuva išgyveno krizės fazę. Šis laikotarpis pasižymėjo sumažėjusiu nedarbu, gyvenimo lygio nuosmukiu, paklausos sumažėjimu, verslo įmonių pelno mažėjimu ir kt. Tuo metu Lietuvoje ir visame pasaulyje bankrutavo daug įmonių, ne ka mažiau susidūrė su mokumo problemomis, todėl visoms mūsų nagrinėjamoms įmonės šis laikotarpis iš esmės taip pat buvo rizikingas. Tuo metu visoms įmonėms akivaizdžiai buvo sunkiau susirasti partnerius – paslaugų pirkėjus, kas lėmė visų nagrinėjamų įmonių pelno mažėjimą. Taip pat dėl atsiskaitymų sulėtejimo (grandininė reakcija - jei viena įmonė tampa nemoki, ji nesumoka kitai įmonei, atitinkamai kitai įmonei negavus pinigų yra sudėtingiau atsiskaityti su savo tiekėjais ir t. t.) atsiranda likvidumo problemos. Tuo tarpu nuo 2010 m. pabaigos iki dabar Lietuva išgyvena pagyvėjimo fazę. Šiuo laikotarpiu stabilizavosi ekonominė situacija šalyje, kas atitinkamai mažina bankroto grėsmę vis dar veikiančioms įmonėms.</w:t>
      </w:r>
    </w:p>
    <w:p w:rsidR="003228C9" w:rsidRPr="0017614D" w:rsidRDefault="003228C9" w:rsidP="003228C9">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i/>
          <w:sz w:val="24"/>
          <w:szCs w:val="24"/>
          <w:lang w:val="lt-LT"/>
        </w:rPr>
        <w:t>Infliacija</w:t>
      </w:r>
      <w:r w:rsidRPr="0017614D">
        <w:rPr>
          <w:rFonts w:ascii="Times New Roman" w:hAnsi="Times New Roman" w:cs="Times New Roman"/>
          <w:sz w:val="24"/>
          <w:szCs w:val="24"/>
          <w:lang w:val="lt-LT"/>
        </w:rPr>
        <w:t xml:space="preserve"> –</w:t>
      </w:r>
      <w:r w:rsidR="002B3E00" w:rsidRPr="0017614D">
        <w:rPr>
          <w:rFonts w:ascii="Times New Roman" w:hAnsi="Times New Roman" w:cs="Times New Roman"/>
          <w:sz w:val="24"/>
          <w:szCs w:val="24"/>
          <w:lang w:val="lt-LT"/>
        </w:rPr>
        <w:t xml:space="preserve"> </w:t>
      </w:r>
      <w:r w:rsidRPr="0017614D">
        <w:rPr>
          <w:rFonts w:ascii="Times New Roman" w:hAnsi="Times New Roman" w:cs="Times New Roman"/>
          <w:sz w:val="24"/>
          <w:szCs w:val="24"/>
          <w:lang w:val="lt-LT"/>
        </w:rPr>
        <w:t>Nagrinėjant Lietuvos įmones būtina atkreipti dėmesį, kaip keitėsi infliacija mūsų šalyje, todėl remiantis Lietuvos Statistikos departame</w:t>
      </w:r>
      <w:r w:rsidR="004E188A" w:rsidRPr="0017614D">
        <w:rPr>
          <w:rFonts w:ascii="Times New Roman" w:hAnsi="Times New Roman" w:cs="Times New Roman"/>
          <w:sz w:val="24"/>
          <w:szCs w:val="24"/>
          <w:lang w:val="lt-LT"/>
        </w:rPr>
        <w:t>nto duomenimis buvo paruoštas 12</w:t>
      </w:r>
      <w:r w:rsidRPr="0017614D">
        <w:rPr>
          <w:rFonts w:ascii="Times New Roman" w:hAnsi="Times New Roman" w:cs="Times New Roman"/>
          <w:sz w:val="24"/>
          <w:szCs w:val="24"/>
          <w:lang w:val="lt-LT"/>
        </w:rPr>
        <w:t xml:space="preserve"> pav., kuriame </w:t>
      </w:r>
      <w:r w:rsidR="007C10EB">
        <w:rPr>
          <w:rFonts w:ascii="Times New Roman" w:hAnsi="Times New Roman" w:cs="Times New Roman"/>
          <w:sz w:val="24"/>
          <w:szCs w:val="24"/>
          <w:lang w:val="lt-LT"/>
        </w:rPr>
        <w:t>nurodyta</w:t>
      </w:r>
      <w:r w:rsidRPr="0017614D">
        <w:rPr>
          <w:rFonts w:ascii="Times New Roman" w:hAnsi="Times New Roman" w:cs="Times New Roman"/>
          <w:sz w:val="24"/>
          <w:szCs w:val="24"/>
          <w:lang w:val="lt-LT"/>
        </w:rPr>
        <w:t xml:space="preserve"> kaip keitėsi vartotojų kainų indekas 2008-2012 m. palyginus su praėjusių metų kiekvieno ketvirčio duomenimis. Iš šio paveikslo </w:t>
      </w:r>
      <w:r w:rsidR="007C10EB">
        <w:rPr>
          <w:rFonts w:ascii="Times New Roman" w:hAnsi="Times New Roman" w:cs="Times New Roman"/>
          <w:sz w:val="24"/>
          <w:szCs w:val="24"/>
          <w:lang w:val="lt-LT"/>
        </w:rPr>
        <w:t xml:space="preserve">duomenų </w:t>
      </w:r>
      <w:r w:rsidRPr="0017614D">
        <w:rPr>
          <w:rFonts w:ascii="Times New Roman" w:hAnsi="Times New Roman" w:cs="Times New Roman"/>
          <w:sz w:val="24"/>
          <w:szCs w:val="24"/>
          <w:lang w:val="lt-LT"/>
        </w:rPr>
        <w:t>galima matyti kad per visą nagrinėjamą laikotarpį infliacija augo palyginus su praėjusių metų duomenimis, tačiau didžiausias ir staigiausias augimas buvo pastebėtas 2008 m. bei 2009 m. pirmojoje pusėje, todėl būtent šiuo laikotarpiu infliacijos didėjimas galėjo įmonėms sukelti padidėjusią bankroto grėsmę. Tuo tarpu 2010 m. pirmą ketvirtį vartotojų kainų indeksas šiek tiek sumažėjo palyginus su 2009 m. pirmuoju ketvirčiu, o vėlesniais metai vėl augo, tačiau pakankamai nuosaikingai, kas reiškia, kad situacija šalyje daugiau mažiau stabilizavosi ir infliacija neturėtų daryti didelės įtakos įmonių veiklai.</w:t>
      </w:r>
    </w:p>
    <w:p w:rsidR="003228C9" w:rsidRPr="0017614D" w:rsidRDefault="003228C9" w:rsidP="003228C9">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noProof/>
          <w:sz w:val="24"/>
          <w:szCs w:val="24"/>
        </w:rPr>
        <w:lastRenderedPageBreak/>
        <w:drawing>
          <wp:inline distT="0" distB="0" distL="0" distR="0">
            <wp:extent cx="5290820" cy="2676525"/>
            <wp:effectExtent l="19050" t="0" r="24130" b="0"/>
            <wp:docPr id="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3228C9" w:rsidRPr="0017614D" w:rsidRDefault="003228C9" w:rsidP="003228C9">
      <w:pPr>
        <w:spacing w:after="0" w:line="360" w:lineRule="auto"/>
        <w:ind w:firstLine="720"/>
        <w:contextualSpacing/>
        <w:rPr>
          <w:rFonts w:ascii="Times New Roman" w:hAnsi="Times New Roman" w:cs="Times New Roman"/>
          <w:sz w:val="20"/>
          <w:szCs w:val="20"/>
          <w:lang w:val="lt-LT"/>
        </w:rPr>
      </w:pPr>
      <w:r w:rsidRPr="0017614D">
        <w:rPr>
          <w:rFonts w:ascii="Times New Roman" w:hAnsi="Times New Roman" w:cs="Times New Roman"/>
          <w:b/>
          <w:sz w:val="20"/>
          <w:szCs w:val="20"/>
          <w:lang w:val="lt-LT"/>
        </w:rPr>
        <w:t>Šaltinis:</w:t>
      </w:r>
      <w:r w:rsidRPr="0017614D">
        <w:rPr>
          <w:rFonts w:ascii="Times New Roman" w:hAnsi="Times New Roman" w:cs="Times New Roman"/>
          <w:sz w:val="20"/>
          <w:szCs w:val="20"/>
          <w:lang w:val="lt-LT"/>
        </w:rPr>
        <w:t xml:space="preserve"> Lie</w:t>
      </w:r>
      <w:r w:rsidR="00AE77B1" w:rsidRPr="0017614D">
        <w:rPr>
          <w:rFonts w:ascii="Times New Roman" w:hAnsi="Times New Roman" w:cs="Times New Roman"/>
          <w:sz w:val="20"/>
          <w:szCs w:val="20"/>
          <w:lang w:val="lt-LT"/>
        </w:rPr>
        <w:t>tuvos Statistikos departamentas, 2013.</w:t>
      </w:r>
    </w:p>
    <w:p w:rsidR="002B57E2" w:rsidRPr="0017614D" w:rsidRDefault="002B57E2" w:rsidP="002B57E2">
      <w:pPr>
        <w:spacing w:line="360" w:lineRule="auto"/>
        <w:contextualSpacing/>
        <w:jc w:val="center"/>
        <w:rPr>
          <w:rFonts w:ascii="Times New Roman" w:hAnsi="Times New Roman" w:cs="Times New Roman"/>
          <w:b/>
          <w:lang w:val="lt-LT"/>
        </w:rPr>
      </w:pPr>
      <w:r w:rsidRPr="0017614D">
        <w:rPr>
          <w:rFonts w:ascii="Times New Roman" w:hAnsi="Times New Roman" w:cs="Times New Roman"/>
          <w:lang w:val="lt-LT"/>
        </w:rPr>
        <w:t>12 pav.</w:t>
      </w:r>
      <w:r w:rsidRPr="0017614D">
        <w:rPr>
          <w:rFonts w:ascii="Times New Roman" w:hAnsi="Times New Roman" w:cs="Times New Roman"/>
          <w:b/>
          <w:lang w:val="lt-LT"/>
        </w:rPr>
        <w:t xml:space="preserve"> 2008-2012 m. vartotojų kainų pokyčiai </w:t>
      </w:r>
    </w:p>
    <w:p w:rsidR="003228C9" w:rsidRPr="0017614D" w:rsidRDefault="003228C9" w:rsidP="003228C9">
      <w:pPr>
        <w:spacing w:after="0" w:line="360" w:lineRule="auto"/>
        <w:ind w:firstLine="720"/>
        <w:contextualSpacing/>
        <w:jc w:val="both"/>
        <w:rPr>
          <w:rFonts w:ascii="Times New Roman" w:hAnsi="Times New Roman" w:cs="Times New Roman"/>
          <w:sz w:val="24"/>
          <w:szCs w:val="24"/>
          <w:lang w:val="lt-LT"/>
        </w:rPr>
      </w:pPr>
    </w:p>
    <w:p w:rsidR="003228C9" w:rsidRPr="0017614D" w:rsidRDefault="003228C9" w:rsidP="003228C9">
      <w:pPr>
        <w:spacing w:after="0" w:line="360" w:lineRule="auto"/>
        <w:ind w:firstLine="720"/>
        <w:contextualSpacing/>
        <w:jc w:val="both"/>
        <w:rPr>
          <w:rFonts w:ascii="Times New Roman" w:eastAsia="Times New Roman" w:hAnsi="Times New Roman" w:cs="Times New Roman"/>
          <w:sz w:val="24"/>
          <w:szCs w:val="24"/>
          <w:lang w:val="lt-LT"/>
        </w:rPr>
      </w:pPr>
      <w:r w:rsidRPr="0017614D">
        <w:rPr>
          <w:rFonts w:ascii="Times New Roman" w:eastAsia="Times New Roman" w:hAnsi="Times New Roman" w:cs="Times New Roman"/>
          <w:i/>
          <w:sz w:val="24"/>
          <w:szCs w:val="24"/>
          <w:lang w:val="lt-LT"/>
        </w:rPr>
        <w:t>Palūkanų normos</w:t>
      </w:r>
      <w:r w:rsidRPr="0017614D">
        <w:rPr>
          <w:rFonts w:ascii="Times New Roman" w:eastAsia="Times New Roman" w:hAnsi="Times New Roman" w:cs="Times New Roman"/>
          <w:sz w:val="24"/>
          <w:szCs w:val="24"/>
          <w:lang w:val="lt-LT"/>
        </w:rPr>
        <w:t xml:space="preserve"> – aukštas palūkanų normų lygis yra svarbiausias įmonės strategijos organizavimą ribojantis veiksnys. Transportavimo įmonėms šis veiksnys yra nemažiau svarbus, kadangi norint plėstis įmonėms reikia papildyti savo automobilių parką, periodiškai reikia atnaujinti senus automobilius, ką nuosavomis lėšomis yra sunku padaryti. Palūkanos dažniausiai susideda iš dviejų dalių: kintamos (tarpbankinės palūkanų</w:t>
      </w:r>
      <w:r w:rsidR="008E7501">
        <w:rPr>
          <w:rFonts w:ascii="Times New Roman" w:eastAsia="Times New Roman" w:hAnsi="Times New Roman" w:cs="Times New Roman"/>
          <w:sz w:val="24"/>
          <w:szCs w:val="24"/>
          <w:lang w:val="lt-LT"/>
        </w:rPr>
        <w:t xml:space="preserve"> normos</w:t>
      </w:r>
      <w:r w:rsidRPr="0017614D">
        <w:rPr>
          <w:rFonts w:ascii="Times New Roman" w:eastAsia="Times New Roman" w:hAnsi="Times New Roman" w:cs="Times New Roman"/>
          <w:sz w:val="24"/>
          <w:szCs w:val="24"/>
          <w:lang w:val="lt-LT"/>
        </w:rPr>
        <w:t>) bei banko maržos. Dėl nestabilios tam tikros valstybės ekonominės situacijos tarpbankinė palūkanų norma gali kilti, arba dėl centrinio banko veiksmų siekiant paskatinti greitesnį ekonomikos atsigavimą, tarpbankinės palūkanų normos gali mažėti. Tuo tarpu bankų nustatomos maržos ekonominio nuosmukio laikotarpiu dažniausiai išauga, nes skolinant tokiu laikmečiu prisiimama didesnė rizika.</w:t>
      </w:r>
    </w:p>
    <w:p w:rsidR="003228C9" w:rsidRPr="0017614D" w:rsidRDefault="007F71DE" w:rsidP="003228C9">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noProof/>
          <w:sz w:val="24"/>
          <w:szCs w:val="24"/>
        </w:rPr>
        <w:drawing>
          <wp:inline distT="0" distB="0" distL="0" distR="0">
            <wp:extent cx="5605780" cy="2085975"/>
            <wp:effectExtent l="19050" t="0" r="13970" b="0"/>
            <wp:docPr id="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2B57E2" w:rsidRDefault="003228C9" w:rsidP="003228C9">
      <w:pPr>
        <w:spacing w:line="360" w:lineRule="auto"/>
        <w:ind w:firstLine="720"/>
        <w:contextualSpacing/>
        <w:rPr>
          <w:rFonts w:ascii="Times New Roman" w:hAnsi="Times New Roman" w:cs="Times New Roman"/>
          <w:sz w:val="20"/>
          <w:szCs w:val="20"/>
          <w:lang w:val="lt-LT"/>
        </w:rPr>
      </w:pPr>
      <w:r w:rsidRPr="0017614D">
        <w:rPr>
          <w:rFonts w:ascii="Times New Roman" w:hAnsi="Times New Roman" w:cs="Times New Roman"/>
          <w:b/>
          <w:sz w:val="20"/>
          <w:szCs w:val="20"/>
          <w:lang w:val="lt-LT"/>
        </w:rPr>
        <w:t>Šaltinis:</w:t>
      </w:r>
      <w:r w:rsidRPr="0017614D">
        <w:rPr>
          <w:rFonts w:ascii="Times New Roman" w:hAnsi="Times New Roman" w:cs="Times New Roman"/>
          <w:sz w:val="20"/>
          <w:szCs w:val="20"/>
          <w:lang w:val="lt-LT"/>
        </w:rPr>
        <w:t xml:space="preserve"> Lietuvos bankas</w:t>
      </w:r>
      <w:r w:rsidR="007F71DE" w:rsidRPr="0017614D">
        <w:rPr>
          <w:rFonts w:ascii="Times New Roman" w:hAnsi="Times New Roman" w:cs="Times New Roman"/>
          <w:sz w:val="20"/>
          <w:szCs w:val="20"/>
          <w:lang w:val="lt-LT"/>
        </w:rPr>
        <w:t>, 2013</w:t>
      </w:r>
    </w:p>
    <w:p w:rsidR="002B57E2" w:rsidRPr="0017614D" w:rsidRDefault="002B57E2" w:rsidP="002B57E2">
      <w:pPr>
        <w:spacing w:line="360" w:lineRule="auto"/>
        <w:contextualSpacing/>
        <w:jc w:val="center"/>
        <w:rPr>
          <w:rFonts w:ascii="Times New Roman" w:hAnsi="Times New Roman" w:cs="Times New Roman"/>
          <w:b/>
          <w:lang w:val="lt-LT"/>
        </w:rPr>
      </w:pPr>
      <w:r w:rsidRPr="0017614D">
        <w:rPr>
          <w:rFonts w:ascii="Times New Roman" w:hAnsi="Times New Roman" w:cs="Times New Roman"/>
          <w:lang w:val="lt-LT"/>
        </w:rPr>
        <w:t>13 pav.</w:t>
      </w:r>
      <w:r w:rsidRPr="0017614D">
        <w:rPr>
          <w:rFonts w:ascii="Times New Roman" w:hAnsi="Times New Roman" w:cs="Times New Roman"/>
          <w:b/>
          <w:lang w:val="lt-LT"/>
        </w:rPr>
        <w:t xml:space="preserve"> 2008-2012 m. vidutinė 6 mėnesių Vilibor palūkanų norma </w:t>
      </w:r>
    </w:p>
    <w:p w:rsidR="003228C9" w:rsidRPr="0017614D" w:rsidRDefault="003228C9" w:rsidP="003228C9">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lastRenderedPageBreak/>
        <w:t>Kaip matome iš 1</w:t>
      </w:r>
      <w:r w:rsidR="004E188A" w:rsidRPr="0017614D">
        <w:rPr>
          <w:rFonts w:ascii="Times New Roman" w:hAnsi="Times New Roman" w:cs="Times New Roman"/>
          <w:sz w:val="24"/>
          <w:szCs w:val="24"/>
          <w:lang w:val="lt-LT"/>
        </w:rPr>
        <w:t>3</w:t>
      </w:r>
      <w:r w:rsidRPr="0017614D">
        <w:rPr>
          <w:rFonts w:ascii="Times New Roman" w:hAnsi="Times New Roman" w:cs="Times New Roman"/>
          <w:sz w:val="24"/>
          <w:szCs w:val="24"/>
          <w:lang w:val="lt-LT"/>
        </w:rPr>
        <w:t xml:space="preserve"> paveikslo </w:t>
      </w:r>
      <w:r w:rsidR="004E188A" w:rsidRPr="0017614D">
        <w:rPr>
          <w:rFonts w:ascii="Times New Roman" w:hAnsi="Times New Roman" w:cs="Times New Roman"/>
          <w:sz w:val="24"/>
          <w:szCs w:val="24"/>
          <w:lang w:val="lt-LT"/>
        </w:rPr>
        <w:t xml:space="preserve">duomenų </w:t>
      </w:r>
      <w:r w:rsidRPr="0017614D">
        <w:rPr>
          <w:rFonts w:ascii="Times New Roman" w:hAnsi="Times New Roman" w:cs="Times New Roman"/>
          <w:sz w:val="24"/>
          <w:szCs w:val="24"/>
          <w:lang w:val="lt-LT"/>
        </w:rPr>
        <w:t>vidutinė 6 mėnesių tarpbankinė norm</w:t>
      </w:r>
      <w:r w:rsidR="00E6354F">
        <w:rPr>
          <w:rFonts w:ascii="Times New Roman" w:hAnsi="Times New Roman" w:cs="Times New Roman"/>
          <w:sz w:val="24"/>
          <w:szCs w:val="24"/>
          <w:lang w:val="lt-LT"/>
        </w:rPr>
        <w:t>a 2008-2012 m. svyravo nuo 0,89 iki 10,44 proc</w:t>
      </w:r>
      <w:r w:rsidRPr="0017614D">
        <w:rPr>
          <w:rFonts w:ascii="Times New Roman" w:hAnsi="Times New Roman" w:cs="Times New Roman"/>
          <w:sz w:val="24"/>
          <w:szCs w:val="24"/>
          <w:lang w:val="lt-LT"/>
        </w:rPr>
        <w:t>. Didžiausia tarpbankinė norma buvo 2008-2009 m., o nuo 2010 ji pradėjo tendencingai mažėti. Šie rodikliai rodo, kad mūsų nagrinėjamoms transportavimo įmonėms 2008-2009 m. buvo pakankamai sunku pasiimti kreditą bei tokiu būdu stengtis išvengti krizės padarinių. Tuo tarpu vėlesniais metais situacija gerokai stabilizavosi ir skolintis tapo paprasčiau.</w:t>
      </w:r>
    </w:p>
    <w:p w:rsidR="003228C9" w:rsidRPr="0017614D" w:rsidRDefault="003228C9" w:rsidP="003228C9">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i/>
          <w:sz w:val="24"/>
          <w:szCs w:val="24"/>
          <w:lang w:val="lt-LT"/>
        </w:rPr>
        <w:t>Valstybės fiskalinė politika</w:t>
      </w:r>
      <w:r w:rsidRPr="0017614D">
        <w:rPr>
          <w:rFonts w:ascii="Times New Roman" w:hAnsi="Times New Roman" w:cs="Times New Roman"/>
          <w:sz w:val="24"/>
          <w:szCs w:val="24"/>
          <w:lang w:val="lt-LT"/>
        </w:rPr>
        <w:t xml:space="preserve"> –</w:t>
      </w:r>
      <w:r w:rsidR="002B3E00" w:rsidRPr="0017614D">
        <w:rPr>
          <w:rFonts w:ascii="Times New Roman" w:hAnsi="Times New Roman" w:cs="Times New Roman"/>
          <w:sz w:val="24"/>
          <w:szCs w:val="24"/>
          <w:lang w:val="lt-LT"/>
        </w:rPr>
        <w:t xml:space="preserve"> m</w:t>
      </w:r>
      <w:r w:rsidRPr="0017614D">
        <w:rPr>
          <w:rFonts w:ascii="Times New Roman" w:hAnsi="Times New Roman" w:cs="Times New Roman"/>
          <w:sz w:val="24"/>
          <w:szCs w:val="24"/>
          <w:lang w:val="lt-LT"/>
        </w:rPr>
        <w:t>ūsų nagrinėjamo laikotarpio pirmoje pusėje ši politika buvo pakankamai nepalanki įmonėms. Siekiant padidinti valstybės pajamas krizės metu buvo imtasi drastiškų priemonių, t. y. buvo didinami mokesčiai. Ypatingai tai pajautė juridiniai asmenys – buvo padidnt</w:t>
      </w:r>
      <w:r w:rsidR="00E6354F">
        <w:rPr>
          <w:rFonts w:ascii="Times New Roman" w:hAnsi="Times New Roman" w:cs="Times New Roman"/>
          <w:sz w:val="24"/>
          <w:szCs w:val="24"/>
          <w:lang w:val="lt-LT"/>
        </w:rPr>
        <w:t>as pelno mokestis nuo 15 iki 20 proc.</w:t>
      </w:r>
      <w:r w:rsidRPr="0017614D">
        <w:rPr>
          <w:rFonts w:ascii="Times New Roman" w:hAnsi="Times New Roman" w:cs="Times New Roman"/>
          <w:sz w:val="24"/>
          <w:szCs w:val="24"/>
          <w:lang w:val="lt-LT"/>
        </w:rPr>
        <w:t>, be to buvo padidintas pridėtinė</w:t>
      </w:r>
      <w:r w:rsidR="00E6354F">
        <w:rPr>
          <w:rFonts w:ascii="Times New Roman" w:hAnsi="Times New Roman" w:cs="Times New Roman"/>
          <w:sz w:val="24"/>
          <w:szCs w:val="24"/>
          <w:lang w:val="lt-LT"/>
        </w:rPr>
        <w:t>s vertės mokestis nuo 19 iki 21 proc</w:t>
      </w:r>
      <w:r w:rsidRPr="0017614D">
        <w:rPr>
          <w:rFonts w:ascii="Times New Roman" w:hAnsi="Times New Roman" w:cs="Times New Roman"/>
          <w:sz w:val="24"/>
          <w:szCs w:val="24"/>
          <w:lang w:val="lt-LT"/>
        </w:rPr>
        <w:t>. Taip pat nuolat buvo didinami akcizai. Visgi šiai politikai ne iki galo p</w:t>
      </w:r>
      <w:r w:rsidR="008E7501">
        <w:rPr>
          <w:rFonts w:ascii="Times New Roman" w:hAnsi="Times New Roman" w:cs="Times New Roman"/>
          <w:sz w:val="24"/>
          <w:szCs w:val="24"/>
          <w:lang w:val="lt-LT"/>
        </w:rPr>
        <w:t>a</w:t>
      </w:r>
      <w:r w:rsidRPr="0017614D">
        <w:rPr>
          <w:rFonts w:ascii="Times New Roman" w:hAnsi="Times New Roman" w:cs="Times New Roman"/>
          <w:sz w:val="24"/>
          <w:szCs w:val="24"/>
          <w:lang w:val="lt-LT"/>
        </w:rPr>
        <w:t>siteisinus, pelno mokesčio tarifas įmonėms buvo grąžintas iki prieš tai buvusio (15</w:t>
      </w:r>
      <w:r w:rsidR="00E6354F">
        <w:rPr>
          <w:rFonts w:ascii="Times New Roman" w:hAnsi="Times New Roman" w:cs="Times New Roman"/>
          <w:sz w:val="24"/>
          <w:szCs w:val="24"/>
          <w:lang w:val="lt-LT"/>
        </w:rPr>
        <w:t xml:space="preserve"> proc.</w:t>
      </w:r>
      <w:r w:rsidRPr="0017614D">
        <w:rPr>
          <w:rFonts w:ascii="Times New Roman" w:hAnsi="Times New Roman" w:cs="Times New Roman"/>
          <w:sz w:val="24"/>
          <w:szCs w:val="24"/>
          <w:lang w:val="lt-LT"/>
        </w:rPr>
        <w:t>). Tiek transportavimo, tiek kitos įmonės 2008-2009 m. gavo nemažą šoką, kadangi mokesčiai buvo padidinti naktinės reformos metu. Tai lėmė nemažai bankrotų tuo laikotarpiu. Visgi nuo 2010 m. fiskalinė politika pakankamai stabilizavosi, nebuvo priimta jokių drastiškų sprendimų, taigi ši politika yra pakankamai palanki juridiniams asmenims.</w:t>
      </w:r>
    </w:p>
    <w:p w:rsidR="003228C9" w:rsidRPr="0017614D" w:rsidRDefault="003228C9" w:rsidP="003228C9">
      <w:pPr>
        <w:pStyle w:val="BodyText"/>
        <w:spacing w:before="0" w:beforeAutospacing="0" w:after="0" w:afterAutospacing="0" w:line="360" w:lineRule="auto"/>
        <w:ind w:firstLine="720"/>
        <w:contextualSpacing/>
        <w:jc w:val="both"/>
        <w:rPr>
          <w:iCs/>
          <w:lang w:val="lt-LT"/>
        </w:rPr>
      </w:pPr>
      <w:r w:rsidRPr="0017614D">
        <w:rPr>
          <w:lang w:val="lt-LT"/>
        </w:rPr>
        <w:t>Toliau būtina aptarti politinę</w:t>
      </w:r>
      <w:r w:rsidR="002B3E00" w:rsidRPr="0017614D">
        <w:rPr>
          <w:lang w:val="lt-LT"/>
        </w:rPr>
        <w:t xml:space="preserve"> </w:t>
      </w:r>
      <w:r w:rsidRPr="0017614D">
        <w:rPr>
          <w:lang w:val="lt-LT"/>
        </w:rPr>
        <w:t>-</w:t>
      </w:r>
      <w:r w:rsidR="002B3E00" w:rsidRPr="0017614D">
        <w:rPr>
          <w:lang w:val="lt-LT"/>
        </w:rPr>
        <w:t xml:space="preserve"> </w:t>
      </w:r>
      <w:r w:rsidRPr="0017614D">
        <w:rPr>
          <w:lang w:val="lt-LT"/>
        </w:rPr>
        <w:t>teisinę aplinką. Kiekviena įmonė savo veikloje susiduria su šiais verslo sritį reguliuojančiais dokumentais ir turi juos žinoti: įmonių steigimo, vidinės veiklos ir likvidavimo reguliavimas; įmonės santykių su partneriais ir vartotojais reguliavimas; mokesčius apibrėžiantys įstatymai; konkurencijos sąlygas apibrėžiantys aktai; produkto bei paslaugų standartų reguliavimas. Šie pagri</w:t>
      </w:r>
      <w:r w:rsidR="00723263">
        <w:rPr>
          <w:lang w:val="lt-LT"/>
        </w:rPr>
        <w:t>ndiniai teisės aktai nagrinėjamu laikotarpiu</w:t>
      </w:r>
      <w:r w:rsidRPr="0017614D">
        <w:rPr>
          <w:lang w:val="lt-LT"/>
        </w:rPr>
        <w:t xml:space="preserve"> buvo ši</w:t>
      </w:r>
      <w:r w:rsidR="00723263">
        <w:rPr>
          <w:lang w:val="lt-LT"/>
        </w:rPr>
        <w:t>ek tiek tobulinami, kaip tarkim</w:t>
      </w:r>
      <w:r w:rsidRPr="0017614D">
        <w:rPr>
          <w:lang w:val="lt-LT"/>
        </w:rPr>
        <w:t xml:space="preserve"> bankroto įstatymas. Taip pat keitėsi kėli esminiai punktai mokesčių įstatymuose, kaip</w:t>
      </w:r>
      <w:r w:rsidR="00E537D2">
        <w:rPr>
          <w:lang w:val="lt-LT"/>
        </w:rPr>
        <w:t>,</w:t>
      </w:r>
      <w:r w:rsidRPr="0017614D">
        <w:rPr>
          <w:lang w:val="lt-LT"/>
        </w:rPr>
        <w:t xml:space="preserve"> p</w:t>
      </w:r>
      <w:r w:rsidR="00E537D2">
        <w:rPr>
          <w:lang w:val="lt-LT"/>
        </w:rPr>
        <w:t>a</w:t>
      </w:r>
      <w:r w:rsidRPr="0017614D">
        <w:rPr>
          <w:lang w:val="lt-LT"/>
        </w:rPr>
        <w:t>vyzdžiui</w:t>
      </w:r>
      <w:r w:rsidR="00E537D2">
        <w:rPr>
          <w:lang w:val="lt-LT"/>
        </w:rPr>
        <w:t>,</w:t>
      </w:r>
      <w:r w:rsidRPr="0017614D">
        <w:rPr>
          <w:lang w:val="lt-LT"/>
        </w:rPr>
        <w:t xml:space="preserve"> jų tarifai, kurie jau buvo aptarti aukščiau. Be to transportavimo įmonėms labai svarbus yra Lietuvos Respublikos </w:t>
      </w:r>
      <w:r w:rsidRPr="0017614D">
        <w:rPr>
          <w:bCs/>
          <w:color w:val="000000"/>
          <w:lang w:val="lt-LT"/>
        </w:rPr>
        <w:t>transporto veiklos pagrindų</w:t>
      </w:r>
      <w:r w:rsidRPr="0017614D">
        <w:rPr>
          <w:b/>
          <w:bCs/>
          <w:color w:val="000000"/>
          <w:lang w:val="lt-LT"/>
        </w:rPr>
        <w:t xml:space="preserve"> </w:t>
      </w:r>
      <w:r w:rsidRPr="0017614D">
        <w:rPr>
          <w:color w:val="000000"/>
          <w:lang w:val="lt-LT"/>
        </w:rPr>
        <w:t>įstatymas, kuris apibūdina transporto veiklą, nurodo vežėjų pareigas bei atsakomybes, aplinkosauginius ir kitus reikalavimus transporto įmonėms. Šis įstatymas buvo papildytas 2011 m., tačiau  naujovės buvo labiau orientuotos į viešąjį transportą, todėl mūsų aptariamoms įmonėms tai neturėjo įtakos. Taip pat svarbu paminėti, kad nagrinėjamoms transportavimo įmonėms didelę įtaką daro šalies vykdoma užsienio politika. Į</w:t>
      </w:r>
      <w:r w:rsidRPr="0017614D">
        <w:rPr>
          <w:lang w:val="lt-LT"/>
        </w:rPr>
        <w:t>monė</w:t>
      </w:r>
      <w:r w:rsidR="00723263">
        <w:rPr>
          <w:lang w:val="lt-LT"/>
        </w:rPr>
        <w:t>s dažnai veža krovinius į trečiąsia</w:t>
      </w:r>
      <w:r w:rsidRPr="0017614D">
        <w:rPr>
          <w:lang w:val="lt-LT"/>
        </w:rPr>
        <w:t>s šalis, t.y. Rusiją, Baltarusiją, Ukrainą. Skirtingai negu vežim</w:t>
      </w:r>
      <w:r w:rsidR="00723263">
        <w:rPr>
          <w:lang w:val="lt-LT"/>
        </w:rPr>
        <w:t>ai Europoje, vežimai į trečiąsia</w:t>
      </w:r>
      <w:r w:rsidRPr="0017614D">
        <w:rPr>
          <w:lang w:val="lt-LT"/>
        </w:rPr>
        <w:t xml:space="preserve">s šalis yra labai sudėtingi. Taigi visos mūsų nagrinėjamos įmonės patiria nuostolių dėl įvairių nesusitarimų ir nesusipratimų tarp šalių. Pavyzdžiui, </w:t>
      </w:r>
      <w:r w:rsidRPr="0017614D">
        <w:rPr>
          <w:iCs/>
          <w:lang w:val="lt-LT"/>
        </w:rPr>
        <w:t xml:space="preserve">2009 metų rugpjūčio mėnesį įvyko Lietuvos vežėjų blokada Rusijos pasienyje, kai buvo sugriežtintos Lietuvos vežėjų patikros sąlygos. Dėl šios priežasties </w:t>
      </w:r>
      <w:r w:rsidRPr="0017614D">
        <w:rPr>
          <w:lang w:val="lt-LT"/>
        </w:rPr>
        <w:t>pasieniuose su Rusija</w:t>
      </w:r>
      <w:r w:rsidRPr="0017614D">
        <w:rPr>
          <w:iCs/>
          <w:lang w:val="lt-LT"/>
        </w:rPr>
        <w:t xml:space="preserve"> nusidrėkė 15 kilometrų lietuviškų krovininių automobilių eilės. Nors šis įvykis buvo politinis, tačiau dauguma įmonių patyrė didelių nuostolių bei atsirado nepagrįstas nepasitikėjimas Lietuvos </w:t>
      </w:r>
      <w:r w:rsidRPr="0017614D">
        <w:rPr>
          <w:iCs/>
          <w:lang w:val="lt-LT"/>
        </w:rPr>
        <w:lastRenderedPageBreak/>
        <w:t xml:space="preserve">vežėjais. O mūsų nagrinėjamos įmonės patyrė nuostolių dėl to, kad buvo nesilaikoma pristatymo terminų, ko pasekoje pablogėjo santykiai su užsienio pirkėjais. </w:t>
      </w:r>
    </w:p>
    <w:p w:rsidR="003228C9" w:rsidRPr="0017614D" w:rsidRDefault="003228C9" w:rsidP="003228C9">
      <w:pPr>
        <w:pStyle w:val="BodyText"/>
        <w:spacing w:before="0" w:beforeAutospacing="0" w:after="0" w:afterAutospacing="0" w:line="360" w:lineRule="auto"/>
        <w:ind w:firstLine="720"/>
        <w:contextualSpacing/>
        <w:jc w:val="both"/>
        <w:rPr>
          <w:color w:val="000000"/>
          <w:lang w:val="lt-LT"/>
        </w:rPr>
      </w:pPr>
      <w:r w:rsidRPr="0017614D">
        <w:rPr>
          <w:color w:val="000000"/>
          <w:lang w:val="lt-LT"/>
        </w:rPr>
        <w:t>T</w:t>
      </w:r>
      <w:r w:rsidR="002B3E00" w:rsidRPr="0017614D">
        <w:rPr>
          <w:color w:val="000000"/>
          <w:lang w:val="lt-LT"/>
        </w:rPr>
        <w:t>am tikrą įtaką, mūsų aptariamų įmonių rezultatams</w:t>
      </w:r>
      <w:r w:rsidRPr="0017614D">
        <w:rPr>
          <w:color w:val="000000"/>
          <w:lang w:val="lt-LT"/>
        </w:rPr>
        <w:t xml:space="preserve"> turi ir technologinė aplinka. Transportavimo įmonės tarp savo turto turi nemažai automobilių, kurie yra pagrindinis darbo įrankis. Pasenę automobiliai lemia didelius jų išlaikymo kaštus – nuolatinis remontas, priežiūra daug kainuoja. Visgi dažnai keisti automobilius transportavimo įmonėms nėra taip paprasta, n</w:t>
      </w:r>
      <w:r w:rsidRPr="0017614D">
        <w:rPr>
          <w:lang w:val="lt-LT"/>
        </w:rPr>
        <w:t>aujų technologijų diegimas ir kūrimas kainuoja brangiai, dėl to daugelis įmonių nerizikuoja. Taigi įmonės privalo stebėti technologines naujoves ir įvertinti, ar vis dar yra efektyvu teikti paslaugas su sena įranga.</w:t>
      </w:r>
    </w:p>
    <w:p w:rsidR="003228C9" w:rsidRPr="0017614D" w:rsidRDefault="003228C9" w:rsidP="003228C9">
      <w:pPr>
        <w:pStyle w:val="BodyText"/>
        <w:spacing w:before="0" w:beforeAutospacing="0" w:after="0" w:afterAutospacing="0" w:line="360" w:lineRule="auto"/>
        <w:ind w:firstLine="720"/>
        <w:contextualSpacing/>
        <w:jc w:val="both"/>
        <w:rPr>
          <w:color w:val="000000"/>
          <w:lang w:val="lt-LT"/>
        </w:rPr>
      </w:pPr>
      <w:r w:rsidRPr="0017614D">
        <w:rPr>
          <w:color w:val="000000"/>
          <w:lang w:val="lt-LT"/>
        </w:rPr>
        <w:t>Likusios dvi išorinių veiksnių grupės (socialinė-kultūrinė bei ekologinė) nežymiai veikia transportavimo įmonių veiklą bei jų rezultatyvumą. Kadangi šios įmonės dirba su kitomis įmonėmis, o ne fiziniais asmenimis, demografiniai šalies pokyčiai, nedarbo lygis, socialinės politikos pasikeitimas ar emigracija gali sąlygoti personalo atrankos sudėtingumą, tačiau turi mažai tiesioginės įtakos transportavimo paslaugų paklausai.</w:t>
      </w:r>
    </w:p>
    <w:p w:rsidR="003228C9" w:rsidRPr="0017614D" w:rsidRDefault="003228C9" w:rsidP="003228C9">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Apibendrinant aptartus išorinės aplinkos veiksnius galima teigti, kad mūsų nagrinėjamoms keturioms transportavimo įmonėms ši aplinka nebuvo palanki 2008-2009 m., kai visas pasaulis išgyveno ekonominę krizę. Tuo metu buvo sunkiau gauti paskolą, padidėjo mokesčiai, didėjo infliacija, Taip pat pasitaikė nesklandumų užsienio politikoje, dėl ko įmonės negalėjo jaustis stabilios. Visa tai turėjo nemažos įtakos UAB „Achemarida“ bei UAB „Romas ir Ko“ bankrotui. Visgi pradedant nuo 2010 m. šalies ekonominė bei politinė situacija pradėjo stabilizuotis, todėl krizę išgyvenusios įmonės turi nemažai potencialo ne tik stabilizuoti savo finansinę padėti, bet ir investuoti į plėtrą.</w:t>
      </w:r>
    </w:p>
    <w:p w:rsidR="00545B5E" w:rsidRPr="0017614D" w:rsidRDefault="00545B5E" w:rsidP="003228C9">
      <w:pPr>
        <w:spacing w:after="0" w:line="360" w:lineRule="auto"/>
        <w:ind w:firstLine="720"/>
        <w:contextualSpacing/>
        <w:jc w:val="both"/>
        <w:rPr>
          <w:rFonts w:ascii="Times New Roman" w:hAnsi="Times New Roman" w:cs="Times New Roman"/>
          <w:sz w:val="24"/>
          <w:szCs w:val="24"/>
          <w:lang w:val="lt-LT"/>
        </w:rPr>
      </w:pPr>
    </w:p>
    <w:p w:rsidR="00545B5E" w:rsidRPr="0017614D" w:rsidRDefault="00545B5E" w:rsidP="00545B5E">
      <w:pPr>
        <w:pStyle w:val="Heading2"/>
        <w:spacing w:before="0"/>
        <w:contextualSpacing/>
        <w:rPr>
          <w:lang w:val="lt-LT"/>
        </w:rPr>
      </w:pPr>
      <w:bookmarkStart w:id="97" w:name="_Toc374655658"/>
      <w:r w:rsidRPr="0017614D">
        <w:rPr>
          <w:lang w:val="lt-LT"/>
        </w:rPr>
        <w:t>3.3. Transportavimo įmonių vidaus aplinkos tyrimas</w:t>
      </w:r>
      <w:bookmarkEnd w:id="97"/>
    </w:p>
    <w:p w:rsidR="00545B5E" w:rsidRPr="0017614D" w:rsidRDefault="00545B5E" w:rsidP="003228C9">
      <w:pPr>
        <w:spacing w:after="0" w:line="360" w:lineRule="auto"/>
        <w:ind w:firstLine="720"/>
        <w:contextualSpacing/>
        <w:jc w:val="both"/>
        <w:rPr>
          <w:rFonts w:ascii="Times New Roman" w:hAnsi="Times New Roman" w:cs="Times New Roman"/>
          <w:sz w:val="24"/>
          <w:szCs w:val="24"/>
          <w:lang w:val="lt-LT"/>
        </w:rPr>
      </w:pPr>
    </w:p>
    <w:p w:rsidR="003228C9" w:rsidRPr="0017614D" w:rsidRDefault="003228C9" w:rsidP="003228C9">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Be išorinės aplinkos taip pat reikia aptarti ir vidinę a</w:t>
      </w:r>
      <w:r w:rsidR="00545B5E" w:rsidRPr="0017614D">
        <w:rPr>
          <w:rFonts w:ascii="Times New Roman" w:hAnsi="Times New Roman" w:cs="Times New Roman"/>
          <w:sz w:val="24"/>
          <w:szCs w:val="24"/>
          <w:lang w:val="lt-LT"/>
        </w:rPr>
        <w:t xml:space="preserve">nalizuojamų įmonių aplinką. </w:t>
      </w:r>
      <w:r w:rsidRPr="0017614D">
        <w:rPr>
          <w:rFonts w:ascii="Times New Roman" w:hAnsi="Times New Roman" w:cs="Times New Roman"/>
          <w:sz w:val="24"/>
          <w:szCs w:val="24"/>
          <w:lang w:val="lt-LT"/>
        </w:rPr>
        <w:t xml:space="preserve">Kiekviena įmonė išsiskiria savo vadovavimo stiliumi, struktūra, vykdoma politika, todėl įmonės vidaus aplinką yra daug sudėtingiau analizuoti negu išorės. </w:t>
      </w:r>
      <w:r w:rsidR="0017614D" w:rsidRPr="0017614D">
        <w:rPr>
          <w:rFonts w:ascii="Times New Roman" w:hAnsi="Times New Roman" w:cs="Times New Roman"/>
          <w:sz w:val="24"/>
          <w:szCs w:val="24"/>
          <w:lang w:val="lt-LT"/>
        </w:rPr>
        <w:t>Nagrinėjant įmonei gre</w:t>
      </w:r>
      <w:r w:rsidRPr="0017614D">
        <w:rPr>
          <w:rFonts w:ascii="Times New Roman" w:hAnsi="Times New Roman" w:cs="Times New Roman"/>
          <w:sz w:val="24"/>
          <w:szCs w:val="24"/>
          <w:lang w:val="lt-LT"/>
        </w:rPr>
        <w:t>siančio bankroto tikimybę daugiausiai dėmesio turi būti skirta organizacinei valdymo struktūrai, vidaus kontrolės sistemai, technologijoms bei personalui.</w:t>
      </w:r>
    </w:p>
    <w:p w:rsidR="003228C9" w:rsidRPr="0017614D" w:rsidRDefault="003228C9" w:rsidP="003228C9">
      <w:pPr>
        <w:tabs>
          <w:tab w:val="left" w:pos="540"/>
        </w:tabs>
        <w:autoSpaceDE w:val="0"/>
        <w:autoSpaceDN w:val="0"/>
        <w:adjustRightInd w:val="0"/>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i/>
          <w:sz w:val="24"/>
          <w:szCs w:val="24"/>
          <w:lang w:val="lt-LT"/>
        </w:rPr>
        <w:t>Įmonės organizacinę valdymo struktūrą</w:t>
      </w:r>
      <w:r w:rsidRPr="0017614D">
        <w:rPr>
          <w:rFonts w:ascii="Times New Roman" w:hAnsi="Times New Roman" w:cs="Times New Roman"/>
          <w:sz w:val="24"/>
          <w:szCs w:val="24"/>
          <w:lang w:val="lt-LT"/>
        </w:rPr>
        <w:t xml:space="preserve"> apibūdina įmonės vadovai bei jų valdymo stilius. Visų keturių mūsų aptariamų įmonių valdymo struktūra susideda iš 3 lygių, kurie yra nurodyti 1</w:t>
      </w:r>
      <w:r w:rsidR="004E188A" w:rsidRPr="0017614D">
        <w:rPr>
          <w:rFonts w:ascii="Times New Roman" w:hAnsi="Times New Roman" w:cs="Times New Roman"/>
          <w:sz w:val="24"/>
          <w:szCs w:val="24"/>
          <w:lang w:val="lt-LT"/>
        </w:rPr>
        <w:t>4</w:t>
      </w:r>
      <w:r w:rsidRPr="0017614D">
        <w:rPr>
          <w:rFonts w:ascii="Times New Roman" w:hAnsi="Times New Roman" w:cs="Times New Roman"/>
          <w:sz w:val="24"/>
          <w:szCs w:val="24"/>
          <w:lang w:val="lt-LT"/>
        </w:rPr>
        <w:t xml:space="preserve"> paveiksle.</w:t>
      </w:r>
    </w:p>
    <w:p w:rsidR="0017770E" w:rsidRPr="0017614D" w:rsidRDefault="0017770E" w:rsidP="003228C9">
      <w:pPr>
        <w:tabs>
          <w:tab w:val="left" w:pos="540"/>
        </w:tabs>
        <w:autoSpaceDE w:val="0"/>
        <w:autoSpaceDN w:val="0"/>
        <w:adjustRightInd w:val="0"/>
        <w:spacing w:after="0" w:line="360" w:lineRule="auto"/>
        <w:ind w:firstLine="720"/>
        <w:contextualSpacing/>
        <w:jc w:val="both"/>
        <w:rPr>
          <w:rFonts w:ascii="Times New Roman" w:hAnsi="Times New Roman" w:cs="Times New Roman"/>
          <w:sz w:val="24"/>
          <w:szCs w:val="24"/>
          <w:lang w:val="lt-LT"/>
        </w:rPr>
      </w:pPr>
    </w:p>
    <w:p w:rsidR="003228C9" w:rsidRPr="0017614D" w:rsidRDefault="003228C9" w:rsidP="003228C9">
      <w:pPr>
        <w:tabs>
          <w:tab w:val="left" w:pos="540"/>
        </w:tabs>
        <w:autoSpaceDE w:val="0"/>
        <w:autoSpaceDN w:val="0"/>
        <w:adjustRightInd w:val="0"/>
        <w:spacing w:after="0" w:line="360" w:lineRule="auto"/>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lastRenderedPageBreak/>
        <w:t xml:space="preserve">                   </w:t>
      </w:r>
      <w:r w:rsidRPr="0017614D">
        <w:rPr>
          <w:rFonts w:ascii="Times New Roman" w:hAnsi="Times New Roman" w:cs="Times New Roman"/>
          <w:noProof/>
          <w:sz w:val="24"/>
          <w:szCs w:val="24"/>
        </w:rPr>
        <w:drawing>
          <wp:inline distT="0" distB="0" distL="0" distR="0">
            <wp:extent cx="4750130" cy="2046497"/>
            <wp:effectExtent l="0" t="19050" r="0" b="29953"/>
            <wp:docPr id="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3228C9" w:rsidRPr="0017614D" w:rsidRDefault="003228C9" w:rsidP="003228C9">
      <w:pPr>
        <w:spacing w:after="0"/>
        <w:contextualSpacing/>
        <w:jc w:val="center"/>
        <w:rPr>
          <w:rFonts w:ascii="Times New Roman" w:hAnsi="Times New Roman" w:cs="Times New Roman"/>
          <w:b/>
          <w:lang w:val="lt-LT"/>
        </w:rPr>
      </w:pPr>
      <w:r w:rsidRPr="0017614D">
        <w:rPr>
          <w:rFonts w:ascii="Times New Roman" w:hAnsi="Times New Roman" w:cs="Times New Roman"/>
          <w:lang w:val="lt-LT"/>
        </w:rPr>
        <w:t>1</w:t>
      </w:r>
      <w:r w:rsidR="004E188A" w:rsidRPr="0017614D">
        <w:rPr>
          <w:rFonts w:ascii="Times New Roman" w:hAnsi="Times New Roman" w:cs="Times New Roman"/>
          <w:lang w:val="lt-LT"/>
        </w:rPr>
        <w:t>4</w:t>
      </w:r>
      <w:r w:rsidRPr="0017614D">
        <w:rPr>
          <w:rFonts w:ascii="Times New Roman" w:hAnsi="Times New Roman" w:cs="Times New Roman"/>
          <w:lang w:val="lt-LT"/>
        </w:rPr>
        <w:t xml:space="preserve"> pav.</w:t>
      </w:r>
      <w:r w:rsidRPr="0017614D">
        <w:rPr>
          <w:rFonts w:ascii="Times New Roman" w:hAnsi="Times New Roman" w:cs="Times New Roman"/>
          <w:b/>
          <w:lang w:val="lt-LT"/>
        </w:rPr>
        <w:t xml:space="preserve"> UAB „Achemarida“, UAB „Romas ir ko“, UAB „Girteka“ ir UAB „Autoverslas“ organizacinė sistema </w:t>
      </w:r>
    </w:p>
    <w:p w:rsidR="003228C9" w:rsidRPr="0017614D" w:rsidRDefault="003228C9" w:rsidP="003228C9">
      <w:pPr>
        <w:tabs>
          <w:tab w:val="left" w:pos="540"/>
        </w:tabs>
        <w:autoSpaceDE w:val="0"/>
        <w:autoSpaceDN w:val="0"/>
        <w:adjustRightInd w:val="0"/>
        <w:spacing w:after="0" w:line="360" w:lineRule="auto"/>
        <w:contextualSpacing/>
        <w:jc w:val="both"/>
        <w:rPr>
          <w:rFonts w:ascii="Times New Roman" w:hAnsi="Times New Roman" w:cs="Times New Roman"/>
          <w:sz w:val="24"/>
          <w:szCs w:val="24"/>
          <w:lang w:val="lt-LT"/>
        </w:rPr>
      </w:pPr>
    </w:p>
    <w:p w:rsidR="003228C9" w:rsidRPr="0017614D" w:rsidRDefault="003228C9" w:rsidP="003228C9">
      <w:pPr>
        <w:autoSpaceDE w:val="0"/>
        <w:autoSpaceDN w:val="0"/>
        <w:adjustRightInd w:val="0"/>
        <w:spacing w:after="0" w:line="360" w:lineRule="auto"/>
        <w:ind w:firstLine="720"/>
        <w:contextualSpacing/>
        <w:jc w:val="both"/>
        <w:rPr>
          <w:rFonts w:ascii="Times New Roman" w:eastAsia="TimesNewRomanPSMT" w:hAnsi="Times New Roman" w:cs="Times New Roman"/>
          <w:sz w:val="24"/>
          <w:szCs w:val="24"/>
          <w:lang w:val="lt-LT"/>
        </w:rPr>
      </w:pPr>
      <w:r w:rsidRPr="0017614D">
        <w:rPr>
          <w:rFonts w:ascii="Times New Roman" w:hAnsi="Times New Roman" w:cs="Times New Roman"/>
          <w:sz w:val="24"/>
          <w:szCs w:val="24"/>
          <w:lang w:val="lt-LT"/>
        </w:rPr>
        <w:t xml:space="preserve">Aukščiausiame pirmame lygyje yra įmonės vadovas, jo patarėjas arba pavaduotojas bei finansininkas, kurių pagrindinė užduotis yra rezultatų analizė ir sprendimų priėmimas. Viduriniame šios hierarchijos lygyje yra transporto vadybinikai, kurie rūpinasi </w:t>
      </w:r>
      <w:r w:rsidRPr="0017614D">
        <w:rPr>
          <w:rFonts w:ascii="Times New Roman" w:eastAsia="TimesNewRomanPSMT" w:hAnsi="Times New Roman" w:cs="Times New Roman"/>
          <w:sz w:val="24"/>
          <w:szCs w:val="24"/>
          <w:lang w:val="lt-LT"/>
        </w:rPr>
        <w:t>užsakymų paieška, derybomis dėl kainų, sutarčių sudarymu bei užsakymų vykdymo priežiūra, Žemiausiame šios struktūros lygyje yra vairuotojai, kurių pagrindinė atsakomybė yra savalaikis krovinių paėmimas bei pristatymas.</w:t>
      </w:r>
    </w:p>
    <w:p w:rsidR="003228C9" w:rsidRPr="0017614D" w:rsidRDefault="003228C9" w:rsidP="003228C9">
      <w:pPr>
        <w:autoSpaceDE w:val="0"/>
        <w:autoSpaceDN w:val="0"/>
        <w:adjustRightInd w:val="0"/>
        <w:spacing w:after="0" w:line="360" w:lineRule="auto"/>
        <w:ind w:firstLine="720"/>
        <w:contextualSpacing/>
        <w:jc w:val="both"/>
        <w:rPr>
          <w:rFonts w:ascii="Times New Roman" w:hAnsi="Times New Roman" w:cs="Times New Roman"/>
          <w:sz w:val="24"/>
          <w:szCs w:val="24"/>
          <w:lang w:val="lt-LT"/>
        </w:rPr>
      </w:pPr>
      <w:r w:rsidRPr="0017614D">
        <w:rPr>
          <w:rFonts w:ascii="Times New Roman" w:eastAsia="TimesNewRomanPSMT" w:hAnsi="Times New Roman" w:cs="Times New Roman"/>
          <w:sz w:val="24"/>
          <w:szCs w:val="24"/>
          <w:lang w:val="lt-LT"/>
        </w:rPr>
        <w:t>Šiek tiek plačiau aptarkime kiekvienos nagrinėjamų įmonių valdymo struktūras atskirai. UAB Achemarida priklauso k</w:t>
      </w:r>
      <w:r w:rsidRPr="0017614D">
        <w:rPr>
          <w:rFonts w:ascii="Times New Roman" w:hAnsi="Times New Roman" w:cs="Times New Roman"/>
          <w:bCs/>
          <w:sz w:val="24"/>
          <w:szCs w:val="24"/>
          <w:lang w:val="lt-LT"/>
        </w:rPr>
        <w:t xml:space="preserve">oncernui „Achemos grupė“. Šios įmonės vadovas ir </w:t>
      </w:r>
      <w:r w:rsidRPr="0017614D">
        <w:rPr>
          <w:rFonts w:ascii="Times New Roman" w:hAnsi="Times New Roman" w:cs="Times New Roman"/>
          <w:sz w:val="24"/>
          <w:szCs w:val="24"/>
          <w:lang w:val="lt-LT"/>
        </w:rPr>
        <w:t xml:space="preserve">vykdomasis direktorius direktorius yra skirtingi asmenys. Be to akivaizdu, kad  UAB “Achemaridai” esant antrinei koncerno įmonei, priimant sprendimus yra atsižvelgiama ir į akcininkų nuomonę bei pageidavimus. Tuo tarpu UAB “Roma ir Ko” turi du akcininkus, kurie yra fiziniai asmenys, o įmonės vadovu dirbo trečias asmuo, kas vėlgi parodo, kad įmonės vadovavime dalyvauja tiek akcininkai, tiek vadovai. UAB “Girteka” akcininkai yra fizinis asmuo bei UAB "ME investicija” kuri priklauso pirmajam akcininkui bei UAB "Girtekos" direktoriui, taigi akivaizdu, kad šios įmonės struktūros viršuje stovi ir sprendimus priiminėja du žmonės.  Tuo tarpu UAB “Autoverslas” grupė apima šešias bendroves, kurių vienu iš akcininkų yra generalinis šios įmonės direktorius, apie kitus akcininkus informacija nėra viešai atskleidžiama.  </w:t>
      </w:r>
    </w:p>
    <w:p w:rsidR="003228C9" w:rsidRPr="0017614D" w:rsidRDefault="003228C9" w:rsidP="003228C9">
      <w:pPr>
        <w:autoSpaceDE w:val="0"/>
        <w:autoSpaceDN w:val="0"/>
        <w:adjustRightInd w:val="0"/>
        <w:spacing w:after="0" w:line="360" w:lineRule="auto"/>
        <w:ind w:firstLine="720"/>
        <w:contextualSpacing/>
        <w:jc w:val="both"/>
        <w:rPr>
          <w:rFonts w:ascii="Times New Roman" w:eastAsia="TimesNewRomanPSMT" w:hAnsi="Times New Roman" w:cs="Times New Roman"/>
          <w:sz w:val="24"/>
          <w:szCs w:val="24"/>
          <w:lang w:val="lt-LT"/>
        </w:rPr>
      </w:pPr>
      <w:r w:rsidRPr="0017614D">
        <w:rPr>
          <w:rFonts w:ascii="Times New Roman" w:hAnsi="Times New Roman" w:cs="Times New Roman"/>
          <w:sz w:val="24"/>
          <w:szCs w:val="24"/>
          <w:lang w:val="lt-LT"/>
        </w:rPr>
        <w:t xml:space="preserve">Apibendrinant visų įmonių valdymo struktūras, galima teigti, kad įmonių </w:t>
      </w:r>
      <w:r w:rsidRPr="0017614D">
        <w:rPr>
          <w:rFonts w:ascii="Times New Roman" w:eastAsia="TimesNewRomanPSMT" w:hAnsi="Times New Roman" w:cs="Times New Roman"/>
          <w:sz w:val="24"/>
          <w:szCs w:val="24"/>
          <w:lang w:val="lt-LT"/>
        </w:rPr>
        <w:t>vadovai nebūtinai yra įmonių akcininkai, todėl jiem nepriklauso pilna sprendimų priėmimo valdžia. Be to įmonės yra pakankamai nemažos todėl skirtinguose hierarchijos lygiuose kasdienius sprendimus priiminėja skirtingų pareigų žmonės.</w:t>
      </w:r>
    </w:p>
    <w:p w:rsidR="003228C9" w:rsidRPr="0017614D" w:rsidRDefault="003228C9" w:rsidP="003228C9">
      <w:pPr>
        <w:autoSpaceDE w:val="0"/>
        <w:autoSpaceDN w:val="0"/>
        <w:adjustRightInd w:val="0"/>
        <w:spacing w:after="0" w:line="360" w:lineRule="auto"/>
        <w:ind w:firstLine="720"/>
        <w:contextualSpacing/>
        <w:jc w:val="both"/>
        <w:rPr>
          <w:rFonts w:ascii="Times New Roman" w:eastAsia="TimesNewRomanPSMT" w:hAnsi="Times New Roman" w:cs="Times New Roman"/>
          <w:sz w:val="24"/>
          <w:szCs w:val="24"/>
          <w:lang w:val="lt-LT"/>
        </w:rPr>
      </w:pPr>
      <w:r w:rsidRPr="0017614D">
        <w:rPr>
          <w:rFonts w:ascii="Times New Roman" w:eastAsia="TimesNewRomanPSMT" w:hAnsi="Times New Roman" w:cs="Times New Roman"/>
          <w:i/>
          <w:sz w:val="24"/>
          <w:szCs w:val="24"/>
          <w:lang w:val="lt-LT"/>
        </w:rPr>
        <w:t>Įmonės personalas</w:t>
      </w:r>
      <w:r w:rsidRPr="0017614D">
        <w:rPr>
          <w:rFonts w:ascii="Times New Roman" w:eastAsia="TimesNewRomanPSMT" w:hAnsi="Times New Roman" w:cs="Times New Roman"/>
          <w:sz w:val="24"/>
          <w:szCs w:val="24"/>
          <w:lang w:val="lt-LT"/>
        </w:rPr>
        <w:t xml:space="preserve"> – įmonės veiklai akivaizdžiai nemažą įtaką daro jos darbuotojai, jų elgsena, kompetencija bei motyvacija. Kaip jau buvo minėta anksčiau, trys mūsų nagrinėjamos bendrovės pagal </w:t>
      </w:r>
      <w:r w:rsidRPr="0017614D">
        <w:rPr>
          <w:rFonts w:ascii="Times New Roman" w:eastAsia="TimesNewRomanPSMT" w:hAnsi="Times New Roman" w:cs="Times New Roman"/>
          <w:sz w:val="24"/>
          <w:szCs w:val="24"/>
          <w:lang w:val="lt-LT"/>
        </w:rPr>
        <w:lastRenderedPageBreak/>
        <w:t>darbuotojų skaičių priklauso vidutinių įmonių grupei, o UAB „Girteka“ – didelių. Visų šių įmonių darbuotojai gali būti suskirstyti į tokias grupes:</w:t>
      </w:r>
    </w:p>
    <w:p w:rsidR="003228C9" w:rsidRPr="0017614D" w:rsidRDefault="003228C9" w:rsidP="00417443">
      <w:pPr>
        <w:pStyle w:val="ListParagraph"/>
        <w:numPr>
          <w:ilvl w:val="0"/>
          <w:numId w:val="27"/>
        </w:numPr>
        <w:autoSpaceDE w:val="0"/>
        <w:autoSpaceDN w:val="0"/>
        <w:adjustRightInd w:val="0"/>
        <w:spacing w:after="0" w:line="360" w:lineRule="auto"/>
        <w:jc w:val="both"/>
        <w:rPr>
          <w:rFonts w:ascii="Times New Roman" w:eastAsia="TimesNewRomanPSMT" w:hAnsi="Times New Roman" w:cs="Times New Roman"/>
          <w:sz w:val="24"/>
          <w:szCs w:val="24"/>
          <w:lang w:val="lt-LT"/>
        </w:rPr>
      </w:pPr>
      <w:r w:rsidRPr="0017614D">
        <w:rPr>
          <w:rFonts w:ascii="Times New Roman" w:eastAsia="TimesNewRomanPSMT" w:hAnsi="Times New Roman" w:cs="Times New Roman"/>
          <w:sz w:val="24"/>
          <w:szCs w:val="24"/>
          <w:lang w:val="lt-LT"/>
        </w:rPr>
        <w:t>Administracija;</w:t>
      </w:r>
    </w:p>
    <w:p w:rsidR="003228C9" w:rsidRPr="0017614D" w:rsidRDefault="003228C9" w:rsidP="00417443">
      <w:pPr>
        <w:pStyle w:val="ListParagraph"/>
        <w:numPr>
          <w:ilvl w:val="0"/>
          <w:numId w:val="27"/>
        </w:numPr>
        <w:autoSpaceDE w:val="0"/>
        <w:autoSpaceDN w:val="0"/>
        <w:adjustRightInd w:val="0"/>
        <w:spacing w:after="0" w:line="360" w:lineRule="auto"/>
        <w:jc w:val="both"/>
        <w:rPr>
          <w:rFonts w:ascii="Times New Roman" w:eastAsia="TimesNewRomanPSMT" w:hAnsi="Times New Roman" w:cs="Times New Roman"/>
          <w:sz w:val="24"/>
          <w:szCs w:val="24"/>
          <w:lang w:val="lt-LT"/>
        </w:rPr>
      </w:pPr>
      <w:r w:rsidRPr="0017614D">
        <w:rPr>
          <w:rFonts w:ascii="Times New Roman" w:eastAsia="TimesNewRomanPSMT" w:hAnsi="Times New Roman" w:cs="Times New Roman"/>
          <w:sz w:val="24"/>
          <w:szCs w:val="24"/>
          <w:lang w:val="lt-LT"/>
        </w:rPr>
        <w:t>Vadybininkai/ paslaugų pardavėjai;</w:t>
      </w:r>
    </w:p>
    <w:p w:rsidR="003228C9" w:rsidRPr="0017614D" w:rsidRDefault="003228C9" w:rsidP="00417443">
      <w:pPr>
        <w:pStyle w:val="ListParagraph"/>
        <w:numPr>
          <w:ilvl w:val="0"/>
          <w:numId w:val="27"/>
        </w:numPr>
        <w:autoSpaceDE w:val="0"/>
        <w:autoSpaceDN w:val="0"/>
        <w:adjustRightInd w:val="0"/>
        <w:spacing w:after="0" w:line="360" w:lineRule="auto"/>
        <w:jc w:val="both"/>
        <w:rPr>
          <w:rFonts w:ascii="Times New Roman" w:eastAsia="TimesNewRomanPSMT" w:hAnsi="Times New Roman" w:cs="Times New Roman"/>
          <w:sz w:val="24"/>
          <w:szCs w:val="24"/>
          <w:lang w:val="lt-LT"/>
        </w:rPr>
      </w:pPr>
      <w:r w:rsidRPr="0017614D">
        <w:rPr>
          <w:rFonts w:ascii="Times New Roman" w:eastAsia="TimesNewRomanPSMT" w:hAnsi="Times New Roman" w:cs="Times New Roman"/>
          <w:sz w:val="24"/>
          <w:szCs w:val="24"/>
          <w:lang w:val="lt-LT"/>
        </w:rPr>
        <w:t>Vairuotojai;</w:t>
      </w:r>
    </w:p>
    <w:p w:rsidR="003228C9" w:rsidRPr="0017614D" w:rsidRDefault="003228C9" w:rsidP="00417443">
      <w:pPr>
        <w:pStyle w:val="ListParagraph"/>
        <w:numPr>
          <w:ilvl w:val="0"/>
          <w:numId w:val="27"/>
        </w:numPr>
        <w:autoSpaceDE w:val="0"/>
        <w:autoSpaceDN w:val="0"/>
        <w:adjustRightInd w:val="0"/>
        <w:spacing w:after="0" w:line="360" w:lineRule="auto"/>
        <w:jc w:val="both"/>
        <w:rPr>
          <w:rFonts w:ascii="Times New Roman" w:eastAsia="TimesNewRomanPSMT" w:hAnsi="Times New Roman" w:cs="Times New Roman"/>
          <w:sz w:val="24"/>
          <w:szCs w:val="24"/>
          <w:lang w:val="lt-LT"/>
        </w:rPr>
      </w:pPr>
      <w:r w:rsidRPr="0017614D">
        <w:rPr>
          <w:rFonts w:ascii="Times New Roman" w:eastAsia="TimesNewRomanPSMT" w:hAnsi="Times New Roman" w:cs="Times New Roman"/>
          <w:sz w:val="24"/>
          <w:szCs w:val="24"/>
          <w:lang w:val="lt-LT"/>
        </w:rPr>
        <w:t>Sandėlių darbuotojai.</w:t>
      </w:r>
    </w:p>
    <w:p w:rsidR="003228C9" w:rsidRPr="0017614D" w:rsidRDefault="003228C9" w:rsidP="000B579B">
      <w:pPr>
        <w:autoSpaceDE w:val="0"/>
        <w:autoSpaceDN w:val="0"/>
        <w:adjustRightInd w:val="0"/>
        <w:spacing w:after="0" w:line="360" w:lineRule="auto"/>
        <w:ind w:firstLine="720"/>
        <w:jc w:val="both"/>
        <w:rPr>
          <w:rFonts w:ascii="Times New Roman" w:eastAsia="TimesNewRomanPSMT" w:hAnsi="Times New Roman" w:cs="Times New Roman"/>
          <w:sz w:val="24"/>
          <w:szCs w:val="24"/>
          <w:lang w:val="lt-LT"/>
        </w:rPr>
      </w:pPr>
      <w:r w:rsidRPr="0017614D">
        <w:rPr>
          <w:rFonts w:ascii="Times New Roman" w:eastAsia="TimesNewRomanPSMT" w:hAnsi="Times New Roman" w:cs="Times New Roman"/>
          <w:sz w:val="24"/>
          <w:szCs w:val="24"/>
          <w:lang w:val="lt-LT"/>
        </w:rPr>
        <w:t>Taip pat, kaip yra žinoma, be krovinių vėžimo šios įmonės užsiima ir papildomomis veiklomis, pvz. turto nuoma ar sunkvežimių remontu, todėl papildomai dar šiose įmonėse dirba ir kiti specialistai bei darbininkai, tačiau jie procentaliai sudaro nedidele šių įmonių darbuotojų dalį.</w:t>
      </w:r>
    </w:p>
    <w:p w:rsidR="003228C9" w:rsidRPr="0017614D" w:rsidRDefault="003228C9" w:rsidP="003228C9">
      <w:pPr>
        <w:autoSpaceDE w:val="0"/>
        <w:autoSpaceDN w:val="0"/>
        <w:adjustRightInd w:val="0"/>
        <w:spacing w:after="0" w:line="360" w:lineRule="auto"/>
        <w:ind w:firstLine="720"/>
        <w:jc w:val="both"/>
        <w:rPr>
          <w:rFonts w:ascii="Times New Roman" w:eastAsia="TimesNewRomanPSMT" w:hAnsi="Times New Roman" w:cs="Times New Roman"/>
          <w:sz w:val="24"/>
          <w:szCs w:val="24"/>
          <w:lang w:val="lt-LT"/>
        </w:rPr>
      </w:pPr>
      <w:r w:rsidRPr="0017614D">
        <w:rPr>
          <w:rFonts w:ascii="Times New Roman" w:eastAsia="TimesNewRomanPSMT" w:hAnsi="Times New Roman" w:cs="Times New Roman"/>
          <w:sz w:val="24"/>
          <w:szCs w:val="24"/>
          <w:lang w:val="lt-LT"/>
        </w:rPr>
        <w:t>Be to visose nagrinėjamose įmonėse darbuotojai yra atrenkami konkurso būdu, tai reiškia, kad iš visų norinčių yra atrenkami kandidatai turintys atitinkamą kompetenciją bei geriausiai atitinkantys keliamus reikalavimus. Toks atrankos būdas užtikrina kvalifikuotą personalą, kuris yra pagrindinis veiksnys kalbant apie paslaugų kokybę. Už šią sritį yra atsakingi personalo valdymo darbuotojai arba specialios personalo atrankos įmonės.</w:t>
      </w:r>
    </w:p>
    <w:p w:rsidR="003228C9" w:rsidRPr="0017614D" w:rsidRDefault="003228C9" w:rsidP="003228C9">
      <w:pPr>
        <w:autoSpaceDE w:val="0"/>
        <w:autoSpaceDN w:val="0"/>
        <w:adjustRightInd w:val="0"/>
        <w:spacing w:after="0" w:line="360" w:lineRule="auto"/>
        <w:ind w:firstLine="720"/>
        <w:contextualSpacing/>
        <w:jc w:val="both"/>
        <w:rPr>
          <w:rFonts w:ascii="Times New Roman" w:eastAsia="TimesNewRomanPSMT" w:hAnsi="Times New Roman" w:cs="Times New Roman"/>
          <w:sz w:val="24"/>
          <w:szCs w:val="24"/>
          <w:lang w:val="lt-LT"/>
        </w:rPr>
      </w:pPr>
      <w:r w:rsidRPr="0017614D">
        <w:rPr>
          <w:rFonts w:ascii="Times New Roman" w:eastAsia="TimesNewRomanPSMT" w:hAnsi="Times New Roman" w:cs="Times New Roman"/>
          <w:sz w:val="24"/>
          <w:szCs w:val="24"/>
          <w:lang w:val="lt-LT"/>
        </w:rPr>
        <w:t>Kalbant apie personalą būtina išnagrinėti ir jo motyvavimą. Šiame tyrime nagrinėjamos įmonės motyvavo savo darbuotojus transportavimo įmonėms būdingais būdais. Pagrindinė motyvavimo priemonė yra atlyginimas, kuris priklauso nuo pasiektų rezultatų (negalioja administracijos darbuotojams). Be to siekiant motyvuoti darbuotojus kaip ir daugumoje įmonių yra skiriamos metinės premijos, organizuojamos šventės darbuotojams. Visgi kalbant apie bankrutavusias įmones, pabrėžtina, kad įmonės rezultatams suprastėjus šios įmonės atsisakė daugumos darbuotojų motyvavimo priemonių.</w:t>
      </w:r>
    </w:p>
    <w:p w:rsidR="003228C9" w:rsidRPr="0017614D" w:rsidRDefault="003228C9" w:rsidP="003228C9">
      <w:pPr>
        <w:autoSpaceDE w:val="0"/>
        <w:autoSpaceDN w:val="0"/>
        <w:adjustRightInd w:val="0"/>
        <w:spacing w:after="0" w:line="360" w:lineRule="auto"/>
        <w:ind w:firstLine="720"/>
        <w:contextualSpacing/>
        <w:jc w:val="both"/>
        <w:rPr>
          <w:rFonts w:ascii="Times New Roman" w:eastAsia="TimesNewRomanPSMT" w:hAnsi="Times New Roman" w:cs="Times New Roman"/>
          <w:sz w:val="24"/>
          <w:szCs w:val="24"/>
          <w:lang w:val="lt-LT"/>
        </w:rPr>
      </w:pPr>
      <w:r w:rsidRPr="0017614D">
        <w:rPr>
          <w:rFonts w:ascii="Times New Roman" w:eastAsia="TimesNewRomanPSMT" w:hAnsi="Times New Roman" w:cs="Times New Roman"/>
          <w:sz w:val="24"/>
          <w:szCs w:val="24"/>
          <w:lang w:val="lt-LT"/>
        </w:rPr>
        <w:t xml:space="preserve">Be aukščiau paminėtų vidaus aplinkos veiksnių, svarbu paminėti ir dar viena – </w:t>
      </w:r>
      <w:r w:rsidRPr="0017614D">
        <w:rPr>
          <w:rFonts w:ascii="Times New Roman" w:eastAsia="TimesNewRomanPSMT" w:hAnsi="Times New Roman" w:cs="Times New Roman"/>
          <w:i/>
          <w:sz w:val="24"/>
          <w:szCs w:val="24"/>
          <w:lang w:val="lt-LT"/>
        </w:rPr>
        <w:t>technologija</w:t>
      </w:r>
      <w:r w:rsidRPr="0017614D">
        <w:rPr>
          <w:rFonts w:ascii="Times New Roman" w:eastAsia="TimesNewRomanPSMT" w:hAnsi="Times New Roman" w:cs="Times New Roman"/>
          <w:sz w:val="24"/>
          <w:szCs w:val="24"/>
          <w:lang w:val="lt-LT"/>
        </w:rPr>
        <w:t xml:space="preserve">. Pagrindinė transportavimo įmonių veikla yra krovinių pervežimas, taigi šios įmonės turi turėti atidirbtas krovinių pervežimo organizavimo bei fizinio krovinių pervežimo technologijas. Pirmoji priklauso vien tik nuo įmonės personalo darbo kokybės, tuo tarpu antrajai be personalo įtakos turi dar darbo atlikimo įrankis, t. y. automobilis kuriuo yra pervežamas krovinys. </w:t>
      </w:r>
      <w:r w:rsidRPr="0017614D">
        <w:rPr>
          <w:rFonts w:ascii="Times New Roman" w:hAnsi="Times New Roman" w:cs="Times New Roman"/>
          <w:sz w:val="24"/>
          <w:szCs w:val="24"/>
          <w:lang w:val="lt-LT"/>
        </w:rPr>
        <w:t xml:space="preserve">Visi mūsų nagrinėjamų įmonių </w:t>
      </w:r>
      <w:r w:rsidRPr="0017614D">
        <w:rPr>
          <w:rFonts w:ascii="Times New Roman" w:eastAsia="TimesNewRomanPSMT" w:hAnsi="Times New Roman" w:cs="Times New Roman"/>
          <w:sz w:val="24"/>
          <w:szCs w:val="24"/>
          <w:lang w:val="lt-LT"/>
        </w:rPr>
        <w:t>automobiliai yra aprūpinti palydoviniu bei mobiliuoju ryšiu, kuris padeda kontroliuoti krovinių judėjimą. Be to automobiliai yra aprūpinami ADR komplektais, jei yra gabenami pavojingi kroviniai. Taip pat siekiant užtikrinti krovinių saugumą, jie yra draudžiami.</w:t>
      </w:r>
    </w:p>
    <w:p w:rsidR="003228C9" w:rsidRPr="0017614D" w:rsidRDefault="003228C9" w:rsidP="003228C9">
      <w:pPr>
        <w:autoSpaceDE w:val="0"/>
        <w:autoSpaceDN w:val="0"/>
        <w:adjustRightInd w:val="0"/>
        <w:spacing w:after="0" w:line="360" w:lineRule="auto"/>
        <w:ind w:firstLine="720"/>
        <w:contextualSpacing/>
        <w:jc w:val="both"/>
        <w:rPr>
          <w:rFonts w:ascii="Times New Roman" w:hAnsi="Times New Roman" w:cs="Times New Roman"/>
          <w:sz w:val="24"/>
          <w:szCs w:val="24"/>
          <w:lang w:val="lt-LT"/>
        </w:rPr>
      </w:pPr>
      <w:r w:rsidRPr="0017614D">
        <w:rPr>
          <w:rFonts w:ascii="Times New Roman" w:eastAsia="TimesNewRomanPSMT" w:hAnsi="Times New Roman" w:cs="Times New Roman"/>
          <w:sz w:val="24"/>
          <w:szCs w:val="24"/>
          <w:lang w:val="lt-LT"/>
        </w:rPr>
        <w:t xml:space="preserve">Ir paskutinis labai svarbus dalykas, kurio nebuvimas gali lemti įmonių bankrotą yra įmonės </w:t>
      </w:r>
      <w:r w:rsidRPr="0017614D">
        <w:rPr>
          <w:rFonts w:ascii="Times New Roman" w:eastAsia="TimesNewRomanPSMT" w:hAnsi="Times New Roman" w:cs="Times New Roman"/>
          <w:i/>
          <w:sz w:val="24"/>
          <w:szCs w:val="24"/>
          <w:lang w:val="lt-LT"/>
        </w:rPr>
        <w:t>vidaus kontrolės sistema</w:t>
      </w:r>
      <w:r w:rsidRPr="0017614D">
        <w:rPr>
          <w:rFonts w:ascii="Times New Roman" w:eastAsia="TimesNewRomanPSMT" w:hAnsi="Times New Roman" w:cs="Times New Roman"/>
          <w:sz w:val="24"/>
          <w:szCs w:val="24"/>
          <w:lang w:val="lt-LT"/>
        </w:rPr>
        <w:t xml:space="preserve">. Ši sistema tai </w:t>
      </w:r>
      <w:r w:rsidRPr="0017614D">
        <w:rPr>
          <w:rFonts w:ascii="Times New Roman" w:hAnsi="Times New Roman" w:cs="Times New Roman"/>
          <w:sz w:val="24"/>
          <w:szCs w:val="24"/>
          <w:lang w:val="lt-LT"/>
        </w:rPr>
        <w:t xml:space="preserve">priemonės, kurias įmonė naudoja siekiant apsaugoti savo turtą bei užtikrinti numatytos politikos vykdymą. Už vidaus kontrolę iš esmės yra atsakingi įmonių vadovai. Mūsų nagrinėjamose įmonės pagrindinė naudojama vidaus kontrolės priemonė yra inventorizacija, kurios metu </w:t>
      </w:r>
      <w:r w:rsidRPr="0017614D">
        <w:rPr>
          <w:rFonts w:ascii="Times New Roman" w:hAnsi="Times New Roman" w:cs="Times New Roman"/>
          <w:sz w:val="24"/>
          <w:szCs w:val="24"/>
          <w:lang w:val="lt-LT"/>
        </w:rPr>
        <w:lastRenderedPageBreak/>
        <w:t>yra patikrinami apskaitos duomenys su realiai egzistuojančiu turtu. Inventorizacijos pagalba transportavimo įmonės nustato ar nėra grobstomas kuras, automobilių detalės ir kita. Be to visos įmonės didelį dėmesį skiria skolų suderinimui su pirkėjais ir tiekėjais. Siekiant suderinti visas skolas, klientams yra siunčiami suderinimo aktai, identifikuojamos abejotinos ir beviltiškos skolos. Visgi reikėtų atkreipti dėmesį, kad šios procedūros yra standartinės ir naudojamos daugumoje įmonių.</w:t>
      </w:r>
    </w:p>
    <w:p w:rsidR="003228C9" w:rsidRPr="0017614D" w:rsidRDefault="003228C9" w:rsidP="003228C9">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Apibendrinant aptartus vidaus sistemos veiksnius galima teigti, kad nagrinėjamų  įmonių valdymo struktūros yra organizuotos pakankamai neblogai, personalas atrenkamas atsižvelgiant į jo kvalifikaciją, o technologijos atidirbtos. Taigi šie veiksniai neturėtų skatinti įmonių bankroto. Visgi reikia atkreipti dėmesį, kad bankrutavusios įmonės nepakankamai motyvavo savo darbuotojus krizės metu, todėl tai galėjo atsiliepti įmonės paslaugų kokybei. Be to visų nagrinėjamų įmonių vidaus kontrolė yra organizuota pakankamai silpnai, kas yra pakankamai rimta priežastis galinti padidinti  įmonės bankroto grėsmę. </w:t>
      </w:r>
    </w:p>
    <w:p w:rsidR="003228C9" w:rsidRPr="0017614D" w:rsidRDefault="003228C9" w:rsidP="003228C9">
      <w:pPr>
        <w:spacing w:after="0" w:line="360" w:lineRule="auto"/>
        <w:ind w:firstLine="720"/>
        <w:contextualSpacing/>
        <w:jc w:val="both"/>
        <w:rPr>
          <w:rFonts w:ascii="Times New Roman" w:hAnsi="Times New Roman" w:cs="Times New Roman"/>
          <w:sz w:val="24"/>
          <w:szCs w:val="24"/>
          <w:lang w:val="lt-LT"/>
        </w:rPr>
      </w:pPr>
    </w:p>
    <w:p w:rsidR="003228C9" w:rsidRPr="0017614D" w:rsidRDefault="00545B5E" w:rsidP="003228C9">
      <w:pPr>
        <w:pStyle w:val="Heading2"/>
        <w:spacing w:before="0"/>
        <w:rPr>
          <w:lang w:val="lt-LT"/>
        </w:rPr>
      </w:pPr>
      <w:bookmarkStart w:id="98" w:name="_Toc374655659"/>
      <w:r w:rsidRPr="0017614D">
        <w:rPr>
          <w:lang w:val="lt-LT"/>
        </w:rPr>
        <w:t>3.4. A</w:t>
      </w:r>
      <w:r w:rsidR="003228C9" w:rsidRPr="0017614D">
        <w:rPr>
          <w:lang w:val="lt-LT"/>
        </w:rPr>
        <w:t>bsoliutinių</w:t>
      </w:r>
      <w:r w:rsidRPr="0017614D">
        <w:rPr>
          <w:lang w:val="lt-LT"/>
        </w:rPr>
        <w:t xml:space="preserve"> transportavimo įmonių</w:t>
      </w:r>
      <w:r w:rsidR="003228C9" w:rsidRPr="0017614D">
        <w:rPr>
          <w:lang w:val="lt-LT"/>
        </w:rPr>
        <w:t xml:space="preserve"> rodiklių ir jų pokyčių vertinimas</w:t>
      </w:r>
      <w:bookmarkEnd w:id="98"/>
    </w:p>
    <w:p w:rsidR="003228C9" w:rsidRPr="0017614D" w:rsidRDefault="003228C9" w:rsidP="003228C9">
      <w:pPr>
        <w:spacing w:after="0"/>
        <w:rPr>
          <w:lang w:val="lt-LT"/>
        </w:rPr>
      </w:pPr>
    </w:p>
    <w:p w:rsidR="003228C9" w:rsidRPr="0017614D" w:rsidRDefault="003228C9" w:rsidP="003228C9">
      <w:pPr>
        <w:tabs>
          <w:tab w:val="left" w:pos="540"/>
        </w:tabs>
        <w:autoSpaceDE w:val="0"/>
        <w:autoSpaceDN w:val="0"/>
        <w:adjustRightInd w:val="0"/>
        <w:spacing w:after="0" w:line="360" w:lineRule="auto"/>
        <w:ind w:firstLine="539"/>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Atlikus UAB „Girteka“, UAB „Autoverslas“, UAB „Achemarida“ ir UAB „Romas ir Ko“ išorės ir vidaus aplinkos tyrimą, toliau bus išnagrinėti pagrindiniai šių bendrovių finansinių ataskaitų absoliutiniai rodikliai</w:t>
      </w:r>
      <w:r w:rsidR="008F08C9">
        <w:rPr>
          <w:rFonts w:ascii="Times New Roman" w:hAnsi="Times New Roman" w:cs="Times New Roman"/>
          <w:sz w:val="24"/>
          <w:szCs w:val="24"/>
          <w:lang w:val="lt-LT"/>
        </w:rPr>
        <w:t xml:space="preserve"> (žr. 2 pried.)</w:t>
      </w:r>
      <w:r w:rsidRPr="0017614D">
        <w:rPr>
          <w:rFonts w:ascii="Times New Roman" w:hAnsi="Times New Roman" w:cs="Times New Roman"/>
          <w:sz w:val="24"/>
          <w:szCs w:val="24"/>
          <w:lang w:val="lt-LT"/>
        </w:rPr>
        <w:t>. Kaip jau buvo minėta teorinėje darbo dalyje, nagrinėjant pagrindinius absoliutinius rodiklius, ypatingas dėmesys turi būti skiriamas tokiems finansinių ataskaitų straipsniams kaip ilgalaikis materialusis turtas, nematerialusis turtas, finansinis turtas, trumpalaikis turtas, nuosavas kapitalas, ilgalaikiai ir trumpalaikiai įsipareigojimai, pardavimo pajamos ir pardavimo savikaina.</w:t>
      </w:r>
      <w:r w:rsidR="008F08C9">
        <w:rPr>
          <w:rFonts w:ascii="Times New Roman" w:hAnsi="Times New Roman" w:cs="Times New Roman"/>
          <w:sz w:val="24"/>
          <w:szCs w:val="24"/>
          <w:lang w:val="lt-LT"/>
        </w:rPr>
        <w:t xml:space="preserve"> </w:t>
      </w:r>
    </w:p>
    <w:p w:rsidR="003228C9" w:rsidRPr="0017614D" w:rsidRDefault="003228C9" w:rsidP="003228C9">
      <w:pPr>
        <w:autoSpaceDE w:val="0"/>
        <w:autoSpaceDN w:val="0"/>
        <w:adjustRightInd w:val="0"/>
        <w:spacing w:after="0" w:line="360" w:lineRule="auto"/>
        <w:ind w:firstLine="539"/>
        <w:contextualSpacing/>
        <w:jc w:val="both"/>
        <w:rPr>
          <w:rFonts w:ascii="Times New Roman" w:eastAsia="TimesNewRomanPSMT" w:hAnsi="Times New Roman" w:cs="Times New Roman"/>
          <w:sz w:val="24"/>
          <w:szCs w:val="24"/>
          <w:lang w:val="lt-LT"/>
        </w:rPr>
      </w:pPr>
      <w:r w:rsidRPr="0017614D">
        <w:rPr>
          <w:rFonts w:ascii="Times New Roman" w:hAnsi="Times New Roman" w:cs="Times New Roman"/>
          <w:sz w:val="24"/>
          <w:szCs w:val="24"/>
          <w:lang w:val="lt-LT"/>
        </w:rPr>
        <w:t>Absoliutinių rodiklių analizę pradėkime nuo bankrutavusios įmonės UAB „Achemarida“. 2008-2010 m. šios</w:t>
      </w:r>
      <w:r w:rsidR="00E6354F">
        <w:rPr>
          <w:rFonts w:ascii="Times New Roman" w:hAnsi="Times New Roman" w:cs="Times New Roman"/>
          <w:sz w:val="24"/>
          <w:szCs w:val="24"/>
          <w:lang w:val="lt-LT"/>
        </w:rPr>
        <w:t xml:space="preserve"> bendrovės turtą sudarė apie 70 proc. ilgalaikio turto ir apie 30 proc.</w:t>
      </w:r>
      <w:r w:rsidRPr="0017614D">
        <w:rPr>
          <w:rFonts w:ascii="Times New Roman" w:hAnsi="Times New Roman" w:cs="Times New Roman"/>
          <w:sz w:val="24"/>
          <w:szCs w:val="24"/>
          <w:lang w:val="lt-LT"/>
        </w:rPr>
        <w:t xml:space="preserve"> trumpalaikio turto. Beveik visą ilgalaikį turtą nagrinėjamu laikotarpiu sudarė</w:t>
      </w:r>
      <w:r w:rsidR="00E6354F">
        <w:rPr>
          <w:rFonts w:ascii="Times New Roman" w:hAnsi="Times New Roman" w:cs="Times New Roman"/>
          <w:sz w:val="24"/>
          <w:szCs w:val="24"/>
          <w:lang w:val="lt-LT"/>
        </w:rPr>
        <w:t xml:space="preserve"> materialus turtas (apie 99 proc.</w:t>
      </w:r>
      <w:r w:rsidRPr="0017614D">
        <w:rPr>
          <w:rFonts w:ascii="Times New Roman" w:hAnsi="Times New Roman" w:cs="Times New Roman"/>
          <w:sz w:val="24"/>
          <w:szCs w:val="24"/>
          <w:lang w:val="lt-LT"/>
        </w:rPr>
        <w:t xml:space="preserve">). Kalbant apie ilgalaikį turtą vertėtų atkreipti dėmesį, kad </w:t>
      </w:r>
      <w:r w:rsidR="00E6354F">
        <w:rPr>
          <w:rFonts w:ascii="Times New Roman" w:hAnsi="Times New Roman" w:cs="Times New Roman"/>
          <w:sz w:val="24"/>
          <w:szCs w:val="24"/>
          <w:lang w:val="lt-LT"/>
        </w:rPr>
        <w:t xml:space="preserve"> 2009 m. šis turtas padidėjo 58 proc.</w:t>
      </w:r>
      <w:r w:rsidRPr="0017614D">
        <w:rPr>
          <w:rFonts w:ascii="Times New Roman" w:hAnsi="Times New Roman" w:cs="Times New Roman"/>
          <w:sz w:val="24"/>
          <w:szCs w:val="24"/>
          <w:lang w:val="lt-LT"/>
        </w:rPr>
        <w:t xml:space="preserve"> palyginus su 2008 m. To priežastimi yra tai, kad didėjant transporto paslaugų poreikiui, „Achemarida“ išperkamosios nuomos būdu įsigijo daug naujų sunkvežimių. Šis faktas taip pat galėjo tapti bankroto priežastimi. Negavus pakankamai</w:t>
      </w:r>
      <w:r w:rsidR="000B579B">
        <w:rPr>
          <w:rFonts w:ascii="Times New Roman" w:hAnsi="Times New Roman" w:cs="Times New Roman"/>
          <w:sz w:val="24"/>
          <w:szCs w:val="24"/>
          <w:lang w:val="lt-LT"/>
        </w:rPr>
        <w:t xml:space="preserve"> naujų užsakymų, kad galima būtų</w:t>
      </w:r>
      <w:r w:rsidRPr="0017614D">
        <w:rPr>
          <w:rFonts w:ascii="Times New Roman" w:hAnsi="Times New Roman" w:cs="Times New Roman"/>
          <w:sz w:val="24"/>
          <w:szCs w:val="24"/>
          <w:lang w:val="lt-LT"/>
        </w:rPr>
        <w:t xml:space="preserve"> panaudoti naujus automobilius, įmonei bus sudėtinga grąžinti paskolą. Nagrinėjant trumpalaikį turtą, galima pastebėti, kad didžiausią lyginamąjį svorį jame sud</w:t>
      </w:r>
      <w:r w:rsidR="00E6354F">
        <w:rPr>
          <w:rFonts w:ascii="Times New Roman" w:hAnsi="Times New Roman" w:cs="Times New Roman"/>
          <w:sz w:val="24"/>
          <w:szCs w:val="24"/>
          <w:lang w:val="lt-LT"/>
        </w:rPr>
        <w:t>aro pirkėjų skolos – apie 50-65 proc</w:t>
      </w:r>
      <w:r w:rsidRPr="0017614D">
        <w:rPr>
          <w:rFonts w:ascii="Times New Roman" w:hAnsi="Times New Roman" w:cs="Times New Roman"/>
          <w:sz w:val="24"/>
          <w:szCs w:val="24"/>
          <w:lang w:val="lt-LT"/>
        </w:rPr>
        <w:t>. Be to reikia atkreipti dėmesį, kad pirkėjų skolos visą laiką didėjo, 2009 m. palyginus su prieš ta</w:t>
      </w:r>
      <w:r w:rsidR="00E6354F">
        <w:rPr>
          <w:rFonts w:ascii="Times New Roman" w:hAnsi="Times New Roman" w:cs="Times New Roman"/>
          <w:sz w:val="24"/>
          <w:szCs w:val="24"/>
          <w:lang w:val="lt-LT"/>
        </w:rPr>
        <w:t>i einančiais metais padidėjo 13 proc., o 2010 – 36 proc</w:t>
      </w:r>
      <w:r w:rsidRPr="0017614D">
        <w:rPr>
          <w:rFonts w:ascii="Times New Roman" w:hAnsi="Times New Roman" w:cs="Times New Roman"/>
          <w:sz w:val="24"/>
          <w:szCs w:val="24"/>
          <w:lang w:val="lt-LT"/>
        </w:rPr>
        <w:t xml:space="preserve">. </w:t>
      </w:r>
      <w:r w:rsidRPr="0017614D">
        <w:rPr>
          <w:rFonts w:ascii="Times New Roman" w:eastAsia="TimesNewRomanPSMT" w:hAnsi="Times New Roman" w:cs="Times New Roman"/>
          <w:sz w:val="24"/>
          <w:szCs w:val="24"/>
          <w:lang w:val="lt-LT"/>
        </w:rPr>
        <w:t xml:space="preserve">Pagal atsiskaitymo terminus ir galimybes atgauti pinigus UAB“Achemarida“ įmonių skolas skirsto į einamąsias skolas ir abejotinas. Einamąsias skolas sudaro nepradelstos skolos už suteiktas pervežimo paslaugas bei nuomą, tuo tarpu abejotinų skolų išieškojimas vykdomas teisminiu keliu, antstolių pagalba. Paskutiniais nagrinėjamais </w:t>
      </w:r>
      <w:r w:rsidRPr="0017614D">
        <w:rPr>
          <w:rFonts w:ascii="Times New Roman" w:eastAsia="TimesNewRomanPSMT" w:hAnsi="Times New Roman" w:cs="Times New Roman"/>
          <w:sz w:val="24"/>
          <w:szCs w:val="24"/>
          <w:lang w:val="lt-LT"/>
        </w:rPr>
        <w:lastRenderedPageBreak/>
        <w:t xml:space="preserve">metais UAB „Achemarida“ abejotinos skolos sudarė apie 100 tūkst. eurų. Be to užsienio įmonių abejotinoms skoloms, kurių išieškoti nepavyko, buvo suformuotas vertės sumažėjimas (apie 42 tūkst. eurų). Visa tai gali reikšti, kad įmonė turėjo netinkamą atsiskaitymų politiką, taip pat klientų skolas galėjo sąlygoti ekonominė krizė. </w:t>
      </w:r>
      <w:r w:rsidRPr="0017614D">
        <w:rPr>
          <w:rFonts w:ascii="Times New Roman" w:hAnsi="Times New Roman" w:cs="Times New Roman"/>
          <w:sz w:val="24"/>
          <w:szCs w:val="24"/>
          <w:lang w:val="lt-LT"/>
        </w:rPr>
        <w:t>Be to svarbu paminėti, kad su kiekvienai metais vis mažėdavo įmonės pinigų likutis paskutinei metų dienai, kas gali rodyti likvidumo problemas. Laikomos atsargos nagrinėjamu laikotarpiu beveik nesikeitė.</w:t>
      </w:r>
    </w:p>
    <w:p w:rsidR="003228C9" w:rsidRPr="0017614D" w:rsidRDefault="003228C9" w:rsidP="003228C9">
      <w:pPr>
        <w:spacing w:after="0" w:line="360" w:lineRule="auto"/>
        <w:ind w:firstLine="539"/>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Nagrinėjant UAB „Achemarida“ nuosavą kapitalą ir įsipareigojimus pastebėtina, kad įmonė 2008-2010 m. turėjo nuostolį, kuris su kiekvienais metais vis didėjo ir 2010 m. siekie jau apie 1,5 mln. eurų. Taigi įmonė prieš bankrotą jau kelis metus nedirbo pelningai. Kalbant apie paskolas 2008 m. įmonė turėjo sąlyginai nedidelę ilgalaikę paskolą, tačiau 2009 m. įsigijus naujo ilgalaikio turto </w:t>
      </w:r>
      <w:r w:rsidR="00E6354F">
        <w:rPr>
          <w:rFonts w:ascii="Times New Roman" w:hAnsi="Times New Roman" w:cs="Times New Roman"/>
          <w:sz w:val="24"/>
          <w:szCs w:val="24"/>
          <w:lang w:val="lt-LT"/>
        </w:rPr>
        <w:t>įmonės paskola padidėjo net 385 proc.</w:t>
      </w:r>
      <w:r w:rsidRPr="0017614D">
        <w:rPr>
          <w:rFonts w:ascii="Times New Roman" w:hAnsi="Times New Roman" w:cs="Times New Roman"/>
          <w:sz w:val="24"/>
          <w:szCs w:val="24"/>
          <w:lang w:val="lt-LT"/>
        </w:rPr>
        <w:t xml:space="preserve"> ir pasiekė 1,2 mln. eurų, kas yra tikrai didelis skaičius žiūrint į tai, kad įmonės vykdoma veikla nebuvo pelninga. UAB „Achemarida“ trumpalaikius įsipareigojimus sudaro skolos tiekėjams bei kitos einamosios skolos (darbo užmokestis, mokesčiai ir t. t.). Čia vėlgi pabrėžtina, kad  jie vis didėjo su kiekvienais metais, pvz. einamieji įsipareigojimai 2009 m. pa</w:t>
      </w:r>
      <w:r w:rsidR="00E6354F">
        <w:rPr>
          <w:rFonts w:ascii="Times New Roman" w:hAnsi="Times New Roman" w:cs="Times New Roman"/>
          <w:sz w:val="24"/>
          <w:szCs w:val="24"/>
          <w:lang w:val="lt-LT"/>
        </w:rPr>
        <w:t>lyginus su 2008 m. padidėjo 241 proc.</w:t>
      </w:r>
      <w:r w:rsidRPr="0017614D">
        <w:rPr>
          <w:rFonts w:ascii="Times New Roman" w:hAnsi="Times New Roman" w:cs="Times New Roman"/>
          <w:sz w:val="24"/>
          <w:szCs w:val="24"/>
          <w:lang w:val="lt-LT"/>
        </w:rPr>
        <w:t>, o skolos tiekėjams 2010 m. p</w:t>
      </w:r>
      <w:r w:rsidR="00E6354F">
        <w:rPr>
          <w:rFonts w:ascii="Times New Roman" w:hAnsi="Times New Roman" w:cs="Times New Roman"/>
          <w:sz w:val="24"/>
          <w:szCs w:val="24"/>
          <w:lang w:val="lt-LT"/>
        </w:rPr>
        <w:t>alyginus su 2009 padidėjo 102 proc</w:t>
      </w:r>
      <w:r w:rsidRPr="0017614D">
        <w:rPr>
          <w:rFonts w:ascii="Times New Roman" w:hAnsi="Times New Roman" w:cs="Times New Roman"/>
          <w:sz w:val="24"/>
          <w:szCs w:val="24"/>
          <w:lang w:val="lt-LT"/>
        </w:rPr>
        <w:t>. Vis didėjantis įsipareigojimai atskleidžia, kad įmonė susidūrė su mokumo problemomis.</w:t>
      </w:r>
    </w:p>
    <w:p w:rsidR="003228C9" w:rsidRPr="0017614D" w:rsidRDefault="003228C9" w:rsidP="003228C9">
      <w:pPr>
        <w:spacing w:after="0" w:line="360" w:lineRule="auto"/>
        <w:ind w:firstLine="539"/>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Tuo tarpu nagrinėjant UAB „Achemarida“ pelno nuostolio ataskaitą, pastebėtina, kad 2010 m. palyginus su prieš tai einančiais staigiai suma</w:t>
      </w:r>
      <w:r w:rsidR="00E6354F">
        <w:rPr>
          <w:rFonts w:ascii="Times New Roman" w:hAnsi="Times New Roman" w:cs="Times New Roman"/>
          <w:sz w:val="24"/>
          <w:szCs w:val="24"/>
          <w:lang w:val="lt-LT"/>
        </w:rPr>
        <w:t>žėjo bendrasis pelnas (net 99,7 proc.</w:t>
      </w:r>
      <w:r w:rsidRPr="0017614D">
        <w:rPr>
          <w:rFonts w:ascii="Times New Roman" w:hAnsi="Times New Roman" w:cs="Times New Roman"/>
          <w:sz w:val="24"/>
          <w:szCs w:val="24"/>
          <w:lang w:val="lt-LT"/>
        </w:rPr>
        <w:t>). Taip atsitiko dėl to, kad įmonės pajamos didėjo du kartus lėčiau negu sąnaudos. Taip pat svarbu paminėti, kad nors įmonės veiklos sąnaudos didėjo nežymiai, tačiau jos visą laiką buvo ženkliai didesnės už bendrąjį pelną, kas lėmė, kad tipinės veiklos nuostolis stipr</w:t>
      </w:r>
      <w:r w:rsidR="00E6354F">
        <w:rPr>
          <w:rFonts w:ascii="Times New Roman" w:hAnsi="Times New Roman" w:cs="Times New Roman"/>
          <w:sz w:val="24"/>
          <w:szCs w:val="24"/>
          <w:lang w:val="lt-LT"/>
        </w:rPr>
        <w:t>iai didėjo (vidutiniškai po 450 proc.</w:t>
      </w:r>
      <w:r w:rsidRPr="0017614D">
        <w:rPr>
          <w:rFonts w:ascii="Times New Roman" w:hAnsi="Times New Roman" w:cs="Times New Roman"/>
          <w:sz w:val="24"/>
          <w:szCs w:val="24"/>
          <w:lang w:val="lt-LT"/>
        </w:rPr>
        <w:t xml:space="preserve"> per metus). Be to įmonės finansinė veikla nagrinėjamu laikotarpiu buvo nuostolinga. Visi šie veiksniai lėmė, kad 2008 m. UAB „Achemrida“ turėjo labai nedidelį pelną – apie 13 tūkst. eurų, tuo tarpu vėlesniais metais įmonė visą laiką turėjo nuostolį, kuris su kiekvienais metais vis didėjo.</w:t>
      </w:r>
    </w:p>
    <w:p w:rsidR="003228C9" w:rsidRPr="0017614D" w:rsidRDefault="003228C9" w:rsidP="003228C9">
      <w:pPr>
        <w:spacing w:after="0" w:line="360" w:lineRule="auto"/>
        <w:ind w:firstLine="539"/>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Apibendrinant galima teigti, kad nagrinėjant UAB „Achemarida“ absoliutinius rodiklius ir jų pokyčius, jau 2008 m. galima buvo pastebėti, kad įmonės veikla nėra gerai organizuojama, situaciją dar labiau pablogino 2008 m. priimtas sprendimas skolintis lėšas automobilių parko didinimui. Šis projektas akivaizdžiai nepaisteisino, o įmonė įklimpo į dar didesnes skolas.</w:t>
      </w:r>
    </w:p>
    <w:p w:rsidR="003228C9" w:rsidRPr="0017614D" w:rsidRDefault="003228C9" w:rsidP="003228C9">
      <w:pPr>
        <w:spacing w:after="0" w:line="360" w:lineRule="auto"/>
        <w:ind w:firstLine="539"/>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Toliau aptarkime kitos bankrutavusios įmonės UAB „Romas ir ko“ absoliutinius r</w:t>
      </w:r>
      <w:r w:rsidR="00E6354F">
        <w:rPr>
          <w:rFonts w:ascii="Times New Roman" w:hAnsi="Times New Roman" w:cs="Times New Roman"/>
          <w:sz w:val="24"/>
          <w:szCs w:val="24"/>
          <w:lang w:val="lt-LT"/>
        </w:rPr>
        <w:t>odiklius bei jų pokyčius. 99,99 proc.</w:t>
      </w:r>
      <w:r w:rsidRPr="0017614D">
        <w:rPr>
          <w:rFonts w:ascii="Times New Roman" w:hAnsi="Times New Roman" w:cs="Times New Roman"/>
          <w:sz w:val="24"/>
          <w:szCs w:val="24"/>
          <w:lang w:val="lt-LT"/>
        </w:rPr>
        <w:t xml:space="preserve"> įmonės ilgalaikio turto sudaro materialus turtas, kuris apima žemę, pastatus, transporto priemones, nebaigtą statybą bei kitą turtą. Iš aiškinamojo rašto galima matyti, kad didžiausią materialaus turto dalį sudaro įsigyti automobiliai, kurie yra naudojami pagrindinėje įmonės veikloje, </w:t>
      </w:r>
      <w:r w:rsidRPr="0017614D">
        <w:rPr>
          <w:rFonts w:ascii="Times New Roman" w:hAnsi="Times New Roman" w:cs="Times New Roman"/>
          <w:sz w:val="24"/>
          <w:szCs w:val="24"/>
          <w:lang w:val="lt-LT"/>
        </w:rPr>
        <w:lastRenderedPageBreak/>
        <w:t>tačiau negalima nepastebėti, kad įmonė turi nenaudojamo turto, kaip pvz. nebaigta statyba, kuris nėra išnaudojamas ir neša įmonei tik nuostolį. Be to galima pastebėti, kad nei 2009, nei 2010 m. įmonė nebuvo įsigijusi naujo ilgalaikio turto, todėl jo vertė su kiekvienais metais tendencingai mažėjo dėl nusidevėjimo skaičiavimo. Kalbant apie trumpalaikį turtą, reikia pabrėžti, kad jo didžiausią lyginamąjį svorį visais nagrinėjamais metais sudarė pirkėjų skolos. Be to atkreiptinas dėmesys, kad 2010 m. palyginus su 2009 m. sumažėjo visi trumpalaikio turto straipsniai, ypati</w:t>
      </w:r>
      <w:r w:rsidR="00E6354F">
        <w:rPr>
          <w:rFonts w:ascii="Times New Roman" w:hAnsi="Times New Roman" w:cs="Times New Roman"/>
          <w:sz w:val="24"/>
          <w:szCs w:val="24"/>
          <w:lang w:val="lt-LT"/>
        </w:rPr>
        <w:t>ngai sumažėjo atsargos (apie 60 proc.</w:t>
      </w:r>
      <w:r w:rsidRPr="0017614D">
        <w:rPr>
          <w:rFonts w:ascii="Times New Roman" w:hAnsi="Times New Roman" w:cs="Times New Roman"/>
          <w:sz w:val="24"/>
          <w:szCs w:val="24"/>
          <w:lang w:val="lt-LT"/>
        </w:rPr>
        <w:t>) ir pinig</w:t>
      </w:r>
      <w:r w:rsidR="00E6354F">
        <w:rPr>
          <w:rFonts w:ascii="Times New Roman" w:hAnsi="Times New Roman" w:cs="Times New Roman"/>
          <w:sz w:val="24"/>
          <w:szCs w:val="24"/>
          <w:lang w:val="lt-LT"/>
        </w:rPr>
        <w:t>ai bei jų ekvivalentai (apie 89 proc.</w:t>
      </w:r>
      <w:r w:rsidRPr="0017614D">
        <w:rPr>
          <w:rFonts w:ascii="Times New Roman" w:hAnsi="Times New Roman" w:cs="Times New Roman"/>
          <w:sz w:val="24"/>
          <w:szCs w:val="24"/>
          <w:lang w:val="lt-LT"/>
        </w:rPr>
        <w:t>).</w:t>
      </w:r>
    </w:p>
    <w:p w:rsidR="003228C9" w:rsidRPr="0017614D" w:rsidRDefault="003228C9" w:rsidP="003228C9">
      <w:pPr>
        <w:spacing w:after="0" w:line="360" w:lineRule="auto"/>
        <w:ind w:firstLine="539"/>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Nagrinėjant nuosavą kapitalą, reikia atkreipti dėmesį, kad 2008 m. įmonė dirbo pelningai, tuo tarpu 2009 ir 2010 m. nors įmonė patyrė nuostolį, visgi ji turėjo sukaupusį nemažą praėjusių laikotarpių pelną. Kalbant apie įsipareigojimus, verta pabrėžti, kad įmonė neprisiėmė naujų ilgalaikių įsipareigojimų nagrinėjamu laikotarpiu, o turimi tendencingai mažėjo, dėl grąžinamos einamųjų metų dalies. Beveik visi trumpalaikiai įsipareigojimai taip pat mažėjo, neįskaitant kitų einamųjų skolų, </w:t>
      </w:r>
      <w:r w:rsidR="00E6354F">
        <w:rPr>
          <w:rFonts w:ascii="Times New Roman" w:hAnsi="Times New Roman" w:cs="Times New Roman"/>
          <w:sz w:val="24"/>
          <w:szCs w:val="24"/>
          <w:lang w:val="lt-LT"/>
        </w:rPr>
        <w:t>kurios 2010 m. padidėjo net 100 proc</w:t>
      </w:r>
      <w:r w:rsidRPr="0017614D">
        <w:rPr>
          <w:rFonts w:ascii="Times New Roman" w:hAnsi="Times New Roman" w:cs="Times New Roman"/>
          <w:sz w:val="24"/>
          <w:szCs w:val="24"/>
          <w:lang w:val="lt-LT"/>
        </w:rPr>
        <w:t>. Šie įsipareigojimai apima skolas darbuotojams, valstybės biudžetui ir kt.</w:t>
      </w:r>
    </w:p>
    <w:p w:rsidR="003228C9" w:rsidRPr="0017614D" w:rsidRDefault="003228C9" w:rsidP="003228C9">
      <w:pPr>
        <w:spacing w:after="0" w:line="360" w:lineRule="auto"/>
        <w:ind w:firstLine="539"/>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Be to būtina aptarti ir UAB „Romas ir ko“ pelno nuostolio ataskaitos straipsnius. Galima pastebėti, kad 2010 m. įmonės </w:t>
      </w:r>
      <w:r w:rsidR="00E6354F">
        <w:rPr>
          <w:rFonts w:ascii="Times New Roman" w:hAnsi="Times New Roman" w:cs="Times New Roman"/>
          <w:sz w:val="24"/>
          <w:szCs w:val="24"/>
          <w:lang w:val="lt-LT"/>
        </w:rPr>
        <w:t>pardavimų savikaina padidėjo 73 proc.</w:t>
      </w:r>
      <w:r w:rsidRPr="0017614D">
        <w:rPr>
          <w:rFonts w:ascii="Times New Roman" w:hAnsi="Times New Roman" w:cs="Times New Roman"/>
          <w:sz w:val="24"/>
          <w:szCs w:val="24"/>
          <w:lang w:val="lt-LT"/>
        </w:rPr>
        <w:t>, kai tuo tarpu pardavimo pajamos tuo pačiu laikotarpiu suma</w:t>
      </w:r>
      <w:r w:rsidR="00E6354F">
        <w:rPr>
          <w:rFonts w:ascii="Times New Roman" w:hAnsi="Times New Roman" w:cs="Times New Roman"/>
          <w:sz w:val="24"/>
          <w:szCs w:val="24"/>
          <w:lang w:val="lt-LT"/>
        </w:rPr>
        <w:t>žėjo, atitinkamai dėl to net 52 proc.</w:t>
      </w:r>
      <w:r w:rsidRPr="0017614D">
        <w:rPr>
          <w:rFonts w:ascii="Times New Roman" w:hAnsi="Times New Roman" w:cs="Times New Roman"/>
          <w:sz w:val="24"/>
          <w:szCs w:val="24"/>
          <w:lang w:val="lt-LT"/>
        </w:rPr>
        <w:t xml:space="preserve"> sumažėjo bendrasis pelnas. Visais nagrinėjamais metais įmonės bendrasis pelnas buvo teigiamas, tačiau dėl labai didelių veiklos sąnaudų bei finansinės veiklos nuostolio įmonė 2009 ir 2010 m. turėjo grynajį nuostolį. </w:t>
      </w:r>
    </w:p>
    <w:p w:rsidR="003228C9" w:rsidRPr="0017614D" w:rsidRDefault="003228C9" w:rsidP="003228C9">
      <w:pPr>
        <w:spacing w:after="0" w:line="360" w:lineRule="auto"/>
        <w:ind w:firstLine="539"/>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Apibendrinant UAB „Romas ir ko“ absoliutinių rodiklių analizę galima sakyti, kad įmonės veikla iki 2008 m. buvo pakankamai sėkminga, taip pat įmonė sukaupė nemažą pelną per savo sėkmės laikotarpį, kas rodė neblogą potencialą išgyventi pasaulyje vyraujančią ekonominę krizę. Visgi 2009 ir 2010 m. pasireiškė įmonės vadovo nesugebėjimas imtis strateginių veiksmų siekiant, kad įmonė nepasiduotų finansinei krizei, taip pat įmonė turėjo labai dideles veiklos sąnaudas, kurios beveik nesumažėjo krizės metu, kai kitos įmonės tuo metu stengėsi veržtis diržus ir kuo mažiau išleisti.</w:t>
      </w:r>
    </w:p>
    <w:p w:rsidR="003228C9" w:rsidRPr="0017614D" w:rsidRDefault="003228C9" w:rsidP="003228C9">
      <w:pPr>
        <w:shd w:val="clear" w:color="auto" w:fill="FFFFFF"/>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color w:val="000000"/>
          <w:sz w:val="24"/>
          <w:szCs w:val="24"/>
          <w:lang w:val="lt-LT"/>
        </w:rPr>
        <w:t>Toliau reikia apžvelgti ir vis dar veikiančių įmonių absoliutinius f</w:t>
      </w:r>
      <w:r w:rsidR="004E7005">
        <w:rPr>
          <w:rFonts w:ascii="Times New Roman" w:hAnsi="Times New Roman" w:cs="Times New Roman"/>
          <w:color w:val="000000"/>
          <w:sz w:val="24"/>
          <w:szCs w:val="24"/>
          <w:lang w:val="lt-LT"/>
        </w:rPr>
        <w:t>inansinius rodiklius. Šias įmone</w:t>
      </w:r>
      <w:r w:rsidRPr="0017614D">
        <w:rPr>
          <w:rFonts w:ascii="Times New Roman" w:hAnsi="Times New Roman" w:cs="Times New Roman"/>
          <w:color w:val="000000"/>
          <w:sz w:val="24"/>
          <w:szCs w:val="24"/>
          <w:lang w:val="lt-LT"/>
        </w:rPr>
        <w:t xml:space="preserve">s nagrinėti pradėkime nuo UAB „Girteka“. Šios įmonės ilgalaikį turtą </w:t>
      </w:r>
      <w:r w:rsidR="004E7005">
        <w:rPr>
          <w:rFonts w:ascii="Times New Roman" w:hAnsi="Times New Roman" w:cs="Times New Roman"/>
          <w:color w:val="000000"/>
          <w:sz w:val="24"/>
          <w:szCs w:val="24"/>
          <w:lang w:val="lt-LT"/>
        </w:rPr>
        <w:t>sudaro nematerialus, materia</w:t>
      </w:r>
      <w:r w:rsidRPr="0017614D">
        <w:rPr>
          <w:rFonts w:ascii="Times New Roman" w:hAnsi="Times New Roman" w:cs="Times New Roman"/>
          <w:color w:val="000000"/>
          <w:sz w:val="24"/>
          <w:szCs w:val="24"/>
          <w:lang w:val="lt-LT"/>
        </w:rPr>
        <w:t>lus, finansinis bei kitas ilgalaikis turtas. Nagrinėjamų laikotarpių įmonė naujo ilgalaikio materialaus turto neįsigijo, o esamas tendencingai mažėjo, taip pat šiek tiek padidėjo investicinis ir kitas turtas (9</w:t>
      </w:r>
      <w:r w:rsidR="00E6354F">
        <w:rPr>
          <w:rFonts w:ascii="Times New Roman" w:hAnsi="Times New Roman" w:cs="Times New Roman"/>
          <w:sz w:val="24"/>
          <w:szCs w:val="24"/>
          <w:lang w:val="lt-LT"/>
        </w:rPr>
        <w:t xml:space="preserve"> proc.</w:t>
      </w:r>
      <w:r w:rsidRPr="0017614D">
        <w:rPr>
          <w:rFonts w:ascii="Times New Roman" w:hAnsi="Times New Roman" w:cs="Times New Roman"/>
          <w:sz w:val="24"/>
          <w:szCs w:val="24"/>
          <w:lang w:val="lt-LT"/>
        </w:rPr>
        <w:t>). Nagrinėjant tr</w:t>
      </w:r>
      <w:r w:rsidR="004E7005">
        <w:rPr>
          <w:rFonts w:ascii="Times New Roman" w:hAnsi="Times New Roman" w:cs="Times New Roman"/>
          <w:sz w:val="24"/>
          <w:szCs w:val="24"/>
          <w:lang w:val="lt-LT"/>
        </w:rPr>
        <w:t>u</w:t>
      </w:r>
      <w:r w:rsidRPr="0017614D">
        <w:rPr>
          <w:rFonts w:ascii="Times New Roman" w:hAnsi="Times New Roman" w:cs="Times New Roman"/>
          <w:sz w:val="24"/>
          <w:szCs w:val="24"/>
          <w:lang w:val="lt-LT"/>
        </w:rPr>
        <w:t>mpalaikį turtą taip pat pastebima, kad  jis 2008-2010 m. augo – įmonė padidino laikomų atsargų kiekį, augo pirkėjų skolos,  ženkliai padidėjo p</w:t>
      </w:r>
      <w:r w:rsidR="00E6354F">
        <w:rPr>
          <w:rFonts w:ascii="Times New Roman" w:hAnsi="Times New Roman" w:cs="Times New Roman"/>
          <w:sz w:val="24"/>
          <w:szCs w:val="24"/>
          <w:lang w:val="lt-LT"/>
        </w:rPr>
        <w:t>inigai bei jų ekvivalentai (231 proc.</w:t>
      </w:r>
      <w:r w:rsidRPr="0017614D">
        <w:rPr>
          <w:rFonts w:ascii="Times New Roman" w:hAnsi="Times New Roman" w:cs="Times New Roman"/>
          <w:sz w:val="24"/>
          <w:szCs w:val="24"/>
          <w:lang w:val="lt-LT"/>
        </w:rPr>
        <w:t>).</w:t>
      </w:r>
    </w:p>
    <w:p w:rsidR="003228C9" w:rsidRPr="0017614D" w:rsidRDefault="003228C9" w:rsidP="003228C9">
      <w:pPr>
        <w:shd w:val="clear" w:color="auto" w:fill="FFFFFF"/>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Pereinant prie nuosavo kapitalo, pastebima, kad nagrinėjamu laikotarpiu įmonė dirbo pelningai, todėl jos nuosavas kapital</w:t>
      </w:r>
      <w:r w:rsidR="00E6354F">
        <w:rPr>
          <w:rFonts w:ascii="Times New Roman" w:hAnsi="Times New Roman" w:cs="Times New Roman"/>
          <w:sz w:val="24"/>
          <w:szCs w:val="24"/>
          <w:lang w:val="lt-LT"/>
        </w:rPr>
        <w:t>as atitinkamai augo 2009 m. – 4 proc., 2010 m. – 31 proc</w:t>
      </w:r>
      <w:r w:rsidRPr="0017614D">
        <w:rPr>
          <w:rFonts w:ascii="Times New Roman" w:hAnsi="Times New Roman" w:cs="Times New Roman"/>
          <w:sz w:val="24"/>
          <w:szCs w:val="24"/>
          <w:lang w:val="lt-LT"/>
        </w:rPr>
        <w:t xml:space="preserve">. Tuo tarpu aptariant </w:t>
      </w:r>
      <w:r w:rsidRPr="0017614D">
        <w:rPr>
          <w:rFonts w:ascii="Times New Roman" w:hAnsi="Times New Roman" w:cs="Times New Roman"/>
          <w:sz w:val="24"/>
          <w:szCs w:val="24"/>
          <w:lang w:val="lt-LT"/>
        </w:rPr>
        <w:lastRenderedPageBreak/>
        <w:t>įmonės įsipareigojimus svarbu atkreipti dėmesį, kad UAB „Girteka“ 2010 m. prisiėmė naujų ilgalaikių paskolų, kurios bus skirtos įmonės veiklos plėtrai bei naujiems projektams. 2010 m</w:t>
      </w:r>
      <w:r w:rsidR="00E6354F">
        <w:rPr>
          <w:rFonts w:ascii="Times New Roman" w:hAnsi="Times New Roman" w:cs="Times New Roman"/>
          <w:sz w:val="24"/>
          <w:szCs w:val="24"/>
          <w:lang w:val="lt-LT"/>
        </w:rPr>
        <w:t>. ilgalaikės skolos padidėjo 13 proc.</w:t>
      </w:r>
      <w:r w:rsidRPr="0017614D">
        <w:rPr>
          <w:rFonts w:ascii="Times New Roman" w:hAnsi="Times New Roman" w:cs="Times New Roman"/>
          <w:sz w:val="24"/>
          <w:szCs w:val="24"/>
          <w:lang w:val="lt-LT"/>
        </w:rPr>
        <w:t xml:space="preserve"> lyginant su 2009 m. taip pat įmonė per nagrinėjama laikotarpį ženkliai sumažino savo trumpalaikių paskolų dydį, tačiau 2010 m. pa</w:t>
      </w:r>
      <w:r w:rsidR="00E6354F">
        <w:rPr>
          <w:rFonts w:ascii="Times New Roman" w:hAnsi="Times New Roman" w:cs="Times New Roman"/>
          <w:sz w:val="24"/>
          <w:szCs w:val="24"/>
          <w:lang w:val="lt-LT"/>
        </w:rPr>
        <w:t>didėjo jos skolos tiekėjams (23 proc.</w:t>
      </w:r>
      <w:r w:rsidRPr="0017614D">
        <w:rPr>
          <w:rFonts w:ascii="Times New Roman" w:hAnsi="Times New Roman" w:cs="Times New Roman"/>
          <w:sz w:val="24"/>
          <w:szCs w:val="24"/>
          <w:lang w:val="lt-LT"/>
        </w:rPr>
        <w:t>) bei einamosios skol</w:t>
      </w:r>
      <w:r w:rsidR="00E6354F">
        <w:rPr>
          <w:rFonts w:ascii="Times New Roman" w:hAnsi="Times New Roman" w:cs="Times New Roman"/>
          <w:sz w:val="24"/>
          <w:szCs w:val="24"/>
          <w:lang w:val="lt-LT"/>
        </w:rPr>
        <w:t>os (35 proc.</w:t>
      </w:r>
      <w:r w:rsidRPr="0017614D">
        <w:rPr>
          <w:rFonts w:ascii="Times New Roman" w:hAnsi="Times New Roman" w:cs="Times New Roman"/>
          <w:sz w:val="24"/>
          <w:szCs w:val="24"/>
          <w:lang w:val="lt-LT"/>
        </w:rPr>
        <w:t xml:space="preserve">). </w:t>
      </w:r>
    </w:p>
    <w:p w:rsidR="003228C9" w:rsidRPr="0017614D" w:rsidRDefault="003228C9" w:rsidP="003228C9">
      <w:pPr>
        <w:shd w:val="clear" w:color="auto" w:fill="FFFFFF"/>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color w:val="000000"/>
          <w:sz w:val="24"/>
          <w:szCs w:val="24"/>
          <w:lang w:val="lt-LT"/>
        </w:rPr>
        <w:t>Nagrinėjant UAB „Girteka“ pelno (nuostolio) ataskaitą galima pastebėti, kad 2009 m. visi šios ataskaitos rodikliai neženkliai sumažėjo – įmonė gavo 9</w:t>
      </w:r>
      <w:r w:rsidR="00E6354F">
        <w:rPr>
          <w:rFonts w:ascii="Times New Roman" w:hAnsi="Times New Roman" w:cs="Times New Roman"/>
          <w:color w:val="000000"/>
          <w:sz w:val="24"/>
          <w:szCs w:val="24"/>
          <w:lang w:val="lt-LT"/>
        </w:rPr>
        <w:t xml:space="preserve"> proc.</w:t>
      </w:r>
      <w:r w:rsidRPr="0017614D">
        <w:rPr>
          <w:rFonts w:ascii="Times New Roman" w:hAnsi="Times New Roman" w:cs="Times New Roman"/>
          <w:sz w:val="24"/>
          <w:szCs w:val="24"/>
          <w:lang w:val="lt-LT"/>
        </w:rPr>
        <w:t xml:space="preserve"> mažiau pardavimo pajamų nei 2008 m., taip pat sumažėjo veiklos kaštai, įmonė patyrė finansinės veiklos nuostolį. Visi </w:t>
      </w:r>
      <w:r w:rsidR="00E6354F">
        <w:rPr>
          <w:rFonts w:ascii="Times New Roman" w:hAnsi="Times New Roman" w:cs="Times New Roman"/>
          <w:sz w:val="24"/>
          <w:szCs w:val="24"/>
          <w:lang w:val="lt-LT"/>
        </w:rPr>
        <w:t>šie veiksniai sąlygojo gautą 40 proc.</w:t>
      </w:r>
      <w:r w:rsidRPr="0017614D">
        <w:rPr>
          <w:rFonts w:ascii="Times New Roman" w:hAnsi="Times New Roman" w:cs="Times New Roman"/>
          <w:sz w:val="24"/>
          <w:szCs w:val="24"/>
          <w:lang w:val="lt-LT"/>
        </w:rPr>
        <w:t xml:space="preserve"> mažesnį pelną nei 2008 m. visgi palyginus, kad ekonominio nuosmukio metu įmonė sugebėjo dirbti pelningai yra geras rezultatas. Tuo tarpu 2010 m. palyginus su prieš tai einančiais metais įmonės visi rodikliai augo. Bendrovė atsigavo nuo krizės ir rezultate gavo pelną beveik dvigubai didesnį nei 2008 m.</w:t>
      </w:r>
    </w:p>
    <w:p w:rsidR="003228C9" w:rsidRPr="0017614D" w:rsidRDefault="003228C9" w:rsidP="003228C9">
      <w:pPr>
        <w:shd w:val="clear" w:color="auto" w:fill="FFFFFF"/>
        <w:spacing w:after="0" w:line="360" w:lineRule="auto"/>
        <w:ind w:firstLine="720"/>
        <w:contextualSpacing/>
        <w:jc w:val="both"/>
        <w:rPr>
          <w:rFonts w:ascii="Times New Roman" w:hAnsi="Times New Roman" w:cs="Times New Roman"/>
          <w:color w:val="000000"/>
          <w:sz w:val="24"/>
          <w:szCs w:val="24"/>
          <w:lang w:val="lt-LT"/>
        </w:rPr>
      </w:pPr>
      <w:r w:rsidRPr="0017614D">
        <w:rPr>
          <w:rFonts w:ascii="Times New Roman" w:hAnsi="Times New Roman" w:cs="Times New Roman"/>
          <w:sz w:val="24"/>
          <w:szCs w:val="24"/>
          <w:lang w:val="lt-LT"/>
        </w:rPr>
        <w:t>Apibendrinant galima teigti, kad UAB „Girteka“ 2008-2010 m. dirbo sėkmingai, o įmonės finansinių ataskaitų absoliutiniai rodikliai neidentifikuoja jokių finansinių problemų.</w:t>
      </w:r>
    </w:p>
    <w:p w:rsidR="003228C9" w:rsidRPr="0017614D" w:rsidRDefault="003228C9" w:rsidP="003228C9">
      <w:pPr>
        <w:tabs>
          <w:tab w:val="left" w:pos="540"/>
        </w:tabs>
        <w:autoSpaceDE w:val="0"/>
        <w:autoSpaceDN w:val="0"/>
        <w:adjustRightInd w:val="0"/>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Taip pat aptarkime ir paskutinės nagrinėjamos įmonės – UAB „Autoverslas“ absoliutinius finansinius rodiklius. Šios įmonės ilgalaikis turtas visais nagr</w:t>
      </w:r>
      <w:r w:rsidR="00E6354F">
        <w:rPr>
          <w:rFonts w:ascii="Times New Roman" w:hAnsi="Times New Roman" w:cs="Times New Roman"/>
          <w:sz w:val="24"/>
          <w:szCs w:val="24"/>
          <w:lang w:val="lt-LT"/>
        </w:rPr>
        <w:t>inėjamais metais sudarė apie 70 proc.</w:t>
      </w:r>
      <w:r w:rsidRPr="0017614D">
        <w:rPr>
          <w:rFonts w:ascii="Times New Roman" w:hAnsi="Times New Roman" w:cs="Times New Roman"/>
          <w:sz w:val="24"/>
          <w:szCs w:val="24"/>
          <w:lang w:val="lt-LT"/>
        </w:rPr>
        <w:t xml:space="preserve"> viso įmonės turto. Didžiausią šio turto dalį sudaro materialus turtas, tačiau 2010 m. padidėjo ir finansinio tur</w:t>
      </w:r>
      <w:r w:rsidR="00E6354F">
        <w:rPr>
          <w:rFonts w:ascii="Times New Roman" w:hAnsi="Times New Roman" w:cs="Times New Roman"/>
          <w:sz w:val="24"/>
          <w:szCs w:val="24"/>
          <w:lang w:val="lt-LT"/>
        </w:rPr>
        <w:t>to reikšmė, kuris sudarė net 32 proc.</w:t>
      </w:r>
      <w:r w:rsidRPr="0017614D">
        <w:rPr>
          <w:rFonts w:ascii="Times New Roman" w:hAnsi="Times New Roman" w:cs="Times New Roman"/>
          <w:sz w:val="24"/>
          <w:szCs w:val="24"/>
          <w:lang w:val="lt-LT"/>
        </w:rPr>
        <w:t xml:space="preserve"> ilgalaikio turto. UAB „Autoverslas“ 2009-2010 m. materialus ir nematerialus turtas tendencingai mažėjo, tuo tarpu finansinis visiškai atvirkščiai – sparčiai augo (atitinkamai 165</w:t>
      </w:r>
      <w:r w:rsidR="00E6354F">
        <w:rPr>
          <w:rFonts w:ascii="Times New Roman" w:hAnsi="Times New Roman" w:cs="Times New Roman"/>
          <w:sz w:val="24"/>
          <w:szCs w:val="24"/>
          <w:lang w:val="lt-LT"/>
        </w:rPr>
        <w:t xml:space="preserve"> proc. ir 94 proc.</w:t>
      </w:r>
      <w:r w:rsidRPr="0017614D">
        <w:rPr>
          <w:rFonts w:ascii="Times New Roman" w:hAnsi="Times New Roman" w:cs="Times New Roman"/>
          <w:sz w:val="24"/>
          <w:szCs w:val="24"/>
          <w:lang w:val="lt-LT"/>
        </w:rPr>
        <w:t xml:space="preserve"> augimas). Kalbant apie trumpalaikį turtą taip pat buvo pastebėmi visų straipsnių nežymus pokyčiai, tačiau neturintys ypatingos reikšmės. </w:t>
      </w:r>
    </w:p>
    <w:p w:rsidR="003228C9" w:rsidRPr="0017614D" w:rsidRDefault="003228C9" w:rsidP="003228C9">
      <w:pPr>
        <w:tabs>
          <w:tab w:val="left" w:pos="540"/>
        </w:tabs>
        <w:autoSpaceDE w:val="0"/>
        <w:autoSpaceDN w:val="0"/>
        <w:adjustRightInd w:val="0"/>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Kalbant apie nuosavą kapitalą, UAB „Autoverslas“ 2008-2010 m. uždirbo pelną, todėl jos nuosavas kapitalas kiekvienais metais šiek tiek didėjo. Taip pat įmonė 2009 m. padidino savo</w:t>
      </w:r>
      <w:r w:rsidR="00E6354F">
        <w:rPr>
          <w:rFonts w:ascii="Times New Roman" w:hAnsi="Times New Roman" w:cs="Times New Roman"/>
          <w:sz w:val="24"/>
          <w:szCs w:val="24"/>
          <w:lang w:val="lt-LT"/>
        </w:rPr>
        <w:t xml:space="preserve"> ilgalaikius įsipareigojimus 62 proc., o 2010 m. – 9 proc</w:t>
      </w:r>
      <w:r w:rsidRPr="0017614D">
        <w:rPr>
          <w:rFonts w:ascii="Times New Roman" w:hAnsi="Times New Roman" w:cs="Times New Roman"/>
          <w:sz w:val="24"/>
          <w:szCs w:val="24"/>
          <w:lang w:val="lt-LT"/>
        </w:rPr>
        <w:t>. Šie padidėję skaičiai gali būti siejami su naujomis investicijomis bei veiklos plėtra. Tuo tarpu visi trumpalaikiai įsipareigojimai tendencingai mažėjo nagrinėjamu laikotarpiu, o trumpalaikės p</w:t>
      </w:r>
      <w:r w:rsidR="00E6354F">
        <w:rPr>
          <w:rFonts w:ascii="Times New Roman" w:hAnsi="Times New Roman" w:cs="Times New Roman"/>
          <w:sz w:val="24"/>
          <w:szCs w:val="24"/>
          <w:lang w:val="lt-LT"/>
        </w:rPr>
        <w:t>askolos 2010 m. sumažėjo net 89 proc.</w:t>
      </w:r>
      <w:r w:rsidRPr="0017614D">
        <w:rPr>
          <w:rFonts w:ascii="Times New Roman" w:hAnsi="Times New Roman" w:cs="Times New Roman"/>
          <w:sz w:val="24"/>
          <w:szCs w:val="24"/>
          <w:lang w:val="lt-LT"/>
        </w:rPr>
        <w:t xml:space="preserve"> palyginus su 2009 m.</w:t>
      </w:r>
    </w:p>
    <w:p w:rsidR="003228C9" w:rsidRPr="0017614D" w:rsidRDefault="003228C9" w:rsidP="003228C9">
      <w:pPr>
        <w:tabs>
          <w:tab w:val="left" w:pos="540"/>
        </w:tabs>
        <w:autoSpaceDE w:val="0"/>
        <w:autoSpaceDN w:val="0"/>
        <w:adjustRightInd w:val="0"/>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Kalbant apie pelno (nuostolio) ataskaitą galima pastebėti, kad įmonės pelnas kiekvienais metais ženkliai augo. Pavyzdžiui, 2009 m. UAB „Aut</w:t>
      </w:r>
      <w:r w:rsidR="00E6354F">
        <w:rPr>
          <w:rFonts w:ascii="Times New Roman" w:hAnsi="Times New Roman" w:cs="Times New Roman"/>
          <w:sz w:val="24"/>
          <w:szCs w:val="24"/>
          <w:lang w:val="lt-LT"/>
        </w:rPr>
        <w:t>overslas“ pelnas išaugo net 555 proc.</w:t>
      </w:r>
      <w:r w:rsidRPr="0017614D">
        <w:rPr>
          <w:rFonts w:ascii="Times New Roman" w:hAnsi="Times New Roman" w:cs="Times New Roman"/>
          <w:sz w:val="24"/>
          <w:szCs w:val="24"/>
          <w:lang w:val="lt-LT"/>
        </w:rPr>
        <w:t>. Tokį rezultatą įmonė pasie</w:t>
      </w:r>
      <w:r w:rsidR="00E6354F">
        <w:rPr>
          <w:rFonts w:ascii="Times New Roman" w:hAnsi="Times New Roman" w:cs="Times New Roman"/>
          <w:sz w:val="24"/>
          <w:szCs w:val="24"/>
          <w:lang w:val="lt-LT"/>
        </w:rPr>
        <w:t>kė net sumažėjus pardavimams 14 proc</w:t>
      </w:r>
      <w:r w:rsidRPr="0017614D">
        <w:rPr>
          <w:rFonts w:ascii="Times New Roman" w:hAnsi="Times New Roman" w:cs="Times New Roman"/>
          <w:sz w:val="24"/>
          <w:szCs w:val="24"/>
          <w:lang w:val="lt-LT"/>
        </w:rPr>
        <w:t>. Visgi įmonė sugebėjo susiveržti diržus ir ženkliai sumažint veiklos sąnaudas, kas padėjo suefektyvinti veiklą. Tuo tarpu 2010 m. visi šios ataskaitos straipsniai augo, todėl įm</w:t>
      </w:r>
      <w:r w:rsidR="00E6354F">
        <w:rPr>
          <w:rFonts w:ascii="Times New Roman" w:hAnsi="Times New Roman" w:cs="Times New Roman"/>
          <w:sz w:val="24"/>
          <w:szCs w:val="24"/>
          <w:lang w:val="lt-LT"/>
        </w:rPr>
        <w:t>onė padidino gautą pelną dar 79 proc.</w:t>
      </w:r>
      <w:r w:rsidRPr="0017614D">
        <w:rPr>
          <w:rFonts w:ascii="Times New Roman" w:hAnsi="Times New Roman" w:cs="Times New Roman"/>
          <w:sz w:val="24"/>
          <w:szCs w:val="24"/>
          <w:lang w:val="lt-LT"/>
        </w:rPr>
        <w:t xml:space="preserve"> palyginus su 2009 m.</w:t>
      </w:r>
    </w:p>
    <w:p w:rsidR="003228C9" w:rsidRPr="0017614D" w:rsidRDefault="003228C9" w:rsidP="003228C9">
      <w:pPr>
        <w:tabs>
          <w:tab w:val="left" w:pos="540"/>
        </w:tabs>
        <w:autoSpaceDE w:val="0"/>
        <w:autoSpaceDN w:val="0"/>
        <w:adjustRightInd w:val="0"/>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lastRenderedPageBreak/>
        <w:t xml:space="preserve">Apibendrinant galima teigti, kad nors įmonė 2008 m. turėjo sąlyginai nedidelį pelną, tačiau vėlesniais metai UAB „Autoverslas“ teisingų strateginių sprendimų dėka sugebėjo pagerinti visus finansinių ataskaitų straipsnius. Taigi bankroto grėsmė šiai įmonei nėra pastebima. </w:t>
      </w:r>
    </w:p>
    <w:p w:rsidR="003228C9" w:rsidRPr="0017614D" w:rsidRDefault="003228C9" w:rsidP="003228C9">
      <w:pPr>
        <w:tabs>
          <w:tab w:val="left" w:pos="540"/>
        </w:tabs>
        <w:autoSpaceDE w:val="0"/>
        <w:autoSpaceDN w:val="0"/>
        <w:adjustRightInd w:val="0"/>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Aptarus visų keturių įmonių absoliutinius finansinius rodiklius, galima pastebėti, kad UAB „Achemarida“ ši analizė jau nuo 2008-2009 m. signalizavo, kad jos finansinė situacija </w:t>
      </w:r>
      <w:r w:rsidR="004E7005">
        <w:rPr>
          <w:rFonts w:ascii="Times New Roman" w:hAnsi="Times New Roman" w:cs="Times New Roman"/>
          <w:sz w:val="24"/>
          <w:szCs w:val="24"/>
          <w:lang w:val="lt-LT"/>
        </w:rPr>
        <w:t>yra nestabili ir šiai įmonei gre</w:t>
      </w:r>
      <w:r w:rsidRPr="0017614D">
        <w:rPr>
          <w:rFonts w:ascii="Times New Roman" w:hAnsi="Times New Roman" w:cs="Times New Roman"/>
          <w:sz w:val="24"/>
          <w:szCs w:val="24"/>
          <w:lang w:val="lt-LT"/>
        </w:rPr>
        <w:t>sia bankrotas. UAB „Romas ir ko“ dalis rodiklių buvo geri, tačiau vis didėjantis nuost</w:t>
      </w:r>
      <w:r w:rsidR="00B2220B" w:rsidRPr="0017614D">
        <w:rPr>
          <w:rFonts w:ascii="Times New Roman" w:hAnsi="Times New Roman" w:cs="Times New Roman"/>
          <w:sz w:val="24"/>
          <w:szCs w:val="24"/>
          <w:lang w:val="lt-LT"/>
        </w:rPr>
        <w:t>olis parodė vadovų nes</w:t>
      </w:r>
      <w:r w:rsidRPr="0017614D">
        <w:rPr>
          <w:rFonts w:ascii="Times New Roman" w:hAnsi="Times New Roman" w:cs="Times New Roman"/>
          <w:sz w:val="24"/>
          <w:szCs w:val="24"/>
          <w:lang w:val="lt-LT"/>
        </w:rPr>
        <w:t>ugebėji</w:t>
      </w:r>
      <w:r w:rsidR="00B2220B" w:rsidRPr="0017614D">
        <w:rPr>
          <w:rFonts w:ascii="Times New Roman" w:hAnsi="Times New Roman" w:cs="Times New Roman"/>
          <w:sz w:val="24"/>
          <w:szCs w:val="24"/>
          <w:lang w:val="lt-LT"/>
        </w:rPr>
        <w:t>m</w:t>
      </w:r>
      <w:r w:rsidRPr="0017614D">
        <w:rPr>
          <w:rFonts w:ascii="Times New Roman" w:hAnsi="Times New Roman" w:cs="Times New Roman"/>
          <w:sz w:val="24"/>
          <w:szCs w:val="24"/>
          <w:lang w:val="lt-LT"/>
        </w:rPr>
        <w:t xml:space="preserve">ą tinkamai valdyti įmonės, todėl jai irgi numatoma nemaža </w:t>
      </w:r>
      <w:r w:rsidR="00B2220B" w:rsidRPr="0017614D">
        <w:rPr>
          <w:rFonts w:ascii="Times New Roman" w:hAnsi="Times New Roman" w:cs="Times New Roman"/>
          <w:sz w:val="24"/>
          <w:szCs w:val="24"/>
          <w:lang w:val="lt-LT"/>
        </w:rPr>
        <w:t>b</w:t>
      </w:r>
      <w:r w:rsidRPr="0017614D">
        <w:rPr>
          <w:rFonts w:ascii="Times New Roman" w:hAnsi="Times New Roman" w:cs="Times New Roman"/>
          <w:sz w:val="24"/>
          <w:szCs w:val="24"/>
          <w:lang w:val="lt-LT"/>
        </w:rPr>
        <w:t>ankroto grėsmė. Tuo tarpu vis dar veikiančios įmonės šios analizės metu buvo įvertintos kaip sėkmingai dirbančios ir turinčios potencialo bendrovės.</w:t>
      </w:r>
    </w:p>
    <w:p w:rsidR="003228C9" w:rsidRPr="0017614D" w:rsidRDefault="003228C9" w:rsidP="003228C9">
      <w:pPr>
        <w:spacing w:after="0" w:line="360" w:lineRule="auto"/>
        <w:ind w:firstLine="720"/>
        <w:contextualSpacing/>
        <w:jc w:val="both"/>
        <w:rPr>
          <w:rFonts w:ascii="Times New Roman" w:hAnsi="Times New Roman" w:cs="Times New Roman"/>
          <w:sz w:val="24"/>
          <w:szCs w:val="24"/>
          <w:lang w:val="lt-LT"/>
        </w:rPr>
      </w:pPr>
    </w:p>
    <w:p w:rsidR="003228C9" w:rsidRPr="0017614D" w:rsidRDefault="00545B5E" w:rsidP="003228C9">
      <w:pPr>
        <w:pStyle w:val="Heading2"/>
        <w:spacing w:before="0"/>
        <w:contextualSpacing/>
        <w:rPr>
          <w:lang w:val="lt-LT"/>
        </w:rPr>
      </w:pPr>
      <w:bookmarkStart w:id="99" w:name="_Toc374655660"/>
      <w:r w:rsidRPr="0017614D">
        <w:rPr>
          <w:lang w:val="lt-LT"/>
        </w:rPr>
        <w:t>3.5. Transportavimo įmonių f</w:t>
      </w:r>
      <w:r w:rsidR="003228C9" w:rsidRPr="0017614D">
        <w:rPr>
          <w:lang w:val="lt-LT"/>
        </w:rPr>
        <w:t xml:space="preserve">inansinių </w:t>
      </w:r>
      <w:r w:rsidR="0035115D" w:rsidRPr="0017614D">
        <w:rPr>
          <w:lang w:val="lt-LT"/>
        </w:rPr>
        <w:t xml:space="preserve">santykinių </w:t>
      </w:r>
      <w:r w:rsidR="003228C9" w:rsidRPr="0017614D">
        <w:rPr>
          <w:lang w:val="lt-LT"/>
        </w:rPr>
        <w:t>rodiklių skaičiavimas ir vertinimas</w:t>
      </w:r>
      <w:bookmarkEnd w:id="99"/>
    </w:p>
    <w:p w:rsidR="003228C9" w:rsidRPr="0017614D" w:rsidRDefault="003228C9" w:rsidP="003228C9">
      <w:pPr>
        <w:spacing w:after="0"/>
        <w:contextualSpacing/>
        <w:rPr>
          <w:lang w:val="lt-LT"/>
        </w:rPr>
      </w:pPr>
    </w:p>
    <w:p w:rsidR="003228C9" w:rsidRPr="0017614D" w:rsidRDefault="003228C9" w:rsidP="003228C9">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Tęsiant UAB „Achemarida“, UAB „Romas ir ko“, UAB „Girteka“ ir UAB „Autoverslas“ galimos bankroto grėsmės diagnozavimą reikia ne tik išnagrinėti įmonės duomenis, bet ir palyginti juos su kitų įmonių duomenimis arba nustatytomis kritinėmis reikšmėmis. Šiuo tikslu gali būti analizuojami įmonių santykiniai rodikliai. Kad gauti kuo objektyvesnius rezultatus, šiame tyrime santykinius rodiklius palyginsime ne tik su įvairių autorių nustatytomis kritinėmis ribomis, bet ir su Lietuvos Statistikos departamento skelbiamais vidutiniais Lietuvos transporto paslaugas teikiančių įmonių santykinių rodiklių dydžiais mūsų negrinėjamu laikotarpiu, t. y. 2008-2010 m.</w:t>
      </w:r>
      <w:r w:rsidR="008F08C9">
        <w:rPr>
          <w:rFonts w:ascii="Times New Roman" w:hAnsi="Times New Roman" w:cs="Times New Roman"/>
          <w:sz w:val="24"/>
          <w:szCs w:val="24"/>
          <w:lang w:val="lt-LT"/>
        </w:rPr>
        <w:t xml:space="preserve"> Rodiklių paskaičiavimas yra pateiktas 3 priede.</w:t>
      </w:r>
    </w:p>
    <w:p w:rsidR="003228C9" w:rsidRDefault="003228C9" w:rsidP="003228C9">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Šią analizę pradėkime nuo mokumo rodiklių nagrinėjimo. Pirmasis buvo paskaičiuotas bendrasis trumpala</w:t>
      </w:r>
      <w:r w:rsidR="004E188A" w:rsidRPr="0017614D">
        <w:rPr>
          <w:rFonts w:ascii="Times New Roman" w:hAnsi="Times New Roman" w:cs="Times New Roman"/>
          <w:sz w:val="24"/>
          <w:szCs w:val="24"/>
          <w:lang w:val="lt-LT"/>
        </w:rPr>
        <w:t>ikio mokumo koeficientas (žr. 10</w:t>
      </w:r>
      <w:r w:rsidRPr="0017614D">
        <w:rPr>
          <w:rFonts w:ascii="Times New Roman" w:hAnsi="Times New Roman" w:cs="Times New Roman"/>
          <w:sz w:val="24"/>
          <w:szCs w:val="24"/>
          <w:lang w:val="lt-LT"/>
        </w:rPr>
        <w:t xml:space="preserve"> lent.). </w:t>
      </w:r>
    </w:p>
    <w:p w:rsidR="004E7005" w:rsidRPr="0017614D" w:rsidRDefault="004E7005" w:rsidP="003228C9">
      <w:pPr>
        <w:spacing w:after="0" w:line="360" w:lineRule="auto"/>
        <w:ind w:firstLine="720"/>
        <w:contextualSpacing/>
        <w:jc w:val="both"/>
        <w:rPr>
          <w:rFonts w:ascii="Times New Roman" w:hAnsi="Times New Roman" w:cs="Times New Roman"/>
          <w:sz w:val="24"/>
          <w:szCs w:val="24"/>
          <w:lang w:val="lt-LT"/>
        </w:rPr>
      </w:pPr>
    </w:p>
    <w:p w:rsidR="003228C9" w:rsidRPr="0017614D" w:rsidRDefault="004E188A" w:rsidP="003228C9">
      <w:pPr>
        <w:contextualSpacing/>
        <w:jc w:val="center"/>
        <w:rPr>
          <w:rFonts w:ascii="Times New Roman" w:hAnsi="Times New Roman" w:cs="Times New Roman"/>
          <w:lang w:val="lt-LT"/>
        </w:rPr>
      </w:pPr>
      <w:r w:rsidRPr="0017614D">
        <w:rPr>
          <w:rFonts w:ascii="Times New Roman" w:hAnsi="Times New Roman" w:cs="Times New Roman"/>
          <w:lang w:val="lt-LT"/>
        </w:rPr>
        <w:t>10</w:t>
      </w:r>
      <w:r w:rsidR="003228C9" w:rsidRPr="0017614D">
        <w:rPr>
          <w:rFonts w:ascii="Times New Roman" w:hAnsi="Times New Roman" w:cs="Times New Roman"/>
          <w:lang w:val="lt-LT"/>
        </w:rPr>
        <w:t xml:space="preserve"> lentelė.</w:t>
      </w:r>
      <w:r w:rsidR="003228C9" w:rsidRPr="0017614D">
        <w:rPr>
          <w:rFonts w:ascii="Times New Roman" w:hAnsi="Times New Roman" w:cs="Times New Roman"/>
          <w:b/>
          <w:lang w:val="lt-LT"/>
        </w:rPr>
        <w:t xml:space="preserve"> UAB „Achemarida“, UAB „Romas ir ko“, UAB „Girteka“ ir UAB „Autoverslas“ 2008-2010 m. bendrojo trumpalaikio mokumo koeficientai</w:t>
      </w:r>
    </w:p>
    <w:tbl>
      <w:tblPr>
        <w:tblW w:w="6755" w:type="dxa"/>
        <w:jc w:val="center"/>
        <w:tblInd w:w="93" w:type="dxa"/>
        <w:tblLook w:val="04A0"/>
      </w:tblPr>
      <w:tblGrid>
        <w:gridCol w:w="2219"/>
        <w:gridCol w:w="1454"/>
        <w:gridCol w:w="1523"/>
        <w:gridCol w:w="1559"/>
      </w:tblGrid>
      <w:tr w:rsidR="003228C9" w:rsidRPr="0017614D" w:rsidTr="00A4340C">
        <w:trPr>
          <w:trHeight w:val="300"/>
          <w:jc w:val="center"/>
        </w:trPr>
        <w:tc>
          <w:tcPr>
            <w:tcW w:w="2219" w:type="dxa"/>
            <w:vMerge w:val="restart"/>
            <w:tcBorders>
              <w:top w:val="single" w:sz="4" w:space="0" w:color="auto"/>
              <w:left w:val="single" w:sz="4" w:space="0" w:color="auto"/>
              <w:bottom w:val="single" w:sz="4" w:space="0" w:color="000000"/>
              <w:right w:val="single" w:sz="4" w:space="0" w:color="auto"/>
            </w:tcBorders>
            <w:shd w:val="clear" w:color="000000" w:fill="FCD5B4"/>
            <w:noWrap/>
            <w:vAlign w:val="center"/>
            <w:hideMark/>
          </w:tcPr>
          <w:p w:rsidR="003228C9" w:rsidRPr="0017614D" w:rsidRDefault="003228C9" w:rsidP="00A4340C">
            <w:pPr>
              <w:spacing w:after="0" w:line="240" w:lineRule="auto"/>
              <w:jc w:val="center"/>
              <w:rPr>
                <w:rFonts w:ascii="Times New Roman" w:eastAsia="Times New Roman" w:hAnsi="Times New Roman" w:cs="Times New Roman"/>
                <w:b/>
                <w:bCs/>
                <w:color w:val="000000"/>
                <w:lang w:val="lt-LT"/>
              </w:rPr>
            </w:pPr>
            <w:r w:rsidRPr="0017614D">
              <w:rPr>
                <w:rFonts w:ascii="Times New Roman" w:eastAsia="Times New Roman" w:hAnsi="Times New Roman" w:cs="Times New Roman"/>
                <w:b/>
                <w:bCs/>
                <w:color w:val="000000"/>
                <w:lang w:val="lt-LT"/>
              </w:rPr>
              <w:t>Įmonė</w:t>
            </w:r>
          </w:p>
        </w:tc>
        <w:tc>
          <w:tcPr>
            <w:tcW w:w="4536" w:type="dxa"/>
            <w:gridSpan w:val="3"/>
            <w:tcBorders>
              <w:top w:val="single" w:sz="4" w:space="0" w:color="auto"/>
              <w:left w:val="nil"/>
              <w:bottom w:val="single" w:sz="4" w:space="0" w:color="auto"/>
              <w:right w:val="single" w:sz="4" w:space="0" w:color="auto"/>
            </w:tcBorders>
            <w:shd w:val="clear" w:color="000000" w:fill="FCD5B4"/>
            <w:noWrap/>
            <w:vAlign w:val="center"/>
            <w:hideMark/>
          </w:tcPr>
          <w:p w:rsidR="003228C9" w:rsidRPr="0017614D" w:rsidRDefault="003228C9" w:rsidP="00A4340C">
            <w:pPr>
              <w:spacing w:after="0" w:line="240" w:lineRule="auto"/>
              <w:jc w:val="center"/>
              <w:rPr>
                <w:rFonts w:ascii="Times New Roman" w:eastAsia="Times New Roman" w:hAnsi="Times New Roman" w:cs="Times New Roman"/>
                <w:b/>
                <w:bCs/>
                <w:color w:val="000000"/>
                <w:lang w:val="lt-LT"/>
              </w:rPr>
            </w:pPr>
            <w:r w:rsidRPr="0017614D">
              <w:rPr>
                <w:rFonts w:ascii="Times New Roman" w:eastAsia="Times New Roman" w:hAnsi="Times New Roman" w:cs="Times New Roman"/>
                <w:b/>
                <w:bCs/>
                <w:color w:val="000000"/>
                <w:lang w:val="lt-LT"/>
              </w:rPr>
              <w:t>Bendrasis trumpalaikio mokumo koeficientas</w:t>
            </w:r>
          </w:p>
        </w:tc>
      </w:tr>
      <w:tr w:rsidR="003228C9" w:rsidRPr="0017614D" w:rsidTr="00A4340C">
        <w:trPr>
          <w:trHeight w:val="300"/>
          <w:jc w:val="center"/>
        </w:trPr>
        <w:tc>
          <w:tcPr>
            <w:tcW w:w="2219" w:type="dxa"/>
            <w:vMerge/>
            <w:tcBorders>
              <w:top w:val="single" w:sz="4" w:space="0" w:color="auto"/>
              <w:left w:val="single" w:sz="4" w:space="0" w:color="auto"/>
              <w:bottom w:val="single" w:sz="4" w:space="0" w:color="000000"/>
              <w:right w:val="single" w:sz="4" w:space="0" w:color="auto"/>
            </w:tcBorders>
            <w:vAlign w:val="center"/>
            <w:hideMark/>
          </w:tcPr>
          <w:p w:rsidR="003228C9" w:rsidRPr="0017614D" w:rsidRDefault="003228C9" w:rsidP="00A4340C">
            <w:pPr>
              <w:spacing w:after="0" w:line="240" w:lineRule="auto"/>
              <w:rPr>
                <w:rFonts w:ascii="Times New Roman" w:eastAsia="Times New Roman" w:hAnsi="Times New Roman" w:cs="Times New Roman"/>
                <w:b/>
                <w:bCs/>
                <w:color w:val="000000"/>
                <w:lang w:val="lt-LT"/>
              </w:rPr>
            </w:pPr>
          </w:p>
        </w:tc>
        <w:tc>
          <w:tcPr>
            <w:tcW w:w="1454" w:type="dxa"/>
            <w:tcBorders>
              <w:top w:val="nil"/>
              <w:left w:val="nil"/>
              <w:bottom w:val="single" w:sz="4" w:space="0" w:color="auto"/>
              <w:right w:val="single" w:sz="4" w:space="0" w:color="auto"/>
            </w:tcBorders>
            <w:shd w:val="clear" w:color="000000" w:fill="FDE9D9"/>
            <w:noWrap/>
            <w:vAlign w:val="center"/>
            <w:hideMark/>
          </w:tcPr>
          <w:p w:rsidR="003228C9" w:rsidRPr="0017614D" w:rsidRDefault="003228C9" w:rsidP="00A4340C">
            <w:pPr>
              <w:spacing w:after="0" w:line="240" w:lineRule="auto"/>
              <w:jc w:val="center"/>
              <w:rPr>
                <w:rFonts w:ascii="Times New Roman" w:eastAsia="Times New Roman" w:hAnsi="Times New Roman" w:cs="Times New Roman"/>
                <w:b/>
                <w:bCs/>
                <w:i/>
                <w:iCs/>
                <w:color w:val="000000"/>
                <w:lang w:val="lt-LT"/>
              </w:rPr>
            </w:pPr>
            <w:r w:rsidRPr="0017614D">
              <w:rPr>
                <w:rFonts w:ascii="Times New Roman" w:eastAsia="Times New Roman" w:hAnsi="Times New Roman" w:cs="Times New Roman"/>
                <w:b/>
                <w:bCs/>
                <w:i/>
                <w:iCs/>
                <w:color w:val="000000"/>
                <w:lang w:val="lt-LT"/>
              </w:rPr>
              <w:t>2008</w:t>
            </w:r>
          </w:p>
        </w:tc>
        <w:tc>
          <w:tcPr>
            <w:tcW w:w="1523" w:type="dxa"/>
            <w:tcBorders>
              <w:top w:val="nil"/>
              <w:left w:val="nil"/>
              <w:bottom w:val="single" w:sz="4" w:space="0" w:color="auto"/>
              <w:right w:val="single" w:sz="4" w:space="0" w:color="auto"/>
            </w:tcBorders>
            <w:shd w:val="clear" w:color="000000" w:fill="FDE9D9"/>
            <w:noWrap/>
            <w:vAlign w:val="center"/>
            <w:hideMark/>
          </w:tcPr>
          <w:p w:rsidR="003228C9" w:rsidRPr="0017614D" w:rsidRDefault="003228C9" w:rsidP="00A4340C">
            <w:pPr>
              <w:spacing w:after="0" w:line="240" w:lineRule="auto"/>
              <w:jc w:val="center"/>
              <w:rPr>
                <w:rFonts w:ascii="Times New Roman" w:eastAsia="Times New Roman" w:hAnsi="Times New Roman" w:cs="Times New Roman"/>
                <w:b/>
                <w:bCs/>
                <w:i/>
                <w:iCs/>
                <w:color w:val="000000"/>
                <w:lang w:val="lt-LT"/>
              </w:rPr>
            </w:pPr>
            <w:r w:rsidRPr="0017614D">
              <w:rPr>
                <w:rFonts w:ascii="Times New Roman" w:eastAsia="Times New Roman" w:hAnsi="Times New Roman" w:cs="Times New Roman"/>
                <w:b/>
                <w:bCs/>
                <w:i/>
                <w:iCs/>
                <w:color w:val="000000"/>
                <w:lang w:val="lt-LT"/>
              </w:rPr>
              <w:t>2009</w:t>
            </w:r>
          </w:p>
        </w:tc>
        <w:tc>
          <w:tcPr>
            <w:tcW w:w="1559" w:type="dxa"/>
            <w:tcBorders>
              <w:top w:val="nil"/>
              <w:left w:val="nil"/>
              <w:bottom w:val="single" w:sz="4" w:space="0" w:color="auto"/>
              <w:right w:val="single" w:sz="4" w:space="0" w:color="auto"/>
            </w:tcBorders>
            <w:shd w:val="clear" w:color="000000" w:fill="FDE9D9"/>
            <w:noWrap/>
            <w:vAlign w:val="center"/>
            <w:hideMark/>
          </w:tcPr>
          <w:p w:rsidR="003228C9" w:rsidRPr="0017614D" w:rsidRDefault="003228C9" w:rsidP="00A4340C">
            <w:pPr>
              <w:spacing w:after="0" w:line="240" w:lineRule="auto"/>
              <w:jc w:val="center"/>
              <w:rPr>
                <w:rFonts w:ascii="Times New Roman" w:eastAsia="Times New Roman" w:hAnsi="Times New Roman" w:cs="Times New Roman"/>
                <w:b/>
                <w:bCs/>
                <w:i/>
                <w:iCs/>
                <w:color w:val="000000"/>
                <w:lang w:val="lt-LT"/>
              </w:rPr>
            </w:pPr>
            <w:r w:rsidRPr="0017614D">
              <w:rPr>
                <w:rFonts w:ascii="Times New Roman" w:eastAsia="Times New Roman" w:hAnsi="Times New Roman" w:cs="Times New Roman"/>
                <w:b/>
                <w:bCs/>
                <w:i/>
                <w:iCs/>
                <w:color w:val="000000"/>
                <w:lang w:val="lt-LT"/>
              </w:rPr>
              <w:t>2010</w:t>
            </w:r>
          </w:p>
        </w:tc>
      </w:tr>
      <w:tr w:rsidR="003228C9" w:rsidRPr="0017614D" w:rsidTr="00A4340C">
        <w:trPr>
          <w:trHeight w:val="300"/>
          <w:jc w:val="center"/>
        </w:trPr>
        <w:tc>
          <w:tcPr>
            <w:tcW w:w="2219" w:type="dxa"/>
            <w:tcBorders>
              <w:top w:val="nil"/>
              <w:left w:val="single" w:sz="4" w:space="0" w:color="auto"/>
              <w:bottom w:val="single" w:sz="4" w:space="0" w:color="auto"/>
              <w:right w:val="single" w:sz="4" w:space="0" w:color="auto"/>
            </w:tcBorders>
            <w:shd w:val="clear" w:color="000000" w:fill="FDE9D9"/>
            <w:noWrap/>
            <w:vAlign w:val="center"/>
            <w:hideMark/>
          </w:tcPr>
          <w:p w:rsidR="003228C9" w:rsidRPr="0017614D" w:rsidRDefault="003228C9" w:rsidP="00A4340C">
            <w:pPr>
              <w:spacing w:after="0" w:line="240" w:lineRule="auto"/>
              <w:rPr>
                <w:rFonts w:ascii="Times New Roman" w:eastAsia="Times New Roman" w:hAnsi="Times New Roman" w:cs="Times New Roman"/>
                <w:i/>
                <w:iCs/>
                <w:color w:val="000000"/>
                <w:lang w:val="lt-LT"/>
              </w:rPr>
            </w:pPr>
            <w:r w:rsidRPr="0017614D">
              <w:rPr>
                <w:rFonts w:ascii="Times New Roman" w:eastAsia="Times New Roman" w:hAnsi="Times New Roman" w:cs="Times New Roman"/>
                <w:i/>
                <w:iCs/>
                <w:color w:val="000000"/>
                <w:lang w:val="lt-LT"/>
              </w:rPr>
              <w:t>*UAB "Achemarida"</w:t>
            </w:r>
          </w:p>
        </w:tc>
        <w:tc>
          <w:tcPr>
            <w:tcW w:w="1454" w:type="dxa"/>
            <w:tcBorders>
              <w:top w:val="nil"/>
              <w:left w:val="nil"/>
              <w:bottom w:val="single" w:sz="4" w:space="0" w:color="auto"/>
              <w:right w:val="single" w:sz="4" w:space="0" w:color="auto"/>
            </w:tcBorders>
            <w:shd w:val="clear" w:color="auto" w:fill="auto"/>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2.316</w:t>
            </w:r>
          </w:p>
        </w:tc>
        <w:tc>
          <w:tcPr>
            <w:tcW w:w="1523" w:type="dxa"/>
            <w:tcBorders>
              <w:top w:val="nil"/>
              <w:left w:val="nil"/>
              <w:bottom w:val="single" w:sz="4" w:space="0" w:color="auto"/>
              <w:right w:val="single" w:sz="4" w:space="0" w:color="auto"/>
            </w:tcBorders>
            <w:shd w:val="clear" w:color="auto" w:fill="auto"/>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1.204</w:t>
            </w:r>
          </w:p>
        </w:tc>
        <w:tc>
          <w:tcPr>
            <w:tcW w:w="1559" w:type="dxa"/>
            <w:tcBorders>
              <w:top w:val="nil"/>
              <w:left w:val="nil"/>
              <w:bottom w:val="single" w:sz="4" w:space="0" w:color="auto"/>
              <w:right w:val="single" w:sz="4" w:space="0" w:color="auto"/>
            </w:tcBorders>
            <w:shd w:val="clear" w:color="auto" w:fill="E36C0A" w:themeFill="accent6" w:themeFillShade="BF"/>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0.805</w:t>
            </w:r>
          </w:p>
        </w:tc>
      </w:tr>
      <w:tr w:rsidR="003228C9" w:rsidRPr="0017614D" w:rsidTr="00A4340C">
        <w:trPr>
          <w:trHeight w:val="300"/>
          <w:jc w:val="center"/>
        </w:trPr>
        <w:tc>
          <w:tcPr>
            <w:tcW w:w="2219" w:type="dxa"/>
            <w:tcBorders>
              <w:top w:val="nil"/>
              <w:left w:val="single" w:sz="4" w:space="0" w:color="auto"/>
              <w:bottom w:val="single" w:sz="4" w:space="0" w:color="auto"/>
              <w:right w:val="single" w:sz="4" w:space="0" w:color="auto"/>
            </w:tcBorders>
            <w:shd w:val="clear" w:color="000000" w:fill="FDE9D9"/>
            <w:noWrap/>
            <w:vAlign w:val="center"/>
            <w:hideMark/>
          </w:tcPr>
          <w:p w:rsidR="003228C9" w:rsidRPr="0017614D" w:rsidRDefault="003228C9" w:rsidP="00A4340C">
            <w:pPr>
              <w:spacing w:after="0" w:line="240" w:lineRule="auto"/>
              <w:rPr>
                <w:rFonts w:ascii="Times New Roman" w:eastAsia="Times New Roman" w:hAnsi="Times New Roman" w:cs="Times New Roman"/>
                <w:i/>
                <w:iCs/>
                <w:color w:val="000000"/>
                <w:lang w:val="lt-LT"/>
              </w:rPr>
            </w:pPr>
            <w:r w:rsidRPr="0017614D">
              <w:rPr>
                <w:rFonts w:ascii="Times New Roman" w:eastAsia="Times New Roman" w:hAnsi="Times New Roman" w:cs="Times New Roman"/>
                <w:i/>
                <w:iCs/>
                <w:color w:val="000000"/>
                <w:lang w:val="lt-LT"/>
              </w:rPr>
              <w:t>*UAB "Romas ir ko"</w:t>
            </w:r>
          </w:p>
        </w:tc>
        <w:tc>
          <w:tcPr>
            <w:tcW w:w="1454" w:type="dxa"/>
            <w:tcBorders>
              <w:top w:val="nil"/>
              <w:left w:val="nil"/>
              <w:bottom w:val="single" w:sz="4" w:space="0" w:color="auto"/>
              <w:right w:val="single" w:sz="4" w:space="0" w:color="auto"/>
            </w:tcBorders>
            <w:shd w:val="clear" w:color="auto" w:fill="auto"/>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2.539</w:t>
            </w:r>
          </w:p>
        </w:tc>
        <w:tc>
          <w:tcPr>
            <w:tcW w:w="1523" w:type="dxa"/>
            <w:tcBorders>
              <w:top w:val="nil"/>
              <w:left w:val="nil"/>
              <w:bottom w:val="single" w:sz="4" w:space="0" w:color="auto"/>
              <w:right w:val="single" w:sz="4" w:space="0" w:color="auto"/>
            </w:tcBorders>
            <w:shd w:val="clear" w:color="auto" w:fill="auto"/>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4.332</w:t>
            </w:r>
          </w:p>
        </w:tc>
        <w:tc>
          <w:tcPr>
            <w:tcW w:w="1559" w:type="dxa"/>
            <w:tcBorders>
              <w:top w:val="nil"/>
              <w:left w:val="nil"/>
              <w:bottom w:val="single" w:sz="4" w:space="0" w:color="auto"/>
              <w:right w:val="single" w:sz="4" w:space="0" w:color="auto"/>
            </w:tcBorders>
            <w:shd w:val="clear" w:color="auto" w:fill="auto"/>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2.804</w:t>
            </w:r>
          </w:p>
        </w:tc>
      </w:tr>
      <w:tr w:rsidR="003228C9" w:rsidRPr="0017614D" w:rsidTr="00A4340C">
        <w:trPr>
          <w:trHeight w:val="300"/>
          <w:jc w:val="center"/>
        </w:trPr>
        <w:tc>
          <w:tcPr>
            <w:tcW w:w="2219" w:type="dxa"/>
            <w:tcBorders>
              <w:top w:val="nil"/>
              <w:left w:val="single" w:sz="4" w:space="0" w:color="auto"/>
              <w:bottom w:val="single" w:sz="4" w:space="0" w:color="auto"/>
              <w:right w:val="single" w:sz="4" w:space="0" w:color="auto"/>
            </w:tcBorders>
            <w:shd w:val="clear" w:color="000000" w:fill="FDE9D9"/>
            <w:noWrap/>
            <w:vAlign w:val="center"/>
            <w:hideMark/>
          </w:tcPr>
          <w:p w:rsidR="003228C9" w:rsidRPr="0017614D" w:rsidRDefault="003228C9" w:rsidP="00A4340C">
            <w:pPr>
              <w:spacing w:after="0" w:line="240" w:lineRule="auto"/>
              <w:rPr>
                <w:rFonts w:ascii="Times New Roman" w:eastAsia="Times New Roman" w:hAnsi="Times New Roman" w:cs="Times New Roman"/>
                <w:i/>
                <w:iCs/>
                <w:color w:val="000000"/>
                <w:lang w:val="lt-LT"/>
              </w:rPr>
            </w:pPr>
            <w:r w:rsidRPr="0017614D">
              <w:rPr>
                <w:rFonts w:ascii="Times New Roman" w:eastAsia="Times New Roman" w:hAnsi="Times New Roman" w:cs="Times New Roman"/>
                <w:i/>
                <w:iCs/>
                <w:color w:val="000000"/>
                <w:lang w:val="lt-LT"/>
              </w:rPr>
              <w:t>UAB "Girteka"</w:t>
            </w:r>
          </w:p>
        </w:tc>
        <w:tc>
          <w:tcPr>
            <w:tcW w:w="1454" w:type="dxa"/>
            <w:tcBorders>
              <w:top w:val="nil"/>
              <w:left w:val="nil"/>
              <w:bottom w:val="single" w:sz="4" w:space="0" w:color="auto"/>
              <w:right w:val="single" w:sz="4" w:space="0" w:color="auto"/>
            </w:tcBorders>
            <w:shd w:val="clear" w:color="auto" w:fill="E36C0A" w:themeFill="accent6" w:themeFillShade="BF"/>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0.719</w:t>
            </w:r>
          </w:p>
        </w:tc>
        <w:tc>
          <w:tcPr>
            <w:tcW w:w="1523" w:type="dxa"/>
            <w:tcBorders>
              <w:top w:val="nil"/>
              <w:left w:val="nil"/>
              <w:bottom w:val="single" w:sz="4" w:space="0" w:color="auto"/>
              <w:right w:val="single" w:sz="4" w:space="0" w:color="auto"/>
            </w:tcBorders>
            <w:shd w:val="clear" w:color="auto" w:fill="E36C0A" w:themeFill="accent6" w:themeFillShade="BF"/>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0.936</w:t>
            </w:r>
          </w:p>
        </w:tc>
        <w:tc>
          <w:tcPr>
            <w:tcW w:w="1559" w:type="dxa"/>
            <w:tcBorders>
              <w:top w:val="nil"/>
              <w:left w:val="nil"/>
              <w:bottom w:val="single" w:sz="4" w:space="0" w:color="auto"/>
              <w:right w:val="single" w:sz="4" w:space="0" w:color="auto"/>
            </w:tcBorders>
            <w:shd w:val="clear" w:color="auto" w:fill="auto"/>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1.473</w:t>
            </w:r>
          </w:p>
        </w:tc>
      </w:tr>
      <w:tr w:rsidR="003228C9" w:rsidRPr="0017614D" w:rsidTr="003228C9">
        <w:trPr>
          <w:trHeight w:val="289"/>
          <w:jc w:val="center"/>
        </w:trPr>
        <w:tc>
          <w:tcPr>
            <w:tcW w:w="2219" w:type="dxa"/>
            <w:tcBorders>
              <w:top w:val="nil"/>
              <w:left w:val="single" w:sz="4" w:space="0" w:color="auto"/>
              <w:bottom w:val="single" w:sz="4" w:space="0" w:color="auto"/>
              <w:right w:val="single" w:sz="4" w:space="0" w:color="auto"/>
            </w:tcBorders>
            <w:shd w:val="clear" w:color="000000" w:fill="FDE9D9"/>
            <w:noWrap/>
            <w:vAlign w:val="center"/>
            <w:hideMark/>
          </w:tcPr>
          <w:p w:rsidR="003228C9" w:rsidRPr="0017614D" w:rsidRDefault="003228C9" w:rsidP="00A4340C">
            <w:pPr>
              <w:spacing w:after="0" w:line="240" w:lineRule="auto"/>
              <w:rPr>
                <w:rFonts w:ascii="Times New Roman" w:eastAsia="Times New Roman" w:hAnsi="Times New Roman" w:cs="Times New Roman"/>
                <w:i/>
                <w:iCs/>
                <w:color w:val="000000"/>
                <w:lang w:val="lt-LT"/>
              </w:rPr>
            </w:pPr>
            <w:r w:rsidRPr="0017614D">
              <w:rPr>
                <w:rFonts w:ascii="Times New Roman" w:eastAsia="Times New Roman" w:hAnsi="Times New Roman" w:cs="Times New Roman"/>
                <w:i/>
                <w:iCs/>
                <w:color w:val="000000"/>
                <w:lang w:val="lt-LT"/>
              </w:rPr>
              <w:t>UAB "Autoverslas"</w:t>
            </w:r>
          </w:p>
        </w:tc>
        <w:tc>
          <w:tcPr>
            <w:tcW w:w="1454" w:type="dxa"/>
            <w:tcBorders>
              <w:top w:val="nil"/>
              <w:left w:val="nil"/>
              <w:bottom w:val="single" w:sz="4" w:space="0" w:color="auto"/>
              <w:right w:val="single" w:sz="4" w:space="0" w:color="auto"/>
            </w:tcBorders>
            <w:shd w:val="clear" w:color="auto" w:fill="E36C0A" w:themeFill="accent6" w:themeFillShade="BF"/>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0.833</w:t>
            </w:r>
          </w:p>
        </w:tc>
        <w:tc>
          <w:tcPr>
            <w:tcW w:w="1523" w:type="dxa"/>
            <w:tcBorders>
              <w:top w:val="nil"/>
              <w:left w:val="nil"/>
              <w:bottom w:val="single" w:sz="4" w:space="0" w:color="auto"/>
              <w:right w:val="single" w:sz="4" w:space="0" w:color="auto"/>
            </w:tcBorders>
            <w:shd w:val="clear" w:color="auto" w:fill="auto"/>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1.683</w:t>
            </w:r>
          </w:p>
        </w:tc>
        <w:tc>
          <w:tcPr>
            <w:tcW w:w="1559" w:type="dxa"/>
            <w:tcBorders>
              <w:top w:val="nil"/>
              <w:left w:val="nil"/>
              <w:bottom w:val="single" w:sz="4" w:space="0" w:color="auto"/>
              <w:right w:val="single" w:sz="4" w:space="0" w:color="auto"/>
            </w:tcBorders>
            <w:shd w:val="clear" w:color="auto" w:fill="auto"/>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2.685</w:t>
            </w:r>
          </w:p>
        </w:tc>
      </w:tr>
    </w:tbl>
    <w:p w:rsidR="003228C9" w:rsidRPr="0017614D" w:rsidRDefault="003228C9" w:rsidP="003228C9">
      <w:pPr>
        <w:spacing w:after="0" w:line="360" w:lineRule="auto"/>
        <w:ind w:firstLine="720"/>
        <w:contextualSpacing/>
        <w:jc w:val="both"/>
        <w:rPr>
          <w:rFonts w:ascii="Times New Roman" w:hAnsi="Times New Roman" w:cs="Times New Roman"/>
          <w:sz w:val="24"/>
          <w:szCs w:val="24"/>
          <w:lang w:val="lt-LT"/>
        </w:rPr>
      </w:pPr>
    </w:p>
    <w:p w:rsidR="004E7005" w:rsidRDefault="004E7005" w:rsidP="004E7005">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Trumpalaikio mokumo koeficientas parodo, kaip įmonė sugeba trumpalaikėmis mokėjimo priemonėmis įvykdyti savo trumpalaikius įsipareigojimus. Jo reikšmė yra vertinama gerai, kai ji viršija 1. </w:t>
      </w:r>
      <w:r w:rsidRPr="0017614D">
        <w:rPr>
          <w:rFonts w:ascii="Times New Roman" w:hAnsi="Times New Roman" w:cs="Times New Roman"/>
          <w:sz w:val="24"/>
          <w:szCs w:val="24"/>
          <w:lang w:val="lt-LT"/>
        </w:rPr>
        <w:lastRenderedPageBreak/>
        <w:t>Vidutinės Lietuvos transportavimo įmonių šio rodiklio reikšmės buvo 2008 m. – 1.46, 2009 m. – 1.34 ir 2010 m. – 1.57, kas reiškia, kad vidutinė Lietuvos transportavimo įmonė viršijo kritinę reikšmę.</w:t>
      </w:r>
    </w:p>
    <w:p w:rsidR="003228C9" w:rsidRPr="0017614D" w:rsidRDefault="003228C9" w:rsidP="003228C9">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Kaip matome </w:t>
      </w:r>
      <w:r w:rsidR="004E7005">
        <w:rPr>
          <w:rFonts w:ascii="Times New Roman" w:hAnsi="Times New Roman" w:cs="Times New Roman"/>
          <w:sz w:val="24"/>
          <w:szCs w:val="24"/>
          <w:lang w:val="lt-LT"/>
        </w:rPr>
        <w:t>iš 10</w:t>
      </w:r>
      <w:r w:rsidR="00820234" w:rsidRPr="0017614D">
        <w:rPr>
          <w:rFonts w:ascii="Times New Roman" w:hAnsi="Times New Roman" w:cs="Times New Roman"/>
          <w:sz w:val="24"/>
          <w:szCs w:val="24"/>
          <w:lang w:val="lt-LT"/>
        </w:rPr>
        <w:t xml:space="preserve"> lentelės duomenų</w:t>
      </w:r>
      <w:r w:rsidRPr="0017614D">
        <w:rPr>
          <w:rFonts w:ascii="Times New Roman" w:hAnsi="Times New Roman" w:cs="Times New Roman"/>
          <w:sz w:val="24"/>
          <w:szCs w:val="24"/>
          <w:lang w:val="lt-LT"/>
        </w:rPr>
        <w:t xml:space="preserve"> UAB „Achemarida“ bendrasis trumpalaikio mokumo koeficientas 2008 ir 2009 m. yra didesnis už 1, tuo tarpu 2010 m. – mažesnis. Taip pat 2009-2010 m. šios įmonės bendrasis trumpalaikio mokumo koeficientas buvo mažesnis už Lietuvos vidurkį. Taigi rezultatai parodo, kad nagrinėjamo laikotarpio pabaigoje UAB „Achemarida“ susidūrė su trumpalaikio mokumo problema. Visai kitokie yra kitos bankrutavusios įmonės UAB „Romas ir ko“ rezultatai. Paskaičiavus bendrojo trumpalaikio mokumo koeficientus paaiškėjo, kad šis rodiklis nagrinėjamu laikotarpiu visada buvo didesnis už 2, kas rodo, kad įmonė savo likvidžiu turtu galėtų padengti trumpalaikius įsipareigojimus. Tuo tarpu UAB „Girteka“ rezultatai parodo, kad 2008 ir 2009 m. įmonė turėjo mokumo problemų, tačiau 2010 m. situacija stabilizavosi. Visgi reikėtų pabrėžti, kad jos bendrojo trumpalaikio mokumo koeficientas visais metais buvo mažesnis už transportavimo įmonių vidurkį. UAB „Autoverslas“ bendrasis mokumo koeficientas buvo mažesnis už 1 bei Lietuvos vidurkį tik 2008 m., tačiau vėliau įmonės mokumas stabilizavosi.  </w:t>
      </w:r>
    </w:p>
    <w:p w:rsidR="003228C9" w:rsidRPr="0017614D" w:rsidRDefault="003228C9" w:rsidP="003228C9">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Taip pat buvo paskaičiuotas ir greitojo trumpalaikio mokumo koeficientas, kuris padeda objektyviau įvertinti įmonės mokumo problemas</w:t>
      </w:r>
      <w:r w:rsidR="004E188A" w:rsidRPr="0017614D">
        <w:rPr>
          <w:rFonts w:ascii="Times New Roman" w:hAnsi="Times New Roman" w:cs="Times New Roman"/>
          <w:sz w:val="24"/>
          <w:szCs w:val="24"/>
          <w:lang w:val="lt-LT"/>
        </w:rPr>
        <w:t xml:space="preserve"> (žr. 11</w:t>
      </w:r>
      <w:r w:rsidRPr="0017614D">
        <w:rPr>
          <w:rFonts w:ascii="Times New Roman" w:hAnsi="Times New Roman" w:cs="Times New Roman"/>
          <w:sz w:val="24"/>
          <w:szCs w:val="24"/>
          <w:lang w:val="lt-LT"/>
        </w:rPr>
        <w:t xml:space="preserve"> lent.). Šis rodiklis iš trumpalaikio turto eliminuoja atsargas, kadangi dažniausiai, kai įmonei skubiai reikia pinigų, yra sudėtinga greitai realizuoti atsargas. Šis rodiklis turi būti ne mažesnis už 0,5, o Lietuvos transporto paslaugas teikiančių įmonių vidurkis 2008-2010 m. buvo atitinkamai 1.05, 0.99 ir 1.21.</w:t>
      </w:r>
    </w:p>
    <w:p w:rsidR="003228C9" w:rsidRPr="0017614D" w:rsidRDefault="003228C9" w:rsidP="003228C9">
      <w:pPr>
        <w:spacing w:after="0" w:line="360" w:lineRule="auto"/>
        <w:ind w:firstLine="720"/>
        <w:contextualSpacing/>
        <w:jc w:val="both"/>
        <w:rPr>
          <w:rFonts w:ascii="Times New Roman" w:hAnsi="Times New Roman" w:cs="Times New Roman"/>
          <w:sz w:val="24"/>
          <w:szCs w:val="24"/>
          <w:lang w:val="lt-LT"/>
        </w:rPr>
      </w:pPr>
    </w:p>
    <w:p w:rsidR="003228C9" w:rsidRPr="0017614D" w:rsidRDefault="00820234" w:rsidP="003228C9">
      <w:pPr>
        <w:contextualSpacing/>
        <w:jc w:val="center"/>
        <w:rPr>
          <w:rFonts w:ascii="Times New Roman" w:hAnsi="Times New Roman" w:cs="Times New Roman"/>
          <w:lang w:val="lt-LT"/>
        </w:rPr>
      </w:pPr>
      <w:r w:rsidRPr="0017614D">
        <w:rPr>
          <w:rFonts w:ascii="Times New Roman" w:hAnsi="Times New Roman" w:cs="Times New Roman"/>
          <w:lang w:val="lt-LT"/>
        </w:rPr>
        <w:t>1</w:t>
      </w:r>
      <w:r w:rsidR="004E188A" w:rsidRPr="0017614D">
        <w:rPr>
          <w:rFonts w:ascii="Times New Roman" w:hAnsi="Times New Roman" w:cs="Times New Roman"/>
          <w:lang w:val="lt-LT"/>
        </w:rPr>
        <w:t>1</w:t>
      </w:r>
      <w:r w:rsidR="003228C9" w:rsidRPr="0017614D">
        <w:rPr>
          <w:rFonts w:ascii="Times New Roman" w:hAnsi="Times New Roman" w:cs="Times New Roman"/>
          <w:lang w:val="lt-LT"/>
        </w:rPr>
        <w:t xml:space="preserve"> lentelė.</w:t>
      </w:r>
      <w:r w:rsidR="003228C9" w:rsidRPr="0017614D">
        <w:rPr>
          <w:rFonts w:ascii="Times New Roman" w:hAnsi="Times New Roman" w:cs="Times New Roman"/>
          <w:b/>
          <w:lang w:val="lt-LT"/>
        </w:rPr>
        <w:t xml:space="preserve"> UAB „Achemarida“, UAB „Romas ir ko“, UAB „Girteka“ ir UAB „Autoverslas“ 2008-2010 m. greitojo trumpalaikio mokumo koeficientai</w:t>
      </w:r>
    </w:p>
    <w:tbl>
      <w:tblPr>
        <w:tblW w:w="6741" w:type="dxa"/>
        <w:jc w:val="center"/>
        <w:tblInd w:w="89" w:type="dxa"/>
        <w:tblLook w:val="04A0"/>
      </w:tblPr>
      <w:tblGrid>
        <w:gridCol w:w="2220"/>
        <w:gridCol w:w="1507"/>
        <w:gridCol w:w="1507"/>
        <w:gridCol w:w="1507"/>
      </w:tblGrid>
      <w:tr w:rsidR="003228C9" w:rsidRPr="0017614D" w:rsidTr="00A4340C">
        <w:trPr>
          <w:trHeight w:val="300"/>
          <w:jc w:val="center"/>
        </w:trPr>
        <w:tc>
          <w:tcPr>
            <w:tcW w:w="2220" w:type="dxa"/>
            <w:vMerge w:val="restart"/>
            <w:tcBorders>
              <w:top w:val="single" w:sz="4" w:space="0" w:color="auto"/>
              <w:left w:val="single" w:sz="4" w:space="0" w:color="auto"/>
              <w:bottom w:val="single" w:sz="4" w:space="0" w:color="000000"/>
              <w:right w:val="single" w:sz="4" w:space="0" w:color="auto"/>
            </w:tcBorders>
            <w:shd w:val="clear" w:color="000000" w:fill="FCD5B4"/>
            <w:noWrap/>
            <w:vAlign w:val="center"/>
            <w:hideMark/>
          </w:tcPr>
          <w:p w:rsidR="003228C9" w:rsidRPr="0017614D" w:rsidRDefault="003228C9" w:rsidP="00A4340C">
            <w:pPr>
              <w:spacing w:after="0" w:line="240" w:lineRule="auto"/>
              <w:jc w:val="center"/>
              <w:rPr>
                <w:rFonts w:ascii="Times New Roman" w:eastAsia="Times New Roman" w:hAnsi="Times New Roman" w:cs="Times New Roman"/>
                <w:b/>
                <w:bCs/>
                <w:color w:val="000000"/>
                <w:lang w:val="lt-LT"/>
              </w:rPr>
            </w:pPr>
            <w:r w:rsidRPr="0017614D">
              <w:rPr>
                <w:rFonts w:ascii="Times New Roman" w:eastAsia="Times New Roman" w:hAnsi="Times New Roman" w:cs="Times New Roman"/>
                <w:b/>
                <w:bCs/>
                <w:color w:val="000000"/>
                <w:lang w:val="lt-LT"/>
              </w:rPr>
              <w:t>Įmonė</w:t>
            </w:r>
          </w:p>
        </w:tc>
        <w:tc>
          <w:tcPr>
            <w:tcW w:w="4521" w:type="dxa"/>
            <w:gridSpan w:val="3"/>
            <w:tcBorders>
              <w:top w:val="single" w:sz="4" w:space="0" w:color="auto"/>
              <w:left w:val="nil"/>
              <w:bottom w:val="single" w:sz="4" w:space="0" w:color="auto"/>
              <w:right w:val="single" w:sz="4" w:space="0" w:color="auto"/>
            </w:tcBorders>
            <w:shd w:val="clear" w:color="000000" w:fill="FCD5B4"/>
            <w:noWrap/>
            <w:vAlign w:val="center"/>
            <w:hideMark/>
          </w:tcPr>
          <w:p w:rsidR="003228C9" w:rsidRPr="0017614D" w:rsidRDefault="003228C9" w:rsidP="00A4340C">
            <w:pPr>
              <w:spacing w:after="0" w:line="240" w:lineRule="auto"/>
              <w:jc w:val="center"/>
              <w:rPr>
                <w:rFonts w:ascii="Times New Roman" w:eastAsia="Times New Roman" w:hAnsi="Times New Roman" w:cs="Times New Roman"/>
                <w:b/>
                <w:bCs/>
                <w:color w:val="000000"/>
                <w:lang w:val="lt-LT"/>
              </w:rPr>
            </w:pPr>
            <w:r w:rsidRPr="0017614D">
              <w:rPr>
                <w:rFonts w:ascii="Times New Roman" w:eastAsia="Times New Roman" w:hAnsi="Times New Roman" w:cs="Times New Roman"/>
                <w:b/>
                <w:bCs/>
                <w:color w:val="000000"/>
                <w:lang w:val="lt-LT"/>
              </w:rPr>
              <w:t>Greitojo trumpalaikio mokumo koeficientas</w:t>
            </w:r>
          </w:p>
        </w:tc>
      </w:tr>
      <w:tr w:rsidR="003228C9" w:rsidRPr="0017614D" w:rsidTr="00A4340C">
        <w:trPr>
          <w:trHeight w:val="300"/>
          <w:jc w:val="center"/>
        </w:trPr>
        <w:tc>
          <w:tcPr>
            <w:tcW w:w="2220" w:type="dxa"/>
            <w:vMerge/>
            <w:tcBorders>
              <w:top w:val="single" w:sz="4" w:space="0" w:color="auto"/>
              <w:left w:val="single" w:sz="4" w:space="0" w:color="auto"/>
              <w:bottom w:val="single" w:sz="4" w:space="0" w:color="000000"/>
              <w:right w:val="single" w:sz="4" w:space="0" w:color="auto"/>
            </w:tcBorders>
            <w:vAlign w:val="center"/>
            <w:hideMark/>
          </w:tcPr>
          <w:p w:rsidR="003228C9" w:rsidRPr="0017614D" w:rsidRDefault="003228C9" w:rsidP="00A4340C">
            <w:pPr>
              <w:spacing w:after="0" w:line="240" w:lineRule="auto"/>
              <w:rPr>
                <w:rFonts w:ascii="Times New Roman" w:eastAsia="Times New Roman" w:hAnsi="Times New Roman" w:cs="Times New Roman"/>
                <w:b/>
                <w:bCs/>
                <w:color w:val="000000"/>
                <w:lang w:val="lt-LT"/>
              </w:rPr>
            </w:pPr>
          </w:p>
        </w:tc>
        <w:tc>
          <w:tcPr>
            <w:tcW w:w="1507" w:type="dxa"/>
            <w:tcBorders>
              <w:top w:val="nil"/>
              <w:left w:val="nil"/>
              <w:bottom w:val="single" w:sz="4" w:space="0" w:color="auto"/>
              <w:right w:val="single" w:sz="4" w:space="0" w:color="auto"/>
            </w:tcBorders>
            <w:shd w:val="clear" w:color="000000" w:fill="FDE9D9"/>
            <w:noWrap/>
            <w:vAlign w:val="center"/>
            <w:hideMark/>
          </w:tcPr>
          <w:p w:rsidR="003228C9" w:rsidRPr="0017614D" w:rsidRDefault="003228C9" w:rsidP="00A4340C">
            <w:pPr>
              <w:spacing w:after="0" w:line="240" w:lineRule="auto"/>
              <w:jc w:val="center"/>
              <w:rPr>
                <w:rFonts w:ascii="Times New Roman" w:eastAsia="Times New Roman" w:hAnsi="Times New Roman" w:cs="Times New Roman"/>
                <w:b/>
                <w:bCs/>
                <w:i/>
                <w:iCs/>
                <w:color w:val="000000"/>
                <w:lang w:val="lt-LT"/>
              </w:rPr>
            </w:pPr>
            <w:r w:rsidRPr="0017614D">
              <w:rPr>
                <w:rFonts w:ascii="Times New Roman" w:eastAsia="Times New Roman" w:hAnsi="Times New Roman" w:cs="Times New Roman"/>
                <w:b/>
                <w:bCs/>
                <w:i/>
                <w:iCs/>
                <w:color w:val="000000"/>
                <w:lang w:val="lt-LT"/>
              </w:rPr>
              <w:t>2008</w:t>
            </w:r>
          </w:p>
        </w:tc>
        <w:tc>
          <w:tcPr>
            <w:tcW w:w="1507" w:type="dxa"/>
            <w:tcBorders>
              <w:top w:val="nil"/>
              <w:left w:val="nil"/>
              <w:bottom w:val="single" w:sz="4" w:space="0" w:color="auto"/>
              <w:right w:val="single" w:sz="4" w:space="0" w:color="auto"/>
            </w:tcBorders>
            <w:shd w:val="clear" w:color="000000" w:fill="FDE9D9"/>
            <w:noWrap/>
            <w:vAlign w:val="center"/>
            <w:hideMark/>
          </w:tcPr>
          <w:p w:rsidR="003228C9" w:rsidRPr="0017614D" w:rsidRDefault="003228C9" w:rsidP="00A4340C">
            <w:pPr>
              <w:spacing w:after="0" w:line="240" w:lineRule="auto"/>
              <w:jc w:val="center"/>
              <w:rPr>
                <w:rFonts w:ascii="Times New Roman" w:eastAsia="Times New Roman" w:hAnsi="Times New Roman" w:cs="Times New Roman"/>
                <w:b/>
                <w:bCs/>
                <w:i/>
                <w:iCs/>
                <w:color w:val="000000"/>
                <w:lang w:val="lt-LT"/>
              </w:rPr>
            </w:pPr>
            <w:r w:rsidRPr="0017614D">
              <w:rPr>
                <w:rFonts w:ascii="Times New Roman" w:eastAsia="Times New Roman" w:hAnsi="Times New Roman" w:cs="Times New Roman"/>
                <w:b/>
                <w:bCs/>
                <w:i/>
                <w:iCs/>
                <w:color w:val="000000"/>
                <w:lang w:val="lt-LT"/>
              </w:rPr>
              <w:t>2009</w:t>
            </w:r>
          </w:p>
        </w:tc>
        <w:tc>
          <w:tcPr>
            <w:tcW w:w="1507" w:type="dxa"/>
            <w:tcBorders>
              <w:top w:val="nil"/>
              <w:left w:val="nil"/>
              <w:bottom w:val="single" w:sz="4" w:space="0" w:color="auto"/>
              <w:right w:val="single" w:sz="4" w:space="0" w:color="auto"/>
            </w:tcBorders>
            <w:shd w:val="clear" w:color="000000" w:fill="FDE9D9"/>
            <w:noWrap/>
            <w:vAlign w:val="center"/>
            <w:hideMark/>
          </w:tcPr>
          <w:p w:rsidR="003228C9" w:rsidRPr="0017614D" w:rsidRDefault="003228C9" w:rsidP="00A4340C">
            <w:pPr>
              <w:spacing w:after="0" w:line="240" w:lineRule="auto"/>
              <w:jc w:val="center"/>
              <w:rPr>
                <w:rFonts w:ascii="Times New Roman" w:eastAsia="Times New Roman" w:hAnsi="Times New Roman" w:cs="Times New Roman"/>
                <w:b/>
                <w:bCs/>
                <w:i/>
                <w:iCs/>
                <w:color w:val="000000"/>
                <w:lang w:val="lt-LT"/>
              </w:rPr>
            </w:pPr>
            <w:r w:rsidRPr="0017614D">
              <w:rPr>
                <w:rFonts w:ascii="Times New Roman" w:eastAsia="Times New Roman" w:hAnsi="Times New Roman" w:cs="Times New Roman"/>
                <w:b/>
                <w:bCs/>
                <w:i/>
                <w:iCs/>
                <w:color w:val="000000"/>
                <w:lang w:val="lt-LT"/>
              </w:rPr>
              <w:t>2010</w:t>
            </w:r>
          </w:p>
        </w:tc>
      </w:tr>
      <w:tr w:rsidR="003228C9" w:rsidRPr="0017614D" w:rsidTr="00A4340C">
        <w:trPr>
          <w:trHeight w:val="300"/>
          <w:jc w:val="center"/>
        </w:trPr>
        <w:tc>
          <w:tcPr>
            <w:tcW w:w="2220" w:type="dxa"/>
            <w:tcBorders>
              <w:top w:val="nil"/>
              <w:left w:val="single" w:sz="4" w:space="0" w:color="auto"/>
              <w:bottom w:val="single" w:sz="4" w:space="0" w:color="auto"/>
              <w:right w:val="single" w:sz="4" w:space="0" w:color="auto"/>
            </w:tcBorders>
            <w:shd w:val="clear" w:color="000000" w:fill="FDE9D9"/>
            <w:noWrap/>
            <w:vAlign w:val="center"/>
            <w:hideMark/>
          </w:tcPr>
          <w:p w:rsidR="003228C9" w:rsidRPr="0017614D" w:rsidRDefault="003228C9" w:rsidP="00A4340C">
            <w:pPr>
              <w:spacing w:after="0" w:line="240" w:lineRule="auto"/>
              <w:rPr>
                <w:rFonts w:ascii="Times New Roman" w:eastAsia="Times New Roman" w:hAnsi="Times New Roman" w:cs="Times New Roman"/>
                <w:i/>
                <w:iCs/>
                <w:color w:val="000000"/>
                <w:lang w:val="lt-LT"/>
              </w:rPr>
            </w:pPr>
            <w:r w:rsidRPr="0017614D">
              <w:rPr>
                <w:rFonts w:ascii="Times New Roman" w:eastAsia="Times New Roman" w:hAnsi="Times New Roman" w:cs="Times New Roman"/>
                <w:i/>
                <w:iCs/>
                <w:color w:val="000000"/>
                <w:lang w:val="lt-LT"/>
              </w:rPr>
              <w:t>*UAB "Achemarida"</w:t>
            </w:r>
          </w:p>
        </w:tc>
        <w:tc>
          <w:tcPr>
            <w:tcW w:w="1507" w:type="dxa"/>
            <w:tcBorders>
              <w:top w:val="nil"/>
              <w:left w:val="nil"/>
              <w:bottom w:val="single" w:sz="4" w:space="0" w:color="auto"/>
              <w:right w:val="single" w:sz="4" w:space="0" w:color="auto"/>
            </w:tcBorders>
            <w:shd w:val="clear" w:color="auto" w:fill="auto"/>
            <w:noWrap/>
            <w:vAlign w:val="bottom"/>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1.601</w:t>
            </w:r>
          </w:p>
        </w:tc>
        <w:tc>
          <w:tcPr>
            <w:tcW w:w="1507" w:type="dxa"/>
            <w:tcBorders>
              <w:top w:val="nil"/>
              <w:left w:val="nil"/>
              <w:bottom w:val="single" w:sz="4" w:space="0" w:color="auto"/>
              <w:right w:val="single" w:sz="4" w:space="0" w:color="auto"/>
            </w:tcBorders>
            <w:shd w:val="clear" w:color="auto" w:fill="E36C0A" w:themeFill="accent6" w:themeFillShade="BF"/>
            <w:noWrap/>
            <w:vAlign w:val="bottom"/>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0.858</w:t>
            </w:r>
          </w:p>
        </w:tc>
        <w:tc>
          <w:tcPr>
            <w:tcW w:w="1507" w:type="dxa"/>
            <w:tcBorders>
              <w:top w:val="nil"/>
              <w:left w:val="nil"/>
              <w:bottom w:val="single" w:sz="4" w:space="0" w:color="auto"/>
              <w:right w:val="single" w:sz="4" w:space="0" w:color="auto"/>
            </w:tcBorders>
            <w:shd w:val="clear" w:color="auto" w:fill="E36C0A" w:themeFill="accent6" w:themeFillShade="BF"/>
            <w:noWrap/>
            <w:vAlign w:val="bottom"/>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0.599</w:t>
            </w:r>
          </w:p>
        </w:tc>
      </w:tr>
      <w:tr w:rsidR="003228C9" w:rsidRPr="0017614D" w:rsidTr="00A4340C">
        <w:trPr>
          <w:trHeight w:val="300"/>
          <w:jc w:val="center"/>
        </w:trPr>
        <w:tc>
          <w:tcPr>
            <w:tcW w:w="2220" w:type="dxa"/>
            <w:tcBorders>
              <w:top w:val="nil"/>
              <w:left w:val="single" w:sz="4" w:space="0" w:color="auto"/>
              <w:bottom w:val="single" w:sz="4" w:space="0" w:color="auto"/>
              <w:right w:val="single" w:sz="4" w:space="0" w:color="auto"/>
            </w:tcBorders>
            <w:shd w:val="clear" w:color="000000" w:fill="FDE9D9"/>
            <w:noWrap/>
            <w:vAlign w:val="center"/>
            <w:hideMark/>
          </w:tcPr>
          <w:p w:rsidR="003228C9" w:rsidRPr="0017614D" w:rsidRDefault="003228C9" w:rsidP="00A4340C">
            <w:pPr>
              <w:spacing w:after="0" w:line="240" w:lineRule="auto"/>
              <w:rPr>
                <w:rFonts w:ascii="Times New Roman" w:eastAsia="Times New Roman" w:hAnsi="Times New Roman" w:cs="Times New Roman"/>
                <w:i/>
                <w:iCs/>
                <w:color w:val="000000"/>
                <w:lang w:val="lt-LT"/>
              </w:rPr>
            </w:pPr>
            <w:r w:rsidRPr="0017614D">
              <w:rPr>
                <w:rFonts w:ascii="Times New Roman" w:eastAsia="Times New Roman" w:hAnsi="Times New Roman" w:cs="Times New Roman"/>
                <w:i/>
                <w:iCs/>
                <w:color w:val="000000"/>
                <w:lang w:val="lt-LT"/>
              </w:rPr>
              <w:t>*UAB "Romas ir ko"</w:t>
            </w:r>
          </w:p>
        </w:tc>
        <w:tc>
          <w:tcPr>
            <w:tcW w:w="1507" w:type="dxa"/>
            <w:tcBorders>
              <w:top w:val="nil"/>
              <w:left w:val="nil"/>
              <w:bottom w:val="single" w:sz="4" w:space="0" w:color="auto"/>
              <w:right w:val="single" w:sz="4" w:space="0" w:color="auto"/>
            </w:tcBorders>
            <w:shd w:val="clear" w:color="auto" w:fill="auto"/>
            <w:noWrap/>
            <w:vAlign w:val="bottom"/>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1.600</w:t>
            </w:r>
          </w:p>
        </w:tc>
        <w:tc>
          <w:tcPr>
            <w:tcW w:w="1507" w:type="dxa"/>
            <w:tcBorders>
              <w:top w:val="nil"/>
              <w:left w:val="nil"/>
              <w:bottom w:val="single" w:sz="4" w:space="0" w:color="auto"/>
              <w:right w:val="single" w:sz="4" w:space="0" w:color="auto"/>
            </w:tcBorders>
            <w:shd w:val="clear" w:color="auto" w:fill="auto"/>
            <w:noWrap/>
            <w:vAlign w:val="bottom"/>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3.191</w:t>
            </w:r>
          </w:p>
        </w:tc>
        <w:tc>
          <w:tcPr>
            <w:tcW w:w="1507" w:type="dxa"/>
            <w:tcBorders>
              <w:top w:val="nil"/>
              <w:left w:val="nil"/>
              <w:bottom w:val="single" w:sz="4" w:space="0" w:color="auto"/>
              <w:right w:val="single" w:sz="4" w:space="0" w:color="auto"/>
            </w:tcBorders>
            <w:shd w:val="clear" w:color="auto" w:fill="auto"/>
            <w:noWrap/>
            <w:vAlign w:val="bottom"/>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2.212</w:t>
            </w:r>
          </w:p>
        </w:tc>
      </w:tr>
      <w:tr w:rsidR="003228C9" w:rsidRPr="0017614D" w:rsidTr="00A4340C">
        <w:trPr>
          <w:trHeight w:val="300"/>
          <w:jc w:val="center"/>
        </w:trPr>
        <w:tc>
          <w:tcPr>
            <w:tcW w:w="2220" w:type="dxa"/>
            <w:tcBorders>
              <w:top w:val="nil"/>
              <w:left w:val="single" w:sz="4" w:space="0" w:color="auto"/>
              <w:bottom w:val="single" w:sz="4" w:space="0" w:color="auto"/>
              <w:right w:val="single" w:sz="4" w:space="0" w:color="auto"/>
            </w:tcBorders>
            <w:shd w:val="clear" w:color="000000" w:fill="FDE9D9"/>
            <w:noWrap/>
            <w:vAlign w:val="center"/>
            <w:hideMark/>
          </w:tcPr>
          <w:p w:rsidR="003228C9" w:rsidRPr="0017614D" w:rsidRDefault="003228C9" w:rsidP="00A4340C">
            <w:pPr>
              <w:spacing w:after="0" w:line="240" w:lineRule="auto"/>
              <w:rPr>
                <w:rFonts w:ascii="Times New Roman" w:eastAsia="Times New Roman" w:hAnsi="Times New Roman" w:cs="Times New Roman"/>
                <w:i/>
                <w:iCs/>
                <w:color w:val="000000"/>
                <w:lang w:val="lt-LT"/>
              </w:rPr>
            </w:pPr>
            <w:r w:rsidRPr="0017614D">
              <w:rPr>
                <w:rFonts w:ascii="Times New Roman" w:eastAsia="Times New Roman" w:hAnsi="Times New Roman" w:cs="Times New Roman"/>
                <w:i/>
                <w:iCs/>
                <w:color w:val="000000"/>
                <w:lang w:val="lt-LT"/>
              </w:rPr>
              <w:t>UAB "Girteka"</w:t>
            </w:r>
          </w:p>
        </w:tc>
        <w:tc>
          <w:tcPr>
            <w:tcW w:w="1507" w:type="dxa"/>
            <w:tcBorders>
              <w:top w:val="nil"/>
              <w:left w:val="nil"/>
              <w:bottom w:val="single" w:sz="4" w:space="0" w:color="auto"/>
              <w:right w:val="single" w:sz="4" w:space="0" w:color="auto"/>
            </w:tcBorders>
            <w:shd w:val="clear" w:color="auto" w:fill="E36C0A" w:themeFill="accent6" w:themeFillShade="BF"/>
            <w:noWrap/>
            <w:vAlign w:val="bottom"/>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0.717</w:t>
            </w:r>
          </w:p>
        </w:tc>
        <w:tc>
          <w:tcPr>
            <w:tcW w:w="1507" w:type="dxa"/>
            <w:tcBorders>
              <w:top w:val="nil"/>
              <w:left w:val="nil"/>
              <w:bottom w:val="single" w:sz="4" w:space="0" w:color="auto"/>
              <w:right w:val="single" w:sz="4" w:space="0" w:color="auto"/>
            </w:tcBorders>
            <w:shd w:val="clear" w:color="auto" w:fill="E36C0A" w:themeFill="accent6" w:themeFillShade="BF"/>
            <w:noWrap/>
            <w:vAlign w:val="bottom"/>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0.934</w:t>
            </w:r>
          </w:p>
        </w:tc>
        <w:tc>
          <w:tcPr>
            <w:tcW w:w="1507" w:type="dxa"/>
            <w:tcBorders>
              <w:top w:val="nil"/>
              <w:left w:val="nil"/>
              <w:bottom w:val="single" w:sz="4" w:space="0" w:color="auto"/>
              <w:right w:val="single" w:sz="4" w:space="0" w:color="auto"/>
            </w:tcBorders>
            <w:shd w:val="clear" w:color="auto" w:fill="auto"/>
            <w:noWrap/>
            <w:vAlign w:val="bottom"/>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1.471</w:t>
            </w:r>
          </w:p>
        </w:tc>
      </w:tr>
      <w:tr w:rsidR="003228C9" w:rsidRPr="0017614D" w:rsidTr="00A4340C">
        <w:trPr>
          <w:trHeight w:val="300"/>
          <w:jc w:val="center"/>
        </w:trPr>
        <w:tc>
          <w:tcPr>
            <w:tcW w:w="2220" w:type="dxa"/>
            <w:tcBorders>
              <w:top w:val="nil"/>
              <w:left w:val="single" w:sz="4" w:space="0" w:color="auto"/>
              <w:bottom w:val="single" w:sz="4" w:space="0" w:color="auto"/>
              <w:right w:val="single" w:sz="4" w:space="0" w:color="auto"/>
            </w:tcBorders>
            <w:shd w:val="clear" w:color="000000" w:fill="FDE9D9"/>
            <w:noWrap/>
            <w:vAlign w:val="center"/>
            <w:hideMark/>
          </w:tcPr>
          <w:p w:rsidR="003228C9" w:rsidRPr="0017614D" w:rsidRDefault="003228C9" w:rsidP="00A4340C">
            <w:pPr>
              <w:spacing w:after="0" w:line="240" w:lineRule="auto"/>
              <w:rPr>
                <w:rFonts w:ascii="Times New Roman" w:eastAsia="Times New Roman" w:hAnsi="Times New Roman" w:cs="Times New Roman"/>
                <w:i/>
                <w:iCs/>
                <w:color w:val="000000"/>
                <w:lang w:val="lt-LT"/>
              </w:rPr>
            </w:pPr>
            <w:r w:rsidRPr="0017614D">
              <w:rPr>
                <w:rFonts w:ascii="Times New Roman" w:eastAsia="Times New Roman" w:hAnsi="Times New Roman" w:cs="Times New Roman"/>
                <w:i/>
                <w:iCs/>
                <w:color w:val="000000"/>
                <w:lang w:val="lt-LT"/>
              </w:rPr>
              <w:t>UAB "Autoverslas"</w:t>
            </w:r>
          </w:p>
        </w:tc>
        <w:tc>
          <w:tcPr>
            <w:tcW w:w="1507" w:type="dxa"/>
            <w:tcBorders>
              <w:top w:val="nil"/>
              <w:left w:val="nil"/>
              <w:bottom w:val="single" w:sz="4" w:space="0" w:color="auto"/>
              <w:right w:val="single" w:sz="4" w:space="0" w:color="auto"/>
            </w:tcBorders>
            <w:shd w:val="clear" w:color="auto" w:fill="E36C0A" w:themeFill="accent6" w:themeFillShade="BF"/>
            <w:noWrap/>
            <w:vAlign w:val="bottom"/>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0.788</w:t>
            </w:r>
          </w:p>
        </w:tc>
        <w:tc>
          <w:tcPr>
            <w:tcW w:w="1507" w:type="dxa"/>
            <w:tcBorders>
              <w:top w:val="nil"/>
              <w:left w:val="nil"/>
              <w:bottom w:val="single" w:sz="4" w:space="0" w:color="auto"/>
              <w:right w:val="single" w:sz="4" w:space="0" w:color="auto"/>
            </w:tcBorders>
            <w:shd w:val="clear" w:color="auto" w:fill="auto"/>
            <w:noWrap/>
            <w:vAlign w:val="bottom"/>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1.638</w:t>
            </w:r>
          </w:p>
        </w:tc>
        <w:tc>
          <w:tcPr>
            <w:tcW w:w="1507" w:type="dxa"/>
            <w:tcBorders>
              <w:top w:val="nil"/>
              <w:left w:val="nil"/>
              <w:bottom w:val="single" w:sz="4" w:space="0" w:color="auto"/>
              <w:right w:val="single" w:sz="4" w:space="0" w:color="auto"/>
            </w:tcBorders>
            <w:shd w:val="clear" w:color="auto" w:fill="auto"/>
            <w:noWrap/>
            <w:vAlign w:val="bottom"/>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2.611</w:t>
            </w:r>
          </w:p>
        </w:tc>
      </w:tr>
    </w:tbl>
    <w:p w:rsidR="003228C9" w:rsidRPr="0017614D" w:rsidRDefault="003228C9" w:rsidP="003228C9">
      <w:pPr>
        <w:spacing w:after="0" w:line="360" w:lineRule="auto"/>
        <w:ind w:firstLine="720"/>
        <w:contextualSpacing/>
        <w:jc w:val="both"/>
        <w:rPr>
          <w:rFonts w:ascii="Times New Roman" w:hAnsi="Times New Roman" w:cs="Times New Roman"/>
          <w:sz w:val="24"/>
          <w:szCs w:val="24"/>
          <w:lang w:val="lt-LT"/>
        </w:rPr>
      </w:pPr>
    </w:p>
    <w:p w:rsidR="003228C9" w:rsidRPr="0017614D" w:rsidRDefault="003228C9" w:rsidP="003228C9">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Kaip matome </w:t>
      </w:r>
      <w:r w:rsidR="00C72F00" w:rsidRPr="0017614D">
        <w:rPr>
          <w:rFonts w:ascii="Times New Roman" w:hAnsi="Times New Roman" w:cs="Times New Roman"/>
          <w:sz w:val="24"/>
          <w:szCs w:val="24"/>
          <w:lang w:val="lt-LT"/>
        </w:rPr>
        <w:t>iš 11</w:t>
      </w:r>
      <w:r w:rsidR="00820234" w:rsidRPr="0017614D">
        <w:rPr>
          <w:rFonts w:ascii="Times New Roman" w:hAnsi="Times New Roman" w:cs="Times New Roman"/>
          <w:sz w:val="24"/>
          <w:szCs w:val="24"/>
          <w:lang w:val="lt-LT"/>
        </w:rPr>
        <w:t xml:space="preserve"> lentelės duomenų</w:t>
      </w:r>
      <w:r w:rsidRPr="0017614D">
        <w:rPr>
          <w:rFonts w:ascii="Times New Roman" w:hAnsi="Times New Roman" w:cs="Times New Roman"/>
          <w:sz w:val="24"/>
          <w:szCs w:val="24"/>
          <w:lang w:val="lt-LT"/>
        </w:rPr>
        <w:t xml:space="preserve"> visų nagrinėjamų įmonių greitojo trumpalaikio mokumo koeficientas 2008-2010 m. viršijo 0,5, kas rodo, kad įmonės neturi trumpalaikio mokumo problemų. Visgi atkreiptinas dėmesys, kad UAB „Achemarida“ šis rodiklis 2009-2010 m. buvo žemesnis už Lietuvos vidurkį. Taip pat UAB „Girteka“ 2008-2009 m. bei UAB „Autoverslas“ 2008 m.. greitojo trumpalaikio mokumo koeficientas nesiekė Lietuvos transportavimo įmonių vidurkio. Čia galima pastebėti, kad šio </w:t>
      </w:r>
      <w:r w:rsidRPr="0017614D">
        <w:rPr>
          <w:rFonts w:ascii="Times New Roman" w:hAnsi="Times New Roman" w:cs="Times New Roman"/>
          <w:sz w:val="24"/>
          <w:szCs w:val="24"/>
          <w:lang w:val="lt-LT"/>
        </w:rPr>
        <w:lastRenderedPageBreak/>
        <w:t>rodiklio lyginimas su autorių nustatyta kritine riba nėra objektyvus ir neparodo įmonėms jokių problemų, ir tik palyginus šį rodiklį su kitomis Lietuvos įmonėmis galima pastebėti, kad nagrinėjamos įmonės galėjo turėti tam tikrų finansinių bėdų. Be to verta atkreipti dėmesį, kad šis rodiklis nėra visisškai tinkamas transportavimo įmonėms, kadangi šios įmonės beveik nelaiko atsargų, tad jų eliminavimas neturi prasmės.</w:t>
      </w:r>
    </w:p>
    <w:p w:rsidR="003228C9" w:rsidRPr="0017614D" w:rsidRDefault="003228C9" w:rsidP="003228C9">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Toliau buvo paskaičiuoti du ilgalaikio mokumo koeficientai. Pirmasis – bendrasis skolos koeficientas parodo, kokia dalis skolintų lėšų yra panaudojama bendrovės turtui įsigyti ir sudaryti. Šis finansinis santykinis rodiklis yra vertinamas gerai, kai jo reikšmė yra mažesnė už 1. Žiūrint į Lietuvos transportavimo įmones 2008-2010 m. tai vidutinis bendrasis skolos koeficientas siekė 0.4 - 2008 m., 0.38 – 2009 m. ir 0.35 – 2010 m.</w:t>
      </w:r>
    </w:p>
    <w:p w:rsidR="00820234" w:rsidRPr="0017614D" w:rsidRDefault="00820234" w:rsidP="003228C9">
      <w:pPr>
        <w:spacing w:after="0" w:line="360" w:lineRule="auto"/>
        <w:ind w:firstLine="720"/>
        <w:contextualSpacing/>
        <w:jc w:val="both"/>
        <w:rPr>
          <w:rFonts w:ascii="Times New Roman" w:hAnsi="Times New Roman" w:cs="Times New Roman"/>
          <w:sz w:val="24"/>
          <w:szCs w:val="24"/>
          <w:lang w:val="lt-LT"/>
        </w:rPr>
      </w:pPr>
    </w:p>
    <w:p w:rsidR="003228C9" w:rsidRPr="0017614D" w:rsidRDefault="00C72F00" w:rsidP="003228C9">
      <w:pPr>
        <w:contextualSpacing/>
        <w:jc w:val="center"/>
        <w:rPr>
          <w:rFonts w:ascii="Times New Roman" w:hAnsi="Times New Roman" w:cs="Times New Roman"/>
          <w:lang w:val="lt-LT"/>
        </w:rPr>
      </w:pPr>
      <w:r w:rsidRPr="0017614D">
        <w:rPr>
          <w:rFonts w:ascii="Times New Roman" w:hAnsi="Times New Roman" w:cs="Times New Roman"/>
          <w:lang w:val="lt-LT"/>
        </w:rPr>
        <w:t>12</w:t>
      </w:r>
      <w:r w:rsidR="003228C9" w:rsidRPr="0017614D">
        <w:rPr>
          <w:rFonts w:ascii="Times New Roman" w:hAnsi="Times New Roman" w:cs="Times New Roman"/>
          <w:lang w:val="lt-LT"/>
        </w:rPr>
        <w:t xml:space="preserve"> lentelė.</w:t>
      </w:r>
      <w:r w:rsidR="003228C9" w:rsidRPr="0017614D">
        <w:rPr>
          <w:rFonts w:ascii="Times New Roman" w:hAnsi="Times New Roman" w:cs="Times New Roman"/>
          <w:b/>
          <w:lang w:val="lt-LT"/>
        </w:rPr>
        <w:t xml:space="preserve"> UAB „Achemarida“, UAB „Romas ir ko“, UAB „Girteka“ ir UAB „Autoverslas“ 2008-2010 m. bendrieji skolos koeficientai</w:t>
      </w:r>
    </w:p>
    <w:tbl>
      <w:tblPr>
        <w:tblW w:w="6741" w:type="dxa"/>
        <w:jc w:val="center"/>
        <w:tblInd w:w="93" w:type="dxa"/>
        <w:tblLook w:val="04A0"/>
      </w:tblPr>
      <w:tblGrid>
        <w:gridCol w:w="2220"/>
        <w:gridCol w:w="1507"/>
        <w:gridCol w:w="1507"/>
        <w:gridCol w:w="1507"/>
      </w:tblGrid>
      <w:tr w:rsidR="003228C9" w:rsidRPr="0017614D" w:rsidTr="00A4340C">
        <w:trPr>
          <w:trHeight w:val="300"/>
          <w:jc w:val="center"/>
        </w:trPr>
        <w:tc>
          <w:tcPr>
            <w:tcW w:w="2220" w:type="dxa"/>
            <w:vMerge w:val="restart"/>
            <w:tcBorders>
              <w:top w:val="single" w:sz="4" w:space="0" w:color="auto"/>
              <w:left w:val="single" w:sz="4" w:space="0" w:color="auto"/>
              <w:bottom w:val="single" w:sz="4" w:space="0" w:color="000000"/>
              <w:right w:val="single" w:sz="4" w:space="0" w:color="auto"/>
            </w:tcBorders>
            <w:shd w:val="clear" w:color="000000" w:fill="FCD5B4"/>
            <w:noWrap/>
            <w:vAlign w:val="center"/>
            <w:hideMark/>
          </w:tcPr>
          <w:p w:rsidR="003228C9" w:rsidRPr="0017614D" w:rsidRDefault="003228C9" w:rsidP="00A4340C">
            <w:pPr>
              <w:spacing w:after="0" w:line="240" w:lineRule="auto"/>
              <w:jc w:val="center"/>
              <w:rPr>
                <w:rFonts w:ascii="Times New Roman" w:eastAsia="Times New Roman" w:hAnsi="Times New Roman" w:cs="Times New Roman"/>
                <w:b/>
                <w:bCs/>
                <w:color w:val="000000"/>
                <w:lang w:val="lt-LT"/>
              </w:rPr>
            </w:pPr>
            <w:r w:rsidRPr="0017614D">
              <w:rPr>
                <w:rFonts w:ascii="Times New Roman" w:eastAsia="Times New Roman" w:hAnsi="Times New Roman" w:cs="Times New Roman"/>
                <w:b/>
                <w:bCs/>
                <w:color w:val="000000"/>
                <w:lang w:val="lt-LT"/>
              </w:rPr>
              <w:t>Įmonė</w:t>
            </w:r>
          </w:p>
        </w:tc>
        <w:tc>
          <w:tcPr>
            <w:tcW w:w="4521" w:type="dxa"/>
            <w:gridSpan w:val="3"/>
            <w:tcBorders>
              <w:top w:val="single" w:sz="4" w:space="0" w:color="auto"/>
              <w:left w:val="nil"/>
              <w:bottom w:val="single" w:sz="4" w:space="0" w:color="auto"/>
              <w:right w:val="single" w:sz="4" w:space="0" w:color="auto"/>
            </w:tcBorders>
            <w:shd w:val="clear" w:color="000000" w:fill="FCD5B4"/>
            <w:noWrap/>
            <w:vAlign w:val="center"/>
            <w:hideMark/>
          </w:tcPr>
          <w:p w:rsidR="003228C9" w:rsidRPr="0017614D" w:rsidRDefault="003228C9" w:rsidP="00A4340C">
            <w:pPr>
              <w:spacing w:after="0" w:line="240" w:lineRule="auto"/>
              <w:jc w:val="center"/>
              <w:rPr>
                <w:rFonts w:ascii="Times New Roman" w:eastAsia="Times New Roman" w:hAnsi="Times New Roman" w:cs="Times New Roman"/>
                <w:b/>
                <w:bCs/>
                <w:color w:val="000000"/>
                <w:lang w:val="lt-LT"/>
              </w:rPr>
            </w:pPr>
            <w:r w:rsidRPr="0017614D">
              <w:rPr>
                <w:rFonts w:ascii="Times New Roman" w:eastAsia="Times New Roman" w:hAnsi="Times New Roman" w:cs="Times New Roman"/>
                <w:b/>
                <w:bCs/>
                <w:color w:val="000000"/>
                <w:lang w:val="lt-LT"/>
              </w:rPr>
              <w:t>Bendrasis skolos koeficientas</w:t>
            </w:r>
          </w:p>
        </w:tc>
      </w:tr>
      <w:tr w:rsidR="003228C9" w:rsidRPr="0017614D" w:rsidTr="00A4340C">
        <w:trPr>
          <w:trHeight w:val="300"/>
          <w:jc w:val="center"/>
        </w:trPr>
        <w:tc>
          <w:tcPr>
            <w:tcW w:w="2220" w:type="dxa"/>
            <w:vMerge/>
            <w:tcBorders>
              <w:top w:val="single" w:sz="4" w:space="0" w:color="auto"/>
              <w:left w:val="single" w:sz="4" w:space="0" w:color="auto"/>
              <w:bottom w:val="single" w:sz="4" w:space="0" w:color="000000"/>
              <w:right w:val="single" w:sz="4" w:space="0" w:color="auto"/>
            </w:tcBorders>
            <w:vAlign w:val="center"/>
            <w:hideMark/>
          </w:tcPr>
          <w:p w:rsidR="003228C9" w:rsidRPr="0017614D" w:rsidRDefault="003228C9" w:rsidP="00A4340C">
            <w:pPr>
              <w:spacing w:after="0" w:line="240" w:lineRule="auto"/>
              <w:rPr>
                <w:rFonts w:ascii="Times New Roman" w:eastAsia="Times New Roman" w:hAnsi="Times New Roman" w:cs="Times New Roman"/>
                <w:b/>
                <w:bCs/>
                <w:color w:val="000000"/>
                <w:lang w:val="lt-LT"/>
              </w:rPr>
            </w:pPr>
          </w:p>
        </w:tc>
        <w:tc>
          <w:tcPr>
            <w:tcW w:w="1507" w:type="dxa"/>
            <w:tcBorders>
              <w:top w:val="nil"/>
              <w:left w:val="nil"/>
              <w:bottom w:val="single" w:sz="4" w:space="0" w:color="auto"/>
              <w:right w:val="single" w:sz="4" w:space="0" w:color="auto"/>
            </w:tcBorders>
            <w:shd w:val="clear" w:color="000000" w:fill="FDE9D9"/>
            <w:noWrap/>
            <w:vAlign w:val="center"/>
            <w:hideMark/>
          </w:tcPr>
          <w:p w:rsidR="003228C9" w:rsidRPr="0017614D" w:rsidRDefault="003228C9" w:rsidP="00A4340C">
            <w:pPr>
              <w:spacing w:after="0" w:line="240" w:lineRule="auto"/>
              <w:jc w:val="center"/>
              <w:rPr>
                <w:rFonts w:ascii="Times New Roman" w:eastAsia="Times New Roman" w:hAnsi="Times New Roman" w:cs="Times New Roman"/>
                <w:b/>
                <w:bCs/>
                <w:i/>
                <w:iCs/>
                <w:color w:val="000000"/>
                <w:lang w:val="lt-LT"/>
              </w:rPr>
            </w:pPr>
            <w:r w:rsidRPr="0017614D">
              <w:rPr>
                <w:rFonts w:ascii="Times New Roman" w:eastAsia="Times New Roman" w:hAnsi="Times New Roman" w:cs="Times New Roman"/>
                <w:b/>
                <w:bCs/>
                <w:i/>
                <w:iCs/>
                <w:color w:val="000000"/>
                <w:lang w:val="lt-LT"/>
              </w:rPr>
              <w:t>2008</w:t>
            </w:r>
          </w:p>
        </w:tc>
        <w:tc>
          <w:tcPr>
            <w:tcW w:w="1507" w:type="dxa"/>
            <w:tcBorders>
              <w:top w:val="nil"/>
              <w:left w:val="nil"/>
              <w:bottom w:val="single" w:sz="4" w:space="0" w:color="auto"/>
              <w:right w:val="single" w:sz="4" w:space="0" w:color="auto"/>
            </w:tcBorders>
            <w:shd w:val="clear" w:color="000000" w:fill="FDE9D9"/>
            <w:noWrap/>
            <w:vAlign w:val="center"/>
            <w:hideMark/>
          </w:tcPr>
          <w:p w:rsidR="003228C9" w:rsidRPr="0017614D" w:rsidRDefault="003228C9" w:rsidP="00A4340C">
            <w:pPr>
              <w:spacing w:after="0" w:line="240" w:lineRule="auto"/>
              <w:jc w:val="center"/>
              <w:rPr>
                <w:rFonts w:ascii="Times New Roman" w:eastAsia="Times New Roman" w:hAnsi="Times New Roman" w:cs="Times New Roman"/>
                <w:b/>
                <w:bCs/>
                <w:i/>
                <w:iCs/>
                <w:color w:val="000000"/>
                <w:lang w:val="lt-LT"/>
              </w:rPr>
            </w:pPr>
            <w:r w:rsidRPr="0017614D">
              <w:rPr>
                <w:rFonts w:ascii="Times New Roman" w:eastAsia="Times New Roman" w:hAnsi="Times New Roman" w:cs="Times New Roman"/>
                <w:b/>
                <w:bCs/>
                <w:i/>
                <w:iCs/>
                <w:color w:val="000000"/>
                <w:lang w:val="lt-LT"/>
              </w:rPr>
              <w:t>2009</w:t>
            </w:r>
          </w:p>
        </w:tc>
        <w:tc>
          <w:tcPr>
            <w:tcW w:w="1507" w:type="dxa"/>
            <w:tcBorders>
              <w:top w:val="nil"/>
              <w:left w:val="nil"/>
              <w:bottom w:val="single" w:sz="4" w:space="0" w:color="auto"/>
              <w:right w:val="single" w:sz="4" w:space="0" w:color="auto"/>
            </w:tcBorders>
            <w:shd w:val="clear" w:color="000000" w:fill="FDE9D9"/>
            <w:noWrap/>
            <w:vAlign w:val="center"/>
            <w:hideMark/>
          </w:tcPr>
          <w:p w:rsidR="003228C9" w:rsidRPr="0017614D" w:rsidRDefault="003228C9" w:rsidP="00A4340C">
            <w:pPr>
              <w:spacing w:after="0" w:line="240" w:lineRule="auto"/>
              <w:jc w:val="center"/>
              <w:rPr>
                <w:rFonts w:ascii="Times New Roman" w:eastAsia="Times New Roman" w:hAnsi="Times New Roman" w:cs="Times New Roman"/>
                <w:b/>
                <w:bCs/>
                <w:i/>
                <w:iCs/>
                <w:color w:val="000000"/>
                <w:lang w:val="lt-LT"/>
              </w:rPr>
            </w:pPr>
            <w:r w:rsidRPr="0017614D">
              <w:rPr>
                <w:rFonts w:ascii="Times New Roman" w:eastAsia="Times New Roman" w:hAnsi="Times New Roman" w:cs="Times New Roman"/>
                <w:b/>
                <w:bCs/>
                <w:i/>
                <w:iCs/>
                <w:color w:val="000000"/>
                <w:lang w:val="lt-LT"/>
              </w:rPr>
              <w:t>2010</w:t>
            </w:r>
          </w:p>
        </w:tc>
      </w:tr>
      <w:tr w:rsidR="003228C9" w:rsidRPr="0017614D" w:rsidTr="00A4340C">
        <w:trPr>
          <w:trHeight w:val="300"/>
          <w:jc w:val="center"/>
        </w:trPr>
        <w:tc>
          <w:tcPr>
            <w:tcW w:w="2220" w:type="dxa"/>
            <w:tcBorders>
              <w:top w:val="nil"/>
              <w:left w:val="single" w:sz="4" w:space="0" w:color="auto"/>
              <w:bottom w:val="single" w:sz="4" w:space="0" w:color="auto"/>
              <w:right w:val="single" w:sz="4" w:space="0" w:color="auto"/>
            </w:tcBorders>
            <w:shd w:val="clear" w:color="000000" w:fill="FDE9D9"/>
            <w:noWrap/>
            <w:vAlign w:val="center"/>
            <w:hideMark/>
          </w:tcPr>
          <w:p w:rsidR="003228C9" w:rsidRPr="0017614D" w:rsidRDefault="003228C9" w:rsidP="00A4340C">
            <w:pPr>
              <w:spacing w:after="0" w:line="240" w:lineRule="auto"/>
              <w:rPr>
                <w:rFonts w:ascii="Times New Roman" w:eastAsia="Times New Roman" w:hAnsi="Times New Roman" w:cs="Times New Roman"/>
                <w:i/>
                <w:iCs/>
                <w:color w:val="000000"/>
                <w:lang w:val="lt-LT"/>
              </w:rPr>
            </w:pPr>
            <w:r w:rsidRPr="0017614D">
              <w:rPr>
                <w:rFonts w:ascii="Times New Roman" w:eastAsia="Times New Roman" w:hAnsi="Times New Roman" w:cs="Times New Roman"/>
                <w:i/>
                <w:iCs/>
                <w:color w:val="000000"/>
                <w:lang w:val="lt-LT"/>
              </w:rPr>
              <w:t>*UAB "Achemarida"</w:t>
            </w:r>
          </w:p>
        </w:tc>
        <w:tc>
          <w:tcPr>
            <w:tcW w:w="1507" w:type="dxa"/>
            <w:tcBorders>
              <w:top w:val="nil"/>
              <w:left w:val="nil"/>
              <w:bottom w:val="single" w:sz="4" w:space="0" w:color="auto"/>
              <w:right w:val="single" w:sz="4" w:space="0" w:color="auto"/>
            </w:tcBorders>
            <w:shd w:val="clear" w:color="auto" w:fill="auto"/>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0.227</w:t>
            </w:r>
          </w:p>
        </w:tc>
        <w:tc>
          <w:tcPr>
            <w:tcW w:w="1507" w:type="dxa"/>
            <w:tcBorders>
              <w:top w:val="nil"/>
              <w:left w:val="nil"/>
              <w:bottom w:val="single" w:sz="4" w:space="0" w:color="auto"/>
              <w:right w:val="single" w:sz="4" w:space="0" w:color="auto"/>
            </w:tcBorders>
            <w:shd w:val="clear" w:color="auto" w:fill="E36C0A" w:themeFill="accent6" w:themeFillShade="BF"/>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0.484</w:t>
            </w:r>
          </w:p>
        </w:tc>
        <w:tc>
          <w:tcPr>
            <w:tcW w:w="1507" w:type="dxa"/>
            <w:tcBorders>
              <w:top w:val="nil"/>
              <w:left w:val="nil"/>
              <w:bottom w:val="single" w:sz="4" w:space="0" w:color="auto"/>
              <w:right w:val="single" w:sz="4" w:space="0" w:color="auto"/>
            </w:tcBorders>
            <w:shd w:val="clear" w:color="auto" w:fill="E36C0A" w:themeFill="accent6" w:themeFillShade="BF"/>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0.598</w:t>
            </w:r>
          </w:p>
        </w:tc>
      </w:tr>
      <w:tr w:rsidR="003228C9" w:rsidRPr="0017614D" w:rsidTr="00A4340C">
        <w:trPr>
          <w:trHeight w:val="300"/>
          <w:jc w:val="center"/>
        </w:trPr>
        <w:tc>
          <w:tcPr>
            <w:tcW w:w="2220" w:type="dxa"/>
            <w:tcBorders>
              <w:top w:val="nil"/>
              <w:left w:val="single" w:sz="4" w:space="0" w:color="auto"/>
              <w:bottom w:val="single" w:sz="4" w:space="0" w:color="auto"/>
              <w:right w:val="single" w:sz="4" w:space="0" w:color="auto"/>
            </w:tcBorders>
            <w:shd w:val="clear" w:color="000000" w:fill="FDE9D9"/>
            <w:noWrap/>
            <w:vAlign w:val="center"/>
            <w:hideMark/>
          </w:tcPr>
          <w:p w:rsidR="003228C9" w:rsidRPr="0017614D" w:rsidRDefault="003228C9" w:rsidP="00A4340C">
            <w:pPr>
              <w:spacing w:after="0" w:line="240" w:lineRule="auto"/>
              <w:rPr>
                <w:rFonts w:ascii="Times New Roman" w:eastAsia="Times New Roman" w:hAnsi="Times New Roman" w:cs="Times New Roman"/>
                <w:i/>
                <w:iCs/>
                <w:color w:val="000000"/>
                <w:lang w:val="lt-LT"/>
              </w:rPr>
            </w:pPr>
            <w:r w:rsidRPr="0017614D">
              <w:rPr>
                <w:rFonts w:ascii="Times New Roman" w:eastAsia="Times New Roman" w:hAnsi="Times New Roman" w:cs="Times New Roman"/>
                <w:i/>
                <w:iCs/>
                <w:color w:val="000000"/>
                <w:lang w:val="lt-LT"/>
              </w:rPr>
              <w:t>*UAB "Romas ir ko"</w:t>
            </w:r>
          </w:p>
        </w:tc>
        <w:tc>
          <w:tcPr>
            <w:tcW w:w="1507" w:type="dxa"/>
            <w:tcBorders>
              <w:top w:val="nil"/>
              <w:left w:val="nil"/>
              <w:bottom w:val="single" w:sz="4" w:space="0" w:color="auto"/>
              <w:right w:val="single" w:sz="4" w:space="0" w:color="auto"/>
            </w:tcBorders>
            <w:shd w:val="clear" w:color="auto" w:fill="E36C0A" w:themeFill="accent6" w:themeFillShade="BF"/>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0.566</w:t>
            </w:r>
          </w:p>
        </w:tc>
        <w:tc>
          <w:tcPr>
            <w:tcW w:w="1507" w:type="dxa"/>
            <w:tcBorders>
              <w:top w:val="nil"/>
              <w:left w:val="nil"/>
              <w:bottom w:val="single" w:sz="4" w:space="0" w:color="auto"/>
              <w:right w:val="single" w:sz="4" w:space="0" w:color="auto"/>
            </w:tcBorders>
            <w:shd w:val="clear" w:color="auto" w:fill="E36C0A" w:themeFill="accent6" w:themeFillShade="BF"/>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0.526</w:t>
            </w:r>
          </w:p>
        </w:tc>
        <w:tc>
          <w:tcPr>
            <w:tcW w:w="1507" w:type="dxa"/>
            <w:tcBorders>
              <w:top w:val="nil"/>
              <w:left w:val="nil"/>
              <w:bottom w:val="single" w:sz="4" w:space="0" w:color="auto"/>
              <w:right w:val="single" w:sz="4" w:space="0" w:color="auto"/>
            </w:tcBorders>
            <w:shd w:val="clear" w:color="auto" w:fill="E36C0A" w:themeFill="accent6" w:themeFillShade="BF"/>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0.569</w:t>
            </w:r>
          </w:p>
        </w:tc>
      </w:tr>
      <w:tr w:rsidR="003228C9" w:rsidRPr="0017614D" w:rsidTr="00A4340C">
        <w:trPr>
          <w:trHeight w:val="300"/>
          <w:jc w:val="center"/>
        </w:trPr>
        <w:tc>
          <w:tcPr>
            <w:tcW w:w="2220" w:type="dxa"/>
            <w:tcBorders>
              <w:top w:val="nil"/>
              <w:left w:val="single" w:sz="4" w:space="0" w:color="auto"/>
              <w:bottom w:val="single" w:sz="4" w:space="0" w:color="auto"/>
              <w:right w:val="single" w:sz="4" w:space="0" w:color="auto"/>
            </w:tcBorders>
            <w:shd w:val="clear" w:color="000000" w:fill="FDE9D9"/>
            <w:noWrap/>
            <w:vAlign w:val="center"/>
            <w:hideMark/>
          </w:tcPr>
          <w:p w:rsidR="003228C9" w:rsidRPr="0017614D" w:rsidRDefault="003228C9" w:rsidP="00A4340C">
            <w:pPr>
              <w:spacing w:after="0" w:line="240" w:lineRule="auto"/>
              <w:rPr>
                <w:rFonts w:ascii="Times New Roman" w:eastAsia="Times New Roman" w:hAnsi="Times New Roman" w:cs="Times New Roman"/>
                <w:i/>
                <w:iCs/>
                <w:color w:val="000000"/>
                <w:lang w:val="lt-LT"/>
              </w:rPr>
            </w:pPr>
            <w:r w:rsidRPr="0017614D">
              <w:rPr>
                <w:rFonts w:ascii="Times New Roman" w:eastAsia="Times New Roman" w:hAnsi="Times New Roman" w:cs="Times New Roman"/>
                <w:i/>
                <w:iCs/>
                <w:color w:val="000000"/>
                <w:lang w:val="lt-LT"/>
              </w:rPr>
              <w:t>UAB "Girteka"</w:t>
            </w:r>
          </w:p>
        </w:tc>
        <w:tc>
          <w:tcPr>
            <w:tcW w:w="1507" w:type="dxa"/>
            <w:tcBorders>
              <w:top w:val="nil"/>
              <w:left w:val="nil"/>
              <w:bottom w:val="single" w:sz="4" w:space="0" w:color="auto"/>
              <w:right w:val="single" w:sz="4" w:space="0" w:color="auto"/>
            </w:tcBorders>
            <w:shd w:val="clear" w:color="auto" w:fill="E36C0A" w:themeFill="accent6" w:themeFillShade="BF"/>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0.607</w:t>
            </w:r>
          </w:p>
        </w:tc>
        <w:tc>
          <w:tcPr>
            <w:tcW w:w="1507" w:type="dxa"/>
            <w:tcBorders>
              <w:top w:val="nil"/>
              <w:left w:val="nil"/>
              <w:bottom w:val="single" w:sz="4" w:space="0" w:color="auto"/>
              <w:right w:val="single" w:sz="4" w:space="0" w:color="auto"/>
            </w:tcBorders>
            <w:shd w:val="clear" w:color="auto" w:fill="E36C0A" w:themeFill="accent6" w:themeFillShade="BF"/>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0.596</w:t>
            </w:r>
          </w:p>
        </w:tc>
        <w:tc>
          <w:tcPr>
            <w:tcW w:w="1507" w:type="dxa"/>
            <w:tcBorders>
              <w:top w:val="nil"/>
              <w:left w:val="nil"/>
              <w:bottom w:val="single" w:sz="4" w:space="0" w:color="auto"/>
              <w:right w:val="single" w:sz="4" w:space="0" w:color="auto"/>
            </w:tcBorders>
            <w:shd w:val="clear" w:color="auto" w:fill="E36C0A" w:themeFill="accent6" w:themeFillShade="BF"/>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0.531</w:t>
            </w:r>
          </w:p>
        </w:tc>
      </w:tr>
      <w:tr w:rsidR="003228C9" w:rsidRPr="0017614D" w:rsidTr="00A4340C">
        <w:trPr>
          <w:trHeight w:val="300"/>
          <w:jc w:val="center"/>
        </w:trPr>
        <w:tc>
          <w:tcPr>
            <w:tcW w:w="2220" w:type="dxa"/>
            <w:tcBorders>
              <w:top w:val="nil"/>
              <w:left w:val="single" w:sz="4" w:space="0" w:color="auto"/>
              <w:bottom w:val="single" w:sz="4" w:space="0" w:color="auto"/>
              <w:right w:val="single" w:sz="4" w:space="0" w:color="auto"/>
            </w:tcBorders>
            <w:shd w:val="clear" w:color="000000" w:fill="FDE9D9"/>
            <w:noWrap/>
            <w:vAlign w:val="center"/>
            <w:hideMark/>
          </w:tcPr>
          <w:p w:rsidR="003228C9" w:rsidRPr="0017614D" w:rsidRDefault="003228C9" w:rsidP="00A4340C">
            <w:pPr>
              <w:spacing w:after="0" w:line="240" w:lineRule="auto"/>
              <w:rPr>
                <w:rFonts w:ascii="Times New Roman" w:eastAsia="Times New Roman" w:hAnsi="Times New Roman" w:cs="Times New Roman"/>
                <w:i/>
                <w:iCs/>
                <w:color w:val="000000"/>
                <w:lang w:val="lt-LT"/>
              </w:rPr>
            </w:pPr>
            <w:r w:rsidRPr="0017614D">
              <w:rPr>
                <w:rFonts w:ascii="Times New Roman" w:eastAsia="Times New Roman" w:hAnsi="Times New Roman" w:cs="Times New Roman"/>
                <w:i/>
                <w:iCs/>
                <w:color w:val="000000"/>
                <w:lang w:val="lt-LT"/>
              </w:rPr>
              <w:t>UAB "Autoverslas"</w:t>
            </w:r>
          </w:p>
        </w:tc>
        <w:tc>
          <w:tcPr>
            <w:tcW w:w="1507" w:type="dxa"/>
            <w:tcBorders>
              <w:top w:val="nil"/>
              <w:left w:val="nil"/>
              <w:bottom w:val="single" w:sz="4" w:space="0" w:color="auto"/>
              <w:right w:val="single" w:sz="4" w:space="0" w:color="auto"/>
            </w:tcBorders>
            <w:shd w:val="clear" w:color="auto" w:fill="E36C0A" w:themeFill="accent6" w:themeFillShade="BF"/>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0.609</w:t>
            </w:r>
          </w:p>
        </w:tc>
        <w:tc>
          <w:tcPr>
            <w:tcW w:w="1507" w:type="dxa"/>
            <w:tcBorders>
              <w:top w:val="nil"/>
              <w:left w:val="nil"/>
              <w:bottom w:val="single" w:sz="4" w:space="0" w:color="auto"/>
              <w:right w:val="single" w:sz="4" w:space="0" w:color="auto"/>
            </w:tcBorders>
            <w:shd w:val="clear" w:color="auto" w:fill="E36C0A" w:themeFill="accent6" w:themeFillShade="BF"/>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0.647</w:t>
            </w:r>
          </w:p>
        </w:tc>
        <w:tc>
          <w:tcPr>
            <w:tcW w:w="1507" w:type="dxa"/>
            <w:tcBorders>
              <w:top w:val="nil"/>
              <w:left w:val="nil"/>
              <w:bottom w:val="single" w:sz="4" w:space="0" w:color="auto"/>
              <w:right w:val="single" w:sz="4" w:space="0" w:color="auto"/>
            </w:tcBorders>
            <w:shd w:val="clear" w:color="auto" w:fill="E36C0A" w:themeFill="accent6" w:themeFillShade="BF"/>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0.598</w:t>
            </w:r>
          </w:p>
        </w:tc>
      </w:tr>
    </w:tbl>
    <w:p w:rsidR="003228C9" w:rsidRPr="0017614D" w:rsidRDefault="003228C9" w:rsidP="003228C9">
      <w:pPr>
        <w:spacing w:after="0" w:line="360" w:lineRule="auto"/>
        <w:ind w:firstLine="720"/>
        <w:contextualSpacing/>
        <w:jc w:val="both"/>
        <w:rPr>
          <w:rFonts w:ascii="Times New Roman" w:hAnsi="Times New Roman" w:cs="Times New Roman"/>
          <w:sz w:val="24"/>
          <w:szCs w:val="24"/>
          <w:lang w:val="lt-LT"/>
        </w:rPr>
      </w:pPr>
    </w:p>
    <w:p w:rsidR="003228C9" w:rsidRPr="0017614D" w:rsidRDefault="003228C9" w:rsidP="003228C9">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Vertinant bankrutavusių įmonių UAB „Achemrida“ ir UAB „Romas ir ko“ bei vis dar veikiančių - UAB „Girteka“ ir UAB „Autoverslas“ rezultatus matome, kad šių įmonių bendrasis skolos koeficientas visą </w:t>
      </w:r>
      <w:r w:rsidR="00820234" w:rsidRPr="0017614D">
        <w:rPr>
          <w:rFonts w:ascii="Times New Roman" w:hAnsi="Times New Roman" w:cs="Times New Roman"/>
          <w:sz w:val="24"/>
          <w:szCs w:val="24"/>
          <w:lang w:val="lt-LT"/>
        </w:rPr>
        <w:t xml:space="preserve">laiką buvo </w:t>
      </w:r>
      <w:r w:rsidR="00C72F00" w:rsidRPr="0017614D">
        <w:rPr>
          <w:rFonts w:ascii="Times New Roman" w:hAnsi="Times New Roman" w:cs="Times New Roman"/>
          <w:sz w:val="24"/>
          <w:szCs w:val="24"/>
          <w:lang w:val="lt-LT"/>
        </w:rPr>
        <w:t>mažesnis už 1 (žr. 12</w:t>
      </w:r>
      <w:r w:rsidRPr="0017614D">
        <w:rPr>
          <w:rFonts w:ascii="Times New Roman" w:hAnsi="Times New Roman" w:cs="Times New Roman"/>
          <w:sz w:val="24"/>
          <w:szCs w:val="24"/>
          <w:lang w:val="lt-LT"/>
        </w:rPr>
        <w:t xml:space="preserve"> lent</w:t>
      </w:r>
      <w:r w:rsidR="00820234" w:rsidRPr="0017614D">
        <w:rPr>
          <w:rFonts w:ascii="Times New Roman" w:hAnsi="Times New Roman" w:cs="Times New Roman"/>
          <w:sz w:val="24"/>
          <w:szCs w:val="24"/>
          <w:lang w:val="lt-LT"/>
        </w:rPr>
        <w:t>.</w:t>
      </w:r>
      <w:r w:rsidRPr="0017614D">
        <w:rPr>
          <w:rFonts w:ascii="Times New Roman" w:hAnsi="Times New Roman" w:cs="Times New Roman"/>
          <w:sz w:val="24"/>
          <w:szCs w:val="24"/>
          <w:lang w:val="lt-LT"/>
        </w:rPr>
        <w:t>). Tačiau jei lyginsime šio tyrimo rezultatus su vidutinės Lietuvos transportavimo įmonės koeficientais, pastebima, kad mūsų nagrinėjamų įmonių koeficientai beveik visą laiką viršijo juos. Todėl galima sakyti, kad mūsų nagrinėjamoms įmonėms reikėtų sunerimti, kadangi jų rodikliai yra blogesnį už vyraujančius tuo metu.</w:t>
      </w:r>
    </w:p>
    <w:p w:rsidR="003228C9" w:rsidRPr="0017614D" w:rsidRDefault="003228C9" w:rsidP="003228C9">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Iš ilgalaikio mokumo rodiklių taip pat buvo paskaičiuotas finansinis svertas, kuris parodo kokia yra įmonės skolų dalis, lyginant su nuosavo kapitalo dalimi. Atitinkamai kuo šis rodiklis yra didesnis, tuo blogiau įmonei. Remiantis Lietuvos Statistikos departamento duomenimis tarp Lietuvos įmonių finansinis svertas siekė 2008 m. – 1.48, 2009 m. – 1.63, o 2010 m. – 1.85. </w:t>
      </w:r>
    </w:p>
    <w:p w:rsidR="003228C9" w:rsidRPr="0017614D" w:rsidRDefault="003228C9" w:rsidP="003228C9">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Nagrinėjant UAB „Achemarida“ finansinį svertą, galima pastebėti, kad jis kiekvienais metais vis didėjo, o 2010 m. pasiekė pakankamai aukštą lygį, kuris parodo, kad įmonės skolintas kapitalas 1,5 karto viršija nuosava kapitalą</w:t>
      </w:r>
      <w:r w:rsidR="00C72F00" w:rsidRPr="0017614D">
        <w:rPr>
          <w:rFonts w:ascii="Times New Roman" w:hAnsi="Times New Roman" w:cs="Times New Roman"/>
          <w:sz w:val="24"/>
          <w:szCs w:val="24"/>
          <w:lang w:val="lt-LT"/>
        </w:rPr>
        <w:t xml:space="preserve"> (žr. 13</w:t>
      </w:r>
      <w:r w:rsidRPr="0017614D">
        <w:rPr>
          <w:rFonts w:ascii="Times New Roman" w:hAnsi="Times New Roman" w:cs="Times New Roman"/>
          <w:sz w:val="24"/>
          <w:szCs w:val="24"/>
          <w:lang w:val="lt-LT"/>
        </w:rPr>
        <w:t xml:space="preserve"> lentelę). Visų kitų įmonių finansinis svertas visą nagrinėjamą laikotarpį buvo aukštesnis už 1. Vis dėlto verta atkreipti dėmesį, kad abejų sėkmingai veikiančių įmonių finansinis </w:t>
      </w:r>
      <w:r w:rsidRPr="0017614D">
        <w:rPr>
          <w:rFonts w:ascii="Times New Roman" w:hAnsi="Times New Roman" w:cs="Times New Roman"/>
          <w:sz w:val="24"/>
          <w:szCs w:val="24"/>
          <w:lang w:val="lt-LT"/>
        </w:rPr>
        <w:lastRenderedPageBreak/>
        <w:t>svertas 2010 m. gerokai sumažėjo palyginus su ankstesniais metais. Be to lyginant su vidutiniais Lietuvos įmonių finansinio sverto įverčiais, galima pastebėti kad UAB „Autoverslas“ viršijo juos 2008-2009 m., o UAB „Girteka“ – 2008 m. Visi kiti rezultatai atitiko vidutinės Lietuvos įmonės įverčius arba buvo mažesni.</w:t>
      </w:r>
    </w:p>
    <w:p w:rsidR="003228C9" w:rsidRPr="0017614D" w:rsidRDefault="003228C9" w:rsidP="003228C9">
      <w:pPr>
        <w:spacing w:after="0" w:line="360" w:lineRule="auto"/>
        <w:ind w:firstLine="720"/>
        <w:contextualSpacing/>
        <w:jc w:val="both"/>
        <w:rPr>
          <w:rFonts w:ascii="Times New Roman" w:hAnsi="Times New Roman" w:cs="Times New Roman"/>
          <w:sz w:val="24"/>
          <w:szCs w:val="24"/>
          <w:lang w:val="lt-LT"/>
        </w:rPr>
      </w:pPr>
    </w:p>
    <w:p w:rsidR="003228C9" w:rsidRPr="0017614D" w:rsidRDefault="00820234" w:rsidP="003228C9">
      <w:pPr>
        <w:contextualSpacing/>
        <w:jc w:val="center"/>
        <w:rPr>
          <w:rFonts w:ascii="Times New Roman" w:hAnsi="Times New Roman" w:cs="Times New Roman"/>
          <w:lang w:val="lt-LT"/>
        </w:rPr>
      </w:pPr>
      <w:r w:rsidRPr="0017614D">
        <w:rPr>
          <w:rFonts w:ascii="Times New Roman" w:hAnsi="Times New Roman" w:cs="Times New Roman"/>
          <w:lang w:val="lt-LT"/>
        </w:rPr>
        <w:t>1</w:t>
      </w:r>
      <w:r w:rsidR="00C72F00" w:rsidRPr="0017614D">
        <w:rPr>
          <w:rFonts w:ascii="Times New Roman" w:hAnsi="Times New Roman" w:cs="Times New Roman"/>
          <w:lang w:val="lt-LT"/>
        </w:rPr>
        <w:t>3</w:t>
      </w:r>
      <w:r w:rsidR="003228C9" w:rsidRPr="0017614D">
        <w:rPr>
          <w:rFonts w:ascii="Times New Roman" w:hAnsi="Times New Roman" w:cs="Times New Roman"/>
          <w:lang w:val="lt-LT"/>
        </w:rPr>
        <w:t xml:space="preserve"> lentelė.</w:t>
      </w:r>
      <w:r w:rsidR="003228C9" w:rsidRPr="0017614D">
        <w:rPr>
          <w:rFonts w:ascii="Times New Roman" w:hAnsi="Times New Roman" w:cs="Times New Roman"/>
          <w:b/>
          <w:lang w:val="lt-LT"/>
        </w:rPr>
        <w:t xml:space="preserve"> UAB „Achemarida“, UAB „Romas ir ko“, UAB „Girteka“ ir UAB „Autoverslas“ 2008-2010 m. finansinio sverto koeficientai</w:t>
      </w:r>
    </w:p>
    <w:tbl>
      <w:tblPr>
        <w:tblW w:w="6741" w:type="dxa"/>
        <w:jc w:val="center"/>
        <w:tblInd w:w="89" w:type="dxa"/>
        <w:tblLook w:val="04A0"/>
      </w:tblPr>
      <w:tblGrid>
        <w:gridCol w:w="2220"/>
        <w:gridCol w:w="1507"/>
        <w:gridCol w:w="1507"/>
        <w:gridCol w:w="1507"/>
      </w:tblGrid>
      <w:tr w:rsidR="003228C9" w:rsidRPr="0017614D" w:rsidTr="00A4340C">
        <w:trPr>
          <w:trHeight w:val="300"/>
          <w:jc w:val="center"/>
        </w:trPr>
        <w:tc>
          <w:tcPr>
            <w:tcW w:w="2220" w:type="dxa"/>
            <w:vMerge w:val="restart"/>
            <w:tcBorders>
              <w:top w:val="single" w:sz="4" w:space="0" w:color="auto"/>
              <w:left w:val="single" w:sz="4" w:space="0" w:color="auto"/>
              <w:bottom w:val="single" w:sz="4" w:space="0" w:color="000000"/>
              <w:right w:val="single" w:sz="4" w:space="0" w:color="auto"/>
            </w:tcBorders>
            <w:shd w:val="clear" w:color="000000" w:fill="FCD5B4"/>
            <w:noWrap/>
            <w:vAlign w:val="center"/>
            <w:hideMark/>
          </w:tcPr>
          <w:p w:rsidR="003228C9" w:rsidRPr="0017614D" w:rsidRDefault="003228C9" w:rsidP="00A4340C">
            <w:pPr>
              <w:spacing w:after="0" w:line="240" w:lineRule="auto"/>
              <w:jc w:val="center"/>
              <w:rPr>
                <w:rFonts w:ascii="Times New Roman" w:eastAsia="Times New Roman" w:hAnsi="Times New Roman" w:cs="Times New Roman"/>
                <w:b/>
                <w:bCs/>
                <w:color w:val="000000"/>
                <w:lang w:val="lt-LT"/>
              </w:rPr>
            </w:pPr>
            <w:r w:rsidRPr="0017614D">
              <w:rPr>
                <w:rFonts w:ascii="Times New Roman" w:eastAsia="Times New Roman" w:hAnsi="Times New Roman" w:cs="Times New Roman"/>
                <w:b/>
                <w:bCs/>
                <w:color w:val="000000"/>
                <w:lang w:val="lt-LT"/>
              </w:rPr>
              <w:t>Įmonė</w:t>
            </w:r>
          </w:p>
        </w:tc>
        <w:tc>
          <w:tcPr>
            <w:tcW w:w="4521" w:type="dxa"/>
            <w:gridSpan w:val="3"/>
            <w:tcBorders>
              <w:top w:val="single" w:sz="4" w:space="0" w:color="auto"/>
              <w:left w:val="nil"/>
              <w:bottom w:val="single" w:sz="4" w:space="0" w:color="auto"/>
              <w:right w:val="single" w:sz="4" w:space="0" w:color="auto"/>
            </w:tcBorders>
            <w:shd w:val="clear" w:color="000000" w:fill="FCD5B4"/>
            <w:noWrap/>
            <w:vAlign w:val="center"/>
            <w:hideMark/>
          </w:tcPr>
          <w:p w:rsidR="003228C9" w:rsidRPr="0017614D" w:rsidRDefault="003228C9" w:rsidP="00A4340C">
            <w:pPr>
              <w:spacing w:after="0" w:line="240" w:lineRule="auto"/>
              <w:jc w:val="center"/>
              <w:rPr>
                <w:rFonts w:ascii="Times New Roman" w:eastAsia="Times New Roman" w:hAnsi="Times New Roman" w:cs="Times New Roman"/>
                <w:b/>
                <w:bCs/>
                <w:color w:val="000000"/>
                <w:lang w:val="lt-LT"/>
              </w:rPr>
            </w:pPr>
            <w:r w:rsidRPr="0017614D">
              <w:rPr>
                <w:rFonts w:ascii="Times New Roman" w:eastAsia="Times New Roman" w:hAnsi="Times New Roman" w:cs="Times New Roman"/>
                <w:b/>
                <w:bCs/>
                <w:color w:val="000000"/>
                <w:lang w:val="lt-LT"/>
              </w:rPr>
              <w:t xml:space="preserve">Finansinis svertas </w:t>
            </w:r>
          </w:p>
        </w:tc>
      </w:tr>
      <w:tr w:rsidR="003228C9" w:rsidRPr="0017614D" w:rsidTr="00A4340C">
        <w:trPr>
          <w:trHeight w:val="300"/>
          <w:jc w:val="center"/>
        </w:trPr>
        <w:tc>
          <w:tcPr>
            <w:tcW w:w="2220" w:type="dxa"/>
            <w:vMerge/>
            <w:tcBorders>
              <w:top w:val="single" w:sz="4" w:space="0" w:color="auto"/>
              <w:left w:val="single" w:sz="4" w:space="0" w:color="auto"/>
              <w:bottom w:val="single" w:sz="4" w:space="0" w:color="000000"/>
              <w:right w:val="single" w:sz="4" w:space="0" w:color="auto"/>
            </w:tcBorders>
            <w:vAlign w:val="center"/>
            <w:hideMark/>
          </w:tcPr>
          <w:p w:rsidR="003228C9" w:rsidRPr="0017614D" w:rsidRDefault="003228C9" w:rsidP="00A4340C">
            <w:pPr>
              <w:spacing w:after="0" w:line="240" w:lineRule="auto"/>
              <w:rPr>
                <w:rFonts w:ascii="Times New Roman" w:eastAsia="Times New Roman" w:hAnsi="Times New Roman" w:cs="Times New Roman"/>
                <w:b/>
                <w:bCs/>
                <w:color w:val="000000"/>
                <w:lang w:val="lt-LT"/>
              </w:rPr>
            </w:pPr>
          </w:p>
        </w:tc>
        <w:tc>
          <w:tcPr>
            <w:tcW w:w="1507" w:type="dxa"/>
            <w:tcBorders>
              <w:top w:val="nil"/>
              <w:left w:val="nil"/>
              <w:bottom w:val="single" w:sz="4" w:space="0" w:color="auto"/>
              <w:right w:val="single" w:sz="4" w:space="0" w:color="auto"/>
            </w:tcBorders>
            <w:shd w:val="clear" w:color="000000" w:fill="FDE9D9"/>
            <w:noWrap/>
            <w:vAlign w:val="center"/>
            <w:hideMark/>
          </w:tcPr>
          <w:p w:rsidR="003228C9" w:rsidRPr="0017614D" w:rsidRDefault="003228C9" w:rsidP="00A4340C">
            <w:pPr>
              <w:spacing w:after="0" w:line="240" w:lineRule="auto"/>
              <w:jc w:val="center"/>
              <w:rPr>
                <w:rFonts w:ascii="Times New Roman" w:eastAsia="Times New Roman" w:hAnsi="Times New Roman" w:cs="Times New Roman"/>
                <w:b/>
                <w:bCs/>
                <w:i/>
                <w:iCs/>
                <w:color w:val="000000"/>
                <w:lang w:val="lt-LT"/>
              </w:rPr>
            </w:pPr>
            <w:r w:rsidRPr="0017614D">
              <w:rPr>
                <w:rFonts w:ascii="Times New Roman" w:eastAsia="Times New Roman" w:hAnsi="Times New Roman" w:cs="Times New Roman"/>
                <w:b/>
                <w:bCs/>
                <w:i/>
                <w:iCs/>
                <w:color w:val="000000"/>
                <w:lang w:val="lt-LT"/>
              </w:rPr>
              <w:t>2008</w:t>
            </w:r>
          </w:p>
        </w:tc>
        <w:tc>
          <w:tcPr>
            <w:tcW w:w="1507" w:type="dxa"/>
            <w:tcBorders>
              <w:top w:val="nil"/>
              <w:left w:val="nil"/>
              <w:bottom w:val="single" w:sz="4" w:space="0" w:color="auto"/>
              <w:right w:val="single" w:sz="4" w:space="0" w:color="auto"/>
            </w:tcBorders>
            <w:shd w:val="clear" w:color="000000" w:fill="FDE9D9"/>
            <w:noWrap/>
            <w:vAlign w:val="center"/>
            <w:hideMark/>
          </w:tcPr>
          <w:p w:rsidR="003228C9" w:rsidRPr="0017614D" w:rsidRDefault="003228C9" w:rsidP="00A4340C">
            <w:pPr>
              <w:spacing w:after="0" w:line="240" w:lineRule="auto"/>
              <w:jc w:val="center"/>
              <w:rPr>
                <w:rFonts w:ascii="Times New Roman" w:eastAsia="Times New Roman" w:hAnsi="Times New Roman" w:cs="Times New Roman"/>
                <w:b/>
                <w:bCs/>
                <w:i/>
                <w:iCs/>
                <w:color w:val="000000"/>
                <w:lang w:val="lt-LT"/>
              </w:rPr>
            </w:pPr>
            <w:r w:rsidRPr="0017614D">
              <w:rPr>
                <w:rFonts w:ascii="Times New Roman" w:eastAsia="Times New Roman" w:hAnsi="Times New Roman" w:cs="Times New Roman"/>
                <w:b/>
                <w:bCs/>
                <w:i/>
                <w:iCs/>
                <w:color w:val="000000"/>
                <w:lang w:val="lt-LT"/>
              </w:rPr>
              <w:t>2009</w:t>
            </w:r>
          </w:p>
        </w:tc>
        <w:tc>
          <w:tcPr>
            <w:tcW w:w="1507" w:type="dxa"/>
            <w:tcBorders>
              <w:top w:val="nil"/>
              <w:left w:val="nil"/>
              <w:bottom w:val="single" w:sz="4" w:space="0" w:color="auto"/>
              <w:right w:val="single" w:sz="4" w:space="0" w:color="auto"/>
            </w:tcBorders>
            <w:shd w:val="clear" w:color="000000" w:fill="FDE9D9"/>
            <w:noWrap/>
            <w:vAlign w:val="center"/>
            <w:hideMark/>
          </w:tcPr>
          <w:p w:rsidR="003228C9" w:rsidRPr="0017614D" w:rsidRDefault="003228C9" w:rsidP="00A4340C">
            <w:pPr>
              <w:spacing w:after="0" w:line="240" w:lineRule="auto"/>
              <w:jc w:val="center"/>
              <w:rPr>
                <w:rFonts w:ascii="Times New Roman" w:eastAsia="Times New Roman" w:hAnsi="Times New Roman" w:cs="Times New Roman"/>
                <w:b/>
                <w:bCs/>
                <w:i/>
                <w:iCs/>
                <w:color w:val="000000"/>
                <w:lang w:val="lt-LT"/>
              </w:rPr>
            </w:pPr>
            <w:r w:rsidRPr="0017614D">
              <w:rPr>
                <w:rFonts w:ascii="Times New Roman" w:eastAsia="Times New Roman" w:hAnsi="Times New Roman" w:cs="Times New Roman"/>
                <w:b/>
                <w:bCs/>
                <w:i/>
                <w:iCs/>
                <w:color w:val="000000"/>
                <w:lang w:val="lt-LT"/>
              </w:rPr>
              <w:t>2010</w:t>
            </w:r>
          </w:p>
        </w:tc>
      </w:tr>
      <w:tr w:rsidR="003228C9" w:rsidRPr="0017614D" w:rsidTr="00A4340C">
        <w:trPr>
          <w:trHeight w:val="300"/>
          <w:jc w:val="center"/>
        </w:trPr>
        <w:tc>
          <w:tcPr>
            <w:tcW w:w="2220" w:type="dxa"/>
            <w:tcBorders>
              <w:top w:val="nil"/>
              <w:left w:val="single" w:sz="4" w:space="0" w:color="auto"/>
              <w:bottom w:val="single" w:sz="4" w:space="0" w:color="auto"/>
              <w:right w:val="single" w:sz="4" w:space="0" w:color="auto"/>
            </w:tcBorders>
            <w:shd w:val="clear" w:color="000000" w:fill="FDE9D9"/>
            <w:noWrap/>
            <w:vAlign w:val="center"/>
            <w:hideMark/>
          </w:tcPr>
          <w:p w:rsidR="003228C9" w:rsidRPr="0017614D" w:rsidRDefault="003228C9" w:rsidP="00A4340C">
            <w:pPr>
              <w:spacing w:after="0" w:line="240" w:lineRule="auto"/>
              <w:rPr>
                <w:rFonts w:ascii="Times New Roman" w:eastAsia="Times New Roman" w:hAnsi="Times New Roman" w:cs="Times New Roman"/>
                <w:i/>
                <w:iCs/>
                <w:color w:val="000000"/>
                <w:lang w:val="lt-LT"/>
              </w:rPr>
            </w:pPr>
            <w:r w:rsidRPr="0017614D">
              <w:rPr>
                <w:rFonts w:ascii="Times New Roman" w:eastAsia="Times New Roman" w:hAnsi="Times New Roman" w:cs="Times New Roman"/>
                <w:i/>
                <w:iCs/>
                <w:color w:val="000000"/>
                <w:lang w:val="lt-LT"/>
              </w:rPr>
              <w:t>*UAB "Achemarida"</w:t>
            </w:r>
          </w:p>
        </w:tc>
        <w:tc>
          <w:tcPr>
            <w:tcW w:w="1507" w:type="dxa"/>
            <w:tcBorders>
              <w:top w:val="nil"/>
              <w:left w:val="nil"/>
              <w:bottom w:val="single" w:sz="4" w:space="0" w:color="auto"/>
              <w:right w:val="single" w:sz="4" w:space="0" w:color="auto"/>
            </w:tcBorders>
            <w:shd w:val="clear" w:color="auto" w:fill="auto"/>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0.294</w:t>
            </w:r>
          </w:p>
        </w:tc>
        <w:tc>
          <w:tcPr>
            <w:tcW w:w="1507" w:type="dxa"/>
            <w:tcBorders>
              <w:top w:val="nil"/>
              <w:left w:val="nil"/>
              <w:bottom w:val="single" w:sz="4" w:space="0" w:color="auto"/>
              <w:right w:val="single" w:sz="4" w:space="0" w:color="auto"/>
            </w:tcBorders>
            <w:shd w:val="clear" w:color="auto" w:fill="auto"/>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0.939</w:t>
            </w:r>
          </w:p>
        </w:tc>
        <w:tc>
          <w:tcPr>
            <w:tcW w:w="1507" w:type="dxa"/>
            <w:tcBorders>
              <w:top w:val="nil"/>
              <w:left w:val="nil"/>
              <w:bottom w:val="single" w:sz="4" w:space="0" w:color="auto"/>
              <w:right w:val="single" w:sz="4" w:space="0" w:color="auto"/>
            </w:tcBorders>
            <w:shd w:val="clear" w:color="auto" w:fill="auto"/>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1.490</w:t>
            </w:r>
          </w:p>
        </w:tc>
      </w:tr>
      <w:tr w:rsidR="003228C9" w:rsidRPr="0017614D" w:rsidTr="00A4340C">
        <w:trPr>
          <w:trHeight w:val="300"/>
          <w:jc w:val="center"/>
        </w:trPr>
        <w:tc>
          <w:tcPr>
            <w:tcW w:w="2220" w:type="dxa"/>
            <w:tcBorders>
              <w:top w:val="nil"/>
              <w:left w:val="single" w:sz="4" w:space="0" w:color="auto"/>
              <w:bottom w:val="single" w:sz="4" w:space="0" w:color="auto"/>
              <w:right w:val="single" w:sz="4" w:space="0" w:color="auto"/>
            </w:tcBorders>
            <w:shd w:val="clear" w:color="000000" w:fill="FDE9D9"/>
            <w:noWrap/>
            <w:vAlign w:val="center"/>
            <w:hideMark/>
          </w:tcPr>
          <w:p w:rsidR="003228C9" w:rsidRPr="0017614D" w:rsidRDefault="003228C9" w:rsidP="00A4340C">
            <w:pPr>
              <w:spacing w:after="0" w:line="240" w:lineRule="auto"/>
              <w:rPr>
                <w:rFonts w:ascii="Times New Roman" w:eastAsia="Times New Roman" w:hAnsi="Times New Roman" w:cs="Times New Roman"/>
                <w:i/>
                <w:iCs/>
                <w:color w:val="000000"/>
                <w:lang w:val="lt-LT"/>
              </w:rPr>
            </w:pPr>
            <w:r w:rsidRPr="0017614D">
              <w:rPr>
                <w:rFonts w:ascii="Times New Roman" w:eastAsia="Times New Roman" w:hAnsi="Times New Roman" w:cs="Times New Roman"/>
                <w:i/>
                <w:iCs/>
                <w:color w:val="000000"/>
                <w:lang w:val="lt-LT"/>
              </w:rPr>
              <w:t>*UAB "Romas ir ko"</w:t>
            </w:r>
          </w:p>
        </w:tc>
        <w:tc>
          <w:tcPr>
            <w:tcW w:w="1507" w:type="dxa"/>
            <w:tcBorders>
              <w:top w:val="nil"/>
              <w:left w:val="nil"/>
              <w:bottom w:val="single" w:sz="4" w:space="0" w:color="auto"/>
              <w:right w:val="single" w:sz="4" w:space="0" w:color="auto"/>
            </w:tcBorders>
            <w:shd w:val="clear" w:color="auto" w:fill="auto"/>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1.304</w:t>
            </w:r>
          </w:p>
        </w:tc>
        <w:tc>
          <w:tcPr>
            <w:tcW w:w="1507" w:type="dxa"/>
            <w:tcBorders>
              <w:top w:val="nil"/>
              <w:left w:val="nil"/>
              <w:bottom w:val="single" w:sz="4" w:space="0" w:color="auto"/>
              <w:right w:val="single" w:sz="4" w:space="0" w:color="auto"/>
            </w:tcBorders>
            <w:shd w:val="clear" w:color="auto" w:fill="auto"/>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1.109</w:t>
            </w:r>
          </w:p>
        </w:tc>
        <w:tc>
          <w:tcPr>
            <w:tcW w:w="1507" w:type="dxa"/>
            <w:tcBorders>
              <w:top w:val="nil"/>
              <w:left w:val="nil"/>
              <w:bottom w:val="single" w:sz="4" w:space="0" w:color="auto"/>
              <w:right w:val="single" w:sz="4" w:space="0" w:color="auto"/>
            </w:tcBorders>
            <w:shd w:val="clear" w:color="auto" w:fill="auto"/>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1.320</w:t>
            </w:r>
          </w:p>
        </w:tc>
      </w:tr>
      <w:tr w:rsidR="003228C9" w:rsidRPr="0017614D" w:rsidTr="00A4340C">
        <w:trPr>
          <w:trHeight w:val="300"/>
          <w:jc w:val="center"/>
        </w:trPr>
        <w:tc>
          <w:tcPr>
            <w:tcW w:w="2220" w:type="dxa"/>
            <w:tcBorders>
              <w:top w:val="nil"/>
              <w:left w:val="single" w:sz="4" w:space="0" w:color="auto"/>
              <w:bottom w:val="single" w:sz="4" w:space="0" w:color="auto"/>
              <w:right w:val="single" w:sz="4" w:space="0" w:color="auto"/>
            </w:tcBorders>
            <w:shd w:val="clear" w:color="000000" w:fill="FDE9D9"/>
            <w:noWrap/>
            <w:vAlign w:val="center"/>
            <w:hideMark/>
          </w:tcPr>
          <w:p w:rsidR="003228C9" w:rsidRPr="0017614D" w:rsidRDefault="003228C9" w:rsidP="00A4340C">
            <w:pPr>
              <w:spacing w:after="0" w:line="240" w:lineRule="auto"/>
              <w:rPr>
                <w:rFonts w:ascii="Times New Roman" w:eastAsia="Times New Roman" w:hAnsi="Times New Roman" w:cs="Times New Roman"/>
                <w:i/>
                <w:iCs/>
                <w:color w:val="000000"/>
                <w:lang w:val="lt-LT"/>
              </w:rPr>
            </w:pPr>
            <w:r w:rsidRPr="0017614D">
              <w:rPr>
                <w:rFonts w:ascii="Times New Roman" w:eastAsia="Times New Roman" w:hAnsi="Times New Roman" w:cs="Times New Roman"/>
                <w:i/>
                <w:iCs/>
                <w:color w:val="000000"/>
                <w:lang w:val="lt-LT"/>
              </w:rPr>
              <w:t>UAB "Girteka"</w:t>
            </w:r>
          </w:p>
        </w:tc>
        <w:tc>
          <w:tcPr>
            <w:tcW w:w="1507" w:type="dxa"/>
            <w:tcBorders>
              <w:top w:val="nil"/>
              <w:left w:val="nil"/>
              <w:bottom w:val="single" w:sz="4" w:space="0" w:color="auto"/>
              <w:right w:val="single" w:sz="4" w:space="0" w:color="auto"/>
            </w:tcBorders>
            <w:shd w:val="clear" w:color="auto" w:fill="E36C0A" w:themeFill="accent6" w:themeFillShade="BF"/>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1.545</w:t>
            </w:r>
          </w:p>
        </w:tc>
        <w:tc>
          <w:tcPr>
            <w:tcW w:w="1507" w:type="dxa"/>
            <w:tcBorders>
              <w:top w:val="nil"/>
              <w:left w:val="nil"/>
              <w:bottom w:val="single" w:sz="4" w:space="0" w:color="auto"/>
              <w:right w:val="single" w:sz="4" w:space="0" w:color="auto"/>
            </w:tcBorders>
            <w:shd w:val="clear" w:color="auto" w:fill="auto"/>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1.474</w:t>
            </w:r>
          </w:p>
        </w:tc>
        <w:tc>
          <w:tcPr>
            <w:tcW w:w="1507" w:type="dxa"/>
            <w:tcBorders>
              <w:top w:val="nil"/>
              <w:left w:val="nil"/>
              <w:bottom w:val="single" w:sz="4" w:space="0" w:color="auto"/>
              <w:right w:val="single" w:sz="4" w:space="0" w:color="auto"/>
            </w:tcBorders>
            <w:shd w:val="clear" w:color="auto" w:fill="auto"/>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1.131</w:t>
            </w:r>
          </w:p>
        </w:tc>
      </w:tr>
      <w:tr w:rsidR="003228C9" w:rsidRPr="0017614D" w:rsidTr="00A4340C">
        <w:trPr>
          <w:trHeight w:val="300"/>
          <w:jc w:val="center"/>
        </w:trPr>
        <w:tc>
          <w:tcPr>
            <w:tcW w:w="2220" w:type="dxa"/>
            <w:tcBorders>
              <w:top w:val="nil"/>
              <w:left w:val="single" w:sz="4" w:space="0" w:color="auto"/>
              <w:bottom w:val="single" w:sz="4" w:space="0" w:color="auto"/>
              <w:right w:val="single" w:sz="4" w:space="0" w:color="auto"/>
            </w:tcBorders>
            <w:shd w:val="clear" w:color="000000" w:fill="FDE9D9"/>
            <w:noWrap/>
            <w:vAlign w:val="center"/>
            <w:hideMark/>
          </w:tcPr>
          <w:p w:rsidR="003228C9" w:rsidRPr="0017614D" w:rsidRDefault="003228C9" w:rsidP="00A4340C">
            <w:pPr>
              <w:spacing w:after="0" w:line="240" w:lineRule="auto"/>
              <w:rPr>
                <w:rFonts w:ascii="Times New Roman" w:eastAsia="Times New Roman" w:hAnsi="Times New Roman" w:cs="Times New Roman"/>
                <w:i/>
                <w:iCs/>
                <w:color w:val="000000"/>
                <w:lang w:val="lt-LT"/>
              </w:rPr>
            </w:pPr>
            <w:r w:rsidRPr="0017614D">
              <w:rPr>
                <w:rFonts w:ascii="Times New Roman" w:eastAsia="Times New Roman" w:hAnsi="Times New Roman" w:cs="Times New Roman"/>
                <w:i/>
                <w:iCs/>
                <w:color w:val="000000"/>
                <w:lang w:val="lt-LT"/>
              </w:rPr>
              <w:t>UAB "Autoverslas"</w:t>
            </w:r>
          </w:p>
        </w:tc>
        <w:tc>
          <w:tcPr>
            <w:tcW w:w="1507" w:type="dxa"/>
            <w:tcBorders>
              <w:top w:val="nil"/>
              <w:left w:val="nil"/>
              <w:bottom w:val="single" w:sz="4" w:space="0" w:color="auto"/>
              <w:right w:val="single" w:sz="4" w:space="0" w:color="auto"/>
            </w:tcBorders>
            <w:shd w:val="clear" w:color="auto" w:fill="E36C0A" w:themeFill="accent6" w:themeFillShade="BF"/>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1.555</w:t>
            </w:r>
          </w:p>
        </w:tc>
        <w:tc>
          <w:tcPr>
            <w:tcW w:w="1507" w:type="dxa"/>
            <w:tcBorders>
              <w:top w:val="nil"/>
              <w:left w:val="nil"/>
              <w:bottom w:val="single" w:sz="4" w:space="0" w:color="auto"/>
              <w:right w:val="single" w:sz="4" w:space="0" w:color="auto"/>
            </w:tcBorders>
            <w:shd w:val="clear" w:color="auto" w:fill="E36C0A" w:themeFill="accent6" w:themeFillShade="BF"/>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1.829</w:t>
            </w:r>
          </w:p>
        </w:tc>
        <w:tc>
          <w:tcPr>
            <w:tcW w:w="1507" w:type="dxa"/>
            <w:tcBorders>
              <w:top w:val="nil"/>
              <w:left w:val="nil"/>
              <w:bottom w:val="single" w:sz="4" w:space="0" w:color="auto"/>
              <w:right w:val="single" w:sz="4" w:space="0" w:color="auto"/>
            </w:tcBorders>
            <w:shd w:val="clear" w:color="auto" w:fill="auto"/>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1.488</w:t>
            </w:r>
          </w:p>
        </w:tc>
      </w:tr>
    </w:tbl>
    <w:p w:rsidR="003228C9" w:rsidRPr="0017614D" w:rsidRDefault="003228C9" w:rsidP="003228C9">
      <w:pPr>
        <w:spacing w:after="0" w:line="360" w:lineRule="auto"/>
        <w:contextualSpacing/>
        <w:jc w:val="both"/>
        <w:rPr>
          <w:rFonts w:ascii="Times New Roman" w:hAnsi="Times New Roman" w:cs="Times New Roman"/>
          <w:sz w:val="24"/>
          <w:szCs w:val="24"/>
          <w:lang w:val="lt-LT"/>
        </w:rPr>
      </w:pPr>
    </w:p>
    <w:p w:rsidR="003228C9" w:rsidRPr="0017614D" w:rsidRDefault="003228C9" w:rsidP="003228C9">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Toliau buvo skaičiuojami pelningumo rodikliai, kurie akcentuoja įmonės rezultatus, t. y. pelną. Iš šių rodiklių buvo apskaičiuotas grynasis pardavimų pelningumas, kurio pagalba galima pasižiūrėti kiek pinigine išraiška vienam pardavimų litui tenka grynojo pelno. Tarp Lietuvos transportavimo įmonių dažniausiai buvo pastebimas toks grynasis pelningumas: 2008 m. – 4.48, 2009 m. – 2.62 ir 2010 m. – 3.79.</w:t>
      </w:r>
    </w:p>
    <w:p w:rsidR="003228C9" w:rsidRPr="0017614D" w:rsidRDefault="003228C9" w:rsidP="003228C9">
      <w:pPr>
        <w:spacing w:after="0" w:line="360" w:lineRule="auto"/>
        <w:ind w:firstLine="720"/>
        <w:contextualSpacing/>
        <w:jc w:val="both"/>
        <w:rPr>
          <w:rFonts w:ascii="Times New Roman" w:hAnsi="Times New Roman" w:cs="Times New Roman"/>
          <w:sz w:val="24"/>
          <w:szCs w:val="24"/>
          <w:lang w:val="lt-LT"/>
        </w:rPr>
      </w:pPr>
    </w:p>
    <w:p w:rsidR="003228C9" w:rsidRPr="0017614D" w:rsidRDefault="00C72F00" w:rsidP="003228C9">
      <w:pPr>
        <w:spacing w:after="0"/>
        <w:contextualSpacing/>
        <w:jc w:val="center"/>
        <w:rPr>
          <w:rFonts w:ascii="Times New Roman" w:hAnsi="Times New Roman" w:cs="Times New Roman"/>
          <w:lang w:val="lt-LT"/>
        </w:rPr>
      </w:pPr>
      <w:r w:rsidRPr="0017614D">
        <w:rPr>
          <w:rFonts w:ascii="Times New Roman" w:hAnsi="Times New Roman" w:cs="Times New Roman"/>
          <w:lang w:val="lt-LT"/>
        </w:rPr>
        <w:t>14</w:t>
      </w:r>
      <w:r w:rsidR="003228C9" w:rsidRPr="0017614D">
        <w:rPr>
          <w:rFonts w:ascii="Times New Roman" w:hAnsi="Times New Roman" w:cs="Times New Roman"/>
          <w:lang w:val="lt-LT"/>
        </w:rPr>
        <w:t xml:space="preserve"> lentelė.</w:t>
      </w:r>
      <w:r w:rsidR="003228C9" w:rsidRPr="0017614D">
        <w:rPr>
          <w:rFonts w:ascii="Times New Roman" w:hAnsi="Times New Roman" w:cs="Times New Roman"/>
          <w:b/>
          <w:lang w:val="lt-LT"/>
        </w:rPr>
        <w:t xml:space="preserve"> UAB „Achemarida“, UAB „Romas ir ko“, UAB „Girteka“ ir UAB „Autoverslas“ 2008-2010 m. grynojo pardavimų pelningumo koeficientai</w:t>
      </w:r>
    </w:p>
    <w:tbl>
      <w:tblPr>
        <w:tblW w:w="6560" w:type="dxa"/>
        <w:jc w:val="center"/>
        <w:tblInd w:w="89" w:type="dxa"/>
        <w:tblLook w:val="04A0"/>
      </w:tblPr>
      <w:tblGrid>
        <w:gridCol w:w="2160"/>
        <w:gridCol w:w="1342"/>
        <w:gridCol w:w="1529"/>
        <w:gridCol w:w="1529"/>
      </w:tblGrid>
      <w:tr w:rsidR="003228C9" w:rsidRPr="0017614D" w:rsidTr="00A4340C">
        <w:trPr>
          <w:trHeight w:val="300"/>
          <w:jc w:val="center"/>
        </w:trPr>
        <w:tc>
          <w:tcPr>
            <w:tcW w:w="2160" w:type="dxa"/>
            <w:vMerge w:val="restart"/>
            <w:tcBorders>
              <w:top w:val="single" w:sz="4" w:space="0" w:color="auto"/>
              <w:left w:val="single" w:sz="4" w:space="0" w:color="auto"/>
              <w:bottom w:val="single" w:sz="4" w:space="0" w:color="000000"/>
              <w:right w:val="single" w:sz="4" w:space="0" w:color="auto"/>
            </w:tcBorders>
            <w:shd w:val="clear" w:color="000000" w:fill="FCD5B4"/>
            <w:noWrap/>
            <w:vAlign w:val="center"/>
            <w:hideMark/>
          </w:tcPr>
          <w:p w:rsidR="003228C9" w:rsidRPr="0017614D" w:rsidRDefault="003228C9" w:rsidP="00A4340C">
            <w:pPr>
              <w:spacing w:after="0" w:line="240" w:lineRule="auto"/>
              <w:jc w:val="center"/>
              <w:rPr>
                <w:rFonts w:ascii="Times New Roman" w:eastAsia="Times New Roman" w:hAnsi="Times New Roman" w:cs="Times New Roman"/>
                <w:b/>
                <w:bCs/>
                <w:color w:val="000000"/>
                <w:lang w:val="lt-LT"/>
              </w:rPr>
            </w:pPr>
            <w:r w:rsidRPr="0017614D">
              <w:rPr>
                <w:rFonts w:ascii="Times New Roman" w:eastAsia="Times New Roman" w:hAnsi="Times New Roman" w:cs="Times New Roman"/>
                <w:b/>
                <w:bCs/>
                <w:color w:val="000000"/>
                <w:lang w:val="lt-LT"/>
              </w:rPr>
              <w:t>Įmonė</w:t>
            </w:r>
          </w:p>
        </w:tc>
        <w:tc>
          <w:tcPr>
            <w:tcW w:w="4400" w:type="dxa"/>
            <w:gridSpan w:val="3"/>
            <w:tcBorders>
              <w:top w:val="single" w:sz="4" w:space="0" w:color="auto"/>
              <w:left w:val="nil"/>
              <w:bottom w:val="single" w:sz="4" w:space="0" w:color="auto"/>
              <w:right w:val="single" w:sz="4" w:space="0" w:color="auto"/>
            </w:tcBorders>
            <w:shd w:val="clear" w:color="000000" w:fill="FCD5B4"/>
            <w:noWrap/>
            <w:vAlign w:val="center"/>
            <w:hideMark/>
          </w:tcPr>
          <w:p w:rsidR="003228C9" w:rsidRPr="0017614D" w:rsidRDefault="003228C9" w:rsidP="00A4340C">
            <w:pPr>
              <w:spacing w:after="0" w:line="240" w:lineRule="auto"/>
              <w:jc w:val="center"/>
              <w:rPr>
                <w:rFonts w:ascii="Times New Roman" w:eastAsia="Times New Roman" w:hAnsi="Times New Roman" w:cs="Times New Roman"/>
                <w:b/>
                <w:bCs/>
                <w:color w:val="000000"/>
                <w:lang w:val="lt-LT"/>
              </w:rPr>
            </w:pPr>
            <w:r w:rsidRPr="0017614D">
              <w:rPr>
                <w:rFonts w:ascii="Times New Roman" w:eastAsia="Times New Roman" w:hAnsi="Times New Roman" w:cs="Times New Roman"/>
                <w:b/>
                <w:bCs/>
                <w:color w:val="000000"/>
                <w:lang w:val="lt-LT"/>
              </w:rPr>
              <w:t>Grynasis pardavimo pelningumas</w:t>
            </w:r>
          </w:p>
        </w:tc>
      </w:tr>
      <w:tr w:rsidR="003228C9" w:rsidRPr="0017614D" w:rsidTr="00A4340C">
        <w:trPr>
          <w:trHeight w:val="300"/>
          <w:jc w:val="center"/>
        </w:trPr>
        <w:tc>
          <w:tcPr>
            <w:tcW w:w="2160" w:type="dxa"/>
            <w:vMerge/>
            <w:tcBorders>
              <w:top w:val="single" w:sz="4" w:space="0" w:color="auto"/>
              <w:left w:val="single" w:sz="4" w:space="0" w:color="auto"/>
              <w:bottom w:val="single" w:sz="4" w:space="0" w:color="000000"/>
              <w:right w:val="single" w:sz="4" w:space="0" w:color="auto"/>
            </w:tcBorders>
            <w:vAlign w:val="center"/>
            <w:hideMark/>
          </w:tcPr>
          <w:p w:rsidR="003228C9" w:rsidRPr="0017614D" w:rsidRDefault="003228C9" w:rsidP="00A4340C">
            <w:pPr>
              <w:spacing w:after="0" w:line="240" w:lineRule="auto"/>
              <w:rPr>
                <w:rFonts w:ascii="Times New Roman" w:eastAsia="Times New Roman" w:hAnsi="Times New Roman" w:cs="Times New Roman"/>
                <w:b/>
                <w:bCs/>
                <w:color w:val="000000"/>
                <w:lang w:val="lt-LT"/>
              </w:rPr>
            </w:pPr>
          </w:p>
        </w:tc>
        <w:tc>
          <w:tcPr>
            <w:tcW w:w="1342" w:type="dxa"/>
            <w:tcBorders>
              <w:top w:val="nil"/>
              <w:left w:val="nil"/>
              <w:bottom w:val="single" w:sz="4" w:space="0" w:color="auto"/>
              <w:right w:val="single" w:sz="4" w:space="0" w:color="auto"/>
            </w:tcBorders>
            <w:shd w:val="clear" w:color="000000" w:fill="FDE9D9"/>
            <w:noWrap/>
            <w:vAlign w:val="center"/>
            <w:hideMark/>
          </w:tcPr>
          <w:p w:rsidR="003228C9" w:rsidRPr="0017614D" w:rsidRDefault="003228C9" w:rsidP="00A4340C">
            <w:pPr>
              <w:spacing w:after="0" w:line="240" w:lineRule="auto"/>
              <w:jc w:val="center"/>
              <w:rPr>
                <w:rFonts w:ascii="Times New Roman" w:eastAsia="Times New Roman" w:hAnsi="Times New Roman" w:cs="Times New Roman"/>
                <w:b/>
                <w:bCs/>
                <w:i/>
                <w:iCs/>
                <w:color w:val="000000"/>
                <w:lang w:val="lt-LT"/>
              </w:rPr>
            </w:pPr>
            <w:r w:rsidRPr="0017614D">
              <w:rPr>
                <w:rFonts w:ascii="Times New Roman" w:eastAsia="Times New Roman" w:hAnsi="Times New Roman" w:cs="Times New Roman"/>
                <w:b/>
                <w:bCs/>
                <w:i/>
                <w:iCs/>
                <w:color w:val="000000"/>
                <w:lang w:val="lt-LT"/>
              </w:rPr>
              <w:t>2008</w:t>
            </w:r>
          </w:p>
        </w:tc>
        <w:tc>
          <w:tcPr>
            <w:tcW w:w="1529" w:type="dxa"/>
            <w:tcBorders>
              <w:top w:val="nil"/>
              <w:left w:val="nil"/>
              <w:bottom w:val="single" w:sz="4" w:space="0" w:color="auto"/>
              <w:right w:val="single" w:sz="4" w:space="0" w:color="auto"/>
            </w:tcBorders>
            <w:shd w:val="clear" w:color="000000" w:fill="FDE9D9"/>
            <w:noWrap/>
            <w:vAlign w:val="center"/>
            <w:hideMark/>
          </w:tcPr>
          <w:p w:rsidR="003228C9" w:rsidRPr="0017614D" w:rsidRDefault="003228C9" w:rsidP="00A4340C">
            <w:pPr>
              <w:spacing w:after="0" w:line="240" w:lineRule="auto"/>
              <w:jc w:val="center"/>
              <w:rPr>
                <w:rFonts w:ascii="Times New Roman" w:eastAsia="Times New Roman" w:hAnsi="Times New Roman" w:cs="Times New Roman"/>
                <w:b/>
                <w:bCs/>
                <w:i/>
                <w:iCs/>
                <w:color w:val="000000"/>
                <w:lang w:val="lt-LT"/>
              </w:rPr>
            </w:pPr>
            <w:r w:rsidRPr="0017614D">
              <w:rPr>
                <w:rFonts w:ascii="Times New Roman" w:eastAsia="Times New Roman" w:hAnsi="Times New Roman" w:cs="Times New Roman"/>
                <w:b/>
                <w:bCs/>
                <w:i/>
                <w:iCs/>
                <w:color w:val="000000"/>
                <w:lang w:val="lt-LT"/>
              </w:rPr>
              <w:t>2009</w:t>
            </w:r>
          </w:p>
        </w:tc>
        <w:tc>
          <w:tcPr>
            <w:tcW w:w="1529" w:type="dxa"/>
            <w:tcBorders>
              <w:top w:val="nil"/>
              <w:left w:val="nil"/>
              <w:bottom w:val="single" w:sz="4" w:space="0" w:color="auto"/>
              <w:right w:val="single" w:sz="4" w:space="0" w:color="auto"/>
            </w:tcBorders>
            <w:shd w:val="clear" w:color="000000" w:fill="FDE9D9"/>
            <w:noWrap/>
            <w:vAlign w:val="center"/>
            <w:hideMark/>
          </w:tcPr>
          <w:p w:rsidR="003228C9" w:rsidRPr="0017614D" w:rsidRDefault="003228C9" w:rsidP="00A4340C">
            <w:pPr>
              <w:spacing w:after="0" w:line="240" w:lineRule="auto"/>
              <w:jc w:val="center"/>
              <w:rPr>
                <w:rFonts w:ascii="Times New Roman" w:eastAsia="Times New Roman" w:hAnsi="Times New Roman" w:cs="Times New Roman"/>
                <w:b/>
                <w:bCs/>
                <w:i/>
                <w:iCs/>
                <w:color w:val="000000"/>
                <w:lang w:val="lt-LT"/>
              </w:rPr>
            </w:pPr>
            <w:r w:rsidRPr="0017614D">
              <w:rPr>
                <w:rFonts w:ascii="Times New Roman" w:eastAsia="Times New Roman" w:hAnsi="Times New Roman" w:cs="Times New Roman"/>
                <w:b/>
                <w:bCs/>
                <w:i/>
                <w:iCs/>
                <w:color w:val="000000"/>
                <w:lang w:val="lt-LT"/>
              </w:rPr>
              <w:t>2010</w:t>
            </w:r>
          </w:p>
        </w:tc>
      </w:tr>
      <w:tr w:rsidR="003228C9" w:rsidRPr="0017614D" w:rsidTr="00A4340C">
        <w:trPr>
          <w:trHeight w:val="300"/>
          <w:jc w:val="center"/>
        </w:trPr>
        <w:tc>
          <w:tcPr>
            <w:tcW w:w="2160" w:type="dxa"/>
            <w:tcBorders>
              <w:top w:val="nil"/>
              <w:left w:val="single" w:sz="4" w:space="0" w:color="auto"/>
              <w:bottom w:val="single" w:sz="4" w:space="0" w:color="auto"/>
              <w:right w:val="single" w:sz="4" w:space="0" w:color="auto"/>
            </w:tcBorders>
            <w:shd w:val="clear" w:color="000000" w:fill="FDE9D9"/>
            <w:noWrap/>
            <w:vAlign w:val="center"/>
            <w:hideMark/>
          </w:tcPr>
          <w:p w:rsidR="003228C9" w:rsidRPr="0017614D" w:rsidRDefault="003228C9" w:rsidP="00A4340C">
            <w:pPr>
              <w:spacing w:after="0" w:line="240" w:lineRule="auto"/>
              <w:rPr>
                <w:rFonts w:ascii="Times New Roman" w:eastAsia="Times New Roman" w:hAnsi="Times New Roman" w:cs="Times New Roman"/>
                <w:i/>
                <w:iCs/>
                <w:color w:val="000000"/>
                <w:lang w:val="lt-LT"/>
              </w:rPr>
            </w:pPr>
            <w:r w:rsidRPr="0017614D">
              <w:rPr>
                <w:rFonts w:ascii="Times New Roman" w:eastAsia="Times New Roman" w:hAnsi="Times New Roman" w:cs="Times New Roman"/>
                <w:i/>
                <w:iCs/>
                <w:color w:val="000000"/>
                <w:lang w:val="lt-LT"/>
              </w:rPr>
              <w:t>*UAB "Achemarida"</w:t>
            </w:r>
          </w:p>
        </w:tc>
        <w:tc>
          <w:tcPr>
            <w:tcW w:w="1342" w:type="dxa"/>
            <w:tcBorders>
              <w:top w:val="nil"/>
              <w:left w:val="nil"/>
              <w:bottom w:val="single" w:sz="4" w:space="0" w:color="auto"/>
              <w:right w:val="single" w:sz="4" w:space="0" w:color="auto"/>
            </w:tcBorders>
            <w:shd w:val="clear" w:color="auto" w:fill="E36C0A" w:themeFill="accent6" w:themeFillShade="BF"/>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0.003</w:t>
            </w:r>
          </w:p>
        </w:tc>
        <w:tc>
          <w:tcPr>
            <w:tcW w:w="1529" w:type="dxa"/>
            <w:tcBorders>
              <w:top w:val="nil"/>
              <w:left w:val="nil"/>
              <w:bottom w:val="single" w:sz="4" w:space="0" w:color="auto"/>
              <w:right w:val="single" w:sz="4" w:space="0" w:color="auto"/>
            </w:tcBorders>
            <w:shd w:val="clear" w:color="auto" w:fill="E36C0A" w:themeFill="accent6" w:themeFillShade="BF"/>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-0.043</w:t>
            </w:r>
          </w:p>
        </w:tc>
        <w:tc>
          <w:tcPr>
            <w:tcW w:w="1529" w:type="dxa"/>
            <w:tcBorders>
              <w:top w:val="nil"/>
              <w:left w:val="nil"/>
              <w:bottom w:val="single" w:sz="4" w:space="0" w:color="auto"/>
              <w:right w:val="single" w:sz="4" w:space="0" w:color="auto"/>
            </w:tcBorders>
            <w:shd w:val="clear" w:color="auto" w:fill="E36C0A" w:themeFill="accent6" w:themeFillShade="BF"/>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-0.158</w:t>
            </w:r>
          </w:p>
        </w:tc>
      </w:tr>
      <w:tr w:rsidR="003228C9" w:rsidRPr="0017614D" w:rsidTr="00A4340C">
        <w:trPr>
          <w:trHeight w:val="300"/>
          <w:jc w:val="center"/>
        </w:trPr>
        <w:tc>
          <w:tcPr>
            <w:tcW w:w="2160" w:type="dxa"/>
            <w:tcBorders>
              <w:top w:val="nil"/>
              <w:left w:val="single" w:sz="4" w:space="0" w:color="auto"/>
              <w:bottom w:val="single" w:sz="4" w:space="0" w:color="auto"/>
              <w:right w:val="single" w:sz="4" w:space="0" w:color="auto"/>
            </w:tcBorders>
            <w:shd w:val="clear" w:color="000000" w:fill="FDE9D9"/>
            <w:noWrap/>
            <w:vAlign w:val="center"/>
            <w:hideMark/>
          </w:tcPr>
          <w:p w:rsidR="003228C9" w:rsidRPr="0017614D" w:rsidRDefault="003228C9" w:rsidP="00A4340C">
            <w:pPr>
              <w:spacing w:after="0" w:line="240" w:lineRule="auto"/>
              <w:rPr>
                <w:rFonts w:ascii="Times New Roman" w:eastAsia="Times New Roman" w:hAnsi="Times New Roman" w:cs="Times New Roman"/>
                <w:i/>
                <w:iCs/>
                <w:color w:val="000000"/>
                <w:lang w:val="lt-LT"/>
              </w:rPr>
            </w:pPr>
            <w:r w:rsidRPr="0017614D">
              <w:rPr>
                <w:rFonts w:ascii="Times New Roman" w:eastAsia="Times New Roman" w:hAnsi="Times New Roman" w:cs="Times New Roman"/>
                <w:i/>
                <w:iCs/>
                <w:color w:val="000000"/>
                <w:lang w:val="lt-LT"/>
              </w:rPr>
              <w:t>*UAB "Romas ir ko"</w:t>
            </w:r>
          </w:p>
        </w:tc>
        <w:tc>
          <w:tcPr>
            <w:tcW w:w="1342" w:type="dxa"/>
            <w:tcBorders>
              <w:top w:val="nil"/>
              <w:left w:val="nil"/>
              <w:bottom w:val="single" w:sz="4" w:space="0" w:color="auto"/>
              <w:right w:val="single" w:sz="4" w:space="0" w:color="auto"/>
            </w:tcBorders>
            <w:shd w:val="clear" w:color="auto" w:fill="E36C0A" w:themeFill="accent6" w:themeFillShade="BF"/>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0.064</w:t>
            </w:r>
          </w:p>
        </w:tc>
        <w:tc>
          <w:tcPr>
            <w:tcW w:w="1529" w:type="dxa"/>
            <w:tcBorders>
              <w:top w:val="nil"/>
              <w:left w:val="nil"/>
              <w:bottom w:val="single" w:sz="4" w:space="0" w:color="auto"/>
              <w:right w:val="single" w:sz="4" w:space="0" w:color="auto"/>
            </w:tcBorders>
            <w:shd w:val="clear" w:color="auto" w:fill="E36C0A" w:themeFill="accent6" w:themeFillShade="BF"/>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-0.009</w:t>
            </w:r>
          </w:p>
        </w:tc>
        <w:tc>
          <w:tcPr>
            <w:tcW w:w="1529" w:type="dxa"/>
            <w:tcBorders>
              <w:top w:val="nil"/>
              <w:left w:val="nil"/>
              <w:bottom w:val="single" w:sz="4" w:space="0" w:color="auto"/>
              <w:right w:val="single" w:sz="4" w:space="0" w:color="auto"/>
            </w:tcBorders>
            <w:shd w:val="clear" w:color="auto" w:fill="E36C0A" w:themeFill="accent6" w:themeFillShade="BF"/>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-0.131</w:t>
            </w:r>
          </w:p>
        </w:tc>
      </w:tr>
      <w:tr w:rsidR="003228C9" w:rsidRPr="0017614D" w:rsidTr="00A4340C">
        <w:trPr>
          <w:trHeight w:val="300"/>
          <w:jc w:val="center"/>
        </w:trPr>
        <w:tc>
          <w:tcPr>
            <w:tcW w:w="2160" w:type="dxa"/>
            <w:tcBorders>
              <w:top w:val="nil"/>
              <w:left w:val="single" w:sz="4" w:space="0" w:color="auto"/>
              <w:bottom w:val="single" w:sz="4" w:space="0" w:color="auto"/>
              <w:right w:val="single" w:sz="4" w:space="0" w:color="auto"/>
            </w:tcBorders>
            <w:shd w:val="clear" w:color="000000" w:fill="FDE9D9"/>
            <w:noWrap/>
            <w:vAlign w:val="center"/>
            <w:hideMark/>
          </w:tcPr>
          <w:p w:rsidR="003228C9" w:rsidRPr="0017614D" w:rsidRDefault="003228C9" w:rsidP="00A4340C">
            <w:pPr>
              <w:spacing w:after="0" w:line="240" w:lineRule="auto"/>
              <w:rPr>
                <w:rFonts w:ascii="Times New Roman" w:eastAsia="Times New Roman" w:hAnsi="Times New Roman" w:cs="Times New Roman"/>
                <w:i/>
                <w:iCs/>
                <w:color w:val="000000"/>
                <w:lang w:val="lt-LT"/>
              </w:rPr>
            </w:pPr>
            <w:r w:rsidRPr="0017614D">
              <w:rPr>
                <w:rFonts w:ascii="Times New Roman" w:eastAsia="Times New Roman" w:hAnsi="Times New Roman" w:cs="Times New Roman"/>
                <w:i/>
                <w:iCs/>
                <w:color w:val="000000"/>
                <w:lang w:val="lt-LT"/>
              </w:rPr>
              <w:t>UAB "Girteka"</w:t>
            </w:r>
          </w:p>
        </w:tc>
        <w:tc>
          <w:tcPr>
            <w:tcW w:w="1342" w:type="dxa"/>
            <w:tcBorders>
              <w:top w:val="nil"/>
              <w:left w:val="nil"/>
              <w:bottom w:val="single" w:sz="4" w:space="0" w:color="auto"/>
              <w:right w:val="single" w:sz="4" w:space="0" w:color="auto"/>
            </w:tcBorders>
            <w:shd w:val="clear" w:color="auto" w:fill="E36C0A" w:themeFill="accent6" w:themeFillShade="BF"/>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0.061</w:t>
            </w:r>
          </w:p>
        </w:tc>
        <w:tc>
          <w:tcPr>
            <w:tcW w:w="1529" w:type="dxa"/>
            <w:tcBorders>
              <w:top w:val="nil"/>
              <w:left w:val="nil"/>
              <w:bottom w:val="single" w:sz="4" w:space="0" w:color="auto"/>
              <w:right w:val="single" w:sz="4" w:space="0" w:color="auto"/>
            </w:tcBorders>
            <w:shd w:val="clear" w:color="auto" w:fill="E36C0A" w:themeFill="accent6" w:themeFillShade="BF"/>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0.040</w:t>
            </w:r>
          </w:p>
        </w:tc>
        <w:tc>
          <w:tcPr>
            <w:tcW w:w="1529" w:type="dxa"/>
            <w:tcBorders>
              <w:top w:val="nil"/>
              <w:left w:val="nil"/>
              <w:bottom w:val="single" w:sz="4" w:space="0" w:color="auto"/>
              <w:right w:val="single" w:sz="4" w:space="0" w:color="auto"/>
            </w:tcBorders>
            <w:shd w:val="clear" w:color="auto" w:fill="E36C0A" w:themeFill="accent6" w:themeFillShade="BF"/>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0.081</w:t>
            </w:r>
          </w:p>
        </w:tc>
      </w:tr>
      <w:tr w:rsidR="003228C9" w:rsidRPr="0017614D" w:rsidTr="00A4340C">
        <w:trPr>
          <w:trHeight w:val="300"/>
          <w:jc w:val="center"/>
        </w:trPr>
        <w:tc>
          <w:tcPr>
            <w:tcW w:w="2160" w:type="dxa"/>
            <w:tcBorders>
              <w:top w:val="nil"/>
              <w:left w:val="single" w:sz="4" w:space="0" w:color="auto"/>
              <w:bottom w:val="single" w:sz="4" w:space="0" w:color="auto"/>
              <w:right w:val="single" w:sz="4" w:space="0" w:color="auto"/>
            </w:tcBorders>
            <w:shd w:val="clear" w:color="000000" w:fill="FDE9D9"/>
            <w:noWrap/>
            <w:vAlign w:val="center"/>
            <w:hideMark/>
          </w:tcPr>
          <w:p w:rsidR="003228C9" w:rsidRPr="0017614D" w:rsidRDefault="003228C9" w:rsidP="00A4340C">
            <w:pPr>
              <w:spacing w:after="0" w:line="240" w:lineRule="auto"/>
              <w:rPr>
                <w:rFonts w:ascii="Times New Roman" w:eastAsia="Times New Roman" w:hAnsi="Times New Roman" w:cs="Times New Roman"/>
                <w:i/>
                <w:iCs/>
                <w:color w:val="000000"/>
                <w:lang w:val="lt-LT"/>
              </w:rPr>
            </w:pPr>
            <w:r w:rsidRPr="0017614D">
              <w:rPr>
                <w:rFonts w:ascii="Times New Roman" w:eastAsia="Times New Roman" w:hAnsi="Times New Roman" w:cs="Times New Roman"/>
                <w:i/>
                <w:iCs/>
                <w:color w:val="000000"/>
                <w:lang w:val="lt-LT"/>
              </w:rPr>
              <w:t>UAB "Autoverslas"</w:t>
            </w:r>
          </w:p>
        </w:tc>
        <w:tc>
          <w:tcPr>
            <w:tcW w:w="1342" w:type="dxa"/>
            <w:tcBorders>
              <w:top w:val="nil"/>
              <w:left w:val="nil"/>
              <w:bottom w:val="single" w:sz="4" w:space="0" w:color="auto"/>
              <w:right w:val="single" w:sz="4" w:space="0" w:color="auto"/>
            </w:tcBorders>
            <w:shd w:val="clear" w:color="auto" w:fill="E36C0A" w:themeFill="accent6" w:themeFillShade="BF"/>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0.004</w:t>
            </w:r>
          </w:p>
        </w:tc>
        <w:tc>
          <w:tcPr>
            <w:tcW w:w="1529" w:type="dxa"/>
            <w:tcBorders>
              <w:top w:val="nil"/>
              <w:left w:val="nil"/>
              <w:bottom w:val="single" w:sz="4" w:space="0" w:color="auto"/>
              <w:right w:val="single" w:sz="4" w:space="0" w:color="auto"/>
            </w:tcBorders>
            <w:shd w:val="clear" w:color="auto" w:fill="E36C0A" w:themeFill="accent6" w:themeFillShade="BF"/>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0.030</w:t>
            </w:r>
          </w:p>
        </w:tc>
        <w:tc>
          <w:tcPr>
            <w:tcW w:w="1529" w:type="dxa"/>
            <w:tcBorders>
              <w:top w:val="nil"/>
              <w:left w:val="nil"/>
              <w:bottom w:val="single" w:sz="4" w:space="0" w:color="auto"/>
              <w:right w:val="single" w:sz="4" w:space="0" w:color="auto"/>
            </w:tcBorders>
            <w:shd w:val="clear" w:color="auto" w:fill="E36C0A" w:themeFill="accent6" w:themeFillShade="BF"/>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0.041</w:t>
            </w:r>
          </w:p>
        </w:tc>
      </w:tr>
    </w:tbl>
    <w:p w:rsidR="0017770E" w:rsidRPr="0017614D" w:rsidRDefault="0017770E" w:rsidP="0017770E">
      <w:pPr>
        <w:spacing w:after="0" w:line="360" w:lineRule="auto"/>
        <w:ind w:firstLine="720"/>
        <w:contextualSpacing/>
        <w:jc w:val="both"/>
        <w:rPr>
          <w:rFonts w:ascii="Times New Roman" w:hAnsi="Times New Roman" w:cs="Times New Roman"/>
          <w:sz w:val="24"/>
          <w:szCs w:val="24"/>
          <w:lang w:val="lt-LT"/>
        </w:rPr>
      </w:pPr>
    </w:p>
    <w:p w:rsidR="003228C9" w:rsidRPr="0017614D" w:rsidRDefault="003228C9" w:rsidP="0017770E">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UAB „Achemarida“ šis rodiklis parodė, kad 2008 m. vienam įmonės pardavimo litui atiteko 0,003 Lt, kas yra labai mažai (žr.</w:t>
      </w:r>
      <w:r w:rsidR="00C72F00" w:rsidRPr="0017614D">
        <w:rPr>
          <w:rFonts w:ascii="Times New Roman" w:hAnsi="Times New Roman" w:cs="Times New Roman"/>
          <w:sz w:val="24"/>
          <w:szCs w:val="24"/>
          <w:lang w:val="lt-LT"/>
        </w:rPr>
        <w:t>14</w:t>
      </w:r>
      <w:r w:rsidR="00820234" w:rsidRPr="0017614D">
        <w:rPr>
          <w:rFonts w:ascii="Times New Roman" w:hAnsi="Times New Roman" w:cs="Times New Roman"/>
          <w:sz w:val="24"/>
          <w:szCs w:val="24"/>
          <w:lang w:val="lt-LT"/>
        </w:rPr>
        <w:t xml:space="preserve"> lent.</w:t>
      </w:r>
      <w:r w:rsidRPr="0017614D">
        <w:rPr>
          <w:rFonts w:ascii="Times New Roman" w:hAnsi="Times New Roman" w:cs="Times New Roman"/>
          <w:sz w:val="24"/>
          <w:szCs w:val="24"/>
          <w:lang w:val="lt-LT"/>
        </w:rPr>
        <w:t>). UAB „Romas ir ko“ 2008 m. vienam pardavimo litui atiteko 0,064 Lt pelno, tuo tarpu 2009-2010 m. abi šios įmonės dirbo nuostolingai, todėl šie rodikliai yra neigiami. UAB „Autoverslas“ kiekvienais metais grynasis pardavimo pelningumas didėjo, o UAB „Girteka“ jis svyravo, tačiau visą laiką buvo pakankamai nedidelis. Lyginant su Lietuvos įmonėmis visų šiame tyrime nagrinėjamų įmonių grynasis pelningumas buvo labai mažas.</w:t>
      </w:r>
    </w:p>
    <w:p w:rsidR="003228C9" w:rsidRDefault="003228C9" w:rsidP="003228C9">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Taip pat buvo paskaičiuotas turto pelningumas, kitaip dar vadinamas ROA rodikliu. Jis parodo kokia turto dalis grįžta grynojo pelno forma. Interpretuojant šį rodiklį reikia atsižvelgti į veiklos rūšį. </w:t>
      </w:r>
      <w:r w:rsidRPr="0017614D">
        <w:rPr>
          <w:rFonts w:ascii="Times New Roman" w:hAnsi="Times New Roman" w:cs="Times New Roman"/>
          <w:sz w:val="24"/>
          <w:szCs w:val="24"/>
          <w:lang w:val="lt-LT"/>
        </w:rPr>
        <w:lastRenderedPageBreak/>
        <w:t>Lietuvos Statistikos departamentas pateikia, kad 2008 m. vidutinis turto pelningumas tarp transporto paslaugas teikiančių įmonių buvo 4.91, 2009 m. - 2.62 ir 2010 m. – 4.39.</w:t>
      </w:r>
    </w:p>
    <w:p w:rsidR="004E7005" w:rsidRPr="0017614D" w:rsidRDefault="004E7005" w:rsidP="003228C9">
      <w:pPr>
        <w:spacing w:after="0" w:line="360" w:lineRule="auto"/>
        <w:ind w:firstLine="720"/>
        <w:contextualSpacing/>
        <w:jc w:val="both"/>
        <w:rPr>
          <w:rFonts w:ascii="Times New Roman" w:hAnsi="Times New Roman" w:cs="Times New Roman"/>
          <w:sz w:val="24"/>
          <w:szCs w:val="24"/>
          <w:lang w:val="lt-LT"/>
        </w:rPr>
      </w:pPr>
    </w:p>
    <w:p w:rsidR="003228C9" w:rsidRPr="0017614D" w:rsidRDefault="00820234" w:rsidP="003228C9">
      <w:pPr>
        <w:spacing w:after="0"/>
        <w:contextualSpacing/>
        <w:jc w:val="center"/>
        <w:rPr>
          <w:rFonts w:ascii="Times New Roman" w:hAnsi="Times New Roman" w:cs="Times New Roman"/>
          <w:lang w:val="lt-LT"/>
        </w:rPr>
      </w:pPr>
      <w:r w:rsidRPr="0017614D">
        <w:rPr>
          <w:rFonts w:ascii="Times New Roman" w:hAnsi="Times New Roman" w:cs="Times New Roman"/>
          <w:lang w:val="lt-LT"/>
        </w:rPr>
        <w:t>1</w:t>
      </w:r>
      <w:r w:rsidR="00C72F00" w:rsidRPr="0017614D">
        <w:rPr>
          <w:rFonts w:ascii="Times New Roman" w:hAnsi="Times New Roman" w:cs="Times New Roman"/>
          <w:lang w:val="lt-LT"/>
        </w:rPr>
        <w:t>5</w:t>
      </w:r>
      <w:r w:rsidR="003228C9" w:rsidRPr="0017614D">
        <w:rPr>
          <w:rFonts w:ascii="Times New Roman" w:hAnsi="Times New Roman" w:cs="Times New Roman"/>
          <w:lang w:val="lt-LT"/>
        </w:rPr>
        <w:t xml:space="preserve"> lentelė.</w:t>
      </w:r>
      <w:r w:rsidR="003228C9" w:rsidRPr="0017614D">
        <w:rPr>
          <w:rFonts w:ascii="Times New Roman" w:hAnsi="Times New Roman" w:cs="Times New Roman"/>
          <w:b/>
          <w:lang w:val="lt-LT"/>
        </w:rPr>
        <w:t xml:space="preserve"> UAB „Achemarida“, UAB „Romas ir ko“, UAB „Girteka“ ir UAB „Autoverslas“ 2008-2010 m. turto pelningumo koeficientai</w:t>
      </w:r>
    </w:p>
    <w:tbl>
      <w:tblPr>
        <w:tblW w:w="6560" w:type="dxa"/>
        <w:jc w:val="center"/>
        <w:tblInd w:w="89" w:type="dxa"/>
        <w:tblLook w:val="04A0"/>
      </w:tblPr>
      <w:tblGrid>
        <w:gridCol w:w="2160"/>
        <w:gridCol w:w="1342"/>
        <w:gridCol w:w="1529"/>
        <w:gridCol w:w="1529"/>
      </w:tblGrid>
      <w:tr w:rsidR="003228C9" w:rsidRPr="0017614D" w:rsidTr="00A4340C">
        <w:trPr>
          <w:trHeight w:val="300"/>
          <w:jc w:val="center"/>
        </w:trPr>
        <w:tc>
          <w:tcPr>
            <w:tcW w:w="2160" w:type="dxa"/>
            <w:vMerge w:val="restart"/>
            <w:tcBorders>
              <w:top w:val="single" w:sz="4" w:space="0" w:color="auto"/>
              <w:left w:val="single" w:sz="4" w:space="0" w:color="auto"/>
              <w:bottom w:val="single" w:sz="4" w:space="0" w:color="000000"/>
              <w:right w:val="single" w:sz="4" w:space="0" w:color="auto"/>
            </w:tcBorders>
            <w:shd w:val="clear" w:color="000000" w:fill="FCD5B4"/>
            <w:noWrap/>
            <w:vAlign w:val="center"/>
            <w:hideMark/>
          </w:tcPr>
          <w:p w:rsidR="003228C9" w:rsidRPr="0017614D" w:rsidRDefault="003228C9" w:rsidP="00A4340C">
            <w:pPr>
              <w:spacing w:after="0" w:line="240" w:lineRule="auto"/>
              <w:jc w:val="center"/>
              <w:rPr>
                <w:rFonts w:ascii="Times New Roman" w:eastAsia="Times New Roman" w:hAnsi="Times New Roman" w:cs="Times New Roman"/>
                <w:b/>
                <w:bCs/>
                <w:color w:val="000000"/>
                <w:lang w:val="lt-LT"/>
              </w:rPr>
            </w:pPr>
            <w:r w:rsidRPr="0017614D">
              <w:rPr>
                <w:rFonts w:ascii="Times New Roman" w:eastAsia="Times New Roman" w:hAnsi="Times New Roman" w:cs="Times New Roman"/>
                <w:b/>
                <w:bCs/>
                <w:color w:val="000000"/>
                <w:lang w:val="lt-LT"/>
              </w:rPr>
              <w:t>Įmonė</w:t>
            </w:r>
          </w:p>
        </w:tc>
        <w:tc>
          <w:tcPr>
            <w:tcW w:w="4400" w:type="dxa"/>
            <w:gridSpan w:val="3"/>
            <w:tcBorders>
              <w:top w:val="single" w:sz="4" w:space="0" w:color="auto"/>
              <w:left w:val="nil"/>
              <w:bottom w:val="single" w:sz="4" w:space="0" w:color="auto"/>
              <w:right w:val="single" w:sz="4" w:space="0" w:color="auto"/>
            </w:tcBorders>
            <w:shd w:val="clear" w:color="000000" w:fill="FCD5B4"/>
            <w:noWrap/>
            <w:vAlign w:val="center"/>
            <w:hideMark/>
          </w:tcPr>
          <w:p w:rsidR="003228C9" w:rsidRPr="0017614D" w:rsidRDefault="003228C9" w:rsidP="00A4340C">
            <w:pPr>
              <w:spacing w:after="0" w:line="240" w:lineRule="auto"/>
              <w:jc w:val="center"/>
              <w:rPr>
                <w:rFonts w:ascii="Times New Roman" w:eastAsia="Times New Roman" w:hAnsi="Times New Roman" w:cs="Times New Roman"/>
                <w:b/>
                <w:bCs/>
                <w:color w:val="000000"/>
                <w:lang w:val="lt-LT"/>
              </w:rPr>
            </w:pPr>
            <w:r w:rsidRPr="0017614D">
              <w:rPr>
                <w:rFonts w:ascii="Times New Roman" w:eastAsia="Times New Roman" w:hAnsi="Times New Roman" w:cs="Times New Roman"/>
                <w:b/>
                <w:bCs/>
                <w:color w:val="000000"/>
                <w:lang w:val="lt-LT"/>
              </w:rPr>
              <w:t>Turto pelningumas (ROA)</w:t>
            </w:r>
          </w:p>
        </w:tc>
      </w:tr>
      <w:tr w:rsidR="003228C9" w:rsidRPr="0017614D" w:rsidTr="00A4340C">
        <w:trPr>
          <w:trHeight w:val="300"/>
          <w:jc w:val="center"/>
        </w:trPr>
        <w:tc>
          <w:tcPr>
            <w:tcW w:w="2160" w:type="dxa"/>
            <w:vMerge/>
            <w:tcBorders>
              <w:top w:val="single" w:sz="4" w:space="0" w:color="auto"/>
              <w:left w:val="single" w:sz="4" w:space="0" w:color="auto"/>
              <w:bottom w:val="single" w:sz="4" w:space="0" w:color="000000"/>
              <w:right w:val="single" w:sz="4" w:space="0" w:color="auto"/>
            </w:tcBorders>
            <w:vAlign w:val="center"/>
            <w:hideMark/>
          </w:tcPr>
          <w:p w:rsidR="003228C9" w:rsidRPr="0017614D" w:rsidRDefault="003228C9" w:rsidP="00A4340C">
            <w:pPr>
              <w:spacing w:after="0" w:line="240" w:lineRule="auto"/>
              <w:rPr>
                <w:rFonts w:ascii="Times New Roman" w:eastAsia="Times New Roman" w:hAnsi="Times New Roman" w:cs="Times New Roman"/>
                <w:b/>
                <w:bCs/>
                <w:color w:val="000000"/>
                <w:lang w:val="lt-LT"/>
              </w:rPr>
            </w:pPr>
          </w:p>
        </w:tc>
        <w:tc>
          <w:tcPr>
            <w:tcW w:w="1342" w:type="dxa"/>
            <w:tcBorders>
              <w:top w:val="nil"/>
              <w:left w:val="nil"/>
              <w:bottom w:val="single" w:sz="4" w:space="0" w:color="auto"/>
              <w:right w:val="single" w:sz="4" w:space="0" w:color="auto"/>
            </w:tcBorders>
            <w:shd w:val="clear" w:color="000000" w:fill="FDE9D9"/>
            <w:noWrap/>
            <w:vAlign w:val="center"/>
            <w:hideMark/>
          </w:tcPr>
          <w:p w:rsidR="003228C9" w:rsidRPr="0017614D" w:rsidRDefault="003228C9" w:rsidP="00A4340C">
            <w:pPr>
              <w:spacing w:after="0" w:line="240" w:lineRule="auto"/>
              <w:jc w:val="center"/>
              <w:rPr>
                <w:rFonts w:ascii="Times New Roman" w:eastAsia="Times New Roman" w:hAnsi="Times New Roman" w:cs="Times New Roman"/>
                <w:b/>
                <w:bCs/>
                <w:i/>
                <w:iCs/>
                <w:color w:val="000000"/>
                <w:lang w:val="lt-LT"/>
              </w:rPr>
            </w:pPr>
            <w:r w:rsidRPr="0017614D">
              <w:rPr>
                <w:rFonts w:ascii="Times New Roman" w:eastAsia="Times New Roman" w:hAnsi="Times New Roman" w:cs="Times New Roman"/>
                <w:b/>
                <w:bCs/>
                <w:i/>
                <w:iCs/>
                <w:color w:val="000000"/>
                <w:lang w:val="lt-LT"/>
              </w:rPr>
              <w:t>2008</w:t>
            </w:r>
          </w:p>
        </w:tc>
        <w:tc>
          <w:tcPr>
            <w:tcW w:w="1529" w:type="dxa"/>
            <w:tcBorders>
              <w:top w:val="nil"/>
              <w:left w:val="nil"/>
              <w:bottom w:val="single" w:sz="4" w:space="0" w:color="auto"/>
              <w:right w:val="single" w:sz="4" w:space="0" w:color="auto"/>
            </w:tcBorders>
            <w:shd w:val="clear" w:color="000000" w:fill="FDE9D9"/>
            <w:noWrap/>
            <w:vAlign w:val="center"/>
            <w:hideMark/>
          </w:tcPr>
          <w:p w:rsidR="003228C9" w:rsidRPr="0017614D" w:rsidRDefault="003228C9" w:rsidP="00A4340C">
            <w:pPr>
              <w:spacing w:after="0" w:line="240" w:lineRule="auto"/>
              <w:jc w:val="center"/>
              <w:rPr>
                <w:rFonts w:ascii="Times New Roman" w:eastAsia="Times New Roman" w:hAnsi="Times New Roman" w:cs="Times New Roman"/>
                <w:b/>
                <w:bCs/>
                <w:i/>
                <w:iCs/>
                <w:color w:val="000000"/>
                <w:lang w:val="lt-LT"/>
              </w:rPr>
            </w:pPr>
            <w:r w:rsidRPr="0017614D">
              <w:rPr>
                <w:rFonts w:ascii="Times New Roman" w:eastAsia="Times New Roman" w:hAnsi="Times New Roman" w:cs="Times New Roman"/>
                <w:b/>
                <w:bCs/>
                <w:i/>
                <w:iCs/>
                <w:color w:val="000000"/>
                <w:lang w:val="lt-LT"/>
              </w:rPr>
              <w:t>2009</w:t>
            </w:r>
          </w:p>
        </w:tc>
        <w:tc>
          <w:tcPr>
            <w:tcW w:w="1529" w:type="dxa"/>
            <w:tcBorders>
              <w:top w:val="nil"/>
              <w:left w:val="nil"/>
              <w:bottom w:val="single" w:sz="4" w:space="0" w:color="auto"/>
              <w:right w:val="single" w:sz="4" w:space="0" w:color="auto"/>
            </w:tcBorders>
            <w:shd w:val="clear" w:color="000000" w:fill="FDE9D9"/>
            <w:noWrap/>
            <w:vAlign w:val="center"/>
            <w:hideMark/>
          </w:tcPr>
          <w:p w:rsidR="003228C9" w:rsidRPr="0017614D" w:rsidRDefault="003228C9" w:rsidP="00A4340C">
            <w:pPr>
              <w:spacing w:after="0" w:line="240" w:lineRule="auto"/>
              <w:jc w:val="center"/>
              <w:rPr>
                <w:rFonts w:ascii="Times New Roman" w:eastAsia="Times New Roman" w:hAnsi="Times New Roman" w:cs="Times New Roman"/>
                <w:b/>
                <w:bCs/>
                <w:i/>
                <w:iCs/>
                <w:color w:val="000000"/>
                <w:lang w:val="lt-LT"/>
              </w:rPr>
            </w:pPr>
            <w:r w:rsidRPr="0017614D">
              <w:rPr>
                <w:rFonts w:ascii="Times New Roman" w:eastAsia="Times New Roman" w:hAnsi="Times New Roman" w:cs="Times New Roman"/>
                <w:b/>
                <w:bCs/>
                <w:i/>
                <w:iCs/>
                <w:color w:val="000000"/>
                <w:lang w:val="lt-LT"/>
              </w:rPr>
              <w:t>2010</w:t>
            </w:r>
          </w:p>
        </w:tc>
      </w:tr>
      <w:tr w:rsidR="003228C9" w:rsidRPr="0017614D" w:rsidTr="00A4340C">
        <w:trPr>
          <w:trHeight w:val="300"/>
          <w:jc w:val="center"/>
        </w:trPr>
        <w:tc>
          <w:tcPr>
            <w:tcW w:w="2160" w:type="dxa"/>
            <w:tcBorders>
              <w:top w:val="nil"/>
              <w:left w:val="single" w:sz="4" w:space="0" w:color="auto"/>
              <w:bottom w:val="single" w:sz="4" w:space="0" w:color="auto"/>
              <w:right w:val="single" w:sz="4" w:space="0" w:color="auto"/>
            </w:tcBorders>
            <w:shd w:val="clear" w:color="000000" w:fill="FDE9D9"/>
            <w:noWrap/>
            <w:vAlign w:val="center"/>
            <w:hideMark/>
          </w:tcPr>
          <w:p w:rsidR="003228C9" w:rsidRPr="0017614D" w:rsidRDefault="003228C9" w:rsidP="00A4340C">
            <w:pPr>
              <w:spacing w:after="0" w:line="240" w:lineRule="auto"/>
              <w:rPr>
                <w:rFonts w:ascii="Times New Roman" w:eastAsia="Times New Roman" w:hAnsi="Times New Roman" w:cs="Times New Roman"/>
                <w:i/>
                <w:iCs/>
                <w:color w:val="000000"/>
                <w:lang w:val="lt-LT"/>
              </w:rPr>
            </w:pPr>
            <w:r w:rsidRPr="0017614D">
              <w:rPr>
                <w:rFonts w:ascii="Times New Roman" w:eastAsia="Times New Roman" w:hAnsi="Times New Roman" w:cs="Times New Roman"/>
                <w:i/>
                <w:iCs/>
                <w:color w:val="000000"/>
                <w:lang w:val="lt-LT"/>
              </w:rPr>
              <w:t>*UAB "Achemarida"</w:t>
            </w:r>
          </w:p>
        </w:tc>
        <w:tc>
          <w:tcPr>
            <w:tcW w:w="1342" w:type="dxa"/>
            <w:tcBorders>
              <w:top w:val="nil"/>
              <w:left w:val="nil"/>
              <w:bottom w:val="single" w:sz="4" w:space="0" w:color="auto"/>
              <w:right w:val="single" w:sz="4" w:space="0" w:color="auto"/>
            </w:tcBorders>
            <w:shd w:val="clear" w:color="auto" w:fill="E36C0A" w:themeFill="accent6" w:themeFillShade="BF"/>
            <w:noWrap/>
            <w:vAlign w:val="bottom"/>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0.004</w:t>
            </w:r>
          </w:p>
        </w:tc>
        <w:tc>
          <w:tcPr>
            <w:tcW w:w="1529" w:type="dxa"/>
            <w:tcBorders>
              <w:top w:val="nil"/>
              <w:left w:val="nil"/>
              <w:bottom w:val="single" w:sz="4" w:space="0" w:color="auto"/>
              <w:right w:val="single" w:sz="4" w:space="0" w:color="auto"/>
            </w:tcBorders>
            <w:shd w:val="clear" w:color="auto" w:fill="E36C0A" w:themeFill="accent6" w:themeFillShade="BF"/>
            <w:noWrap/>
            <w:vAlign w:val="bottom"/>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-0.038</w:t>
            </w:r>
          </w:p>
        </w:tc>
        <w:tc>
          <w:tcPr>
            <w:tcW w:w="1529" w:type="dxa"/>
            <w:tcBorders>
              <w:top w:val="nil"/>
              <w:left w:val="nil"/>
              <w:bottom w:val="single" w:sz="4" w:space="0" w:color="auto"/>
              <w:right w:val="single" w:sz="4" w:space="0" w:color="auto"/>
            </w:tcBorders>
            <w:shd w:val="clear" w:color="auto" w:fill="E36C0A" w:themeFill="accent6" w:themeFillShade="BF"/>
            <w:noWrap/>
            <w:vAlign w:val="bottom"/>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-0.182</w:t>
            </w:r>
          </w:p>
        </w:tc>
      </w:tr>
      <w:tr w:rsidR="003228C9" w:rsidRPr="0017614D" w:rsidTr="00A4340C">
        <w:trPr>
          <w:trHeight w:val="300"/>
          <w:jc w:val="center"/>
        </w:trPr>
        <w:tc>
          <w:tcPr>
            <w:tcW w:w="2160" w:type="dxa"/>
            <w:tcBorders>
              <w:top w:val="nil"/>
              <w:left w:val="single" w:sz="4" w:space="0" w:color="auto"/>
              <w:bottom w:val="single" w:sz="4" w:space="0" w:color="auto"/>
              <w:right w:val="single" w:sz="4" w:space="0" w:color="auto"/>
            </w:tcBorders>
            <w:shd w:val="clear" w:color="000000" w:fill="FDE9D9"/>
            <w:noWrap/>
            <w:vAlign w:val="center"/>
            <w:hideMark/>
          </w:tcPr>
          <w:p w:rsidR="003228C9" w:rsidRPr="0017614D" w:rsidRDefault="003228C9" w:rsidP="00A4340C">
            <w:pPr>
              <w:spacing w:after="0" w:line="240" w:lineRule="auto"/>
              <w:rPr>
                <w:rFonts w:ascii="Times New Roman" w:eastAsia="Times New Roman" w:hAnsi="Times New Roman" w:cs="Times New Roman"/>
                <w:i/>
                <w:iCs/>
                <w:color w:val="000000"/>
                <w:lang w:val="lt-LT"/>
              </w:rPr>
            </w:pPr>
            <w:r w:rsidRPr="0017614D">
              <w:rPr>
                <w:rFonts w:ascii="Times New Roman" w:eastAsia="Times New Roman" w:hAnsi="Times New Roman" w:cs="Times New Roman"/>
                <w:i/>
                <w:iCs/>
                <w:color w:val="000000"/>
                <w:lang w:val="lt-LT"/>
              </w:rPr>
              <w:t>*UAB "Romas ir ko"</w:t>
            </w:r>
          </w:p>
        </w:tc>
        <w:tc>
          <w:tcPr>
            <w:tcW w:w="1342" w:type="dxa"/>
            <w:tcBorders>
              <w:top w:val="nil"/>
              <w:left w:val="nil"/>
              <w:bottom w:val="single" w:sz="4" w:space="0" w:color="auto"/>
              <w:right w:val="single" w:sz="4" w:space="0" w:color="auto"/>
            </w:tcBorders>
            <w:shd w:val="clear" w:color="auto" w:fill="E36C0A" w:themeFill="accent6" w:themeFillShade="BF"/>
            <w:noWrap/>
            <w:vAlign w:val="bottom"/>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0.083</w:t>
            </w:r>
          </w:p>
        </w:tc>
        <w:tc>
          <w:tcPr>
            <w:tcW w:w="1529" w:type="dxa"/>
            <w:tcBorders>
              <w:top w:val="nil"/>
              <w:left w:val="nil"/>
              <w:bottom w:val="single" w:sz="4" w:space="0" w:color="auto"/>
              <w:right w:val="single" w:sz="4" w:space="0" w:color="auto"/>
            </w:tcBorders>
            <w:shd w:val="clear" w:color="auto" w:fill="E36C0A" w:themeFill="accent6" w:themeFillShade="BF"/>
            <w:noWrap/>
            <w:vAlign w:val="bottom"/>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-0.014</w:t>
            </w:r>
          </w:p>
        </w:tc>
        <w:tc>
          <w:tcPr>
            <w:tcW w:w="1529" w:type="dxa"/>
            <w:tcBorders>
              <w:top w:val="nil"/>
              <w:left w:val="nil"/>
              <w:bottom w:val="single" w:sz="4" w:space="0" w:color="auto"/>
              <w:right w:val="single" w:sz="4" w:space="0" w:color="auto"/>
            </w:tcBorders>
            <w:shd w:val="clear" w:color="auto" w:fill="E36C0A" w:themeFill="accent6" w:themeFillShade="BF"/>
            <w:noWrap/>
            <w:vAlign w:val="bottom"/>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-0.251</w:t>
            </w:r>
          </w:p>
        </w:tc>
      </w:tr>
      <w:tr w:rsidR="003228C9" w:rsidRPr="0017614D" w:rsidTr="00A4340C">
        <w:trPr>
          <w:trHeight w:val="300"/>
          <w:jc w:val="center"/>
        </w:trPr>
        <w:tc>
          <w:tcPr>
            <w:tcW w:w="2160" w:type="dxa"/>
            <w:tcBorders>
              <w:top w:val="nil"/>
              <w:left w:val="single" w:sz="4" w:space="0" w:color="auto"/>
              <w:bottom w:val="single" w:sz="4" w:space="0" w:color="auto"/>
              <w:right w:val="single" w:sz="4" w:space="0" w:color="auto"/>
            </w:tcBorders>
            <w:shd w:val="clear" w:color="000000" w:fill="FDE9D9"/>
            <w:noWrap/>
            <w:vAlign w:val="center"/>
            <w:hideMark/>
          </w:tcPr>
          <w:p w:rsidR="003228C9" w:rsidRPr="0017614D" w:rsidRDefault="003228C9" w:rsidP="00A4340C">
            <w:pPr>
              <w:spacing w:after="0" w:line="240" w:lineRule="auto"/>
              <w:rPr>
                <w:rFonts w:ascii="Times New Roman" w:eastAsia="Times New Roman" w:hAnsi="Times New Roman" w:cs="Times New Roman"/>
                <w:i/>
                <w:iCs/>
                <w:color w:val="000000"/>
                <w:lang w:val="lt-LT"/>
              </w:rPr>
            </w:pPr>
            <w:r w:rsidRPr="0017614D">
              <w:rPr>
                <w:rFonts w:ascii="Times New Roman" w:eastAsia="Times New Roman" w:hAnsi="Times New Roman" w:cs="Times New Roman"/>
                <w:i/>
                <w:iCs/>
                <w:color w:val="000000"/>
                <w:lang w:val="lt-LT"/>
              </w:rPr>
              <w:t>UAB "Girteka"</w:t>
            </w:r>
          </w:p>
        </w:tc>
        <w:tc>
          <w:tcPr>
            <w:tcW w:w="1342" w:type="dxa"/>
            <w:tcBorders>
              <w:top w:val="nil"/>
              <w:left w:val="nil"/>
              <w:bottom w:val="single" w:sz="4" w:space="0" w:color="auto"/>
              <w:right w:val="single" w:sz="4" w:space="0" w:color="auto"/>
            </w:tcBorders>
            <w:shd w:val="clear" w:color="auto" w:fill="E36C0A" w:themeFill="accent6" w:themeFillShade="BF"/>
            <w:noWrap/>
            <w:vAlign w:val="bottom"/>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0.073</w:t>
            </w:r>
          </w:p>
        </w:tc>
        <w:tc>
          <w:tcPr>
            <w:tcW w:w="1529" w:type="dxa"/>
            <w:tcBorders>
              <w:top w:val="nil"/>
              <w:left w:val="nil"/>
              <w:bottom w:val="single" w:sz="4" w:space="0" w:color="auto"/>
              <w:right w:val="single" w:sz="4" w:space="0" w:color="auto"/>
            </w:tcBorders>
            <w:shd w:val="clear" w:color="auto" w:fill="E36C0A" w:themeFill="accent6" w:themeFillShade="BF"/>
            <w:noWrap/>
            <w:vAlign w:val="bottom"/>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0.043</w:t>
            </w:r>
          </w:p>
        </w:tc>
        <w:tc>
          <w:tcPr>
            <w:tcW w:w="1529" w:type="dxa"/>
            <w:tcBorders>
              <w:top w:val="nil"/>
              <w:left w:val="nil"/>
              <w:bottom w:val="single" w:sz="4" w:space="0" w:color="auto"/>
              <w:right w:val="single" w:sz="4" w:space="0" w:color="auto"/>
            </w:tcBorders>
            <w:shd w:val="clear" w:color="auto" w:fill="E36C0A" w:themeFill="accent6" w:themeFillShade="BF"/>
            <w:noWrap/>
            <w:vAlign w:val="bottom"/>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0.113</w:t>
            </w:r>
          </w:p>
        </w:tc>
      </w:tr>
      <w:tr w:rsidR="003228C9" w:rsidRPr="0017614D" w:rsidTr="00A4340C">
        <w:trPr>
          <w:trHeight w:val="300"/>
          <w:jc w:val="center"/>
        </w:trPr>
        <w:tc>
          <w:tcPr>
            <w:tcW w:w="2160" w:type="dxa"/>
            <w:tcBorders>
              <w:top w:val="nil"/>
              <w:left w:val="single" w:sz="4" w:space="0" w:color="auto"/>
              <w:bottom w:val="single" w:sz="4" w:space="0" w:color="auto"/>
              <w:right w:val="single" w:sz="4" w:space="0" w:color="auto"/>
            </w:tcBorders>
            <w:shd w:val="clear" w:color="000000" w:fill="FDE9D9"/>
            <w:noWrap/>
            <w:vAlign w:val="center"/>
            <w:hideMark/>
          </w:tcPr>
          <w:p w:rsidR="003228C9" w:rsidRPr="0017614D" w:rsidRDefault="003228C9" w:rsidP="00A4340C">
            <w:pPr>
              <w:spacing w:after="0" w:line="240" w:lineRule="auto"/>
              <w:rPr>
                <w:rFonts w:ascii="Times New Roman" w:eastAsia="Times New Roman" w:hAnsi="Times New Roman" w:cs="Times New Roman"/>
                <w:i/>
                <w:iCs/>
                <w:color w:val="000000"/>
                <w:lang w:val="lt-LT"/>
              </w:rPr>
            </w:pPr>
            <w:r w:rsidRPr="0017614D">
              <w:rPr>
                <w:rFonts w:ascii="Times New Roman" w:eastAsia="Times New Roman" w:hAnsi="Times New Roman" w:cs="Times New Roman"/>
                <w:i/>
                <w:iCs/>
                <w:color w:val="000000"/>
                <w:lang w:val="lt-LT"/>
              </w:rPr>
              <w:t>UAB "Autoverslas"</w:t>
            </w:r>
          </w:p>
        </w:tc>
        <w:tc>
          <w:tcPr>
            <w:tcW w:w="1342" w:type="dxa"/>
            <w:tcBorders>
              <w:top w:val="nil"/>
              <w:left w:val="nil"/>
              <w:bottom w:val="single" w:sz="4" w:space="0" w:color="auto"/>
              <w:right w:val="single" w:sz="4" w:space="0" w:color="auto"/>
            </w:tcBorders>
            <w:shd w:val="clear" w:color="auto" w:fill="E36C0A" w:themeFill="accent6" w:themeFillShade="BF"/>
            <w:noWrap/>
            <w:vAlign w:val="bottom"/>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0.004</w:t>
            </w:r>
          </w:p>
        </w:tc>
        <w:tc>
          <w:tcPr>
            <w:tcW w:w="1529" w:type="dxa"/>
            <w:tcBorders>
              <w:top w:val="nil"/>
              <w:left w:val="nil"/>
              <w:bottom w:val="single" w:sz="4" w:space="0" w:color="auto"/>
              <w:right w:val="single" w:sz="4" w:space="0" w:color="auto"/>
            </w:tcBorders>
            <w:shd w:val="clear" w:color="auto" w:fill="E36C0A" w:themeFill="accent6" w:themeFillShade="BF"/>
            <w:noWrap/>
            <w:vAlign w:val="bottom"/>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0.024</w:t>
            </w:r>
          </w:p>
        </w:tc>
        <w:tc>
          <w:tcPr>
            <w:tcW w:w="1529" w:type="dxa"/>
            <w:tcBorders>
              <w:top w:val="nil"/>
              <w:left w:val="nil"/>
              <w:bottom w:val="single" w:sz="4" w:space="0" w:color="auto"/>
              <w:right w:val="single" w:sz="4" w:space="0" w:color="auto"/>
            </w:tcBorders>
            <w:shd w:val="clear" w:color="auto" w:fill="E36C0A" w:themeFill="accent6" w:themeFillShade="BF"/>
            <w:noWrap/>
            <w:vAlign w:val="bottom"/>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0.043</w:t>
            </w:r>
          </w:p>
        </w:tc>
      </w:tr>
    </w:tbl>
    <w:p w:rsidR="003228C9" w:rsidRPr="0017614D" w:rsidRDefault="003228C9" w:rsidP="003228C9">
      <w:pPr>
        <w:spacing w:after="0" w:line="360" w:lineRule="auto"/>
        <w:ind w:firstLine="720"/>
        <w:contextualSpacing/>
        <w:jc w:val="both"/>
        <w:rPr>
          <w:rFonts w:ascii="Times New Roman" w:hAnsi="Times New Roman" w:cs="Times New Roman"/>
          <w:sz w:val="24"/>
          <w:szCs w:val="24"/>
          <w:lang w:val="lt-LT"/>
        </w:rPr>
      </w:pPr>
    </w:p>
    <w:p w:rsidR="003228C9" w:rsidRPr="0017614D" w:rsidRDefault="003228C9" w:rsidP="003228C9">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UAB „Achemarida“ ROA rodiklis 2008 metais buvo labai mažas, jis siekė vos 0,004, tuo tarpu 2009 ir 2010 m. jis buvo neigiamas</w:t>
      </w:r>
      <w:r w:rsidR="00C72F00" w:rsidRPr="0017614D">
        <w:rPr>
          <w:rFonts w:ascii="Times New Roman" w:hAnsi="Times New Roman" w:cs="Times New Roman"/>
          <w:sz w:val="24"/>
          <w:szCs w:val="24"/>
          <w:lang w:val="lt-LT"/>
        </w:rPr>
        <w:t xml:space="preserve"> (žr. 15</w:t>
      </w:r>
      <w:r w:rsidR="00820234" w:rsidRPr="0017614D">
        <w:rPr>
          <w:rFonts w:ascii="Times New Roman" w:hAnsi="Times New Roman" w:cs="Times New Roman"/>
          <w:sz w:val="24"/>
          <w:szCs w:val="24"/>
          <w:lang w:val="lt-LT"/>
        </w:rPr>
        <w:t xml:space="preserve"> lent.</w:t>
      </w:r>
      <w:r w:rsidRPr="0017614D">
        <w:rPr>
          <w:rFonts w:ascii="Times New Roman" w:hAnsi="Times New Roman" w:cs="Times New Roman"/>
          <w:sz w:val="24"/>
          <w:szCs w:val="24"/>
          <w:lang w:val="lt-LT"/>
        </w:rPr>
        <w:t>). Tai parodo, kad įmonė savo turtą naudojo neefektyviai ir negavo iš jo pelno. Panaši situacija yra pastebima ir UAB „Romas ir ko“, nors 2008 m. šios įmonės turto pelningumas siekė 0,083. Tuo tarpu UAB „Girteka“ šis rodiklis buvo kiek aukštesnis nagrinėjamu laikotarpiu ir tik 2009 m. buvo labiau sumažėjęs, o UAB „Autoverslas turto pelningumas buvo nedidelis, tačiau tendencingai augo su kiekvienais metais.  Visgi lyginant su Lietuvos transportavimo įmonėmis UAB „Achemarida“, UAB „Romas ir ko“, UAB „Girteka“ bei UAB „Autoverslas“ savo turtą naudojo neefektyviai ir jis nešė palyginus labai mažas pajamas.</w:t>
      </w:r>
    </w:p>
    <w:p w:rsidR="003228C9" w:rsidRDefault="003228C9" w:rsidP="003228C9">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Iš pelningumo rodiklių dar buvo skaičiuojamas ROE, t. y. nuosavo kapitalo pelningumas, kuris parodo kokia investuotų savininkų lėšų dalis grįžta grynojo pelno forma. Šis rodiklis padeda spręsti, kaip efektyviai yra panaudojamos savininkų lėšos. Pagal Lietuvos Statistikos departamentą vidutinės Lietuvos transportavimo įmonės ROE vidurkis buvo 2008 m. – 7.41, 2009 m. – 3.31 bei 2010 m. – 6.26. </w:t>
      </w:r>
    </w:p>
    <w:p w:rsidR="004E7005" w:rsidRPr="0017614D" w:rsidRDefault="004E7005" w:rsidP="003228C9">
      <w:pPr>
        <w:spacing w:after="0" w:line="360" w:lineRule="auto"/>
        <w:ind w:firstLine="720"/>
        <w:contextualSpacing/>
        <w:jc w:val="both"/>
        <w:rPr>
          <w:rFonts w:ascii="Times New Roman" w:hAnsi="Times New Roman" w:cs="Times New Roman"/>
          <w:sz w:val="24"/>
          <w:szCs w:val="24"/>
          <w:lang w:val="lt-LT"/>
        </w:rPr>
      </w:pPr>
    </w:p>
    <w:p w:rsidR="003228C9" w:rsidRPr="0017614D" w:rsidRDefault="00820234" w:rsidP="003228C9">
      <w:pPr>
        <w:spacing w:after="0"/>
        <w:contextualSpacing/>
        <w:jc w:val="center"/>
        <w:rPr>
          <w:rFonts w:ascii="Times New Roman" w:hAnsi="Times New Roman" w:cs="Times New Roman"/>
          <w:lang w:val="lt-LT"/>
        </w:rPr>
      </w:pPr>
      <w:r w:rsidRPr="0017614D">
        <w:rPr>
          <w:rFonts w:ascii="Times New Roman" w:hAnsi="Times New Roman" w:cs="Times New Roman"/>
          <w:lang w:val="lt-LT"/>
        </w:rPr>
        <w:t>1</w:t>
      </w:r>
      <w:r w:rsidR="00C72F00" w:rsidRPr="0017614D">
        <w:rPr>
          <w:rFonts w:ascii="Times New Roman" w:hAnsi="Times New Roman" w:cs="Times New Roman"/>
          <w:lang w:val="lt-LT"/>
        </w:rPr>
        <w:t>6</w:t>
      </w:r>
      <w:r w:rsidR="003228C9" w:rsidRPr="0017614D">
        <w:rPr>
          <w:rFonts w:ascii="Times New Roman" w:hAnsi="Times New Roman" w:cs="Times New Roman"/>
          <w:lang w:val="lt-LT"/>
        </w:rPr>
        <w:t xml:space="preserve"> lentelė.</w:t>
      </w:r>
      <w:r w:rsidR="003228C9" w:rsidRPr="0017614D">
        <w:rPr>
          <w:rFonts w:ascii="Times New Roman" w:hAnsi="Times New Roman" w:cs="Times New Roman"/>
          <w:b/>
          <w:lang w:val="lt-LT"/>
        </w:rPr>
        <w:t xml:space="preserve"> UAB „Achemarida“, UAB „Romas ir ko“, UAB „Girteka“ ir UAB „Autoverslas“ 2008-2010 m. nuosavo kapitalo pelningumo koeficientai</w:t>
      </w:r>
    </w:p>
    <w:tbl>
      <w:tblPr>
        <w:tblW w:w="6561" w:type="dxa"/>
        <w:jc w:val="center"/>
        <w:tblInd w:w="93" w:type="dxa"/>
        <w:tblLook w:val="04A0"/>
      </w:tblPr>
      <w:tblGrid>
        <w:gridCol w:w="2160"/>
        <w:gridCol w:w="1341"/>
        <w:gridCol w:w="1530"/>
        <w:gridCol w:w="1530"/>
      </w:tblGrid>
      <w:tr w:rsidR="003228C9" w:rsidRPr="0017614D" w:rsidTr="00A4340C">
        <w:trPr>
          <w:trHeight w:val="300"/>
          <w:jc w:val="center"/>
        </w:trPr>
        <w:tc>
          <w:tcPr>
            <w:tcW w:w="2160" w:type="dxa"/>
            <w:vMerge w:val="restart"/>
            <w:tcBorders>
              <w:top w:val="single" w:sz="4" w:space="0" w:color="auto"/>
              <w:left w:val="single" w:sz="4" w:space="0" w:color="auto"/>
              <w:bottom w:val="single" w:sz="4" w:space="0" w:color="000000"/>
              <w:right w:val="single" w:sz="4" w:space="0" w:color="auto"/>
            </w:tcBorders>
            <w:shd w:val="clear" w:color="000000" w:fill="FCD5B4"/>
            <w:noWrap/>
            <w:vAlign w:val="center"/>
            <w:hideMark/>
          </w:tcPr>
          <w:p w:rsidR="003228C9" w:rsidRPr="0017614D" w:rsidRDefault="003228C9" w:rsidP="00A4340C">
            <w:pPr>
              <w:spacing w:after="0" w:line="240" w:lineRule="auto"/>
              <w:jc w:val="center"/>
              <w:rPr>
                <w:rFonts w:ascii="Times New Roman" w:eastAsia="Times New Roman" w:hAnsi="Times New Roman" w:cs="Times New Roman"/>
                <w:b/>
                <w:bCs/>
                <w:color w:val="000000"/>
                <w:lang w:val="lt-LT"/>
              </w:rPr>
            </w:pPr>
            <w:r w:rsidRPr="0017614D">
              <w:rPr>
                <w:rFonts w:ascii="Times New Roman" w:eastAsia="Times New Roman" w:hAnsi="Times New Roman" w:cs="Times New Roman"/>
                <w:b/>
                <w:bCs/>
                <w:color w:val="000000"/>
                <w:lang w:val="lt-LT"/>
              </w:rPr>
              <w:t>Įmonė</w:t>
            </w:r>
          </w:p>
        </w:tc>
        <w:tc>
          <w:tcPr>
            <w:tcW w:w="4401" w:type="dxa"/>
            <w:gridSpan w:val="3"/>
            <w:tcBorders>
              <w:top w:val="single" w:sz="4" w:space="0" w:color="auto"/>
              <w:left w:val="nil"/>
              <w:bottom w:val="single" w:sz="4" w:space="0" w:color="auto"/>
              <w:right w:val="single" w:sz="4" w:space="0" w:color="auto"/>
            </w:tcBorders>
            <w:shd w:val="clear" w:color="000000" w:fill="FCD5B4"/>
            <w:noWrap/>
            <w:vAlign w:val="center"/>
            <w:hideMark/>
          </w:tcPr>
          <w:p w:rsidR="003228C9" w:rsidRPr="0017614D" w:rsidRDefault="003228C9" w:rsidP="00A4340C">
            <w:pPr>
              <w:spacing w:after="0" w:line="240" w:lineRule="auto"/>
              <w:jc w:val="center"/>
              <w:rPr>
                <w:rFonts w:ascii="Times New Roman" w:eastAsia="Times New Roman" w:hAnsi="Times New Roman" w:cs="Times New Roman"/>
                <w:b/>
                <w:bCs/>
                <w:color w:val="000000"/>
                <w:lang w:val="lt-LT"/>
              </w:rPr>
            </w:pPr>
            <w:r w:rsidRPr="0017614D">
              <w:rPr>
                <w:rFonts w:ascii="Times New Roman" w:eastAsia="Times New Roman" w:hAnsi="Times New Roman" w:cs="Times New Roman"/>
                <w:b/>
                <w:bCs/>
                <w:color w:val="000000"/>
                <w:lang w:val="lt-LT"/>
              </w:rPr>
              <w:t>Grynasis nuosavo kapitalo pelningumas (ROE)</w:t>
            </w:r>
          </w:p>
        </w:tc>
      </w:tr>
      <w:tr w:rsidR="003228C9" w:rsidRPr="0017614D" w:rsidTr="00A4340C">
        <w:trPr>
          <w:trHeight w:val="300"/>
          <w:jc w:val="center"/>
        </w:trPr>
        <w:tc>
          <w:tcPr>
            <w:tcW w:w="2160" w:type="dxa"/>
            <w:vMerge/>
            <w:tcBorders>
              <w:top w:val="single" w:sz="4" w:space="0" w:color="auto"/>
              <w:left w:val="single" w:sz="4" w:space="0" w:color="auto"/>
              <w:bottom w:val="single" w:sz="4" w:space="0" w:color="000000"/>
              <w:right w:val="single" w:sz="4" w:space="0" w:color="auto"/>
            </w:tcBorders>
            <w:vAlign w:val="center"/>
            <w:hideMark/>
          </w:tcPr>
          <w:p w:rsidR="003228C9" w:rsidRPr="0017614D" w:rsidRDefault="003228C9" w:rsidP="00A4340C">
            <w:pPr>
              <w:spacing w:after="0" w:line="240" w:lineRule="auto"/>
              <w:rPr>
                <w:rFonts w:ascii="Times New Roman" w:eastAsia="Times New Roman" w:hAnsi="Times New Roman" w:cs="Times New Roman"/>
                <w:b/>
                <w:bCs/>
                <w:color w:val="000000"/>
                <w:lang w:val="lt-LT"/>
              </w:rPr>
            </w:pPr>
          </w:p>
        </w:tc>
        <w:tc>
          <w:tcPr>
            <w:tcW w:w="1341" w:type="dxa"/>
            <w:tcBorders>
              <w:top w:val="nil"/>
              <w:left w:val="nil"/>
              <w:bottom w:val="single" w:sz="4" w:space="0" w:color="auto"/>
              <w:right w:val="single" w:sz="4" w:space="0" w:color="auto"/>
            </w:tcBorders>
            <w:shd w:val="clear" w:color="000000" w:fill="FDE9D9"/>
            <w:noWrap/>
            <w:vAlign w:val="center"/>
            <w:hideMark/>
          </w:tcPr>
          <w:p w:rsidR="003228C9" w:rsidRPr="0017614D" w:rsidRDefault="003228C9" w:rsidP="00A4340C">
            <w:pPr>
              <w:spacing w:after="0" w:line="240" w:lineRule="auto"/>
              <w:jc w:val="center"/>
              <w:rPr>
                <w:rFonts w:ascii="Times New Roman" w:eastAsia="Times New Roman" w:hAnsi="Times New Roman" w:cs="Times New Roman"/>
                <w:b/>
                <w:bCs/>
                <w:i/>
                <w:iCs/>
                <w:color w:val="000000"/>
                <w:lang w:val="lt-LT"/>
              </w:rPr>
            </w:pPr>
            <w:r w:rsidRPr="0017614D">
              <w:rPr>
                <w:rFonts w:ascii="Times New Roman" w:eastAsia="Times New Roman" w:hAnsi="Times New Roman" w:cs="Times New Roman"/>
                <w:b/>
                <w:bCs/>
                <w:i/>
                <w:iCs/>
                <w:color w:val="000000"/>
                <w:lang w:val="lt-LT"/>
              </w:rPr>
              <w:t>2008</w:t>
            </w:r>
          </w:p>
        </w:tc>
        <w:tc>
          <w:tcPr>
            <w:tcW w:w="1530" w:type="dxa"/>
            <w:tcBorders>
              <w:top w:val="nil"/>
              <w:left w:val="nil"/>
              <w:bottom w:val="single" w:sz="4" w:space="0" w:color="auto"/>
              <w:right w:val="single" w:sz="4" w:space="0" w:color="auto"/>
            </w:tcBorders>
            <w:shd w:val="clear" w:color="000000" w:fill="FDE9D9"/>
            <w:noWrap/>
            <w:vAlign w:val="center"/>
            <w:hideMark/>
          </w:tcPr>
          <w:p w:rsidR="003228C9" w:rsidRPr="0017614D" w:rsidRDefault="003228C9" w:rsidP="00A4340C">
            <w:pPr>
              <w:spacing w:after="0" w:line="240" w:lineRule="auto"/>
              <w:jc w:val="center"/>
              <w:rPr>
                <w:rFonts w:ascii="Times New Roman" w:eastAsia="Times New Roman" w:hAnsi="Times New Roman" w:cs="Times New Roman"/>
                <w:b/>
                <w:bCs/>
                <w:i/>
                <w:iCs/>
                <w:color w:val="000000"/>
                <w:lang w:val="lt-LT"/>
              </w:rPr>
            </w:pPr>
            <w:r w:rsidRPr="0017614D">
              <w:rPr>
                <w:rFonts w:ascii="Times New Roman" w:eastAsia="Times New Roman" w:hAnsi="Times New Roman" w:cs="Times New Roman"/>
                <w:b/>
                <w:bCs/>
                <w:i/>
                <w:iCs/>
                <w:color w:val="000000"/>
                <w:lang w:val="lt-LT"/>
              </w:rPr>
              <w:t>2009</w:t>
            </w:r>
          </w:p>
        </w:tc>
        <w:tc>
          <w:tcPr>
            <w:tcW w:w="1530" w:type="dxa"/>
            <w:tcBorders>
              <w:top w:val="nil"/>
              <w:left w:val="nil"/>
              <w:bottom w:val="single" w:sz="4" w:space="0" w:color="auto"/>
              <w:right w:val="single" w:sz="4" w:space="0" w:color="auto"/>
            </w:tcBorders>
            <w:shd w:val="clear" w:color="000000" w:fill="FDE9D9"/>
            <w:noWrap/>
            <w:vAlign w:val="center"/>
            <w:hideMark/>
          </w:tcPr>
          <w:p w:rsidR="003228C9" w:rsidRPr="0017614D" w:rsidRDefault="003228C9" w:rsidP="00A4340C">
            <w:pPr>
              <w:spacing w:after="0" w:line="240" w:lineRule="auto"/>
              <w:jc w:val="center"/>
              <w:rPr>
                <w:rFonts w:ascii="Times New Roman" w:eastAsia="Times New Roman" w:hAnsi="Times New Roman" w:cs="Times New Roman"/>
                <w:b/>
                <w:bCs/>
                <w:i/>
                <w:iCs/>
                <w:color w:val="000000"/>
                <w:lang w:val="lt-LT"/>
              </w:rPr>
            </w:pPr>
            <w:r w:rsidRPr="0017614D">
              <w:rPr>
                <w:rFonts w:ascii="Times New Roman" w:eastAsia="Times New Roman" w:hAnsi="Times New Roman" w:cs="Times New Roman"/>
                <w:b/>
                <w:bCs/>
                <w:i/>
                <w:iCs/>
                <w:color w:val="000000"/>
                <w:lang w:val="lt-LT"/>
              </w:rPr>
              <w:t>2010</w:t>
            </w:r>
          </w:p>
        </w:tc>
      </w:tr>
      <w:tr w:rsidR="003228C9" w:rsidRPr="0017614D" w:rsidTr="00A4340C">
        <w:trPr>
          <w:trHeight w:val="300"/>
          <w:jc w:val="center"/>
        </w:trPr>
        <w:tc>
          <w:tcPr>
            <w:tcW w:w="2160" w:type="dxa"/>
            <w:tcBorders>
              <w:top w:val="nil"/>
              <w:left w:val="single" w:sz="4" w:space="0" w:color="auto"/>
              <w:bottom w:val="single" w:sz="4" w:space="0" w:color="auto"/>
              <w:right w:val="single" w:sz="4" w:space="0" w:color="auto"/>
            </w:tcBorders>
            <w:shd w:val="clear" w:color="000000" w:fill="FDE9D9"/>
            <w:noWrap/>
            <w:vAlign w:val="center"/>
            <w:hideMark/>
          </w:tcPr>
          <w:p w:rsidR="003228C9" w:rsidRPr="0017614D" w:rsidRDefault="003228C9" w:rsidP="00A4340C">
            <w:pPr>
              <w:spacing w:after="0" w:line="240" w:lineRule="auto"/>
              <w:rPr>
                <w:rFonts w:ascii="Times New Roman" w:eastAsia="Times New Roman" w:hAnsi="Times New Roman" w:cs="Times New Roman"/>
                <w:i/>
                <w:iCs/>
                <w:color w:val="000000"/>
                <w:lang w:val="lt-LT"/>
              </w:rPr>
            </w:pPr>
            <w:r w:rsidRPr="0017614D">
              <w:rPr>
                <w:rFonts w:ascii="Times New Roman" w:eastAsia="Times New Roman" w:hAnsi="Times New Roman" w:cs="Times New Roman"/>
                <w:i/>
                <w:iCs/>
                <w:color w:val="000000"/>
                <w:lang w:val="lt-LT"/>
              </w:rPr>
              <w:t>*UAB "Achemarida"</w:t>
            </w:r>
          </w:p>
        </w:tc>
        <w:tc>
          <w:tcPr>
            <w:tcW w:w="1341" w:type="dxa"/>
            <w:tcBorders>
              <w:top w:val="nil"/>
              <w:left w:val="nil"/>
              <w:bottom w:val="single" w:sz="4" w:space="0" w:color="auto"/>
              <w:right w:val="single" w:sz="4" w:space="0" w:color="auto"/>
            </w:tcBorders>
            <w:shd w:val="clear" w:color="auto" w:fill="E36C0A" w:themeFill="accent6" w:themeFillShade="BF"/>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0.005</w:t>
            </w:r>
          </w:p>
        </w:tc>
        <w:tc>
          <w:tcPr>
            <w:tcW w:w="1530" w:type="dxa"/>
            <w:tcBorders>
              <w:top w:val="nil"/>
              <w:left w:val="nil"/>
              <w:bottom w:val="single" w:sz="4" w:space="0" w:color="auto"/>
              <w:right w:val="single" w:sz="4" w:space="0" w:color="auto"/>
            </w:tcBorders>
            <w:shd w:val="clear" w:color="auto" w:fill="E36C0A" w:themeFill="accent6" w:themeFillShade="BF"/>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-0.075</w:t>
            </w:r>
          </w:p>
        </w:tc>
        <w:tc>
          <w:tcPr>
            <w:tcW w:w="1530" w:type="dxa"/>
            <w:tcBorders>
              <w:top w:val="nil"/>
              <w:left w:val="nil"/>
              <w:bottom w:val="single" w:sz="4" w:space="0" w:color="auto"/>
              <w:right w:val="single" w:sz="4" w:space="0" w:color="auto"/>
            </w:tcBorders>
            <w:shd w:val="clear" w:color="auto" w:fill="E36C0A" w:themeFill="accent6" w:themeFillShade="BF"/>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-0.454</w:t>
            </w:r>
          </w:p>
        </w:tc>
      </w:tr>
      <w:tr w:rsidR="003228C9" w:rsidRPr="0017614D" w:rsidTr="00A4340C">
        <w:trPr>
          <w:trHeight w:val="300"/>
          <w:jc w:val="center"/>
        </w:trPr>
        <w:tc>
          <w:tcPr>
            <w:tcW w:w="2160" w:type="dxa"/>
            <w:tcBorders>
              <w:top w:val="nil"/>
              <w:left w:val="single" w:sz="4" w:space="0" w:color="auto"/>
              <w:bottom w:val="single" w:sz="4" w:space="0" w:color="auto"/>
              <w:right w:val="single" w:sz="4" w:space="0" w:color="auto"/>
            </w:tcBorders>
            <w:shd w:val="clear" w:color="000000" w:fill="FDE9D9"/>
            <w:noWrap/>
            <w:vAlign w:val="center"/>
            <w:hideMark/>
          </w:tcPr>
          <w:p w:rsidR="003228C9" w:rsidRPr="0017614D" w:rsidRDefault="003228C9" w:rsidP="00A4340C">
            <w:pPr>
              <w:spacing w:after="0" w:line="240" w:lineRule="auto"/>
              <w:rPr>
                <w:rFonts w:ascii="Times New Roman" w:eastAsia="Times New Roman" w:hAnsi="Times New Roman" w:cs="Times New Roman"/>
                <w:i/>
                <w:iCs/>
                <w:color w:val="000000"/>
                <w:lang w:val="lt-LT"/>
              </w:rPr>
            </w:pPr>
            <w:r w:rsidRPr="0017614D">
              <w:rPr>
                <w:rFonts w:ascii="Times New Roman" w:eastAsia="Times New Roman" w:hAnsi="Times New Roman" w:cs="Times New Roman"/>
                <w:i/>
                <w:iCs/>
                <w:color w:val="000000"/>
                <w:lang w:val="lt-LT"/>
              </w:rPr>
              <w:t>*UAB "Romas ir ko"</w:t>
            </w:r>
          </w:p>
        </w:tc>
        <w:tc>
          <w:tcPr>
            <w:tcW w:w="1341" w:type="dxa"/>
            <w:tcBorders>
              <w:top w:val="nil"/>
              <w:left w:val="nil"/>
              <w:bottom w:val="single" w:sz="4" w:space="0" w:color="auto"/>
              <w:right w:val="single" w:sz="4" w:space="0" w:color="auto"/>
            </w:tcBorders>
            <w:shd w:val="clear" w:color="auto" w:fill="E36C0A" w:themeFill="accent6" w:themeFillShade="BF"/>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0.192</w:t>
            </w:r>
          </w:p>
        </w:tc>
        <w:tc>
          <w:tcPr>
            <w:tcW w:w="1530" w:type="dxa"/>
            <w:tcBorders>
              <w:top w:val="nil"/>
              <w:left w:val="nil"/>
              <w:bottom w:val="single" w:sz="4" w:space="0" w:color="auto"/>
              <w:right w:val="single" w:sz="4" w:space="0" w:color="auto"/>
            </w:tcBorders>
            <w:shd w:val="clear" w:color="auto" w:fill="E36C0A" w:themeFill="accent6" w:themeFillShade="BF"/>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-0.029</w:t>
            </w:r>
          </w:p>
        </w:tc>
        <w:tc>
          <w:tcPr>
            <w:tcW w:w="1530" w:type="dxa"/>
            <w:tcBorders>
              <w:top w:val="nil"/>
              <w:left w:val="nil"/>
              <w:bottom w:val="single" w:sz="4" w:space="0" w:color="auto"/>
              <w:right w:val="single" w:sz="4" w:space="0" w:color="auto"/>
            </w:tcBorders>
            <w:shd w:val="clear" w:color="auto" w:fill="E36C0A" w:themeFill="accent6" w:themeFillShade="BF"/>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-0.582</w:t>
            </w:r>
          </w:p>
        </w:tc>
      </w:tr>
      <w:tr w:rsidR="003228C9" w:rsidRPr="0017614D" w:rsidTr="00A4340C">
        <w:trPr>
          <w:trHeight w:val="300"/>
          <w:jc w:val="center"/>
        </w:trPr>
        <w:tc>
          <w:tcPr>
            <w:tcW w:w="2160" w:type="dxa"/>
            <w:tcBorders>
              <w:top w:val="nil"/>
              <w:left w:val="single" w:sz="4" w:space="0" w:color="auto"/>
              <w:bottom w:val="single" w:sz="4" w:space="0" w:color="auto"/>
              <w:right w:val="single" w:sz="4" w:space="0" w:color="auto"/>
            </w:tcBorders>
            <w:shd w:val="clear" w:color="000000" w:fill="FDE9D9"/>
            <w:noWrap/>
            <w:vAlign w:val="center"/>
            <w:hideMark/>
          </w:tcPr>
          <w:p w:rsidR="003228C9" w:rsidRPr="0017614D" w:rsidRDefault="003228C9" w:rsidP="00A4340C">
            <w:pPr>
              <w:spacing w:after="0" w:line="240" w:lineRule="auto"/>
              <w:rPr>
                <w:rFonts w:ascii="Times New Roman" w:eastAsia="Times New Roman" w:hAnsi="Times New Roman" w:cs="Times New Roman"/>
                <w:i/>
                <w:iCs/>
                <w:color w:val="000000"/>
                <w:lang w:val="lt-LT"/>
              </w:rPr>
            </w:pPr>
            <w:r w:rsidRPr="0017614D">
              <w:rPr>
                <w:rFonts w:ascii="Times New Roman" w:eastAsia="Times New Roman" w:hAnsi="Times New Roman" w:cs="Times New Roman"/>
                <w:i/>
                <w:iCs/>
                <w:color w:val="000000"/>
                <w:lang w:val="lt-LT"/>
              </w:rPr>
              <w:t>UAB "Girteka"</w:t>
            </w:r>
          </w:p>
        </w:tc>
        <w:tc>
          <w:tcPr>
            <w:tcW w:w="1341" w:type="dxa"/>
            <w:tcBorders>
              <w:top w:val="nil"/>
              <w:left w:val="nil"/>
              <w:bottom w:val="single" w:sz="4" w:space="0" w:color="auto"/>
              <w:right w:val="single" w:sz="4" w:space="0" w:color="auto"/>
            </w:tcBorders>
            <w:shd w:val="clear" w:color="auto" w:fill="E36C0A" w:themeFill="accent6" w:themeFillShade="BF"/>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0.186</w:t>
            </w:r>
          </w:p>
        </w:tc>
        <w:tc>
          <w:tcPr>
            <w:tcW w:w="1530" w:type="dxa"/>
            <w:tcBorders>
              <w:top w:val="nil"/>
              <w:left w:val="nil"/>
              <w:bottom w:val="single" w:sz="4" w:space="0" w:color="auto"/>
              <w:right w:val="single" w:sz="4" w:space="0" w:color="auto"/>
            </w:tcBorders>
            <w:shd w:val="clear" w:color="auto" w:fill="E36C0A" w:themeFill="accent6" w:themeFillShade="BF"/>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0.107</w:t>
            </w:r>
          </w:p>
        </w:tc>
        <w:tc>
          <w:tcPr>
            <w:tcW w:w="1530" w:type="dxa"/>
            <w:tcBorders>
              <w:top w:val="nil"/>
              <w:left w:val="nil"/>
              <w:bottom w:val="single" w:sz="4" w:space="0" w:color="auto"/>
              <w:right w:val="single" w:sz="4" w:space="0" w:color="auto"/>
            </w:tcBorders>
            <w:shd w:val="clear" w:color="auto" w:fill="E36C0A" w:themeFill="accent6" w:themeFillShade="BF"/>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0.241</w:t>
            </w:r>
          </w:p>
        </w:tc>
      </w:tr>
      <w:tr w:rsidR="003228C9" w:rsidRPr="0017614D" w:rsidTr="00A4340C">
        <w:trPr>
          <w:trHeight w:val="300"/>
          <w:jc w:val="center"/>
        </w:trPr>
        <w:tc>
          <w:tcPr>
            <w:tcW w:w="2160" w:type="dxa"/>
            <w:tcBorders>
              <w:top w:val="nil"/>
              <w:left w:val="single" w:sz="4" w:space="0" w:color="auto"/>
              <w:bottom w:val="single" w:sz="4" w:space="0" w:color="auto"/>
              <w:right w:val="single" w:sz="4" w:space="0" w:color="auto"/>
            </w:tcBorders>
            <w:shd w:val="clear" w:color="000000" w:fill="FDE9D9"/>
            <w:noWrap/>
            <w:vAlign w:val="center"/>
            <w:hideMark/>
          </w:tcPr>
          <w:p w:rsidR="003228C9" w:rsidRPr="0017614D" w:rsidRDefault="003228C9" w:rsidP="00A4340C">
            <w:pPr>
              <w:spacing w:after="0" w:line="240" w:lineRule="auto"/>
              <w:rPr>
                <w:rFonts w:ascii="Times New Roman" w:eastAsia="Times New Roman" w:hAnsi="Times New Roman" w:cs="Times New Roman"/>
                <w:i/>
                <w:iCs/>
                <w:color w:val="000000"/>
                <w:lang w:val="lt-LT"/>
              </w:rPr>
            </w:pPr>
            <w:r w:rsidRPr="0017614D">
              <w:rPr>
                <w:rFonts w:ascii="Times New Roman" w:eastAsia="Times New Roman" w:hAnsi="Times New Roman" w:cs="Times New Roman"/>
                <w:i/>
                <w:iCs/>
                <w:color w:val="000000"/>
                <w:lang w:val="lt-LT"/>
              </w:rPr>
              <w:t>UAB "Autoverslas"</w:t>
            </w:r>
          </w:p>
        </w:tc>
        <w:tc>
          <w:tcPr>
            <w:tcW w:w="1341" w:type="dxa"/>
            <w:tcBorders>
              <w:top w:val="nil"/>
              <w:left w:val="nil"/>
              <w:bottom w:val="single" w:sz="4" w:space="0" w:color="auto"/>
              <w:right w:val="single" w:sz="4" w:space="0" w:color="auto"/>
            </w:tcBorders>
            <w:shd w:val="clear" w:color="auto" w:fill="E36C0A" w:themeFill="accent6" w:themeFillShade="BF"/>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0.011</w:t>
            </w:r>
          </w:p>
        </w:tc>
        <w:tc>
          <w:tcPr>
            <w:tcW w:w="1530" w:type="dxa"/>
            <w:tcBorders>
              <w:top w:val="nil"/>
              <w:left w:val="nil"/>
              <w:bottom w:val="single" w:sz="4" w:space="0" w:color="auto"/>
              <w:right w:val="single" w:sz="4" w:space="0" w:color="auto"/>
            </w:tcBorders>
            <w:shd w:val="clear" w:color="auto" w:fill="E36C0A" w:themeFill="accent6" w:themeFillShade="BF"/>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0.068</w:t>
            </w:r>
          </w:p>
        </w:tc>
        <w:tc>
          <w:tcPr>
            <w:tcW w:w="1530" w:type="dxa"/>
            <w:tcBorders>
              <w:top w:val="nil"/>
              <w:left w:val="nil"/>
              <w:bottom w:val="single" w:sz="4" w:space="0" w:color="auto"/>
              <w:right w:val="single" w:sz="4" w:space="0" w:color="auto"/>
            </w:tcBorders>
            <w:shd w:val="clear" w:color="auto" w:fill="E36C0A" w:themeFill="accent6" w:themeFillShade="BF"/>
            <w:noWrap/>
            <w:vAlign w:val="center"/>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0.108</w:t>
            </w:r>
          </w:p>
        </w:tc>
      </w:tr>
    </w:tbl>
    <w:p w:rsidR="003228C9" w:rsidRPr="0017614D" w:rsidRDefault="003228C9" w:rsidP="003228C9">
      <w:pPr>
        <w:spacing w:after="0" w:line="360" w:lineRule="auto"/>
        <w:ind w:firstLine="720"/>
        <w:contextualSpacing/>
        <w:jc w:val="both"/>
        <w:rPr>
          <w:rFonts w:ascii="Times New Roman" w:hAnsi="Times New Roman" w:cs="Times New Roman"/>
          <w:sz w:val="24"/>
          <w:szCs w:val="24"/>
          <w:lang w:val="lt-LT"/>
        </w:rPr>
      </w:pPr>
    </w:p>
    <w:p w:rsidR="004E7005" w:rsidRDefault="004E7005" w:rsidP="004E7005">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UAB „Achemarida“ ir UAB „Romas ir ko“ ROE kaip ir kiti pelningumo rodikliai 2008 m. buvo labai nedidelis ir siekė atitinkamai 0,005 ir 0,192, tuo tarpu kitais nagrinėjamais metais šis rodiklis </w:t>
      </w:r>
      <w:r w:rsidRPr="0017614D">
        <w:rPr>
          <w:rFonts w:ascii="Times New Roman" w:hAnsi="Times New Roman" w:cs="Times New Roman"/>
          <w:sz w:val="24"/>
          <w:szCs w:val="24"/>
          <w:lang w:val="lt-LT"/>
        </w:rPr>
        <w:lastRenderedPageBreak/>
        <w:t>sumažėjo ir buvo neigiamas (žr. 16 lent.). Kitų įmonių grynasis nuosavo kapitalo pelningumas svyravo lygiai taip pat kaip ir kiti pelningumo rodikliai bei buvo žymiai mažesni už Lietuvos transportavimo įmonių vidurkį.</w:t>
      </w:r>
    </w:p>
    <w:p w:rsidR="003228C9" w:rsidRPr="0017614D" w:rsidRDefault="003228C9" w:rsidP="003228C9">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Be to buvo paskaičiuotas ir pardavimų savikainos lygis, kuris padeda spręsti apie įmonės  veiklos  efektyvumą  ir  sugebėjimą  kontroliuoti  išlaidas. Šis rodiklis nurodo kokios įmonės pagrindines išlaidas tenka vienam pardavimo pajamų litui. Šis rodiklis yra vertinamas blogai, kai jis viršija vienetą. Lietuvos Statistikos departamentas nepateikia Lietuvos įmonių pardavimų savikainos lygio, todėl šio rodiklio negalime palyginti su 2008-2010 m. Lietuvoje vyravusia situacija. </w:t>
      </w:r>
    </w:p>
    <w:p w:rsidR="003228C9" w:rsidRPr="0017614D" w:rsidRDefault="003228C9" w:rsidP="003228C9">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Kaip matome UAB „Achemarida šis rodiklis 2008 ir 2009 m. buvo patenkinamas, tačiau 2010 m. jis viršijo vienetą, kas reiškia, kad įmonės sąnaudos patirtos teikiant paslaugą viršijo gautas už šį darbą pajamas</w:t>
      </w:r>
      <w:r w:rsidR="00C72F00" w:rsidRPr="0017614D">
        <w:rPr>
          <w:rFonts w:ascii="Times New Roman" w:hAnsi="Times New Roman" w:cs="Times New Roman"/>
          <w:sz w:val="24"/>
          <w:szCs w:val="24"/>
          <w:lang w:val="lt-LT"/>
        </w:rPr>
        <w:t xml:space="preserve"> (žr. 17</w:t>
      </w:r>
      <w:r w:rsidR="00820234" w:rsidRPr="0017614D">
        <w:rPr>
          <w:rFonts w:ascii="Times New Roman" w:hAnsi="Times New Roman" w:cs="Times New Roman"/>
          <w:sz w:val="24"/>
          <w:szCs w:val="24"/>
          <w:lang w:val="lt-LT"/>
        </w:rPr>
        <w:t xml:space="preserve"> lent.</w:t>
      </w:r>
      <w:r w:rsidRPr="0017614D">
        <w:rPr>
          <w:rFonts w:ascii="Times New Roman" w:hAnsi="Times New Roman" w:cs="Times New Roman"/>
          <w:sz w:val="24"/>
          <w:szCs w:val="24"/>
          <w:lang w:val="lt-LT"/>
        </w:rPr>
        <w:t>). Tai parodo, kad įmonė dirbo neefektyviai. Visų kitų įmonių pardavimo savikainos lygis nesiekia 1,</w:t>
      </w:r>
      <w:r w:rsidR="004E7005">
        <w:rPr>
          <w:rFonts w:ascii="Times New Roman" w:hAnsi="Times New Roman" w:cs="Times New Roman"/>
          <w:sz w:val="24"/>
          <w:szCs w:val="24"/>
          <w:lang w:val="lt-LT"/>
        </w:rPr>
        <w:t xml:space="preserve"> </w:t>
      </w:r>
      <w:r w:rsidRPr="0017614D">
        <w:rPr>
          <w:rFonts w:ascii="Times New Roman" w:hAnsi="Times New Roman" w:cs="Times New Roman"/>
          <w:sz w:val="24"/>
          <w:szCs w:val="24"/>
          <w:lang w:val="lt-LT"/>
        </w:rPr>
        <w:t>bet vistiek yra pakankamai aukštas, o tarkim bankrutavusios įmonės UAB „Romas ir ko“ yra palyginus neblogas.</w:t>
      </w:r>
    </w:p>
    <w:p w:rsidR="003228C9" w:rsidRPr="0017614D" w:rsidRDefault="003228C9" w:rsidP="003228C9">
      <w:pPr>
        <w:spacing w:after="0" w:line="360" w:lineRule="auto"/>
        <w:ind w:firstLine="720"/>
        <w:contextualSpacing/>
        <w:jc w:val="both"/>
        <w:rPr>
          <w:rFonts w:ascii="Times New Roman" w:hAnsi="Times New Roman" w:cs="Times New Roman"/>
          <w:sz w:val="24"/>
          <w:szCs w:val="24"/>
          <w:lang w:val="lt-LT"/>
        </w:rPr>
      </w:pPr>
    </w:p>
    <w:p w:rsidR="003228C9" w:rsidRPr="0017614D" w:rsidRDefault="00C72F00" w:rsidP="003228C9">
      <w:pPr>
        <w:spacing w:after="0"/>
        <w:contextualSpacing/>
        <w:jc w:val="center"/>
        <w:rPr>
          <w:rFonts w:ascii="Times New Roman" w:hAnsi="Times New Roman" w:cs="Times New Roman"/>
          <w:lang w:val="lt-LT"/>
        </w:rPr>
      </w:pPr>
      <w:r w:rsidRPr="0017614D">
        <w:rPr>
          <w:rFonts w:ascii="Times New Roman" w:hAnsi="Times New Roman" w:cs="Times New Roman"/>
          <w:lang w:val="lt-LT"/>
        </w:rPr>
        <w:t>17</w:t>
      </w:r>
      <w:r w:rsidR="003228C9" w:rsidRPr="0017614D">
        <w:rPr>
          <w:rFonts w:ascii="Times New Roman" w:hAnsi="Times New Roman" w:cs="Times New Roman"/>
          <w:lang w:val="lt-LT"/>
        </w:rPr>
        <w:t xml:space="preserve"> lentelė.</w:t>
      </w:r>
      <w:r w:rsidR="003228C9" w:rsidRPr="0017614D">
        <w:rPr>
          <w:rFonts w:ascii="Times New Roman" w:hAnsi="Times New Roman" w:cs="Times New Roman"/>
          <w:b/>
          <w:lang w:val="lt-LT"/>
        </w:rPr>
        <w:t xml:space="preserve"> UAB „Achemarida“, UAB „Romas ir ko“, UAB „Girteka“ ir UAB „Autoverslas“ 2008-2010 m. pardavimo savikainos lygio koeficientai</w:t>
      </w:r>
    </w:p>
    <w:tbl>
      <w:tblPr>
        <w:tblW w:w="6561" w:type="dxa"/>
        <w:jc w:val="center"/>
        <w:tblInd w:w="89" w:type="dxa"/>
        <w:tblLook w:val="04A0"/>
      </w:tblPr>
      <w:tblGrid>
        <w:gridCol w:w="2160"/>
        <w:gridCol w:w="1467"/>
        <w:gridCol w:w="1467"/>
        <w:gridCol w:w="1467"/>
      </w:tblGrid>
      <w:tr w:rsidR="003228C9" w:rsidRPr="0017614D" w:rsidTr="00A4340C">
        <w:trPr>
          <w:trHeight w:val="300"/>
          <w:jc w:val="center"/>
        </w:trPr>
        <w:tc>
          <w:tcPr>
            <w:tcW w:w="2160" w:type="dxa"/>
            <w:vMerge w:val="restart"/>
            <w:tcBorders>
              <w:top w:val="single" w:sz="4" w:space="0" w:color="auto"/>
              <w:left w:val="single" w:sz="4" w:space="0" w:color="auto"/>
              <w:bottom w:val="single" w:sz="4" w:space="0" w:color="000000"/>
              <w:right w:val="single" w:sz="4" w:space="0" w:color="auto"/>
            </w:tcBorders>
            <w:shd w:val="clear" w:color="000000" w:fill="FCD5B4"/>
            <w:noWrap/>
            <w:vAlign w:val="center"/>
            <w:hideMark/>
          </w:tcPr>
          <w:p w:rsidR="003228C9" w:rsidRPr="0017614D" w:rsidRDefault="003228C9" w:rsidP="00A4340C">
            <w:pPr>
              <w:spacing w:after="0" w:line="240" w:lineRule="auto"/>
              <w:jc w:val="center"/>
              <w:rPr>
                <w:rFonts w:ascii="Times New Roman" w:eastAsia="Times New Roman" w:hAnsi="Times New Roman" w:cs="Times New Roman"/>
                <w:b/>
                <w:bCs/>
                <w:color w:val="000000"/>
                <w:lang w:val="lt-LT"/>
              </w:rPr>
            </w:pPr>
            <w:r w:rsidRPr="0017614D">
              <w:rPr>
                <w:rFonts w:ascii="Times New Roman" w:eastAsia="Times New Roman" w:hAnsi="Times New Roman" w:cs="Times New Roman"/>
                <w:b/>
                <w:bCs/>
                <w:color w:val="000000"/>
                <w:lang w:val="lt-LT"/>
              </w:rPr>
              <w:t>Įmonė</w:t>
            </w:r>
          </w:p>
        </w:tc>
        <w:tc>
          <w:tcPr>
            <w:tcW w:w="4401" w:type="dxa"/>
            <w:gridSpan w:val="3"/>
            <w:tcBorders>
              <w:top w:val="single" w:sz="4" w:space="0" w:color="auto"/>
              <w:left w:val="nil"/>
              <w:bottom w:val="single" w:sz="4" w:space="0" w:color="auto"/>
              <w:right w:val="single" w:sz="4" w:space="0" w:color="auto"/>
            </w:tcBorders>
            <w:shd w:val="clear" w:color="000000" w:fill="FCD5B4"/>
            <w:noWrap/>
            <w:vAlign w:val="center"/>
            <w:hideMark/>
          </w:tcPr>
          <w:p w:rsidR="003228C9" w:rsidRPr="0017614D" w:rsidRDefault="003228C9" w:rsidP="00A4340C">
            <w:pPr>
              <w:spacing w:after="0" w:line="240" w:lineRule="auto"/>
              <w:jc w:val="center"/>
              <w:rPr>
                <w:rFonts w:ascii="Times New Roman" w:eastAsia="Times New Roman" w:hAnsi="Times New Roman" w:cs="Times New Roman"/>
                <w:b/>
                <w:bCs/>
                <w:color w:val="000000"/>
                <w:lang w:val="lt-LT"/>
              </w:rPr>
            </w:pPr>
            <w:r w:rsidRPr="0017614D">
              <w:rPr>
                <w:rFonts w:ascii="Times New Roman" w:eastAsia="Times New Roman" w:hAnsi="Times New Roman" w:cs="Times New Roman"/>
                <w:b/>
                <w:bCs/>
                <w:color w:val="000000"/>
                <w:lang w:val="lt-LT"/>
              </w:rPr>
              <w:t>Pardavimo savikainos lygis</w:t>
            </w:r>
          </w:p>
        </w:tc>
      </w:tr>
      <w:tr w:rsidR="003228C9" w:rsidRPr="0017614D" w:rsidTr="00A4340C">
        <w:trPr>
          <w:trHeight w:val="300"/>
          <w:jc w:val="center"/>
        </w:trPr>
        <w:tc>
          <w:tcPr>
            <w:tcW w:w="2160" w:type="dxa"/>
            <w:vMerge/>
            <w:tcBorders>
              <w:top w:val="single" w:sz="4" w:space="0" w:color="auto"/>
              <w:left w:val="single" w:sz="4" w:space="0" w:color="auto"/>
              <w:bottom w:val="single" w:sz="4" w:space="0" w:color="000000"/>
              <w:right w:val="single" w:sz="4" w:space="0" w:color="auto"/>
            </w:tcBorders>
            <w:vAlign w:val="center"/>
            <w:hideMark/>
          </w:tcPr>
          <w:p w:rsidR="003228C9" w:rsidRPr="0017614D" w:rsidRDefault="003228C9" w:rsidP="00A4340C">
            <w:pPr>
              <w:spacing w:after="0" w:line="240" w:lineRule="auto"/>
              <w:rPr>
                <w:rFonts w:ascii="Times New Roman" w:eastAsia="Times New Roman" w:hAnsi="Times New Roman" w:cs="Times New Roman"/>
                <w:b/>
                <w:bCs/>
                <w:color w:val="000000"/>
                <w:lang w:val="lt-LT"/>
              </w:rPr>
            </w:pPr>
          </w:p>
        </w:tc>
        <w:tc>
          <w:tcPr>
            <w:tcW w:w="1467" w:type="dxa"/>
            <w:tcBorders>
              <w:top w:val="nil"/>
              <w:left w:val="nil"/>
              <w:bottom w:val="single" w:sz="4" w:space="0" w:color="auto"/>
              <w:right w:val="single" w:sz="4" w:space="0" w:color="auto"/>
            </w:tcBorders>
            <w:shd w:val="clear" w:color="000000" w:fill="FDE9D9"/>
            <w:noWrap/>
            <w:vAlign w:val="center"/>
            <w:hideMark/>
          </w:tcPr>
          <w:p w:rsidR="003228C9" w:rsidRPr="0017614D" w:rsidRDefault="003228C9" w:rsidP="00A4340C">
            <w:pPr>
              <w:spacing w:after="0" w:line="240" w:lineRule="auto"/>
              <w:jc w:val="center"/>
              <w:rPr>
                <w:rFonts w:ascii="Times New Roman" w:eastAsia="Times New Roman" w:hAnsi="Times New Roman" w:cs="Times New Roman"/>
                <w:b/>
                <w:bCs/>
                <w:i/>
                <w:iCs/>
                <w:color w:val="000000"/>
                <w:lang w:val="lt-LT"/>
              </w:rPr>
            </w:pPr>
            <w:r w:rsidRPr="0017614D">
              <w:rPr>
                <w:rFonts w:ascii="Times New Roman" w:eastAsia="Times New Roman" w:hAnsi="Times New Roman" w:cs="Times New Roman"/>
                <w:b/>
                <w:bCs/>
                <w:i/>
                <w:iCs/>
                <w:color w:val="000000"/>
                <w:lang w:val="lt-LT"/>
              </w:rPr>
              <w:t>2008</w:t>
            </w:r>
          </w:p>
        </w:tc>
        <w:tc>
          <w:tcPr>
            <w:tcW w:w="1467" w:type="dxa"/>
            <w:tcBorders>
              <w:top w:val="nil"/>
              <w:left w:val="nil"/>
              <w:bottom w:val="single" w:sz="4" w:space="0" w:color="auto"/>
              <w:right w:val="single" w:sz="4" w:space="0" w:color="auto"/>
            </w:tcBorders>
            <w:shd w:val="clear" w:color="000000" w:fill="FDE9D9"/>
            <w:noWrap/>
            <w:vAlign w:val="center"/>
            <w:hideMark/>
          </w:tcPr>
          <w:p w:rsidR="003228C9" w:rsidRPr="0017614D" w:rsidRDefault="003228C9" w:rsidP="00A4340C">
            <w:pPr>
              <w:spacing w:after="0" w:line="240" w:lineRule="auto"/>
              <w:jc w:val="center"/>
              <w:rPr>
                <w:rFonts w:ascii="Times New Roman" w:eastAsia="Times New Roman" w:hAnsi="Times New Roman" w:cs="Times New Roman"/>
                <w:b/>
                <w:bCs/>
                <w:i/>
                <w:iCs/>
                <w:color w:val="000000"/>
                <w:lang w:val="lt-LT"/>
              </w:rPr>
            </w:pPr>
            <w:r w:rsidRPr="0017614D">
              <w:rPr>
                <w:rFonts w:ascii="Times New Roman" w:eastAsia="Times New Roman" w:hAnsi="Times New Roman" w:cs="Times New Roman"/>
                <w:b/>
                <w:bCs/>
                <w:i/>
                <w:iCs/>
                <w:color w:val="000000"/>
                <w:lang w:val="lt-LT"/>
              </w:rPr>
              <w:t>2009</w:t>
            </w:r>
          </w:p>
        </w:tc>
        <w:tc>
          <w:tcPr>
            <w:tcW w:w="1467" w:type="dxa"/>
            <w:tcBorders>
              <w:top w:val="nil"/>
              <w:left w:val="nil"/>
              <w:bottom w:val="single" w:sz="4" w:space="0" w:color="auto"/>
              <w:right w:val="single" w:sz="4" w:space="0" w:color="auto"/>
            </w:tcBorders>
            <w:shd w:val="clear" w:color="000000" w:fill="FDE9D9"/>
            <w:noWrap/>
            <w:vAlign w:val="center"/>
            <w:hideMark/>
          </w:tcPr>
          <w:p w:rsidR="003228C9" w:rsidRPr="0017614D" w:rsidRDefault="003228C9" w:rsidP="00A4340C">
            <w:pPr>
              <w:spacing w:after="0" w:line="240" w:lineRule="auto"/>
              <w:jc w:val="center"/>
              <w:rPr>
                <w:rFonts w:ascii="Times New Roman" w:eastAsia="Times New Roman" w:hAnsi="Times New Roman" w:cs="Times New Roman"/>
                <w:b/>
                <w:bCs/>
                <w:i/>
                <w:iCs/>
                <w:color w:val="000000"/>
                <w:lang w:val="lt-LT"/>
              </w:rPr>
            </w:pPr>
            <w:r w:rsidRPr="0017614D">
              <w:rPr>
                <w:rFonts w:ascii="Times New Roman" w:eastAsia="Times New Roman" w:hAnsi="Times New Roman" w:cs="Times New Roman"/>
                <w:b/>
                <w:bCs/>
                <w:i/>
                <w:iCs/>
                <w:color w:val="000000"/>
                <w:lang w:val="lt-LT"/>
              </w:rPr>
              <w:t>2010</w:t>
            </w:r>
          </w:p>
        </w:tc>
      </w:tr>
      <w:tr w:rsidR="003228C9" w:rsidRPr="0017614D" w:rsidTr="00A4340C">
        <w:trPr>
          <w:trHeight w:val="300"/>
          <w:jc w:val="center"/>
        </w:trPr>
        <w:tc>
          <w:tcPr>
            <w:tcW w:w="2160" w:type="dxa"/>
            <w:tcBorders>
              <w:top w:val="nil"/>
              <w:left w:val="single" w:sz="4" w:space="0" w:color="auto"/>
              <w:bottom w:val="single" w:sz="4" w:space="0" w:color="auto"/>
              <w:right w:val="single" w:sz="4" w:space="0" w:color="auto"/>
            </w:tcBorders>
            <w:shd w:val="clear" w:color="000000" w:fill="FDE9D9"/>
            <w:noWrap/>
            <w:vAlign w:val="center"/>
            <w:hideMark/>
          </w:tcPr>
          <w:p w:rsidR="003228C9" w:rsidRPr="0017614D" w:rsidRDefault="003228C9" w:rsidP="00A4340C">
            <w:pPr>
              <w:spacing w:after="0" w:line="240" w:lineRule="auto"/>
              <w:rPr>
                <w:rFonts w:ascii="Times New Roman" w:eastAsia="Times New Roman" w:hAnsi="Times New Roman" w:cs="Times New Roman"/>
                <w:i/>
                <w:iCs/>
                <w:color w:val="000000"/>
                <w:lang w:val="lt-LT"/>
              </w:rPr>
            </w:pPr>
            <w:r w:rsidRPr="0017614D">
              <w:rPr>
                <w:rFonts w:ascii="Times New Roman" w:eastAsia="Times New Roman" w:hAnsi="Times New Roman" w:cs="Times New Roman"/>
                <w:i/>
                <w:iCs/>
                <w:color w:val="000000"/>
                <w:lang w:val="lt-LT"/>
              </w:rPr>
              <w:t>*UAB "Achemarida"</w:t>
            </w:r>
          </w:p>
        </w:tc>
        <w:tc>
          <w:tcPr>
            <w:tcW w:w="1467" w:type="dxa"/>
            <w:tcBorders>
              <w:top w:val="nil"/>
              <w:left w:val="nil"/>
              <w:bottom w:val="single" w:sz="4" w:space="0" w:color="auto"/>
              <w:right w:val="single" w:sz="4" w:space="0" w:color="auto"/>
            </w:tcBorders>
            <w:shd w:val="clear" w:color="auto" w:fill="auto"/>
            <w:noWrap/>
            <w:vAlign w:val="bottom"/>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0.890</w:t>
            </w:r>
          </w:p>
        </w:tc>
        <w:tc>
          <w:tcPr>
            <w:tcW w:w="1467" w:type="dxa"/>
            <w:tcBorders>
              <w:top w:val="nil"/>
              <w:left w:val="nil"/>
              <w:bottom w:val="single" w:sz="4" w:space="0" w:color="auto"/>
              <w:right w:val="single" w:sz="4" w:space="0" w:color="auto"/>
            </w:tcBorders>
            <w:shd w:val="clear" w:color="auto" w:fill="auto"/>
            <w:noWrap/>
            <w:vAlign w:val="bottom"/>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0.936</w:t>
            </w:r>
          </w:p>
        </w:tc>
        <w:tc>
          <w:tcPr>
            <w:tcW w:w="1467" w:type="dxa"/>
            <w:tcBorders>
              <w:top w:val="nil"/>
              <w:left w:val="nil"/>
              <w:bottom w:val="single" w:sz="4" w:space="0" w:color="auto"/>
              <w:right w:val="single" w:sz="4" w:space="0" w:color="auto"/>
            </w:tcBorders>
            <w:shd w:val="clear" w:color="auto" w:fill="E36C0A" w:themeFill="accent6" w:themeFillShade="BF"/>
            <w:noWrap/>
            <w:vAlign w:val="bottom"/>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1.038</w:t>
            </w:r>
          </w:p>
        </w:tc>
      </w:tr>
      <w:tr w:rsidR="003228C9" w:rsidRPr="0017614D" w:rsidTr="00A4340C">
        <w:trPr>
          <w:trHeight w:val="300"/>
          <w:jc w:val="center"/>
        </w:trPr>
        <w:tc>
          <w:tcPr>
            <w:tcW w:w="2160" w:type="dxa"/>
            <w:tcBorders>
              <w:top w:val="nil"/>
              <w:left w:val="single" w:sz="4" w:space="0" w:color="auto"/>
              <w:bottom w:val="single" w:sz="4" w:space="0" w:color="auto"/>
              <w:right w:val="single" w:sz="4" w:space="0" w:color="auto"/>
            </w:tcBorders>
            <w:shd w:val="clear" w:color="000000" w:fill="FDE9D9"/>
            <w:noWrap/>
            <w:vAlign w:val="center"/>
            <w:hideMark/>
          </w:tcPr>
          <w:p w:rsidR="003228C9" w:rsidRPr="0017614D" w:rsidRDefault="003228C9" w:rsidP="00A4340C">
            <w:pPr>
              <w:spacing w:after="0" w:line="240" w:lineRule="auto"/>
              <w:rPr>
                <w:rFonts w:ascii="Times New Roman" w:eastAsia="Times New Roman" w:hAnsi="Times New Roman" w:cs="Times New Roman"/>
                <w:i/>
                <w:iCs/>
                <w:color w:val="000000"/>
                <w:lang w:val="lt-LT"/>
              </w:rPr>
            </w:pPr>
            <w:r w:rsidRPr="0017614D">
              <w:rPr>
                <w:rFonts w:ascii="Times New Roman" w:eastAsia="Times New Roman" w:hAnsi="Times New Roman" w:cs="Times New Roman"/>
                <w:i/>
                <w:iCs/>
                <w:color w:val="000000"/>
                <w:lang w:val="lt-LT"/>
              </w:rPr>
              <w:t>*UAB "Romas ir ko"</w:t>
            </w:r>
          </w:p>
        </w:tc>
        <w:tc>
          <w:tcPr>
            <w:tcW w:w="1467" w:type="dxa"/>
            <w:tcBorders>
              <w:top w:val="nil"/>
              <w:left w:val="nil"/>
              <w:bottom w:val="single" w:sz="4" w:space="0" w:color="auto"/>
              <w:right w:val="single" w:sz="4" w:space="0" w:color="auto"/>
            </w:tcBorders>
            <w:shd w:val="clear" w:color="auto" w:fill="auto"/>
            <w:noWrap/>
            <w:vAlign w:val="bottom"/>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0.491</w:t>
            </w:r>
          </w:p>
        </w:tc>
        <w:tc>
          <w:tcPr>
            <w:tcW w:w="1467" w:type="dxa"/>
            <w:tcBorders>
              <w:top w:val="nil"/>
              <w:left w:val="nil"/>
              <w:bottom w:val="single" w:sz="4" w:space="0" w:color="auto"/>
              <w:right w:val="single" w:sz="4" w:space="0" w:color="auto"/>
            </w:tcBorders>
            <w:shd w:val="clear" w:color="auto" w:fill="auto"/>
            <w:noWrap/>
            <w:vAlign w:val="bottom"/>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0.333</w:t>
            </w:r>
          </w:p>
        </w:tc>
        <w:tc>
          <w:tcPr>
            <w:tcW w:w="1467" w:type="dxa"/>
            <w:tcBorders>
              <w:top w:val="nil"/>
              <w:left w:val="nil"/>
              <w:bottom w:val="single" w:sz="4" w:space="0" w:color="auto"/>
              <w:right w:val="single" w:sz="4" w:space="0" w:color="auto"/>
            </w:tcBorders>
            <w:shd w:val="clear" w:color="auto" w:fill="auto"/>
            <w:noWrap/>
            <w:vAlign w:val="bottom"/>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0.635</w:t>
            </w:r>
          </w:p>
        </w:tc>
      </w:tr>
      <w:tr w:rsidR="003228C9" w:rsidRPr="0017614D" w:rsidTr="00A4340C">
        <w:trPr>
          <w:trHeight w:val="300"/>
          <w:jc w:val="center"/>
        </w:trPr>
        <w:tc>
          <w:tcPr>
            <w:tcW w:w="2160" w:type="dxa"/>
            <w:tcBorders>
              <w:top w:val="nil"/>
              <w:left w:val="single" w:sz="4" w:space="0" w:color="auto"/>
              <w:bottom w:val="single" w:sz="4" w:space="0" w:color="auto"/>
              <w:right w:val="single" w:sz="4" w:space="0" w:color="auto"/>
            </w:tcBorders>
            <w:shd w:val="clear" w:color="000000" w:fill="FDE9D9"/>
            <w:noWrap/>
            <w:vAlign w:val="center"/>
            <w:hideMark/>
          </w:tcPr>
          <w:p w:rsidR="003228C9" w:rsidRPr="0017614D" w:rsidRDefault="003228C9" w:rsidP="00A4340C">
            <w:pPr>
              <w:spacing w:after="0" w:line="240" w:lineRule="auto"/>
              <w:rPr>
                <w:rFonts w:ascii="Times New Roman" w:eastAsia="Times New Roman" w:hAnsi="Times New Roman" w:cs="Times New Roman"/>
                <w:i/>
                <w:iCs/>
                <w:color w:val="000000"/>
                <w:lang w:val="lt-LT"/>
              </w:rPr>
            </w:pPr>
            <w:r w:rsidRPr="0017614D">
              <w:rPr>
                <w:rFonts w:ascii="Times New Roman" w:eastAsia="Times New Roman" w:hAnsi="Times New Roman" w:cs="Times New Roman"/>
                <w:i/>
                <w:iCs/>
                <w:color w:val="000000"/>
                <w:lang w:val="lt-LT"/>
              </w:rPr>
              <w:t>UAB "Girteka"</w:t>
            </w:r>
          </w:p>
        </w:tc>
        <w:tc>
          <w:tcPr>
            <w:tcW w:w="1467" w:type="dxa"/>
            <w:tcBorders>
              <w:top w:val="nil"/>
              <w:left w:val="nil"/>
              <w:bottom w:val="single" w:sz="4" w:space="0" w:color="auto"/>
              <w:right w:val="single" w:sz="4" w:space="0" w:color="auto"/>
            </w:tcBorders>
            <w:shd w:val="clear" w:color="auto" w:fill="auto"/>
            <w:noWrap/>
            <w:vAlign w:val="bottom"/>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0.903</w:t>
            </w:r>
          </w:p>
        </w:tc>
        <w:tc>
          <w:tcPr>
            <w:tcW w:w="1467" w:type="dxa"/>
            <w:tcBorders>
              <w:top w:val="nil"/>
              <w:left w:val="nil"/>
              <w:bottom w:val="single" w:sz="4" w:space="0" w:color="auto"/>
              <w:right w:val="single" w:sz="4" w:space="0" w:color="auto"/>
            </w:tcBorders>
            <w:shd w:val="clear" w:color="auto" w:fill="auto"/>
            <w:noWrap/>
            <w:vAlign w:val="bottom"/>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0.905</w:t>
            </w:r>
          </w:p>
        </w:tc>
        <w:tc>
          <w:tcPr>
            <w:tcW w:w="1467" w:type="dxa"/>
            <w:tcBorders>
              <w:top w:val="nil"/>
              <w:left w:val="nil"/>
              <w:bottom w:val="single" w:sz="4" w:space="0" w:color="auto"/>
              <w:right w:val="single" w:sz="4" w:space="0" w:color="auto"/>
            </w:tcBorders>
            <w:shd w:val="clear" w:color="auto" w:fill="auto"/>
            <w:noWrap/>
            <w:vAlign w:val="bottom"/>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0.902</w:t>
            </w:r>
          </w:p>
        </w:tc>
      </w:tr>
      <w:tr w:rsidR="003228C9" w:rsidRPr="0017614D" w:rsidTr="00A4340C">
        <w:trPr>
          <w:trHeight w:val="300"/>
          <w:jc w:val="center"/>
        </w:trPr>
        <w:tc>
          <w:tcPr>
            <w:tcW w:w="2160" w:type="dxa"/>
            <w:tcBorders>
              <w:top w:val="nil"/>
              <w:left w:val="single" w:sz="4" w:space="0" w:color="auto"/>
              <w:bottom w:val="single" w:sz="4" w:space="0" w:color="auto"/>
              <w:right w:val="single" w:sz="4" w:space="0" w:color="auto"/>
            </w:tcBorders>
            <w:shd w:val="clear" w:color="000000" w:fill="FDE9D9"/>
            <w:noWrap/>
            <w:vAlign w:val="center"/>
            <w:hideMark/>
          </w:tcPr>
          <w:p w:rsidR="003228C9" w:rsidRPr="0017614D" w:rsidRDefault="003228C9" w:rsidP="00A4340C">
            <w:pPr>
              <w:spacing w:after="0" w:line="240" w:lineRule="auto"/>
              <w:rPr>
                <w:rFonts w:ascii="Times New Roman" w:eastAsia="Times New Roman" w:hAnsi="Times New Roman" w:cs="Times New Roman"/>
                <w:i/>
                <w:iCs/>
                <w:color w:val="000000"/>
                <w:lang w:val="lt-LT"/>
              </w:rPr>
            </w:pPr>
            <w:r w:rsidRPr="0017614D">
              <w:rPr>
                <w:rFonts w:ascii="Times New Roman" w:eastAsia="Times New Roman" w:hAnsi="Times New Roman" w:cs="Times New Roman"/>
                <w:i/>
                <w:iCs/>
                <w:color w:val="000000"/>
                <w:lang w:val="lt-LT"/>
              </w:rPr>
              <w:t>UAB "Autoverslas"</w:t>
            </w:r>
          </w:p>
        </w:tc>
        <w:tc>
          <w:tcPr>
            <w:tcW w:w="1467" w:type="dxa"/>
            <w:tcBorders>
              <w:top w:val="nil"/>
              <w:left w:val="nil"/>
              <w:bottom w:val="single" w:sz="4" w:space="0" w:color="auto"/>
              <w:right w:val="single" w:sz="4" w:space="0" w:color="auto"/>
            </w:tcBorders>
            <w:shd w:val="clear" w:color="auto" w:fill="auto"/>
            <w:noWrap/>
            <w:vAlign w:val="bottom"/>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0.680</w:t>
            </w:r>
          </w:p>
        </w:tc>
        <w:tc>
          <w:tcPr>
            <w:tcW w:w="1467" w:type="dxa"/>
            <w:tcBorders>
              <w:top w:val="nil"/>
              <w:left w:val="nil"/>
              <w:bottom w:val="single" w:sz="4" w:space="0" w:color="auto"/>
              <w:right w:val="single" w:sz="4" w:space="0" w:color="auto"/>
            </w:tcBorders>
            <w:shd w:val="clear" w:color="auto" w:fill="auto"/>
            <w:noWrap/>
            <w:vAlign w:val="bottom"/>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0.671</w:t>
            </w:r>
          </w:p>
        </w:tc>
        <w:tc>
          <w:tcPr>
            <w:tcW w:w="1467" w:type="dxa"/>
            <w:tcBorders>
              <w:top w:val="nil"/>
              <w:left w:val="nil"/>
              <w:bottom w:val="single" w:sz="4" w:space="0" w:color="auto"/>
              <w:right w:val="single" w:sz="4" w:space="0" w:color="auto"/>
            </w:tcBorders>
            <w:shd w:val="clear" w:color="auto" w:fill="auto"/>
            <w:noWrap/>
            <w:vAlign w:val="bottom"/>
            <w:hideMark/>
          </w:tcPr>
          <w:p w:rsidR="003228C9" w:rsidRPr="0017614D" w:rsidRDefault="003228C9" w:rsidP="00A4340C">
            <w:pPr>
              <w:spacing w:after="0" w:line="240" w:lineRule="auto"/>
              <w:jc w:val="center"/>
              <w:rPr>
                <w:rFonts w:ascii="Times New Roman" w:eastAsia="Times New Roman" w:hAnsi="Times New Roman" w:cs="Times New Roman"/>
                <w:color w:val="000000"/>
                <w:lang w:val="lt-LT"/>
              </w:rPr>
            </w:pPr>
            <w:r w:rsidRPr="0017614D">
              <w:rPr>
                <w:rFonts w:ascii="Times New Roman" w:eastAsia="Times New Roman" w:hAnsi="Times New Roman" w:cs="Times New Roman"/>
                <w:color w:val="000000"/>
                <w:lang w:val="lt-LT"/>
              </w:rPr>
              <w:t>0.723</w:t>
            </w:r>
          </w:p>
        </w:tc>
      </w:tr>
    </w:tbl>
    <w:p w:rsidR="003228C9" w:rsidRPr="0017614D" w:rsidRDefault="003228C9" w:rsidP="003228C9">
      <w:pPr>
        <w:spacing w:after="0" w:line="360" w:lineRule="auto"/>
        <w:ind w:firstLine="720"/>
        <w:contextualSpacing/>
        <w:jc w:val="both"/>
        <w:rPr>
          <w:rFonts w:ascii="Times New Roman" w:hAnsi="Times New Roman" w:cs="Times New Roman"/>
          <w:sz w:val="24"/>
          <w:szCs w:val="24"/>
          <w:lang w:val="lt-LT"/>
        </w:rPr>
      </w:pPr>
    </w:p>
    <w:p w:rsidR="003228C9" w:rsidRPr="0017614D" w:rsidRDefault="003228C9" w:rsidP="004E7005">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Apibendrinant visų keturių įmonių finansinių santykinių rodiklių analizę galima pastebėti, kad ne visi rezultatai atitinka realią situaciją. Bankrutavusi įmonė UAB „Achemarida“ dauguma rodiklių parodė artėjančią bankroto grėsmę nuo 2009 m., įmonei buvo pastebėtos tiek mokumo, tiek pelningumo, tiek savikainos nustatymo problemos. Tuo tarpu UAB „Romas ir ko“ visiškai atvirkščiai, nors įmonė bankrutavo ir turėjo problemų atsiskaityti su kreditoriais, jai buvo identifikuota mokumo problemos tik palyginus su Lietuvos transportavimo įmonių vidurkiu, o nustatyta paslaugų savikaina buvo net labai gera. Tik iš pelningumo rodiklių galima būtų prognozuoti bankrotą. Taip pat pastebėtina, kad šios įmonės visi rodikliai buvo pagerėję 2009 m. tačiau 2010 vėl smuko. Apibendrinant vis dar veikiančių įmonių rodiklius galima pastebėti, kad šios įmonės turėjo šiek tiek sunkumų finansinio nuosmukio metu, tačiau 2009 ir 2010 m. jų rodikliai tendencingai gerėjo. Visgi šios įmonės turėtų atkreipti dėmesį į savo pelningumo rodiklius, kadangi palyginus su Lietuvos transportavimo įmonių vidurkiu jie yra labai žemi.</w:t>
      </w:r>
    </w:p>
    <w:p w:rsidR="003228C9" w:rsidRPr="0017614D" w:rsidRDefault="00545B5E" w:rsidP="004E7005">
      <w:pPr>
        <w:pStyle w:val="Heading2"/>
        <w:spacing w:before="0" w:line="240" w:lineRule="auto"/>
        <w:contextualSpacing/>
        <w:rPr>
          <w:lang w:val="lt-LT"/>
        </w:rPr>
      </w:pPr>
      <w:bookmarkStart w:id="100" w:name="_Toc374655661"/>
      <w:r w:rsidRPr="0017614D">
        <w:rPr>
          <w:lang w:val="lt-LT"/>
        </w:rPr>
        <w:lastRenderedPageBreak/>
        <w:t>3.6</w:t>
      </w:r>
      <w:r w:rsidR="003228C9" w:rsidRPr="0017614D">
        <w:rPr>
          <w:lang w:val="lt-LT"/>
        </w:rPr>
        <w:t>. Bankroto prognozavimo modelių taikymas</w:t>
      </w:r>
      <w:r w:rsidR="00E438BD" w:rsidRPr="0017614D">
        <w:rPr>
          <w:lang w:val="lt-LT"/>
        </w:rPr>
        <w:t xml:space="preserve"> transportavimo</w:t>
      </w:r>
      <w:r w:rsidR="0035115D" w:rsidRPr="0017614D">
        <w:rPr>
          <w:lang w:val="lt-LT"/>
        </w:rPr>
        <w:t xml:space="preserve"> įmonėms</w:t>
      </w:r>
      <w:bookmarkEnd w:id="100"/>
    </w:p>
    <w:p w:rsidR="003228C9" w:rsidRPr="0017614D" w:rsidRDefault="003228C9" w:rsidP="004E7005">
      <w:pPr>
        <w:spacing w:after="0" w:line="240" w:lineRule="auto"/>
        <w:contextualSpacing/>
        <w:rPr>
          <w:lang w:val="lt-LT"/>
        </w:rPr>
      </w:pPr>
    </w:p>
    <w:p w:rsidR="003228C9" w:rsidRPr="0017614D" w:rsidRDefault="003228C9" w:rsidP="004E7005">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Paskutinis kompleksinės bankroto diagnozavimo metodikos etapas yra bankroto prognozavimo modelių taikymas. Šiame etape buvo nuspręsta bankroto tikimybę skaičiuoti šešių modelių (keturių tiesinės didkriminantinės analizės bei dvejų logistinės regresijos) pagalba. </w:t>
      </w:r>
      <w:r w:rsidR="008F08C9">
        <w:rPr>
          <w:rFonts w:ascii="Times New Roman" w:hAnsi="Times New Roman" w:cs="Times New Roman"/>
          <w:sz w:val="24"/>
          <w:szCs w:val="24"/>
          <w:lang w:val="lt-LT"/>
        </w:rPr>
        <w:t>Bankroto tikimybių paskaičiavimas bankroto prognozavimo modelių pagalba yra pateiktas 4 priede.</w:t>
      </w:r>
    </w:p>
    <w:p w:rsidR="003228C9" w:rsidRPr="0017614D" w:rsidRDefault="003228C9" w:rsidP="003228C9">
      <w:pPr>
        <w:spacing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Iš pradžių apžvelkime tiesinės diskriminantinės analizės modelių rezultatus. 1</w:t>
      </w:r>
      <w:r w:rsidR="007553E7" w:rsidRPr="0017614D">
        <w:rPr>
          <w:rFonts w:ascii="Times New Roman" w:hAnsi="Times New Roman" w:cs="Times New Roman"/>
          <w:sz w:val="24"/>
          <w:szCs w:val="24"/>
          <w:lang w:val="lt-LT"/>
        </w:rPr>
        <w:t>5</w:t>
      </w:r>
      <w:r w:rsidRPr="0017614D">
        <w:rPr>
          <w:rFonts w:ascii="Times New Roman" w:hAnsi="Times New Roman" w:cs="Times New Roman"/>
          <w:sz w:val="24"/>
          <w:szCs w:val="24"/>
          <w:lang w:val="lt-LT"/>
        </w:rPr>
        <w:t xml:space="preserve"> paveiksle galime matyti, kaip pasiskirstė UAB „Achemarida“, UAB „Romas ir ko“, UAB „Autoverslas“ ir UAB „Girteka“ bankroto tikimybės apskaičiavus jas Altman modelio pagalba. Galima pastebėti, kad nei vienos iš nagrinėjamų įmonių būklė pagal šį modelį nebuvo įvertinta gerai. Vis dar veikiančių įmonių būklė nagrinėjamu laikotarpiu buvo įvertinta kaip vidutinė, jų bankroto tikimybės pasiskirstė tarp kritinių reikšmių. Bankrutavusios įmonės UAB „Autoverslas“ bankroto tikimybė 2008 m. buvo vidutinė, tuo tarpu 2009 bei 2010 m. – labai didelė. Tuo tarpu UAB „Romas ir ko“ Altman modelis parodė tik vidutinę tikimybę bankrutuoti. Apibendrinant šiuos rezultatus galima sakyti, kad Altman modelis tinka Lietuvos transportavimo įmonėms, tačiau jo kritinės reikšmės turėtų būti labiau pritaikytos Lietuvos rinkai. </w:t>
      </w:r>
    </w:p>
    <w:p w:rsidR="003228C9" w:rsidRPr="0017614D" w:rsidRDefault="003228C9" w:rsidP="003228C9">
      <w:pPr>
        <w:spacing w:line="360" w:lineRule="auto"/>
        <w:ind w:firstLine="720"/>
        <w:contextualSpacing/>
        <w:jc w:val="both"/>
        <w:rPr>
          <w:rFonts w:ascii="Times New Roman" w:hAnsi="Times New Roman" w:cs="Times New Roman"/>
          <w:sz w:val="24"/>
          <w:szCs w:val="24"/>
          <w:lang w:val="lt-LT"/>
        </w:rPr>
      </w:pPr>
    </w:p>
    <w:p w:rsidR="003228C9" w:rsidRPr="0017614D" w:rsidRDefault="003228C9" w:rsidP="003228C9">
      <w:pPr>
        <w:spacing w:after="0"/>
        <w:contextualSpacing/>
        <w:jc w:val="center"/>
        <w:rPr>
          <w:rFonts w:ascii="Times New Roman" w:hAnsi="Times New Roman" w:cs="Times New Roman"/>
          <w:b/>
          <w:lang w:val="lt-LT"/>
        </w:rPr>
      </w:pPr>
      <w:r w:rsidRPr="0017614D">
        <w:rPr>
          <w:rFonts w:ascii="Times New Roman" w:hAnsi="Times New Roman" w:cs="Times New Roman"/>
          <w:lang w:val="lt-LT"/>
        </w:rPr>
        <w:t>1</w:t>
      </w:r>
      <w:r w:rsidR="007553E7" w:rsidRPr="0017614D">
        <w:rPr>
          <w:rFonts w:ascii="Times New Roman" w:hAnsi="Times New Roman" w:cs="Times New Roman"/>
          <w:lang w:val="lt-LT"/>
        </w:rPr>
        <w:t>5</w:t>
      </w:r>
      <w:r w:rsidRPr="0017614D">
        <w:rPr>
          <w:rFonts w:ascii="Times New Roman" w:hAnsi="Times New Roman" w:cs="Times New Roman"/>
          <w:lang w:val="lt-LT"/>
        </w:rPr>
        <w:t xml:space="preserve"> pav.</w:t>
      </w:r>
      <w:r w:rsidRPr="0017614D">
        <w:rPr>
          <w:rFonts w:ascii="Times New Roman" w:hAnsi="Times New Roman" w:cs="Times New Roman"/>
          <w:b/>
          <w:lang w:val="lt-LT"/>
        </w:rPr>
        <w:t xml:space="preserve"> UAB „Achemarida“, UAB „Romas ir ko“, UAB „Girteka“ ir UAB „Autoverslas“ bankroto tikimybės apskaičiuotos Altman modelio pagalba</w:t>
      </w:r>
      <w:r w:rsidRPr="0017614D">
        <w:rPr>
          <w:rFonts w:ascii="Times New Roman" w:hAnsi="Times New Roman" w:cs="Times New Roman"/>
          <w:noProof/>
          <w:sz w:val="24"/>
          <w:szCs w:val="24"/>
        </w:rPr>
        <w:drawing>
          <wp:inline distT="0" distB="0" distL="0" distR="0">
            <wp:extent cx="5750709" cy="1995055"/>
            <wp:effectExtent l="19050" t="0" r="21441" b="5195"/>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7553E7" w:rsidRPr="0017614D" w:rsidRDefault="007553E7" w:rsidP="003228C9">
      <w:pPr>
        <w:spacing w:line="360" w:lineRule="auto"/>
        <w:ind w:firstLine="720"/>
        <w:contextualSpacing/>
        <w:jc w:val="both"/>
        <w:rPr>
          <w:rFonts w:ascii="Times New Roman" w:hAnsi="Times New Roman" w:cs="Times New Roman"/>
          <w:sz w:val="24"/>
          <w:szCs w:val="24"/>
          <w:lang w:val="lt-LT"/>
        </w:rPr>
      </w:pPr>
    </w:p>
    <w:p w:rsidR="003228C9" w:rsidRPr="0017614D" w:rsidRDefault="003228C9" w:rsidP="003228C9">
      <w:pPr>
        <w:spacing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Bankroto grėsmei diagnozuoti taip pat buvo pritaikytas ir kitas tiesinės diskriminantinės analizės modelis – Springate, kurio rezultatai yra pateikti 1</w:t>
      </w:r>
      <w:r w:rsidR="007553E7" w:rsidRPr="0017614D">
        <w:rPr>
          <w:rFonts w:ascii="Times New Roman" w:hAnsi="Times New Roman" w:cs="Times New Roman"/>
          <w:sz w:val="24"/>
          <w:szCs w:val="24"/>
          <w:lang w:val="lt-LT"/>
        </w:rPr>
        <w:t>6</w:t>
      </w:r>
      <w:r w:rsidRPr="0017614D">
        <w:rPr>
          <w:rFonts w:ascii="Times New Roman" w:hAnsi="Times New Roman" w:cs="Times New Roman"/>
          <w:sz w:val="24"/>
          <w:szCs w:val="24"/>
          <w:lang w:val="lt-LT"/>
        </w:rPr>
        <w:t xml:space="preserve"> paveiksle. Šio modelio rezultatai parodė, kad 2008 m. vis dar veikiančių įmonių bei bankrutavusios UAB „Achemarida“ būklė buvo bloga. Tuo tarpu UAB „Romas ir ko“ tais metais buvo įvertinta kaip sėkmingai veikianti. 2009 m. visų nagrinėjamų įmonių būklė buvo įvertinta kaip bloga, o 2010 m. šių įmonių būklė pasiskirstė kaip ir realybėje – bankrutavusios įmonės buvo įvertintos blogai, o vis dar veikiančios kaip turinčios gerą finansinę būklę. Galima sakyti, </w:t>
      </w:r>
      <w:r w:rsidRPr="0017614D">
        <w:rPr>
          <w:rFonts w:ascii="Times New Roman" w:hAnsi="Times New Roman" w:cs="Times New Roman"/>
          <w:sz w:val="24"/>
          <w:szCs w:val="24"/>
          <w:lang w:val="lt-LT"/>
        </w:rPr>
        <w:lastRenderedPageBreak/>
        <w:t>kad šis modelis puikiai susitvarkė su savo užduotimi 2010 m., t. y. esant metams prieš UAB „Romas ir ko“ bei UAB „Achemarida“ bankrotą.</w:t>
      </w:r>
    </w:p>
    <w:p w:rsidR="003228C9" w:rsidRPr="0017614D" w:rsidRDefault="003228C9" w:rsidP="003228C9">
      <w:pPr>
        <w:spacing w:line="360" w:lineRule="auto"/>
        <w:ind w:firstLine="720"/>
        <w:contextualSpacing/>
        <w:jc w:val="both"/>
        <w:rPr>
          <w:rFonts w:ascii="Times New Roman" w:hAnsi="Times New Roman" w:cs="Times New Roman"/>
          <w:sz w:val="24"/>
          <w:szCs w:val="24"/>
          <w:lang w:val="lt-LT"/>
        </w:rPr>
      </w:pPr>
    </w:p>
    <w:p w:rsidR="003228C9" w:rsidRPr="0017614D" w:rsidRDefault="003228C9" w:rsidP="003228C9">
      <w:pPr>
        <w:spacing w:after="0"/>
        <w:contextualSpacing/>
        <w:jc w:val="center"/>
        <w:rPr>
          <w:rFonts w:ascii="Times New Roman" w:hAnsi="Times New Roman" w:cs="Times New Roman"/>
          <w:b/>
          <w:lang w:val="lt-LT"/>
        </w:rPr>
      </w:pPr>
      <w:r w:rsidRPr="0017614D">
        <w:rPr>
          <w:rFonts w:ascii="Times New Roman" w:hAnsi="Times New Roman" w:cs="Times New Roman"/>
          <w:lang w:val="lt-LT"/>
        </w:rPr>
        <w:t>1</w:t>
      </w:r>
      <w:r w:rsidR="007553E7" w:rsidRPr="0017614D">
        <w:rPr>
          <w:rFonts w:ascii="Times New Roman" w:hAnsi="Times New Roman" w:cs="Times New Roman"/>
          <w:lang w:val="lt-LT"/>
        </w:rPr>
        <w:t>6</w:t>
      </w:r>
      <w:r w:rsidRPr="0017614D">
        <w:rPr>
          <w:rFonts w:ascii="Times New Roman" w:hAnsi="Times New Roman" w:cs="Times New Roman"/>
          <w:lang w:val="lt-LT"/>
        </w:rPr>
        <w:t xml:space="preserve"> pav.</w:t>
      </w:r>
      <w:r w:rsidRPr="0017614D">
        <w:rPr>
          <w:rFonts w:ascii="Times New Roman" w:hAnsi="Times New Roman" w:cs="Times New Roman"/>
          <w:b/>
          <w:lang w:val="lt-LT"/>
        </w:rPr>
        <w:t xml:space="preserve"> UAB „Achemarida“, UAB „Romas ir ko“, UAB „Girteka“ ir UAB „Autoverslas“ bankroto tikimybės apskaičiuotos Springate modelio pagalba</w:t>
      </w:r>
    </w:p>
    <w:p w:rsidR="003228C9" w:rsidRPr="0017614D" w:rsidRDefault="003228C9" w:rsidP="003228C9">
      <w:pPr>
        <w:spacing w:line="360" w:lineRule="auto"/>
        <w:contextualSpacing/>
        <w:jc w:val="center"/>
        <w:rPr>
          <w:rFonts w:ascii="Times New Roman" w:hAnsi="Times New Roman" w:cs="Times New Roman"/>
          <w:sz w:val="24"/>
          <w:szCs w:val="24"/>
          <w:lang w:val="lt-LT"/>
        </w:rPr>
      </w:pPr>
      <w:r w:rsidRPr="0017614D">
        <w:rPr>
          <w:rFonts w:ascii="Times New Roman" w:hAnsi="Times New Roman" w:cs="Times New Roman"/>
          <w:noProof/>
          <w:sz w:val="24"/>
          <w:szCs w:val="24"/>
        </w:rPr>
        <w:drawing>
          <wp:inline distT="0" distB="0" distL="0" distR="0">
            <wp:extent cx="5759184" cy="1956391"/>
            <wp:effectExtent l="19050" t="0" r="12966" b="5759"/>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3228C9" w:rsidRPr="0017614D" w:rsidRDefault="003228C9" w:rsidP="003228C9">
      <w:pPr>
        <w:spacing w:line="360" w:lineRule="auto"/>
        <w:contextualSpacing/>
        <w:jc w:val="center"/>
        <w:rPr>
          <w:rFonts w:ascii="Times New Roman" w:hAnsi="Times New Roman" w:cs="Times New Roman"/>
          <w:sz w:val="24"/>
          <w:szCs w:val="24"/>
          <w:lang w:val="lt-LT"/>
        </w:rPr>
      </w:pPr>
    </w:p>
    <w:p w:rsidR="00186457" w:rsidRDefault="003228C9" w:rsidP="00186457">
      <w:pPr>
        <w:spacing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Bankroto tikimybės analizė taip pat buvo atlikta ir Ta</w:t>
      </w:r>
      <w:r w:rsidR="00D84787">
        <w:rPr>
          <w:rFonts w:ascii="Times New Roman" w:hAnsi="Times New Roman" w:cs="Times New Roman"/>
          <w:sz w:val="24"/>
          <w:szCs w:val="24"/>
          <w:lang w:val="lt-LT"/>
        </w:rPr>
        <w:t>f</w:t>
      </w:r>
      <w:r w:rsidRPr="0017614D">
        <w:rPr>
          <w:rFonts w:ascii="Times New Roman" w:hAnsi="Times New Roman" w:cs="Times New Roman"/>
          <w:sz w:val="24"/>
          <w:szCs w:val="24"/>
          <w:lang w:val="lt-LT"/>
        </w:rPr>
        <w:t>fler modelio pagalba (žr. 1</w:t>
      </w:r>
      <w:r w:rsidR="007553E7" w:rsidRPr="0017614D">
        <w:rPr>
          <w:rFonts w:ascii="Times New Roman" w:hAnsi="Times New Roman" w:cs="Times New Roman"/>
          <w:sz w:val="24"/>
          <w:szCs w:val="24"/>
          <w:lang w:val="lt-LT"/>
        </w:rPr>
        <w:t>7</w:t>
      </w:r>
      <w:r w:rsidRPr="0017614D">
        <w:rPr>
          <w:rFonts w:ascii="Times New Roman" w:hAnsi="Times New Roman" w:cs="Times New Roman"/>
          <w:sz w:val="24"/>
          <w:szCs w:val="24"/>
          <w:lang w:val="lt-LT"/>
        </w:rPr>
        <w:t xml:space="preserve"> pav.). </w:t>
      </w:r>
      <w:r w:rsidR="00186457" w:rsidRPr="0017614D">
        <w:rPr>
          <w:rFonts w:ascii="Times New Roman" w:hAnsi="Times New Roman" w:cs="Times New Roman"/>
          <w:sz w:val="24"/>
          <w:szCs w:val="24"/>
          <w:lang w:val="lt-LT"/>
        </w:rPr>
        <w:t>Remiantis gautais rezultatais galima matyti, kad 2008 m. šis modelis parodė, kad bankrutavusių įmonių būklė yra gera, o tuo tarpu vis dar veikiančioms buvo prognozuojamas bankrotas. 2009 m. visų nagrinėjamų įmonių tikimybė bankrutuoti buvo vertinama kaip vidutinė arba didelė. Tuo tarpu 2010 m. Taf</w:t>
      </w:r>
      <w:r w:rsidR="00186457">
        <w:rPr>
          <w:rFonts w:ascii="Times New Roman" w:hAnsi="Times New Roman" w:cs="Times New Roman"/>
          <w:sz w:val="24"/>
          <w:szCs w:val="24"/>
          <w:lang w:val="lt-LT"/>
        </w:rPr>
        <w:t>f</w:t>
      </w:r>
      <w:r w:rsidR="00186457" w:rsidRPr="0017614D">
        <w:rPr>
          <w:rFonts w:ascii="Times New Roman" w:hAnsi="Times New Roman" w:cs="Times New Roman"/>
          <w:sz w:val="24"/>
          <w:szCs w:val="24"/>
          <w:lang w:val="lt-LT"/>
        </w:rPr>
        <w:t>ler modelis, kaip ir Springate, bankrutavusioms įmonėms nurodė didelę tikimybę bankrutoti, o UAB „Autoverslas“ ir UAB „Girteka“ įvertino kaip puikiai beistvarkančias. Šie rezultatai vėlgi parodo, kad Taf</w:t>
      </w:r>
      <w:r w:rsidR="00186457">
        <w:rPr>
          <w:rFonts w:ascii="Times New Roman" w:hAnsi="Times New Roman" w:cs="Times New Roman"/>
          <w:sz w:val="24"/>
          <w:szCs w:val="24"/>
          <w:lang w:val="lt-LT"/>
        </w:rPr>
        <w:t>f</w:t>
      </w:r>
      <w:r w:rsidR="00186457" w:rsidRPr="0017614D">
        <w:rPr>
          <w:rFonts w:ascii="Times New Roman" w:hAnsi="Times New Roman" w:cs="Times New Roman"/>
          <w:sz w:val="24"/>
          <w:szCs w:val="24"/>
          <w:lang w:val="lt-LT"/>
        </w:rPr>
        <w:t>ler modelis yra tinkamas prognozuoti bankroto grėsmę esant vieneriems metams iki jo.</w:t>
      </w:r>
    </w:p>
    <w:p w:rsidR="00820234" w:rsidRPr="0017614D" w:rsidRDefault="00820234" w:rsidP="003228C9">
      <w:pPr>
        <w:spacing w:line="360" w:lineRule="auto"/>
        <w:ind w:firstLine="720"/>
        <w:contextualSpacing/>
        <w:jc w:val="both"/>
        <w:rPr>
          <w:rFonts w:ascii="Times New Roman" w:hAnsi="Times New Roman" w:cs="Times New Roman"/>
          <w:sz w:val="24"/>
          <w:szCs w:val="24"/>
          <w:lang w:val="lt-LT"/>
        </w:rPr>
      </w:pPr>
    </w:p>
    <w:p w:rsidR="003228C9" w:rsidRPr="0017614D" w:rsidRDefault="003228C9" w:rsidP="003228C9">
      <w:pPr>
        <w:spacing w:after="0"/>
        <w:contextualSpacing/>
        <w:jc w:val="center"/>
        <w:rPr>
          <w:rFonts w:ascii="Times New Roman" w:hAnsi="Times New Roman" w:cs="Times New Roman"/>
          <w:b/>
          <w:lang w:val="lt-LT"/>
        </w:rPr>
      </w:pPr>
      <w:r w:rsidRPr="0017614D">
        <w:rPr>
          <w:rFonts w:ascii="Times New Roman" w:hAnsi="Times New Roman" w:cs="Times New Roman"/>
          <w:lang w:val="lt-LT"/>
        </w:rPr>
        <w:t>1</w:t>
      </w:r>
      <w:r w:rsidR="007553E7" w:rsidRPr="0017614D">
        <w:rPr>
          <w:rFonts w:ascii="Times New Roman" w:hAnsi="Times New Roman" w:cs="Times New Roman"/>
          <w:lang w:val="lt-LT"/>
        </w:rPr>
        <w:t>7</w:t>
      </w:r>
      <w:r w:rsidRPr="0017614D">
        <w:rPr>
          <w:rFonts w:ascii="Times New Roman" w:hAnsi="Times New Roman" w:cs="Times New Roman"/>
          <w:lang w:val="lt-LT"/>
        </w:rPr>
        <w:t xml:space="preserve"> pav.</w:t>
      </w:r>
      <w:r w:rsidRPr="0017614D">
        <w:rPr>
          <w:rFonts w:ascii="Times New Roman" w:hAnsi="Times New Roman" w:cs="Times New Roman"/>
          <w:b/>
          <w:lang w:val="lt-LT"/>
        </w:rPr>
        <w:t xml:space="preserve"> UAB „Achemarida“, UAB „Romas ir ko“, UAB „Girteka“ ir UAB „Autoverslas“ bankroto tikimybės apskaičiuotos Taf</w:t>
      </w:r>
      <w:r w:rsidR="00D84787">
        <w:rPr>
          <w:rFonts w:ascii="Times New Roman" w:hAnsi="Times New Roman" w:cs="Times New Roman"/>
          <w:b/>
          <w:lang w:val="lt-LT"/>
        </w:rPr>
        <w:t>f</w:t>
      </w:r>
      <w:r w:rsidRPr="0017614D">
        <w:rPr>
          <w:rFonts w:ascii="Times New Roman" w:hAnsi="Times New Roman" w:cs="Times New Roman"/>
          <w:b/>
          <w:lang w:val="lt-LT"/>
        </w:rPr>
        <w:t>ler modelio pagalba</w:t>
      </w:r>
    </w:p>
    <w:p w:rsidR="003228C9" w:rsidRPr="0017614D" w:rsidRDefault="003228C9" w:rsidP="003228C9">
      <w:pPr>
        <w:spacing w:line="360" w:lineRule="auto"/>
        <w:contextualSpacing/>
        <w:jc w:val="center"/>
        <w:rPr>
          <w:rFonts w:ascii="Times New Roman" w:hAnsi="Times New Roman" w:cs="Times New Roman"/>
          <w:sz w:val="24"/>
          <w:szCs w:val="24"/>
          <w:lang w:val="lt-LT"/>
        </w:rPr>
      </w:pPr>
      <w:r w:rsidRPr="0017614D">
        <w:rPr>
          <w:rFonts w:ascii="Times New Roman" w:hAnsi="Times New Roman" w:cs="Times New Roman"/>
          <w:noProof/>
          <w:sz w:val="24"/>
          <w:szCs w:val="24"/>
        </w:rPr>
        <w:drawing>
          <wp:inline distT="0" distB="0" distL="0" distR="0">
            <wp:extent cx="5811520" cy="2286000"/>
            <wp:effectExtent l="19050" t="0" r="17780" b="0"/>
            <wp:docPr id="1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3228C9" w:rsidRPr="0017614D" w:rsidRDefault="003228C9" w:rsidP="003228C9">
      <w:pPr>
        <w:spacing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lastRenderedPageBreak/>
        <w:t>Paskutinis iš tiesinių diskriminantinių modelių buvo pritaikytas Liss modelis (žr. 1</w:t>
      </w:r>
      <w:r w:rsidR="007553E7" w:rsidRPr="0017614D">
        <w:rPr>
          <w:rFonts w:ascii="Times New Roman" w:hAnsi="Times New Roman" w:cs="Times New Roman"/>
          <w:sz w:val="24"/>
          <w:szCs w:val="24"/>
          <w:lang w:val="lt-LT"/>
        </w:rPr>
        <w:t>8</w:t>
      </w:r>
      <w:r w:rsidRPr="0017614D">
        <w:rPr>
          <w:rFonts w:ascii="Times New Roman" w:hAnsi="Times New Roman" w:cs="Times New Roman"/>
          <w:sz w:val="24"/>
          <w:szCs w:val="24"/>
          <w:lang w:val="lt-LT"/>
        </w:rPr>
        <w:t xml:space="preserve"> pav.). Šio modeliai rezltatai parodė, kad bankrutavusiai UAB „Achemarida“ viso </w:t>
      </w:r>
      <w:r w:rsidR="00D84787">
        <w:rPr>
          <w:rFonts w:ascii="Times New Roman" w:hAnsi="Times New Roman" w:cs="Times New Roman"/>
          <w:sz w:val="24"/>
          <w:szCs w:val="24"/>
          <w:lang w:val="lt-LT"/>
        </w:rPr>
        <w:t>nagrinėjamo laikotarpio metu grė</w:t>
      </w:r>
      <w:r w:rsidRPr="0017614D">
        <w:rPr>
          <w:rFonts w:ascii="Times New Roman" w:hAnsi="Times New Roman" w:cs="Times New Roman"/>
          <w:sz w:val="24"/>
          <w:szCs w:val="24"/>
          <w:lang w:val="lt-LT"/>
        </w:rPr>
        <w:t>sė bankrotas, tuo tarpu UAB „Romas ir k</w:t>
      </w:r>
      <w:r w:rsidR="00E62D5D">
        <w:rPr>
          <w:rFonts w:ascii="Times New Roman" w:hAnsi="Times New Roman" w:cs="Times New Roman"/>
          <w:sz w:val="24"/>
          <w:szCs w:val="24"/>
          <w:lang w:val="lt-LT"/>
        </w:rPr>
        <w:t>o“ būklė nežiūrint į tai, kad ši</w:t>
      </w:r>
      <w:r w:rsidRPr="0017614D">
        <w:rPr>
          <w:rFonts w:ascii="Times New Roman" w:hAnsi="Times New Roman" w:cs="Times New Roman"/>
          <w:sz w:val="24"/>
          <w:szCs w:val="24"/>
          <w:lang w:val="lt-LT"/>
        </w:rPr>
        <w:t xml:space="preserve"> įmonė bankrutavo, buvo vertinama kaip gera. O tebeveikiančių įmonių būklė nors pradžioje buvo vertinama kaip bloga arba artima blogai, tačiau su kiekvienais metais vis gerėjo. Kontraversiški šio modelio rezultatai parodo, kad šie jo rodikliai nėra tinkami transportavimo įmonių bankrotui prognozuoti.</w:t>
      </w:r>
    </w:p>
    <w:p w:rsidR="003228C9" w:rsidRPr="0017614D" w:rsidRDefault="003228C9" w:rsidP="003228C9">
      <w:pPr>
        <w:spacing w:line="360" w:lineRule="auto"/>
        <w:ind w:firstLine="720"/>
        <w:contextualSpacing/>
        <w:jc w:val="both"/>
        <w:rPr>
          <w:rFonts w:ascii="Times New Roman" w:hAnsi="Times New Roman" w:cs="Times New Roman"/>
          <w:sz w:val="24"/>
          <w:szCs w:val="24"/>
          <w:lang w:val="lt-LT"/>
        </w:rPr>
      </w:pPr>
    </w:p>
    <w:p w:rsidR="003228C9" w:rsidRPr="0017614D" w:rsidRDefault="003228C9" w:rsidP="003228C9">
      <w:pPr>
        <w:spacing w:after="0"/>
        <w:contextualSpacing/>
        <w:jc w:val="center"/>
        <w:rPr>
          <w:rFonts w:ascii="Times New Roman" w:hAnsi="Times New Roman" w:cs="Times New Roman"/>
          <w:b/>
          <w:lang w:val="lt-LT"/>
        </w:rPr>
      </w:pPr>
      <w:r w:rsidRPr="0017614D">
        <w:rPr>
          <w:rFonts w:ascii="Times New Roman" w:hAnsi="Times New Roman" w:cs="Times New Roman"/>
          <w:lang w:val="lt-LT"/>
        </w:rPr>
        <w:t>1</w:t>
      </w:r>
      <w:r w:rsidR="007553E7" w:rsidRPr="0017614D">
        <w:rPr>
          <w:rFonts w:ascii="Times New Roman" w:hAnsi="Times New Roman" w:cs="Times New Roman"/>
          <w:lang w:val="lt-LT"/>
        </w:rPr>
        <w:t>8</w:t>
      </w:r>
      <w:r w:rsidRPr="0017614D">
        <w:rPr>
          <w:rFonts w:ascii="Times New Roman" w:hAnsi="Times New Roman" w:cs="Times New Roman"/>
          <w:lang w:val="lt-LT"/>
        </w:rPr>
        <w:t xml:space="preserve"> pav.</w:t>
      </w:r>
      <w:r w:rsidRPr="0017614D">
        <w:rPr>
          <w:rFonts w:ascii="Times New Roman" w:hAnsi="Times New Roman" w:cs="Times New Roman"/>
          <w:b/>
          <w:lang w:val="lt-LT"/>
        </w:rPr>
        <w:t xml:space="preserve"> UAB „Achemarida“, UAB „Romas ir ko“, UAB „Girteka“ ir UAB „Autoverslas“ bankroto tikimybės apskaičiuotos Liss modelio pagalba</w:t>
      </w:r>
    </w:p>
    <w:p w:rsidR="003228C9" w:rsidRPr="0017614D" w:rsidRDefault="003228C9" w:rsidP="003228C9">
      <w:pPr>
        <w:spacing w:line="360" w:lineRule="auto"/>
        <w:contextualSpacing/>
        <w:jc w:val="center"/>
        <w:rPr>
          <w:rFonts w:ascii="Times New Roman" w:hAnsi="Times New Roman" w:cs="Times New Roman"/>
          <w:sz w:val="24"/>
          <w:szCs w:val="24"/>
          <w:lang w:val="lt-LT"/>
        </w:rPr>
      </w:pPr>
      <w:r w:rsidRPr="0017614D">
        <w:rPr>
          <w:rFonts w:ascii="Times New Roman" w:hAnsi="Times New Roman" w:cs="Times New Roman"/>
          <w:noProof/>
          <w:sz w:val="24"/>
          <w:szCs w:val="24"/>
        </w:rPr>
        <w:drawing>
          <wp:inline distT="0" distB="0" distL="0" distR="0">
            <wp:extent cx="5918612" cy="1983180"/>
            <wp:effectExtent l="19050" t="0" r="24988" b="0"/>
            <wp:docPr id="1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3228C9" w:rsidRPr="0017614D" w:rsidRDefault="003228C9" w:rsidP="003228C9">
      <w:pPr>
        <w:spacing w:after="0"/>
        <w:contextualSpacing/>
        <w:jc w:val="center"/>
        <w:rPr>
          <w:rFonts w:ascii="Times New Roman" w:hAnsi="Times New Roman" w:cs="Times New Roman"/>
          <w:lang w:val="lt-LT"/>
        </w:rPr>
      </w:pPr>
    </w:p>
    <w:p w:rsidR="00820234" w:rsidRDefault="003228C9" w:rsidP="00820234">
      <w:pPr>
        <w:spacing w:line="360" w:lineRule="auto"/>
        <w:ind w:firstLine="720"/>
        <w:contextualSpacing/>
        <w:jc w:val="both"/>
        <w:rPr>
          <w:rFonts w:ascii="Times New Roman" w:hAnsi="Times New Roman" w:cs="Times New Roman"/>
          <w:sz w:val="24"/>
          <w:lang w:val="lt-LT"/>
        </w:rPr>
      </w:pPr>
      <w:r w:rsidRPr="0017614D">
        <w:rPr>
          <w:rFonts w:ascii="Times New Roman" w:hAnsi="Times New Roman" w:cs="Times New Roman"/>
          <w:lang w:val="lt-LT"/>
        </w:rPr>
        <w:tab/>
      </w:r>
      <w:r w:rsidRPr="0017614D">
        <w:rPr>
          <w:rFonts w:ascii="Times New Roman" w:hAnsi="Times New Roman" w:cs="Times New Roman"/>
          <w:sz w:val="24"/>
          <w:lang w:val="lt-LT"/>
        </w:rPr>
        <w:t>Be tiesinės diskriminantinės analizės modelių, taip pat buvo pritaikyti ir du logistinės regresijos modeliai. Visų pirma bankroto tikimybės buvo paskaičiuotos Zavgren modelio pagalba, kurio rezultatai yra nurodyti 1</w:t>
      </w:r>
      <w:r w:rsidR="007553E7" w:rsidRPr="0017614D">
        <w:rPr>
          <w:rFonts w:ascii="Times New Roman" w:hAnsi="Times New Roman" w:cs="Times New Roman"/>
          <w:sz w:val="24"/>
          <w:lang w:val="lt-LT"/>
        </w:rPr>
        <w:t>9</w:t>
      </w:r>
      <w:r w:rsidRPr="0017614D">
        <w:rPr>
          <w:rFonts w:ascii="Times New Roman" w:hAnsi="Times New Roman" w:cs="Times New Roman"/>
          <w:sz w:val="24"/>
          <w:lang w:val="lt-LT"/>
        </w:rPr>
        <w:t xml:space="preserve"> paveiksle.</w:t>
      </w:r>
      <w:r w:rsidR="00820234" w:rsidRPr="0017614D">
        <w:rPr>
          <w:rFonts w:ascii="Times New Roman" w:hAnsi="Times New Roman" w:cs="Times New Roman"/>
          <w:sz w:val="24"/>
          <w:lang w:val="lt-LT"/>
        </w:rPr>
        <w:t xml:space="preserve"> </w:t>
      </w:r>
    </w:p>
    <w:p w:rsidR="00E62D5D" w:rsidRDefault="00E62D5D" w:rsidP="007553E7">
      <w:pPr>
        <w:spacing w:after="0" w:line="240" w:lineRule="auto"/>
        <w:contextualSpacing/>
        <w:jc w:val="center"/>
        <w:rPr>
          <w:rFonts w:ascii="Times New Roman" w:hAnsi="Times New Roman" w:cs="Times New Roman"/>
          <w:lang w:val="lt-LT"/>
        </w:rPr>
      </w:pPr>
    </w:p>
    <w:p w:rsidR="003228C9" w:rsidRPr="0017614D" w:rsidRDefault="003228C9" w:rsidP="007553E7">
      <w:pPr>
        <w:spacing w:after="0" w:line="240" w:lineRule="auto"/>
        <w:contextualSpacing/>
        <w:jc w:val="center"/>
        <w:rPr>
          <w:rFonts w:ascii="Times New Roman" w:hAnsi="Times New Roman" w:cs="Times New Roman"/>
          <w:b/>
          <w:lang w:val="lt-LT"/>
        </w:rPr>
      </w:pPr>
      <w:r w:rsidRPr="0017614D">
        <w:rPr>
          <w:rFonts w:ascii="Times New Roman" w:hAnsi="Times New Roman" w:cs="Times New Roman"/>
          <w:lang w:val="lt-LT"/>
        </w:rPr>
        <w:t>1</w:t>
      </w:r>
      <w:r w:rsidR="007553E7" w:rsidRPr="0017614D">
        <w:rPr>
          <w:rFonts w:ascii="Times New Roman" w:hAnsi="Times New Roman" w:cs="Times New Roman"/>
          <w:lang w:val="lt-LT"/>
        </w:rPr>
        <w:t>9</w:t>
      </w:r>
      <w:r w:rsidRPr="0017614D">
        <w:rPr>
          <w:rFonts w:ascii="Times New Roman" w:hAnsi="Times New Roman" w:cs="Times New Roman"/>
          <w:lang w:val="lt-LT"/>
        </w:rPr>
        <w:t xml:space="preserve"> pav.</w:t>
      </w:r>
      <w:r w:rsidRPr="0017614D">
        <w:rPr>
          <w:rFonts w:ascii="Times New Roman" w:hAnsi="Times New Roman" w:cs="Times New Roman"/>
          <w:b/>
          <w:lang w:val="lt-LT"/>
        </w:rPr>
        <w:t xml:space="preserve"> UAB „Achemarida“, UAB „Romas ir ko“, UAB „Girteka“ ir UAB „Autoverslas“ bankroto tikimybės apskaičiuotos Zavgren modelio pagalba</w:t>
      </w:r>
    </w:p>
    <w:p w:rsidR="003228C9" w:rsidRPr="0017614D" w:rsidRDefault="003228C9" w:rsidP="003228C9">
      <w:pPr>
        <w:spacing w:line="360" w:lineRule="auto"/>
        <w:contextualSpacing/>
        <w:jc w:val="center"/>
        <w:rPr>
          <w:rFonts w:ascii="Times New Roman" w:hAnsi="Times New Roman" w:cs="Times New Roman"/>
          <w:sz w:val="24"/>
          <w:szCs w:val="24"/>
          <w:lang w:val="lt-LT"/>
        </w:rPr>
      </w:pPr>
      <w:r w:rsidRPr="0017614D">
        <w:rPr>
          <w:rFonts w:ascii="Times New Roman" w:hAnsi="Times New Roman" w:cs="Times New Roman"/>
          <w:noProof/>
          <w:sz w:val="24"/>
          <w:szCs w:val="24"/>
        </w:rPr>
        <w:drawing>
          <wp:inline distT="0" distB="0" distL="0" distR="0">
            <wp:extent cx="5757059" cy="2149434"/>
            <wp:effectExtent l="19050" t="0" r="15091" b="3216"/>
            <wp:docPr id="1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E62D5D" w:rsidRPr="0017614D" w:rsidRDefault="00E62D5D" w:rsidP="00E62D5D">
      <w:pPr>
        <w:spacing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Šis modelis visais metais visais nagrinėjamais metais visoms įmonėms parodė, ka</w:t>
      </w:r>
      <w:r>
        <w:rPr>
          <w:rFonts w:ascii="Times New Roman" w:hAnsi="Times New Roman" w:cs="Times New Roman"/>
          <w:sz w:val="24"/>
          <w:szCs w:val="24"/>
          <w:lang w:val="lt-LT"/>
        </w:rPr>
        <w:t>d jų būklė yra bloga ir joms gre</w:t>
      </w:r>
      <w:r w:rsidRPr="0017614D">
        <w:rPr>
          <w:rFonts w:ascii="Times New Roman" w:hAnsi="Times New Roman" w:cs="Times New Roman"/>
          <w:sz w:val="24"/>
          <w:szCs w:val="24"/>
          <w:lang w:val="lt-LT"/>
        </w:rPr>
        <w:t xml:space="preserve">sia didelė tikimybė bankrutuoti. Tai parodo, kad šis modelis neatskiria bankrutavusių </w:t>
      </w:r>
      <w:r w:rsidRPr="0017614D">
        <w:rPr>
          <w:rFonts w:ascii="Times New Roman" w:hAnsi="Times New Roman" w:cs="Times New Roman"/>
          <w:sz w:val="24"/>
          <w:szCs w:val="24"/>
          <w:lang w:val="lt-LT"/>
        </w:rPr>
        <w:lastRenderedPageBreak/>
        <w:t xml:space="preserve">įmonių nuo vis dar tebeveikiančių. Tokia situacija galėjo susiklostyti dėl to, kad šiame modelyje yra naudojami rodikliai, kuriuose figuruoja atsargos, nors transportavimo įmonės dažniausiai neturi atsargų ir nėra tikslinga spręsti apie jų būklę remiantis šituo veiksnių. </w:t>
      </w:r>
    </w:p>
    <w:p w:rsidR="003228C9" w:rsidRPr="0017614D" w:rsidRDefault="00820234" w:rsidP="003228C9">
      <w:pPr>
        <w:spacing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Be to mūsų ketu</w:t>
      </w:r>
      <w:r w:rsidR="003228C9" w:rsidRPr="0017614D">
        <w:rPr>
          <w:rFonts w:ascii="Times New Roman" w:hAnsi="Times New Roman" w:cs="Times New Roman"/>
          <w:sz w:val="24"/>
          <w:szCs w:val="24"/>
          <w:lang w:val="lt-LT"/>
        </w:rPr>
        <w:t>rioms nagrinėjamoms įmonėms buvo pritaikytas ir Chesser model</w:t>
      </w:r>
      <w:r w:rsidR="007553E7" w:rsidRPr="0017614D">
        <w:rPr>
          <w:rFonts w:ascii="Times New Roman" w:hAnsi="Times New Roman" w:cs="Times New Roman"/>
          <w:sz w:val="24"/>
          <w:szCs w:val="24"/>
          <w:lang w:val="lt-LT"/>
        </w:rPr>
        <w:t>is. Jo rezultatai yra parodyti 20</w:t>
      </w:r>
      <w:r w:rsidR="003228C9" w:rsidRPr="0017614D">
        <w:rPr>
          <w:rFonts w:ascii="Times New Roman" w:hAnsi="Times New Roman" w:cs="Times New Roman"/>
          <w:sz w:val="24"/>
          <w:szCs w:val="24"/>
          <w:lang w:val="lt-LT"/>
        </w:rPr>
        <w:t xml:space="preserve"> paveiksle. Pastebėtina kad pirmais metais šis modelis gerai įvertina bankrutavusias įmones, o tebeveikiančias priešingai. 2009 m. UAB „Achemarida“, UAB „Autoverslas“ ir UAB „Girteka“ yra prognozuojamas bankrotas, o 2010 m. – visoms bankrutavusioms įmonėms ir UAB „Autoverslas“. Tai parodo, kad šis modelis tinka transportavimo įmonių bankroto prognozavimui esant metams iki bankroto, tačiau jo kritinė reikšmė yra šiek tiek per griežta Lietuvos įmonėms.</w:t>
      </w:r>
    </w:p>
    <w:p w:rsidR="003228C9" w:rsidRPr="0017614D" w:rsidRDefault="003228C9" w:rsidP="003228C9">
      <w:pPr>
        <w:spacing w:line="360" w:lineRule="auto"/>
        <w:ind w:firstLine="720"/>
        <w:contextualSpacing/>
        <w:jc w:val="both"/>
        <w:rPr>
          <w:rFonts w:ascii="Times New Roman" w:hAnsi="Times New Roman" w:cs="Times New Roman"/>
          <w:sz w:val="24"/>
          <w:szCs w:val="24"/>
          <w:lang w:val="lt-LT"/>
        </w:rPr>
      </w:pPr>
    </w:p>
    <w:p w:rsidR="003228C9" w:rsidRPr="0017614D" w:rsidRDefault="007553E7" w:rsidP="003228C9">
      <w:pPr>
        <w:spacing w:after="0"/>
        <w:contextualSpacing/>
        <w:jc w:val="center"/>
        <w:rPr>
          <w:rFonts w:ascii="Times New Roman" w:hAnsi="Times New Roman" w:cs="Times New Roman"/>
          <w:b/>
          <w:lang w:val="lt-LT"/>
        </w:rPr>
      </w:pPr>
      <w:r w:rsidRPr="0017614D">
        <w:rPr>
          <w:rFonts w:ascii="Times New Roman" w:hAnsi="Times New Roman" w:cs="Times New Roman"/>
          <w:lang w:val="lt-LT"/>
        </w:rPr>
        <w:t>20</w:t>
      </w:r>
      <w:r w:rsidR="003228C9" w:rsidRPr="0017614D">
        <w:rPr>
          <w:rFonts w:ascii="Times New Roman" w:hAnsi="Times New Roman" w:cs="Times New Roman"/>
          <w:lang w:val="lt-LT"/>
        </w:rPr>
        <w:t xml:space="preserve"> pav.</w:t>
      </w:r>
      <w:r w:rsidR="003228C9" w:rsidRPr="0017614D">
        <w:rPr>
          <w:rFonts w:ascii="Times New Roman" w:hAnsi="Times New Roman" w:cs="Times New Roman"/>
          <w:b/>
          <w:lang w:val="lt-LT"/>
        </w:rPr>
        <w:t xml:space="preserve"> UAB „Achemarida“, UAB „Romas ir ko“, UAB „Girteka“ ir UAB „Autoverslas“ bankroto tikimybės apskaičiuotos Chesser modelio pagalba</w:t>
      </w:r>
    </w:p>
    <w:p w:rsidR="003228C9" w:rsidRPr="0017614D" w:rsidRDefault="003228C9" w:rsidP="003228C9">
      <w:pPr>
        <w:spacing w:line="360" w:lineRule="auto"/>
        <w:contextualSpacing/>
        <w:jc w:val="center"/>
        <w:rPr>
          <w:rFonts w:ascii="Times New Roman" w:hAnsi="Times New Roman" w:cs="Times New Roman"/>
          <w:sz w:val="24"/>
          <w:szCs w:val="24"/>
          <w:lang w:val="lt-LT"/>
        </w:rPr>
      </w:pPr>
      <w:r w:rsidRPr="0017614D">
        <w:rPr>
          <w:rFonts w:ascii="Times New Roman" w:hAnsi="Times New Roman" w:cs="Times New Roman"/>
          <w:noProof/>
          <w:sz w:val="24"/>
          <w:szCs w:val="24"/>
        </w:rPr>
        <w:drawing>
          <wp:inline distT="0" distB="0" distL="0" distR="0">
            <wp:extent cx="5863604" cy="2296632"/>
            <wp:effectExtent l="19050" t="0" r="22846" b="8418"/>
            <wp:docPr id="1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3228C9" w:rsidRPr="0017614D" w:rsidRDefault="003228C9" w:rsidP="003228C9">
      <w:pPr>
        <w:spacing w:line="360" w:lineRule="auto"/>
        <w:ind w:firstLine="720"/>
        <w:contextualSpacing/>
        <w:jc w:val="both"/>
        <w:rPr>
          <w:rFonts w:ascii="Times New Roman" w:hAnsi="Times New Roman" w:cs="Times New Roman"/>
          <w:sz w:val="24"/>
          <w:szCs w:val="24"/>
          <w:lang w:val="lt-LT"/>
        </w:rPr>
      </w:pPr>
    </w:p>
    <w:p w:rsidR="003228C9" w:rsidRPr="0017614D" w:rsidRDefault="003228C9" w:rsidP="00186457">
      <w:pPr>
        <w:spacing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Apibendrinant bankroto prognozavimo modelių taikymo tyrimą kaip kompleksinės bankroto grėsmės diagnozavimo meto</w:t>
      </w:r>
      <w:r w:rsidR="00545B5E" w:rsidRPr="0017614D">
        <w:rPr>
          <w:rFonts w:ascii="Times New Roman" w:hAnsi="Times New Roman" w:cs="Times New Roman"/>
          <w:sz w:val="24"/>
          <w:szCs w:val="24"/>
          <w:lang w:val="lt-LT"/>
        </w:rPr>
        <w:t>dikos elementą, nustatyta</w:t>
      </w:r>
      <w:r w:rsidRPr="0017614D">
        <w:rPr>
          <w:rFonts w:ascii="Times New Roman" w:hAnsi="Times New Roman" w:cs="Times New Roman"/>
          <w:sz w:val="24"/>
          <w:szCs w:val="24"/>
          <w:lang w:val="lt-LT"/>
        </w:rPr>
        <w:t xml:space="preserve">, kad šis elementas yra labai svarbus ir galintis atskleisti įmonei galimai artėjančią bankroto grėsmę, tačiau buvo pastebėta jau anksčiau pabrėžta problema, kad ne visi modeliai tinka šiam tikslui. Tyrimas parodė, kad tik pasirinkus tinkamą modelį, galima nuspėti bankroto tikimybę, nes, kaip jau matemė, kai kurie modeliai visiškai neparodo tiesos. Tyrimo metu buvo išsiaiškinta, kad transportavimo įmonėms visiškai netinka Zavgren modelis, jis visas įmonės vertina blogai, taip pat Liss modelio rezultatai buvo kontraversiški. Be to kai kurių modelių kritinės reikšmės turėtų būti pakoreguotos atsižvelgiant į Lietuvos įmones. Iš gautų rezultatų galime matyti, kad geriausiai transportavimo šakos įmonių bankroto prognozei tinka tiesinės diskriminatinės grupės modeliai. Altman modelis įvertina ilgesnio laikotarpio įmonės perspektyvą. Taip pat šiam tikslui </w:t>
      </w:r>
      <w:r w:rsidRPr="0017614D">
        <w:rPr>
          <w:rFonts w:ascii="Times New Roman" w:hAnsi="Times New Roman" w:cs="Times New Roman"/>
          <w:sz w:val="24"/>
          <w:szCs w:val="24"/>
          <w:lang w:val="lt-LT"/>
        </w:rPr>
        <w:lastRenderedPageBreak/>
        <w:t>yra tinkami Springate, Taffler ir Chesser modeli</w:t>
      </w:r>
      <w:r w:rsidR="00E62D5D">
        <w:rPr>
          <w:rFonts w:ascii="Times New Roman" w:hAnsi="Times New Roman" w:cs="Times New Roman"/>
          <w:sz w:val="24"/>
          <w:szCs w:val="24"/>
          <w:lang w:val="lt-LT"/>
        </w:rPr>
        <w:t>ai, tačiau jie nėra tokie tikslū</w:t>
      </w:r>
      <w:r w:rsidRPr="0017614D">
        <w:rPr>
          <w:rFonts w:ascii="Times New Roman" w:hAnsi="Times New Roman" w:cs="Times New Roman"/>
          <w:sz w:val="24"/>
          <w:szCs w:val="24"/>
          <w:lang w:val="lt-LT"/>
        </w:rPr>
        <w:t xml:space="preserve">s ir bankrotą galėtų  nuspėti tik prieš vienerius metus. </w:t>
      </w:r>
    </w:p>
    <w:p w:rsidR="00545B5E" w:rsidRPr="0017614D" w:rsidRDefault="00545B5E" w:rsidP="00186457">
      <w:pPr>
        <w:ind w:firstLine="720"/>
        <w:contextualSpacing/>
        <w:jc w:val="both"/>
        <w:rPr>
          <w:rFonts w:ascii="Times New Roman" w:hAnsi="Times New Roman" w:cs="Times New Roman"/>
          <w:sz w:val="24"/>
          <w:szCs w:val="24"/>
          <w:lang w:val="lt-LT"/>
        </w:rPr>
      </w:pPr>
    </w:p>
    <w:p w:rsidR="00E438BD" w:rsidRPr="0017614D" w:rsidRDefault="00E438BD" w:rsidP="00186457">
      <w:pPr>
        <w:pStyle w:val="Heading2"/>
        <w:contextualSpacing/>
        <w:rPr>
          <w:lang w:val="lt-LT"/>
        </w:rPr>
      </w:pPr>
      <w:bookmarkStart w:id="101" w:name="_Toc374655662"/>
      <w:r w:rsidRPr="0017614D">
        <w:rPr>
          <w:lang w:val="lt-LT"/>
        </w:rPr>
        <w:t>3.</w:t>
      </w:r>
      <w:r w:rsidR="007553E7" w:rsidRPr="0017614D">
        <w:rPr>
          <w:lang w:val="lt-LT"/>
        </w:rPr>
        <w:t>7</w:t>
      </w:r>
      <w:r w:rsidRPr="0017614D">
        <w:rPr>
          <w:lang w:val="lt-LT"/>
        </w:rPr>
        <w:t>. Post-diagnostinių priemonių pasirinkimas transportavimo įmonėms</w:t>
      </w:r>
      <w:bookmarkEnd w:id="101"/>
    </w:p>
    <w:p w:rsidR="00E438BD" w:rsidRPr="0017614D" w:rsidRDefault="00E438BD" w:rsidP="00186457">
      <w:pPr>
        <w:ind w:firstLine="720"/>
        <w:contextualSpacing/>
        <w:jc w:val="both"/>
        <w:rPr>
          <w:rFonts w:ascii="Times New Roman" w:hAnsi="Times New Roman" w:cs="Times New Roman"/>
          <w:sz w:val="24"/>
          <w:szCs w:val="24"/>
          <w:lang w:val="lt-LT"/>
        </w:rPr>
      </w:pPr>
    </w:p>
    <w:p w:rsidR="00CF04E2" w:rsidRPr="0017614D" w:rsidRDefault="0017614D" w:rsidP="000659AC">
      <w:pPr>
        <w:spacing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Laiku diagnozavus gre</w:t>
      </w:r>
      <w:r w:rsidR="00CF04E2" w:rsidRPr="0017614D">
        <w:rPr>
          <w:rFonts w:ascii="Times New Roman" w:hAnsi="Times New Roman" w:cs="Times New Roman"/>
          <w:sz w:val="24"/>
          <w:szCs w:val="24"/>
          <w:lang w:val="lt-LT"/>
        </w:rPr>
        <w:t xml:space="preserve">siantį bankrotą įmonės gali imtis tam tikrų veiksmų, kad </w:t>
      </w:r>
      <w:r w:rsidR="004F4894">
        <w:rPr>
          <w:rFonts w:ascii="Times New Roman" w:hAnsi="Times New Roman" w:cs="Times New Roman"/>
          <w:sz w:val="24"/>
          <w:szCs w:val="24"/>
          <w:lang w:val="lt-LT"/>
        </w:rPr>
        <w:t xml:space="preserve">galėtų </w:t>
      </w:r>
      <w:r w:rsidR="00CF04E2" w:rsidRPr="0017614D">
        <w:rPr>
          <w:rFonts w:ascii="Times New Roman" w:hAnsi="Times New Roman" w:cs="Times New Roman"/>
          <w:sz w:val="24"/>
          <w:szCs w:val="24"/>
          <w:lang w:val="lt-LT"/>
        </w:rPr>
        <w:t>pagerinti savo finansinę būklę bei išvengti galimos grėsmės.</w:t>
      </w:r>
      <w:r w:rsidR="000659AC" w:rsidRPr="0017614D">
        <w:rPr>
          <w:rFonts w:ascii="Times New Roman" w:hAnsi="Times New Roman" w:cs="Times New Roman"/>
          <w:sz w:val="24"/>
          <w:szCs w:val="24"/>
          <w:lang w:val="lt-LT"/>
        </w:rPr>
        <w:t xml:space="preserve"> </w:t>
      </w:r>
      <w:r w:rsidR="00CF04E2" w:rsidRPr="0017614D">
        <w:rPr>
          <w:rFonts w:ascii="Times New Roman" w:hAnsi="Times New Roman" w:cs="Times New Roman"/>
          <w:sz w:val="24"/>
          <w:szCs w:val="24"/>
          <w:lang w:val="lt-LT"/>
        </w:rPr>
        <w:t xml:space="preserve">Mūsų </w:t>
      </w:r>
      <w:r w:rsidR="00314E83" w:rsidRPr="0017614D">
        <w:rPr>
          <w:rFonts w:ascii="Times New Roman" w:hAnsi="Times New Roman" w:cs="Times New Roman"/>
          <w:sz w:val="24"/>
          <w:szCs w:val="24"/>
          <w:lang w:val="lt-LT"/>
        </w:rPr>
        <w:t>tyrimo</w:t>
      </w:r>
      <w:r w:rsidR="00CF04E2" w:rsidRPr="0017614D">
        <w:rPr>
          <w:rFonts w:ascii="Times New Roman" w:hAnsi="Times New Roman" w:cs="Times New Roman"/>
          <w:sz w:val="24"/>
          <w:szCs w:val="24"/>
          <w:lang w:val="lt-LT"/>
        </w:rPr>
        <w:t xml:space="preserve"> atveju post-diagnostinės priemonės gali būti taikomos tik UAB „Girteka“ ir UAB „Autoverslas“, </w:t>
      </w:r>
      <w:r w:rsidR="00314E83" w:rsidRPr="0017614D">
        <w:rPr>
          <w:rFonts w:ascii="Times New Roman" w:hAnsi="Times New Roman" w:cs="Times New Roman"/>
          <w:sz w:val="24"/>
          <w:szCs w:val="24"/>
          <w:lang w:val="lt-LT"/>
        </w:rPr>
        <w:t>kadangi kitos dvi įmonės jau bankrutavo.</w:t>
      </w:r>
    </w:p>
    <w:p w:rsidR="00314E83" w:rsidRPr="0017614D" w:rsidRDefault="00A72BB5" w:rsidP="001F7242">
      <w:pPr>
        <w:spacing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N</w:t>
      </w:r>
      <w:r w:rsidR="000659AC" w:rsidRPr="0017614D">
        <w:rPr>
          <w:rFonts w:ascii="Times New Roman" w:hAnsi="Times New Roman" w:cs="Times New Roman"/>
          <w:sz w:val="24"/>
          <w:szCs w:val="24"/>
          <w:lang w:val="lt-LT"/>
        </w:rPr>
        <w:t xml:space="preserve">agrinėjant UAB „Girteka“ finansinius rodiklius buvo pastebėta, kad įmonės skolos </w:t>
      </w:r>
      <w:r w:rsidRPr="0017614D">
        <w:rPr>
          <w:rFonts w:ascii="Times New Roman" w:hAnsi="Times New Roman" w:cs="Times New Roman"/>
          <w:sz w:val="24"/>
          <w:szCs w:val="24"/>
          <w:lang w:val="lt-LT"/>
        </w:rPr>
        <w:t>stipriai padidėjo</w:t>
      </w:r>
      <w:r w:rsidR="000659AC" w:rsidRPr="0017614D">
        <w:rPr>
          <w:rFonts w:ascii="Times New Roman" w:hAnsi="Times New Roman" w:cs="Times New Roman"/>
          <w:sz w:val="24"/>
          <w:szCs w:val="24"/>
          <w:lang w:val="lt-LT"/>
        </w:rPr>
        <w:t>, kas gali lemti mokumo problemas</w:t>
      </w:r>
      <w:r w:rsidRPr="0017614D">
        <w:rPr>
          <w:rFonts w:ascii="Times New Roman" w:hAnsi="Times New Roman" w:cs="Times New Roman"/>
          <w:sz w:val="24"/>
          <w:szCs w:val="24"/>
          <w:lang w:val="lt-LT"/>
        </w:rPr>
        <w:t xml:space="preserve"> ateityje, t</w:t>
      </w:r>
      <w:r w:rsidR="000659AC" w:rsidRPr="0017614D">
        <w:rPr>
          <w:rFonts w:ascii="Times New Roman" w:hAnsi="Times New Roman" w:cs="Times New Roman"/>
          <w:sz w:val="24"/>
          <w:szCs w:val="24"/>
          <w:lang w:val="lt-LT"/>
        </w:rPr>
        <w:t xml:space="preserve">aip pat </w:t>
      </w:r>
      <w:r w:rsidRPr="0017614D">
        <w:rPr>
          <w:rFonts w:ascii="Times New Roman" w:hAnsi="Times New Roman" w:cs="Times New Roman"/>
          <w:sz w:val="24"/>
          <w:szCs w:val="24"/>
          <w:lang w:val="lt-LT"/>
        </w:rPr>
        <w:t>visi įmonės pelnigumo rodikliai nesiekė Lietuvos vidurkio. Be to keli bankroto prognozavimo</w:t>
      </w:r>
      <w:r w:rsidR="00E62D5D">
        <w:rPr>
          <w:rFonts w:ascii="Times New Roman" w:hAnsi="Times New Roman" w:cs="Times New Roman"/>
          <w:sz w:val="24"/>
          <w:szCs w:val="24"/>
          <w:lang w:val="lt-LT"/>
        </w:rPr>
        <w:t xml:space="preserve"> modeliai parodė, kad įmonei gre</w:t>
      </w:r>
      <w:r w:rsidRPr="0017614D">
        <w:rPr>
          <w:rFonts w:ascii="Times New Roman" w:hAnsi="Times New Roman" w:cs="Times New Roman"/>
          <w:sz w:val="24"/>
          <w:szCs w:val="24"/>
          <w:lang w:val="lt-LT"/>
        </w:rPr>
        <w:t xml:space="preserve">sia vidutinė tikimybė bankrutuoti. Visa tai signalizuoja, kad jei įmonė nesiims tam tikrų veiksmų, ateityje jai gali grėsti bankrotas. </w:t>
      </w:r>
      <w:r w:rsidR="004F4894">
        <w:rPr>
          <w:rFonts w:ascii="Times New Roman" w:hAnsi="Times New Roman" w:cs="Times New Roman"/>
          <w:sz w:val="24"/>
          <w:szCs w:val="24"/>
          <w:lang w:val="lt-LT"/>
        </w:rPr>
        <w:t>Siekiant</w:t>
      </w:r>
      <w:r w:rsidRPr="0017614D">
        <w:rPr>
          <w:rFonts w:ascii="Times New Roman" w:hAnsi="Times New Roman" w:cs="Times New Roman"/>
          <w:sz w:val="24"/>
          <w:szCs w:val="24"/>
          <w:lang w:val="lt-LT"/>
        </w:rPr>
        <w:t xml:space="preserve"> jo išvengti UAB „Girteka“ yra siūloma imtis tiek operatyvinių</w:t>
      </w:r>
      <w:r w:rsidR="004F4894">
        <w:rPr>
          <w:rFonts w:ascii="Times New Roman" w:hAnsi="Times New Roman" w:cs="Times New Roman"/>
          <w:sz w:val="24"/>
          <w:szCs w:val="24"/>
          <w:lang w:val="lt-LT"/>
        </w:rPr>
        <w:t>, tiek strateginių priemonių. Visų pirma</w:t>
      </w:r>
      <w:r w:rsidR="001F7242" w:rsidRPr="0017614D">
        <w:rPr>
          <w:rFonts w:ascii="Times New Roman" w:hAnsi="Times New Roman" w:cs="Times New Roman"/>
          <w:sz w:val="24"/>
          <w:szCs w:val="24"/>
          <w:lang w:val="lt-LT"/>
        </w:rPr>
        <w:t>, įmonei verta peržiūrėti savo paslaugų savikain</w:t>
      </w:r>
      <w:r w:rsidR="004F4894">
        <w:rPr>
          <w:rFonts w:ascii="Times New Roman" w:hAnsi="Times New Roman" w:cs="Times New Roman"/>
          <w:sz w:val="24"/>
          <w:szCs w:val="24"/>
          <w:lang w:val="lt-LT"/>
        </w:rPr>
        <w:t>ą bei priskaičiuoj</w:t>
      </w:r>
      <w:r w:rsidR="001F7242" w:rsidRPr="0017614D">
        <w:rPr>
          <w:rFonts w:ascii="Times New Roman" w:hAnsi="Times New Roman" w:cs="Times New Roman"/>
          <w:sz w:val="24"/>
          <w:szCs w:val="24"/>
          <w:lang w:val="lt-LT"/>
        </w:rPr>
        <w:t>amą antkainį. Suradus galimybę sumažinti savikainą arba padidinti antkainį, įmonė padidintų savo peln</w:t>
      </w:r>
      <w:r w:rsidR="004F4894">
        <w:rPr>
          <w:rFonts w:ascii="Times New Roman" w:hAnsi="Times New Roman" w:cs="Times New Roman"/>
          <w:sz w:val="24"/>
          <w:szCs w:val="24"/>
          <w:lang w:val="lt-LT"/>
        </w:rPr>
        <w:t>ą ir taip galėtų jaustis saugi</w:t>
      </w:r>
      <w:r w:rsidR="001F7242" w:rsidRPr="0017614D">
        <w:rPr>
          <w:rFonts w:ascii="Times New Roman" w:hAnsi="Times New Roman" w:cs="Times New Roman"/>
          <w:sz w:val="24"/>
          <w:szCs w:val="24"/>
          <w:lang w:val="lt-LT"/>
        </w:rPr>
        <w:t xml:space="preserve">au. </w:t>
      </w:r>
      <w:r w:rsidR="00341455" w:rsidRPr="0017614D">
        <w:rPr>
          <w:rFonts w:ascii="Times New Roman" w:hAnsi="Times New Roman" w:cs="Times New Roman"/>
          <w:sz w:val="24"/>
          <w:szCs w:val="24"/>
          <w:lang w:val="lt-LT"/>
        </w:rPr>
        <w:t>Taip pat įmonei, turinčiai daugiau nei 800 darbuotojų, būtų naudinga sustiprinti kontrolės sistemą, taip išvengiant netekimų, grobstymų bei padidinant darbo skaidrumą</w:t>
      </w:r>
      <w:r w:rsidR="00087BF1" w:rsidRPr="0017614D">
        <w:rPr>
          <w:rFonts w:ascii="Times New Roman" w:hAnsi="Times New Roman" w:cs="Times New Roman"/>
          <w:sz w:val="24"/>
          <w:szCs w:val="24"/>
          <w:lang w:val="lt-LT"/>
        </w:rPr>
        <w:t xml:space="preserve"> ir teikiamų paslaugų kokybę</w:t>
      </w:r>
      <w:r w:rsidR="00341455" w:rsidRPr="0017614D">
        <w:rPr>
          <w:rFonts w:ascii="Times New Roman" w:hAnsi="Times New Roman" w:cs="Times New Roman"/>
          <w:sz w:val="24"/>
          <w:szCs w:val="24"/>
          <w:lang w:val="lt-LT"/>
        </w:rPr>
        <w:t xml:space="preserve">. </w:t>
      </w:r>
      <w:r w:rsidR="001F7242" w:rsidRPr="0017614D">
        <w:rPr>
          <w:rFonts w:ascii="Times New Roman" w:hAnsi="Times New Roman" w:cs="Times New Roman"/>
          <w:sz w:val="24"/>
          <w:szCs w:val="24"/>
          <w:lang w:val="lt-LT"/>
        </w:rPr>
        <w:t>Tuo tarpu kalbant apie strategines priemones, n</w:t>
      </w:r>
      <w:r w:rsidRPr="0017614D">
        <w:rPr>
          <w:rFonts w:ascii="Times New Roman" w:hAnsi="Times New Roman" w:cs="Times New Roman"/>
          <w:sz w:val="24"/>
          <w:szCs w:val="24"/>
          <w:lang w:val="lt-LT"/>
        </w:rPr>
        <w:t>agrinėjant UAB „Girteka“ rodiklius bei finansi</w:t>
      </w:r>
      <w:r w:rsidR="001F7242" w:rsidRPr="0017614D">
        <w:rPr>
          <w:rFonts w:ascii="Times New Roman" w:hAnsi="Times New Roman" w:cs="Times New Roman"/>
          <w:sz w:val="24"/>
          <w:szCs w:val="24"/>
          <w:lang w:val="lt-LT"/>
        </w:rPr>
        <w:t>nę būklę, buvo pastebėta, kad</w:t>
      </w:r>
      <w:r w:rsidRPr="0017614D">
        <w:rPr>
          <w:rFonts w:ascii="Times New Roman" w:hAnsi="Times New Roman" w:cs="Times New Roman"/>
          <w:sz w:val="24"/>
          <w:szCs w:val="24"/>
          <w:lang w:val="lt-LT"/>
        </w:rPr>
        <w:t xml:space="preserve"> įmonė, pasibaigus finansinei krizei jau pradėjo taikyti </w:t>
      </w:r>
      <w:r w:rsidR="001F7242" w:rsidRPr="0017614D">
        <w:rPr>
          <w:rFonts w:ascii="Times New Roman" w:hAnsi="Times New Roman" w:cs="Times New Roman"/>
          <w:sz w:val="24"/>
          <w:szCs w:val="24"/>
          <w:lang w:val="lt-LT"/>
        </w:rPr>
        <w:t>tokias.</w:t>
      </w:r>
      <w:r w:rsidRPr="0017614D">
        <w:rPr>
          <w:rFonts w:ascii="Times New Roman" w:hAnsi="Times New Roman" w:cs="Times New Roman"/>
          <w:sz w:val="24"/>
          <w:szCs w:val="24"/>
          <w:lang w:val="lt-LT"/>
        </w:rPr>
        <w:t xml:space="preserve"> </w:t>
      </w:r>
      <w:r w:rsidR="001F7242" w:rsidRPr="0017614D">
        <w:rPr>
          <w:rFonts w:ascii="Times New Roman" w:hAnsi="Times New Roman" w:cs="Times New Roman"/>
          <w:sz w:val="24"/>
          <w:szCs w:val="24"/>
          <w:lang w:val="lt-LT"/>
        </w:rPr>
        <w:t>S</w:t>
      </w:r>
      <w:r w:rsidRPr="0017614D">
        <w:rPr>
          <w:rFonts w:ascii="Times New Roman" w:hAnsi="Times New Roman" w:cs="Times New Roman"/>
          <w:sz w:val="24"/>
          <w:szCs w:val="24"/>
          <w:lang w:val="lt-LT"/>
        </w:rPr>
        <w:t>iekiant pagerinti savo būklę,</w:t>
      </w:r>
      <w:r w:rsidR="001F7242" w:rsidRPr="0017614D">
        <w:rPr>
          <w:rFonts w:ascii="Times New Roman" w:hAnsi="Times New Roman" w:cs="Times New Roman"/>
          <w:sz w:val="24"/>
          <w:szCs w:val="24"/>
          <w:lang w:val="lt-LT"/>
        </w:rPr>
        <w:t xml:space="preserve"> UAB „Girteka“ paėmė paskolą su tikslu investuoti</w:t>
      </w:r>
      <w:r w:rsidRPr="0017614D">
        <w:rPr>
          <w:rFonts w:ascii="Times New Roman" w:hAnsi="Times New Roman" w:cs="Times New Roman"/>
          <w:sz w:val="24"/>
          <w:szCs w:val="24"/>
          <w:lang w:val="lt-LT"/>
        </w:rPr>
        <w:t xml:space="preserve"> į </w:t>
      </w:r>
      <w:r w:rsidR="001F7242" w:rsidRPr="0017614D">
        <w:rPr>
          <w:rFonts w:ascii="Times New Roman" w:hAnsi="Times New Roman" w:cs="Times New Roman"/>
          <w:sz w:val="24"/>
          <w:szCs w:val="24"/>
          <w:lang w:val="lt-LT"/>
        </w:rPr>
        <w:t xml:space="preserve">naujas technologijas bei </w:t>
      </w:r>
      <w:r w:rsidRPr="0017614D">
        <w:rPr>
          <w:rFonts w:ascii="Times New Roman" w:hAnsi="Times New Roman" w:cs="Times New Roman"/>
          <w:sz w:val="24"/>
          <w:szCs w:val="24"/>
          <w:lang w:val="lt-LT"/>
        </w:rPr>
        <w:t>veiklos plėtrą.</w:t>
      </w:r>
      <w:r w:rsidR="001F7242" w:rsidRPr="0017614D">
        <w:rPr>
          <w:rFonts w:ascii="Times New Roman" w:hAnsi="Times New Roman" w:cs="Times New Roman"/>
          <w:sz w:val="24"/>
          <w:szCs w:val="24"/>
          <w:lang w:val="lt-LT"/>
        </w:rPr>
        <w:t xml:space="preserve"> Atitinkamai, dėl šios priežasties pablogėjo įmonės skolos rodikliai, tačiau investicijai pasiteisinus </w:t>
      </w:r>
      <w:r w:rsidR="00341455" w:rsidRPr="0017614D">
        <w:rPr>
          <w:rFonts w:ascii="Times New Roman" w:hAnsi="Times New Roman" w:cs="Times New Roman"/>
          <w:sz w:val="24"/>
          <w:szCs w:val="24"/>
          <w:lang w:val="lt-LT"/>
        </w:rPr>
        <w:t>paskolos bus grąžintos.</w:t>
      </w:r>
    </w:p>
    <w:p w:rsidR="00341455" w:rsidRPr="0017614D" w:rsidRDefault="00341455" w:rsidP="001F7242">
      <w:pPr>
        <w:spacing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Kalbant apie kitą veikiančią įmonę UAB „Autoverslas“, tyrimo metu buvo pastebėtos panašios problemos kaip ir jau aptartai UAB „Girteka“. Įmonė taip pat turėtų skirti daugiau dėmesio paslaugų savikainai bei antkainiui, įvesti griežtą kontrolės sistemą. Be to</w:t>
      </w:r>
      <w:r w:rsidR="004F4894">
        <w:rPr>
          <w:rFonts w:ascii="Times New Roman" w:hAnsi="Times New Roman" w:cs="Times New Roman"/>
          <w:sz w:val="24"/>
          <w:szCs w:val="24"/>
          <w:lang w:val="lt-LT"/>
        </w:rPr>
        <w:t>, įmonei siūloma peržvelg</w:t>
      </w:r>
      <w:r w:rsidRPr="0017614D">
        <w:rPr>
          <w:rFonts w:ascii="Times New Roman" w:hAnsi="Times New Roman" w:cs="Times New Roman"/>
          <w:sz w:val="24"/>
          <w:szCs w:val="24"/>
          <w:lang w:val="lt-LT"/>
        </w:rPr>
        <w:t>ti turimą ilgalaikį turtą</w:t>
      </w:r>
      <w:r w:rsidR="004F4894">
        <w:rPr>
          <w:rFonts w:ascii="Times New Roman" w:hAnsi="Times New Roman" w:cs="Times New Roman"/>
          <w:sz w:val="24"/>
          <w:szCs w:val="24"/>
          <w:lang w:val="lt-LT"/>
        </w:rPr>
        <w:t xml:space="preserve"> bei</w:t>
      </w:r>
      <w:r w:rsidR="00087BF1" w:rsidRPr="0017614D">
        <w:rPr>
          <w:rFonts w:ascii="Times New Roman" w:hAnsi="Times New Roman" w:cs="Times New Roman"/>
          <w:sz w:val="24"/>
          <w:szCs w:val="24"/>
          <w:lang w:val="lt-LT"/>
        </w:rPr>
        <w:t xml:space="preserve"> atsikratyti</w:t>
      </w:r>
      <w:r w:rsidR="004F4894">
        <w:rPr>
          <w:rFonts w:ascii="Times New Roman" w:hAnsi="Times New Roman" w:cs="Times New Roman"/>
          <w:sz w:val="24"/>
          <w:szCs w:val="24"/>
          <w:lang w:val="lt-LT"/>
        </w:rPr>
        <w:t xml:space="preserve"> to, kuris yra nenaudojamas veikloje</w:t>
      </w:r>
      <w:r w:rsidR="00087BF1" w:rsidRPr="0017614D">
        <w:rPr>
          <w:rFonts w:ascii="Times New Roman" w:hAnsi="Times New Roman" w:cs="Times New Roman"/>
          <w:sz w:val="24"/>
          <w:szCs w:val="24"/>
          <w:lang w:val="lt-LT"/>
        </w:rPr>
        <w:t xml:space="preserve"> ir ne</w:t>
      </w:r>
      <w:r w:rsidR="004F4894">
        <w:rPr>
          <w:rFonts w:ascii="Times New Roman" w:hAnsi="Times New Roman" w:cs="Times New Roman"/>
          <w:sz w:val="24"/>
          <w:szCs w:val="24"/>
          <w:lang w:val="lt-LT"/>
        </w:rPr>
        <w:t>generuoja</w:t>
      </w:r>
      <w:r w:rsidR="00087BF1" w:rsidRPr="0017614D">
        <w:rPr>
          <w:rFonts w:ascii="Times New Roman" w:hAnsi="Times New Roman" w:cs="Times New Roman"/>
          <w:sz w:val="24"/>
          <w:szCs w:val="24"/>
          <w:lang w:val="lt-LT"/>
        </w:rPr>
        <w:t xml:space="preserve"> pelno, taip siekiant padidinti turto pelningumą.</w:t>
      </w:r>
      <w:r w:rsidRPr="0017614D">
        <w:rPr>
          <w:rFonts w:ascii="Times New Roman" w:hAnsi="Times New Roman" w:cs="Times New Roman"/>
          <w:sz w:val="24"/>
          <w:szCs w:val="24"/>
          <w:lang w:val="lt-LT"/>
        </w:rPr>
        <w:t xml:space="preserve"> Iš strateginių priemonių UAB „Autoverslas“ </w:t>
      </w:r>
      <w:r w:rsidR="00087BF1" w:rsidRPr="0017614D">
        <w:rPr>
          <w:rFonts w:ascii="Times New Roman" w:hAnsi="Times New Roman" w:cs="Times New Roman"/>
          <w:sz w:val="24"/>
          <w:szCs w:val="24"/>
          <w:lang w:val="lt-LT"/>
        </w:rPr>
        <w:t xml:space="preserve">yra siūoma nuolat tirti rinką, ieškant naujų nišų bei galimybių plėstis.  </w:t>
      </w:r>
      <w:r w:rsidRPr="0017614D">
        <w:rPr>
          <w:rFonts w:ascii="Times New Roman" w:hAnsi="Times New Roman" w:cs="Times New Roman"/>
          <w:sz w:val="24"/>
          <w:szCs w:val="24"/>
          <w:lang w:val="lt-LT"/>
        </w:rPr>
        <w:t xml:space="preserve"> </w:t>
      </w:r>
    </w:p>
    <w:p w:rsidR="00087BF1" w:rsidRPr="0017614D" w:rsidRDefault="00087BF1" w:rsidP="001F7242">
      <w:pPr>
        <w:spacing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Taigi apibendrinant galima sakyti, kad įmonės bankroto grėsmės diagnozavimo metodikos taikymas neturi pasibaigti ties įmonės analize, suradus problemines sritis būtina taikyti post-diagnostines priemones siekiant padidinti įmonės veiklos efektyvumą ir pelningumą. Abiems tebeveikiančioms </w:t>
      </w:r>
      <w:r w:rsidRPr="0017614D">
        <w:rPr>
          <w:rFonts w:ascii="Times New Roman" w:hAnsi="Times New Roman" w:cs="Times New Roman"/>
          <w:sz w:val="24"/>
          <w:szCs w:val="24"/>
          <w:lang w:val="lt-LT"/>
        </w:rPr>
        <w:lastRenderedPageBreak/>
        <w:t xml:space="preserve">įmonėms yra siūloma susitvarkyti savo mažo pelningumo problemas, peržiūrint sąnaudas, antkainį bei turtą, sustiprinti vidinę kontrolę bei ieškoti galimybių plėstis. </w:t>
      </w:r>
    </w:p>
    <w:p w:rsidR="003228C9" w:rsidRPr="0017614D" w:rsidRDefault="003228C9" w:rsidP="003228C9">
      <w:pPr>
        <w:spacing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Prita</w:t>
      </w:r>
      <w:r w:rsidR="00087BF1" w:rsidRPr="0017614D">
        <w:rPr>
          <w:rFonts w:ascii="Times New Roman" w:hAnsi="Times New Roman" w:cs="Times New Roman"/>
          <w:sz w:val="24"/>
          <w:szCs w:val="24"/>
          <w:lang w:val="lt-LT"/>
        </w:rPr>
        <w:t>ikius visus šešis</w:t>
      </w:r>
      <w:r w:rsidR="00697522" w:rsidRPr="0017614D">
        <w:rPr>
          <w:rFonts w:ascii="Times New Roman" w:hAnsi="Times New Roman" w:cs="Times New Roman"/>
          <w:sz w:val="24"/>
          <w:szCs w:val="24"/>
          <w:lang w:val="lt-LT"/>
        </w:rPr>
        <w:t xml:space="preserve"> kompleksinės</w:t>
      </w:r>
      <w:r w:rsidRPr="0017614D">
        <w:rPr>
          <w:rFonts w:ascii="Times New Roman" w:hAnsi="Times New Roman" w:cs="Times New Roman"/>
          <w:sz w:val="24"/>
          <w:szCs w:val="24"/>
          <w:lang w:val="lt-LT"/>
        </w:rPr>
        <w:t xml:space="preserve"> bankroto grėsmės diagnozavimo metodikos elementus, galima apibendrinti, kad šis tyrimas parodė, jog bankrutavusiai įmonei UAB „Achemarida“ jau 2008 m. galima buvo prognozuoti bankrotą. Tiek kiekybinė, tiek kokybinė analizė parodė, kad ši įmonė s</w:t>
      </w:r>
      <w:r w:rsidR="00CF04E2" w:rsidRPr="0017614D">
        <w:rPr>
          <w:rFonts w:ascii="Times New Roman" w:hAnsi="Times New Roman" w:cs="Times New Roman"/>
          <w:sz w:val="24"/>
          <w:szCs w:val="24"/>
          <w:lang w:val="lt-LT"/>
        </w:rPr>
        <w:t>usidūrė su problemomis. Kiek ki</w:t>
      </w:r>
      <w:r w:rsidRPr="0017614D">
        <w:rPr>
          <w:rFonts w:ascii="Times New Roman" w:hAnsi="Times New Roman" w:cs="Times New Roman"/>
          <w:sz w:val="24"/>
          <w:szCs w:val="24"/>
          <w:lang w:val="lt-LT"/>
        </w:rPr>
        <w:t>tokia situacija yra su UAB „Romas ir ko“. Šios įmonės finansiniai rodikliai nebuvo labai blogi, o dažnas bankroto prognozavimo modelis įvertino būklę kaip gerą, tačiau kokybinė analizė parodė, kad įmonė nebuvo tinkamai valdoma ir krizės metų jos vadovui nepavyko priimti teisingų strateginių sprendimų. Tuo tarpu vertinant tebeveikiančias įmones buvo pastebėta, kad 2008-2009 m. dauguma įmonių finansinių rodiklių buvo blogi, o ir bankroto prognozavimo modeliai nerodė labai optimistiškų prognozių, tačiau kokybinės analizės metu buvo pastebėta, kad įmonės investavo į savo veiklą, pirko naujus automobilius ir teisingų sprendimų dėka ne tik savo veiklą tęsė, bet ir 2010 m. parodė puikius finansinius rezultatus.</w:t>
      </w:r>
    </w:p>
    <w:p w:rsidR="00A43056" w:rsidRPr="0017614D" w:rsidRDefault="00FB72DB" w:rsidP="00A43056">
      <w:pPr>
        <w:spacing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Vertinant kiekvieną šios metodikos elementą atskirai buvo pastebėta, kad nagrinėjant įmonių vidaus ir įšorės aplinkas, yra tik išsiaiškinami veiksniai, kurie gali sąlygoti įmonės bankrotą, bet šių veiksnių egzistavimas dar nereiški</w:t>
      </w:r>
      <w:r w:rsidR="00E62D5D">
        <w:rPr>
          <w:rFonts w:ascii="Times New Roman" w:hAnsi="Times New Roman" w:cs="Times New Roman"/>
          <w:sz w:val="24"/>
          <w:szCs w:val="24"/>
          <w:lang w:val="lt-LT"/>
        </w:rPr>
        <w:t>a, kad įmonei iš tikrųjų jis gre</w:t>
      </w:r>
      <w:r w:rsidRPr="0017614D">
        <w:rPr>
          <w:rFonts w:ascii="Times New Roman" w:hAnsi="Times New Roman" w:cs="Times New Roman"/>
          <w:sz w:val="24"/>
          <w:szCs w:val="24"/>
          <w:lang w:val="lt-LT"/>
        </w:rPr>
        <w:t xml:space="preserve">sia. </w:t>
      </w:r>
      <w:r w:rsidR="00057B32" w:rsidRPr="0017614D">
        <w:rPr>
          <w:rFonts w:ascii="Times New Roman" w:hAnsi="Times New Roman" w:cs="Times New Roman"/>
          <w:sz w:val="24"/>
          <w:szCs w:val="24"/>
          <w:lang w:val="lt-LT"/>
        </w:rPr>
        <w:t>Todėl galima</w:t>
      </w:r>
      <w:r w:rsidR="00B2220B" w:rsidRPr="0017614D">
        <w:rPr>
          <w:rFonts w:ascii="Times New Roman" w:hAnsi="Times New Roman" w:cs="Times New Roman"/>
          <w:sz w:val="24"/>
          <w:szCs w:val="24"/>
          <w:lang w:val="lt-LT"/>
        </w:rPr>
        <w:t xml:space="preserve"> sakyti, kad kokybinė analizė yra</w:t>
      </w:r>
      <w:r w:rsidR="00057B32" w:rsidRPr="0017614D">
        <w:rPr>
          <w:rFonts w:ascii="Times New Roman" w:hAnsi="Times New Roman" w:cs="Times New Roman"/>
          <w:sz w:val="24"/>
          <w:szCs w:val="24"/>
          <w:lang w:val="lt-LT"/>
        </w:rPr>
        <w:t xml:space="preserve"> puikus papildinys kitoms analizėms, bet vien ja vadovaujantis </w:t>
      </w:r>
      <w:r w:rsidR="00B2220B" w:rsidRPr="0017614D">
        <w:rPr>
          <w:rFonts w:ascii="Times New Roman" w:hAnsi="Times New Roman" w:cs="Times New Roman"/>
          <w:sz w:val="24"/>
          <w:szCs w:val="24"/>
          <w:lang w:val="lt-LT"/>
        </w:rPr>
        <w:t>daryti išvadų</w:t>
      </w:r>
      <w:r w:rsidR="00057B32" w:rsidRPr="0017614D">
        <w:rPr>
          <w:rFonts w:ascii="Times New Roman" w:hAnsi="Times New Roman" w:cs="Times New Roman"/>
          <w:sz w:val="24"/>
          <w:szCs w:val="24"/>
          <w:lang w:val="lt-LT"/>
        </w:rPr>
        <w:t xml:space="preserve"> apie bankroto </w:t>
      </w:r>
      <w:r w:rsidR="00B2220B" w:rsidRPr="0017614D">
        <w:rPr>
          <w:rFonts w:ascii="Times New Roman" w:hAnsi="Times New Roman" w:cs="Times New Roman"/>
          <w:sz w:val="24"/>
          <w:szCs w:val="24"/>
          <w:lang w:val="lt-LT"/>
        </w:rPr>
        <w:t>grėsmę negalima</w:t>
      </w:r>
      <w:r w:rsidR="00057B32" w:rsidRPr="0017614D">
        <w:rPr>
          <w:rFonts w:ascii="Times New Roman" w:hAnsi="Times New Roman" w:cs="Times New Roman"/>
          <w:sz w:val="24"/>
          <w:szCs w:val="24"/>
          <w:lang w:val="lt-LT"/>
        </w:rPr>
        <w:t xml:space="preserve">. </w:t>
      </w:r>
      <w:r w:rsidR="00B2220B" w:rsidRPr="0017614D">
        <w:rPr>
          <w:rFonts w:ascii="Times New Roman" w:hAnsi="Times New Roman" w:cs="Times New Roman"/>
          <w:sz w:val="24"/>
          <w:szCs w:val="24"/>
          <w:lang w:val="lt-LT"/>
        </w:rPr>
        <w:t>N</w:t>
      </w:r>
      <w:r w:rsidR="00057B32" w:rsidRPr="0017614D">
        <w:rPr>
          <w:rFonts w:ascii="Times New Roman" w:hAnsi="Times New Roman" w:cs="Times New Roman"/>
          <w:sz w:val="24"/>
          <w:szCs w:val="24"/>
          <w:lang w:val="lt-LT"/>
        </w:rPr>
        <w:t>agrinėjant absoliutinių finansini</w:t>
      </w:r>
      <w:r w:rsidR="00B2220B" w:rsidRPr="0017614D">
        <w:rPr>
          <w:rFonts w:ascii="Times New Roman" w:hAnsi="Times New Roman" w:cs="Times New Roman"/>
          <w:sz w:val="24"/>
          <w:szCs w:val="24"/>
          <w:lang w:val="lt-LT"/>
        </w:rPr>
        <w:t>us</w:t>
      </w:r>
      <w:r w:rsidR="00057B32" w:rsidRPr="0017614D">
        <w:rPr>
          <w:rFonts w:ascii="Times New Roman" w:hAnsi="Times New Roman" w:cs="Times New Roman"/>
          <w:sz w:val="24"/>
          <w:szCs w:val="24"/>
          <w:lang w:val="lt-LT"/>
        </w:rPr>
        <w:t xml:space="preserve"> rodikli</w:t>
      </w:r>
      <w:r w:rsidR="00B70FA8" w:rsidRPr="0017614D">
        <w:rPr>
          <w:rFonts w:ascii="Times New Roman" w:hAnsi="Times New Roman" w:cs="Times New Roman"/>
          <w:sz w:val="24"/>
          <w:szCs w:val="24"/>
          <w:lang w:val="lt-LT"/>
        </w:rPr>
        <w:t>us yra peržiūrimi visi finansinių ataskaitų straipsniai bei jų pokyčiai, tačiau vėlgi buvo pastebėta, kad pamačius stiprų vieno arba kito rodiklio pokytį, negalima vienareikšmiškai teigti, kad tai yra blogai. Pavyzdžiui, ženkliai padidėjęs ilgalaikis turtas gali reikšti tiek naują investiciją, tiek įšaldytus pinigus, todėl akivaizdu, kad šis analizės būdas turi būti jungiamas kartu su kokybine analize.</w:t>
      </w:r>
      <w:r w:rsidR="0053699B" w:rsidRPr="0017614D">
        <w:rPr>
          <w:rFonts w:ascii="Times New Roman" w:hAnsi="Times New Roman" w:cs="Times New Roman"/>
          <w:sz w:val="24"/>
          <w:szCs w:val="24"/>
          <w:lang w:val="lt-LT"/>
        </w:rPr>
        <w:t xml:space="preserve"> Tuo tarpu atlikus finansinių santykinių rodiklių analizę buvo pastebėta, kad nors visi pasirinkti rodikliai buvo tinkami Lietuvos transportavimo įmonių finansinei būklei vertinti, tačiau literatūroje nustatytos kritinės reikšmės yra per aukštos Lietuvos transportavimo įmonėms. Dėl šios priežasties norint gauti objektyvius tyrimo rezultatus juos būtina palyginti, su tos šakos vidurkiu, pateikiamu Statistikos departamento. </w:t>
      </w:r>
      <w:r w:rsidR="0004448C" w:rsidRPr="0017614D">
        <w:rPr>
          <w:rFonts w:ascii="Times New Roman" w:hAnsi="Times New Roman" w:cs="Times New Roman"/>
          <w:sz w:val="24"/>
          <w:szCs w:val="24"/>
          <w:lang w:val="lt-LT"/>
        </w:rPr>
        <w:t>Be to apskaičiavus bankroto tikimybes bankroto prognozavimo modelių pagalba, buvo padaryta išvada, kad ne visi</w:t>
      </w:r>
      <w:r w:rsidR="0053699B" w:rsidRPr="0017614D">
        <w:rPr>
          <w:rFonts w:ascii="Times New Roman" w:hAnsi="Times New Roman" w:cs="Times New Roman"/>
          <w:sz w:val="24"/>
          <w:szCs w:val="24"/>
          <w:lang w:val="lt-LT"/>
        </w:rPr>
        <w:t xml:space="preserve"> </w:t>
      </w:r>
      <w:r w:rsidR="0004448C" w:rsidRPr="0017614D">
        <w:rPr>
          <w:rFonts w:ascii="Times New Roman" w:hAnsi="Times New Roman" w:cs="Times New Roman"/>
          <w:sz w:val="24"/>
          <w:szCs w:val="24"/>
          <w:lang w:val="lt-LT"/>
        </w:rPr>
        <w:t>pasirinkti modeliai gali būti taikomi Lietuvos transportavimo įmonių bankrotui prognozuoti.</w:t>
      </w:r>
      <w:r w:rsidR="0053699B" w:rsidRPr="0017614D">
        <w:rPr>
          <w:rFonts w:ascii="Times New Roman" w:hAnsi="Times New Roman" w:cs="Times New Roman"/>
          <w:sz w:val="24"/>
          <w:szCs w:val="24"/>
          <w:lang w:val="lt-LT"/>
        </w:rPr>
        <w:t xml:space="preserve"> </w:t>
      </w:r>
      <w:r w:rsidR="0004448C" w:rsidRPr="0017614D">
        <w:rPr>
          <w:rFonts w:ascii="Times New Roman" w:hAnsi="Times New Roman" w:cs="Times New Roman"/>
          <w:sz w:val="24"/>
          <w:szCs w:val="24"/>
          <w:lang w:val="lt-LT"/>
        </w:rPr>
        <w:t xml:space="preserve">Šiam tikslui visiškai netinkami yra Zavgren ir Liss modeliai, kurių rodikliai ir kritinės reikšmės visiškai neatspindi transportavimo įmonių finansinės būklės. Pavyzdžiui, Zavgren modelyje naudojamuose rodikliuose figuruoja atsargos, tačiau atsižvelgiant į tai, kad transportavimo įmonės dažniausiai nelaiko atsargų, šie rodikliai yra visiškai neinformatyvūs. Tuo tarpu kiti nagrinėti modeliai buvo įvertinti kaip tinkami nagrinėjamoms įmonėms, tačiau dažnai jų kritinės </w:t>
      </w:r>
      <w:r w:rsidR="0004448C" w:rsidRPr="0017614D">
        <w:rPr>
          <w:rFonts w:ascii="Times New Roman" w:hAnsi="Times New Roman" w:cs="Times New Roman"/>
          <w:sz w:val="24"/>
          <w:szCs w:val="24"/>
          <w:lang w:val="lt-LT"/>
        </w:rPr>
        <w:lastRenderedPageBreak/>
        <w:t>re</w:t>
      </w:r>
      <w:r w:rsidR="004F4894">
        <w:rPr>
          <w:rFonts w:ascii="Times New Roman" w:hAnsi="Times New Roman" w:cs="Times New Roman"/>
          <w:sz w:val="24"/>
          <w:szCs w:val="24"/>
          <w:lang w:val="lt-LT"/>
        </w:rPr>
        <w:t>ikšmės yra per griežtos Lietuvos sąlygomis</w:t>
      </w:r>
      <w:r w:rsidR="0004448C" w:rsidRPr="0017614D">
        <w:rPr>
          <w:rFonts w:ascii="Times New Roman" w:hAnsi="Times New Roman" w:cs="Times New Roman"/>
          <w:sz w:val="24"/>
          <w:szCs w:val="24"/>
          <w:lang w:val="lt-LT"/>
        </w:rPr>
        <w:t>, todėl turėtų būti pakoreguotos.</w:t>
      </w:r>
      <w:r w:rsidR="00A43056" w:rsidRPr="0017614D">
        <w:rPr>
          <w:rFonts w:ascii="Times New Roman" w:hAnsi="Times New Roman" w:cs="Times New Roman"/>
          <w:sz w:val="24"/>
          <w:szCs w:val="24"/>
          <w:lang w:val="lt-LT"/>
        </w:rPr>
        <w:t xml:space="preserve"> Taip pat svarbu pažymėti, kad kompleksinės bankroto diagnozavimo metodikos taikymas neturi jokios prasmės be paskutinio elemento, t. y. post-diagnostinių priemonių taikymo, nes siekinat išvengti bankroto svarbu ne tik laiku jį diagnozuoti bet ir imtis veiksmų, kad jo išvengti.</w:t>
      </w:r>
    </w:p>
    <w:p w:rsidR="00314E83" w:rsidRPr="0017614D" w:rsidRDefault="00A43056" w:rsidP="003228C9">
      <w:pPr>
        <w:spacing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Apibendrinant atliktą</w:t>
      </w:r>
      <w:r w:rsidR="003228C9" w:rsidRPr="0017614D">
        <w:rPr>
          <w:rFonts w:ascii="Times New Roman" w:hAnsi="Times New Roman" w:cs="Times New Roman"/>
          <w:sz w:val="24"/>
          <w:szCs w:val="24"/>
          <w:lang w:val="lt-LT"/>
        </w:rPr>
        <w:t xml:space="preserve"> tyrimą galima daryt</w:t>
      </w:r>
      <w:r w:rsidR="00697522" w:rsidRPr="0017614D">
        <w:rPr>
          <w:rFonts w:ascii="Times New Roman" w:hAnsi="Times New Roman" w:cs="Times New Roman"/>
          <w:sz w:val="24"/>
          <w:szCs w:val="24"/>
          <w:lang w:val="lt-LT"/>
        </w:rPr>
        <w:t>i išvadą, kad visi kompleksinės</w:t>
      </w:r>
      <w:r w:rsidR="003228C9" w:rsidRPr="0017614D">
        <w:rPr>
          <w:rFonts w:ascii="Times New Roman" w:hAnsi="Times New Roman" w:cs="Times New Roman"/>
          <w:sz w:val="24"/>
          <w:szCs w:val="24"/>
          <w:lang w:val="lt-LT"/>
        </w:rPr>
        <w:t xml:space="preserve"> bankroto diagnozavimo metodikos elementai puikiai papildo vienas kitą ir leidžia geriau įvertinti įmonių būklę. Be to</w:t>
      </w:r>
      <w:r w:rsidR="004F4894">
        <w:rPr>
          <w:rFonts w:ascii="Times New Roman" w:hAnsi="Times New Roman" w:cs="Times New Roman"/>
          <w:sz w:val="24"/>
          <w:szCs w:val="24"/>
          <w:lang w:val="lt-LT"/>
        </w:rPr>
        <w:t>,</w:t>
      </w:r>
      <w:r w:rsidR="003228C9" w:rsidRPr="0017614D">
        <w:rPr>
          <w:rFonts w:ascii="Times New Roman" w:hAnsi="Times New Roman" w:cs="Times New Roman"/>
          <w:sz w:val="24"/>
          <w:szCs w:val="24"/>
          <w:lang w:val="lt-LT"/>
        </w:rPr>
        <w:t xml:space="preserve"> buvo pastebėta, kad taikant šiuos elementus paveniui bankrotą diagnozuoti būtų pakankamai sudėtinga. Išanalizavus įmonių vidines ir išorines aplinkas dažniausiai galima pamatyti bendrą vaizdą, tam tikras specifines įmonių problemas, tačiau spręsti apie bankroto galimybę remiantis vien š</w:t>
      </w:r>
      <w:r w:rsidR="00E62D5D">
        <w:rPr>
          <w:rFonts w:ascii="Times New Roman" w:hAnsi="Times New Roman" w:cs="Times New Roman"/>
          <w:sz w:val="24"/>
          <w:szCs w:val="24"/>
          <w:lang w:val="lt-LT"/>
        </w:rPr>
        <w:t>iais duomenimis nebūtų objektyvu</w:t>
      </w:r>
      <w:r w:rsidR="004F4894">
        <w:rPr>
          <w:rFonts w:ascii="Times New Roman" w:hAnsi="Times New Roman" w:cs="Times New Roman"/>
          <w:sz w:val="24"/>
          <w:szCs w:val="24"/>
          <w:lang w:val="lt-LT"/>
        </w:rPr>
        <w:t>. Pa</w:t>
      </w:r>
      <w:r w:rsidR="003228C9" w:rsidRPr="0017614D">
        <w:rPr>
          <w:rFonts w:ascii="Times New Roman" w:hAnsi="Times New Roman" w:cs="Times New Roman"/>
          <w:sz w:val="24"/>
          <w:szCs w:val="24"/>
          <w:lang w:val="lt-LT"/>
        </w:rPr>
        <w:t xml:space="preserve">skaičiavus finansinius rodiklius ar bankroto tikimybes </w:t>
      </w:r>
      <w:r w:rsidR="004F4894">
        <w:rPr>
          <w:rFonts w:ascii="Times New Roman" w:hAnsi="Times New Roman" w:cs="Times New Roman"/>
          <w:sz w:val="24"/>
          <w:szCs w:val="24"/>
          <w:lang w:val="lt-LT"/>
        </w:rPr>
        <w:t>- visiškai priešingai</w:t>
      </w:r>
      <w:r w:rsidR="003228C9" w:rsidRPr="0017614D">
        <w:rPr>
          <w:rFonts w:ascii="Times New Roman" w:hAnsi="Times New Roman" w:cs="Times New Roman"/>
          <w:sz w:val="24"/>
          <w:szCs w:val="24"/>
          <w:lang w:val="lt-LT"/>
        </w:rPr>
        <w:t>, yra matomi paveniai blogi finansiniai rodikliai ar rezultatai, tačiau nesimato, kodėl taip atsitiko. Be to buvo patebėta, kad dažnai sunku teisingai pasirinkti kokius rodiklius ar modelius taikyti, kadangi ne visi iš jų yra tinkami tam tikros šakos įmonėms. Tuo tarpu sujungus visus šiuos elementus yra matomas bendras vaizdas, k</w:t>
      </w:r>
      <w:r w:rsidR="004F4894">
        <w:rPr>
          <w:rFonts w:ascii="Times New Roman" w:hAnsi="Times New Roman" w:cs="Times New Roman"/>
          <w:sz w:val="24"/>
          <w:szCs w:val="24"/>
          <w:lang w:val="lt-LT"/>
        </w:rPr>
        <w:t>uris padeda visapusiškai įvertinti</w:t>
      </w:r>
      <w:r w:rsidR="003228C9" w:rsidRPr="0017614D">
        <w:rPr>
          <w:rFonts w:ascii="Times New Roman" w:hAnsi="Times New Roman" w:cs="Times New Roman"/>
          <w:sz w:val="24"/>
          <w:szCs w:val="24"/>
          <w:lang w:val="lt-LT"/>
        </w:rPr>
        <w:t xml:space="preserve"> įmonę</w:t>
      </w:r>
      <w:r w:rsidRPr="0017614D">
        <w:rPr>
          <w:rFonts w:ascii="Times New Roman" w:hAnsi="Times New Roman" w:cs="Times New Roman"/>
          <w:sz w:val="24"/>
          <w:szCs w:val="24"/>
          <w:lang w:val="lt-LT"/>
        </w:rPr>
        <w:t xml:space="preserve"> ir taip spręsti apie jos būklę, o post-diagnostinių priemonių taikymas padeda ir pagerinti jos būklę tiek trumpojoje, tiek ilgojoje perspektyvoje.</w:t>
      </w:r>
      <w:r w:rsidR="003228C9" w:rsidRPr="0017614D">
        <w:rPr>
          <w:rFonts w:ascii="Times New Roman" w:hAnsi="Times New Roman" w:cs="Times New Roman"/>
          <w:sz w:val="24"/>
          <w:szCs w:val="24"/>
          <w:lang w:val="lt-LT"/>
        </w:rPr>
        <w:t xml:space="preserve"> </w:t>
      </w:r>
    </w:p>
    <w:p w:rsidR="00314E83" w:rsidRPr="0017614D" w:rsidRDefault="00314E83" w:rsidP="003228C9">
      <w:pPr>
        <w:spacing w:line="360" w:lineRule="auto"/>
        <w:ind w:firstLine="720"/>
        <w:contextualSpacing/>
        <w:jc w:val="both"/>
        <w:rPr>
          <w:rFonts w:ascii="Times New Roman" w:hAnsi="Times New Roman" w:cs="Times New Roman"/>
          <w:sz w:val="24"/>
          <w:szCs w:val="24"/>
          <w:lang w:val="lt-LT"/>
        </w:rPr>
      </w:pPr>
    </w:p>
    <w:p w:rsidR="003228C9" w:rsidRPr="0017614D" w:rsidRDefault="003228C9" w:rsidP="00FA0868">
      <w:pPr>
        <w:spacing w:line="360" w:lineRule="auto"/>
        <w:ind w:firstLine="720"/>
        <w:contextualSpacing/>
        <w:jc w:val="both"/>
        <w:rPr>
          <w:rFonts w:ascii="Times New Roman" w:hAnsi="Times New Roman" w:cs="Times New Roman"/>
          <w:sz w:val="24"/>
          <w:szCs w:val="24"/>
          <w:lang w:val="lt-LT"/>
        </w:rPr>
      </w:pPr>
    </w:p>
    <w:p w:rsidR="00A43056" w:rsidRPr="0017614D" w:rsidRDefault="00A43056" w:rsidP="00FA0868">
      <w:pPr>
        <w:spacing w:line="360" w:lineRule="auto"/>
        <w:ind w:firstLine="720"/>
        <w:contextualSpacing/>
        <w:jc w:val="both"/>
        <w:rPr>
          <w:rFonts w:ascii="Times New Roman" w:hAnsi="Times New Roman" w:cs="Times New Roman"/>
          <w:sz w:val="24"/>
          <w:szCs w:val="24"/>
          <w:lang w:val="lt-LT"/>
        </w:rPr>
      </w:pPr>
    </w:p>
    <w:p w:rsidR="00A43056" w:rsidRPr="0017614D" w:rsidRDefault="00A43056" w:rsidP="00FA0868">
      <w:pPr>
        <w:spacing w:line="360" w:lineRule="auto"/>
        <w:ind w:firstLine="720"/>
        <w:contextualSpacing/>
        <w:jc w:val="both"/>
        <w:rPr>
          <w:rFonts w:ascii="Times New Roman" w:hAnsi="Times New Roman" w:cs="Times New Roman"/>
          <w:sz w:val="24"/>
          <w:szCs w:val="24"/>
          <w:lang w:val="lt-LT"/>
        </w:rPr>
      </w:pPr>
    </w:p>
    <w:p w:rsidR="00A43056" w:rsidRPr="0017614D" w:rsidRDefault="00A43056" w:rsidP="00FA0868">
      <w:pPr>
        <w:spacing w:line="360" w:lineRule="auto"/>
        <w:ind w:firstLine="720"/>
        <w:contextualSpacing/>
        <w:jc w:val="both"/>
        <w:rPr>
          <w:rFonts w:ascii="Times New Roman" w:hAnsi="Times New Roman" w:cs="Times New Roman"/>
          <w:sz w:val="24"/>
          <w:szCs w:val="24"/>
          <w:lang w:val="lt-LT"/>
        </w:rPr>
      </w:pPr>
    </w:p>
    <w:p w:rsidR="00A43056" w:rsidRPr="0017614D" w:rsidRDefault="00A43056" w:rsidP="00FA0868">
      <w:pPr>
        <w:spacing w:line="360" w:lineRule="auto"/>
        <w:ind w:firstLine="720"/>
        <w:contextualSpacing/>
        <w:jc w:val="both"/>
        <w:rPr>
          <w:rFonts w:ascii="Times New Roman" w:hAnsi="Times New Roman" w:cs="Times New Roman"/>
          <w:sz w:val="24"/>
          <w:szCs w:val="24"/>
          <w:lang w:val="lt-LT"/>
        </w:rPr>
      </w:pPr>
    </w:p>
    <w:p w:rsidR="00A43056" w:rsidRPr="0017614D" w:rsidRDefault="00A43056" w:rsidP="00FA0868">
      <w:pPr>
        <w:spacing w:line="360" w:lineRule="auto"/>
        <w:ind w:firstLine="720"/>
        <w:contextualSpacing/>
        <w:jc w:val="both"/>
        <w:rPr>
          <w:rFonts w:ascii="Times New Roman" w:hAnsi="Times New Roman" w:cs="Times New Roman"/>
          <w:sz w:val="24"/>
          <w:szCs w:val="24"/>
          <w:lang w:val="lt-LT"/>
        </w:rPr>
      </w:pPr>
    </w:p>
    <w:p w:rsidR="00A43056" w:rsidRPr="0017614D" w:rsidRDefault="00A43056" w:rsidP="00FA0868">
      <w:pPr>
        <w:spacing w:line="360" w:lineRule="auto"/>
        <w:ind w:firstLine="720"/>
        <w:contextualSpacing/>
        <w:jc w:val="both"/>
        <w:rPr>
          <w:rFonts w:ascii="Times New Roman" w:hAnsi="Times New Roman" w:cs="Times New Roman"/>
          <w:sz w:val="24"/>
          <w:szCs w:val="24"/>
          <w:lang w:val="lt-LT"/>
        </w:rPr>
      </w:pPr>
    </w:p>
    <w:p w:rsidR="007553E7" w:rsidRPr="0017614D" w:rsidRDefault="007553E7" w:rsidP="00FA0868">
      <w:pPr>
        <w:spacing w:line="360" w:lineRule="auto"/>
        <w:ind w:firstLine="720"/>
        <w:contextualSpacing/>
        <w:jc w:val="both"/>
        <w:rPr>
          <w:rFonts w:ascii="Times New Roman" w:hAnsi="Times New Roman" w:cs="Times New Roman"/>
          <w:sz w:val="24"/>
          <w:szCs w:val="24"/>
          <w:lang w:val="lt-LT"/>
        </w:rPr>
      </w:pPr>
    </w:p>
    <w:p w:rsidR="007553E7" w:rsidRPr="0017614D" w:rsidRDefault="007553E7" w:rsidP="00FA0868">
      <w:pPr>
        <w:spacing w:line="360" w:lineRule="auto"/>
        <w:ind w:firstLine="720"/>
        <w:contextualSpacing/>
        <w:jc w:val="both"/>
        <w:rPr>
          <w:rFonts w:ascii="Times New Roman" w:hAnsi="Times New Roman" w:cs="Times New Roman"/>
          <w:sz w:val="24"/>
          <w:szCs w:val="24"/>
          <w:lang w:val="lt-LT"/>
        </w:rPr>
      </w:pPr>
    </w:p>
    <w:p w:rsidR="007553E7" w:rsidRPr="0017614D" w:rsidRDefault="007553E7" w:rsidP="00FA0868">
      <w:pPr>
        <w:spacing w:line="360" w:lineRule="auto"/>
        <w:ind w:firstLine="720"/>
        <w:contextualSpacing/>
        <w:jc w:val="both"/>
        <w:rPr>
          <w:rFonts w:ascii="Times New Roman" w:hAnsi="Times New Roman" w:cs="Times New Roman"/>
          <w:sz w:val="24"/>
          <w:szCs w:val="24"/>
          <w:lang w:val="lt-LT"/>
        </w:rPr>
      </w:pPr>
    </w:p>
    <w:p w:rsidR="007553E7" w:rsidRPr="0017614D" w:rsidRDefault="007553E7" w:rsidP="00FA0868">
      <w:pPr>
        <w:spacing w:line="360" w:lineRule="auto"/>
        <w:ind w:firstLine="720"/>
        <w:contextualSpacing/>
        <w:jc w:val="both"/>
        <w:rPr>
          <w:rFonts w:ascii="Times New Roman" w:hAnsi="Times New Roman" w:cs="Times New Roman"/>
          <w:sz w:val="24"/>
          <w:szCs w:val="24"/>
          <w:lang w:val="lt-LT"/>
        </w:rPr>
      </w:pPr>
    </w:p>
    <w:p w:rsidR="007553E7" w:rsidRPr="0017614D" w:rsidRDefault="007553E7" w:rsidP="00FA0868">
      <w:pPr>
        <w:spacing w:line="360" w:lineRule="auto"/>
        <w:ind w:firstLine="720"/>
        <w:contextualSpacing/>
        <w:jc w:val="both"/>
        <w:rPr>
          <w:rFonts w:ascii="Times New Roman" w:hAnsi="Times New Roman" w:cs="Times New Roman"/>
          <w:sz w:val="24"/>
          <w:szCs w:val="24"/>
          <w:lang w:val="lt-LT"/>
        </w:rPr>
      </w:pPr>
    </w:p>
    <w:p w:rsidR="007553E7" w:rsidRPr="0017614D" w:rsidRDefault="007553E7" w:rsidP="00FA0868">
      <w:pPr>
        <w:spacing w:line="360" w:lineRule="auto"/>
        <w:ind w:firstLine="720"/>
        <w:contextualSpacing/>
        <w:jc w:val="both"/>
        <w:rPr>
          <w:rFonts w:ascii="Times New Roman" w:hAnsi="Times New Roman" w:cs="Times New Roman"/>
          <w:sz w:val="24"/>
          <w:szCs w:val="24"/>
          <w:lang w:val="lt-LT"/>
        </w:rPr>
      </w:pPr>
    </w:p>
    <w:p w:rsidR="00FB2C61" w:rsidRDefault="00FB2C61" w:rsidP="00FB2C61">
      <w:pPr>
        <w:pStyle w:val="Heading1"/>
        <w:spacing w:before="0"/>
        <w:contextualSpacing/>
        <w:rPr>
          <w:lang w:val="lt-LT"/>
        </w:rPr>
      </w:pPr>
    </w:p>
    <w:p w:rsidR="004F4894" w:rsidRDefault="004F4894" w:rsidP="004F4894">
      <w:pPr>
        <w:rPr>
          <w:lang w:val="lt-LT"/>
        </w:rPr>
      </w:pPr>
    </w:p>
    <w:p w:rsidR="004F4894" w:rsidRDefault="004F4894" w:rsidP="00186457">
      <w:pPr>
        <w:spacing w:after="0"/>
        <w:contextualSpacing/>
        <w:rPr>
          <w:lang w:val="lt-LT"/>
        </w:rPr>
      </w:pPr>
    </w:p>
    <w:p w:rsidR="004F4894" w:rsidRPr="004F4894" w:rsidRDefault="004F4894" w:rsidP="00186457">
      <w:pPr>
        <w:spacing w:after="0"/>
        <w:contextualSpacing/>
        <w:rPr>
          <w:lang w:val="lt-LT"/>
        </w:rPr>
      </w:pPr>
    </w:p>
    <w:p w:rsidR="002B4FA0" w:rsidRPr="0017614D" w:rsidRDefault="00FB2C61" w:rsidP="00186457">
      <w:pPr>
        <w:pStyle w:val="Heading1"/>
        <w:spacing w:before="0"/>
        <w:contextualSpacing/>
        <w:rPr>
          <w:lang w:val="lt-LT"/>
        </w:rPr>
      </w:pPr>
      <w:bookmarkStart w:id="102" w:name="_Toc374655663"/>
      <w:r w:rsidRPr="0017614D">
        <w:rPr>
          <w:lang w:val="lt-LT"/>
        </w:rPr>
        <w:t>I</w:t>
      </w:r>
      <w:r w:rsidR="002B4FA0" w:rsidRPr="0017614D">
        <w:rPr>
          <w:lang w:val="lt-LT"/>
        </w:rPr>
        <w:t>ŠVADOS</w:t>
      </w:r>
      <w:r w:rsidR="00AA73D8" w:rsidRPr="0017614D">
        <w:rPr>
          <w:lang w:val="lt-LT"/>
        </w:rPr>
        <w:t xml:space="preserve"> </w:t>
      </w:r>
      <w:r w:rsidR="0035115D" w:rsidRPr="0017614D">
        <w:rPr>
          <w:lang w:val="lt-LT"/>
        </w:rPr>
        <w:t xml:space="preserve">IR </w:t>
      </w:r>
      <w:r w:rsidR="00AA73D8" w:rsidRPr="0017614D">
        <w:rPr>
          <w:lang w:val="lt-LT"/>
        </w:rPr>
        <w:t>SIŪLYMAI</w:t>
      </w:r>
      <w:bookmarkEnd w:id="102"/>
    </w:p>
    <w:p w:rsidR="00FC4F8E" w:rsidRPr="0017614D" w:rsidRDefault="00FC4F8E" w:rsidP="00433B66">
      <w:pPr>
        <w:spacing w:line="360" w:lineRule="auto"/>
        <w:ind w:firstLine="539"/>
        <w:contextualSpacing/>
        <w:rPr>
          <w:sz w:val="20"/>
          <w:szCs w:val="20"/>
          <w:lang w:val="lt-LT"/>
        </w:rPr>
      </w:pPr>
    </w:p>
    <w:p w:rsidR="00646AC7" w:rsidRPr="0017614D" w:rsidRDefault="001F5EF2" w:rsidP="00417443">
      <w:pPr>
        <w:pStyle w:val="ListParagraph"/>
        <w:numPr>
          <w:ilvl w:val="0"/>
          <w:numId w:val="17"/>
        </w:numPr>
        <w:spacing w:line="360" w:lineRule="auto"/>
        <w:ind w:left="714" w:hanging="357"/>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Bankrotas tai su įmonės nesugebėjimų įvykdyti savo finansinių įsipareigojimų</w:t>
      </w:r>
      <w:r w:rsidR="00646AC7" w:rsidRPr="0017614D">
        <w:rPr>
          <w:rFonts w:ascii="Times New Roman" w:hAnsi="Times New Roman" w:cs="Times New Roman"/>
          <w:sz w:val="24"/>
          <w:szCs w:val="24"/>
          <w:lang w:val="lt-LT"/>
        </w:rPr>
        <w:t xml:space="preserve"> siejamas reiškinys</w:t>
      </w:r>
      <w:r w:rsidRPr="0017614D">
        <w:rPr>
          <w:rFonts w:ascii="Times New Roman" w:hAnsi="Times New Roman" w:cs="Times New Roman"/>
          <w:sz w:val="24"/>
          <w:szCs w:val="24"/>
          <w:lang w:val="lt-LT"/>
        </w:rPr>
        <w:t xml:space="preserve">. </w:t>
      </w:r>
      <w:r w:rsidR="00646AC7" w:rsidRPr="0017614D">
        <w:rPr>
          <w:rFonts w:ascii="Times New Roman" w:hAnsi="Times New Roman" w:cs="Times New Roman"/>
          <w:sz w:val="24"/>
          <w:szCs w:val="24"/>
          <w:lang w:val="lt-LT"/>
        </w:rPr>
        <w:t>Užsienio autoriai šį reiškinį apibūdina kaip siekimą apsaugoti kreditorių teises, tuo tarpu Lietuvos autoriai į bankrotą žiūri kaip į paskutinę įmonės krizės stadiją. Bankrotą sąlygoja tiek įmonės vidiniai veiksniai, tiek ir šakos, šalies ar net pasaulio mastu įvykę pokyčiai.</w:t>
      </w:r>
    </w:p>
    <w:p w:rsidR="00646AC7" w:rsidRPr="0017614D" w:rsidRDefault="00BA2539" w:rsidP="00417443">
      <w:pPr>
        <w:pStyle w:val="ListParagraph"/>
        <w:numPr>
          <w:ilvl w:val="0"/>
          <w:numId w:val="17"/>
        </w:numPr>
        <w:tabs>
          <w:tab w:val="left" w:pos="600"/>
        </w:tabs>
        <w:autoSpaceDE w:val="0"/>
        <w:autoSpaceDN w:val="0"/>
        <w:adjustRightInd w:val="0"/>
        <w:spacing w:line="360" w:lineRule="auto"/>
        <w:ind w:left="714" w:hanging="35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46AC7" w:rsidRPr="0017614D">
        <w:rPr>
          <w:rFonts w:ascii="Times New Roman" w:hAnsi="Times New Roman" w:cs="Times New Roman"/>
          <w:sz w:val="24"/>
          <w:szCs w:val="24"/>
          <w:lang w:val="lt-LT"/>
        </w:rPr>
        <w:t xml:space="preserve">Bankrotui kaip ekonominiam </w:t>
      </w:r>
      <w:r w:rsidR="00646AC7" w:rsidRPr="0017614D">
        <w:rPr>
          <w:rFonts w:ascii="Times New Roman" w:hAnsi="Times New Roman" w:cs="Times New Roman"/>
          <w:bCs/>
          <w:sz w:val="24"/>
          <w:szCs w:val="24"/>
          <w:lang w:val="lt-LT"/>
        </w:rPr>
        <w:t>reiškiniui yra būdingi įvairūs požymiai, todėl mokslinėje literatūroje visuotinai pripažintų požymių, rodančių bankroto tikimybę, nėra. Dauguma autorių</w:t>
      </w:r>
      <w:r w:rsidR="00646AC7" w:rsidRPr="0017614D">
        <w:rPr>
          <w:rFonts w:ascii="Times New Roman" w:hAnsi="Times New Roman" w:cs="Times New Roman"/>
          <w:sz w:val="24"/>
          <w:szCs w:val="24"/>
          <w:lang w:val="lt-LT"/>
        </w:rPr>
        <w:t xml:space="preserve"> </w:t>
      </w:r>
      <w:r w:rsidR="00646AC7" w:rsidRPr="0017614D">
        <w:rPr>
          <w:rFonts w:ascii="Times New Roman" w:hAnsi="Times New Roman" w:cs="Times New Roman"/>
          <w:bCs/>
          <w:sz w:val="24"/>
          <w:szCs w:val="24"/>
          <w:lang w:val="lt-LT"/>
        </w:rPr>
        <w:t xml:space="preserve">atkreipia dėmesį į vidinę įmonės aplinką, jos valdymo sistemą, organizacinę struktūrą, mažėjantį pelningumą, didėjančias kreditorinio ir debitorinio įsiskolinimo sumas, nesėkmingus bandymus gauti bankų kreditus, apyvartinio kapitalo trūkumą. </w:t>
      </w:r>
    </w:p>
    <w:p w:rsidR="001F5EF2" w:rsidRPr="0017614D" w:rsidRDefault="00646AC7" w:rsidP="00417443">
      <w:pPr>
        <w:pStyle w:val="ListParagraph"/>
        <w:numPr>
          <w:ilvl w:val="0"/>
          <w:numId w:val="17"/>
        </w:numPr>
        <w:spacing w:line="360" w:lineRule="auto"/>
        <w:ind w:left="714" w:hanging="357"/>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Mokslinėje literatūroje yra pastebimas dvejopas požiūris į bankroto </w:t>
      </w:r>
      <w:r w:rsidR="009016EA" w:rsidRPr="0017614D">
        <w:rPr>
          <w:rFonts w:ascii="Times New Roman" w:hAnsi="Times New Roman" w:cs="Times New Roman"/>
          <w:sz w:val="24"/>
          <w:szCs w:val="24"/>
          <w:lang w:val="lt-LT"/>
        </w:rPr>
        <w:t>pasekmes. Dalis autorių pabrėžia, kad bankroto procese galima įžvelgti teigiamų dalykų – yra išvaloma rinka, naikinamos pasenusios prekės, suteikiamos galimybės įmonėms restruktūrizuotis. Visgi dauguma pritaria, kad b</w:t>
      </w:r>
      <w:r w:rsidRPr="0017614D">
        <w:rPr>
          <w:rFonts w:ascii="Times New Roman" w:hAnsi="Times New Roman" w:cs="Times New Roman"/>
          <w:sz w:val="24"/>
          <w:szCs w:val="24"/>
          <w:lang w:val="lt-LT"/>
        </w:rPr>
        <w:t>ankroto p</w:t>
      </w:r>
      <w:r w:rsidR="001F5EF2" w:rsidRPr="0017614D">
        <w:rPr>
          <w:rFonts w:ascii="Times New Roman" w:hAnsi="Times New Roman" w:cs="Times New Roman"/>
          <w:sz w:val="24"/>
          <w:szCs w:val="24"/>
          <w:lang w:val="lt-LT"/>
        </w:rPr>
        <w:t>adarinia</w:t>
      </w:r>
      <w:r w:rsidR="009016EA" w:rsidRPr="0017614D">
        <w:rPr>
          <w:rFonts w:ascii="Times New Roman" w:hAnsi="Times New Roman" w:cs="Times New Roman"/>
          <w:sz w:val="24"/>
          <w:szCs w:val="24"/>
          <w:lang w:val="lt-LT"/>
        </w:rPr>
        <w:t>i yra labiau skaudus nei teigiami</w:t>
      </w:r>
      <w:r w:rsidR="001F5EF2" w:rsidRPr="0017614D">
        <w:rPr>
          <w:rFonts w:ascii="Times New Roman" w:hAnsi="Times New Roman" w:cs="Times New Roman"/>
          <w:sz w:val="24"/>
          <w:szCs w:val="24"/>
          <w:lang w:val="lt-LT"/>
        </w:rPr>
        <w:t xml:space="preserve">. Nuostolius patiria ne tik įmonės savininkai ar darbuotojai, bet ir kitos įmonės, kreditoriai, partneriai, valstybė ar savivaldybė. </w:t>
      </w:r>
    </w:p>
    <w:p w:rsidR="001F5EF2" w:rsidRPr="0017614D" w:rsidRDefault="001F5EF2" w:rsidP="00417443">
      <w:pPr>
        <w:pStyle w:val="ListParagraph"/>
        <w:numPr>
          <w:ilvl w:val="0"/>
          <w:numId w:val="17"/>
        </w:numPr>
        <w:spacing w:line="360" w:lineRule="auto"/>
        <w:ind w:left="714" w:hanging="357"/>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Lietuvoje nuo 1993 iki 2012 m. bankrutavo 12983 įmonės. Daugiausiai bankrutuoja didžiuosiuose Lietuvos miestuose įsikūrusios uždarosios akcinės bendrovės, priklausančios mažų ir vidutinių įmonių grupei. Šis didelis bankrutuojančių įmonių skaičius rodo, kad bankroto diagnostikai yra skiriama nepakankamai dėmesio arba tai yra daroma per vėlai. </w:t>
      </w:r>
    </w:p>
    <w:p w:rsidR="00D631F5" w:rsidRPr="0017614D" w:rsidRDefault="003B1BFE" w:rsidP="00417443">
      <w:pPr>
        <w:pStyle w:val="ListParagraph"/>
        <w:numPr>
          <w:ilvl w:val="0"/>
          <w:numId w:val="17"/>
        </w:numPr>
        <w:spacing w:line="360" w:lineRule="auto"/>
        <w:ind w:left="714" w:hanging="357"/>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Siekiant užkirsti kelią bankrotų</w:t>
      </w:r>
      <w:r w:rsidR="001F5EF2" w:rsidRPr="0017614D">
        <w:rPr>
          <w:rFonts w:ascii="Times New Roman" w:hAnsi="Times New Roman" w:cs="Times New Roman"/>
          <w:sz w:val="24"/>
          <w:szCs w:val="24"/>
          <w:lang w:val="lt-LT"/>
        </w:rPr>
        <w:t xml:space="preserve"> plitimui labai svarbu neapsiriboti </w:t>
      </w:r>
      <w:r w:rsidR="005F7FC9" w:rsidRPr="0017614D">
        <w:rPr>
          <w:rFonts w:ascii="Times New Roman" w:hAnsi="Times New Roman" w:cs="Times New Roman"/>
          <w:sz w:val="24"/>
          <w:szCs w:val="24"/>
          <w:lang w:val="lt-LT"/>
        </w:rPr>
        <w:t>subjektyviais</w:t>
      </w:r>
      <w:r w:rsidR="009016EA" w:rsidRPr="0017614D">
        <w:rPr>
          <w:rFonts w:ascii="Times New Roman" w:hAnsi="Times New Roman" w:cs="Times New Roman"/>
          <w:sz w:val="24"/>
          <w:szCs w:val="24"/>
          <w:lang w:val="lt-LT"/>
        </w:rPr>
        <w:t>,</w:t>
      </w:r>
      <w:r w:rsidR="005F7FC9" w:rsidRPr="0017614D">
        <w:rPr>
          <w:rFonts w:ascii="Times New Roman" w:hAnsi="Times New Roman" w:cs="Times New Roman"/>
          <w:sz w:val="24"/>
          <w:szCs w:val="24"/>
          <w:lang w:val="lt-LT"/>
        </w:rPr>
        <w:t xml:space="preserve"> tik vieną aspektą analizuojančiais bankroto p</w:t>
      </w:r>
      <w:r w:rsidRPr="0017614D">
        <w:rPr>
          <w:rFonts w:ascii="Times New Roman" w:hAnsi="Times New Roman" w:cs="Times New Roman"/>
          <w:sz w:val="24"/>
          <w:szCs w:val="24"/>
          <w:lang w:val="lt-LT"/>
        </w:rPr>
        <w:t>rognozavimo metodais, o</w:t>
      </w:r>
      <w:r w:rsidR="005F7FC9" w:rsidRPr="0017614D">
        <w:rPr>
          <w:rFonts w:ascii="Times New Roman" w:hAnsi="Times New Roman" w:cs="Times New Roman"/>
          <w:sz w:val="24"/>
          <w:szCs w:val="24"/>
          <w:lang w:val="lt-LT"/>
        </w:rPr>
        <w:t xml:space="preserve"> pri</w:t>
      </w:r>
      <w:r w:rsidR="009016EA" w:rsidRPr="0017614D">
        <w:rPr>
          <w:rFonts w:ascii="Times New Roman" w:hAnsi="Times New Roman" w:cs="Times New Roman"/>
          <w:sz w:val="24"/>
          <w:szCs w:val="24"/>
          <w:lang w:val="lt-LT"/>
        </w:rPr>
        <w:t>ešingai stengtis derinti įvairiu</w:t>
      </w:r>
      <w:r w:rsidR="005F7FC9" w:rsidRPr="0017614D">
        <w:rPr>
          <w:rFonts w:ascii="Times New Roman" w:hAnsi="Times New Roman" w:cs="Times New Roman"/>
          <w:sz w:val="24"/>
          <w:szCs w:val="24"/>
          <w:lang w:val="lt-LT"/>
        </w:rPr>
        <w:t>s metod</w:t>
      </w:r>
      <w:r w:rsidR="009016EA" w:rsidRPr="0017614D">
        <w:rPr>
          <w:rFonts w:ascii="Times New Roman" w:hAnsi="Times New Roman" w:cs="Times New Roman"/>
          <w:sz w:val="24"/>
          <w:szCs w:val="24"/>
          <w:lang w:val="lt-LT"/>
        </w:rPr>
        <w:t>us</w:t>
      </w:r>
      <w:r w:rsidR="00697522" w:rsidRPr="0017614D">
        <w:rPr>
          <w:rFonts w:ascii="Times New Roman" w:hAnsi="Times New Roman" w:cs="Times New Roman"/>
          <w:sz w:val="24"/>
          <w:szCs w:val="24"/>
          <w:lang w:val="lt-LT"/>
        </w:rPr>
        <w:t xml:space="preserve"> taip sukuriant kompleksinę</w:t>
      </w:r>
      <w:r w:rsidR="005F7FC9" w:rsidRPr="0017614D">
        <w:rPr>
          <w:rFonts w:ascii="Times New Roman" w:hAnsi="Times New Roman" w:cs="Times New Roman"/>
          <w:sz w:val="24"/>
          <w:szCs w:val="24"/>
          <w:lang w:val="lt-LT"/>
        </w:rPr>
        <w:t xml:space="preserve"> bank</w:t>
      </w:r>
      <w:r w:rsidR="009016EA" w:rsidRPr="0017614D">
        <w:rPr>
          <w:rFonts w:ascii="Times New Roman" w:hAnsi="Times New Roman" w:cs="Times New Roman"/>
          <w:sz w:val="24"/>
          <w:szCs w:val="24"/>
          <w:lang w:val="lt-LT"/>
        </w:rPr>
        <w:t xml:space="preserve">roto grėsmės nustatymo metodiką, kuri apimtų </w:t>
      </w:r>
      <w:r w:rsidR="00D631F5" w:rsidRPr="0017614D">
        <w:rPr>
          <w:rFonts w:ascii="Times New Roman" w:hAnsi="Times New Roman" w:cs="Times New Roman"/>
          <w:sz w:val="24"/>
          <w:szCs w:val="24"/>
          <w:lang w:val="lt-LT"/>
        </w:rPr>
        <w:t>savyje tiek kokybinių, tiek ki</w:t>
      </w:r>
      <w:r w:rsidR="009016EA" w:rsidRPr="0017614D">
        <w:rPr>
          <w:rFonts w:ascii="Times New Roman" w:hAnsi="Times New Roman" w:cs="Times New Roman"/>
          <w:sz w:val="24"/>
          <w:szCs w:val="24"/>
          <w:lang w:val="lt-LT"/>
        </w:rPr>
        <w:t>ekybinių veiksnių nagrinėjimą. Tarp lietuvių autorių didžiausią indėlį kuriant kompleksines bankroto grėsmės nustatymo metodikas padarė J. Mackeviči</w:t>
      </w:r>
      <w:r w:rsidR="00D631F5" w:rsidRPr="0017614D">
        <w:rPr>
          <w:rFonts w:ascii="Times New Roman" w:hAnsi="Times New Roman" w:cs="Times New Roman"/>
          <w:sz w:val="24"/>
          <w:szCs w:val="24"/>
          <w:lang w:val="lt-LT"/>
        </w:rPr>
        <w:t xml:space="preserve">us </w:t>
      </w:r>
      <w:r w:rsidR="009016EA" w:rsidRPr="0017614D">
        <w:rPr>
          <w:rFonts w:ascii="Times New Roman" w:hAnsi="Times New Roman" w:cs="Times New Roman"/>
          <w:sz w:val="24"/>
          <w:szCs w:val="24"/>
          <w:lang w:val="lt-LT"/>
        </w:rPr>
        <w:t>pasak kurio</w:t>
      </w:r>
      <w:r w:rsidR="00D631F5" w:rsidRPr="0017614D">
        <w:rPr>
          <w:rFonts w:ascii="Times New Roman" w:hAnsi="Times New Roman" w:cs="Times New Roman"/>
          <w:sz w:val="24"/>
          <w:szCs w:val="24"/>
          <w:lang w:val="lt-LT"/>
        </w:rPr>
        <w:t xml:space="preserve"> </w:t>
      </w:r>
      <w:r w:rsidR="00D631F5" w:rsidRPr="0017614D">
        <w:rPr>
          <w:rFonts w:ascii="Times New Roman" w:eastAsia="Calibri" w:hAnsi="Times New Roman" w:cs="Times New Roman"/>
          <w:sz w:val="24"/>
          <w:szCs w:val="24"/>
          <w:lang w:val="lt-LT"/>
        </w:rPr>
        <w:t>įmonės</w:t>
      </w:r>
      <w:r w:rsidR="009016EA" w:rsidRPr="0017614D">
        <w:rPr>
          <w:rFonts w:ascii="Times New Roman" w:eastAsia="Calibri" w:hAnsi="Times New Roman" w:cs="Times New Roman"/>
          <w:sz w:val="24"/>
          <w:szCs w:val="24"/>
          <w:lang w:val="lt-LT"/>
        </w:rPr>
        <w:t xml:space="preserve"> privalo nagrinėti</w:t>
      </w:r>
      <w:r w:rsidR="00D631F5" w:rsidRPr="0017614D">
        <w:rPr>
          <w:rFonts w:ascii="Times New Roman" w:eastAsia="Calibri" w:hAnsi="Times New Roman" w:cs="Times New Roman"/>
          <w:sz w:val="24"/>
          <w:szCs w:val="24"/>
          <w:lang w:val="lt-LT"/>
        </w:rPr>
        <w:t xml:space="preserve"> </w:t>
      </w:r>
      <w:r w:rsidR="009016EA" w:rsidRPr="0017614D">
        <w:rPr>
          <w:rFonts w:ascii="Times New Roman" w:eastAsia="Calibri" w:hAnsi="Times New Roman" w:cs="Times New Roman"/>
          <w:sz w:val="24"/>
          <w:szCs w:val="24"/>
          <w:lang w:val="lt-LT"/>
        </w:rPr>
        <w:t>išorės ir vidaus aplinkas</w:t>
      </w:r>
      <w:r w:rsidR="00D631F5" w:rsidRPr="0017614D">
        <w:rPr>
          <w:rFonts w:ascii="Times New Roman" w:eastAsia="Calibri" w:hAnsi="Times New Roman" w:cs="Times New Roman"/>
          <w:sz w:val="24"/>
          <w:szCs w:val="24"/>
          <w:lang w:val="lt-LT"/>
        </w:rPr>
        <w:t>,</w:t>
      </w:r>
      <w:r w:rsidR="00D631F5" w:rsidRPr="0017614D">
        <w:rPr>
          <w:rFonts w:ascii="Times New Roman" w:hAnsi="Times New Roman" w:cs="Times New Roman"/>
          <w:sz w:val="24"/>
          <w:szCs w:val="24"/>
          <w:lang w:val="lt-LT"/>
        </w:rPr>
        <w:t xml:space="preserve"> </w:t>
      </w:r>
      <w:r w:rsidR="009016EA" w:rsidRPr="0017614D">
        <w:rPr>
          <w:rFonts w:ascii="Times New Roman" w:hAnsi="Times New Roman" w:cs="Times New Roman"/>
          <w:sz w:val="24"/>
          <w:szCs w:val="24"/>
          <w:lang w:val="lt-LT"/>
        </w:rPr>
        <w:t xml:space="preserve">analizuoti </w:t>
      </w:r>
      <w:r w:rsidR="00D631F5" w:rsidRPr="0017614D">
        <w:rPr>
          <w:rFonts w:ascii="Times New Roman" w:eastAsia="Calibri" w:hAnsi="Times New Roman" w:cs="Times New Roman"/>
          <w:sz w:val="24"/>
          <w:szCs w:val="24"/>
          <w:lang w:val="lt-LT"/>
        </w:rPr>
        <w:t xml:space="preserve">absoliutinių </w:t>
      </w:r>
      <w:r w:rsidR="009016EA" w:rsidRPr="0017614D">
        <w:rPr>
          <w:rFonts w:ascii="Times New Roman" w:eastAsia="Calibri" w:hAnsi="Times New Roman" w:cs="Times New Roman"/>
          <w:sz w:val="24"/>
          <w:szCs w:val="24"/>
          <w:lang w:val="lt-LT"/>
        </w:rPr>
        <w:t xml:space="preserve">bei santykinių finansinių rodiklių pokyčius </w:t>
      </w:r>
      <w:r w:rsidR="00D631F5" w:rsidRPr="0017614D">
        <w:rPr>
          <w:rFonts w:ascii="Times New Roman" w:eastAsia="Calibri" w:hAnsi="Times New Roman" w:cs="Times New Roman"/>
          <w:sz w:val="24"/>
          <w:szCs w:val="24"/>
          <w:lang w:val="lt-LT"/>
        </w:rPr>
        <w:t>bei</w:t>
      </w:r>
      <w:r w:rsidR="00D631F5" w:rsidRPr="0017614D">
        <w:rPr>
          <w:rFonts w:ascii="Times New Roman" w:hAnsi="Times New Roman" w:cs="Times New Roman"/>
          <w:sz w:val="24"/>
          <w:szCs w:val="24"/>
          <w:lang w:val="lt-LT"/>
        </w:rPr>
        <w:t xml:space="preserve"> </w:t>
      </w:r>
      <w:r w:rsidR="009016EA" w:rsidRPr="0017614D">
        <w:rPr>
          <w:rFonts w:ascii="Times New Roman" w:hAnsi="Times New Roman" w:cs="Times New Roman"/>
          <w:sz w:val="24"/>
          <w:szCs w:val="24"/>
          <w:lang w:val="lt-LT"/>
        </w:rPr>
        <w:t xml:space="preserve">taikyti </w:t>
      </w:r>
      <w:r w:rsidR="00D631F5" w:rsidRPr="0017614D">
        <w:rPr>
          <w:rFonts w:ascii="Times New Roman" w:eastAsia="Calibri" w:hAnsi="Times New Roman" w:cs="Times New Roman"/>
          <w:sz w:val="24"/>
          <w:szCs w:val="24"/>
          <w:lang w:val="lt-LT"/>
        </w:rPr>
        <w:t>bankr</w:t>
      </w:r>
      <w:r w:rsidR="009016EA" w:rsidRPr="0017614D">
        <w:rPr>
          <w:rFonts w:ascii="Times New Roman" w:eastAsia="Calibri" w:hAnsi="Times New Roman" w:cs="Times New Roman"/>
          <w:sz w:val="24"/>
          <w:szCs w:val="24"/>
          <w:lang w:val="lt-LT"/>
        </w:rPr>
        <w:t>oto prognozavimo modelius</w:t>
      </w:r>
      <w:r w:rsidR="00D631F5" w:rsidRPr="0017614D">
        <w:rPr>
          <w:rFonts w:ascii="Times New Roman" w:eastAsia="Calibri" w:hAnsi="Times New Roman" w:cs="Times New Roman"/>
          <w:sz w:val="24"/>
          <w:szCs w:val="24"/>
          <w:lang w:val="lt-LT"/>
        </w:rPr>
        <w:t>.</w:t>
      </w:r>
      <w:r w:rsidR="00D631F5" w:rsidRPr="0017614D">
        <w:rPr>
          <w:rFonts w:ascii="Calibri" w:eastAsia="Calibri" w:hAnsi="Calibri" w:cs="Times New Roman"/>
          <w:lang w:val="lt-LT"/>
        </w:rPr>
        <w:t xml:space="preserve"> </w:t>
      </w:r>
    </w:p>
    <w:p w:rsidR="001F5EF2" w:rsidRPr="0017614D" w:rsidRDefault="004576EF" w:rsidP="00417443">
      <w:pPr>
        <w:pStyle w:val="ListParagraph"/>
        <w:numPr>
          <w:ilvl w:val="0"/>
          <w:numId w:val="17"/>
        </w:numPr>
        <w:spacing w:line="360" w:lineRule="auto"/>
        <w:ind w:left="714" w:hanging="357"/>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Įmonės dažnai apsiriboja bankroto diagnozavimo metodais, tačiau pamiršta apie post-diagnostinines priemones.</w:t>
      </w:r>
      <w:r w:rsidR="00D631F5" w:rsidRPr="0017614D">
        <w:rPr>
          <w:rFonts w:ascii="Times New Roman" w:hAnsi="Times New Roman" w:cs="Times New Roman"/>
          <w:sz w:val="24"/>
          <w:szCs w:val="24"/>
          <w:lang w:val="lt-LT"/>
        </w:rPr>
        <w:t xml:space="preserve"> </w:t>
      </w:r>
      <w:r w:rsidRPr="0017614D">
        <w:rPr>
          <w:rFonts w:ascii="Times New Roman" w:hAnsi="Times New Roman" w:cs="Times New Roman"/>
          <w:sz w:val="24"/>
          <w:szCs w:val="24"/>
          <w:lang w:val="lt-LT"/>
        </w:rPr>
        <w:t xml:space="preserve">Diagnozavus </w:t>
      </w:r>
      <w:r w:rsidR="00D631F5" w:rsidRPr="0017614D">
        <w:rPr>
          <w:rFonts w:ascii="Times New Roman" w:hAnsi="Times New Roman" w:cs="Times New Roman"/>
          <w:sz w:val="24"/>
          <w:szCs w:val="24"/>
          <w:lang w:val="lt-LT"/>
        </w:rPr>
        <w:t>egzistuojančią bankroto grėsmę,</w:t>
      </w:r>
      <w:r w:rsidRPr="0017614D">
        <w:rPr>
          <w:rFonts w:ascii="Times New Roman" w:hAnsi="Times New Roman" w:cs="Times New Roman"/>
          <w:sz w:val="24"/>
          <w:szCs w:val="24"/>
          <w:lang w:val="lt-LT"/>
        </w:rPr>
        <w:t xml:space="preserve"> </w:t>
      </w:r>
      <w:r w:rsidR="005F7FC9" w:rsidRPr="0017614D">
        <w:rPr>
          <w:rFonts w:ascii="Times New Roman" w:hAnsi="Times New Roman" w:cs="Times New Roman"/>
          <w:sz w:val="24"/>
          <w:szCs w:val="24"/>
          <w:lang w:val="lt-LT"/>
        </w:rPr>
        <w:t>gali būti taikomos</w:t>
      </w:r>
      <w:r w:rsidR="001F5EF2" w:rsidRPr="0017614D">
        <w:rPr>
          <w:rFonts w:ascii="Times New Roman" w:hAnsi="Times New Roman" w:cs="Times New Roman"/>
          <w:sz w:val="24"/>
          <w:szCs w:val="24"/>
          <w:lang w:val="lt-LT"/>
        </w:rPr>
        <w:t xml:space="preserve"> operatyvinės ir strateginės</w:t>
      </w:r>
      <w:r w:rsidR="009016EA" w:rsidRPr="0017614D">
        <w:rPr>
          <w:rFonts w:ascii="Times New Roman" w:hAnsi="Times New Roman" w:cs="Times New Roman"/>
          <w:sz w:val="24"/>
          <w:szCs w:val="24"/>
          <w:lang w:val="lt-LT"/>
        </w:rPr>
        <w:t xml:space="preserve"> priemonės</w:t>
      </w:r>
      <w:r w:rsidR="001F5EF2" w:rsidRPr="0017614D">
        <w:rPr>
          <w:rFonts w:ascii="Times New Roman" w:hAnsi="Times New Roman" w:cs="Times New Roman"/>
          <w:sz w:val="24"/>
          <w:szCs w:val="24"/>
          <w:lang w:val="lt-LT"/>
        </w:rPr>
        <w:t xml:space="preserve">. </w:t>
      </w:r>
      <w:r w:rsidR="005F7FC9" w:rsidRPr="0017614D">
        <w:rPr>
          <w:rFonts w:ascii="Times New Roman" w:hAnsi="Times New Roman" w:cs="Times New Roman"/>
          <w:sz w:val="24"/>
          <w:szCs w:val="24"/>
          <w:lang w:val="lt-LT"/>
        </w:rPr>
        <w:t>Šiuo tikslu įmonės gali pakeisti</w:t>
      </w:r>
      <w:r w:rsidR="001F5EF2" w:rsidRPr="0017614D">
        <w:rPr>
          <w:rFonts w:ascii="Times New Roman" w:hAnsi="Times New Roman" w:cs="Times New Roman"/>
          <w:sz w:val="24"/>
          <w:szCs w:val="24"/>
          <w:lang w:val="lt-LT"/>
        </w:rPr>
        <w:t xml:space="preserve"> valdymo sistemą, imt</w:t>
      </w:r>
      <w:r w:rsidR="005F7FC9" w:rsidRPr="0017614D">
        <w:rPr>
          <w:rFonts w:ascii="Times New Roman" w:hAnsi="Times New Roman" w:cs="Times New Roman"/>
          <w:sz w:val="24"/>
          <w:szCs w:val="24"/>
          <w:lang w:val="lt-LT"/>
        </w:rPr>
        <w:t xml:space="preserve">is </w:t>
      </w:r>
      <w:r w:rsidR="005F7FC9" w:rsidRPr="0017614D">
        <w:rPr>
          <w:rFonts w:ascii="Times New Roman" w:hAnsi="Times New Roman" w:cs="Times New Roman"/>
          <w:sz w:val="24"/>
          <w:szCs w:val="24"/>
          <w:lang w:val="lt-LT"/>
        </w:rPr>
        <w:lastRenderedPageBreak/>
        <w:t>įmonės restruktūrizavimo, mažinti nebūtinas išlai</w:t>
      </w:r>
      <w:r w:rsidR="001F5EF2" w:rsidRPr="0017614D">
        <w:rPr>
          <w:rFonts w:ascii="Times New Roman" w:hAnsi="Times New Roman" w:cs="Times New Roman"/>
          <w:sz w:val="24"/>
          <w:szCs w:val="24"/>
          <w:lang w:val="lt-LT"/>
        </w:rPr>
        <w:t xml:space="preserve">das. </w:t>
      </w:r>
      <w:r w:rsidR="005F7FC9" w:rsidRPr="0017614D">
        <w:rPr>
          <w:rFonts w:ascii="Times New Roman" w:hAnsi="Times New Roman" w:cs="Times New Roman"/>
          <w:sz w:val="24"/>
          <w:szCs w:val="24"/>
          <w:lang w:val="lt-LT"/>
        </w:rPr>
        <w:t>Taip</w:t>
      </w:r>
      <w:r w:rsidR="000437A8" w:rsidRPr="0017614D">
        <w:rPr>
          <w:rFonts w:ascii="Times New Roman" w:hAnsi="Times New Roman" w:cs="Times New Roman"/>
          <w:sz w:val="24"/>
          <w:szCs w:val="24"/>
          <w:lang w:val="lt-LT"/>
        </w:rPr>
        <w:t xml:space="preserve"> pat</w:t>
      </w:r>
      <w:r w:rsidR="005F7FC9" w:rsidRPr="0017614D">
        <w:rPr>
          <w:rFonts w:ascii="Times New Roman" w:hAnsi="Times New Roman" w:cs="Times New Roman"/>
          <w:sz w:val="24"/>
          <w:szCs w:val="24"/>
          <w:lang w:val="lt-LT"/>
        </w:rPr>
        <w:t xml:space="preserve"> labai</w:t>
      </w:r>
      <w:r w:rsidR="001F5EF2" w:rsidRPr="0017614D">
        <w:rPr>
          <w:rFonts w:ascii="Times New Roman" w:hAnsi="Times New Roman" w:cs="Times New Roman"/>
          <w:sz w:val="24"/>
          <w:szCs w:val="24"/>
          <w:lang w:val="lt-LT"/>
        </w:rPr>
        <w:t xml:space="preserve"> svarbu nuolat tirti rinką, kelti </w:t>
      </w:r>
      <w:r w:rsidR="005F7FC9" w:rsidRPr="0017614D">
        <w:rPr>
          <w:rFonts w:ascii="Times New Roman" w:hAnsi="Times New Roman" w:cs="Times New Roman"/>
          <w:sz w:val="24"/>
          <w:szCs w:val="24"/>
          <w:lang w:val="lt-LT"/>
        </w:rPr>
        <w:t xml:space="preserve">darbuotojų kvalifikaciją bei </w:t>
      </w:r>
      <w:r w:rsidR="001F5EF2" w:rsidRPr="0017614D">
        <w:rPr>
          <w:rFonts w:ascii="Times New Roman" w:hAnsi="Times New Roman" w:cs="Times New Roman"/>
          <w:sz w:val="24"/>
          <w:szCs w:val="24"/>
          <w:lang w:val="lt-LT"/>
        </w:rPr>
        <w:t>diegti inovacijas</w:t>
      </w:r>
      <w:r w:rsidR="005F7FC9" w:rsidRPr="0017614D">
        <w:rPr>
          <w:rFonts w:ascii="Times New Roman" w:hAnsi="Times New Roman" w:cs="Times New Roman"/>
          <w:sz w:val="24"/>
          <w:szCs w:val="24"/>
          <w:lang w:val="lt-LT"/>
        </w:rPr>
        <w:t>.</w:t>
      </w:r>
    </w:p>
    <w:p w:rsidR="001A7716" w:rsidRDefault="001A7716" w:rsidP="00417443">
      <w:pPr>
        <w:pStyle w:val="ListParagraph"/>
        <w:numPr>
          <w:ilvl w:val="0"/>
          <w:numId w:val="17"/>
        </w:numPr>
        <w:spacing w:line="360" w:lineRule="auto"/>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Pritaikius visus </w:t>
      </w:r>
      <w:r w:rsidR="004576EF" w:rsidRPr="0017614D">
        <w:rPr>
          <w:rFonts w:ascii="Times New Roman" w:hAnsi="Times New Roman" w:cs="Times New Roman"/>
          <w:sz w:val="24"/>
          <w:szCs w:val="24"/>
          <w:lang w:val="lt-LT"/>
        </w:rPr>
        <w:t>šešis</w:t>
      </w:r>
      <w:r w:rsidRPr="0017614D">
        <w:rPr>
          <w:rFonts w:ascii="Times New Roman" w:hAnsi="Times New Roman" w:cs="Times New Roman"/>
          <w:sz w:val="24"/>
          <w:szCs w:val="24"/>
          <w:lang w:val="lt-LT"/>
        </w:rPr>
        <w:t xml:space="preserve"> kompleksinės bankroto grėsmės diagnozavimo metodikos elementus keturioms analizei pasirinktoms įmonėms</w:t>
      </w:r>
      <w:r w:rsidR="00916B4B" w:rsidRPr="0017614D">
        <w:rPr>
          <w:rFonts w:ascii="Times New Roman" w:hAnsi="Times New Roman" w:cs="Times New Roman"/>
          <w:sz w:val="24"/>
          <w:szCs w:val="24"/>
          <w:lang w:val="lt-LT"/>
        </w:rPr>
        <w:t>, buvo nustatyta</w:t>
      </w:r>
      <w:r w:rsidRPr="0017614D">
        <w:rPr>
          <w:rFonts w:ascii="Times New Roman" w:hAnsi="Times New Roman" w:cs="Times New Roman"/>
          <w:sz w:val="24"/>
          <w:szCs w:val="24"/>
          <w:lang w:val="lt-LT"/>
        </w:rPr>
        <w:t>, kad ši metodika yra tinkama Lietuvos įmonių bankrotui prognozuoti. Tyrimo metu buvo pastebėta, kad pav</w:t>
      </w:r>
      <w:r w:rsidR="00E62D5D">
        <w:rPr>
          <w:rFonts w:ascii="Times New Roman" w:hAnsi="Times New Roman" w:cs="Times New Roman"/>
          <w:sz w:val="24"/>
          <w:szCs w:val="24"/>
          <w:lang w:val="lt-LT"/>
        </w:rPr>
        <w:t>i</w:t>
      </w:r>
      <w:r w:rsidRPr="0017614D">
        <w:rPr>
          <w:rFonts w:ascii="Times New Roman" w:hAnsi="Times New Roman" w:cs="Times New Roman"/>
          <w:sz w:val="24"/>
          <w:szCs w:val="24"/>
          <w:lang w:val="lt-LT"/>
        </w:rPr>
        <w:t>eniai šios metodikos elementai nesugebėtų vienai iš bank</w:t>
      </w:r>
      <w:r w:rsidR="0017614D" w:rsidRPr="0017614D">
        <w:rPr>
          <w:rFonts w:ascii="Times New Roman" w:hAnsi="Times New Roman" w:cs="Times New Roman"/>
          <w:sz w:val="24"/>
          <w:szCs w:val="24"/>
          <w:lang w:val="lt-LT"/>
        </w:rPr>
        <w:t>rutavusių įmonių diagnozuoti gre</w:t>
      </w:r>
      <w:r w:rsidRPr="0017614D">
        <w:rPr>
          <w:rFonts w:ascii="Times New Roman" w:hAnsi="Times New Roman" w:cs="Times New Roman"/>
          <w:sz w:val="24"/>
          <w:szCs w:val="24"/>
          <w:lang w:val="lt-LT"/>
        </w:rPr>
        <w:t>siantį bankrotą, o vis dar veikiančias įmones neretai vertino kaip bankrutavusias, tuo tarpu analizuojant įmones kompleksiniu būdu yra gaunama visapusiška informacija apie įmonės būklę, kurį leidžia daryti objektyvesnes išvadas.</w:t>
      </w:r>
      <w:r w:rsidR="00C64748" w:rsidRPr="0017614D">
        <w:rPr>
          <w:rFonts w:ascii="Times New Roman" w:hAnsi="Times New Roman" w:cs="Times New Roman"/>
          <w:sz w:val="24"/>
          <w:szCs w:val="24"/>
          <w:lang w:val="lt-LT"/>
        </w:rPr>
        <w:t xml:space="preserve"> Be to nagrinėjant įmones kompleksiniu būdu yra išvengiama neteisingų rezultatų dėl </w:t>
      </w:r>
      <w:r w:rsidR="00647447">
        <w:rPr>
          <w:rFonts w:ascii="Times New Roman" w:hAnsi="Times New Roman" w:cs="Times New Roman"/>
          <w:sz w:val="24"/>
          <w:szCs w:val="24"/>
          <w:lang w:val="lt-LT"/>
        </w:rPr>
        <w:t>šakos efekto ar skirtingų nagrinėjamų laikotarpių</w:t>
      </w:r>
      <w:r w:rsidR="00C64748" w:rsidRPr="0017614D">
        <w:rPr>
          <w:rFonts w:ascii="Times New Roman" w:hAnsi="Times New Roman" w:cs="Times New Roman"/>
          <w:sz w:val="24"/>
          <w:szCs w:val="24"/>
          <w:lang w:val="lt-LT"/>
        </w:rPr>
        <w:t>, kadangi ši metodika apima tiek kiekybinę, tiek kokybinę analizę, kurios metu yra įvertinami ne tik įmonės finansiniai rodikliai, bet ir terpė, kurioje įmonė veikia.</w:t>
      </w:r>
    </w:p>
    <w:p w:rsidR="00BA2539" w:rsidRDefault="00C64748" w:rsidP="00647447">
      <w:pPr>
        <w:spacing w:after="0" w:line="360" w:lineRule="auto"/>
        <w:ind w:firstLine="720"/>
        <w:contextualSpacing/>
        <w:jc w:val="both"/>
        <w:rPr>
          <w:rFonts w:ascii="Times New Roman" w:hAnsi="Times New Roman" w:cs="Times New Roman"/>
          <w:sz w:val="24"/>
          <w:szCs w:val="24"/>
          <w:lang w:val="lt-LT"/>
        </w:rPr>
      </w:pPr>
      <w:r w:rsidRPr="004F4894">
        <w:rPr>
          <w:rFonts w:ascii="Times New Roman" w:hAnsi="Times New Roman" w:cs="Times New Roman"/>
          <w:sz w:val="24"/>
          <w:szCs w:val="24"/>
          <w:lang w:val="lt-LT"/>
        </w:rPr>
        <w:t xml:space="preserve">Kompleksinę metodiką įvertinus kaip tinkamą įmonių bankrotui prognozuoti yra siūloma Lietuvos bendrovėms </w:t>
      </w:r>
      <w:r w:rsidR="00F74303" w:rsidRPr="004F4894">
        <w:rPr>
          <w:rFonts w:ascii="Times New Roman" w:hAnsi="Times New Roman" w:cs="Times New Roman"/>
          <w:sz w:val="24"/>
          <w:szCs w:val="24"/>
          <w:lang w:val="lt-LT"/>
        </w:rPr>
        <w:t xml:space="preserve">taikyti šį metodą </w:t>
      </w:r>
      <w:r w:rsidR="00B454BE" w:rsidRPr="004F4894">
        <w:rPr>
          <w:rFonts w:ascii="Times New Roman" w:hAnsi="Times New Roman" w:cs="Times New Roman"/>
          <w:sz w:val="24"/>
          <w:szCs w:val="24"/>
          <w:lang w:val="lt-LT"/>
        </w:rPr>
        <w:t>siekinat</w:t>
      </w:r>
      <w:r w:rsidR="00F74303" w:rsidRPr="004F4894">
        <w:rPr>
          <w:rFonts w:ascii="Times New Roman" w:hAnsi="Times New Roman" w:cs="Times New Roman"/>
          <w:sz w:val="24"/>
          <w:szCs w:val="24"/>
          <w:lang w:val="lt-LT"/>
        </w:rPr>
        <w:t xml:space="preserve"> </w:t>
      </w:r>
      <w:r w:rsidRPr="004F4894">
        <w:rPr>
          <w:rFonts w:ascii="Times New Roman" w:hAnsi="Times New Roman" w:cs="Times New Roman"/>
          <w:sz w:val="24"/>
          <w:szCs w:val="24"/>
          <w:lang w:val="lt-LT"/>
        </w:rPr>
        <w:t>išv</w:t>
      </w:r>
      <w:r w:rsidR="00F74303" w:rsidRPr="004F4894">
        <w:rPr>
          <w:rFonts w:ascii="Times New Roman" w:hAnsi="Times New Roman" w:cs="Times New Roman"/>
          <w:sz w:val="24"/>
          <w:szCs w:val="24"/>
          <w:lang w:val="lt-LT"/>
        </w:rPr>
        <w:t>engti</w:t>
      </w:r>
      <w:r w:rsidR="00B454BE" w:rsidRPr="004F4894">
        <w:rPr>
          <w:rFonts w:ascii="Times New Roman" w:hAnsi="Times New Roman" w:cs="Times New Roman"/>
          <w:sz w:val="24"/>
          <w:szCs w:val="24"/>
          <w:lang w:val="lt-LT"/>
        </w:rPr>
        <w:t xml:space="preserve"> galimos bankroto grėsmės</w:t>
      </w:r>
      <w:r w:rsidR="00F74303" w:rsidRPr="004F4894">
        <w:rPr>
          <w:rFonts w:ascii="Times New Roman" w:hAnsi="Times New Roman" w:cs="Times New Roman"/>
          <w:sz w:val="24"/>
          <w:szCs w:val="24"/>
          <w:lang w:val="lt-LT"/>
        </w:rPr>
        <w:t>. Be to įmonėms yra siūloma sukurti ana</w:t>
      </w:r>
      <w:r w:rsidR="00B454BE" w:rsidRPr="004F4894">
        <w:rPr>
          <w:rFonts w:ascii="Times New Roman" w:hAnsi="Times New Roman" w:cs="Times New Roman"/>
          <w:sz w:val="24"/>
          <w:szCs w:val="24"/>
          <w:lang w:val="lt-LT"/>
        </w:rPr>
        <w:t>litiko pareigybę arba</w:t>
      </w:r>
      <w:r w:rsidR="00F74303" w:rsidRPr="004F4894">
        <w:rPr>
          <w:rFonts w:ascii="Times New Roman" w:hAnsi="Times New Roman" w:cs="Times New Roman"/>
          <w:sz w:val="24"/>
          <w:szCs w:val="24"/>
          <w:lang w:val="lt-LT"/>
        </w:rPr>
        <w:t xml:space="preserve"> nustatyti </w:t>
      </w:r>
      <w:r w:rsidRPr="004F4894">
        <w:rPr>
          <w:rFonts w:ascii="Times New Roman" w:hAnsi="Times New Roman" w:cs="Times New Roman"/>
          <w:sz w:val="24"/>
          <w:szCs w:val="24"/>
          <w:lang w:val="lt-LT"/>
        </w:rPr>
        <w:t>a</w:t>
      </w:r>
      <w:r w:rsidR="00647447">
        <w:rPr>
          <w:rFonts w:ascii="Times New Roman" w:hAnsi="Times New Roman" w:cs="Times New Roman"/>
          <w:sz w:val="24"/>
          <w:szCs w:val="24"/>
          <w:lang w:val="lt-LT"/>
        </w:rPr>
        <w:t>tsakingą asmenį už periodinę</w:t>
      </w:r>
      <w:r w:rsidR="00F74303" w:rsidRPr="004F4894">
        <w:rPr>
          <w:rFonts w:ascii="Times New Roman" w:hAnsi="Times New Roman" w:cs="Times New Roman"/>
          <w:sz w:val="24"/>
          <w:szCs w:val="24"/>
          <w:lang w:val="lt-LT"/>
        </w:rPr>
        <w:t xml:space="preserve"> įmonės būklės</w:t>
      </w:r>
      <w:r w:rsidR="00647447">
        <w:rPr>
          <w:rFonts w:ascii="Times New Roman" w:hAnsi="Times New Roman" w:cs="Times New Roman"/>
          <w:sz w:val="24"/>
          <w:szCs w:val="24"/>
          <w:lang w:val="lt-LT"/>
        </w:rPr>
        <w:t xml:space="preserve"> analizę</w:t>
      </w:r>
      <w:r w:rsidR="00F74303" w:rsidRPr="004F4894">
        <w:rPr>
          <w:rFonts w:ascii="Times New Roman" w:hAnsi="Times New Roman" w:cs="Times New Roman"/>
          <w:sz w:val="24"/>
          <w:szCs w:val="24"/>
          <w:lang w:val="lt-LT"/>
        </w:rPr>
        <w:t>, kuris gautus analizės rezultatus mažiausiai kartą per pusmetį pateiktų įmonės vadovams bei akcininkams pabrėždamas įmonės problemines sritis bei galimus jų sprendimo būdus.</w:t>
      </w:r>
      <w:r w:rsidR="00B454BE" w:rsidRPr="004F4894">
        <w:rPr>
          <w:rFonts w:ascii="Times New Roman" w:hAnsi="Times New Roman" w:cs="Times New Roman"/>
          <w:sz w:val="24"/>
          <w:szCs w:val="24"/>
          <w:lang w:val="lt-LT"/>
        </w:rPr>
        <w:t xml:space="preserve"> </w:t>
      </w:r>
      <w:r w:rsidR="004576EF" w:rsidRPr="004F4894">
        <w:rPr>
          <w:rFonts w:ascii="Times New Roman" w:hAnsi="Times New Roman" w:cs="Times New Roman"/>
          <w:sz w:val="24"/>
          <w:szCs w:val="24"/>
          <w:lang w:val="lt-LT"/>
        </w:rPr>
        <w:t>Taip pat, ištyrus bankroto grėsmę, yra siūloma sudaryti planą, kuriame būtų nurodyta, kokios post-diagnostinės priemonės bus taikomos bei jį įgyvendinti.</w:t>
      </w:r>
    </w:p>
    <w:p w:rsidR="00BA2539" w:rsidRPr="00647447" w:rsidRDefault="00BA2539" w:rsidP="00647447">
      <w:pPr>
        <w:spacing w:after="0" w:line="360" w:lineRule="auto"/>
        <w:ind w:firstLine="720"/>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Tarpiniai šio tyrimo rezultati yra paskelbti mokslin</w:t>
      </w:r>
      <w:r w:rsidR="00647447">
        <w:rPr>
          <w:rFonts w:ascii="Times New Roman" w:hAnsi="Times New Roman" w:cs="Times New Roman"/>
          <w:sz w:val="24"/>
          <w:szCs w:val="24"/>
          <w:lang w:val="lt-LT"/>
        </w:rPr>
        <w:t>iuose straipsniuose</w:t>
      </w:r>
      <w:r>
        <w:rPr>
          <w:rFonts w:ascii="Times New Roman" w:hAnsi="Times New Roman" w:cs="Times New Roman"/>
          <w:sz w:val="24"/>
          <w:szCs w:val="24"/>
          <w:lang w:val="lt-LT"/>
        </w:rPr>
        <w:t xml:space="preserve"> – „</w:t>
      </w:r>
      <w:r w:rsidRPr="00BA2539">
        <w:rPr>
          <w:rFonts w:ascii="Times New Roman" w:hAnsi="Times New Roman" w:cs="Times New Roman"/>
          <w:sz w:val="24"/>
          <w:szCs w:val="24"/>
          <w:lang w:val="lt-LT"/>
        </w:rPr>
        <w:t>The Evaluation of Bankruptcy Prediction Models for Lithuanian Companies</w:t>
      </w:r>
      <w:r>
        <w:rPr>
          <w:rFonts w:ascii="Times New Roman" w:hAnsi="Times New Roman" w:cs="Times New Roman"/>
          <w:sz w:val="24"/>
          <w:szCs w:val="24"/>
          <w:lang w:val="lt-LT"/>
        </w:rPr>
        <w:t>“</w:t>
      </w:r>
      <w:r w:rsidR="00647447">
        <w:rPr>
          <w:rFonts w:ascii="Times New Roman" w:hAnsi="Times New Roman" w:cs="Times New Roman"/>
          <w:sz w:val="24"/>
          <w:szCs w:val="24"/>
          <w:lang w:val="lt-LT"/>
        </w:rPr>
        <w:t xml:space="preserve"> (</w:t>
      </w:r>
      <w:r>
        <w:rPr>
          <w:rFonts w:ascii="Times New Roman" w:hAnsi="Times New Roman" w:cs="Times New Roman"/>
          <w:sz w:val="24"/>
          <w:szCs w:val="24"/>
          <w:lang w:val="lt-LT"/>
        </w:rPr>
        <w:t>publikuot</w:t>
      </w:r>
      <w:r w:rsidR="00647447">
        <w:rPr>
          <w:rFonts w:ascii="Times New Roman" w:hAnsi="Times New Roman" w:cs="Times New Roman"/>
          <w:sz w:val="24"/>
          <w:szCs w:val="24"/>
          <w:lang w:val="lt-LT"/>
        </w:rPr>
        <w:t>as</w:t>
      </w:r>
      <w:r>
        <w:rPr>
          <w:rFonts w:ascii="Times New Roman" w:hAnsi="Times New Roman" w:cs="Times New Roman"/>
          <w:sz w:val="24"/>
          <w:szCs w:val="24"/>
          <w:lang w:val="lt-LT"/>
        </w:rPr>
        <w:t xml:space="preserve"> </w:t>
      </w:r>
      <w:r w:rsidR="00647447">
        <w:rPr>
          <w:rFonts w:ascii="Times New Roman" w:hAnsi="Times New Roman" w:cs="Times New Roman"/>
          <w:sz w:val="24"/>
          <w:szCs w:val="24"/>
          <w:lang w:val="lt-LT"/>
        </w:rPr>
        <w:t xml:space="preserve">2013 m. </w:t>
      </w:r>
      <w:r>
        <w:rPr>
          <w:rFonts w:ascii="Times New Roman" w:hAnsi="Times New Roman" w:cs="Times New Roman"/>
          <w:sz w:val="24"/>
          <w:szCs w:val="24"/>
          <w:lang w:val="lt-LT"/>
        </w:rPr>
        <w:t>Brno Technologijų universiteto moksliniame žurnale „</w:t>
      </w:r>
      <w:r w:rsidRPr="00BA2539">
        <w:rPr>
          <w:rFonts w:ascii="Times New Roman" w:hAnsi="Times New Roman" w:cs="Times New Roman"/>
          <w:sz w:val="24"/>
          <w:szCs w:val="24"/>
          <w:lang w:val="lt-LT"/>
        </w:rPr>
        <w:t>Trendy ekonomiky a managementu</w:t>
      </w:r>
      <w:r>
        <w:rPr>
          <w:rFonts w:ascii="Times New Roman" w:hAnsi="Times New Roman" w:cs="Times New Roman"/>
          <w:sz w:val="24"/>
          <w:szCs w:val="24"/>
          <w:lang w:val="lt-LT"/>
        </w:rPr>
        <w:t>“</w:t>
      </w:r>
      <w:r w:rsidR="00647447">
        <w:rPr>
          <w:rFonts w:ascii="Times New Roman" w:hAnsi="Times New Roman" w:cs="Times New Roman"/>
          <w:sz w:val="24"/>
          <w:szCs w:val="24"/>
          <w:lang w:val="lt-LT"/>
        </w:rPr>
        <w:t>)</w:t>
      </w:r>
      <w:r>
        <w:rPr>
          <w:rFonts w:ascii="Times New Roman" w:hAnsi="Times New Roman" w:cs="Times New Roman"/>
          <w:sz w:val="24"/>
          <w:szCs w:val="24"/>
          <w:lang w:val="lt-LT"/>
        </w:rPr>
        <w:t xml:space="preserve"> bei „</w:t>
      </w:r>
      <w:r w:rsidRPr="00B22DEA">
        <w:rPr>
          <w:rFonts w:ascii="Times New Roman" w:eastAsia="TimesNewRomanPS-BoldMT" w:hAnsi="Times New Roman" w:cs="Times New Roman"/>
          <w:bCs/>
          <w:sz w:val="24"/>
          <w:szCs w:val="24"/>
          <w:lang w:val="lt-LT"/>
        </w:rPr>
        <w:t>Evalution of linear discriminant analysis bancruptcy prediction models</w:t>
      </w:r>
      <w:r>
        <w:rPr>
          <w:rFonts w:ascii="Times New Roman" w:eastAsia="TimesNewRomanPS-BoldMT" w:hAnsi="Times New Roman" w:cs="Times New Roman"/>
          <w:bCs/>
          <w:sz w:val="24"/>
          <w:szCs w:val="24"/>
          <w:lang w:val="lt-LT"/>
        </w:rPr>
        <w:t>“</w:t>
      </w:r>
      <w:r w:rsidRPr="00B22DEA">
        <w:rPr>
          <w:rFonts w:ascii="Times New Roman" w:eastAsia="TimesNewRomanPS-BoldMT" w:hAnsi="Times New Roman" w:cs="Times New Roman"/>
          <w:b/>
          <w:bCs/>
          <w:sz w:val="24"/>
          <w:szCs w:val="24"/>
          <w:lang w:val="lt-LT"/>
        </w:rPr>
        <w:t xml:space="preserve"> </w:t>
      </w:r>
      <w:r w:rsidR="00647447">
        <w:rPr>
          <w:rFonts w:ascii="Times New Roman" w:eastAsia="TimesNewRomanPS-BoldMT" w:hAnsi="Times New Roman" w:cs="Times New Roman"/>
          <w:b/>
          <w:bCs/>
          <w:sz w:val="24"/>
          <w:szCs w:val="24"/>
          <w:lang w:val="lt-LT"/>
        </w:rPr>
        <w:t>(</w:t>
      </w:r>
      <w:r w:rsidR="00647447">
        <w:rPr>
          <w:rFonts w:ascii="Times New Roman" w:eastAsia="TimesNewRomanPS-BoldMT" w:hAnsi="Times New Roman" w:cs="Times New Roman"/>
          <w:bCs/>
          <w:sz w:val="24"/>
          <w:szCs w:val="24"/>
          <w:lang w:val="lt-LT"/>
        </w:rPr>
        <w:t>publikuotas</w:t>
      </w:r>
      <w:r w:rsidR="00647447" w:rsidRPr="00647447">
        <w:rPr>
          <w:rFonts w:ascii="Times New Roman" w:eastAsia="TimesNewRomanPS-BoldMT" w:hAnsi="Times New Roman" w:cs="Times New Roman"/>
          <w:bCs/>
          <w:sz w:val="24"/>
          <w:szCs w:val="24"/>
          <w:lang w:val="lt-LT"/>
        </w:rPr>
        <w:t xml:space="preserve"> 2012 m. išleistame tarptautiniame mokslinių darbų rinkinyje skirtame Bratislavos Ekonomikos universiteto verslo ekonomikos katedros 60-mečiui</w:t>
      </w:r>
      <w:r w:rsidR="00647447">
        <w:rPr>
          <w:rFonts w:ascii="Times New Roman" w:eastAsia="TimesNewRomanPS-BoldMT" w:hAnsi="Times New Roman" w:cs="Times New Roman"/>
          <w:bCs/>
          <w:sz w:val="24"/>
          <w:szCs w:val="24"/>
          <w:lang w:val="lt-LT"/>
        </w:rPr>
        <w:t>)</w:t>
      </w:r>
      <w:r w:rsidR="00647447" w:rsidRPr="00647447">
        <w:rPr>
          <w:rFonts w:ascii="Times New Roman" w:eastAsia="TimesNewRomanPS-BoldMT" w:hAnsi="Times New Roman" w:cs="Times New Roman"/>
          <w:bCs/>
          <w:sz w:val="24"/>
          <w:szCs w:val="24"/>
          <w:lang w:val="lt-LT"/>
        </w:rPr>
        <w:t xml:space="preserve">. </w:t>
      </w:r>
      <w:r w:rsidR="00647447">
        <w:rPr>
          <w:rFonts w:ascii="Times New Roman" w:eastAsia="TimesNewRomanPS-BoldMT" w:hAnsi="Times New Roman" w:cs="Times New Roman"/>
          <w:bCs/>
          <w:sz w:val="24"/>
          <w:szCs w:val="24"/>
          <w:lang w:val="lt-LT"/>
        </w:rPr>
        <w:t>Taip pat yra numatomos tolimesnės tyrimo galimybės kuriant Lietuvos įmonėms tinkamą bankroto grėsmės nustatymo modelį, kurio pagrindu galėtų būti kompleksinis bankroto grėsmės diagnozavimo modelis.</w:t>
      </w:r>
    </w:p>
    <w:p w:rsidR="001A7716" w:rsidRPr="0017614D" w:rsidRDefault="001A7716" w:rsidP="00F74303">
      <w:pPr>
        <w:pStyle w:val="ListParagraph"/>
        <w:spacing w:line="360" w:lineRule="auto"/>
        <w:ind w:left="714"/>
        <w:jc w:val="both"/>
        <w:rPr>
          <w:rFonts w:ascii="Times New Roman" w:hAnsi="Times New Roman" w:cs="Times New Roman"/>
          <w:sz w:val="24"/>
          <w:szCs w:val="24"/>
          <w:lang w:val="lt-LT"/>
        </w:rPr>
      </w:pPr>
    </w:p>
    <w:p w:rsidR="00B454BE" w:rsidRPr="0017614D" w:rsidRDefault="00B454BE" w:rsidP="00F74303">
      <w:pPr>
        <w:pStyle w:val="ListParagraph"/>
        <w:spacing w:line="360" w:lineRule="auto"/>
        <w:ind w:left="714"/>
        <w:jc w:val="both"/>
        <w:rPr>
          <w:rFonts w:ascii="Times New Roman" w:hAnsi="Times New Roman" w:cs="Times New Roman"/>
          <w:sz w:val="24"/>
          <w:szCs w:val="24"/>
          <w:lang w:val="lt-LT"/>
        </w:rPr>
      </w:pPr>
    </w:p>
    <w:p w:rsidR="003D438B" w:rsidRPr="0017614D" w:rsidRDefault="003D438B" w:rsidP="00F74303">
      <w:pPr>
        <w:pStyle w:val="ListParagraph"/>
        <w:spacing w:line="360" w:lineRule="auto"/>
        <w:ind w:left="714"/>
        <w:jc w:val="both"/>
        <w:rPr>
          <w:rFonts w:ascii="Times New Roman" w:hAnsi="Times New Roman" w:cs="Times New Roman"/>
          <w:sz w:val="24"/>
          <w:szCs w:val="24"/>
          <w:lang w:val="lt-LT"/>
        </w:rPr>
      </w:pPr>
    </w:p>
    <w:p w:rsidR="003D438B" w:rsidRPr="0017614D" w:rsidRDefault="003D438B" w:rsidP="00F74303">
      <w:pPr>
        <w:pStyle w:val="ListParagraph"/>
        <w:spacing w:line="360" w:lineRule="auto"/>
        <w:ind w:left="714"/>
        <w:jc w:val="both"/>
        <w:rPr>
          <w:rFonts w:ascii="Times New Roman" w:hAnsi="Times New Roman" w:cs="Times New Roman"/>
          <w:sz w:val="24"/>
          <w:szCs w:val="24"/>
          <w:lang w:val="lt-LT"/>
        </w:rPr>
      </w:pPr>
    </w:p>
    <w:p w:rsidR="003D438B" w:rsidRPr="0017614D" w:rsidRDefault="003D438B" w:rsidP="00F74303">
      <w:pPr>
        <w:pStyle w:val="ListParagraph"/>
        <w:spacing w:line="360" w:lineRule="auto"/>
        <w:ind w:left="714"/>
        <w:jc w:val="both"/>
        <w:rPr>
          <w:rFonts w:ascii="Times New Roman" w:hAnsi="Times New Roman" w:cs="Times New Roman"/>
          <w:sz w:val="24"/>
          <w:szCs w:val="24"/>
          <w:lang w:val="lt-LT"/>
        </w:rPr>
      </w:pPr>
    </w:p>
    <w:p w:rsidR="00D52710" w:rsidRPr="0017614D" w:rsidRDefault="00522B27" w:rsidP="005B6E8A">
      <w:pPr>
        <w:pStyle w:val="Heading1"/>
        <w:spacing w:before="0"/>
        <w:contextualSpacing/>
        <w:rPr>
          <w:lang w:val="lt-LT"/>
        </w:rPr>
      </w:pPr>
      <w:bookmarkStart w:id="103" w:name="_Toc374655664"/>
      <w:r w:rsidRPr="0017614D">
        <w:rPr>
          <w:lang w:val="lt-LT"/>
        </w:rPr>
        <w:lastRenderedPageBreak/>
        <w:t>LITERATŪRA</w:t>
      </w:r>
      <w:bookmarkEnd w:id="103"/>
    </w:p>
    <w:p w:rsidR="005B6E8A" w:rsidRPr="0017614D" w:rsidRDefault="005B6E8A" w:rsidP="005B6E8A">
      <w:pPr>
        <w:spacing w:after="0"/>
        <w:contextualSpacing/>
        <w:rPr>
          <w:lang w:val="lt-LT"/>
        </w:rPr>
      </w:pPr>
    </w:p>
    <w:p w:rsidR="00C53335" w:rsidRPr="00F231FF" w:rsidRDefault="00C53335" w:rsidP="00417443">
      <w:pPr>
        <w:pStyle w:val="ListParagraph"/>
        <w:numPr>
          <w:ilvl w:val="0"/>
          <w:numId w:val="18"/>
        </w:numPr>
        <w:autoSpaceDE w:val="0"/>
        <w:autoSpaceDN w:val="0"/>
        <w:adjustRightInd w:val="0"/>
        <w:spacing w:after="0"/>
        <w:jc w:val="both"/>
        <w:rPr>
          <w:rFonts w:ascii="Times New Roman" w:hAnsi="Times New Roman" w:cs="Times New Roman"/>
          <w:sz w:val="23"/>
          <w:szCs w:val="23"/>
          <w:lang w:val="lt-LT"/>
        </w:rPr>
      </w:pPr>
      <w:r w:rsidRPr="00F231FF">
        <w:rPr>
          <w:rFonts w:ascii="Times New Roman" w:hAnsi="Times New Roman" w:cs="Times New Roman"/>
          <w:b/>
          <w:sz w:val="23"/>
          <w:szCs w:val="23"/>
          <w:lang w:val="lt-LT"/>
        </w:rPr>
        <w:t>Adnan Aziz M., Dar H. A.</w:t>
      </w:r>
      <w:r w:rsidRPr="00F231FF">
        <w:rPr>
          <w:rFonts w:ascii="Times New Roman" w:hAnsi="Times New Roman" w:cs="Times New Roman"/>
          <w:sz w:val="23"/>
          <w:szCs w:val="23"/>
          <w:lang w:val="lt-LT"/>
        </w:rPr>
        <w:t xml:space="preserve"> Predicting corporate bankruptcy: where we stand? // Corporate Governance, 2006, Nr. 6 (1) - 18-33 p.</w:t>
      </w:r>
    </w:p>
    <w:p w:rsidR="00C53335" w:rsidRPr="00F231FF" w:rsidRDefault="00C53335" w:rsidP="00417443">
      <w:pPr>
        <w:pStyle w:val="ListParagraph"/>
        <w:numPr>
          <w:ilvl w:val="0"/>
          <w:numId w:val="18"/>
        </w:numPr>
        <w:autoSpaceDE w:val="0"/>
        <w:autoSpaceDN w:val="0"/>
        <w:adjustRightInd w:val="0"/>
        <w:spacing w:after="0"/>
        <w:jc w:val="both"/>
        <w:rPr>
          <w:rFonts w:ascii="Times New Roman" w:hAnsi="Times New Roman" w:cs="Times New Roman"/>
          <w:sz w:val="23"/>
          <w:szCs w:val="23"/>
          <w:lang w:val="lt-LT"/>
        </w:rPr>
      </w:pPr>
      <w:r w:rsidRPr="00F231FF">
        <w:rPr>
          <w:rFonts w:ascii="Times New Roman" w:hAnsi="Times New Roman" w:cs="Times New Roman"/>
          <w:b/>
          <w:sz w:val="23"/>
          <w:szCs w:val="23"/>
          <w:lang w:val="lt-LT"/>
        </w:rPr>
        <w:t>Andriulevičiūtė, R., Survilaitė R.</w:t>
      </w:r>
      <w:r w:rsidRPr="00F231FF">
        <w:rPr>
          <w:rFonts w:ascii="Times New Roman" w:hAnsi="Times New Roman" w:cs="Times New Roman"/>
          <w:sz w:val="23"/>
          <w:szCs w:val="23"/>
          <w:lang w:val="lt-LT"/>
        </w:rPr>
        <w:t xml:space="preserve"> Bankroto reglamentavimo dabartis ir ateitis Lietuvoje // </w:t>
      </w:r>
      <w:r w:rsidRPr="00F231FF">
        <w:rPr>
          <w:rFonts w:ascii="Times New Roman" w:hAnsi="Times New Roman" w:cs="Times New Roman"/>
          <w:iCs/>
          <w:sz w:val="23"/>
          <w:szCs w:val="23"/>
          <w:lang w:val="lt-LT"/>
        </w:rPr>
        <w:t>Apskaitos ir mokesčių</w:t>
      </w:r>
      <w:r w:rsidRPr="00F231FF">
        <w:rPr>
          <w:rFonts w:ascii="Times New Roman" w:hAnsi="Times New Roman" w:cs="Times New Roman"/>
          <w:sz w:val="23"/>
          <w:szCs w:val="23"/>
          <w:lang w:val="lt-LT"/>
        </w:rPr>
        <w:t xml:space="preserve"> </w:t>
      </w:r>
      <w:r w:rsidRPr="00F231FF">
        <w:rPr>
          <w:rFonts w:ascii="Times New Roman" w:hAnsi="Times New Roman" w:cs="Times New Roman"/>
          <w:iCs/>
          <w:sz w:val="23"/>
          <w:szCs w:val="23"/>
          <w:lang w:val="lt-LT"/>
        </w:rPr>
        <w:t xml:space="preserve">apžvalga, </w:t>
      </w:r>
      <w:r w:rsidRPr="00F231FF">
        <w:rPr>
          <w:rFonts w:ascii="Times New Roman" w:hAnsi="Times New Roman" w:cs="Times New Roman"/>
          <w:sz w:val="23"/>
          <w:szCs w:val="23"/>
          <w:lang w:val="lt-LT"/>
        </w:rPr>
        <w:t>2009, 1, 74–79.</w:t>
      </w:r>
    </w:p>
    <w:p w:rsidR="00C53335" w:rsidRPr="00F231FF" w:rsidRDefault="00C53335" w:rsidP="00417443">
      <w:pPr>
        <w:pStyle w:val="ListParagraph"/>
        <w:numPr>
          <w:ilvl w:val="0"/>
          <w:numId w:val="18"/>
        </w:numPr>
        <w:spacing w:after="0"/>
        <w:jc w:val="both"/>
        <w:rPr>
          <w:rFonts w:ascii="Times New Roman" w:hAnsi="Times New Roman" w:cs="Times New Roman"/>
          <w:sz w:val="23"/>
          <w:szCs w:val="23"/>
          <w:lang w:val="lt-LT"/>
        </w:rPr>
      </w:pPr>
      <w:r w:rsidRPr="00F231FF">
        <w:rPr>
          <w:rFonts w:ascii="Times New Roman" w:hAnsi="Times New Roman" w:cs="Times New Roman"/>
          <w:b/>
          <w:sz w:val="23"/>
          <w:szCs w:val="23"/>
          <w:lang w:val="lt-LT"/>
        </w:rPr>
        <w:t>Balcaen, S.; Ooghe, H.</w:t>
      </w:r>
      <w:r w:rsidRPr="00F231FF">
        <w:rPr>
          <w:rFonts w:ascii="Times New Roman" w:hAnsi="Times New Roman" w:cs="Times New Roman"/>
          <w:sz w:val="23"/>
          <w:szCs w:val="23"/>
          <w:lang w:val="lt-LT"/>
        </w:rPr>
        <w:t xml:space="preserve"> Alternative methodologies in studies on business failure: do they produce better results than the classic statistical methods? // Vlerick Leuven Gent Management School Working Paper Series, 2004, 16: 1–44 p.</w:t>
      </w:r>
    </w:p>
    <w:p w:rsidR="00C53335" w:rsidRPr="00F231FF" w:rsidRDefault="00C53335" w:rsidP="00417443">
      <w:pPr>
        <w:pStyle w:val="ListParagraph"/>
        <w:numPr>
          <w:ilvl w:val="0"/>
          <w:numId w:val="18"/>
        </w:numPr>
        <w:autoSpaceDE w:val="0"/>
        <w:autoSpaceDN w:val="0"/>
        <w:adjustRightInd w:val="0"/>
        <w:spacing w:after="0"/>
        <w:jc w:val="both"/>
        <w:rPr>
          <w:rFonts w:ascii="Times New Roman" w:hAnsi="Times New Roman" w:cs="Times New Roman"/>
          <w:sz w:val="23"/>
          <w:szCs w:val="23"/>
          <w:lang w:val="lt-LT"/>
        </w:rPr>
      </w:pPr>
      <w:r w:rsidRPr="00F231FF">
        <w:rPr>
          <w:rFonts w:ascii="Times New Roman" w:hAnsi="Times New Roman" w:cs="Times New Roman"/>
          <w:b/>
          <w:bCs/>
          <w:sz w:val="23"/>
          <w:szCs w:val="23"/>
          <w:lang w:val="lt-LT"/>
        </w:rPr>
        <w:t>Baležentis A., Vijeikis J</w:t>
      </w:r>
      <w:r w:rsidRPr="00F231FF">
        <w:rPr>
          <w:rFonts w:ascii="Times New Roman" w:hAnsi="Times New Roman" w:cs="Times New Roman"/>
          <w:b/>
          <w:sz w:val="23"/>
          <w:szCs w:val="23"/>
          <w:lang w:val="lt-LT"/>
        </w:rPr>
        <w:t>.</w:t>
      </w:r>
      <w:r w:rsidRPr="00F231FF">
        <w:rPr>
          <w:rFonts w:ascii="Times New Roman" w:hAnsi="Times New Roman" w:cs="Times New Roman"/>
          <w:sz w:val="23"/>
          <w:szCs w:val="23"/>
          <w:lang w:val="lt-LT"/>
        </w:rPr>
        <w:t xml:space="preserve"> Krizės valdymo veiksniai ir priemonės Lietuvos įmonėse // </w:t>
      </w:r>
      <w:r w:rsidRPr="00F231FF">
        <w:rPr>
          <w:rFonts w:ascii="Times New Roman" w:hAnsi="Times New Roman" w:cs="Times New Roman"/>
          <w:bCs/>
          <w:sz w:val="23"/>
          <w:szCs w:val="23"/>
          <w:lang w:val="lt-LT"/>
        </w:rPr>
        <w:t>Research papers</w:t>
      </w:r>
      <w:r w:rsidRPr="00F231FF">
        <w:rPr>
          <w:rFonts w:ascii="Times New Roman" w:hAnsi="Times New Roman" w:cs="Times New Roman"/>
          <w:b/>
          <w:bCs/>
          <w:sz w:val="23"/>
          <w:szCs w:val="23"/>
          <w:lang w:val="lt-LT"/>
        </w:rPr>
        <w:t xml:space="preserve">. </w:t>
      </w:r>
      <w:r w:rsidRPr="00F231FF">
        <w:rPr>
          <w:rFonts w:ascii="Times New Roman" w:hAnsi="Times New Roman" w:cs="Times New Roman"/>
          <w:bCs/>
          <w:sz w:val="23"/>
          <w:szCs w:val="23"/>
          <w:lang w:val="lt-LT"/>
        </w:rPr>
        <w:t>Management theory and studies for rural business and infrastructure</w:t>
      </w:r>
      <w:r w:rsidRPr="00F231FF">
        <w:rPr>
          <w:rFonts w:ascii="Times New Roman" w:hAnsi="Times New Roman" w:cs="Times New Roman"/>
          <w:sz w:val="23"/>
          <w:szCs w:val="23"/>
          <w:lang w:val="lt-LT"/>
        </w:rPr>
        <w:t xml:space="preserve"> </w:t>
      </w:r>
      <w:r w:rsidRPr="00F231FF">
        <w:rPr>
          <w:rFonts w:ascii="Times New Roman" w:hAnsi="Times New Roman" w:cs="Times New Roman"/>
          <w:bCs/>
          <w:sz w:val="23"/>
          <w:szCs w:val="23"/>
          <w:lang w:val="lt-LT"/>
        </w:rPr>
        <w:t xml:space="preserve">development, 2010, Nr. 23 (4), 10 p. </w:t>
      </w:r>
    </w:p>
    <w:p w:rsidR="00C53335" w:rsidRPr="00F231FF" w:rsidRDefault="00C53335" w:rsidP="00417443">
      <w:pPr>
        <w:pStyle w:val="ListParagraph"/>
        <w:numPr>
          <w:ilvl w:val="0"/>
          <w:numId w:val="18"/>
        </w:numPr>
        <w:autoSpaceDE w:val="0"/>
        <w:autoSpaceDN w:val="0"/>
        <w:adjustRightInd w:val="0"/>
        <w:spacing w:after="0"/>
        <w:jc w:val="both"/>
        <w:rPr>
          <w:rFonts w:ascii="Times New Roman" w:hAnsi="Times New Roman" w:cs="Times New Roman"/>
          <w:sz w:val="23"/>
          <w:szCs w:val="23"/>
          <w:lang w:val="lt-LT"/>
        </w:rPr>
      </w:pPr>
      <w:r w:rsidRPr="00F231FF">
        <w:rPr>
          <w:rFonts w:ascii="Times New Roman" w:hAnsi="Times New Roman" w:cs="Times New Roman"/>
          <w:b/>
          <w:sz w:val="23"/>
          <w:szCs w:val="23"/>
        </w:rPr>
        <w:t>Bazelio tarptautinio komercinių bankų priežiūros komitetas.</w:t>
      </w:r>
      <w:r w:rsidRPr="00F231FF">
        <w:rPr>
          <w:rFonts w:ascii="Times New Roman" w:hAnsi="Times New Roman" w:cs="Times New Roman"/>
          <w:sz w:val="23"/>
          <w:szCs w:val="23"/>
        </w:rPr>
        <w:t xml:space="preserve"> </w:t>
      </w:r>
      <w:r w:rsidRPr="00F231FF">
        <w:rPr>
          <w:rFonts w:ascii="Times New Roman" w:hAnsi="Times New Roman" w:cs="Times New Roman"/>
          <w:bCs/>
          <w:sz w:val="23"/>
          <w:szCs w:val="23"/>
          <w:lang w:val="lt-LT"/>
        </w:rPr>
        <w:t>Bazelis II, 2004.</w:t>
      </w:r>
      <w:r w:rsidRPr="00F231FF">
        <w:rPr>
          <w:rFonts w:ascii="Times New Roman" w:hAnsi="Times New Roman" w:cs="Times New Roman"/>
          <w:b/>
          <w:bCs/>
          <w:sz w:val="23"/>
          <w:szCs w:val="23"/>
          <w:lang w:val="lt-LT"/>
        </w:rPr>
        <w:t xml:space="preserve"> </w:t>
      </w:r>
      <w:r w:rsidRPr="00F231FF">
        <w:rPr>
          <w:rFonts w:ascii="Times New Roman" w:hAnsi="Times New Roman" w:cs="Times New Roman"/>
          <w:sz w:val="23"/>
          <w:szCs w:val="23"/>
          <w:lang w:val="lt-LT"/>
        </w:rPr>
        <w:t xml:space="preserve">URL: </w:t>
      </w:r>
      <w:hyperlink r:id="rId40" w:history="1">
        <w:r w:rsidRPr="00F231FF">
          <w:rPr>
            <w:rStyle w:val="Hyperlink"/>
            <w:rFonts w:ascii="Times New Roman" w:hAnsi="Times New Roman" w:cs="Times New Roman"/>
            <w:color w:val="auto"/>
            <w:sz w:val="23"/>
            <w:szCs w:val="23"/>
            <w:u w:val="none"/>
            <w:lang w:val="lt-LT"/>
          </w:rPr>
          <w:t>http://www.occ.gov/news-issuances/news-releases/2007/nr-occ-2007-123a.pdf</w:t>
        </w:r>
      </w:hyperlink>
      <w:r w:rsidRPr="00F231FF">
        <w:rPr>
          <w:rFonts w:ascii="Times New Roman" w:hAnsi="Times New Roman" w:cs="Times New Roman"/>
          <w:sz w:val="23"/>
          <w:szCs w:val="23"/>
          <w:lang w:val="lt-LT"/>
        </w:rPr>
        <w:t xml:space="preserve"> [Žiūrėta 2013-10-20].</w:t>
      </w:r>
    </w:p>
    <w:p w:rsidR="00C53335" w:rsidRPr="00F231FF" w:rsidRDefault="00601E2F" w:rsidP="00417443">
      <w:pPr>
        <w:pStyle w:val="ListParagraph"/>
        <w:numPr>
          <w:ilvl w:val="0"/>
          <w:numId w:val="18"/>
        </w:numPr>
        <w:autoSpaceDE w:val="0"/>
        <w:autoSpaceDN w:val="0"/>
        <w:adjustRightInd w:val="0"/>
        <w:spacing w:after="0"/>
        <w:jc w:val="both"/>
        <w:rPr>
          <w:rFonts w:ascii="Times New Roman" w:hAnsi="Times New Roman" w:cs="Times New Roman"/>
          <w:sz w:val="23"/>
          <w:szCs w:val="23"/>
          <w:lang w:val="lt-LT"/>
        </w:rPr>
      </w:pPr>
      <w:r w:rsidRPr="00F231FF">
        <w:rPr>
          <w:rFonts w:ascii="Times New Roman" w:hAnsi="Times New Roman" w:cs="Times New Roman"/>
          <w:b/>
          <w:sz w:val="23"/>
          <w:szCs w:val="23"/>
          <w:lang w:val="lt-LT"/>
        </w:rPr>
        <w:t>Beržinskienė D., Stoškus S., Virbickaitė R</w:t>
      </w:r>
      <w:r w:rsidR="00C53335" w:rsidRPr="00F231FF">
        <w:rPr>
          <w:rFonts w:ascii="Times New Roman" w:hAnsi="Times New Roman" w:cs="Times New Roman"/>
          <w:b/>
          <w:sz w:val="23"/>
          <w:szCs w:val="23"/>
          <w:lang w:val="lt-LT"/>
        </w:rPr>
        <w:t>.</w:t>
      </w:r>
      <w:r w:rsidR="00C53335" w:rsidRPr="00F231FF">
        <w:rPr>
          <w:rFonts w:ascii="Times New Roman" w:hAnsi="Times New Roman" w:cs="Times New Roman"/>
          <w:sz w:val="23"/>
          <w:szCs w:val="23"/>
          <w:lang w:val="lt-LT"/>
        </w:rPr>
        <w:t xml:space="preserve"> </w:t>
      </w:r>
      <w:r w:rsidR="00C53335" w:rsidRPr="00F231FF">
        <w:rPr>
          <w:rFonts w:ascii="Times New Roman" w:hAnsi="Times New Roman" w:cs="Times New Roman"/>
          <w:bCs/>
          <w:sz w:val="23"/>
          <w:szCs w:val="23"/>
          <w:lang w:val="lt-LT"/>
        </w:rPr>
        <w:t xml:space="preserve">Theoretical and Practical Decisions of Bankruptcy as one of Dynamic Alternatives in Company‘s Performance// Engineering Economics, 2007, Nr. 2(52), 26-33 p. </w:t>
      </w:r>
    </w:p>
    <w:p w:rsidR="00C53335" w:rsidRPr="00F231FF" w:rsidRDefault="00C53335" w:rsidP="00417443">
      <w:pPr>
        <w:pStyle w:val="ListParagraph"/>
        <w:numPr>
          <w:ilvl w:val="0"/>
          <w:numId w:val="18"/>
        </w:numPr>
        <w:autoSpaceDE w:val="0"/>
        <w:autoSpaceDN w:val="0"/>
        <w:adjustRightInd w:val="0"/>
        <w:spacing w:after="0"/>
        <w:jc w:val="both"/>
        <w:rPr>
          <w:rFonts w:ascii="Times New Roman" w:hAnsi="Times New Roman" w:cs="Times New Roman"/>
          <w:sz w:val="23"/>
          <w:szCs w:val="23"/>
          <w:lang w:val="lt-LT"/>
        </w:rPr>
      </w:pPr>
      <w:r w:rsidRPr="00F231FF">
        <w:rPr>
          <w:rFonts w:ascii="Times New Roman" w:eastAsia="TimesNewRomanPSMT" w:hAnsi="Times New Roman" w:cs="Times New Roman"/>
          <w:b/>
          <w:sz w:val="23"/>
          <w:szCs w:val="23"/>
          <w:lang w:val="lt-LT" w:eastAsia="lt-LT"/>
        </w:rPr>
        <w:t>Biscotti, B.</w:t>
      </w:r>
      <w:r w:rsidRPr="00F231FF">
        <w:rPr>
          <w:rFonts w:ascii="Times New Roman" w:eastAsia="TimesNewRomanPSMT" w:hAnsi="Times New Roman" w:cs="Times New Roman"/>
          <w:sz w:val="23"/>
          <w:szCs w:val="23"/>
          <w:lang w:val="lt-LT" w:eastAsia="lt-LT"/>
        </w:rPr>
        <w:t xml:space="preserve"> Safeguarding of credit and bankruptcy:</w:t>
      </w:r>
      <w:r w:rsidRPr="00F231FF">
        <w:rPr>
          <w:rFonts w:ascii="Times New Roman" w:hAnsi="Times New Roman" w:cs="Times New Roman"/>
          <w:sz w:val="23"/>
          <w:szCs w:val="23"/>
          <w:lang w:val="lt-LT"/>
        </w:rPr>
        <w:t xml:space="preserve"> </w:t>
      </w:r>
      <w:r w:rsidRPr="00F231FF">
        <w:rPr>
          <w:rFonts w:ascii="Times New Roman" w:eastAsia="TimesNewRomanPSMT" w:hAnsi="Times New Roman" w:cs="Times New Roman"/>
          <w:sz w:val="23"/>
          <w:szCs w:val="23"/>
          <w:lang w:val="lt-LT" w:eastAsia="lt-LT"/>
        </w:rPr>
        <w:t>History and regulating tendencies // The italian experience.</w:t>
      </w:r>
      <w:r w:rsidRPr="00F231FF">
        <w:rPr>
          <w:rFonts w:ascii="Times New Roman" w:hAnsi="Times New Roman" w:cs="Times New Roman"/>
          <w:sz w:val="23"/>
          <w:szCs w:val="23"/>
          <w:lang w:val="lt-LT"/>
        </w:rPr>
        <w:t xml:space="preserve"> </w:t>
      </w:r>
      <w:r w:rsidRPr="00F231FF">
        <w:rPr>
          <w:rFonts w:ascii="Times New Roman" w:eastAsia="TimesNewRomanPS-ItalicMT" w:hAnsi="Times New Roman" w:cs="Times New Roman"/>
          <w:iCs/>
          <w:sz w:val="23"/>
          <w:szCs w:val="23"/>
          <w:lang w:val="lt-LT" w:eastAsia="lt-LT"/>
        </w:rPr>
        <w:t xml:space="preserve">Jurisprudence, 2010 Nr. 2 (120), </w:t>
      </w:r>
      <w:r w:rsidRPr="00F231FF">
        <w:rPr>
          <w:rFonts w:ascii="Times New Roman" w:eastAsia="TimesNewRomanPSMT" w:hAnsi="Times New Roman" w:cs="Times New Roman"/>
          <w:sz w:val="23"/>
          <w:szCs w:val="23"/>
          <w:lang w:val="lt-LT" w:eastAsia="lt-LT"/>
        </w:rPr>
        <w:t>325–340</w:t>
      </w:r>
      <w:r w:rsidRPr="00F231FF">
        <w:rPr>
          <w:rFonts w:ascii="Times New Roman" w:eastAsia="TimesNewRomanPS-ItalicMT" w:hAnsi="Times New Roman" w:cs="Times New Roman"/>
          <w:iCs/>
          <w:sz w:val="23"/>
          <w:szCs w:val="23"/>
          <w:lang w:val="lt-LT" w:eastAsia="lt-LT"/>
        </w:rPr>
        <w:t xml:space="preserve"> p. </w:t>
      </w:r>
    </w:p>
    <w:p w:rsidR="00C53335" w:rsidRPr="00F231FF" w:rsidRDefault="00C53335" w:rsidP="00417443">
      <w:pPr>
        <w:pStyle w:val="ListParagraph"/>
        <w:numPr>
          <w:ilvl w:val="0"/>
          <w:numId w:val="18"/>
        </w:numPr>
        <w:autoSpaceDE w:val="0"/>
        <w:autoSpaceDN w:val="0"/>
        <w:adjustRightInd w:val="0"/>
        <w:spacing w:after="0"/>
        <w:jc w:val="both"/>
        <w:rPr>
          <w:rFonts w:ascii="Times New Roman" w:hAnsi="Times New Roman" w:cs="Times New Roman"/>
          <w:sz w:val="23"/>
          <w:szCs w:val="23"/>
          <w:lang w:val="lt-LT"/>
        </w:rPr>
      </w:pPr>
      <w:r w:rsidRPr="00F231FF">
        <w:rPr>
          <w:rFonts w:ascii="Times New Roman" w:hAnsi="Times New Roman" w:cs="Times New Roman"/>
          <w:b/>
          <w:sz w:val="23"/>
          <w:szCs w:val="23"/>
          <w:lang w:val="lt-LT"/>
        </w:rPr>
        <w:t>Bivainis J., Garškaitė K.</w:t>
      </w:r>
      <w:r w:rsidRPr="00F231FF">
        <w:rPr>
          <w:rFonts w:ascii="Times New Roman" w:hAnsi="Times New Roman" w:cs="Times New Roman"/>
          <w:sz w:val="23"/>
          <w:szCs w:val="23"/>
          <w:lang w:val="lt-LT"/>
        </w:rPr>
        <w:t xml:space="preserve">  Įmonių bankroto grėsmės įvertinimas // Ekonomika, 2000, Nr. 51,  7-19 p.</w:t>
      </w:r>
    </w:p>
    <w:p w:rsidR="00C53335" w:rsidRPr="00F231FF" w:rsidRDefault="00C53335" w:rsidP="00417443">
      <w:pPr>
        <w:pStyle w:val="ListParagraph"/>
        <w:numPr>
          <w:ilvl w:val="0"/>
          <w:numId w:val="18"/>
        </w:numPr>
        <w:autoSpaceDE w:val="0"/>
        <w:autoSpaceDN w:val="0"/>
        <w:adjustRightInd w:val="0"/>
        <w:spacing w:after="0"/>
        <w:jc w:val="both"/>
        <w:rPr>
          <w:rFonts w:ascii="Times New Roman" w:hAnsi="Times New Roman" w:cs="Times New Roman"/>
          <w:sz w:val="23"/>
          <w:szCs w:val="23"/>
          <w:lang w:val="lt-LT"/>
        </w:rPr>
      </w:pPr>
      <w:r w:rsidRPr="00F231FF">
        <w:rPr>
          <w:rFonts w:ascii="Times New Roman" w:hAnsi="Times New Roman" w:cs="Times New Roman"/>
          <w:b/>
          <w:bCs/>
          <w:sz w:val="23"/>
          <w:szCs w:val="23"/>
          <w:lang w:val="lt-LT"/>
        </w:rPr>
        <w:t>Bivainis J., Garškaitė K.</w:t>
      </w:r>
      <w:r w:rsidRPr="00F231FF">
        <w:rPr>
          <w:rFonts w:ascii="Times New Roman" w:hAnsi="Times New Roman" w:cs="Times New Roman"/>
          <w:bCs/>
          <w:sz w:val="23"/>
          <w:szCs w:val="23"/>
          <w:lang w:val="lt-LT"/>
        </w:rPr>
        <w:t xml:space="preserve"> </w:t>
      </w:r>
      <w:r w:rsidRPr="00F231FF">
        <w:rPr>
          <w:rFonts w:ascii="Times New Roman" w:hAnsi="Times New Roman" w:cs="Times New Roman"/>
          <w:sz w:val="23"/>
          <w:szCs w:val="23"/>
          <w:lang w:val="lt-LT"/>
        </w:rPr>
        <w:t>Įmonių bankroto gresmės diagnostikos sistema. Verslas: teorija ir praktika // Vilnius, 2010, Nr.11(3), 204-212 p.</w:t>
      </w:r>
    </w:p>
    <w:p w:rsidR="00C53335" w:rsidRPr="00F231FF" w:rsidRDefault="00C53335" w:rsidP="00417443">
      <w:pPr>
        <w:pStyle w:val="ListParagraph"/>
        <w:numPr>
          <w:ilvl w:val="0"/>
          <w:numId w:val="18"/>
        </w:numPr>
        <w:spacing w:after="0"/>
        <w:jc w:val="both"/>
        <w:rPr>
          <w:rFonts w:ascii="Times New Roman" w:hAnsi="Times New Roman" w:cs="Times New Roman"/>
          <w:sz w:val="23"/>
          <w:szCs w:val="23"/>
          <w:lang w:val="lt-LT"/>
        </w:rPr>
      </w:pPr>
      <w:r w:rsidRPr="00F231FF">
        <w:rPr>
          <w:rFonts w:ascii="Times New Roman" w:hAnsi="Times New Roman" w:cs="Times New Roman"/>
          <w:b/>
          <w:sz w:val="23"/>
          <w:szCs w:val="23"/>
          <w:lang w:val="lt-LT"/>
        </w:rPr>
        <w:t>Brigham E. F., Ehrhardt M. C.</w:t>
      </w:r>
      <w:r w:rsidRPr="00F231FF">
        <w:rPr>
          <w:rFonts w:ascii="Times New Roman" w:hAnsi="Times New Roman" w:cs="Times New Roman"/>
          <w:sz w:val="23"/>
          <w:szCs w:val="23"/>
          <w:lang w:val="lt-LT"/>
        </w:rPr>
        <w:t xml:space="preserve"> Financial Management – Natorp Boulevard Mason: South-Western Cengage Learning, 2008 – 1071 p. – ISBN 978-0-324-42269-6.</w:t>
      </w:r>
    </w:p>
    <w:p w:rsidR="00C53335" w:rsidRPr="00F231FF" w:rsidRDefault="00C53335" w:rsidP="00417443">
      <w:pPr>
        <w:pStyle w:val="ListParagraph"/>
        <w:numPr>
          <w:ilvl w:val="0"/>
          <w:numId w:val="18"/>
        </w:numPr>
        <w:autoSpaceDE w:val="0"/>
        <w:autoSpaceDN w:val="0"/>
        <w:adjustRightInd w:val="0"/>
        <w:spacing w:after="0"/>
        <w:jc w:val="both"/>
        <w:rPr>
          <w:rFonts w:ascii="Times New Roman" w:hAnsi="Times New Roman" w:cs="Times New Roman"/>
          <w:sz w:val="23"/>
          <w:szCs w:val="23"/>
          <w:lang w:val="lt-LT"/>
        </w:rPr>
      </w:pPr>
      <w:r w:rsidRPr="00F231FF">
        <w:rPr>
          <w:rFonts w:ascii="Times New Roman" w:hAnsi="Times New Roman" w:cs="Times New Roman"/>
          <w:b/>
          <w:bCs/>
          <w:sz w:val="23"/>
          <w:szCs w:val="23"/>
          <w:lang w:val="lt-LT"/>
        </w:rPr>
        <w:t>Burkšaitienė D., Mazintienė A.</w:t>
      </w:r>
      <w:r w:rsidRPr="00F231FF">
        <w:rPr>
          <w:rFonts w:ascii="Times New Roman" w:hAnsi="Times New Roman" w:cs="Times New Roman"/>
          <w:bCs/>
          <w:sz w:val="23"/>
          <w:szCs w:val="23"/>
          <w:lang w:val="lt-LT"/>
        </w:rPr>
        <w:t xml:space="preserve"> The role of bankruptcy forecasting in the company management // Economics and management, 2011, Nr. 16, 137-143 p.</w:t>
      </w:r>
    </w:p>
    <w:p w:rsidR="00C53335" w:rsidRPr="00F231FF" w:rsidRDefault="00C53335" w:rsidP="00417443">
      <w:pPr>
        <w:pStyle w:val="ListParagraph"/>
        <w:numPr>
          <w:ilvl w:val="0"/>
          <w:numId w:val="18"/>
        </w:numPr>
        <w:spacing w:after="0"/>
        <w:jc w:val="both"/>
        <w:rPr>
          <w:rFonts w:ascii="Times New Roman" w:hAnsi="Times New Roman" w:cs="Times New Roman"/>
          <w:sz w:val="23"/>
          <w:szCs w:val="23"/>
          <w:lang w:val="lt-LT"/>
        </w:rPr>
      </w:pPr>
      <w:r w:rsidRPr="00F231FF">
        <w:rPr>
          <w:rFonts w:ascii="Times New Roman" w:hAnsi="Times New Roman" w:cs="Times New Roman"/>
          <w:b/>
          <w:sz w:val="23"/>
          <w:szCs w:val="23"/>
          <w:lang w:val="lt-LT"/>
        </w:rPr>
        <w:t xml:space="preserve">Caouette J. B. </w:t>
      </w:r>
      <w:r w:rsidR="00601E2F" w:rsidRPr="00F231FF">
        <w:rPr>
          <w:rFonts w:ascii="Times New Roman" w:hAnsi="Times New Roman" w:cs="Times New Roman"/>
          <w:b/>
          <w:sz w:val="23"/>
          <w:szCs w:val="23"/>
        </w:rPr>
        <w:t>Altman E. A., Narayanan P., Nimmo R</w:t>
      </w:r>
      <w:r w:rsidRPr="00F231FF">
        <w:rPr>
          <w:rFonts w:ascii="Times New Roman" w:hAnsi="Times New Roman" w:cs="Times New Roman"/>
          <w:b/>
          <w:sz w:val="23"/>
          <w:szCs w:val="23"/>
          <w:lang w:val="lt-LT"/>
        </w:rPr>
        <w:t>.</w:t>
      </w:r>
      <w:r w:rsidRPr="00F231FF">
        <w:rPr>
          <w:rFonts w:ascii="Times New Roman" w:hAnsi="Times New Roman" w:cs="Times New Roman"/>
          <w:sz w:val="23"/>
          <w:szCs w:val="23"/>
          <w:lang w:val="lt-LT"/>
        </w:rPr>
        <w:t xml:space="preserve"> Managing credit risk: the great challenge for global financial markets – New Jersey: John Wiley &amp; Sons, Inc., 2008 – 627 p. – ISBN 978-0-470-11872-6.</w:t>
      </w:r>
    </w:p>
    <w:p w:rsidR="00C53335" w:rsidRPr="00F231FF" w:rsidRDefault="00C53335" w:rsidP="00417443">
      <w:pPr>
        <w:pStyle w:val="ListParagraph"/>
        <w:numPr>
          <w:ilvl w:val="0"/>
          <w:numId w:val="18"/>
        </w:numPr>
        <w:spacing w:after="0"/>
        <w:jc w:val="both"/>
        <w:rPr>
          <w:rFonts w:ascii="Times New Roman" w:hAnsi="Times New Roman" w:cs="Times New Roman"/>
          <w:sz w:val="23"/>
          <w:szCs w:val="23"/>
          <w:lang w:val="lt-LT"/>
        </w:rPr>
      </w:pPr>
      <w:r w:rsidRPr="00F231FF">
        <w:rPr>
          <w:rFonts w:ascii="Times New Roman" w:hAnsi="Times New Roman" w:cs="Times New Roman"/>
          <w:b/>
          <w:sz w:val="23"/>
          <w:szCs w:val="23"/>
          <w:lang w:val="lt-LT"/>
        </w:rPr>
        <w:t>Collins R.</w:t>
      </w:r>
      <w:r w:rsidRPr="00F231FF">
        <w:rPr>
          <w:rFonts w:ascii="Times New Roman" w:hAnsi="Times New Roman" w:cs="Times New Roman"/>
          <w:sz w:val="23"/>
          <w:szCs w:val="23"/>
          <w:lang w:val="lt-LT"/>
        </w:rPr>
        <w:t xml:space="preserve"> An empirical comparison of bankruptcy prediction models // Financial Management, 1980 Nr. 2 (9) – 52-57 p. </w:t>
      </w:r>
    </w:p>
    <w:p w:rsidR="00C53335" w:rsidRPr="00F231FF" w:rsidRDefault="00601E2F" w:rsidP="00417443">
      <w:pPr>
        <w:pStyle w:val="Default"/>
        <w:numPr>
          <w:ilvl w:val="0"/>
          <w:numId w:val="18"/>
        </w:numPr>
        <w:spacing w:line="276" w:lineRule="auto"/>
        <w:contextualSpacing/>
        <w:jc w:val="both"/>
        <w:rPr>
          <w:rFonts w:eastAsia="TimesNewRomanPS-ItalicMT"/>
          <w:iCs/>
          <w:color w:val="auto"/>
          <w:sz w:val="23"/>
          <w:szCs w:val="23"/>
          <w:lang w:val="lt-LT"/>
        </w:rPr>
      </w:pPr>
      <w:r w:rsidRPr="00F231FF">
        <w:rPr>
          <w:b/>
          <w:color w:val="auto"/>
          <w:sz w:val="23"/>
          <w:szCs w:val="23"/>
          <w:lang w:val="lt-LT"/>
        </w:rPr>
        <w:t>Časas R.,</w:t>
      </w:r>
      <w:r w:rsidR="00C53335" w:rsidRPr="00F231FF">
        <w:rPr>
          <w:b/>
          <w:color w:val="auto"/>
          <w:sz w:val="23"/>
          <w:szCs w:val="23"/>
          <w:lang w:val="lt-LT"/>
        </w:rPr>
        <w:t xml:space="preserve"> Dambrauskaitė V.</w:t>
      </w:r>
      <w:r w:rsidR="00C53335" w:rsidRPr="00F231FF">
        <w:rPr>
          <w:color w:val="auto"/>
          <w:sz w:val="23"/>
          <w:szCs w:val="23"/>
          <w:lang w:val="lt-LT"/>
        </w:rPr>
        <w:t xml:space="preserve"> </w:t>
      </w:r>
      <w:r w:rsidR="00C53335" w:rsidRPr="00F231FF">
        <w:rPr>
          <w:rFonts w:eastAsia="TimesNewRomanPS-ItalicMT"/>
          <w:iCs/>
          <w:color w:val="auto"/>
          <w:sz w:val="23"/>
          <w:szCs w:val="23"/>
          <w:lang w:val="lt-LT"/>
        </w:rPr>
        <w:t>I</w:t>
      </w:r>
      <w:r w:rsidR="00C53335" w:rsidRPr="00F231FF">
        <w:rPr>
          <w:rFonts w:eastAsia="TimesNewRomanPS-ItalicMT"/>
          <w:bCs/>
          <w:iCs/>
          <w:color w:val="auto"/>
          <w:sz w:val="23"/>
          <w:szCs w:val="23"/>
          <w:lang w:val="lt-LT"/>
        </w:rPr>
        <w:t>mpact o</w:t>
      </w:r>
      <w:r w:rsidR="00C53335" w:rsidRPr="00F231FF">
        <w:rPr>
          <w:rFonts w:eastAsia="TimesNewRomanPS-ItalicMT"/>
          <w:iCs/>
          <w:color w:val="auto"/>
          <w:sz w:val="23"/>
          <w:szCs w:val="23"/>
          <w:lang w:val="lt-LT"/>
        </w:rPr>
        <w:t xml:space="preserve">f </w:t>
      </w:r>
      <w:r w:rsidR="00C53335" w:rsidRPr="00F231FF">
        <w:rPr>
          <w:rFonts w:eastAsia="TimesNewRomanPS-ItalicMT"/>
          <w:bCs/>
          <w:iCs/>
          <w:color w:val="auto"/>
          <w:sz w:val="23"/>
          <w:szCs w:val="23"/>
          <w:lang w:val="lt-LT"/>
        </w:rPr>
        <w:t>exte</w:t>
      </w:r>
      <w:r w:rsidR="00C53335" w:rsidRPr="00F231FF">
        <w:rPr>
          <w:rFonts w:eastAsia="TimesNewRomanPS-ItalicMT"/>
          <w:iCs/>
          <w:color w:val="auto"/>
          <w:sz w:val="23"/>
          <w:szCs w:val="23"/>
          <w:lang w:val="lt-LT"/>
        </w:rPr>
        <w:t>r</w:t>
      </w:r>
      <w:r w:rsidR="00C53335" w:rsidRPr="00F231FF">
        <w:rPr>
          <w:rFonts w:eastAsia="TimesNewRomanPS-ItalicMT"/>
          <w:bCs/>
          <w:iCs/>
          <w:color w:val="auto"/>
          <w:sz w:val="23"/>
          <w:szCs w:val="23"/>
          <w:lang w:val="lt-LT"/>
        </w:rPr>
        <w:t>na</w:t>
      </w:r>
      <w:r w:rsidR="00C53335" w:rsidRPr="00F231FF">
        <w:rPr>
          <w:rFonts w:eastAsia="TimesNewRomanPS-ItalicMT"/>
          <w:iCs/>
          <w:color w:val="auto"/>
          <w:sz w:val="23"/>
          <w:szCs w:val="23"/>
          <w:lang w:val="lt-LT"/>
        </w:rPr>
        <w:t xml:space="preserve">l </w:t>
      </w:r>
      <w:r w:rsidR="00C53335" w:rsidRPr="00F231FF">
        <w:rPr>
          <w:rFonts w:eastAsia="TimesNewRomanPS-ItalicMT"/>
          <w:bCs/>
          <w:iCs/>
          <w:color w:val="auto"/>
          <w:sz w:val="23"/>
          <w:szCs w:val="23"/>
          <w:lang w:val="lt-LT"/>
        </w:rPr>
        <w:t>b</w:t>
      </w:r>
      <w:r w:rsidR="00C53335" w:rsidRPr="00F231FF">
        <w:rPr>
          <w:rFonts w:eastAsia="TimesNewRomanPS-ItalicMT"/>
          <w:iCs/>
          <w:color w:val="auto"/>
          <w:sz w:val="23"/>
          <w:szCs w:val="23"/>
          <w:lang w:val="lt-LT"/>
        </w:rPr>
        <w:t>u</w:t>
      </w:r>
      <w:r w:rsidR="00C53335" w:rsidRPr="00F231FF">
        <w:rPr>
          <w:rFonts w:eastAsia="TimesNewRomanPS-ItalicMT"/>
          <w:bCs/>
          <w:iCs/>
          <w:color w:val="auto"/>
          <w:sz w:val="23"/>
          <w:szCs w:val="23"/>
          <w:lang w:val="lt-LT"/>
        </w:rPr>
        <w:t>s</w:t>
      </w:r>
      <w:r w:rsidR="00C53335" w:rsidRPr="00F231FF">
        <w:rPr>
          <w:rFonts w:eastAsia="TimesNewRomanPS-ItalicMT"/>
          <w:iCs/>
          <w:color w:val="auto"/>
          <w:sz w:val="23"/>
          <w:szCs w:val="23"/>
          <w:lang w:val="lt-LT"/>
        </w:rPr>
        <w:t>i</w:t>
      </w:r>
      <w:r w:rsidR="00C53335" w:rsidRPr="00F231FF">
        <w:rPr>
          <w:rFonts w:eastAsia="TimesNewRomanPS-ItalicMT"/>
          <w:bCs/>
          <w:iCs/>
          <w:color w:val="auto"/>
          <w:sz w:val="23"/>
          <w:szCs w:val="23"/>
          <w:lang w:val="lt-LT"/>
        </w:rPr>
        <w:t>ness en</w:t>
      </w:r>
      <w:r w:rsidR="00C53335" w:rsidRPr="00F231FF">
        <w:rPr>
          <w:rFonts w:eastAsia="TimesNewRomanPS-ItalicMT"/>
          <w:iCs/>
          <w:color w:val="auto"/>
          <w:sz w:val="23"/>
          <w:szCs w:val="23"/>
          <w:lang w:val="lt-LT"/>
        </w:rPr>
        <w:t>vir</w:t>
      </w:r>
      <w:r w:rsidR="00C53335" w:rsidRPr="00F231FF">
        <w:rPr>
          <w:rFonts w:eastAsia="TimesNewRomanPS-ItalicMT"/>
          <w:bCs/>
          <w:iCs/>
          <w:color w:val="auto"/>
          <w:sz w:val="23"/>
          <w:szCs w:val="23"/>
          <w:lang w:val="lt-LT"/>
        </w:rPr>
        <w:t xml:space="preserve">onment </w:t>
      </w:r>
      <w:r w:rsidR="00C53335" w:rsidRPr="00F231FF">
        <w:rPr>
          <w:rFonts w:eastAsia="TimesNewRomanPS-ItalicMT"/>
          <w:iCs/>
          <w:color w:val="auto"/>
          <w:sz w:val="23"/>
          <w:szCs w:val="23"/>
          <w:lang w:val="lt-LT"/>
        </w:rPr>
        <w:t>f</w:t>
      </w:r>
      <w:r w:rsidR="00C53335" w:rsidRPr="00F231FF">
        <w:rPr>
          <w:rFonts w:eastAsia="TimesNewRomanPS-ItalicMT"/>
          <w:bCs/>
          <w:iCs/>
          <w:color w:val="auto"/>
          <w:sz w:val="23"/>
          <w:szCs w:val="23"/>
          <w:lang w:val="lt-LT"/>
        </w:rPr>
        <w:t>acto</w:t>
      </w:r>
      <w:r w:rsidR="00C53335" w:rsidRPr="00F231FF">
        <w:rPr>
          <w:rFonts w:eastAsia="TimesNewRomanPS-ItalicMT"/>
          <w:iCs/>
          <w:color w:val="auto"/>
          <w:sz w:val="23"/>
          <w:szCs w:val="23"/>
          <w:lang w:val="lt-LT"/>
        </w:rPr>
        <w:t>r</w:t>
      </w:r>
      <w:r w:rsidR="00C53335" w:rsidRPr="00F231FF">
        <w:rPr>
          <w:rFonts w:eastAsia="TimesNewRomanPS-ItalicMT"/>
          <w:bCs/>
          <w:iCs/>
          <w:color w:val="auto"/>
          <w:sz w:val="23"/>
          <w:szCs w:val="23"/>
          <w:lang w:val="lt-LT"/>
        </w:rPr>
        <w:t xml:space="preserve">s on </w:t>
      </w:r>
      <w:r w:rsidR="00C53335" w:rsidRPr="00F231FF">
        <w:rPr>
          <w:rFonts w:eastAsia="TimesNewRomanPS-ItalicMT"/>
          <w:iCs/>
          <w:color w:val="auto"/>
          <w:sz w:val="23"/>
          <w:szCs w:val="23"/>
          <w:lang w:val="lt-LT"/>
        </w:rPr>
        <w:t>i</w:t>
      </w:r>
      <w:r w:rsidR="00C53335" w:rsidRPr="00F231FF">
        <w:rPr>
          <w:rFonts w:eastAsia="TimesNewRomanPS-ItalicMT"/>
          <w:bCs/>
          <w:iCs/>
          <w:color w:val="auto"/>
          <w:sz w:val="23"/>
          <w:szCs w:val="23"/>
          <w:lang w:val="lt-LT"/>
        </w:rPr>
        <w:t>nte</w:t>
      </w:r>
      <w:r w:rsidR="00C53335" w:rsidRPr="00F231FF">
        <w:rPr>
          <w:rFonts w:eastAsia="TimesNewRomanPS-ItalicMT"/>
          <w:iCs/>
          <w:color w:val="auto"/>
          <w:sz w:val="23"/>
          <w:szCs w:val="23"/>
          <w:lang w:val="lt-LT"/>
        </w:rPr>
        <w:t>r</w:t>
      </w:r>
      <w:r w:rsidR="00C53335" w:rsidRPr="00F231FF">
        <w:rPr>
          <w:rFonts w:eastAsia="TimesNewRomanPS-ItalicMT"/>
          <w:bCs/>
          <w:iCs/>
          <w:color w:val="auto"/>
          <w:sz w:val="23"/>
          <w:szCs w:val="23"/>
          <w:lang w:val="lt-LT"/>
        </w:rPr>
        <w:t>nat</w:t>
      </w:r>
      <w:r w:rsidR="00C53335" w:rsidRPr="00F231FF">
        <w:rPr>
          <w:rFonts w:eastAsia="TimesNewRomanPS-ItalicMT"/>
          <w:iCs/>
          <w:color w:val="auto"/>
          <w:sz w:val="23"/>
          <w:szCs w:val="23"/>
          <w:lang w:val="lt-LT"/>
        </w:rPr>
        <w:t>i</w:t>
      </w:r>
      <w:r w:rsidR="00C53335" w:rsidRPr="00F231FF">
        <w:rPr>
          <w:rFonts w:eastAsia="TimesNewRomanPS-ItalicMT"/>
          <w:bCs/>
          <w:iCs/>
          <w:color w:val="auto"/>
          <w:sz w:val="23"/>
          <w:szCs w:val="23"/>
          <w:lang w:val="lt-LT"/>
        </w:rPr>
        <w:t>ona</w:t>
      </w:r>
      <w:r w:rsidR="00C53335" w:rsidRPr="00F231FF">
        <w:rPr>
          <w:rFonts w:eastAsia="TimesNewRomanPS-ItalicMT"/>
          <w:iCs/>
          <w:color w:val="auto"/>
          <w:sz w:val="23"/>
          <w:szCs w:val="23"/>
          <w:lang w:val="lt-LT"/>
        </w:rPr>
        <w:t>li</w:t>
      </w:r>
      <w:r w:rsidR="00C53335" w:rsidRPr="00F231FF">
        <w:rPr>
          <w:rFonts w:eastAsia="TimesNewRomanPS-ItalicMT"/>
          <w:bCs/>
          <w:iCs/>
          <w:color w:val="auto"/>
          <w:sz w:val="23"/>
          <w:szCs w:val="23"/>
          <w:lang w:val="lt-LT"/>
        </w:rPr>
        <w:t>zat</w:t>
      </w:r>
      <w:r w:rsidR="00C53335" w:rsidRPr="00F231FF">
        <w:rPr>
          <w:rFonts w:eastAsia="TimesNewRomanPS-ItalicMT"/>
          <w:iCs/>
          <w:color w:val="auto"/>
          <w:sz w:val="23"/>
          <w:szCs w:val="23"/>
          <w:lang w:val="lt-LT"/>
        </w:rPr>
        <w:t>i</w:t>
      </w:r>
      <w:r w:rsidR="00C53335" w:rsidRPr="00F231FF">
        <w:rPr>
          <w:rFonts w:eastAsia="TimesNewRomanPS-ItalicMT"/>
          <w:bCs/>
          <w:iCs/>
          <w:color w:val="auto"/>
          <w:sz w:val="23"/>
          <w:szCs w:val="23"/>
          <w:lang w:val="lt-LT"/>
        </w:rPr>
        <w:t>on o</w:t>
      </w:r>
      <w:r w:rsidR="00C53335" w:rsidRPr="00F231FF">
        <w:rPr>
          <w:rFonts w:eastAsia="TimesNewRomanPS-ItalicMT"/>
          <w:iCs/>
          <w:color w:val="auto"/>
          <w:sz w:val="23"/>
          <w:szCs w:val="23"/>
          <w:lang w:val="lt-LT"/>
        </w:rPr>
        <w:t>f li</w:t>
      </w:r>
      <w:r w:rsidR="00C53335" w:rsidRPr="00F231FF">
        <w:rPr>
          <w:rFonts w:eastAsia="TimesNewRomanPS-ItalicMT"/>
          <w:bCs/>
          <w:iCs/>
          <w:color w:val="auto"/>
          <w:sz w:val="23"/>
          <w:szCs w:val="23"/>
          <w:lang w:val="lt-LT"/>
        </w:rPr>
        <w:t>t</w:t>
      </w:r>
      <w:r w:rsidR="00C53335" w:rsidRPr="00F231FF">
        <w:rPr>
          <w:rFonts w:eastAsia="TimesNewRomanPS-ItalicMT"/>
          <w:iCs/>
          <w:color w:val="auto"/>
          <w:sz w:val="23"/>
          <w:szCs w:val="23"/>
          <w:lang w:val="lt-LT"/>
        </w:rPr>
        <w:t>hu</w:t>
      </w:r>
      <w:r w:rsidR="00C53335" w:rsidRPr="00F231FF">
        <w:rPr>
          <w:rFonts w:eastAsia="TimesNewRomanPS-ItalicMT"/>
          <w:bCs/>
          <w:iCs/>
          <w:color w:val="auto"/>
          <w:sz w:val="23"/>
          <w:szCs w:val="23"/>
          <w:lang w:val="lt-LT"/>
        </w:rPr>
        <w:t>an</w:t>
      </w:r>
      <w:r w:rsidR="00C53335" w:rsidRPr="00F231FF">
        <w:rPr>
          <w:rFonts w:eastAsia="TimesNewRomanPS-ItalicMT"/>
          <w:iCs/>
          <w:color w:val="auto"/>
          <w:sz w:val="23"/>
          <w:szCs w:val="23"/>
          <w:lang w:val="lt-LT"/>
        </w:rPr>
        <w:t>i</w:t>
      </w:r>
      <w:r w:rsidR="00C53335" w:rsidRPr="00F231FF">
        <w:rPr>
          <w:rFonts w:eastAsia="TimesNewRomanPS-ItalicMT"/>
          <w:bCs/>
          <w:iCs/>
          <w:color w:val="auto"/>
          <w:sz w:val="23"/>
          <w:szCs w:val="23"/>
          <w:lang w:val="lt-LT"/>
        </w:rPr>
        <w:t>an bo</w:t>
      </w:r>
      <w:r w:rsidR="00C53335" w:rsidRPr="00F231FF">
        <w:rPr>
          <w:rFonts w:eastAsia="TimesNewRomanPS-ItalicMT"/>
          <w:iCs/>
          <w:color w:val="auto"/>
          <w:sz w:val="23"/>
          <w:szCs w:val="23"/>
          <w:lang w:val="lt-LT"/>
        </w:rPr>
        <w:t>r</w:t>
      </w:r>
      <w:r w:rsidR="00C53335" w:rsidRPr="00F231FF">
        <w:rPr>
          <w:rFonts w:eastAsia="TimesNewRomanPS-ItalicMT"/>
          <w:bCs/>
          <w:iCs/>
          <w:color w:val="auto"/>
          <w:sz w:val="23"/>
          <w:szCs w:val="23"/>
          <w:lang w:val="lt-LT"/>
        </w:rPr>
        <w:t>n g</w:t>
      </w:r>
      <w:r w:rsidR="00C53335" w:rsidRPr="00F231FF">
        <w:rPr>
          <w:rFonts w:eastAsia="TimesNewRomanPS-ItalicMT"/>
          <w:iCs/>
          <w:color w:val="auto"/>
          <w:sz w:val="23"/>
          <w:szCs w:val="23"/>
          <w:lang w:val="lt-LT"/>
        </w:rPr>
        <w:t>l</w:t>
      </w:r>
      <w:r w:rsidR="00C53335" w:rsidRPr="00F231FF">
        <w:rPr>
          <w:rFonts w:eastAsia="TimesNewRomanPS-ItalicMT"/>
          <w:bCs/>
          <w:iCs/>
          <w:color w:val="auto"/>
          <w:sz w:val="23"/>
          <w:szCs w:val="23"/>
          <w:lang w:val="lt-LT"/>
        </w:rPr>
        <w:t>oba</w:t>
      </w:r>
      <w:r w:rsidR="00C53335" w:rsidRPr="00F231FF">
        <w:rPr>
          <w:rFonts w:eastAsia="TimesNewRomanPS-ItalicMT"/>
          <w:iCs/>
          <w:color w:val="auto"/>
          <w:sz w:val="23"/>
          <w:szCs w:val="23"/>
          <w:lang w:val="lt-LT"/>
        </w:rPr>
        <w:t xml:space="preserve">l </w:t>
      </w:r>
      <w:r w:rsidR="00C53335" w:rsidRPr="00F231FF">
        <w:rPr>
          <w:rFonts w:eastAsia="TimesNewRomanPS-ItalicMT"/>
          <w:bCs/>
          <w:iCs/>
          <w:color w:val="auto"/>
          <w:sz w:val="23"/>
          <w:szCs w:val="23"/>
          <w:lang w:val="lt-LT"/>
        </w:rPr>
        <w:t>compan</w:t>
      </w:r>
      <w:r w:rsidR="00C53335" w:rsidRPr="00F231FF">
        <w:rPr>
          <w:rFonts w:eastAsia="TimesNewRomanPS-ItalicMT"/>
          <w:iCs/>
          <w:color w:val="auto"/>
          <w:sz w:val="23"/>
          <w:szCs w:val="23"/>
          <w:lang w:val="lt-LT"/>
        </w:rPr>
        <w:t>i</w:t>
      </w:r>
      <w:r w:rsidR="00C53335" w:rsidRPr="00F231FF">
        <w:rPr>
          <w:rFonts w:eastAsia="TimesNewRomanPS-ItalicMT"/>
          <w:bCs/>
          <w:iCs/>
          <w:color w:val="auto"/>
          <w:sz w:val="23"/>
          <w:szCs w:val="23"/>
          <w:lang w:val="lt-LT"/>
        </w:rPr>
        <w:t>es // E</w:t>
      </w:r>
      <w:r w:rsidR="00C53335" w:rsidRPr="00F231FF">
        <w:rPr>
          <w:rFonts w:eastAsia="TimesNewRomanPS-ItalicMT"/>
          <w:iCs/>
          <w:color w:val="auto"/>
          <w:sz w:val="23"/>
          <w:szCs w:val="23"/>
          <w:lang w:val="lt-LT"/>
        </w:rPr>
        <w:t>konomika, 2011, nr. 90(3), ISSN 1392-1258.</w:t>
      </w:r>
    </w:p>
    <w:p w:rsidR="003262DC" w:rsidRPr="00F231FF" w:rsidRDefault="00C53335" w:rsidP="00417443">
      <w:pPr>
        <w:pStyle w:val="ListParagraph"/>
        <w:numPr>
          <w:ilvl w:val="0"/>
          <w:numId w:val="18"/>
        </w:numPr>
        <w:spacing w:after="0"/>
        <w:jc w:val="both"/>
        <w:rPr>
          <w:rFonts w:ascii="Times New Roman" w:hAnsi="Times New Roman" w:cs="Times New Roman"/>
          <w:sz w:val="23"/>
          <w:szCs w:val="23"/>
          <w:lang w:val="lt-LT"/>
        </w:rPr>
      </w:pPr>
      <w:r w:rsidRPr="00F231FF">
        <w:rPr>
          <w:rFonts w:ascii="Times New Roman" w:hAnsi="Times New Roman" w:cs="Times New Roman"/>
          <w:b/>
          <w:sz w:val="23"/>
          <w:szCs w:val="23"/>
          <w:lang w:val="lt-LT"/>
        </w:rPr>
        <w:t>Das S.</w:t>
      </w:r>
      <w:r w:rsidRPr="00F231FF">
        <w:rPr>
          <w:rFonts w:ascii="Times New Roman" w:hAnsi="Times New Roman" w:cs="Times New Roman"/>
          <w:sz w:val="23"/>
          <w:szCs w:val="23"/>
          <w:lang w:val="lt-LT"/>
        </w:rPr>
        <w:t xml:space="preserve"> Risk Management – Singapure: John Wiley &amp; Sons (Asia) Pte Ltd, 2006 – 1327 p. – ISBN 978-0-470-82165-7.</w:t>
      </w:r>
    </w:p>
    <w:p w:rsidR="003262DC" w:rsidRPr="00F231FF" w:rsidRDefault="003262DC" w:rsidP="00417443">
      <w:pPr>
        <w:pStyle w:val="ListParagraph"/>
        <w:numPr>
          <w:ilvl w:val="0"/>
          <w:numId w:val="18"/>
        </w:numPr>
        <w:spacing w:after="0"/>
        <w:jc w:val="both"/>
        <w:rPr>
          <w:rFonts w:ascii="Times New Roman" w:hAnsi="Times New Roman" w:cs="Times New Roman"/>
          <w:sz w:val="23"/>
          <w:szCs w:val="23"/>
          <w:lang w:val="lt-LT"/>
        </w:rPr>
      </w:pPr>
      <w:r w:rsidRPr="00F231FF">
        <w:rPr>
          <w:rFonts w:ascii="Times New Roman" w:hAnsi="Times New Roman" w:cs="Times New Roman"/>
          <w:b/>
          <w:sz w:val="23"/>
          <w:szCs w:val="23"/>
          <w:lang w:val="lt-LT"/>
        </w:rPr>
        <w:t>Do Prado H. A., Magalhaes A. R., Ferneda E.</w:t>
      </w:r>
      <w:r w:rsidR="00C53335" w:rsidRPr="00F231FF">
        <w:rPr>
          <w:rFonts w:ascii="Times New Roman" w:hAnsi="Times New Roman" w:cs="Times New Roman"/>
          <w:sz w:val="23"/>
          <w:szCs w:val="23"/>
          <w:lang w:val="lt-LT"/>
        </w:rPr>
        <w:t xml:space="preserve"> </w:t>
      </w:r>
      <w:r w:rsidR="00C53335" w:rsidRPr="00F231FF">
        <w:rPr>
          <w:rFonts w:ascii="Times New Roman" w:eastAsia="TimesNewRomanPS-ItalicMT" w:hAnsi="Times New Roman" w:cs="Times New Roman"/>
          <w:iCs/>
          <w:sz w:val="23"/>
          <w:szCs w:val="23"/>
          <w:lang w:val="lt-LT"/>
        </w:rPr>
        <w:t xml:space="preserve">Reasoning about External Environment from Web Sources // Graduate Program on Knowledge and IT Management, Catholic University of Brasilia, DF, Brazil, 2009. </w:t>
      </w:r>
    </w:p>
    <w:p w:rsidR="00C53335" w:rsidRPr="00F231FF" w:rsidRDefault="00C53335" w:rsidP="00417443">
      <w:pPr>
        <w:pStyle w:val="ListParagraph"/>
        <w:numPr>
          <w:ilvl w:val="0"/>
          <w:numId w:val="18"/>
        </w:numPr>
        <w:spacing w:after="0"/>
        <w:jc w:val="both"/>
        <w:rPr>
          <w:rFonts w:ascii="Times New Roman" w:hAnsi="Times New Roman" w:cs="Times New Roman"/>
          <w:sz w:val="23"/>
          <w:szCs w:val="23"/>
          <w:lang w:val="lt-LT"/>
        </w:rPr>
      </w:pPr>
      <w:r w:rsidRPr="00F231FF">
        <w:rPr>
          <w:rFonts w:ascii="Times New Roman" w:hAnsi="Times New Roman" w:cs="Times New Roman"/>
          <w:b/>
          <w:sz w:val="23"/>
          <w:szCs w:val="23"/>
          <w:lang w:val="lt-LT"/>
        </w:rPr>
        <w:t>European Foundation for the Improvement of Living and Working Conditions.</w:t>
      </w:r>
      <w:r w:rsidRPr="00F231FF">
        <w:rPr>
          <w:rFonts w:ascii="Times New Roman" w:hAnsi="Times New Roman" w:cs="Times New Roman"/>
          <w:sz w:val="23"/>
          <w:szCs w:val="23"/>
          <w:lang w:val="lt-LT"/>
        </w:rPr>
        <w:t xml:space="preserve"> Restructuring in bankruptcy: recent national case examples // Airija, 2009. URL:          </w:t>
      </w:r>
      <w:hyperlink r:id="rId41" w:history="1">
        <w:r w:rsidRPr="00F231FF">
          <w:rPr>
            <w:rStyle w:val="Hyperlink"/>
            <w:rFonts w:ascii="Times New Roman" w:hAnsi="Times New Roman" w:cs="Times New Roman"/>
            <w:color w:val="auto"/>
            <w:sz w:val="23"/>
            <w:szCs w:val="23"/>
            <w:u w:val="none"/>
            <w:lang w:val="lt-LT"/>
          </w:rPr>
          <w:t>http://www.eurofound.europa.eu/docs/erm/tn0908026s/tn0908026s.pdf</w:t>
        </w:r>
      </w:hyperlink>
      <w:r w:rsidRPr="00F231FF">
        <w:rPr>
          <w:rFonts w:ascii="Times New Roman" w:hAnsi="Times New Roman" w:cs="Times New Roman"/>
          <w:sz w:val="23"/>
          <w:szCs w:val="23"/>
          <w:lang w:val="lt-LT"/>
        </w:rPr>
        <w:t xml:space="preserve"> [Žiūrėta 2013-06-15].</w:t>
      </w:r>
    </w:p>
    <w:p w:rsidR="00C53335" w:rsidRPr="00F231FF" w:rsidRDefault="00C53335" w:rsidP="00417443">
      <w:pPr>
        <w:pStyle w:val="ListParagraph"/>
        <w:numPr>
          <w:ilvl w:val="0"/>
          <w:numId w:val="18"/>
        </w:numPr>
        <w:autoSpaceDE w:val="0"/>
        <w:autoSpaceDN w:val="0"/>
        <w:adjustRightInd w:val="0"/>
        <w:spacing w:after="0"/>
        <w:jc w:val="both"/>
        <w:rPr>
          <w:rFonts w:ascii="Times New Roman" w:hAnsi="Times New Roman" w:cs="Times New Roman"/>
          <w:sz w:val="23"/>
          <w:szCs w:val="23"/>
          <w:lang w:val="lt-LT"/>
        </w:rPr>
      </w:pPr>
      <w:r w:rsidRPr="00F231FF">
        <w:rPr>
          <w:rFonts w:ascii="Times New Roman" w:hAnsi="Times New Roman" w:cs="Times New Roman"/>
          <w:b/>
          <w:sz w:val="23"/>
          <w:szCs w:val="23"/>
          <w:lang w:val="lt-LT"/>
        </w:rPr>
        <w:lastRenderedPageBreak/>
        <w:t>European Judicial Network in Civil And Comercial Matters.</w:t>
      </w:r>
      <w:r w:rsidRPr="00F231FF">
        <w:rPr>
          <w:rFonts w:ascii="Times New Roman" w:hAnsi="Times New Roman" w:cs="Times New Roman"/>
          <w:sz w:val="23"/>
          <w:szCs w:val="23"/>
          <w:lang w:val="lt-LT"/>
        </w:rPr>
        <w:t xml:space="preserve"> Briuselis, 2004. URL: </w:t>
      </w:r>
      <w:hyperlink r:id="rId42" w:history="1">
        <w:r w:rsidRPr="00F231FF">
          <w:rPr>
            <w:rStyle w:val="Hyperlink"/>
            <w:rFonts w:ascii="Times New Roman" w:hAnsi="Times New Roman" w:cs="Times New Roman"/>
            <w:color w:val="auto"/>
            <w:sz w:val="23"/>
            <w:szCs w:val="23"/>
            <w:u w:val="none"/>
            <w:lang w:val="lt-LT"/>
          </w:rPr>
          <w:t>http://ec.europa.eu/civiljustice/bankruptcy/bankruptcy_gen_en.htm</w:t>
        </w:r>
      </w:hyperlink>
      <w:r w:rsidRPr="00F231FF">
        <w:rPr>
          <w:rFonts w:ascii="Times New Roman" w:hAnsi="Times New Roman" w:cs="Times New Roman"/>
          <w:sz w:val="23"/>
          <w:szCs w:val="23"/>
          <w:lang w:val="lt-LT"/>
        </w:rPr>
        <w:t xml:space="preserve"> [Žiūrėta 2013-06-15].</w:t>
      </w:r>
    </w:p>
    <w:p w:rsidR="00C53335" w:rsidRPr="00F231FF" w:rsidRDefault="003262DC" w:rsidP="00417443">
      <w:pPr>
        <w:pStyle w:val="ListParagraph"/>
        <w:numPr>
          <w:ilvl w:val="0"/>
          <w:numId w:val="18"/>
        </w:numPr>
        <w:spacing w:after="0"/>
        <w:jc w:val="both"/>
        <w:rPr>
          <w:rFonts w:ascii="Times New Roman" w:eastAsia="TimesNewRomanPS-ItalicMT" w:hAnsi="Times New Roman" w:cs="Times New Roman"/>
          <w:iCs/>
          <w:sz w:val="23"/>
          <w:szCs w:val="23"/>
          <w:lang w:val="lt-LT"/>
        </w:rPr>
      </w:pPr>
      <w:r w:rsidRPr="00F231FF">
        <w:rPr>
          <w:rFonts w:ascii="Times New Roman" w:hAnsi="Times New Roman" w:cs="Times New Roman"/>
          <w:b/>
          <w:sz w:val="23"/>
          <w:szCs w:val="23"/>
          <w:lang w:val="lt-LT"/>
        </w:rPr>
        <w:t>Gandellini G., Pezzi A., Venanzi D</w:t>
      </w:r>
      <w:r w:rsidR="00C53335" w:rsidRPr="00F231FF">
        <w:rPr>
          <w:rFonts w:ascii="Times New Roman" w:hAnsi="Times New Roman" w:cs="Times New Roman"/>
          <w:b/>
          <w:sz w:val="23"/>
          <w:szCs w:val="23"/>
          <w:lang w:val="lt-LT"/>
        </w:rPr>
        <w:t>.</w:t>
      </w:r>
      <w:r w:rsidR="00C53335" w:rsidRPr="00F231FF">
        <w:rPr>
          <w:rFonts w:ascii="Times New Roman" w:hAnsi="Times New Roman" w:cs="Times New Roman"/>
          <w:sz w:val="23"/>
          <w:szCs w:val="23"/>
          <w:lang w:val="lt-LT"/>
        </w:rPr>
        <w:t xml:space="preserve"> </w:t>
      </w:r>
      <w:r w:rsidR="00C53335" w:rsidRPr="00F231FF">
        <w:rPr>
          <w:rFonts w:ascii="Times New Roman" w:eastAsia="TimesNewRomanPS-ItalicMT" w:hAnsi="Times New Roman" w:cs="Times New Roman"/>
          <w:iCs/>
          <w:sz w:val="23"/>
          <w:szCs w:val="23"/>
          <w:lang w:val="lt-LT"/>
        </w:rPr>
        <w:t>External and Internal Analysis of the Environment  // Strategy for Action, SpringerBriefs in Business, 2012, DOI: 10.1007/978-88-470-2487-8_2.</w:t>
      </w:r>
    </w:p>
    <w:p w:rsidR="00C53335" w:rsidRPr="00F231FF" w:rsidRDefault="00C53335" w:rsidP="00417443">
      <w:pPr>
        <w:pStyle w:val="ListParagraph"/>
        <w:numPr>
          <w:ilvl w:val="0"/>
          <w:numId w:val="18"/>
        </w:numPr>
        <w:spacing w:after="0"/>
        <w:jc w:val="both"/>
        <w:rPr>
          <w:rFonts w:ascii="Times New Roman" w:hAnsi="Times New Roman" w:cs="Times New Roman"/>
          <w:sz w:val="23"/>
          <w:szCs w:val="23"/>
          <w:lang w:val="lt-LT"/>
        </w:rPr>
      </w:pPr>
      <w:r w:rsidRPr="00F231FF">
        <w:rPr>
          <w:rFonts w:ascii="Times New Roman" w:hAnsi="Times New Roman" w:cs="Times New Roman"/>
          <w:b/>
          <w:sz w:val="23"/>
          <w:szCs w:val="23"/>
          <w:lang w:val="lt-LT"/>
        </w:rPr>
        <w:t>Garškaitė K.</w:t>
      </w:r>
      <w:r w:rsidRPr="00F231FF">
        <w:rPr>
          <w:rFonts w:ascii="Times New Roman" w:hAnsi="Times New Roman" w:cs="Times New Roman"/>
          <w:sz w:val="23"/>
          <w:szCs w:val="23"/>
          <w:lang w:val="lt-LT"/>
        </w:rPr>
        <w:t xml:space="preserve"> Įmonių bankroto prognozavimo modelių taikymas // Verslas: Teorija ir praktika 9 (4), 2008, 281–294 p.</w:t>
      </w:r>
    </w:p>
    <w:p w:rsidR="00C53335" w:rsidRPr="00F231FF" w:rsidRDefault="00C53335" w:rsidP="00417443">
      <w:pPr>
        <w:pStyle w:val="ListParagraph"/>
        <w:numPr>
          <w:ilvl w:val="0"/>
          <w:numId w:val="18"/>
        </w:numPr>
        <w:autoSpaceDE w:val="0"/>
        <w:autoSpaceDN w:val="0"/>
        <w:adjustRightInd w:val="0"/>
        <w:spacing w:after="0"/>
        <w:jc w:val="both"/>
        <w:rPr>
          <w:rFonts w:ascii="Times New Roman" w:hAnsi="Times New Roman" w:cs="Times New Roman"/>
          <w:sz w:val="23"/>
          <w:szCs w:val="23"/>
          <w:lang w:val="lt-LT"/>
        </w:rPr>
      </w:pPr>
      <w:r w:rsidRPr="00F231FF">
        <w:rPr>
          <w:rFonts w:ascii="Times New Roman" w:hAnsi="Times New Roman" w:cs="Times New Roman"/>
          <w:b/>
          <w:sz w:val="23"/>
          <w:szCs w:val="23"/>
          <w:lang w:val="lt-LT"/>
        </w:rPr>
        <w:t>Garškienė, A.; Garškaitė, K.</w:t>
      </w:r>
      <w:r w:rsidRPr="00F231FF">
        <w:rPr>
          <w:rFonts w:ascii="Times New Roman" w:hAnsi="Times New Roman" w:cs="Times New Roman"/>
          <w:sz w:val="23"/>
          <w:szCs w:val="23"/>
          <w:lang w:val="lt-LT"/>
        </w:rPr>
        <w:t xml:space="preserve"> Enterprise bankruptcy in Lithuania // </w:t>
      </w:r>
      <w:r w:rsidRPr="00F231FF">
        <w:rPr>
          <w:rFonts w:ascii="Times New Roman" w:hAnsi="Times New Roman" w:cs="Times New Roman"/>
          <w:iCs/>
          <w:sz w:val="23"/>
          <w:szCs w:val="23"/>
          <w:lang w:val="lt-LT"/>
        </w:rPr>
        <w:t>Journal of Business Economics and Management, 2004, Nr</w:t>
      </w:r>
      <w:r w:rsidRPr="00F231FF">
        <w:rPr>
          <w:rFonts w:ascii="Times New Roman" w:hAnsi="Times New Roman" w:cs="Times New Roman"/>
          <w:sz w:val="23"/>
          <w:szCs w:val="23"/>
          <w:lang w:val="lt-LT"/>
        </w:rPr>
        <w:t xml:space="preserve">. 5(1), 51-54 p. </w:t>
      </w:r>
    </w:p>
    <w:p w:rsidR="00C53335" w:rsidRPr="00F231FF" w:rsidRDefault="00C53335" w:rsidP="00417443">
      <w:pPr>
        <w:pStyle w:val="ListParagraph"/>
        <w:numPr>
          <w:ilvl w:val="0"/>
          <w:numId w:val="18"/>
        </w:numPr>
        <w:spacing w:after="0"/>
        <w:jc w:val="both"/>
        <w:rPr>
          <w:rFonts w:ascii="Times New Roman" w:hAnsi="Times New Roman" w:cs="Times New Roman"/>
          <w:sz w:val="23"/>
          <w:szCs w:val="23"/>
          <w:lang w:val="lt-LT"/>
        </w:rPr>
      </w:pPr>
      <w:r w:rsidRPr="00F231FF">
        <w:rPr>
          <w:rFonts w:ascii="Times New Roman" w:hAnsi="Times New Roman" w:cs="Times New Roman"/>
          <w:b/>
          <w:sz w:val="23"/>
          <w:szCs w:val="23"/>
          <w:lang w:val="lt-LT"/>
        </w:rPr>
        <w:t>Gombola M. J.</w:t>
      </w:r>
      <w:r w:rsidR="003262DC" w:rsidRPr="00F231FF">
        <w:rPr>
          <w:rFonts w:ascii="Times New Roman" w:hAnsi="Times New Roman" w:cs="Times New Roman"/>
          <w:b/>
          <w:sz w:val="23"/>
          <w:szCs w:val="23"/>
          <w:lang w:val="lt-LT"/>
        </w:rPr>
        <w:t>, Haskins M. E., Ketz E., Williams D.</w:t>
      </w:r>
      <w:r w:rsidRPr="00F231FF">
        <w:rPr>
          <w:rFonts w:ascii="Times New Roman" w:hAnsi="Times New Roman" w:cs="Times New Roman"/>
          <w:sz w:val="23"/>
          <w:szCs w:val="23"/>
          <w:lang w:val="lt-LT"/>
        </w:rPr>
        <w:t xml:space="preserve"> Cash flow in bankruptcy prediction // Financial Management, 1987, Nr. 4 (16) – 55-65 p. </w:t>
      </w:r>
    </w:p>
    <w:p w:rsidR="00C53335" w:rsidRPr="00F231FF" w:rsidRDefault="00C53335" w:rsidP="00417443">
      <w:pPr>
        <w:pStyle w:val="ListParagraph"/>
        <w:numPr>
          <w:ilvl w:val="0"/>
          <w:numId w:val="18"/>
        </w:numPr>
        <w:autoSpaceDE w:val="0"/>
        <w:autoSpaceDN w:val="0"/>
        <w:adjustRightInd w:val="0"/>
        <w:spacing w:after="0"/>
        <w:jc w:val="both"/>
        <w:rPr>
          <w:rFonts w:ascii="Times New Roman" w:hAnsi="Times New Roman" w:cs="Times New Roman"/>
          <w:sz w:val="23"/>
          <w:szCs w:val="23"/>
          <w:lang w:val="lt-LT"/>
        </w:rPr>
      </w:pPr>
      <w:r w:rsidRPr="00F231FF">
        <w:rPr>
          <w:rFonts w:ascii="Times New Roman" w:hAnsi="Times New Roman" w:cs="Times New Roman"/>
          <w:b/>
          <w:sz w:val="23"/>
          <w:szCs w:val="23"/>
          <w:lang w:val="lt-LT"/>
        </w:rPr>
        <w:t>Grigaitienė K., Patkauskienė Š.</w:t>
      </w:r>
      <w:r w:rsidRPr="00F231FF">
        <w:rPr>
          <w:rFonts w:ascii="Times New Roman" w:hAnsi="Times New Roman" w:cs="Times New Roman"/>
          <w:sz w:val="23"/>
          <w:szCs w:val="23"/>
          <w:lang w:val="lt-LT"/>
        </w:rPr>
        <w:t xml:space="preserve"> Bankroto prognozavimo tyrimai: ekonominės ir teisinės prielaidos Lietuvos įmonių pavyzdžiu: Magistro darbas. Šiauliai: Šiaulių universitetas, 2007 - 223 p. URL: </w:t>
      </w:r>
      <w:hyperlink r:id="rId43" w:history="1">
        <w:r w:rsidRPr="00F231FF">
          <w:rPr>
            <w:rStyle w:val="Hyperlink"/>
            <w:rFonts w:ascii="Times New Roman" w:hAnsi="Times New Roman" w:cs="Times New Roman"/>
            <w:bCs/>
            <w:color w:val="auto"/>
            <w:sz w:val="23"/>
            <w:szCs w:val="23"/>
            <w:u w:val="none"/>
            <w:lang w:val="lt-LT"/>
          </w:rPr>
          <w:t>http://vddb.library.lt/fedora/get/LT-eLABa-0001:E.02~2007~D_20070816_155859-25326/DS.005.0.01.ETD</w:t>
        </w:r>
      </w:hyperlink>
      <w:r w:rsidRPr="00F231FF">
        <w:rPr>
          <w:rFonts w:ascii="Times New Roman" w:hAnsi="Times New Roman" w:cs="Times New Roman"/>
          <w:bCs/>
          <w:sz w:val="23"/>
          <w:szCs w:val="23"/>
          <w:lang w:val="lt-LT"/>
        </w:rPr>
        <w:t xml:space="preserve"> </w:t>
      </w:r>
      <w:r w:rsidRPr="00F231FF">
        <w:rPr>
          <w:rFonts w:ascii="Times New Roman" w:hAnsi="Times New Roman" w:cs="Times New Roman"/>
          <w:sz w:val="23"/>
          <w:szCs w:val="23"/>
          <w:lang w:val="lt-LT"/>
        </w:rPr>
        <w:t>[Žiūrėta 2013-06-15].</w:t>
      </w:r>
    </w:p>
    <w:p w:rsidR="00C53335" w:rsidRPr="00F231FF" w:rsidRDefault="00C53335" w:rsidP="00417443">
      <w:pPr>
        <w:pStyle w:val="ListParagraph"/>
        <w:numPr>
          <w:ilvl w:val="0"/>
          <w:numId w:val="18"/>
        </w:numPr>
        <w:autoSpaceDE w:val="0"/>
        <w:autoSpaceDN w:val="0"/>
        <w:adjustRightInd w:val="0"/>
        <w:spacing w:after="0"/>
        <w:jc w:val="both"/>
        <w:rPr>
          <w:rFonts w:ascii="Times New Roman" w:hAnsi="Times New Roman" w:cs="Times New Roman"/>
          <w:sz w:val="23"/>
          <w:szCs w:val="23"/>
          <w:lang w:val="lt-LT"/>
        </w:rPr>
      </w:pPr>
      <w:r w:rsidRPr="00F231FF">
        <w:rPr>
          <w:rFonts w:ascii="Times New Roman" w:hAnsi="Times New Roman" w:cs="Times New Roman"/>
          <w:b/>
          <w:sz w:val="23"/>
          <w:szCs w:val="23"/>
          <w:lang w:val="lt-LT"/>
        </w:rPr>
        <w:t>Grigaravičius, S.</w:t>
      </w:r>
      <w:r w:rsidRPr="00F231FF">
        <w:rPr>
          <w:rFonts w:ascii="Times New Roman" w:hAnsi="Times New Roman" w:cs="Times New Roman"/>
          <w:sz w:val="23"/>
          <w:szCs w:val="23"/>
          <w:lang w:val="lt-LT"/>
        </w:rPr>
        <w:t xml:space="preserve">  Nemokių įmonių pertvarkymas ir alternatyvų parinkimas // Organizacijų vadyba: sisteminiai tyrimai, Vilnius, 2002, Nr. 23, 89-95 p. </w:t>
      </w:r>
    </w:p>
    <w:p w:rsidR="00C53335" w:rsidRPr="00F231FF" w:rsidRDefault="00C53335" w:rsidP="00417443">
      <w:pPr>
        <w:pStyle w:val="ListParagraph"/>
        <w:numPr>
          <w:ilvl w:val="0"/>
          <w:numId w:val="18"/>
        </w:numPr>
        <w:spacing w:after="0"/>
        <w:jc w:val="both"/>
        <w:rPr>
          <w:rFonts w:ascii="Times New Roman" w:hAnsi="Times New Roman" w:cs="Times New Roman"/>
          <w:sz w:val="23"/>
          <w:szCs w:val="23"/>
          <w:lang w:val="lt-LT"/>
        </w:rPr>
      </w:pPr>
      <w:r w:rsidRPr="00F231FF">
        <w:rPr>
          <w:rFonts w:ascii="Times New Roman" w:hAnsi="Times New Roman" w:cs="Times New Roman"/>
          <w:b/>
          <w:sz w:val="23"/>
          <w:szCs w:val="23"/>
          <w:lang w:val="lt-LT"/>
        </w:rPr>
        <w:t>Grigaravičius S.</w:t>
      </w:r>
      <w:r w:rsidRPr="00F231FF">
        <w:rPr>
          <w:rFonts w:ascii="Times New Roman" w:hAnsi="Times New Roman" w:cs="Times New Roman"/>
          <w:sz w:val="23"/>
          <w:szCs w:val="23"/>
          <w:lang w:val="lt-LT"/>
        </w:rPr>
        <w:t xml:space="preserve"> </w:t>
      </w:r>
      <w:r w:rsidRPr="00F231FF">
        <w:rPr>
          <w:rFonts w:ascii="Times New Roman" w:hAnsi="Times New Roman" w:cs="Times New Roman"/>
          <w:iCs/>
          <w:sz w:val="23"/>
          <w:szCs w:val="23"/>
          <w:lang w:val="lt-LT"/>
        </w:rPr>
        <w:t>Įmonių nemokumo diagnostika ir jų pertvarkymo sprendimai</w:t>
      </w:r>
      <w:r w:rsidRPr="00F231FF">
        <w:rPr>
          <w:rFonts w:ascii="Times New Roman" w:hAnsi="Times New Roman" w:cs="Times New Roman"/>
          <w:sz w:val="23"/>
          <w:szCs w:val="23"/>
          <w:lang w:val="lt-LT"/>
        </w:rPr>
        <w:t xml:space="preserve"> // daktaro disertacijos santrauka: socialiniai mokslai: vadyba ir administravimas (03S) / S.Grigaravičius: Vytauto Didžiojo universitetas. Kaunas, 2003. 26 p. </w:t>
      </w:r>
    </w:p>
    <w:p w:rsidR="00C53335" w:rsidRPr="00F231FF" w:rsidRDefault="00C53335" w:rsidP="00417443">
      <w:pPr>
        <w:pStyle w:val="ListParagraph"/>
        <w:numPr>
          <w:ilvl w:val="0"/>
          <w:numId w:val="18"/>
        </w:numPr>
        <w:spacing w:after="0"/>
        <w:jc w:val="both"/>
        <w:rPr>
          <w:rFonts w:ascii="Times New Roman" w:hAnsi="Times New Roman" w:cs="Times New Roman"/>
          <w:sz w:val="23"/>
          <w:szCs w:val="23"/>
          <w:lang w:val="lt-LT"/>
        </w:rPr>
      </w:pPr>
      <w:r w:rsidRPr="00F231FF">
        <w:rPr>
          <w:rFonts w:ascii="Times New Roman" w:hAnsi="Times New Roman" w:cs="Times New Roman"/>
          <w:b/>
          <w:sz w:val="23"/>
          <w:szCs w:val="23"/>
          <w:lang w:val="lt-LT"/>
        </w:rPr>
        <w:t>Įmonių bankroto valdymo departamentas prie Ūkio ministerijos:</w:t>
      </w:r>
      <w:r w:rsidRPr="00F231FF">
        <w:rPr>
          <w:rFonts w:ascii="Times New Roman" w:hAnsi="Times New Roman" w:cs="Times New Roman"/>
          <w:sz w:val="23"/>
          <w:szCs w:val="23"/>
          <w:lang w:val="lt-LT"/>
        </w:rPr>
        <w:t xml:space="preserve"> </w:t>
      </w:r>
      <w:r w:rsidRPr="00F231FF">
        <w:rPr>
          <w:rFonts w:ascii="Times New Roman" w:hAnsi="Times New Roman" w:cs="Times New Roman"/>
          <w:iCs/>
          <w:sz w:val="23"/>
          <w:szCs w:val="23"/>
          <w:lang w:val="lt-LT"/>
        </w:rPr>
        <w:t>Įmonių bankroto ir restruktūrizavimo procesų 2012 m. apžvalga</w:t>
      </w:r>
      <w:r w:rsidRPr="00F231FF">
        <w:rPr>
          <w:rFonts w:ascii="Times New Roman" w:hAnsi="Times New Roman" w:cs="Times New Roman"/>
          <w:sz w:val="23"/>
          <w:szCs w:val="23"/>
          <w:lang w:val="lt-LT"/>
        </w:rPr>
        <w:t xml:space="preserve">. Vilnius, 2013 – 15 p. </w:t>
      </w:r>
      <w:hyperlink r:id="rId44" w:history="1">
        <w:r w:rsidRPr="00F231FF">
          <w:rPr>
            <w:rStyle w:val="Hyperlink"/>
            <w:rFonts w:ascii="Times New Roman" w:hAnsi="Times New Roman" w:cs="Times New Roman"/>
            <w:color w:val="auto"/>
            <w:sz w:val="23"/>
            <w:szCs w:val="23"/>
            <w:u w:val="none"/>
            <w:lang w:val="lt-LT"/>
          </w:rPr>
          <w:t>http://www.bankrotodep.lt/Doc/2012_00.pdf</w:t>
        </w:r>
      </w:hyperlink>
      <w:r w:rsidRPr="00F231FF">
        <w:rPr>
          <w:rStyle w:val="HTMLCite"/>
          <w:rFonts w:ascii="Times New Roman" w:hAnsi="Times New Roman" w:cs="Times New Roman"/>
          <w:sz w:val="23"/>
          <w:szCs w:val="23"/>
          <w:lang w:val="lt-LT"/>
        </w:rPr>
        <w:t xml:space="preserve"> </w:t>
      </w:r>
      <w:r w:rsidRPr="00F231FF">
        <w:rPr>
          <w:rFonts w:ascii="Times New Roman" w:hAnsi="Times New Roman" w:cs="Times New Roman"/>
          <w:sz w:val="23"/>
          <w:szCs w:val="23"/>
          <w:lang w:val="lt-LT"/>
        </w:rPr>
        <w:t xml:space="preserve"> [Žiūrėta: 2013 06 10].</w:t>
      </w:r>
    </w:p>
    <w:p w:rsidR="00C53335" w:rsidRPr="00F231FF" w:rsidRDefault="00C53335" w:rsidP="00417443">
      <w:pPr>
        <w:pStyle w:val="ListParagraph"/>
        <w:numPr>
          <w:ilvl w:val="0"/>
          <w:numId w:val="18"/>
        </w:numPr>
        <w:spacing w:after="0"/>
        <w:jc w:val="both"/>
        <w:rPr>
          <w:rFonts w:ascii="Times New Roman" w:hAnsi="Times New Roman" w:cs="Times New Roman"/>
          <w:sz w:val="23"/>
          <w:szCs w:val="23"/>
          <w:lang w:val="lt-LT"/>
        </w:rPr>
      </w:pPr>
      <w:r w:rsidRPr="00F231FF">
        <w:rPr>
          <w:rFonts w:ascii="Times New Roman" w:hAnsi="Times New Roman" w:cs="Times New Roman"/>
          <w:b/>
          <w:sz w:val="23"/>
          <w:szCs w:val="23"/>
          <w:lang w:val="lt-LT"/>
        </w:rPr>
        <w:t>Januševičiūtė A., Jurevičienė D.</w:t>
      </w:r>
      <w:r w:rsidRPr="00F231FF">
        <w:rPr>
          <w:rFonts w:ascii="Times New Roman" w:hAnsi="Times New Roman" w:cs="Times New Roman"/>
          <w:sz w:val="23"/>
          <w:szCs w:val="23"/>
          <w:lang w:val="lt-LT"/>
        </w:rPr>
        <w:t xml:space="preserve"> Bankroto esmė: teorija ir praktika // </w:t>
      </w:r>
      <w:r w:rsidRPr="00F231FF">
        <w:rPr>
          <w:rFonts w:ascii="Times New Roman" w:hAnsi="Times New Roman" w:cs="Times New Roman"/>
          <w:iCs/>
          <w:sz w:val="23"/>
          <w:szCs w:val="23"/>
          <w:lang w:val="lt-LT"/>
        </w:rPr>
        <w:t xml:space="preserve">Mokslas </w:t>
      </w:r>
      <w:r w:rsidRPr="00F231FF">
        <w:rPr>
          <w:rFonts w:ascii="Times New Roman" w:hAnsi="Times New Roman" w:cs="Times New Roman"/>
          <w:sz w:val="23"/>
          <w:szCs w:val="23"/>
          <w:lang w:val="lt-LT"/>
        </w:rPr>
        <w:t xml:space="preserve">– </w:t>
      </w:r>
      <w:r w:rsidRPr="00F231FF">
        <w:rPr>
          <w:rFonts w:ascii="Times New Roman" w:hAnsi="Times New Roman" w:cs="Times New Roman"/>
          <w:iCs/>
          <w:sz w:val="23"/>
          <w:szCs w:val="23"/>
          <w:lang w:val="lt-LT"/>
        </w:rPr>
        <w:t xml:space="preserve">Lietuvos ateitis, </w:t>
      </w:r>
      <w:r w:rsidRPr="00F231FF">
        <w:rPr>
          <w:rFonts w:ascii="Times New Roman" w:hAnsi="Times New Roman" w:cs="Times New Roman"/>
          <w:sz w:val="23"/>
          <w:szCs w:val="23"/>
          <w:lang w:val="lt-LT"/>
        </w:rPr>
        <w:t xml:space="preserve">2009, nr. 1(3), 30–34 p. </w:t>
      </w:r>
    </w:p>
    <w:p w:rsidR="00C53335" w:rsidRPr="00F231FF" w:rsidRDefault="00C53335" w:rsidP="00417443">
      <w:pPr>
        <w:pStyle w:val="ListParagraph"/>
        <w:numPr>
          <w:ilvl w:val="0"/>
          <w:numId w:val="18"/>
        </w:numPr>
        <w:spacing w:after="0"/>
        <w:jc w:val="both"/>
        <w:rPr>
          <w:rFonts w:ascii="Times New Roman" w:hAnsi="Times New Roman" w:cs="Times New Roman"/>
          <w:sz w:val="23"/>
          <w:szCs w:val="23"/>
          <w:lang w:val="lt-LT"/>
        </w:rPr>
      </w:pPr>
      <w:r w:rsidRPr="00F231FF">
        <w:rPr>
          <w:rFonts w:ascii="Times New Roman" w:hAnsi="Times New Roman" w:cs="Times New Roman"/>
          <w:b/>
          <w:sz w:val="23"/>
          <w:szCs w:val="23"/>
          <w:lang w:val="lt-LT"/>
        </w:rPr>
        <w:t xml:space="preserve">Jurevičienė D., Bercevič E. </w:t>
      </w:r>
      <w:r w:rsidRPr="00F231FF">
        <w:rPr>
          <w:rFonts w:ascii="Times New Roman" w:hAnsi="Times New Roman" w:cs="Times New Roman"/>
          <w:sz w:val="23"/>
          <w:szCs w:val="23"/>
          <w:lang w:val="lt-LT"/>
        </w:rPr>
        <w:t xml:space="preserve">The Evaluation of Bankruptcy Prediction Models for Lithuanian Companies // Trendy ekonomiky a managementu, Brno University of Technology Faculty of Business and Management, 2013, nr. VII (13) ISSN 1802-8527, p. 43-55. </w:t>
      </w:r>
    </w:p>
    <w:p w:rsidR="00C53335" w:rsidRPr="00F231FF" w:rsidRDefault="00C53335" w:rsidP="00417443">
      <w:pPr>
        <w:pStyle w:val="ListParagraph"/>
        <w:numPr>
          <w:ilvl w:val="0"/>
          <w:numId w:val="18"/>
        </w:numPr>
        <w:spacing w:after="0"/>
        <w:jc w:val="both"/>
        <w:rPr>
          <w:rFonts w:ascii="Times New Roman" w:hAnsi="Times New Roman" w:cs="Times New Roman"/>
          <w:sz w:val="23"/>
          <w:szCs w:val="23"/>
          <w:lang w:val="lt-LT"/>
        </w:rPr>
      </w:pPr>
      <w:r w:rsidRPr="00F231FF">
        <w:rPr>
          <w:rFonts w:ascii="Times New Roman" w:hAnsi="Times New Roman" w:cs="Times New Roman"/>
          <w:b/>
          <w:sz w:val="23"/>
          <w:szCs w:val="23"/>
          <w:lang w:val="lt-LT"/>
        </w:rPr>
        <w:t xml:space="preserve">Jurevičienė D., Bercevič E. </w:t>
      </w:r>
      <w:r w:rsidRPr="00F231FF">
        <w:rPr>
          <w:rFonts w:ascii="Times New Roman" w:eastAsia="TimesNewRomanPS-BoldMT" w:hAnsi="Times New Roman" w:cs="Times New Roman"/>
          <w:bCs/>
          <w:sz w:val="23"/>
          <w:szCs w:val="23"/>
          <w:lang w:val="lt-LT"/>
        </w:rPr>
        <w:t>Evalution of linear discriminant analysis bancruptcy prediction models</w:t>
      </w:r>
      <w:r w:rsidRPr="00F231FF">
        <w:rPr>
          <w:rFonts w:ascii="Times New Roman" w:eastAsia="TimesNewRomanPS-BoldMT" w:hAnsi="Times New Roman" w:cs="Times New Roman"/>
          <w:b/>
          <w:bCs/>
          <w:sz w:val="23"/>
          <w:szCs w:val="23"/>
          <w:lang w:val="lt-LT"/>
        </w:rPr>
        <w:t xml:space="preserve"> // </w:t>
      </w:r>
      <w:r w:rsidRPr="00F231FF">
        <w:rPr>
          <w:rFonts w:ascii="Times New Roman" w:eastAsia="TimesNewRomanPSMT" w:hAnsi="Times New Roman" w:cs="Times New Roman"/>
          <w:sz w:val="23"/>
          <w:szCs w:val="23"/>
          <w:lang w:val="lt-LT"/>
        </w:rPr>
        <w:t xml:space="preserve">Medzinárodný zborník vedeckých prác pri príležitosti 60. výročia univerzitného vzdelávania na Podnikohospodárskej fakulte Ekonomickej univerzity v Bratislave so sídlom v Košiciach, 2012, </w:t>
      </w:r>
      <w:r w:rsidRPr="00F231FF">
        <w:rPr>
          <w:rFonts w:ascii="Times New Roman" w:hAnsi="Times New Roman" w:cs="Times New Roman"/>
          <w:sz w:val="23"/>
          <w:szCs w:val="23"/>
          <w:lang w:val="lt-LT"/>
        </w:rPr>
        <w:t> </w:t>
      </w:r>
      <w:r w:rsidRPr="00F231FF">
        <w:rPr>
          <w:rFonts w:ascii="Times New Roman" w:eastAsia="TimesNewRomanPSMT" w:hAnsi="Times New Roman" w:cs="Times New Roman"/>
          <w:sz w:val="23"/>
          <w:szCs w:val="23"/>
          <w:lang w:val="lt-LT"/>
        </w:rPr>
        <w:t>ISBN 9788086175805, p. 1-10.</w:t>
      </w:r>
    </w:p>
    <w:p w:rsidR="00C53335" w:rsidRPr="00F231FF" w:rsidRDefault="00C53335" w:rsidP="00417443">
      <w:pPr>
        <w:pStyle w:val="ListParagraph"/>
        <w:numPr>
          <w:ilvl w:val="0"/>
          <w:numId w:val="18"/>
        </w:numPr>
        <w:spacing w:after="0"/>
        <w:jc w:val="both"/>
        <w:rPr>
          <w:rFonts w:ascii="Times New Roman" w:hAnsi="Times New Roman" w:cs="Times New Roman"/>
          <w:sz w:val="23"/>
          <w:szCs w:val="23"/>
          <w:lang w:val="lt-LT"/>
        </w:rPr>
      </w:pPr>
      <w:r w:rsidRPr="00F231FF">
        <w:rPr>
          <w:rFonts w:ascii="Times New Roman" w:hAnsi="Times New Roman" w:cs="Times New Roman"/>
          <w:b/>
          <w:sz w:val="23"/>
          <w:szCs w:val="23"/>
          <w:lang w:val="lt-LT"/>
        </w:rPr>
        <w:t>Karalevičienė J., Bužinskienė R.</w:t>
      </w:r>
      <w:r w:rsidRPr="00F231FF">
        <w:rPr>
          <w:rFonts w:ascii="Times New Roman" w:hAnsi="Times New Roman" w:cs="Times New Roman"/>
          <w:sz w:val="23"/>
          <w:szCs w:val="23"/>
          <w:lang w:val="lt-LT"/>
        </w:rPr>
        <w:t xml:space="preserve"> Moderniųjų bankroto diagnozavimo modelių taikymas įmonėje. Vadyba: Journal of Management. Klaipėda, 2011, Nr. 2(19): 113-122 p. </w:t>
      </w:r>
    </w:p>
    <w:p w:rsidR="00C53335" w:rsidRPr="00F231FF" w:rsidRDefault="00C53335" w:rsidP="00417443">
      <w:pPr>
        <w:pStyle w:val="ListParagraph"/>
        <w:numPr>
          <w:ilvl w:val="0"/>
          <w:numId w:val="18"/>
        </w:numPr>
        <w:spacing w:after="0"/>
        <w:jc w:val="both"/>
        <w:rPr>
          <w:rFonts w:ascii="Times New Roman" w:hAnsi="Times New Roman" w:cs="Times New Roman"/>
          <w:sz w:val="23"/>
          <w:szCs w:val="23"/>
          <w:lang w:val="lt-LT"/>
        </w:rPr>
      </w:pPr>
      <w:r w:rsidRPr="00F231FF">
        <w:rPr>
          <w:rFonts w:ascii="Times New Roman" w:hAnsi="Times New Roman" w:cs="Times New Roman"/>
          <w:b/>
          <w:sz w:val="23"/>
          <w:szCs w:val="23"/>
          <w:lang w:val="lt-LT"/>
        </w:rPr>
        <w:t xml:space="preserve">Krancevičiūtė R. </w:t>
      </w:r>
      <w:r w:rsidRPr="00F231FF">
        <w:rPr>
          <w:rFonts w:ascii="Times New Roman" w:hAnsi="Times New Roman" w:cs="Times New Roman"/>
          <w:sz w:val="23"/>
          <w:szCs w:val="23"/>
          <w:lang w:val="lt-LT"/>
        </w:rPr>
        <w:t xml:space="preserve"> </w:t>
      </w:r>
      <w:r w:rsidRPr="00F231FF">
        <w:rPr>
          <w:rFonts w:ascii="Times New Roman" w:hAnsi="Times New Roman" w:cs="Times New Roman"/>
          <w:bCs/>
          <w:sz w:val="23"/>
          <w:szCs w:val="23"/>
          <w:lang w:val="lt-LT"/>
        </w:rPr>
        <w:t>Įmonių bankroto analizė ir prognozavimas</w:t>
      </w:r>
      <w:r w:rsidRPr="00F231FF">
        <w:rPr>
          <w:rFonts w:ascii="Times New Roman" w:hAnsi="Times New Roman" w:cs="Times New Roman"/>
          <w:b/>
          <w:bCs/>
          <w:sz w:val="23"/>
          <w:szCs w:val="23"/>
          <w:lang w:val="lt-LT"/>
        </w:rPr>
        <w:t xml:space="preserve"> // </w:t>
      </w:r>
      <w:r w:rsidRPr="00F231FF">
        <w:rPr>
          <w:rFonts w:ascii="Times New Roman" w:hAnsi="Times New Roman" w:cs="Times New Roman"/>
          <w:sz w:val="23"/>
          <w:szCs w:val="23"/>
          <w:lang w:val="lt-LT"/>
        </w:rPr>
        <w:t>15-osios Lietuvos jaunųjų mokslininkų konferencijos „Mokslas – Lietuvos ateitis“ 2012 metų teminės konferencijos straipsnių rinkinys, 2012.</w:t>
      </w:r>
    </w:p>
    <w:p w:rsidR="00C53335" w:rsidRPr="00F231FF" w:rsidRDefault="00C53335" w:rsidP="00417443">
      <w:pPr>
        <w:pStyle w:val="ListParagraph"/>
        <w:numPr>
          <w:ilvl w:val="0"/>
          <w:numId w:val="18"/>
        </w:numPr>
        <w:spacing w:after="0"/>
        <w:jc w:val="both"/>
        <w:rPr>
          <w:rFonts w:ascii="Times New Roman" w:hAnsi="Times New Roman" w:cs="Times New Roman"/>
          <w:sz w:val="23"/>
          <w:szCs w:val="23"/>
          <w:lang w:val="lt-LT"/>
        </w:rPr>
      </w:pPr>
      <w:r w:rsidRPr="00F231FF">
        <w:rPr>
          <w:rFonts w:ascii="Times New Roman" w:hAnsi="Times New Roman" w:cs="Times New Roman"/>
          <w:b/>
          <w:sz w:val="23"/>
          <w:szCs w:val="23"/>
          <w:lang w:val="lt-LT"/>
        </w:rPr>
        <w:t>Kučiauškaitė S.</w:t>
      </w:r>
      <w:r w:rsidRPr="00F231FF">
        <w:rPr>
          <w:rFonts w:ascii="Times New Roman" w:hAnsi="Times New Roman" w:cs="Times New Roman"/>
          <w:sz w:val="23"/>
          <w:szCs w:val="23"/>
          <w:lang w:val="lt-LT"/>
        </w:rPr>
        <w:t xml:space="preserve"> Bankroto prognozavimo įmonėse tyrimas / Magistro darbas: Akademija: Lietuvos Žemės ūkio universitetas, 2009 – 66 p. URL: </w:t>
      </w:r>
      <w:hyperlink r:id="rId45" w:history="1">
        <w:r w:rsidRPr="00F231FF">
          <w:rPr>
            <w:rStyle w:val="Hyperlink"/>
            <w:rFonts w:ascii="Times New Roman" w:hAnsi="Times New Roman" w:cs="Times New Roman"/>
            <w:color w:val="auto"/>
            <w:sz w:val="23"/>
            <w:szCs w:val="23"/>
            <w:u w:val="none"/>
            <w:lang w:val="lt-LT"/>
          </w:rPr>
          <w:t>http://vddb.laba.lt/fedora/get/LT-eLABa-0001:E.02~2009~D_20090608_155210-77655/DS.005.0.01.ETD</w:t>
        </w:r>
      </w:hyperlink>
      <w:r w:rsidRPr="00F231FF">
        <w:rPr>
          <w:rFonts w:ascii="Times New Roman" w:hAnsi="Times New Roman" w:cs="Times New Roman"/>
          <w:sz w:val="23"/>
          <w:szCs w:val="23"/>
          <w:lang w:val="lt-LT"/>
        </w:rPr>
        <w:t>, [Žiūrėta: 2013 10 10].</w:t>
      </w:r>
    </w:p>
    <w:p w:rsidR="00C53335" w:rsidRPr="00F231FF" w:rsidRDefault="00C53335" w:rsidP="00417443">
      <w:pPr>
        <w:pStyle w:val="ListParagraph"/>
        <w:numPr>
          <w:ilvl w:val="0"/>
          <w:numId w:val="18"/>
        </w:numPr>
        <w:autoSpaceDE w:val="0"/>
        <w:autoSpaceDN w:val="0"/>
        <w:adjustRightInd w:val="0"/>
        <w:spacing w:after="0"/>
        <w:jc w:val="both"/>
        <w:rPr>
          <w:rFonts w:ascii="Times New Roman" w:hAnsi="Times New Roman" w:cs="Times New Roman"/>
          <w:sz w:val="23"/>
          <w:szCs w:val="23"/>
          <w:lang w:val="lt-LT"/>
        </w:rPr>
      </w:pPr>
      <w:r w:rsidRPr="00F231FF">
        <w:rPr>
          <w:rFonts w:ascii="Times New Roman" w:hAnsi="Times New Roman" w:cs="Times New Roman"/>
          <w:b/>
          <w:sz w:val="23"/>
          <w:szCs w:val="23"/>
          <w:lang w:val="lt-LT"/>
        </w:rPr>
        <w:t>Lebedžinskaitė R.</w:t>
      </w:r>
      <w:r w:rsidRPr="00F231FF">
        <w:rPr>
          <w:rFonts w:ascii="Times New Roman" w:hAnsi="Times New Roman" w:cs="Times New Roman"/>
          <w:sz w:val="23"/>
          <w:szCs w:val="23"/>
          <w:lang w:val="lt-LT"/>
        </w:rPr>
        <w:t xml:space="preserve"> Bankroto diagnozavimo įmonėse tyrimas: Magistro darbas. Vilnius: Lietuvos žemės ūkio universitetas, 2007, 77 p. URL: </w:t>
      </w:r>
      <w:hyperlink r:id="rId46" w:history="1">
        <w:r w:rsidRPr="00F231FF">
          <w:rPr>
            <w:rStyle w:val="Hyperlink"/>
            <w:rFonts w:ascii="Times New Roman" w:hAnsi="Times New Roman" w:cs="Times New Roman"/>
            <w:color w:val="auto"/>
            <w:sz w:val="23"/>
            <w:szCs w:val="23"/>
            <w:u w:val="none"/>
            <w:lang w:val="lt-LT"/>
          </w:rPr>
          <w:t>http://vddb.library.lt/fedora/get/LT-eLABa-0001:E.02~2007~D_20070816_153211-47644/DS.005.0.01.ETD</w:t>
        </w:r>
      </w:hyperlink>
      <w:r w:rsidRPr="00F231FF">
        <w:rPr>
          <w:rFonts w:ascii="Times New Roman" w:hAnsi="Times New Roman" w:cs="Times New Roman"/>
          <w:sz w:val="23"/>
          <w:szCs w:val="23"/>
          <w:lang w:val="lt-LT"/>
        </w:rPr>
        <w:t xml:space="preserve"> [Žiūrėta: 2013 06 10].</w:t>
      </w:r>
    </w:p>
    <w:p w:rsidR="00C53335" w:rsidRPr="00F231FF" w:rsidRDefault="00C53335" w:rsidP="00417443">
      <w:pPr>
        <w:pStyle w:val="ListParagraph"/>
        <w:numPr>
          <w:ilvl w:val="0"/>
          <w:numId w:val="18"/>
        </w:numPr>
        <w:autoSpaceDE w:val="0"/>
        <w:autoSpaceDN w:val="0"/>
        <w:adjustRightInd w:val="0"/>
        <w:spacing w:after="0"/>
        <w:rPr>
          <w:rFonts w:ascii="Times New Roman" w:hAnsi="Times New Roman" w:cs="Times New Roman"/>
          <w:sz w:val="23"/>
          <w:szCs w:val="23"/>
          <w:lang w:val="lt-LT"/>
        </w:rPr>
      </w:pPr>
      <w:r w:rsidRPr="00F231FF">
        <w:rPr>
          <w:rFonts w:ascii="Times New Roman" w:hAnsi="Times New Roman" w:cs="Times New Roman"/>
          <w:b/>
          <w:sz w:val="23"/>
          <w:szCs w:val="23"/>
          <w:lang w:val="lt-LT"/>
        </w:rPr>
        <w:t>Lietuvos Bankas.</w:t>
      </w:r>
      <w:r w:rsidRPr="00F231FF">
        <w:rPr>
          <w:rFonts w:ascii="Times New Roman" w:hAnsi="Times New Roman" w:cs="Times New Roman"/>
          <w:sz w:val="23"/>
          <w:szCs w:val="23"/>
          <w:lang w:val="lt-LT"/>
        </w:rPr>
        <w:t xml:space="preserve"> Vilibor palūkanų normos statistika. URL: </w:t>
      </w:r>
      <w:hyperlink r:id="rId47" w:history="1">
        <w:r w:rsidRPr="00F231FF">
          <w:rPr>
            <w:rStyle w:val="Hyperlink"/>
            <w:rFonts w:ascii="Times New Roman" w:hAnsi="Times New Roman" w:cs="Times New Roman"/>
            <w:color w:val="auto"/>
            <w:sz w:val="23"/>
            <w:szCs w:val="23"/>
            <w:u w:val="none"/>
            <w:lang w:val="lt-LT"/>
          </w:rPr>
          <w:t>http://www.lb.lt/statistics/statbrowser.aspx?group=7222</w:t>
        </w:r>
      </w:hyperlink>
      <w:r w:rsidRPr="00F231FF">
        <w:rPr>
          <w:rFonts w:ascii="Times New Roman" w:hAnsi="Times New Roman" w:cs="Times New Roman"/>
          <w:sz w:val="23"/>
          <w:szCs w:val="23"/>
        </w:rPr>
        <w:t xml:space="preserve"> </w:t>
      </w:r>
      <w:r w:rsidRPr="00F231FF">
        <w:rPr>
          <w:rFonts w:ascii="Times New Roman" w:hAnsi="Times New Roman" w:cs="Times New Roman"/>
          <w:sz w:val="23"/>
          <w:szCs w:val="23"/>
          <w:lang w:val="lt-LT"/>
        </w:rPr>
        <w:t>[Žiūrėta: 2013 06 10].</w:t>
      </w:r>
    </w:p>
    <w:p w:rsidR="00C53335" w:rsidRPr="00F231FF" w:rsidRDefault="00C53335" w:rsidP="00417443">
      <w:pPr>
        <w:pStyle w:val="ListParagraph"/>
        <w:numPr>
          <w:ilvl w:val="0"/>
          <w:numId w:val="18"/>
        </w:numPr>
        <w:autoSpaceDE w:val="0"/>
        <w:autoSpaceDN w:val="0"/>
        <w:adjustRightInd w:val="0"/>
        <w:spacing w:after="0"/>
        <w:rPr>
          <w:rFonts w:ascii="Times New Roman" w:hAnsi="Times New Roman" w:cs="Times New Roman"/>
          <w:sz w:val="23"/>
          <w:szCs w:val="23"/>
          <w:lang w:val="lt-LT"/>
        </w:rPr>
      </w:pPr>
      <w:r w:rsidRPr="00F231FF">
        <w:rPr>
          <w:rFonts w:ascii="Times New Roman" w:hAnsi="Times New Roman" w:cs="Times New Roman"/>
          <w:b/>
          <w:sz w:val="23"/>
          <w:szCs w:val="23"/>
          <w:lang w:val="lt-LT"/>
        </w:rPr>
        <w:lastRenderedPageBreak/>
        <w:t>Lietuvos Respublikos</w:t>
      </w:r>
      <w:bookmarkStart w:id="104" w:name="antraste"/>
      <w:bookmarkStart w:id="105" w:name="dok_tipas"/>
      <w:bookmarkEnd w:id="104"/>
      <w:r w:rsidRPr="00F231FF">
        <w:rPr>
          <w:rFonts w:ascii="Times New Roman" w:hAnsi="Times New Roman" w:cs="Times New Roman"/>
          <w:b/>
          <w:sz w:val="23"/>
          <w:szCs w:val="23"/>
          <w:lang w:val="lt-LT"/>
        </w:rPr>
        <w:t xml:space="preserve"> įmonių bankroto įstatymas</w:t>
      </w:r>
      <w:bookmarkEnd w:id="105"/>
      <w:r w:rsidRPr="00F231FF">
        <w:rPr>
          <w:rFonts w:ascii="Times New Roman" w:hAnsi="Times New Roman" w:cs="Times New Roman"/>
          <w:b/>
          <w:sz w:val="23"/>
          <w:szCs w:val="23"/>
          <w:lang w:val="lt-LT"/>
        </w:rPr>
        <w:t>.</w:t>
      </w:r>
      <w:r w:rsidRPr="00F231FF">
        <w:rPr>
          <w:rFonts w:ascii="Times New Roman" w:hAnsi="Times New Roman" w:cs="Times New Roman"/>
          <w:sz w:val="23"/>
          <w:szCs w:val="23"/>
          <w:lang w:val="lt-LT"/>
        </w:rPr>
        <w:t xml:space="preserve"> URL: </w:t>
      </w:r>
      <w:hyperlink r:id="rId48" w:history="1">
        <w:r w:rsidRPr="00F231FF">
          <w:rPr>
            <w:rStyle w:val="Hyperlink"/>
            <w:rFonts w:ascii="Times New Roman" w:hAnsi="Times New Roman" w:cs="Times New Roman"/>
            <w:color w:val="auto"/>
            <w:sz w:val="23"/>
            <w:szCs w:val="23"/>
            <w:u w:val="none"/>
            <w:lang w:val="lt-LT"/>
          </w:rPr>
          <w:t>http://www3.lrs.lt/pls/inter3/dokpaieska.showdoc_l?p_id=417236</w:t>
        </w:r>
      </w:hyperlink>
      <w:r w:rsidRPr="00F231FF">
        <w:rPr>
          <w:rFonts w:ascii="Times New Roman" w:hAnsi="Times New Roman" w:cs="Times New Roman"/>
          <w:sz w:val="23"/>
          <w:szCs w:val="23"/>
          <w:lang w:val="lt-LT"/>
        </w:rPr>
        <w:t>, [Žiūrėta: 2013 06 10].</w:t>
      </w:r>
    </w:p>
    <w:p w:rsidR="00C53335" w:rsidRPr="00F231FF" w:rsidRDefault="00C53335" w:rsidP="00417443">
      <w:pPr>
        <w:pStyle w:val="ListParagraph"/>
        <w:numPr>
          <w:ilvl w:val="0"/>
          <w:numId w:val="18"/>
        </w:numPr>
        <w:autoSpaceDE w:val="0"/>
        <w:autoSpaceDN w:val="0"/>
        <w:adjustRightInd w:val="0"/>
        <w:spacing w:after="0"/>
        <w:rPr>
          <w:rFonts w:ascii="Times New Roman" w:hAnsi="Times New Roman" w:cs="Times New Roman"/>
          <w:sz w:val="23"/>
          <w:szCs w:val="23"/>
          <w:lang w:val="lt-LT"/>
        </w:rPr>
      </w:pPr>
      <w:r w:rsidRPr="00F231FF">
        <w:rPr>
          <w:rFonts w:ascii="Times New Roman" w:hAnsi="Times New Roman" w:cs="Times New Roman"/>
          <w:b/>
          <w:sz w:val="23"/>
          <w:szCs w:val="23"/>
          <w:lang w:val="lt-LT"/>
        </w:rPr>
        <w:t>Lietuvos  Respublikos  restruktūrizavimo įstatymas</w:t>
      </w:r>
      <w:r w:rsidRPr="00F231FF">
        <w:rPr>
          <w:rFonts w:ascii="Times New Roman" w:hAnsi="Times New Roman" w:cs="Times New Roman"/>
          <w:iCs/>
          <w:sz w:val="23"/>
          <w:szCs w:val="23"/>
          <w:lang w:val="lt-LT"/>
        </w:rPr>
        <w:t>.</w:t>
      </w:r>
      <w:r w:rsidRPr="00F231FF">
        <w:rPr>
          <w:rFonts w:ascii="Times New Roman" w:hAnsi="Times New Roman" w:cs="Times New Roman"/>
          <w:sz w:val="23"/>
          <w:szCs w:val="23"/>
          <w:lang w:val="lt-LT"/>
        </w:rPr>
        <w:t xml:space="preserve"> URL: </w:t>
      </w:r>
      <w:hyperlink r:id="rId49" w:history="1">
        <w:r w:rsidRPr="00F231FF">
          <w:rPr>
            <w:rStyle w:val="Hyperlink"/>
            <w:rFonts w:ascii="Times New Roman" w:hAnsi="Times New Roman" w:cs="Times New Roman"/>
            <w:color w:val="auto"/>
            <w:sz w:val="23"/>
            <w:szCs w:val="23"/>
            <w:u w:val="none"/>
            <w:lang w:val="lt-LT"/>
          </w:rPr>
          <w:t>http://www3.lrs.lt/pls/inter3/dokpaieska. showdoc_l?p_id=416456</w:t>
        </w:r>
      </w:hyperlink>
      <w:r w:rsidRPr="00F231FF">
        <w:rPr>
          <w:rFonts w:ascii="Times New Roman" w:hAnsi="Times New Roman" w:cs="Times New Roman"/>
          <w:sz w:val="23"/>
          <w:szCs w:val="23"/>
          <w:lang w:val="lt-LT"/>
        </w:rPr>
        <w:t xml:space="preserve"> [Žiūrėta: 2013 06 10].</w:t>
      </w:r>
    </w:p>
    <w:p w:rsidR="00C53335" w:rsidRPr="00F231FF" w:rsidRDefault="00C53335" w:rsidP="00417443">
      <w:pPr>
        <w:pStyle w:val="ListParagraph"/>
        <w:numPr>
          <w:ilvl w:val="0"/>
          <w:numId w:val="18"/>
        </w:numPr>
        <w:autoSpaceDE w:val="0"/>
        <w:autoSpaceDN w:val="0"/>
        <w:adjustRightInd w:val="0"/>
        <w:spacing w:after="0"/>
        <w:rPr>
          <w:rFonts w:ascii="Times New Roman" w:hAnsi="Times New Roman" w:cs="Times New Roman"/>
          <w:sz w:val="23"/>
          <w:szCs w:val="23"/>
          <w:lang w:val="lt-LT"/>
        </w:rPr>
      </w:pPr>
      <w:r w:rsidRPr="00F231FF">
        <w:rPr>
          <w:rFonts w:ascii="Times New Roman" w:hAnsi="Times New Roman" w:cs="Times New Roman"/>
          <w:b/>
          <w:sz w:val="23"/>
          <w:szCs w:val="23"/>
          <w:lang w:val="lt-LT"/>
        </w:rPr>
        <w:t>Lietuvos Respublikos  smulkiojo ir vidutinio verslo plėtros įstatymas.</w:t>
      </w:r>
      <w:r w:rsidRPr="00F231FF">
        <w:rPr>
          <w:rFonts w:ascii="Times New Roman" w:hAnsi="Times New Roman" w:cs="Times New Roman"/>
          <w:sz w:val="23"/>
          <w:szCs w:val="23"/>
          <w:lang w:val="lt-LT"/>
        </w:rPr>
        <w:t xml:space="preserve"> URL: </w:t>
      </w:r>
      <w:hyperlink r:id="rId50" w:history="1">
        <w:r w:rsidRPr="00F231FF">
          <w:rPr>
            <w:rStyle w:val="Hyperlink"/>
            <w:rFonts w:ascii="Times New Roman" w:hAnsi="Times New Roman" w:cs="Times New Roman"/>
            <w:color w:val="auto"/>
            <w:sz w:val="23"/>
            <w:szCs w:val="23"/>
            <w:u w:val="none"/>
            <w:lang w:val="lt-LT"/>
          </w:rPr>
          <w:t>http://www3.lrs.lt/pls/inter3/dokpaieska.showdoc_l?p_id=454172</w:t>
        </w:r>
      </w:hyperlink>
      <w:r w:rsidRPr="00F231FF">
        <w:rPr>
          <w:rFonts w:ascii="Times New Roman" w:hAnsi="Times New Roman" w:cs="Times New Roman"/>
          <w:sz w:val="23"/>
          <w:szCs w:val="23"/>
          <w:lang w:val="lt-LT"/>
        </w:rPr>
        <w:t xml:space="preserve"> [Žiūrėta: 2013 10 11].</w:t>
      </w:r>
    </w:p>
    <w:p w:rsidR="00C53335" w:rsidRPr="00F231FF" w:rsidRDefault="00C53335" w:rsidP="00417443">
      <w:pPr>
        <w:pStyle w:val="ListParagraph"/>
        <w:numPr>
          <w:ilvl w:val="0"/>
          <w:numId w:val="18"/>
        </w:numPr>
        <w:spacing w:after="0"/>
        <w:rPr>
          <w:rFonts w:ascii="Times New Roman" w:hAnsi="Times New Roman" w:cs="Times New Roman"/>
          <w:sz w:val="23"/>
          <w:szCs w:val="23"/>
          <w:lang w:val="lt-LT"/>
        </w:rPr>
      </w:pPr>
      <w:r w:rsidRPr="00F231FF">
        <w:rPr>
          <w:rFonts w:ascii="Times New Roman" w:hAnsi="Times New Roman" w:cs="Times New Roman"/>
          <w:b/>
          <w:sz w:val="23"/>
          <w:szCs w:val="23"/>
          <w:lang w:val="lt-LT"/>
        </w:rPr>
        <w:t>Lietuvos Statistikos departamentas.</w:t>
      </w:r>
      <w:r w:rsidRPr="00F231FF">
        <w:rPr>
          <w:rFonts w:ascii="Times New Roman" w:hAnsi="Times New Roman" w:cs="Times New Roman"/>
          <w:sz w:val="23"/>
          <w:szCs w:val="23"/>
          <w:lang w:val="lt-LT"/>
        </w:rPr>
        <w:t xml:space="preserve"> Vartotojų kainų indekso pokyčių statistika. URL: </w:t>
      </w:r>
      <w:hyperlink r:id="rId51" w:history="1">
        <w:r w:rsidRPr="00F231FF">
          <w:rPr>
            <w:rStyle w:val="Hyperlink"/>
            <w:rFonts w:ascii="Times New Roman" w:hAnsi="Times New Roman" w:cs="Times New Roman"/>
            <w:color w:val="auto"/>
            <w:sz w:val="23"/>
            <w:szCs w:val="23"/>
            <w:u w:val="none"/>
            <w:lang w:val="lt-LT"/>
          </w:rPr>
          <w:t>http://www.stat.gov.lt/web/guest/statistiniu-rodikliu-analize?id=2242&amp;status=A</w:t>
        </w:r>
      </w:hyperlink>
      <w:r w:rsidRPr="00F231FF">
        <w:rPr>
          <w:rFonts w:ascii="Times New Roman" w:hAnsi="Times New Roman" w:cs="Times New Roman"/>
          <w:sz w:val="23"/>
          <w:szCs w:val="23"/>
          <w:lang w:val="lt-LT"/>
        </w:rPr>
        <w:t xml:space="preserve"> [Žiūrėta 2013.10.17].</w:t>
      </w:r>
    </w:p>
    <w:p w:rsidR="00C53335" w:rsidRPr="00F231FF" w:rsidRDefault="00C53335" w:rsidP="00417443">
      <w:pPr>
        <w:pStyle w:val="ListParagraph"/>
        <w:numPr>
          <w:ilvl w:val="0"/>
          <w:numId w:val="18"/>
        </w:numPr>
        <w:spacing w:after="0"/>
        <w:rPr>
          <w:rFonts w:ascii="Times New Roman" w:hAnsi="Times New Roman" w:cs="Times New Roman"/>
          <w:sz w:val="23"/>
          <w:szCs w:val="23"/>
          <w:lang w:val="lt-LT"/>
        </w:rPr>
      </w:pPr>
      <w:r w:rsidRPr="00F231FF">
        <w:rPr>
          <w:rFonts w:ascii="Times New Roman" w:hAnsi="Times New Roman" w:cs="Times New Roman"/>
          <w:b/>
          <w:sz w:val="23"/>
          <w:szCs w:val="23"/>
          <w:lang w:val="lt-LT"/>
        </w:rPr>
        <w:t>Lietuvos Statistikos departamentas.</w:t>
      </w:r>
      <w:r w:rsidRPr="00F231FF">
        <w:rPr>
          <w:rFonts w:ascii="Times New Roman" w:hAnsi="Times New Roman" w:cs="Times New Roman"/>
          <w:sz w:val="23"/>
          <w:szCs w:val="23"/>
          <w:lang w:val="lt-LT"/>
        </w:rPr>
        <w:t xml:space="preserve"> Verslo rodiklių statistika. URL: </w:t>
      </w:r>
      <w:hyperlink r:id="rId52" w:history="1">
        <w:r w:rsidRPr="00F231FF">
          <w:rPr>
            <w:rStyle w:val="Hyperlink"/>
            <w:rFonts w:ascii="Times New Roman" w:hAnsi="Times New Roman" w:cs="Times New Roman"/>
            <w:color w:val="auto"/>
            <w:sz w:val="23"/>
            <w:szCs w:val="23"/>
            <w:u w:val="none"/>
            <w:lang w:val="lt-LT"/>
          </w:rPr>
          <w:t>http://www.osp.stat.gov.lt/web/guest/rodikliai42</w:t>
        </w:r>
      </w:hyperlink>
      <w:r w:rsidRPr="00F231FF">
        <w:rPr>
          <w:rFonts w:ascii="Times New Roman" w:hAnsi="Times New Roman" w:cs="Times New Roman"/>
          <w:sz w:val="23"/>
          <w:szCs w:val="23"/>
          <w:lang w:val="lt-LT"/>
        </w:rPr>
        <w:t xml:space="preserve"> [Žiūrėta 2013.11.05].</w:t>
      </w:r>
    </w:p>
    <w:p w:rsidR="00C53335" w:rsidRPr="00F231FF" w:rsidRDefault="00C53335" w:rsidP="00417443">
      <w:pPr>
        <w:pStyle w:val="ListParagraph"/>
        <w:numPr>
          <w:ilvl w:val="0"/>
          <w:numId w:val="18"/>
        </w:numPr>
        <w:spacing w:after="0"/>
        <w:jc w:val="both"/>
        <w:rPr>
          <w:rFonts w:ascii="Times New Roman" w:hAnsi="Times New Roman" w:cs="Times New Roman"/>
          <w:sz w:val="23"/>
          <w:szCs w:val="23"/>
          <w:lang w:val="lt-LT"/>
        </w:rPr>
      </w:pPr>
      <w:r w:rsidRPr="00F231FF">
        <w:rPr>
          <w:rFonts w:ascii="Times New Roman" w:hAnsi="Times New Roman" w:cs="Times New Roman"/>
          <w:b/>
          <w:sz w:val="23"/>
          <w:szCs w:val="23"/>
          <w:lang w:val="lt-LT"/>
        </w:rPr>
        <w:t>Longman Business English dictionary: New edition</w:t>
      </w:r>
      <w:r w:rsidRPr="00F231FF">
        <w:rPr>
          <w:rFonts w:ascii="Times New Roman" w:hAnsi="Times New Roman" w:cs="Times New Roman"/>
          <w:sz w:val="23"/>
          <w:szCs w:val="23"/>
          <w:lang w:val="lt-LT"/>
        </w:rPr>
        <w:t xml:space="preserve"> – Italy: Arti Grafiche, 2007 – 594 p. – ISBN 978-1-4058-51381.</w:t>
      </w:r>
    </w:p>
    <w:p w:rsidR="00C53335" w:rsidRPr="00F231FF" w:rsidRDefault="00C53335" w:rsidP="00417443">
      <w:pPr>
        <w:pStyle w:val="ListParagraph"/>
        <w:numPr>
          <w:ilvl w:val="0"/>
          <w:numId w:val="18"/>
        </w:numPr>
        <w:spacing w:after="0"/>
        <w:jc w:val="both"/>
        <w:rPr>
          <w:rFonts w:ascii="Times New Roman" w:hAnsi="Times New Roman" w:cs="Times New Roman"/>
          <w:sz w:val="23"/>
          <w:szCs w:val="23"/>
          <w:lang w:val="lt-LT"/>
        </w:rPr>
      </w:pPr>
      <w:r w:rsidRPr="00F231FF">
        <w:rPr>
          <w:rFonts w:ascii="Times New Roman" w:hAnsi="Times New Roman" w:cs="Times New Roman"/>
          <w:b/>
          <w:sz w:val="23"/>
          <w:szCs w:val="23"/>
          <w:lang w:val="lt-LT"/>
        </w:rPr>
        <w:t>Mackevičius J., Rakštelienė A.</w:t>
      </w:r>
      <w:r w:rsidRPr="00F231FF">
        <w:rPr>
          <w:rFonts w:ascii="Times New Roman" w:hAnsi="Times New Roman" w:cs="Times New Roman"/>
          <w:sz w:val="23"/>
          <w:szCs w:val="23"/>
          <w:lang w:val="lt-LT"/>
        </w:rPr>
        <w:t xml:space="preserve"> Altman modelių taikymas Lietuvos įmonių bankrotui // Pinigų studijos: Ekonomikos teorija ir praktika, 2005/1 – 24-42 p.</w:t>
      </w:r>
    </w:p>
    <w:p w:rsidR="00C53335" w:rsidRPr="00F231FF" w:rsidRDefault="00C53335" w:rsidP="00417443">
      <w:pPr>
        <w:pStyle w:val="ListParagraph"/>
        <w:numPr>
          <w:ilvl w:val="0"/>
          <w:numId w:val="18"/>
        </w:numPr>
        <w:spacing w:after="0"/>
        <w:jc w:val="both"/>
        <w:rPr>
          <w:rFonts w:ascii="Times New Roman" w:hAnsi="Times New Roman" w:cs="Times New Roman"/>
          <w:sz w:val="23"/>
          <w:szCs w:val="23"/>
          <w:lang w:val="lt-LT"/>
        </w:rPr>
      </w:pPr>
      <w:r w:rsidRPr="00F231FF">
        <w:rPr>
          <w:rFonts w:ascii="Times New Roman" w:hAnsi="Times New Roman" w:cs="Times New Roman"/>
          <w:b/>
          <w:sz w:val="23"/>
          <w:szCs w:val="23"/>
          <w:lang w:val="lt-LT"/>
        </w:rPr>
        <w:t>Mackevičius J., Silvanavičiūtė S.</w:t>
      </w:r>
      <w:r w:rsidRPr="00F231FF">
        <w:rPr>
          <w:rFonts w:ascii="Times New Roman" w:hAnsi="Times New Roman" w:cs="Times New Roman"/>
          <w:sz w:val="23"/>
          <w:szCs w:val="23"/>
          <w:lang w:val="lt-LT"/>
        </w:rPr>
        <w:t xml:space="preserve"> Įmonių bakroto progozavimo modelių tinkamumo nustatymas // Verslas: teorija ir praktika, 2006, Nr. 4 (55) – 193-202 p. </w:t>
      </w:r>
    </w:p>
    <w:p w:rsidR="00C53335" w:rsidRPr="00F231FF" w:rsidRDefault="00C53335" w:rsidP="00417443">
      <w:pPr>
        <w:pStyle w:val="ListParagraph"/>
        <w:numPr>
          <w:ilvl w:val="0"/>
          <w:numId w:val="18"/>
        </w:numPr>
        <w:spacing w:after="0"/>
        <w:jc w:val="both"/>
        <w:rPr>
          <w:rFonts w:ascii="Times New Roman" w:hAnsi="Times New Roman" w:cs="Times New Roman"/>
          <w:sz w:val="23"/>
          <w:szCs w:val="23"/>
          <w:lang w:val="lt-LT"/>
        </w:rPr>
      </w:pPr>
      <w:r w:rsidRPr="00F231FF">
        <w:rPr>
          <w:rFonts w:ascii="Times New Roman" w:hAnsi="Times New Roman" w:cs="Times New Roman"/>
          <w:b/>
          <w:sz w:val="23"/>
          <w:szCs w:val="23"/>
          <w:lang w:val="lt-LT"/>
        </w:rPr>
        <w:t>Mackevičius J.</w:t>
      </w:r>
      <w:r w:rsidRPr="00F231FF">
        <w:rPr>
          <w:rFonts w:ascii="Times New Roman" w:hAnsi="Times New Roman" w:cs="Times New Roman"/>
          <w:sz w:val="23"/>
          <w:szCs w:val="23"/>
          <w:lang w:val="lt-LT"/>
        </w:rPr>
        <w:t xml:space="preserve"> Integruota įmonių bankrotų prognozavimo metodika // Verslo ir teisės aktualijos, 2010, t. 5 – 123-158 p. </w:t>
      </w:r>
    </w:p>
    <w:p w:rsidR="00C53335" w:rsidRPr="00F231FF" w:rsidRDefault="00C53335" w:rsidP="00417443">
      <w:pPr>
        <w:pStyle w:val="ListParagraph"/>
        <w:numPr>
          <w:ilvl w:val="0"/>
          <w:numId w:val="18"/>
        </w:numPr>
        <w:spacing w:after="0"/>
        <w:jc w:val="both"/>
        <w:rPr>
          <w:rFonts w:ascii="Times New Roman" w:hAnsi="Times New Roman" w:cs="Times New Roman"/>
          <w:sz w:val="23"/>
          <w:szCs w:val="23"/>
          <w:lang w:val="lt-LT"/>
        </w:rPr>
      </w:pPr>
      <w:r w:rsidRPr="00F231FF">
        <w:rPr>
          <w:rFonts w:ascii="Times New Roman" w:eastAsia="TimesNewRomanPSMT" w:hAnsi="Times New Roman" w:cs="Times New Roman"/>
          <w:b/>
          <w:sz w:val="23"/>
          <w:szCs w:val="23"/>
          <w:lang w:val="lt-LT"/>
        </w:rPr>
        <w:t>Ooghe H., De Prijcker S.</w:t>
      </w:r>
      <w:r w:rsidRPr="00F231FF">
        <w:rPr>
          <w:rFonts w:ascii="Times New Roman" w:eastAsia="TimesNewRomanPSMT" w:hAnsi="Times New Roman" w:cs="Times New Roman"/>
          <w:sz w:val="23"/>
          <w:szCs w:val="23"/>
          <w:lang w:val="lt-LT"/>
        </w:rPr>
        <w:t xml:space="preserve"> Failure Processes and Causes of Company Bankruptcy: A Typology // </w:t>
      </w:r>
      <w:r w:rsidRPr="00F231FF">
        <w:rPr>
          <w:rFonts w:ascii="Times New Roman" w:hAnsi="Times New Roman" w:cs="Times New Roman"/>
          <w:sz w:val="23"/>
          <w:szCs w:val="23"/>
          <w:lang w:val="lt-LT"/>
        </w:rPr>
        <w:t>Working Paper of Faculty of Economics and Business Administration, Ghent University, Belgium, 2006, 06/388.</w:t>
      </w:r>
    </w:p>
    <w:p w:rsidR="00C53335" w:rsidRPr="00F231FF" w:rsidRDefault="00385EDC" w:rsidP="00417443">
      <w:pPr>
        <w:pStyle w:val="ListParagraph"/>
        <w:numPr>
          <w:ilvl w:val="0"/>
          <w:numId w:val="18"/>
        </w:numPr>
        <w:autoSpaceDE w:val="0"/>
        <w:autoSpaceDN w:val="0"/>
        <w:adjustRightInd w:val="0"/>
        <w:spacing w:after="0"/>
        <w:jc w:val="both"/>
        <w:rPr>
          <w:rFonts w:ascii="Times New Roman" w:eastAsia="TimesNewRomanPS-ItalicMT" w:hAnsi="Times New Roman" w:cs="Times New Roman"/>
          <w:iCs/>
          <w:sz w:val="23"/>
          <w:szCs w:val="23"/>
          <w:lang w:val="lt-LT"/>
        </w:rPr>
      </w:pPr>
      <w:r w:rsidRPr="00F231FF">
        <w:rPr>
          <w:rFonts w:ascii="Times New Roman" w:hAnsi="Times New Roman" w:cs="Times New Roman"/>
          <w:b/>
          <w:sz w:val="23"/>
          <w:szCs w:val="23"/>
          <w:lang w:val="lt-LT"/>
        </w:rPr>
        <w:t>Peng Wong W., Ahmad H., Nasurdin A. M.</w:t>
      </w:r>
      <w:r w:rsidR="00C53335" w:rsidRPr="00F231FF">
        <w:rPr>
          <w:rFonts w:ascii="Times New Roman" w:hAnsi="Times New Roman" w:cs="Times New Roman"/>
          <w:sz w:val="23"/>
          <w:szCs w:val="23"/>
          <w:lang w:val="lt-LT"/>
        </w:rPr>
        <w:t xml:space="preserve"> </w:t>
      </w:r>
      <w:r w:rsidR="00C53335" w:rsidRPr="00F231FF">
        <w:rPr>
          <w:rFonts w:ascii="Times New Roman" w:eastAsia="TimesNewRomanPS-ItalicMT" w:hAnsi="Times New Roman" w:cs="Times New Roman"/>
          <w:iCs/>
          <w:sz w:val="23"/>
          <w:szCs w:val="23"/>
          <w:lang w:val="lt-LT"/>
        </w:rPr>
        <w:t xml:space="preserve">The impact of external environmental on business process management and organizational performance // Springer-Verlag Berlin Heidelberg, 2013.  </w:t>
      </w:r>
    </w:p>
    <w:p w:rsidR="00C53335" w:rsidRPr="00F231FF" w:rsidRDefault="00C53335" w:rsidP="00417443">
      <w:pPr>
        <w:pStyle w:val="ListParagraph"/>
        <w:numPr>
          <w:ilvl w:val="0"/>
          <w:numId w:val="18"/>
        </w:numPr>
        <w:autoSpaceDE w:val="0"/>
        <w:autoSpaceDN w:val="0"/>
        <w:adjustRightInd w:val="0"/>
        <w:spacing w:after="0"/>
        <w:jc w:val="both"/>
        <w:rPr>
          <w:rFonts w:ascii="Times New Roman" w:eastAsia="TimesNewRomanPSMT" w:hAnsi="Times New Roman" w:cs="Times New Roman"/>
          <w:sz w:val="23"/>
          <w:szCs w:val="23"/>
          <w:lang w:val="lt-LT"/>
        </w:rPr>
      </w:pPr>
      <w:r w:rsidRPr="00F231FF">
        <w:rPr>
          <w:rFonts w:ascii="Times New Roman" w:eastAsia="TimesNewRomanPSMT" w:hAnsi="Times New Roman" w:cs="Times New Roman"/>
          <w:b/>
          <w:sz w:val="23"/>
          <w:szCs w:val="23"/>
          <w:lang w:val="lt-LT"/>
        </w:rPr>
        <w:t>Philosophov</w:t>
      </w:r>
      <w:r w:rsidR="00F231FF" w:rsidRPr="00F231FF">
        <w:rPr>
          <w:rFonts w:ascii="Times New Roman" w:eastAsia="TimesNewRomanPSMT" w:hAnsi="Times New Roman" w:cs="Times New Roman"/>
          <w:b/>
          <w:sz w:val="23"/>
          <w:szCs w:val="23"/>
          <w:lang w:val="lt-LT"/>
        </w:rPr>
        <w:t xml:space="preserve"> L. V., Batten J. A.</w:t>
      </w:r>
      <w:r w:rsidRPr="00F231FF">
        <w:rPr>
          <w:rFonts w:ascii="Times New Roman" w:eastAsia="TimesNewRomanPSMT" w:hAnsi="Times New Roman" w:cs="Times New Roman"/>
          <w:b/>
          <w:sz w:val="23"/>
          <w:szCs w:val="23"/>
          <w:lang w:val="lt-LT"/>
        </w:rPr>
        <w:t xml:space="preserve"> </w:t>
      </w:r>
      <w:r w:rsidRPr="00F231FF">
        <w:rPr>
          <w:rFonts w:ascii="Times New Roman" w:eastAsia="TimesNewRomanPSMT" w:hAnsi="Times New Roman" w:cs="Times New Roman"/>
          <w:sz w:val="23"/>
          <w:szCs w:val="23"/>
          <w:lang w:val="lt-LT"/>
        </w:rPr>
        <w:t>Predicting the event and time horizon of bankruptcy using financial ratios and the maturity schedule of long-term debt // Springer-Verlag, 2008 - DOI 10.1007/s11579-007-0008-9.</w:t>
      </w:r>
    </w:p>
    <w:p w:rsidR="008F08C9" w:rsidRPr="00F231FF" w:rsidRDefault="00C53335" w:rsidP="00417443">
      <w:pPr>
        <w:pStyle w:val="Default"/>
        <w:numPr>
          <w:ilvl w:val="0"/>
          <w:numId w:val="18"/>
        </w:numPr>
        <w:spacing w:line="276" w:lineRule="auto"/>
        <w:contextualSpacing/>
        <w:jc w:val="both"/>
        <w:rPr>
          <w:color w:val="auto"/>
          <w:sz w:val="23"/>
          <w:szCs w:val="23"/>
        </w:rPr>
      </w:pPr>
      <w:r w:rsidRPr="00F231FF">
        <w:rPr>
          <w:b/>
          <w:sz w:val="23"/>
          <w:szCs w:val="23"/>
          <w:lang w:val="lt-LT"/>
        </w:rPr>
        <w:t>Purlys Č.</w:t>
      </w:r>
      <w:r w:rsidRPr="00F231FF">
        <w:rPr>
          <w:sz w:val="23"/>
          <w:szCs w:val="23"/>
          <w:lang w:val="lt-LT"/>
        </w:rPr>
        <w:t xml:space="preserve"> Įmonių bankroto prevencijos sistemos kūrimas Lietuvoje //</w:t>
      </w:r>
      <w:r w:rsidRPr="00F231FF">
        <w:rPr>
          <w:iCs/>
          <w:sz w:val="23"/>
          <w:szCs w:val="23"/>
          <w:lang w:val="lt-LT"/>
        </w:rPr>
        <w:t xml:space="preserve"> Ekonomika</w:t>
      </w:r>
      <w:r w:rsidRPr="00F231FF">
        <w:rPr>
          <w:sz w:val="23"/>
          <w:szCs w:val="23"/>
          <w:lang w:val="lt-LT"/>
        </w:rPr>
        <w:t xml:space="preserve">, 2001, Nr. </w:t>
      </w:r>
      <w:r w:rsidRPr="00F231FF">
        <w:rPr>
          <w:color w:val="auto"/>
          <w:sz w:val="23"/>
          <w:szCs w:val="23"/>
        </w:rPr>
        <w:t xml:space="preserve">53, 75–86 p. </w:t>
      </w:r>
    </w:p>
    <w:p w:rsidR="008F08C9" w:rsidRPr="00F231FF" w:rsidRDefault="00F231FF" w:rsidP="00417443">
      <w:pPr>
        <w:pStyle w:val="Default"/>
        <w:numPr>
          <w:ilvl w:val="0"/>
          <w:numId w:val="18"/>
        </w:numPr>
        <w:spacing w:line="276" w:lineRule="auto"/>
        <w:contextualSpacing/>
        <w:jc w:val="both"/>
        <w:rPr>
          <w:color w:val="auto"/>
          <w:sz w:val="23"/>
          <w:szCs w:val="23"/>
        </w:rPr>
      </w:pPr>
      <w:r w:rsidRPr="00F231FF">
        <w:rPr>
          <w:b/>
          <w:color w:val="auto"/>
          <w:sz w:val="23"/>
          <w:szCs w:val="23"/>
        </w:rPr>
        <w:t>Purvinis O., P. Šukys, R. Virbickaitė</w:t>
      </w:r>
      <w:r w:rsidR="008F08C9" w:rsidRPr="00F231FF">
        <w:rPr>
          <w:b/>
          <w:color w:val="auto"/>
          <w:sz w:val="23"/>
          <w:szCs w:val="23"/>
        </w:rPr>
        <w:t xml:space="preserve">. </w:t>
      </w:r>
      <w:r w:rsidR="008F08C9" w:rsidRPr="00F231FF">
        <w:rPr>
          <w:color w:val="auto"/>
          <w:sz w:val="23"/>
          <w:szCs w:val="23"/>
        </w:rPr>
        <w:t xml:space="preserve">Bankroto diagnostikos galimybės tyrimas taikant neuronų tinklus // Inţinerinė ekonomika, 2005, Nr. 1 (41), 16–22 p. </w:t>
      </w:r>
    </w:p>
    <w:p w:rsidR="00C53335" w:rsidRPr="00F231FF" w:rsidRDefault="00F231FF" w:rsidP="00417443">
      <w:pPr>
        <w:pStyle w:val="Default"/>
        <w:numPr>
          <w:ilvl w:val="0"/>
          <w:numId w:val="18"/>
        </w:numPr>
        <w:spacing w:line="276" w:lineRule="auto"/>
        <w:contextualSpacing/>
        <w:jc w:val="both"/>
        <w:rPr>
          <w:color w:val="auto"/>
          <w:sz w:val="23"/>
          <w:szCs w:val="23"/>
          <w:lang w:val="lt-LT"/>
        </w:rPr>
      </w:pPr>
      <w:r w:rsidRPr="00F231FF">
        <w:rPr>
          <w:b/>
          <w:color w:val="auto"/>
          <w:sz w:val="23"/>
          <w:szCs w:val="23"/>
        </w:rPr>
        <w:t xml:space="preserve">Ruczinski I. </w:t>
      </w:r>
      <w:r w:rsidR="00C53335" w:rsidRPr="00F231FF">
        <w:rPr>
          <w:color w:val="auto"/>
          <w:sz w:val="23"/>
          <w:szCs w:val="23"/>
        </w:rPr>
        <w:t xml:space="preserve">Logic Regression // Journal of Computational and Graphical Statistics, 2003, Nr. 12 (3) – 475-511 p. </w:t>
      </w:r>
    </w:p>
    <w:p w:rsidR="00C53335" w:rsidRPr="00F231FF" w:rsidRDefault="00F231FF" w:rsidP="00417443">
      <w:pPr>
        <w:pStyle w:val="ListParagraph"/>
        <w:numPr>
          <w:ilvl w:val="0"/>
          <w:numId w:val="18"/>
        </w:numPr>
        <w:spacing w:after="0"/>
        <w:jc w:val="both"/>
        <w:rPr>
          <w:rFonts w:ascii="Times New Roman" w:hAnsi="Times New Roman" w:cs="Times New Roman"/>
          <w:sz w:val="23"/>
          <w:szCs w:val="23"/>
          <w:lang w:val="lt-LT"/>
        </w:rPr>
      </w:pPr>
      <w:r w:rsidRPr="00F231FF">
        <w:rPr>
          <w:rFonts w:ascii="Times New Roman" w:hAnsi="Times New Roman" w:cs="Times New Roman"/>
          <w:b/>
          <w:sz w:val="23"/>
          <w:szCs w:val="23"/>
          <w:lang w:val="lt-LT"/>
        </w:rPr>
        <w:t>Rugenytė D., Menciūnienė V., Dagilienė L.</w:t>
      </w:r>
      <w:r w:rsidR="00C53335" w:rsidRPr="00F231FF">
        <w:rPr>
          <w:rFonts w:ascii="Times New Roman" w:hAnsi="Times New Roman" w:cs="Times New Roman"/>
          <w:sz w:val="23"/>
          <w:szCs w:val="23"/>
          <w:lang w:val="lt-LT"/>
        </w:rPr>
        <w:t xml:space="preserve"> Bankroto prognozavimo svarba ir metodai // Verslas: Teorija ir praktika, 2010, 11(2) – 143-150 p.</w:t>
      </w:r>
    </w:p>
    <w:p w:rsidR="00C53335" w:rsidRPr="00F231FF" w:rsidRDefault="00C53335" w:rsidP="00417443">
      <w:pPr>
        <w:pStyle w:val="ListParagraph"/>
        <w:numPr>
          <w:ilvl w:val="0"/>
          <w:numId w:val="18"/>
        </w:numPr>
        <w:autoSpaceDE w:val="0"/>
        <w:autoSpaceDN w:val="0"/>
        <w:adjustRightInd w:val="0"/>
        <w:spacing w:after="0"/>
        <w:jc w:val="both"/>
        <w:rPr>
          <w:rFonts w:ascii="Times New Roman" w:hAnsi="Times New Roman" w:cs="Times New Roman"/>
          <w:sz w:val="23"/>
          <w:szCs w:val="23"/>
          <w:lang w:val="lt-LT"/>
        </w:rPr>
      </w:pPr>
      <w:r w:rsidRPr="00F231FF">
        <w:rPr>
          <w:rFonts w:ascii="Times New Roman" w:hAnsi="Times New Roman" w:cs="Times New Roman"/>
          <w:b/>
          <w:sz w:val="23"/>
          <w:szCs w:val="23"/>
          <w:lang w:val="lt-LT"/>
        </w:rPr>
        <w:t>Sakalas A., Virbickaitė R.</w:t>
      </w:r>
      <w:r w:rsidRPr="00F231FF">
        <w:rPr>
          <w:rFonts w:ascii="Times New Roman" w:hAnsi="Times New Roman" w:cs="Times New Roman"/>
          <w:sz w:val="23"/>
          <w:szCs w:val="23"/>
          <w:lang w:val="lt-LT"/>
        </w:rPr>
        <w:t xml:space="preserve"> Bankroto teorija ir praktika // Inžinerinė ekonomika, 2003, Nr. 2 (33), 106-111 p.</w:t>
      </w:r>
    </w:p>
    <w:p w:rsidR="00C53335" w:rsidRPr="00F231FF" w:rsidRDefault="00C53335" w:rsidP="00417443">
      <w:pPr>
        <w:pStyle w:val="ListParagraph"/>
        <w:numPr>
          <w:ilvl w:val="0"/>
          <w:numId w:val="18"/>
        </w:numPr>
        <w:autoSpaceDE w:val="0"/>
        <w:autoSpaceDN w:val="0"/>
        <w:adjustRightInd w:val="0"/>
        <w:spacing w:after="0"/>
        <w:jc w:val="both"/>
        <w:rPr>
          <w:rFonts w:ascii="Times New Roman" w:hAnsi="Times New Roman" w:cs="Times New Roman"/>
          <w:sz w:val="23"/>
          <w:szCs w:val="23"/>
          <w:lang w:val="lt-LT"/>
        </w:rPr>
      </w:pPr>
      <w:r w:rsidRPr="00F231FF">
        <w:rPr>
          <w:rFonts w:ascii="Times New Roman" w:hAnsi="Times New Roman" w:cs="Times New Roman"/>
          <w:b/>
          <w:sz w:val="23"/>
          <w:szCs w:val="23"/>
          <w:lang w:val="lt-LT"/>
        </w:rPr>
        <w:t>Sakalas A., Savanevičienė A.</w:t>
      </w:r>
      <w:r w:rsidRPr="00F231FF">
        <w:rPr>
          <w:rFonts w:ascii="Times New Roman" w:hAnsi="Times New Roman" w:cs="Times New Roman"/>
          <w:sz w:val="23"/>
          <w:szCs w:val="23"/>
          <w:lang w:val="lt-LT"/>
        </w:rPr>
        <w:t xml:space="preserve">  Įmonės krizių vadyba // Kaunas: Technologija, 2003, 199 p. </w:t>
      </w:r>
    </w:p>
    <w:p w:rsidR="00C53335" w:rsidRPr="00F231FF" w:rsidRDefault="00C53335" w:rsidP="00417443">
      <w:pPr>
        <w:pStyle w:val="ListParagraph"/>
        <w:numPr>
          <w:ilvl w:val="0"/>
          <w:numId w:val="18"/>
        </w:numPr>
        <w:autoSpaceDE w:val="0"/>
        <w:autoSpaceDN w:val="0"/>
        <w:adjustRightInd w:val="0"/>
        <w:spacing w:after="0"/>
        <w:jc w:val="both"/>
        <w:rPr>
          <w:rFonts w:ascii="Times New Roman" w:eastAsia="TimesNewRomanPSMT" w:hAnsi="Times New Roman" w:cs="Times New Roman"/>
          <w:sz w:val="23"/>
          <w:szCs w:val="23"/>
          <w:lang w:val="lt-LT"/>
        </w:rPr>
      </w:pPr>
      <w:r w:rsidRPr="00F231FF">
        <w:rPr>
          <w:rFonts w:ascii="Times New Roman" w:eastAsia="TimesNewRomanPSMT" w:hAnsi="Times New Roman" w:cs="Times New Roman"/>
          <w:b/>
          <w:sz w:val="23"/>
          <w:szCs w:val="23"/>
          <w:lang w:val="lt-LT"/>
        </w:rPr>
        <w:t xml:space="preserve">Salmi T. ir kt. </w:t>
      </w:r>
      <w:r w:rsidRPr="00F231FF">
        <w:rPr>
          <w:rFonts w:ascii="Times New Roman" w:eastAsia="TimesNewRomanPSMT" w:hAnsi="Times New Roman" w:cs="Times New Roman"/>
          <w:sz w:val="23"/>
          <w:szCs w:val="23"/>
          <w:lang w:val="lt-LT"/>
        </w:rPr>
        <w:t>Financial Ratios as Predictors of Firms' Industry Branch // The Finnish Journai of Business Economics, Finland, Vammala, 1988.</w:t>
      </w:r>
    </w:p>
    <w:p w:rsidR="00C53335" w:rsidRPr="00F231FF" w:rsidRDefault="00C53335" w:rsidP="00417443">
      <w:pPr>
        <w:pStyle w:val="ListParagraph"/>
        <w:numPr>
          <w:ilvl w:val="0"/>
          <w:numId w:val="18"/>
        </w:numPr>
        <w:autoSpaceDE w:val="0"/>
        <w:autoSpaceDN w:val="0"/>
        <w:adjustRightInd w:val="0"/>
        <w:spacing w:after="0"/>
        <w:jc w:val="both"/>
        <w:rPr>
          <w:rFonts w:ascii="Times New Roman" w:eastAsia="TimesNewRomanPSMT" w:hAnsi="Times New Roman" w:cs="Times New Roman"/>
          <w:sz w:val="23"/>
          <w:szCs w:val="23"/>
          <w:lang w:val="lt-LT"/>
        </w:rPr>
      </w:pPr>
      <w:r w:rsidRPr="00F231FF">
        <w:rPr>
          <w:rFonts w:ascii="Times New Roman" w:eastAsia="TimesNewRomanPSMT" w:hAnsi="Times New Roman" w:cs="Times New Roman"/>
          <w:b/>
          <w:sz w:val="23"/>
          <w:szCs w:val="23"/>
          <w:lang w:val="lt-LT"/>
        </w:rPr>
        <w:t xml:space="preserve">Shatteman D. ir kt. </w:t>
      </w:r>
      <w:r w:rsidRPr="00F231FF">
        <w:rPr>
          <w:rFonts w:ascii="Times New Roman" w:eastAsia="TimesNewRomanPSMT" w:hAnsi="Times New Roman" w:cs="Times New Roman"/>
          <w:sz w:val="23"/>
          <w:szCs w:val="23"/>
          <w:lang w:val="lt-LT"/>
        </w:rPr>
        <w:t>A methodology for integrated risk management and proactive scheduling of construction projects // Belgian Building Research Institute, Department of Decision Sciences and Information Management. Leuven, 2006.</w:t>
      </w:r>
    </w:p>
    <w:p w:rsidR="00C53335" w:rsidRPr="00F231FF" w:rsidRDefault="00C53335" w:rsidP="00417443">
      <w:pPr>
        <w:pStyle w:val="ListParagraph"/>
        <w:numPr>
          <w:ilvl w:val="0"/>
          <w:numId w:val="18"/>
        </w:numPr>
        <w:spacing w:after="0"/>
        <w:jc w:val="both"/>
        <w:rPr>
          <w:rFonts w:ascii="Times New Roman" w:eastAsia="Calibri" w:hAnsi="Times New Roman" w:cs="Times New Roman"/>
          <w:sz w:val="23"/>
          <w:szCs w:val="23"/>
          <w:lang w:val="lt-LT"/>
        </w:rPr>
      </w:pPr>
      <w:r w:rsidRPr="00F231FF">
        <w:rPr>
          <w:rFonts w:ascii="Times New Roman" w:eastAsia="TimesNewRomanPSMT" w:hAnsi="Times New Roman" w:cs="Times New Roman"/>
          <w:b/>
          <w:sz w:val="23"/>
          <w:szCs w:val="23"/>
          <w:lang w:val="lt-LT"/>
        </w:rPr>
        <w:lastRenderedPageBreak/>
        <w:t>Shkurti R. &amp; Duraj B.</w:t>
      </w:r>
      <w:r w:rsidRPr="00F231FF">
        <w:rPr>
          <w:rFonts w:ascii="Times New Roman" w:eastAsia="TimesNewRomanPSMT" w:hAnsi="Times New Roman" w:cs="Times New Roman"/>
          <w:sz w:val="23"/>
          <w:szCs w:val="23"/>
          <w:lang w:val="lt-LT"/>
        </w:rPr>
        <w:t xml:space="preserve"> </w:t>
      </w:r>
      <w:r w:rsidRPr="00F231FF">
        <w:rPr>
          <w:rFonts w:ascii="Times New Roman" w:eastAsia="Calibri" w:hAnsi="Times New Roman" w:cs="Times New Roman"/>
          <w:bCs/>
          <w:sz w:val="23"/>
          <w:szCs w:val="23"/>
          <w:lang w:val="lt-LT"/>
        </w:rPr>
        <w:t xml:space="preserve">Using multiple discriminant analysis in the bankruptcy prediction in Albania – a study with the state-owned enterprises // </w:t>
      </w:r>
      <w:r w:rsidRPr="00F231FF">
        <w:rPr>
          <w:rFonts w:ascii="Times New Roman" w:eastAsia="Calibri" w:hAnsi="Times New Roman" w:cs="Times New Roman"/>
          <w:sz w:val="23"/>
          <w:szCs w:val="23"/>
          <w:lang w:val="lt-LT"/>
        </w:rPr>
        <w:t>Journal of academic research in economics, 2010, 2 (1), 36-64 p.</w:t>
      </w:r>
    </w:p>
    <w:p w:rsidR="00C53335" w:rsidRPr="00F231FF" w:rsidRDefault="00C53335" w:rsidP="00417443">
      <w:pPr>
        <w:pStyle w:val="ListParagraph"/>
        <w:numPr>
          <w:ilvl w:val="0"/>
          <w:numId w:val="18"/>
        </w:numPr>
        <w:spacing w:after="0"/>
        <w:jc w:val="both"/>
        <w:rPr>
          <w:rFonts w:ascii="Times New Roman" w:hAnsi="Times New Roman" w:cs="Times New Roman"/>
          <w:sz w:val="23"/>
          <w:szCs w:val="23"/>
          <w:lang w:val="lt-LT"/>
        </w:rPr>
      </w:pPr>
      <w:r w:rsidRPr="00F231FF">
        <w:rPr>
          <w:rFonts w:ascii="Times New Roman" w:hAnsi="Times New Roman" w:cs="Times New Roman"/>
          <w:b/>
          <w:sz w:val="23"/>
          <w:szCs w:val="23"/>
          <w:lang w:val="lt-LT"/>
        </w:rPr>
        <w:t>Stuart R. W., Abetti P. A.</w:t>
      </w:r>
      <w:r w:rsidRPr="00F231FF">
        <w:rPr>
          <w:rFonts w:ascii="Times New Roman" w:hAnsi="Times New Roman" w:cs="Times New Roman"/>
          <w:sz w:val="23"/>
          <w:szCs w:val="23"/>
          <w:lang w:val="lt-LT"/>
        </w:rPr>
        <w:t xml:space="preserve"> Impact of entrepreneurial and management experience on early performance // Journal of Business Venturing, 1990, t. 5, Nr. 3 – 151-162 p.</w:t>
      </w:r>
    </w:p>
    <w:p w:rsidR="00C53335" w:rsidRPr="00F231FF" w:rsidRDefault="00C53335" w:rsidP="00417443">
      <w:pPr>
        <w:pStyle w:val="ListParagraph"/>
        <w:numPr>
          <w:ilvl w:val="0"/>
          <w:numId w:val="18"/>
        </w:numPr>
        <w:spacing w:after="0"/>
        <w:jc w:val="both"/>
        <w:rPr>
          <w:rFonts w:ascii="Times New Roman" w:hAnsi="Times New Roman" w:cs="Times New Roman"/>
          <w:sz w:val="23"/>
          <w:szCs w:val="23"/>
          <w:lang w:val="lt-LT"/>
        </w:rPr>
      </w:pPr>
      <w:r w:rsidRPr="00F231FF">
        <w:rPr>
          <w:rFonts w:ascii="Times New Roman" w:hAnsi="Times New Roman" w:cs="Times New Roman"/>
          <w:b/>
          <w:sz w:val="23"/>
          <w:szCs w:val="23"/>
          <w:lang w:val="lt-LT"/>
        </w:rPr>
        <w:t>Stundžienė A., Boguslauskas V.</w:t>
      </w:r>
      <w:r w:rsidRPr="00F231FF">
        <w:rPr>
          <w:rFonts w:ascii="Times New Roman" w:hAnsi="Times New Roman" w:cs="Times New Roman"/>
          <w:sz w:val="23"/>
          <w:szCs w:val="23"/>
          <w:lang w:val="lt-LT"/>
        </w:rPr>
        <w:t xml:space="preserve"> Valuation of Bankruptcy Risk for Lithuanian Companies // </w:t>
      </w:r>
      <w:r w:rsidRPr="00F231FF">
        <w:rPr>
          <w:rFonts w:ascii="Times New Roman" w:hAnsi="Times New Roman" w:cs="Times New Roman"/>
          <w:iCs/>
          <w:sz w:val="23"/>
          <w:szCs w:val="23"/>
          <w:lang w:val="lt-LT"/>
        </w:rPr>
        <w:t>Engineering Economics</w:t>
      </w:r>
      <w:r w:rsidRPr="00F231FF">
        <w:rPr>
          <w:rFonts w:ascii="Times New Roman" w:hAnsi="Times New Roman" w:cs="Times New Roman"/>
          <w:sz w:val="23"/>
          <w:szCs w:val="23"/>
          <w:lang w:val="lt-LT"/>
        </w:rPr>
        <w:t xml:space="preserve">, 2006, Nr. 4 (49), 29–36 p. </w:t>
      </w:r>
    </w:p>
    <w:p w:rsidR="00C53335" w:rsidRPr="00F231FF" w:rsidRDefault="00C53335" w:rsidP="00417443">
      <w:pPr>
        <w:pStyle w:val="ListParagraph"/>
        <w:numPr>
          <w:ilvl w:val="0"/>
          <w:numId w:val="18"/>
        </w:numPr>
        <w:autoSpaceDE w:val="0"/>
        <w:autoSpaceDN w:val="0"/>
        <w:adjustRightInd w:val="0"/>
        <w:spacing w:after="0"/>
        <w:jc w:val="both"/>
        <w:rPr>
          <w:rFonts w:ascii="Times New Roman" w:hAnsi="Times New Roman" w:cs="Times New Roman"/>
          <w:sz w:val="23"/>
          <w:szCs w:val="23"/>
          <w:lang w:val="lt-LT"/>
        </w:rPr>
      </w:pPr>
      <w:r w:rsidRPr="00F231FF">
        <w:rPr>
          <w:rFonts w:ascii="Times New Roman" w:hAnsi="Times New Roman" w:cs="Times New Roman"/>
          <w:b/>
          <w:sz w:val="23"/>
          <w:szCs w:val="23"/>
          <w:lang w:val="lt-LT"/>
        </w:rPr>
        <w:t>Tvaronavičienė M.</w:t>
      </w:r>
      <w:r w:rsidRPr="00F231FF">
        <w:rPr>
          <w:rFonts w:ascii="Times New Roman" w:hAnsi="Times New Roman" w:cs="Times New Roman"/>
          <w:sz w:val="23"/>
          <w:szCs w:val="23"/>
          <w:lang w:val="lt-LT"/>
        </w:rPr>
        <w:t xml:space="preserve"> Įmonių bankroto proceso ekonominio efektyvumo didinimo kryptys // Ekonomika, 2001, Nr. 54, 135-144 p.</w:t>
      </w:r>
    </w:p>
    <w:p w:rsidR="00C53335" w:rsidRPr="00F231FF" w:rsidRDefault="00C53335" w:rsidP="00417443">
      <w:pPr>
        <w:pStyle w:val="Default"/>
        <w:numPr>
          <w:ilvl w:val="0"/>
          <w:numId w:val="18"/>
        </w:numPr>
        <w:spacing w:line="276" w:lineRule="auto"/>
        <w:contextualSpacing/>
        <w:jc w:val="both"/>
        <w:rPr>
          <w:sz w:val="23"/>
          <w:szCs w:val="23"/>
        </w:rPr>
      </w:pPr>
      <w:r w:rsidRPr="00F231FF">
        <w:rPr>
          <w:b/>
          <w:bCs/>
          <w:sz w:val="23"/>
          <w:szCs w:val="23"/>
        </w:rPr>
        <w:t>UAB „Achemarida“ finansinės ataskaitos</w:t>
      </w:r>
      <w:r w:rsidRPr="00F231FF">
        <w:rPr>
          <w:sz w:val="23"/>
          <w:szCs w:val="23"/>
        </w:rPr>
        <w:t xml:space="preserve">, 2008-2010 m. // Duomenų bazė „Amadeus“. URL: https://amadeus.bvdinfo.com/version-2012413/home.serv?product=amadeusneo [Žiūrėta: 2013 06 10]. </w:t>
      </w:r>
    </w:p>
    <w:p w:rsidR="00C53335" w:rsidRPr="00F231FF" w:rsidRDefault="00C53335" w:rsidP="00417443">
      <w:pPr>
        <w:pStyle w:val="Default"/>
        <w:numPr>
          <w:ilvl w:val="0"/>
          <w:numId w:val="18"/>
        </w:numPr>
        <w:spacing w:line="276" w:lineRule="auto"/>
        <w:contextualSpacing/>
        <w:jc w:val="both"/>
        <w:rPr>
          <w:sz w:val="23"/>
          <w:szCs w:val="23"/>
        </w:rPr>
      </w:pPr>
      <w:r w:rsidRPr="00F231FF">
        <w:rPr>
          <w:b/>
          <w:bCs/>
          <w:sz w:val="23"/>
          <w:szCs w:val="23"/>
        </w:rPr>
        <w:t>UAB „Autoverslas“ finansinės ataskaitos</w:t>
      </w:r>
      <w:r w:rsidRPr="00F231FF">
        <w:rPr>
          <w:sz w:val="23"/>
          <w:szCs w:val="23"/>
        </w:rPr>
        <w:t>, 2008-2010 m. // Duomenų bazė „Amadeus“. URL: https://amadeus.bvdinfo.com/version-2012413/home.serv?product=amadeusneo [Žiūrėta: 2013 06 10].</w:t>
      </w:r>
    </w:p>
    <w:p w:rsidR="00C53335" w:rsidRPr="00F231FF" w:rsidRDefault="00C53335" w:rsidP="00417443">
      <w:pPr>
        <w:pStyle w:val="Default"/>
        <w:numPr>
          <w:ilvl w:val="0"/>
          <w:numId w:val="18"/>
        </w:numPr>
        <w:spacing w:line="276" w:lineRule="auto"/>
        <w:contextualSpacing/>
        <w:jc w:val="both"/>
        <w:rPr>
          <w:sz w:val="23"/>
          <w:szCs w:val="23"/>
        </w:rPr>
      </w:pPr>
      <w:r w:rsidRPr="00F231FF">
        <w:rPr>
          <w:b/>
          <w:bCs/>
          <w:sz w:val="23"/>
          <w:szCs w:val="23"/>
        </w:rPr>
        <w:t>UAB „Girteka“ finansinės ataskaitos</w:t>
      </w:r>
      <w:r w:rsidRPr="00F231FF">
        <w:rPr>
          <w:sz w:val="23"/>
          <w:szCs w:val="23"/>
        </w:rPr>
        <w:t xml:space="preserve">, 2008-2010 m. // Duomenų bazė „Amadeus“. URL: https://amadeus.bvdinfo.com/version-2012413/home.serv?product=amadeusneo [Žiūrėta: 2013 06 10]. </w:t>
      </w:r>
    </w:p>
    <w:p w:rsidR="00C53335" w:rsidRPr="00F231FF" w:rsidRDefault="00C53335" w:rsidP="00417443">
      <w:pPr>
        <w:pStyle w:val="Default"/>
        <w:numPr>
          <w:ilvl w:val="0"/>
          <w:numId w:val="18"/>
        </w:numPr>
        <w:spacing w:line="276" w:lineRule="auto"/>
        <w:contextualSpacing/>
        <w:jc w:val="both"/>
        <w:rPr>
          <w:sz w:val="23"/>
          <w:szCs w:val="23"/>
        </w:rPr>
      </w:pPr>
      <w:r w:rsidRPr="00F231FF">
        <w:rPr>
          <w:b/>
          <w:bCs/>
          <w:sz w:val="23"/>
          <w:szCs w:val="23"/>
        </w:rPr>
        <w:t>UAB „Romas ir Ko“ finansinės ataskaitos</w:t>
      </w:r>
      <w:r w:rsidRPr="00F231FF">
        <w:rPr>
          <w:sz w:val="23"/>
          <w:szCs w:val="23"/>
        </w:rPr>
        <w:t xml:space="preserve">, 2008-2010 m. // Duomenų bazė „Amadeus“. URL: https://amadeus.bvdinfo.com/version-2012413/home.serv?product=amadeusneo [Žiūrėta: 2013 06 10]. </w:t>
      </w:r>
    </w:p>
    <w:p w:rsidR="00C53335" w:rsidRPr="00F231FF" w:rsidRDefault="00C53335" w:rsidP="00417443">
      <w:pPr>
        <w:pStyle w:val="ListParagraph"/>
        <w:numPr>
          <w:ilvl w:val="0"/>
          <w:numId w:val="18"/>
        </w:numPr>
        <w:spacing w:after="0"/>
        <w:jc w:val="both"/>
        <w:rPr>
          <w:rFonts w:ascii="Times New Roman" w:hAnsi="Times New Roman" w:cs="Times New Roman"/>
          <w:sz w:val="23"/>
          <w:szCs w:val="23"/>
          <w:lang w:val="lt-LT"/>
        </w:rPr>
      </w:pPr>
      <w:r w:rsidRPr="00F231FF">
        <w:rPr>
          <w:rFonts w:ascii="Times New Roman" w:hAnsi="Times New Roman" w:cs="Times New Roman"/>
          <w:b/>
          <w:sz w:val="23"/>
          <w:szCs w:val="23"/>
          <w:lang w:val="lt-LT"/>
        </w:rPr>
        <w:t>Valackienė A.</w:t>
      </w:r>
      <w:r w:rsidRPr="00F231FF">
        <w:rPr>
          <w:rFonts w:ascii="Times New Roman" w:hAnsi="Times New Roman" w:cs="Times New Roman"/>
          <w:sz w:val="23"/>
          <w:szCs w:val="23"/>
          <w:lang w:val="lt-LT"/>
        </w:rPr>
        <w:t xml:space="preserve"> Krizių valdymas ir sprendimų priėmimas – Kaunas: Technologija, 2005 – 293 p. – ISBN 9955-09765-5.</w:t>
      </w:r>
    </w:p>
    <w:p w:rsidR="00C53335" w:rsidRPr="00F231FF" w:rsidRDefault="00C53335" w:rsidP="00417443">
      <w:pPr>
        <w:pStyle w:val="ListParagraph"/>
        <w:numPr>
          <w:ilvl w:val="0"/>
          <w:numId w:val="18"/>
        </w:numPr>
        <w:autoSpaceDE w:val="0"/>
        <w:autoSpaceDN w:val="0"/>
        <w:adjustRightInd w:val="0"/>
        <w:spacing w:after="0"/>
        <w:jc w:val="both"/>
        <w:rPr>
          <w:rFonts w:ascii="Times New Roman" w:eastAsia="TimesNewRomanPSMT" w:hAnsi="Times New Roman" w:cs="Times New Roman"/>
          <w:sz w:val="23"/>
          <w:szCs w:val="23"/>
          <w:lang w:val="lt-LT"/>
        </w:rPr>
      </w:pPr>
      <w:r w:rsidRPr="00F231FF">
        <w:rPr>
          <w:rFonts w:ascii="Times New Roman" w:eastAsia="TimesNewRomanPSMT" w:hAnsi="Times New Roman" w:cs="Times New Roman"/>
          <w:b/>
          <w:sz w:val="23"/>
          <w:szCs w:val="23"/>
          <w:lang w:val="lt-LT"/>
        </w:rPr>
        <w:t xml:space="preserve">Yoshiko Shirata C. </w:t>
      </w:r>
      <w:r w:rsidRPr="00F231FF">
        <w:rPr>
          <w:rFonts w:ascii="Times New Roman" w:eastAsia="TimesNewRomanPSMT" w:hAnsi="Times New Roman" w:cs="Times New Roman"/>
          <w:sz w:val="23"/>
          <w:szCs w:val="23"/>
          <w:lang w:val="lt-LT"/>
        </w:rPr>
        <w:t>Financial Ratios as Predictors of Bankruptcy in Japan: An Empirical Research // Associate Professor of Accounting, Tsukuba College of Technology Japan, 1998.</w:t>
      </w:r>
    </w:p>
    <w:p w:rsidR="00C53335" w:rsidRPr="00F231FF" w:rsidRDefault="00C53335" w:rsidP="00417443">
      <w:pPr>
        <w:pStyle w:val="ListParagraph"/>
        <w:numPr>
          <w:ilvl w:val="0"/>
          <w:numId w:val="18"/>
        </w:numPr>
        <w:autoSpaceDE w:val="0"/>
        <w:autoSpaceDN w:val="0"/>
        <w:adjustRightInd w:val="0"/>
        <w:spacing w:after="0"/>
        <w:jc w:val="both"/>
        <w:rPr>
          <w:rFonts w:ascii="Times New Roman" w:eastAsia="TimesNewRomanPSMT" w:hAnsi="Times New Roman" w:cs="Times New Roman"/>
          <w:sz w:val="23"/>
          <w:szCs w:val="23"/>
          <w:lang w:val="lt-LT"/>
        </w:rPr>
      </w:pPr>
      <w:r w:rsidRPr="00F231FF">
        <w:rPr>
          <w:rFonts w:ascii="Times New Roman" w:eastAsia="TimesNewRomanPSMT" w:hAnsi="Times New Roman" w:cs="Times New Roman"/>
          <w:b/>
          <w:sz w:val="23"/>
          <w:szCs w:val="23"/>
          <w:lang w:val="lt-LT"/>
        </w:rPr>
        <w:t xml:space="preserve">Zeytınoglu E., Deniz Akarım Y. </w:t>
      </w:r>
      <w:r w:rsidRPr="00F231FF">
        <w:rPr>
          <w:rFonts w:ascii="Times New Roman" w:eastAsia="TimesNewRomanPSMT" w:hAnsi="Times New Roman" w:cs="Times New Roman"/>
          <w:sz w:val="23"/>
          <w:szCs w:val="23"/>
          <w:lang w:val="lt-LT"/>
        </w:rPr>
        <w:t>Financial Failure Prediction Using Financial Ratios: An Empirical Application on Istanbul Stock Exchange // Journal of Applied Finance &amp; Banking, nr. 3, 2013 – p. 107-116 - ISSN 1792-6580.</w:t>
      </w:r>
    </w:p>
    <w:p w:rsidR="00C53335" w:rsidRPr="00F231FF" w:rsidRDefault="0020234E" w:rsidP="00417443">
      <w:pPr>
        <w:pStyle w:val="ListParagraph"/>
        <w:numPr>
          <w:ilvl w:val="0"/>
          <w:numId w:val="18"/>
        </w:numPr>
        <w:spacing w:after="0"/>
        <w:jc w:val="both"/>
        <w:rPr>
          <w:rFonts w:ascii="Times New Roman" w:hAnsi="Times New Roman" w:cs="Times New Roman"/>
          <w:sz w:val="23"/>
          <w:szCs w:val="23"/>
          <w:lang w:val="lt-LT"/>
        </w:rPr>
      </w:pPr>
      <w:hyperlink r:id="rId53" w:history="1">
        <w:r w:rsidR="00C53335" w:rsidRPr="00F231FF">
          <w:rPr>
            <w:rStyle w:val="Hyperlink"/>
            <w:rFonts w:ascii="Times New Roman" w:hAnsi="Times New Roman" w:cs="Times New Roman"/>
            <w:b/>
            <w:color w:val="auto"/>
            <w:sz w:val="23"/>
            <w:szCs w:val="23"/>
            <w:u w:val="none"/>
            <w:lang w:val="lt-LT"/>
          </w:rPr>
          <w:t>Žvinklys J. Vabalas E.</w:t>
        </w:r>
        <w:r w:rsidR="00C53335" w:rsidRPr="00F231FF">
          <w:rPr>
            <w:rStyle w:val="Hyperlink"/>
            <w:rFonts w:ascii="Times New Roman" w:hAnsi="Times New Roman" w:cs="Times New Roman"/>
            <w:color w:val="auto"/>
            <w:sz w:val="23"/>
            <w:szCs w:val="23"/>
            <w:u w:val="none"/>
            <w:lang w:val="lt-LT"/>
          </w:rPr>
          <w:t xml:space="preserve"> Apie verslo kalbą // Pinigų studijos, 2006,. Nr.1</w:t>
        </w:r>
      </w:hyperlink>
      <w:r w:rsidR="00C53335" w:rsidRPr="00F231FF">
        <w:rPr>
          <w:rFonts w:ascii="Times New Roman" w:hAnsi="Times New Roman" w:cs="Times New Roman"/>
          <w:sz w:val="23"/>
          <w:szCs w:val="23"/>
          <w:lang w:val="lt-LT"/>
        </w:rPr>
        <w:t xml:space="preserve">. </w:t>
      </w:r>
    </w:p>
    <w:p w:rsidR="00C53335" w:rsidRPr="00F231FF" w:rsidRDefault="00C53335" w:rsidP="00417443">
      <w:pPr>
        <w:pStyle w:val="ListParagraph"/>
        <w:numPr>
          <w:ilvl w:val="0"/>
          <w:numId w:val="18"/>
        </w:numPr>
        <w:spacing w:after="0"/>
        <w:jc w:val="both"/>
        <w:rPr>
          <w:rFonts w:ascii="Times New Roman" w:hAnsi="Times New Roman" w:cs="Times New Roman"/>
          <w:sz w:val="23"/>
          <w:szCs w:val="23"/>
          <w:lang w:val="lt-LT"/>
        </w:rPr>
      </w:pPr>
      <w:r w:rsidRPr="00F231FF">
        <w:rPr>
          <w:rFonts w:ascii="Times New Roman" w:hAnsi="Times New Roman" w:cs="Times New Roman"/>
          <w:b/>
          <w:sz w:val="23"/>
          <w:szCs w:val="23"/>
          <w:lang w:val="lt-LT"/>
        </w:rPr>
        <w:t xml:space="preserve">Балдин К. В. </w:t>
      </w:r>
      <w:hyperlink r:id="rId54" w:tooltip="В. Белугина" w:history="1">
        <w:r w:rsidR="00F231FF" w:rsidRPr="00F231FF">
          <w:rPr>
            <w:rStyle w:val="Hyperlink"/>
            <w:rFonts w:ascii="Times New Roman" w:hAnsi="Times New Roman" w:cs="Times New Roman"/>
            <w:b/>
            <w:color w:val="auto"/>
            <w:sz w:val="23"/>
            <w:szCs w:val="23"/>
            <w:u w:val="none"/>
          </w:rPr>
          <w:t>Белугина</w:t>
        </w:r>
      </w:hyperlink>
      <w:r w:rsidR="00F231FF" w:rsidRPr="00F231FF">
        <w:rPr>
          <w:rFonts w:ascii="Times New Roman" w:hAnsi="Times New Roman" w:cs="Times New Roman"/>
          <w:b/>
          <w:sz w:val="23"/>
          <w:szCs w:val="23"/>
        </w:rPr>
        <w:t xml:space="preserve"> В., </w:t>
      </w:r>
      <w:hyperlink r:id="rId55" w:tooltip="С. Галдицкая" w:history="1">
        <w:r w:rsidR="00F231FF" w:rsidRPr="00F231FF">
          <w:rPr>
            <w:rStyle w:val="Hyperlink"/>
            <w:rFonts w:ascii="Times New Roman" w:hAnsi="Times New Roman" w:cs="Times New Roman"/>
            <w:b/>
            <w:color w:val="auto"/>
            <w:sz w:val="23"/>
            <w:szCs w:val="23"/>
            <w:u w:val="none"/>
          </w:rPr>
          <w:t>Галдицкая</w:t>
        </w:r>
      </w:hyperlink>
      <w:r w:rsidR="00F231FF" w:rsidRPr="00F231FF">
        <w:rPr>
          <w:rFonts w:ascii="Times New Roman" w:hAnsi="Times New Roman" w:cs="Times New Roman"/>
          <w:b/>
          <w:sz w:val="23"/>
          <w:szCs w:val="23"/>
        </w:rPr>
        <w:t xml:space="preserve"> С., </w:t>
      </w:r>
      <w:hyperlink r:id="rId56" w:tooltip="Игорь Передеряев" w:history="1">
        <w:r w:rsidR="00F231FF" w:rsidRPr="00F231FF">
          <w:rPr>
            <w:rStyle w:val="Hyperlink"/>
            <w:rFonts w:ascii="Times New Roman" w:hAnsi="Times New Roman" w:cs="Times New Roman"/>
            <w:b/>
            <w:color w:val="auto"/>
            <w:sz w:val="23"/>
            <w:szCs w:val="23"/>
            <w:u w:val="none"/>
          </w:rPr>
          <w:t>Передеряев</w:t>
        </w:r>
      </w:hyperlink>
      <w:r w:rsidR="00F231FF" w:rsidRPr="00F231FF">
        <w:rPr>
          <w:rFonts w:ascii="Times New Roman" w:hAnsi="Times New Roman" w:cs="Times New Roman"/>
          <w:b/>
          <w:sz w:val="23"/>
          <w:szCs w:val="23"/>
        </w:rPr>
        <w:t xml:space="preserve"> И</w:t>
      </w:r>
      <w:r w:rsidRPr="00F231FF">
        <w:rPr>
          <w:rFonts w:ascii="Times New Roman" w:hAnsi="Times New Roman" w:cs="Times New Roman"/>
          <w:b/>
          <w:sz w:val="23"/>
          <w:szCs w:val="23"/>
          <w:lang w:val="lt-LT"/>
        </w:rPr>
        <w:t>.</w:t>
      </w:r>
      <w:r w:rsidRPr="00F231FF">
        <w:rPr>
          <w:rFonts w:ascii="Times New Roman" w:hAnsi="Times New Roman" w:cs="Times New Roman"/>
          <w:sz w:val="23"/>
          <w:szCs w:val="23"/>
          <w:lang w:val="lt-LT"/>
        </w:rPr>
        <w:t xml:space="preserve"> Банкротство предприятия. Анализ, учет, прогнозирование – Mockba: Дашков и Ко, 2007 – 375 p. - ISBN 978-5-394-01336-2.</w:t>
      </w:r>
    </w:p>
    <w:p w:rsidR="00C53335" w:rsidRPr="00F231FF" w:rsidRDefault="00C53335" w:rsidP="00417443">
      <w:pPr>
        <w:pStyle w:val="ListParagraph"/>
        <w:numPr>
          <w:ilvl w:val="0"/>
          <w:numId w:val="18"/>
        </w:numPr>
        <w:spacing w:after="0"/>
        <w:jc w:val="both"/>
        <w:rPr>
          <w:rFonts w:ascii="Times New Roman" w:hAnsi="Times New Roman" w:cs="Times New Roman"/>
          <w:sz w:val="23"/>
          <w:szCs w:val="23"/>
          <w:lang w:val="lt-LT"/>
        </w:rPr>
      </w:pPr>
      <w:r w:rsidRPr="00F231FF">
        <w:rPr>
          <w:rFonts w:ascii="Times New Roman" w:hAnsi="Times New Roman" w:cs="Times New Roman"/>
          <w:b/>
          <w:sz w:val="23"/>
          <w:szCs w:val="23"/>
          <w:lang w:val="lt-LT"/>
        </w:rPr>
        <w:t>Савицкая Г. В.</w:t>
      </w:r>
      <w:r w:rsidRPr="00F231FF">
        <w:rPr>
          <w:rFonts w:ascii="Times New Roman" w:hAnsi="Times New Roman" w:cs="Times New Roman"/>
          <w:sz w:val="23"/>
          <w:szCs w:val="23"/>
          <w:lang w:val="lt-LT"/>
        </w:rPr>
        <w:t xml:space="preserve"> Економический анализ // Учебник. 8-e издание, переработанное. Москва: Новое знание, 2003.</w:t>
      </w:r>
    </w:p>
    <w:p w:rsidR="00C53335" w:rsidRPr="00F231FF" w:rsidRDefault="00C53335" w:rsidP="00417443">
      <w:pPr>
        <w:pStyle w:val="ListParagraph"/>
        <w:numPr>
          <w:ilvl w:val="0"/>
          <w:numId w:val="18"/>
        </w:numPr>
        <w:autoSpaceDE w:val="0"/>
        <w:autoSpaceDN w:val="0"/>
        <w:adjustRightInd w:val="0"/>
        <w:spacing w:after="0"/>
        <w:jc w:val="both"/>
        <w:rPr>
          <w:rFonts w:ascii="Times New Roman" w:hAnsi="Times New Roman" w:cs="Times New Roman"/>
          <w:sz w:val="23"/>
          <w:szCs w:val="23"/>
          <w:lang w:val="lt-LT"/>
        </w:rPr>
      </w:pPr>
      <w:r w:rsidRPr="00F231FF">
        <w:rPr>
          <w:rFonts w:ascii="Times New Roman" w:eastAsia="TimesNewRomanPSMT" w:hAnsi="Times New Roman" w:cs="Times New Roman"/>
          <w:b/>
          <w:sz w:val="23"/>
          <w:szCs w:val="23"/>
          <w:lang w:val="lt-LT"/>
        </w:rPr>
        <w:t>Соколов, Я. В., Пятов, М. Л.</w:t>
      </w:r>
      <w:r w:rsidRPr="00F231FF">
        <w:rPr>
          <w:rFonts w:ascii="Times New Roman" w:eastAsia="TimesNewRomanPSMT" w:hAnsi="Times New Roman" w:cs="Times New Roman"/>
          <w:sz w:val="23"/>
          <w:szCs w:val="23"/>
          <w:lang w:val="lt-LT"/>
        </w:rPr>
        <w:t xml:space="preserve">  </w:t>
      </w:r>
      <w:r w:rsidRPr="00F231FF">
        <w:rPr>
          <w:rFonts w:ascii="Times New Roman" w:eastAsia="TimesNewRomanPS-ItalicMT" w:hAnsi="Times New Roman" w:cs="Times New Roman"/>
          <w:iCs/>
          <w:sz w:val="23"/>
          <w:szCs w:val="23"/>
          <w:lang w:val="lt-LT"/>
        </w:rPr>
        <w:t>Бухалтерский учёт для руководителя</w:t>
      </w:r>
      <w:r w:rsidRPr="00F231FF">
        <w:rPr>
          <w:rFonts w:ascii="Times New Roman" w:eastAsia="TimesNewRomanPSMT" w:hAnsi="Times New Roman" w:cs="Times New Roman"/>
          <w:sz w:val="23"/>
          <w:szCs w:val="23"/>
          <w:lang w:val="lt-LT"/>
        </w:rPr>
        <w:t xml:space="preserve"> // Москва: Проспект, 2000.</w:t>
      </w:r>
    </w:p>
    <w:p w:rsidR="00C53335" w:rsidRDefault="00C53335" w:rsidP="00417443">
      <w:pPr>
        <w:pStyle w:val="ListParagraph"/>
        <w:numPr>
          <w:ilvl w:val="0"/>
          <w:numId w:val="18"/>
        </w:numPr>
        <w:autoSpaceDE w:val="0"/>
        <w:autoSpaceDN w:val="0"/>
        <w:adjustRightInd w:val="0"/>
        <w:spacing w:after="0"/>
        <w:jc w:val="both"/>
        <w:rPr>
          <w:rFonts w:ascii="Times New Roman" w:eastAsia="TimesNewRomanPSMT" w:hAnsi="Times New Roman" w:cs="Times New Roman"/>
          <w:sz w:val="23"/>
          <w:szCs w:val="23"/>
          <w:lang w:val="lt-LT"/>
        </w:rPr>
      </w:pPr>
      <w:r w:rsidRPr="00F231FF">
        <w:rPr>
          <w:rFonts w:ascii="Times New Roman" w:eastAsia="TimesNewRomanPSMT" w:hAnsi="Times New Roman" w:cs="Times New Roman"/>
          <w:b/>
          <w:sz w:val="23"/>
          <w:szCs w:val="23"/>
          <w:lang w:val="lt-LT"/>
        </w:rPr>
        <w:t xml:space="preserve">Люкшинов А.Н. </w:t>
      </w:r>
      <w:r w:rsidRPr="00F231FF">
        <w:rPr>
          <w:rFonts w:ascii="Times New Roman" w:eastAsia="TimesNewRomanPSMT" w:hAnsi="Times New Roman" w:cs="Times New Roman"/>
          <w:sz w:val="23"/>
          <w:szCs w:val="23"/>
          <w:lang w:val="lt-LT"/>
        </w:rPr>
        <w:t>Стратегический менеджмент // Юнити-Дана, 2000 – p. 375 - ISBN 5-238-00178-9. </w:t>
      </w:r>
    </w:p>
    <w:p w:rsidR="00F231FF" w:rsidRDefault="00F231FF" w:rsidP="00F231FF">
      <w:pPr>
        <w:autoSpaceDE w:val="0"/>
        <w:autoSpaceDN w:val="0"/>
        <w:adjustRightInd w:val="0"/>
        <w:spacing w:after="0"/>
        <w:jc w:val="both"/>
        <w:rPr>
          <w:rFonts w:ascii="Times New Roman" w:eastAsia="TimesNewRomanPSMT" w:hAnsi="Times New Roman" w:cs="Times New Roman"/>
          <w:sz w:val="23"/>
          <w:szCs w:val="23"/>
          <w:lang w:val="lt-LT"/>
        </w:rPr>
      </w:pPr>
    </w:p>
    <w:p w:rsidR="00F231FF" w:rsidRDefault="00F231FF" w:rsidP="00F231FF">
      <w:pPr>
        <w:autoSpaceDE w:val="0"/>
        <w:autoSpaceDN w:val="0"/>
        <w:adjustRightInd w:val="0"/>
        <w:spacing w:after="0"/>
        <w:jc w:val="both"/>
        <w:rPr>
          <w:rFonts w:ascii="Times New Roman" w:eastAsia="TimesNewRomanPSMT" w:hAnsi="Times New Roman" w:cs="Times New Roman"/>
          <w:sz w:val="23"/>
          <w:szCs w:val="23"/>
          <w:lang w:val="lt-LT"/>
        </w:rPr>
      </w:pPr>
    </w:p>
    <w:p w:rsidR="00F231FF" w:rsidRDefault="00F231FF" w:rsidP="00F231FF">
      <w:pPr>
        <w:autoSpaceDE w:val="0"/>
        <w:autoSpaceDN w:val="0"/>
        <w:adjustRightInd w:val="0"/>
        <w:spacing w:after="0"/>
        <w:jc w:val="both"/>
        <w:rPr>
          <w:rFonts w:ascii="Times New Roman" w:eastAsia="TimesNewRomanPSMT" w:hAnsi="Times New Roman" w:cs="Times New Roman"/>
          <w:sz w:val="23"/>
          <w:szCs w:val="23"/>
          <w:lang w:val="lt-LT"/>
        </w:rPr>
      </w:pPr>
    </w:p>
    <w:p w:rsidR="00F231FF" w:rsidRDefault="00F231FF" w:rsidP="00F231FF">
      <w:pPr>
        <w:autoSpaceDE w:val="0"/>
        <w:autoSpaceDN w:val="0"/>
        <w:adjustRightInd w:val="0"/>
        <w:spacing w:after="0"/>
        <w:jc w:val="both"/>
        <w:rPr>
          <w:rFonts w:ascii="Times New Roman" w:eastAsia="TimesNewRomanPSMT" w:hAnsi="Times New Roman" w:cs="Times New Roman"/>
          <w:sz w:val="23"/>
          <w:szCs w:val="23"/>
          <w:lang w:val="lt-LT"/>
        </w:rPr>
      </w:pPr>
    </w:p>
    <w:p w:rsidR="00F231FF" w:rsidRPr="00F231FF" w:rsidRDefault="00F231FF" w:rsidP="00F231FF">
      <w:pPr>
        <w:autoSpaceDE w:val="0"/>
        <w:autoSpaceDN w:val="0"/>
        <w:adjustRightInd w:val="0"/>
        <w:spacing w:after="0"/>
        <w:jc w:val="both"/>
        <w:rPr>
          <w:rFonts w:ascii="Times New Roman" w:eastAsia="TimesNewRomanPSMT" w:hAnsi="Times New Roman" w:cs="Times New Roman"/>
          <w:sz w:val="23"/>
          <w:szCs w:val="23"/>
          <w:lang w:val="lt-LT"/>
        </w:rPr>
      </w:pPr>
    </w:p>
    <w:p w:rsidR="00C53335" w:rsidRPr="0017614D" w:rsidRDefault="00C53335" w:rsidP="00C53335">
      <w:pPr>
        <w:autoSpaceDE w:val="0"/>
        <w:autoSpaceDN w:val="0"/>
        <w:adjustRightInd w:val="0"/>
        <w:spacing w:after="0" w:line="360" w:lineRule="auto"/>
        <w:ind w:firstLine="720"/>
        <w:contextualSpacing/>
        <w:jc w:val="both"/>
        <w:rPr>
          <w:rFonts w:ascii="Times New Roman" w:hAnsi="Times New Roman" w:cs="Times New Roman"/>
          <w:color w:val="FF0000"/>
          <w:sz w:val="24"/>
          <w:szCs w:val="24"/>
          <w:lang w:val="lt-LT"/>
        </w:rPr>
      </w:pPr>
      <w:r w:rsidRPr="0017614D">
        <w:rPr>
          <w:rFonts w:ascii="Times New Roman" w:hAnsi="Times New Roman" w:cs="Times New Roman"/>
          <w:b/>
          <w:bCs/>
          <w:sz w:val="24"/>
          <w:szCs w:val="24"/>
          <w:lang w:val="lt-LT"/>
        </w:rPr>
        <w:lastRenderedPageBreak/>
        <w:t>Bercevič</w:t>
      </w:r>
      <w:r w:rsidRPr="0017614D">
        <w:rPr>
          <w:rFonts w:ascii="Times New Roman" w:eastAsia="TimesNewRomanPS-BoldMT" w:hAnsi="Times New Roman" w:cs="Times New Roman"/>
          <w:b/>
          <w:bCs/>
          <w:sz w:val="24"/>
          <w:szCs w:val="24"/>
          <w:lang w:val="lt-LT"/>
        </w:rPr>
        <w:t xml:space="preserve"> E</w:t>
      </w:r>
      <w:r w:rsidRPr="0017614D">
        <w:rPr>
          <w:rFonts w:ascii="Times New Roman" w:hAnsi="Times New Roman" w:cs="Times New Roman"/>
          <w:b/>
          <w:bCs/>
          <w:sz w:val="24"/>
          <w:szCs w:val="24"/>
          <w:lang w:val="lt-LT"/>
        </w:rPr>
        <w:t xml:space="preserve">. </w:t>
      </w:r>
      <w:r w:rsidRPr="0017614D">
        <w:rPr>
          <w:rFonts w:ascii="Times New Roman" w:hAnsi="Times New Roman" w:cs="Times New Roman"/>
          <w:bCs/>
          <w:sz w:val="24"/>
          <w:szCs w:val="24"/>
          <w:lang w:val="lt-LT"/>
        </w:rPr>
        <w:t>Kompleksinės bankroto grėsmės nustatymo metodikos tinkamumo Lietuvos transportavimo įmonėms įvertinimas</w:t>
      </w:r>
      <w:r w:rsidRPr="0017614D">
        <w:rPr>
          <w:rFonts w:ascii="Times New Roman" w:hAnsi="Times New Roman" w:cs="Times New Roman"/>
          <w:sz w:val="24"/>
          <w:szCs w:val="24"/>
          <w:lang w:val="lt-LT"/>
        </w:rPr>
        <w:t xml:space="preserve"> / Finansų valdymo magistro baigiamasis darbas. Vadovė prof. dr. D. Jurevičienė. – Vilnius: Mykolo Romerio universitetas, Ekonomikos ir finans</w:t>
      </w:r>
      <w:r w:rsidRPr="0017614D">
        <w:rPr>
          <w:rFonts w:ascii="Times New Roman" w:eastAsia="TimesNewRomanPSMT" w:hAnsi="Times New Roman" w:cs="Times New Roman"/>
          <w:sz w:val="24"/>
          <w:szCs w:val="24"/>
          <w:lang w:val="lt-LT"/>
        </w:rPr>
        <w:t xml:space="preserve">ų </w:t>
      </w:r>
      <w:r w:rsidRPr="0017614D">
        <w:rPr>
          <w:rFonts w:ascii="Times New Roman" w:hAnsi="Times New Roman" w:cs="Times New Roman"/>
          <w:sz w:val="24"/>
          <w:szCs w:val="24"/>
          <w:lang w:val="lt-LT"/>
        </w:rPr>
        <w:t xml:space="preserve">valdymo fakultetas, 2013. – </w:t>
      </w:r>
      <w:r w:rsidR="00226DE6" w:rsidRPr="00226DE6">
        <w:rPr>
          <w:rFonts w:ascii="Times New Roman" w:hAnsi="Times New Roman" w:cs="Times New Roman"/>
          <w:sz w:val="24"/>
          <w:szCs w:val="24"/>
          <w:lang w:val="lt-LT"/>
        </w:rPr>
        <w:t>99</w:t>
      </w:r>
      <w:r w:rsidRPr="00226DE6">
        <w:rPr>
          <w:rFonts w:ascii="Times New Roman" w:hAnsi="Times New Roman" w:cs="Times New Roman"/>
          <w:sz w:val="24"/>
          <w:szCs w:val="24"/>
          <w:lang w:val="lt-LT"/>
        </w:rPr>
        <w:t xml:space="preserve"> p.</w:t>
      </w:r>
    </w:p>
    <w:p w:rsidR="00C53335" w:rsidRPr="0017614D" w:rsidRDefault="00C53335" w:rsidP="00C53335">
      <w:pPr>
        <w:pStyle w:val="Heading1"/>
        <w:rPr>
          <w:lang w:val="lt-LT"/>
        </w:rPr>
      </w:pPr>
      <w:bookmarkStart w:id="106" w:name="_Toc374655665"/>
      <w:r w:rsidRPr="0017614D">
        <w:rPr>
          <w:lang w:val="lt-LT"/>
        </w:rPr>
        <w:t>ANOTACIJA</w:t>
      </w:r>
      <w:bookmarkEnd w:id="106"/>
    </w:p>
    <w:p w:rsidR="00C53335" w:rsidRPr="0017614D" w:rsidRDefault="00C53335" w:rsidP="00C53335">
      <w:pPr>
        <w:rPr>
          <w:lang w:val="lt-LT"/>
        </w:rPr>
      </w:pPr>
    </w:p>
    <w:p w:rsidR="00C53335" w:rsidRPr="0017614D" w:rsidRDefault="00C53335" w:rsidP="00C53335">
      <w:pPr>
        <w:pStyle w:val="BodyText"/>
        <w:spacing w:line="360" w:lineRule="auto"/>
        <w:ind w:firstLine="720"/>
        <w:jc w:val="both"/>
        <w:rPr>
          <w:lang w:val="lt-LT"/>
        </w:rPr>
      </w:pPr>
      <w:r w:rsidRPr="0017614D">
        <w:rPr>
          <w:lang w:val="lt-LT"/>
        </w:rPr>
        <w:t xml:space="preserve">Magistro baigiamajame darbe iškelta bankroto prevencijos būtinumo problema, išanalizuotas ir įvertintas kompleksinės bankroto grėsmės nustatymo metodikos kaip prevencinės bankroto priemonės tinkamumas Lietuvos įmonėms bei pateikti siūlymai įmonėms, kaip jos gali siekti išvengti bankroto. Pirmoje darbo dalyje susisteminami bankroto teoriniai aspektai, palyginami užsienio ir lietuvių autorių pateikiami bankroto apibrėžimai, aptariamos bankrotą sukeliančios priežastys, išnagrinėjami šio reiškinio požymiai bei pasekmės šalies ūkiui. Taip pat šioje dalyje yra pagrindžiamas bankroto prevencijos būtinumas bei aptariamas įvairių mokslininkų požiūris į bankroto prevencijos sistemą. Antroje dalyje yra išanalizuojama kompleksinė bankroto diagnozavimo metodika bei jos elementai – vidinės bei išorinės aplinkos analizė, absoliutinių bei santykinių finansinių rodiklių analizė, bankroto prognozavimo modeliai bei post-diagnostinių priemonių taikymas. Atlikus mokslinės literatūros analizę, paskutinėje dalyje yra nustatomas šios metodikos tinkamumas Lietuvos įmonių bankrotui prognozuoti bei palyginami atskirų jos elementų rezultatai su kompleksinės analizės rezultatais, taip pat įmonėms yra pasiūlomos post-diagnostinės priemonės. </w:t>
      </w:r>
    </w:p>
    <w:p w:rsidR="00C53335" w:rsidRPr="0017614D" w:rsidRDefault="00C53335" w:rsidP="00C53335">
      <w:pPr>
        <w:pStyle w:val="BodyText"/>
        <w:spacing w:line="360" w:lineRule="auto"/>
        <w:ind w:firstLine="720"/>
        <w:jc w:val="both"/>
        <w:rPr>
          <w:lang w:val="lt-LT"/>
        </w:rPr>
      </w:pPr>
      <w:r w:rsidRPr="0017614D">
        <w:rPr>
          <w:b/>
          <w:lang w:val="lt-LT"/>
        </w:rPr>
        <w:t xml:space="preserve">Pagrindiniai žodžiai: </w:t>
      </w:r>
      <w:r w:rsidRPr="0017614D">
        <w:rPr>
          <w:lang w:val="lt-LT"/>
        </w:rPr>
        <w:t xml:space="preserve">bankrotas, bankroto požymiai, bankroto priežastys, bankroto pasekmės, bankroto grėsmės nustatymas, bankroto prevencijos būtinumas, kompleksinė bankroto grėsmės nustatymo metodika, post-diagnostinės priemonės, kompleksinės bankroto diagnozavimo metodikos tinkamumas. </w:t>
      </w:r>
    </w:p>
    <w:p w:rsidR="00C53335" w:rsidRPr="0017614D" w:rsidRDefault="00C53335" w:rsidP="00C53335">
      <w:pPr>
        <w:autoSpaceDE w:val="0"/>
        <w:autoSpaceDN w:val="0"/>
        <w:adjustRightInd w:val="0"/>
        <w:spacing w:after="0" w:line="360" w:lineRule="auto"/>
        <w:contextualSpacing/>
        <w:jc w:val="both"/>
        <w:rPr>
          <w:rFonts w:ascii="Times New Roman" w:hAnsi="Times New Roman" w:cs="Times New Roman"/>
          <w:b/>
          <w:bCs/>
          <w:sz w:val="24"/>
          <w:szCs w:val="24"/>
          <w:lang w:val="lt-LT"/>
        </w:rPr>
      </w:pPr>
    </w:p>
    <w:p w:rsidR="00C53335" w:rsidRPr="0017614D" w:rsidRDefault="00C53335" w:rsidP="00C53335">
      <w:pPr>
        <w:autoSpaceDE w:val="0"/>
        <w:autoSpaceDN w:val="0"/>
        <w:adjustRightInd w:val="0"/>
        <w:spacing w:after="0" w:line="360" w:lineRule="auto"/>
        <w:contextualSpacing/>
        <w:jc w:val="both"/>
        <w:rPr>
          <w:rFonts w:ascii="Times New Roman" w:hAnsi="Times New Roman" w:cs="Times New Roman"/>
          <w:b/>
          <w:bCs/>
          <w:sz w:val="24"/>
          <w:szCs w:val="24"/>
          <w:lang w:val="lt-LT"/>
        </w:rPr>
      </w:pPr>
    </w:p>
    <w:p w:rsidR="00C53335" w:rsidRPr="0017614D" w:rsidRDefault="00C53335" w:rsidP="00C53335">
      <w:pPr>
        <w:autoSpaceDE w:val="0"/>
        <w:autoSpaceDN w:val="0"/>
        <w:adjustRightInd w:val="0"/>
        <w:spacing w:after="0" w:line="360" w:lineRule="auto"/>
        <w:contextualSpacing/>
        <w:jc w:val="both"/>
        <w:rPr>
          <w:rFonts w:ascii="Times New Roman" w:hAnsi="Times New Roman" w:cs="Times New Roman"/>
          <w:b/>
          <w:bCs/>
          <w:sz w:val="24"/>
          <w:szCs w:val="24"/>
          <w:lang w:val="lt-LT"/>
        </w:rPr>
      </w:pPr>
    </w:p>
    <w:p w:rsidR="00C53335" w:rsidRPr="0017614D" w:rsidRDefault="00C53335" w:rsidP="00C53335">
      <w:pPr>
        <w:autoSpaceDE w:val="0"/>
        <w:autoSpaceDN w:val="0"/>
        <w:adjustRightInd w:val="0"/>
        <w:spacing w:after="0" w:line="360" w:lineRule="auto"/>
        <w:contextualSpacing/>
        <w:jc w:val="both"/>
        <w:rPr>
          <w:rFonts w:ascii="Times New Roman" w:hAnsi="Times New Roman" w:cs="Times New Roman"/>
          <w:b/>
          <w:bCs/>
          <w:sz w:val="24"/>
          <w:szCs w:val="24"/>
          <w:lang w:val="lt-LT"/>
        </w:rPr>
      </w:pPr>
    </w:p>
    <w:p w:rsidR="00C53335" w:rsidRPr="0017614D" w:rsidRDefault="00C53335" w:rsidP="00C53335">
      <w:pPr>
        <w:autoSpaceDE w:val="0"/>
        <w:autoSpaceDN w:val="0"/>
        <w:adjustRightInd w:val="0"/>
        <w:spacing w:after="0" w:line="360" w:lineRule="auto"/>
        <w:contextualSpacing/>
        <w:jc w:val="both"/>
        <w:rPr>
          <w:rFonts w:ascii="Times New Roman" w:hAnsi="Times New Roman" w:cs="Times New Roman"/>
          <w:b/>
          <w:bCs/>
          <w:sz w:val="24"/>
          <w:szCs w:val="24"/>
          <w:lang w:val="lt-LT"/>
        </w:rPr>
      </w:pPr>
    </w:p>
    <w:p w:rsidR="00C53335" w:rsidRPr="0017614D" w:rsidRDefault="00C53335" w:rsidP="00C53335">
      <w:pPr>
        <w:autoSpaceDE w:val="0"/>
        <w:autoSpaceDN w:val="0"/>
        <w:adjustRightInd w:val="0"/>
        <w:spacing w:after="0" w:line="360" w:lineRule="auto"/>
        <w:contextualSpacing/>
        <w:jc w:val="both"/>
        <w:rPr>
          <w:rFonts w:ascii="Times New Roman" w:hAnsi="Times New Roman" w:cs="Times New Roman"/>
          <w:b/>
          <w:bCs/>
          <w:sz w:val="24"/>
          <w:szCs w:val="24"/>
          <w:lang w:val="lt-LT"/>
        </w:rPr>
      </w:pPr>
    </w:p>
    <w:p w:rsidR="00C53335" w:rsidRPr="0017614D" w:rsidRDefault="00C53335" w:rsidP="00C53335">
      <w:pPr>
        <w:autoSpaceDE w:val="0"/>
        <w:autoSpaceDN w:val="0"/>
        <w:adjustRightInd w:val="0"/>
        <w:spacing w:after="0" w:line="360" w:lineRule="auto"/>
        <w:contextualSpacing/>
        <w:jc w:val="both"/>
        <w:rPr>
          <w:rFonts w:ascii="Times New Roman" w:hAnsi="Times New Roman" w:cs="Times New Roman"/>
          <w:b/>
          <w:bCs/>
          <w:sz w:val="24"/>
          <w:szCs w:val="24"/>
          <w:lang w:val="lt-LT"/>
        </w:rPr>
      </w:pPr>
    </w:p>
    <w:p w:rsidR="00C53335" w:rsidRPr="0017614D" w:rsidRDefault="00C53335" w:rsidP="00C53335">
      <w:pPr>
        <w:autoSpaceDE w:val="0"/>
        <w:autoSpaceDN w:val="0"/>
        <w:adjustRightInd w:val="0"/>
        <w:spacing w:after="0" w:line="360" w:lineRule="auto"/>
        <w:ind w:firstLine="720"/>
        <w:contextualSpacing/>
        <w:jc w:val="both"/>
        <w:rPr>
          <w:rFonts w:ascii="Times New Roman" w:hAnsi="Times New Roman" w:cs="Times New Roman"/>
          <w:color w:val="FF0000"/>
          <w:sz w:val="24"/>
          <w:szCs w:val="24"/>
          <w:lang w:val="lt-LT"/>
        </w:rPr>
      </w:pPr>
      <w:r w:rsidRPr="0017614D">
        <w:rPr>
          <w:rFonts w:ascii="Times New Roman" w:hAnsi="Times New Roman" w:cs="Times New Roman"/>
          <w:b/>
          <w:bCs/>
          <w:sz w:val="24"/>
          <w:szCs w:val="24"/>
          <w:lang w:val="lt-LT"/>
        </w:rPr>
        <w:lastRenderedPageBreak/>
        <w:t>Bercevič</w:t>
      </w:r>
      <w:r w:rsidRPr="0017614D">
        <w:rPr>
          <w:rFonts w:ascii="Times New Roman" w:eastAsia="TimesNewRomanPS-BoldMT" w:hAnsi="Times New Roman" w:cs="Times New Roman"/>
          <w:b/>
          <w:bCs/>
          <w:sz w:val="24"/>
          <w:szCs w:val="24"/>
          <w:lang w:val="lt-LT"/>
        </w:rPr>
        <w:t xml:space="preserve"> E</w:t>
      </w:r>
      <w:r w:rsidRPr="0017614D">
        <w:rPr>
          <w:rFonts w:ascii="Times New Roman" w:hAnsi="Times New Roman" w:cs="Times New Roman"/>
          <w:b/>
          <w:bCs/>
          <w:sz w:val="24"/>
          <w:szCs w:val="24"/>
          <w:lang w:val="lt-LT"/>
        </w:rPr>
        <w:t xml:space="preserve">. </w:t>
      </w:r>
      <w:r w:rsidRPr="0017614D">
        <w:rPr>
          <w:rFonts w:ascii="Times New Roman" w:hAnsi="Times New Roman" w:cs="Times New Roman"/>
          <w:bCs/>
          <w:sz w:val="24"/>
          <w:szCs w:val="24"/>
          <w:lang w:val="lt-LT"/>
        </w:rPr>
        <w:t xml:space="preserve">The evaluation of complex bankruptcy threat detection methodology </w:t>
      </w:r>
      <w:r w:rsidRPr="0017614D">
        <w:rPr>
          <w:rFonts w:ascii="Times New Roman" w:hAnsi="Times New Roman" w:cs="Times New Roman"/>
          <w:sz w:val="24"/>
          <w:szCs w:val="24"/>
          <w:lang w:val="lt-LT"/>
        </w:rPr>
        <w:t xml:space="preserve">suitability for Lithuanian enterprises of transportation branch / Master’s Work in Financial Management. Supervisor prof. dr. D. Jurevičienė. – Vilnius: Faculcy of Economics and Finance Management, Mykolas Romeris University, 2013. </w:t>
      </w:r>
      <w:r w:rsidRPr="00226DE6">
        <w:rPr>
          <w:rFonts w:ascii="Times New Roman" w:hAnsi="Times New Roman" w:cs="Times New Roman"/>
          <w:sz w:val="24"/>
          <w:szCs w:val="24"/>
          <w:lang w:val="lt-LT"/>
        </w:rPr>
        <w:t xml:space="preserve">– </w:t>
      </w:r>
      <w:r w:rsidR="00226DE6" w:rsidRPr="00226DE6">
        <w:rPr>
          <w:rFonts w:ascii="Times New Roman" w:hAnsi="Times New Roman" w:cs="Times New Roman"/>
          <w:sz w:val="24"/>
          <w:szCs w:val="24"/>
          <w:lang w:val="lt-LT"/>
        </w:rPr>
        <w:t>99</w:t>
      </w:r>
      <w:r w:rsidRPr="00226DE6">
        <w:rPr>
          <w:rFonts w:ascii="Times New Roman" w:hAnsi="Times New Roman" w:cs="Times New Roman"/>
          <w:sz w:val="24"/>
          <w:szCs w:val="24"/>
          <w:lang w:val="lt-LT"/>
        </w:rPr>
        <w:t xml:space="preserve"> p.</w:t>
      </w:r>
    </w:p>
    <w:p w:rsidR="00C53335" w:rsidRPr="0017614D" w:rsidRDefault="00C53335" w:rsidP="00C53335">
      <w:pPr>
        <w:pStyle w:val="Heading1"/>
        <w:rPr>
          <w:lang w:val="lt-LT"/>
        </w:rPr>
      </w:pPr>
      <w:bookmarkStart w:id="107" w:name="_Toc374655666"/>
      <w:r w:rsidRPr="0017614D">
        <w:rPr>
          <w:lang w:val="lt-LT"/>
        </w:rPr>
        <w:t>ANNOTATION</w:t>
      </w:r>
      <w:bookmarkEnd w:id="107"/>
    </w:p>
    <w:p w:rsidR="00C53335" w:rsidRPr="0017614D" w:rsidRDefault="00C53335" w:rsidP="00C53335">
      <w:pPr>
        <w:rPr>
          <w:lang w:val="lt-LT"/>
        </w:rPr>
      </w:pPr>
    </w:p>
    <w:p w:rsidR="00C53335" w:rsidRPr="0017614D" w:rsidRDefault="00C53335" w:rsidP="00C53335">
      <w:pPr>
        <w:spacing w:after="120" w:line="360" w:lineRule="auto"/>
        <w:ind w:firstLine="720"/>
        <w:contextualSpacing/>
        <w:jc w:val="both"/>
        <w:rPr>
          <w:rFonts w:ascii="Times New Roman" w:hAnsi="Times New Roman" w:cs="Times New Roman"/>
          <w:sz w:val="24"/>
          <w:szCs w:val="24"/>
          <w:lang w:val="lt-LT"/>
        </w:rPr>
      </w:pPr>
      <w:r w:rsidRPr="0017614D">
        <w:rPr>
          <w:rStyle w:val="hps"/>
          <w:rFonts w:ascii="Times New Roman" w:hAnsi="Times New Roman" w:cs="Times New Roman"/>
          <w:sz w:val="24"/>
          <w:szCs w:val="24"/>
          <w:lang w:val="lt-LT"/>
        </w:rPr>
        <w:t>There is raised an issue of bankruptcy prevention necessity, analyzed</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and</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evaluated</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a complex</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bankruptcy</w:t>
      </w:r>
      <w:r w:rsidRPr="0017614D">
        <w:rPr>
          <w:rFonts w:ascii="Times New Roman" w:hAnsi="Times New Roman" w:cs="Times New Roman"/>
          <w:sz w:val="24"/>
          <w:szCs w:val="24"/>
          <w:lang w:val="lt-LT"/>
        </w:rPr>
        <w:t xml:space="preserve"> threat detection </w:t>
      </w:r>
      <w:r w:rsidRPr="0017614D">
        <w:rPr>
          <w:rStyle w:val="hps"/>
          <w:rFonts w:ascii="Times New Roman" w:hAnsi="Times New Roman" w:cs="Times New Roman"/>
          <w:sz w:val="24"/>
          <w:szCs w:val="24"/>
          <w:lang w:val="lt-LT"/>
        </w:rPr>
        <w:t>methodology suitability</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for Lithuanian companies and</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provided</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suggestions</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on how enterprises</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might</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seek to avoid</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bankruptcy in the master’s thesis. In the first part were systematized</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theoretical aspects of</w:t>
      </w:r>
      <w:r w:rsidRPr="0017614D">
        <w:rPr>
          <w:rFonts w:ascii="Times New Roman" w:hAnsi="Times New Roman" w:cs="Times New Roman"/>
          <w:sz w:val="24"/>
          <w:szCs w:val="24"/>
          <w:lang w:val="lt-LT"/>
        </w:rPr>
        <w:t xml:space="preserve"> bankruptcy, </w:t>
      </w:r>
      <w:r w:rsidRPr="0017614D">
        <w:rPr>
          <w:rStyle w:val="hps"/>
          <w:rFonts w:ascii="Times New Roman" w:hAnsi="Times New Roman" w:cs="Times New Roman"/>
          <w:sz w:val="24"/>
          <w:szCs w:val="24"/>
          <w:lang w:val="lt-LT"/>
        </w:rPr>
        <w:t>compared</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Lithuanian</w:t>
      </w:r>
      <w:r w:rsidRPr="0017614D">
        <w:rPr>
          <w:rFonts w:ascii="Times New Roman" w:hAnsi="Times New Roman" w:cs="Times New Roman"/>
          <w:sz w:val="24"/>
          <w:szCs w:val="24"/>
          <w:lang w:val="lt-LT"/>
        </w:rPr>
        <w:t xml:space="preserve"> and foreign </w:t>
      </w:r>
      <w:r w:rsidRPr="0017614D">
        <w:rPr>
          <w:rStyle w:val="hps"/>
          <w:rFonts w:ascii="Times New Roman" w:hAnsi="Times New Roman" w:cs="Times New Roman"/>
          <w:sz w:val="24"/>
          <w:szCs w:val="24"/>
          <w:lang w:val="lt-LT"/>
        </w:rPr>
        <w:t>authors</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provided</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definitions</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of bankruptcy</w:t>
      </w:r>
      <w:r w:rsidRPr="0017614D">
        <w:rPr>
          <w:rFonts w:ascii="Times New Roman" w:hAnsi="Times New Roman" w:cs="Times New Roman"/>
          <w:sz w:val="24"/>
          <w:szCs w:val="24"/>
          <w:lang w:val="lt-LT"/>
        </w:rPr>
        <w:t>, d</w:t>
      </w:r>
      <w:r w:rsidRPr="0017614D">
        <w:rPr>
          <w:rStyle w:val="hps"/>
          <w:rFonts w:ascii="Times New Roman" w:hAnsi="Times New Roman" w:cs="Times New Roman"/>
          <w:sz w:val="24"/>
          <w:szCs w:val="24"/>
          <w:lang w:val="lt-LT"/>
        </w:rPr>
        <w:t>iscussed</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causes of this phenomenon</w:t>
      </w:r>
      <w:r w:rsidRPr="0017614D">
        <w:rPr>
          <w:rFonts w:ascii="Times New Roman" w:hAnsi="Times New Roman" w:cs="Times New Roman"/>
          <w:sz w:val="24"/>
          <w:szCs w:val="24"/>
          <w:lang w:val="lt-LT"/>
        </w:rPr>
        <w:t xml:space="preserve">, also examined </w:t>
      </w:r>
      <w:r w:rsidRPr="0017614D">
        <w:rPr>
          <w:rStyle w:val="hps"/>
          <w:rFonts w:ascii="Times New Roman" w:hAnsi="Times New Roman" w:cs="Times New Roman"/>
          <w:sz w:val="24"/>
          <w:szCs w:val="24"/>
          <w:lang w:val="lt-LT"/>
        </w:rPr>
        <w:t>symptoms</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and</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the consequences</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for the entire economy</w:t>
      </w:r>
      <w:r w:rsidRPr="0017614D">
        <w:rPr>
          <w:rFonts w:ascii="Times New Roman" w:hAnsi="Times New Roman" w:cs="Times New Roman"/>
          <w:sz w:val="24"/>
          <w:szCs w:val="24"/>
          <w:lang w:val="lt-LT"/>
        </w:rPr>
        <w:t xml:space="preserve">. </w:t>
      </w:r>
      <w:r w:rsidRPr="0017614D">
        <w:rPr>
          <w:rFonts w:ascii="Times New Roman" w:eastAsia="Times New Roman" w:hAnsi="Times New Roman" w:cs="Times New Roman"/>
          <w:sz w:val="24"/>
          <w:szCs w:val="24"/>
          <w:lang w:val="lt-LT"/>
        </w:rPr>
        <w:t xml:space="preserve">Moreover, there was substantiated the necessity of preventing bankruptcy and discussed various authors approaches to the bankruptcy prevention system in this section. </w:t>
      </w:r>
      <w:r w:rsidRPr="0017614D">
        <w:rPr>
          <w:rStyle w:val="hps"/>
          <w:rFonts w:ascii="Times New Roman" w:hAnsi="Times New Roman" w:cs="Times New Roman"/>
          <w:sz w:val="24"/>
          <w:szCs w:val="24"/>
          <w:lang w:val="lt-LT"/>
        </w:rPr>
        <w:t>In the second part</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were</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analyzed</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complex</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bankruptcy diagnosis</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methodology</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and</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its elements - internal</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and external</w:t>
      </w:r>
      <w:r w:rsidRPr="0017614D">
        <w:rPr>
          <w:rFonts w:ascii="Times New Roman" w:hAnsi="Times New Roman" w:cs="Times New Roman"/>
          <w:sz w:val="24"/>
          <w:szCs w:val="24"/>
          <w:lang w:val="lt-LT"/>
        </w:rPr>
        <w:t xml:space="preserve"> environment </w:t>
      </w:r>
      <w:r w:rsidRPr="0017614D">
        <w:rPr>
          <w:rStyle w:val="hps"/>
          <w:rFonts w:ascii="Times New Roman" w:hAnsi="Times New Roman" w:cs="Times New Roman"/>
          <w:sz w:val="24"/>
          <w:szCs w:val="24"/>
          <w:lang w:val="lt-LT"/>
        </w:rPr>
        <w:t>analysis,</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absolute</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and</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relative financial</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ratio calculation and analysis</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bankruptcy prediction</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models application and post-diagnostic measures application. Furthermore, after</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an analysis of</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the scientific literature</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there was determined the complex bankruptcy threat detection methodology suitability for Lithuanian enterprises of transportation branch, compared</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the results of</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its individual</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elements</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with</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complex</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analysis and suggested post-diagnostic measures for analysed enterprises.</w:t>
      </w:r>
    </w:p>
    <w:p w:rsidR="00C53335" w:rsidRPr="0017614D" w:rsidRDefault="00C53335" w:rsidP="00C53335">
      <w:pPr>
        <w:pStyle w:val="BodyText"/>
        <w:spacing w:line="360" w:lineRule="auto"/>
        <w:ind w:firstLine="720"/>
        <w:contextualSpacing/>
        <w:jc w:val="both"/>
        <w:rPr>
          <w:rStyle w:val="hps"/>
          <w:lang w:val="lt-LT"/>
        </w:rPr>
      </w:pPr>
      <w:r w:rsidRPr="0017614D">
        <w:rPr>
          <w:rStyle w:val="hps"/>
          <w:b/>
          <w:lang w:val="lt-LT"/>
        </w:rPr>
        <w:t>Key Words:</w:t>
      </w:r>
      <w:r w:rsidRPr="0017614D">
        <w:rPr>
          <w:rStyle w:val="hps"/>
          <w:lang w:val="lt-LT"/>
        </w:rPr>
        <w:t xml:space="preserve"> bankruptcy, the symptoms of bankruptcy, the reasons of bankruptcy, consequences of bankruptcy, bankruptcy threat detection, the necessity of bankruptcy prevention, bankruptcy threat detection methodology, post-diagnostic measures, the suitability of complex bankruptcy diagnosis methodology.</w:t>
      </w:r>
    </w:p>
    <w:p w:rsidR="00C53335" w:rsidRPr="0017614D" w:rsidRDefault="00C53335" w:rsidP="00C53335">
      <w:pPr>
        <w:autoSpaceDE w:val="0"/>
        <w:autoSpaceDN w:val="0"/>
        <w:adjustRightInd w:val="0"/>
        <w:spacing w:after="0" w:line="360" w:lineRule="auto"/>
        <w:ind w:firstLine="720"/>
        <w:contextualSpacing/>
        <w:jc w:val="both"/>
        <w:rPr>
          <w:rFonts w:ascii="Times New Roman" w:hAnsi="Times New Roman" w:cs="Times New Roman"/>
          <w:b/>
          <w:bCs/>
          <w:sz w:val="24"/>
          <w:szCs w:val="24"/>
          <w:lang w:val="lt-LT"/>
        </w:rPr>
      </w:pPr>
    </w:p>
    <w:p w:rsidR="00C53335" w:rsidRPr="0017614D" w:rsidRDefault="00C53335" w:rsidP="00C53335">
      <w:pPr>
        <w:autoSpaceDE w:val="0"/>
        <w:autoSpaceDN w:val="0"/>
        <w:adjustRightInd w:val="0"/>
        <w:spacing w:after="0" w:line="360" w:lineRule="auto"/>
        <w:ind w:firstLine="720"/>
        <w:contextualSpacing/>
        <w:jc w:val="both"/>
        <w:rPr>
          <w:rFonts w:ascii="Times New Roman" w:hAnsi="Times New Roman" w:cs="Times New Roman"/>
          <w:b/>
          <w:bCs/>
          <w:sz w:val="24"/>
          <w:szCs w:val="24"/>
          <w:lang w:val="lt-LT"/>
        </w:rPr>
      </w:pPr>
    </w:p>
    <w:p w:rsidR="00C53335" w:rsidRPr="0017614D" w:rsidRDefault="00C53335" w:rsidP="00C53335">
      <w:pPr>
        <w:autoSpaceDE w:val="0"/>
        <w:autoSpaceDN w:val="0"/>
        <w:adjustRightInd w:val="0"/>
        <w:spacing w:after="0" w:line="360" w:lineRule="auto"/>
        <w:ind w:firstLine="720"/>
        <w:contextualSpacing/>
        <w:jc w:val="both"/>
        <w:rPr>
          <w:rFonts w:ascii="Times New Roman" w:hAnsi="Times New Roman" w:cs="Times New Roman"/>
          <w:b/>
          <w:bCs/>
          <w:sz w:val="24"/>
          <w:szCs w:val="24"/>
          <w:lang w:val="lt-LT"/>
        </w:rPr>
      </w:pPr>
    </w:p>
    <w:p w:rsidR="00C53335" w:rsidRPr="0017614D" w:rsidRDefault="00C53335" w:rsidP="00C53335">
      <w:pPr>
        <w:autoSpaceDE w:val="0"/>
        <w:autoSpaceDN w:val="0"/>
        <w:adjustRightInd w:val="0"/>
        <w:spacing w:after="0" w:line="360" w:lineRule="auto"/>
        <w:ind w:firstLine="720"/>
        <w:contextualSpacing/>
        <w:jc w:val="both"/>
        <w:rPr>
          <w:rFonts w:ascii="Times New Roman" w:hAnsi="Times New Roman" w:cs="Times New Roman"/>
          <w:b/>
          <w:bCs/>
          <w:sz w:val="24"/>
          <w:szCs w:val="24"/>
          <w:lang w:val="lt-LT"/>
        </w:rPr>
      </w:pPr>
    </w:p>
    <w:p w:rsidR="00C53335" w:rsidRPr="0017614D" w:rsidRDefault="00C53335" w:rsidP="00C53335">
      <w:pPr>
        <w:autoSpaceDE w:val="0"/>
        <w:autoSpaceDN w:val="0"/>
        <w:adjustRightInd w:val="0"/>
        <w:spacing w:after="0" w:line="360" w:lineRule="auto"/>
        <w:ind w:firstLine="720"/>
        <w:contextualSpacing/>
        <w:jc w:val="both"/>
        <w:rPr>
          <w:rFonts w:ascii="Times New Roman" w:hAnsi="Times New Roman" w:cs="Times New Roman"/>
          <w:b/>
          <w:bCs/>
          <w:sz w:val="24"/>
          <w:szCs w:val="24"/>
          <w:lang w:val="lt-LT"/>
        </w:rPr>
      </w:pPr>
    </w:p>
    <w:p w:rsidR="00C53335" w:rsidRPr="0017614D" w:rsidRDefault="00C53335" w:rsidP="00C53335">
      <w:pPr>
        <w:autoSpaceDE w:val="0"/>
        <w:autoSpaceDN w:val="0"/>
        <w:adjustRightInd w:val="0"/>
        <w:spacing w:after="0" w:line="360" w:lineRule="auto"/>
        <w:ind w:firstLine="720"/>
        <w:contextualSpacing/>
        <w:jc w:val="both"/>
        <w:rPr>
          <w:rFonts w:ascii="Times New Roman" w:hAnsi="Times New Roman" w:cs="Times New Roman"/>
          <w:b/>
          <w:bCs/>
          <w:sz w:val="24"/>
          <w:szCs w:val="24"/>
          <w:lang w:val="lt-LT"/>
        </w:rPr>
      </w:pPr>
    </w:p>
    <w:p w:rsidR="00C53335" w:rsidRPr="0017614D" w:rsidRDefault="00C53335" w:rsidP="00C53335">
      <w:pPr>
        <w:autoSpaceDE w:val="0"/>
        <w:autoSpaceDN w:val="0"/>
        <w:adjustRightInd w:val="0"/>
        <w:spacing w:after="0" w:line="360" w:lineRule="auto"/>
        <w:ind w:firstLine="720"/>
        <w:contextualSpacing/>
        <w:jc w:val="both"/>
        <w:rPr>
          <w:rFonts w:ascii="Times New Roman" w:hAnsi="Times New Roman" w:cs="Times New Roman"/>
          <w:color w:val="FF0000"/>
          <w:sz w:val="24"/>
          <w:szCs w:val="24"/>
          <w:lang w:val="lt-LT"/>
        </w:rPr>
      </w:pPr>
      <w:r w:rsidRPr="0017614D">
        <w:rPr>
          <w:rFonts w:ascii="Times New Roman" w:hAnsi="Times New Roman" w:cs="Times New Roman"/>
          <w:b/>
          <w:bCs/>
          <w:sz w:val="24"/>
          <w:szCs w:val="24"/>
          <w:lang w:val="lt-LT"/>
        </w:rPr>
        <w:lastRenderedPageBreak/>
        <w:t>Bercevič</w:t>
      </w:r>
      <w:r w:rsidRPr="0017614D">
        <w:rPr>
          <w:rFonts w:ascii="Times New Roman" w:eastAsia="TimesNewRomanPS-BoldMT" w:hAnsi="Times New Roman" w:cs="Times New Roman"/>
          <w:b/>
          <w:bCs/>
          <w:sz w:val="24"/>
          <w:szCs w:val="24"/>
          <w:lang w:val="lt-LT"/>
        </w:rPr>
        <w:t xml:space="preserve"> E</w:t>
      </w:r>
      <w:r w:rsidRPr="0017614D">
        <w:rPr>
          <w:rFonts w:ascii="Times New Roman" w:hAnsi="Times New Roman" w:cs="Times New Roman"/>
          <w:b/>
          <w:bCs/>
          <w:sz w:val="24"/>
          <w:szCs w:val="24"/>
          <w:lang w:val="lt-LT"/>
        </w:rPr>
        <w:t xml:space="preserve">. </w:t>
      </w:r>
      <w:r w:rsidRPr="0017614D">
        <w:rPr>
          <w:rFonts w:ascii="Times New Roman" w:hAnsi="Times New Roman" w:cs="Times New Roman"/>
          <w:bCs/>
          <w:sz w:val="24"/>
          <w:szCs w:val="24"/>
          <w:lang w:val="lt-LT"/>
        </w:rPr>
        <w:t>Kompleksinės bankroto grėsmės nustatymo metodikos tinkamumo Lietuvos transportavimo įmonėms įvertinimas</w:t>
      </w:r>
      <w:r w:rsidRPr="0017614D">
        <w:rPr>
          <w:rFonts w:ascii="Times New Roman" w:hAnsi="Times New Roman" w:cs="Times New Roman"/>
          <w:sz w:val="24"/>
          <w:szCs w:val="24"/>
          <w:lang w:val="lt-LT"/>
        </w:rPr>
        <w:t xml:space="preserve"> / Finansų valdymo magistro baigiamasis darbas. Vadovė prof. dr. D. Jurevičienė. – Vilnius: Mykolo Romerio universitetas, Ekonomikos ir finans</w:t>
      </w:r>
      <w:r w:rsidRPr="0017614D">
        <w:rPr>
          <w:rFonts w:ascii="Times New Roman" w:eastAsia="TimesNewRomanPSMT" w:hAnsi="Times New Roman" w:cs="Times New Roman"/>
          <w:sz w:val="24"/>
          <w:szCs w:val="24"/>
          <w:lang w:val="lt-LT"/>
        </w:rPr>
        <w:t xml:space="preserve">ų </w:t>
      </w:r>
      <w:r w:rsidRPr="0017614D">
        <w:rPr>
          <w:rFonts w:ascii="Times New Roman" w:hAnsi="Times New Roman" w:cs="Times New Roman"/>
          <w:sz w:val="24"/>
          <w:szCs w:val="24"/>
          <w:lang w:val="lt-LT"/>
        </w:rPr>
        <w:t xml:space="preserve">valdymo fakultetas, 2013. – </w:t>
      </w:r>
      <w:r w:rsidR="00226DE6" w:rsidRPr="00226DE6">
        <w:rPr>
          <w:rFonts w:ascii="Times New Roman" w:hAnsi="Times New Roman" w:cs="Times New Roman"/>
          <w:sz w:val="24"/>
          <w:szCs w:val="24"/>
          <w:lang w:val="lt-LT"/>
        </w:rPr>
        <w:t>99</w:t>
      </w:r>
      <w:r w:rsidRPr="00226DE6">
        <w:rPr>
          <w:rFonts w:ascii="Times New Roman" w:hAnsi="Times New Roman" w:cs="Times New Roman"/>
          <w:sz w:val="24"/>
          <w:szCs w:val="24"/>
          <w:lang w:val="lt-LT"/>
        </w:rPr>
        <w:t xml:space="preserve"> p.</w:t>
      </w:r>
    </w:p>
    <w:p w:rsidR="00C53335" w:rsidRPr="0017614D" w:rsidRDefault="00C53335" w:rsidP="00C53335">
      <w:pPr>
        <w:autoSpaceDE w:val="0"/>
        <w:autoSpaceDN w:val="0"/>
        <w:adjustRightInd w:val="0"/>
        <w:spacing w:after="0"/>
        <w:contextualSpacing/>
        <w:jc w:val="both"/>
        <w:rPr>
          <w:rFonts w:ascii="Times New Roman" w:hAnsi="Times New Roman" w:cs="Times New Roman"/>
          <w:b/>
          <w:bCs/>
          <w:color w:val="FF0000"/>
          <w:sz w:val="40"/>
          <w:szCs w:val="40"/>
          <w:lang w:val="lt-LT"/>
        </w:rPr>
      </w:pPr>
    </w:p>
    <w:p w:rsidR="00C53335" w:rsidRPr="0017614D" w:rsidRDefault="00C53335" w:rsidP="00C53335">
      <w:pPr>
        <w:pStyle w:val="Heading1"/>
        <w:spacing w:before="0"/>
        <w:contextualSpacing/>
        <w:rPr>
          <w:lang w:val="lt-LT"/>
        </w:rPr>
      </w:pPr>
      <w:bookmarkStart w:id="108" w:name="_Toc374655667"/>
      <w:r w:rsidRPr="0017614D">
        <w:rPr>
          <w:lang w:val="lt-LT"/>
        </w:rPr>
        <w:t>SANTRAUKA</w:t>
      </w:r>
      <w:bookmarkEnd w:id="108"/>
    </w:p>
    <w:p w:rsidR="00C53335" w:rsidRPr="0017614D" w:rsidRDefault="00C53335" w:rsidP="00C53335">
      <w:pPr>
        <w:spacing w:after="0"/>
        <w:contextualSpacing/>
        <w:rPr>
          <w:lang w:val="lt-LT"/>
        </w:rPr>
      </w:pPr>
    </w:p>
    <w:p w:rsidR="00C53335" w:rsidRPr="0017614D" w:rsidRDefault="00C53335" w:rsidP="00C53335">
      <w:pPr>
        <w:spacing w:after="0" w:line="360" w:lineRule="auto"/>
        <w:ind w:right="-71"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Įmonių bankrotai – tai visoje Europoje plačiai paplitusi problema. Statistikos duomenimis Lietuvoje kiekvienais metais bankrutuoja labai daug įmonių, kas sukelia neigiamas pasekmes ne tik pačiam verslininkui, bet ir įmonės darbuotojams, kreditoriams, partneriams ir net visam šalies ūkiui. Šios problemos mastai verčia galvoti apie prevencinių priemonių taikymą. Daug autorių savo darbuose kalbėjo apie metodus, kuriuos naudojant įmonės galėtų išvengti bankroto, tačiau dauguma jų siūlė tai daryti tik vienu kokiu nors aspektu - tirti aplinką, kurioje įmonė veikia, nagrinėti finansines ataskaitas ar taikyti bankroto prognozavimo modelius. Visgi šiuolaikinės įmonės priskiriamos sudėtingų sistemų kategorijai, todėl </w:t>
      </w:r>
      <w:r w:rsidRPr="0017614D">
        <w:rPr>
          <w:rStyle w:val="hps"/>
          <w:rFonts w:ascii="Times New Roman" w:hAnsi="Times New Roman" w:cs="Times New Roman"/>
          <w:sz w:val="24"/>
          <w:szCs w:val="24"/>
          <w:lang w:val="lt-LT"/>
        </w:rPr>
        <w:t>bankroto grėsmę reikėtų vertinti sujungiant kelias metodikas</w:t>
      </w:r>
      <w:r w:rsidRPr="0017614D">
        <w:rPr>
          <w:rFonts w:ascii="Times New Roman" w:hAnsi="Times New Roman" w:cs="Times New Roman"/>
          <w:sz w:val="24"/>
          <w:szCs w:val="24"/>
          <w:lang w:val="lt-LT"/>
        </w:rPr>
        <w:t>, kurios apimtų tiek kokybinę, tiek kiekybinę įmonės būklės analizę. Taip pat būtina skirti didesnį dėmesį post-diagnostinėms priemonėms.</w:t>
      </w:r>
    </w:p>
    <w:p w:rsidR="00C53335" w:rsidRPr="0017614D" w:rsidRDefault="00C53335" w:rsidP="00C53335">
      <w:pPr>
        <w:spacing w:after="0" w:line="360" w:lineRule="auto"/>
        <w:ind w:right="-74"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Magistro baigiamajame darbe, kurio objektas yra kompleksinės bankroto grėsmės nustatymo metodikos tinkamumas Lietuvos įmonių bankroto grėsmei nustatyti, buvo siekiama ištirti, ar kompleksinės bankroto diagnozavimo metodikos pagalba galima nustatyti Lietuvos įmonių tikimybę bankrutuoti bei pasiūlyti post-diagnostines priemones nagrinėjamoms įmonėms. Šiam tikslui pasiekti buvo keliami pagrindiniai uždaviniai: susisteminti bankroto teorinius aspektus; pagrįsti bankroto prevencijos būtinumą remiantis 1993 – 2012 m. įmonių bankroto kitimo dinamika Lietuvoje; išanalizuoti kompleksinę bankroto grėsmės nustatymo metodiką; pritaikyti kompleksinę bankroto grėsmės nustatymo metodiką pasirinktoms bankrutavusioms ir nebankrutavusioms Lietuvos transportavimo įmonėms bei pasiūlyti post-diagnostines priemones; nustatyti pasirinktos metodikos tinkamumą Lietuvos transportavimo įmonių bankroto diagnostikai. Darbe taikyti tyrimo metodai: mokslinės literatūros bei teisės aktų analizė, loginė lyginamoji analizė, apibendrinimo, statistinių duomenų analizė bei kiekybinės analizės metodai – absoliutinių finansinių rodiklių analizė, finansinių santykinių rodiklių apskaičiavimas ir vertinimas, bankroto prognozavimo modelių taikymas.</w:t>
      </w:r>
    </w:p>
    <w:p w:rsidR="00C53335" w:rsidRPr="0017614D" w:rsidRDefault="00C53335" w:rsidP="00C53335">
      <w:pPr>
        <w:spacing w:line="360" w:lineRule="auto"/>
        <w:ind w:firstLine="720"/>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Pagrindiniai tyrimo rezultatai: nustatyta, kad įmonių bankroto grėsmės nustatymui naudojant pavienius kompleksinės metodikos elementus (vidinės ir išorinės aplinkos analizė, absoliutinių bei santykinių finansinių rodiklių analizė bei bankroto prognozavimo modelių taikymas) dažnai nėra </w:t>
      </w:r>
      <w:r w:rsidRPr="0017614D">
        <w:rPr>
          <w:rFonts w:ascii="Times New Roman" w:hAnsi="Times New Roman" w:cs="Times New Roman"/>
          <w:sz w:val="24"/>
          <w:szCs w:val="24"/>
          <w:lang w:val="lt-LT"/>
        </w:rPr>
        <w:lastRenderedPageBreak/>
        <w:t xml:space="preserve">atskleidžiama reali įmonių situacija, dėl ko gali būti padarytos klaidingos išvados. Tuo tarpu sujungus visus šiuos elementus į vieną metodiką, yra pastebima, kad jie puikiai papildo vienas kitą, todėl yra gaunama visapusiška informacija apie įmonės būklę. Gauti rezultatai leidžia daryti išvadą, kad kompleksinė bankroto grėsmės nustatymo metodika yra tinkama Lietuvos transportavimo bendrovių bankrotui diagnozuoti ir yra pranašesnė už kitus metodus. Atsižvelgiant į šiuos rezultatus įmonėms yra siūloma taikyti kompleksinį metodą siekinat išvengti galimos bankroto grėsmės bei paskirti už tai atsakingą asmenį, kuris gautus analizės rezultatus mažiausiai kartą per pusmetį pristatytų įmonės vadovams. Taip pat yra akcentuojama, kad šios metodikos taikymas turi prasmę tik, jei diagnozavus gresiantį bankrotą, bus taikomos post-diagnostinės priemonės siekiant jo išvengti. </w:t>
      </w:r>
    </w:p>
    <w:p w:rsidR="00C53335" w:rsidRPr="0017614D" w:rsidRDefault="00C53335" w:rsidP="00C53335">
      <w:pPr>
        <w:spacing w:line="336" w:lineRule="auto"/>
        <w:ind w:firstLine="720"/>
        <w:jc w:val="both"/>
        <w:rPr>
          <w:rFonts w:ascii="Times New Roman" w:hAnsi="Times New Roman" w:cs="Times New Roman"/>
          <w:sz w:val="24"/>
          <w:szCs w:val="24"/>
          <w:lang w:val="lt-LT"/>
        </w:rPr>
      </w:pPr>
    </w:p>
    <w:p w:rsidR="00C53335" w:rsidRPr="0017614D" w:rsidRDefault="00C53335" w:rsidP="00C53335">
      <w:pPr>
        <w:spacing w:line="336" w:lineRule="auto"/>
        <w:ind w:firstLine="720"/>
        <w:jc w:val="both"/>
        <w:rPr>
          <w:rFonts w:ascii="Times New Roman" w:hAnsi="Times New Roman" w:cs="Times New Roman"/>
          <w:sz w:val="24"/>
          <w:szCs w:val="24"/>
          <w:lang w:val="lt-LT"/>
        </w:rPr>
      </w:pPr>
    </w:p>
    <w:p w:rsidR="00C53335" w:rsidRPr="0017614D" w:rsidRDefault="00C53335" w:rsidP="00C53335">
      <w:pPr>
        <w:spacing w:line="336" w:lineRule="auto"/>
        <w:ind w:firstLine="720"/>
        <w:jc w:val="both"/>
        <w:rPr>
          <w:rFonts w:ascii="Times New Roman" w:hAnsi="Times New Roman" w:cs="Times New Roman"/>
          <w:sz w:val="24"/>
          <w:szCs w:val="24"/>
          <w:lang w:val="lt-LT"/>
        </w:rPr>
      </w:pPr>
    </w:p>
    <w:p w:rsidR="00C53335" w:rsidRPr="0017614D" w:rsidRDefault="00C53335" w:rsidP="00C53335">
      <w:pPr>
        <w:spacing w:line="336" w:lineRule="auto"/>
        <w:ind w:firstLine="720"/>
        <w:jc w:val="both"/>
        <w:rPr>
          <w:rFonts w:ascii="Times New Roman" w:hAnsi="Times New Roman" w:cs="Times New Roman"/>
          <w:sz w:val="24"/>
          <w:szCs w:val="24"/>
          <w:lang w:val="lt-LT"/>
        </w:rPr>
      </w:pPr>
    </w:p>
    <w:p w:rsidR="00C53335" w:rsidRPr="0017614D" w:rsidRDefault="00C53335" w:rsidP="00C53335">
      <w:pPr>
        <w:spacing w:line="336" w:lineRule="auto"/>
        <w:ind w:firstLine="720"/>
        <w:jc w:val="both"/>
        <w:rPr>
          <w:rFonts w:ascii="Times New Roman" w:hAnsi="Times New Roman" w:cs="Times New Roman"/>
          <w:sz w:val="24"/>
          <w:szCs w:val="24"/>
          <w:lang w:val="lt-LT"/>
        </w:rPr>
      </w:pPr>
    </w:p>
    <w:p w:rsidR="00C53335" w:rsidRPr="0017614D" w:rsidRDefault="00C53335" w:rsidP="00C53335">
      <w:pPr>
        <w:spacing w:line="336" w:lineRule="auto"/>
        <w:ind w:firstLine="720"/>
        <w:jc w:val="both"/>
        <w:rPr>
          <w:rFonts w:ascii="Times New Roman" w:hAnsi="Times New Roman" w:cs="Times New Roman"/>
          <w:sz w:val="24"/>
          <w:szCs w:val="24"/>
          <w:lang w:val="lt-LT"/>
        </w:rPr>
      </w:pPr>
    </w:p>
    <w:p w:rsidR="00C53335" w:rsidRPr="0017614D" w:rsidRDefault="00C53335" w:rsidP="00C53335">
      <w:pPr>
        <w:spacing w:line="336" w:lineRule="auto"/>
        <w:ind w:firstLine="720"/>
        <w:jc w:val="both"/>
        <w:rPr>
          <w:rFonts w:ascii="Times New Roman" w:hAnsi="Times New Roman" w:cs="Times New Roman"/>
          <w:sz w:val="24"/>
          <w:szCs w:val="24"/>
          <w:lang w:val="lt-LT"/>
        </w:rPr>
      </w:pPr>
    </w:p>
    <w:p w:rsidR="00C53335" w:rsidRPr="0017614D" w:rsidRDefault="00C53335" w:rsidP="00C53335">
      <w:pPr>
        <w:spacing w:line="336" w:lineRule="auto"/>
        <w:ind w:firstLine="720"/>
        <w:jc w:val="both"/>
        <w:rPr>
          <w:rFonts w:ascii="Times New Roman" w:hAnsi="Times New Roman" w:cs="Times New Roman"/>
          <w:sz w:val="24"/>
          <w:szCs w:val="24"/>
          <w:lang w:val="lt-LT"/>
        </w:rPr>
      </w:pPr>
    </w:p>
    <w:p w:rsidR="00C53335" w:rsidRPr="0017614D" w:rsidRDefault="00C53335" w:rsidP="00C53335">
      <w:pPr>
        <w:spacing w:line="336" w:lineRule="auto"/>
        <w:ind w:firstLine="720"/>
        <w:jc w:val="both"/>
        <w:rPr>
          <w:rFonts w:ascii="Times New Roman" w:hAnsi="Times New Roman" w:cs="Times New Roman"/>
          <w:sz w:val="24"/>
          <w:szCs w:val="24"/>
          <w:lang w:val="lt-LT"/>
        </w:rPr>
      </w:pPr>
    </w:p>
    <w:p w:rsidR="00C53335" w:rsidRPr="0017614D" w:rsidRDefault="00C53335" w:rsidP="00C53335">
      <w:pPr>
        <w:spacing w:line="336" w:lineRule="auto"/>
        <w:ind w:firstLine="720"/>
        <w:jc w:val="both"/>
        <w:rPr>
          <w:rFonts w:ascii="Times New Roman" w:hAnsi="Times New Roman" w:cs="Times New Roman"/>
          <w:sz w:val="24"/>
          <w:szCs w:val="24"/>
          <w:lang w:val="lt-LT"/>
        </w:rPr>
      </w:pPr>
    </w:p>
    <w:p w:rsidR="00C53335" w:rsidRPr="0017614D" w:rsidRDefault="00C53335" w:rsidP="00C53335">
      <w:pPr>
        <w:spacing w:line="336" w:lineRule="auto"/>
        <w:ind w:firstLine="720"/>
        <w:jc w:val="both"/>
        <w:rPr>
          <w:rFonts w:ascii="Times New Roman" w:hAnsi="Times New Roman" w:cs="Times New Roman"/>
          <w:sz w:val="24"/>
          <w:szCs w:val="24"/>
          <w:lang w:val="lt-LT"/>
        </w:rPr>
      </w:pPr>
    </w:p>
    <w:p w:rsidR="00C53335" w:rsidRPr="0017614D" w:rsidRDefault="00C53335" w:rsidP="00C53335">
      <w:pPr>
        <w:spacing w:line="336" w:lineRule="auto"/>
        <w:ind w:firstLine="720"/>
        <w:jc w:val="both"/>
        <w:rPr>
          <w:rFonts w:ascii="Times New Roman" w:hAnsi="Times New Roman" w:cs="Times New Roman"/>
          <w:sz w:val="24"/>
          <w:szCs w:val="24"/>
          <w:lang w:val="lt-LT"/>
        </w:rPr>
      </w:pPr>
    </w:p>
    <w:p w:rsidR="00C53335" w:rsidRPr="0017614D" w:rsidRDefault="00C53335" w:rsidP="00C53335">
      <w:pPr>
        <w:spacing w:line="336" w:lineRule="auto"/>
        <w:ind w:firstLine="720"/>
        <w:jc w:val="both"/>
        <w:rPr>
          <w:rFonts w:ascii="Times New Roman" w:hAnsi="Times New Roman" w:cs="Times New Roman"/>
          <w:sz w:val="24"/>
          <w:szCs w:val="24"/>
          <w:lang w:val="lt-LT"/>
        </w:rPr>
      </w:pPr>
    </w:p>
    <w:p w:rsidR="00C53335" w:rsidRDefault="00C53335" w:rsidP="00C53335">
      <w:pPr>
        <w:spacing w:line="336" w:lineRule="auto"/>
        <w:ind w:firstLine="720"/>
        <w:jc w:val="both"/>
        <w:rPr>
          <w:rFonts w:ascii="Times New Roman" w:hAnsi="Times New Roman" w:cs="Times New Roman"/>
          <w:sz w:val="24"/>
          <w:szCs w:val="24"/>
          <w:lang w:val="lt-LT"/>
        </w:rPr>
      </w:pPr>
    </w:p>
    <w:p w:rsidR="00C53335" w:rsidRDefault="00C53335" w:rsidP="00C53335">
      <w:pPr>
        <w:spacing w:line="336" w:lineRule="auto"/>
        <w:ind w:firstLine="720"/>
        <w:jc w:val="both"/>
        <w:rPr>
          <w:rFonts w:ascii="Times New Roman" w:hAnsi="Times New Roman" w:cs="Times New Roman"/>
          <w:sz w:val="24"/>
          <w:szCs w:val="24"/>
          <w:lang w:val="lt-LT"/>
        </w:rPr>
      </w:pPr>
    </w:p>
    <w:p w:rsidR="00C53335" w:rsidRPr="0017614D" w:rsidRDefault="00C53335" w:rsidP="00C53335">
      <w:pPr>
        <w:spacing w:line="336" w:lineRule="auto"/>
        <w:ind w:firstLine="720"/>
        <w:jc w:val="both"/>
        <w:rPr>
          <w:rFonts w:ascii="Times New Roman" w:hAnsi="Times New Roman" w:cs="Times New Roman"/>
          <w:sz w:val="24"/>
          <w:szCs w:val="24"/>
          <w:lang w:val="lt-LT"/>
        </w:rPr>
      </w:pPr>
    </w:p>
    <w:p w:rsidR="00C53335" w:rsidRPr="0017614D" w:rsidRDefault="00C53335" w:rsidP="00C53335">
      <w:pPr>
        <w:autoSpaceDE w:val="0"/>
        <w:autoSpaceDN w:val="0"/>
        <w:adjustRightInd w:val="0"/>
        <w:spacing w:after="0" w:line="360" w:lineRule="auto"/>
        <w:ind w:firstLine="720"/>
        <w:contextualSpacing/>
        <w:jc w:val="both"/>
        <w:rPr>
          <w:rFonts w:ascii="Times New Roman" w:hAnsi="Times New Roman" w:cs="Times New Roman"/>
          <w:color w:val="FF0000"/>
          <w:sz w:val="24"/>
          <w:szCs w:val="24"/>
          <w:lang w:val="lt-LT"/>
        </w:rPr>
      </w:pPr>
      <w:r w:rsidRPr="0017614D">
        <w:rPr>
          <w:rFonts w:ascii="Times New Roman" w:hAnsi="Times New Roman" w:cs="Times New Roman"/>
          <w:b/>
          <w:bCs/>
          <w:sz w:val="24"/>
          <w:szCs w:val="24"/>
          <w:lang w:val="lt-LT"/>
        </w:rPr>
        <w:lastRenderedPageBreak/>
        <w:t>Bercevič</w:t>
      </w:r>
      <w:r w:rsidRPr="0017614D">
        <w:rPr>
          <w:rFonts w:ascii="Times New Roman" w:eastAsia="TimesNewRomanPS-BoldMT" w:hAnsi="Times New Roman" w:cs="Times New Roman"/>
          <w:b/>
          <w:bCs/>
          <w:sz w:val="24"/>
          <w:szCs w:val="24"/>
          <w:lang w:val="lt-LT"/>
        </w:rPr>
        <w:t xml:space="preserve"> E</w:t>
      </w:r>
      <w:r w:rsidRPr="0017614D">
        <w:rPr>
          <w:rFonts w:ascii="Times New Roman" w:hAnsi="Times New Roman" w:cs="Times New Roman"/>
          <w:b/>
          <w:bCs/>
          <w:sz w:val="24"/>
          <w:szCs w:val="24"/>
          <w:lang w:val="lt-LT"/>
        </w:rPr>
        <w:t xml:space="preserve">. </w:t>
      </w:r>
      <w:r w:rsidRPr="0017614D">
        <w:rPr>
          <w:rFonts w:ascii="Times New Roman" w:hAnsi="Times New Roman" w:cs="Times New Roman"/>
          <w:bCs/>
          <w:sz w:val="24"/>
          <w:szCs w:val="24"/>
          <w:lang w:val="lt-LT"/>
        </w:rPr>
        <w:t xml:space="preserve">The evaluation of complex bankruptcy threat detection methodology </w:t>
      </w:r>
      <w:r w:rsidRPr="0017614D">
        <w:rPr>
          <w:rFonts w:ascii="Times New Roman" w:hAnsi="Times New Roman" w:cs="Times New Roman"/>
          <w:sz w:val="24"/>
          <w:szCs w:val="24"/>
          <w:lang w:val="lt-LT"/>
        </w:rPr>
        <w:t xml:space="preserve">suitability for Lithuanian enterprises of transportation branch / Master’s Work in Financial Management. Supervisor prof. dr. D. Jurevičienė. – Vilnius: Faculcy of Economics and Finance Management, Mykolas Romeris University, 2013. </w:t>
      </w:r>
      <w:r w:rsidRPr="00226DE6">
        <w:rPr>
          <w:rFonts w:ascii="Times New Roman" w:hAnsi="Times New Roman" w:cs="Times New Roman"/>
          <w:sz w:val="24"/>
          <w:szCs w:val="24"/>
          <w:lang w:val="lt-LT"/>
        </w:rPr>
        <w:t xml:space="preserve">– </w:t>
      </w:r>
      <w:r w:rsidR="00226DE6" w:rsidRPr="00226DE6">
        <w:rPr>
          <w:rFonts w:ascii="Times New Roman" w:hAnsi="Times New Roman" w:cs="Times New Roman"/>
          <w:sz w:val="24"/>
          <w:szCs w:val="24"/>
          <w:lang w:val="lt-LT"/>
        </w:rPr>
        <w:t>99</w:t>
      </w:r>
      <w:r w:rsidRPr="00226DE6">
        <w:rPr>
          <w:rFonts w:ascii="Times New Roman" w:hAnsi="Times New Roman" w:cs="Times New Roman"/>
          <w:sz w:val="24"/>
          <w:szCs w:val="24"/>
          <w:lang w:val="lt-LT"/>
        </w:rPr>
        <w:t xml:space="preserve"> p.</w:t>
      </w:r>
    </w:p>
    <w:p w:rsidR="00C53335" w:rsidRPr="0017614D" w:rsidRDefault="00C53335" w:rsidP="00C53335">
      <w:pPr>
        <w:autoSpaceDE w:val="0"/>
        <w:autoSpaceDN w:val="0"/>
        <w:adjustRightInd w:val="0"/>
        <w:spacing w:after="0"/>
        <w:ind w:firstLine="720"/>
        <w:contextualSpacing/>
        <w:jc w:val="both"/>
        <w:rPr>
          <w:rFonts w:ascii="Times New Roman" w:hAnsi="Times New Roman" w:cs="Times New Roman"/>
          <w:sz w:val="24"/>
          <w:szCs w:val="24"/>
          <w:lang w:val="lt-LT"/>
        </w:rPr>
      </w:pPr>
    </w:p>
    <w:p w:rsidR="00C53335" w:rsidRPr="0017614D" w:rsidRDefault="00C53335" w:rsidP="00C53335">
      <w:pPr>
        <w:autoSpaceDE w:val="0"/>
        <w:autoSpaceDN w:val="0"/>
        <w:adjustRightInd w:val="0"/>
        <w:spacing w:after="0"/>
        <w:ind w:firstLine="720"/>
        <w:contextualSpacing/>
        <w:jc w:val="both"/>
        <w:rPr>
          <w:rFonts w:ascii="Times New Roman" w:hAnsi="Times New Roman" w:cs="Times New Roman"/>
          <w:sz w:val="24"/>
          <w:szCs w:val="24"/>
          <w:lang w:val="lt-LT"/>
        </w:rPr>
      </w:pPr>
    </w:p>
    <w:p w:rsidR="00C53335" w:rsidRPr="0017614D" w:rsidRDefault="00C53335" w:rsidP="00C53335">
      <w:pPr>
        <w:pStyle w:val="Heading1"/>
        <w:spacing w:before="0"/>
        <w:contextualSpacing/>
        <w:rPr>
          <w:lang w:val="lt-LT"/>
        </w:rPr>
      </w:pPr>
      <w:bookmarkStart w:id="109" w:name="_Toc374655668"/>
      <w:r w:rsidRPr="0017614D">
        <w:rPr>
          <w:lang w:val="lt-LT"/>
        </w:rPr>
        <w:t>SUMMARY</w:t>
      </w:r>
      <w:bookmarkEnd w:id="109"/>
    </w:p>
    <w:p w:rsidR="00C53335" w:rsidRPr="0017614D" w:rsidRDefault="00C53335" w:rsidP="00C53335">
      <w:pPr>
        <w:spacing w:after="0"/>
        <w:ind w:right="-74" w:firstLine="720"/>
        <w:contextualSpacing/>
        <w:jc w:val="both"/>
        <w:rPr>
          <w:rFonts w:ascii="Times New Roman" w:hAnsi="Times New Roman" w:cs="Times New Roman"/>
          <w:sz w:val="24"/>
          <w:szCs w:val="24"/>
          <w:lang w:val="lt-LT"/>
        </w:rPr>
      </w:pPr>
    </w:p>
    <w:p w:rsidR="00C53335" w:rsidRPr="0017614D" w:rsidRDefault="00C53335" w:rsidP="00C53335">
      <w:pPr>
        <w:spacing w:after="0" w:line="360" w:lineRule="auto"/>
        <w:ind w:right="-74"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Corporate bankruptcy is a relevant problem widespread not only in Lithuania, but in Europe as well. According to statistical data a huge number of companies goes bankrupt every year in Lithuania. This phenomen has negative impact not only on the entrepreneur, but also employees, creditors, partners and even the entire economy, so the necessity of applying preventive measures is obviuos. </w:t>
      </w:r>
      <w:r w:rsidRPr="0017614D">
        <w:rPr>
          <w:rStyle w:val="hps"/>
          <w:rFonts w:ascii="Times New Roman" w:hAnsi="Times New Roman" w:cs="Times New Roman"/>
          <w:sz w:val="24"/>
          <w:szCs w:val="24"/>
          <w:lang w:val="lt-LT"/>
        </w:rPr>
        <w:t>Many</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authors</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worked</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on this issue, but</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most of them</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suggest to companies applying only</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one</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method to avoid bankruptcy, for example, examine enterprise environment, analyze financial statements</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or</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apply bankruptcy prediction</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models. However,</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the modern enterprises are</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assigned</w:t>
      </w:r>
      <w:r w:rsidRPr="0017614D">
        <w:rPr>
          <w:rFonts w:ascii="Times New Roman" w:hAnsi="Times New Roman" w:cs="Times New Roman"/>
          <w:sz w:val="24"/>
          <w:szCs w:val="24"/>
          <w:lang w:val="lt-LT"/>
        </w:rPr>
        <w:t xml:space="preserve"> to the complex system </w:t>
      </w:r>
      <w:r w:rsidRPr="0017614D">
        <w:rPr>
          <w:rStyle w:val="hps"/>
          <w:rFonts w:ascii="Times New Roman" w:hAnsi="Times New Roman" w:cs="Times New Roman"/>
          <w:sz w:val="24"/>
          <w:szCs w:val="24"/>
          <w:lang w:val="lt-LT"/>
        </w:rPr>
        <w:t>category</w:t>
      </w:r>
      <w:r w:rsidRPr="0017614D">
        <w:rPr>
          <w:rFonts w:ascii="Times New Roman" w:hAnsi="Times New Roman" w:cs="Times New Roman"/>
          <w:sz w:val="24"/>
          <w:szCs w:val="24"/>
          <w:lang w:val="lt-LT"/>
        </w:rPr>
        <w:t xml:space="preserve">, so </w:t>
      </w:r>
      <w:r w:rsidRPr="0017614D">
        <w:rPr>
          <w:rStyle w:val="hps"/>
          <w:rFonts w:ascii="Times New Roman" w:hAnsi="Times New Roman" w:cs="Times New Roman"/>
          <w:sz w:val="24"/>
          <w:szCs w:val="24"/>
          <w:lang w:val="lt-LT"/>
        </w:rPr>
        <w:t>the bankruptcy threat should be analyzed in more complex way</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by combining</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several</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techniques</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including</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both qualitative and</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quantitative</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analysis</w:t>
      </w:r>
      <w:r w:rsidRPr="0017614D">
        <w:rPr>
          <w:rFonts w:ascii="Times New Roman" w:hAnsi="Times New Roman" w:cs="Times New Roman"/>
          <w:sz w:val="24"/>
          <w:szCs w:val="24"/>
          <w:lang w:val="lt-LT"/>
        </w:rPr>
        <w:t>. Also there is necessary to pay greater attention to post-diagnostic measures.</w:t>
      </w:r>
    </w:p>
    <w:p w:rsidR="00C53335" w:rsidRPr="0017614D" w:rsidRDefault="00C53335" w:rsidP="00C53335">
      <w:pPr>
        <w:autoSpaceDE w:val="0"/>
        <w:autoSpaceDN w:val="0"/>
        <w:adjustRightInd w:val="0"/>
        <w:spacing w:after="0" w:line="360" w:lineRule="auto"/>
        <w:ind w:firstLine="720"/>
        <w:contextualSpacing/>
        <w:jc w:val="both"/>
        <w:rPr>
          <w:rFonts w:ascii="Times New Roman" w:hAnsi="Times New Roman" w:cs="Times New Roman"/>
          <w:sz w:val="24"/>
          <w:szCs w:val="24"/>
          <w:lang w:val="lt-LT"/>
        </w:rPr>
      </w:pPr>
      <w:r w:rsidRPr="0017614D">
        <w:rPr>
          <w:rFonts w:ascii="Times New Roman" w:eastAsia="Times New Roman" w:hAnsi="Times New Roman" w:cs="Times New Roman"/>
          <w:sz w:val="24"/>
          <w:szCs w:val="24"/>
          <w:lang w:val="lt-LT"/>
        </w:rPr>
        <w:t xml:space="preserve">In the master's thesis, which research object is the suitability of a complex bankruptcy diagnosis methodology for Lithuanian enterprises, the main purpose was to evaluate whether the complex bankruptcy threat detection methods can be used to determine the probability of bankruptcy for Lithuanian transportation companies and suggest the post-diagnostic measures to them. </w:t>
      </w:r>
      <w:r w:rsidRPr="0017614D">
        <w:rPr>
          <w:rStyle w:val="hps"/>
          <w:rFonts w:ascii="Times New Roman" w:hAnsi="Times New Roman" w:cs="Times New Roman"/>
          <w:sz w:val="24"/>
          <w:szCs w:val="24"/>
          <w:lang w:val="lt-LT"/>
        </w:rPr>
        <w:t xml:space="preserve">To achieve this objective </w:t>
      </w:r>
      <w:r w:rsidRPr="0017614D">
        <w:rPr>
          <w:rFonts w:ascii="Times New Roman" w:hAnsi="Times New Roman" w:cs="Times New Roman"/>
          <w:sz w:val="24"/>
          <w:szCs w:val="24"/>
          <w:lang w:val="lt-LT"/>
        </w:rPr>
        <w:t xml:space="preserve">such general tasks were set: to </w:t>
      </w:r>
      <w:r w:rsidRPr="0017614D">
        <w:rPr>
          <w:rStyle w:val="hps"/>
          <w:rFonts w:ascii="Times New Roman" w:hAnsi="Times New Roman" w:cs="Times New Roman"/>
          <w:sz w:val="24"/>
          <w:szCs w:val="24"/>
          <w:lang w:val="lt-LT"/>
        </w:rPr>
        <w:t>systemize theoretical</w:t>
      </w:r>
      <w:r w:rsidRPr="0017614D">
        <w:rPr>
          <w:rStyle w:val="shorttext"/>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aspects of</w:t>
      </w:r>
      <w:r w:rsidRPr="0017614D">
        <w:rPr>
          <w:rStyle w:val="shorttext"/>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bankruptcy; to substantiate necessity of bankruptcy prevention on the basis of 1993 – 2013 year Lithuanian corporate</w:t>
      </w:r>
      <w:r w:rsidRPr="0017614D">
        <w:rPr>
          <w:rStyle w:val="shorttext"/>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bankruptcy</w:t>
      </w:r>
      <w:r w:rsidRPr="0017614D">
        <w:rPr>
          <w:rStyle w:val="shorttext"/>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dynamics</w:t>
      </w:r>
      <w:r w:rsidRPr="0017614D">
        <w:rPr>
          <w:rStyle w:val="shorttext"/>
          <w:rFonts w:ascii="Times New Roman" w:hAnsi="Times New Roman" w:cs="Times New Roman"/>
          <w:sz w:val="24"/>
          <w:szCs w:val="24"/>
          <w:lang w:val="lt-LT"/>
        </w:rPr>
        <w:t xml:space="preserve"> data</w:t>
      </w:r>
      <w:r w:rsidRPr="0017614D">
        <w:rPr>
          <w:rStyle w:val="hps"/>
          <w:rFonts w:ascii="Times New Roman" w:hAnsi="Times New Roman" w:cs="Times New Roman"/>
          <w:sz w:val="24"/>
          <w:szCs w:val="24"/>
          <w:lang w:val="lt-LT"/>
        </w:rPr>
        <w:t>; to analyze</w:t>
      </w:r>
      <w:r w:rsidRPr="0017614D">
        <w:rPr>
          <w:rStyle w:val="shorttext"/>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complex</w:t>
      </w:r>
      <w:r w:rsidRPr="0017614D">
        <w:rPr>
          <w:rStyle w:val="shorttext"/>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bankruptcy diagnosis</w:t>
      </w:r>
      <w:r w:rsidRPr="0017614D">
        <w:rPr>
          <w:rStyle w:val="shorttext"/>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methodology; apply complex</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bankruptcy</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threat detection</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methodology for</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bankrupt</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and</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non bankrupt</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Lithuanian</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 xml:space="preserve">companies of transportation branch and suggest post-diagnostic measures; </w:t>
      </w:r>
      <w:r w:rsidRPr="0017614D">
        <w:rPr>
          <w:rFonts w:ascii="Times New Roman" w:eastAsia="Times New Roman" w:hAnsi="Times New Roman" w:cs="Times New Roman"/>
          <w:sz w:val="24"/>
          <w:szCs w:val="24"/>
          <w:lang w:val="lt-LT"/>
        </w:rPr>
        <w:t xml:space="preserve">determine the suitability of the chosen bankruptcy diagnosis methodology for Lithuania enterprises of transportation branch. </w:t>
      </w:r>
      <w:r w:rsidRPr="0017614D">
        <w:rPr>
          <w:rFonts w:ascii="Times New Roman" w:hAnsi="Times New Roman" w:cs="Times New Roman"/>
          <w:sz w:val="24"/>
          <w:szCs w:val="24"/>
          <w:lang w:val="lt-LT"/>
        </w:rPr>
        <w:t>For reaching main thesis goal these research methods were applied: scientific literature and legislation analysis, logical comparative analysis, statistical data and quantitative analysis – absolute financial ratios analyses, relative financial ratios calculation and evaluation and bankruptcy prediction models application.</w:t>
      </w:r>
    </w:p>
    <w:p w:rsidR="00C53335" w:rsidRPr="0017614D" w:rsidRDefault="00C53335" w:rsidP="00C53335">
      <w:pPr>
        <w:spacing w:after="0" w:line="360" w:lineRule="auto"/>
        <w:ind w:firstLine="720"/>
        <w:contextualSpacing/>
        <w:jc w:val="both"/>
        <w:rPr>
          <w:rFonts w:ascii="Times New Roman" w:hAnsi="Times New Roman" w:cs="Times New Roman"/>
          <w:sz w:val="24"/>
          <w:szCs w:val="24"/>
          <w:lang w:val="lt-LT"/>
        </w:rPr>
      </w:pPr>
      <w:r w:rsidRPr="0017614D">
        <w:rPr>
          <w:rFonts w:ascii="Times New Roman" w:hAnsi="Times New Roman" w:cs="Times New Roman"/>
          <w:sz w:val="24"/>
          <w:szCs w:val="24"/>
          <w:lang w:val="lt-LT"/>
        </w:rPr>
        <w:t xml:space="preserve">Core research results: there was found that using only one complex methodology element </w:t>
      </w:r>
      <w:r w:rsidRPr="0017614D">
        <w:rPr>
          <w:rStyle w:val="hps"/>
          <w:rFonts w:ascii="Times New Roman" w:hAnsi="Times New Roman" w:cs="Times New Roman"/>
          <w:sz w:val="24"/>
          <w:szCs w:val="24"/>
          <w:lang w:val="lt-LT"/>
        </w:rPr>
        <w:t>(internal</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and external</w:t>
      </w:r>
      <w:r w:rsidRPr="0017614D">
        <w:rPr>
          <w:rFonts w:ascii="Times New Roman" w:hAnsi="Times New Roman" w:cs="Times New Roman"/>
          <w:sz w:val="24"/>
          <w:szCs w:val="24"/>
          <w:lang w:val="lt-LT"/>
        </w:rPr>
        <w:t xml:space="preserve"> environment </w:t>
      </w:r>
      <w:r w:rsidRPr="0017614D">
        <w:rPr>
          <w:rStyle w:val="hps"/>
          <w:rFonts w:ascii="Times New Roman" w:hAnsi="Times New Roman" w:cs="Times New Roman"/>
          <w:sz w:val="24"/>
          <w:szCs w:val="24"/>
          <w:lang w:val="lt-LT"/>
        </w:rPr>
        <w:t>analysis,</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absolute</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or</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relative financial</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ratio analysis</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bankruptcy prediction</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lastRenderedPageBreak/>
        <w:t>models</w:t>
      </w:r>
      <w:r w:rsidRPr="0017614D">
        <w:rPr>
          <w:rFonts w:ascii="Times New Roman" w:hAnsi="Times New Roman" w:cs="Times New Roman"/>
          <w:sz w:val="24"/>
          <w:szCs w:val="24"/>
          <w:lang w:val="lt-LT"/>
        </w:rPr>
        <w:t xml:space="preserve">) for corporate bankruptcy probability forecasting is </w:t>
      </w:r>
      <w:r w:rsidRPr="0017614D">
        <w:rPr>
          <w:rStyle w:val="hps"/>
          <w:rFonts w:ascii="Times New Roman" w:hAnsi="Times New Roman" w:cs="Times New Roman"/>
          <w:sz w:val="24"/>
          <w:szCs w:val="24"/>
          <w:lang w:val="lt-LT"/>
        </w:rPr>
        <w:t>not</w:t>
      </w:r>
      <w:r w:rsidRPr="0017614D">
        <w:rPr>
          <w:rStyle w:val="shorttext"/>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sufficiently</w:t>
      </w:r>
      <w:r w:rsidRPr="0017614D">
        <w:rPr>
          <w:rStyle w:val="shorttext"/>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 xml:space="preserve">informative, that </w:t>
      </w:r>
      <w:r w:rsidRPr="0017614D">
        <w:rPr>
          <w:rFonts w:ascii="Times New Roman" w:hAnsi="Times New Roman" w:cs="Times New Roman"/>
          <w:sz w:val="24"/>
          <w:szCs w:val="24"/>
          <w:lang w:val="lt-LT"/>
        </w:rPr>
        <w:t xml:space="preserve">may </w:t>
      </w:r>
      <w:r w:rsidRPr="0017614D">
        <w:rPr>
          <w:rStyle w:val="hps"/>
          <w:rFonts w:ascii="Times New Roman" w:hAnsi="Times New Roman" w:cs="Times New Roman"/>
          <w:sz w:val="24"/>
          <w:szCs w:val="24"/>
          <w:lang w:val="lt-LT"/>
        </w:rPr>
        <w:t>lead to misleading conclusions</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Meanwhile, the</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combination of</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all these elements</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into a single</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methodology</w:t>
      </w:r>
      <w:r w:rsidRPr="0017614D">
        <w:rPr>
          <w:rFonts w:ascii="Times New Roman" w:hAnsi="Times New Roman" w:cs="Times New Roman"/>
          <w:sz w:val="24"/>
          <w:szCs w:val="24"/>
          <w:lang w:val="lt-LT"/>
        </w:rPr>
        <w:t xml:space="preserve">, help to receive more </w:t>
      </w:r>
      <w:r w:rsidRPr="0017614D">
        <w:rPr>
          <w:rStyle w:val="hps"/>
          <w:rFonts w:ascii="Times New Roman" w:hAnsi="Times New Roman" w:cs="Times New Roman"/>
          <w:sz w:val="24"/>
          <w:szCs w:val="24"/>
          <w:lang w:val="lt-LT"/>
        </w:rPr>
        <w:t>comprehensive</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information</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about the</w:t>
      </w:r>
      <w:r w:rsidRPr="0017614D">
        <w:rPr>
          <w:rFonts w:ascii="Times New Roman" w:hAnsi="Times New Roman" w:cs="Times New Roman"/>
          <w:sz w:val="24"/>
          <w:szCs w:val="24"/>
          <w:lang w:val="lt-LT"/>
        </w:rPr>
        <w:t xml:space="preserve"> company’s </w:t>
      </w:r>
      <w:r w:rsidRPr="0017614D">
        <w:rPr>
          <w:rStyle w:val="hps"/>
          <w:rFonts w:ascii="Times New Roman" w:hAnsi="Times New Roman" w:cs="Times New Roman"/>
          <w:sz w:val="24"/>
          <w:szCs w:val="24"/>
          <w:lang w:val="lt-LT"/>
        </w:rPr>
        <w:t>state as these elements perfectly complement to</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one</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another. It follows from this results that the</w:t>
      </w:r>
      <w:r w:rsidRPr="0017614D">
        <w:rPr>
          <w:rFonts w:ascii="Times New Roman" w:eastAsia="Times New Roman" w:hAnsi="Times New Roman" w:cs="Times New Roman"/>
          <w:sz w:val="24"/>
          <w:szCs w:val="24"/>
          <w:lang w:val="lt-LT"/>
        </w:rPr>
        <w:t xml:space="preserve"> complex bankruptcy diagnosis methodology is suitable for Lithuanian transportation branch enterprises bankruptcy threat detection and is superior to other methods. Based on these results there is suggested applying complex bankruptcy diagnosis method for Lithuanian enterprises. The companies should also appoint the responsible person for such analyzes, who will at least once every six months present the results of it to head of company. </w:t>
      </w:r>
      <w:r w:rsidRPr="0017614D">
        <w:rPr>
          <w:rStyle w:val="hps"/>
          <w:rFonts w:ascii="Times New Roman" w:hAnsi="Times New Roman" w:cs="Times New Roman"/>
          <w:sz w:val="24"/>
          <w:szCs w:val="24"/>
          <w:lang w:val="lt-LT"/>
        </w:rPr>
        <w:t>Also there is</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emphasized that the</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applications of this methodology</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makes sense</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only</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if</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after diagnosis of</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imminent</w:t>
      </w:r>
      <w:r w:rsidRPr="0017614D">
        <w:rPr>
          <w:rFonts w:ascii="Times New Roman" w:hAnsi="Times New Roman" w:cs="Times New Roman"/>
          <w:sz w:val="24"/>
          <w:szCs w:val="24"/>
          <w:lang w:val="lt-LT"/>
        </w:rPr>
        <w:t xml:space="preserve"> </w:t>
      </w:r>
      <w:r w:rsidRPr="0017614D">
        <w:rPr>
          <w:rStyle w:val="hps"/>
          <w:rFonts w:ascii="Times New Roman" w:hAnsi="Times New Roman" w:cs="Times New Roman"/>
          <w:sz w:val="24"/>
          <w:szCs w:val="24"/>
          <w:lang w:val="lt-LT"/>
        </w:rPr>
        <w:t>bankruptcy,</w:t>
      </w:r>
      <w:r w:rsidRPr="0017614D">
        <w:rPr>
          <w:rFonts w:ascii="Times New Roman" w:hAnsi="Times New Roman" w:cs="Times New Roman"/>
          <w:sz w:val="24"/>
          <w:szCs w:val="24"/>
          <w:lang w:val="lt-LT"/>
        </w:rPr>
        <w:t xml:space="preserve"> the post-diagnostic measures will be applied.</w:t>
      </w:r>
    </w:p>
    <w:p w:rsidR="00C53335" w:rsidRDefault="00C53335" w:rsidP="002E710C">
      <w:pPr>
        <w:pStyle w:val="Heading1"/>
        <w:rPr>
          <w:rFonts w:eastAsia="TimesNewRomanPSMT"/>
          <w:lang w:val="lt-LT"/>
        </w:rPr>
      </w:pPr>
    </w:p>
    <w:p w:rsidR="00C53335" w:rsidRDefault="00C53335" w:rsidP="00C53335">
      <w:pPr>
        <w:rPr>
          <w:lang w:val="lt-LT"/>
        </w:rPr>
      </w:pPr>
    </w:p>
    <w:p w:rsidR="00C53335" w:rsidRDefault="00C53335" w:rsidP="00C53335">
      <w:pPr>
        <w:rPr>
          <w:lang w:val="lt-LT"/>
        </w:rPr>
      </w:pPr>
    </w:p>
    <w:p w:rsidR="00C53335" w:rsidRDefault="00C53335" w:rsidP="00C53335">
      <w:pPr>
        <w:rPr>
          <w:lang w:val="lt-LT"/>
        </w:rPr>
      </w:pPr>
    </w:p>
    <w:p w:rsidR="00C53335" w:rsidRDefault="00C53335" w:rsidP="00C53335">
      <w:pPr>
        <w:rPr>
          <w:lang w:val="lt-LT"/>
        </w:rPr>
      </w:pPr>
    </w:p>
    <w:p w:rsidR="00C53335" w:rsidRDefault="00C53335" w:rsidP="00C53335">
      <w:pPr>
        <w:rPr>
          <w:lang w:val="lt-LT"/>
        </w:rPr>
      </w:pPr>
    </w:p>
    <w:p w:rsidR="00C53335" w:rsidRDefault="00C53335" w:rsidP="00C53335">
      <w:pPr>
        <w:rPr>
          <w:lang w:val="lt-LT"/>
        </w:rPr>
      </w:pPr>
    </w:p>
    <w:p w:rsidR="00C53335" w:rsidRDefault="00C53335" w:rsidP="00C53335">
      <w:pPr>
        <w:rPr>
          <w:lang w:val="lt-LT"/>
        </w:rPr>
      </w:pPr>
    </w:p>
    <w:p w:rsidR="00C53335" w:rsidRDefault="00C53335" w:rsidP="00C53335">
      <w:pPr>
        <w:rPr>
          <w:lang w:val="lt-LT"/>
        </w:rPr>
      </w:pPr>
    </w:p>
    <w:p w:rsidR="00C53335" w:rsidRDefault="00C53335" w:rsidP="00C53335">
      <w:pPr>
        <w:rPr>
          <w:lang w:val="lt-LT"/>
        </w:rPr>
      </w:pPr>
    </w:p>
    <w:p w:rsidR="00C53335" w:rsidRDefault="00C53335" w:rsidP="00C53335">
      <w:pPr>
        <w:rPr>
          <w:lang w:val="lt-LT"/>
        </w:rPr>
      </w:pPr>
    </w:p>
    <w:p w:rsidR="00C53335" w:rsidRDefault="00C53335" w:rsidP="00C53335">
      <w:pPr>
        <w:rPr>
          <w:lang w:val="lt-LT"/>
        </w:rPr>
      </w:pPr>
    </w:p>
    <w:p w:rsidR="00C53335" w:rsidRDefault="00C53335" w:rsidP="00C53335">
      <w:pPr>
        <w:rPr>
          <w:lang w:val="lt-LT"/>
        </w:rPr>
      </w:pPr>
    </w:p>
    <w:p w:rsidR="00C53335" w:rsidRDefault="00C53335" w:rsidP="00C53335">
      <w:pPr>
        <w:rPr>
          <w:lang w:val="lt-LT"/>
        </w:rPr>
      </w:pPr>
    </w:p>
    <w:p w:rsidR="00C53335" w:rsidRDefault="00C53335" w:rsidP="00C53335">
      <w:pPr>
        <w:rPr>
          <w:lang w:val="lt-LT"/>
        </w:rPr>
      </w:pPr>
    </w:p>
    <w:p w:rsidR="00C53335" w:rsidRDefault="00C53335" w:rsidP="00C53335">
      <w:pPr>
        <w:rPr>
          <w:lang w:val="lt-LT"/>
        </w:rPr>
      </w:pPr>
    </w:p>
    <w:p w:rsidR="00C53335" w:rsidRDefault="00C53335" w:rsidP="00C53335">
      <w:pPr>
        <w:rPr>
          <w:lang w:val="lt-LT"/>
        </w:rPr>
      </w:pPr>
    </w:p>
    <w:p w:rsidR="00C53335" w:rsidRDefault="00C53335" w:rsidP="00C53335">
      <w:pPr>
        <w:rPr>
          <w:lang w:val="lt-LT"/>
        </w:rPr>
      </w:pPr>
    </w:p>
    <w:p w:rsidR="002E710C" w:rsidRDefault="002E710C" w:rsidP="002E710C">
      <w:pPr>
        <w:pStyle w:val="Heading1"/>
        <w:rPr>
          <w:rFonts w:eastAsia="TimesNewRomanPSMT"/>
          <w:lang w:val="lt-LT"/>
        </w:rPr>
      </w:pPr>
      <w:bookmarkStart w:id="110" w:name="_Toc374655669"/>
      <w:r w:rsidRPr="0017614D">
        <w:rPr>
          <w:rFonts w:eastAsia="TimesNewRomanPSMT"/>
          <w:lang w:val="lt-LT"/>
        </w:rPr>
        <w:lastRenderedPageBreak/>
        <w:t>PRIEDAI</w:t>
      </w:r>
      <w:bookmarkEnd w:id="110"/>
    </w:p>
    <w:p w:rsidR="00ED2D19" w:rsidRPr="005D0A53" w:rsidRDefault="00ED2D19" w:rsidP="00ED2D19">
      <w:pPr>
        <w:pStyle w:val="Heading1"/>
        <w:jc w:val="right"/>
      </w:pPr>
      <w:bookmarkStart w:id="111" w:name="_Toc323901601"/>
      <w:bookmarkStart w:id="112" w:name="_Toc374655670"/>
      <w:r w:rsidRPr="005D0A53">
        <w:t>1 PRIEDAS</w:t>
      </w:r>
      <w:bookmarkEnd w:id="111"/>
      <w:bookmarkEnd w:id="112"/>
      <w:r w:rsidRPr="005D0A53">
        <w:t xml:space="preserve"> </w:t>
      </w:r>
    </w:p>
    <w:p w:rsidR="00ED2D19" w:rsidRDefault="00ED2D19" w:rsidP="00ED2D19">
      <w:pPr>
        <w:tabs>
          <w:tab w:val="left" w:pos="142"/>
        </w:tabs>
        <w:spacing w:after="0" w:line="360" w:lineRule="auto"/>
        <w:ind w:firstLine="426"/>
        <w:rPr>
          <w:rFonts w:cs="Times New Roman"/>
        </w:rPr>
      </w:pPr>
    </w:p>
    <w:p w:rsidR="00ED2D19" w:rsidRDefault="00ED2D19" w:rsidP="00ED2D19">
      <w:pPr>
        <w:jc w:val="center"/>
        <w:rPr>
          <w:rFonts w:ascii="Times New Roman" w:hAnsi="Times New Roman" w:cs="Times New Roman"/>
          <w:b/>
          <w:sz w:val="24"/>
          <w:szCs w:val="24"/>
          <w:lang w:val="lt-LT"/>
        </w:rPr>
      </w:pPr>
      <w:r w:rsidRPr="00ED2D19">
        <w:rPr>
          <w:rFonts w:ascii="Times New Roman" w:hAnsi="Times New Roman" w:cs="Times New Roman"/>
          <w:b/>
          <w:sz w:val="24"/>
          <w:szCs w:val="24"/>
          <w:lang w:val="lt-LT"/>
        </w:rPr>
        <w:t>BANKROTO PROGNOZAVIMO MODELIAI</w:t>
      </w:r>
    </w:p>
    <w:p w:rsidR="004756BC" w:rsidRPr="004D5C99" w:rsidRDefault="004756BC" w:rsidP="004756BC">
      <w:pPr>
        <w:autoSpaceDE w:val="0"/>
        <w:autoSpaceDN w:val="0"/>
        <w:adjustRightInd w:val="0"/>
        <w:spacing w:after="0"/>
        <w:jc w:val="center"/>
        <w:rPr>
          <w:rFonts w:ascii="Times New Roman" w:hAnsi="Times New Roman" w:cs="Times New Roman"/>
          <w:b/>
          <w:szCs w:val="24"/>
        </w:rPr>
      </w:pPr>
      <w:r w:rsidRPr="004D5C99">
        <w:rPr>
          <w:rFonts w:ascii="Times New Roman" w:hAnsi="Times New Roman" w:cs="Times New Roman"/>
          <w:szCs w:val="24"/>
        </w:rPr>
        <w:t>1 lentelė.</w:t>
      </w:r>
      <w:r w:rsidRPr="004D5C99">
        <w:rPr>
          <w:rFonts w:ascii="Times New Roman" w:hAnsi="Times New Roman" w:cs="Times New Roman"/>
          <w:b/>
          <w:szCs w:val="24"/>
        </w:rPr>
        <w:t xml:space="preserve"> Tiesinės diskriminantinės analizės modeliai</w:t>
      </w:r>
    </w:p>
    <w:tbl>
      <w:tblPr>
        <w:tblStyle w:val="LightList-Accent6"/>
        <w:tblW w:w="0" w:type="auto"/>
        <w:jc w:val="center"/>
        <w:tblLook w:val="04A0"/>
      </w:tblPr>
      <w:tblGrid>
        <w:gridCol w:w="3192"/>
        <w:gridCol w:w="3192"/>
        <w:gridCol w:w="3192"/>
      </w:tblGrid>
      <w:tr w:rsidR="006014D3" w:rsidTr="00226DE6">
        <w:trPr>
          <w:cnfStyle w:val="100000000000"/>
          <w:jc w:val="center"/>
        </w:trPr>
        <w:tc>
          <w:tcPr>
            <w:cnfStyle w:val="001000000000"/>
            <w:tcW w:w="3192" w:type="dxa"/>
            <w:shd w:val="clear" w:color="auto" w:fill="FBD4B4" w:themeFill="accent6" w:themeFillTint="66"/>
          </w:tcPr>
          <w:p w:rsidR="006014D3" w:rsidRPr="00226DE6" w:rsidRDefault="006014D3" w:rsidP="004756BC">
            <w:pPr>
              <w:contextualSpacing/>
              <w:jc w:val="center"/>
              <w:rPr>
                <w:rFonts w:ascii="Times New Roman" w:hAnsi="Times New Roman" w:cs="Times New Roman"/>
                <w:b w:val="0"/>
                <w:color w:val="auto"/>
                <w:sz w:val="24"/>
                <w:szCs w:val="24"/>
                <w:lang w:val="lt-LT"/>
              </w:rPr>
            </w:pPr>
            <w:r w:rsidRPr="00226DE6">
              <w:rPr>
                <w:rFonts w:ascii="Times New Roman" w:hAnsi="Times New Roman" w:cs="Times New Roman"/>
                <w:b w:val="0"/>
                <w:color w:val="auto"/>
                <w:sz w:val="24"/>
                <w:szCs w:val="24"/>
                <w:lang w:val="lt-LT"/>
              </w:rPr>
              <w:t>Autorius</w:t>
            </w:r>
          </w:p>
        </w:tc>
        <w:tc>
          <w:tcPr>
            <w:tcW w:w="3192" w:type="dxa"/>
            <w:shd w:val="clear" w:color="auto" w:fill="FBD4B4" w:themeFill="accent6" w:themeFillTint="66"/>
          </w:tcPr>
          <w:p w:rsidR="006014D3" w:rsidRPr="00226DE6" w:rsidRDefault="006014D3" w:rsidP="004756BC">
            <w:pPr>
              <w:contextualSpacing/>
              <w:jc w:val="center"/>
              <w:cnfStyle w:val="100000000000"/>
              <w:rPr>
                <w:rFonts w:ascii="Times New Roman" w:hAnsi="Times New Roman" w:cs="Times New Roman"/>
                <w:b w:val="0"/>
                <w:color w:val="auto"/>
                <w:sz w:val="24"/>
                <w:szCs w:val="24"/>
                <w:lang w:val="lt-LT"/>
              </w:rPr>
            </w:pPr>
            <w:r w:rsidRPr="00226DE6">
              <w:rPr>
                <w:rFonts w:ascii="Times New Roman" w:hAnsi="Times New Roman" w:cs="Times New Roman"/>
                <w:b w:val="0"/>
                <w:color w:val="auto"/>
                <w:sz w:val="24"/>
                <w:szCs w:val="24"/>
                <w:lang w:val="lt-LT"/>
              </w:rPr>
              <w:t>Modelis</w:t>
            </w:r>
          </w:p>
        </w:tc>
        <w:tc>
          <w:tcPr>
            <w:tcW w:w="3192" w:type="dxa"/>
            <w:shd w:val="clear" w:color="auto" w:fill="FBD4B4" w:themeFill="accent6" w:themeFillTint="66"/>
          </w:tcPr>
          <w:p w:rsidR="006014D3" w:rsidRPr="00226DE6" w:rsidRDefault="006014D3" w:rsidP="004756BC">
            <w:pPr>
              <w:contextualSpacing/>
              <w:jc w:val="center"/>
              <w:cnfStyle w:val="100000000000"/>
              <w:rPr>
                <w:rFonts w:ascii="Times New Roman" w:hAnsi="Times New Roman" w:cs="Times New Roman"/>
                <w:b w:val="0"/>
                <w:color w:val="auto"/>
                <w:sz w:val="24"/>
                <w:szCs w:val="24"/>
                <w:lang w:val="lt-LT"/>
              </w:rPr>
            </w:pPr>
            <w:r w:rsidRPr="00226DE6">
              <w:rPr>
                <w:rFonts w:ascii="Times New Roman" w:hAnsi="Times New Roman" w:cs="Times New Roman"/>
                <w:b w:val="0"/>
                <w:color w:val="auto"/>
                <w:sz w:val="24"/>
                <w:szCs w:val="24"/>
                <w:lang w:val="lt-LT"/>
              </w:rPr>
              <w:t>Kritinė riba</w:t>
            </w:r>
          </w:p>
        </w:tc>
      </w:tr>
      <w:tr w:rsidR="006014D3" w:rsidRPr="006014D3" w:rsidTr="004D5C99">
        <w:trPr>
          <w:cnfStyle w:val="000000100000"/>
          <w:jc w:val="center"/>
        </w:trPr>
        <w:tc>
          <w:tcPr>
            <w:cnfStyle w:val="001000000000"/>
            <w:tcW w:w="3192" w:type="dxa"/>
          </w:tcPr>
          <w:p w:rsidR="006014D3" w:rsidRPr="006014D3" w:rsidRDefault="006014D3" w:rsidP="004756BC">
            <w:pPr>
              <w:contextualSpacing/>
              <w:jc w:val="center"/>
              <w:rPr>
                <w:rFonts w:ascii="Times New Roman" w:hAnsi="Times New Roman" w:cs="Times New Roman"/>
                <w:i/>
                <w:lang w:val="lt-LT"/>
              </w:rPr>
            </w:pPr>
            <w:r w:rsidRPr="006014D3">
              <w:rPr>
                <w:rFonts w:ascii="Times New Roman" w:hAnsi="Times New Roman" w:cs="Times New Roman"/>
                <w:i/>
                <w:lang w:val="lt-LT"/>
              </w:rPr>
              <w:t>Altman I - vertybinių popierių biržoje kotiruojamoms įmonėms (1968)</w:t>
            </w:r>
          </w:p>
        </w:tc>
        <w:tc>
          <w:tcPr>
            <w:tcW w:w="3192" w:type="dxa"/>
          </w:tcPr>
          <w:p w:rsidR="006014D3" w:rsidRPr="006014D3" w:rsidRDefault="006014D3" w:rsidP="004756BC">
            <w:pPr>
              <w:contextualSpacing/>
              <w:jc w:val="both"/>
              <w:cnfStyle w:val="000000100000"/>
              <w:rPr>
                <w:rFonts w:ascii="Times New Roman" w:hAnsi="Times New Roman" w:cs="Times New Roman"/>
                <w:lang w:val="lt-LT"/>
              </w:rPr>
            </w:pPr>
            <w:r w:rsidRPr="006014D3">
              <w:rPr>
                <w:rFonts w:ascii="Times New Roman" w:hAnsi="Times New Roman" w:cs="Times New Roman"/>
                <w:lang w:val="lt-LT"/>
              </w:rPr>
              <w:t>Z = 1,2X1 + 1,4X2 + 3,3X3 + 0,6X4 + 1,0X5; (2)</w:t>
            </w:r>
          </w:p>
          <w:p w:rsidR="006014D3" w:rsidRPr="006014D3" w:rsidRDefault="006014D3" w:rsidP="004756BC">
            <w:pPr>
              <w:contextualSpacing/>
              <w:jc w:val="both"/>
              <w:cnfStyle w:val="000000100000"/>
              <w:rPr>
                <w:rFonts w:ascii="Times New Roman" w:hAnsi="Times New Roman" w:cs="Times New Roman"/>
                <w:lang w:val="lt-LT"/>
              </w:rPr>
            </w:pPr>
            <w:r w:rsidRPr="006014D3">
              <w:rPr>
                <w:rFonts w:ascii="Times New Roman" w:hAnsi="Times New Roman" w:cs="Times New Roman"/>
                <w:lang w:val="lt-LT"/>
              </w:rPr>
              <w:t>čia</w:t>
            </w:r>
          </w:p>
          <w:p w:rsidR="006014D3" w:rsidRPr="006014D3" w:rsidRDefault="006014D3" w:rsidP="004756BC">
            <w:pPr>
              <w:contextualSpacing/>
              <w:jc w:val="both"/>
              <w:cnfStyle w:val="000000100000"/>
              <w:rPr>
                <w:rFonts w:ascii="Times New Roman" w:hAnsi="Times New Roman" w:cs="Times New Roman"/>
                <w:lang w:val="lt-LT"/>
              </w:rPr>
            </w:pPr>
            <w:r w:rsidRPr="006014D3">
              <w:rPr>
                <w:rFonts w:ascii="Times New Roman" w:hAnsi="Times New Roman" w:cs="Times New Roman"/>
                <w:lang w:val="lt-LT"/>
              </w:rPr>
              <w:t>X1 - Apyvartinis kapitalas/ Turtas;</w:t>
            </w:r>
          </w:p>
          <w:p w:rsidR="006014D3" w:rsidRPr="006014D3" w:rsidRDefault="006014D3" w:rsidP="004756BC">
            <w:pPr>
              <w:contextualSpacing/>
              <w:jc w:val="both"/>
              <w:cnfStyle w:val="000000100000"/>
              <w:rPr>
                <w:rFonts w:ascii="Times New Roman" w:hAnsi="Times New Roman" w:cs="Times New Roman"/>
                <w:lang w:val="lt-LT"/>
              </w:rPr>
            </w:pPr>
            <w:r w:rsidRPr="006014D3">
              <w:rPr>
                <w:rFonts w:ascii="Times New Roman" w:hAnsi="Times New Roman" w:cs="Times New Roman"/>
                <w:lang w:val="lt-LT"/>
              </w:rPr>
              <w:t>X2 - Nepaskirstytas pelnas/ Turtas;</w:t>
            </w:r>
          </w:p>
          <w:p w:rsidR="006014D3" w:rsidRPr="006014D3" w:rsidRDefault="006014D3" w:rsidP="004756BC">
            <w:pPr>
              <w:contextualSpacing/>
              <w:jc w:val="both"/>
              <w:cnfStyle w:val="000000100000"/>
              <w:rPr>
                <w:rFonts w:ascii="Times New Roman" w:hAnsi="Times New Roman" w:cs="Times New Roman"/>
                <w:lang w:val="lt-LT"/>
              </w:rPr>
            </w:pPr>
            <w:r w:rsidRPr="006014D3">
              <w:rPr>
                <w:rFonts w:ascii="Times New Roman" w:hAnsi="Times New Roman" w:cs="Times New Roman"/>
                <w:lang w:val="lt-LT"/>
              </w:rPr>
              <w:t>X3 - Pelnas iki apmokestinimo/ Turtas;</w:t>
            </w:r>
          </w:p>
          <w:p w:rsidR="006014D3" w:rsidRPr="006014D3" w:rsidRDefault="006014D3" w:rsidP="004756BC">
            <w:pPr>
              <w:contextualSpacing/>
              <w:jc w:val="both"/>
              <w:cnfStyle w:val="000000100000"/>
              <w:rPr>
                <w:rFonts w:ascii="Times New Roman" w:hAnsi="Times New Roman" w:cs="Times New Roman"/>
                <w:lang w:val="lt-LT"/>
              </w:rPr>
            </w:pPr>
            <w:r w:rsidRPr="006014D3">
              <w:rPr>
                <w:rFonts w:ascii="Times New Roman" w:hAnsi="Times New Roman" w:cs="Times New Roman"/>
                <w:lang w:val="lt-LT"/>
              </w:rPr>
              <w:t>X4 - Akcinio kapitalo rinkos vertė/ Įsipareigojimai;</w:t>
            </w:r>
          </w:p>
          <w:p w:rsidR="006014D3" w:rsidRDefault="006014D3" w:rsidP="004756BC">
            <w:pPr>
              <w:contextualSpacing/>
              <w:jc w:val="both"/>
              <w:cnfStyle w:val="000000100000"/>
              <w:rPr>
                <w:rFonts w:ascii="Times New Roman" w:hAnsi="Times New Roman" w:cs="Times New Roman"/>
                <w:lang w:val="lt-LT"/>
              </w:rPr>
            </w:pPr>
            <w:r w:rsidRPr="006014D3">
              <w:rPr>
                <w:rFonts w:ascii="Times New Roman" w:hAnsi="Times New Roman" w:cs="Times New Roman"/>
                <w:lang w:val="lt-LT"/>
              </w:rPr>
              <w:t>X5 - Pardavimų pajamos/ Turtas.</w:t>
            </w:r>
          </w:p>
          <w:p w:rsidR="006014D3" w:rsidRDefault="006014D3" w:rsidP="004756BC">
            <w:pPr>
              <w:contextualSpacing/>
              <w:jc w:val="both"/>
              <w:cnfStyle w:val="000000100000"/>
              <w:rPr>
                <w:rFonts w:ascii="Times New Roman" w:hAnsi="Times New Roman" w:cs="Times New Roman"/>
                <w:lang w:val="lt-LT"/>
              </w:rPr>
            </w:pPr>
          </w:p>
          <w:p w:rsidR="006014D3" w:rsidRPr="006014D3" w:rsidRDefault="006014D3" w:rsidP="004756BC">
            <w:pPr>
              <w:contextualSpacing/>
              <w:jc w:val="both"/>
              <w:cnfStyle w:val="000000100000"/>
              <w:rPr>
                <w:rFonts w:ascii="Times New Roman" w:hAnsi="Times New Roman" w:cs="Times New Roman"/>
                <w:lang w:val="lt-LT"/>
              </w:rPr>
            </w:pPr>
          </w:p>
        </w:tc>
        <w:tc>
          <w:tcPr>
            <w:tcW w:w="3192" w:type="dxa"/>
          </w:tcPr>
          <w:p w:rsidR="006014D3" w:rsidRPr="006014D3" w:rsidRDefault="006014D3" w:rsidP="004756BC">
            <w:pPr>
              <w:contextualSpacing/>
              <w:jc w:val="both"/>
              <w:cnfStyle w:val="000000100000"/>
              <w:rPr>
                <w:rFonts w:ascii="Times New Roman" w:hAnsi="Times New Roman" w:cs="Times New Roman"/>
                <w:lang w:val="lt-LT"/>
              </w:rPr>
            </w:pPr>
            <w:r w:rsidRPr="006014D3">
              <w:rPr>
                <w:rFonts w:ascii="Times New Roman" w:hAnsi="Times New Roman" w:cs="Times New Roman"/>
                <w:lang w:val="lt-LT"/>
              </w:rPr>
              <w:t>Kai Z yra mažesnė už 1,81 bankroto tikimybė yra labai didelė, Z svyruojant intervale nuo 1,81 iki 2,7 – didelė bankroto tikimybė, nuo 2,8 iki 2,9 įmonė gali bankrutuoti ir jei koeficientas yra didesnis už 3 bankroto tikimybė yra labai maža.</w:t>
            </w:r>
          </w:p>
        </w:tc>
      </w:tr>
      <w:tr w:rsidR="006014D3" w:rsidRPr="006014D3" w:rsidTr="004D5C99">
        <w:trPr>
          <w:jc w:val="center"/>
        </w:trPr>
        <w:tc>
          <w:tcPr>
            <w:cnfStyle w:val="001000000000"/>
            <w:tcW w:w="3192" w:type="dxa"/>
          </w:tcPr>
          <w:p w:rsidR="006014D3" w:rsidRPr="006014D3" w:rsidRDefault="006014D3" w:rsidP="004756BC">
            <w:pPr>
              <w:contextualSpacing/>
              <w:jc w:val="center"/>
              <w:rPr>
                <w:rFonts w:ascii="Times New Roman" w:hAnsi="Times New Roman" w:cs="Times New Roman"/>
                <w:i/>
                <w:lang w:val="lt-LT"/>
              </w:rPr>
            </w:pPr>
            <w:r w:rsidRPr="006014D3">
              <w:rPr>
                <w:rFonts w:ascii="Times New Roman" w:hAnsi="Times New Roman" w:cs="Times New Roman"/>
                <w:i/>
                <w:lang w:val="lt-LT"/>
              </w:rPr>
              <w:t>Altman II -vertybinių popierių biržoje nekotiruojamoms įmonėms (1968)</w:t>
            </w:r>
          </w:p>
        </w:tc>
        <w:tc>
          <w:tcPr>
            <w:tcW w:w="3192" w:type="dxa"/>
          </w:tcPr>
          <w:p w:rsidR="006014D3" w:rsidRPr="006014D3" w:rsidRDefault="006014D3" w:rsidP="004756BC">
            <w:pPr>
              <w:contextualSpacing/>
              <w:jc w:val="both"/>
              <w:cnfStyle w:val="000000000000"/>
              <w:rPr>
                <w:rFonts w:ascii="Times New Roman" w:hAnsi="Times New Roman" w:cs="Times New Roman"/>
                <w:lang w:val="lt-LT"/>
              </w:rPr>
            </w:pPr>
            <w:r w:rsidRPr="006014D3">
              <w:rPr>
                <w:rFonts w:ascii="Times New Roman" w:hAnsi="Times New Roman" w:cs="Times New Roman"/>
                <w:lang w:val="lt-LT"/>
              </w:rPr>
              <w:t>Z = 0,717X1 + 0,847X2 + 3,107X3 + 0,42X4 + 0,995X5; (3)</w:t>
            </w:r>
          </w:p>
          <w:p w:rsidR="006014D3" w:rsidRPr="006014D3" w:rsidRDefault="006014D3" w:rsidP="004756BC">
            <w:pPr>
              <w:contextualSpacing/>
              <w:jc w:val="both"/>
              <w:cnfStyle w:val="000000000000"/>
              <w:rPr>
                <w:rFonts w:ascii="Times New Roman" w:hAnsi="Times New Roman" w:cs="Times New Roman"/>
                <w:lang w:val="lt-LT"/>
              </w:rPr>
            </w:pPr>
            <w:r w:rsidRPr="006014D3">
              <w:rPr>
                <w:rFonts w:ascii="Times New Roman" w:hAnsi="Times New Roman" w:cs="Times New Roman"/>
                <w:lang w:val="lt-LT"/>
              </w:rPr>
              <w:t>čia</w:t>
            </w:r>
          </w:p>
          <w:p w:rsidR="006014D3" w:rsidRPr="006014D3" w:rsidRDefault="006014D3" w:rsidP="004756BC">
            <w:pPr>
              <w:contextualSpacing/>
              <w:jc w:val="both"/>
              <w:cnfStyle w:val="000000000000"/>
              <w:rPr>
                <w:rFonts w:ascii="Times New Roman" w:hAnsi="Times New Roman" w:cs="Times New Roman"/>
                <w:lang w:val="lt-LT"/>
              </w:rPr>
            </w:pPr>
            <w:r w:rsidRPr="006014D3">
              <w:rPr>
                <w:rFonts w:ascii="Times New Roman" w:hAnsi="Times New Roman" w:cs="Times New Roman"/>
                <w:lang w:val="lt-LT"/>
              </w:rPr>
              <w:t>X1 - Apyvartinis kapitalas/ Turtas;</w:t>
            </w:r>
          </w:p>
          <w:p w:rsidR="006014D3" w:rsidRPr="006014D3" w:rsidRDefault="006014D3" w:rsidP="004756BC">
            <w:pPr>
              <w:contextualSpacing/>
              <w:jc w:val="both"/>
              <w:cnfStyle w:val="000000000000"/>
              <w:rPr>
                <w:rFonts w:ascii="Times New Roman" w:hAnsi="Times New Roman" w:cs="Times New Roman"/>
                <w:lang w:val="lt-LT"/>
              </w:rPr>
            </w:pPr>
            <w:r w:rsidRPr="006014D3">
              <w:rPr>
                <w:rFonts w:ascii="Times New Roman" w:hAnsi="Times New Roman" w:cs="Times New Roman"/>
                <w:lang w:val="lt-LT"/>
              </w:rPr>
              <w:t>X2 - Nepaskirstytas pelnas/ Turtas;</w:t>
            </w:r>
          </w:p>
          <w:p w:rsidR="006014D3" w:rsidRPr="006014D3" w:rsidRDefault="006014D3" w:rsidP="004756BC">
            <w:pPr>
              <w:contextualSpacing/>
              <w:jc w:val="both"/>
              <w:cnfStyle w:val="000000000000"/>
              <w:rPr>
                <w:rFonts w:ascii="Times New Roman" w:hAnsi="Times New Roman" w:cs="Times New Roman"/>
                <w:lang w:val="lt-LT"/>
              </w:rPr>
            </w:pPr>
            <w:r w:rsidRPr="006014D3">
              <w:rPr>
                <w:rFonts w:ascii="Times New Roman" w:hAnsi="Times New Roman" w:cs="Times New Roman"/>
                <w:lang w:val="lt-LT"/>
              </w:rPr>
              <w:t>X3 - Pelnas iki apmokestinimo/ Turtas;</w:t>
            </w:r>
          </w:p>
          <w:p w:rsidR="006014D3" w:rsidRPr="006014D3" w:rsidRDefault="006014D3" w:rsidP="004756BC">
            <w:pPr>
              <w:contextualSpacing/>
              <w:jc w:val="both"/>
              <w:cnfStyle w:val="000000000000"/>
              <w:rPr>
                <w:rFonts w:ascii="Times New Roman" w:hAnsi="Times New Roman" w:cs="Times New Roman"/>
                <w:lang w:val="lt-LT"/>
              </w:rPr>
            </w:pPr>
            <w:r w:rsidRPr="006014D3">
              <w:rPr>
                <w:rFonts w:ascii="Times New Roman" w:hAnsi="Times New Roman" w:cs="Times New Roman"/>
                <w:lang w:val="lt-LT"/>
              </w:rPr>
              <w:t>X4 - Nuosavas kapitalas/ Įsipareigojimai;</w:t>
            </w:r>
          </w:p>
          <w:p w:rsidR="006014D3" w:rsidRDefault="006014D3" w:rsidP="004756BC">
            <w:pPr>
              <w:contextualSpacing/>
              <w:jc w:val="both"/>
              <w:cnfStyle w:val="000000000000"/>
              <w:rPr>
                <w:rFonts w:ascii="Times New Roman" w:hAnsi="Times New Roman" w:cs="Times New Roman"/>
                <w:lang w:val="lt-LT"/>
              </w:rPr>
            </w:pPr>
            <w:r w:rsidRPr="006014D3">
              <w:rPr>
                <w:rFonts w:ascii="Times New Roman" w:hAnsi="Times New Roman" w:cs="Times New Roman"/>
                <w:lang w:val="lt-LT"/>
              </w:rPr>
              <w:t>X5 - Pardavimų pajamos/ Turtas.</w:t>
            </w:r>
          </w:p>
          <w:p w:rsidR="006014D3" w:rsidRDefault="006014D3" w:rsidP="004756BC">
            <w:pPr>
              <w:contextualSpacing/>
              <w:jc w:val="both"/>
              <w:cnfStyle w:val="000000000000"/>
              <w:rPr>
                <w:rFonts w:ascii="Times New Roman" w:hAnsi="Times New Roman" w:cs="Times New Roman"/>
                <w:lang w:val="lt-LT"/>
              </w:rPr>
            </w:pPr>
          </w:p>
          <w:p w:rsidR="006014D3" w:rsidRPr="006014D3" w:rsidRDefault="006014D3" w:rsidP="004756BC">
            <w:pPr>
              <w:contextualSpacing/>
              <w:jc w:val="both"/>
              <w:cnfStyle w:val="000000000000"/>
              <w:rPr>
                <w:rFonts w:ascii="Times New Roman" w:hAnsi="Times New Roman" w:cs="Times New Roman"/>
                <w:lang w:val="lt-LT"/>
              </w:rPr>
            </w:pPr>
          </w:p>
        </w:tc>
        <w:tc>
          <w:tcPr>
            <w:tcW w:w="3192" w:type="dxa"/>
          </w:tcPr>
          <w:p w:rsidR="006014D3" w:rsidRPr="006014D3" w:rsidRDefault="006014D3" w:rsidP="004756BC">
            <w:pPr>
              <w:contextualSpacing/>
              <w:jc w:val="both"/>
              <w:cnfStyle w:val="000000000000"/>
              <w:rPr>
                <w:rFonts w:ascii="Times New Roman" w:hAnsi="Times New Roman" w:cs="Times New Roman"/>
                <w:lang w:val="lt-LT"/>
              </w:rPr>
            </w:pPr>
            <w:r w:rsidRPr="006014D3">
              <w:rPr>
                <w:rFonts w:ascii="Times New Roman" w:hAnsi="Times New Roman" w:cs="Times New Roman"/>
                <w:lang w:val="lt-LT"/>
              </w:rPr>
              <w:t>Jei Z reikšmė mažesnė nei 1,23, bankroto tikimybė labai didelė. Jei Z reikšmė svyruoja tarp 1,23 ir 2,90, bankrotas įmanomas, o jei daugiau nei 2,90 – bankroto tikimybė maža.</w:t>
            </w:r>
          </w:p>
        </w:tc>
      </w:tr>
      <w:tr w:rsidR="006014D3" w:rsidRPr="006014D3" w:rsidTr="004D5C99">
        <w:trPr>
          <w:cnfStyle w:val="000000100000"/>
          <w:jc w:val="center"/>
        </w:trPr>
        <w:tc>
          <w:tcPr>
            <w:cnfStyle w:val="001000000000"/>
            <w:tcW w:w="3192" w:type="dxa"/>
          </w:tcPr>
          <w:p w:rsidR="006014D3" w:rsidRPr="006014D3" w:rsidRDefault="006014D3" w:rsidP="004756BC">
            <w:pPr>
              <w:contextualSpacing/>
              <w:jc w:val="center"/>
              <w:rPr>
                <w:rFonts w:ascii="Times New Roman" w:hAnsi="Times New Roman" w:cs="Times New Roman"/>
                <w:i/>
                <w:lang w:val="lt-LT"/>
              </w:rPr>
            </w:pPr>
            <w:r w:rsidRPr="006014D3">
              <w:rPr>
                <w:rFonts w:ascii="Times New Roman" w:hAnsi="Times New Roman" w:cs="Times New Roman"/>
                <w:i/>
                <w:lang w:val="lt-LT"/>
              </w:rPr>
              <w:t>Liss (1973)</w:t>
            </w:r>
          </w:p>
        </w:tc>
        <w:tc>
          <w:tcPr>
            <w:tcW w:w="3192" w:type="dxa"/>
          </w:tcPr>
          <w:p w:rsidR="006014D3" w:rsidRPr="006014D3" w:rsidRDefault="006014D3" w:rsidP="004756BC">
            <w:pPr>
              <w:contextualSpacing/>
              <w:jc w:val="both"/>
              <w:cnfStyle w:val="000000100000"/>
              <w:rPr>
                <w:rFonts w:ascii="Times New Roman" w:hAnsi="Times New Roman" w:cs="Times New Roman"/>
                <w:lang w:val="lt-LT"/>
              </w:rPr>
            </w:pPr>
            <w:r w:rsidRPr="006014D3">
              <w:rPr>
                <w:rFonts w:ascii="Times New Roman" w:hAnsi="Times New Roman" w:cs="Times New Roman"/>
                <w:lang w:val="lt-LT"/>
              </w:rPr>
              <w:t>Z = 0,063X1 + 0,092X2 + 0,057X3 + 0,001X4; (6)</w:t>
            </w:r>
          </w:p>
          <w:p w:rsidR="006014D3" w:rsidRPr="006014D3" w:rsidRDefault="006014D3" w:rsidP="004756BC">
            <w:pPr>
              <w:contextualSpacing/>
              <w:jc w:val="both"/>
              <w:cnfStyle w:val="000000100000"/>
              <w:rPr>
                <w:rFonts w:ascii="Times New Roman" w:hAnsi="Times New Roman" w:cs="Times New Roman"/>
                <w:lang w:val="lt-LT"/>
              </w:rPr>
            </w:pPr>
            <w:r w:rsidRPr="006014D3">
              <w:rPr>
                <w:rFonts w:ascii="Times New Roman" w:hAnsi="Times New Roman" w:cs="Times New Roman"/>
                <w:lang w:val="lt-LT"/>
              </w:rPr>
              <w:t>čia</w:t>
            </w:r>
          </w:p>
          <w:p w:rsidR="006014D3" w:rsidRPr="006014D3" w:rsidRDefault="006014D3" w:rsidP="004756BC">
            <w:pPr>
              <w:contextualSpacing/>
              <w:jc w:val="both"/>
              <w:cnfStyle w:val="000000100000"/>
              <w:rPr>
                <w:rFonts w:ascii="Times New Roman" w:hAnsi="Times New Roman" w:cs="Times New Roman"/>
                <w:lang w:val="lt-LT"/>
              </w:rPr>
            </w:pPr>
            <w:r w:rsidRPr="006014D3">
              <w:rPr>
                <w:rFonts w:ascii="Times New Roman" w:hAnsi="Times New Roman" w:cs="Times New Roman"/>
                <w:lang w:val="lt-LT"/>
              </w:rPr>
              <w:t>X1 – grynasis apyvartinis kapitalas/ turtas;</w:t>
            </w:r>
          </w:p>
          <w:p w:rsidR="006014D3" w:rsidRPr="006014D3" w:rsidRDefault="006014D3" w:rsidP="004756BC">
            <w:pPr>
              <w:contextualSpacing/>
              <w:jc w:val="both"/>
              <w:cnfStyle w:val="000000100000"/>
              <w:rPr>
                <w:rFonts w:ascii="Times New Roman" w:hAnsi="Times New Roman" w:cs="Times New Roman"/>
                <w:lang w:val="lt-LT"/>
              </w:rPr>
            </w:pPr>
            <w:r w:rsidRPr="006014D3">
              <w:rPr>
                <w:rFonts w:ascii="Times New Roman" w:hAnsi="Times New Roman" w:cs="Times New Roman"/>
                <w:lang w:val="lt-LT"/>
              </w:rPr>
              <w:t>X2 – Bendrasis pelnas/ turto;</w:t>
            </w:r>
          </w:p>
          <w:p w:rsidR="006014D3" w:rsidRPr="006014D3" w:rsidRDefault="006014D3" w:rsidP="004756BC">
            <w:pPr>
              <w:contextualSpacing/>
              <w:jc w:val="both"/>
              <w:cnfStyle w:val="000000100000"/>
              <w:rPr>
                <w:rFonts w:ascii="Times New Roman" w:hAnsi="Times New Roman" w:cs="Times New Roman"/>
                <w:lang w:val="lt-LT"/>
              </w:rPr>
            </w:pPr>
            <w:r w:rsidRPr="006014D3">
              <w:rPr>
                <w:rFonts w:ascii="Times New Roman" w:hAnsi="Times New Roman" w:cs="Times New Roman"/>
                <w:lang w:val="lt-LT"/>
              </w:rPr>
              <w:t>X3 – nepaskirstytas pelnas/ turtas;</w:t>
            </w:r>
          </w:p>
          <w:p w:rsidR="006014D3" w:rsidRDefault="006014D3" w:rsidP="004756BC">
            <w:pPr>
              <w:contextualSpacing/>
              <w:jc w:val="both"/>
              <w:cnfStyle w:val="000000100000"/>
              <w:rPr>
                <w:rFonts w:ascii="Times New Roman" w:hAnsi="Times New Roman" w:cs="Times New Roman"/>
                <w:lang w:val="lt-LT"/>
              </w:rPr>
            </w:pPr>
            <w:r w:rsidRPr="006014D3">
              <w:rPr>
                <w:rFonts w:ascii="Times New Roman" w:hAnsi="Times New Roman" w:cs="Times New Roman"/>
                <w:lang w:val="lt-LT"/>
              </w:rPr>
              <w:t>X4 – nuosavas kapitalas/ skolintas kapitalas.</w:t>
            </w:r>
          </w:p>
          <w:p w:rsidR="006014D3" w:rsidRPr="006014D3" w:rsidRDefault="006014D3" w:rsidP="004756BC">
            <w:pPr>
              <w:contextualSpacing/>
              <w:jc w:val="both"/>
              <w:cnfStyle w:val="000000100000"/>
              <w:rPr>
                <w:rFonts w:ascii="Times New Roman" w:hAnsi="Times New Roman" w:cs="Times New Roman"/>
                <w:lang w:val="lt-LT"/>
              </w:rPr>
            </w:pPr>
          </w:p>
        </w:tc>
        <w:tc>
          <w:tcPr>
            <w:tcW w:w="3192" w:type="dxa"/>
          </w:tcPr>
          <w:p w:rsidR="006014D3" w:rsidRPr="006014D3" w:rsidRDefault="006014D3" w:rsidP="004756BC">
            <w:pPr>
              <w:contextualSpacing/>
              <w:jc w:val="both"/>
              <w:cnfStyle w:val="000000100000"/>
              <w:rPr>
                <w:rFonts w:ascii="Times New Roman" w:hAnsi="Times New Roman" w:cs="Times New Roman"/>
                <w:lang w:val="lt-LT"/>
              </w:rPr>
            </w:pPr>
            <w:r w:rsidRPr="006014D3">
              <w:rPr>
                <w:rFonts w:ascii="Times New Roman" w:hAnsi="Times New Roman" w:cs="Times New Roman"/>
                <w:lang w:val="lt-LT"/>
              </w:rPr>
              <w:t>Šiuo atveju ribinė Z reikšmė yra 0,037, esant mažesnei reikšmei galima daryti išvadą, kad įmonei gresia bankrotas.</w:t>
            </w:r>
          </w:p>
        </w:tc>
      </w:tr>
    </w:tbl>
    <w:p w:rsidR="006014D3" w:rsidRPr="0017614D" w:rsidRDefault="00BC69AA" w:rsidP="00E62D5D">
      <w:pPr>
        <w:spacing w:line="360" w:lineRule="auto"/>
        <w:contextualSpacing/>
        <w:jc w:val="right"/>
        <w:rPr>
          <w:rFonts w:ascii="Times New Roman" w:hAnsi="Times New Roman" w:cs="Times New Roman"/>
          <w:sz w:val="24"/>
          <w:szCs w:val="24"/>
          <w:lang w:val="lt-LT"/>
        </w:rPr>
      </w:pPr>
      <w:r>
        <w:rPr>
          <w:rFonts w:ascii="Times New Roman" w:hAnsi="Times New Roman" w:cs="Times New Roman"/>
          <w:sz w:val="24"/>
          <w:szCs w:val="24"/>
          <w:lang w:val="lt-LT"/>
        </w:rPr>
        <w:t>1 l</w:t>
      </w:r>
      <w:r w:rsidR="006014D3" w:rsidRPr="0017614D">
        <w:rPr>
          <w:rFonts w:ascii="Times New Roman" w:hAnsi="Times New Roman" w:cs="Times New Roman"/>
          <w:sz w:val="24"/>
          <w:szCs w:val="24"/>
          <w:lang w:val="lt-LT"/>
        </w:rPr>
        <w:t>entel</w:t>
      </w:r>
      <w:r w:rsidR="006014D3" w:rsidRPr="0017614D">
        <w:rPr>
          <w:rFonts w:ascii="TimesNewRomanPSMT" w:eastAsia="TimesNewRomanPSMT" w:hAnsi="Times New Roman" w:cs="TimesNewRomanPSMT"/>
          <w:sz w:val="24"/>
          <w:szCs w:val="24"/>
          <w:lang w:val="lt-LT"/>
        </w:rPr>
        <w:t>ė</w:t>
      </w:r>
      <w:r w:rsidR="006014D3" w:rsidRPr="0017614D">
        <w:rPr>
          <w:rFonts w:ascii="Times New Roman" w:hAnsi="Times New Roman" w:cs="Times New Roman"/>
          <w:sz w:val="24"/>
          <w:szCs w:val="24"/>
          <w:lang w:val="lt-LT"/>
        </w:rPr>
        <w:t>s t</w:t>
      </w:r>
      <w:r w:rsidR="006014D3" w:rsidRPr="0017614D">
        <w:rPr>
          <w:rFonts w:ascii="TimesNewRomanPSMT" w:eastAsia="TimesNewRomanPSMT" w:hAnsi="Times New Roman" w:cs="TimesNewRomanPSMT"/>
          <w:sz w:val="24"/>
          <w:szCs w:val="24"/>
          <w:lang w:val="lt-LT"/>
        </w:rPr>
        <w:t>ę</w:t>
      </w:r>
      <w:r w:rsidR="006014D3" w:rsidRPr="0017614D">
        <w:rPr>
          <w:rFonts w:ascii="Times New Roman" w:hAnsi="Times New Roman" w:cs="Times New Roman"/>
          <w:sz w:val="24"/>
          <w:szCs w:val="24"/>
          <w:lang w:val="lt-LT"/>
        </w:rPr>
        <w:t>sinys pateiktas kitame puslapyje</w:t>
      </w:r>
    </w:p>
    <w:p w:rsidR="006014D3" w:rsidRPr="0017614D" w:rsidRDefault="00BC69AA" w:rsidP="00E62D5D">
      <w:pPr>
        <w:spacing w:line="360" w:lineRule="auto"/>
        <w:contextualSpacing/>
        <w:jc w:val="right"/>
        <w:rPr>
          <w:rFonts w:ascii="Times New Roman" w:hAnsi="Times New Roman" w:cs="Times New Roman"/>
          <w:b/>
          <w:sz w:val="20"/>
          <w:szCs w:val="20"/>
          <w:lang w:val="lt-LT"/>
        </w:rPr>
      </w:pPr>
      <w:r>
        <w:rPr>
          <w:rFonts w:ascii="Times New Roman" w:hAnsi="Times New Roman" w:cs="Times New Roman"/>
          <w:sz w:val="24"/>
          <w:szCs w:val="24"/>
          <w:lang w:val="lt-LT"/>
        </w:rPr>
        <w:lastRenderedPageBreak/>
        <w:t>1 l</w:t>
      </w:r>
      <w:r w:rsidR="006014D3" w:rsidRPr="0017614D">
        <w:rPr>
          <w:rFonts w:ascii="Times New Roman" w:hAnsi="Times New Roman" w:cs="Times New Roman"/>
          <w:sz w:val="24"/>
          <w:szCs w:val="24"/>
          <w:lang w:val="lt-LT"/>
        </w:rPr>
        <w:t>entel</w:t>
      </w:r>
      <w:r w:rsidR="006014D3" w:rsidRPr="0017614D">
        <w:rPr>
          <w:rFonts w:ascii="TimesNewRomanPSMT" w:eastAsia="TimesNewRomanPSMT" w:hAnsi="Times New Roman" w:cs="TimesNewRomanPSMT"/>
          <w:sz w:val="24"/>
          <w:szCs w:val="24"/>
          <w:lang w:val="lt-LT"/>
        </w:rPr>
        <w:t>ė</w:t>
      </w:r>
      <w:r w:rsidR="006014D3" w:rsidRPr="0017614D">
        <w:rPr>
          <w:rFonts w:ascii="Times New Roman" w:hAnsi="Times New Roman" w:cs="Times New Roman"/>
          <w:sz w:val="24"/>
          <w:szCs w:val="24"/>
          <w:lang w:val="lt-LT"/>
        </w:rPr>
        <w:t>s t</w:t>
      </w:r>
      <w:r w:rsidR="006014D3" w:rsidRPr="0017614D">
        <w:rPr>
          <w:rFonts w:ascii="TimesNewRomanPSMT" w:eastAsia="TimesNewRomanPSMT" w:hAnsi="Times New Roman" w:cs="TimesNewRomanPSMT"/>
          <w:sz w:val="24"/>
          <w:szCs w:val="24"/>
          <w:lang w:val="lt-LT"/>
        </w:rPr>
        <w:t>ę</w:t>
      </w:r>
      <w:r w:rsidR="006014D3" w:rsidRPr="0017614D">
        <w:rPr>
          <w:rFonts w:ascii="Times New Roman" w:hAnsi="Times New Roman" w:cs="Times New Roman"/>
          <w:sz w:val="24"/>
          <w:szCs w:val="24"/>
          <w:lang w:val="lt-LT"/>
        </w:rPr>
        <w:t>sinys</w:t>
      </w:r>
    </w:p>
    <w:tbl>
      <w:tblPr>
        <w:tblStyle w:val="LightList-Accent6"/>
        <w:tblW w:w="0" w:type="auto"/>
        <w:jc w:val="center"/>
        <w:tblLook w:val="04A0"/>
      </w:tblPr>
      <w:tblGrid>
        <w:gridCol w:w="3192"/>
        <w:gridCol w:w="3192"/>
        <w:gridCol w:w="3192"/>
      </w:tblGrid>
      <w:tr w:rsidR="006014D3" w:rsidRPr="006014D3" w:rsidTr="00226DE6">
        <w:trPr>
          <w:cnfStyle w:val="100000000000"/>
          <w:jc w:val="center"/>
        </w:trPr>
        <w:tc>
          <w:tcPr>
            <w:cnfStyle w:val="001000000000"/>
            <w:tcW w:w="3192" w:type="dxa"/>
            <w:shd w:val="clear" w:color="auto" w:fill="FBD4B4" w:themeFill="accent6" w:themeFillTint="66"/>
          </w:tcPr>
          <w:p w:rsidR="006014D3" w:rsidRPr="00226DE6" w:rsidRDefault="006014D3" w:rsidP="004756BC">
            <w:pPr>
              <w:contextualSpacing/>
              <w:jc w:val="center"/>
              <w:rPr>
                <w:rFonts w:ascii="Times New Roman" w:hAnsi="Times New Roman" w:cs="Times New Roman"/>
                <w:b w:val="0"/>
                <w:color w:val="auto"/>
                <w:lang w:val="lt-LT"/>
              </w:rPr>
            </w:pPr>
            <w:r w:rsidRPr="00226DE6">
              <w:rPr>
                <w:rFonts w:ascii="Times New Roman" w:hAnsi="Times New Roman" w:cs="Times New Roman"/>
                <w:b w:val="0"/>
                <w:color w:val="auto"/>
                <w:lang w:val="lt-LT"/>
              </w:rPr>
              <w:t>Autorius</w:t>
            </w:r>
          </w:p>
        </w:tc>
        <w:tc>
          <w:tcPr>
            <w:tcW w:w="3192" w:type="dxa"/>
            <w:shd w:val="clear" w:color="auto" w:fill="FBD4B4" w:themeFill="accent6" w:themeFillTint="66"/>
          </w:tcPr>
          <w:p w:rsidR="006014D3" w:rsidRPr="00226DE6" w:rsidRDefault="006014D3" w:rsidP="004756BC">
            <w:pPr>
              <w:contextualSpacing/>
              <w:jc w:val="center"/>
              <w:cnfStyle w:val="100000000000"/>
              <w:rPr>
                <w:rFonts w:ascii="Times New Roman" w:hAnsi="Times New Roman" w:cs="Times New Roman"/>
                <w:b w:val="0"/>
                <w:color w:val="auto"/>
                <w:lang w:val="lt-LT"/>
              </w:rPr>
            </w:pPr>
            <w:r w:rsidRPr="00226DE6">
              <w:rPr>
                <w:rFonts w:ascii="Times New Roman" w:hAnsi="Times New Roman" w:cs="Times New Roman"/>
                <w:b w:val="0"/>
                <w:color w:val="auto"/>
                <w:lang w:val="lt-LT"/>
              </w:rPr>
              <w:t>Modelis</w:t>
            </w:r>
          </w:p>
        </w:tc>
        <w:tc>
          <w:tcPr>
            <w:tcW w:w="3192" w:type="dxa"/>
            <w:shd w:val="clear" w:color="auto" w:fill="FBD4B4" w:themeFill="accent6" w:themeFillTint="66"/>
          </w:tcPr>
          <w:p w:rsidR="006014D3" w:rsidRPr="00226DE6" w:rsidRDefault="006014D3" w:rsidP="004756BC">
            <w:pPr>
              <w:contextualSpacing/>
              <w:jc w:val="center"/>
              <w:cnfStyle w:val="100000000000"/>
              <w:rPr>
                <w:rFonts w:ascii="Times New Roman" w:hAnsi="Times New Roman" w:cs="Times New Roman"/>
                <w:b w:val="0"/>
                <w:color w:val="auto"/>
                <w:lang w:val="lt-LT"/>
              </w:rPr>
            </w:pPr>
            <w:r w:rsidRPr="00226DE6">
              <w:rPr>
                <w:rFonts w:ascii="Times New Roman" w:hAnsi="Times New Roman" w:cs="Times New Roman"/>
                <w:b w:val="0"/>
                <w:color w:val="auto"/>
                <w:lang w:val="lt-LT"/>
              </w:rPr>
              <w:t>Kritinė riba</w:t>
            </w:r>
          </w:p>
        </w:tc>
      </w:tr>
      <w:tr w:rsidR="006014D3" w:rsidRPr="006014D3" w:rsidTr="004D5C99">
        <w:trPr>
          <w:cnfStyle w:val="000000100000"/>
          <w:jc w:val="center"/>
        </w:trPr>
        <w:tc>
          <w:tcPr>
            <w:cnfStyle w:val="001000000000"/>
            <w:tcW w:w="3192" w:type="dxa"/>
          </w:tcPr>
          <w:p w:rsidR="006014D3" w:rsidRPr="006014D3" w:rsidRDefault="006014D3" w:rsidP="004756BC">
            <w:pPr>
              <w:contextualSpacing/>
              <w:jc w:val="center"/>
              <w:rPr>
                <w:rFonts w:ascii="Times New Roman" w:hAnsi="Times New Roman" w:cs="Times New Roman"/>
                <w:i/>
                <w:lang w:val="lt-LT"/>
              </w:rPr>
            </w:pPr>
            <w:r w:rsidRPr="006014D3">
              <w:rPr>
                <w:rFonts w:ascii="Times New Roman" w:hAnsi="Times New Roman" w:cs="Times New Roman"/>
                <w:i/>
                <w:lang w:val="lt-LT"/>
              </w:rPr>
              <w:t>Springate (1978)</w:t>
            </w:r>
          </w:p>
        </w:tc>
        <w:tc>
          <w:tcPr>
            <w:tcW w:w="3192" w:type="dxa"/>
          </w:tcPr>
          <w:p w:rsidR="006014D3" w:rsidRPr="006014D3" w:rsidRDefault="006014D3" w:rsidP="004756BC">
            <w:pPr>
              <w:contextualSpacing/>
              <w:jc w:val="both"/>
              <w:cnfStyle w:val="000000100000"/>
              <w:rPr>
                <w:rFonts w:ascii="Times New Roman" w:hAnsi="Times New Roman" w:cs="Times New Roman"/>
                <w:lang w:val="lt-LT"/>
              </w:rPr>
            </w:pPr>
            <w:r w:rsidRPr="006014D3">
              <w:rPr>
                <w:rFonts w:ascii="Times New Roman" w:hAnsi="Times New Roman" w:cs="Times New Roman"/>
                <w:lang w:val="lt-LT"/>
              </w:rPr>
              <w:t>Z = 1.03X1 + 3.07X2 + 0.66X3 + 0.4X4; (4)</w:t>
            </w:r>
          </w:p>
          <w:p w:rsidR="006014D3" w:rsidRPr="006014D3" w:rsidRDefault="006014D3" w:rsidP="004756BC">
            <w:pPr>
              <w:contextualSpacing/>
              <w:jc w:val="both"/>
              <w:cnfStyle w:val="000000100000"/>
              <w:rPr>
                <w:rFonts w:ascii="Times New Roman" w:hAnsi="Times New Roman" w:cs="Times New Roman"/>
                <w:lang w:val="lt-LT"/>
              </w:rPr>
            </w:pPr>
            <w:r w:rsidRPr="006014D3">
              <w:rPr>
                <w:rFonts w:ascii="Times New Roman" w:hAnsi="Times New Roman" w:cs="Times New Roman"/>
                <w:lang w:val="lt-LT"/>
              </w:rPr>
              <w:t>čia</w:t>
            </w:r>
          </w:p>
          <w:p w:rsidR="006014D3" w:rsidRPr="006014D3" w:rsidRDefault="006014D3" w:rsidP="004756BC">
            <w:pPr>
              <w:contextualSpacing/>
              <w:jc w:val="both"/>
              <w:cnfStyle w:val="000000100000"/>
              <w:rPr>
                <w:rFonts w:ascii="Times New Roman" w:hAnsi="Times New Roman" w:cs="Times New Roman"/>
                <w:lang w:val="lt-LT"/>
              </w:rPr>
            </w:pPr>
            <w:r w:rsidRPr="006014D3">
              <w:rPr>
                <w:rFonts w:ascii="Times New Roman" w:hAnsi="Times New Roman" w:cs="Times New Roman"/>
                <w:lang w:val="lt-LT"/>
              </w:rPr>
              <w:t>X1 - Apyvartinis kapitalas / turtas</w:t>
            </w:r>
          </w:p>
          <w:p w:rsidR="006014D3" w:rsidRPr="006014D3" w:rsidRDefault="006014D3" w:rsidP="004756BC">
            <w:pPr>
              <w:contextualSpacing/>
              <w:jc w:val="both"/>
              <w:cnfStyle w:val="000000100000"/>
              <w:rPr>
                <w:rFonts w:ascii="Times New Roman" w:hAnsi="Times New Roman" w:cs="Times New Roman"/>
                <w:lang w:val="lt-LT"/>
              </w:rPr>
            </w:pPr>
            <w:r w:rsidRPr="006014D3">
              <w:rPr>
                <w:rFonts w:ascii="Times New Roman" w:hAnsi="Times New Roman" w:cs="Times New Roman"/>
                <w:lang w:val="lt-LT"/>
              </w:rPr>
              <w:t>X2 - Pelnas neatskaičius palūkanų ir mokesčių/ turtas</w:t>
            </w:r>
          </w:p>
          <w:p w:rsidR="006014D3" w:rsidRPr="006014D3" w:rsidRDefault="006014D3" w:rsidP="004756BC">
            <w:pPr>
              <w:contextualSpacing/>
              <w:jc w:val="both"/>
              <w:cnfStyle w:val="000000100000"/>
              <w:rPr>
                <w:rFonts w:ascii="Times New Roman" w:hAnsi="Times New Roman" w:cs="Times New Roman"/>
                <w:lang w:val="lt-LT"/>
              </w:rPr>
            </w:pPr>
            <w:r w:rsidRPr="006014D3">
              <w:rPr>
                <w:rFonts w:ascii="Times New Roman" w:hAnsi="Times New Roman" w:cs="Times New Roman"/>
                <w:lang w:val="lt-LT"/>
              </w:rPr>
              <w:t>X3 - Pelnas neatskaičius mokesčių /trumpalaikiai įsipareigojimai</w:t>
            </w:r>
          </w:p>
          <w:p w:rsidR="006014D3" w:rsidRPr="006014D3" w:rsidRDefault="006014D3" w:rsidP="004756BC">
            <w:pPr>
              <w:contextualSpacing/>
              <w:jc w:val="both"/>
              <w:cnfStyle w:val="000000100000"/>
              <w:rPr>
                <w:rFonts w:ascii="Times New Roman" w:hAnsi="Times New Roman" w:cs="Times New Roman"/>
                <w:lang w:val="lt-LT"/>
              </w:rPr>
            </w:pPr>
            <w:r w:rsidRPr="006014D3">
              <w:rPr>
                <w:rFonts w:ascii="Times New Roman" w:hAnsi="Times New Roman" w:cs="Times New Roman"/>
                <w:lang w:val="lt-LT"/>
              </w:rPr>
              <w:t>X4 - Pardavimų pajamos / turtas</w:t>
            </w:r>
          </w:p>
          <w:p w:rsidR="006014D3" w:rsidRDefault="006014D3" w:rsidP="004756BC">
            <w:pPr>
              <w:contextualSpacing/>
              <w:jc w:val="both"/>
              <w:cnfStyle w:val="000000100000"/>
              <w:rPr>
                <w:rFonts w:ascii="Times New Roman" w:hAnsi="Times New Roman" w:cs="Times New Roman"/>
                <w:lang w:val="lt-LT"/>
              </w:rPr>
            </w:pPr>
          </w:p>
          <w:p w:rsidR="006014D3" w:rsidRPr="006014D3" w:rsidRDefault="006014D3" w:rsidP="004756BC">
            <w:pPr>
              <w:contextualSpacing/>
              <w:jc w:val="both"/>
              <w:cnfStyle w:val="000000100000"/>
              <w:rPr>
                <w:rFonts w:ascii="Times New Roman" w:hAnsi="Times New Roman" w:cs="Times New Roman"/>
                <w:lang w:val="lt-LT"/>
              </w:rPr>
            </w:pPr>
          </w:p>
        </w:tc>
        <w:tc>
          <w:tcPr>
            <w:tcW w:w="3192" w:type="dxa"/>
          </w:tcPr>
          <w:p w:rsidR="006014D3" w:rsidRPr="006014D3" w:rsidRDefault="006014D3" w:rsidP="004756BC">
            <w:pPr>
              <w:contextualSpacing/>
              <w:jc w:val="both"/>
              <w:cnfStyle w:val="000000100000"/>
              <w:rPr>
                <w:rFonts w:ascii="Times New Roman" w:hAnsi="Times New Roman" w:cs="Times New Roman"/>
                <w:lang w:val="lt-LT"/>
              </w:rPr>
            </w:pPr>
            <w:r w:rsidRPr="006014D3">
              <w:rPr>
                <w:rFonts w:ascii="Times New Roman" w:hAnsi="Times New Roman" w:cs="Times New Roman"/>
                <w:lang w:val="lt-LT"/>
              </w:rPr>
              <w:t>Pagal šį modelį yra laikoma, kad įmonei gresia bankrotas, jei Z koeficientas yra mažesnis už 0,862.</w:t>
            </w:r>
          </w:p>
        </w:tc>
      </w:tr>
      <w:tr w:rsidR="006014D3" w:rsidRPr="006014D3" w:rsidTr="004D5C99">
        <w:trPr>
          <w:jc w:val="center"/>
        </w:trPr>
        <w:tc>
          <w:tcPr>
            <w:cnfStyle w:val="001000000000"/>
            <w:tcW w:w="3192" w:type="dxa"/>
          </w:tcPr>
          <w:p w:rsidR="006014D3" w:rsidRPr="006014D3" w:rsidRDefault="006014D3" w:rsidP="004756BC">
            <w:pPr>
              <w:contextualSpacing/>
              <w:jc w:val="center"/>
              <w:rPr>
                <w:rFonts w:ascii="Times New Roman" w:hAnsi="Times New Roman" w:cs="Times New Roman"/>
                <w:i/>
                <w:lang w:val="lt-LT"/>
              </w:rPr>
            </w:pPr>
            <w:r w:rsidRPr="006014D3">
              <w:rPr>
                <w:rFonts w:ascii="Times New Roman" w:hAnsi="Times New Roman" w:cs="Times New Roman"/>
                <w:i/>
                <w:lang w:val="lt-LT"/>
              </w:rPr>
              <w:t>Taffler (1977)</w:t>
            </w:r>
          </w:p>
        </w:tc>
        <w:tc>
          <w:tcPr>
            <w:tcW w:w="3192" w:type="dxa"/>
          </w:tcPr>
          <w:p w:rsidR="006014D3" w:rsidRPr="006014D3" w:rsidRDefault="006014D3" w:rsidP="004756BC">
            <w:pPr>
              <w:contextualSpacing/>
              <w:jc w:val="both"/>
              <w:cnfStyle w:val="000000000000"/>
              <w:rPr>
                <w:rFonts w:ascii="Times New Roman" w:hAnsi="Times New Roman" w:cs="Times New Roman"/>
                <w:lang w:val="lt-LT"/>
              </w:rPr>
            </w:pPr>
            <w:r w:rsidRPr="006014D3">
              <w:rPr>
                <w:rFonts w:ascii="Times New Roman" w:hAnsi="Times New Roman" w:cs="Times New Roman"/>
                <w:lang w:val="lt-LT"/>
              </w:rPr>
              <w:t>Z = 0,53X1 + 0,13X2 + 0,18X3 + 0,16X4; (5)</w:t>
            </w:r>
          </w:p>
          <w:p w:rsidR="006014D3" w:rsidRPr="006014D3" w:rsidRDefault="006014D3" w:rsidP="004756BC">
            <w:pPr>
              <w:contextualSpacing/>
              <w:jc w:val="both"/>
              <w:cnfStyle w:val="000000000000"/>
              <w:rPr>
                <w:rFonts w:ascii="Times New Roman" w:hAnsi="Times New Roman" w:cs="Times New Roman"/>
                <w:lang w:val="lt-LT"/>
              </w:rPr>
            </w:pPr>
            <w:r w:rsidRPr="006014D3">
              <w:rPr>
                <w:rFonts w:ascii="Times New Roman" w:hAnsi="Times New Roman" w:cs="Times New Roman"/>
                <w:lang w:val="lt-LT"/>
              </w:rPr>
              <w:t>čia</w:t>
            </w:r>
          </w:p>
          <w:p w:rsidR="006014D3" w:rsidRPr="006014D3" w:rsidRDefault="006014D3" w:rsidP="004756BC">
            <w:pPr>
              <w:contextualSpacing/>
              <w:jc w:val="both"/>
              <w:cnfStyle w:val="000000000000"/>
              <w:rPr>
                <w:rFonts w:ascii="Times New Roman" w:hAnsi="Times New Roman" w:cs="Times New Roman"/>
                <w:lang w:val="lt-LT"/>
              </w:rPr>
            </w:pPr>
            <w:r w:rsidRPr="006014D3">
              <w:rPr>
                <w:rFonts w:ascii="Times New Roman" w:hAnsi="Times New Roman" w:cs="Times New Roman"/>
                <w:lang w:val="lt-LT"/>
              </w:rPr>
              <w:t>X1 - Pelnas neatskaičius mokesčių /trumpalaikiai įsipareigojimai</w:t>
            </w:r>
          </w:p>
          <w:p w:rsidR="006014D3" w:rsidRPr="006014D3" w:rsidRDefault="006014D3" w:rsidP="004756BC">
            <w:pPr>
              <w:contextualSpacing/>
              <w:jc w:val="both"/>
              <w:cnfStyle w:val="000000000000"/>
              <w:rPr>
                <w:rFonts w:ascii="Times New Roman" w:hAnsi="Times New Roman" w:cs="Times New Roman"/>
                <w:lang w:val="lt-LT"/>
              </w:rPr>
            </w:pPr>
            <w:r w:rsidRPr="006014D3">
              <w:rPr>
                <w:rFonts w:ascii="Times New Roman" w:hAnsi="Times New Roman" w:cs="Times New Roman"/>
                <w:lang w:val="lt-LT"/>
              </w:rPr>
              <w:t>X2 - Trumpalaikis turtas / įsipareigojimai</w:t>
            </w:r>
          </w:p>
          <w:p w:rsidR="006014D3" w:rsidRPr="006014D3" w:rsidRDefault="006014D3" w:rsidP="004756BC">
            <w:pPr>
              <w:contextualSpacing/>
              <w:jc w:val="both"/>
              <w:cnfStyle w:val="000000000000"/>
              <w:rPr>
                <w:rFonts w:ascii="Times New Roman" w:hAnsi="Times New Roman" w:cs="Times New Roman"/>
                <w:lang w:val="lt-LT"/>
              </w:rPr>
            </w:pPr>
            <w:r w:rsidRPr="006014D3">
              <w:rPr>
                <w:rFonts w:ascii="Times New Roman" w:hAnsi="Times New Roman" w:cs="Times New Roman"/>
                <w:lang w:val="lt-LT"/>
              </w:rPr>
              <w:t>X3 - Trumpalaikiai įsipareigojimai / turtas</w:t>
            </w:r>
          </w:p>
          <w:p w:rsidR="006014D3" w:rsidRPr="006014D3" w:rsidRDefault="006014D3" w:rsidP="004756BC">
            <w:pPr>
              <w:contextualSpacing/>
              <w:jc w:val="both"/>
              <w:cnfStyle w:val="000000000000"/>
              <w:rPr>
                <w:rFonts w:ascii="Times New Roman" w:hAnsi="Times New Roman" w:cs="Times New Roman"/>
                <w:lang w:val="lt-LT"/>
              </w:rPr>
            </w:pPr>
            <w:r w:rsidRPr="006014D3">
              <w:rPr>
                <w:rFonts w:ascii="Times New Roman" w:hAnsi="Times New Roman" w:cs="Times New Roman"/>
                <w:lang w:val="lt-LT"/>
              </w:rPr>
              <w:t>X4 - (Trumpalaikis turtas-trumpalaikiai įsipareigojimai) / veiklos sąnaudos</w:t>
            </w:r>
          </w:p>
          <w:p w:rsidR="006014D3" w:rsidRDefault="006014D3" w:rsidP="004756BC">
            <w:pPr>
              <w:contextualSpacing/>
              <w:jc w:val="both"/>
              <w:cnfStyle w:val="000000000000"/>
              <w:rPr>
                <w:rFonts w:ascii="Times New Roman" w:hAnsi="Times New Roman" w:cs="Times New Roman"/>
                <w:lang w:val="lt-LT"/>
              </w:rPr>
            </w:pPr>
          </w:p>
          <w:p w:rsidR="006014D3" w:rsidRPr="006014D3" w:rsidRDefault="006014D3" w:rsidP="004756BC">
            <w:pPr>
              <w:contextualSpacing/>
              <w:jc w:val="both"/>
              <w:cnfStyle w:val="000000000000"/>
              <w:rPr>
                <w:rFonts w:ascii="Times New Roman" w:hAnsi="Times New Roman" w:cs="Times New Roman"/>
                <w:lang w:val="lt-LT"/>
              </w:rPr>
            </w:pPr>
          </w:p>
        </w:tc>
        <w:tc>
          <w:tcPr>
            <w:tcW w:w="3192" w:type="dxa"/>
          </w:tcPr>
          <w:p w:rsidR="006014D3" w:rsidRPr="006014D3" w:rsidRDefault="006014D3" w:rsidP="004756BC">
            <w:pPr>
              <w:contextualSpacing/>
              <w:jc w:val="both"/>
              <w:cnfStyle w:val="000000000000"/>
              <w:rPr>
                <w:rFonts w:ascii="Times New Roman" w:hAnsi="Times New Roman" w:cs="Times New Roman"/>
                <w:lang w:val="lt-LT"/>
              </w:rPr>
            </w:pPr>
            <w:r w:rsidRPr="006014D3">
              <w:rPr>
                <w:rFonts w:ascii="Times New Roman" w:hAnsi="Times New Roman" w:cs="Times New Roman"/>
                <w:lang w:val="lt-LT"/>
              </w:rPr>
              <w:t>Jei Z reikšmė viršija 0,3, įmonės ilgalaikės perspektyvos geros, o jei Z reikšmė mažiau kaip 0,2, yra bankroto grėsmė.</w:t>
            </w:r>
          </w:p>
        </w:tc>
      </w:tr>
    </w:tbl>
    <w:p w:rsidR="006014D3" w:rsidRPr="0003112C" w:rsidRDefault="006014D3" w:rsidP="006014D3">
      <w:pPr>
        <w:spacing w:line="360" w:lineRule="auto"/>
        <w:ind w:firstLine="720"/>
        <w:contextualSpacing/>
        <w:jc w:val="both"/>
        <w:rPr>
          <w:rFonts w:ascii="Times New Roman" w:hAnsi="Times New Roman" w:cs="Times New Roman"/>
          <w:sz w:val="20"/>
          <w:szCs w:val="20"/>
          <w:lang w:val="lt-LT"/>
        </w:rPr>
      </w:pPr>
      <w:r w:rsidRPr="009148BD">
        <w:rPr>
          <w:rFonts w:ascii="Times New Roman" w:hAnsi="Times New Roman" w:cs="Times New Roman"/>
          <w:b/>
          <w:sz w:val="20"/>
          <w:szCs w:val="20"/>
          <w:lang w:val="lt-LT"/>
        </w:rPr>
        <w:t>Šaltinis:</w:t>
      </w:r>
      <w:r w:rsidRPr="009148BD">
        <w:rPr>
          <w:rFonts w:ascii="Times New Roman" w:hAnsi="Times New Roman" w:cs="Times New Roman"/>
          <w:sz w:val="20"/>
          <w:szCs w:val="20"/>
          <w:lang w:val="lt-LT"/>
        </w:rPr>
        <w:t xml:space="preserve"> Sudaryta pagal Januševičiūtė, 2010, Rugenytė, 2010, Mackevičius, </w:t>
      </w:r>
      <w:r>
        <w:rPr>
          <w:rFonts w:ascii="Times New Roman" w:hAnsi="Times New Roman" w:cs="Times New Roman"/>
          <w:sz w:val="20"/>
          <w:szCs w:val="20"/>
          <w:lang w:val="lt-LT"/>
        </w:rPr>
        <w:t>S</w:t>
      </w:r>
      <w:r w:rsidR="00226DE6">
        <w:rPr>
          <w:rFonts w:ascii="Times New Roman" w:hAnsi="Times New Roman" w:cs="Times New Roman"/>
          <w:sz w:val="20"/>
          <w:szCs w:val="20"/>
          <w:lang w:val="lt-LT"/>
        </w:rPr>
        <w:t>i</w:t>
      </w:r>
      <w:r>
        <w:rPr>
          <w:rFonts w:ascii="Times New Roman" w:hAnsi="Times New Roman" w:cs="Times New Roman"/>
          <w:sz w:val="20"/>
          <w:szCs w:val="20"/>
          <w:lang w:val="lt-LT"/>
        </w:rPr>
        <w:t xml:space="preserve">lvanavičiūtė, </w:t>
      </w:r>
      <w:r w:rsidRPr="009148BD">
        <w:rPr>
          <w:rFonts w:ascii="Times New Roman" w:hAnsi="Times New Roman" w:cs="Times New Roman"/>
          <w:sz w:val="20"/>
          <w:szCs w:val="20"/>
          <w:lang w:val="lt-LT"/>
        </w:rPr>
        <w:t>2006, Garškaitė, 2008.</w:t>
      </w:r>
    </w:p>
    <w:p w:rsidR="006014D3" w:rsidRDefault="006014D3" w:rsidP="00BC69AA">
      <w:pPr>
        <w:tabs>
          <w:tab w:val="left" w:pos="142"/>
        </w:tabs>
        <w:spacing w:after="0" w:line="360" w:lineRule="auto"/>
        <w:rPr>
          <w:rFonts w:cs="Times New Roman"/>
        </w:rPr>
      </w:pPr>
    </w:p>
    <w:p w:rsidR="006014D3" w:rsidRPr="004D5C99" w:rsidRDefault="00BC69AA" w:rsidP="00BC69AA">
      <w:pPr>
        <w:spacing w:after="0"/>
        <w:contextualSpacing/>
        <w:jc w:val="center"/>
        <w:rPr>
          <w:rFonts w:ascii="Times New Roman" w:hAnsi="Times New Roman" w:cs="Times New Roman"/>
          <w:b/>
          <w:szCs w:val="24"/>
          <w:lang w:val="lt-LT"/>
        </w:rPr>
      </w:pPr>
      <w:r w:rsidRPr="004D5C99">
        <w:rPr>
          <w:rFonts w:ascii="Times New Roman" w:hAnsi="Times New Roman" w:cs="Times New Roman"/>
          <w:szCs w:val="24"/>
          <w:lang w:val="lt-LT"/>
        </w:rPr>
        <w:t>2 lentelė.</w:t>
      </w:r>
      <w:r w:rsidRPr="004D5C99">
        <w:rPr>
          <w:rFonts w:ascii="Times New Roman" w:hAnsi="Times New Roman" w:cs="Times New Roman"/>
          <w:b/>
          <w:szCs w:val="24"/>
          <w:lang w:val="lt-LT"/>
        </w:rPr>
        <w:t xml:space="preserve"> Logistinės regresijos bankroto prognozavimo modeliai</w:t>
      </w:r>
    </w:p>
    <w:tbl>
      <w:tblPr>
        <w:tblStyle w:val="LightList-Accent6"/>
        <w:tblW w:w="10031" w:type="dxa"/>
        <w:jc w:val="center"/>
        <w:tblLayout w:type="fixed"/>
        <w:tblLook w:val="04A0"/>
      </w:tblPr>
      <w:tblGrid>
        <w:gridCol w:w="1951"/>
        <w:gridCol w:w="5103"/>
        <w:gridCol w:w="2977"/>
      </w:tblGrid>
      <w:tr w:rsidR="006014D3" w:rsidRPr="00DA6032" w:rsidTr="00226DE6">
        <w:trPr>
          <w:cnfStyle w:val="100000000000"/>
          <w:jc w:val="center"/>
        </w:trPr>
        <w:tc>
          <w:tcPr>
            <w:cnfStyle w:val="001000000000"/>
            <w:tcW w:w="1951" w:type="dxa"/>
            <w:shd w:val="clear" w:color="auto" w:fill="FBD4B4" w:themeFill="accent6" w:themeFillTint="66"/>
          </w:tcPr>
          <w:p w:rsidR="006014D3" w:rsidRPr="00226DE6" w:rsidRDefault="006014D3" w:rsidP="004756BC">
            <w:pPr>
              <w:contextualSpacing/>
              <w:jc w:val="center"/>
              <w:rPr>
                <w:rFonts w:ascii="Times New Roman" w:hAnsi="Times New Roman" w:cs="Times New Roman"/>
                <w:b w:val="0"/>
                <w:color w:val="auto"/>
                <w:sz w:val="24"/>
                <w:szCs w:val="24"/>
                <w:lang w:val="lt-LT"/>
              </w:rPr>
            </w:pPr>
            <w:r w:rsidRPr="00226DE6">
              <w:rPr>
                <w:rFonts w:ascii="Times New Roman" w:hAnsi="Times New Roman" w:cs="Times New Roman"/>
                <w:color w:val="auto"/>
                <w:sz w:val="24"/>
                <w:szCs w:val="24"/>
                <w:lang w:val="lt-LT"/>
              </w:rPr>
              <w:t>Autorius</w:t>
            </w:r>
          </w:p>
        </w:tc>
        <w:tc>
          <w:tcPr>
            <w:tcW w:w="5103" w:type="dxa"/>
            <w:shd w:val="clear" w:color="auto" w:fill="FBD4B4" w:themeFill="accent6" w:themeFillTint="66"/>
          </w:tcPr>
          <w:p w:rsidR="006014D3" w:rsidRPr="00226DE6" w:rsidRDefault="006014D3" w:rsidP="004756BC">
            <w:pPr>
              <w:contextualSpacing/>
              <w:jc w:val="center"/>
              <w:cnfStyle w:val="100000000000"/>
              <w:rPr>
                <w:rFonts w:ascii="Times New Roman" w:hAnsi="Times New Roman" w:cs="Times New Roman"/>
                <w:b w:val="0"/>
                <w:color w:val="auto"/>
                <w:sz w:val="24"/>
                <w:szCs w:val="24"/>
                <w:lang w:val="lt-LT"/>
              </w:rPr>
            </w:pPr>
            <w:r w:rsidRPr="00226DE6">
              <w:rPr>
                <w:rFonts w:ascii="Times New Roman" w:hAnsi="Times New Roman" w:cs="Times New Roman"/>
                <w:color w:val="auto"/>
                <w:sz w:val="24"/>
                <w:szCs w:val="24"/>
                <w:lang w:val="lt-LT"/>
              </w:rPr>
              <w:t>Modelis</w:t>
            </w:r>
          </w:p>
        </w:tc>
        <w:tc>
          <w:tcPr>
            <w:tcW w:w="2977" w:type="dxa"/>
            <w:shd w:val="clear" w:color="auto" w:fill="FBD4B4" w:themeFill="accent6" w:themeFillTint="66"/>
          </w:tcPr>
          <w:p w:rsidR="006014D3" w:rsidRPr="00226DE6" w:rsidRDefault="006014D3" w:rsidP="004756BC">
            <w:pPr>
              <w:contextualSpacing/>
              <w:jc w:val="center"/>
              <w:cnfStyle w:val="100000000000"/>
              <w:rPr>
                <w:rFonts w:ascii="Times New Roman" w:hAnsi="Times New Roman" w:cs="Times New Roman"/>
                <w:b w:val="0"/>
                <w:color w:val="auto"/>
                <w:sz w:val="24"/>
                <w:szCs w:val="24"/>
                <w:lang w:val="lt-LT"/>
              </w:rPr>
            </w:pPr>
            <w:r w:rsidRPr="00226DE6">
              <w:rPr>
                <w:rFonts w:ascii="Times New Roman" w:hAnsi="Times New Roman" w:cs="Times New Roman"/>
                <w:color w:val="auto"/>
                <w:sz w:val="24"/>
                <w:szCs w:val="24"/>
                <w:lang w:val="lt-LT"/>
              </w:rPr>
              <w:t>Kritinė riba</w:t>
            </w:r>
          </w:p>
        </w:tc>
      </w:tr>
      <w:tr w:rsidR="006014D3" w:rsidRPr="00775706" w:rsidTr="004D5C99">
        <w:trPr>
          <w:cnfStyle w:val="000000100000"/>
          <w:jc w:val="center"/>
        </w:trPr>
        <w:tc>
          <w:tcPr>
            <w:cnfStyle w:val="001000000000"/>
            <w:tcW w:w="1951" w:type="dxa"/>
          </w:tcPr>
          <w:p w:rsidR="006014D3" w:rsidRPr="0031664C" w:rsidRDefault="006014D3" w:rsidP="004756BC">
            <w:pPr>
              <w:contextualSpacing/>
              <w:jc w:val="center"/>
              <w:rPr>
                <w:rFonts w:ascii="Times New Roman" w:hAnsi="Times New Roman" w:cs="Times New Roman"/>
                <w:i/>
                <w:sz w:val="24"/>
                <w:szCs w:val="24"/>
                <w:lang w:val="lt-LT"/>
              </w:rPr>
            </w:pPr>
            <w:r w:rsidRPr="0031664C">
              <w:rPr>
                <w:rFonts w:ascii="Times New Roman" w:hAnsi="Times New Roman" w:cs="Times New Roman"/>
                <w:i/>
                <w:sz w:val="24"/>
                <w:szCs w:val="24"/>
                <w:lang w:val="lt-LT"/>
              </w:rPr>
              <w:t>Zavgren (1985)</w:t>
            </w:r>
          </w:p>
        </w:tc>
        <w:tc>
          <w:tcPr>
            <w:tcW w:w="5103" w:type="dxa"/>
          </w:tcPr>
          <w:p w:rsidR="006014D3" w:rsidRPr="00DA6032" w:rsidRDefault="006014D3" w:rsidP="004756BC">
            <w:pPr>
              <w:contextualSpacing/>
              <w:jc w:val="both"/>
              <w:cnfStyle w:val="000000100000"/>
              <w:rPr>
                <w:rFonts w:ascii="Times New Roman" w:hAnsi="Times New Roman" w:cs="Times New Roman"/>
                <w:sz w:val="24"/>
                <w:szCs w:val="24"/>
                <w:lang w:val="lt-LT"/>
              </w:rPr>
            </w:pPr>
            <w:r w:rsidRPr="00DA6032">
              <w:rPr>
                <w:rFonts w:ascii="Times New Roman" w:hAnsi="Times New Roman" w:cs="Times New Roman"/>
                <w:sz w:val="24"/>
                <w:szCs w:val="24"/>
                <w:lang w:val="lt-LT"/>
              </w:rPr>
              <w:t>Z1 = 0,11X1 + 1,58X2 + 10,78X3 + 3,07X4 – 0,4</w:t>
            </w:r>
            <w:r>
              <w:rPr>
                <w:rFonts w:ascii="Times New Roman" w:hAnsi="Times New Roman" w:cs="Times New Roman"/>
                <w:sz w:val="24"/>
                <w:szCs w:val="24"/>
                <w:lang w:val="lt-LT"/>
              </w:rPr>
              <w:t>9X5 + 4,35X6 – 0,11X7 – 0,24; (8</w:t>
            </w:r>
            <w:r w:rsidRPr="00DA6032">
              <w:rPr>
                <w:rFonts w:ascii="Times New Roman" w:hAnsi="Times New Roman" w:cs="Times New Roman"/>
                <w:sz w:val="24"/>
                <w:szCs w:val="24"/>
                <w:lang w:val="lt-LT"/>
              </w:rPr>
              <w:t>)</w:t>
            </w:r>
          </w:p>
          <w:p w:rsidR="006014D3" w:rsidRPr="00DA6032" w:rsidRDefault="006014D3" w:rsidP="004756BC">
            <w:pPr>
              <w:contextualSpacing/>
              <w:jc w:val="both"/>
              <w:cnfStyle w:val="000000100000"/>
              <w:rPr>
                <w:rFonts w:ascii="Times New Roman" w:hAnsi="Times New Roman" w:cs="Times New Roman"/>
                <w:sz w:val="24"/>
                <w:szCs w:val="24"/>
                <w:lang w:val="lt-LT"/>
              </w:rPr>
            </w:pPr>
            <w:r w:rsidRPr="00DA6032">
              <w:rPr>
                <w:rFonts w:ascii="Times New Roman" w:hAnsi="Times New Roman" w:cs="Times New Roman"/>
                <w:sz w:val="24"/>
                <w:szCs w:val="24"/>
                <w:lang w:val="lt-LT"/>
              </w:rPr>
              <w:t>Z2 = 4,19X1 + 2,22X2 + 11,23X3 – 2,69X4 – 1,44X5 + 4,46X6 + 0,06X7 – 2,61</w:t>
            </w:r>
          </w:p>
          <w:p w:rsidR="006014D3" w:rsidRPr="00DA6032" w:rsidRDefault="006014D3" w:rsidP="004756BC">
            <w:pPr>
              <w:contextualSpacing/>
              <w:jc w:val="both"/>
              <w:cnfStyle w:val="000000100000"/>
              <w:rPr>
                <w:rFonts w:ascii="Times New Roman" w:hAnsi="Times New Roman" w:cs="Times New Roman"/>
                <w:sz w:val="24"/>
                <w:szCs w:val="24"/>
                <w:lang w:val="lt-LT"/>
              </w:rPr>
            </w:pPr>
            <w:r w:rsidRPr="00DA6032">
              <w:rPr>
                <w:rFonts w:ascii="Times New Roman" w:hAnsi="Times New Roman" w:cs="Times New Roman"/>
                <w:sz w:val="24"/>
                <w:szCs w:val="24"/>
                <w:lang w:val="lt-LT"/>
              </w:rPr>
              <w:t>Z3 = 6,257X1 + 0,829X2 + 42,48X3 – 1,549X4 + 0,519X5 + 1,822X6 + 0,002X7 – 1,5115</w:t>
            </w:r>
          </w:p>
          <w:p w:rsidR="006014D3" w:rsidRPr="00DA6032" w:rsidRDefault="006014D3" w:rsidP="004756BC">
            <w:pPr>
              <w:contextualSpacing/>
              <w:jc w:val="both"/>
              <w:cnfStyle w:val="000000100000"/>
              <w:rPr>
                <w:rFonts w:ascii="Times New Roman" w:hAnsi="Times New Roman" w:cs="Times New Roman"/>
                <w:sz w:val="24"/>
                <w:szCs w:val="24"/>
                <w:lang w:val="lt-LT"/>
              </w:rPr>
            </w:pPr>
            <w:r w:rsidRPr="00DA6032">
              <w:rPr>
                <w:rFonts w:ascii="Times New Roman" w:hAnsi="Times New Roman" w:cs="Times New Roman"/>
                <w:sz w:val="24"/>
                <w:szCs w:val="24"/>
                <w:lang w:val="lt-LT"/>
              </w:rPr>
              <w:t>Z4 = 9,157X1 + 1,667X2 + 5,917X3 – 0,41X4 + 1,95X5 + 4,1X6 + 0,363X7 – 5,9457</w:t>
            </w:r>
          </w:p>
          <w:p w:rsidR="006014D3" w:rsidRPr="00DA6032" w:rsidRDefault="006014D3" w:rsidP="004756BC">
            <w:pPr>
              <w:contextualSpacing/>
              <w:jc w:val="both"/>
              <w:cnfStyle w:val="000000100000"/>
              <w:rPr>
                <w:rFonts w:ascii="Times New Roman" w:hAnsi="Times New Roman" w:cs="Times New Roman"/>
                <w:sz w:val="24"/>
                <w:szCs w:val="24"/>
                <w:lang w:val="lt-LT"/>
              </w:rPr>
            </w:pPr>
            <w:r w:rsidRPr="00DA6032">
              <w:rPr>
                <w:rFonts w:ascii="Times New Roman" w:hAnsi="Times New Roman" w:cs="Times New Roman"/>
                <w:sz w:val="24"/>
                <w:szCs w:val="24"/>
                <w:lang w:val="lt-LT"/>
              </w:rPr>
              <w:t>Z5 = 8,84X1 + 0,69X2 + 15,79X3 + 0,02X4 – 2,3X5 + 4,37X6 + 0,798X7 – 6,88</w:t>
            </w:r>
          </w:p>
          <w:p w:rsidR="006014D3" w:rsidRPr="00DA6032" w:rsidRDefault="006014D3" w:rsidP="004756BC">
            <w:pPr>
              <w:contextualSpacing/>
              <w:jc w:val="both"/>
              <w:cnfStyle w:val="000000100000"/>
              <w:rPr>
                <w:rFonts w:ascii="Times New Roman" w:hAnsi="Times New Roman" w:cs="Times New Roman"/>
                <w:sz w:val="24"/>
                <w:szCs w:val="24"/>
                <w:lang w:val="lt-LT"/>
              </w:rPr>
            </w:pPr>
            <w:r w:rsidRPr="00DA6032">
              <w:rPr>
                <w:rFonts w:ascii="Times New Roman" w:hAnsi="Times New Roman" w:cs="Times New Roman"/>
                <w:sz w:val="24"/>
                <w:szCs w:val="24"/>
                <w:lang w:val="lt-LT"/>
              </w:rPr>
              <w:t>čia</w:t>
            </w:r>
          </w:p>
          <w:p w:rsidR="006014D3" w:rsidRPr="00DA6032" w:rsidRDefault="006014D3" w:rsidP="004756BC">
            <w:pPr>
              <w:contextualSpacing/>
              <w:jc w:val="both"/>
              <w:cnfStyle w:val="000000100000"/>
              <w:rPr>
                <w:rFonts w:ascii="Times New Roman" w:hAnsi="Times New Roman" w:cs="Times New Roman"/>
                <w:sz w:val="24"/>
                <w:szCs w:val="24"/>
                <w:lang w:val="lt-LT"/>
              </w:rPr>
            </w:pPr>
            <w:r w:rsidRPr="00DA6032">
              <w:rPr>
                <w:rFonts w:ascii="Times New Roman" w:hAnsi="Times New Roman" w:cs="Times New Roman"/>
                <w:sz w:val="24"/>
                <w:szCs w:val="24"/>
                <w:lang w:val="lt-LT"/>
              </w:rPr>
              <w:t>X1 - Atsargos / pardavimų pajamas;</w:t>
            </w:r>
          </w:p>
          <w:p w:rsidR="006014D3" w:rsidRPr="00DA6032" w:rsidRDefault="006014D3" w:rsidP="004756BC">
            <w:pPr>
              <w:contextualSpacing/>
              <w:jc w:val="both"/>
              <w:cnfStyle w:val="000000100000"/>
              <w:rPr>
                <w:rFonts w:ascii="Times New Roman" w:hAnsi="Times New Roman" w:cs="Times New Roman"/>
                <w:sz w:val="24"/>
                <w:szCs w:val="24"/>
                <w:lang w:val="lt-LT"/>
              </w:rPr>
            </w:pPr>
            <w:r w:rsidRPr="00DA6032">
              <w:rPr>
                <w:rFonts w:ascii="Times New Roman" w:hAnsi="Times New Roman" w:cs="Times New Roman"/>
                <w:sz w:val="24"/>
                <w:szCs w:val="24"/>
                <w:lang w:val="lt-LT"/>
              </w:rPr>
              <w:t>X2 - Gautinos sumos / atsargos;</w:t>
            </w:r>
          </w:p>
          <w:p w:rsidR="006014D3" w:rsidRPr="00DA6032" w:rsidRDefault="006014D3" w:rsidP="00BC69AA">
            <w:pPr>
              <w:contextualSpacing/>
              <w:jc w:val="both"/>
              <w:cnfStyle w:val="000000100000"/>
              <w:rPr>
                <w:rFonts w:ascii="Times New Roman" w:hAnsi="Times New Roman" w:cs="Times New Roman"/>
                <w:sz w:val="24"/>
                <w:szCs w:val="24"/>
                <w:lang w:val="lt-LT"/>
              </w:rPr>
            </w:pPr>
          </w:p>
        </w:tc>
        <w:tc>
          <w:tcPr>
            <w:tcW w:w="2977" w:type="dxa"/>
          </w:tcPr>
          <w:p w:rsidR="006014D3" w:rsidRPr="00DA6032" w:rsidRDefault="006014D3" w:rsidP="004756BC">
            <w:pPr>
              <w:contextualSpacing/>
              <w:jc w:val="both"/>
              <w:cnfStyle w:val="000000100000"/>
              <w:rPr>
                <w:rFonts w:ascii="Times New Roman" w:hAnsi="Times New Roman" w:cs="Times New Roman"/>
                <w:sz w:val="24"/>
                <w:szCs w:val="24"/>
                <w:lang w:val="lt-LT"/>
              </w:rPr>
            </w:pPr>
            <w:r w:rsidRPr="00DA6032">
              <w:rPr>
                <w:rFonts w:ascii="Times New Roman" w:hAnsi="Times New Roman" w:cs="Times New Roman"/>
                <w:sz w:val="24"/>
                <w:szCs w:val="24"/>
                <w:lang w:val="lt-LT"/>
              </w:rPr>
              <w:t xml:space="preserve">Jeigu apskaičiuota tikimybė yra </w:t>
            </w:r>
            <w:r w:rsidR="00E6354F">
              <w:rPr>
                <w:rFonts w:ascii="Times New Roman" w:hAnsi="Times New Roman" w:cs="Times New Roman"/>
                <w:sz w:val="24"/>
                <w:szCs w:val="24"/>
                <w:lang w:val="lt-LT"/>
              </w:rPr>
              <w:t>mažesnė nei 50 proc.</w:t>
            </w:r>
            <w:r w:rsidRPr="00DA6032">
              <w:rPr>
                <w:rFonts w:ascii="Times New Roman" w:hAnsi="Times New Roman" w:cs="Times New Roman"/>
                <w:sz w:val="24"/>
                <w:szCs w:val="24"/>
                <w:lang w:val="lt-LT"/>
              </w:rPr>
              <w:t xml:space="preserve">, tai įmonei bankrotas negresia. Tačiau Zavgren bankroto prognozavimo </w:t>
            </w:r>
            <w:r w:rsidR="00E6354F">
              <w:rPr>
                <w:rFonts w:ascii="Times New Roman" w:hAnsi="Times New Roman" w:cs="Times New Roman"/>
                <w:sz w:val="24"/>
                <w:szCs w:val="24"/>
                <w:lang w:val="lt-LT"/>
              </w:rPr>
              <w:t>modelio rezultatams viršijus 50 proc.</w:t>
            </w:r>
            <w:r w:rsidRPr="00DA6032">
              <w:rPr>
                <w:rFonts w:ascii="Times New Roman" w:hAnsi="Times New Roman" w:cs="Times New Roman"/>
                <w:sz w:val="24"/>
                <w:szCs w:val="24"/>
                <w:lang w:val="lt-LT"/>
              </w:rPr>
              <w:t>, galima teigti, kad analizuojamos įmonės bankroto tikimybė yra didelė.</w:t>
            </w:r>
          </w:p>
        </w:tc>
      </w:tr>
    </w:tbl>
    <w:p w:rsidR="006014D3" w:rsidRPr="000F3613" w:rsidRDefault="00BC69AA" w:rsidP="00E62D5D">
      <w:pPr>
        <w:spacing w:line="360" w:lineRule="auto"/>
        <w:contextualSpacing/>
        <w:jc w:val="right"/>
        <w:rPr>
          <w:rFonts w:ascii="Times New Roman" w:hAnsi="Times New Roman" w:cs="Times New Roman"/>
          <w:b/>
          <w:sz w:val="24"/>
          <w:szCs w:val="24"/>
          <w:lang w:val="lt-LT"/>
        </w:rPr>
      </w:pPr>
      <w:r>
        <w:rPr>
          <w:rFonts w:ascii="Times New Roman" w:hAnsi="Times New Roman" w:cs="Times New Roman"/>
          <w:sz w:val="24"/>
          <w:szCs w:val="24"/>
        </w:rPr>
        <w:t>2 l</w:t>
      </w:r>
      <w:r w:rsidR="006014D3" w:rsidRPr="000F3613">
        <w:rPr>
          <w:rFonts w:ascii="Times New Roman" w:hAnsi="Times New Roman" w:cs="Times New Roman"/>
          <w:sz w:val="24"/>
          <w:szCs w:val="24"/>
        </w:rPr>
        <w:t>entel</w:t>
      </w:r>
      <w:r w:rsidR="006014D3" w:rsidRPr="000F3613">
        <w:rPr>
          <w:rFonts w:ascii="TimesNewRomanPSMT" w:eastAsia="TimesNewRomanPSMT" w:hAnsi="Times New Roman" w:cs="TimesNewRomanPSMT" w:hint="eastAsia"/>
          <w:sz w:val="24"/>
          <w:szCs w:val="24"/>
        </w:rPr>
        <w:t>ė</w:t>
      </w:r>
      <w:r w:rsidR="006014D3" w:rsidRPr="000F3613">
        <w:rPr>
          <w:rFonts w:ascii="Times New Roman" w:hAnsi="Times New Roman" w:cs="Times New Roman"/>
          <w:sz w:val="24"/>
          <w:szCs w:val="24"/>
        </w:rPr>
        <w:t>s t</w:t>
      </w:r>
      <w:r w:rsidR="006014D3" w:rsidRPr="000F3613">
        <w:rPr>
          <w:rFonts w:ascii="TimesNewRomanPSMT" w:eastAsia="TimesNewRomanPSMT" w:hAnsi="Times New Roman" w:cs="TimesNewRomanPSMT" w:hint="eastAsia"/>
          <w:sz w:val="24"/>
          <w:szCs w:val="24"/>
        </w:rPr>
        <w:t>ę</w:t>
      </w:r>
      <w:r w:rsidR="006014D3" w:rsidRPr="000F3613">
        <w:rPr>
          <w:rFonts w:ascii="Times New Roman" w:hAnsi="Times New Roman" w:cs="Times New Roman"/>
          <w:sz w:val="24"/>
          <w:szCs w:val="24"/>
        </w:rPr>
        <w:t>sinys kitame puslapyje</w:t>
      </w:r>
    </w:p>
    <w:p w:rsidR="006014D3" w:rsidRPr="00F33626" w:rsidRDefault="00BC69AA" w:rsidP="00E62D5D">
      <w:pPr>
        <w:spacing w:line="360" w:lineRule="auto"/>
        <w:contextualSpacing/>
        <w:jc w:val="right"/>
        <w:rPr>
          <w:rFonts w:ascii="Times New Roman" w:hAnsi="Times New Roman" w:cs="Times New Roman"/>
          <w:b/>
          <w:sz w:val="20"/>
          <w:szCs w:val="20"/>
          <w:lang w:val="lt-LT"/>
        </w:rPr>
      </w:pPr>
      <w:r>
        <w:rPr>
          <w:rFonts w:ascii="Times New Roman" w:hAnsi="Times New Roman" w:cs="Times New Roman"/>
          <w:sz w:val="24"/>
          <w:szCs w:val="24"/>
        </w:rPr>
        <w:lastRenderedPageBreak/>
        <w:t>2 l</w:t>
      </w:r>
      <w:r w:rsidR="006014D3" w:rsidRPr="000F3613">
        <w:rPr>
          <w:rFonts w:ascii="Times New Roman" w:hAnsi="Times New Roman" w:cs="Times New Roman"/>
          <w:sz w:val="24"/>
          <w:szCs w:val="24"/>
        </w:rPr>
        <w:t>entel</w:t>
      </w:r>
      <w:r w:rsidR="006014D3" w:rsidRPr="000F3613">
        <w:rPr>
          <w:rFonts w:ascii="TimesNewRomanPSMT" w:eastAsia="TimesNewRomanPSMT" w:hAnsi="Times New Roman" w:cs="TimesNewRomanPSMT" w:hint="eastAsia"/>
          <w:sz w:val="24"/>
          <w:szCs w:val="24"/>
        </w:rPr>
        <w:t>ė</w:t>
      </w:r>
      <w:r w:rsidR="006014D3" w:rsidRPr="000F3613">
        <w:rPr>
          <w:rFonts w:ascii="Times New Roman" w:hAnsi="Times New Roman" w:cs="Times New Roman"/>
          <w:sz w:val="24"/>
          <w:szCs w:val="24"/>
        </w:rPr>
        <w:t>s t</w:t>
      </w:r>
      <w:r w:rsidR="006014D3" w:rsidRPr="000F3613">
        <w:rPr>
          <w:rFonts w:ascii="TimesNewRomanPSMT" w:eastAsia="TimesNewRomanPSMT" w:hAnsi="Times New Roman" w:cs="TimesNewRomanPSMT" w:hint="eastAsia"/>
          <w:sz w:val="24"/>
          <w:szCs w:val="24"/>
        </w:rPr>
        <w:t>ę</w:t>
      </w:r>
      <w:r w:rsidR="006014D3" w:rsidRPr="000F3613">
        <w:rPr>
          <w:rFonts w:ascii="Times New Roman" w:hAnsi="Times New Roman" w:cs="Times New Roman"/>
          <w:sz w:val="24"/>
          <w:szCs w:val="24"/>
        </w:rPr>
        <w:t>sinys</w:t>
      </w:r>
    </w:p>
    <w:tbl>
      <w:tblPr>
        <w:tblStyle w:val="LightList-Accent6"/>
        <w:tblW w:w="0" w:type="auto"/>
        <w:jc w:val="center"/>
        <w:tblLook w:val="04A0"/>
      </w:tblPr>
      <w:tblGrid>
        <w:gridCol w:w="1948"/>
        <w:gridCol w:w="5000"/>
        <w:gridCol w:w="3474"/>
      </w:tblGrid>
      <w:tr w:rsidR="006014D3" w:rsidTr="00226DE6">
        <w:trPr>
          <w:cnfStyle w:val="100000000000"/>
          <w:jc w:val="center"/>
        </w:trPr>
        <w:tc>
          <w:tcPr>
            <w:cnfStyle w:val="001000000000"/>
            <w:tcW w:w="1948" w:type="dxa"/>
            <w:shd w:val="clear" w:color="auto" w:fill="FBD4B4" w:themeFill="accent6" w:themeFillTint="66"/>
          </w:tcPr>
          <w:p w:rsidR="006014D3" w:rsidRPr="00226DE6" w:rsidRDefault="006014D3" w:rsidP="004756BC">
            <w:pPr>
              <w:contextualSpacing/>
              <w:jc w:val="center"/>
              <w:rPr>
                <w:rFonts w:ascii="Times New Roman" w:hAnsi="Times New Roman" w:cs="Times New Roman"/>
                <w:b w:val="0"/>
                <w:color w:val="auto"/>
                <w:sz w:val="24"/>
                <w:szCs w:val="24"/>
                <w:lang w:val="lt-LT"/>
              </w:rPr>
            </w:pPr>
            <w:r w:rsidRPr="00226DE6">
              <w:rPr>
                <w:rFonts w:ascii="Times New Roman" w:hAnsi="Times New Roman" w:cs="Times New Roman"/>
                <w:color w:val="auto"/>
                <w:sz w:val="24"/>
                <w:szCs w:val="24"/>
                <w:lang w:val="lt-LT"/>
              </w:rPr>
              <w:t>Autorius</w:t>
            </w:r>
          </w:p>
        </w:tc>
        <w:tc>
          <w:tcPr>
            <w:tcW w:w="5000" w:type="dxa"/>
            <w:shd w:val="clear" w:color="auto" w:fill="FBD4B4" w:themeFill="accent6" w:themeFillTint="66"/>
          </w:tcPr>
          <w:p w:rsidR="006014D3" w:rsidRPr="00226DE6" w:rsidRDefault="006014D3" w:rsidP="004756BC">
            <w:pPr>
              <w:contextualSpacing/>
              <w:jc w:val="center"/>
              <w:cnfStyle w:val="100000000000"/>
              <w:rPr>
                <w:rFonts w:ascii="Times New Roman" w:hAnsi="Times New Roman" w:cs="Times New Roman"/>
                <w:b w:val="0"/>
                <w:color w:val="auto"/>
                <w:sz w:val="24"/>
                <w:szCs w:val="24"/>
                <w:lang w:val="lt-LT"/>
              </w:rPr>
            </w:pPr>
            <w:r w:rsidRPr="00226DE6">
              <w:rPr>
                <w:rFonts w:ascii="Times New Roman" w:hAnsi="Times New Roman" w:cs="Times New Roman"/>
                <w:color w:val="auto"/>
                <w:sz w:val="24"/>
                <w:szCs w:val="24"/>
                <w:lang w:val="lt-LT"/>
              </w:rPr>
              <w:t>Modelis</w:t>
            </w:r>
          </w:p>
        </w:tc>
        <w:tc>
          <w:tcPr>
            <w:tcW w:w="3474" w:type="dxa"/>
            <w:shd w:val="clear" w:color="auto" w:fill="FBD4B4" w:themeFill="accent6" w:themeFillTint="66"/>
          </w:tcPr>
          <w:p w:rsidR="006014D3" w:rsidRPr="00226DE6" w:rsidRDefault="006014D3" w:rsidP="004756BC">
            <w:pPr>
              <w:contextualSpacing/>
              <w:jc w:val="center"/>
              <w:cnfStyle w:val="100000000000"/>
              <w:rPr>
                <w:rFonts w:ascii="Times New Roman" w:hAnsi="Times New Roman" w:cs="Times New Roman"/>
                <w:b w:val="0"/>
                <w:color w:val="auto"/>
                <w:sz w:val="24"/>
                <w:szCs w:val="24"/>
                <w:lang w:val="lt-LT"/>
              </w:rPr>
            </w:pPr>
            <w:r w:rsidRPr="00226DE6">
              <w:rPr>
                <w:rFonts w:ascii="Times New Roman" w:hAnsi="Times New Roman" w:cs="Times New Roman"/>
                <w:color w:val="auto"/>
                <w:sz w:val="24"/>
                <w:szCs w:val="24"/>
                <w:lang w:val="lt-LT"/>
              </w:rPr>
              <w:t>Kritinė riba</w:t>
            </w:r>
          </w:p>
        </w:tc>
      </w:tr>
      <w:tr w:rsidR="00BC69AA" w:rsidRPr="00775706" w:rsidTr="004D5C99">
        <w:trPr>
          <w:cnfStyle w:val="000000100000"/>
          <w:jc w:val="center"/>
        </w:trPr>
        <w:tc>
          <w:tcPr>
            <w:cnfStyle w:val="001000000000"/>
            <w:tcW w:w="1948" w:type="dxa"/>
          </w:tcPr>
          <w:p w:rsidR="00BC69AA" w:rsidRPr="0031664C" w:rsidRDefault="00BC69AA" w:rsidP="0020759B">
            <w:pPr>
              <w:contextualSpacing/>
              <w:jc w:val="center"/>
              <w:rPr>
                <w:rFonts w:ascii="Times New Roman" w:hAnsi="Times New Roman" w:cs="Times New Roman"/>
                <w:i/>
                <w:sz w:val="24"/>
                <w:szCs w:val="24"/>
                <w:lang w:val="lt-LT"/>
              </w:rPr>
            </w:pPr>
          </w:p>
        </w:tc>
        <w:tc>
          <w:tcPr>
            <w:tcW w:w="5000" w:type="dxa"/>
          </w:tcPr>
          <w:p w:rsidR="00BC69AA" w:rsidRPr="00DA6032" w:rsidRDefault="00BC69AA" w:rsidP="00BC69AA">
            <w:pPr>
              <w:contextualSpacing/>
              <w:jc w:val="both"/>
              <w:cnfStyle w:val="000000100000"/>
              <w:rPr>
                <w:rFonts w:ascii="Times New Roman" w:hAnsi="Times New Roman" w:cs="Times New Roman"/>
                <w:sz w:val="24"/>
                <w:szCs w:val="24"/>
                <w:lang w:val="lt-LT"/>
              </w:rPr>
            </w:pPr>
            <w:r w:rsidRPr="00DA6032">
              <w:rPr>
                <w:rFonts w:ascii="Times New Roman" w:hAnsi="Times New Roman" w:cs="Times New Roman"/>
                <w:sz w:val="24"/>
                <w:szCs w:val="24"/>
                <w:lang w:val="lt-LT"/>
              </w:rPr>
              <w:t>X3 - Pinigai / turtas;</w:t>
            </w:r>
          </w:p>
          <w:p w:rsidR="00BC69AA" w:rsidRPr="00DA6032" w:rsidRDefault="00BC69AA" w:rsidP="00BC69AA">
            <w:pPr>
              <w:contextualSpacing/>
              <w:jc w:val="both"/>
              <w:cnfStyle w:val="000000100000"/>
              <w:rPr>
                <w:rFonts w:ascii="Times New Roman" w:hAnsi="Times New Roman" w:cs="Times New Roman"/>
                <w:sz w:val="24"/>
                <w:szCs w:val="24"/>
                <w:lang w:val="lt-LT"/>
              </w:rPr>
            </w:pPr>
            <w:r w:rsidRPr="00DA6032">
              <w:rPr>
                <w:rFonts w:ascii="Times New Roman" w:hAnsi="Times New Roman" w:cs="Times New Roman"/>
                <w:sz w:val="24"/>
                <w:szCs w:val="24"/>
                <w:lang w:val="lt-LT"/>
              </w:rPr>
              <w:t>X4 - Pinigai / trumpalaikiai įsipareigojimai;</w:t>
            </w:r>
          </w:p>
          <w:p w:rsidR="00BC69AA" w:rsidRPr="00DA6032" w:rsidRDefault="00BC69AA" w:rsidP="00BC69AA">
            <w:pPr>
              <w:contextualSpacing/>
              <w:jc w:val="both"/>
              <w:cnfStyle w:val="000000100000"/>
              <w:rPr>
                <w:rFonts w:ascii="Times New Roman" w:hAnsi="Times New Roman" w:cs="Times New Roman"/>
                <w:sz w:val="24"/>
                <w:szCs w:val="24"/>
                <w:lang w:val="lt-LT"/>
              </w:rPr>
            </w:pPr>
            <w:r w:rsidRPr="00DA6032">
              <w:rPr>
                <w:rFonts w:ascii="Times New Roman" w:hAnsi="Times New Roman" w:cs="Times New Roman"/>
                <w:sz w:val="24"/>
                <w:szCs w:val="24"/>
                <w:lang w:val="lt-LT"/>
              </w:rPr>
              <w:t>X5 - Įprastinės veiklos pelnas / (kapitalas -trumpalaikiai įsipareigojimai);</w:t>
            </w:r>
          </w:p>
          <w:p w:rsidR="00BC69AA" w:rsidRPr="00DA6032" w:rsidRDefault="00BC69AA" w:rsidP="00BC69AA">
            <w:pPr>
              <w:contextualSpacing/>
              <w:jc w:val="both"/>
              <w:cnfStyle w:val="000000100000"/>
              <w:rPr>
                <w:rFonts w:ascii="Times New Roman" w:hAnsi="Times New Roman" w:cs="Times New Roman"/>
                <w:sz w:val="24"/>
                <w:szCs w:val="24"/>
                <w:lang w:val="lt-LT"/>
              </w:rPr>
            </w:pPr>
            <w:r w:rsidRPr="00DA6032">
              <w:rPr>
                <w:rFonts w:ascii="Times New Roman" w:hAnsi="Times New Roman" w:cs="Times New Roman"/>
                <w:sz w:val="24"/>
                <w:szCs w:val="24"/>
                <w:lang w:val="lt-LT"/>
              </w:rPr>
              <w:t>X6 - Ilgalaikiai įsipareigojimai / (kapitalas -trumpalaikiai įsipareigojimai);</w:t>
            </w:r>
          </w:p>
          <w:p w:rsidR="00BC69AA" w:rsidRPr="00DA6032" w:rsidRDefault="00BC69AA" w:rsidP="00BC69AA">
            <w:pPr>
              <w:contextualSpacing/>
              <w:jc w:val="both"/>
              <w:cnfStyle w:val="000000100000"/>
              <w:rPr>
                <w:rFonts w:ascii="Times New Roman" w:hAnsi="Times New Roman" w:cs="Times New Roman"/>
                <w:sz w:val="24"/>
                <w:szCs w:val="24"/>
                <w:lang w:val="lt-LT"/>
              </w:rPr>
            </w:pPr>
            <w:r w:rsidRPr="00DA6032">
              <w:rPr>
                <w:rFonts w:ascii="Times New Roman" w:hAnsi="Times New Roman" w:cs="Times New Roman"/>
                <w:sz w:val="24"/>
                <w:szCs w:val="24"/>
                <w:lang w:val="lt-LT"/>
              </w:rPr>
              <w:t>X7 - Pardavimų pajamos / turtas.</w:t>
            </w:r>
          </w:p>
          <w:p w:rsidR="00BC69AA" w:rsidRPr="00DA6032" w:rsidRDefault="00BC69AA" w:rsidP="0020759B">
            <w:pPr>
              <w:contextualSpacing/>
              <w:jc w:val="both"/>
              <w:cnfStyle w:val="000000100000"/>
              <w:rPr>
                <w:rFonts w:ascii="Times New Roman" w:hAnsi="Times New Roman" w:cs="Times New Roman"/>
                <w:sz w:val="24"/>
                <w:szCs w:val="24"/>
                <w:lang w:val="lt-LT"/>
              </w:rPr>
            </w:pPr>
          </w:p>
        </w:tc>
        <w:tc>
          <w:tcPr>
            <w:tcW w:w="3474" w:type="dxa"/>
          </w:tcPr>
          <w:p w:rsidR="00BC69AA" w:rsidRPr="00DA6032" w:rsidRDefault="00BC69AA" w:rsidP="0020759B">
            <w:pPr>
              <w:contextualSpacing/>
              <w:jc w:val="both"/>
              <w:cnfStyle w:val="000000100000"/>
              <w:rPr>
                <w:rFonts w:ascii="Times New Roman" w:hAnsi="Times New Roman" w:cs="Times New Roman"/>
                <w:sz w:val="24"/>
                <w:szCs w:val="24"/>
                <w:lang w:val="lt-LT"/>
              </w:rPr>
            </w:pPr>
          </w:p>
        </w:tc>
      </w:tr>
      <w:tr w:rsidR="00BC69AA" w:rsidRPr="00775706" w:rsidTr="004D5C99">
        <w:trPr>
          <w:jc w:val="center"/>
        </w:trPr>
        <w:tc>
          <w:tcPr>
            <w:cnfStyle w:val="001000000000"/>
            <w:tcW w:w="1948" w:type="dxa"/>
          </w:tcPr>
          <w:p w:rsidR="00BC69AA" w:rsidRPr="0031664C" w:rsidRDefault="00BC69AA" w:rsidP="0020759B">
            <w:pPr>
              <w:contextualSpacing/>
              <w:jc w:val="center"/>
              <w:rPr>
                <w:rFonts w:ascii="Times New Roman" w:hAnsi="Times New Roman" w:cs="Times New Roman"/>
                <w:i/>
                <w:sz w:val="24"/>
                <w:szCs w:val="24"/>
                <w:lang w:val="lt-LT"/>
              </w:rPr>
            </w:pPr>
            <w:r w:rsidRPr="0031664C">
              <w:rPr>
                <w:rFonts w:ascii="Times New Roman" w:hAnsi="Times New Roman" w:cs="Times New Roman"/>
                <w:i/>
                <w:sz w:val="24"/>
                <w:szCs w:val="24"/>
                <w:lang w:val="lt-LT"/>
              </w:rPr>
              <w:t>Chesser (1974)</w:t>
            </w:r>
          </w:p>
        </w:tc>
        <w:tc>
          <w:tcPr>
            <w:tcW w:w="5000" w:type="dxa"/>
          </w:tcPr>
          <w:p w:rsidR="00BC69AA" w:rsidRPr="00DA6032" w:rsidRDefault="00BC69AA" w:rsidP="0020759B">
            <w:pPr>
              <w:contextualSpacing/>
              <w:jc w:val="both"/>
              <w:cnfStyle w:val="000000000000"/>
              <w:rPr>
                <w:rFonts w:ascii="Times New Roman" w:hAnsi="Times New Roman" w:cs="Times New Roman"/>
                <w:sz w:val="24"/>
                <w:szCs w:val="24"/>
                <w:lang w:val="lt-LT"/>
              </w:rPr>
            </w:pPr>
            <w:r w:rsidRPr="00DA6032">
              <w:rPr>
                <w:rFonts w:ascii="Times New Roman" w:hAnsi="Times New Roman" w:cs="Times New Roman"/>
                <w:sz w:val="24"/>
                <w:szCs w:val="24"/>
                <w:lang w:val="lt-LT"/>
              </w:rPr>
              <w:t>Z = –2,0434 – 5,42X1 + 0,0053X2 – 6,6507X3 + 4,</w:t>
            </w:r>
            <w:r>
              <w:rPr>
                <w:rFonts w:ascii="Times New Roman" w:hAnsi="Times New Roman" w:cs="Times New Roman"/>
                <w:sz w:val="24"/>
                <w:szCs w:val="24"/>
                <w:lang w:val="lt-LT"/>
              </w:rPr>
              <w:t>4009X4 – 0,0791X5 – 0,1021X6; (9</w:t>
            </w:r>
            <w:r w:rsidRPr="00DA6032">
              <w:rPr>
                <w:rFonts w:ascii="Times New Roman" w:hAnsi="Times New Roman" w:cs="Times New Roman"/>
                <w:sz w:val="24"/>
                <w:szCs w:val="24"/>
                <w:lang w:val="lt-LT"/>
              </w:rPr>
              <w:t>)</w:t>
            </w:r>
          </w:p>
          <w:p w:rsidR="00BC69AA" w:rsidRPr="00DA6032" w:rsidRDefault="00BC69AA" w:rsidP="0020759B">
            <w:pPr>
              <w:contextualSpacing/>
              <w:jc w:val="both"/>
              <w:cnfStyle w:val="000000000000"/>
              <w:rPr>
                <w:rFonts w:ascii="Times New Roman" w:hAnsi="Times New Roman" w:cs="Times New Roman"/>
                <w:sz w:val="24"/>
                <w:szCs w:val="24"/>
                <w:lang w:val="lt-LT"/>
              </w:rPr>
            </w:pPr>
            <w:r w:rsidRPr="00DA6032">
              <w:rPr>
                <w:rFonts w:ascii="Times New Roman" w:hAnsi="Times New Roman" w:cs="Times New Roman"/>
                <w:sz w:val="24"/>
                <w:szCs w:val="24"/>
                <w:lang w:val="lt-LT"/>
              </w:rPr>
              <w:t>čia</w:t>
            </w:r>
          </w:p>
          <w:p w:rsidR="00BC69AA" w:rsidRPr="00DA6032" w:rsidRDefault="00BC69AA" w:rsidP="0020759B">
            <w:pPr>
              <w:contextualSpacing/>
              <w:jc w:val="both"/>
              <w:cnfStyle w:val="000000000000"/>
              <w:rPr>
                <w:rFonts w:ascii="Times New Roman" w:hAnsi="Times New Roman" w:cs="Times New Roman"/>
                <w:sz w:val="24"/>
                <w:szCs w:val="24"/>
                <w:lang w:val="lt-LT"/>
              </w:rPr>
            </w:pPr>
            <w:r w:rsidRPr="00DA6032">
              <w:rPr>
                <w:rFonts w:ascii="Times New Roman" w:hAnsi="Times New Roman" w:cs="Times New Roman"/>
                <w:sz w:val="24"/>
                <w:szCs w:val="24"/>
                <w:lang w:val="lt-LT"/>
              </w:rPr>
              <w:t>X1 - Pinigai / turtas</w:t>
            </w:r>
          </w:p>
          <w:p w:rsidR="00BC69AA" w:rsidRPr="00DA6032" w:rsidRDefault="00BC69AA" w:rsidP="0020759B">
            <w:pPr>
              <w:contextualSpacing/>
              <w:jc w:val="both"/>
              <w:cnfStyle w:val="000000000000"/>
              <w:rPr>
                <w:rFonts w:ascii="Times New Roman" w:hAnsi="Times New Roman" w:cs="Times New Roman"/>
                <w:sz w:val="24"/>
                <w:szCs w:val="24"/>
                <w:lang w:val="lt-LT"/>
              </w:rPr>
            </w:pPr>
            <w:r w:rsidRPr="00DA6032">
              <w:rPr>
                <w:rFonts w:ascii="Times New Roman" w:hAnsi="Times New Roman" w:cs="Times New Roman"/>
                <w:sz w:val="24"/>
                <w:szCs w:val="24"/>
                <w:lang w:val="lt-LT"/>
              </w:rPr>
              <w:t>X2- Pardavimų pajamos / pinigai</w:t>
            </w:r>
          </w:p>
          <w:p w:rsidR="00BC69AA" w:rsidRPr="00DA6032" w:rsidRDefault="00BC69AA" w:rsidP="0020759B">
            <w:pPr>
              <w:contextualSpacing/>
              <w:jc w:val="both"/>
              <w:cnfStyle w:val="000000000000"/>
              <w:rPr>
                <w:rFonts w:ascii="Times New Roman" w:hAnsi="Times New Roman" w:cs="Times New Roman"/>
                <w:sz w:val="24"/>
                <w:szCs w:val="24"/>
                <w:lang w:val="lt-LT"/>
              </w:rPr>
            </w:pPr>
            <w:r w:rsidRPr="00DA6032">
              <w:rPr>
                <w:rFonts w:ascii="Times New Roman" w:hAnsi="Times New Roman" w:cs="Times New Roman"/>
                <w:sz w:val="24"/>
                <w:szCs w:val="24"/>
                <w:lang w:val="lt-LT"/>
              </w:rPr>
              <w:t>X3 - Pelnas neatskaičius palūkanų ir mokesčių/ turtas</w:t>
            </w:r>
          </w:p>
          <w:p w:rsidR="00BC69AA" w:rsidRPr="00DA6032" w:rsidRDefault="00BC69AA" w:rsidP="0020759B">
            <w:pPr>
              <w:contextualSpacing/>
              <w:jc w:val="both"/>
              <w:cnfStyle w:val="000000000000"/>
              <w:rPr>
                <w:rFonts w:ascii="Times New Roman" w:hAnsi="Times New Roman" w:cs="Times New Roman"/>
                <w:sz w:val="24"/>
                <w:szCs w:val="24"/>
                <w:lang w:val="lt-LT"/>
              </w:rPr>
            </w:pPr>
            <w:r w:rsidRPr="00DA6032">
              <w:rPr>
                <w:rFonts w:ascii="Times New Roman" w:hAnsi="Times New Roman" w:cs="Times New Roman"/>
                <w:sz w:val="24"/>
                <w:szCs w:val="24"/>
                <w:lang w:val="lt-LT"/>
              </w:rPr>
              <w:t>X4 - Įsipareigojimai / turtas</w:t>
            </w:r>
          </w:p>
          <w:p w:rsidR="00BC69AA" w:rsidRPr="00DA6032" w:rsidRDefault="00BC69AA" w:rsidP="0020759B">
            <w:pPr>
              <w:contextualSpacing/>
              <w:jc w:val="both"/>
              <w:cnfStyle w:val="000000000000"/>
              <w:rPr>
                <w:rFonts w:ascii="Times New Roman" w:hAnsi="Times New Roman" w:cs="Times New Roman"/>
                <w:sz w:val="24"/>
                <w:szCs w:val="24"/>
                <w:lang w:val="lt-LT"/>
              </w:rPr>
            </w:pPr>
            <w:r w:rsidRPr="00DA6032">
              <w:rPr>
                <w:rFonts w:ascii="Times New Roman" w:hAnsi="Times New Roman" w:cs="Times New Roman"/>
                <w:sz w:val="24"/>
                <w:szCs w:val="24"/>
                <w:lang w:val="lt-LT"/>
              </w:rPr>
              <w:t>X5 - Ilgalaikis materialus turtas / nuosavas kapitalas</w:t>
            </w:r>
          </w:p>
          <w:p w:rsidR="00BC69AA" w:rsidRPr="00DA6032" w:rsidRDefault="00BC69AA" w:rsidP="0020759B">
            <w:pPr>
              <w:contextualSpacing/>
              <w:jc w:val="both"/>
              <w:cnfStyle w:val="000000000000"/>
              <w:rPr>
                <w:rFonts w:ascii="Times New Roman" w:hAnsi="Times New Roman" w:cs="Times New Roman"/>
                <w:sz w:val="24"/>
                <w:szCs w:val="24"/>
                <w:lang w:val="lt-LT"/>
              </w:rPr>
            </w:pPr>
            <w:r w:rsidRPr="00DA6032">
              <w:rPr>
                <w:rFonts w:ascii="Times New Roman" w:hAnsi="Times New Roman" w:cs="Times New Roman"/>
                <w:sz w:val="24"/>
                <w:szCs w:val="24"/>
                <w:lang w:val="lt-LT"/>
              </w:rPr>
              <w:t>X6 - Apyvartinis kapitalas / pardavimų pajamos</w:t>
            </w:r>
            <w:r>
              <w:rPr>
                <w:rFonts w:ascii="Times New Roman" w:hAnsi="Times New Roman" w:cs="Times New Roman"/>
                <w:sz w:val="24"/>
                <w:szCs w:val="24"/>
                <w:lang w:val="lt-LT"/>
              </w:rPr>
              <w:t>.</w:t>
            </w:r>
          </w:p>
          <w:p w:rsidR="00BC69AA" w:rsidRPr="00DA6032" w:rsidRDefault="00BC69AA" w:rsidP="0020759B">
            <w:pPr>
              <w:contextualSpacing/>
              <w:jc w:val="both"/>
              <w:cnfStyle w:val="000000000000"/>
              <w:rPr>
                <w:rFonts w:ascii="Times New Roman" w:hAnsi="Times New Roman" w:cs="Times New Roman"/>
                <w:sz w:val="24"/>
                <w:szCs w:val="24"/>
                <w:lang w:val="lt-LT"/>
              </w:rPr>
            </w:pPr>
          </w:p>
        </w:tc>
        <w:tc>
          <w:tcPr>
            <w:tcW w:w="3474" w:type="dxa"/>
          </w:tcPr>
          <w:p w:rsidR="00BC69AA" w:rsidRPr="00DA6032" w:rsidRDefault="00BC69AA" w:rsidP="0020759B">
            <w:pPr>
              <w:contextualSpacing/>
              <w:jc w:val="both"/>
              <w:cnfStyle w:val="000000000000"/>
              <w:rPr>
                <w:rFonts w:ascii="Times New Roman" w:hAnsi="Times New Roman" w:cs="Times New Roman"/>
                <w:sz w:val="24"/>
                <w:szCs w:val="24"/>
                <w:lang w:val="lt-LT"/>
              </w:rPr>
            </w:pPr>
            <w:r w:rsidRPr="00DA6032">
              <w:rPr>
                <w:rFonts w:ascii="Times New Roman" w:hAnsi="Times New Roman" w:cs="Times New Roman"/>
                <w:sz w:val="24"/>
                <w:szCs w:val="24"/>
                <w:lang w:val="lt-LT"/>
              </w:rPr>
              <w:t>Apskaičiuotai</w:t>
            </w:r>
            <w:r w:rsidR="00E6354F">
              <w:rPr>
                <w:rFonts w:ascii="Times New Roman" w:hAnsi="Times New Roman" w:cs="Times New Roman"/>
                <w:sz w:val="24"/>
                <w:szCs w:val="24"/>
                <w:lang w:val="lt-LT"/>
              </w:rPr>
              <w:t xml:space="preserve"> tikimybei esant mažesnė nei 50 proc.</w:t>
            </w:r>
            <w:r w:rsidRPr="00DA6032">
              <w:rPr>
                <w:rFonts w:ascii="Times New Roman" w:hAnsi="Times New Roman" w:cs="Times New Roman"/>
                <w:sz w:val="24"/>
                <w:szCs w:val="24"/>
                <w:lang w:val="lt-LT"/>
              </w:rPr>
              <w:t xml:space="preserve"> įmonei bankrotas negresia, o esant didesnei – bankroto tikimybė yra didelė.</w:t>
            </w:r>
          </w:p>
        </w:tc>
      </w:tr>
      <w:tr w:rsidR="00BC69AA" w:rsidRPr="00775706" w:rsidTr="004D5C99">
        <w:trPr>
          <w:cnfStyle w:val="000000100000"/>
          <w:jc w:val="center"/>
        </w:trPr>
        <w:tc>
          <w:tcPr>
            <w:cnfStyle w:val="001000000000"/>
            <w:tcW w:w="1948" w:type="dxa"/>
          </w:tcPr>
          <w:p w:rsidR="00BC69AA" w:rsidRPr="0031664C" w:rsidRDefault="00BC69AA" w:rsidP="0020759B">
            <w:pPr>
              <w:contextualSpacing/>
              <w:jc w:val="center"/>
              <w:rPr>
                <w:rFonts w:ascii="Times New Roman" w:hAnsi="Times New Roman" w:cs="Times New Roman"/>
                <w:i/>
                <w:sz w:val="24"/>
                <w:szCs w:val="24"/>
                <w:lang w:val="lt-LT"/>
              </w:rPr>
            </w:pPr>
            <w:r w:rsidRPr="0031664C">
              <w:rPr>
                <w:rFonts w:ascii="Times New Roman" w:hAnsi="Times New Roman" w:cs="Times New Roman"/>
                <w:i/>
                <w:sz w:val="24"/>
                <w:szCs w:val="24"/>
                <w:lang w:val="lt-LT"/>
              </w:rPr>
              <w:t>Grigaravičius (2003)</w:t>
            </w:r>
          </w:p>
        </w:tc>
        <w:tc>
          <w:tcPr>
            <w:tcW w:w="5000" w:type="dxa"/>
          </w:tcPr>
          <w:p w:rsidR="00BC69AA" w:rsidRDefault="00BC69AA" w:rsidP="0020759B">
            <w:pPr>
              <w:contextualSpacing/>
              <w:jc w:val="both"/>
              <w:cnfStyle w:val="000000100000"/>
              <w:rPr>
                <w:rFonts w:ascii="Times New Roman" w:hAnsi="Times New Roman" w:cs="Times New Roman"/>
                <w:sz w:val="24"/>
                <w:szCs w:val="24"/>
                <w:lang w:val="lt-LT"/>
              </w:rPr>
            </w:pPr>
            <w:r w:rsidRPr="00DA6032">
              <w:rPr>
                <w:rFonts w:ascii="Times New Roman" w:hAnsi="Times New Roman" w:cs="Times New Roman"/>
                <w:sz w:val="24"/>
                <w:szCs w:val="24"/>
                <w:lang w:val="lt-LT"/>
              </w:rPr>
              <w:t>Z = – 0,762X1+0,003X2–0,424X3–0,06X4</w:t>
            </w:r>
            <w:r>
              <w:rPr>
                <w:rFonts w:ascii="Times New Roman" w:hAnsi="Times New Roman" w:cs="Times New Roman"/>
                <w:sz w:val="24"/>
                <w:szCs w:val="24"/>
                <w:lang w:val="lt-LT"/>
              </w:rPr>
              <w:t xml:space="preserve"> </w:t>
            </w:r>
            <w:r w:rsidRPr="00DA6032">
              <w:rPr>
                <w:rFonts w:ascii="Times New Roman" w:hAnsi="Times New Roman" w:cs="Times New Roman"/>
                <w:sz w:val="24"/>
                <w:szCs w:val="24"/>
                <w:lang w:val="lt-LT"/>
              </w:rPr>
              <w:t>+0,22X5–0,77</w:t>
            </w:r>
            <w:r>
              <w:rPr>
                <w:rFonts w:ascii="Times New Roman" w:hAnsi="Times New Roman" w:cs="Times New Roman"/>
                <w:sz w:val="24"/>
                <w:szCs w:val="24"/>
                <w:lang w:val="lt-LT"/>
              </w:rPr>
              <w:t>4X6+6,842X7–12,262X8–5,257X9; (10</w:t>
            </w:r>
            <w:r w:rsidRPr="00DA6032">
              <w:rPr>
                <w:rFonts w:ascii="Times New Roman" w:hAnsi="Times New Roman" w:cs="Times New Roman"/>
                <w:sz w:val="24"/>
                <w:szCs w:val="24"/>
                <w:lang w:val="lt-LT"/>
              </w:rPr>
              <w:t>)</w:t>
            </w:r>
          </w:p>
          <w:p w:rsidR="00BC69AA" w:rsidRPr="00DA6032" w:rsidRDefault="00BC69AA" w:rsidP="0020759B">
            <w:pPr>
              <w:contextualSpacing/>
              <w:jc w:val="both"/>
              <w:cnfStyle w:val="000000100000"/>
              <w:rPr>
                <w:rFonts w:ascii="Times New Roman" w:hAnsi="Times New Roman" w:cs="Times New Roman"/>
                <w:sz w:val="24"/>
                <w:szCs w:val="24"/>
                <w:lang w:val="lt-LT"/>
              </w:rPr>
            </w:pPr>
            <w:r w:rsidRPr="00DA6032">
              <w:rPr>
                <w:rFonts w:ascii="Times New Roman" w:hAnsi="Times New Roman" w:cs="Times New Roman"/>
                <w:sz w:val="24"/>
                <w:szCs w:val="24"/>
                <w:lang w:val="lt-LT"/>
              </w:rPr>
              <w:t>čia</w:t>
            </w:r>
          </w:p>
          <w:p w:rsidR="00BC69AA" w:rsidRPr="00DA6032" w:rsidRDefault="00BC69AA" w:rsidP="0020759B">
            <w:pPr>
              <w:contextualSpacing/>
              <w:jc w:val="both"/>
              <w:cnfStyle w:val="000000100000"/>
              <w:rPr>
                <w:rFonts w:ascii="Times New Roman" w:hAnsi="Times New Roman" w:cs="Times New Roman"/>
                <w:sz w:val="24"/>
                <w:szCs w:val="24"/>
                <w:lang w:val="lt-LT"/>
              </w:rPr>
            </w:pPr>
            <w:r>
              <w:rPr>
                <w:rFonts w:ascii="Times New Roman" w:hAnsi="Times New Roman" w:cs="Times New Roman"/>
                <w:sz w:val="24"/>
                <w:szCs w:val="24"/>
                <w:lang w:val="lt-LT"/>
              </w:rPr>
              <w:t>X1 - Trumpalaikis turtas</w:t>
            </w:r>
            <w:r w:rsidRPr="00DA6032">
              <w:rPr>
                <w:rFonts w:ascii="Times New Roman" w:hAnsi="Times New Roman" w:cs="Times New Roman"/>
                <w:sz w:val="24"/>
                <w:szCs w:val="24"/>
                <w:lang w:val="lt-LT"/>
              </w:rPr>
              <w:t>/ trumpalaikiai įsipareigojimai</w:t>
            </w:r>
          </w:p>
          <w:p w:rsidR="00BC69AA" w:rsidRPr="00DA6032" w:rsidRDefault="00BC69AA" w:rsidP="0020759B">
            <w:pPr>
              <w:contextualSpacing/>
              <w:jc w:val="both"/>
              <w:cnfStyle w:val="000000100000"/>
              <w:rPr>
                <w:rFonts w:ascii="Times New Roman" w:hAnsi="Times New Roman" w:cs="Times New Roman"/>
                <w:sz w:val="24"/>
                <w:szCs w:val="24"/>
                <w:lang w:val="lt-LT"/>
              </w:rPr>
            </w:pPr>
          </w:p>
        </w:tc>
        <w:tc>
          <w:tcPr>
            <w:tcW w:w="3474" w:type="dxa"/>
          </w:tcPr>
          <w:p w:rsidR="00BC69AA" w:rsidRPr="00DA6032" w:rsidRDefault="00BC69AA" w:rsidP="0020759B">
            <w:pPr>
              <w:contextualSpacing/>
              <w:jc w:val="both"/>
              <w:cnfStyle w:val="000000100000"/>
              <w:rPr>
                <w:rFonts w:ascii="Times New Roman" w:hAnsi="Times New Roman" w:cs="Times New Roman"/>
                <w:sz w:val="24"/>
                <w:szCs w:val="24"/>
                <w:lang w:val="lt-LT"/>
              </w:rPr>
            </w:pPr>
            <w:r w:rsidRPr="00DA6032">
              <w:rPr>
                <w:rFonts w:ascii="Times New Roman" w:hAnsi="Times New Roman" w:cs="Times New Roman"/>
                <w:sz w:val="24"/>
                <w:szCs w:val="24"/>
                <w:lang w:val="lt-LT"/>
              </w:rPr>
              <w:t>Kuo šiuo modeliu apskaičiuota įmonių logistinės regresinės analizės tikimybė yra arčiau 1 reikšmės, tuo įmonių bankroto tikimybė didesnė.</w:t>
            </w:r>
          </w:p>
        </w:tc>
      </w:tr>
      <w:tr w:rsidR="00BC69AA" w:rsidRPr="00775706" w:rsidTr="004D5C99">
        <w:trPr>
          <w:jc w:val="center"/>
        </w:trPr>
        <w:tc>
          <w:tcPr>
            <w:cnfStyle w:val="001000000000"/>
            <w:tcW w:w="1948" w:type="dxa"/>
          </w:tcPr>
          <w:p w:rsidR="00BC69AA" w:rsidRPr="0031664C" w:rsidRDefault="00BC69AA" w:rsidP="004756BC">
            <w:pPr>
              <w:contextualSpacing/>
              <w:jc w:val="center"/>
              <w:rPr>
                <w:rFonts w:ascii="Times New Roman" w:hAnsi="Times New Roman" w:cs="Times New Roman"/>
                <w:i/>
                <w:sz w:val="24"/>
                <w:szCs w:val="24"/>
                <w:lang w:val="lt-LT"/>
              </w:rPr>
            </w:pPr>
            <w:r w:rsidRPr="0031664C">
              <w:rPr>
                <w:rFonts w:ascii="Times New Roman" w:hAnsi="Times New Roman" w:cs="Times New Roman"/>
                <w:i/>
                <w:sz w:val="24"/>
                <w:szCs w:val="24"/>
                <w:lang w:val="lt-LT"/>
              </w:rPr>
              <w:t>Grigaravičius (2003)</w:t>
            </w:r>
          </w:p>
        </w:tc>
        <w:tc>
          <w:tcPr>
            <w:tcW w:w="5000" w:type="dxa"/>
          </w:tcPr>
          <w:p w:rsidR="00BC69AA" w:rsidRPr="00DA6032" w:rsidRDefault="00BC69AA" w:rsidP="004756BC">
            <w:pPr>
              <w:contextualSpacing/>
              <w:jc w:val="both"/>
              <w:cnfStyle w:val="000000000000"/>
              <w:rPr>
                <w:rFonts w:ascii="Times New Roman" w:hAnsi="Times New Roman" w:cs="Times New Roman"/>
                <w:sz w:val="24"/>
                <w:szCs w:val="24"/>
                <w:lang w:val="lt-LT"/>
              </w:rPr>
            </w:pPr>
            <w:r>
              <w:rPr>
                <w:rFonts w:ascii="Times New Roman" w:hAnsi="Times New Roman" w:cs="Times New Roman"/>
                <w:sz w:val="24"/>
                <w:szCs w:val="24"/>
                <w:lang w:val="lt-LT"/>
              </w:rPr>
              <w:t>X2 - Apyvartinis kapitalas</w:t>
            </w:r>
            <w:r w:rsidRPr="00DA6032">
              <w:rPr>
                <w:rFonts w:ascii="Times New Roman" w:hAnsi="Times New Roman" w:cs="Times New Roman"/>
                <w:sz w:val="24"/>
                <w:szCs w:val="24"/>
                <w:lang w:val="lt-LT"/>
              </w:rPr>
              <w:t>/ turtas</w:t>
            </w:r>
          </w:p>
          <w:p w:rsidR="00BC69AA" w:rsidRPr="00DA6032" w:rsidRDefault="00BC69AA" w:rsidP="004756BC">
            <w:pPr>
              <w:contextualSpacing/>
              <w:jc w:val="both"/>
              <w:cnfStyle w:val="000000000000"/>
              <w:rPr>
                <w:rFonts w:ascii="Times New Roman" w:hAnsi="Times New Roman" w:cs="Times New Roman"/>
                <w:sz w:val="24"/>
                <w:szCs w:val="24"/>
                <w:lang w:val="lt-LT"/>
              </w:rPr>
            </w:pPr>
            <w:r w:rsidRPr="00DA6032">
              <w:rPr>
                <w:rFonts w:ascii="Times New Roman" w:hAnsi="Times New Roman" w:cs="Times New Roman"/>
                <w:sz w:val="24"/>
                <w:szCs w:val="24"/>
                <w:lang w:val="lt-LT"/>
              </w:rPr>
              <w:t>X3 - Turtas / Nuosavas kapitalas</w:t>
            </w:r>
          </w:p>
          <w:p w:rsidR="00BC69AA" w:rsidRPr="00DA6032" w:rsidRDefault="00BC69AA" w:rsidP="004756BC">
            <w:pPr>
              <w:contextualSpacing/>
              <w:jc w:val="both"/>
              <w:cnfStyle w:val="000000000000"/>
              <w:rPr>
                <w:rFonts w:ascii="Times New Roman" w:hAnsi="Times New Roman" w:cs="Times New Roman"/>
                <w:sz w:val="24"/>
                <w:szCs w:val="24"/>
                <w:lang w:val="lt-LT"/>
              </w:rPr>
            </w:pPr>
            <w:r w:rsidRPr="00DA6032">
              <w:rPr>
                <w:rFonts w:ascii="Times New Roman" w:hAnsi="Times New Roman" w:cs="Times New Roman"/>
                <w:sz w:val="24"/>
                <w:szCs w:val="24"/>
                <w:lang w:val="lt-LT"/>
              </w:rPr>
              <w:t>X4 - Įsipareigojimai / Nuosavas kapitalas</w:t>
            </w:r>
          </w:p>
          <w:p w:rsidR="00BC69AA" w:rsidRPr="00DA6032" w:rsidRDefault="00BC69AA" w:rsidP="004756BC">
            <w:pPr>
              <w:contextualSpacing/>
              <w:jc w:val="both"/>
              <w:cnfStyle w:val="000000000000"/>
              <w:rPr>
                <w:rFonts w:ascii="Times New Roman" w:hAnsi="Times New Roman" w:cs="Times New Roman"/>
                <w:sz w:val="24"/>
                <w:szCs w:val="24"/>
                <w:lang w:val="lt-LT"/>
              </w:rPr>
            </w:pPr>
            <w:r w:rsidRPr="00DA6032">
              <w:rPr>
                <w:rFonts w:ascii="Times New Roman" w:hAnsi="Times New Roman" w:cs="Times New Roman"/>
                <w:sz w:val="24"/>
                <w:szCs w:val="24"/>
                <w:lang w:val="lt-LT"/>
              </w:rPr>
              <w:t>X5 - Pelnas neatskaičius palūkanų ir mokesčių/ palūkanos</w:t>
            </w:r>
          </w:p>
          <w:p w:rsidR="00BC69AA" w:rsidRPr="00DA6032" w:rsidRDefault="00BC69AA" w:rsidP="004756BC">
            <w:pPr>
              <w:contextualSpacing/>
              <w:jc w:val="both"/>
              <w:cnfStyle w:val="000000000000"/>
              <w:rPr>
                <w:rFonts w:ascii="Times New Roman" w:hAnsi="Times New Roman" w:cs="Times New Roman"/>
                <w:sz w:val="24"/>
                <w:szCs w:val="24"/>
                <w:lang w:val="lt-LT"/>
              </w:rPr>
            </w:pPr>
            <w:r w:rsidRPr="00DA6032">
              <w:rPr>
                <w:rFonts w:ascii="Times New Roman" w:hAnsi="Times New Roman" w:cs="Times New Roman"/>
                <w:sz w:val="24"/>
                <w:szCs w:val="24"/>
                <w:lang w:val="lt-LT"/>
              </w:rPr>
              <w:t>X6 - Pelnas neatskaičius palūkanų ir mokesčių/ turtas</w:t>
            </w:r>
          </w:p>
          <w:p w:rsidR="00BC69AA" w:rsidRPr="00DA6032" w:rsidRDefault="00BC69AA" w:rsidP="004756BC">
            <w:pPr>
              <w:contextualSpacing/>
              <w:jc w:val="both"/>
              <w:cnfStyle w:val="000000000000"/>
              <w:rPr>
                <w:rFonts w:ascii="Times New Roman" w:hAnsi="Times New Roman" w:cs="Times New Roman"/>
                <w:sz w:val="24"/>
                <w:szCs w:val="24"/>
                <w:lang w:val="lt-LT"/>
              </w:rPr>
            </w:pPr>
            <w:r w:rsidRPr="00DA6032">
              <w:rPr>
                <w:rFonts w:ascii="Times New Roman" w:hAnsi="Times New Roman" w:cs="Times New Roman"/>
                <w:sz w:val="24"/>
                <w:szCs w:val="24"/>
                <w:lang w:val="lt-LT"/>
              </w:rPr>
              <w:t>X7 - Pelnas neatskaičius palūkanų ir mokesčių/ kapitalas</w:t>
            </w:r>
          </w:p>
          <w:p w:rsidR="00BC69AA" w:rsidRPr="00DA6032" w:rsidRDefault="00BC69AA" w:rsidP="004756BC">
            <w:pPr>
              <w:contextualSpacing/>
              <w:jc w:val="both"/>
              <w:cnfStyle w:val="000000000000"/>
              <w:rPr>
                <w:rFonts w:ascii="Times New Roman" w:hAnsi="Times New Roman" w:cs="Times New Roman"/>
                <w:sz w:val="24"/>
                <w:szCs w:val="24"/>
                <w:lang w:val="lt-LT"/>
              </w:rPr>
            </w:pPr>
            <w:r w:rsidRPr="00DA6032">
              <w:rPr>
                <w:rFonts w:ascii="Times New Roman" w:hAnsi="Times New Roman" w:cs="Times New Roman"/>
                <w:sz w:val="24"/>
                <w:szCs w:val="24"/>
                <w:lang w:val="lt-LT"/>
              </w:rPr>
              <w:t>X8 - Pardavimų pajamos / Apyvartinis kapitalas</w:t>
            </w:r>
          </w:p>
          <w:p w:rsidR="00BC69AA" w:rsidRPr="00DA6032" w:rsidRDefault="00BC69AA" w:rsidP="004756BC">
            <w:pPr>
              <w:contextualSpacing/>
              <w:jc w:val="both"/>
              <w:cnfStyle w:val="000000000000"/>
              <w:rPr>
                <w:rFonts w:ascii="Times New Roman" w:hAnsi="Times New Roman" w:cs="Times New Roman"/>
                <w:sz w:val="24"/>
                <w:szCs w:val="24"/>
                <w:lang w:val="lt-LT"/>
              </w:rPr>
            </w:pPr>
            <w:r w:rsidRPr="00DA6032">
              <w:rPr>
                <w:rFonts w:ascii="Times New Roman" w:hAnsi="Times New Roman" w:cs="Times New Roman"/>
                <w:sz w:val="24"/>
                <w:szCs w:val="24"/>
                <w:lang w:val="lt-LT"/>
              </w:rPr>
              <w:t>X9 - Pardavimų pajamos / turtas</w:t>
            </w:r>
            <w:r>
              <w:rPr>
                <w:rFonts w:ascii="Times New Roman" w:hAnsi="Times New Roman" w:cs="Times New Roman"/>
                <w:sz w:val="24"/>
                <w:szCs w:val="24"/>
                <w:lang w:val="lt-LT"/>
              </w:rPr>
              <w:t>.</w:t>
            </w:r>
          </w:p>
          <w:p w:rsidR="00BC69AA" w:rsidRPr="00DA6032" w:rsidRDefault="00BC69AA" w:rsidP="004756BC">
            <w:pPr>
              <w:contextualSpacing/>
              <w:jc w:val="both"/>
              <w:cnfStyle w:val="000000000000"/>
              <w:rPr>
                <w:rFonts w:ascii="Times New Roman" w:hAnsi="Times New Roman" w:cs="Times New Roman"/>
                <w:sz w:val="24"/>
                <w:szCs w:val="24"/>
                <w:lang w:val="lt-LT"/>
              </w:rPr>
            </w:pPr>
          </w:p>
        </w:tc>
        <w:tc>
          <w:tcPr>
            <w:tcW w:w="3474" w:type="dxa"/>
          </w:tcPr>
          <w:p w:rsidR="00BC69AA" w:rsidRPr="00DA6032" w:rsidRDefault="00BC69AA" w:rsidP="004756BC">
            <w:pPr>
              <w:contextualSpacing/>
              <w:jc w:val="both"/>
              <w:cnfStyle w:val="000000000000"/>
              <w:rPr>
                <w:rFonts w:ascii="Times New Roman" w:hAnsi="Times New Roman" w:cs="Times New Roman"/>
                <w:sz w:val="24"/>
                <w:szCs w:val="24"/>
                <w:lang w:val="lt-LT"/>
              </w:rPr>
            </w:pPr>
            <w:r w:rsidRPr="00DA6032">
              <w:rPr>
                <w:rFonts w:ascii="Times New Roman" w:hAnsi="Times New Roman" w:cs="Times New Roman"/>
                <w:sz w:val="24"/>
                <w:szCs w:val="24"/>
                <w:lang w:val="lt-LT"/>
              </w:rPr>
              <w:t>Jei gautas tikimybinis įvykis yra arčiau 0, tai galima teigti, kad įmonė nebankrutuos.</w:t>
            </w:r>
          </w:p>
        </w:tc>
      </w:tr>
    </w:tbl>
    <w:p w:rsidR="006014D3" w:rsidRDefault="006014D3" w:rsidP="006014D3">
      <w:pPr>
        <w:spacing w:line="360" w:lineRule="auto"/>
        <w:ind w:firstLine="720"/>
        <w:contextualSpacing/>
        <w:jc w:val="both"/>
        <w:rPr>
          <w:rFonts w:ascii="Times New Roman" w:hAnsi="Times New Roman" w:cs="Times New Roman"/>
          <w:sz w:val="20"/>
          <w:szCs w:val="20"/>
          <w:lang w:val="lt-LT"/>
        </w:rPr>
      </w:pPr>
      <w:r w:rsidRPr="009148BD">
        <w:rPr>
          <w:rFonts w:ascii="Times New Roman" w:hAnsi="Times New Roman" w:cs="Times New Roman"/>
          <w:b/>
          <w:sz w:val="20"/>
          <w:szCs w:val="20"/>
          <w:lang w:val="lt-LT"/>
        </w:rPr>
        <w:t>Šaltinis:</w:t>
      </w:r>
      <w:r w:rsidRPr="009148BD">
        <w:rPr>
          <w:rFonts w:ascii="Times New Roman" w:hAnsi="Times New Roman" w:cs="Times New Roman"/>
          <w:sz w:val="20"/>
          <w:szCs w:val="20"/>
          <w:lang w:val="lt-LT"/>
        </w:rPr>
        <w:t xml:space="preserve"> Sudaryta pagal Januševičiūtė, 2010, Kučiauškaitė, 2009, Mackevičius, 2006, Garškaitė, 2008.</w:t>
      </w:r>
    </w:p>
    <w:p w:rsidR="006014D3" w:rsidRDefault="006014D3" w:rsidP="006014D3">
      <w:pPr>
        <w:spacing w:line="360" w:lineRule="auto"/>
        <w:ind w:firstLine="720"/>
        <w:contextualSpacing/>
        <w:jc w:val="both"/>
        <w:rPr>
          <w:rFonts w:ascii="Times New Roman" w:hAnsi="Times New Roman" w:cs="Times New Roman"/>
          <w:sz w:val="20"/>
          <w:szCs w:val="20"/>
          <w:lang w:val="lt-LT"/>
        </w:rPr>
      </w:pPr>
    </w:p>
    <w:p w:rsidR="006014D3" w:rsidRDefault="006014D3" w:rsidP="00BC69AA">
      <w:pPr>
        <w:spacing w:line="360" w:lineRule="auto"/>
        <w:contextualSpacing/>
        <w:jc w:val="both"/>
        <w:rPr>
          <w:rFonts w:ascii="Times New Roman" w:hAnsi="Times New Roman" w:cs="Times New Roman"/>
          <w:sz w:val="20"/>
          <w:szCs w:val="20"/>
          <w:lang w:val="lt-LT"/>
        </w:rPr>
      </w:pPr>
    </w:p>
    <w:p w:rsidR="006014D3" w:rsidRDefault="006014D3" w:rsidP="006014D3">
      <w:pPr>
        <w:spacing w:line="360" w:lineRule="auto"/>
        <w:ind w:firstLine="720"/>
        <w:contextualSpacing/>
        <w:jc w:val="both"/>
        <w:rPr>
          <w:rFonts w:ascii="Times New Roman" w:hAnsi="Times New Roman" w:cs="Times New Roman"/>
          <w:sz w:val="20"/>
          <w:szCs w:val="20"/>
          <w:lang w:val="lt-LT"/>
        </w:rPr>
      </w:pPr>
    </w:p>
    <w:p w:rsidR="006014D3" w:rsidRDefault="006014D3" w:rsidP="006014D3">
      <w:pPr>
        <w:spacing w:line="360" w:lineRule="auto"/>
        <w:ind w:firstLine="720"/>
        <w:contextualSpacing/>
        <w:jc w:val="both"/>
        <w:rPr>
          <w:rFonts w:ascii="Times New Roman" w:hAnsi="Times New Roman" w:cs="Times New Roman"/>
          <w:sz w:val="20"/>
          <w:szCs w:val="20"/>
          <w:lang w:val="lt-LT"/>
        </w:rPr>
      </w:pPr>
    </w:p>
    <w:p w:rsidR="006014D3" w:rsidRPr="004D5C99" w:rsidRDefault="00BC69AA" w:rsidP="004D5C99">
      <w:pPr>
        <w:spacing w:after="0"/>
        <w:contextualSpacing/>
        <w:jc w:val="center"/>
        <w:rPr>
          <w:rFonts w:ascii="Times New Roman" w:hAnsi="Times New Roman" w:cs="Times New Roman"/>
          <w:b/>
          <w:szCs w:val="24"/>
          <w:lang w:val="lt-LT"/>
        </w:rPr>
      </w:pPr>
      <w:r w:rsidRPr="004D5C99">
        <w:rPr>
          <w:rFonts w:ascii="Times New Roman" w:hAnsi="Times New Roman" w:cs="Times New Roman"/>
          <w:szCs w:val="24"/>
          <w:lang w:val="lt-LT"/>
        </w:rPr>
        <w:lastRenderedPageBreak/>
        <w:t>3 lentelė.</w:t>
      </w:r>
      <w:r w:rsidRPr="004D5C99">
        <w:rPr>
          <w:rFonts w:ascii="Times New Roman" w:hAnsi="Times New Roman" w:cs="Times New Roman"/>
          <w:b/>
          <w:szCs w:val="24"/>
          <w:lang w:val="lt-LT"/>
        </w:rPr>
        <w:t xml:space="preserve"> Neuronų tinklų bankroto prognozavimo modeliai</w:t>
      </w:r>
    </w:p>
    <w:tbl>
      <w:tblPr>
        <w:tblStyle w:val="LightList-Accent6"/>
        <w:tblW w:w="10035" w:type="dxa"/>
        <w:jc w:val="center"/>
        <w:tblLayout w:type="fixed"/>
        <w:tblLook w:val="04A0"/>
      </w:tblPr>
      <w:tblGrid>
        <w:gridCol w:w="1952"/>
        <w:gridCol w:w="5105"/>
        <w:gridCol w:w="2978"/>
      </w:tblGrid>
      <w:tr w:rsidR="006F5124" w:rsidRPr="006F5124" w:rsidTr="00226DE6">
        <w:trPr>
          <w:cnfStyle w:val="100000000000"/>
          <w:jc w:val="center"/>
        </w:trPr>
        <w:tc>
          <w:tcPr>
            <w:cnfStyle w:val="001000000000"/>
            <w:tcW w:w="1952" w:type="dxa"/>
            <w:shd w:val="clear" w:color="auto" w:fill="FBD4B4" w:themeFill="accent6" w:themeFillTint="66"/>
            <w:hideMark/>
          </w:tcPr>
          <w:p w:rsidR="006F5124" w:rsidRPr="00226DE6" w:rsidRDefault="006F5124" w:rsidP="004756BC">
            <w:pPr>
              <w:contextualSpacing/>
              <w:jc w:val="center"/>
              <w:rPr>
                <w:rFonts w:ascii="Times New Roman" w:hAnsi="Times New Roman" w:cs="Times New Roman"/>
                <w:b w:val="0"/>
                <w:color w:val="auto"/>
                <w:sz w:val="24"/>
                <w:szCs w:val="24"/>
                <w:lang w:val="lt-LT"/>
              </w:rPr>
            </w:pPr>
            <w:r w:rsidRPr="00226DE6">
              <w:rPr>
                <w:rFonts w:ascii="Times New Roman" w:hAnsi="Times New Roman" w:cs="Times New Roman"/>
                <w:b w:val="0"/>
                <w:color w:val="auto"/>
                <w:sz w:val="24"/>
                <w:szCs w:val="24"/>
                <w:lang w:val="lt-LT"/>
              </w:rPr>
              <w:t>Autorius</w:t>
            </w:r>
          </w:p>
        </w:tc>
        <w:tc>
          <w:tcPr>
            <w:tcW w:w="5105" w:type="dxa"/>
            <w:shd w:val="clear" w:color="auto" w:fill="FBD4B4" w:themeFill="accent6" w:themeFillTint="66"/>
            <w:hideMark/>
          </w:tcPr>
          <w:p w:rsidR="006F5124" w:rsidRPr="00226DE6" w:rsidRDefault="006F5124" w:rsidP="004756BC">
            <w:pPr>
              <w:contextualSpacing/>
              <w:jc w:val="center"/>
              <w:cnfStyle w:val="100000000000"/>
              <w:rPr>
                <w:rFonts w:ascii="Times New Roman" w:hAnsi="Times New Roman" w:cs="Times New Roman"/>
                <w:b w:val="0"/>
                <w:color w:val="auto"/>
                <w:sz w:val="24"/>
                <w:szCs w:val="24"/>
                <w:lang w:val="lt-LT"/>
              </w:rPr>
            </w:pPr>
            <w:r w:rsidRPr="00226DE6">
              <w:rPr>
                <w:rFonts w:ascii="Times New Roman" w:hAnsi="Times New Roman" w:cs="Times New Roman"/>
                <w:b w:val="0"/>
                <w:color w:val="auto"/>
                <w:sz w:val="24"/>
                <w:szCs w:val="24"/>
                <w:lang w:val="lt-LT"/>
              </w:rPr>
              <w:t>Modelis</w:t>
            </w:r>
          </w:p>
        </w:tc>
        <w:tc>
          <w:tcPr>
            <w:tcW w:w="2978" w:type="dxa"/>
            <w:shd w:val="clear" w:color="auto" w:fill="FBD4B4" w:themeFill="accent6" w:themeFillTint="66"/>
            <w:hideMark/>
          </w:tcPr>
          <w:p w:rsidR="006F5124" w:rsidRPr="00226DE6" w:rsidRDefault="006F5124" w:rsidP="004756BC">
            <w:pPr>
              <w:contextualSpacing/>
              <w:jc w:val="center"/>
              <w:cnfStyle w:val="100000000000"/>
              <w:rPr>
                <w:rFonts w:ascii="Times New Roman" w:hAnsi="Times New Roman" w:cs="Times New Roman"/>
                <w:b w:val="0"/>
                <w:color w:val="auto"/>
                <w:sz w:val="24"/>
                <w:szCs w:val="24"/>
                <w:lang w:val="lt-LT"/>
              </w:rPr>
            </w:pPr>
            <w:r w:rsidRPr="00226DE6">
              <w:rPr>
                <w:rFonts w:ascii="Times New Roman" w:hAnsi="Times New Roman" w:cs="Times New Roman"/>
                <w:b w:val="0"/>
                <w:color w:val="auto"/>
                <w:sz w:val="24"/>
                <w:szCs w:val="24"/>
                <w:lang w:val="lt-LT"/>
              </w:rPr>
              <w:t>Kritinė riba</w:t>
            </w:r>
          </w:p>
        </w:tc>
      </w:tr>
      <w:tr w:rsidR="006F5124" w:rsidRPr="006F5124" w:rsidTr="004D5C99">
        <w:trPr>
          <w:cnfStyle w:val="000000100000"/>
          <w:jc w:val="center"/>
        </w:trPr>
        <w:tc>
          <w:tcPr>
            <w:cnfStyle w:val="001000000000"/>
            <w:tcW w:w="1952" w:type="dxa"/>
            <w:hideMark/>
          </w:tcPr>
          <w:p w:rsidR="006F5124" w:rsidRPr="006F5124" w:rsidRDefault="006F5124" w:rsidP="004756BC">
            <w:pPr>
              <w:contextualSpacing/>
              <w:jc w:val="center"/>
              <w:rPr>
                <w:rFonts w:ascii="Times New Roman" w:hAnsi="Times New Roman" w:cs="Times New Roman"/>
                <w:i/>
                <w:sz w:val="24"/>
                <w:szCs w:val="24"/>
                <w:lang w:val="lt-LT"/>
              </w:rPr>
            </w:pPr>
            <w:r w:rsidRPr="006F5124">
              <w:rPr>
                <w:rFonts w:ascii="Times New Roman" w:hAnsi="Times New Roman" w:cs="Times New Roman"/>
                <w:i/>
                <w:sz w:val="24"/>
                <w:szCs w:val="24"/>
                <w:lang w:val="lt-LT"/>
              </w:rPr>
              <w:t>Purvinis, Šukys, Virbickaitė (2005)</w:t>
            </w:r>
          </w:p>
        </w:tc>
        <w:tc>
          <w:tcPr>
            <w:tcW w:w="5105" w:type="dxa"/>
          </w:tcPr>
          <w:p w:rsidR="006F5124" w:rsidRPr="006F5124" w:rsidRDefault="006F5124" w:rsidP="004756BC">
            <w:pPr>
              <w:contextualSpacing/>
              <w:jc w:val="both"/>
              <w:cnfStyle w:val="000000100000"/>
              <w:rPr>
                <w:rFonts w:ascii="Times New Roman" w:hAnsi="Times New Roman" w:cs="Times New Roman"/>
                <w:sz w:val="24"/>
                <w:szCs w:val="24"/>
                <w:lang w:val="lt-LT"/>
              </w:rPr>
            </w:pPr>
            <w:r w:rsidRPr="006F5124">
              <w:rPr>
                <w:rFonts w:ascii="Times New Roman" w:hAnsi="Times New Roman" w:cs="Times New Roman"/>
                <w:sz w:val="24"/>
                <w:szCs w:val="24"/>
                <w:lang w:val="lt-LT"/>
              </w:rPr>
              <w:t>Z0 = 4, 77X1 + 5, 88X2 + 9, 57X3 – 5, 80X4 – 6, 42, (9)</w:t>
            </w:r>
          </w:p>
          <w:p w:rsidR="006F5124" w:rsidRPr="006F5124" w:rsidRDefault="006F5124" w:rsidP="004756BC">
            <w:pPr>
              <w:contextualSpacing/>
              <w:jc w:val="both"/>
              <w:cnfStyle w:val="000000100000"/>
              <w:rPr>
                <w:rFonts w:ascii="Times New Roman" w:hAnsi="Times New Roman" w:cs="Times New Roman"/>
                <w:sz w:val="24"/>
                <w:szCs w:val="24"/>
                <w:lang w:val="lt-LT"/>
              </w:rPr>
            </w:pPr>
            <w:r w:rsidRPr="006F5124">
              <w:rPr>
                <w:rFonts w:ascii="Times New Roman" w:hAnsi="Times New Roman" w:cs="Times New Roman"/>
                <w:sz w:val="24"/>
                <w:szCs w:val="24"/>
                <w:lang w:val="lt-LT"/>
              </w:rPr>
              <w:t>Z1 = 2, 28X1 + 2, 90X2 + 6, 43X3– 2, 92X4 – 2, 94, (11)</w:t>
            </w:r>
          </w:p>
          <w:p w:rsidR="006F5124" w:rsidRPr="006F5124" w:rsidRDefault="006F5124" w:rsidP="004756BC">
            <w:pPr>
              <w:contextualSpacing/>
              <w:jc w:val="both"/>
              <w:cnfStyle w:val="000000100000"/>
              <w:rPr>
                <w:rFonts w:ascii="Times New Roman" w:hAnsi="Times New Roman" w:cs="Times New Roman"/>
                <w:sz w:val="24"/>
                <w:szCs w:val="24"/>
                <w:lang w:val="lt-LT"/>
              </w:rPr>
            </w:pPr>
            <w:r w:rsidRPr="006F5124">
              <w:rPr>
                <w:rFonts w:ascii="Times New Roman" w:hAnsi="Times New Roman" w:cs="Times New Roman"/>
                <w:sz w:val="24"/>
                <w:szCs w:val="24"/>
                <w:lang w:val="lt-LT"/>
              </w:rPr>
              <w:t>čia</w:t>
            </w:r>
          </w:p>
          <w:p w:rsidR="006F5124" w:rsidRPr="006F5124" w:rsidRDefault="006F5124" w:rsidP="004756BC">
            <w:pPr>
              <w:contextualSpacing/>
              <w:jc w:val="both"/>
              <w:cnfStyle w:val="000000100000"/>
              <w:rPr>
                <w:rFonts w:ascii="Times New Roman" w:hAnsi="Times New Roman" w:cs="Times New Roman"/>
                <w:sz w:val="24"/>
                <w:szCs w:val="24"/>
                <w:lang w:val="lt-LT"/>
              </w:rPr>
            </w:pPr>
            <w:r w:rsidRPr="006F5124">
              <w:rPr>
                <w:rFonts w:ascii="Times New Roman" w:hAnsi="Times New Roman" w:cs="Times New Roman"/>
                <w:sz w:val="24"/>
                <w:szCs w:val="24"/>
                <w:lang w:val="lt-LT"/>
              </w:rPr>
              <w:t>X1 - Grynasis pelnas / pardavimų pajamos;</w:t>
            </w:r>
          </w:p>
          <w:p w:rsidR="006F5124" w:rsidRPr="006F5124" w:rsidRDefault="006F5124" w:rsidP="004756BC">
            <w:pPr>
              <w:contextualSpacing/>
              <w:jc w:val="both"/>
              <w:cnfStyle w:val="000000100000"/>
              <w:rPr>
                <w:rFonts w:ascii="Times New Roman" w:hAnsi="Times New Roman" w:cs="Times New Roman"/>
                <w:sz w:val="24"/>
                <w:szCs w:val="24"/>
                <w:lang w:val="lt-LT"/>
              </w:rPr>
            </w:pPr>
            <w:r w:rsidRPr="006F5124">
              <w:rPr>
                <w:rFonts w:ascii="Times New Roman" w:hAnsi="Times New Roman" w:cs="Times New Roman"/>
                <w:sz w:val="24"/>
                <w:szCs w:val="24"/>
                <w:lang w:val="lt-LT"/>
              </w:rPr>
              <w:t>X2 - Trumpalaikis turtas / trumpalaikiai įsipareigojimai;</w:t>
            </w:r>
          </w:p>
          <w:p w:rsidR="006F5124" w:rsidRPr="006F5124" w:rsidRDefault="006F5124" w:rsidP="004756BC">
            <w:pPr>
              <w:contextualSpacing/>
              <w:jc w:val="both"/>
              <w:cnfStyle w:val="000000100000"/>
              <w:rPr>
                <w:rFonts w:ascii="Times New Roman" w:hAnsi="Times New Roman" w:cs="Times New Roman"/>
                <w:sz w:val="24"/>
                <w:szCs w:val="24"/>
                <w:lang w:val="lt-LT"/>
              </w:rPr>
            </w:pPr>
            <w:r w:rsidRPr="006F5124">
              <w:rPr>
                <w:rFonts w:ascii="Times New Roman" w:hAnsi="Times New Roman" w:cs="Times New Roman"/>
                <w:sz w:val="24"/>
                <w:szCs w:val="24"/>
                <w:lang w:val="lt-LT"/>
              </w:rPr>
              <w:t>X3 - Įsipareigojimai / turtas;</w:t>
            </w:r>
          </w:p>
          <w:p w:rsidR="006F5124" w:rsidRPr="006F5124" w:rsidRDefault="006F5124" w:rsidP="004756BC">
            <w:pPr>
              <w:contextualSpacing/>
              <w:jc w:val="both"/>
              <w:cnfStyle w:val="000000100000"/>
              <w:rPr>
                <w:rFonts w:ascii="Times New Roman" w:hAnsi="Times New Roman" w:cs="Times New Roman"/>
                <w:sz w:val="24"/>
                <w:szCs w:val="24"/>
                <w:lang w:val="lt-LT"/>
              </w:rPr>
            </w:pPr>
            <w:r w:rsidRPr="006F5124">
              <w:rPr>
                <w:rFonts w:ascii="Times New Roman" w:hAnsi="Times New Roman" w:cs="Times New Roman"/>
                <w:sz w:val="24"/>
                <w:szCs w:val="24"/>
                <w:lang w:val="lt-LT"/>
              </w:rPr>
              <w:t>X4 - (Trumpalaikis turtas - atsargos) /trumpalaikiai įsipareigojimai.</w:t>
            </w:r>
          </w:p>
          <w:p w:rsidR="006F5124" w:rsidRPr="006F5124" w:rsidRDefault="006F5124" w:rsidP="004756BC">
            <w:pPr>
              <w:contextualSpacing/>
              <w:jc w:val="both"/>
              <w:cnfStyle w:val="000000100000"/>
              <w:rPr>
                <w:rFonts w:ascii="Times New Roman" w:hAnsi="Times New Roman" w:cs="Times New Roman"/>
                <w:sz w:val="24"/>
                <w:szCs w:val="24"/>
                <w:lang w:val="lt-LT"/>
              </w:rPr>
            </w:pPr>
          </w:p>
        </w:tc>
        <w:tc>
          <w:tcPr>
            <w:tcW w:w="2978" w:type="dxa"/>
            <w:hideMark/>
          </w:tcPr>
          <w:p w:rsidR="006F5124" w:rsidRPr="006F5124" w:rsidRDefault="006F5124" w:rsidP="004756BC">
            <w:pPr>
              <w:contextualSpacing/>
              <w:jc w:val="both"/>
              <w:cnfStyle w:val="000000100000"/>
              <w:rPr>
                <w:rFonts w:ascii="Times New Roman" w:hAnsi="Times New Roman" w:cs="Times New Roman"/>
                <w:sz w:val="24"/>
                <w:szCs w:val="24"/>
                <w:lang w:val="lt-LT"/>
              </w:rPr>
            </w:pPr>
            <w:r w:rsidRPr="006F5124">
              <w:rPr>
                <w:rFonts w:ascii="Times New Roman" w:hAnsi="Times New Roman" w:cs="Times New Roman"/>
                <w:sz w:val="24"/>
                <w:szCs w:val="24"/>
                <w:lang w:val="lt-LT"/>
              </w:rPr>
              <w:t>Jei didesnė Z0 lygties reikšmė, tai įmonė priskiriama nebankrutuo</w:t>
            </w:r>
            <w:r w:rsidRPr="006F5124">
              <w:rPr>
                <w:rFonts w:ascii="Times New Roman" w:hAnsi="Times New Roman" w:cs="Times New Roman"/>
                <w:sz w:val="24"/>
                <w:szCs w:val="24"/>
                <w:lang w:val="lt-LT"/>
              </w:rPr>
              <w:softHyphen/>
              <w:t>jančių įmonių grupei, o jei didesnė yra Z1 reikšmė – tai bankrutuojančių įmonių grupei.</w:t>
            </w:r>
          </w:p>
        </w:tc>
      </w:tr>
    </w:tbl>
    <w:p w:rsidR="00BC69AA" w:rsidRDefault="00BC69AA" w:rsidP="00BC69AA">
      <w:pPr>
        <w:spacing w:line="360" w:lineRule="auto"/>
        <w:ind w:firstLine="720"/>
        <w:contextualSpacing/>
        <w:jc w:val="both"/>
        <w:rPr>
          <w:rFonts w:ascii="Times New Roman" w:hAnsi="Times New Roman" w:cs="Times New Roman"/>
          <w:sz w:val="20"/>
          <w:szCs w:val="20"/>
          <w:lang w:val="lt-LT"/>
        </w:rPr>
      </w:pPr>
      <w:r w:rsidRPr="009148BD">
        <w:rPr>
          <w:rFonts w:ascii="Times New Roman" w:hAnsi="Times New Roman" w:cs="Times New Roman"/>
          <w:b/>
          <w:sz w:val="20"/>
          <w:szCs w:val="20"/>
          <w:lang w:val="lt-LT"/>
        </w:rPr>
        <w:t>Šaltinis:</w:t>
      </w:r>
      <w:r w:rsidRPr="009148BD">
        <w:rPr>
          <w:rFonts w:ascii="Times New Roman" w:hAnsi="Times New Roman" w:cs="Times New Roman"/>
          <w:sz w:val="20"/>
          <w:szCs w:val="20"/>
          <w:lang w:val="lt-LT"/>
        </w:rPr>
        <w:t xml:space="preserve"> Sudaryta pagal Purvinis</w:t>
      </w:r>
      <w:r>
        <w:rPr>
          <w:rFonts w:ascii="Times New Roman" w:hAnsi="Times New Roman" w:cs="Times New Roman"/>
          <w:sz w:val="20"/>
          <w:szCs w:val="20"/>
          <w:lang w:val="lt-LT"/>
        </w:rPr>
        <w:t xml:space="preserve"> ir kt.</w:t>
      </w:r>
      <w:r w:rsidRPr="009148BD">
        <w:rPr>
          <w:rFonts w:ascii="Times New Roman" w:hAnsi="Times New Roman" w:cs="Times New Roman"/>
          <w:sz w:val="20"/>
          <w:szCs w:val="20"/>
          <w:lang w:val="lt-LT"/>
        </w:rPr>
        <w:t>, 2005.</w:t>
      </w:r>
    </w:p>
    <w:p w:rsidR="006014D3" w:rsidRDefault="006014D3" w:rsidP="006014D3">
      <w:pPr>
        <w:rPr>
          <w:rFonts w:ascii="Times New Roman" w:hAnsi="Times New Roman" w:cs="Times New Roman"/>
          <w:sz w:val="24"/>
          <w:szCs w:val="24"/>
          <w:lang w:val="lt-LT"/>
        </w:rPr>
      </w:pPr>
    </w:p>
    <w:p w:rsidR="006F5124" w:rsidRDefault="006F5124" w:rsidP="006014D3">
      <w:pPr>
        <w:rPr>
          <w:rFonts w:ascii="Times New Roman" w:hAnsi="Times New Roman" w:cs="Times New Roman"/>
          <w:sz w:val="24"/>
          <w:szCs w:val="24"/>
          <w:lang w:val="lt-LT"/>
        </w:rPr>
      </w:pPr>
    </w:p>
    <w:p w:rsidR="006F5124" w:rsidRDefault="006F5124" w:rsidP="006014D3">
      <w:pPr>
        <w:rPr>
          <w:rFonts w:ascii="Times New Roman" w:hAnsi="Times New Roman" w:cs="Times New Roman"/>
          <w:sz w:val="24"/>
          <w:szCs w:val="24"/>
          <w:lang w:val="lt-LT"/>
        </w:rPr>
      </w:pPr>
    </w:p>
    <w:p w:rsidR="006F5124" w:rsidRDefault="006F5124" w:rsidP="006014D3">
      <w:pPr>
        <w:rPr>
          <w:rFonts w:ascii="Times New Roman" w:hAnsi="Times New Roman" w:cs="Times New Roman"/>
          <w:sz w:val="24"/>
          <w:szCs w:val="24"/>
          <w:lang w:val="lt-LT"/>
        </w:rPr>
      </w:pPr>
    </w:p>
    <w:p w:rsidR="006F5124" w:rsidRDefault="006F5124" w:rsidP="006014D3">
      <w:pPr>
        <w:rPr>
          <w:rFonts w:ascii="Times New Roman" w:hAnsi="Times New Roman" w:cs="Times New Roman"/>
          <w:sz w:val="24"/>
          <w:szCs w:val="24"/>
          <w:lang w:val="lt-LT"/>
        </w:rPr>
      </w:pPr>
    </w:p>
    <w:p w:rsidR="006F5124" w:rsidRDefault="006F5124" w:rsidP="006014D3">
      <w:pPr>
        <w:rPr>
          <w:rFonts w:ascii="Times New Roman" w:hAnsi="Times New Roman" w:cs="Times New Roman"/>
          <w:sz w:val="24"/>
          <w:szCs w:val="24"/>
          <w:lang w:val="lt-LT"/>
        </w:rPr>
      </w:pPr>
    </w:p>
    <w:p w:rsidR="006F5124" w:rsidRDefault="006F5124" w:rsidP="006014D3">
      <w:pPr>
        <w:rPr>
          <w:rFonts w:ascii="Times New Roman" w:hAnsi="Times New Roman" w:cs="Times New Roman"/>
          <w:sz w:val="24"/>
          <w:szCs w:val="24"/>
          <w:lang w:val="lt-LT"/>
        </w:rPr>
      </w:pPr>
    </w:p>
    <w:p w:rsidR="006F5124" w:rsidRDefault="006F5124" w:rsidP="006014D3">
      <w:pPr>
        <w:rPr>
          <w:rFonts w:ascii="Times New Roman" w:hAnsi="Times New Roman" w:cs="Times New Roman"/>
          <w:sz w:val="24"/>
          <w:szCs w:val="24"/>
          <w:lang w:val="lt-LT"/>
        </w:rPr>
      </w:pPr>
    </w:p>
    <w:p w:rsidR="006F5124" w:rsidRDefault="006F5124" w:rsidP="006014D3">
      <w:pPr>
        <w:rPr>
          <w:rFonts w:ascii="Times New Roman" w:hAnsi="Times New Roman" w:cs="Times New Roman"/>
          <w:sz w:val="24"/>
          <w:szCs w:val="24"/>
          <w:lang w:val="lt-LT"/>
        </w:rPr>
      </w:pPr>
    </w:p>
    <w:p w:rsidR="006F5124" w:rsidRDefault="006F5124" w:rsidP="006014D3">
      <w:pPr>
        <w:rPr>
          <w:rFonts w:ascii="Times New Roman" w:hAnsi="Times New Roman" w:cs="Times New Roman"/>
          <w:sz w:val="24"/>
          <w:szCs w:val="24"/>
          <w:lang w:val="lt-LT"/>
        </w:rPr>
      </w:pPr>
    </w:p>
    <w:p w:rsidR="006F5124" w:rsidRDefault="006F5124" w:rsidP="006014D3">
      <w:pPr>
        <w:rPr>
          <w:rFonts w:ascii="Times New Roman" w:hAnsi="Times New Roman" w:cs="Times New Roman"/>
          <w:sz w:val="24"/>
          <w:szCs w:val="24"/>
          <w:lang w:val="lt-LT"/>
        </w:rPr>
      </w:pPr>
    </w:p>
    <w:p w:rsidR="006F5124" w:rsidRDefault="006F5124" w:rsidP="006014D3">
      <w:pPr>
        <w:rPr>
          <w:rFonts w:ascii="Times New Roman" w:hAnsi="Times New Roman" w:cs="Times New Roman"/>
          <w:sz w:val="24"/>
          <w:szCs w:val="24"/>
          <w:lang w:val="lt-LT"/>
        </w:rPr>
      </w:pPr>
    </w:p>
    <w:p w:rsidR="006F5124" w:rsidRDefault="006F5124" w:rsidP="006014D3">
      <w:pPr>
        <w:rPr>
          <w:rFonts w:ascii="Times New Roman" w:hAnsi="Times New Roman" w:cs="Times New Roman"/>
          <w:sz w:val="24"/>
          <w:szCs w:val="24"/>
          <w:lang w:val="lt-LT"/>
        </w:rPr>
      </w:pPr>
    </w:p>
    <w:p w:rsidR="006F5124" w:rsidRDefault="006F5124" w:rsidP="006014D3">
      <w:pPr>
        <w:rPr>
          <w:rFonts w:ascii="Times New Roman" w:hAnsi="Times New Roman" w:cs="Times New Roman"/>
          <w:sz w:val="24"/>
          <w:szCs w:val="24"/>
          <w:lang w:val="lt-LT"/>
        </w:rPr>
      </w:pPr>
    </w:p>
    <w:p w:rsidR="006F5124" w:rsidRDefault="006F5124" w:rsidP="006014D3">
      <w:pPr>
        <w:rPr>
          <w:rFonts w:ascii="Times New Roman" w:hAnsi="Times New Roman" w:cs="Times New Roman"/>
          <w:sz w:val="24"/>
          <w:szCs w:val="24"/>
          <w:lang w:val="lt-LT"/>
        </w:rPr>
      </w:pPr>
    </w:p>
    <w:p w:rsidR="006F5124" w:rsidRDefault="006F5124" w:rsidP="006014D3">
      <w:pPr>
        <w:rPr>
          <w:rFonts w:ascii="Times New Roman" w:hAnsi="Times New Roman" w:cs="Times New Roman"/>
          <w:sz w:val="24"/>
          <w:szCs w:val="24"/>
          <w:lang w:val="lt-LT"/>
        </w:rPr>
      </w:pPr>
    </w:p>
    <w:p w:rsidR="006F5124" w:rsidRPr="005D0A53" w:rsidRDefault="00BC69AA" w:rsidP="006F5124">
      <w:pPr>
        <w:pStyle w:val="Heading1"/>
        <w:jc w:val="right"/>
      </w:pPr>
      <w:bookmarkStart w:id="113" w:name="_Toc374655671"/>
      <w:r>
        <w:lastRenderedPageBreak/>
        <w:t>2</w:t>
      </w:r>
      <w:r w:rsidR="006F5124" w:rsidRPr="005D0A53">
        <w:t xml:space="preserve"> PRIEDAS</w:t>
      </w:r>
      <w:bookmarkEnd w:id="113"/>
      <w:r w:rsidR="006F5124" w:rsidRPr="005D0A53">
        <w:t xml:space="preserve"> </w:t>
      </w:r>
    </w:p>
    <w:p w:rsidR="006F5124" w:rsidRDefault="006F5124" w:rsidP="006F5124">
      <w:pPr>
        <w:tabs>
          <w:tab w:val="left" w:pos="142"/>
        </w:tabs>
        <w:spacing w:after="0" w:line="360" w:lineRule="auto"/>
        <w:ind w:firstLine="426"/>
        <w:rPr>
          <w:rFonts w:cs="Times New Roman"/>
        </w:rPr>
      </w:pPr>
    </w:p>
    <w:p w:rsidR="006F5124" w:rsidRDefault="004756BC" w:rsidP="004D5C99">
      <w:pPr>
        <w:spacing w:after="0"/>
        <w:contextualSpacing/>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TRANSPORTAVIMO ĮMONIŲ ABSOLIUTINIŲ </w:t>
      </w:r>
      <w:r w:rsidR="00486B70">
        <w:rPr>
          <w:rFonts w:ascii="Times New Roman" w:hAnsi="Times New Roman" w:cs="Times New Roman"/>
          <w:b/>
          <w:sz w:val="24"/>
          <w:szCs w:val="24"/>
          <w:lang w:val="lt-LT"/>
        </w:rPr>
        <w:t xml:space="preserve">FINANSINIŲ </w:t>
      </w:r>
      <w:r>
        <w:rPr>
          <w:rFonts w:ascii="Times New Roman" w:hAnsi="Times New Roman" w:cs="Times New Roman"/>
          <w:b/>
          <w:sz w:val="24"/>
          <w:szCs w:val="24"/>
          <w:lang w:val="lt-LT"/>
        </w:rPr>
        <w:t>RODIKLIŲ ANALIZĖ</w:t>
      </w:r>
    </w:p>
    <w:p w:rsidR="004D5C99" w:rsidRDefault="004D5C99" w:rsidP="004D5C99">
      <w:pPr>
        <w:spacing w:after="0"/>
        <w:contextualSpacing/>
        <w:jc w:val="center"/>
        <w:rPr>
          <w:rFonts w:ascii="Times New Roman" w:hAnsi="Times New Roman" w:cs="Times New Roman"/>
          <w:b/>
          <w:sz w:val="24"/>
          <w:szCs w:val="24"/>
          <w:lang w:val="lt-LT"/>
        </w:rPr>
      </w:pPr>
    </w:p>
    <w:p w:rsidR="004D5C99" w:rsidRPr="004D5C99" w:rsidRDefault="004D5C99" w:rsidP="004D5C99">
      <w:pPr>
        <w:autoSpaceDE w:val="0"/>
        <w:autoSpaceDN w:val="0"/>
        <w:adjustRightInd w:val="0"/>
        <w:spacing w:after="0"/>
        <w:jc w:val="center"/>
        <w:rPr>
          <w:rFonts w:ascii="Times New Roman" w:hAnsi="Times New Roman" w:cs="Times New Roman"/>
          <w:b/>
          <w:szCs w:val="24"/>
        </w:rPr>
      </w:pPr>
      <w:r w:rsidRPr="004D5C99">
        <w:rPr>
          <w:rFonts w:ascii="Times New Roman" w:hAnsi="Times New Roman" w:cs="Times New Roman"/>
          <w:szCs w:val="24"/>
        </w:rPr>
        <w:t>1 lentelė.</w:t>
      </w:r>
      <w:r w:rsidRPr="004D5C99">
        <w:rPr>
          <w:rFonts w:ascii="Times New Roman" w:hAnsi="Times New Roman" w:cs="Times New Roman"/>
          <w:b/>
          <w:szCs w:val="24"/>
        </w:rPr>
        <w:t xml:space="preserve"> </w:t>
      </w:r>
      <w:r>
        <w:rPr>
          <w:rFonts w:ascii="Times New Roman" w:hAnsi="Times New Roman" w:cs="Times New Roman"/>
          <w:b/>
          <w:szCs w:val="24"/>
        </w:rPr>
        <w:t>UAB “Achemarida” balanso straipsnių lyginamieji svoriai</w:t>
      </w:r>
    </w:p>
    <w:tbl>
      <w:tblPr>
        <w:tblStyle w:val="LightGrid-Accent6"/>
        <w:tblW w:w="9260" w:type="dxa"/>
        <w:jc w:val="center"/>
        <w:tblLook w:val="04A0"/>
      </w:tblPr>
      <w:tblGrid>
        <w:gridCol w:w="2362"/>
        <w:gridCol w:w="1016"/>
        <w:gridCol w:w="1250"/>
        <w:gridCol w:w="1016"/>
        <w:gridCol w:w="1250"/>
        <w:gridCol w:w="1116"/>
        <w:gridCol w:w="1250"/>
      </w:tblGrid>
      <w:tr w:rsidR="006F5124" w:rsidRPr="00F80CD4" w:rsidTr="004D5C99">
        <w:trPr>
          <w:cnfStyle w:val="100000000000"/>
          <w:trHeight w:val="300"/>
          <w:jc w:val="center"/>
        </w:trPr>
        <w:tc>
          <w:tcPr>
            <w:cnfStyle w:val="001000000000"/>
            <w:tcW w:w="9260" w:type="dxa"/>
            <w:gridSpan w:val="7"/>
            <w:hideMark/>
          </w:tcPr>
          <w:p w:rsidR="006F5124" w:rsidRPr="00F80CD4" w:rsidRDefault="006F5124" w:rsidP="006F5124">
            <w:pPr>
              <w:contextualSpacing/>
              <w:jc w:val="center"/>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UAB “ACHEMARIDA” BALANS</w:t>
            </w:r>
            <w:r w:rsidR="004756BC">
              <w:rPr>
                <w:rFonts w:ascii="Times New Roman" w:eastAsia="Times New Roman" w:hAnsi="Times New Roman" w:cs="Times New Roman"/>
                <w:b w:val="0"/>
                <w:bCs w:val="0"/>
                <w:sz w:val="20"/>
                <w:szCs w:val="20"/>
              </w:rPr>
              <w:t>O STRAIPSNIŲ LYGINAMIEJI SVORIAI</w:t>
            </w:r>
          </w:p>
        </w:tc>
      </w:tr>
      <w:tr w:rsidR="006F5124" w:rsidRPr="00F80CD4" w:rsidTr="004D5C99">
        <w:trPr>
          <w:cnfStyle w:val="000000100000"/>
          <w:trHeight w:val="300"/>
          <w:jc w:val="center"/>
        </w:trPr>
        <w:tc>
          <w:tcPr>
            <w:cnfStyle w:val="001000000000"/>
            <w:tcW w:w="2362" w:type="dxa"/>
            <w:hideMark/>
          </w:tcPr>
          <w:p w:rsidR="006F5124" w:rsidRPr="00F80CD4" w:rsidRDefault="006F5124" w:rsidP="006F5124">
            <w:pPr>
              <w:contextualSpacing/>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 </w:t>
            </w:r>
          </w:p>
        </w:tc>
        <w:tc>
          <w:tcPr>
            <w:tcW w:w="2266" w:type="dxa"/>
            <w:gridSpan w:val="2"/>
            <w:hideMark/>
          </w:tcPr>
          <w:p w:rsidR="006F5124" w:rsidRPr="00F80CD4" w:rsidRDefault="006F5124" w:rsidP="006F5124">
            <w:pPr>
              <w:contextualSpacing/>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31/12/2008</w:t>
            </w:r>
          </w:p>
        </w:tc>
        <w:tc>
          <w:tcPr>
            <w:tcW w:w="2266" w:type="dxa"/>
            <w:gridSpan w:val="2"/>
            <w:hideMark/>
          </w:tcPr>
          <w:p w:rsidR="006F5124" w:rsidRPr="00F80CD4" w:rsidRDefault="006F5124" w:rsidP="006F5124">
            <w:pPr>
              <w:contextualSpacing/>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31/12/2009</w:t>
            </w:r>
          </w:p>
        </w:tc>
        <w:tc>
          <w:tcPr>
            <w:tcW w:w="2366" w:type="dxa"/>
            <w:gridSpan w:val="2"/>
            <w:hideMark/>
          </w:tcPr>
          <w:p w:rsidR="006F5124" w:rsidRPr="00F80CD4" w:rsidRDefault="006F5124" w:rsidP="006F5124">
            <w:pPr>
              <w:contextualSpacing/>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31/12/2010</w:t>
            </w:r>
          </w:p>
        </w:tc>
      </w:tr>
      <w:tr w:rsidR="006F5124" w:rsidRPr="00F80CD4" w:rsidTr="004D5C99">
        <w:trPr>
          <w:cnfStyle w:val="000000010000"/>
          <w:trHeight w:val="300"/>
          <w:jc w:val="center"/>
        </w:trPr>
        <w:tc>
          <w:tcPr>
            <w:cnfStyle w:val="001000000000"/>
            <w:tcW w:w="2362" w:type="dxa"/>
            <w:hideMark/>
          </w:tcPr>
          <w:p w:rsidR="006F5124" w:rsidRPr="00F80CD4" w:rsidRDefault="006F5124" w:rsidP="006F5124">
            <w:pPr>
              <w:contextualSpacing/>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 </w:t>
            </w:r>
          </w:p>
        </w:tc>
        <w:tc>
          <w:tcPr>
            <w:tcW w:w="2266" w:type="dxa"/>
            <w:gridSpan w:val="2"/>
            <w:hideMark/>
          </w:tcPr>
          <w:p w:rsidR="006F5124" w:rsidRPr="00F80CD4" w:rsidRDefault="006F5124" w:rsidP="006F5124">
            <w:pPr>
              <w:contextualSpacing/>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EUR</w:t>
            </w:r>
          </w:p>
        </w:tc>
        <w:tc>
          <w:tcPr>
            <w:tcW w:w="2266" w:type="dxa"/>
            <w:gridSpan w:val="2"/>
            <w:hideMark/>
          </w:tcPr>
          <w:p w:rsidR="006F5124" w:rsidRPr="00F80CD4" w:rsidRDefault="006F5124" w:rsidP="006F5124">
            <w:pPr>
              <w:contextualSpacing/>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EUR</w:t>
            </w:r>
          </w:p>
        </w:tc>
        <w:tc>
          <w:tcPr>
            <w:tcW w:w="2366" w:type="dxa"/>
            <w:gridSpan w:val="2"/>
            <w:hideMark/>
          </w:tcPr>
          <w:p w:rsidR="006F5124" w:rsidRPr="00F80CD4" w:rsidRDefault="006F5124" w:rsidP="006F5124">
            <w:pPr>
              <w:contextualSpacing/>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EUR</w:t>
            </w:r>
          </w:p>
        </w:tc>
      </w:tr>
      <w:tr w:rsidR="006F5124" w:rsidRPr="00F80CD4" w:rsidTr="004D5C99">
        <w:trPr>
          <w:cnfStyle w:val="000000100000"/>
          <w:trHeight w:val="615"/>
          <w:jc w:val="center"/>
        </w:trPr>
        <w:tc>
          <w:tcPr>
            <w:cnfStyle w:val="001000000000"/>
            <w:tcW w:w="2362" w:type="dxa"/>
            <w:vAlign w:val="center"/>
            <w:hideMark/>
          </w:tcPr>
          <w:p w:rsidR="006F5124" w:rsidRPr="00F80CD4" w:rsidRDefault="006F5124" w:rsidP="00BC69AA">
            <w:pPr>
              <w:contextualSpacing/>
              <w:jc w:val="center"/>
              <w:rPr>
                <w:rFonts w:ascii="Times New Roman" w:eastAsia="Times New Roman" w:hAnsi="Times New Roman" w:cs="Times New Roman"/>
                <w:b w:val="0"/>
                <w:bCs w:val="0"/>
                <w:sz w:val="20"/>
                <w:szCs w:val="20"/>
              </w:rPr>
            </w:pPr>
            <w:r w:rsidRPr="00F80CD4">
              <w:rPr>
                <w:rFonts w:ascii="Times New Roman" w:eastAsia="Times New Roman" w:hAnsi="Times New Roman" w:cs="Times New Roman"/>
                <w:b w:val="0"/>
                <w:bCs w:val="0"/>
                <w:sz w:val="20"/>
                <w:szCs w:val="20"/>
              </w:rPr>
              <w:t>Turtas</w:t>
            </w:r>
          </w:p>
        </w:tc>
        <w:tc>
          <w:tcPr>
            <w:tcW w:w="1016" w:type="dxa"/>
            <w:vAlign w:val="center"/>
            <w:hideMark/>
          </w:tcPr>
          <w:p w:rsidR="006F5124" w:rsidRPr="00F80CD4" w:rsidRDefault="006F5124" w:rsidP="006F5124">
            <w:pPr>
              <w:spacing w:before="120"/>
              <w:contextualSpacing/>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EUR</w:t>
            </w:r>
          </w:p>
        </w:tc>
        <w:tc>
          <w:tcPr>
            <w:tcW w:w="1250" w:type="dxa"/>
            <w:vAlign w:val="center"/>
            <w:hideMark/>
          </w:tcPr>
          <w:p w:rsidR="006F5124" w:rsidRPr="00F80CD4" w:rsidRDefault="006F5124" w:rsidP="00E6354F">
            <w:pPr>
              <w:spacing w:before="120"/>
              <w:contextualSpacing/>
              <w:jc w:val="center"/>
              <w:cnfStyle w:val="000000100000"/>
              <w:rPr>
                <w:rFonts w:ascii="Times New Roman" w:eastAsia="Times New Roman" w:hAnsi="Times New Roman" w:cs="Times New Roman"/>
                <w:b/>
                <w:bCs/>
                <w:sz w:val="20"/>
                <w:szCs w:val="20"/>
              </w:rPr>
            </w:pPr>
            <w:r w:rsidRPr="00F80CD4">
              <w:rPr>
                <w:rFonts w:ascii="Times New Roman" w:eastAsia="Times New Roman" w:hAnsi="Times New Roman" w:cs="Times New Roman"/>
                <w:b/>
                <w:bCs/>
                <w:sz w:val="20"/>
                <w:szCs w:val="20"/>
              </w:rPr>
              <w:t xml:space="preserve">Lyginamieji svoriai, </w:t>
            </w:r>
            <w:r w:rsidR="00E6354F">
              <w:rPr>
                <w:rFonts w:ascii="Times New Roman" w:eastAsia="Times New Roman" w:hAnsi="Times New Roman" w:cs="Times New Roman"/>
                <w:b/>
                <w:bCs/>
                <w:sz w:val="20"/>
                <w:szCs w:val="20"/>
              </w:rPr>
              <w:t>proc.</w:t>
            </w:r>
          </w:p>
        </w:tc>
        <w:tc>
          <w:tcPr>
            <w:tcW w:w="1016" w:type="dxa"/>
            <w:vAlign w:val="center"/>
            <w:hideMark/>
          </w:tcPr>
          <w:p w:rsidR="006F5124" w:rsidRPr="00F80CD4" w:rsidRDefault="006F5124" w:rsidP="006F5124">
            <w:pPr>
              <w:spacing w:before="120"/>
              <w:contextualSpacing/>
              <w:jc w:val="center"/>
              <w:cnfStyle w:val="000000100000"/>
              <w:rPr>
                <w:rFonts w:ascii="Times New Roman" w:eastAsia="Times New Roman" w:hAnsi="Times New Roman" w:cs="Times New Roman"/>
                <w:b/>
                <w:bCs/>
                <w:sz w:val="20"/>
                <w:szCs w:val="20"/>
              </w:rPr>
            </w:pPr>
            <w:r w:rsidRPr="00F80CD4">
              <w:rPr>
                <w:rFonts w:ascii="Times New Roman" w:eastAsia="Times New Roman" w:hAnsi="Times New Roman" w:cs="Times New Roman"/>
                <w:sz w:val="20"/>
                <w:szCs w:val="20"/>
              </w:rPr>
              <w:t>EUR</w:t>
            </w:r>
          </w:p>
        </w:tc>
        <w:tc>
          <w:tcPr>
            <w:tcW w:w="1250" w:type="dxa"/>
            <w:vAlign w:val="center"/>
            <w:hideMark/>
          </w:tcPr>
          <w:p w:rsidR="006F5124" w:rsidRPr="00F80CD4" w:rsidRDefault="006F5124" w:rsidP="006F5124">
            <w:pPr>
              <w:spacing w:before="120"/>
              <w:contextualSpacing/>
              <w:jc w:val="center"/>
              <w:cnfStyle w:val="000000100000"/>
              <w:rPr>
                <w:rFonts w:ascii="Times New Roman" w:eastAsia="Times New Roman" w:hAnsi="Times New Roman" w:cs="Times New Roman"/>
                <w:b/>
                <w:bCs/>
                <w:sz w:val="20"/>
                <w:szCs w:val="20"/>
              </w:rPr>
            </w:pPr>
            <w:r w:rsidRPr="00F80CD4">
              <w:rPr>
                <w:rFonts w:ascii="Times New Roman" w:eastAsia="Times New Roman" w:hAnsi="Times New Roman" w:cs="Times New Roman"/>
                <w:b/>
                <w:bCs/>
                <w:sz w:val="20"/>
                <w:szCs w:val="20"/>
              </w:rPr>
              <w:t xml:space="preserve">Lyginamieji svoriai, </w:t>
            </w:r>
            <w:r w:rsidR="00E6354F">
              <w:rPr>
                <w:rFonts w:ascii="Times New Roman" w:eastAsia="Times New Roman" w:hAnsi="Times New Roman" w:cs="Times New Roman"/>
                <w:b/>
                <w:bCs/>
                <w:sz w:val="20"/>
                <w:szCs w:val="20"/>
              </w:rPr>
              <w:t>proc.</w:t>
            </w:r>
          </w:p>
        </w:tc>
        <w:tc>
          <w:tcPr>
            <w:tcW w:w="1116" w:type="dxa"/>
            <w:vAlign w:val="center"/>
            <w:hideMark/>
          </w:tcPr>
          <w:p w:rsidR="006F5124" w:rsidRPr="00F80CD4" w:rsidRDefault="006F5124" w:rsidP="006F5124">
            <w:pPr>
              <w:spacing w:before="120"/>
              <w:contextualSpacing/>
              <w:jc w:val="center"/>
              <w:cnfStyle w:val="000000100000"/>
              <w:rPr>
                <w:rFonts w:ascii="Times New Roman" w:eastAsia="Times New Roman" w:hAnsi="Times New Roman" w:cs="Times New Roman"/>
                <w:b/>
                <w:bCs/>
                <w:sz w:val="20"/>
                <w:szCs w:val="20"/>
              </w:rPr>
            </w:pPr>
            <w:r w:rsidRPr="00F80CD4">
              <w:rPr>
                <w:rFonts w:ascii="Times New Roman" w:eastAsia="Times New Roman" w:hAnsi="Times New Roman" w:cs="Times New Roman"/>
                <w:sz w:val="20"/>
                <w:szCs w:val="20"/>
              </w:rPr>
              <w:t>EUR</w:t>
            </w:r>
          </w:p>
        </w:tc>
        <w:tc>
          <w:tcPr>
            <w:tcW w:w="1250" w:type="dxa"/>
            <w:vAlign w:val="center"/>
            <w:hideMark/>
          </w:tcPr>
          <w:p w:rsidR="006F5124" w:rsidRPr="00F80CD4" w:rsidRDefault="006F5124" w:rsidP="006F5124">
            <w:pPr>
              <w:spacing w:before="120"/>
              <w:contextualSpacing/>
              <w:jc w:val="center"/>
              <w:cnfStyle w:val="000000100000"/>
              <w:rPr>
                <w:rFonts w:ascii="Times New Roman" w:eastAsia="Times New Roman" w:hAnsi="Times New Roman" w:cs="Times New Roman"/>
                <w:b/>
                <w:bCs/>
                <w:sz w:val="20"/>
                <w:szCs w:val="20"/>
              </w:rPr>
            </w:pPr>
            <w:r w:rsidRPr="00F80CD4">
              <w:rPr>
                <w:rFonts w:ascii="Times New Roman" w:eastAsia="Times New Roman" w:hAnsi="Times New Roman" w:cs="Times New Roman"/>
                <w:b/>
                <w:bCs/>
                <w:sz w:val="20"/>
                <w:szCs w:val="20"/>
              </w:rPr>
              <w:t xml:space="preserve">Lyginamieji svoriai, </w:t>
            </w:r>
            <w:r w:rsidR="00E6354F">
              <w:rPr>
                <w:rFonts w:ascii="Times New Roman" w:eastAsia="Times New Roman" w:hAnsi="Times New Roman" w:cs="Times New Roman"/>
                <w:b/>
                <w:bCs/>
                <w:sz w:val="20"/>
                <w:szCs w:val="20"/>
              </w:rPr>
              <w:t>proc.</w:t>
            </w:r>
          </w:p>
        </w:tc>
      </w:tr>
      <w:tr w:rsidR="006F5124" w:rsidRPr="00F80CD4" w:rsidTr="004D5C99">
        <w:trPr>
          <w:cnfStyle w:val="000000010000"/>
          <w:trHeight w:val="315"/>
          <w:jc w:val="center"/>
        </w:trPr>
        <w:tc>
          <w:tcPr>
            <w:cnfStyle w:val="001000000000"/>
            <w:tcW w:w="2362" w:type="dxa"/>
            <w:hideMark/>
          </w:tcPr>
          <w:p w:rsidR="006F5124" w:rsidRPr="00BC69AA" w:rsidRDefault="006F5124" w:rsidP="006F5124">
            <w:pPr>
              <w:contextualSpacing/>
              <w:rPr>
                <w:rFonts w:ascii="Times New Roman" w:eastAsia="Times New Roman" w:hAnsi="Times New Roman" w:cs="Times New Roman"/>
                <w:b w:val="0"/>
                <w:sz w:val="20"/>
                <w:szCs w:val="20"/>
              </w:rPr>
            </w:pPr>
            <w:r w:rsidRPr="00BC69AA">
              <w:rPr>
                <w:rFonts w:ascii="Times New Roman" w:eastAsia="Times New Roman" w:hAnsi="Times New Roman" w:cs="Times New Roman"/>
                <w:b w:val="0"/>
                <w:sz w:val="20"/>
                <w:szCs w:val="20"/>
              </w:rPr>
              <w:t>Ilgalaikis turtas</w:t>
            </w:r>
          </w:p>
        </w:tc>
        <w:tc>
          <w:tcPr>
            <w:tcW w:w="1016" w:type="dxa"/>
            <w:vAlign w:val="center"/>
            <w:hideMark/>
          </w:tcPr>
          <w:p w:rsidR="006F5124" w:rsidRPr="00F80CD4" w:rsidRDefault="006F5124" w:rsidP="004D5C99">
            <w:pPr>
              <w:contextualSpacing/>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2,031,820</w:t>
            </w:r>
          </w:p>
        </w:tc>
        <w:tc>
          <w:tcPr>
            <w:tcW w:w="1250" w:type="dxa"/>
            <w:vAlign w:val="center"/>
            <w:hideMark/>
          </w:tcPr>
          <w:p w:rsidR="006F5124" w:rsidRPr="004D5C99" w:rsidRDefault="006F5124" w:rsidP="004D5C99">
            <w:pPr>
              <w:contextualSpacing/>
              <w:jc w:val="center"/>
              <w:cnfStyle w:val="000000010000"/>
              <w:rPr>
                <w:rFonts w:ascii="Times New Roman" w:eastAsia="Times New Roman" w:hAnsi="Times New Roman" w:cs="Times New Roman"/>
                <w:i/>
                <w:sz w:val="20"/>
                <w:szCs w:val="20"/>
              </w:rPr>
            </w:pPr>
            <w:r w:rsidRPr="004D5C99">
              <w:rPr>
                <w:rFonts w:ascii="Times New Roman" w:eastAsia="Times New Roman" w:hAnsi="Times New Roman" w:cs="Times New Roman"/>
                <w:i/>
                <w:sz w:val="20"/>
                <w:szCs w:val="20"/>
              </w:rPr>
              <w:t>65.58</w:t>
            </w:r>
          </w:p>
        </w:tc>
        <w:tc>
          <w:tcPr>
            <w:tcW w:w="1016" w:type="dxa"/>
            <w:vAlign w:val="center"/>
            <w:hideMark/>
          </w:tcPr>
          <w:p w:rsidR="006F5124" w:rsidRPr="00F80CD4" w:rsidRDefault="006F5124" w:rsidP="004D5C99">
            <w:pPr>
              <w:contextualSpacing/>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3,217,420</w:t>
            </w:r>
          </w:p>
        </w:tc>
        <w:tc>
          <w:tcPr>
            <w:tcW w:w="1250" w:type="dxa"/>
            <w:vAlign w:val="center"/>
            <w:hideMark/>
          </w:tcPr>
          <w:p w:rsidR="006F5124" w:rsidRPr="004D5C99" w:rsidRDefault="006F5124" w:rsidP="004D5C99">
            <w:pPr>
              <w:contextualSpacing/>
              <w:jc w:val="center"/>
              <w:cnfStyle w:val="000000010000"/>
              <w:rPr>
                <w:rFonts w:ascii="Times New Roman" w:eastAsia="Times New Roman" w:hAnsi="Times New Roman" w:cs="Times New Roman"/>
                <w:i/>
                <w:sz w:val="20"/>
                <w:szCs w:val="20"/>
              </w:rPr>
            </w:pPr>
            <w:r w:rsidRPr="004D5C99">
              <w:rPr>
                <w:rFonts w:ascii="Times New Roman" w:eastAsia="Times New Roman" w:hAnsi="Times New Roman" w:cs="Times New Roman"/>
                <w:i/>
                <w:sz w:val="20"/>
                <w:szCs w:val="20"/>
              </w:rPr>
              <w:t>74.60</w:t>
            </w:r>
          </w:p>
        </w:tc>
        <w:tc>
          <w:tcPr>
            <w:tcW w:w="1116" w:type="dxa"/>
            <w:vAlign w:val="center"/>
            <w:hideMark/>
          </w:tcPr>
          <w:p w:rsidR="006F5124" w:rsidRPr="00F80CD4" w:rsidRDefault="006F5124" w:rsidP="004D5C99">
            <w:pPr>
              <w:contextualSpacing/>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2,760,072</w:t>
            </w:r>
          </w:p>
        </w:tc>
        <w:tc>
          <w:tcPr>
            <w:tcW w:w="1250" w:type="dxa"/>
            <w:vAlign w:val="center"/>
            <w:hideMark/>
          </w:tcPr>
          <w:p w:rsidR="006F5124" w:rsidRPr="004D5C99" w:rsidRDefault="006F5124" w:rsidP="004D5C99">
            <w:pPr>
              <w:contextualSpacing/>
              <w:jc w:val="center"/>
              <w:cnfStyle w:val="000000010000"/>
              <w:rPr>
                <w:rFonts w:ascii="Times New Roman" w:eastAsia="Times New Roman" w:hAnsi="Times New Roman" w:cs="Times New Roman"/>
                <w:i/>
                <w:sz w:val="20"/>
                <w:szCs w:val="20"/>
              </w:rPr>
            </w:pPr>
            <w:r w:rsidRPr="004D5C99">
              <w:rPr>
                <w:rFonts w:ascii="Times New Roman" w:eastAsia="Times New Roman" w:hAnsi="Times New Roman" w:cs="Times New Roman"/>
                <w:i/>
                <w:sz w:val="20"/>
                <w:szCs w:val="20"/>
              </w:rPr>
              <w:t>70.23</w:t>
            </w:r>
          </w:p>
        </w:tc>
      </w:tr>
      <w:tr w:rsidR="006F5124" w:rsidRPr="00F80CD4" w:rsidTr="004D5C99">
        <w:trPr>
          <w:cnfStyle w:val="000000100000"/>
          <w:trHeight w:val="315"/>
          <w:jc w:val="center"/>
        </w:trPr>
        <w:tc>
          <w:tcPr>
            <w:cnfStyle w:val="001000000000"/>
            <w:tcW w:w="2362" w:type="dxa"/>
            <w:hideMark/>
          </w:tcPr>
          <w:p w:rsidR="006F5124" w:rsidRPr="00BC69AA" w:rsidRDefault="006F5124" w:rsidP="006F5124">
            <w:pPr>
              <w:contextualSpacing/>
              <w:rPr>
                <w:rFonts w:ascii="Times New Roman" w:eastAsia="Times New Roman" w:hAnsi="Times New Roman" w:cs="Times New Roman"/>
                <w:b w:val="0"/>
                <w:sz w:val="20"/>
                <w:szCs w:val="20"/>
              </w:rPr>
            </w:pPr>
            <w:r w:rsidRPr="00BC69AA">
              <w:rPr>
                <w:rFonts w:ascii="Times New Roman" w:eastAsia="Times New Roman" w:hAnsi="Times New Roman" w:cs="Times New Roman"/>
                <w:b w:val="0"/>
                <w:sz w:val="20"/>
                <w:szCs w:val="20"/>
              </w:rPr>
              <w:t>- Nematerialus turtas</w:t>
            </w:r>
          </w:p>
        </w:tc>
        <w:tc>
          <w:tcPr>
            <w:tcW w:w="1016" w:type="dxa"/>
            <w:vAlign w:val="center"/>
            <w:hideMark/>
          </w:tcPr>
          <w:p w:rsidR="006F5124" w:rsidRPr="00F80CD4" w:rsidRDefault="006F5124" w:rsidP="004D5C99">
            <w:pPr>
              <w:contextualSpacing/>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1,636</w:t>
            </w:r>
          </w:p>
        </w:tc>
        <w:tc>
          <w:tcPr>
            <w:tcW w:w="1250" w:type="dxa"/>
            <w:vAlign w:val="center"/>
            <w:hideMark/>
          </w:tcPr>
          <w:p w:rsidR="006F5124" w:rsidRPr="004D5C99" w:rsidRDefault="006F5124" w:rsidP="004D5C99">
            <w:pPr>
              <w:contextualSpacing/>
              <w:jc w:val="center"/>
              <w:cnfStyle w:val="000000100000"/>
              <w:rPr>
                <w:rFonts w:ascii="Times New Roman" w:eastAsia="Times New Roman" w:hAnsi="Times New Roman" w:cs="Times New Roman"/>
                <w:i/>
                <w:sz w:val="20"/>
                <w:szCs w:val="20"/>
              </w:rPr>
            </w:pPr>
            <w:r w:rsidRPr="004D5C99">
              <w:rPr>
                <w:rFonts w:ascii="Times New Roman" w:eastAsia="Times New Roman" w:hAnsi="Times New Roman" w:cs="Times New Roman"/>
                <w:i/>
                <w:sz w:val="20"/>
                <w:szCs w:val="20"/>
              </w:rPr>
              <w:t>0.08</w:t>
            </w:r>
          </w:p>
        </w:tc>
        <w:tc>
          <w:tcPr>
            <w:tcW w:w="1016" w:type="dxa"/>
            <w:vAlign w:val="center"/>
            <w:hideMark/>
          </w:tcPr>
          <w:p w:rsidR="006F5124" w:rsidRPr="00F80CD4" w:rsidRDefault="006F5124" w:rsidP="004D5C99">
            <w:pPr>
              <w:contextualSpacing/>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1,377</w:t>
            </w:r>
          </w:p>
        </w:tc>
        <w:tc>
          <w:tcPr>
            <w:tcW w:w="1250" w:type="dxa"/>
            <w:vAlign w:val="center"/>
            <w:hideMark/>
          </w:tcPr>
          <w:p w:rsidR="006F5124" w:rsidRPr="004D5C99" w:rsidRDefault="006F5124" w:rsidP="004D5C99">
            <w:pPr>
              <w:contextualSpacing/>
              <w:jc w:val="center"/>
              <w:cnfStyle w:val="000000100000"/>
              <w:rPr>
                <w:rFonts w:ascii="Times New Roman" w:eastAsia="Times New Roman" w:hAnsi="Times New Roman" w:cs="Times New Roman"/>
                <w:i/>
                <w:sz w:val="20"/>
                <w:szCs w:val="20"/>
              </w:rPr>
            </w:pPr>
            <w:r w:rsidRPr="004D5C99">
              <w:rPr>
                <w:rFonts w:ascii="Times New Roman" w:eastAsia="Times New Roman" w:hAnsi="Times New Roman" w:cs="Times New Roman"/>
                <w:i/>
                <w:sz w:val="20"/>
                <w:szCs w:val="20"/>
              </w:rPr>
              <w:t>0.04</w:t>
            </w:r>
          </w:p>
        </w:tc>
        <w:tc>
          <w:tcPr>
            <w:tcW w:w="1116" w:type="dxa"/>
            <w:vAlign w:val="center"/>
            <w:hideMark/>
          </w:tcPr>
          <w:p w:rsidR="006F5124" w:rsidRPr="00F80CD4" w:rsidRDefault="006F5124" w:rsidP="004D5C99">
            <w:pPr>
              <w:contextualSpacing/>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1,027</w:t>
            </w:r>
          </w:p>
        </w:tc>
        <w:tc>
          <w:tcPr>
            <w:tcW w:w="1250" w:type="dxa"/>
            <w:vAlign w:val="center"/>
            <w:hideMark/>
          </w:tcPr>
          <w:p w:rsidR="006F5124" w:rsidRPr="004D5C99" w:rsidRDefault="006F5124" w:rsidP="004D5C99">
            <w:pPr>
              <w:contextualSpacing/>
              <w:jc w:val="center"/>
              <w:cnfStyle w:val="000000100000"/>
              <w:rPr>
                <w:rFonts w:ascii="Times New Roman" w:eastAsia="Times New Roman" w:hAnsi="Times New Roman" w:cs="Times New Roman"/>
                <w:i/>
                <w:sz w:val="20"/>
                <w:szCs w:val="20"/>
              </w:rPr>
            </w:pPr>
            <w:r w:rsidRPr="004D5C99">
              <w:rPr>
                <w:rFonts w:ascii="Times New Roman" w:eastAsia="Times New Roman" w:hAnsi="Times New Roman" w:cs="Times New Roman"/>
                <w:i/>
                <w:sz w:val="20"/>
                <w:szCs w:val="20"/>
              </w:rPr>
              <w:t>0.04</w:t>
            </w:r>
          </w:p>
        </w:tc>
      </w:tr>
      <w:tr w:rsidR="006F5124" w:rsidRPr="00F80CD4" w:rsidTr="004D5C99">
        <w:trPr>
          <w:cnfStyle w:val="000000010000"/>
          <w:trHeight w:val="315"/>
          <w:jc w:val="center"/>
        </w:trPr>
        <w:tc>
          <w:tcPr>
            <w:cnfStyle w:val="001000000000"/>
            <w:tcW w:w="2362" w:type="dxa"/>
            <w:hideMark/>
          </w:tcPr>
          <w:p w:rsidR="006F5124" w:rsidRPr="00BC69AA" w:rsidRDefault="006F5124" w:rsidP="006F5124">
            <w:pPr>
              <w:contextualSpacing/>
              <w:rPr>
                <w:rFonts w:ascii="Times New Roman" w:eastAsia="Times New Roman" w:hAnsi="Times New Roman" w:cs="Times New Roman"/>
                <w:b w:val="0"/>
                <w:sz w:val="20"/>
                <w:szCs w:val="20"/>
              </w:rPr>
            </w:pPr>
            <w:r w:rsidRPr="00BC69AA">
              <w:rPr>
                <w:rFonts w:ascii="Times New Roman" w:eastAsia="Times New Roman" w:hAnsi="Times New Roman" w:cs="Times New Roman"/>
                <w:b w:val="0"/>
                <w:sz w:val="20"/>
                <w:szCs w:val="20"/>
              </w:rPr>
              <w:t>- Materialus turtas</w:t>
            </w:r>
          </w:p>
        </w:tc>
        <w:tc>
          <w:tcPr>
            <w:tcW w:w="1016" w:type="dxa"/>
            <w:vAlign w:val="center"/>
            <w:hideMark/>
          </w:tcPr>
          <w:p w:rsidR="006F5124" w:rsidRPr="00F80CD4" w:rsidRDefault="006F5124" w:rsidP="004D5C99">
            <w:pPr>
              <w:contextualSpacing/>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2,030,184</w:t>
            </w:r>
          </w:p>
        </w:tc>
        <w:tc>
          <w:tcPr>
            <w:tcW w:w="1250" w:type="dxa"/>
            <w:vAlign w:val="center"/>
            <w:hideMark/>
          </w:tcPr>
          <w:p w:rsidR="006F5124" w:rsidRPr="004D5C99" w:rsidRDefault="006F5124" w:rsidP="004D5C99">
            <w:pPr>
              <w:contextualSpacing/>
              <w:jc w:val="center"/>
              <w:cnfStyle w:val="000000010000"/>
              <w:rPr>
                <w:rFonts w:ascii="Times New Roman" w:eastAsia="Times New Roman" w:hAnsi="Times New Roman" w:cs="Times New Roman"/>
                <w:i/>
                <w:sz w:val="20"/>
                <w:szCs w:val="20"/>
              </w:rPr>
            </w:pPr>
            <w:r w:rsidRPr="004D5C99">
              <w:rPr>
                <w:rFonts w:ascii="Times New Roman" w:eastAsia="Times New Roman" w:hAnsi="Times New Roman" w:cs="Times New Roman"/>
                <w:i/>
                <w:sz w:val="20"/>
                <w:szCs w:val="20"/>
              </w:rPr>
              <w:t>99.92</w:t>
            </w:r>
          </w:p>
        </w:tc>
        <w:tc>
          <w:tcPr>
            <w:tcW w:w="1016" w:type="dxa"/>
            <w:vAlign w:val="center"/>
            <w:hideMark/>
          </w:tcPr>
          <w:p w:rsidR="006F5124" w:rsidRPr="00F80CD4" w:rsidRDefault="006F5124" w:rsidP="004D5C99">
            <w:pPr>
              <w:contextualSpacing/>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3,208,100</w:t>
            </w:r>
          </w:p>
        </w:tc>
        <w:tc>
          <w:tcPr>
            <w:tcW w:w="1250" w:type="dxa"/>
            <w:vAlign w:val="center"/>
            <w:hideMark/>
          </w:tcPr>
          <w:p w:rsidR="006F5124" w:rsidRPr="004D5C99" w:rsidRDefault="006F5124" w:rsidP="004D5C99">
            <w:pPr>
              <w:contextualSpacing/>
              <w:jc w:val="center"/>
              <w:cnfStyle w:val="000000010000"/>
              <w:rPr>
                <w:rFonts w:ascii="Times New Roman" w:eastAsia="Times New Roman" w:hAnsi="Times New Roman" w:cs="Times New Roman"/>
                <w:i/>
                <w:sz w:val="20"/>
                <w:szCs w:val="20"/>
              </w:rPr>
            </w:pPr>
            <w:r w:rsidRPr="004D5C99">
              <w:rPr>
                <w:rFonts w:ascii="Times New Roman" w:eastAsia="Times New Roman" w:hAnsi="Times New Roman" w:cs="Times New Roman"/>
                <w:i/>
                <w:sz w:val="20"/>
                <w:szCs w:val="20"/>
              </w:rPr>
              <w:t>99.71</w:t>
            </w:r>
          </w:p>
        </w:tc>
        <w:tc>
          <w:tcPr>
            <w:tcW w:w="1116" w:type="dxa"/>
            <w:vAlign w:val="center"/>
            <w:hideMark/>
          </w:tcPr>
          <w:p w:rsidR="006F5124" w:rsidRPr="00F80CD4" w:rsidRDefault="006F5124" w:rsidP="004D5C99">
            <w:pPr>
              <w:contextualSpacing/>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2,759,045</w:t>
            </w:r>
          </w:p>
        </w:tc>
        <w:tc>
          <w:tcPr>
            <w:tcW w:w="1250" w:type="dxa"/>
            <w:vAlign w:val="center"/>
            <w:hideMark/>
          </w:tcPr>
          <w:p w:rsidR="006F5124" w:rsidRPr="004D5C99" w:rsidRDefault="006F5124" w:rsidP="004D5C99">
            <w:pPr>
              <w:contextualSpacing/>
              <w:jc w:val="center"/>
              <w:cnfStyle w:val="000000010000"/>
              <w:rPr>
                <w:rFonts w:ascii="Times New Roman" w:eastAsia="Times New Roman" w:hAnsi="Times New Roman" w:cs="Times New Roman"/>
                <w:i/>
                <w:sz w:val="20"/>
                <w:szCs w:val="20"/>
              </w:rPr>
            </w:pPr>
            <w:r w:rsidRPr="004D5C99">
              <w:rPr>
                <w:rFonts w:ascii="Times New Roman" w:eastAsia="Times New Roman" w:hAnsi="Times New Roman" w:cs="Times New Roman"/>
                <w:i/>
                <w:sz w:val="20"/>
                <w:szCs w:val="20"/>
              </w:rPr>
              <w:t>99.96</w:t>
            </w:r>
          </w:p>
        </w:tc>
      </w:tr>
      <w:tr w:rsidR="006F5124" w:rsidRPr="00F80CD4" w:rsidTr="004D5C99">
        <w:trPr>
          <w:cnfStyle w:val="000000100000"/>
          <w:trHeight w:val="315"/>
          <w:jc w:val="center"/>
        </w:trPr>
        <w:tc>
          <w:tcPr>
            <w:cnfStyle w:val="001000000000"/>
            <w:tcW w:w="2362" w:type="dxa"/>
            <w:hideMark/>
          </w:tcPr>
          <w:p w:rsidR="006F5124" w:rsidRPr="00BC69AA" w:rsidRDefault="006F5124" w:rsidP="006F5124">
            <w:pPr>
              <w:contextualSpacing/>
              <w:rPr>
                <w:rFonts w:ascii="Times New Roman" w:eastAsia="Times New Roman" w:hAnsi="Times New Roman" w:cs="Times New Roman"/>
                <w:b w:val="0"/>
                <w:sz w:val="20"/>
                <w:szCs w:val="20"/>
              </w:rPr>
            </w:pPr>
            <w:r w:rsidRPr="00BC69AA">
              <w:rPr>
                <w:rFonts w:ascii="Times New Roman" w:eastAsia="Times New Roman" w:hAnsi="Times New Roman" w:cs="Times New Roman"/>
                <w:b w:val="0"/>
                <w:sz w:val="20"/>
                <w:szCs w:val="20"/>
              </w:rPr>
              <w:t>- Kitas turtas</w:t>
            </w:r>
          </w:p>
        </w:tc>
        <w:tc>
          <w:tcPr>
            <w:tcW w:w="1016" w:type="dxa"/>
            <w:vAlign w:val="center"/>
            <w:hideMark/>
          </w:tcPr>
          <w:p w:rsidR="006F5124" w:rsidRPr="00F80CD4" w:rsidRDefault="006F5124" w:rsidP="004D5C99">
            <w:pPr>
              <w:contextualSpacing/>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0</w:t>
            </w:r>
          </w:p>
        </w:tc>
        <w:tc>
          <w:tcPr>
            <w:tcW w:w="1250" w:type="dxa"/>
            <w:vAlign w:val="center"/>
            <w:hideMark/>
          </w:tcPr>
          <w:p w:rsidR="006F5124" w:rsidRPr="004D5C99" w:rsidRDefault="006F5124" w:rsidP="004D5C99">
            <w:pPr>
              <w:contextualSpacing/>
              <w:jc w:val="center"/>
              <w:cnfStyle w:val="000000100000"/>
              <w:rPr>
                <w:rFonts w:ascii="Times New Roman" w:eastAsia="Times New Roman" w:hAnsi="Times New Roman" w:cs="Times New Roman"/>
                <w:i/>
                <w:sz w:val="20"/>
                <w:szCs w:val="20"/>
              </w:rPr>
            </w:pPr>
            <w:r w:rsidRPr="004D5C99">
              <w:rPr>
                <w:rFonts w:ascii="Times New Roman" w:eastAsia="Times New Roman" w:hAnsi="Times New Roman" w:cs="Times New Roman"/>
                <w:i/>
                <w:sz w:val="20"/>
                <w:szCs w:val="20"/>
              </w:rPr>
              <w:t>0.00</w:t>
            </w:r>
          </w:p>
        </w:tc>
        <w:tc>
          <w:tcPr>
            <w:tcW w:w="1016" w:type="dxa"/>
            <w:vAlign w:val="center"/>
            <w:hideMark/>
          </w:tcPr>
          <w:p w:rsidR="006F5124" w:rsidRPr="00F80CD4" w:rsidRDefault="006F5124" w:rsidP="004D5C99">
            <w:pPr>
              <w:contextualSpacing/>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7,943</w:t>
            </w:r>
          </w:p>
        </w:tc>
        <w:tc>
          <w:tcPr>
            <w:tcW w:w="1250" w:type="dxa"/>
            <w:vAlign w:val="center"/>
            <w:hideMark/>
          </w:tcPr>
          <w:p w:rsidR="006F5124" w:rsidRPr="004D5C99" w:rsidRDefault="006F5124" w:rsidP="004D5C99">
            <w:pPr>
              <w:contextualSpacing/>
              <w:jc w:val="center"/>
              <w:cnfStyle w:val="000000100000"/>
              <w:rPr>
                <w:rFonts w:ascii="Times New Roman" w:eastAsia="Times New Roman" w:hAnsi="Times New Roman" w:cs="Times New Roman"/>
                <w:i/>
                <w:sz w:val="20"/>
                <w:szCs w:val="20"/>
              </w:rPr>
            </w:pPr>
            <w:r w:rsidRPr="004D5C99">
              <w:rPr>
                <w:rFonts w:ascii="Times New Roman" w:eastAsia="Times New Roman" w:hAnsi="Times New Roman" w:cs="Times New Roman"/>
                <w:i/>
                <w:sz w:val="20"/>
                <w:szCs w:val="20"/>
              </w:rPr>
              <w:t>0.25</w:t>
            </w:r>
          </w:p>
        </w:tc>
        <w:tc>
          <w:tcPr>
            <w:tcW w:w="1116" w:type="dxa"/>
            <w:vAlign w:val="center"/>
            <w:hideMark/>
          </w:tcPr>
          <w:p w:rsidR="006F5124" w:rsidRPr="00F80CD4" w:rsidRDefault="006F5124" w:rsidP="004D5C99">
            <w:pPr>
              <w:contextualSpacing/>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0</w:t>
            </w:r>
          </w:p>
        </w:tc>
        <w:tc>
          <w:tcPr>
            <w:tcW w:w="1250" w:type="dxa"/>
            <w:vAlign w:val="center"/>
            <w:hideMark/>
          </w:tcPr>
          <w:p w:rsidR="006F5124" w:rsidRPr="004D5C99" w:rsidRDefault="006F5124" w:rsidP="004D5C99">
            <w:pPr>
              <w:contextualSpacing/>
              <w:jc w:val="center"/>
              <w:cnfStyle w:val="000000100000"/>
              <w:rPr>
                <w:rFonts w:ascii="Times New Roman" w:eastAsia="Times New Roman" w:hAnsi="Times New Roman" w:cs="Times New Roman"/>
                <w:i/>
                <w:sz w:val="20"/>
                <w:szCs w:val="20"/>
              </w:rPr>
            </w:pPr>
            <w:r w:rsidRPr="004D5C99">
              <w:rPr>
                <w:rFonts w:ascii="Times New Roman" w:eastAsia="Times New Roman" w:hAnsi="Times New Roman" w:cs="Times New Roman"/>
                <w:i/>
                <w:sz w:val="20"/>
                <w:szCs w:val="20"/>
              </w:rPr>
              <w:t>0.00</w:t>
            </w:r>
          </w:p>
        </w:tc>
      </w:tr>
      <w:tr w:rsidR="006F5124" w:rsidRPr="00F80CD4" w:rsidTr="004D5C99">
        <w:trPr>
          <w:cnfStyle w:val="000000010000"/>
          <w:trHeight w:val="315"/>
          <w:jc w:val="center"/>
        </w:trPr>
        <w:tc>
          <w:tcPr>
            <w:cnfStyle w:val="001000000000"/>
            <w:tcW w:w="2362" w:type="dxa"/>
            <w:hideMark/>
          </w:tcPr>
          <w:p w:rsidR="006F5124" w:rsidRPr="00BC69AA" w:rsidRDefault="006F5124" w:rsidP="006F5124">
            <w:pPr>
              <w:contextualSpacing/>
              <w:rPr>
                <w:rFonts w:ascii="Times New Roman" w:eastAsia="Times New Roman" w:hAnsi="Times New Roman" w:cs="Times New Roman"/>
                <w:b w:val="0"/>
                <w:sz w:val="20"/>
                <w:szCs w:val="20"/>
              </w:rPr>
            </w:pPr>
            <w:r w:rsidRPr="00BC69AA">
              <w:rPr>
                <w:rFonts w:ascii="Times New Roman" w:eastAsia="Times New Roman" w:hAnsi="Times New Roman" w:cs="Times New Roman"/>
                <w:b w:val="0"/>
                <w:sz w:val="20"/>
                <w:szCs w:val="20"/>
              </w:rPr>
              <w:t>Trumpalaikis turtas</w:t>
            </w:r>
          </w:p>
        </w:tc>
        <w:tc>
          <w:tcPr>
            <w:tcW w:w="1016" w:type="dxa"/>
            <w:vAlign w:val="center"/>
            <w:hideMark/>
          </w:tcPr>
          <w:p w:rsidR="006F5124" w:rsidRPr="00F80CD4" w:rsidRDefault="006F5124" w:rsidP="004D5C99">
            <w:pPr>
              <w:contextualSpacing/>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1,066,606</w:t>
            </w:r>
          </w:p>
        </w:tc>
        <w:tc>
          <w:tcPr>
            <w:tcW w:w="1250" w:type="dxa"/>
            <w:vAlign w:val="center"/>
            <w:hideMark/>
          </w:tcPr>
          <w:p w:rsidR="006F5124" w:rsidRPr="004D5C99" w:rsidRDefault="006F5124" w:rsidP="004D5C99">
            <w:pPr>
              <w:contextualSpacing/>
              <w:jc w:val="center"/>
              <w:cnfStyle w:val="000000010000"/>
              <w:rPr>
                <w:rFonts w:ascii="Times New Roman" w:eastAsia="Times New Roman" w:hAnsi="Times New Roman" w:cs="Times New Roman"/>
                <w:i/>
                <w:sz w:val="20"/>
                <w:szCs w:val="20"/>
              </w:rPr>
            </w:pPr>
            <w:r w:rsidRPr="004D5C99">
              <w:rPr>
                <w:rFonts w:ascii="Times New Roman" w:eastAsia="Times New Roman" w:hAnsi="Times New Roman" w:cs="Times New Roman"/>
                <w:i/>
                <w:sz w:val="20"/>
                <w:szCs w:val="20"/>
              </w:rPr>
              <w:t>34.42</w:t>
            </w:r>
          </w:p>
        </w:tc>
        <w:tc>
          <w:tcPr>
            <w:tcW w:w="1016" w:type="dxa"/>
            <w:vAlign w:val="center"/>
            <w:hideMark/>
          </w:tcPr>
          <w:p w:rsidR="006F5124" w:rsidRPr="00F80CD4" w:rsidRDefault="006F5124" w:rsidP="004D5C99">
            <w:pPr>
              <w:contextualSpacing/>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1,095,642</w:t>
            </w:r>
          </w:p>
        </w:tc>
        <w:tc>
          <w:tcPr>
            <w:tcW w:w="1250" w:type="dxa"/>
            <w:vAlign w:val="center"/>
            <w:hideMark/>
          </w:tcPr>
          <w:p w:rsidR="006F5124" w:rsidRPr="004D5C99" w:rsidRDefault="006F5124" w:rsidP="004D5C99">
            <w:pPr>
              <w:contextualSpacing/>
              <w:jc w:val="center"/>
              <w:cnfStyle w:val="000000010000"/>
              <w:rPr>
                <w:rFonts w:ascii="Times New Roman" w:eastAsia="Times New Roman" w:hAnsi="Times New Roman" w:cs="Times New Roman"/>
                <w:i/>
                <w:sz w:val="20"/>
                <w:szCs w:val="20"/>
              </w:rPr>
            </w:pPr>
            <w:r w:rsidRPr="004D5C99">
              <w:rPr>
                <w:rFonts w:ascii="Times New Roman" w:eastAsia="Times New Roman" w:hAnsi="Times New Roman" w:cs="Times New Roman"/>
                <w:i/>
                <w:sz w:val="20"/>
                <w:szCs w:val="20"/>
              </w:rPr>
              <w:t>25.40</w:t>
            </w:r>
          </w:p>
        </w:tc>
        <w:tc>
          <w:tcPr>
            <w:tcW w:w="1116" w:type="dxa"/>
            <w:vAlign w:val="center"/>
            <w:hideMark/>
          </w:tcPr>
          <w:p w:rsidR="006F5124" w:rsidRPr="00F80CD4" w:rsidRDefault="006F5124" w:rsidP="004D5C99">
            <w:pPr>
              <w:contextualSpacing/>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1,169,738</w:t>
            </w:r>
          </w:p>
        </w:tc>
        <w:tc>
          <w:tcPr>
            <w:tcW w:w="1250" w:type="dxa"/>
            <w:vAlign w:val="center"/>
            <w:hideMark/>
          </w:tcPr>
          <w:p w:rsidR="006F5124" w:rsidRPr="004D5C99" w:rsidRDefault="006F5124" w:rsidP="004D5C99">
            <w:pPr>
              <w:contextualSpacing/>
              <w:jc w:val="center"/>
              <w:cnfStyle w:val="000000010000"/>
              <w:rPr>
                <w:rFonts w:ascii="Times New Roman" w:eastAsia="Times New Roman" w:hAnsi="Times New Roman" w:cs="Times New Roman"/>
                <w:i/>
                <w:sz w:val="20"/>
                <w:szCs w:val="20"/>
              </w:rPr>
            </w:pPr>
            <w:r w:rsidRPr="004D5C99">
              <w:rPr>
                <w:rFonts w:ascii="Times New Roman" w:eastAsia="Times New Roman" w:hAnsi="Times New Roman" w:cs="Times New Roman"/>
                <w:i/>
                <w:sz w:val="20"/>
                <w:szCs w:val="20"/>
              </w:rPr>
              <w:t>29.77</w:t>
            </w:r>
          </w:p>
        </w:tc>
      </w:tr>
      <w:tr w:rsidR="006F5124" w:rsidRPr="00F80CD4" w:rsidTr="004D5C99">
        <w:trPr>
          <w:cnfStyle w:val="000000100000"/>
          <w:trHeight w:val="315"/>
          <w:jc w:val="center"/>
        </w:trPr>
        <w:tc>
          <w:tcPr>
            <w:cnfStyle w:val="001000000000"/>
            <w:tcW w:w="2362" w:type="dxa"/>
            <w:hideMark/>
          </w:tcPr>
          <w:p w:rsidR="006F5124" w:rsidRPr="00BC69AA" w:rsidRDefault="006F5124" w:rsidP="006F5124">
            <w:pPr>
              <w:contextualSpacing/>
              <w:rPr>
                <w:rFonts w:ascii="Times New Roman" w:eastAsia="Times New Roman" w:hAnsi="Times New Roman" w:cs="Times New Roman"/>
                <w:b w:val="0"/>
                <w:sz w:val="20"/>
                <w:szCs w:val="20"/>
              </w:rPr>
            </w:pPr>
            <w:r w:rsidRPr="00BC69AA">
              <w:rPr>
                <w:rFonts w:ascii="Times New Roman" w:eastAsia="Times New Roman" w:hAnsi="Times New Roman" w:cs="Times New Roman"/>
                <w:b w:val="0"/>
                <w:sz w:val="20"/>
                <w:szCs w:val="20"/>
              </w:rPr>
              <w:t>- Atsargos</w:t>
            </w:r>
          </w:p>
        </w:tc>
        <w:tc>
          <w:tcPr>
            <w:tcW w:w="1016" w:type="dxa"/>
            <w:vAlign w:val="center"/>
            <w:hideMark/>
          </w:tcPr>
          <w:p w:rsidR="006F5124" w:rsidRPr="00F80CD4" w:rsidRDefault="006F5124" w:rsidP="004D5C99">
            <w:pPr>
              <w:contextualSpacing/>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329,155</w:t>
            </w:r>
          </w:p>
        </w:tc>
        <w:tc>
          <w:tcPr>
            <w:tcW w:w="1250" w:type="dxa"/>
            <w:vAlign w:val="center"/>
            <w:hideMark/>
          </w:tcPr>
          <w:p w:rsidR="006F5124" w:rsidRPr="004D5C99" w:rsidRDefault="006F5124" w:rsidP="004D5C99">
            <w:pPr>
              <w:contextualSpacing/>
              <w:jc w:val="center"/>
              <w:cnfStyle w:val="000000100000"/>
              <w:rPr>
                <w:rFonts w:ascii="Times New Roman" w:eastAsia="Times New Roman" w:hAnsi="Times New Roman" w:cs="Times New Roman"/>
                <w:i/>
                <w:sz w:val="20"/>
                <w:szCs w:val="20"/>
              </w:rPr>
            </w:pPr>
            <w:r w:rsidRPr="004D5C99">
              <w:rPr>
                <w:rFonts w:ascii="Times New Roman" w:eastAsia="Times New Roman" w:hAnsi="Times New Roman" w:cs="Times New Roman"/>
                <w:i/>
                <w:sz w:val="20"/>
                <w:szCs w:val="20"/>
              </w:rPr>
              <w:t>30.86</w:t>
            </w:r>
          </w:p>
        </w:tc>
        <w:tc>
          <w:tcPr>
            <w:tcW w:w="1016" w:type="dxa"/>
            <w:vAlign w:val="center"/>
            <w:hideMark/>
          </w:tcPr>
          <w:p w:rsidR="006F5124" w:rsidRPr="00F80CD4" w:rsidRDefault="006F5124" w:rsidP="004D5C99">
            <w:pPr>
              <w:contextualSpacing/>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314,694</w:t>
            </w:r>
          </w:p>
        </w:tc>
        <w:tc>
          <w:tcPr>
            <w:tcW w:w="1250" w:type="dxa"/>
            <w:vAlign w:val="center"/>
            <w:hideMark/>
          </w:tcPr>
          <w:p w:rsidR="006F5124" w:rsidRPr="004D5C99" w:rsidRDefault="006F5124" w:rsidP="004D5C99">
            <w:pPr>
              <w:contextualSpacing/>
              <w:jc w:val="center"/>
              <w:cnfStyle w:val="000000100000"/>
              <w:rPr>
                <w:rFonts w:ascii="Times New Roman" w:eastAsia="Times New Roman" w:hAnsi="Times New Roman" w:cs="Times New Roman"/>
                <w:i/>
                <w:sz w:val="20"/>
                <w:szCs w:val="20"/>
              </w:rPr>
            </w:pPr>
            <w:r w:rsidRPr="004D5C99">
              <w:rPr>
                <w:rFonts w:ascii="Times New Roman" w:eastAsia="Times New Roman" w:hAnsi="Times New Roman" w:cs="Times New Roman"/>
                <w:i/>
                <w:sz w:val="20"/>
                <w:szCs w:val="20"/>
              </w:rPr>
              <w:t>28.72</w:t>
            </w:r>
          </w:p>
        </w:tc>
        <w:tc>
          <w:tcPr>
            <w:tcW w:w="1116" w:type="dxa"/>
            <w:vAlign w:val="center"/>
            <w:hideMark/>
          </w:tcPr>
          <w:p w:rsidR="006F5124" w:rsidRPr="00F80CD4" w:rsidRDefault="006F5124" w:rsidP="004D5C99">
            <w:pPr>
              <w:contextualSpacing/>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299,146</w:t>
            </w:r>
          </w:p>
        </w:tc>
        <w:tc>
          <w:tcPr>
            <w:tcW w:w="1250" w:type="dxa"/>
            <w:vAlign w:val="center"/>
            <w:hideMark/>
          </w:tcPr>
          <w:p w:rsidR="006F5124" w:rsidRPr="004D5C99" w:rsidRDefault="006F5124" w:rsidP="004D5C99">
            <w:pPr>
              <w:contextualSpacing/>
              <w:jc w:val="center"/>
              <w:cnfStyle w:val="000000100000"/>
              <w:rPr>
                <w:rFonts w:ascii="Times New Roman" w:eastAsia="Times New Roman" w:hAnsi="Times New Roman" w:cs="Times New Roman"/>
                <w:i/>
                <w:sz w:val="20"/>
                <w:szCs w:val="20"/>
              </w:rPr>
            </w:pPr>
            <w:r w:rsidRPr="004D5C99">
              <w:rPr>
                <w:rFonts w:ascii="Times New Roman" w:eastAsia="Times New Roman" w:hAnsi="Times New Roman" w:cs="Times New Roman"/>
                <w:i/>
                <w:sz w:val="20"/>
                <w:szCs w:val="20"/>
              </w:rPr>
              <w:t>25.57</w:t>
            </w:r>
          </w:p>
        </w:tc>
      </w:tr>
      <w:tr w:rsidR="006F5124" w:rsidRPr="00F80CD4" w:rsidTr="004D5C99">
        <w:trPr>
          <w:cnfStyle w:val="000000010000"/>
          <w:trHeight w:val="510"/>
          <w:jc w:val="center"/>
        </w:trPr>
        <w:tc>
          <w:tcPr>
            <w:cnfStyle w:val="001000000000"/>
            <w:tcW w:w="2362" w:type="dxa"/>
            <w:hideMark/>
          </w:tcPr>
          <w:p w:rsidR="006F5124" w:rsidRPr="00BC69AA" w:rsidRDefault="006F5124" w:rsidP="006F5124">
            <w:pPr>
              <w:contextualSpacing/>
              <w:rPr>
                <w:rFonts w:ascii="Times New Roman" w:eastAsia="Times New Roman" w:hAnsi="Times New Roman" w:cs="Times New Roman"/>
                <w:b w:val="0"/>
                <w:sz w:val="20"/>
                <w:szCs w:val="20"/>
              </w:rPr>
            </w:pPr>
            <w:r w:rsidRPr="00BC69AA">
              <w:rPr>
                <w:rFonts w:ascii="Times New Roman" w:eastAsia="Times New Roman" w:hAnsi="Times New Roman" w:cs="Times New Roman"/>
                <w:b w:val="0"/>
                <w:sz w:val="20"/>
                <w:szCs w:val="20"/>
              </w:rPr>
              <w:t>- Per vienerius metus gautinos sumos</w:t>
            </w:r>
          </w:p>
        </w:tc>
        <w:tc>
          <w:tcPr>
            <w:tcW w:w="1016" w:type="dxa"/>
            <w:vAlign w:val="center"/>
            <w:hideMark/>
          </w:tcPr>
          <w:p w:rsidR="006F5124" w:rsidRPr="00F80CD4" w:rsidRDefault="006F5124" w:rsidP="004D5C99">
            <w:pPr>
              <w:contextualSpacing/>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503,220</w:t>
            </w:r>
          </w:p>
        </w:tc>
        <w:tc>
          <w:tcPr>
            <w:tcW w:w="1250" w:type="dxa"/>
            <w:vAlign w:val="center"/>
            <w:hideMark/>
          </w:tcPr>
          <w:p w:rsidR="006F5124" w:rsidRPr="004D5C99" w:rsidRDefault="006F5124" w:rsidP="004D5C99">
            <w:pPr>
              <w:contextualSpacing/>
              <w:jc w:val="center"/>
              <w:cnfStyle w:val="000000010000"/>
              <w:rPr>
                <w:rFonts w:ascii="Times New Roman" w:eastAsia="Times New Roman" w:hAnsi="Times New Roman" w:cs="Times New Roman"/>
                <w:i/>
                <w:sz w:val="20"/>
                <w:szCs w:val="20"/>
              </w:rPr>
            </w:pPr>
            <w:r w:rsidRPr="004D5C99">
              <w:rPr>
                <w:rFonts w:ascii="Times New Roman" w:eastAsia="Times New Roman" w:hAnsi="Times New Roman" w:cs="Times New Roman"/>
                <w:i/>
                <w:sz w:val="20"/>
                <w:szCs w:val="20"/>
              </w:rPr>
              <w:t>47.18</w:t>
            </w:r>
          </w:p>
        </w:tc>
        <w:tc>
          <w:tcPr>
            <w:tcW w:w="1016" w:type="dxa"/>
            <w:vAlign w:val="center"/>
            <w:hideMark/>
          </w:tcPr>
          <w:p w:rsidR="006F5124" w:rsidRPr="00F80CD4" w:rsidRDefault="006F5124" w:rsidP="004D5C99">
            <w:pPr>
              <w:contextualSpacing/>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569,066</w:t>
            </w:r>
          </w:p>
        </w:tc>
        <w:tc>
          <w:tcPr>
            <w:tcW w:w="1250" w:type="dxa"/>
            <w:vAlign w:val="center"/>
            <w:hideMark/>
          </w:tcPr>
          <w:p w:rsidR="006F5124" w:rsidRPr="004D5C99" w:rsidRDefault="006F5124" w:rsidP="004D5C99">
            <w:pPr>
              <w:contextualSpacing/>
              <w:jc w:val="center"/>
              <w:cnfStyle w:val="000000010000"/>
              <w:rPr>
                <w:rFonts w:ascii="Times New Roman" w:eastAsia="Times New Roman" w:hAnsi="Times New Roman" w:cs="Times New Roman"/>
                <w:i/>
                <w:sz w:val="20"/>
                <w:szCs w:val="20"/>
              </w:rPr>
            </w:pPr>
            <w:r w:rsidRPr="004D5C99">
              <w:rPr>
                <w:rFonts w:ascii="Times New Roman" w:eastAsia="Times New Roman" w:hAnsi="Times New Roman" w:cs="Times New Roman"/>
                <w:i/>
                <w:sz w:val="20"/>
                <w:szCs w:val="20"/>
              </w:rPr>
              <w:t>51.94</w:t>
            </w:r>
          </w:p>
        </w:tc>
        <w:tc>
          <w:tcPr>
            <w:tcW w:w="1116" w:type="dxa"/>
            <w:vAlign w:val="center"/>
            <w:hideMark/>
          </w:tcPr>
          <w:p w:rsidR="006F5124" w:rsidRPr="00F80CD4" w:rsidRDefault="006F5124" w:rsidP="004D5C99">
            <w:pPr>
              <w:contextualSpacing/>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771,085</w:t>
            </w:r>
          </w:p>
        </w:tc>
        <w:tc>
          <w:tcPr>
            <w:tcW w:w="1250" w:type="dxa"/>
            <w:vAlign w:val="center"/>
            <w:hideMark/>
          </w:tcPr>
          <w:p w:rsidR="006F5124" w:rsidRPr="004D5C99" w:rsidRDefault="006F5124" w:rsidP="004D5C99">
            <w:pPr>
              <w:contextualSpacing/>
              <w:jc w:val="center"/>
              <w:cnfStyle w:val="000000010000"/>
              <w:rPr>
                <w:rFonts w:ascii="Times New Roman" w:eastAsia="Times New Roman" w:hAnsi="Times New Roman" w:cs="Times New Roman"/>
                <w:i/>
                <w:sz w:val="20"/>
                <w:szCs w:val="20"/>
              </w:rPr>
            </w:pPr>
            <w:r w:rsidRPr="004D5C99">
              <w:rPr>
                <w:rFonts w:ascii="Times New Roman" w:eastAsia="Times New Roman" w:hAnsi="Times New Roman" w:cs="Times New Roman"/>
                <w:i/>
                <w:sz w:val="20"/>
                <w:szCs w:val="20"/>
              </w:rPr>
              <w:t>65.92</w:t>
            </w:r>
          </w:p>
        </w:tc>
      </w:tr>
      <w:tr w:rsidR="006F5124" w:rsidRPr="00F80CD4" w:rsidTr="004D5C99">
        <w:trPr>
          <w:cnfStyle w:val="000000100000"/>
          <w:trHeight w:val="300"/>
          <w:jc w:val="center"/>
        </w:trPr>
        <w:tc>
          <w:tcPr>
            <w:cnfStyle w:val="001000000000"/>
            <w:tcW w:w="2362" w:type="dxa"/>
            <w:hideMark/>
          </w:tcPr>
          <w:p w:rsidR="006F5124" w:rsidRPr="00BC69AA" w:rsidRDefault="006F5124" w:rsidP="006F5124">
            <w:pPr>
              <w:contextualSpacing/>
              <w:rPr>
                <w:rFonts w:ascii="Times New Roman" w:eastAsia="Times New Roman" w:hAnsi="Times New Roman" w:cs="Times New Roman"/>
                <w:b w:val="0"/>
                <w:sz w:val="20"/>
                <w:szCs w:val="20"/>
              </w:rPr>
            </w:pPr>
            <w:r w:rsidRPr="00BC69AA">
              <w:rPr>
                <w:rFonts w:ascii="Times New Roman" w:eastAsia="Times New Roman" w:hAnsi="Times New Roman" w:cs="Times New Roman"/>
                <w:b w:val="0"/>
                <w:sz w:val="20"/>
                <w:szCs w:val="20"/>
              </w:rPr>
              <w:t>- Kitas trumpalaikis turtas</w:t>
            </w:r>
          </w:p>
        </w:tc>
        <w:tc>
          <w:tcPr>
            <w:tcW w:w="1016" w:type="dxa"/>
            <w:vAlign w:val="center"/>
            <w:hideMark/>
          </w:tcPr>
          <w:p w:rsidR="006F5124" w:rsidRPr="00F80CD4" w:rsidRDefault="006F5124" w:rsidP="004D5C99">
            <w:pPr>
              <w:contextualSpacing/>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234,232</w:t>
            </w:r>
          </w:p>
        </w:tc>
        <w:tc>
          <w:tcPr>
            <w:tcW w:w="1250" w:type="dxa"/>
            <w:vAlign w:val="center"/>
            <w:hideMark/>
          </w:tcPr>
          <w:p w:rsidR="006F5124" w:rsidRPr="004D5C99" w:rsidRDefault="006F5124" w:rsidP="004D5C99">
            <w:pPr>
              <w:contextualSpacing/>
              <w:jc w:val="center"/>
              <w:cnfStyle w:val="000000100000"/>
              <w:rPr>
                <w:rFonts w:ascii="Times New Roman" w:eastAsia="Times New Roman" w:hAnsi="Times New Roman" w:cs="Times New Roman"/>
                <w:i/>
                <w:sz w:val="20"/>
                <w:szCs w:val="20"/>
              </w:rPr>
            </w:pPr>
            <w:r w:rsidRPr="004D5C99">
              <w:rPr>
                <w:rFonts w:ascii="Times New Roman" w:eastAsia="Times New Roman" w:hAnsi="Times New Roman" w:cs="Times New Roman"/>
                <w:i/>
                <w:sz w:val="20"/>
                <w:szCs w:val="20"/>
              </w:rPr>
              <w:t>21.96</w:t>
            </w:r>
          </w:p>
        </w:tc>
        <w:tc>
          <w:tcPr>
            <w:tcW w:w="1016" w:type="dxa"/>
            <w:vAlign w:val="center"/>
            <w:hideMark/>
          </w:tcPr>
          <w:p w:rsidR="006F5124" w:rsidRPr="00F80CD4" w:rsidRDefault="006F5124" w:rsidP="004D5C99">
            <w:pPr>
              <w:contextualSpacing/>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211,882</w:t>
            </w:r>
          </w:p>
        </w:tc>
        <w:tc>
          <w:tcPr>
            <w:tcW w:w="1250" w:type="dxa"/>
            <w:vAlign w:val="center"/>
            <w:hideMark/>
          </w:tcPr>
          <w:p w:rsidR="006F5124" w:rsidRPr="004D5C99" w:rsidRDefault="006F5124" w:rsidP="004D5C99">
            <w:pPr>
              <w:contextualSpacing/>
              <w:jc w:val="center"/>
              <w:cnfStyle w:val="000000100000"/>
              <w:rPr>
                <w:rFonts w:ascii="Times New Roman" w:eastAsia="Times New Roman" w:hAnsi="Times New Roman" w:cs="Times New Roman"/>
                <w:i/>
                <w:sz w:val="20"/>
                <w:szCs w:val="20"/>
              </w:rPr>
            </w:pPr>
            <w:r w:rsidRPr="004D5C99">
              <w:rPr>
                <w:rFonts w:ascii="Times New Roman" w:eastAsia="Times New Roman" w:hAnsi="Times New Roman" w:cs="Times New Roman"/>
                <w:i/>
                <w:sz w:val="20"/>
                <w:szCs w:val="20"/>
              </w:rPr>
              <w:t>19.34</w:t>
            </w:r>
          </w:p>
        </w:tc>
        <w:tc>
          <w:tcPr>
            <w:tcW w:w="1116" w:type="dxa"/>
            <w:vAlign w:val="center"/>
            <w:hideMark/>
          </w:tcPr>
          <w:p w:rsidR="006F5124" w:rsidRPr="00F80CD4" w:rsidRDefault="006F5124" w:rsidP="004D5C99">
            <w:pPr>
              <w:contextualSpacing/>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99,507</w:t>
            </w:r>
          </w:p>
        </w:tc>
        <w:tc>
          <w:tcPr>
            <w:tcW w:w="1250" w:type="dxa"/>
            <w:vAlign w:val="center"/>
            <w:hideMark/>
          </w:tcPr>
          <w:p w:rsidR="006F5124" w:rsidRPr="004D5C99" w:rsidRDefault="006F5124" w:rsidP="004D5C99">
            <w:pPr>
              <w:contextualSpacing/>
              <w:jc w:val="center"/>
              <w:cnfStyle w:val="000000100000"/>
              <w:rPr>
                <w:rFonts w:ascii="Times New Roman" w:eastAsia="Times New Roman" w:hAnsi="Times New Roman" w:cs="Times New Roman"/>
                <w:i/>
                <w:sz w:val="20"/>
                <w:szCs w:val="20"/>
              </w:rPr>
            </w:pPr>
            <w:r w:rsidRPr="004D5C99">
              <w:rPr>
                <w:rFonts w:ascii="Times New Roman" w:eastAsia="Times New Roman" w:hAnsi="Times New Roman" w:cs="Times New Roman"/>
                <w:i/>
                <w:sz w:val="20"/>
                <w:szCs w:val="20"/>
              </w:rPr>
              <w:t>8.51</w:t>
            </w:r>
          </w:p>
        </w:tc>
      </w:tr>
      <w:tr w:rsidR="006F5124" w:rsidRPr="00F80CD4" w:rsidTr="004D5C99">
        <w:trPr>
          <w:cnfStyle w:val="000000010000"/>
          <w:trHeight w:val="300"/>
          <w:jc w:val="center"/>
        </w:trPr>
        <w:tc>
          <w:tcPr>
            <w:cnfStyle w:val="001000000000"/>
            <w:tcW w:w="2362" w:type="dxa"/>
            <w:hideMark/>
          </w:tcPr>
          <w:p w:rsidR="006F5124" w:rsidRPr="00BC69AA" w:rsidRDefault="006F5124" w:rsidP="006F5124">
            <w:pPr>
              <w:contextualSpacing/>
              <w:rPr>
                <w:rFonts w:ascii="Times New Roman" w:eastAsia="Times New Roman" w:hAnsi="Times New Roman" w:cs="Times New Roman"/>
                <w:b w:val="0"/>
                <w:sz w:val="20"/>
                <w:szCs w:val="20"/>
              </w:rPr>
            </w:pPr>
            <w:r w:rsidRPr="00BC69AA">
              <w:rPr>
                <w:rFonts w:ascii="Times New Roman" w:eastAsia="Times New Roman" w:hAnsi="Times New Roman" w:cs="Times New Roman"/>
                <w:b w:val="0"/>
                <w:sz w:val="20"/>
                <w:szCs w:val="20"/>
              </w:rPr>
              <w:t>* Pinigai ir jų ekvivalentai</w:t>
            </w:r>
          </w:p>
        </w:tc>
        <w:tc>
          <w:tcPr>
            <w:tcW w:w="1016" w:type="dxa"/>
            <w:vAlign w:val="center"/>
            <w:hideMark/>
          </w:tcPr>
          <w:p w:rsidR="006F5124" w:rsidRPr="00F80CD4" w:rsidRDefault="006F5124" w:rsidP="004D5C99">
            <w:pPr>
              <w:contextualSpacing/>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138,072</w:t>
            </w:r>
          </w:p>
        </w:tc>
        <w:tc>
          <w:tcPr>
            <w:tcW w:w="1250" w:type="dxa"/>
            <w:vAlign w:val="center"/>
            <w:hideMark/>
          </w:tcPr>
          <w:p w:rsidR="006F5124" w:rsidRPr="004D5C99" w:rsidRDefault="006F5124" w:rsidP="004D5C99">
            <w:pPr>
              <w:contextualSpacing/>
              <w:jc w:val="center"/>
              <w:cnfStyle w:val="000000010000"/>
              <w:rPr>
                <w:rFonts w:ascii="Times New Roman" w:eastAsia="Times New Roman" w:hAnsi="Times New Roman" w:cs="Times New Roman"/>
                <w:i/>
                <w:sz w:val="20"/>
                <w:szCs w:val="20"/>
              </w:rPr>
            </w:pPr>
            <w:r w:rsidRPr="004D5C99">
              <w:rPr>
                <w:rFonts w:ascii="Times New Roman" w:eastAsia="Times New Roman" w:hAnsi="Times New Roman" w:cs="Times New Roman"/>
                <w:i/>
                <w:sz w:val="20"/>
                <w:szCs w:val="20"/>
              </w:rPr>
              <w:t>58.95</w:t>
            </w:r>
          </w:p>
        </w:tc>
        <w:tc>
          <w:tcPr>
            <w:tcW w:w="1016" w:type="dxa"/>
            <w:vAlign w:val="center"/>
            <w:hideMark/>
          </w:tcPr>
          <w:p w:rsidR="006F5124" w:rsidRPr="00F80CD4" w:rsidRDefault="006F5124" w:rsidP="004D5C99">
            <w:pPr>
              <w:contextualSpacing/>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90,221</w:t>
            </w:r>
          </w:p>
        </w:tc>
        <w:tc>
          <w:tcPr>
            <w:tcW w:w="1250" w:type="dxa"/>
            <w:vAlign w:val="center"/>
            <w:hideMark/>
          </w:tcPr>
          <w:p w:rsidR="006F5124" w:rsidRPr="004D5C99" w:rsidRDefault="006F5124" w:rsidP="004D5C99">
            <w:pPr>
              <w:contextualSpacing/>
              <w:jc w:val="center"/>
              <w:cnfStyle w:val="000000010000"/>
              <w:rPr>
                <w:rFonts w:ascii="Times New Roman" w:eastAsia="Times New Roman" w:hAnsi="Times New Roman" w:cs="Times New Roman"/>
                <w:i/>
                <w:sz w:val="20"/>
                <w:szCs w:val="20"/>
              </w:rPr>
            </w:pPr>
            <w:r w:rsidRPr="004D5C99">
              <w:rPr>
                <w:rFonts w:ascii="Times New Roman" w:eastAsia="Times New Roman" w:hAnsi="Times New Roman" w:cs="Times New Roman"/>
                <w:i/>
                <w:sz w:val="20"/>
                <w:szCs w:val="20"/>
              </w:rPr>
              <w:t>42.58</w:t>
            </w:r>
          </w:p>
        </w:tc>
        <w:tc>
          <w:tcPr>
            <w:tcW w:w="1116" w:type="dxa"/>
            <w:vAlign w:val="center"/>
            <w:hideMark/>
          </w:tcPr>
          <w:p w:rsidR="006F5124" w:rsidRPr="00F80CD4" w:rsidRDefault="006F5124" w:rsidP="004D5C99">
            <w:pPr>
              <w:contextualSpacing/>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11,684</w:t>
            </w:r>
          </w:p>
        </w:tc>
        <w:tc>
          <w:tcPr>
            <w:tcW w:w="1250" w:type="dxa"/>
            <w:vAlign w:val="center"/>
            <w:hideMark/>
          </w:tcPr>
          <w:p w:rsidR="006F5124" w:rsidRPr="004D5C99" w:rsidRDefault="006F5124" w:rsidP="004D5C99">
            <w:pPr>
              <w:contextualSpacing/>
              <w:jc w:val="center"/>
              <w:cnfStyle w:val="000000010000"/>
              <w:rPr>
                <w:rFonts w:ascii="Times New Roman" w:eastAsia="Times New Roman" w:hAnsi="Times New Roman" w:cs="Times New Roman"/>
                <w:i/>
                <w:sz w:val="20"/>
                <w:szCs w:val="20"/>
              </w:rPr>
            </w:pPr>
            <w:r w:rsidRPr="004D5C99">
              <w:rPr>
                <w:rFonts w:ascii="Times New Roman" w:eastAsia="Times New Roman" w:hAnsi="Times New Roman" w:cs="Times New Roman"/>
                <w:i/>
                <w:sz w:val="20"/>
                <w:szCs w:val="20"/>
              </w:rPr>
              <w:t>11.74</w:t>
            </w:r>
          </w:p>
        </w:tc>
      </w:tr>
      <w:tr w:rsidR="006F5124" w:rsidRPr="00F80CD4" w:rsidTr="004D5C99">
        <w:trPr>
          <w:cnfStyle w:val="000000100000"/>
          <w:trHeight w:val="300"/>
          <w:jc w:val="center"/>
        </w:trPr>
        <w:tc>
          <w:tcPr>
            <w:cnfStyle w:val="001000000000"/>
            <w:tcW w:w="2362" w:type="dxa"/>
            <w:hideMark/>
          </w:tcPr>
          <w:p w:rsidR="006F5124" w:rsidRPr="00F80CD4" w:rsidRDefault="006F5124" w:rsidP="006F5124">
            <w:pPr>
              <w:contextualSpacing/>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TURTO IŠ VISO</w:t>
            </w:r>
          </w:p>
        </w:tc>
        <w:tc>
          <w:tcPr>
            <w:tcW w:w="1016" w:type="dxa"/>
            <w:vAlign w:val="center"/>
            <w:hideMark/>
          </w:tcPr>
          <w:p w:rsidR="006F5124" w:rsidRPr="003D0441" w:rsidRDefault="006F5124" w:rsidP="004D5C99">
            <w:pPr>
              <w:contextualSpacing/>
              <w:jc w:val="center"/>
              <w:cnfStyle w:val="000000100000"/>
              <w:rPr>
                <w:rFonts w:ascii="Times New Roman" w:eastAsia="Times New Roman" w:hAnsi="Times New Roman" w:cs="Times New Roman"/>
                <w:b/>
                <w:sz w:val="20"/>
                <w:szCs w:val="20"/>
              </w:rPr>
            </w:pPr>
            <w:r w:rsidRPr="003D0441">
              <w:rPr>
                <w:rFonts w:ascii="Times New Roman" w:eastAsia="Times New Roman" w:hAnsi="Times New Roman" w:cs="Times New Roman"/>
                <w:b/>
                <w:sz w:val="20"/>
                <w:szCs w:val="20"/>
              </w:rPr>
              <w:t>3,098,426</w:t>
            </w:r>
          </w:p>
        </w:tc>
        <w:tc>
          <w:tcPr>
            <w:tcW w:w="1250" w:type="dxa"/>
            <w:vAlign w:val="center"/>
            <w:hideMark/>
          </w:tcPr>
          <w:p w:rsidR="006F5124" w:rsidRPr="003D0441" w:rsidRDefault="006F5124" w:rsidP="004D5C99">
            <w:pPr>
              <w:contextualSpacing/>
              <w:jc w:val="center"/>
              <w:cnfStyle w:val="000000100000"/>
              <w:rPr>
                <w:rFonts w:ascii="Times New Roman" w:eastAsia="Times New Roman" w:hAnsi="Times New Roman" w:cs="Times New Roman"/>
                <w:b/>
                <w:sz w:val="20"/>
                <w:szCs w:val="20"/>
              </w:rPr>
            </w:pPr>
          </w:p>
        </w:tc>
        <w:tc>
          <w:tcPr>
            <w:tcW w:w="1016" w:type="dxa"/>
            <w:vAlign w:val="center"/>
            <w:hideMark/>
          </w:tcPr>
          <w:p w:rsidR="006F5124" w:rsidRPr="003D0441" w:rsidRDefault="006F5124" w:rsidP="004D5C99">
            <w:pPr>
              <w:contextualSpacing/>
              <w:jc w:val="center"/>
              <w:cnfStyle w:val="000000100000"/>
              <w:rPr>
                <w:rFonts w:ascii="Times New Roman" w:eastAsia="Times New Roman" w:hAnsi="Times New Roman" w:cs="Times New Roman"/>
                <w:b/>
                <w:sz w:val="20"/>
                <w:szCs w:val="20"/>
              </w:rPr>
            </w:pPr>
            <w:r w:rsidRPr="003D0441">
              <w:rPr>
                <w:rFonts w:ascii="Times New Roman" w:eastAsia="Times New Roman" w:hAnsi="Times New Roman" w:cs="Times New Roman"/>
                <w:b/>
                <w:sz w:val="20"/>
                <w:szCs w:val="20"/>
              </w:rPr>
              <w:t>4,313,061</w:t>
            </w:r>
          </w:p>
        </w:tc>
        <w:tc>
          <w:tcPr>
            <w:tcW w:w="1250" w:type="dxa"/>
            <w:vAlign w:val="center"/>
            <w:hideMark/>
          </w:tcPr>
          <w:p w:rsidR="006F5124" w:rsidRPr="003D0441" w:rsidRDefault="006F5124" w:rsidP="004D5C99">
            <w:pPr>
              <w:contextualSpacing/>
              <w:jc w:val="center"/>
              <w:cnfStyle w:val="000000100000"/>
              <w:rPr>
                <w:rFonts w:ascii="Times New Roman" w:eastAsia="Times New Roman" w:hAnsi="Times New Roman" w:cs="Times New Roman"/>
                <w:b/>
                <w:sz w:val="20"/>
                <w:szCs w:val="20"/>
              </w:rPr>
            </w:pPr>
          </w:p>
        </w:tc>
        <w:tc>
          <w:tcPr>
            <w:tcW w:w="1116" w:type="dxa"/>
            <w:vAlign w:val="center"/>
            <w:hideMark/>
          </w:tcPr>
          <w:p w:rsidR="006F5124" w:rsidRPr="003D0441" w:rsidRDefault="006F5124" w:rsidP="004D5C99">
            <w:pPr>
              <w:contextualSpacing/>
              <w:jc w:val="center"/>
              <w:cnfStyle w:val="000000100000"/>
              <w:rPr>
                <w:rFonts w:ascii="Times New Roman" w:eastAsia="Times New Roman" w:hAnsi="Times New Roman" w:cs="Times New Roman"/>
                <w:b/>
                <w:sz w:val="20"/>
                <w:szCs w:val="20"/>
              </w:rPr>
            </w:pPr>
            <w:r w:rsidRPr="003D0441">
              <w:rPr>
                <w:rFonts w:ascii="Times New Roman" w:eastAsia="Times New Roman" w:hAnsi="Times New Roman" w:cs="Times New Roman"/>
                <w:b/>
                <w:sz w:val="20"/>
                <w:szCs w:val="20"/>
              </w:rPr>
              <w:t>3,929,810</w:t>
            </w:r>
          </w:p>
        </w:tc>
        <w:tc>
          <w:tcPr>
            <w:tcW w:w="1250" w:type="dxa"/>
            <w:vAlign w:val="center"/>
            <w:hideMark/>
          </w:tcPr>
          <w:p w:rsidR="006F5124" w:rsidRPr="00F80CD4" w:rsidRDefault="006F5124" w:rsidP="004D5C99">
            <w:pPr>
              <w:contextualSpacing/>
              <w:jc w:val="center"/>
              <w:cnfStyle w:val="000000100000"/>
              <w:rPr>
                <w:rFonts w:ascii="Times New Roman" w:eastAsia="Times New Roman" w:hAnsi="Times New Roman" w:cs="Times New Roman"/>
                <w:sz w:val="20"/>
                <w:szCs w:val="20"/>
              </w:rPr>
            </w:pPr>
          </w:p>
        </w:tc>
      </w:tr>
      <w:tr w:rsidR="006F5124" w:rsidRPr="00F80CD4" w:rsidTr="004D5C99">
        <w:trPr>
          <w:cnfStyle w:val="000000010000"/>
          <w:trHeight w:val="525"/>
          <w:jc w:val="center"/>
        </w:trPr>
        <w:tc>
          <w:tcPr>
            <w:cnfStyle w:val="001000000000"/>
            <w:tcW w:w="2362" w:type="dxa"/>
            <w:vAlign w:val="center"/>
            <w:hideMark/>
          </w:tcPr>
          <w:p w:rsidR="006F5124" w:rsidRPr="00BC69AA" w:rsidRDefault="006F5124" w:rsidP="00BC69AA">
            <w:pPr>
              <w:contextualSpacing/>
              <w:jc w:val="center"/>
              <w:rPr>
                <w:rFonts w:ascii="Times New Roman" w:eastAsia="Times New Roman" w:hAnsi="Times New Roman" w:cs="Times New Roman"/>
                <w:b w:val="0"/>
                <w:bCs w:val="0"/>
                <w:sz w:val="20"/>
                <w:szCs w:val="20"/>
              </w:rPr>
            </w:pPr>
            <w:r w:rsidRPr="00BC69AA">
              <w:rPr>
                <w:rFonts w:ascii="Times New Roman" w:eastAsia="Times New Roman" w:hAnsi="Times New Roman" w:cs="Times New Roman"/>
                <w:b w:val="0"/>
                <w:bCs w:val="0"/>
                <w:sz w:val="20"/>
                <w:szCs w:val="20"/>
              </w:rPr>
              <w:t>Nuosavas kapitalas ir įsipareigojimai</w:t>
            </w:r>
          </w:p>
        </w:tc>
        <w:tc>
          <w:tcPr>
            <w:tcW w:w="1016" w:type="dxa"/>
            <w:vAlign w:val="center"/>
            <w:hideMark/>
          </w:tcPr>
          <w:p w:rsidR="006F5124" w:rsidRPr="00F80CD4" w:rsidRDefault="006F5124" w:rsidP="004D5C99">
            <w:pPr>
              <w:contextualSpacing/>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EUR</w:t>
            </w:r>
          </w:p>
        </w:tc>
        <w:tc>
          <w:tcPr>
            <w:tcW w:w="1250" w:type="dxa"/>
            <w:vAlign w:val="center"/>
            <w:hideMark/>
          </w:tcPr>
          <w:p w:rsidR="006F5124" w:rsidRPr="004D5C99" w:rsidRDefault="006F5124" w:rsidP="004D5C99">
            <w:pPr>
              <w:contextualSpacing/>
              <w:jc w:val="center"/>
              <w:cnfStyle w:val="000000010000"/>
              <w:rPr>
                <w:rFonts w:ascii="Times New Roman" w:eastAsia="Times New Roman" w:hAnsi="Times New Roman" w:cs="Times New Roman"/>
                <w:b/>
                <w:bCs/>
                <w:sz w:val="20"/>
                <w:szCs w:val="20"/>
              </w:rPr>
            </w:pPr>
            <w:r w:rsidRPr="004D5C99">
              <w:rPr>
                <w:rFonts w:ascii="Times New Roman" w:eastAsia="Times New Roman" w:hAnsi="Times New Roman" w:cs="Times New Roman"/>
                <w:b/>
                <w:bCs/>
                <w:sz w:val="20"/>
                <w:szCs w:val="20"/>
              </w:rPr>
              <w:t xml:space="preserve">Lyginamieji svoriai, </w:t>
            </w:r>
            <w:r w:rsidR="00E6354F">
              <w:rPr>
                <w:rFonts w:ascii="Times New Roman" w:eastAsia="Times New Roman" w:hAnsi="Times New Roman" w:cs="Times New Roman"/>
                <w:b/>
                <w:bCs/>
                <w:sz w:val="20"/>
                <w:szCs w:val="20"/>
              </w:rPr>
              <w:t>proc.</w:t>
            </w:r>
          </w:p>
        </w:tc>
        <w:tc>
          <w:tcPr>
            <w:tcW w:w="1016" w:type="dxa"/>
            <w:vAlign w:val="center"/>
            <w:hideMark/>
          </w:tcPr>
          <w:p w:rsidR="006F5124" w:rsidRPr="004D5C99" w:rsidRDefault="006F5124" w:rsidP="004D5C99">
            <w:pPr>
              <w:contextualSpacing/>
              <w:jc w:val="center"/>
              <w:cnfStyle w:val="000000010000"/>
              <w:rPr>
                <w:rFonts w:ascii="Times New Roman" w:eastAsia="Times New Roman" w:hAnsi="Times New Roman" w:cs="Times New Roman"/>
                <w:b/>
                <w:bCs/>
                <w:sz w:val="20"/>
                <w:szCs w:val="20"/>
              </w:rPr>
            </w:pPr>
            <w:r w:rsidRPr="004D5C99">
              <w:rPr>
                <w:rFonts w:ascii="Times New Roman" w:eastAsia="Times New Roman" w:hAnsi="Times New Roman" w:cs="Times New Roman"/>
                <w:sz w:val="20"/>
                <w:szCs w:val="20"/>
              </w:rPr>
              <w:t>EUR</w:t>
            </w:r>
          </w:p>
        </w:tc>
        <w:tc>
          <w:tcPr>
            <w:tcW w:w="1250" w:type="dxa"/>
            <w:vAlign w:val="center"/>
            <w:hideMark/>
          </w:tcPr>
          <w:p w:rsidR="006F5124" w:rsidRPr="004D5C99" w:rsidRDefault="006F5124" w:rsidP="004D5C99">
            <w:pPr>
              <w:contextualSpacing/>
              <w:jc w:val="center"/>
              <w:cnfStyle w:val="000000010000"/>
              <w:rPr>
                <w:rFonts w:ascii="Times New Roman" w:eastAsia="Times New Roman" w:hAnsi="Times New Roman" w:cs="Times New Roman"/>
                <w:b/>
                <w:bCs/>
                <w:sz w:val="20"/>
                <w:szCs w:val="20"/>
              </w:rPr>
            </w:pPr>
            <w:r w:rsidRPr="004D5C99">
              <w:rPr>
                <w:rFonts w:ascii="Times New Roman" w:eastAsia="Times New Roman" w:hAnsi="Times New Roman" w:cs="Times New Roman"/>
                <w:b/>
                <w:bCs/>
                <w:sz w:val="20"/>
                <w:szCs w:val="20"/>
              </w:rPr>
              <w:t xml:space="preserve">Lyginamieji svoriai, </w:t>
            </w:r>
            <w:r w:rsidR="00E6354F">
              <w:rPr>
                <w:rFonts w:ascii="Times New Roman" w:eastAsia="Times New Roman" w:hAnsi="Times New Roman" w:cs="Times New Roman"/>
                <w:b/>
                <w:bCs/>
                <w:sz w:val="20"/>
                <w:szCs w:val="20"/>
              </w:rPr>
              <w:t>proc.</w:t>
            </w:r>
          </w:p>
        </w:tc>
        <w:tc>
          <w:tcPr>
            <w:tcW w:w="1116" w:type="dxa"/>
            <w:vAlign w:val="center"/>
            <w:hideMark/>
          </w:tcPr>
          <w:p w:rsidR="006F5124" w:rsidRPr="004D5C99" w:rsidRDefault="006F5124" w:rsidP="004D5C99">
            <w:pPr>
              <w:contextualSpacing/>
              <w:jc w:val="center"/>
              <w:cnfStyle w:val="000000010000"/>
              <w:rPr>
                <w:rFonts w:ascii="Times New Roman" w:eastAsia="Times New Roman" w:hAnsi="Times New Roman" w:cs="Times New Roman"/>
                <w:b/>
                <w:bCs/>
                <w:sz w:val="20"/>
                <w:szCs w:val="20"/>
              </w:rPr>
            </w:pPr>
            <w:r w:rsidRPr="004D5C99">
              <w:rPr>
                <w:rFonts w:ascii="Times New Roman" w:eastAsia="Times New Roman" w:hAnsi="Times New Roman" w:cs="Times New Roman"/>
                <w:sz w:val="20"/>
                <w:szCs w:val="20"/>
              </w:rPr>
              <w:t>EUR</w:t>
            </w:r>
          </w:p>
        </w:tc>
        <w:tc>
          <w:tcPr>
            <w:tcW w:w="1250" w:type="dxa"/>
            <w:vAlign w:val="center"/>
            <w:hideMark/>
          </w:tcPr>
          <w:p w:rsidR="006F5124" w:rsidRPr="004D5C99" w:rsidRDefault="006F5124" w:rsidP="00E6354F">
            <w:pPr>
              <w:contextualSpacing/>
              <w:jc w:val="center"/>
              <w:cnfStyle w:val="000000010000"/>
              <w:rPr>
                <w:rFonts w:ascii="Times New Roman" w:eastAsia="Times New Roman" w:hAnsi="Times New Roman" w:cs="Times New Roman"/>
                <w:b/>
                <w:bCs/>
                <w:sz w:val="20"/>
                <w:szCs w:val="20"/>
              </w:rPr>
            </w:pPr>
            <w:r w:rsidRPr="004D5C99">
              <w:rPr>
                <w:rFonts w:ascii="Times New Roman" w:eastAsia="Times New Roman" w:hAnsi="Times New Roman" w:cs="Times New Roman"/>
                <w:b/>
                <w:bCs/>
                <w:sz w:val="20"/>
                <w:szCs w:val="20"/>
              </w:rPr>
              <w:t xml:space="preserve">Lyginamieji svoriai, </w:t>
            </w:r>
            <w:r w:rsidR="00E6354F">
              <w:rPr>
                <w:rFonts w:ascii="Times New Roman" w:eastAsia="Times New Roman" w:hAnsi="Times New Roman" w:cs="Times New Roman"/>
                <w:b/>
                <w:bCs/>
                <w:sz w:val="20"/>
                <w:szCs w:val="20"/>
              </w:rPr>
              <w:t xml:space="preserve"> proc.</w:t>
            </w:r>
          </w:p>
        </w:tc>
      </w:tr>
      <w:tr w:rsidR="006F5124" w:rsidRPr="00F80CD4" w:rsidTr="004D5C99">
        <w:trPr>
          <w:cnfStyle w:val="000000100000"/>
          <w:trHeight w:val="300"/>
          <w:jc w:val="center"/>
        </w:trPr>
        <w:tc>
          <w:tcPr>
            <w:cnfStyle w:val="001000000000"/>
            <w:tcW w:w="2362" w:type="dxa"/>
            <w:hideMark/>
          </w:tcPr>
          <w:p w:rsidR="006F5124" w:rsidRPr="00BC69AA" w:rsidRDefault="006F5124" w:rsidP="006F5124">
            <w:pPr>
              <w:contextualSpacing/>
              <w:rPr>
                <w:rFonts w:ascii="Times New Roman" w:eastAsia="Times New Roman" w:hAnsi="Times New Roman" w:cs="Times New Roman"/>
                <w:b w:val="0"/>
                <w:sz w:val="20"/>
                <w:szCs w:val="20"/>
              </w:rPr>
            </w:pPr>
            <w:r w:rsidRPr="00BC69AA">
              <w:rPr>
                <w:rFonts w:ascii="Times New Roman" w:eastAsia="Times New Roman" w:hAnsi="Times New Roman" w:cs="Times New Roman"/>
                <w:b w:val="0"/>
                <w:sz w:val="20"/>
                <w:szCs w:val="20"/>
              </w:rPr>
              <w:t>Nuosavas kapitalas</w:t>
            </w:r>
          </w:p>
        </w:tc>
        <w:tc>
          <w:tcPr>
            <w:tcW w:w="1016" w:type="dxa"/>
            <w:vAlign w:val="center"/>
            <w:hideMark/>
          </w:tcPr>
          <w:p w:rsidR="006F5124" w:rsidRPr="00F80CD4" w:rsidRDefault="006F5124" w:rsidP="004D5C99">
            <w:pPr>
              <w:contextualSpacing/>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2,394,678</w:t>
            </w:r>
          </w:p>
        </w:tc>
        <w:tc>
          <w:tcPr>
            <w:tcW w:w="1250" w:type="dxa"/>
            <w:vAlign w:val="center"/>
            <w:hideMark/>
          </w:tcPr>
          <w:p w:rsidR="006F5124" w:rsidRPr="00C229E2" w:rsidRDefault="006F5124" w:rsidP="004D5C99">
            <w:pPr>
              <w:contextualSpacing/>
              <w:jc w:val="center"/>
              <w:cnfStyle w:val="000000100000"/>
              <w:rPr>
                <w:rFonts w:ascii="Times New Roman" w:eastAsia="Times New Roman" w:hAnsi="Times New Roman" w:cs="Times New Roman"/>
                <w:i/>
                <w:sz w:val="20"/>
                <w:szCs w:val="20"/>
              </w:rPr>
            </w:pPr>
            <w:r w:rsidRPr="00C229E2">
              <w:rPr>
                <w:rFonts w:ascii="Times New Roman" w:eastAsia="Times New Roman" w:hAnsi="Times New Roman" w:cs="Times New Roman"/>
                <w:i/>
                <w:sz w:val="20"/>
                <w:szCs w:val="20"/>
              </w:rPr>
              <w:t>77.29</w:t>
            </w:r>
          </w:p>
        </w:tc>
        <w:tc>
          <w:tcPr>
            <w:tcW w:w="1016" w:type="dxa"/>
            <w:vAlign w:val="center"/>
            <w:hideMark/>
          </w:tcPr>
          <w:p w:rsidR="006F5124" w:rsidRPr="00F80CD4" w:rsidRDefault="006F5124" w:rsidP="004D5C99">
            <w:pPr>
              <w:contextualSpacing/>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2,224,499</w:t>
            </w:r>
          </w:p>
        </w:tc>
        <w:tc>
          <w:tcPr>
            <w:tcW w:w="1250" w:type="dxa"/>
            <w:vAlign w:val="center"/>
            <w:hideMark/>
          </w:tcPr>
          <w:p w:rsidR="006F5124" w:rsidRPr="00C229E2" w:rsidRDefault="006F5124" w:rsidP="004D5C99">
            <w:pPr>
              <w:contextualSpacing/>
              <w:jc w:val="center"/>
              <w:cnfStyle w:val="000000100000"/>
              <w:rPr>
                <w:rFonts w:ascii="Times New Roman" w:eastAsia="Times New Roman" w:hAnsi="Times New Roman" w:cs="Times New Roman"/>
                <w:i/>
                <w:sz w:val="20"/>
                <w:szCs w:val="20"/>
              </w:rPr>
            </w:pPr>
            <w:r w:rsidRPr="00C229E2">
              <w:rPr>
                <w:rFonts w:ascii="Times New Roman" w:eastAsia="Times New Roman" w:hAnsi="Times New Roman" w:cs="Times New Roman"/>
                <w:i/>
                <w:sz w:val="20"/>
                <w:szCs w:val="20"/>
              </w:rPr>
              <w:t>51.58</w:t>
            </w:r>
          </w:p>
        </w:tc>
        <w:tc>
          <w:tcPr>
            <w:tcW w:w="1116" w:type="dxa"/>
            <w:vAlign w:val="center"/>
            <w:hideMark/>
          </w:tcPr>
          <w:p w:rsidR="006F5124" w:rsidRPr="00F80CD4" w:rsidRDefault="006F5124" w:rsidP="004D5C99">
            <w:pPr>
              <w:contextualSpacing/>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1,578,455</w:t>
            </w:r>
          </w:p>
        </w:tc>
        <w:tc>
          <w:tcPr>
            <w:tcW w:w="1250" w:type="dxa"/>
            <w:vAlign w:val="center"/>
            <w:hideMark/>
          </w:tcPr>
          <w:p w:rsidR="006F5124" w:rsidRPr="00C229E2" w:rsidRDefault="006F5124" w:rsidP="004D5C99">
            <w:pPr>
              <w:contextualSpacing/>
              <w:jc w:val="center"/>
              <w:cnfStyle w:val="000000100000"/>
              <w:rPr>
                <w:rFonts w:ascii="Times New Roman" w:eastAsia="Times New Roman" w:hAnsi="Times New Roman" w:cs="Times New Roman"/>
                <w:i/>
                <w:sz w:val="20"/>
                <w:szCs w:val="20"/>
              </w:rPr>
            </w:pPr>
            <w:r w:rsidRPr="00C229E2">
              <w:rPr>
                <w:rFonts w:ascii="Times New Roman" w:eastAsia="Times New Roman" w:hAnsi="Times New Roman" w:cs="Times New Roman"/>
                <w:i/>
                <w:sz w:val="20"/>
                <w:szCs w:val="20"/>
              </w:rPr>
              <w:t>40.17</w:t>
            </w:r>
          </w:p>
        </w:tc>
      </w:tr>
      <w:tr w:rsidR="006F5124" w:rsidRPr="00F80CD4" w:rsidTr="004D5C99">
        <w:trPr>
          <w:cnfStyle w:val="000000010000"/>
          <w:trHeight w:val="300"/>
          <w:jc w:val="center"/>
        </w:trPr>
        <w:tc>
          <w:tcPr>
            <w:cnfStyle w:val="001000000000"/>
            <w:tcW w:w="2362" w:type="dxa"/>
            <w:hideMark/>
          </w:tcPr>
          <w:p w:rsidR="006F5124" w:rsidRPr="00BC69AA" w:rsidRDefault="006F5124" w:rsidP="006F5124">
            <w:pPr>
              <w:contextualSpacing/>
              <w:rPr>
                <w:rFonts w:ascii="Times New Roman" w:eastAsia="Times New Roman" w:hAnsi="Times New Roman" w:cs="Times New Roman"/>
                <w:b w:val="0"/>
                <w:sz w:val="20"/>
                <w:szCs w:val="20"/>
              </w:rPr>
            </w:pPr>
            <w:r w:rsidRPr="00BC69AA">
              <w:rPr>
                <w:rFonts w:ascii="Times New Roman" w:eastAsia="Times New Roman" w:hAnsi="Times New Roman" w:cs="Times New Roman"/>
                <w:b w:val="0"/>
                <w:sz w:val="20"/>
                <w:szCs w:val="20"/>
              </w:rPr>
              <w:t>- Įstatinis kapitalas</w:t>
            </w:r>
          </w:p>
        </w:tc>
        <w:tc>
          <w:tcPr>
            <w:tcW w:w="1016" w:type="dxa"/>
            <w:vAlign w:val="center"/>
            <w:hideMark/>
          </w:tcPr>
          <w:p w:rsidR="006F5124" w:rsidRPr="00F80CD4" w:rsidRDefault="006F5124" w:rsidP="004D5C99">
            <w:pPr>
              <w:contextualSpacing/>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2,988,250</w:t>
            </w:r>
          </w:p>
        </w:tc>
        <w:tc>
          <w:tcPr>
            <w:tcW w:w="1250" w:type="dxa"/>
            <w:vAlign w:val="center"/>
            <w:hideMark/>
          </w:tcPr>
          <w:p w:rsidR="006F5124" w:rsidRPr="00C229E2" w:rsidRDefault="006F5124" w:rsidP="004D5C99">
            <w:pPr>
              <w:contextualSpacing/>
              <w:jc w:val="center"/>
              <w:cnfStyle w:val="000000010000"/>
              <w:rPr>
                <w:rFonts w:ascii="Times New Roman" w:eastAsia="Times New Roman" w:hAnsi="Times New Roman" w:cs="Times New Roman"/>
                <w:i/>
                <w:sz w:val="20"/>
                <w:szCs w:val="20"/>
              </w:rPr>
            </w:pPr>
            <w:r w:rsidRPr="00C229E2">
              <w:rPr>
                <w:rFonts w:ascii="Times New Roman" w:eastAsia="Times New Roman" w:hAnsi="Times New Roman" w:cs="Times New Roman"/>
                <w:i/>
                <w:sz w:val="20"/>
                <w:szCs w:val="20"/>
              </w:rPr>
              <w:t>124.79</w:t>
            </w:r>
          </w:p>
        </w:tc>
        <w:tc>
          <w:tcPr>
            <w:tcW w:w="1016" w:type="dxa"/>
            <w:vAlign w:val="center"/>
            <w:hideMark/>
          </w:tcPr>
          <w:p w:rsidR="006F5124" w:rsidRPr="00F80CD4" w:rsidRDefault="006F5124" w:rsidP="004D5C99">
            <w:pPr>
              <w:contextualSpacing/>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2,982,811</w:t>
            </w:r>
          </w:p>
        </w:tc>
        <w:tc>
          <w:tcPr>
            <w:tcW w:w="1250" w:type="dxa"/>
            <w:vAlign w:val="center"/>
            <w:hideMark/>
          </w:tcPr>
          <w:p w:rsidR="006F5124" w:rsidRPr="00C229E2" w:rsidRDefault="006F5124" w:rsidP="004D5C99">
            <w:pPr>
              <w:contextualSpacing/>
              <w:jc w:val="center"/>
              <w:cnfStyle w:val="000000010000"/>
              <w:rPr>
                <w:rFonts w:ascii="Times New Roman" w:eastAsia="Times New Roman" w:hAnsi="Times New Roman" w:cs="Times New Roman"/>
                <w:i/>
                <w:sz w:val="20"/>
                <w:szCs w:val="20"/>
              </w:rPr>
            </w:pPr>
            <w:r w:rsidRPr="00C229E2">
              <w:rPr>
                <w:rFonts w:ascii="Times New Roman" w:eastAsia="Times New Roman" w:hAnsi="Times New Roman" w:cs="Times New Roman"/>
                <w:i/>
                <w:sz w:val="20"/>
                <w:szCs w:val="20"/>
              </w:rPr>
              <w:t>134.09</w:t>
            </w:r>
          </w:p>
        </w:tc>
        <w:tc>
          <w:tcPr>
            <w:tcW w:w="1116" w:type="dxa"/>
            <w:vAlign w:val="center"/>
            <w:hideMark/>
          </w:tcPr>
          <w:p w:rsidR="006F5124" w:rsidRPr="00F80CD4" w:rsidRDefault="006F5124" w:rsidP="004D5C99">
            <w:pPr>
              <w:contextualSpacing/>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3,034,756</w:t>
            </w:r>
          </w:p>
        </w:tc>
        <w:tc>
          <w:tcPr>
            <w:tcW w:w="1250" w:type="dxa"/>
            <w:vAlign w:val="center"/>
            <w:hideMark/>
          </w:tcPr>
          <w:p w:rsidR="006F5124" w:rsidRPr="00C229E2" w:rsidRDefault="006F5124" w:rsidP="004D5C99">
            <w:pPr>
              <w:contextualSpacing/>
              <w:jc w:val="center"/>
              <w:cnfStyle w:val="000000010000"/>
              <w:rPr>
                <w:rFonts w:ascii="Times New Roman" w:eastAsia="Times New Roman" w:hAnsi="Times New Roman" w:cs="Times New Roman"/>
                <w:i/>
                <w:sz w:val="20"/>
                <w:szCs w:val="20"/>
              </w:rPr>
            </w:pPr>
            <w:r w:rsidRPr="00C229E2">
              <w:rPr>
                <w:rFonts w:ascii="Times New Roman" w:eastAsia="Times New Roman" w:hAnsi="Times New Roman" w:cs="Times New Roman"/>
                <w:i/>
                <w:sz w:val="20"/>
                <w:szCs w:val="20"/>
              </w:rPr>
              <w:t>192.26</w:t>
            </w:r>
          </w:p>
        </w:tc>
      </w:tr>
      <w:tr w:rsidR="006F5124" w:rsidRPr="00F80CD4" w:rsidTr="004D5C99">
        <w:trPr>
          <w:cnfStyle w:val="000000100000"/>
          <w:trHeight w:val="300"/>
          <w:jc w:val="center"/>
        </w:trPr>
        <w:tc>
          <w:tcPr>
            <w:cnfStyle w:val="001000000000"/>
            <w:tcW w:w="2362" w:type="dxa"/>
            <w:hideMark/>
          </w:tcPr>
          <w:p w:rsidR="006F5124" w:rsidRPr="00BC69AA" w:rsidRDefault="006F5124" w:rsidP="006F5124">
            <w:pPr>
              <w:contextualSpacing/>
              <w:rPr>
                <w:rFonts w:ascii="Times New Roman" w:eastAsia="Times New Roman" w:hAnsi="Times New Roman" w:cs="Times New Roman"/>
                <w:b w:val="0"/>
                <w:sz w:val="20"/>
                <w:szCs w:val="20"/>
              </w:rPr>
            </w:pPr>
            <w:r w:rsidRPr="00BC69AA">
              <w:rPr>
                <w:rFonts w:ascii="Times New Roman" w:eastAsia="Times New Roman" w:hAnsi="Times New Roman" w:cs="Times New Roman"/>
                <w:b w:val="0"/>
                <w:sz w:val="20"/>
                <w:szCs w:val="20"/>
              </w:rPr>
              <w:t>- Nepaskirstytas pelnas</w:t>
            </w:r>
          </w:p>
        </w:tc>
        <w:tc>
          <w:tcPr>
            <w:tcW w:w="1016" w:type="dxa"/>
            <w:vAlign w:val="center"/>
            <w:hideMark/>
          </w:tcPr>
          <w:p w:rsidR="006F5124" w:rsidRPr="00F80CD4" w:rsidRDefault="006F5124" w:rsidP="004D5C99">
            <w:pPr>
              <w:contextualSpacing/>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-593,572</w:t>
            </w:r>
          </w:p>
        </w:tc>
        <w:tc>
          <w:tcPr>
            <w:tcW w:w="1250" w:type="dxa"/>
            <w:vAlign w:val="center"/>
            <w:hideMark/>
          </w:tcPr>
          <w:p w:rsidR="006F5124" w:rsidRPr="00C229E2" w:rsidRDefault="006F5124" w:rsidP="004D5C99">
            <w:pPr>
              <w:contextualSpacing/>
              <w:jc w:val="center"/>
              <w:cnfStyle w:val="000000100000"/>
              <w:rPr>
                <w:rFonts w:ascii="Times New Roman" w:eastAsia="Times New Roman" w:hAnsi="Times New Roman" w:cs="Times New Roman"/>
                <w:i/>
                <w:sz w:val="20"/>
                <w:szCs w:val="20"/>
              </w:rPr>
            </w:pPr>
            <w:r w:rsidRPr="00C229E2">
              <w:rPr>
                <w:rFonts w:ascii="Times New Roman" w:eastAsia="Times New Roman" w:hAnsi="Times New Roman" w:cs="Times New Roman"/>
                <w:i/>
                <w:sz w:val="20"/>
                <w:szCs w:val="20"/>
              </w:rPr>
              <w:t>-24.79</w:t>
            </w:r>
          </w:p>
        </w:tc>
        <w:tc>
          <w:tcPr>
            <w:tcW w:w="1016" w:type="dxa"/>
            <w:vAlign w:val="center"/>
            <w:hideMark/>
          </w:tcPr>
          <w:p w:rsidR="006F5124" w:rsidRPr="00F80CD4" w:rsidRDefault="006F5124" w:rsidP="004D5C99">
            <w:pPr>
              <w:contextualSpacing/>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-758,312</w:t>
            </w:r>
          </w:p>
        </w:tc>
        <w:tc>
          <w:tcPr>
            <w:tcW w:w="1250" w:type="dxa"/>
            <w:vAlign w:val="center"/>
            <w:hideMark/>
          </w:tcPr>
          <w:p w:rsidR="006F5124" w:rsidRPr="00C229E2" w:rsidRDefault="006F5124" w:rsidP="004D5C99">
            <w:pPr>
              <w:contextualSpacing/>
              <w:jc w:val="center"/>
              <w:cnfStyle w:val="000000100000"/>
              <w:rPr>
                <w:rFonts w:ascii="Times New Roman" w:eastAsia="Times New Roman" w:hAnsi="Times New Roman" w:cs="Times New Roman"/>
                <w:i/>
                <w:sz w:val="20"/>
                <w:szCs w:val="20"/>
              </w:rPr>
            </w:pPr>
            <w:r w:rsidRPr="00C229E2">
              <w:rPr>
                <w:rFonts w:ascii="Times New Roman" w:eastAsia="Times New Roman" w:hAnsi="Times New Roman" w:cs="Times New Roman"/>
                <w:i/>
                <w:sz w:val="20"/>
                <w:szCs w:val="20"/>
              </w:rPr>
              <w:t>-34.09</w:t>
            </w:r>
          </w:p>
        </w:tc>
        <w:tc>
          <w:tcPr>
            <w:tcW w:w="1116" w:type="dxa"/>
            <w:vAlign w:val="center"/>
            <w:hideMark/>
          </w:tcPr>
          <w:p w:rsidR="006F5124" w:rsidRPr="00F80CD4" w:rsidRDefault="006F5124" w:rsidP="004D5C99">
            <w:pPr>
              <w:contextualSpacing/>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-1,456,301</w:t>
            </w:r>
          </w:p>
        </w:tc>
        <w:tc>
          <w:tcPr>
            <w:tcW w:w="1250" w:type="dxa"/>
            <w:vAlign w:val="center"/>
            <w:hideMark/>
          </w:tcPr>
          <w:p w:rsidR="006F5124" w:rsidRPr="00C229E2" w:rsidRDefault="006F5124" w:rsidP="004D5C99">
            <w:pPr>
              <w:contextualSpacing/>
              <w:jc w:val="center"/>
              <w:cnfStyle w:val="000000100000"/>
              <w:rPr>
                <w:rFonts w:ascii="Times New Roman" w:eastAsia="Times New Roman" w:hAnsi="Times New Roman" w:cs="Times New Roman"/>
                <w:i/>
                <w:sz w:val="20"/>
                <w:szCs w:val="20"/>
              </w:rPr>
            </w:pPr>
            <w:r w:rsidRPr="00C229E2">
              <w:rPr>
                <w:rFonts w:ascii="Times New Roman" w:eastAsia="Times New Roman" w:hAnsi="Times New Roman" w:cs="Times New Roman"/>
                <w:i/>
                <w:sz w:val="20"/>
                <w:szCs w:val="20"/>
              </w:rPr>
              <w:t>-92.26</w:t>
            </w:r>
          </w:p>
        </w:tc>
      </w:tr>
      <w:tr w:rsidR="006F5124" w:rsidRPr="00F80CD4" w:rsidTr="004D5C99">
        <w:trPr>
          <w:cnfStyle w:val="000000010000"/>
          <w:trHeight w:val="300"/>
          <w:jc w:val="center"/>
        </w:trPr>
        <w:tc>
          <w:tcPr>
            <w:cnfStyle w:val="001000000000"/>
            <w:tcW w:w="2362" w:type="dxa"/>
            <w:hideMark/>
          </w:tcPr>
          <w:p w:rsidR="006F5124" w:rsidRPr="00BC69AA" w:rsidRDefault="006F5124" w:rsidP="006F5124">
            <w:pPr>
              <w:contextualSpacing/>
              <w:rPr>
                <w:rFonts w:ascii="Times New Roman" w:eastAsia="Times New Roman" w:hAnsi="Times New Roman" w:cs="Times New Roman"/>
                <w:b w:val="0"/>
                <w:sz w:val="20"/>
                <w:szCs w:val="20"/>
              </w:rPr>
            </w:pPr>
            <w:r w:rsidRPr="00BC69AA">
              <w:rPr>
                <w:rFonts w:ascii="Times New Roman" w:eastAsia="Times New Roman" w:hAnsi="Times New Roman" w:cs="Times New Roman"/>
                <w:b w:val="0"/>
                <w:sz w:val="20"/>
                <w:szCs w:val="20"/>
              </w:rPr>
              <w:t>Įlgalaikiai įsipareigojimai</w:t>
            </w:r>
          </w:p>
        </w:tc>
        <w:tc>
          <w:tcPr>
            <w:tcW w:w="1016" w:type="dxa"/>
            <w:vAlign w:val="center"/>
            <w:hideMark/>
          </w:tcPr>
          <w:p w:rsidR="006F5124" w:rsidRPr="00F80CD4" w:rsidRDefault="006F5124" w:rsidP="004D5C99">
            <w:pPr>
              <w:contextualSpacing/>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243,144</w:t>
            </w:r>
          </w:p>
        </w:tc>
        <w:tc>
          <w:tcPr>
            <w:tcW w:w="1250" w:type="dxa"/>
            <w:vAlign w:val="center"/>
            <w:hideMark/>
          </w:tcPr>
          <w:p w:rsidR="006F5124" w:rsidRPr="00C229E2" w:rsidRDefault="006F5124" w:rsidP="004D5C99">
            <w:pPr>
              <w:contextualSpacing/>
              <w:jc w:val="center"/>
              <w:cnfStyle w:val="000000010000"/>
              <w:rPr>
                <w:rFonts w:ascii="Times New Roman" w:eastAsia="Times New Roman" w:hAnsi="Times New Roman" w:cs="Times New Roman"/>
                <w:i/>
                <w:sz w:val="20"/>
                <w:szCs w:val="20"/>
              </w:rPr>
            </w:pPr>
            <w:r w:rsidRPr="00C229E2">
              <w:rPr>
                <w:rFonts w:ascii="Times New Roman" w:eastAsia="Times New Roman" w:hAnsi="Times New Roman" w:cs="Times New Roman"/>
                <w:i/>
                <w:sz w:val="20"/>
                <w:szCs w:val="20"/>
              </w:rPr>
              <w:t>7.85</w:t>
            </w:r>
          </w:p>
        </w:tc>
        <w:tc>
          <w:tcPr>
            <w:tcW w:w="1016" w:type="dxa"/>
            <w:vAlign w:val="center"/>
            <w:hideMark/>
          </w:tcPr>
          <w:p w:rsidR="006F5124" w:rsidRPr="00F80CD4" w:rsidRDefault="006F5124" w:rsidP="004D5C99">
            <w:pPr>
              <w:contextualSpacing/>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1,178,205</w:t>
            </w:r>
          </w:p>
        </w:tc>
        <w:tc>
          <w:tcPr>
            <w:tcW w:w="1250" w:type="dxa"/>
            <w:vAlign w:val="center"/>
            <w:hideMark/>
          </w:tcPr>
          <w:p w:rsidR="006F5124" w:rsidRPr="00C229E2" w:rsidRDefault="006F5124" w:rsidP="004D5C99">
            <w:pPr>
              <w:contextualSpacing/>
              <w:jc w:val="center"/>
              <w:cnfStyle w:val="000000010000"/>
              <w:rPr>
                <w:rFonts w:ascii="Times New Roman" w:eastAsia="Times New Roman" w:hAnsi="Times New Roman" w:cs="Times New Roman"/>
                <w:i/>
                <w:sz w:val="20"/>
                <w:szCs w:val="20"/>
              </w:rPr>
            </w:pPr>
            <w:r w:rsidRPr="00C229E2">
              <w:rPr>
                <w:rFonts w:ascii="Times New Roman" w:eastAsia="Times New Roman" w:hAnsi="Times New Roman" w:cs="Times New Roman"/>
                <w:i/>
                <w:sz w:val="20"/>
                <w:szCs w:val="20"/>
              </w:rPr>
              <w:t>27.32</w:t>
            </w:r>
          </w:p>
        </w:tc>
        <w:tc>
          <w:tcPr>
            <w:tcW w:w="1116" w:type="dxa"/>
            <w:vAlign w:val="center"/>
            <w:hideMark/>
          </w:tcPr>
          <w:p w:rsidR="006F5124" w:rsidRPr="00F80CD4" w:rsidRDefault="006F5124" w:rsidP="004D5C99">
            <w:pPr>
              <w:contextualSpacing/>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897,403</w:t>
            </w:r>
          </w:p>
        </w:tc>
        <w:tc>
          <w:tcPr>
            <w:tcW w:w="1250" w:type="dxa"/>
            <w:vAlign w:val="center"/>
            <w:hideMark/>
          </w:tcPr>
          <w:p w:rsidR="006F5124" w:rsidRPr="00C229E2" w:rsidRDefault="006F5124" w:rsidP="004D5C99">
            <w:pPr>
              <w:contextualSpacing/>
              <w:jc w:val="center"/>
              <w:cnfStyle w:val="000000010000"/>
              <w:rPr>
                <w:rFonts w:ascii="Times New Roman" w:eastAsia="Times New Roman" w:hAnsi="Times New Roman" w:cs="Times New Roman"/>
                <w:i/>
                <w:sz w:val="20"/>
                <w:szCs w:val="20"/>
              </w:rPr>
            </w:pPr>
            <w:r w:rsidRPr="00C229E2">
              <w:rPr>
                <w:rFonts w:ascii="Times New Roman" w:eastAsia="Times New Roman" w:hAnsi="Times New Roman" w:cs="Times New Roman"/>
                <w:i/>
                <w:sz w:val="20"/>
                <w:szCs w:val="20"/>
              </w:rPr>
              <w:t>22.84</w:t>
            </w:r>
          </w:p>
        </w:tc>
      </w:tr>
      <w:tr w:rsidR="006F5124" w:rsidRPr="00F80CD4" w:rsidTr="004D5C99">
        <w:trPr>
          <w:cnfStyle w:val="000000100000"/>
          <w:trHeight w:val="300"/>
          <w:jc w:val="center"/>
        </w:trPr>
        <w:tc>
          <w:tcPr>
            <w:cnfStyle w:val="001000000000"/>
            <w:tcW w:w="2362" w:type="dxa"/>
            <w:hideMark/>
          </w:tcPr>
          <w:p w:rsidR="006F5124" w:rsidRPr="00BC69AA" w:rsidRDefault="006F5124" w:rsidP="006F5124">
            <w:pPr>
              <w:contextualSpacing/>
              <w:rPr>
                <w:rFonts w:ascii="Times New Roman" w:eastAsia="Times New Roman" w:hAnsi="Times New Roman" w:cs="Times New Roman"/>
                <w:b w:val="0"/>
                <w:sz w:val="20"/>
                <w:szCs w:val="20"/>
              </w:rPr>
            </w:pPr>
            <w:r w:rsidRPr="00BC69AA">
              <w:rPr>
                <w:rFonts w:ascii="Times New Roman" w:eastAsia="Times New Roman" w:hAnsi="Times New Roman" w:cs="Times New Roman"/>
                <w:b w:val="0"/>
                <w:sz w:val="20"/>
                <w:szCs w:val="20"/>
              </w:rPr>
              <w:t>- Ilgalaikės skolos</w:t>
            </w:r>
          </w:p>
        </w:tc>
        <w:tc>
          <w:tcPr>
            <w:tcW w:w="1016" w:type="dxa"/>
            <w:vAlign w:val="center"/>
            <w:hideMark/>
          </w:tcPr>
          <w:p w:rsidR="006F5124" w:rsidRPr="00F80CD4" w:rsidRDefault="006F5124" w:rsidP="004D5C99">
            <w:pPr>
              <w:contextualSpacing/>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243,144</w:t>
            </w:r>
          </w:p>
        </w:tc>
        <w:tc>
          <w:tcPr>
            <w:tcW w:w="1250" w:type="dxa"/>
            <w:vAlign w:val="center"/>
            <w:hideMark/>
          </w:tcPr>
          <w:p w:rsidR="006F5124" w:rsidRPr="00C229E2" w:rsidRDefault="006F5124" w:rsidP="004D5C99">
            <w:pPr>
              <w:contextualSpacing/>
              <w:jc w:val="center"/>
              <w:cnfStyle w:val="000000100000"/>
              <w:rPr>
                <w:rFonts w:ascii="Times New Roman" w:eastAsia="Times New Roman" w:hAnsi="Times New Roman" w:cs="Times New Roman"/>
                <w:i/>
                <w:sz w:val="20"/>
                <w:szCs w:val="20"/>
              </w:rPr>
            </w:pPr>
            <w:r w:rsidRPr="00C229E2">
              <w:rPr>
                <w:rFonts w:ascii="Times New Roman" w:eastAsia="Times New Roman" w:hAnsi="Times New Roman" w:cs="Times New Roman"/>
                <w:i/>
                <w:sz w:val="20"/>
                <w:szCs w:val="20"/>
              </w:rPr>
              <w:t>100.00</w:t>
            </w:r>
          </w:p>
        </w:tc>
        <w:tc>
          <w:tcPr>
            <w:tcW w:w="1016" w:type="dxa"/>
            <w:vAlign w:val="center"/>
            <w:hideMark/>
          </w:tcPr>
          <w:p w:rsidR="006F5124" w:rsidRPr="00F80CD4" w:rsidRDefault="006F5124" w:rsidP="004D5C99">
            <w:pPr>
              <w:contextualSpacing/>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1,178,205</w:t>
            </w:r>
          </w:p>
        </w:tc>
        <w:tc>
          <w:tcPr>
            <w:tcW w:w="1250" w:type="dxa"/>
            <w:vAlign w:val="center"/>
            <w:hideMark/>
          </w:tcPr>
          <w:p w:rsidR="006F5124" w:rsidRPr="00C229E2" w:rsidRDefault="006F5124" w:rsidP="004D5C99">
            <w:pPr>
              <w:contextualSpacing/>
              <w:jc w:val="center"/>
              <w:cnfStyle w:val="000000100000"/>
              <w:rPr>
                <w:rFonts w:ascii="Times New Roman" w:eastAsia="Times New Roman" w:hAnsi="Times New Roman" w:cs="Times New Roman"/>
                <w:i/>
                <w:sz w:val="20"/>
                <w:szCs w:val="20"/>
              </w:rPr>
            </w:pPr>
            <w:r w:rsidRPr="00C229E2">
              <w:rPr>
                <w:rFonts w:ascii="Times New Roman" w:eastAsia="Times New Roman" w:hAnsi="Times New Roman" w:cs="Times New Roman"/>
                <w:i/>
                <w:sz w:val="20"/>
                <w:szCs w:val="20"/>
              </w:rPr>
              <w:t>100.00</w:t>
            </w:r>
          </w:p>
        </w:tc>
        <w:tc>
          <w:tcPr>
            <w:tcW w:w="1116" w:type="dxa"/>
            <w:vAlign w:val="center"/>
            <w:hideMark/>
          </w:tcPr>
          <w:p w:rsidR="006F5124" w:rsidRPr="00F80CD4" w:rsidRDefault="006F5124" w:rsidP="004D5C99">
            <w:pPr>
              <w:contextualSpacing/>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897,403</w:t>
            </w:r>
          </w:p>
        </w:tc>
        <w:tc>
          <w:tcPr>
            <w:tcW w:w="1250" w:type="dxa"/>
            <w:vAlign w:val="center"/>
            <w:hideMark/>
          </w:tcPr>
          <w:p w:rsidR="006F5124" w:rsidRPr="00C229E2" w:rsidRDefault="006F5124" w:rsidP="004D5C99">
            <w:pPr>
              <w:contextualSpacing/>
              <w:jc w:val="center"/>
              <w:cnfStyle w:val="000000100000"/>
              <w:rPr>
                <w:rFonts w:ascii="Times New Roman" w:eastAsia="Times New Roman" w:hAnsi="Times New Roman" w:cs="Times New Roman"/>
                <w:i/>
                <w:sz w:val="20"/>
                <w:szCs w:val="20"/>
              </w:rPr>
            </w:pPr>
            <w:r w:rsidRPr="00C229E2">
              <w:rPr>
                <w:rFonts w:ascii="Times New Roman" w:eastAsia="Times New Roman" w:hAnsi="Times New Roman" w:cs="Times New Roman"/>
                <w:i/>
                <w:sz w:val="20"/>
                <w:szCs w:val="20"/>
              </w:rPr>
              <w:t>100.00</w:t>
            </w:r>
          </w:p>
        </w:tc>
      </w:tr>
      <w:tr w:rsidR="006F5124" w:rsidRPr="00F80CD4" w:rsidTr="004D5C99">
        <w:trPr>
          <w:cnfStyle w:val="000000010000"/>
          <w:trHeight w:val="300"/>
          <w:jc w:val="center"/>
        </w:trPr>
        <w:tc>
          <w:tcPr>
            <w:cnfStyle w:val="001000000000"/>
            <w:tcW w:w="2362" w:type="dxa"/>
            <w:hideMark/>
          </w:tcPr>
          <w:p w:rsidR="006F5124" w:rsidRPr="00BC69AA" w:rsidRDefault="006F5124" w:rsidP="006F5124">
            <w:pPr>
              <w:contextualSpacing/>
              <w:rPr>
                <w:rFonts w:ascii="Times New Roman" w:eastAsia="Times New Roman" w:hAnsi="Times New Roman" w:cs="Times New Roman"/>
                <w:b w:val="0"/>
                <w:sz w:val="20"/>
                <w:szCs w:val="20"/>
              </w:rPr>
            </w:pPr>
            <w:r w:rsidRPr="00BC69AA">
              <w:rPr>
                <w:rFonts w:ascii="Times New Roman" w:eastAsia="Times New Roman" w:hAnsi="Times New Roman" w:cs="Times New Roman"/>
                <w:b w:val="0"/>
                <w:sz w:val="20"/>
                <w:szCs w:val="20"/>
              </w:rPr>
              <w:t>- Kiti ilgalaikiai įsipareigojimai</w:t>
            </w:r>
          </w:p>
        </w:tc>
        <w:tc>
          <w:tcPr>
            <w:tcW w:w="1016" w:type="dxa"/>
            <w:vAlign w:val="center"/>
            <w:hideMark/>
          </w:tcPr>
          <w:p w:rsidR="006F5124" w:rsidRPr="00F80CD4" w:rsidRDefault="006F5124" w:rsidP="004D5C99">
            <w:pPr>
              <w:contextualSpacing/>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0</w:t>
            </w:r>
          </w:p>
        </w:tc>
        <w:tc>
          <w:tcPr>
            <w:tcW w:w="1250" w:type="dxa"/>
            <w:vAlign w:val="center"/>
            <w:hideMark/>
          </w:tcPr>
          <w:p w:rsidR="006F5124" w:rsidRPr="00C229E2" w:rsidRDefault="006F5124" w:rsidP="004D5C99">
            <w:pPr>
              <w:contextualSpacing/>
              <w:jc w:val="center"/>
              <w:cnfStyle w:val="000000010000"/>
              <w:rPr>
                <w:rFonts w:ascii="Times New Roman" w:eastAsia="Times New Roman" w:hAnsi="Times New Roman" w:cs="Times New Roman"/>
                <w:i/>
                <w:sz w:val="20"/>
                <w:szCs w:val="20"/>
              </w:rPr>
            </w:pPr>
          </w:p>
        </w:tc>
        <w:tc>
          <w:tcPr>
            <w:tcW w:w="1016" w:type="dxa"/>
            <w:vAlign w:val="center"/>
            <w:hideMark/>
          </w:tcPr>
          <w:p w:rsidR="006F5124" w:rsidRPr="00F80CD4" w:rsidRDefault="006F5124" w:rsidP="004D5C99">
            <w:pPr>
              <w:contextualSpacing/>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0</w:t>
            </w:r>
          </w:p>
        </w:tc>
        <w:tc>
          <w:tcPr>
            <w:tcW w:w="1250" w:type="dxa"/>
            <w:vAlign w:val="center"/>
            <w:hideMark/>
          </w:tcPr>
          <w:p w:rsidR="006F5124" w:rsidRPr="00C229E2" w:rsidRDefault="006F5124" w:rsidP="004D5C99">
            <w:pPr>
              <w:contextualSpacing/>
              <w:jc w:val="center"/>
              <w:cnfStyle w:val="000000010000"/>
              <w:rPr>
                <w:rFonts w:ascii="Times New Roman" w:eastAsia="Times New Roman" w:hAnsi="Times New Roman" w:cs="Times New Roman"/>
                <w:i/>
                <w:sz w:val="20"/>
                <w:szCs w:val="20"/>
              </w:rPr>
            </w:pPr>
          </w:p>
        </w:tc>
        <w:tc>
          <w:tcPr>
            <w:tcW w:w="1116" w:type="dxa"/>
            <w:vAlign w:val="center"/>
            <w:hideMark/>
          </w:tcPr>
          <w:p w:rsidR="006F5124" w:rsidRPr="00F80CD4" w:rsidRDefault="006F5124" w:rsidP="004D5C99">
            <w:pPr>
              <w:contextualSpacing/>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0</w:t>
            </w:r>
          </w:p>
        </w:tc>
        <w:tc>
          <w:tcPr>
            <w:tcW w:w="1250" w:type="dxa"/>
            <w:vAlign w:val="center"/>
            <w:hideMark/>
          </w:tcPr>
          <w:p w:rsidR="006F5124" w:rsidRPr="00C229E2" w:rsidRDefault="006F5124" w:rsidP="004D5C99">
            <w:pPr>
              <w:contextualSpacing/>
              <w:jc w:val="center"/>
              <w:cnfStyle w:val="000000010000"/>
              <w:rPr>
                <w:rFonts w:ascii="Times New Roman" w:eastAsia="Times New Roman" w:hAnsi="Times New Roman" w:cs="Times New Roman"/>
                <w:i/>
                <w:sz w:val="20"/>
                <w:szCs w:val="20"/>
              </w:rPr>
            </w:pPr>
          </w:p>
        </w:tc>
      </w:tr>
      <w:tr w:rsidR="006F5124" w:rsidRPr="00F80CD4" w:rsidTr="004D5C99">
        <w:trPr>
          <w:cnfStyle w:val="000000100000"/>
          <w:trHeight w:val="300"/>
          <w:jc w:val="center"/>
        </w:trPr>
        <w:tc>
          <w:tcPr>
            <w:cnfStyle w:val="001000000000"/>
            <w:tcW w:w="2362" w:type="dxa"/>
            <w:hideMark/>
          </w:tcPr>
          <w:p w:rsidR="006F5124" w:rsidRPr="00BC69AA" w:rsidRDefault="006F5124" w:rsidP="006F5124">
            <w:pPr>
              <w:contextualSpacing/>
              <w:rPr>
                <w:rFonts w:ascii="Times New Roman" w:eastAsia="Times New Roman" w:hAnsi="Times New Roman" w:cs="Times New Roman"/>
                <w:b w:val="0"/>
                <w:sz w:val="20"/>
                <w:szCs w:val="20"/>
              </w:rPr>
            </w:pPr>
            <w:r w:rsidRPr="00BC69AA">
              <w:rPr>
                <w:rFonts w:ascii="Times New Roman" w:eastAsia="Times New Roman" w:hAnsi="Times New Roman" w:cs="Times New Roman"/>
                <w:b w:val="0"/>
                <w:sz w:val="20"/>
                <w:szCs w:val="20"/>
              </w:rPr>
              <w:t>Trumpalaikiai įsipareigojimai</w:t>
            </w:r>
          </w:p>
        </w:tc>
        <w:tc>
          <w:tcPr>
            <w:tcW w:w="1016" w:type="dxa"/>
            <w:vAlign w:val="center"/>
            <w:hideMark/>
          </w:tcPr>
          <w:p w:rsidR="006F5124" w:rsidRPr="00F80CD4" w:rsidRDefault="006F5124" w:rsidP="004D5C99">
            <w:pPr>
              <w:contextualSpacing/>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460,604</w:t>
            </w:r>
          </w:p>
        </w:tc>
        <w:tc>
          <w:tcPr>
            <w:tcW w:w="1250" w:type="dxa"/>
            <w:vAlign w:val="center"/>
            <w:hideMark/>
          </w:tcPr>
          <w:p w:rsidR="006F5124" w:rsidRPr="00C229E2" w:rsidRDefault="006F5124" w:rsidP="004D5C99">
            <w:pPr>
              <w:contextualSpacing/>
              <w:jc w:val="center"/>
              <w:cnfStyle w:val="000000100000"/>
              <w:rPr>
                <w:rFonts w:ascii="Times New Roman" w:eastAsia="Times New Roman" w:hAnsi="Times New Roman" w:cs="Times New Roman"/>
                <w:i/>
                <w:sz w:val="20"/>
                <w:szCs w:val="20"/>
              </w:rPr>
            </w:pPr>
            <w:r w:rsidRPr="00C229E2">
              <w:rPr>
                <w:rFonts w:ascii="Times New Roman" w:eastAsia="Times New Roman" w:hAnsi="Times New Roman" w:cs="Times New Roman"/>
                <w:i/>
                <w:sz w:val="20"/>
                <w:szCs w:val="20"/>
              </w:rPr>
              <w:t>14.87</w:t>
            </w:r>
          </w:p>
        </w:tc>
        <w:tc>
          <w:tcPr>
            <w:tcW w:w="1016" w:type="dxa"/>
            <w:vAlign w:val="center"/>
            <w:hideMark/>
          </w:tcPr>
          <w:p w:rsidR="006F5124" w:rsidRPr="00F80CD4" w:rsidRDefault="006F5124" w:rsidP="004D5C99">
            <w:pPr>
              <w:contextualSpacing/>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910,357</w:t>
            </w:r>
          </w:p>
        </w:tc>
        <w:tc>
          <w:tcPr>
            <w:tcW w:w="1250" w:type="dxa"/>
            <w:vAlign w:val="center"/>
            <w:hideMark/>
          </w:tcPr>
          <w:p w:rsidR="006F5124" w:rsidRPr="00C229E2" w:rsidRDefault="006F5124" w:rsidP="004D5C99">
            <w:pPr>
              <w:contextualSpacing/>
              <w:jc w:val="center"/>
              <w:cnfStyle w:val="000000100000"/>
              <w:rPr>
                <w:rFonts w:ascii="Times New Roman" w:eastAsia="Times New Roman" w:hAnsi="Times New Roman" w:cs="Times New Roman"/>
                <w:i/>
                <w:sz w:val="20"/>
                <w:szCs w:val="20"/>
              </w:rPr>
            </w:pPr>
            <w:r w:rsidRPr="00C229E2">
              <w:rPr>
                <w:rFonts w:ascii="Times New Roman" w:eastAsia="Times New Roman" w:hAnsi="Times New Roman" w:cs="Times New Roman"/>
                <w:i/>
                <w:sz w:val="20"/>
                <w:szCs w:val="20"/>
              </w:rPr>
              <w:t>21.11</w:t>
            </w:r>
          </w:p>
        </w:tc>
        <w:tc>
          <w:tcPr>
            <w:tcW w:w="1116" w:type="dxa"/>
            <w:vAlign w:val="center"/>
            <w:hideMark/>
          </w:tcPr>
          <w:p w:rsidR="006F5124" w:rsidRPr="00F80CD4" w:rsidRDefault="006F5124" w:rsidP="004D5C99">
            <w:pPr>
              <w:contextualSpacing/>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1,453,952</w:t>
            </w:r>
          </w:p>
        </w:tc>
        <w:tc>
          <w:tcPr>
            <w:tcW w:w="1250" w:type="dxa"/>
            <w:vAlign w:val="center"/>
            <w:hideMark/>
          </w:tcPr>
          <w:p w:rsidR="006F5124" w:rsidRPr="00C229E2" w:rsidRDefault="006F5124" w:rsidP="004D5C99">
            <w:pPr>
              <w:contextualSpacing/>
              <w:jc w:val="center"/>
              <w:cnfStyle w:val="000000100000"/>
              <w:rPr>
                <w:rFonts w:ascii="Times New Roman" w:eastAsia="Times New Roman" w:hAnsi="Times New Roman" w:cs="Times New Roman"/>
                <w:i/>
                <w:sz w:val="20"/>
                <w:szCs w:val="20"/>
              </w:rPr>
            </w:pPr>
            <w:r w:rsidRPr="00C229E2">
              <w:rPr>
                <w:rFonts w:ascii="Times New Roman" w:eastAsia="Times New Roman" w:hAnsi="Times New Roman" w:cs="Times New Roman"/>
                <w:i/>
                <w:sz w:val="20"/>
                <w:szCs w:val="20"/>
              </w:rPr>
              <w:t>37.00</w:t>
            </w:r>
          </w:p>
        </w:tc>
      </w:tr>
      <w:tr w:rsidR="006F5124" w:rsidRPr="00F80CD4" w:rsidTr="004D5C99">
        <w:trPr>
          <w:cnfStyle w:val="000000010000"/>
          <w:trHeight w:val="300"/>
          <w:jc w:val="center"/>
        </w:trPr>
        <w:tc>
          <w:tcPr>
            <w:cnfStyle w:val="001000000000"/>
            <w:tcW w:w="2362" w:type="dxa"/>
            <w:hideMark/>
          </w:tcPr>
          <w:p w:rsidR="006F5124" w:rsidRPr="00BC69AA" w:rsidRDefault="006F5124" w:rsidP="006F5124">
            <w:pPr>
              <w:contextualSpacing/>
              <w:rPr>
                <w:rFonts w:ascii="Times New Roman" w:eastAsia="Times New Roman" w:hAnsi="Times New Roman" w:cs="Times New Roman"/>
                <w:b w:val="0"/>
                <w:sz w:val="20"/>
                <w:szCs w:val="20"/>
              </w:rPr>
            </w:pPr>
            <w:r w:rsidRPr="00BC69AA">
              <w:rPr>
                <w:rFonts w:ascii="Times New Roman" w:eastAsia="Times New Roman" w:hAnsi="Times New Roman" w:cs="Times New Roman"/>
                <w:b w:val="0"/>
                <w:sz w:val="20"/>
                <w:szCs w:val="20"/>
              </w:rPr>
              <w:t>- Trumpalaikės paskolos</w:t>
            </w:r>
          </w:p>
        </w:tc>
        <w:tc>
          <w:tcPr>
            <w:tcW w:w="1016" w:type="dxa"/>
            <w:vAlign w:val="center"/>
            <w:hideMark/>
          </w:tcPr>
          <w:p w:rsidR="006F5124" w:rsidRPr="00F80CD4" w:rsidRDefault="006F5124" w:rsidP="004D5C99">
            <w:pPr>
              <w:contextualSpacing/>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0</w:t>
            </w:r>
          </w:p>
        </w:tc>
        <w:tc>
          <w:tcPr>
            <w:tcW w:w="1250" w:type="dxa"/>
            <w:vAlign w:val="center"/>
            <w:hideMark/>
          </w:tcPr>
          <w:p w:rsidR="006F5124" w:rsidRPr="00C229E2" w:rsidRDefault="006F5124" w:rsidP="004D5C99">
            <w:pPr>
              <w:contextualSpacing/>
              <w:jc w:val="center"/>
              <w:cnfStyle w:val="000000010000"/>
              <w:rPr>
                <w:rFonts w:ascii="Times New Roman" w:eastAsia="Times New Roman" w:hAnsi="Times New Roman" w:cs="Times New Roman"/>
                <w:i/>
                <w:sz w:val="20"/>
                <w:szCs w:val="20"/>
              </w:rPr>
            </w:pPr>
            <w:r w:rsidRPr="00C229E2">
              <w:rPr>
                <w:rFonts w:ascii="Times New Roman" w:eastAsia="Times New Roman" w:hAnsi="Times New Roman" w:cs="Times New Roman"/>
                <w:i/>
                <w:sz w:val="20"/>
                <w:szCs w:val="20"/>
              </w:rPr>
              <w:t>0.00</w:t>
            </w:r>
          </w:p>
        </w:tc>
        <w:tc>
          <w:tcPr>
            <w:tcW w:w="1016" w:type="dxa"/>
            <w:vAlign w:val="center"/>
            <w:hideMark/>
          </w:tcPr>
          <w:p w:rsidR="006F5124" w:rsidRPr="00F80CD4" w:rsidRDefault="006F5124" w:rsidP="004D5C99">
            <w:pPr>
              <w:contextualSpacing/>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0</w:t>
            </w:r>
          </w:p>
        </w:tc>
        <w:tc>
          <w:tcPr>
            <w:tcW w:w="1250" w:type="dxa"/>
            <w:vAlign w:val="center"/>
            <w:hideMark/>
          </w:tcPr>
          <w:p w:rsidR="006F5124" w:rsidRPr="00C229E2" w:rsidRDefault="006F5124" w:rsidP="004D5C99">
            <w:pPr>
              <w:contextualSpacing/>
              <w:jc w:val="center"/>
              <w:cnfStyle w:val="000000010000"/>
              <w:rPr>
                <w:rFonts w:ascii="Times New Roman" w:eastAsia="Times New Roman" w:hAnsi="Times New Roman" w:cs="Times New Roman"/>
                <w:i/>
                <w:sz w:val="20"/>
                <w:szCs w:val="20"/>
              </w:rPr>
            </w:pPr>
            <w:r w:rsidRPr="00C229E2">
              <w:rPr>
                <w:rFonts w:ascii="Times New Roman" w:eastAsia="Times New Roman" w:hAnsi="Times New Roman" w:cs="Times New Roman"/>
                <w:i/>
                <w:sz w:val="20"/>
                <w:szCs w:val="20"/>
              </w:rPr>
              <w:t>0.00</w:t>
            </w:r>
          </w:p>
        </w:tc>
        <w:tc>
          <w:tcPr>
            <w:tcW w:w="1116" w:type="dxa"/>
            <w:vAlign w:val="center"/>
            <w:hideMark/>
          </w:tcPr>
          <w:p w:rsidR="006F5124" w:rsidRPr="00F80CD4" w:rsidRDefault="006F5124" w:rsidP="004D5C99">
            <w:pPr>
              <w:contextualSpacing/>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0</w:t>
            </w:r>
          </w:p>
        </w:tc>
        <w:tc>
          <w:tcPr>
            <w:tcW w:w="1250" w:type="dxa"/>
            <w:vAlign w:val="center"/>
            <w:hideMark/>
          </w:tcPr>
          <w:p w:rsidR="006F5124" w:rsidRPr="00C229E2" w:rsidRDefault="006F5124" w:rsidP="004D5C99">
            <w:pPr>
              <w:contextualSpacing/>
              <w:jc w:val="center"/>
              <w:cnfStyle w:val="000000010000"/>
              <w:rPr>
                <w:rFonts w:ascii="Times New Roman" w:eastAsia="Times New Roman" w:hAnsi="Times New Roman" w:cs="Times New Roman"/>
                <w:i/>
                <w:sz w:val="20"/>
                <w:szCs w:val="20"/>
              </w:rPr>
            </w:pPr>
            <w:r w:rsidRPr="00C229E2">
              <w:rPr>
                <w:rFonts w:ascii="Times New Roman" w:eastAsia="Times New Roman" w:hAnsi="Times New Roman" w:cs="Times New Roman"/>
                <w:i/>
                <w:sz w:val="20"/>
                <w:szCs w:val="20"/>
              </w:rPr>
              <w:t>0.00</w:t>
            </w:r>
          </w:p>
        </w:tc>
      </w:tr>
      <w:tr w:rsidR="006F5124" w:rsidRPr="00F80CD4" w:rsidTr="004D5C99">
        <w:trPr>
          <w:cnfStyle w:val="000000100000"/>
          <w:trHeight w:val="300"/>
          <w:jc w:val="center"/>
        </w:trPr>
        <w:tc>
          <w:tcPr>
            <w:cnfStyle w:val="001000000000"/>
            <w:tcW w:w="2362" w:type="dxa"/>
            <w:hideMark/>
          </w:tcPr>
          <w:p w:rsidR="006F5124" w:rsidRPr="00BC69AA" w:rsidRDefault="006F5124" w:rsidP="006F5124">
            <w:pPr>
              <w:contextualSpacing/>
              <w:rPr>
                <w:rFonts w:ascii="Times New Roman" w:eastAsia="Times New Roman" w:hAnsi="Times New Roman" w:cs="Times New Roman"/>
                <w:b w:val="0"/>
                <w:sz w:val="20"/>
                <w:szCs w:val="20"/>
              </w:rPr>
            </w:pPr>
            <w:r w:rsidRPr="00BC69AA">
              <w:rPr>
                <w:rFonts w:ascii="Times New Roman" w:eastAsia="Times New Roman" w:hAnsi="Times New Roman" w:cs="Times New Roman"/>
                <w:b w:val="0"/>
                <w:sz w:val="20"/>
                <w:szCs w:val="20"/>
              </w:rPr>
              <w:t>- Skolos tiekėjams</w:t>
            </w:r>
          </w:p>
        </w:tc>
        <w:tc>
          <w:tcPr>
            <w:tcW w:w="1016" w:type="dxa"/>
            <w:vAlign w:val="center"/>
            <w:hideMark/>
          </w:tcPr>
          <w:p w:rsidR="006F5124" w:rsidRPr="00F80CD4" w:rsidRDefault="006F5124" w:rsidP="004D5C99">
            <w:pPr>
              <w:contextualSpacing/>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311,162</w:t>
            </w:r>
          </w:p>
        </w:tc>
        <w:tc>
          <w:tcPr>
            <w:tcW w:w="1250" w:type="dxa"/>
            <w:vAlign w:val="center"/>
            <w:hideMark/>
          </w:tcPr>
          <w:p w:rsidR="006F5124" w:rsidRPr="00C229E2" w:rsidRDefault="006F5124" w:rsidP="004D5C99">
            <w:pPr>
              <w:contextualSpacing/>
              <w:jc w:val="center"/>
              <w:cnfStyle w:val="000000100000"/>
              <w:rPr>
                <w:rFonts w:ascii="Times New Roman" w:eastAsia="Times New Roman" w:hAnsi="Times New Roman" w:cs="Times New Roman"/>
                <w:i/>
                <w:sz w:val="20"/>
                <w:szCs w:val="20"/>
              </w:rPr>
            </w:pPr>
            <w:r w:rsidRPr="00C229E2">
              <w:rPr>
                <w:rFonts w:ascii="Times New Roman" w:eastAsia="Times New Roman" w:hAnsi="Times New Roman" w:cs="Times New Roman"/>
                <w:i/>
                <w:sz w:val="20"/>
                <w:szCs w:val="20"/>
              </w:rPr>
              <w:t>67.56</w:t>
            </w:r>
          </w:p>
        </w:tc>
        <w:tc>
          <w:tcPr>
            <w:tcW w:w="1016" w:type="dxa"/>
            <w:vAlign w:val="center"/>
            <w:hideMark/>
          </w:tcPr>
          <w:p w:rsidR="006F5124" w:rsidRPr="00F80CD4" w:rsidRDefault="006F5124" w:rsidP="004D5C99">
            <w:pPr>
              <w:contextualSpacing/>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400,933</w:t>
            </w:r>
          </w:p>
        </w:tc>
        <w:tc>
          <w:tcPr>
            <w:tcW w:w="1250" w:type="dxa"/>
            <w:vAlign w:val="center"/>
            <w:hideMark/>
          </w:tcPr>
          <w:p w:rsidR="006F5124" w:rsidRPr="00C229E2" w:rsidRDefault="006F5124" w:rsidP="004D5C99">
            <w:pPr>
              <w:contextualSpacing/>
              <w:jc w:val="center"/>
              <w:cnfStyle w:val="000000100000"/>
              <w:rPr>
                <w:rFonts w:ascii="Times New Roman" w:eastAsia="Times New Roman" w:hAnsi="Times New Roman" w:cs="Times New Roman"/>
                <w:i/>
                <w:sz w:val="20"/>
                <w:szCs w:val="20"/>
              </w:rPr>
            </w:pPr>
            <w:r w:rsidRPr="00C229E2">
              <w:rPr>
                <w:rFonts w:ascii="Times New Roman" w:eastAsia="Times New Roman" w:hAnsi="Times New Roman" w:cs="Times New Roman"/>
                <w:i/>
                <w:sz w:val="20"/>
                <w:szCs w:val="20"/>
              </w:rPr>
              <w:t>44.04</w:t>
            </w:r>
          </w:p>
        </w:tc>
        <w:tc>
          <w:tcPr>
            <w:tcW w:w="1116" w:type="dxa"/>
            <w:vAlign w:val="center"/>
            <w:hideMark/>
          </w:tcPr>
          <w:p w:rsidR="006F5124" w:rsidRPr="00F80CD4" w:rsidRDefault="006F5124" w:rsidP="004D5C99">
            <w:pPr>
              <w:contextualSpacing/>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807,980</w:t>
            </w:r>
          </w:p>
        </w:tc>
        <w:tc>
          <w:tcPr>
            <w:tcW w:w="1250" w:type="dxa"/>
            <w:vAlign w:val="center"/>
            <w:hideMark/>
          </w:tcPr>
          <w:p w:rsidR="006F5124" w:rsidRPr="00C229E2" w:rsidRDefault="006F5124" w:rsidP="004D5C99">
            <w:pPr>
              <w:contextualSpacing/>
              <w:jc w:val="center"/>
              <w:cnfStyle w:val="000000100000"/>
              <w:rPr>
                <w:rFonts w:ascii="Times New Roman" w:eastAsia="Times New Roman" w:hAnsi="Times New Roman" w:cs="Times New Roman"/>
                <w:i/>
                <w:sz w:val="20"/>
                <w:szCs w:val="20"/>
              </w:rPr>
            </w:pPr>
            <w:r w:rsidRPr="00C229E2">
              <w:rPr>
                <w:rFonts w:ascii="Times New Roman" w:eastAsia="Times New Roman" w:hAnsi="Times New Roman" w:cs="Times New Roman"/>
                <w:i/>
                <w:sz w:val="20"/>
                <w:szCs w:val="20"/>
              </w:rPr>
              <w:t>55.57</w:t>
            </w:r>
          </w:p>
        </w:tc>
      </w:tr>
      <w:tr w:rsidR="006F5124" w:rsidRPr="00F80CD4" w:rsidTr="004D5C99">
        <w:trPr>
          <w:cnfStyle w:val="000000010000"/>
          <w:trHeight w:val="510"/>
          <w:jc w:val="center"/>
        </w:trPr>
        <w:tc>
          <w:tcPr>
            <w:cnfStyle w:val="001000000000"/>
            <w:tcW w:w="2362" w:type="dxa"/>
            <w:hideMark/>
          </w:tcPr>
          <w:p w:rsidR="006F5124" w:rsidRPr="00BC69AA" w:rsidRDefault="006F5124" w:rsidP="006F5124">
            <w:pPr>
              <w:contextualSpacing/>
              <w:rPr>
                <w:rFonts w:ascii="Times New Roman" w:eastAsia="Times New Roman" w:hAnsi="Times New Roman" w:cs="Times New Roman"/>
                <w:b w:val="0"/>
                <w:sz w:val="20"/>
                <w:szCs w:val="20"/>
              </w:rPr>
            </w:pPr>
            <w:r w:rsidRPr="00BC69AA">
              <w:rPr>
                <w:rFonts w:ascii="Times New Roman" w:eastAsia="Times New Roman" w:hAnsi="Times New Roman" w:cs="Times New Roman"/>
                <w:b w:val="0"/>
                <w:sz w:val="20"/>
                <w:szCs w:val="20"/>
              </w:rPr>
              <w:t>- Kiti trumpalaikiai įsipareigojimai</w:t>
            </w:r>
          </w:p>
        </w:tc>
        <w:tc>
          <w:tcPr>
            <w:tcW w:w="1016" w:type="dxa"/>
            <w:vAlign w:val="center"/>
            <w:hideMark/>
          </w:tcPr>
          <w:p w:rsidR="006F5124" w:rsidRPr="00F80CD4" w:rsidRDefault="006F5124" w:rsidP="004D5C99">
            <w:pPr>
              <w:contextualSpacing/>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149,442</w:t>
            </w:r>
          </w:p>
        </w:tc>
        <w:tc>
          <w:tcPr>
            <w:tcW w:w="1250" w:type="dxa"/>
            <w:vAlign w:val="center"/>
            <w:hideMark/>
          </w:tcPr>
          <w:p w:rsidR="006F5124" w:rsidRPr="00C229E2" w:rsidRDefault="006F5124" w:rsidP="004D5C99">
            <w:pPr>
              <w:contextualSpacing/>
              <w:jc w:val="center"/>
              <w:cnfStyle w:val="000000010000"/>
              <w:rPr>
                <w:rFonts w:ascii="Times New Roman" w:eastAsia="Times New Roman" w:hAnsi="Times New Roman" w:cs="Times New Roman"/>
                <w:i/>
                <w:sz w:val="20"/>
                <w:szCs w:val="20"/>
              </w:rPr>
            </w:pPr>
            <w:r w:rsidRPr="00C229E2">
              <w:rPr>
                <w:rFonts w:ascii="Times New Roman" w:eastAsia="Times New Roman" w:hAnsi="Times New Roman" w:cs="Times New Roman"/>
                <w:i/>
                <w:sz w:val="20"/>
                <w:szCs w:val="20"/>
              </w:rPr>
              <w:t>32.44</w:t>
            </w:r>
          </w:p>
        </w:tc>
        <w:tc>
          <w:tcPr>
            <w:tcW w:w="1016" w:type="dxa"/>
            <w:vAlign w:val="center"/>
            <w:hideMark/>
          </w:tcPr>
          <w:p w:rsidR="006F5124" w:rsidRPr="00F80CD4" w:rsidRDefault="006F5124" w:rsidP="004D5C99">
            <w:pPr>
              <w:contextualSpacing/>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509,424</w:t>
            </w:r>
          </w:p>
        </w:tc>
        <w:tc>
          <w:tcPr>
            <w:tcW w:w="1250" w:type="dxa"/>
            <w:vAlign w:val="center"/>
            <w:hideMark/>
          </w:tcPr>
          <w:p w:rsidR="006F5124" w:rsidRPr="00C229E2" w:rsidRDefault="006F5124" w:rsidP="004D5C99">
            <w:pPr>
              <w:contextualSpacing/>
              <w:jc w:val="center"/>
              <w:cnfStyle w:val="000000010000"/>
              <w:rPr>
                <w:rFonts w:ascii="Times New Roman" w:eastAsia="Times New Roman" w:hAnsi="Times New Roman" w:cs="Times New Roman"/>
                <w:i/>
                <w:sz w:val="20"/>
                <w:szCs w:val="20"/>
              </w:rPr>
            </w:pPr>
            <w:r w:rsidRPr="00C229E2">
              <w:rPr>
                <w:rFonts w:ascii="Times New Roman" w:eastAsia="Times New Roman" w:hAnsi="Times New Roman" w:cs="Times New Roman"/>
                <w:i/>
                <w:sz w:val="20"/>
                <w:szCs w:val="20"/>
              </w:rPr>
              <w:t>55.96</w:t>
            </w:r>
          </w:p>
        </w:tc>
        <w:tc>
          <w:tcPr>
            <w:tcW w:w="1116" w:type="dxa"/>
            <w:vAlign w:val="center"/>
            <w:hideMark/>
          </w:tcPr>
          <w:p w:rsidR="006F5124" w:rsidRPr="00F80CD4" w:rsidRDefault="006F5124" w:rsidP="004D5C99">
            <w:pPr>
              <w:contextualSpacing/>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645,972</w:t>
            </w:r>
          </w:p>
        </w:tc>
        <w:tc>
          <w:tcPr>
            <w:tcW w:w="1250" w:type="dxa"/>
            <w:vAlign w:val="center"/>
            <w:hideMark/>
          </w:tcPr>
          <w:p w:rsidR="006F5124" w:rsidRPr="00C229E2" w:rsidRDefault="006F5124" w:rsidP="004D5C99">
            <w:pPr>
              <w:contextualSpacing/>
              <w:jc w:val="center"/>
              <w:cnfStyle w:val="000000010000"/>
              <w:rPr>
                <w:rFonts w:ascii="Times New Roman" w:eastAsia="Times New Roman" w:hAnsi="Times New Roman" w:cs="Times New Roman"/>
                <w:i/>
                <w:sz w:val="20"/>
                <w:szCs w:val="20"/>
              </w:rPr>
            </w:pPr>
            <w:r w:rsidRPr="00C229E2">
              <w:rPr>
                <w:rFonts w:ascii="Times New Roman" w:eastAsia="Times New Roman" w:hAnsi="Times New Roman" w:cs="Times New Roman"/>
                <w:i/>
                <w:sz w:val="20"/>
                <w:szCs w:val="20"/>
              </w:rPr>
              <w:t>44.43</w:t>
            </w:r>
          </w:p>
        </w:tc>
      </w:tr>
      <w:tr w:rsidR="006F5124" w:rsidRPr="00F80CD4" w:rsidTr="004D5C99">
        <w:trPr>
          <w:cnfStyle w:val="000000100000"/>
          <w:trHeight w:val="510"/>
          <w:jc w:val="center"/>
        </w:trPr>
        <w:tc>
          <w:tcPr>
            <w:cnfStyle w:val="001000000000"/>
            <w:tcW w:w="2362" w:type="dxa"/>
            <w:hideMark/>
          </w:tcPr>
          <w:p w:rsidR="006F5124" w:rsidRPr="00F80CD4" w:rsidRDefault="006F5124" w:rsidP="006F5124">
            <w:pPr>
              <w:contextualSpacing/>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NUOSAVO KAPITALO IR ĮSIPAREIGOJIMŲ IŠ VISO</w:t>
            </w:r>
          </w:p>
        </w:tc>
        <w:tc>
          <w:tcPr>
            <w:tcW w:w="1016" w:type="dxa"/>
            <w:vAlign w:val="center"/>
            <w:hideMark/>
          </w:tcPr>
          <w:p w:rsidR="006F5124" w:rsidRPr="003D0441" w:rsidRDefault="006F5124" w:rsidP="004D5C99">
            <w:pPr>
              <w:contextualSpacing/>
              <w:jc w:val="center"/>
              <w:cnfStyle w:val="000000100000"/>
              <w:rPr>
                <w:rFonts w:ascii="Times New Roman" w:eastAsia="Times New Roman" w:hAnsi="Times New Roman" w:cs="Times New Roman"/>
                <w:b/>
                <w:sz w:val="20"/>
                <w:szCs w:val="20"/>
              </w:rPr>
            </w:pPr>
            <w:r w:rsidRPr="003D0441">
              <w:rPr>
                <w:rFonts w:ascii="Times New Roman" w:eastAsia="Times New Roman" w:hAnsi="Times New Roman" w:cs="Times New Roman"/>
                <w:b/>
                <w:sz w:val="20"/>
                <w:szCs w:val="20"/>
              </w:rPr>
              <w:t>3,098,426</w:t>
            </w:r>
          </w:p>
        </w:tc>
        <w:tc>
          <w:tcPr>
            <w:tcW w:w="1250" w:type="dxa"/>
            <w:vAlign w:val="center"/>
            <w:hideMark/>
          </w:tcPr>
          <w:p w:rsidR="006F5124" w:rsidRPr="003D0441" w:rsidRDefault="006F5124" w:rsidP="004D5C99">
            <w:pPr>
              <w:contextualSpacing/>
              <w:jc w:val="center"/>
              <w:cnfStyle w:val="000000100000"/>
              <w:rPr>
                <w:rFonts w:ascii="Times New Roman" w:eastAsia="Times New Roman" w:hAnsi="Times New Roman" w:cs="Times New Roman"/>
                <w:b/>
                <w:i/>
                <w:sz w:val="20"/>
                <w:szCs w:val="20"/>
              </w:rPr>
            </w:pPr>
          </w:p>
        </w:tc>
        <w:tc>
          <w:tcPr>
            <w:tcW w:w="1016" w:type="dxa"/>
            <w:vAlign w:val="center"/>
            <w:hideMark/>
          </w:tcPr>
          <w:p w:rsidR="006F5124" w:rsidRPr="003D0441" w:rsidRDefault="006F5124" w:rsidP="004D5C99">
            <w:pPr>
              <w:contextualSpacing/>
              <w:jc w:val="center"/>
              <w:cnfStyle w:val="000000100000"/>
              <w:rPr>
                <w:rFonts w:ascii="Times New Roman" w:eastAsia="Times New Roman" w:hAnsi="Times New Roman" w:cs="Times New Roman"/>
                <w:b/>
                <w:sz w:val="20"/>
                <w:szCs w:val="20"/>
              </w:rPr>
            </w:pPr>
            <w:r w:rsidRPr="003D0441">
              <w:rPr>
                <w:rFonts w:ascii="Times New Roman" w:eastAsia="Times New Roman" w:hAnsi="Times New Roman" w:cs="Times New Roman"/>
                <w:b/>
                <w:sz w:val="20"/>
                <w:szCs w:val="20"/>
              </w:rPr>
              <w:t>4,313,061</w:t>
            </w:r>
          </w:p>
        </w:tc>
        <w:tc>
          <w:tcPr>
            <w:tcW w:w="1250" w:type="dxa"/>
            <w:vAlign w:val="center"/>
            <w:hideMark/>
          </w:tcPr>
          <w:p w:rsidR="006F5124" w:rsidRPr="003D0441" w:rsidRDefault="006F5124" w:rsidP="004D5C99">
            <w:pPr>
              <w:contextualSpacing/>
              <w:jc w:val="center"/>
              <w:cnfStyle w:val="000000100000"/>
              <w:rPr>
                <w:rFonts w:ascii="Times New Roman" w:eastAsia="Times New Roman" w:hAnsi="Times New Roman" w:cs="Times New Roman"/>
                <w:b/>
                <w:i/>
                <w:sz w:val="20"/>
                <w:szCs w:val="20"/>
              </w:rPr>
            </w:pPr>
          </w:p>
        </w:tc>
        <w:tc>
          <w:tcPr>
            <w:tcW w:w="1116" w:type="dxa"/>
            <w:vAlign w:val="center"/>
            <w:hideMark/>
          </w:tcPr>
          <w:p w:rsidR="006F5124" w:rsidRPr="003D0441" w:rsidRDefault="006F5124" w:rsidP="004D5C99">
            <w:pPr>
              <w:contextualSpacing/>
              <w:jc w:val="center"/>
              <w:cnfStyle w:val="000000100000"/>
              <w:rPr>
                <w:rFonts w:ascii="Times New Roman" w:eastAsia="Times New Roman" w:hAnsi="Times New Roman" w:cs="Times New Roman"/>
                <w:b/>
                <w:sz w:val="20"/>
                <w:szCs w:val="20"/>
              </w:rPr>
            </w:pPr>
            <w:r w:rsidRPr="003D0441">
              <w:rPr>
                <w:rFonts w:ascii="Times New Roman" w:eastAsia="Times New Roman" w:hAnsi="Times New Roman" w:cs="Times New Roman"/>
                <w:b/>
                <w:sz w:val="20"/>
                <w:szCs w:val="20"/>
              </w:rPr>
              <w:t>3,929,810</w:t>
            </w:r>
          </w:p>
        </w:tc>
        <w:tc>
          <w:tcPr>
            <w:tcW w:w="1250" w:type="dxa"/>
            <w:vAlign w:val="center"/>
            <w:hideMark/>
          </w:tcPr>
          <w:p w:rsidR="006F5124" w:rsidRPr="00C229E2" w:rsidRDefault="006F5124" w:rsidP="004D5C99">
            <w:pPr>
              <w:contextualSpacing/>
              <w:jc w:val="center"/>
              <w:cnfStyle w:val="000000100000"/>
              <w:rPr>
                <w:rFonts w:ascii="Times New Roman" w:eastAsia="Times New Roman" w:hAnsi="Times New Roman" w:cs="Times New Roman"/>
                <w:i/>
                <w:sz w:val="20"/>
                <w:szCs w:val="20"/>
              </w:rPr>
            </w:pPr>
          </w:p>
        </w:tc>
      </w:tr>
    </w:tbl>
    <w:p w:rsidR="006F5124" w:rsidRDefault="006F5124" w:rsidP="006014D3">
      <w:pPr>
        <w:rPr>
          <w:rFonts w:ascii="Times New Roman" w:hAnsi="Times New Roman" w:cs="Times New Roman"/>
          <w:sz w:val="24"/>
          <w:szCs w:val="24"/>
          <w:lang w:val="lt-LT"/>
        </w:rPr>
      </w:pPr>
    </w:p>
    <w:p w:rsidR="00C229E2" w:rsidRDefault="00C229E2" w:rsidP="006014D3">
      <w:pPr>
        <w:rPr>
          <w:rFonts w:ascii="Times New Roman" w:hAnsi="Times New Roman" w:cs="Times New Roman"/>
          <w:sz w:val="24"/>
          <w:szCs w:val="24"/>
          <w:lang w:val="lt-LT"/>
        </w:rPr>
      </w:pPr>
    </w:p>
    <w:p w:rsidR="00C229E2" w:rsidRDefault="00C229E2" w:rsidP="006014D3">
      <w:pPr>
        <w:rPr>
          <w:rFonts w:ascii="Times New Roman" w:hAnsi="Times New Roman" w:cs="Times New Roman"/>
          <w:sz w:val="24"/>
          <w:szCs w:val="24"/>
          <w:lang w:val="lt-LT"/>
        </w:rPr>
      </w:pPr>
    </w:p>
    <w:p w:rsidR="003D0441" w:rsidRPr="003D0441" w:rsidRDefault="003D0441" w:rsidP="003D0441">
      <w:pPr>
        <w:autoSpaceDE w:val="0"/>
        <w:autoSpaceDN w:val="0"/>
        <w:adjustRightInd w:val="0"/>
        <w:spacing w:after="0"/>
        <w:jc w:val="center"/>
        <w:rPr>
          <w:rFonts w:ascii="Times New Roman" w:hAnsi="Times New Roman" w:cs="Times New Roman"/>
          <w:b/>
          <w:szCs w:val="24"/>
        </w:rPr>
      </w:pPr>
      <w:r>
        <w:rPr>
          <w:rFonts w:ascii="Times New Roman" w:hAnsi="Times New Roman" w:cs="Times New Roman"/>
          <w:szCs w:val="24"/>
        </w:rPr>
        <w:lastRenderedPageBreak/>
        <w:t>2</w:t>
      </w:r>
      <w:r w:rsidRPr="004D5C99">
        <w:rPr>
          <w:rFonts w:ascii="Times New Roman" w:hAnsi="Times New Roman" w:cs="Times New Roman"/>
          <w:szCs w:val="24"/>
        </w:rPr>
        <w:t xml:space="preserve"> lentelė.</w:t>
      </w:r>
      <w:r w:rsidRPr="004D5C99">
        <w:rPr>
          <w:rFonts w:ascii="Times New Roman" w:hAnsi="Times New Roman" w:cs="Times New Roman"/>
          <w:b/>
          <w:szCs w:val="24"/>
        </w:rPr>
        <w:t xml:space="preserve"> </w:t>
      </w:r>
      <w:r>
        <w:rPr>
          <w:rFonts w:ascii="Times New Roman" w:hAnsi="Times New Roman" w:cs="Times New Roman"/>
          <w:b/>
          <w:szCs w:val="24"/>
        </w:rPr>
        <w:t>UAB “Romas ir ko” balanso straipsnių lyginamieji svoriai</w:t>
      </w:r>
    </w:p>
    <w:tbl>
      <w:tblPr>
        <w:tblStyle w:val="LightGrid-Accent6"/>
        <w:tblW w:w="9060" w:type="dxa"/>
        <w:jc w:val="center"/>
        <w:tblLook w:val="04A0"/>
      </w:tblPr>
      <w:tblGrid>
        <w:gridCol w:w="2262"/>
        <w:gridCol w:w="1016"/>
        <w:gridCol w:w="1250"/>
        <w:gridCol w:w="1016"/>
        <w:gridCol w:w="1250"/>
        <w:gridCol w:w="1016"/>
        <w:gridCol w:w="1250"/>
      </w:tblGrid>
      <w:tr w:rsidR="003D0441" w:rsidRPr="00455DFC" w:rsidTr="003D0441">
        <w:trPr>
          <w:cnfStyle w:val="100000000000"/>
          <w:trHeight w:val="300"/>
          <w:jc w:val="center"/>
        </w:trPr>
        <w:tc>
          <w:tcPr>
            <w:cnfStyle w:val="001000000000"/>
            <w:tcW w:w="9060" w:type="dxa"/>
            <w:gridSpan w:val="7"/>
            <w:hideMark/>
          </w:tcPr>
          <w:p w:rsidR="003D0441" w:rsidRPr="00455DFC" w:rsidRDefault="003D0441" w:rsidP="003D0441">
            <w:pPr>
              <w:jc w:val="center"/>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UAB “ROMAS IR KO” BALANSO STRAIPSNIŲ LYGINAMIEJI SVORIAI</w:t>
            </w:r>
          </w:p>
        </w:tc>
      </w:tr>
      <w:tr w:rsidR="003D0441" w:rsidRPr="00455DFC" w:rsidTr="003D0441">
        <w:trPr>
          <w:cnfStyle w:val="000000100000"/>
          <w:trHeight w:val="300"/>
          <w:jc w:val="center"/>
        </w:trPr>
        <w:tc>
          <w:tcPr>
            <w:cnfStyle w:val="001000000000"/>
            <w:tcW w:w="2262" w:type="dxa"/>
            <w:hideMark/>
          </w:tcPr>
          <w:p w:rsidR="003D0441" w:rsidRPr="00455DFC" w:rsidRDefault="003D0441" w:rsidP="0020759B">
            <w:pPr>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 </w:t>
            </w:r>
          </w:p>
        </w:tc>
        <w:tc>
          <w:tcPr>
            <w:tcW w:w="2266" w:type="dxa"/>
            <w:gridSpan w:val="2"/>
            <w:hideMark/>
          </w:tcPr>
          <w:p w:rsidR="003D0441" w:rsidRPr="00455DFC" w:rsidRDefault="003D0441" w:rsidP="0020759B">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31/12/2008</w:t>
            </w:r>
          </w:p>
        </w:tc>
        <w:tc>
          <w:tcPr>
            <w:tcW w:w="2266" w:type="dxa"/>
            <w:gridSpan w:val="2"/>
            <w:hideMark/>
          </w:tcPr>
          <w:p w:rsidR="003D0441" w:rsidRPr="00455DFC" w:rsidRDefault="003D0441" w:rsidP="0020759B">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31/12/2009</w:t>
            </w:r>
          </w:p>
        </w:tc>
        <w:tc>
          <w:tcPr>
            <w:tcW w:w="2266" w:type="dxa"/>
            <w:gridSpan w:val="2"/>
            <w:hideMark/>
          </w:tcPr>
          <w:p w:rsidR="003D0441" w:rsidRPr="00455DFC" w:rsidRDefault="003D0441" w:rsidP="0020759B">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31/12/2010</w:t>
            </w:r>
          </w:p>
        </w:tc>
      </w:tr>
      <w:tr w:rsidR="00E6354F" w:rsidRPr="00455DFC" w:rsidTr="004633A4">
        <w:trPr>
          <w:cnfStyle w:val="000000010000"/>
          <w:trHeight w:val="510"/>
          <w:jc w:val="center"/>
        </w:trPr>
        <w:tc>
          <w:tcPr>
            <w:cnfStyle w:val="001000000000"/>
            <w:tcW w:w="2262" w:type="dxa"/>
            <w:hideMark/>
          </w:tcPr>
          <w:p w:rsidR="00E6354F" w:rsidRPr="00455DFC" w:rsidRDefault="00E6354F" w:rsidP="0020759B">
            <w:pPr>
              <w:jc w:val="center"/>
              <w:rPr>
                <w:rFonts w:ascii="Times New Roman" w:eastAsia="Times New Roman" w:hAnsi="Times New Roman" w:cs="Times New Roman"/>
                <w:b w:val="0"/>
                <w:bCs w:val="0"/>
                <w:sz w:val="20"/>
                <w:szCs w:val="20"/>
              </w:rPr>
            </w:pPr>
            <w:r w:rsidRPr="00455DFC">
              <w:rPr>
                <w:rFonts w:ascii="Times New Roman" w:eastAsia="Times New Roman" w:hAnsi="Times New Roman" w:cs="Times New Roman"/>
                <w:b w:val="0"/>
                <w:bCs w:val="0"/>
                <w:sz w:val="20"/>
                <w:szCs w:val="20"/>
              </w:rPr>
              <w:t>Turtas</w:t>
            </w:r>
          </w:p>
        </w:tc>
        <w:tc>
          <w:tcPr>
            <w:tcW w:w="1016" w:type="dxa"/>
            <w:vAlign w:val="center"/>
            <w:hideMark/>
          </w:tcPr>
          <w:p w:rsidR="00E6354F" w:rsidRPr="00F80CD4" w:rsidRDefault="00E6354F" w:rsidP="004633A4">
            <w:pPr>
              <w:contextualSpacing/>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EUR</w:t>
            </w:r>
          </w:p>
        </w:tc>
        <w:tc>
          <w:tcPr>
            <w:tcW w:w="1250" w:type="dxa"/>
            <w:vAlign w:val="center"/>
            <w:hideMark/>
          </w:tcPr>
          <w:p w:rsidR="00E6354F" w:rsidRPr="004D5C99" w:rsidRDefault="00E6354F" w:rsidP="004633A4">
            <w:pPr>
              <w:contextualSpacing/>
              <w:jc w:val="center"/>
              <w:cnfStyle w:val="000000010000"/>
              <w:rPr>
                <w:rFonts w:ascii="Times New Roman" w:eastAsia="Times New Roman" w:hAnsi="Times New Roman" w:cs="Times New Roman"/>
                <w:b/>
                <w:bCs/>
                <w:sz w:val="20"/>
                <w:szCs w:val="20"/>
              </w:rPr>
            </w:pPr>
            <w:r w:rsidRPr="004D5C99">
              <w:rPr>
                <w:rFonts w:ascii="Times New Roman" w:eastAsia="Times New Roman" w:hAnsi="Times New Roman" w:cs="Times New Roman"/>
                <w:b/>
                <w:bCs/>
                <w:sz w:val="20"/>
                <w:szCs w:val="20"/>
              </w:rPr>
              <w:t xml:space="preserve">Lyginamieji svoriai, </w:t>
            </w:r>
            <w:r>
              <w:rPr>
                <w:rFonts w:ascii="Times New Roman" w:eastAsia="Times New Roman" w:hAnsi="Times New Roman" w:cs="Times New Roman"/>
                <w:b/>
                <w:bCs/>
                <w:sz w:val="20"/>
                <w:szCs w:val="20"/>
              </w:rPr>
              <w:t>proc.</w:t>
            </w:r>
          </w:p>
        </w:tc>
        <w:tc>
          <w:tcPr>
            <w:tcW w:w="1016" w:type="dxa"/>
            <w:vAlign w:val="center"/>
            <w:hideMark/>
          </w:tcPr>
          <w:p w:rsidR="00E6354F" w:rsidRPr="004D5C99" w:rsidRDefault="00E6354F" w:rsidP="004633A4">
            <w:pPr>
              <w:contextualSpacing/>
              <w:jc w:val="center"/>
              <w:cnfStyle w:val="000000010000"/>
              <w:rPr>
                <w:rFonts w:ascii="Times New Roman" w:eastAsia="Times New Roman" w:hAnsi="Times New Roman" w:cs="Times New Roman"/>
                <w:b/>
                <w:bCs/>
                <w:sz w:val="20"/>
                <w:szCs w:val="20"/>
              </w:rPr>
            </w:pPr>
            <w:r w:rsidRPr="004D5C99">
              <w:rPr>
                <w:rFonts w:ascii="Times New Roman" w:eastAsia="Times New Roman" w:hAnsi="Times New Roman" w:cs="Times New Roman"/>
                <w:sz w:val="20"/>
                <w:szCs w:val="20"/>
              </w:rPr>
              <w:t>EUR</w:t>
            </w:r>
          </w:p>
        </w:tc>
        <w:tc>
          <w:tcPr>
            <w:tcW w:w="1250" w:type="dxa"/>
            <w:vAlign w:val="center"/>
            <w:hideMark/>
          </w:tcPr>
          <w:p w:rsidR="00E6354F" w:rsidRPr="004D5C99" w:rsidRDefault="00E6354F" w:rsidP="004633A4">
            <w:pPr>
              <w:contextualSpacing/>
              <w:jc w:val="center"/>
              <w:cnfStyle w:val="000000010000"/>
              <w:rPr>
                <w:rFonts w:ascii="Times New Roman" w:eastAsia="Times New Roman" w:hAnsi="Times New Roman" w:cs="Times New Roman"/>
                <w:b/>
                <w:bCs/>
                <w:sz w:val="20"/>
                <w:szCs w:val="20"/>
              </w:rPr>
            </w:pPr>
            <w:r w:rsidRPr="004D5C99">
              <w:rPr>
                <w:rFonts w:ascii="Times New Roman" w:eastAsia="Times New Roman" w:hAnsi="Times New Roman" w:cs="Times New Roman"/>
                <w:b/>
                <w:bCs/>
                <w:sz w:val="20"/>
                <w:szCs w:val="20"/>
              </w:rPr>
              <w:t xml:space="preserve">Lyginamieji svoriai, </w:t>
            </w:r>
            <w:r>
              <w:rPr>
                <w:rFonts w:ascii="Times New Roman" w:eastAsia="Times New Roman" w:hAnsi="Times New Roman" w:cs="Times New Roman"/>
                <w:b/>
                <w:bCs/>
                <w:sz w:val="20"/>
                <w:szCs w:val="20"/>
              </w:rPr>
              <w:t>proc.</w:t>
            </w:r>
          </w:p>
        </w:tc>
        <w:tc>
          <w:tcPr>
            <w:tcW w:w="1016" w:type="dxa"/>
            <w:vAlign w:val="center"/>
            <w:hideMark/>
          </w:tcPr>
          <w:p w:rsidR="00E6354F" w:rsidRPr="004D5C99" w:rsidRDefault="00E6354F" w:rsidP="004633A4">
            <w:pPr>
              <w:contextualSpacing/>
              <w:jc w:val="center"/>
              <w:cnfStyle w:val="000000010000"/>
              <w:rPr>
                <w:rFonts w:ascii="Times New Roman" w:eastAsia="Times New Roman" w:hAnsi="Times New Roman" w:cs="Times New Roman"/>
                <w:b/>
                <w:bCs/>
                <w:sz w:val="20"/>
                <w:szCs w:val="20"/>
              </w:rPr>
            </w:pPr>
            <w:r w:rsidRPr="004D5C99">
              <w:rPr>
                <w:rFonts w:ascii="Times New Roman" w:eastAsia="Times New Roman" w:hAnsi="Times New Roman" w:cs="Times New Roman"/>
                <w:sz w:val="20"/>
                <w:szCs w:val="20"/>
              </w:rPr>
              <w:t>EUR</w:t>
            </w:r>
          </w:p>
        </w:tc>
        <w:tc>
          <w:tcPr>
            <w:tcW w:w="1250" w:type="dxa"/>
            <w:vAlign w:val="center"/>
            <w:hideMark/>
          </w:tcPr>
          <w:p w:rsidR="00E6354F" w:rsidRPr="004D5C99" w:rsidRDefault="00E6354F" w:rsidP="004633A4">
            <w:pPr>
              <w:contextualSpacing/>
              <w:jc w:val="center"/>
              <w:cnfStyle w:val="000000010000"/>
              <w:rPr>
                <w:rFonts w:ascii="Times New Roman" w:eastAsia="Times New Roman" w:hAnsi="Times New Roman" w:cs="Times New Roman"/>
                <w:b/>
                <w:bCs/>
                <w:sz w:val="20"/>
                <w:szCs w:val="20"/>
              </w:rPr>
            </w:pPr>
            <w:r w:rsidRPr="004D5C99">
              <w:rPr>
                <w:rFonts w:ascii="Times New Roman" w:eastAsia="Times New Roman" w:hAnsi="Times New Roman" w:cs="Times New Roman"/>
                <w:b/>
                <w:bCs/>
                <w:sz w:val="20"/>
                <w:szCs w:val="20"/>
              </w:rPr>
              <w:t xml:space="preserve">Lyginamieji svoriai, </w:t>
            </w:r>
            <w:r>
              <w:rPr>
                <w:rFonts w:ascii="Times New Roman" w:eastAsia="Times New Roman" w:hAnsi="Times New Roman" w:cs="Times New Roman"/>
                <w:b/>
                <w:bCs/>
                <w:sz w:val="20"/>
                <w:szCs w:val="20"/>
              </w:rPr>
              <w:t xml:space="preserve"> proc.</w:t>
            </w:r>
          </w:p>
        </w:tc>
      </w:tr>
      <w:tr w:rsidR="003D0441" w:rsidRPr="00455DFC" w:rsidTr="004E4528">
        <w:trPr>
          <w:cnfStyle w:val="000000100000"/>
          <w:trHeight w:val="300"/>
          <w:jc w:val="center"/>
        </w:trPr>
        <w:tc>
          <w:tcPr>
            <w:cnfStyle w:val="001000000000"/>
            <w:tcW w:w="2262" w:type="dxa"/>
            <w:hideMark/>
          </w:tcPr>
          <w:p w:rsidR="003D0441" w:rsidRPr="00651171" w:rsidRDefault="003D0441" w:rsidP="0020759B">
            <w:pPr>
              <w:rPr>
                <w:rFonts w:ascii="Times New Roman" w:eastAsia="Times New Roman" w:hAnsi="Times New Roman" w:cs="Times New Roman"/>
                <w:b w:val="0"/>
                <w:sz w:val="20"/>
                <w:szCs w:val="20"/>
              </w:rPr>
            </w:pPr>
            <w:r w:rsidRPr="00651171">
              <w:rPr>
                <w:rFonts w:ascii="Times New Roman" w:eastAsia="Times New Roman" w:hAnsi="Times New Roman" w:cs="Times New Roman"/>
                <w:b w:val="0"/>
                <w:sz w:val="20"/>
                <w:szCs w:val="20"/>
              </w:rPr>
              <w:t>Ilgalaikis turtas</w:t>
            </w:r>
          </w:p>
        </w:tc>
        <w:tc>
          <w:tcPr>
            <w:tcW w:w="1016" w:type="dxa"/>
            <w:vAlign w:val="center"/>
            <w:hideMark/>
          </w:tcPr>
          <w:p w:rsidR="003D0441" w:rsidRPr="00455DFC" w:rsidRDefault="003D0441" w:rsidP="004E4528">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2,685,640</w:t>
            </w:r>
          </w:p>
        </w:tc>
        <w:tc>
          <w:tcPr>
            <w:tcW w:w="1250" w:type="dxa"/>
            <w:vAlign w:val="center"/>
            <w:hideMark/>
          </w:tcPr>
          <w:p w:rsidR="003D0441" w:rsidRPr="00651171" w:rsidRDefault="003D0441" w:rsidP="004E4528">
            <w:pPr>
              <w:jc w:val="center"/>
              <w:cnfStyle w:val="00000010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65.95</w:t>
            </w:r>
          </w:p>
        </w:tc>
        <w:tc>
          <w:tcPr>
            <w:tcW w:w="1016" w:type="dxa"/>
            <w:vAlign w:val="center"/>
            <w:hideMark/>
          </w:tcPr>
          <w:p w:rsidR="003D0441" w:rsidRPr="00455DFC" w:rsidRDefault="003D0441" w:rsidP="004E4528">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2,182,263</w:t>
            </w:r>
          </w:p>
        </w:tc>
        <w:tc>
          <w:tcPr>
            <w:tcW w:w="1250" w:type="dxa"/>
            <w:vAlign w:val="center"/>
            <w:hideMark/>
          </w:tcPr>
          <w:p w:rsidR="003D0441" w:rsidRPr="00651171" w:rsidRDefault="003D0441" w:rsidP="004E4528">
            <w:pPr>
              <w:jc w:val="center"/>
              <w:cnfStyle w:val="00000010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59.40</w:t>
            </w:r>
          </w:p>
        </w:tc>
        <w:tc>
          <w:tcPr>
            <w:tcW w:w="1016" w:type="dxa"/>
            <w:vAlign w:val="center"/>
            <w:hideMark/>
          </w:tcPr>
          <w:p w:rsidR="003D0441" w:rsidRPr="00455DFC" w:rsidRDefault="003D0441" w:rsidP="004E4528">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1,771,286</w:t>
            </w:r>
          </w:p>
        </w:tc>
        <w:tc>
          <w:tcPr>
            <w:tcW w:w="1250" w:type="dxa"/>
            <w:vAlign w:val="center"/>
            <w:hideMark/>
          </w:tcPr>
          <w:p w:rsidR="003D0441" w:rsidRPr="00651171" w:rsidRDefault="003D0441" w:rsidP="004E4528">
            <w:pPr>
              <w:jc w:val="center"/>
              <w:cnfStyle w:val="00000010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70.46</w:t>
            </w:r>
          </w:p>
        </w:tc>
      </w:tr>
      <w:tr w:rsidR="003D0441" w:rsidRPr="00455DFC" w:rsidTr="004E4528">
        <w:trPr>
          <w:cnfStyle w:val="000000010000"/>
          <w:trHeight w:val="300"/>
          <w:jc w:val="center"/>
        </w:trPr>
        <w:tc>
          <w:tcPr>
            <w:cnfStyle w:val="001000000000"/>
            <w:tcW w:w="2262" w:type="dxa"/>
            <w:hideMark/>
          </w:tcPr>
          <w:p w:rsidR="003D0441" w:rsidRPr="00651171" w:rsidRDefault="003D0441" w:rsidP="0020759B">
            <w:pPr>
              <w:rPr>
                <w:rFonts w:ascii="Times New Roman" w:eastAsia="Times New Roman" w:hAnsi="Times New Roman" w:cs="Times New Roman"/>
                <w:b w:val="0"/>
                <w:sz w:val="20"/>
                <w:szCs w:val="20"/>
              </w:rPr>
            </w:pPr>
            <w:r w:rsidRPr="00651171">
              <w:rPr>
                <w:rFonts w:ascii="Times New Roman" w:eastAsia="Times New Roman" w:hAnsi="Times New Roman" w:cs="Times New Roman"/>
                <w:b w:val="0"/>
                <w:sz w:val="20"/>
                <w:szCs w:val="20"/>
              </w:rPr>
              <w:t>- Nematerialus turtas</w:t>
            </w:r>
          </w:p>
        </w:tc>
        <w:tc>
          <w:tcPr>
            <w:tcW w:w="1016" w:type="dxa"/>
            <w:vAlign w:val="center"/>
            <w:hideMark/>
          </w:tcPr>
          <w:p w:rsidR="003D0441" w:rsidRPr="00455DFC" w:rsidRDefault="003D0441" w:rsidP="004E4528">
            <w:pPr>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312</w:t>
            </w:r>
          </w:p>
        </w:tc>
        <w:tc>
          <w:tcPr>
            <w:tcW w:w="1250" w:type="dxa"/>
            <w:vAlign w:val="center"/>
            <w:hideMark/>
          </w:tcPr>
          <w:p w:rsidR="003D0441" w:rsidRPr="00651171" w:rsidRDefault="003D0441" w:rsidP="004E4528">
            <w:pPr>
              <w:jc w:val="center"/>
              <w:cnfStyle w:val="00000001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0.01</w:t>
            </w:r>
          </w:p>
        </w:tc>
        <w:tc>
          <w:tcPr>
            <w:tcW w:w="1016" w:type="dxa"/>
            <w:vAlign w:val="center"/>
            <w:hideMark/>
          </w:tcPr>
          <w:p w:rsidR="003D0441" w:rsidRPr="00455DFC" w:rsidRDefault="003D0441" w:rsidP="004E4528">
            <w:pPr>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206</w:t>
            </w:r>
          </w:p>
        </w:tc>
        <w:tc>
          <w:tcPr>
            <w:tcW w:w="1250" w:type="dxa"/>
            <w:vAlign w:val="center"/>
            <w:hideMark/>
          </w:tcPr>
          <w:p w:rsidR="003D0441" w:rsidRPr="00651171" w:rsidRDefault="003D0441" w:rsidP="004E4528">
            <w:pPr>
              <w:jc w:val="center"/>
              <w:cnfStyle w:val="00000001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0.01</w:t>
            </w:r>
          </w:p>
        </w:tc>
        <w:tc>
          <w:tcPr>
            <w:tcW w:w="1016" w:type="dxa"/>
            <w:vAlign w:val="center"/>
            <w:hideMark/>
          </w:tcPr>
          <w:p w:rsidR="003D0441" w:rsidRPr="00455DFC" w:rsidRDefault="003D0441" w:rsidP="004E4528">
            <w:pPr>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92</w:t>
            </w:r>
          </w:p>
        </w:tc>
        <w:tc>
          <w:tcPr>
            <w:tcW w:w="1250" w:type="dxa"/>
            <w:vAlign w:val="center"/>
            <w:hideMark/>
          </w:tcPr>
          <w:p w:rsidR="003D0441" w:rsidRPr="00651171" w:rsidRDefault="003D0441" w:rsidP="004E4528">
            <w:pPr>
              <w:jc w:val="center"/>
              <w:cnfStyle w:val="00000001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0.01</w:t>
            </w:r>
          </w:p>
        </w:tc>
      </w:tr>
      <w:tr w:rsidR="003D0441" w:rsidRPr="00455DFC" w:rsidTr="004E4528">
        <w:trPr>
          <w:cnfStyle w:val="000000100000"/>
          <w:trHeight w:val="300"/>
          <w:jc w:val="center"/>
        </w:trPr>
        <w:tc>
          <w:tcPr>
            <w:cnfStyle w:val="001000000000"/>
            <w:tcW w:w="2262" w:type="dxa"/>
            <w:hideMark/>
          </w:tcPr>
          <w:p w:rsidR="003D0441" w:rsidRPr="00651171" w:rsidRDefault="003D0441" w:rsidP="0020759B">
            <w:pPr>
              <w:rPr>
                <w:rFonts w:ascii="Times New Roman" w:eastAsia="Times New Roman" w:hAnsi="Times New Roman" w:cs="Times New Roman"/>
                <w:b w:val="0"/>
                <w:sz w:val="20"/>
                <w:szCs w:val="20"/>
              </w:rPr>
            </w:pPr>
            <w:r w:rsidRPr="00651171">
              <w:rPr>
                <w:rFonts w:ascii="Times New Roman" w:eastAsia="Times New Roman" w:hAnsi="Times New Roman" w:cs="Times New Roman"/>
                <w:b w:val="0"/>
                <w:sz w:val="20"/>
                <w:szCs w:val="20"/>
              </w:rPr>
              <w:t>- Materialus turtas</w:t>
            </w:r>
          </w:p>
        </w:tc>
        <w:tc>
          <w:tcPr>
            <w:tcW w:w="1016" w:type="dxa"/>
            <w:vAlign w:val="center"/>
            <w:hideMark/>
          </w:tcPr>
          <w:p w:rsidR="003D0441" w:rsidRPr="00455DFC" w:rsidRDefault="003D0441" w:rsidP="004E4528">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2,685,328</w:t>
            </w:r>
          </w:p>
        </w:tc>
        <w:tc>
          <w:tcPr>
            <w:tcW w:w="1250" w:type="dxa"/>
            <w:vAlign w:val="center"/>
            <w:hideMark/>
          </w:tcPr>
          <w:p w:rsidR="003D0441" w:rsidRPr="00651171" w:rsidRDefault="003D0441" w:rsidP="004E4528">
            <w:pPr>
              <w:jc w:val="center"/>
              <w:cnfStyle w:val="00000010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99.99</w:t>
            </w:r>
          </w:p>
        </w:tc>
        <w:tc>
          <w:tcPr>
            <w:tcW w:w="1016" w:type="dxa"/>
            <w:vAlign w:val="center"/>
            <w:hideMark/>
          </w:tcPr>
          <w:p w:rsidR="003D0441" w:rsidRPr="00455DFC" w:rsidRDefault="003D0441" w:rsidP="004E4528">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2,182,058</w:t>
            </w:r>
          </w:p>
        </w:tc>
        <w:tc>
          <w:tcPr>
            <w:tcW w:w="1250" w:type="dxa"/>
            <w:vAlign w:val="center"/>
            <w:hideMark/>
          </w:tcPr>
          <w:p w:rsidR="003D0441" w:rsidRPr="00651171" w:rsidRDefault="003D0441" w:rsidP="004E4528">
            <w:pPr>
              <w:jc w:val="center"/>
              <w:cnfStyle w:val="00000010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99.99</w:t>
            </w:r>
          </w:p>
        </w:tc>
        <w:tc>
          <w:tcPr>
            <w:tcW w:w="1016" w:type="dxa"/>
            <w:vAlign w:val="center"/>
            <w:hideMark/>
          </w:tcPr>
          <w:p w:rsidR="003D0441" w:rsidRPr="00455DFC" w:rsidRDefault="003D0441" w:rsidP="004E4528">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1,771,194</w:t>
            </w:r>
          </w:p>
        </w:tc>
        <w:tc>
          <w:tcPr>
            <w:tcW w:w="1250" w:type="dxa"/>
            <w:vAlign w:val="center"/>
            <w:hideMark/>
          </w:tcPr>
          <w:p w:rsidR="003D0441" w:rsidRPr="00651171" w:rsidRDefault="003D0441" w:rsidP="004E4528">
            <w:pPr>
              <w:jc w:val="center"/>
              <w:cnfStyle w:val="00000010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99.99</w:t>
            </w:r>
          </w:p>
        </w:tc>
      </w:tr>
      <w:tr w:rsidR="003D0441" w:rsidRPr="00455DFC" w:rsidTr="004E4528">
        <w:trPr>
          <w:cnfStyle w:val="000000010000"/>
          <w:trHeight w:val="300"/>
          <w:jc w:val="center"/>
        </w:trPr>
        <w:tc>
          <w:tcPr>
            <w:cnfStyle w:val="001000000000"/>
            <w:tcW w:w="2262" w:type="dxa"/>
            <w:hideMark/>
          </w:tcPr>
          <w:p w:rsidR="003D0441" w:rsidRPr="00651171" w:rsidRDefault="003D0441" w:rsidP="0020759B">
            <w:pPr>
              <w:rPr>
                <w:rFonts w:ascii="Times New Roman" w:eastAsia="Times New Roman" w:hAnsi="Times New Roman" w:cs="Times New Roman"/>
                <w:b w:val="0"/>
                <w:sz w:val="20"/>
                <w:szCs w:val="20"/>
              </w:rPr>
            </w:pPr>
            <w:r w:rsidRPr="00651171">
              <w:rPr>
                <w:rFonts w:ascii="Times New Roman" w:eastAsia="Times New Roman" w:hAnsi="Times New Roman" w:cs="Times New Roman"/>
                <w:b w:val="0"/>
                <w:sz w:val="20"/>
                <w:szCs w:val="20"/>
              </w:rPr>
              <w:t>- Kitas turtas</w:t>
            </w:r>
          </w:p>
        </w:tc>
        <w:tc>
          <w:tcPr>
            <w:tcW w:w="1016" w:type="dxa"/>
            <w:vAlign w:val="center"/>
            <w:hideMark/>
          </w:tcPr>
          <w:p w:rsidR="003D0441" w:rsidRPr="00455DFC" w:rsidRDefault="003D0441" w:rsidP="004E4528">
            <w:pPr>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0</w:t>
            </w:r>
          </w:p>
        </w:tc>
        <w:tc>
          <w:tcPr>
            <w:tcW w:w="1250" w:type="dxa"/>
            <w:vAlign w:val="center"/>
            <w:hideMark/>
          </w:tcPr>
          <w:p w:rsidR="003D0441" w:rsidRPr="00651171" w:rsidRDefault="003D0441" w:rsidP="004E4528">
            <w:pPr>
              <w:jc w:val="center"/>
              <w:cnfStyle w:val="00000001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0.00</w:t>
            </w:r>
          </w:p>
        </w:tc>
        <w:tc>
          <w:tcPr>
            <w:tcW w:w="1016" w:type="dxa"/>
            <w:vAlign w:val="center"/>
            <w:hideMark/>
          </w:tcPr>
          <w:p w:rsidR="003D0441" w:rsidRPr="00455DFC" w:rsidRDefault="003D0441" w:rsidP="004E4528">
            <w:pPr>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0</w:t>
            </w:r>
          </w:p>
        </w:tc>
        <w:tc>
          <w:tcPr>
            <w:tcW w:w="1250" w:type="dxa"/>
            <w:vAlign w:val="center"/>
            <w:hideMark/>
          </w:tcPr>
          <w:p w:rsidR="003D0441" w:rsidRPr="00651171" w:rsidRDefault="003D0441" w:rsidP="004E4528">
            <w:pPr>
              <w:jc w:val="center"/>
              <w:cnfStyle w:val="00000001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0.00</w:t>
            </w:r>
          </w:p>
        </w:tc>
        <w:tc>
          <w:tcPr>
            <w:tcW w:w="1016" w:type="dxa"/>
            <w:vAlign w:val="center"/>
            <w:hideMark/>
          </w:tcPr>
          <w:p w:rsidR="003D0441" w:rsidRPr="00455DFC" w:rsidRDefault="003D0441" w:rsidP="004E4528">
            <w:pPr>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0</w:t>
            </w:r>
          </w:p>
        </w:tc>
        <w:tc>
          <w:tcPr>
            <w:tcW w:w="1250" w:type="dxa"/>
            <w:vAlign w:val="center"/>
            <w:hideMark/>
          </w:tcPr>
          <w:p w:rsidR="003D0441" w:rsidRPr="00651171" w:rsidRDefault="003D0441" w:rsidP="004E4528">
            <w:pPr>
              <w:jc w:val="center"/>
              <w:cnfStyle w:val="00000001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0.00</w:t>
            </w:r>
          </w:p>
        </w:tc>
      </w:tr>
      <w:tr w:rsidR="003D0441" w:rsidRPr="00455DFC" w:rsidTr="004E4528">
        <w:trPr>
          <w:cnfStyle w:val="000000100000"/>
          <w:trHeight w:val="300"/>
          <w:jc w:val="center"/>
        </w:trPr>
        <w:tc>
          <w:tcPr>
            <w:cnfStyle w:val="001000000000"/>
            <w:tcW w:w="2262" w:type="dxa"/>
            <w:hideMark/>
          </w:tcPr>
          <w:p w:rsidR="003D0441" w:rsidRPr="00651171" w:rsidRDefault="003D0441" w:rsidP="0020759B">
            <w:pPr>
              <w:rPr>
                <w:rFonts w:ascii="Times New Roman" w:eastAsia="Times New Roman" w:hAnsi="Times New Roman" w:cs="Times New Roman"/>
                <w:b w:val="0"/>
                <w:sz w:val="20"/>
                <w:szCs w:val="20"/>
              </w:rPr>
            </w:pPr>
            <w:r w:rsidRPr="00651171">
              <w:rPr>
                <w:rFonts w:ascii="Times New Roman" w:eastAsia="Times New Roman" w:hAnsi="Times New Roman" w:cs="Times New Roman"/>
                <w:b w:val="0"/>
                <w:sz w:val="20"/>
                <w:szCs w:val="20"/>
              </w:rPr>
              <w:t>Trumpalaikis turtas</w:t>
            </w:r>
          </w:p>
        </w:tc>
        <w:tc>
          <w:tcPr>
            <w:tcW w:w="1016" w:type="dxa"/>
            <w:vAlign w:val="center"/>
            <w:hideMark/>
          </w:tcPr>
          <w:p w:rsidR="003D0441" w:rsidRPr="00455DFC" w:rsidRDefault="003D0441" w:rsidP="004E4528">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1,386,690</w:t>
            </w:r>
          </w:p>
        </w:tc>
        <w:tc>
          <w:tcPr>
            <w:tcW w:w="1250" w:type="dxa"/>
            <w:vAlign w:val="center"/>
            <w:hideMark/>
          </w:tcPr>
          <w:p w:rsidR="003D0441" w:rsidRPr="00651171" w:rsidRDefault="003D0441" w:rsidP="004E4528">
            <w:pPr>
              <w:jc w:val="center"/>
              <w:cnfStyle w:val="00000010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34.05</w:t>
            </w:r>
          </w:p>
        </w:tc>
        <w:tc>
          <w:tcPr>
            <w:tcW w:w="1016" w:type="dxa"/>
            <w:vAlign w:val="center"/>
            <w:hideMark/>
          </w:tcPr>
          <w:p w:rsidR="003D0441" w:rsidRPr="00455DFC" w:rsidRDefault="003D0441" w:rsidP="004E4528">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1,491,727</w:t>
            </w:r>
          </w:p>
        </w:tc>
        <w:tc>
          <w:tcPr>
            <w:tcW w:w="1250" w:type="dxa"/>
            <w:vAlign w:val="center"/>
            <w:hideMark/>
          </w:tcPr>
          <w:p w:rsidR="003D0441" w:rsidRPr="00651171" w:rsidRDefault="003D0441" w:rsidP="004E4528">
            <w:pPr>
              <w:jc w:val="center"/>
              <w:cnfStyle w:val="00000010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40.60</w:t>
            </w:r>
          </w:p>
        </w:tc>
        <w:tc>
          <w:tcPr>
            <w:tcW w:w="1016" w:type="dxa"/>
            <w:vAlign w:val="center"/>
            <w:hideMark/>
          </w:tcPr>
          <w:p w:rsidR="003D0441" w:rsidRPr="00455DFC" w:rsidRDefault="003D0441" w:rsidP="004E4528">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742,516</w:t>
            </w:r>
          </w:p>
        </w:tc>
        <w:tc>
          <w:tcPr>
            <w:tcW w:w="1250" w:type="dxa"/>
            <w:vAlign w:val="center"/>
            <w:hideMark/>
          </w:tcPr>
          <w:p w:rsidR="003D0441" w:rsidRPr="00651171" w:rsidRDefault="003D0441" w:rsidP="004E4528">
            <w:pPr>
              <w:jc w:val="center"/>
              <w:cnfStyle w:val="00000010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29.54</w:t>
            </w:r>
          </w:p>
        </w:tc>
      </w:tr>
      <w:tr w:rsidR="003D0441" w:rsidRPr="00455DFC" w:rsidTr="004E4528">
        <w:trPr>
          <w:cnfStyle w:val="000000010000"/>
          <w:trHeight w:val="300"/>
          <w:jc w:val="center"/>
        </w:trPr>
        <w:tc>
          <w:tcPr>
            <w:cnfStyle w:val="001000000000"/>
            <w:tcW w:w="2262" w:type="dxa"/>
            <w:hideMark/>
          </w:tcPr>
          <w:p w:rsidR="003D0441" w:rsidRPr="00651171" w:rsidRDefault="003D0441" w:rsidP="0020759B">
            <w:pPr>
              <w:rPr>
                <w:rFonts w:ascii="Times New Roman" w:eastAsia="Times New Roman" w:hAnsi="Times New Roman" w:cs="Times New Roman"/>
                <w:b w:val="0"/>
                <w:sz w:val="20"/>
                <w:szCs w:val="20"/>
              </w:rPr>
            </w:pPr>
            <w:r w:rsidRPr="00651171">
              <w:rPr>
                <w:rFonts w:ascii="Times New Roman" w:eastAsia="Times New Roman" w:hAnsi="Times New Roman" w:cs="Times New Roman"/>
                <w:b w:val="0"/>
                <w:sz w:val="20"/>
                <w:szCs w:val="20"/>
              </w:rPr>
              <w:t>- Atsargos</w:t>
            </w:r>
          </w:p>
        </w:tc>
        <w:tc>
          <w:tcPr>
            <w:tcW w:w="1016" w:type="dxa"/>
            <w:vAlign w:val="center"/>
            <w:hideMark/>
          </w:tcPr>
          <w:p w:rsidR="003D0441" w:rsidRPr="00455DFC" w:rsidRDefault="003D0441" w:rsidP="004E4528">
            <w:pPr>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513,202</w:t>
            </w:r>
          </w:p>
        </w:tc>
        <w:tc>
          <w:tcPr>
            <w:tcW w:w="1250" w:type="dxa"/>
            <w:vAlign w:val="center"/>
            <w:hideMark/>
          </w:tcPr>
          <w:p w:rsidR="003D0441" w:rsidRPr="00651171" w:rsidRDefault="003D0441" w:rsidP="004E4528">
            <w:pPr>
              <w:jc w:val="center"/>
              <w:cnfStyle w:val="00000001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37.01</w:t>
            </w:r>
          </w:p>
        </w:tc>
        <w:tc>
          <w:tcPr>
            <w:tcW w:w="1016" w:type="dxa"/>
            <w:vAlign w:val="center"/>
            <w:hideMark/>
          </w:tcPr>
          <w:p w:rsidR="003D0441" w:rsidRPr="00455DFC" w:rsidRDefault="003D0441" w:rsidP="004E4528">
            <w:pPr>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392,873</w:t>
            </w:r>
          </w:p>
        </w:tc>
        <w:tc>
          <w:tcPr>
            <w:tcW w:w="1250" w:type="dxa"/>
            <w:vAlign w:val="center"/>
            <w:hideMark/>
          </w:tcPr>
          <w:p w:rsidR="003D0441" w:rsidRPr="00651171" w:rsidRDefault="003D0441" w:rsidP="004E4528">
            <w:pPr>
              <w:jc w:val="center"/>
              <w:cnfStyle w:val="00000001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26.34</w:t>
            </w:r>
          </w:p>
        </w:tc>
        <w:tc>
          <w:tcPr>
            <w:tcW w:w="1016" w:type="dxa"/>
            <w:vAlign w:val="center"/>
            <w:hideMark/>
          </w:tcPr>
          <w:p w:rsidR="003D0441" w:rsidRPr="00455DFC" w:rsidRDefault="003D0441" w:rsidP="004E4528">
            <w:pPr>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156,796</w:t>
            </w:r>
          </w:p>
        </w:tc>
        <w:tc>
          <w:tcPr>
            <w:tcW w:w="1250" w:type="dxa"/>
            <w:vAlign w:val="center"/>
            <w:hideMark/>
          </w:tcPr>
          <w:p w:rsidR="003D0441" w:rsidRPr="00651171" w:rsidRDefault="003D0441" w:rsidP="004E4528">
            <w:pPr>
              <w:jc w:val="center"/>
              <w:cnfStyle w:val="00000001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21.12</w:t>
            </w:r>
          </w:p>
        </w:tc>
      </w:tr>
      <w:tr w:rsidR="003D0441" w:rsidRPr="00455DFC" w:rsidTr="004E4528">
        <w:trPr>
          <w:cnfStyle w:val="000000100000"/>
          <w:trHeight w:val="510"/>
          <w:jc w:val="center"/>
        </w:trPr>
        <w:tc>
          <w:tcPr>
            <w:cnfStyle w:val="001000000000"/>
            <w:tcW w:w="2262" w:type="dxa"/>
            <w:hideMark/>
          </w:tcPr>
          <w:p w:rsidR="003D0441" w:rsidRPr="00651171" w:rsidRDefault="003D0441" w:rsidP="0020759B">
            <w:pPr>
              <w:rPr>
                <w:rFonts w:ascii="Times New Roman" w:eastAsia="Times New Roman" w:hAnsi="Times New Roman" w:cs="Times New Roman"/>
                <w:b w:val="0"/>
                <w:sz w:val="20"/>
                <w:szCs w:val="20"/>
              </w:rPr>
            </w:pPr>
            <w:r w:rsidRPr="00651171">
              <w:rPr>
                <w:rFonts w:ascii="Times New Roman" w:eastAsia="Times New Roman" w:hAnsi="Times New Roman" w:cs="Times New Roman"/>
                <w:b w:val="0"/>
                <w:sz w:val="20"/>
                <w:szCs w:val="20"/>
              </w:rPr>
              <w:t>- Per vienerius metus gautinos sumos</w:t>
            </w:r>
          </w:p>
        </w:tc>
        <w:tc>
          <w:tcPr>
            <w:tcW w:w="1016" w:type="dxa"/>
            <w:vAlign w:val="center"/>
            <w:hideMark/>
          </w:tcPr>
          <w:p w:rsidR="003D0441" w:rsidRPr="00455DFC" w:rsidRDefault="003D0441" w:rsidP="004E4528">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685,714</w:t>
            </w:r>
          </w:p>
        </w:tc>
        <w:tc>
          <w:tcPr>
            <w:tcW w:w="1250" w:type="dxa"/>
            <w:vAlign w:val="center"/>
            <w:hideMark/>
          </w:tcPr>
          <w:p w:rsidR="003D0441" w:rsidRPr="00651171" w:rsidRDefault="003D0441" w:rsidP="004E4528">
            <w:pPr>
              <w:jc w:val="center"/>
              <w:cnfStyle w:val="00000010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49.45</w:t>
            </w:r>
          </w:p>
        </w:tc>
        <w:tc>
          <w:tcPr>
            <w:tcW w:w="1016" w:type="dxa"/>
            <w:vAlign w:val="center"/>
            <w:hideMark/>
          </w:tcPr>
          <w:p w:rsidR="003D0441" w:rsidRPr="00455DFC" w:rsidRDefault="003D0441" w:rsidP="004E4528">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697,679</w:t>
            </w:r>
          </w:p>
        </w:tc>
        <w:tc>
          <w:tcPr>
            <w:tcW w:w="1250" w:type="dxa"/>
            <w:vAlign w:val="center"/>
            <w:hideMark/>
          </w:tcPr>
          <w:p w:rsidR="003D0441" w:rsidRPr="00651171" w:rsidRDefault="003D0441" w:rsidP="004E4528">
            <w:pPr>
              <w:jc w:val="center"/>
              <w:cnfStyle w:val="00000010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46.77</w:t>
            </w:r>
          </w:p>
        </w:tc>
        <w:tc>
          <w:tcPr>
            <w:tcW w:w="1016" w:type="dxa"/>
            <w:vAlign w:val="center"/>
            <w:hideMark/>
          </w:tcPr>
          <w:p w:rsidR="003D0441" w:rsidRPr="00455DFC" w:rsidRDefault="003D0441" w:rsidP="004E4528">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498,511</w:t>
            </w:r>
          </w:p>
        </w:tc>
        <w:tc>
          <w:tcPr>
            <w:tcW w:w="1250" w:type="dxa"/>
            <w:vAlign w:val="center"/>
            <w:hideMark/>
          </w:tcPr>
          <w:p w:rsidR="003D0441" w:rsidRPr="00651171" w:rsidRDefault="003D0441" w:rsidP="004E4528">
            <w:pPr>
              <w:jc w:val="center"/>
              <w:cnfStyle w:val="00000010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67.14</w:t>
            </w:r>
          </w:p>
        </w:tc>
      </w:tr>
      <w:tr w:rsidR="003D0441" w:rsidRPr="00455DFC" w:rsidTr="004E4528">
        <w:trPr>
          <w:cnfStyle w:val="000000010000"/>
          <w:trHeight w:val="300"/>
          <w:jc w:val="center"/>
        </w:trPr>
        <w:tc>
          <w:tcPr>
            <w:cnfStyle w:val="001000000000"/>
            <w:tcW w:w="2262" w:type="dxa"/>
            <w:hideMark/>
          </w:tcPr>
          <w:p w:rsidR="003D0441" w:rsidRPr="00651171" w:rsidRDefault="003D0441" w:rsidP="0020759B">
            <w:pPr>
              <w:rPr>
                <w:rFonts w:ascii="Times New Roman" w:eastAsia="Times New Roman" w:hAnsi="Times New Roman" w:cs="Times New Roman"/>
                <w:b w:val="0"/>
                <w:sz w:val="20"/>
                <w:szCs w:val="20"/>
              </w:rPr>
            </w:pPr>
            <w:r w:rsidRPr="00651171">
              <w:rPr>
                <w:rFonts w:ascii="Times New Roman" w:eastAsia="Times New Roman" w:hAnsi="Times New Roman" w:cs="Times New Roman"/>
                <w:b w:val="0"/>
                <w:sz w:val="20"/>
                <w:szCs w:val="20"/>
              </w:rPr>
              <w:t>- Kitas trumpalaikis turtas</w:t>
            </w:r>
          </w:p>
        </w:tc>
        <w:tc>
          <w:tcPr>
            <w:tcW w:w="1016" w:type="dxa"/>
            <w:vAlign w:val="center"/>
            <w:hideMark/>
          </w:tcPr>
          <w:p w:rsidR="003D0441" w:rsidRPr="00455DFC" w:rsidRDefault="003D0441" w:rsidP="004E4528">
            <w:pPr>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187,774</w:t>
            </w:r>
          </w:p>
        </w:tc>
        <w:tc>
          <w:tcPr>
            <w:tcW w:w="1250" w:type="dxa"/>
            <w:vAlign w:val="center"/>
            <w:hideMark/>
          </w:tcPr>
          <w:p w:rsidR="003D0441" w:rsidRPr="00651171" w:rsidRDefault="003D0441" w:rsidP="004E4528">
            <w:pPr>
              <w:jc w:val="center"/>
              <w:cnfStyle w:val="00000001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13.54</w:t>
            </w:r>
          </w:p>
        </w:tc>
        <w:tc>
          <w:tcPr>
            <w:tcW w:w="1016" w:type="dxa"/>
            <w:vAlign w:val="center"/>
            <w:hideMark/>
          </w:tcPr>
          <w:p w:rsidR="003D0441" w:rsidRPr="00455DFC" w:rsidRDefault="003D0441" w:rsidP="004E4528">
            <w:pPr>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401,175</w:t>
            </w:r>
          </w:p>
        </w:tc>
        <w:tc>
          <w:tcPr>
            <w:tcW w:w="1250" w:type="dxa"/>
            <w:vAlign w:val="center"/>
            <w:hideMark/>
          </w:tcPr>
          <w:p w:rsidR="003D0441" w:rsidRPr="00651171" w:rsidRDefault="003D0441" w:rsidP="004E4528">
            <w:pPr>
              <w:jc w:val="center"/>
              <w:cnfStyle w:val="00000001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26.89</w:t>
            </w:r>
          </w:p>
        </w:tc>
        <w:tc>
          <w:tcPr>
            <w:tcW w:w="1016" w:type="dxa"/>
            <w:vAlign w:val="center"/>
            <w:hideMark/>
          </w:tcPr>
          <w:p w:rsidR="003D0441" w:rsidRPr="00455DFC" w:rsidRDefault="003D0441" w:rsidP="004E4528">
            <w:pPr>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87,209</w:t>
            </w:r>
          </w:p>
        </w:tc>
        <w:tc>
          <w:tcPr>
            <w:tcW w:w="1250" w:type="dxa"/>
            <w:vAlign w:val="center"/>
            <w:hideMark/>
          </w:tcPr>
          <w:p w:rsidR="003D0441" w:rsidRPr="00651171" w:rsidRDefault="003D0441" w:rsidP="004E4528">
            <w:pPr>
              <w:jc w:val="center"/>
              <w:cnfStyle w:val="00000001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11.75</w:t>
            </w:r>
          </w:p>
        </w:tc>
      </w:tr>
      <w:tr w:rsidR="003D0441" w:rsidRPr="00455DFC" w:rsidTr="004E4528">
        <w:trPr>
          <w:cnfStyle w:val="000000100000"/>
          <w:trHeight w:val="300"/>
          <w:jc w:val="center"/>
        </w:trPr>
        <w:tc>
          <w:tcPr>
            <w:cnfStyle w:val="001000000000"/>
            <w:tcW w:w="2262" w:type="dxa"/>
            <w:hideMark/>
          </w:tcPr>
          <w:p w:rsidR="003D0441" w:rsidRPr="00651171" w:rsidRDefault="003D0441" w:rsidP="0020759B">
            <w:pPr>
              <w:rPr>
                <w:rFonts w:ascii="Times New Roman" w:eastAsia="Times New Roman" w:hAnsi="Times New Roman" w:cs="Times New Roman"/>
                <w:b w:val="0"/>
                <w:sz w:val="20"/>
                <w:szCs w:val="20"/>
              </w:rPr>
            </w:pPr>
            <w:r w:rsidRPr="00651171">
              <w:rPr>
                <w:rFonts w:ascii="Times New Roman" w:eastAsia="Times New Roman" w:hAnsi="Times New Roman" w:cs="Times New Roman"/>
                <w:b w:val="0"/>
                <w:sz w:val="20"/>
                <w:szCs w:val="20"/>
              </w:rPr>
              <w:t>* Pinigai ir jų ekvivalentai</w:t>
            </w:r>
          </w:p>
        </w:tc>
        <w:tc>
          <w:tcPr>
            <w:tcW w:w="1016" w:type="dxa"/>
            <w:vAlign w:val="center"/>
            <w:hideMark/>
          </w:tcPr>
          <w:p w:rsidR="003D0441" w:rsidRPr="00455DFC" w:rsidRDefault="003D0441" w:rsidP="004E4528">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71,815</w:t>
            </w:r>
          </w:p>
        </w:tc>
        <w:tc>
          <w:tcPr>
            <w:tcW w:w="1250" w:type="dxa"/>
            <w:vAlign w:val="center"/>
            <w:hideMark/>
          </w:tcPr>
          <w:p w:rsidR="003D0441" w:rsidRPr="00651171" w:rsidRDefault="003D0441" w:rsidP="004E4528">
            <w:pPr>
              <w:jc w:val="center"/>
              <w:cnfStyle w:val="00000010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38.25</w:t>
            </w:r>
          </w:p>
        </w:tc>
        <w:tc>
          <w:tcPr>
            <w:tcW w:w="1016" w:type="dxa"/>
            <w:vAlign w:val="center"/>
            <w:hideMark/>
          </w:tcPr>
          <w:p w:rsidR="003D0441" w:rsidRPr="00455DFC" w:rsidRDefault="003D0441" w:rsidP="004E4528">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283,416</w:t>
            </w:r>
          </w:p>
        </w:tc>
        <w:tc>
          <w:tcPr>
            <w:tcW w:w="1250" w:type="dxa"/>
            <w:vAlign w:val="center"/>
            <w:hideMark/>
          </w:tcPr>
          <w:p w:rsidR="003D0441" w:rsidRPr="00651171" w:rsidRDefault="003D0441" w:rsidP="004E4528">
            <w:pPr>
              <w:jc w:val="center"/>
              <w:cnfStyle w:val="00000010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70.65</w:t>
            </w:r>
          </w:p>
        </w:tc>
        <w:tc>
          <w:tcPr>
            <w:tcW w:w="1016" w:type="dxa"/>
            <w:vAlign w:val="center"/>
            <w:hideMark/>
          </w:tcPr>
          <w:p w:rsidR="003D0441" w:rsidRPr="00455DFC" w:rsidRDefault="003D0441" w:rsidP="004E4528">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31,404</w:t>
            </w:r>
          </w:p>
        </w:tc>
        <w:tc>
          <w:tcPr>
            <w:tcW w:w="1250" w:type="dxa"/>
            <w:vAlign w:val="center"/>
            <w:hideMark/>
          </w:tcPr>
          <w:p w:rsidR="003D0441" w:rsidRPr="00651171" w:rsidRDefault="003D0441" w:rsidP="004E4528">
            <w:pPr>
              <w:jc w:val="center"/>
              <w:cnfStyle w:val="00000010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36.01</w:t>
            </w:r>
          </w:p>
        </w:tc>
      </w:tr>
      <w:tr w:rsidR="003D0441" w:rsidRPr="00455DFC" w:rsidTr="004E4528">
        <w:trPr>
          <w:cnfStyle w:val="000000010000"/>
          <w:trHeight w:val="300"/>
          <w:jc w:val="center"/>
        </w:trPr>
        <w:tc>
          <w:tcPr>
            <w:cnfStyle w:val="001000000000"/>
            <w:tcW w:w="2262" w:type="dxa"/>
            <w:hideMark/>
          </w:tcPr>
          <w:p w:rsidR="003D0441" w:rsidRPr="00455DFC" w:rsidRDefault="003D0441" w:rsidP="0020759B">
            <w:pPr>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TURTO IŠ VISO</w:t>
            </w:r>
          </w:p>
        </w:tc>
        <w:tc>
          <w:tcPr>
            <w:tcW w:w="1016" w:type="dxa"/>
            <w:vAlign w:val="center"/>
            <w:hideMark/>
          </w:tcPr>
          <w:p w:rsidR="003D0441" w:rsidRPr="003D0441" w:rsidRDefault="003D0441" w:rsidP="004E4528">
            <w:pPr>
              <w:jc w:val="center"/>
              <w:cnfStyle w:val="000000010000"/>
              <w:rPr>
                <w:rFonts w:ascii="Times New Roman" w:eastAsia="Times New Roman" w:hAnsi="Times New Roman" w:cs="Times New Roman"/>
                <w:b/>
                <w:sz w:val="20"/>
                <w:szCs w:val="20"/>
              </w:rPr>
            </w:pPr>
            <w:r w:rsidRPr="003D0441">
              <w:rPr>
                <w:rFonts w:ascii="Times New Roman" w:eastAsia="Times New Roman" w:hAnsi="Times New Roman" w:cs="Times New Roman"/>
                <w:b/>
                <w:sz w:val="20"/>
                <w:szCs w:val="20"/>
              </w:rPr>
              <w:t>4,072,330</w:t>
            </w:r>
          </w:p>
        </w:tc>
        <w:tc>
          <w:tcPr>
            <w:tcW w:w="1250" w:type="dxa"/>
            <w:vAlign w:val="center"/>
            <w:hideMark/>
          </w:tcPr>
          <w:p w:rsidR="003D0441" w:rsidRPr="003D0441" w:rsidRDefault="003D0441" w:rsidP="004E4528">
            <w:pPr>
              <w:jc w:val="center"/>
              <w:cnfStyle w:val="000000010000"/>
              <w:rPr>
                <w:rFonts w:ascii="Times New Roman" w:eastAsia="Times New Roman" w:hAnsi="Times New Roman" w:cs="Times New Roman"/>
                <w:b/>
                <w:sz w:val="20"/>
                <w:szCs w:val="20"/>
              </w:rPr>
            </w:pPr>
          </w:p>
        </w:tc>
        <w:tc>
          <w:tcPr>
            <w:tcW w:w="1016" w:type="dxa"/>
            <w:vAlign w:val="center"/>
            <w:hideMark/>
          </w:tcPr>
          <w:p w:rsidR="003D0441" w:rsidRPr="003D0441" w:rsidRDefault="003D0441" w:rsidP="004E4528">
            <w:pPr>
              <w:jc w:val="center"/>
              <w:cnfStyle w:val="000000010000"/>
              <w:rPr>
                <w:rFonts w:ascii="Times New Roman" w:eastAsia="Times New Roman" w:hAnsi="Times New Roman" w:cs="Times New Roman"/>
                <w:b/>
                <w:sz w:val="20"/>
                <w:szCs w:val="20"/>
              </w:rPr>
            </w:pPr>
            <w:r w:rsidRPr="003D0441">
              <w:rPr>
                <w:rFonts w:ascii="Times New Roman" w:eastAsia="Times New Roman" w:hAnsi="Times New Roman" w:cs="Times New Roman"/>
                <w:b/>
                <w:sz w:val="20"/>
                <w:szCs w:val="20"/>
              </w:rPr>
              <w:t>3,673,990</w:t>
            </w:r>
          </w:p>
        </w:tc>
        <w:tc>
          <w:tcPr>
            <w:tcW w:w="1250" w:type="dxa"/>
            <w:vAlign w:val="center"/>
            <w:hideMark/>
          </w:tcPr>
          <w:p w:rsidR="003D0441" w:rsidRPr="003D0441" w:rsidRDefault="003D0441" w:rsidP="004E4528">
            <w:pPr>
              <w:jc w:val="center"/>
              <w:cnfStyle w:val="000000010000"/>
              <w:rPr>
                <w:rFonts w:ascii="Times New Roman" w:eastAsia="Times New Roman" w:hAnsi="Times New Roman" w:cs="Times New Roman"/>
                <w:b/>
                <w:sz w:val="20"/>
                <w:szCs w:val="20"/>
              </w:rPr>
            </w:pPr>
          </w:p>
        </w:tc>
        <w:tc>
          <w:tcPr>
            <w:tcW w:w="1016" w:type="dxa"/>
            <w:vAlign w:val="center"/>
            <w:hideMark/>
          </w:tcPr>
          <w:p w:rsidR="003D0441" w:rsidRPr="003D0441" w:rsidRDefault="003D0441" w:rsidP="004E4528">
            <w:pPr>
              <w:jc w:val="center"/>
              <w:cnfStyle w:val="000000010000"/>
              <w:rPr>
                <w:rFonts w:ascii="Times New Roman" w:eastAsia="Times New Roman" w:hAnsi="Times New Roman" w:cs="Times New Roman"/>
                <w:b/>
                <w:sz w:val="20"/>
                <w:szCs w:val="20"/>
              </w:rPr>
            </w:pPr>
            <w:r w:rsidRPr="003D0441">
              <w:rPr>
                <w:rFonts w:ascii="Times New Roman" w:eastAsia="Times New Roman" w:hAnsi="Times New Roman" w:cs="Times New Roman"/>
                <w:b/>
                <w:sz w:val="20"/>
                <w:szCs w:val="20"/>
              </w:rPr>
              <w:t>2,513,802</w:t>
            </w:r>
          </w:p>
        </w:tc>
        <w:tc>
          <w:tcPr>
            <w:tcW w:w="1250" w:type="dxa"/>
            <w:vAlign w:val="center"/>
            <w:hideMark/>
          </w:tcPr>
          <w:p w:rsidR="003D0441" w:rsidRPr="00455DFC" w:rsidRDefault="003D0441" w:rsidP="004E4528">
            <w:pPr>
              <w:jc w:val="center"/>
              <w:cnfStyle w:val="000000010000"/>
              <w:rPr>
                <w:rFonts w:ascii="Times New Roman" w:eastAsia="Times New Roman" w:hAnsi="Times New Roman" w:cs="Times New Roman"/>
                <w:sz w:val="20"/>
                <w:szCs w:val="20"/>
              </w:rPr>
            </w:pPr>
          </w:p>
        </w:tc>
      </w:tr>
      <w:tr w:rsidR="00E6354F" w:rsidRPr="00455DFC" w:rsidTr="004E4528">
        <w:trPr>
          <w:cnfStyle w:val="000000100000"/>
          <w:trHeight w:val="510"/>
          <w:jc w:val="center"/>
        </w:trPr>
        <w:tc>
          <w:tcPr>
            <w:cnfStyle w:val="001000000000"/>
            <w:tcW w:w="2262" w:type="dxa"/>
            <w:vAlign w:val="center"/>
            <w:hideMark/>
          </w:tcPr>
          <w:p w:rsidR="00E6354F" w:rsidRPr="00455DFC" w:rsidRDefault="00E6354F" w:rsidP="004E4528">
            <w:pPr>
              <w:jc w:val="center"/>
              <w:rPr>
                <w:rFonts w:ascii="Times New Roman" w:eastAsia="Times New Roman" w:hAnsi="Times New Roman" w:cs="Times New Roman"/>
                <w:b w:val="0"/>
                <w:bCs w:val="0"/>
                <w:sz w:val="20"/>
                <w:szCs w:val="20"/>
              </w:rPr>
            </w:pPr>
            <w:r w:rsidRPr="00455DFC">
              <w:rPr>
                <w:rFonts w:ascii="Times New Roman" w:eastAsia="Times New Roman" w:hAnsi="Times New Roman" w:cs="Times New Roman"/>
                <w:b w:val="0"/>
                <w:bCs w:val="0"/>
                <w:sz w:val="20"/>
                <w:szCs w:val="20"/>
              </w:rPr>
              <w:t>Nuosavas kapitalas ir įsipareigojimai</w:t>
            </w:r>
          </w:p>
        </w:tc>
        <w:tc>
          <w:tcPr>
            <w:tcW w:w="1016" w:type="dxa"/>
            <w:vAlign w:val="center"/>
            <w:hideMark/>
          </w:tcPr>
          <w:p w:rsidR="00E6354F" w:rsidRPr="00F80CD4" w:rsidRDefault="00E6354F" w:rsidP="004633A4">
            <w:pPr>
              <w:contextualSpacing/>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EUR</w:t>
            </w:r>
          </w:p>
        </w:tc>
        <w:tc>
          <w:tcPr>
            <w:tcW w:w="1250" w:type="dxa"/>
            <w:vAlign w:val="center"/>
            <w:hideMark/>
          </w:tcPr>
          <w:p w:rsidR="00E6354F" w:rsidRPr="004D5C99" w:rsidRDefault="00E6354F" w:rsidP="004633A4">
            <w:pPr>
              <w:contextualSpacing/>
              <w:jc w:val="center"/>
              <w:cnfStyle w:val="000000100000"/>
              <w:rPr>
                <w:rFonts w:ascii="Times New Roman" w:eastAsia="Times New Roman" w:hAnsi="Times New Roman" w:cs="Times New Roman"/>
                <w:b/>
                <w:bCs/>
                <w:sz w:val="20"/>
                <w:szCs w:val="20"/>
              </w:rPr>
            </w:pPr>
            <w:r w:rsidRPr="004D5C99">
              <w:rPr>
                <w:rFonts w:ascii="Times New Roman" w:eastAsia="Times New Roman" w:hAnsi="Times New Roman" w:cs="Times New Roman"/>
                <w:b/>
                <w:bCs/>
                <w:sz w:val="20"/>
                <w:szCs w:val="20"/>
              </w:rPr>
              <w:t xml:space="preserve">Lyginamieji svoriai, </w:t>
            </w:r>
            <w:r>
              <w:rPr>
                <w:rFonts w:ascii="Times New Roman" w:eastAsia="Times New Roman" w:hAnsi="Times New Roman" w:cs="Times New Roman"/>
                <w:b/>
                <w:bCs/>
                <w:sz w:val="20"/>
                <w:szCs w:val="20"/>
              </w:rPr>
              <w:t>proc.</w:t>
            </w:r>
          </w:p>
        </w:tc>
        <w:tc>
          <w:tcPr>
            <w:tcW w:w="1016" w:type="dxa"/>
            <w:vAlign w:val="center"/>
            <w:hideMark/>
          </w:tcPr>
          <w:p w:rsidR="00E6354F" w:rsidRPr="004D5C99" w:rsidRDefault="00E6354F" w:rsidP="004633A4">
            <w:pPr>
              <w:contextualSpacing/>
              <w:jc w:val="center"/>
              <w:cnfStyle w:val="000000100000"/>
              <w:rPr>
                <w:rFonts w:ascii="Times New Roman" w:eastAsia="Times New Roman" w:hAnsi="Times New Roman" w:cs="Times New Roman"/>
                <w:b/>
                <w:bCs/>
                <w:sz w:val="20"/>
                <w:szCs w:val="20"/>
              </w:rPr>
            </w:pPr>
            <w:r w:rsidRPr="004D5C99">
              <w:rPr>
                <w:rFonts w:ascii="Times New Roman" w:eastAsia="Times New Roman" w:hAnsi="Times New Roman" w:cs="Times New Roman"/>
                <w:sz w:val="20"/>
                <w:szCs w:val="20"/>
              </w:rPr>
              <w:t>EUR</w:t>
            </w:r>
          </w:p>
        </w:tc>
        <w:tc>
          <w:tcPr>
            <w:tcW w:w="1250" w:type="dxa"/>
            <w:vAlign w:val="center"/>
            <w:hideMark/>
          </w:tcPr>
          <w:p w:rsidR="00E6354F" w:rsidRPr="004D5C99" w:rsidRDefault="00E6354F" w:rsidP="004633A4">
            <w:pPr>
              <w:contextualSpacing/>
              <w:jc w:val="center"/>
              <w:cnfStyle w:val="000000100000"/>
              <w:rPr>
                <w:rFonts w:ascii="Times New Roman" w:eastAsia="Times New Roman" w:hAnsi="Times New Roman" w:cs="Times New Roman"/>
                <w:b/>
                <w:bCs/>
                <w:sz w:val="20"/>
                <w:szCs w:val="20"/>
              </w:rPr>
            </w:pPr>
            <w:r w:rsidRPr="004D5C99">
              <w:rPr>
                <w:rFonts w:ascii="Times New Roman" w:eastAsia="Times New Roman" w:hAnsi="Times New Roman" w:cs="Times New Roman"/>
                <w:b/>
                <w:bCs/>
                <w:sz w:val="20"/>
                <w:szCs w:val="20"/>
              </w:rPr>
              <w:t xml:space="preserve">Lyginamieji svoriai, </w:t>
            </w:r>
            <w:r>
              <w:rPr>
                <w:rFonts w:ascii="Times New Roman" w:eastAsia="Times New Roman" w:hAnsi="Times New Roman" w:cs="Times New Roman"/>
                <w:b/>
                <w:bCs/>
                <w:sz w:val="20"/>
                <w:szCs w:val="20"/>
              </w:rPr>
              <w:t>proc.</w:t>
            </w:r>
          </w:p>
        </w:tc>
        <w:tc>
          <w:tcPr>
            <w:tcW w:w="1016" w:type="dxa"/>
            <w:vAlign w:val="center"/>
            <w:hideMark/>
          </w:tcPr>
          <w:p w:rsidR="00E6354F" w:rsidRPr="004D5C99" w:rsidRDefault="00E6354F" w:rsidP="004633A4">
            <w:pPr>
              <w:contextualSpacing/>
              <w:jc w:val="center"/>
              <w:cnfStyle w:val="000000100000"/>
              <w:rPr>
                <w:rFonts w:ascii="Times New Roman" w:eastAsia="Times New Roman" w:hAnsi="Times New Roman" w:cs="Times New Roman"/>
                <w:b/>
                <w:bCs/>
                <w:sz w:val="20"/>
                <w:szCs w:val="20"/>
              </w:rPr>
            </w:pPr>
            <w:r w:rsidRPr="004D5C99">
              <w:rPr>
                <w:rFonts w:ascii="Times New Roman" w:eastAsia="Times New Roman" w:hAnsi="Times New Roman" w:cs="Times New Roman"/>
                <w:sz w:val="20"/>
                <w:szCs w:val="20"/>
              </w:rPr>
              <w:t>EUR</w:t>
            </w:r>
          </w:p>
        </w:tc>
        <w:tc>
          <w:tcPr>
            <w:tcW w:w="1250" w:type="dxa"/>
            <w:vAlign w:val="center"/>
            <w:hideMark/>
          </w:tcPr>
          <w:p w:rsidR="00E6354F" w:rsidRPr="004D5C99" w:rsidRDefault="00E6354F" w:rsidP="004633A4">
            <w:pPr>
              <w:contextualSpacing/>
              <w:jc w:val="center"/>
              <w:cnfStyle w:val="000000100000"/>
              <w:rPr>
                <w:rFonts w:ascii="Times New Roman" w:eastAsia="Times New Roman" w:hAnsi="Times New Roman" w:cs="Times New Roman"/>
                <w:b/>
                <w:bCs/>
                <w:sz w:val="20"/>
                <w:szCs w:val="20"/>
              </w:rPr>
            </w:pPr>
            <w:r w:rsidRPr="004D5C99">
              <w:rPr>
                <w:rFonts w:ascii="Times New Roman" w:eastAsia="Times New Roman" w:hAnsi="Times New Roman" w:cs="Times New Roman"/>
                <w:b/>
                <w:bCs/>
                <w:sz w:val="20"/>
                <w:szCs w:val="20"/>
              </w:rPr>
              <w:t xml:space="preserve">Lyginamieji svoriai, </w:t>
            </w:r>
            <w:r>
              <w:rPr>
                <w:rFonts w:ascii="Times New Roman" w:eastAsia="Times New Roman" w:hAnsi="Times New Roman" w:cs="Times New Roman"/>
                <w:b/>
                <w:bCs/>
                <w:sz w:val="20"/>
                <w:szCs w:val="20"/>
              </w:rPr>
              <w:t xml:space="preserve"> proc.</w:t>
            </w:r>
          </w:p>
        </w:tc>
      </w:tr>
      <w:tr w:rsidR="003D0441" w:rsidRPr="00455DFC" w:rsidTr="004E4528">
        <w:trPr>
          <w:cnfStyle w:val="000000010000"/>
          <w:trHeight w:val="300"/>
          <w:jc w:val="center"/>
        </w:trPr>
        <w:tc>
          <w:tcPr>
            <w:cnfStyle w:val="001000000000"/>
            <w:tcW w:w="2262" w:type="dxa"/>
            <w:hideMark/>
          </w:tcPr>
          <w:p w:rsidR="003D0441" w:rsidRPr="00651171" w:rsidRDefault="003D0441" w:rsidP="0020759B">
            <w:pPr>
              <w:rPr>
                <w:rFonts w:ascii="Times New Roman" w:eastAsia="Times New Roman" w:hAnsi="Times New Roman" w:cs="Times New Roman"/>
                <w:b w:val="0"/>
                <w:sz w:val="20"/>
                <w:szCs w:val="20"/>
              </w:rPr>
            </w:pPr>
            <w:r w:rsidRPr="00651171">
              <w:rPr>
                <w:rFonts w:ascii="Times New Roman" w:eastAsia="Times New Roman" w:hAnsi="Times New Roman" w:cs="Times New Roman"/>
                <w:b w:val="0"/>
                <w:sz w:val="20"/>
                <w:szCs w:val="20"/>
              </w:rPr>
              <w:t>Nuosavas kapitalas</w:t>
            </w:r>
          </w:p>
        </w:tc>
        <w:tc>
          <w:tcPr>
            <w:tcW w:w="1016" w:type="dxa"/>
            <w:vAlign w:val="center"/>
            <w:hideMark/>
          </w:tcPr>
          <w:p w:rsidR="003D0441" w:rsidRPr="00455DFC" w:rsidRDefault="003D0441" w:rsidP="004E4528">
            <w:pPr>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1,767,466</w:t>
            </w:r>
          </w:p>
        </w:tc>
        <w:tc>
          <w:tcPr>
            <w:tcW w:w="1250" w:type="dxa"/>
            <w:vAlign w:val="center"/>
            <w:hideMark/>
          </w:tcPr>
          <w:p w:rsidR="003D0441" w:rsidRPr="00651171" w:rsidRDefault="003D0441" w:rsidP="004E4528">
            <w:pPr>
              <w:jc w:val="center"/>
              <w:cnfStyle w:val="00000001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43.40</w:t>
            </w:r>
          </w:p>
        </w:tc>
        <w:tc>
          <w:tcPr>
            <w:tcW w:w="1016" w:type="dxa"/>
            <w:vAlign w:val="center"/>
            <w:hideMark/>
          </w:tcPr>
          <w:p w:rsidR="003D0441" w:rsidRPr="00455DFC" w:rsidRDefault="003D0441" w:rsidP="004E4528">
            <w:pPr>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1,742,139</w:t>
            </w:r>
          </w:p>
        </w:tc>
        <w:tc>
          <w:tcPr>
            <w:tcW w:w="1250" w:type="dxa"/>
            <w:vAlign w:val="center"/>
            <w:hideMark/>
          </w:tcPr>
          <w:p w:rsidR="003D0441" w:rsidRPr="00651171" w:rsidRDefault="003D0441" w:rsidP="004E4528">
            <w:pPr>
              <w:jc w:val="center"/>
              <w:cnfStyle w:val="00000001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47.42</w:t>
            </w:r>
          </w:p>
        </w:tc>
        <w:tc>
          <w:tcPr>
            <w:tcW w:w="1016" w:type="dxa"/>
            <w:vAlign w:val="center"/>
            <w:hideMark/>
          </w:tcPr>
          <w:p w:rsidR="003D0441" w:rsidRPr="00455DFC" w:rsidRDefault="003D0441" w:rsidP="004E4528">
            <w:pPr>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1,083,630</w:t>
            </w:r>
          </w:p>
        </w:tc>
        <w:tc>
          <w:tcPr>
            <w:tcW w:w="1250" w:type="dxa"/>
            <w:vAlign w:val="center"/>
            <w:hideMark/>
          </w:tcPr>
          <w:p w:rsidR="003D0441" w:rsidRPr="00651171" w:rsidRDefault="003D0441" w:rsidP="004E4528">
            <w:pPr>
              <w:jc w:val="center"/>
              <w:cnfStyle w:val="00000001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43.11</w:t>
            </w:r>
          </w:p>
        </w:tc>
      </w:tr>
      <w:tr w:rsidR="003D0441" w:rsidRPr="00455DFC" w:rsidTr="004E4528">
        <w:trPr>
          <w:cnfStyle w:val="000000100000"/>
          <w:trHeight w:val="300"/>
          <w:jc w:val="center"/>
        </w:trPr>
        <w:tc>
          <w:tcPr>
            <w:cnfStyle w:val="001000000000"/>
            <w:tcW w:w="2262" w:type="dxa"/>
            <w:hideMark/>
          </w:tcPr>
          <w:p w:rsidR="003D0441" w:rsidRPr="00651171" w:rsidRDefault="003D0441" w:rsidP="0020759B">
            <w:pPr>
              <w:rPr>
                <w:rFonts w:ascii="Times New Roman" w:eastAsia="Times New Roman" w:hAnsi="Times New Roman" w:cs="Times New Roman"/>
                <w:b w:val="0"/>
                <w:sz w:val="20"/>
                <w:szCs w:val="20"/>
              </w:rPr>
            </w:pPr>
            <w:r w:rsidRPr="00651171">
              <w:rPr>
                <w:rFonts w:ascii="Times New Roman" w:eastAsia="Times New Roman" w:hAnsi="Times New Roman" w:cs="Times New Roman"/>
                <w:b w:val="0"/>
                <w:sz w:val="20"/>
                <w:szCs w:val="20"/>
              </w:rPr>
              <w:t>- Įstatinis kapitalas</w:t>
            </w:r>
          </w:p>
        </w:tc>
        <w:tc>
          <w:tcPr>
            <w:tcW w:w="1016" w:type="dxa"/>
            <w:vAlign w:val="center"/>
            <w:hideMark/>
          </w:tcPr>
          <w:p w:rsidR="003D0441" w:rsidRPr="00455DFC" w:rsidRDefault="003D0441" w:rsidP="004E4528">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57,636</w:t>
            </w:r>
          </w:p>
        </w:tc>
        <w:tc>
          <w:tcPr>
            <w:tcW w:w="1250" w:type="dxa"/>
            <w:vAlign w:val="center"/>
            <w:hideMark/>
          </w:tcPr>
          <w:p w:rsidR="003D0441" w:rsidRPr="00651171" w:rsidRDefault="003D0441" w:rsidP="004E4528">
            <w:pPr>
              <w:jc w:val="center"/>
              <w:cnfStyle w:val="00000010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3.26</w:t>
            </w:r>
          </w:p>
        </w:tc>
        <w:tc>
          <w:tcPr>
            <w:tcW w:w="1016" w:type="dxa"/>
            <w:vAlign w:val="center"/>
            <w:hideMark/>
          </w:tcPr>
          <w:p w:rsidR="003D0441" w:rsidRPr="00455DFC" w:rsidRDefault="003D0441" w:rsidP="004E4528">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58,640</w:t>
            </w:r>
          </w:p>
        </w:tc>
        <w:tc>
          <w:tcPr>
            <w:tcW w:w="1250" w:type="dxa"/>
            <w:vAlign w:val="center"/>
            <w:hideMark/>
          </w:tcPr>
          <w:p w:rsidR="003D0441" w:rsidRPr="00651171" w:rsidRDefault="003D0441" w:rsidP="004E4528">
            <w:pPr>
              <w:jc w:val="center"/>
              <w:cnfStyle w:val="00000010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3.37</w:t>
            </w:r>
          </w:p>
        </w:tc>
        <w:tc>
          <w:tcPr>
            <w:tcW w:w="1016" w:type="dxa"/>
            <w:vAlign w:val="center"/>
            <w:hideMark/>
          </w:tcPr>
          <w:p w:rsidR="003D0441" w:rsidRPr="00455DFC" w:rsidRDefault="003D0441" w:rsidP="004E4528">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57,721</w:t>
            </w:r>
          </w:p>
        </w:tc>
        <w:tc>
          <w:tcPr>
            <w:tcW w:w="1250" w:type="dxa"/>
            <w:vAlign w:val="center"/>
            <w:hideMark/>
          </w:tcPr>
          <w:p w:rsidR="003D0441" w:rsidRPr="00651171" w:rsidRDefault="003D0441" w:rsidP="004E4528">
            <w:pPr>
              <w:jc w:val="center"/>
              <w:cnfStyle w:val="00000010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5.33</w:t>
            </w:r>
          </w:p>
        </w:tc>
      </w:tr>
      <w:tr w:rsidR="003D0441" w:rsidRPr="00455DFC" w:rsidTr="004E4528">
        <w:trPr>
          <w:cnfStyle w:val="000000010000"/>
          <w:trHeight w:val="300"/>
          <w:jc w:val="center"/>
        </w:trPr>
        <w:tc>
          <w:tcPr>
            <w:cnfStyle w:val="001000000000"/>
            <w:tcW w:w="2262" w:type="dxa"/>
            <w:hideMark/>
          </w:tcPr>
          <w:p w:rsidR="003D0441" w:rsidRPr="00651171" w:rsidRDefault="003D0441" w:rsidP="0020759B">
            <w:pPr>
              <w:rPr>
                <w:rFonts w:ascii="Times New Roman" w:eastAsia="Times New Roman" w:hAnsi="Times New Roman" w:cs="Times New Roman"/>
                <w:b w:val="0"/>
                <w:sz w:val="20"/>
                <w:szCs w:val="20"/>
              </w:rPr>
            </w:pPr>
            <w:r w:rsidRPr="00651171">
              <w:rPr>
                <w:rFonts w:ascii="Times New Roman" w:eastAsia="Times New Roman" w:hAnsi="Times New Roman" w:cs="Times New Roman"/>
                <w:b w:val="0"/>
                <w:sz w:val="20"/>
                <w:szCs w:val="20"/>
              </w:rPr>
              <w:t>- Nepaskirstytas pelnas</w:t>
            </w:r>
          </w:p>
        </w:tc>
        <w:tc>
          <w:tcPr>
            <w:tcW w:w="1016" w:type="dxa"/>
            <w:vAlign w:val="center"/>
            <w:hideMark/>
          </w:tcPr>
          <w:p w:rsidR="003D0441" w:rsidRPr="00455DFC" w:rsidRDefault="003D0441" w:rsidP="004E4528">
            <w:pPr>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1,709,830</w:t>
            </w:r>
          </w:p>
        </w:tc>
        <w:tc>
          <w:tcPr>
            <w:tcW w:w="1250" w:type="dxa"/>
            <w:vAlign w:val="center"/>
            <w:hideMark/>
          </w:tcPr>
          <w:p w:rsidR="003D0441" w:rsidRPr="00651171" w:rsidRDefault="003D0441" w:rsidP="004E4528">
            <w:pPr>
              <w:jc w:val="center"/>
              <w:cnfStyle w:val="00000001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96.74</w:t>
            </w:r>
          </w:p>
        </w:tc>
        <w:tc>
          <w:tcPr>
            <w:tcW w:w="1016" w:type="dxa"/>
            <w:vAlign w:val="center"/>
            <w:hideMark/>
          </w:tcPr>
          <w:p w:rsidR="003D0441" w:rsidRPr="00455DFC" w:rsidRDefault="003D0441" w:rsidP="004E4528">
            <w:pPr>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1,683,499</w:t>
            </w:r>
          </w:p>
        </w:tc>
        <w:tc>
          <w:tcPr>
            <w:tcW w:w="1250" w:type="dxa"/>
            <w:vAlign w:val="center"/>
            <w:hideMark/>
          </w:tcPr>
          <w:p w:rsidR="003D0441" w:rsidRPr="00651171" w:rsidRDefault="003D0441" w:rsidP="004E4528">
            <w:pPr>
              <w:jc w:val="center"/>
              <w:cnfStyle w:val="00000001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96.63</w:t>
            </w:r>
          </w:p>
        </w:tc>
        <w:tc>
          <w:tcPr>
            <w:tcW w:w="1016" w:type="dxa"/>
            <w:vAlign w:val="center"/>
            <w:hideMark/>
          </w:tcPr>
          <w:p w:rsidR="003D0441" w:rsidRPr="00455DFC" w:rsidRDefault="003D0441" w:rsidP="004E4528">
            <w:pPr>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1,025,908</w:t>
            </w:r>
          </w:p>
        </w:tc>
        <w:tc>
          <w:tcPr>
            <w:tcW w:w="1250" w:type="dxa"/>
            <w:vAlign w:val="center"/>
            <w:hideMark/>
          </w:tcPr>
          <w:p w:rsidR="003D0441" w:rsidRPr="00651171" w:rsidRDefault="003D0441" w:rsidP="004E4528">
            <w:pPr>
              <w:jc w:val="center"/>
              <w:cnfStyle w:val="00000001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94.67</w:t>
            </w:r>
          </w:p>
        </w:tc>
      </w:tr>
      <w:tr w:rsidR="003D0441" w:rsidRPr="00455DFC" w:rsidTr="004E4528">
        <w:trPr>
          <w:cnfStyle w:val="000000100000"/>
          <w:trHeight w:val="300"/>
          <w:jc w:val="center"/>
        </w:trPr>
        <w:tc>
          <w:tcPr>
            <w:cnfStyle w:val="001000000000"/>
            <w:tcW w:w="2262" w:type="dxa"/>
            <w:hideMark/>
          </w:tcPr>
          <w:p w:rsidR="003D0441" w:rsidRPr="00651171" w:rsidRDefault="003D0441" w:rsidP="0020759B">
            <w:pPr>
              <w:rPr>
                <w:rFonts w:ascii="Times New Roman" w:eastAsia="Times New Roman" w:hAnsi="Times New Roman" w:cs="Times New Roman"/>
                <w:b w:val="0"/>
                <w:sz w:val="20"/>
                <w:szCs w:val="20"/>
              </w:rPr>
            </w:pPr>
            <w:r w:rsidRPr="00651171">
              <w:rPr>
                <w:rFonts w:ascii="Times New Roman" w:eastAsia="Times New Roman" w:hAnsi="Times New Roman" w:cs="Times New Roman"/>
                <w:b w:val="0"/>
                <w:sz w:val="20"/>
                <w:szCs w:val="20"/>
              </w:rPr>
              <w:t>Įlgalaikiai įsipareigojimai</w:t>
            </w:r>
          </w:p>
        </w:tc>
        <w:tc>
          <w:tcPr>
            <w:tcW w:w="1016" w:type="dxa"/>
            <w:vAlign w:val="center"/>
            <w:hideMark/>
          </w:tcPr>
          <w:p w:rsidR="003D0441" w:rsidRPr="00455DFC" w:rsidRDefault="003D0441" w:rsidP="004E4528">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1,758,779</w:t>
            </w:r>
          </w:p>
        </w:tc>
        <w:tc>
          <w:tcPr>
            <w:tcW w:w="1250" w:type="dxa"/>
            <w:vAlign w:val="center"/>
            <w:hideMark/>
          </w:tcPr>
          <w:p w:rsidR="003D0441" w:rsidRPr="00651171" w:rsidRDefault="003D0441" w:rsidP="004E4528">
            <w:pPr>
              <w:jc w:val="center"/>
              <w:cnfStyle w:val="00000010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43.19</w:t>
            </w:r>
          </w:p>
        </w:tc>
        <w:tc>
          <w:tcPr>
            <w:tcW w:w="1016" w:type="dxa"/>
            <w:vAlign w:val="center"/>
            <w:hideMark/>
          </w:tcPr>
          <w:p w:rsidR="003D0441" w:rsidRPr="00455DFC" w:rsidRDefault="003D0441" w:rsidP="004E4528">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1,587,506</w:t>
            </w:r>
          </w:p>
        </w:tc>
        <w:tc>
          <w:tcPr>
            <w:tcW w:w="1250" w:type="dxa"/>
            <w:vAlign w:val="center"/>
            <w:hideMark/>
          </w:tcPr>
          <w:p w:rsidR="003D0441" w:rsidRPr="00651171" w:rsidRDefault="003D0441" w:rsidP="004E4528">
            <w:pPr>
              <w:jc w:val="center"/>
              <w:cnfStyle w:val="00000010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43.21</w:t>
            </w:r>
          </w:p>
        </w:tc>
        <w:tc>
          <w:tcPr>
            <w:tcW w:w="1016" w:type="dxa"/>
            <w:vAlign w:val="center"/>
            <w:hideMark/>
          </w:tcPr>
          <w:p w:rsidR="003D0441" w:rsidRPr="00455DFC" w:rsidRDefault="003D0441" w:rsidP="004E4528">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1,165,401</w:t>
            </w:r>
          </w:p>
        </w:tc>
        <w:tc>
          <w:tcPr>
            <w:tcW w:w="1250" w:type="dxa"/>
            <w:vAlign w:val="center"/>
            <w:hideMark/>
          </w:tcPr>
          <w:p w:rsidR="003D0441" w:rsidRPr="00651171" w:rsidRDefault="003D0441" w:rsidP="004E4528">
            <w:pPr>
              <w:jc w:val="center"/>
              <w:cnfStyle w:val="00000010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46.36</w:t>
            </w:r>
          </w:p>
        </w:tc>
      </w:tr>
      <w:tr w:rsidR="003D0441" w:rsidRPr="00455DFC" w:rsidTr="004E4528">
        <w:trPr>
          <w:cnfStyle w:val="000000010000"/>
          <w:trHeight w:val="300"/>
          <w:jc w:val="center"/>
        </w:trPr>
        <w:tc>
          <w:tcPr>
            <w:cnfStyle w:val="001000000000"/>
            <w:tcW w:w="2262" w:type="dxa"/>
            <w:hideMark/>
          </w:tcPr>
          <w:p w:rsidR="003D0441" w:rsidRPr="00651171" w:rsidRDefault="003D0441" w:rsidP="0020759B">
            <w:pPr>
              <w:rPr>
                <w:rFonts w:ascii="Times New Roman" w:eastAsia="Times New Roman" w:hAnsi="Times New Roman" w:cs="Times New Roman"/>
                <w:b w:val="0"/>
                <w:sz w:val="20"/>
                <w:szCs w:val="20"/>
              </w:rPr>
            </w:pPr>
            <w:r w:rsidRPr="00651171">
              <w:rPr>
                <w:rFonts w:ascii="Times New Roman" w:eastAsia="Times New Roman" w:hAnsi="Times New Roman" w:cs="Times New Roman"/>
                <w:b w:val="0"/>
                <w:sz w:val="20"/>
                <w:szCs w:val="20"/>
              </w:rPr>
              <w:t>- Ilgalaikės skolos</w:t>
            </w:r>
          </w:p>
        </w:tc>
        <w:tc>
          <w:tcPr>
            <w:tcW w:w="1016" w:type="dxa"/>
            <w:vAlign w:val="center"/>
            <w:hideMark/>
          </w:tcPr>
          <w:p w:rsidR="003D0441" w:rsidRPr="00455DFC" w:rsidRDefault="003D0441" w:rsidP="004E4528">
            <w:pPr>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1,758,779</w:t>
            </w:r>
          </w:p>
        </w:tc>
        <w:tc>
          <w:tcPr>
            <w:tcW w:w="1250" w:type="dxa"/>
            <w:vAlign w:val="center"/>
            <w:hideMark/>
          </w:tcPr>
          <w:p w:rsidR="003D0441" w:rsidRPr="00651171" w:rsidRDefault="003D0441" w:rsidP="004E4528">
            <w:pPr>
              <w:jc w:val="center"/>
              <w:cnfStyle w:val="00000001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100.00</w:t>
            </w:r>
          </w:p>
        </w:tc>
        <w:tc>
          <w:tcPr>
            <w:tcW w:w="1016" w:type="dxa"/>
            <w:vAlign w:val="center"/>
            <w:hideMark/>
          </w:tcPr>
          <w:p w:rsidR="003D0441" w:rsidRPr="00455DFC" w:rsidRDefault="003D0441" w:rsidP="004E4528">
            <w:pPr>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1,587,506</w:t>
            </w:r>
          </w:p>
        </w:tc>
        <w:tc>
          <w:tcPr>
            <w:tcW w:w="1250" w:type="dxa"/>
            <w:vAlign w:val="center"/>
            <w:hideMark/>
          </w:tcPr>
          <w:p w:rsidR="003D0441" w:rsidRPr="00651171" w:rsidRDefault="003D0441" w:rsidP="004E4528">
            <w:pPr>
              <w:jc w:val="center"/>
              <w:cnfStyle w:val="00000001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100.00</w:t>
            </w:r>
          </w:p>
        </w:tc>
        <w:tc>
          <w:tcPr>
            <w:tcW w:w="1016" w:type="dxa"/>
            <w:vAlign w:val="center"/>
            <w:hideMark/>
          </w:tcPr>
          <w:p w:rsidR="003D0441" w:rsidRPr="00455DFC" w:rsidRDefault="003D0441" w:rsidP="004E4528">
            <w:pPr>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1,165,401</w:t>
            </w:r>
          </w:p>
        </w:tc>
        <w:tc>
          <w:tcPr>
            <w:tcW w:w="1250" w:type="dxa"/>
            <w:vAlign w:val="center"/>
            <w:hideMark/>
          </w:tcPr>
          <w:p w:rsidR="003D0441" w:rsidRPr="00651171" w:rsidRDefault="003D0441" w:rsidP="004E4528">
            <w:pPr>
              <w:jc w:val="center"/>
              <w:cnfStyle w:val="00000001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100.00</w:t>
            </w:r>
          </w:p>
        </w:tc>
      </w:tr>
      <w:tr w:rsidR="003D0441" w:rsidRPr="00455DFC" w:rsidTr="004E4528">
        <w:trPr>
          <w:cnfStyle w:val="000000100000"/>
          <w:trHeight w:val="300"/>
          <w:jc w:val="center"/>
        </w:trPr>
        <w:tc>
          <w:tcPr>
            <w:cnfStyle w:val="001000000000"/>
            <w:tcW w:w="2262" w:type="dxa"/>
            <w:hideMark/>
          </w:tcPr>
          <w:p w:rsidR="003D0441" w:rsidRPr="00651171" w:rsidRDefault="003D0441" w:rsidP="0020759B">
            <w:pPr>
              <w:rPr>
                <w:rFonts w:ascii="Times New Roman" w:eastAsia="Times New Roman" w:hAnsi="Times New Roman" w:cs="Times New Roman"/>
                <w:b w:val="0"/>
                <w:sz w:val="20"/>
                <w:szCs w:val="20"/>
              </w:rPr>
            </w:pPr>
            <w:r w:rsidRPr="00651171">
              <w:rPr>
                <w:rFonts w:ascii="Times New Roman" w:eastAsia="Times New Roman" w:hAnsi="Times New Roman" w:cs="Times New Roman"/>
                <w:b w:val="0"/>
                <w:sz w:val="20"/>
                <w:szCs w:val="20"/>
              </w:rPr>
              <w:t>- Kiti ilgalaikiai įsipareigojimai</w:t>
            </w:r>
          </w:p>
        </w:tc>
        <w:tc>
          <w:tcPr>
            <w:tcW w:w="1016" w:type="dxa"/>
            <w:vAlign w:val="center"/>
            <w:hideMark/>
          </w:tcPr>
          <w:p w:rsidR="003D0441" w:rsidRPr="00455DFC" w:rsidRDefault="003D0441" w:rsidP="004E4528">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0</w:t>
            </w:r>
          </w:p>
        </w:tc>
        <w:tc>
          <w:tcPr>
            <w:tcW w:w="1250" w:type="dxa"/>
            <w:vAlign w:val="center"/>
            <w:hideMark/>
          </w:tcPr>
          <w:p w:rsidR="003D0441" w:rsidRPr="00651171" w:rsidRDefault="003D0441" w:rsidP="004E4528">
            <w:pPr>
              <w:jc w:val="center"/>
              <w:cnfStyle w:val="000000100000"/>
              <w:rPr>
                <w:rFonts w:ascii="Times New Roman" w:eastAsia="Times New Roman" w:hAnsi="Times New Roman" w:cs="Times New Roman"/>
                <w:i/>
                <w:sz w:val="20"/>
                <w:szCs w:val="20"/>
              </w:rPr>
            </w:pPr>
          </w:p>
        </w:tc>
        <w:tc>
          <w:tcPr>
            <w:tcW w:w="1016" w:type="dxa"/>
            <w:vAlign w:val="center"/>
            <w:hideMark/>
          </w:tcPr>
          <w:p w:rsidR="003D0441" w:rsidRPr="00455DFC" w:rsidRDefault="003D0441" w:rsidP="004E4528">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0</w:t>
            </w:r>
          </w:p>
        </w:tc>
        <w:tc>
          <w:tcPr>
            <w:tcW w:w="1250" w:type="dxa"/>
            <w:vAlign w:val="center"/>
            <w:hideMark/>
          </w:tcPr>
          <w:p w:rsidR="003D0441" w:rsidRPr="00651171" w:rsidRDefault="003D0441" w:rsidP="004E4528">
            <w:pPr>
              <w:jc w:val="center"/>
              <w:cnfStyle w:val="000000100000"/>
              <w:rPr>
                <w:rFonts w:ascii="Times New Roman" w:eastAsia="Times New Roman" w:hAnsi="Times New Roman" w:cs="Times New Roman"/>
                <w:i/>
                <w:sz w:val="20"/>
                <w:szCs w:val="20"/>
              </w:rPr>
            </w:pPr>
          </w:p>
        </w:tc>
        <w:tc>
          <w:tcPr>
            <w:tcW w:w="1016" w:type="dxa"/>
            <w:vAlign w:val="center"/>
            <w:hideMark/>
          </w:tcPr>
          <w:p w:rsidR="003D0441" w:rsidRPr="00455DFC" w:rsidRDefault="003D0441" w:rsidP="004E4528">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0</w:t>
            </w:r>
          </w:p>
        </w:tc>
        <w:tc>
          <w:tcPr>
            <w:tcW w:w="1250" w:type="dxa"/>
            <w:vAlign w:val="center"/>
            <w:hideMark/>
          </w:tcPr>
          <w:p w:rsidR="003D0441" w:rsidRPr="00651171" w:rsidRDefault="003D0441" w:rsidP="004E4528">
            <w:pPr>
              <w:jc w:val="center"/>
              <w:cnfStyle w:val="000000100000"/>
              <w:rPr>
                <w:rFonts w:ascii="Times New Roman" w:eastAsia="Times New Roman" w:hAnsi="Times New Roman" w:cs="Times New Roman"/>
                <w:i/>
                <w:sz w:val="20"/>
                <w:szCs w:val="20"/>
              </w:rPr>
            </w:pPr>
          </w:p>
        </w:tc>
      </w:tr>
      <w:tr w:rsidR="003D0441" w:rsidRPr="00455DFC" w:rsidTr="004E4528">
        <w:trPr>
          <w:cnfStyle w:val="000000010000"/>
          <w:trHeight w:val="300"/>
          <w:jc w:val="center"/>
        </w:trPr>
        <w:tc>
          <w:tcPr>
            <w:cnfStyle w:val="001000000000"/>
            <w:tcW w:w="2262" w:type="dxa"/>
            <w:hideMark/>
          </w:tcPr>
          <w:p w:rsidR="003D0441" w:rsidRPr="00651171" w:rsidRDefault="003D0441" w:rsidP="0020759B">
            <w:pPr>
              <w:rPr>
                <w:rFonts w:ascii="Times New Roman" w:eastAsia="Times New Roman" w:hAnsi="Times New Roman" w:cs="Times New Roman"/>
                <w:b w:val="0"/>
                <w:sz w:val="20"/>
                <w:szCs w:val="20"/>
              </w:rPr>
            </w:pPr>
            <w:r w:rsidRPr="00651171">
              <w:rPr>
                <w:rFonts w:ascii="Times New Roman" w:eastAsia="Times New Roman" w:hAnsi="Times New Roman" w:cs="Times New Roman"/>
                <w:b w:val="0"/>
                <w:sz w:val="20"/>
                <w:szCs w:val="20"/>
              </w:rPr>
              <w:t>Trumpalaikiai įsipareigojimai</w:t>
            </w:r>
          </w:p>
        </w:tc>
        <w:tc>
          <w:tcPr>
            <w:tcW w:w="1016" w:type="dxa"/>
            <w:vAlign w:val="center"/>
            <w:hideMark/>
          </w:tcPr>
          <w:p w:rsidR="003D0441" w:rsidRPr="00455DFC" w:rsidRDefault="003D0441" w:rsidP="004E4528">
            <w:pPr>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546,085</w:t>
            </w:r>
          </w:p>
        </w:tc>
        <w:tc>
          <w:tcPr>
            <w:tcW w:w="1250" w:type="dxa"/>
            <w:vAlign w:val="center"/>
            <w:hideMark/>
          </w:tcPr>
          <w:p w:rsidR="003D0441" w:rsidRPr="00651171" w:rsidRDefault="003D0441" w:rsidP="004E4528">
            <w:pPr>
              <w:jc w:val="center"/>
              <w:cnfStyle w:val="00000001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13.41</w:t>
            </w:r>
          </w:p>
        </w:tc>
        <w:tc>
          <w:tcPr>
            <w:tcW w:w="1016" w:type="dxa"/>
            <w:vAlign w:val="center"/>
            <w:hideMark/>
          </w:tcPr>
          <w:p w:rsidR="003D0441" w:rsidRPr="00455DFC" w:rsidRDefault="003D0441" w:rsidP="004E4528">
            <w:pPr>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344,345</w:t>
            </w:r>
          </w:p>
        </w:tc>
        <w:tc>
          <w:tcPr>
            <w:tcW w:w="1250" w:type="dxa"/>
            <w:vAlign w:val="center"/>
            <w:hideMark/>
          </w:tcPr>
          <w:p w:rsidR="003D0441" w:rsidRPr="00651171" w:rsidRDefault="003D0441" w:rsidP="004E4528">
            <w:pPr>
              <w:jc w:val="center"/>
              <w:cnfStyle w:val="00000001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9.37</w:t>
            </w:r>
          </w:p>
        </w:tc>
        <w:tc>
          <w:tcPr>
            <w:tcW w:w="1016" w:type="dxa"/>
            <w:vAlign w:val="center"/>
            <w:hideMark/>
          </w:tcPr>
          <w:p w:rsidR="003D0441" w:rsidRPr="00455DFC" w:rsidRDefault="003D0441" w:rsidP="004E4528">
            <w:pPr>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264,772</w:t>
            </w:r>
          </w:p>
        </w:tc>
        <w:tc>
          <w:tcPr>
            <w:tcW w:w="1250" w:type="dxa"/>
            <w:vAlign w:val="center"/>
            <w:hideMark/>
          </w:tcPr>
          <w:p w:rsidR="003D0441" w:rsidRPr="00651171" w:rsidRDefault="003D0441" w:rsidP="004E4528">
            <w:pPr>
              <w:jc w:val="center"/>
              <w:cnfStyle w:val="00000001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10.53</w:t>
            </w:r>
          </w:p>
        </w:tc>
      </w:tr>
      <w:tr w:rsidR="003D0441" w:rsidRPr="00455DFC" w:rsidTr="004E4528">
        <w:trPr>
          <w:cnfStyle w:val="000000100000"/>
          <w:trHeight w:val="300"/>
          <w:jc w:val="center"/>
        </w:trPr>
        <w:tc>
          <w:tcPr>
            <w:cnfStyle w:val="001000000000"/>
            <w:tcW w:w="2262" w:type="dxa"/>
            <w:hideMark/>
          </w:tcPr>
          <w:p w:rsidR="003D0441" w:rsidRPr="00651171" w:rsidRDefault="003D0441" w:rsidP="0020759B">
            <w:pPr>
              <w:rPr>
                <w:rFonts w:ascii="Times New Roman" w:eastAsia="Times New Roman" w:hAnsi="Times New Roman" w:cs="Times New Roman"/>
                <w:b w:val="0"/>
                <w:sz w:val="20"/>
                <w:szCs w:val="20"/>
              </w:rPr>
            </w:pPr>
            <w:r w:rsidRPr="00651171">
              <w:rPr>
                <w:rFonts w:ascii="Times New Roman" w:eastAsia="Times New Roman" w:hAnsi="Times New Roman" w:cs="Times New Roman"/>
                <w:b w:val="0"/>
                <w:sz w:val="20"/>
                <w:szCs w:val="20"/>
              </w:rPr>
              <w:t>- Trumpalaikės paskolos</w:t>
            </w:r>
          </w:p>
        </w:tc>
        <w:tc>
          <w:tcPr>
            <w:tcW w:w="1016" w:type="dxa"/>
            <w:vAlign w:val="center"/>
            <w:hideMark/>
          </w:tcPr>
          <w:p w:rsidR="003D0441" w:rsidRPr="00455DFC" w:rsidRDefault="003D0441" w:rsidP="004E4528">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115,129</w:t>
            </w:r>
          </w:p>
        </w:tc>
        <w:tc>
          <w:tcPr>
            <w:tcW w:w="1250" w:type="dxa"/>
            <w:vAlign w:val="center"/>
            <w:hideMark/>
          </w:tcPr>
          <w:p w:rsidR="003D0441" w:rsidRPr="00651171" w:rsidRDefault="003D0441" w:rsidP="004E4528">
            <w:pPr>
              <w:jc w:val="center"/>
              <w:cnfStyle w:val="00000010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21.08</w:t>
            </w:r>
          </w:p>
        </w:tc>
        <w:tc>
          <w:tcPr>
            <w:tcW w:w="1016" w:type="dxa"/>
            <w:vAlign w:val="center"/>
            <w:hideMark/>
          </w:tcPr>
          <w:p w:rsidR="003D0441" w:rsidRPr="00455DFC" w:rsidRDefault="003D0441" w:rsidP="004E4528">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78,007</w:t>
            </w:r>
          </w:p>
        </w:tc>
        <w:tc>
          <w:tcPr>
            <w:tcW w:w="1250" w:type="dxa"/>
            <w:vAlign w:val="center"/>
            <w:hideMark/>
          </w:tcPr>
          <w:p w:rsidR="003D0441" w:rsidRPr="00651171" w:rsidRDefault="003D0441" w:rsidP="004E4528">
            <w:pPr>
              <w:jc w:val="center"/>
              <w:cnfStyle w:val="00000010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22.65</w:t>
            </w:r>
          </w:p>
        </w:tc>
        <w:tc>
          <w:tcPr>
            <w:tcW w:w="1016" w:type="dxa"/>
            <w:vAlign w:val="center"/>
            <w:hideMark/>
          </w:tcPr>
          <w:p w:rsidR="003D0441" w:rsidRPr="00455DFC" w:rsidRDefault="003D0441" w:rsidP="004E4528">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1,063</w:t>
            </w:r>
          </w:p>
        </w:tc>
        <w:tc>
          <w:tcPr>
            <w:tcW w:w="1250" w:type="dxa"/>
            <w:vAlign w:val="center"/>
            <w:hideMark/>
          </w:tcPr>
          <w:p w:rsidR="003D0441" w:rsidRPr="00651171" w:rsidRDefault="003D0441" w:rsidP="004E4528">
            <w:pPr>
              <w:jc w:val="center"/>
              <w:cnfStyle w:val="00000010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0.40</w:t>
            </w:r>
          </w:p>
        </w:tc>
      </w:tr>
      <w:tr w:rsidR="003D0441" w:rsidRPr="00455DFC" w:rsidTr="004E4528">
        <w:trPr>
          <w:cnfStyle w:val="000000010000"/>
          <w:trHeight w:val="300"/>
          <w:jc w:val="center"/>
        </w:trPr>
        <w:tc>
          <w:tcPr>
            <w:cnfStyle w:val="001000000000"/>
            <w:tcW w:w="2262" w:type="dxa"/>
            <w:hideMark/>
          </w:tcPr>
          <w:p w:rsidR="003D0441" w:rsidRPr="00651171" w:rsidRDefault="003D0441" w:rsidP="0020759B">
            <w:pPr>
              <w:rPr>
                <w:rFonts w:ascii="Times New Roman" w:eastAsia="Times New Roman" w:hAnsi="Times New Roman" w:cs="Times New Roman"/>
                <w:b w:val="0"/>
                <w:sz w:val="20"/>
                <w:szCs w:val="20"/>
              </w:rPr>
            </w:pPr>
            <w:r w:rsidRPr="00651171">
              <w:rPr>
                <w:rFonts w:ascii="Times New Roman" w:eastAsia="Times New Roman" w:hAnsi="Times New Roman" w:cs="Times New Roman"/>
                <w:b w:val="0"/>
                <w:sz w:val="20"/>
                <w:szCs w:val="20"/>
              </w:rPr>
              <w:t>- Skolos tiekėjams</w:t>
            </w:r>
          </w:p>
        </w:tc>
        <w:tc>
          <w:tcPr>
            <w:tcW w:w="1016" w:type="dxa"/>
            <w:vAlign w:val="center"/>
            <w:hideMark/>
          </w:tcPr>
          <w:p w:rsidR="003D0441" w:rsidRPr="00455DFC" w:rsidRDefault="003D0441" w:rsidP="004E4528">
            <w:pPr>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170,571</w:t>
            </w:r>
          </w:p>
        </w:tc>
        <w:tc>
          <w:tcPr>
            <w:tcW w:w="1250" w:type="dxa"/>
            <w:vAlign w:val="center"/>
            <w:hideMark/>
          </w:tcPr>
          <w:p w:rsidR="003D0441" w:rsidRPr="00651171" w:rsidRDefault="003D0441" w:rsidP="004E4528">
            <w:pPr>
              <w:jc w:val="center"/>
              <w:cnfStyle w:val="00000001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31.24</w:t>
            </w:r>
          </w:p>
        </w:tc>
        <w:tc>
          <w:tcPr>
            <w:tcW w:w="1016" w:type="dxa"/>
            <w:vAlign w:val="center"/>
            <w:hideMark/>
          </w:tcPr>
          <w:p w:rsidR="003D0441" w:rsidRPr="00455DFC" w:rsidRDefault="003D0441" w:rsidP="004E4528">
            <w:pPr>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217,983</w:t>
            </w:r>
          </w:p>
        </w:tc>
        <w:tc>
          <w:tcPr>
            <w:tcW w:w="1250" w:type="dxa"/>
            <w:vAlign w:val="center"/>
            <w:hideMark/>
          </w:tcPr>
          <w:p w:rsidR="003D0441" w:rsidRPr="00651171" w:rsidRDefault="003D0441" w:rsidP="004E4528">
            <w:pPr>
              <w:jc w:val="center"/>
              <w:cnfStyle w:val="00000001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63.30</w:t>
            </w:r>
          </w:p>
        </w:tc>
        <w:tc>
          <w:tcPr>
            <w:tcW w:w="1016" w:type="dxa"/>
            <w:vAlign w:val="center"/>
            <w:hideMark/>
          </w:tcPr>
          <w:p w:rsidR="003D0441" w:rsidRPr="00455DFC" w:rsidRDefault="003D0441" w:rsidP="004E4528">
            <w:pPr>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166,809</w:t>
            </w:r>
          </w:p>
        </w:tc>
        <w:tc>
          <w:tcPr>
            <w:tcW w:w="1250" w:type="dxa"/>
            <w:vAlign w:val="center"/>
            <w:hideMark/>
          </w:tcPr>
          <w:p w:rsidR="003D0441" w:rsidRPr="00651171" w:rsidRDefault="003D0441" w:rsidP="004E4528">
            <w:pPr>
              <w:jc w:val="center"/>
              <w:cnfStyle w:val="00000001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63.00</w:t>
            </w:r>
          </w:p>
        </w:tc>
      </w:tr>
      <w:tr w:rsidR="003D0441" w:rsidRPr="00455DFC" w:rsidTr="004E4528">
        <w:trPr>
          <w:cnfStyle w:val="000000100000"/>
          <w:trHeight w:val="510"/>
          <w:jc w:val="center"/>
        </w:trPr>
        <w:tc>
          <w:tcPr>
            <w:cnfStyle w:val="001000000000"/>
            <w:tcW w:w="2262" w:type="dxa"/>
            <w:hideMark/>
          </w:tcPr>
          <w:p w:rsidR="003D0441" w:rsidRPr="00651171" w:rsidRDefault="003D0441" w:rsidP="0020759B">
            <w:pPr>
              <w:rPr>
                <w:rFonts w:ascii="Times New Roman" w:eastAsia="Times New Roman" w:hAnsi="Times New Roman" w:cs="Times New Roman"/>
                <w:b w:val="0"/>
                <w:sz w:val="20"/>
                <w:szCs w:val="20"/>
              </w:rPr>
            </w:pPr>
            <w:r w:rsidRPr="00651171">
              <w:rPr>
                <w:rFonts w:ascii="Times New Roman" w:eastAsia="Times New Roman" w:hAnsi="Times New Roman" w:cs="Times New Roman"/>
                <w:b w:val="0"/>
                <w:sz w:val="20"/>
                <w:szCs w:val="20"/>
              </w:rPr>
              <w:t>- Kiti trumpalaikiai įsipareigojimai</w:t>
            </w:r>
          </w:p>
        </w:tc>
        <w:tc>
          <w:tcPr>
            <w:tcW w:w="1016" w:type="dxa"/>
            <w:vAlign w:val="center"/>
            <w:hideMark/>
          </w:tcPr>
          <w:p w:rsidR="003D0441" w:rsidRPr="00455DFC" w:rsidRDefault="003D0441" w:rsidP="004E4528">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260,385</w:t>
            </w:r>
          </w:p>
        </w:tc>
        <w:tc>
          <w:tcPr>
            <w:tcW w:w="1250" w:type="dxa"/>
            <w:vAlign w:val="center"/>
            <w:hideMark/>
          </w:tcPr>
          <w:p w:rsidR="003D0441" w:rsidRPr="00651171" w:rsidRDefault="003D0441" w:rsidP="004E4528">
            <w:pPr>
              <w:jc w:val="center"/>
              <w:cnfStyle w:val="00000010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47.68</w:t>
            </w:r>
          </w:p>
        </w:tc>
        <w:tc>
          <w:tcPr>
            <w:tcW w:w="1016" w:type="dxa"/>
            <w:vAlign w:val="center"/>
            <w:hideMark/>
          </w:tcPr>
          <w:p w:rsidR="003D0441" w:rsidRPr="00455DFC" w:rsidRDefault="003D0441" w:rsidP="004E4528">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48,355</w:t>
            </w:r>
          </w:p>
        </w:tc>
        <w:tc>
          <w:tcPr>
            <w:tcW w:w="1250" w:type="dxa"/>
            <w:vAlign w:val="center"/>
            <w:hideMark/>
          </w:tcPr>
          <w:p w:rsidR="003D0441" w:rsidRPr="00651171" w:rsidRDefault="003D0441" w:rsidP="004E4528">
            <w:pPr>
              <w:jc w:val="center"/>
              <w:cnfStyle w:val="00000010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14.04</w:t>
            </w:r>
          </w:p>
        </w:tc>
        <w:tc>
          <w:tcPr>
            <w:tcW w:w="1016" w:type="dxa"/>
            <w:vAlign w:val="center"/>
            <w:hideMark/>
          </w:tcPr>
          <w:p w:rsidR="003D0441" w:rsidRPr="00455DFC" w:rsidRDefault="003D0441" w:rsidP="004E4528">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96,900</w:t>
            </w:r>
          </w:p>
        </w:tc>
        <w:tc>
          <w:tcPr>
            <w:tcW w:w="1250" w:type="dxa"/>
            <w:vAlign w:val="center"/>
            <w:hideMark/>
          </w:tcPr>
          <w:p w:rsidR="003D0441" w:rsidRPr="00651171" w:rsidRDefault="003D0441" w:rsidP="004E4528">
            <w:pPr>
              <w:jc w:val="center"/>
              <w:cnfStyle w:val="00000010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36.60</w:t>
            </w:r>
          </w:p>
        </w:tc>
      </w:tr>
      <w:tr w:rsidR="003D0441" w:rsidRPr="00455DFC" w:rsidTr="004E4528">
        <w:trPr>
          <w:cnfStyle w:val="000000010000"/>
          <w:trHeight w:val="510"/>
          <w:jc w:val="center"/>
        </w:trPr>
        <w:tc>
          <w:tcPr>
            <w:cnfStyle w:val="001000000000"/>
            <w:tcW w:w="2262" w:type="dxa"/>
            <w:hideMark/>
          </w:tcPr>
          <w:p w:rsidR="003D0441" w:rsidRPr="00455DFC" w:rsidRDefault="003D0441" w:rsidP="0020759B">
            <w:pPr>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NUOSAVO KAPITALO IR ĮSIPAREIGOJIMŲ IŠ VISO</w:t>
            </w:r>
          </w:p>
        </w:tc>
        <w:tc>
          <w:tcPr>
            <w:tcW w:w="1016" w:type="dxa"/>
            <w:vAlign w:val="center"/>
            <w:hideMark/>
          </w:tcPr>
          <w:p w:rsidR="003D0441" w:rsidRPr="004E4528" w:rsidRDefault="003D0441" w:rsidP="004E4528">
            <w:pPr>
              <w:jc w:val="center"/>
              <w:cnfStyle w:val="000000010000"/>
              <w:rPr>
                <w:rFonts w:ascii="Times New Roman" w:eastAsia="Times New Roman" w:hAnsi="Times New Roman" w:cs="Times New Roman"/>
                <w:b/>
                <w:sz w:val="20"/>
                <w:szCs w:val="20"/>
              </w:rPr>
            </w:pPr>
            <w:r w:rsidRPr="004E4528">
              <w:rPr>
                <w:rFonts w:ascii="Times New Roman" w:eastAsia="Times New Roman" w:hAnsi="Times New Roman" w:cs="Times New Roman"/>
                <w:b/>
                <w:sz w:val="20"/>
                <w:szCs w:val="20"/>
              </w:rPr>
              <w:t>4,072,330</w:t>
            </w:r>
          </w:p>
        </w:tc>
        <w:tc>
          <w:tcPr>
            <w:tcW w:w="1250" w:type="dxa"/>
            <w:vAlign w:val="center"/>
            <w:hideMark/>
          </w:tcPr>
          <w:p w:rsidR="003D0441" w:rsidRPr="004E4528" w:rsidRDefault="003D0441" w:rsidP="004E4528">
            <w:pPr>
              <w:jc w:val="center"/>
              <w:cnfStyle w:val="000000010000"/>
              <w:rPr>
                <w:rFonts w:ascii="Times New Roman" w:eastAsia="Times New Roman" w:hAnsi="Times New Roman" w:cs="Times New Roman"/>
                <w:b/>
                <w:sz w:val="20"/>
                <w:szCs w:val="20"/>
              </w:rPr>
            </w:pPr>
          </w:p>
        </w:tc>
        <w:tc>
          <w:tcPr>
            <w:tcW w:w="1016" w:type="dxa"/>
            <w:vAlign w:val="center"/>
            <w:hideMark/>
          </w:tcPr>
          <w:p w:rsidR="003D0441" w:rsidRPr="004E4528" w:rsidRDefault="003D0441" w:rsidP="004E4528">
            <w:pPr>
              <w:jc w:val="center"/>
              <w:cnfStyle w:val="000000010000"/>
              <w:rPr>
                <w:rFonts w:ascii="Times New Roman" w:eastAsia="Times New Roman" w:hAnsi="Times New Roman" w:cs="Times New Roman"/>
                <w:b/>
                <w:sz w:val="20"/>
                <w:szCs w:val="20"/>
              </w:rPr>
            </w:pPr>
            <w:r w:rsidRPr="004E4528">
              <w:rPr>
                <w:rFonts w:ascii="Times New Roman" w:eastAsia="Times New Roman" w:hAnsi="Times New Roman" w:cs="Times New Roman"/>
                <w:b/>
                <w:sz w:val="20"/>
                <w:szCs w:val="20"/>
              </w:rPr>
              <w:t>3,673,990</w:t>
            </w:r>
          </w:p>
        </w:tc>
        <w:tc>
          <w:tcPr>
            <w:tcW w:w="1250" w:type="dxa"/>
            <w:vAlign w:val="center"/>
            <w:hideMark/>
          </w:tcPr>
          <w:p w:rsidR="003D0441" w:rsidRPr="004E4528" w:rsidRDefault="003D0441" w:rsidP="004E4528">
            <w:pPr>
              <w:jc w:val="center"/>
              <w:cnfStyle w:val="000000010000"/>
              <w:rPr>
                <w:rFonts w:ascii="Times New Roman" w:eastAsia="Times New Roman" w:hAnsi="Times New Roman" w:cs="Times New Roman"/>
                <w:b/>
                <w:sz w:val="20"/>
                <w:szCs w:val="20"/>
              </w:rPr>
            </w:pPr>
          </w:p>
        </w:tc>
        <w:tc>
          <w:tcPr>
            <w:tcW w:w="1016" w:type="dxa"/>
            <w:vAlign w:val="center"/>
            <w:hideMark/>
          </w:tcPr>
          <w:p w:rsidR="003D0441" w:rsidRPr="004E4528" w:rsidRDefault="003D0441" w:rsidP="004E4528">
            <w:pPr>
              <w:jc w:val="center"/>
              <w:cnfStyle w:val="000000010000"/>
              <w:rPr>
                <w:rFonts w:ascii="Times New Roman" w:eastAsia="Times New Roman" w:hAnsi="Times New Roman" w:cs="Times New Roman"/>
                <w:b/>
                <w:sz w:val="20"/>
                <w:szCs w:val="20"/>
              </w:rPr>
            </w:pPr>
            <w:r w:rsidRPr="004E4528">
              <w:rPr>
                <w:rFonts w:ascii="Times New Roman" w:eastAsia="Times New Roman" w:hAnsi="Times New Roman" w:cs="Times New Roman"/>
                <w:b/>
                <w:sz w:val="20"/>
                <w:szCs w:val="20"/>
              </w:rPr>
              <w:t>2,513,802</w:t>
            </w:r>
          </w:p>
        </w:tc>
        <w:tc>
          <w:tcPr>
            <w:tcW w:w="1250" w:type="dxa"/>
            <w:vAlign w:val="center"/>
            <w:hideMark/>
          </w:tcPr>
          <w:p w:rsidR="003D0441" w:rsidRPr="00455DFC" w:rsidRDefault="003D0441" w:rsidP="004E4528">
            <w:pPr>
              <w:jc w:val="center"/>
              <w:cnfStyle w:val="000000010000"/>
              <w:rPr>
                <w:rFonts w:ascii="Times New Roman" w:eastAsia="Times New Roman" w:hAnsi="Times New Roman" w:cs="Times New Roman"/>
                <w:sz w:val="20"/>
                <w:szCs w:val="20"/>
              </w:rPr>
            </w:pPr>
          </w:p>
        </w:tc>
      </w:tr>
    </w:tbl>
    <w:p w:rsidR="003D0441" w:rsidRDefault="003D0441" w:rsidP="004D5C99">
      <w:pPr>
        <w:autoSpaceDE w:val="0"/>
        <w:autoSpaceDN w:val="0"/>
        <w:adjustRightInd w:val="0"/>
        <w:spacing w:after="0"/>
        <w:jc w:val="center"/>
        <w:rPr>
          <w:rFonts w:ascii="Times New Roman" w:hAnsi="Times New Roman" w:cs="Times New Roman"/>
          <w:szCs w:val="24"/>
        </w:rPr>
      </w:pPr>
    </w:p>
    <w:p w:rsidR="003D0441" w:rsidRDefault="003D0441" w:rsidP="004D5C99">
      <w:pPr>
        <w:autoSpaceDE w:val="0"/>
        <w:autoSpaceDN w:val="0"/>
        <w:adjustRightInd w:val="0"/>
        <w:spacing w:after="0"/>
        <w:jc w:val="center"/>
        <w:rPr>
          <w:rFonts w:ascii="Times New Roman" w:hAnsi="Times New Roman" w:cs="Times New Roman"/>
          <w:szCs w:val="24"/>
        </w:rPr>
      </w:pPr>
    </w:p>
    <w:p w:rsidR="004E4528" w:rsidRDefault="004E4528" w:rsidP="004D5C99">
      <w:pPr>
        <w:autoSpaceDE w:val="0"/>
        <w:autoSpaceDN w:val="0"/>
        <w:adjustRightInd w:val="0"/>
        <w:spacing w:after="0"/>
        <w:jc w:val="center"/>
        <w:rPr>
          <w:rFonts w:ascii="Times New Roman" w:hAnsi="Times New Roman" w:cs="Times New Roman"/>
          <w:szCs w:val="24"/>
        </w:rPr>
      </w:pPr>
    </w:p>
    <w:p w:rsidR="0055235B" w:rsidRDefault="0055235B" w:rsidP="004D5C99">
      <w:pPr>
        <w:autoSpaceDE w:val="0"/>
        <w:autoSpaceDN w:val="0"/>
        <w:adjustRightInd w:val="0"/>
        <w:spacing w:after="0"/>
        <w:jc w:val="center"/>
        <w:rPr>
          <w:rFonts w:ascii="Times New Roman" w:hAnsi="Times New Roman" w:cs="Times New Roman"/>
          <w:szCs w:val="24"/>
        </w:rPr>
      </w:pPr>
    </w:p>
    <w:p w:rsidR="0055235B" w:rsidRDefault="0055235B" w:rsidP="004D5C99">
      <w:pPr>
        <w:autoSpaceDE w:val="0"/>
        <w:autoSpaceDN w:val="0"/>
        <w:adjustRightInd w:val="0"/>
        <w:spacing w:after="0"/>
        <w:jc w:val="center"/>
        <w:rPr>
          <w:rFonts w:ascii="Times New Roman" w:hAnsi="Times New Roman" w:cs="Times New Roman"/>
          <w:szCs w:val="24"/>
        </w:rPr>
      </w:pPr>
    </w:p>
    <w:p w:rsidR="0055235B" w:rsidRDefault="0055235B" w:rsidP="004D5C99">
      <w:pPr>
        <w:autoSpaceDE w:val="0"/>
        <w:autoSpaceDN w:val="0"/>
        <w:adjustRightInd w:val="0"/>
        <w:spacing w:after="0"/>
        <w:jc w:val="center"/>
        <w:rPr>
          <w:rFonts w:ascii="Times New Roman" w:hAnsi="Times New Roman" w:cs="Times New Roman"/>
          <w:szCs w:val="24"/>
        </w:rPr>
      </w:pPr>
    </w:p>
    <w:p w:rsidR="0055235B" w:rsidRDefault="0055235B" w:rsidP="004D5C99">
      <w:pPr>
        <w:autoSpaceDE w:val="0"/>
        <w:autoSpaceDN w:val="0"/>
        <w:adjustRightInd w:val="0"/>
        <w:spacing w:after="0"/>
        <w:jc w:val="center"/>
        <w:rPr>
          <w:rFonts w:ascii="Times New Roman" w:hAnsi="Times New Roman" w:cs="Times New Roman"/>
          <w:szCs w:val="24"/>
        </w:rPr>
      </w:pPr>
    </w:p>
    <w:p w:rsidR="0055235B" w:rsidRDefault="0055235B" w:rsidP="004D5C99">
      <w:pPr>
        <w:autoSpaceDE w:val="0"/>
        <w:autoSpaceDN w:val="0"/>
        <w:adjustRightInd w:val="0"/>
        <w:spacing w:after="0"/>
        <w:jc w:val="center"/>
        <w:rPr>
          <w:rFonts w:ascii="Times New Roman" w:hAnsi="Times New Roman" w:cs="Times New Roman"/>
          <w:szCs w:val="24"/>
        </w:rPr>
      </w:pPr>
    </w:p>
    <w:p w:rsidR="0055235B" w:rsidRPr="003D0441" w:rsidRDefault="0055235B" w:rsidP="0055235B">
      <w:pPr>
        <w:autoSpaceDE w:val="0"/>
        <w:autoSpaceDN w:val="0"/>
        <w:adjustRightInd w:val="0"/>
        <w:spacing w:after="0"/>
        <w:jc w:val="center"/>
        <w:rPr>
          <w:rFonts w:ascii="Times New Roman" w:hAnsi="Times New Roman" w:cs="Times New Roman"/>
          <w:b/>
          <w:szCs w:val="24"/>
        </w:rPr>
      </w:pPr>
      <w:r>
        <w:rPr>
          <w:rFonts w:ascii="Times New Roman" w:hAnsi="Times New Roman" w:cs="Times New Roman"/>
          <w:szCs w:val="24"/>
        </w:rPr>
        <w:lastRenderedPageBreak/>
        <w:t>3</w:t>
      </w:r>
      <w:r w:rsidRPr="004D5C99">
        <w:rPr>
          <w:rFonts w:ascii="Times New Roman" w:hAnsi="Times New Roman" w:cs="Times New Roman"/>
          <w:szCs w:val="24"/>
        </w:rPr>
        <w:t xml:space="preserve"> lentelė.</w:t>
      </w:r>
      <w:r w:rsidRPr="004D5C99">
        <w:rPr>
          <w:rFonts w:ascii="Times New Roman" w:hAnsi="Times New Roman" w:cs="Times New Roman"/>
          <w:b/>
          <w:szCs w:val="24"/>
        </w:rPr>
        <w:t xml:space="preserve"> </w:t>
      </w:r>
      <w:r>
        <w:rPr>
          <w:rFonts w:ascii="Times New Roman" w:hAnsi="Times New Roman" w:cs="Times New Roman"/>
          <w:b/>
          <w:szCs w:val="24"/>
        </w:rPr>
        <w:t>UAB “Girteka” balanso straipsnių lyginamieji svoriai</w:t>
      </w:r>
    </w:p>
    <w:tbl>
      <w:tblPr>
        <w:tblStyle w:val="LightGrid-Accent6"/>
        <w:tblW w:w="10062" w:type="dxa"/>
        <w:tblLook w:val="04A0"/>
      </w:tblPr>
      <w:tblGrid>
        <w:gridCol w:w="2900"/>
        <w:gridCol w:w="1116"/>
        <w:gridCol w:w="1250"/>
        <w:gridCol w:w="1116"/>
        <w:gridCol w:w="1250"/>
        <w:gridCol w:w="1180"/>
        <w:gridCol w:w="1250"/>
      </w:tblGrid>
      <w:tr w:rsidR="0055235B" w:rsidRPr="00222F69" w:rsidTr="0020759B">
        <w:trPr>
          <w:cnfStyle w:val="100000000000"/>
          <w:trHeight w:val="300"/>
        </w:trPr>
        <w:tc>
          <w:tcPr>
            <w:cnfStyle w:val="001000000000"/>
            <w:tcW w:w="10062" w:type="dxa"/>
            <w:gridSpan w:val="7"/>
            <w:hideMark/>
          </w:tcPr>
          <w:p w:rsidR="0055235B" w:rsidRPr="00222F69" w:rsidRDefault="0055235B" w:rsidP="0020759B">
            <w:pPr>
              <w:jc w:val="center"/>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UAB “GIRTEKA” BALANSO STRAIPSNIŲ LYGINAMIEJI SVORIAI</w:t>
            </w:r>
          </w:p>
        </w:tc>
      </w:tr>
      <w:tr w:rsidR="0055235B" w:rsidRPr="00222F69" w:rsidTr="0020759B">
        <w:trPr>
          <w:cnfStyle w:val="000000100000"/>
          <w:trHeight w:val="300"/>
        </w:trPr>
        <w:tc>
          <w:tcPr>
            <w:cnfStyle w:val="001000000000"/>
            <w:tcW w:w="2900" w:type="dxa"/>
            <w:hideMark/>
          </w:tcPr>
          <w:p w:rsidR="0055235B" w:rsidRPr="00222F69" w:rsidRDefault="0055235B" w:rsidP="0020759B">
            <w:pPr>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 </w:t>
            </w:r>
          </w:p>
        </w:tc>
        <w:tc>
          <w:tcPr>
            <w:tcW w:w="2366" w:type="dxa"/>
            <w:gridSpan w:val="2"/>
            <w:hideMark/>
          </w:tcPr>
          <w:p w:rsidR="0055235B" w:rsidRPr="00222F69" w:rsidRDefault="0055235B" w:rsidP="0020759B">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31/12/2008</w:t>
            </w:r>
          </w:p>
        </w:tc>
        <w:tc>
          <w:tcPr>
            <w:tcW w:w="2366" w:type="dxa"/>
            <w:gridSpan w:val="2"/>
            <w:hideMark/>
          </w:tcPr>
          <w:p w:rsidR="0055235B" w:rsidRPr="00222F69" w:rsidRDefault="0055235B" w:rsidP="0020759B">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31/12/2009</w:t>
            </w:r>
          </w:p>
        </w:tc>
        <w:tc>
          <w:tcPr>
            <w:tcW w:w="2430" w:type="dxa"/>
            <w:gridSpan w:val="2"/>
            <w:hideMark/>
          </w:tcPr>
          <w:p w:rsidR="0055235B" w:rsidRPr="00222F69" w:rsidRDefault="0055235B" w:rsidP="0020759B">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31/12/2010</w:t>
            </w:r>
          </w:p>
        </w:tc>
      </w:tr>
      <w:tr w:rsidR="00E6354F" w:rsidRPr="00222F69" w:rsidTr="0020759B">
        <w:trPr>
          <w:cnfStyle w:val="000000010000"/>
          <w:trHeight w:val="510"/>
        </w:trPr>
        <w:tc>
          <w:tcPr>
            <w:cnfStyle w:val="001000000000"/>
            <w:tcW w:w="2900" w:type="dxa"/>
            <w:vAlign w:val="center"/>
            <w:hideMark/>
          </w:tcPr>
          <w:p w:rsidR="00E6354F" w:rsidRPr="00222F69" w:rsidRDefault="00E6354F" w:rsidP="0020759B">
            <w:pPr>
              <w:jc w:val="center"/>
              <w:rPr>
                <w:rFonts w:ascii="Times New Roman" w:eastAsia="Times New Roman" w:hAnsi="Times New Roman" w:cs="Times New Roman"/>
                <w:b w:val="0"/>
                <w:bCs w:val="0"/>
                <w:sz w:val="20"/>
                <w:szCs w:val="20"/>
              </w:rPr>
            </w:pPr>
            <w:r w:rsidRPr="00222F69">
              <w:rPr>
                <w:rFonts w:ascii="Times New Roman" w:eastAsia="Times New Roman" w:hAnsi="Times New Roman" w:cs="Times New Roman"/>
                <w:b w:val="0"/>
                <w:bCs w:val="0"/>
                <w:sz w:val="20"/>
                <w:szCs w:val="20"/>
              </w:rPr>
              <w:t>Turtas</w:t>
            </w:r>
          </w:p>
        </w:tc>
        <w:tc>
          <w:tcPr>
            <w:tcW w:w="1116" w:type="dxa"/>
            <w:vAlign w:val="center"/>
            <w:hideMark/>
          </w:tcPr>
          <w:p w:rsidR="00E6354F" w:rsidRPr="00F80CD4" w:rsidRDefault="00E6354F" w:rsidP="004633A4">
            <w:pPr>
              <w:contextualSpacing/>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EUR</w:t>
            </w:r>
          </w:p>
        </w:tc>
        <w:tc>
          <w:tcPr>
            <w:tcW w:w="1250" w:type="dxa"/>
            <w:vAlign w:val="center"/>
            <w:hideMark/>
          </w:tcPr>
          <w:p w:rsidR="00E6354F" w:rsidRPr="004D5C99" w:rsidRDefault="00E6354F" w:rsidP="004633A4">
            <w:pPr>
              <w:contextualSpacing/>
              <w:jc w:val="center"/>
              <w:cnfStyle w:val="000000010000"/>
              <w:rPr>
                <w:rFonts w:ascii="Times New Roman" w:eastAsia="Times New Roman" w:hAnsi="Times New Roman" w:cs="Times New Roman"/>
                <w:b/>
                <w:bCs/>
                <w:sz w:val="20"/>
                <w:szCs w:val="20"/>
              </w:rPr>
            </w:pPr>
            <w:r w:rsidRPr="004D5C99">
              <w:rPr>
                <w:rFonts w:ascii="Times New Roman" w:eastAsia="Times New Roman" w:hAnsi="Times New Roman" w:cs="Times New Roman"/>
                <w:b/>
                <w:bCs/>
                <w:sz w:val="20"/>
                <w:szCs w:val="20"/>
              </w:rPr>
              <w:t xml:space="preserve">Lyginamieji svoriai, </w:t>
            </w:r>
            <w:r>
              <w:rPr>
                <w:rFonts w:ascii="Times New Roman" w:eastAsia="Times New Roman" w:hAnsi="Times New Roman" w:cs="Times New Roman"/>
                <w:b/>
                <w:bCs/>
                <w:sz w:val="20"/>
                <w:szCs w:val="20"/>
              </w:rPr>
              <w:t>proc.</w:t>
            </w:r>
          </w:p>
        </w:tc>
        <w:tc>
          <w:tcPr>
            <w:tcW w:w="1116" w:type="dxa"/>
            <w:vAlign w:val="center"/>
            <w:hideMark/>
          </w:tcPr>
          <w:p w:rsidR="00E6354F" w:rsidRPr="004D5C99" w:rsidRDefault="00E6354F" w:rsidP="004633A4">
            <w:pPr>
              <w:contextualSpacing/>
              <w:jc w:val="center"/>
              <w:cnfStyle w:val="000000010000"/>
              <w:rPr>
                <w:rFonts w:ascii="Times New Roman" w:eastAsia="Times New Roman" w:hAnsi="Times New Roman" w:cs="Times New Roman"/>
                <w:b/>
                <w:bCs/>
                <w:sz w:val="20"/>
                <w:szCs w:val="20"/>
              </w:rPr>
            </w:pPr>
            <w:r w:rsidRPr="004D5C99">
              <w:rPr>
                <w:rFonts w:ascii="Times New Roman" w:eastAsia="Times New Roman" w:hAnsi="Times New Roman" w:cs="Times New Roman"/>
                <w:sz w:val="20"/>
                <w:szCs w:val="20"/>
              </w:rPr>
              <w:t>EUR</w:t>
            </w:r>
          </w:p>
        </w:tc>
        <w:tc>
          <w:tcPr>
            <w:tcW w:w="1250" w:type="dxa"/>
            <w:vAlign w:val="center"/>
            <w:hideMark/>
          </w:tcPr>
          <w:p w:rsidR="00E6354F" w:rsidRPr="004D5C99" w:rsidRDefault="00E6354F" w:rsidP="004633A4">
            <w:pPr>
              <w:contextualSpacing/>
              <w:jc w:val="center"/>
              <w:cnfStyle w:val="000000010000"/>
              <w:rPr>
                <w:rFonts w:ascii="Times New Roman" w:eastAsia="Times New Roman" w:hAnsi="Times New Roman" w:cs="Times New Roman"/>
                <w:b/>
                <w:bCs/>
                <w:sz w:val="20"/>
                <w:szCs w:val="20"/>
              </w:rPr>
            </w:pPr>
            <w:r w:rsidRPr="004D5C99">
              <w:rPr>
                <w:rFonts w:ascii="Times New Roman" w:eastAsia="Times New Roman" w:hAnsi="Times New Roman" w:cs="Times New Roman"/>
                <w:b/>
                <w:bCs/>
                <w:sz w:val="20"/>
                <w:szCs w:val="20"/>
              </w:rPr>
              <w:t xml:space="preserve">Lyginamieji svoriai, </w:t>
            </w:r>
            <w:r>
              <w:rPr>
                <w:rFonts w:ascii="Times New Roman" w:eastAsia="Times New Roman" w:hAnsi="Times New Roman" w:cs="Times New Roman"/>
                <w:b/>
                <w:bCs/>
                <w:sz w:val="20"/>
                <w:szCs w:val="20"/>
              </w:rPr>
              <w:t>proc.</w:t>
            </w:r>
          </w:p>
        </w:tc>
        <w:tc>
          <w:tcPr>
            <w:tcW w:w="1180" w:type="dxa"/>
            <w:vAlign w:val="center"/>
            <w:hideMark/>
          </w:tcPr>
          <w:p w:rsidR="00E6354F" w:rsidRPr="004D5C99" w:rsidRDefault="00E6354F" w:rsidP="004633A4">
            <w:pPr>
              <w:contextualSpacing/>
              <w:jc w:val="center"/>
              <w:cnfStyle w:val="000000010000"/>
              <w:rPr>
                <w:rFonts w:ascii="Times New Roman" w:eastAsia="Times New Roman" w:hAnsi="Times New Roman" w:cs="Times New Roman"/>
                <w:b/>
                <w:bCs/>
                <w:sz w:val="20"/>
                <w:szCs w:val="20"/>
              </w:rPr>
            </w:pPr>
            <w:r w:rsidRPr="004D5C99">
              <w:rPr>
                <w:rFonts w:ascii="Times New Roman" w:eastAsia="Times New Roman" w:hAnsi="Times New Roman" w:cs="Times New Roman"/>
                <w:sz w:val="20"/>
                <w:szCs w:val="20"/>
              </w:rPr>
              <w:t>EUR</w:t>
            </w:r>
          </w:p>
        </w:tc>
        <w:tc>
          <w:tcPr>
            <w:tcW w:w="1250" w:type="dxa"/>
            <w:vAlign w:val="center"/>
            <w:hideMark/>
          </w:tcPr>
          <w:p w:rsidR="00E6354F" w:rsidRPr="004D5C99" w:rsidRDefault="00E6354F" w:rsidP="004633A4">
            <w:pPr>
              <w:contextualSpacing/>
              <w:jc w:val="center"/>
              <w:cnfStyle w:val="000000010000"/>
              <w:rPr>
                <w:rFonts w:ascii="Times New Roman" w:eastAsia="Times New Roman" w:hAnsi="Times New Roman" w:cs="Times New Roman"/>
                <w:b/>
                <w:bCs/>
                <w:sz w:val="20"/>
                <w:szCs w:val="20"/>
              </w:rPr>
            </w:pPr>
            <w:r w:rsidRPr="004D5C99">
              <w:rPr>
                <w:rFonts w:ascii="Times New Roman" w:eastAsia="Times New Roman" w:hAnsi="Times New Roman" w:cs="Times New Roman"/>
                <w:b/>
                <w:bCs/>
                <w:sz w:val="20"/>
                <w:szCs w:val="20"/>
              </w:rPr>
              <w:t xml:space="preserve">Lyginamieji svoriai, </w:t>
            </w:r>
            <w:r>
              <w:rPr>
                <w:rFonts w:ascii="Times New Roman" w:eastAsia="Times New Roman" w:hAnsi="Times New Roman" w:cs="Times New Roman"/>
                <w:b/>
                <w:bCs/>
                <w:sz w:val="20"/>
                <w:szCs w:val="20"/>
              </w:rPr>
              <w:t xml:space="preserve"> proc.</w:t>
            </w:r>
          </w:p>
        </w:tc>
      </w:tr>
      <w:tr w:rsidR="0055235B" w:rsidRPr="00222F69" w:rsidTr="0020759B">
        <w:trPr>
          <w:cnfStyle w:val="000000100000"/>
          <w:trHeight w:val="300"/>
        </w:trPr>
        <w:tc>
          <w:tcPr>
            <w:cnfStyle w:val="001000000000"/>
            <w:tcW w:w="2900" w:type="dxa"/>
            <w:hideMark/>
          </w:tcPr>
          <w:p w:rsidR="0055235B" w:rsidRPr="006F09D3" w:rsidRDefault="0055235B" w:rsidP="0020759B">
            <w:pPr>
              <w:rPr>
                <w:rFonts w:ascii="Times New Roman" w:eastAsia="Times New Roman" w:hAnsi="Times New Roman" w:cs="Times New Roman"/>
                <w:b w:val="0"/>
                <w:sz w:val="20"/>
                <w:szCs w:val="20"/>
              </w:rPr>
            </w:pPr>
            <w:r w:rsidRPr="006F09D3">
              <w:rPr>
                <w:rFonts w:ascii="Times New Roman" w:eastAsia="Times New Roman" w:hAnsi="Times New Roman" w:cs="Times New Roman"/>
                <w:b w:val="0"/>
                <w:sz w:val="20"/>
                <w:szCs w:val="20"/>
              </w:rPr>
              <w:t>Ilgalaikis turtas</w:t>
            </w:r>
          </w:p>
        </w:tc>
        <w:tc>
          <w:tcPr>
            <w:tcW w:w="1116" w:type="dxa"/>
            <w:noWrap/>
            <w:vAlign w:val="center"/>
            <w:hideMark/>
          </w:tcPr>
          <w:p w:rsidR="0055235B" w:rsidRPr="00222F69" w:rsidRDefault="0055235B" w:rsidP="0020759B">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53,287,304</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73.24</w:t>
            </w:r>
          </w:p>
        </w:tc>
        <w:tc>
          <w:tcPr>
            <w:tcW w:w="1116" w:type="dxa"/>
            <w:noWrap/>
            <w:vAlign w:val="center"/>
            <w:hideMark/>
          </w:tcPr>
          <w:p w:rsidR="0055235B" w:rsidRPr="00222F69" w:rsidRDefault="0055235B" w:rsidP="0020759B">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47,210,096</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64.00</w:t>
            </w:r>
          </w:p>
        </w:tc>
        <w:tc>
          <w:tcPr>
            <w:tcW w:w="1180" w:type="dxa"/>
            <w:noWrap/>
            <w:vAlign w:val="center"/>
            <w:hideMark/>
          </w:tcPr>
          <w:p w:rsidR="0055235B" w:rsidRPr="00222F69" w:rsidRDefault="0055235B" w:rsidP="0020759B">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44,066,505</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52.99</w:t>
            </w:r>
          </w:p>
        </w:tc>
      </w:tr>
      <w:tr w:rsidR="0055235B" w:rsidRPr="00222F69" w:rsidTr="0020759B">
        <w:trPr>
          <w:cnfStyle w:val="000000010000"/>
          <w:trHeight w:val="300"/>
        </w:trPr>
        <w:tc>
          <w:tcPr>
            <w:cnfStyle w:val="001000000000"/>
            <w:tcW w:w="2900" w:type="dxa"/>
            <w:hideMark/>
          </w:tcPr>
          <w:p w:rsidR="0055235B" w:rsidRPr="006F09D3" w:rsidRDefault="0055235B" w:rsidP="0020759B">
            <w:pPr>
              <w:rPr>
                <w:rFonts w:ascii="Times New Roman" w:eastAsia="Times New Roman" w:hAnsi="Times New Roman" w:cs="Times New Roman"/>
                <w:b w:val="0"/>
                <w:sz w:val="20"/>
                <w:szCs w:val="20"/>
              </w:rPr>
            </w:pPr>
            <w:r w:rsidRPr="006F09D3">
              <w:rPr>
                <w:rFonts w:ascii="Times New Roman" w:eastAsia="Times New Roman" w:hAnsi="Times New Roman" w:cs="Times New Roman"/>
                <w:b w:val="0"/>
                <w:sz w:val="20"/>
                <w:szCs w:val="20"/>
              </w:rPr>
              <w:t>- Nematerialus turtas</w:t>
            </w:r>
          </w:p>
        </w:tc>
        <w:tc>
          <w:tcPr>
            <w:tcW w:w="1116" w:type="dxa"/>
            <w:noWrap/>
            <w:vAlign w:val="center"/>
            <w:hideMark/>
          </w:tcPr>
          <w:p w:rsidR="0055235B" w:rsidRPr="00222F69" w:rsidRDefault="0055235B" w:rsidP="0020759B">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111,542</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0.21</w:t>
            </w:r>
          </w:p>
        </w:tc>
        <w:tc>
          <w:tcPr>
            <w:tcW w:w="1116" w:type="dxa"/>
            <w:noWrap/>
            <w:vAlign w:val="center"/>
            <w:hideMark/>
          </w:tcPr>
          <w:p w:rsidR="0055235B" w:rsidRPr="00222F69" w:rsidRDefault="0055235B" w:rsidP="0020759B">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53,276</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0.11</w:t>
            </w:r>
          </w:p>
        </w:tc>
        <w:tc>
          <w:tcPr>
            <w:tcW w:w="1180" w:type="dxa"/>
            <w:noWrap/>
            <w:vAlign w:val="center"/>
            <w:hideMark/>
          </w:tcPr>
          <w:p w:rsidR="0055235B" w:rsidRPr="00222F69" w:rsidRDefault="0055235B" w:rsidP="0020759B">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16,252</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0.04</w:t>
            </w:r>
          </w:p>
        </w:tc>
      </w:tr>
      <w:tr w:rsidR="0055235B" w:rsidRPr="00222F69" w:rsidTr="0020759B">
        <w:trPr>
          <w:cnfStyle w:val="000000100000"/>
          <w:trHeight w:val="300"/>
        </w:trPr>
        <w:tc>
          <w:tcPr>
            <w:cnfStyle w:val="001000000000"/>
            <w:tcW w:w="2900" w:type="dxa"/>
            <w:hideMark/>
          </w:tcPr>
          <w:p w:rsidR="0055235B" w:rsidRPr="006F09D3" w:rsidRDefault="0055235B" w:rsidP="0020759B">
            <w:pPr>
              <w:rPr>
                <w:rFonts w:ascii="Times New Roman" w:eastAsia="Times New Roman" w:hAnsi="Times New Roman" w:cs="Times New Roman"/>
                <w:b w:val="0"/>
                <w:sz w:val="20"/>
                <w:szCs w:val="20"/>
              </w:rPr>
            </w:pPr>
            <w:r w:rsidRPr="006F09D3">
              <w:rPr>
                <w:rFonts w:ascii="Times New Roman" w:eastAsia="Times New Roman" w:hAnsi="Times New Roman" w:cs="Times New Roman"/>
                <w:b w:val="0"/>
                <w:sz w:val="20"/>
                <w:szCs w:val="20"/>
              </w:rPr>
              <w:t>- Materialus turtas</w:t>
            </w:r>
          </w:p>
        </w:tc>
        <w:tc>
          <w:tcPr>
            <w:tcW w:w="1116" w:type="dxa"/>
            <w:noWrap/>
            <w:vAlign w:val="center"/>
            <w:hideMark/>
          </w:tcPr>
          <w:p w:rsidR="0055235B" w:rsidRPr="00222F69" w:rsidRDefault="0055235B" w:rsidP="0020759B">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31,009,762</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58.19</w:t>
            </w:r>
          </w:p>
        </w:tc>
        <w:tc>
          <w:tcPr>
            <w:tcW w:w="1116" w:type="dxa"/>
            <w:noWrap/>
            <w:vAlign w:val="center"/>
            <w:hideMark/>
          </w:tcPr>
          <w:p w:rsidR="0055235B" w:rsidRPr="00222F69" w:rsidRDefault="0055235B" w:rsidP="0020759B">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25,369,704</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53.74</w:t>
            </w:r>
          </w:p>
        </w:tc>
        <w:tc>
          <w:tcPr>
            <w:tcW w:w="1180" w:type="dxa"/>
            <w:noWrap/>
            <w:vAlign w:val="center"/>
            <w:hideMark/>
          </w:tcPr>
          <w:p w:rsidR="0055235B" w:rsidRPr="00222F69" w:rsidRDefault="0055235B" w:rsidP="0020759B">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20,320,404</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46.11</w:t>
            </w:r>
          </w:p>
        </w:tc>
      </w:tr>
      <w:tr w:rsidR="0055235B" w:rsidRPr="00222F69" w:rsidTr="0020759B">
        <w:trPr>
          <w:cnfStyle w:val="000000010000"/>
          <w:trHeight w:val="300"/>
        </w:trPr>
        <w:tc>
          <w:tcPr>
            <w:cnfStyle w:val="001000000000"/>
            <w:tcW w:w="2900" w:type="dxa"/>
            <w:hideMark/>
          </w:tcPr>
          <w:p w:rsidR="0055235B" w:rsidRPr="006F09D3" w:rsidRDefault="0055235B" w:rsidP="0020759B">
            <w:pPr>
              <w:rPr>
                <w:rFonts w:ascii="Times New Roman" w:eastAsia="Times New Roman" w:hAnsi="Times New Roman" w:cs="Times New Roman"/>
                <w:b w:val="0"/>
                <w:sz w:val="20"/>
                <w:szCs w:val="20"/>
              </w:rPr>
            </w:pPr>
            <w:r w:rsidRPr="006F09D3">
              <w:rPr>
                <w:rFonts w:ascii="Times New Roman" w:eastAsia="Times New Roman" w:hAnsi="Times New Roman" w:cs="Times New Roman"/>
                <w:b w:val="0"/>
                <w:sz w:val="20"/>
                <w:szCs w:val="20"/>
              </w:rPr>
              <w:t>- Kitas turtas</w:t>
            </w:r>
          </w:p>
        </w:tc>
        <w:tc>
          <w:tcPr>
            <w:tcW w:w="1116" w:type="dxa"/>
            <w:noWrap/>
            <w:vAlign w:val="center"/>
            <w:hideMark/>
          </w:tcPr>
          <w:p w:rsidR="0055235B" w:rsidRPr="00222F69" w:rsidRDefault="0055235B" w:rsidP="0020759B">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22,166,000</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41.60</w:t>
            </w:r>
          </w:p>
        </w:tc>
        <w:tc>
          <w:tcPr>
            <w:tcW w:w="1116" w:type="dxa"/>
            <w:noWrap/>
            <w:vAlign w:val="center"/>
            <w:hideMark/>
          </w:tcPr>
          <w:p w:rsidR="0055235B" w:rsidRPr="00222F69" w:rsidRDefault="0055235B" w:rsidP="0020759B">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21,787,117</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46.15</w:t>
            </w:r>
          </w:p>
        </w:tc>
        <w:tc>
          <w:tcPr>
            <w:tcW w:w="1180" w:type="dxa"/>
            <w:noWrap/>
            <w:vAlign w:val="center"/>
            <w:hideMark/>
          </w:tcPr>
          <w:p w:rsidR="0055235B" w:rsidRPr="00222F69" w:rsidRDefault="0055235B" w:rsidP="0020759B">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23,729,848</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53.85</w:t>
            </w:r>
          </w:p>
        </w:tc>
      </w:tr>
      <w:tr w:rsidR="0055235B" w:rsidRPr="00222F69" w:rsidTr="0020759B">
        <w:trPr>
          <w:cnfStyle w:val="000000100000"/>
          <w:trHeight w:val="300"/>
        </w:trPr>
        <w:tc>
          <w:tcPr>
            <w:cnfStyle w:val="001000000000"/>
            <w:tcW w:w="2900" w:type="dxa"/>
            <w:hideMark/>
          </w:tcPr>
          <w:p w:rsidR="0055235B" w:rsidRPr="006F09D3" w:rsidRDefault="0055235B" w:rsidP="0020759B">
            <w:pPr>
              <w:rPr>
                <w:rFonts w:ascii="Times New Roman" w:eastAsia="Times New Roman" w:hAnsi="Times New Roman" w:cs="Times New Roman"/>
                <w:b w:val="0"/>
                <w:sz w:val="20"/>
                <w:szCs w:val="20"/>
              </w:rPr>
            </w:pPr>
            <w:r w:rsidRPr="006F09D3">
              <w:rPr>
                <w:rFonts w:ascii="Times New Roman" w:eastAsia="Times New Roman" w:hAnsi="Times New Roman" w:cs="Times New Roman"/>
                <w:b w:val="0"/>
                <w:sz w:val="20"/>
                <w:szCs w:val="20"/>
              </w:rPr>
              <w:t> </w:t>
            </w:r>
          </w:p>
        </w:tc>
        <w:tc>
          <w:tcPr>
            <w:tcW w:w="1116" w:type="dxa"/>
            <w:noWrap/>
            <w:vAlign w:val="center"/>
            <w:hideMark/>
          </w:tcPr>
          <w:p w:rsidR="0055235B" w:rsidRPr="00222F69" w:rsidRDefault="0055235B" w:rsidP="0020759B">
            <w:pPr>
              <w:jc w:val="center"/>
              <w:cnfStyle w:val="000000100000"/>
              <w:rPr>
                <w:rFonts w:ascii="Times New Roman" w:eastAsia="Times New Roman" w:hAnsi="Times New Roman" w:cs="Times New Roman"/>
                <w:sz w:val="20"/>
                <w:szCs w:val="20"/>
              </w:rPr>
            </w:pP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p>
        </w:tc>
        <w:tc>
          <w:tcPr>
            <w:tcW w:w="1116" w:type="dxa"/>
            <w:noWrap/>
            <w:vAlign w:val="center"/>
            <w:hideMark/>
          </w:tcPr>
          <w:p w:rsidR="0055235B" w:rsidRPr="00222F69" w:rsidRDefault="0055235B" w:rsidP="0020759B">
            <w:pPr>
              <w:jc w:val="center"/>
              <w:cnfStyle w:val="000000100000"/>
              <w:rPr>
                <w:rFonts w:ascii="Times New Roman" w:eastAsia="Times New Roman" w:hAnsi="Times New Roman" w:cs="Times New Roman"/>
                <w:sz w:val="20"/>
                <w:szCs w:val="20"/>
              </w:rPr>
            </w:pP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p>
        </w:tc>
        <w:tc>
          <w:tcPr>
            <w:tcW w:w="1180" w:type="dxa"/>
            <w:noWrap/>
            <w:vAlign w:val="center"/>
            <w:hideMark/>
          </w:tcPr>
          <w:p w:rsidR="0055235B" w:rsidRPr="00222F69" w:rsidRDefault="0055235B" w:rsidP="0020759B">
            <w:pPr>
              <w:jc w:val="center"/>
              <w:cnfStyle w:val="000000100000"/>
              <w:rPr>
                <w:rFonts w:ascii="Times New Roman" w:eastAsia="Times New Roman" w:hAnsi="Times New Roman" w:cs="Times New Roman"/>
                <w:sz w:val="20"/>
                <w:szCs w:val="20"/>
              </w:rPr>
            </w:pP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p>
        </w:tc>
      </w:tr>
      <w:tr w:rsidR="0055235B" w:rsidRPr="00222F69" w:rsidTr="0020759B">
        <w:trPr>
          <w:cnfStyle w:val="000000010000"/>
          <w:trHeight w:val="300"/>
        </w:trPr>
        <w:tc>
          <w:tcPr>
            <w:cnfStyle w:val="001000000000"/>
            <w:tcW w:w="2900" w:type="dxa"/>
            <w:hideMark/>
          </w:tcPr>
          <w:p w:rsidR="0055235B" w:rsidRPr="006F09D3" w:rsidRDefault="0055235B" w:rsidP="0020759B">
            <w:pPr>
              <w:rPr>
                <w:rFonts w:ascii="Times New Roman" w:eastAsia="Times New Roman" w:hAnsi="Times New Roman" w:cs="Times New Roman"/>
                <w:b w:val="0"/>
                <w:sz w:val="20"/>
                <w:szCs w:val="20"/>
              </w:rPr>
            </w:pPr>
            <w:r w:rsidRPr="006F09D3">
              <w:rPr>
                <w:rFonts w:ascii="Times New Roman" w:eastAsia="Times New Roman" w:hAnsi="Times New Roman" w:cs="Times New Roman"/>
                <w:b w:val="0"/>
                <w:sz w:val="20"/>
                <w:szCs w:val="20"/>
              </w:rPr>
              <w:t>Trumpalaikis turtas</w:t>
            </w:r>
          </w:p>
        </w:tc>
        <w:tc>
          <w:tcPr>
            <w:tcW w:w="1116" w:type="dxa"/>
            <w:noWrap/>
            <w:vAlign w:val="center"/>
            <w:hideMark/>
          </w:tcPr>
          <w:p w:rsidR="0055235B" w:rsidRPr="00222F69" w:rsidRDefault="0055235B" w:rsidP="0020759B">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19,470,066</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26.76</w:t>
            </w:r>
          </w:p>
        </w:tc>
        <w:tc>
          <w:tcPr>
            <w:tcW w:w="1116" w:type="dxa"/>
            <w:noWrap/>
            <w:vAlign w:val="center"/>
            <w:hideMark/>
          </w:tcPr>
          <w:p w:rsidR="0055235B" w:rsidRPr="00222F69" w:rsidRDefault="0055235B" w:rsidP="0020759B">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26,558,162</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36.00</w:t>
            </w:r>
          </w:p>
        </w:tc>
        <w:tc>
          <w:tcPr>
            <w:tcW w:w="1180" w:type="dxa"/>
            <w:noWrap/>
            <w:vAlign w:val="center"/>
            <w:hideMark/>
          </w:tcPr>
          <w:p w:rsidR="0055235B" w:rsidRPr="00222F69" w:rsidRDefault="0055235B" w:rsidP="0020759B">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39,095,431</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47.01</w:t>
            </w:r>
          </w:p>
        </w:tc>
      </w:tr>
      <w:tr w:rsidR="0055235B" w:rsidRPr="00222F69" w:rsidTr="0020759B">
        <w:trPr>
          <w:cnfStyle w:val="000000100000"/>
          <w:trHeight w:val="300"/>
        </w:trPr>
        <w:tc>
          <w:tcPr>
            <w:cnfStyle w:val="001000000000"/>
            <w:tcW w:w="2900" w:type="dxa"/>
            <w:hideMark/>
          </w:tcPr>
          <w:p w:rsidR="0055235B" w:rsidRPr="006F09D3" w:rsidRDefault="0055235B" w:rsidP="0020759B">
            <w:pPr>
              <w:rPr>
                <w:rFonts w:ascii="Times New Roman" w:eastAsia="Times New Roman" w:hAnsi="Times New Roman" w:cs="Times New Roman"/>
                <w:b w:val="0"/>
                <w:sz w:val="20"/>
                <w:szCs w:val="20"/>
              </w:rPr>
            </w:pPr>
            <w:r w:rsidRPr="006F09D3">
              <w:rPr>
                <w:rFonts w:ascii="Times New Roman" w:eastAsia="Times New Roman" w:hAnsi="Times New Roman" w:cs="Times New Roman"/>
                <w:b w:val="0"/>
                <w:sz w:val="20"/>
                <w:szCs w:val="20"/>
              </w:rPr>
              <w:t>- Atsargos</w:t>
            </w:r>
          </w:p>
        </w:tc>
        <w:tc>
          <w:tcPr>
            <w:tcW w:w="1116" w:type="dxa"/>
            <w:noWrap/>
            <w:vAlign w:val="center"/>
            <w:hideMark/>
          </w:tcPr>
          <w:p w:rsidR="0055235B" w:rsidRPr="00222F69" w:rsidRDefault="0055235B" w:rsidP="0020759B">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45,878</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0.24</w:t>
            </w:r>
          </w:p>
        </w:tc>
        <w:tc>
          <w:tcPr>
            <w:tcW w:w="1116" w:type="dxa"/>
            <w:noWrap/>
            <w:vAlign w:val="center"/>
            <w:hideMark/>
          </w:tcPr>
          <w:p w:rsidR="0055235B" w:rsidRPr="00222F69" w:rsidRDefault="0055235B" w:rsidP="0020759B">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50,755</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0.19</w:t>
            </w:r>
          </w:p>
        </w:tc>
        <w:tc>
          <w:tcPr>
            <w:tcW w:w="1180" w:type="dxa"/>
            <w:noWrap/>
            <w:vAlign w:val="center"/>
            <w:hideMark/>
          </w:tcPr>
          <w:p w:rsidR="0055235B" w:rsidRPr="00222F69" w:rsidRDefault="0055235B" w:rsidP="0020759B">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67,637</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0.17</w:t>
            </w:r>
          </w:p>
        </w:tc>
      </w:tr>
      <w:tr w:rsidR="0055235B" w:rsidRPr="00222F69" w:rsidTr="0020759B">
        <w:trPr>
          <w:cnfStyle w:val="000000010000"/>
          <w:trHeight w:val="510"/>
        </w:trPr>
        <w:tc>
          <w:tcPr>
            <w:cnfStyle w:val="001000000000"/>
            <w:tcW w:w="2900" w:type="dxa"/>
            <w:hideMark/>
          </w:tcPr>
          <w:p w:rsidR="0055235B" w:rsidRPr="006F09D3" w:rsidRDefault="0055235B" w:rsidP="0020759B">
            <w:pPr>
              <w:rPr>
                <w:rFonts w:ascii="Times New Roman" w:eastAsia="Times New Roman" w:hAnsi="Times New Roman" w:cs="Times New Roman"/>
                <w:b w:val="0"/>
                <w:sz w:val="20"/>
                <w:szCs w:val="20"/>
              </w:rPr>
            </w:pPr>
            <w:r w:rsidRPr="006F09D3">
              <w:rPr>
                <w:rFonts w:ascii="Times New Roman" w:eastAsia="Times New Roman" w:hAnsi="Times New Roman" w:cs="Times New Roman"/>
                <w:b w:val="0"/>
                <w:sz w:val="20"/>
                <w:szCs w:val="20"/>
              </w:rPr>
              <w:t>- Per vienerius metus gautinos sumos</w:t>
            </w:r>
          </w:p>
        </w:tc>
        <w:tc>
          <w:tcPr>
            <w:tcW w:w="1116" w:type="dxa"/>
            <w:noWrap/>
            <w:vAlign w:val="center"/>
            <w:hideMark/>
          </w:tcPr>
          <w:p w:rsidR="0055235B" w:rsidRPr="00222F69" w:rsidRDefault="0055235B" w:rsidP="0020759B">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12,995,224</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66.74</w:t>
            </w:r>
          </w:p>
        </w:tc>
        <w:tc>
          <w:tcPr>
            <w:tcW w:w="1116" w:type="dxa"/>
            <w:noWrap/>
            <w:vAlign w:val="center"/>
            <w:hideMark/>
          </w:tcPr>
          <w:p w:rsidR="0055235B" w:rsidRPr="00222F69" w:rsidRDefault="0055235B" w:rsidP="0020759B">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22,564,331</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84.96</w:t>
            </w:r>
          </w:p>
        </w:tc>
        <w:tc>
          <w:tcPr>
            <w:tcW w:w="1180" w:type="dxa"/>
            <w:noWrap/>
            <w:vAlign w:val="center"/>
            <w:hideMark/>
          </w:tcPr>
          <w:p w:rsidR="0055235B" w:rsidRPr="00222F69" w:rsidRDefault="0055235B" w:rsidP="0020759B">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29,877,549</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76.42</w:t>
            </w:r>
          </w:p>
        </w:tc>
      </w:tr>
      <w:tr w:rsidR="0055235B" w:rsidRPr="00222F69" w:rsidTr="0020759B">
        <w:trPr>
          <w:cnfStyle w:val="000000100000"/>
          <w:trHeight w:val="300"/>
        </w:trPr>
        <w:tc>
          <w:tcPr>
            <w:cnfStyle w:val="001000000000"/>
            <w:tcW w:w="2900" w:type="dxa"/>
            <w:hideMark/>
          </w:tcPr>
          <w:p w:rsidR="0055235B" w:rsidRPr="006F09D3" w:rsidRDefault="0055235B" w:rsidP="0020759B">
            <w:pPr>
              <w:rPr>
                <w:rFonts w:ascii="Times New Roman" w:eastAsia="Times New Roman" w:hAnsi="Times New Roman" w:cs="Times New Roman"/>
                <w:b w:val="0"/>
                <w:sz w:val="20"/>
                <w:szCs w:val="20"/>
              </w:rPr>
            </w:pPr>
            <w:r w:rsidRPr="006F09D3">
              <w:rPr>
                <w:rFonts w:ascii="Times New Roman" w:eastAsia="Times New Roman" w:hAnsi="Times New Roman" w:cs="Times New Roman"/>
                <w:b w:val="0"/>
                <w:sz w:val="20"/>
                <w:szCs w:val="20"/>
              </w:rPr>
              <w:t>- Kitas trumpalaikis turtas</w:t>
            </w:r>
          </w:p>
        </w:tc>
        <w:tc>
          <w:tcPr>
            <w:tcW w:w="1116" w:type="dxa"/>
            <w:noWrap/>
            <w:vAlign w:val="center"/>
            <w:hideMark/>
          </w:tcPr>
          <w:p w:rsidR="0055235B" w:rsidRPr="00222F69" w:rsidRDefault="0055235B" w:rsidP="0020759B">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6,428,964</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33.02</w:t>
            </w:r>
          </w:p>
        </w:tc>
        <w:tc>
          <w:tcPr>
            <w:tcW w:w="1116" w:type="dxa"/>
            <w:noWrap/>
            <w:vAlign w:val="center"/>
            <w:hideMark/>
          </w:tcPr>
          <w:p w:rsidR="0055235B" w:rsidRPr="00222F69" w:rsidRDefault="0055235B" w:rsidP="0020759B">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3,943,077</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14.85</w:t>
            </w:r>
          </w:p>
        </w:tc>
        <w:tc>
          <w:tcPr>
            <w:tcW w:w="1180" w:type="dxa"/>
            <w:noWrap/>
            <w:vAlign w:val="center"/>
            <w:hideMark/>
          </w:tcPr>
          <w:p w:rsidR="0055235B" w:rsidRPr="00222F69" w:rsidRDefault="0055235B" w:rsidP="0020759B">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9,150,245</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23.40</w:t>
            </w:r>
          </w:p>
        </w:tc>
      </w:tr>
      <w:tr w:rsidR="0055235B" w:rsidRPr="00222F69" w:rsidTr="0020759B">
        <w:trPr>
          <w:cnfStyle w:val="000000010000"/>
          <w:trHeight w:val="300"/>
        </w:trPr>
        <w:tc>
          <w:tcPr>
            <w:cnfStyle w:val="001000000000"/>
            <w:tcW w:w="2900" w:type="dxa"/>
            <w:hideMark/>
          </w:tcPr>
          <w:p w:rsidR="0055235B" w:rsidRPr="006F09D3" w:rsidRDefault="0055235B" w:rsidP="0020759B">
            <w:pPr>
              <w:rPr>
                <w:rFonts w:ascii="Times New Roman" w:eastAsia="Times New Roman" w:hAnsi="Times New Roman" w:cs="Times New Roman"/>
                <w:b w:val="0"/>
                <w:sz w:val="20"/>
                <w:szCs w:val="20"/>
              </w:rPr>
            </w:pPr>
            <w:r w:rsidRPr="006F09D3">
              <w:rPr>
                <w:rFonts w:ascii="Times New Roman" w:eastAsia="Times New Roman" w:hAnsi="Times New Roman" w:cs="Times New Roman"/>
                <w:b w:val="0"/>
                <w:sz w:val="20"/>
                <w:szCs w:val="20"/>
              </w:rPr>
              <w:t>* Pinigai ir jų ekvivalentai</w:t>
            </w:r>
          </w:p>
        </w:tc>
        <w:tc>
          <w:tcPr>
            <w:tcW w:w="1116" w:type="dxa"/>
            <w:noWrap/>
            <w:vAlign w:val="center"/>
            <w:hideMark/>
          </w:tcPr>
          <w:p w:rsidR="0055235B" w:rsidRPr="00222F69" w:rsidRDefault="0055235B" w:rsidP="0020759B">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116,409</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1.81</w:t>
            </w:r>
          </w:p>
        </w:tc>
        <w:tc>
          <w:tcPr>
            <w:tcW w:w="1116" w:type="dxa"/>
            <w:noWrap/>
            <w:vAlign w:val="center"/>
            <w:hideMark/>
          </w:tcPr>
          <w:p w:rsidR="0055235B" w:rsidRPr="00222F69" w:rsidRDefault="0055235B" w:rsidP="0020759B">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410,150</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10.40</w:t>
            </w:r>
          </w:p>
        </w:tc>
        <w:tc>
          <w:tcPr>
            <w:tcW w:w="1180" w:type="dxa"/>
            <w:noWrap/>
            <w:vAlign w:val="center"/>
            <w:hideMark/>
          </w:tcPr>
          <w:p w:rsidR="0055235B" w:rsidRPr="00222F69" w:rsidRDefault="0055235B" w:rsidP="0020759B">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1,358,580</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14.85</w:t>
            </w:r>
          </w:p>
        </w:tc>
      </w:tr>
      <w:tr w:rsidR="0055235B" w:rsidRPr="00222F69" w:rsidTr="0020759B">
        <w:trPr>
          <w:cnfStyle w:val="000000100000"/>
          <w:trHeight w:val="300"/>
        </w:trPr>
        <w:tc>
          <w:tcPr>
            <w:cnfStyle w:val="001000000000"/>
            <w:tcW w:w="2900" w:type="dxa"/>
            <w:hideMark/>
          </w:tcPr>
          <w:p w:rsidR="0055235B" w:rsidRPr="00222F69" w:rsidRDefault="0055235B" w:rsidP="0020759B">
            <w:pPr>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TURTO IŠ VISO</w:t>
            </w:r>
          </w:p>
        </w:tc>
        <w:tc>
          <w:tcPr>
            <w:tcW w:w="1116" w:type="dxa"/>
            <w:noWrap/>
            <w:vAlign w:val="center"/>
            <w:hideMark/>
          </w:tcPr>
          <w:p w:rsidR="0055235B" w:rsidRPr="006F09D3" w:rsidRDefault="0055235B" w:rsidP="0020759B">
            <w:pPr>
              <w:jc w:val="center"/>
              <w:cnfStyle w:val="000000100000"/>
              <w:rPr>
                <w:rFonts w:ascii="Times New Roman" w:eastAsia="Times New Roman" w:hAnsi="Times New Roman" w:cs="Times New Roman"/>
                <w:b/>
                <w:sz w:val="20"/>
                <w:szCs w:val="20"/>
              </w:rPr>
            </w:pPr>
            <w:r w:rsidRPr="006F09D3">
              <w:rPr>
                <w:rFonts w:ascii="Times New Roman" w:eastAsia="Times New Roman" w:hAnsi="Times New Roman" w:cs="Times New Roman"/>
                <w:b/>
                <w:sz w:val="20"/>
                <w:szCs w:val="20"/>
              </w:rPr>
              <w:t>72,757,370</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b/>
                <w:sz w:val="20"/>
                <w:szCs w:val="20"/>
              </w:rPr>
            </w:pPr>
          </w:p>
        </w:tc>
        <w:tc>
          <w:tcPr>
            <w:tcW w:w="1116" w:type="dxa"/>
            <w:noWrap/>
            <w:vAlign w:val="center"/>
            <w:hideMark/>
          </w:tcPr>
          <w:p w:rsidR="0055235B" w:rsidRPr="006F09D3" w:rsidRDefault="0055235B" w:rsidP="0020759B">
            <w:pPr>
              <w:jc w:val="center"/>
              <w:cnfStyle w:val="000000100000"/>
              <w:rPr>
                <w:rFonts w:ascii="Times New Roman" w:eastAsia="Times New Roman" w:hAnsi="Times New Roman" w:cs="Times New Roman"/>
                <w:b/>
                <w:sz w:val="20"/>
                <w:szCs w:val="20"/>
              </w:rPr>
            </w:pPr>
            <w:r w:rsidRPr="006F09D3">
              <w:rPr>
                <w:rFonts w:ascii="Times New Roman" w:eastAsia="Times New Roman" w:hAnsi="Times New Roman" w:cs="Times New Roman"/>
                <w:b/>
                <w:sz w:val="20"/>
                <w:szCs w:val="20"/>
              </w:rPr>
              <w:t>73,768,259</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b/>
                <w:i/>
                <w:sz w:val="20"/>
                <w:szCs w:val="20"/>
              </w:rPr>
            </w:pPr>
          </w:p>
        </w:tc>
        <w:tc>
          <w:tcPr>
            <w:tcW w:w="1180" w:type="dxa"/>
            <w:noWrap/>
            <w:vAlign w:val="center"/>
            <w:hideMark/>
          </w:tcPr>
          <w:p w:rsidR="0055235B" w:rsidRPr="006F09D3" w:rsidRDefault="0055235B" w:rsidP="0020759B">
            <w:pPr>
              <w:jc w:val="center"/>
              <w:cnfStyle w:val="000000100000"/>
              <w:rPr>
                <w:rFonts w:ascii="Times New Roman" w:eastAsia="Times New Roman" w:hAnsi="Times New Roman" w:cs="Times New Roman"/>
                <w:b/>
                <w:sz w:val="20"/>
                <w:szCs w:val="20"/>
              </w:rPr>
            </w:pPr>
            <w:r w:rsidRPr="006F09D3">
              <w:rPr>
                <w:rFonts w:ascii="Times New Roman" w:eastAsia="Times New Roman" w:hAnsi="Times New Roman" w:cs="Times New Roman"/>
                <w:b/>
                <w:sz w:val="20"/>
                <w:szCs w:val="20"/>
              </w:rPr>
              <w:t>83,161,936</w:t>
            </w:r>
          </w:p>
        </w:tc>
        <w:tc>
          <w:tcPr>
            <w:tcW w:w="1250" w:type="dxa"/>
            <w:noWrap/>
            <w:vAlign w:val="center"/>
            <w:hideMark/>
          </w:tcPr>
          <w:p w:rsidR="0055235B" w:rsidRPr="00222F69" w:rsidRDefault="0055235B" w:rsidP="0020759B">
            <w:pPr>
              <w:jc w:val="center"/>
              <w:cnfStyle w:val="000000100000"/>
              <w:rPr>
                <w:rFonts w:ascii="Times New Roman" w:eastAsia="Times New Roman" w:hAnsi="Times New Roman" w:cs="Times New Roman"/>
                <w:sz w:val="20"/>
                <w:szCs w:val="20"/>
              </w:rPr>
            </w:pPr>
          </w:p>
        </w:tc>
      </w:tr>
      <w:tr w:rsidR="00E6354F" w:rsidRPr="00222F69" w:rsidTr="0020759B">
        <w:trPr>
          <w:cnfStyle w:val="000000010000"/>
          <w:trHeight w:val="510"/>
        </w:trPr>
        <w:tc>
          <w:tcPr>
            <w:cnfStyle w:val="001000000000"/>
            <w:tcW w:w="2900" w:type="dxa"/>
            <w:vAlign w:val="center"/>
            <w:hideMark/>
          </w:tcPr>
          <w:p w:rsidR="00E6354F" w:rsidRPr="00222F69" w:rsidRDefault="00E6354F" w:rsidP="0020759B">
            <w:pPr>
              <w:jc w:val="center"/>
              <w:rPr>
                <w:rFonts w:ascii="Times New Roman" w:eastAsia="Times New Roman" w:hAnsi="Times New Roman" w:cs="Times New Roman"/>
                <w:b w:val="0"/>
                <w:bCs w:val="0"/>
                <w:sz w:val="20"/>
                <w:szCs w:val="20"/>
              </w:rPr>
            </w:pPr>
            <w:r w:rsidRPr="00222F69">
              <w:rPr>
                <w:rFonts w:ascii="Times New Roman" w:eastAsia="Times New Roman" w:hAnsi="Times New Roman" w:cs="Times New Roman"/>
                <w:b w:val="0"/>
                <w:bCs w:val="0"/>
                <w:sz w:val="20"/>
                <w:szCs w:val="20"/>
              </w:rPr>
              <w:t>Nuosavas kapitalas ir įsipareigojimai</w:t>
            </w:r>
          </w:p>
        </w:tc>
        <w:tc>
          <w:tcPr>
            <w:tcW w:w="1116" w:type="dxa"/>
            <w:vAlign w:val="center"/>
            <w:hideMark/>
          </w:tcPr>
          <w:p w:rsidR="00E6354F" w:rsidRPr="00F80CD4" w:rsidRDefault="00E6354F" w:rsidP="004633A4">
            <w:pPr>
              <w:contextualSpacing/>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EUR</w:t>
            </w:r>
          </w:p>
        </w:tc>
        <w:tc>
          <w:tcPr>
            <w:tcW w:w="1250" w:type="dxa"/>
            <w:vAlign w:val="center"/>
            <w:hideMark/>
          </w:tcPr>
          <w:p w:rsidR="00E6354F" w:rsidRPr="004D5C99" w:rsidRDefault="00E6354F" w:rsidP="004633A4">
            <w:pPr>
              <w:contextualSpacing/>
              <w:jc w:val="center"/>
              <w:cnfStyle w:val="000000010000"/>
              <w:rPr>
                <w:rFonts w:ascii="Times New Roman" w:eastAsia="Times New Roman" w:hAnsi="Times New Roman" w:cs="Times New Roman"/>
                <w:b/>
                <w:bCs/>
                <w:sz w:val="20"/>
                <w:szCs w:val="20"/>
              </w:rPr>
            </w:pPr>
            <w:r w:rsidRPr="004D5C99">
              <w:rPr>
                <w:rFonts w:ascii="Times New Roman" w:eastAsia="Times New Roman" w:hAnsi="Times New Roman" w:cs="Times New Roman"/>
                <w:b/>
                <w:bCs/>
                <w:sz w:val="20"/>
                <w:szCs w:val="20"/>
              </w:rPr>
              <w:t xml:space="preserve">Lyginamieji svoriai, </w:t>
            </w:r>
            <w:r>
              <w:rPr>
                <w:rFonts w:ascii="Times New Roman" w:eastAsia="Times New Roman" w:hAnsi="Times New Roman" w:cs="Times New Roman"/>
                <w:b/>
                <w:bCs/>
                <w:sz w:val="20"/>
                <w:szCs w:val="20"/>
              </w:rPr>
              <w:t>proc.</w:t>
            </w:r>
          </w:p>
        </w:tc>
        <w:tc>
          <w:tcPr>
            <w:tcW w:w="1116" w:type="dxa"/>
            <w:vAlign w:val="center"/>
            <w:hideMark/>
          </w:tcPr>
          <w:p w:rsidR="00E6354F" w:rsidRPr="004D5C99" w:rsidRDefault="00E6354F" w:rsidP="004633A4">
            <w:pPr>
              <w:contextualSpacing/>
              <w:jc w:val="center"/>
              <w:cnfStyle w:val="000000010000"/>
              <w:rPr>
                <w:rFonts w:ascii="Times New Roman" w:eastAsia="Times New Roman" w:hAnsi="Times New Roman" w:cs="Times New Roman"/>
                <w:b/>
                <w:bCs/>
                <w:sz w:val="20"/>
                <w:szCs w:val="20"/>
              </w:rPr>
            </w:pPr>
            <w:r w:rsidRPr="004D5C99">
              <w:rPr>
                <w:rFonts w:ascii="Times New Roman" w:eastAsia="Times New Roman" w:hAnsi="Times New Roman" w:cs="Times New Roman"/>
                <w:sz w:val="20"/>
                <w:szCs w:val="20"/>
              </w:rPr>
              <w:t>EUR</w:t>
            </w:r>
          </w:p>
        </w:tc>
        <w:tc>
          <w:tcPr>
            <w:tcW w:w="1250" w:type="dxa"/>
            <w:vAlign w:val="center"/>
            <w:hideMark/>
          </w:tcPr>
          <w:p w:rsidR="00E6354F" w:rsidRPr="004D5C99" w:rsidRDefault="00E6354F" w:rsidP="004633A4">
            <w:pPr>
              <w:contextualSpacing/>
              <w:jc w:val="center"/>
              <w:cnfStyle w:val="000000010000"/>
              <w:rPr>
                <w:rFonts w:ascii="Times New Roman" w:eastAsia="Times New Roman" w:hAnsi="Times New Roman" w:cs="Times New Roman"/>
                <w:b/>
                <w:bCs/>
                <w:sz w:val="20"/>
                <w:szCs w:val="20"/>
              </w:rPr>
            </w:pPr>
            <w:r w:rsidRPr="004D5C99">
              <w:rPr>
                <w:rFonts w:ascii="Times New Roman" w:eastAsia="Times New Roman" w:hAnsi="Times New Roman" w:cs="Times New Roman"/>
                <w:b/>
                <w:bCs/>
                <w:sz w:val="20"/>
                <w:szCs w:val="20"/>
              </w:rPr>
              <w:t xml:space="preserve">Lyginamieji svoriai, </w:t>
            </w:r>
            <w:r>
              <w:rPr>
                <w:rFonts w:ascii="Times New Roman" w:eastAsia="Times New Roman" w:hAnsi="Times New Roman" w:cs="Times New Roman"/>
                <w:b/>
                <w:bCs/>
                <w:sz w:val="20"/>
                <w:szCs w:val="20"/>
              </w:rPr>
              <w:t>proc.</w:t>
            </w:r>
          </w:p>
        </w:tc>
        <w:tc>
          <w:tcPr>
            <w:tcW w:w="1180" w:type="dxa"/>
            <w:vAlign w:val="center"/>
            <w:hideMark/>
          </w:tcPr>
          <w:p w:rsidR="00E6354F" w:rsidRPr="004D5C99" w:rsidRDefault="00E6354F" w:rsidP="004633A4">
            <w:pPr>
              <w:contextualSpacing/>
              <w:jc w:val="center"/>
              <w:cnfStyle w:val="000000010000"/>
              <w:rPr>
                <w:rFonts w:ascii="Times New Roman" w:eastAsia="Times New Roman" w:hAnsi="Times New Roman" w:cs="Times New Roman"/>
                <w:b/>
                <w:bCs/>
                <w:sz w:val="20"/>
                <w:szCs w:val="20"/>
              </w:rPr>
            </w:pPr>
            <w:r w:rsidRPr="004D5C99">
              <w:rPr>
                <w:rFonts w:ascii="Times New Roman" w:eastAsia="Times New Roman" w:hAnsi="Times New Roman" w:cs="Times New Roman"/>
                <w:sz w:val="20"/>
                <w:szCs w:val="20"/>
              </w:rPr>
              <w:t>EUR</w:t>
            </w:r>
          </w:p>
        </w:tc>
        <w:tc>
          <w:tcPr>
            <w:tcW w:w="1250" w:type="dxa"/>
            <w:vAlign w:val="center"/>
            <w:hideMark/>
          </w:tcPr>
          <w:p w:rsidR="00E6354F" w:rsidRPr="004D5C99" w:rsidRDefault="00E6354F" w:rsidP="004633A4">
            <w:pPr>
              <w:contextualSpacing/>
              <w:jc w:val="center"/>
              <w:cnfStyle w:val="000000010000"/>
              <w:rPr>
                <w:rFonts w:ascii="Times New Roman" w:eastAsia="Times New Roman" w:hAnsi="Times New Roman" w:cs="Times New Roman"/>
                <w:b/>
                <w:bCs/>
                <w:sz w:val="20"/>
                <w:szCs w:val="20"/>
              </w:rPr>
            </w:pPr>
            <w:r w:rsidRPr="004D5C99">
              <w:rPr>
                <w:rFonts w:ascii="Times New Roman" w:eastAsia="Times New Roman" w:hAnsi="Times New Roman" w:cs="Times New Roman"/>
                <w:b/>
                <w:bCs/>
                <w:sz w:val="20"/>
                <w:szCs w:val="20"/>
              </w:rPr>
              <w:t xml:space="preserve">Lyginamieji svoriai, </w:t>
            </w:r>
            <w:r>
              <w:rPr>
                <w:rFonts w:ascii="Times New Roman" w:eastAsia="Times New Roman" w:hAnsi="Times New Roman" w:cs="Times New Roman"/>
                <w:b/>
                <w:bCs/>
                <w:sz w:val="20"/>
                <w:szCs w:val="20"/>
              </w:rPr>
              <w:t xml:space="preserve"> proc.</w:t>
            </w:r>
          </w:p>
        </w:tc>
      </w:tr>
      <w:tr w:rsidR="0055235B" w:rsidRPr="00222F69" w:rsidTr="0020759B">
        <w:trPr>
          <w:cnfStyle w:val="000000100000"/>
          <w:trHeight w:val="300"/>
        </w:trPr>
        <w:tc>
          <w:tcPr>
            <w:cnfStyle w:val="001000000000"/>
            <w:tcW w:w="2900" w:type="dxa"/>
            <w:hideMark/>
          </w:tcPr>
          <w:p w:rsidR="0055235B" w:rsidRPr="006F09D3" w:rsidRDefault="0055235B" w:rsidP="0020759B">
            <w:pPr>
              <w:rPr>
                <w:rFonts w:ascii="Times New Roman" w:eastAsia="Times New Roman" w:hAnsi="Times New Roman" w:cs="Times New Roman"/>
                <w:b w:val="0"/>
                <w:sz w:val="20"/>
                <w:szCs w:val="20"/>
              </w:rPr>
            </w:pPr>
            <w:r w:rsidRPr="006F09D3">
              <w:rPr>
                <w:rFonts w:ascii="Times New Roman" w:eastAsia="Times New Roman" w:hAnsi="Times New Roman" w:cs="Times New Roman"/>
                <w:b w:val="0"/>
                <w:sz w:val="20"/>
                <w:szCs w:val="20"/>
              </w:rPr>
              <w:t>Nuosavas kapitalas</w:t>
            </w:r>
          </w:p>
        </w:tc>
        <w:tc>
          <w:tcPr>
            <w:tcW w:w="1116" w:type="dxa"/>
            <w:noWrap/>
            <w:vAlign w:val="center"/>
            <w:hideMark/>
          </w:tcPr>
          <w:p w:rsidR="0055235B" w:rsidRPr="00222F69" w:rsidRDefault="0055235B" w:rsidP="0020759B">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28,584,791</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39.29</w:t>
            </w:r>
          </w:p>
        </w:tc>
        <w:tc>
          <w:tcPr>
            <w:tcW w:w="1116" w:type="dxa"/>
            <w:noWrap/>
            <w:vAlign w:val="center"/>
            <w:hideMark/>
          </w:tcPr>
          <w:p w:rsidR="0055235B" w:rsidRPr="00222F69" w:rsidRDefault="0055235B" w:rsidP="0020759B">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29,817,519</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40.42</w:t>
            </w:r>
          </w:p>
        </w:tc>
        <w:tc>
          <w:tcPr>
            <w:tcW w:w="1180" w:type="dxa"/>
            <w:noWrap/>
            <w:vAlign w:val="center"/>
            <w:hideMark/>
          </w:tcPr>
          <w:p w:rsidR="0055235B" w:rsidRPr="00222F69" w:rsidRDefault="0055235B" w:rsidP="0020759B">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39,022,731</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46.92</w:t>
            </w:r>
          </w:p>
        </w:tc>
      </w:tr>
      <w:tr w:rsidR="0055235B" w:rsidRPr="00222F69" w:rsidTr="0020759B">
        <w:trPr>
          <w:cnfStyle w:val="000000010000"/>
          <w:trHeight w:val="300"/>
        </w:trPr>
        <w:tc>
          <w:tcPr>
            <w:cnfStyle w:val="001000000000"/>
            <w:tcW w:w="2900" w:type="dxa"/>
            <w:hideMark/>
          </w:tcPr>
          <w:p w:rsidR="0055235B" w:rsidRPr="006F09D3" w:rsidRDefault="0055235B" w:rsidP="0020759B">
            <w:pPr>
              <w:rPr>
                <w:rFonts w:ascii="Times New Roman" w:eastAsia="Times New Roman" w:hAnsi="Times New Roman" w:cs="Times New Roman"/>
                <w:b w:val="0"/>
                <w:sz w:val="20"/>
                <w:szCs w:val="20"/>
              </w:rPr>
            </w:pPr>
            <w:r w:rsidRPr="006F09D3">
              <w:rPr>
                <w:rFonts w:ascii="Times New Roman" w:eastAsia="Times New Roman" w:hAnsi="Times New Roman" w:cs="Times New Roman"/>
                <w:b w:val="0"/>
                <w:sz w:val="20"/>
                <w:szCs w:val="20"/>
              </w:rPr>
              <w:t>- Įstatinis kapitalas</w:t>
            </w:r>
          </w:p>
        </w:tc>
        <w:tc>
          <w:tcPr>
            <w:tcW w:w="1116" w:type="dxa"/>
            <w:noWrap/>
            <w:vAlign w:val="center"/>
            <w:hideMark/>
          </w:tcPr>
          <w:p w:rsidR="0055235B" w:rsidRPr="00222F69" w:rsidRDefault="0055235B" w:rsidP="0020759B">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439,800</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1.54</w:t>
            </w:r>
          </w:p>
        </w:tc>
        <w:tc>
          <w:tcPr>
            <w:tcW w:w="1116" w:type="dxa"/>
            <w:noWrap/>
            <w:vAlign w:val="center"/>
            <w:hideMark/>
          </w:tcPr>
          <w:p w:rsidR="0055235B" w:rsidRPr="00222F69" w:rsidRDefault="0055235B" w:rsidP="0020759B">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432,909</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1.45</w:t>
            </w:r>
          </w:p>
        </w:tc>
        <w:tc>
          <w:tcPr>
            <w:tcW w:w="1180" w:type="dxa"/>
            <w:noWrap/>
            <w:vAlign w:val="center"/>
            <w:hideMark/>
          </w:tcPr>
          <w:p w:rsidR="0055235B" w:rsidRPr="00222F69" w:rsidRDefault="0055235B" w:rsidP="0020759B">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430,126</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1.10</w:t>
            </w:r>
          </w:p>
        </w:tc>
      </w:tr>
      <w:tr w:rsidR="0055235B" w:rsidRPr="00222F69" w:rsidTr="0020759B">
        <w:trPr>
          <w:cnfStyle w:val="000000100000"/>
          <w:trHeight w:val="300"/>
        </w:trPr>
        <w:tc>
          <w:tcPr>
            <w:cnfStyle w:val="001000000000"/>
            <w:tcW w:w="2900" w:type="dxa"/>
            <w:hideMark/>
          </w:tcPr>
          <w:p w:rsidR="0055235B" w:rsidRPr="006F09D3" w:rsidRDefault="0055235B" w:rsidP="0020759B">
            <w:pPr>
              <w:rPr>
                <w:rFonts w:ascii="Times New Roman" w:eastAsia="Times New Roman" w:hAnsi="Times New Roman" w:cs="Times New Roman"/>
                <w:b w:val="0"/>
                <w:sz w:val="20"/>
                <w:szCs w:val="20"/>
              </w:rPr>
            </w:pPr>
            <w:r w:rsidRPr="006F09D3">
              <w:rPr>
                <w:rFonts w:ascii="Times New Roman" w:eastAsia="Times New Roman" w:hAnsi="Times New Roman" w:cs="Times New Roman"/>
                <w:b w:val="0"/>
                <w:sz w:val="20"/>
                <w:szCs w:val="20"/>
              </w:rPr>
              <w:t>- Nepaskirstytas pelnas</w:t>
            </w:r>
          </w:p>
        </w:tc>
        <w:tc>
          <w:tcPr>
            <w:tcW w:w="1116" w:type="dxa"/>
            <w:noWrap/>
            <w:vAlign w:val="center"/>
            <w:hideMark/>
          </w:tcPr>
          <w:p w:rsidR="0055235B" w:rsidRPr="00222F69" w:rsidRDefault="0055235B" w:rsidP="0020759B">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28,144,990</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98.46</w:t>
            </w:r>
          </w:p>
        </w:tc>
        <w:tc>
          <w:tcPr>
            <w:tcW w:w="1116" w:type="dxa"/>
            <w:noWrap/>
            <w:vAlign w:val="center"/>
            <w:hideMark/>
          </w:tcPr>
          <w:p w:rsidR="0055235B" w:rsidRPr="00222F69" w:rsidRDefault="0055235B" w:rsidP="0020759B">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29,384,610</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98.55</w:t>
            </w:r>
          </w:p>
        </w:tc>
        <w:tc>
          <w:tcPr>
            <w:tcW w:w="1180" w:type="dxa"/>
            <w:noWrap/>
            <w:vAlign w:val="center"/>
            <w:hideMark/>
          </w:tcPr>
          <w:p w:rsidR="0055235B" w:rsidRPr="00222F69" w:rsidRDefault="0055235B" w:rsidP="0020759B">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38,592,605</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98.90</w:t>
            </w:r>
          </w:p>
        </w:tc>
      </w:tr>
      <w:tr w:rsidR="0055235B" w:rsidRPr="00222F69" w:rsidTr="0020759B">
        <w:trPr>
          <w:cnfStyle w:val="000000010000"/>
          <w:trHeight w:val="300"/>
        </w:trPr>
        <w:tc>
          <w:tcPr>
            <w:cnfStyle w:val="001000000000"/>
            <w:tcW w:w="2900" w:type="dxa"/>
            <w:hideMark/>
          </w:tcPr>
          <w:p w:rsidR="0055235B" w:rsidRPr="006F09D3" w:rsidRDefault="0055235B" w:rsidP="0020759B">
            <w:pPr>
              <w:rPr>
                <w:rFonts w:ascii="Times New Roman" w:eastAsia="Times New Roman" w:hAnsi="Times New Roman" w:cs="Times New Roman"/>
                <w:b w:val="0"/>
                <w:sz w:val="20"/>
                <w:szCs w:val="20"/>
              </w:rPr>
            </w:pPr>
            <w:r w:rsidRPr="006F09D3">
              <w:rPr>
                <w:rFonts w:ascii="Times New Roman" w:eastAsia="Times New Roman" w:hAnsi="Times New Roman" w:cs="Times New Roman"/>
                <w:b w:val="0"/>
                <w:sz w:val="20"/>
                <w:szCs w:val="20"/>
              </w:rPr>
              <w:t>Įlgalaikiai įsipareigojimai</w:t>
            </w:r>
          </w:p>
        </w:tc>
        <w:tc>
          <w:tcPr>
            <w:tcW w:w="1116" w:type="dxa"/>
            <w:noWrap/>
            <w:vAlign w:val="center"/>
            <w:hideMark/>
          </w:tcPr>
          <w:p w:rsidR="0055235B" w:rsidRPr="00222F69" w:rsidRDefault="0055235B" w:rsidP="0020759B">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17,093,269</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23.49</w:t>
            </w:r>
          </w:p>
        </w:tc>
        <w:tc>
          <w:tcPr>
            <w:tcW w:w="1116" w:type="dxa"/>
            <w:noWrap/>
            <w:vAlign w:val="center"/>
            <w:hideMark/>
          </w:tcPr>
          <w:p w:rsidR="0055235B" w:rsidRPr="00222F69" w:rsidRDefault="0055235B" w:rsidP="0020759B">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15,583,498</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21.12</w:t>
            </w:r>
          </w:p>
        </w:tc>
        <w:tc>
          <w:tcPr>
            <w:tcW w:w="1180" w:type="dxa"/>
            <w:noWrap/>
            <w:vAlign w:val="center"/>
            <w:hideMark/>
          </w:tcPr>
          <w:p w:rsidR="0055235B" w:rsidRPr="00222F69" w:rsidRDefault="0055235B" w:rsidP="0020759B">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17,604,241</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21.17</w:t>
            </w:r>
          </w:p>
        </w:tc>
      </w:tr>
      <w:tr w:rsidR="0055235B" w:rsidRPr="00222F69" w:rsidTr="0020759B">
        <w:trPr>
          <w:cnfStyle w:val="000000100000"/>
          <w:trHeight w:val="300"/>
        </w:trPr>
        <w:tc>
          <w:tcPr>
            <w:cnfStyle w:val="001000000000"/>
            <w:tcW w:w="2900" w:type="dxa"/>
            <w:hideMark/>
          </w:tcPr>
          <w:p w:rsidR="0055235B" w:rsidRPr="006F09D3" w:rsidRDefault="0055235B" w:rsidP="0020759B">
            <w:pPr>
              <w:rPr>
                <w:rFonts w:ascii="Times New Roman" w:eastAsia="Times New Roman" w:hAnsi="Times New Roman" w:cs="Times New Roman"/>
                <w:b w:val="0"/>
                <w:sz w:val="20"/>
                <w:szCs w:val="20"/>
              </w:rPr>
            </w:pPr>
            <w:r w:rsidRPr="006F09D3">
              <w:rPr>
                <w:rFonts w:ascii="Times New Roman" w:eastAsia="Times New Roman" w:hAnsi="Times New Roman" w:cs="Times New Roman"/>
                <w:b w:val="0"/>
                <w:sz w:val="20"/>
                <w:szCs w:val="20"/>
              </w:rPr>
              <w:t>- Ilgalaikės skolos</w:t>
            </w:r>
          </w:p>
        </w:tc>
        <w:tc>
          <w:tcPr>
            <w:tcW w:w="1116" w:type="dxa"/>
            <w:noWrap/>
            <w:vAlign w:val="center"/>
            <w:hideMark/>
          </w:tcPr>
          <w:p w:rsidR="0055235B" w:rsidRPr="00222F69" w:rsidRDefault="0055235B" w:rsidP="0020759B">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17,093,269</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100.00</w:t>
            </w:r>
          </w:p>
        </w:tc>
        <w:tc>
          <w:tcPr>
            <w:tcW w:w="1116" w:type="dxa"/>
            <w:noWrap/>
            <w:vAlign w:val="center"/>
            <w:hideMark/>
          </w:tcPr>
          <w:p w:rsidR="0055235B" w:rsidRPr="00222F69" w:rsidRDefault="0055235B" w:rsidP="0020759B">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14,351,497</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92.09</w:t>
            </w:r>
          </w:p>
        </w:tc>
        <w:tc>
          <w:tcPr>
            <w:tcW w:w="1180" w:type="dxa"/>
            <w:noWrap/>
            <w:vAlign w:val="center"/>
            <w:hideMark/>
          </w:tcPr>
          <w:p w:rsidR="0055235B" w:rsidRPr="00222F69" w:rsidRDefault="0055235B" w:rsidP="0020759B">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16,220,485</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92.14</w:t>
            </w:r>
          </w:p>
        </w:tc>
      </w:tr>
      <w:tr w:rsidR="0055235B" w:rsidRPr="00222F69" w:rsidTr="0020759B">
        <w:trPr>
          <w:cnfStyle w:val="000000010000"/>
          <w:trHeight w:val="300"/>
        </w:trPr>
        <w:tc>
          <w:tcPr>
            <w:cnfStyle w:val="001000000000"/>
            <w:tcW w:w="2900" w:type="dxa"/>
            <w:hideMark/>
          </w:tcPr>
          <w:p w:rsidR="0055235B" w:rsidRPr="006F09D3" w:rsidRDefault="0055235B" w:rsidP="0020759B">
            <w:pPr>
              <w:rPr>
                <w:rFonts w:ascii="Times New Roman" w:eastAsia="Times New Roman" w:hAnsi="Times New Roman" w:cs="Times New Roman"/>
                <w:b w:val="0"/>
                <w:sz w:val="20"/>
                <w:szCs w:val="20"/>
              </w:rPr>
            </w:pPr>
            <w:r w:rsidRPr="006F09D3">
              <w:rPr>
                <w:rFonts w:ascii="Times New Roman" w:eastAsia="Times New Roman" w:hAnsi="Times New Roman" w:cs="Times New Roman"/>
                <w:b w:val="0"/>
                <w:sz w:val="20"/>
                <w:szCs w:val="20"/>
              </w:rPr>
              <w:t>- Kiti ilgalaikiai įsipareigojimai</w:t>
            </w:r>
          </w:p>
        </w:tc>
        <w:tc>
          <w:tcPr>
            <w:tcW w:w="1116" w:type="dxa"/>
            <w:noWrap/>
            <w:vAlign w:val="center"/>
            <w:hideMark/>
          </w:tcPr>
          <w:p w:rsidR="0055235B" w:rsidRPr="00222F69" w:rsidRDefault="0055235B" w:rsidP="0020759B">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0</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i/>
                <w:sz w:val="20"/>
                <w:szCs w:val="20"/>
              </w:rPr>
            </w:pPr>
          </w:p>
        </w:tc>
        <w:tc>
          <w:tcPr>
            <w:tcW w:w="1116" w:type="dxa"/>
            <w:noWrap/>
            <w:vAlign w:val="center"/>
            <w:hideMark/>
          </w:tcPr>
          <w:p w:rsidR="0055235B" w:rsidRPr="00222F69" w:rsidRDefault="0055235B" w:rsidP="0020759B">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1,232,001</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i/>
                <w:sz w:val="20"/>
                <w:szCs w:val="20"/>
              </w:rPr>
            </w:pPr>
          </w:p>
        </w:tc>
        <w:tc>
          <w:tcPr>
            <w:tcW w:w="1180" w:type="dxa"/>
            <w:noWrap/>
            <w:vAlign w:val="center"/>
            <w:hideMark/>
          </w:tcPr>
          <w:p w:rsidR="0055235B" w:rsidRPr="00222F69" w:rsidRDefault="0055235B" w:rsidP="0020759B">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1,383,756</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i/>
                <w:sz w:val="20"/>
                <w:szCs w:val="20"/>
              </w:rPr>
            </w:pPr>
          </w:p>
        </w:tc>
      </w:tr>
      <w:tr w:rsidR="0055235B" w:rsidRPr="00222F69" w:rsidTr="0020759B">
        <w:trPr>
          <w:cnfStyle w:val="000000100000"/>
          <w:trHeight w:val="300"/>
        </w:trPr>
        <w:tc>
          <w:tcPr>
            <w:cnfStyle w:val="001000000000"/>
            <w:tcW w:w="2900" w:type="dxa"/>
            <w:hideMark/>
          </w:tcPr>
          <w:p w:rsidR="0055235B" w:rsidRPr="006F09D3" w:rsidRDefault="0055235B" w:rsidP="0020759B">
            <w:pPr>
              <w:rPr>
                <w:rFonts w:ascii="Times New Roman" w:eastAsia="Times New Roman" w:hAnsi="Times New Roman" w:cs="Times New Roman"/>
                <w:b w:val="0"/>
                <w:sz w:val="20"/>
                <w:szCs w:val="20"/>
              </w:rPr>
            </w:pPr>
            <w:r w:rsidRPr="006F09D3">
              <w:rPr>
                <w:rFonts w:ascii="Times New Roman" w:eastAsia="Times New Roman" w:hAnsi="Times New Roman" w:cs="Times New Roman"/>
                <w:b w:val="0"/>
                <w:sz w:val="20"/>
                <w:szCs w:val="20"/>
              </w:rPr>
              <w:t>Trumpalaikiai įsipareigojimai</w:t>
            </w:r>
          </w:p>
        </w:tc>
        <w:tc>
          <w:tcPr>
            <w:tcW w:w="1116" w:type="dxa"/>
            <w:noWrap/>
            <w:vAlign w:val="center"/>
            <w:hideMark/>
          </w:tcPr>
          <w:p w:rsidR="0055235B" w:rsidRPr="00222F69" w:rsidRDefault="0055235B" w:rsidP="0020759B">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27,079,310</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37.22</w:t>
            </w:r>
          </w:p>
        </w:tc>
        <w:tc>
          <w:tcPr>
            <w:tcW w:w="1116" w:type="dxa"/>
            <w:noWrap/>
            <w:vAlign w:val="center"/>
            <w:hideMark/>
          </w:tcPr>
          <w:p w:rsidR="0055235B" w:rsidRPr="00222F69" w:rsidRDefault="0055235B" w:rsidP="0020759B">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28,367,242</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38.45</w:t>
            </w:r>
          </w:p>
        </w:tc>
        <w:tc>
          <w:tcPr>
            <w:tcW w:w="1180" w:type="dxa"/>
            <w:noWrap/>
            <w:vAlign w:val="center"/>
            <w:hideMark/>
          </w:tcPr>
          <w:p w:rsidR="0055235B" w:rsidRPr="00222F69" w:rsidRDefault="0055235B" w:rsidP="0020759B">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26,534,963</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31.91</w:t>
            </w:r>
          </w:p>
        </w:tc>
      </w:tr>
      <w:tr w:rsidR="0055235B" w:rsidRPr="00222F69" w:rsidTr="0020759B">
        <w:trPr>
          <w:cnfStyle w:val="000000010000"/>
          <w:trHeight w:val="300"/>
        </w:trPr>
        <w:tc>
          <w:tcPr>
            <w:cnfStyle w:val="001000000000"/>
            <w:tcW w:w="2900" w:type="dxa"/>
            <w:hideMark/>
          </w:tcPr>
          <w:p w:rsidR="0055235B" w:rsidRPr="006F09D3" w:rsidRDefault="0055235B" w:rsidP="0020759B">
            <w:pPr>
              <w:rPr>
                <w:rFonts w:ascii="Times New Roman" w:eastAsia="Times New Roman" w:hAnsi="Times New Roman" w:cs="Times New Roman"/>
                <w:b w:val="0"/>
                <w:sz w:val="20"/>
                <w:szCs w:val="20"/>
              </w:rPr>
            </w:pPr>
            <w:r w:rsidRPr="006F09D3">
              <w:rPr>
                <w:rFonts w:ascii="Times New Roman" w:eastAsia="Times New Roman" w:hAnsi="Times New Roman" w:cs="Times New Roman"/>
                <w:b w:val="0"/>
                <w:sz w:val="20"/>
                <w:szCs w:val="20"/>
              </w:rPr>
              <w:t>- Trumpalaikės paskolos</w:t>
            </w:r>
          </w:p>
        </w:tc>
        <w:tc>
          <w:tcPr>
            <w:tcW w:w="1116" w:type="dxa"/>
            <w:noWrap/>
            <w:vAlign w:val="center"/>
            <w:hideMark/>
          </w:tcPr>
          <w:p w:rsidR="0055235B" w:rsidRPr="00222F69" w:rsidRDefault="0055235B" w:rsidP="0020759B">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5,788,966</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21.38</w:t>
            </w:r>
          </w:p>
        </w:tc>
        <w:tc>
          <w:tcPr>
            <w:tcW w:w="1116" w:type="dxa"/>
            <w:noWrap/>
            <w:vAlign w:val="center"/>
            <w:hideMark/>
          </w:tcPr>
          <w:p w:rsidR="0055235B" w:rsidRPr="00222F69" w:rsidRDefault="0055235B" w:rsidP="0020759B">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9,492,152</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33.46</w:t>
            </w:r>
          </w:p>
        </w:tc>
        <w:tc>
          <w:tcPr>
            <w:tcW w:w="1180" w:type="dxa"/>
            <w:noWrap/>
            <w:vAlign w:val="center"/>
            <w:hideMark/>
          </w:tcPr>
          <w:p w:rsidR="0055235B" w:rsidRPr="00222F69" w:rsidRDefault="0055235B" w:rsidP="0020759B">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2,277,422</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8.58</w:t>
            </w:r>
          </w:p>
        </w:tc>
      </w:tr>
      <w:tr w:rsidR="0055235B" w:rsidRPr="00222F69" w:rsidTr="0020759B">
        <w:trPr>
          <w:cnfStyle w:val="000000100000"/>
          <w:trHeight w:val="300"/>
        </w:trPr>
        <w:tc>
          <w:tcPr>
            <w:cnfStyle w:val="001000000000"/>
            <w:tcW w:w="2900" w:type="dxa"/>
            <w:hideMark/>
          </w:tcPr>
          <w:p w:rsidR="0055235B" w:rsidRPr="006F09D3" w:rsidRDefault="0055235B" w:rsidP="0020759B">
            <w:pPr>
              <w:rPr>
                <w:rFonts w:ascii="Times New Roman" w:eastAsia="Times New Roman" w:hAnsi="Times New Roman" w:cs="Times New Roman"/>
                <w:b w:val="0"/>
                <w:sz w:val="20"/>
                <w:szCs w:val="20"/>
              </w:rPr>
            </w:pPr>
            <w:r w:rsidRPr="006F09D3">
              <w:rPr>
                <w:rFonts w:ascii="Times New Roman" w:eastAsia="Times New Roman" w:hAnsi="Times New Roman" w:cs="Times New Roman"/>
                <w:b w:val="0"/>
                <w:sz w:val="20"/>
                <w:szCs w:val="20"/>
              </w:rPr>
              <w:t>- Skolos tiekėjams</w:t>
            </w:r>
          </w:p>
        </w:tc>
        <w:tc>
          <w:tcPr>
            <w:tcW w:w="1116" w:type="dxa"/>
            <w:noWrap/>
            <w:vAlign w:val="center"/>
            <w:hideMark/>
          </w:tcPr>
          <w:p w:rsidR="0055235B" w:rsidRPr="00222F69" w:rsidRDefault="0055235B" w:rsidP="0020759B">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10,745,871</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39.68</w:t>
            </w:r>
          </w:p>
        </w:tc>
        <w:tc>
          <w:tcPr>
            <w:tcW w:w="1116" w:type="dxa"/>
            <w:noWrap/>
            <w:vAlign w:val="center"/>
            <w:hideMark/>
          </w:tcPr>
          <w:p w:rsidR="0055235B" w:rsidRPr="00222F69" w:rsidRDefault="0055235B" w:rsidP="0020759B">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10,249,873</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36.13</w:t>
            </w:r>
          </w:p>
        </w:tc>
        <w:tc>
          <w:tcPr>
            <w:tcW w:w="1180" w:type="dxa"/>
            <w:noWrap/>
            <w:vAlign w:val="center"/>
            <w:hideMark/>
          </w:tcPr>
          <w:p w:rsidR="0055235B" w:rsidRPr="00222F69" w:rsidRDefault="0055235B" w:rsidP="0020759B">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12,572,303</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47.38</w:t>
            </w:r>
          </w:p>
        </w:tc>
      </w:tr>
      <w:tr w:rsidR="0055235B" w:rsidRPr="00222F69" w:rsidTr="0020759B">
        <w:trPr>
          <w:cnfStyle w:val="000000010000"/>
          <w:trHeight w:val="300"/>
        </w:trPr>
        <w:tc>
          <w:tcPr>
            <w:cnfStyle w:val="001000000000"/>
            <w:tcW w:w="2900" w:type="dxa"/>
            <w:hideMark/>
          </w:tcPr>
          <w:p w:rsidR="0055235B" w:rsidRPr="006F09D3" w:rsidRDefault="0055235B" w:rsidP="0020759B">
            <w:pPr>
              <w:rPr>
                <w:rFonts w:ascii="Times New Roman" w:eastAsia="Times New Roman" w:hAnsi="Times New Roman" w:cs="Times New Roman"/>
                <w:b w:val="0"/>
                <w:sz w:val="20"/>
                <w:szCs w:val="20"/>
              </w:rPr>
            </w:pPr>
            <w:r w:rsidRPr="006F09D3">
              <w:rPr>
                <w:rFonts w:ascii="Times New Roman" w:eastAsia="Times New Roman" w:hAnsi="Times New Roman" w:cs="Times New Roman"/>
                <w:b w:val="0"/>
                <w:sz w:val="20"/>
                <w:szCs w:val="20"/>
              </w:rPr>
              <w:t>- Kiti trumpalaikiai įsipareigojimai</w:t>
            </w:r>
          </w:p>
        </w:tc>
        <w:tc>
          <w:tcPr>
            <w:tcW w:w="1116" w:type="dxa"/>
            <w:noWrap/>
            <w:vAlign w:val="center"/>
            <w:hideMark/>
          </w:tcPr>
          <w:p w:rsidR="0055235B" w:rsidRPr="00222F69" w:rsidRDefault="0055235B" w:rsidP="0020759B">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10,544,474</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38.94</w:t>
            </w:r>
          </w:p>
        </w:tc>
        <w:tc>
          <w:tcPr>
            <w:tcW w:w="1116" w:type="dxa"/>
            <w:noWrap/>
            <w:vAlign w:val="center"/>
            <w:hideMark/>
          </w:tcPr>
          <w:p w:rsidR="0055235B" w:rsidRPr="00222F69" w:rsidRDefault="0055235B" w:rsidP="0020759B">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8,625,218</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30.41</w:t>
            </w:r>
          </w:p>
        </w:tc>
        <w:tc>
          <w:tcPr>
            <w:tcW w:w="1180" w:type="dxa"/>
            <w:noWrap/>
            <w:vAlign w:val="center"/>
            <w:hideMark/>
          </w:tcPr>
          <w:p w:rsidR="0055235B" w:rsidRPr="00222F69" w:rsidRDefault="0055235B" w:rsidP="0020759B">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11,685,239</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44.04</w:t>
            </w:r>
          </w:p>
        </w:tc>
      </w:tr>
      <w:tr w:rsidR="0055235B" w:rsidRPr="00222F69" w:rsidTr="0020759B">
        <w:trPr>
          <w:cnfStyle w:val="000000100000"/>
          <w:trHeight w:val="510"/>
        </w:trPr>
        <w:tc>
          <w:tcPr>
            <w:cnfStyle w:val="001000000000"/>
            <w:tcW w:w="2900" w:type="dxa"/>
            <w:hideMark/>
          </w:tcPr>
          <w:p w:rsidR="0055235B" w:rsidRPr="00222F69" w:rsidRDefault="0055235B" w:rsidP="0020759B">
            <w:pPr>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NUOSAVO KAPITALO IR ĮSIPAREIGOJIMŲ IŠ VISO</w:t>
            </w:r>
          </w:p>
        </w:tc>
        <w:tc>
          <w:tcPr>
            <w:tcW w:w="1116" w:type="dxa"/>
            <w:noWrap/>
            <w:vAlign w:val="center"/>
            <w:hideMark/>
          </w:tcPr>
          <w:p w:rsidR="0055235B" w:rsidRPr="006F09D3" w:rsidRDefault="0055235B" w:rsidP="0020759B">
            <w:pPr>
              <w:jc w:val="center"/>
              <w:cnfStyle w:val="000000100000"/>
              <w:rPr>
                <w:rFonts w:ascii="Times New Roman" w:eastAsia="Times New Roman" w:hAnsi="Times New Roman" w:cs="Times New Roman"/>
                <w:b/>
                <w:sz w:val="20"/>
                <w:szCs w:val="20"/>
              </w:rPr>
            </w:pPr>
            <w:r w:rsidRPr="006F09D3">
              <w:rPr>
                <w:rFonts w:ascii="Times New Roman" w:eastAsia="Times New Roman" w:hAnsi="Times New Roman" w:cs="Times New Roman"/>
                <w:b/>
                <w:sz w:val="20"/>
                <w:szCs w:val="20"/>
              </w:rPr>
              <w:t>72,757,370</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b/>
                <w:sz w:val="20"/>
                <w:szCs w:val="20"/>
              </w:rPr>
            </w:pPr>
          </w:p>
        </w:tc>
        <w:tc>
          <w:tcPr>
            <w:tcW w:w="1116" w:type="dxa"/>
            <w:noWrap/>
            <w:vAlign w:val="center"/>
            <w:hideMark/>
          </w:tcPr>
          <w:p w:rsidR="0055235B" w:rsidRPr="006F09D3" w:rsidRDefault="0055235B" w:rsidP="0020759B">
            <w:pPr>
              <w:jc w:val="center"/>
              <w:cnfStyle w:val="000000100000"/>
              <w:rPr>
                <w:rFonts w:ascii="Times New Roman" w:eastAsia="Times New Roman" w:hAnsi="Times New Roman" w:cs="Times New Roman"/>
                <w:b/>
                <w:sz w:val="20"/>
                <w:szCs w:val="20"/>
              </w:rPr>
            </w:pPr>
            <w:r w:rsidRPr="006F09D3">
              <w:rPr>
                <w:rFonts w:ascii="Times New Roman" w:eastAsia="Times New Roman" w:hAnsi="Times New Roman" w:cs="Times New Roman"/>
                <w:b/>
                <w:sz w:val="20"/>
                <w:szCs w:val="20"/>
              </w:rPr>
              <w:t>73,768,259</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b/>
                <w:sz w:val="20"/>
                <w:szCs w:val="20"/>
              </w:rPr>
            </w:pPr>
          </w:p>
        </w:tc>
        <w:tc>
          <w:tcPr>
            <w:tcW w:w="1180" w:type="dxa"/>
            <w:noWrap/>
            <w:vAlign w:val="center"/>
            <w:hideMark/>
          </w:tcPr>
          <w:p w:rsidR="0055235B" w:rsidRPr="006F09D3" w:rsidRDefault="0055235B" w:rsidP="0020759B">
            <w:pPr>
              <w:jc w:val="center"/>
              <w:cnfStyle w:val="000000100000"/>
              <w:rPr>
                <w:rFonts w:ascii="Times New Roman" w:eastAsia="Times New Roman" w:hAnsi="Times New Roman" w:cs="Times New Roman"/>
                <w:b/>
                <w:sz w:val="20"/>
                <w:szCs w:val="20"/>
              </w:rPr>
            </w:pPr>
            <w:r w:rsidRPr="006F09D3">
              <w:rPr>
                <w:rFonts w:ascii="Times New Roman" w:eastAsia="Times New Roman" w:hAnsi="Times New Roman" w:cs="Times New Roman"/>
                <w:b/>
                <w:sz w:val="20"/>
                <w:szCs w:val="20"/>
              </w:rPr>
              <w:t>83,161,936</w:t>
            </w:r>
          </w:p>
        </w:tc>
        <w:tc>
          <w:tcPr>
            <w:tcW w:w="1250" w:type="dxa"/>
            <w:noWrap/>
            <w:vAlign w:val="center"/>
            <w:hideMark/>
          </w:tcPr>
          <w:p w:rsidR="0055235B" w:rsidRPr="00222F69" w:rsidRDefault="0055235B" w:rsidP="0020759B">
            <w:pPr>
              <w:jc w:val="center"/>
              <w:cnfStyle w:val="000000100000"/>
              <w:rPr>
                <w:rFonts w:ascii="Times New Roman" w:eastAsia="Times New Roman" w:hAnsi="Times New Roman" w:cs="Times New Roman"/>
                <w:sz w:val="20"/>
                <w:szCs w:val="20"/>
              </w:rPr>
            </w:pPr>
          </w:p>
        </w:tc>
      </w:tr>
    </w:tbl>
    <w:p w:rsidR="0055235B" w:rsidRDefault="0055235B" w:rsidP="004D5C99">
      <w:pPr>
        <w:autoSpaceDE w:val="0"/>
        <w:autoSpaceDN w:val="0"/>
        <w:adjustRightInd w:val="0"/>
        <w:spacing w:after="0"/>
        <w:jc w:val="center"/>
        <w:rPr>
          <w:rFonts w:ascii="Times New Roman" w:hAnsi="Times New Roman" w:cs="Times New Roman"/>
          <w:szCs w:val="24"/>
        </w:rPr>
      </w:pPr>
    </w:p>
    <w:p w:rsidR="004E4528" w:rsidRDefault="004E4528" w:rsidP="004D5C99">
      <w:pPr>
        <w:autoSpaceDE w:val="0"/>
        <w:autoSpaceDN w:val="0"/>
        <w:adjustRightInd w:val="0"/>
        <w:spacing w:after="0"/>
        <w:jc w:val="center"/>
        <w:rPr>
          <w:rFonts w:ascii="Times New Roman" w:hAnsi="Times New Roman" w:cs="Times New Roman"/>
          <w:szCs w:val="24"/>
        </w:rPr>
      </w:pPr>
    </w:p>
    <w:p w:rsidR="004E4528" w:rsidRDefault="004E4528" w:rsidP="004D5C99">
      <w:pPr>
        <w:autoSpaceDE w:val="0"/>
        <w:autoSpaceDN w:val="0"/>
        <w:adjustRightInd w:val="0"/>
        <w:spacing w:after="0"/>
        <w:jc w:val="center"/>
        <w:rPr>
          <w:rFonts w:ascii="Times New Roman" w:hAnsi="Times New Roman" w:cs="Times New Roman"/>
          <w:szCs w:val="24"/>
        </w:rPr>
      </w:pPr>
    </w:p>
    <w:p w:rsidR="004E4528" w:rsidRDefault="004E4528" w:rsidP="004D5C99">
      <w:pPr>
        <w:autoSpaceDE w:val="0"/>
        <w:autoSpaceDN w:val="0"/>
        <w:adjustRightInd w:val="0"/>
        <w:spacing w:after="0"/>
        <w:jc w:val="center"/>
        <w:rPr>
          <w:rFonts w:ascii="Times New Roman" w:hAnsi="Times New Roman" w:cs="Times New Roman"/>
          <w:szCs w:val="24"/>
        </w:rPr>
      </w:pPr>
    </w:p>
    <w:p w:rsidR="004E4528" w:rsidRDefault="004E4528" w:rsidP="004D5C99">
      <w:pPr>
        <w:autoSpaceDE w:val="0"/>
        <w:autoSpaceDN w:val="0"/>
        <w:adjustRightInd w:val="0"/>
        <w:spacing w:after="0"/>
        <w:jc w:val="center"/>
        <w:rPr>
          <w:rFonts w:ascii="Times New Roman" w:hAnsi="Times New Roman" w:cs="Times New Roman"/>
          <w:szCs w:val="24"/>
        </w:rPr>
      </w:pPr>
    </w:p>
    <w:p w:rsidR="004E4528" w:rsidRDefault="004E4528" w:rsidP="004D5C99">
      <w:pPr>
        <w:autoSpaceDE w:val="0"/>
        <w:autoSpaceDN w:val="0"/>
        <w:adjustRightInd w:val="0"/>
        <w:spacing w:after="0"/>
        <w:jc w:val="center"/>
        <w:rPr>
          <w:rFonts w:ascii="Times New Roman" w:hAnsi="Times New Roman" w:cs="Times New Roman"/>
          <w:szCs w:val="24"/>
        </w:rPr>
      </w:pPr>
    </w:p>
    <w:p w:rsidR="004E4528" w:rsidRDefault="004E4528" w:rsidP="004D5C99">
      <w:pPr>
        <w:autoSpaceDE w:val="0"/>
        <w:autoSpaceDN w:val="0"/>
        <w:adjustRightInd w:val="0"/>
        <w:spacing w:after="0"/>
        <w:jc w:val="center"/>
        <w:rPr>
          <w:rFonts w:ascii="Times New Roman" w:hAnsi="Times New Roman" w:cs="Times New Roman"/>
          <w:szCs w:val="24"/>
        </w:rPr>
      </w:pPr>
    </w:p>
    <w:p w:rsidR="0055235B" w:rsidRDefault="0055235B" w:rsidP="004D5C99">
      <w:pPr>
        <w:autoSpaceDE w:val="0"/>
        <w:autoSpaceDN w:val="0"/>
        <w:adjustRightInd w:val="0"/>
        <w:spacing w:after="0"/>
        <w:jc w:val="center"/>
        <w:rPr>
          <w:rFonts w:ascii="Times New Roman" w:hAnsi="Times New Roman" w:cs="Times New Roman"/>
          <w:szCs w:val="24"/>
        </w:rPr>
      </w:pPr>
    </w:p>
    <w:p w:rsidR="0055235B" w:rsidRDefault="0055235B" w:rsidP="004D5C99">
      <w:pPr>
        <w:autoSpaceDE w:val="0"/>
        <w:autoSpaceDN w:val="0"/>
        <w:adjustRightInd w:val="0"/>
        <w:spacing w:after="0"/>
        <w:jc w:val="center"/>
        <w:rPr>
          <w:rFonts w:ascii="Times New Roman" w:hAnsi="Times New Roman" w:cs="Times New Roman"/>
          <w:szCs w:val="24"/>
        </w:rPr>
      </w:pPr>
    </w:p>
    <w:p w:rsidR="0055235B" w:rsidRDefault="0055235B" w:rsidP="004D5C99">
      <w:pPr>
        <w:autoSpaceDE w:val="0"/>
        <w:autoSpaceDN w:val="0"/>
        <w:adjustRightInd w:val="0"/>
        <w:spacing w:after="0"/>
        <w:jc w:val="center"/>
        <w:rPr>
          <w:rFonts w:ascii="Times New Roman" w:hAnsi="Times New Roman" w:cs="Times New Roman"/>
          <w:szCs w:val="24"/>
        </w:rPr>
      </w:pPr>
    </w:p>
    <w:p w:rsidR="0055235B" w:rsidRDefault="0055235B" w:rsidP="004D5C99">
      <w:pPr>
        <w:autoSpaceDE w:val="0"/>
        <w:autoSpaceDN w:val="0"/>
        <w:adjustRightInd w:val="0"/>
        <w:spacing w:after="0"/>
        <w:jc w:val="center"/>
        <w:rPr>
          <w:rFonts w:ascii="Times New Roman" w:hAnsi="Times New Roman" w:cs="Times New Roman"/>
          <w:szCs w:val="24"/>
        </w:rPr>
      </w:pPr>
    </w:p>
    <w:p w:rsidR="004E4528" w:rsidRDefault="0055235B" w:rsidP="004D5C99">
      <w:pPr>
        <w:autoSpaceDE w:val="0"/>
        <w:autoSpaceDN w:val="0"/>
        <w:adjustRightInd w:val="0"/>
        <w:spacing w:after="0"/>
        <w:jc w:val="center"/>
        <w:rPr>
          <w:rFonts w:ascii="Times New Roman" w:hAnsi="Times New Roman" w:cs="Times New Roman"/>
          <w:b/>
          <w:szCs w:val="24"/>
        </w:rPr>
      </w:pPr>
      <w:r>
        <w:rPr>
          <w:rFonts w:ascii="Times New Roman" w:hAnsi="Times New Roman" w:cs="Times New Roman"/>
          <w:szCs w:val="24"/>
        </w:rPr>
        <w:lastRenderedPageBreak/>
        <w:t>4</w:t>
      </w:r>
      <w:r w:rsidRPr="004D5C99">
        <w:rPr>
          <w:rFonts w:ascii="Times New Roman" w:hAnsi="Times New Roman" w:cs="Times New Roman"/>
          <w:szCs w:val="24"/>
        </w:rPr>
        <w:t xml:space="preserve"> lentelė.</w:t>
      </w:r>
      <w:r w:rsidRPr="004D5C99">
        <w:rPr>
          <w:rFonts w:ascii="Times New Roman" w:hAnsi="Times New Roman" w:cs="Times New Roman"/>
          <w:b/>
          <w:szCs w:val="24"/>
        </w:rPr>
        <w:t xml:space="preserve"> </w:t>
      </w:r>
      <w:r>
        <w:rPr>
          <w:rFonts w:ascii="Times New Roman" w:hAnsi="Times New Roman" w:cs="Times New Roman"/>
          <w:b/>
          <w:szCs w:val="24"/>
        </w:rPr>
        <w:t>UAB “Autoverslas” balanso straipsnių lyginamieji svoriai</w:t>
      </w:r>
    </w:p>
    <w:tbl>
      <w:tblPr>
        <w:tblStyle w:val="LightGrid-Accent6"/>
        <w:tblW w:w="9680" w:type="dxa"/>
        <w:tblLook w:val="04A0"/>
      </w:tblPr>
      <w:tblGrid>
        <w:gridCol w:w="2582"/>
        <w:gridCol w:w="1116"/>
        <w:gridCol w:w="1250"/>
        <w:gridCol w:w="1116"/>
        <w:gridCol w:w="1250"/>
        <w:gridCol w:w="1116"/>
        <w:gridCol w:w="1250"/>
      </w:tblGrid>
      <w:tr w:rsidR="0055235B" w:rsidRPr="003C2D7A" w:rsidTr="0020759B">
        <w:trPr>
          <w:cnfStyle w:val="100000000000"/>
          <w:trHeight w:val="300"/>
        </w:trPr>
        <w:tc>
          <w:tcPr>
            <w:cnfStyle w:val="001000000000"/>
            <w:tcW w:w="9680" w:type="dxa"/>
            <w:gridSpan w:val="7"/>
            <w:hideMark/>
          </w:tcPr>
          <w:p w:rsidR="0055235B" w:rsidRPr="003C2D7A" w:rsidRDefault="0055235B" w:rsidP="0020759B">
            <w:pPr>
              <w:jc w:val="center"/>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UAB “AUTOVERSLAS” BALANSO STRAIPSNIŲ LYGINAMIEJI SVORIAI</w:t>
            </w:r>
          </w:p>
        </w:tc>
      </w:tr>
      <w:tr w:rsidR="0055235B" w:rsidRPr="003C2D7A" w:rsidTr="0020759B">
        <w:trPr>
          <w:cnfStyle w:val="000000100000"/>
          <w:trHeight w:val="300"/>
        </w:trPr>
        <w:tc>
          <w:tcPr>
            <w:cnfStyle w:val="001000000000"/>
            <w:tcW w:w="2582" w:type="dxa"/>
            <w:hideMark/>
          </w:tcPr>
          <w:p w:rsidR="0055235B" w:rsidRPr="003C2D7A" w:rsidRDefault="0055235B" w:rsidP="0020759B">
            <w:pPr>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 </w:t>
            </w:r>
          </w:p>
        </w:tc>
        <w:tc>
          <w:tcPr>
            <w:tcW w:w="2366" w:type="dxa"/>
            <w:gridSpan w:val="2"/>
            <w:hideMark/>
          </w:tcPr>
          <w:p w:rsidR="0055235B" w:rsidRPr="003C2D7A" w:rsidRDefault="0055235B" w:rsidP="0020759B">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31/12/2008</w:t>
            </w:r>
          </w:p>
        </w:tc>
        <w:tc>
          <w:tcPr>
            <w:tcW w:w="2366" w:type="dxa"/>
            <w:gridSpan w:val="2"/>
            <w:hideMark/>
          </w:tcPr>
          <w:p w:rsidR="0055235B" w:rsidRPr="003C2D7A" w:rsidRDefault="0055235B" w:rsidP="0020759B">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31/12/2009</w:t>
            </w:r>
          </w:p>
        </w:tc>
        <w:tc>
          <w:tcPr>
            <w:tcW w:w="2366" w:type="dxa"/>
            <w:gridSpan w:val="2"/>
            <w:hideMark/>
          </w:tcPr>
          <w:p w:rsidR="0055235B" w:rsidRPr="003C2D7A" w:rsidRDefault="0055235B" w:rsidP="0020759B">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31/12/2010</w:t>
            </w:r>
          </w:p>
        </w:tc>
      </w:tr>
      <w:tr w:rsidR="00E6354F" w:rsidRPr="003C2D7A" w:rsidTr="0020759B">
        <w:trPr>
          <w:cnfStyle w:val="000000010000"/>
          <w:trHeight w:val="510"/>
        </w:trPr>
        <w:tc>
          <w:tcPr>
            <w:cnfStyle w:val="001000000000"/>
            <w:tcW w:w="2582" w:type="dxa"/>
            <w:vAlign w:val="center"/>
            <w:hideMark/>
          </w:tcPr>
          <w:p w:rsidR="00E6354F" w:rsidRPr="003C2D7A" w:rsidRDefault="00E6354F" w:rsidP="0020759B">
            <w:pPr>
              <w:jc w:val="center"/>
              <w:rPr>
                <w:rFonts w:ascii="Times New Roman" w:eastAsia="Times New Roman" w:hAnsi="Times New Roman" w:cs="Times New Roman"/>
                <w:b w:val="0"/>
                <w:bCs w:val="0"/>
                <w:sz w:val="20"/>
                <w:szCs w:val="20"/>
              </w:rPr>
            </w:pPr>
            <w:r w:rsidRPr="003C2D7A">
              <w:rPr>
                <w:rFonts w:ascii="Times New Roman" w:eastAsia="Times New Roman" w:hAnsi="Times New Roman" w:cs="Times New Roman"/>
                <w:b w:val="0"/>
                <w:bCs w:val="0"/>
                <w:sz w:val="20"/>
                <w:szCs w:val="20"/>
              </w:rPr>
              <w:t>Turtas</w:t>
            </w:r>
          </w:p>
        </w:tc>
        <w:tc>
          <w:tcPr>
            <w:tcW w:w="1116" w:type="dxa"/>
            <w:vAlign w:val="center"/>
            <w:hideMark/>
          </w:tcPr>
          <w:p w:rsidR="00E6354F" w:rsidRPr="00F80CD4" w:rsidRDefault="00E6354F" w:rsidP="004633A4">
            <w:pPr>
              <w:contextualSpacing/>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EUR</w:t>
            </w:r>
          </w:p>
        </w:tc>
        <w:tc>
          <w:tcPr>
            <w:tcW w:w="1250" w:type="dxa"/>
            <w:vAlign w:val="center"/>
            <w:hideMark/>
          </w:tcPr>
          <w:p w:rsidR="00E6354F" w:rsidRPr="004D5C99" w:rsidRDefault="00E6354F" w:rsidP="004633A4">
            <w:pPr>
              <w:contextualSpacing/>
              <w:jc w:val="center"/>
              <w:cnfStyle w:val="000000010000"/>
              <w:rPr>
                <w:rFonts w:ascii="Times New Roman" w:eastAsia="Times New Roman" w:hAnsi="Times New Roman" w:cs="Times New Roman"/>
                <w:b/>
                <w:bCs/>
                <w:sz w:val="20"/>
                <w:szCs w:val="20"/>
              </w:rPr>
            </w:pPr>
            <w:r w:rsidRPr="004D5C99">
              <w:rPr>
                <w:rFonts w:ascii="Times New Roman" w:eastAsia="Times New Roman" w:hAnsi="Times New Roman" w:cs="Times New Roman"/>
                <w:b/>
                <w:bCs/>
                <w:sz w:val="20"/>
                <w:szCs w:val="20"/>
              </w:rPr>
              <w:t xml:space="preserve">Lyginamieji svoriai, </w:t>
            </w:r>
            <w:r>
              <w:rPr>
                <w:rFonts w:ascii="Times New Roman" w:eastAsia="Times New Roman" w:hAnsi="Times New Roman" w:cs="Times New Roman"/>
                <w:b/>
                <w:bCs/>
                <w:sz w:val="20"/>
                <w:szCs w:val="20"/>
              </w:rPr>
              <w:t>proc.</w:t>
            </w:r>
          </w:p>
        </w:tc>
        <w:tc>
          <w:tcPr>
            <w:tcW w:w="1116" w:type="dxa"/>
            <w:vAlign w:val="center"/>
            <w:hideMark/>
          </w:tcPr>
          <w:p w:rsidR="00E6354F" w:rsidRPr="004D5C99" w:rsidRDefault="00E6354F" w:rsidP="004633A4">
            <w:pPr>
              <w:contextualSpacing/>
              <w:jc w:val="center"/>
              <w:cnfStyle w:val="000000010000"/>
              <w:rPr>
                <w:rFonts w:ascii="Times New Roman" w:eastAsia="Times New Roman" w:hAnsi="Times New Roman" w:cs="Times New Roman"/>
                <w:b/>
                <w:bCs/>
                <w:sz w:val="20"/>
                <w:szCs w:val="20"/>
              </w:rPr>
            </w:pPr>
            <w:r w:rsidRPr="004D5C99">
              <w:rPr>
                <w:rFonts w:ascii="Times New Roman" w:eastAsia="Times New Roman" w:hAnsi="Times New Roman" w:cs="Times New Roman"/>
                <w:sz w:val="20"/>
                <w:szCs w:val="20"/>
              </w:rPr>
              <w:t>EUR</w:t>
            </w:r>
          </w:p>
        </w:tc>
        <w:tc>
          <w:tcPr>
            <w:tcW w:w="1250" w:type="dxa"/>
            <w:vAlign w:val="center"/>
            <w:hideMark/>
          </w:tcPr>
          <w:p w:rsidR="00E6354F" w:rsidRPr="004D5C99" w:rsidRDefault="00E6354F" w:rsidP="004633A4">
            <w:pPr>
              <w:contextualSpacing/>
              <w:jc w:val="center"/>
              <w:cnfStyle w:val="000000010000"/>
              <w:rPr>
                <w:rFonts w:ascii="Times New Roman" w:eastAsia="Times New Roman" w:hAnsi="Times New Roman" w:cs="Times New Roman"/>
                <w:b/>
                <w:bCs/>
                <w:sz w:val="20"/>
                <w:szCs w:val="20"/>
              </w:rPr>
            </w:pPr>
            <w:r w:rsidRPr="004D5C99">
              <w:rPr>
                <w:rFonts w:ascii="Times New Roman" w:eastAsia="Times New Roman" w:hAnsi="Times New Roman" w:cs="Times New Roman"/>
                <w:b/>
                <w:bCs/>
                <w:sz w:val="20"/>
                <w:szCs w:val="20"/>
              </w:rPr>
              <w:t xml:space="preserve">Lyginamieji svoriai, </w:t>
            </w:r>
            <w:r>
              <w:rPr>
                <w:rFonts w:ascii="Times New Roman" w:eastAsia="Times New Roman" w:hAnsi="Times New Roman" w:cs="Times New Roman"/>
                <w:b/>
                <w:bCs/>
                <w:sz w:val="20"/>
                <w:szCs w:val="20"/>
              </w:rPr>
              <w:t>proc.</w:t>
            </w:r>
          </w:p>
        </w:tc>
        <w:tc>
          <w:tcPr>
            <w:tcW w:w="1116" w:type="dxa"/>
            <w:vAlign w:val="center"/>
            <w:hideMark/>
          </w:tcPr>
          <w:p w:rsidR="00E6354F" w:rsidRPr="004D5C99" w:rsidRDefault="00E6354F" w:rsidP="004633A4">
            <w:pPr>
              <w:contextualSpacing/>
              <w:jc w:val="center"/>
              <w:cnfStyle w:val="000000010000"/>
              <w:rPr>
                <w:rFonts w:ascii="Times New Roman" w:eastAsia="Times New Roman" w:hAnsi="Times New Roman" w:cs="Times New Roman"/>
                <w:b/>
                <w:bCs/>
                <w:sz w:val="20"/>
                <w:szCs w:val="20"/>
              </w:rPr>
            </w:pPr>
            <w:r w:rsidRPr="004D5C99">
              <w:rPr>
                <w:rFonts w:ascii="Times New Roman" w:eastAsia="Times New Roman" w:hAnsi="Times New Roman" w:cs="Times New Roman"/>
                <w:sz w:val="20"/>
                <w:szCs w:val="20"/>
              </w:rPr>
              <w:t>EUR</w:t>
            </w:r>
          </w:p>
        </w:tc>
        <w:tc>
          <w:tcPr>
            <w:tcW w:w="1250" w:type="dxa"/>
            <w:vAlign w:val="center"/>
            <w:hideMark/>
          </w:tcPr>
          <w:p w:rsidR="00E6354F" w:rsidRPr="004D5C99" w:rsidRDefault="00E6354F" w:rsidP="004633A4">
            <w:pPr>
              <w:contextualSpacing/>
              <w:jc w:val="center"/>
              <w:cnfStyle w:val="000000010000"/>
              <w:rPr>
                <w:rFonts w:ascii="Times New Roman" w:eastAsia="Times New Roman" w:hAnsi="Times New Roman" w:cs="Times New Roman"/>
                <w:b/>
                <w:bCs/>
                <w:sz w:val="20"/>
                <w:szCs w:val="20"/>
              </w:rPr>
            </w:pPr>
            <w:r w:rsidRPr="004D5C99">
              <w:rPr>
                <w:rFonts w:ascii="Times New Roman" w:eastAsia="Times New Roman" w:hAnsi="Times New Roman" w:cs="Times New Roman"/>
                <w:b/>
                <w:bCs/>
                <w:sz w:val="20"/>
                <w:szCs w:val="20"/>
              </w:rPr>
              <w:t xml:space="preserve">Lyginamieji svoriai, </w:t>
            </w:r>
            <w:r>
              <w:rPr>
                <w:rFonts w:ascii="Times New Roman" w:eastAsia="Times New Roman" w:hAnsi="Times New Roman" w:cs="Times New Roman"/>
                <w:b/>
                <w:bCs/>
                <w:sz w:val="20"/>
                <w:szCs w:val="20"/>
              </w:rPr>
              <w:t xml:space="preserve"> proc.</w:t>
            </w:r>
          </w:p>
        </w:tc>
      </w:tr>
      <w:tr w:rsidR="0055235B" w:rsidRPr="003C2D7A" w:rsidTr="0020759B">
        <w:trPr>
          <w:cnfStyle w:val="000000100000"/>
          <w:trHeight w:val="300"/>
        </w:trPr>
        <w:tc>
          <w:tcPr>
            <w:cnfStyle w:val="001000000000"/>
            <w:tcW w:w="2582" w:type="dxa"/>
            <w:hideMark/>
          </w:tcPr>
          <w:p w:rsidR="0055235B" w:rsidRPr="006F09D3" w:rsidRDefault="0055235B" w:rsidP="0020759B">
            <w:pPr>
              <w:rPr>
                <w:rFonts w:ascii="Times New Roman" w:eastAsia="Times New Roman" w:hAnsi="Times New Roman" w:cs="Times New Roman"/>
                <w:b w:val="0"/>
                <w:sz w:val="20"/>
                <w:szCs w:val="20"/>
              </w:rPr>
            </w:pPr>
            <w:r w:rsidRPr="006F09D3">
              <w:rPr>
                <w:rFonts w:ascii="Times New Roman" w:eastAsia="Times New Roman" w:hAnsi="Times New Roman" w:cs="Times New Roman"/>
                <w:b w:val="0"/>
                <w:sz w:val="20"/>
                <w:szCs w:val="20"/>
              </w:rPr>
              <w:t>Ilgalaikis turtas</w:t>
            </w:r>
          </w:p>
        </w:tc>
        <w:tc>
          <w:tcPr>
            <w:tcW w:w="1116" w:type="dxa"/>
            <w:noWrap/>
            <w:vAlign w:val="center"/>
            <w:hideMark/>
          </w:tcPr>
          <w:p w:rsidR="0055235B" w:rsidRPr="003C2D7A" w:rsidRDefault="0055235B" w:rsidP="0020759B">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7,901,702</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74.94</w:t>
            </w:r>
          </w:p>
        </w:tc>
        <w:tc>
          <w:tcPr>
            <w:tcW w:w="1116" w:type="dxa"/>
            <w:noWrap/>
            <w:vAlign w:val="center"/>
            <w:hideMark/>
          </w:tcPr>
          <w:p w:rsidR="0055235B" w:rsidRPr="003C2D7A" w:rsidRDefault="0055235B" w:rsidP="0020759B">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7,761,164</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62.91</w:t>
            </w:r>
          </w:p>
        </w:tc>
        <w:tc>
          <w:tcPr>
            <w:tcW w:w="1116" w:type="dxa"/>
            <w:noWrap/>
            <w:vAlign w:val="center"/>
            <w:hideMark/>
          </w:tcPr>
          <w:p w:rsidR="0055235B" w:rsidRPr="003C2D7A" w:rsidRDefault="0055235B" w:rsidP="0020759B">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8,043,696</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66.01</w:t>
            </w:r>
          </w:p>
        </w:tc>
      </w:tr>
      <w:tr w:rsidR="0055235B" w:rsidRPr="003C2D7A" w:rsidTr="0020759B">
        <w:trPr>
          <w:cnfStyle w:val="000000010000"/>
          <w:trHeight w:val="300"/>
        </w:trPr>
        <w:tc>
          <w:tcPr>
            <w:cnfStyle w:val="001000000000"/>
            <w:tcW w:w="2582" w:type="dxa"/>
            <w:hideMark/>
          </w:tcPr>
          <w:p w:rsidR="0055235B" w:rsidRPr="006F09D3" w:rsidRDefault="0055235B" w:rsidP="0020759B">
            <w:pPr>
              <w:rPr>
                <w:rFonts w:ascii="Times New Roman" w:eastAsia="Times New Roman" w:hAnsi="Times New Roman" w:cs="Times New Roman"/>
                <w:b w:val="0"/>
                <w:sz w:val="20"/>
                <w:szCs w:val="20"/>
              </w:rPr>
            </w:pPr>
            <w:r w:rsidRPr="006F09D3">
              <w:rPr>
                <w:rFonts w:ascii="Times New Roman" w:eastAsia="Times New Roman" w:hAnsi="Times New Roman" w:cs="Times New Roman"/>
                <w:b w:val="0"/>
                <w:sz w:val="20"/>
                <w:szCs w:val="20"/>
              </w:rPr>
              <w:t>- Nematerialus turtas</w:t>
            </w:r>
          </w:p>
        </w:tc>
        <w:tc>
          <w:tcPr>
            <w:tcW w:w="1116" w:type="dxa"/>
            <w:noWrap/>
            <w:vAlign w:val="center"/>
            <w:hideMark/>
          </w:tcPr>
          <w:p w:rsidR="0055235B" w:rsidRPr="003C2D7A" w:rsidRDefault="0055235B" w:rsidP="0020759B">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12,808</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0.16</w:t>
            </w:r>
          </w:p>
        </w:tc>
        <w:tc>
          <w:tcPr>
            <w:tcW w:w="1116" w:type="dxa"/>
            <w:noWrap/>
            <w:vAlign w:val="center"/>
            <w:hideMark/>
          </w:tcPr>
          <w:p w:rsidR="0055235B" w:rsidRPr="003C2D7A" w:rsidRDefault="0055235B" w:rsidP="0020759B">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7,757</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0.10</w:t>
            </w:r>
          </w:p>
        </w:tc>
        <w:tc>
          <w:tcPr>
            <w:tcW w:w="1116" w:type="dxa"/>
            <w:noWrap/>
            <w:vAlign w:val="center"/>
            <w:hideMark/>
          </w:tcPr>
          <w:p w:rsidR="0055235B" w:rsidRPr="003C2D7A" w:rsidRDefault="0055235B" w:rsidP="0020759B">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3,577</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0.04</w:t>
            </w:r>
          </w:p>
        </w:tc>
      </w:tr>
      <w:tr w:rsidR="0055235B" w:rsidRPr="003C2D7A" w:rsidTr="0020759B">
        <w:trPr>
          <w:cnfStyle w:val="000000100000"/>
          <w:trHeight w:val="300"/>
        </w:trPr>
        <w:tc>
          <w:tcPr>
            <w:cnfStyle w:val="001000000000"/>
            <w:tcW w:w="2582" w:type="dxa"/>
            <w:hideMark/>
          </w:tcPr>
          <w:p w:rsidR="0055235B" w:rsidRPr="006F09D3" w:rsidRDefault="0055235B" w:rsidP="0020759B">
            <w:pPr>
              <w:rPr>
                <w:rFonts w:ascii="Times New Roman" w:eastAsia="Times New Roman" w:hAnsi="Times New Roman" w:cs="Times New Roman"/>
                <w:b w:val="0"/>
                <w:sz w:val="20"/>
                <w:szCs w:val="20"/>
              </w:rPr>
            </w:pPr>
            <w:r w:rsidRPr="006F09D3">
              <w:rPr>
                <w:rFonts w:ascii="Times New Roman" w:eastAsia="Times New Roman" w:hAnsi="Times New Roman" w:cs="Times New Roman"/>
                <w:b w:val="0"/>
                <w:sz w:val="20"/>
                <w:szCs w:val="20"/>
              </w:rPr>
              <w:t>- Materialus turtas</w:t>
            </w:r>
          </w:p>
        </w:tc>
        <w:tc>
          <w:tcPr>
            <w:tcW w:w="1116" w:type="dxa"/>
            <w:noWrap/>
            <w:vAlign w:val="center"/>
            <w:hideMark/>
          </w:tcPr>
          <w:p w:rsidR="0055235B" w:rsidRPr="003C2D7A" w:rsidRDefault="0055235B" w:rsidP="0020759B">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7,392,214</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93.55</w:t>
            </w:r>
          </w:p>
        </w:tc>
        <w:tc>
          <w:tcPr>
            <w:tcW w:w="1116" w:type="dxa"/>
            <w:noWrap/>
            <w:vAlign w:val="center"/>
            <w:hideMark/>
          </w:tcPr>
          <w:p w:rsidR="0055235B" w:rsidRPr="003C2D7A" w:rsidRDefault="0055235B" w:rsidP="0020759B">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6,435,525</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82.92</w:t>
            </w:r>
          </w:p>
        </w:tc>
        <w:tc>
          <w:tcPr>
            <w:tcW w:w="1116" w:type="dxa"/>
            <w:noWrap/>
            <w:vAlign w:val="center"/>
            <w:hideMark/>
          </w:tcPr>
          <w:p w:rsidR="0055235B" w:rsidRPr="003C2D7A" w:rsidRDefault="0055235B" w:rsidP="0020759B">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5,483,164</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68.17</w:t>
            </w:r>
          </w:p>
        </w:tc>
      </w:tr>
      <w:tr w:rsidR="0055235B" w:rsidRPr="003C2D7A" w:rsidTr="0020759B">
        <w:trPr>
          <w:cnfStyle w:val="000000010000"/>
          <w:trHeight w:val="300"/>
        </w:trPr>
        <w:tc>
          <w:tcPr>
            <w:cnfStyle w:val="001000000000"/>
            <w:tcW w:w="2582" w:type="dxa"/>
            <w:hideMark/>
          </w:tcPr>
          <w:p w:rsidR="0055235B" w:rsidRPr="006F09D3" w:rsidRDefault="0055235B" w:rsidP="0020759B">
            <w:pPr>
              <w:rPr>
                <w:rFonts w:ascii="Times New Roman" w:eastAsia="Times New Roman" w:hAnsi="Times New Roman" w:cs="Times New Roman"/>
                <w:b w:val="0"/>
                <w:sz w:val="20"/>
                <w:szCs w:val="20"/>
              </w:rPr>
            </w:pPr>
            <w:r w:rsidRPr="006F09D3">
              <w:rPr>
                <w:rFonts w:ascii="Times New Roman" w:eastAsia="Times New Roman" w:hAnsi="Times New Roman" w:cs="Times New Roman"/>
                <w:b w:val="0"/>
                <w:sz w:val="20"/>
                <w:szCs w:val="20"/>
              </w:rPr>
              <w:t>- Kitas turtas</w:t>
            </w:r>
          </w:p>
        </w:tc>
        <w:tc>
          <w:tcPr>
            <w:tcW w:w="1116" w:type="dxa"/>
            <w:noWrap/>
            <w:vAlign w:val="center"/>
            <w:hideMark/>
          </w:tcPr>
          <w:p w:rsidR="0055235B" w:rsidRPr="003C2D7A" w:rsidRDefault="0055235B" w:rsidP="0020759B">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496,681</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6.29</w:t>
            </w:r>
          </w:p>
        </w:tc>
        <w:tc>
          <w:tcPr>
            <w:tcW w:w="1116" w:type="dxa"/>
            <w:noWrap/>
            <w:vAlign w:val="center"/>
            <w:hideMark/>
          </w:tcPr>
          <w:p w:rsidR="0055235B" w:rsidRPr="003C2D7A" w:rsidRDefault="0055235B" w:rsidP="0020759B">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1,317,883</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16.98</w:t>
            </w:r>
          </w:p>
        </w:tc>
        <w:tc>
          <w:tcPr>
            <w:tcW w:w="1116" w:type="dxa"/>
            <w:noWrap/>
            <w:vAlign w:val="center"/>
            <w:hideMark/>
          </w:tcPr>
          <w:p w:rsidR="0055235B" w:rsidRPr="003C2D7A" w:rsidRDefault="0055235B" w:rsidP="0020759B">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2,556,955</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31.79</w:t>
            </w:r>
          </w:p>
        </w:tc>
      </w:tr>
      <w:tr w:rsidR="0055235B" w:rsidRPr="003C2D7A" w:rsidTr="0020759B">
        <w:trPr>
          <w:cnfStyle w:val="000000100000"/>
          <w:trHeight w:val="300"/>
        </w:trPr>
        <w:tc>
          <w:tcPr>
            <w:cnfStyle w:val="001000000000"/>
            <w:tcW w:w="2582" w:type="dxa"/>
            <w:hideMark/>
          </w:tcPr>
          <w:p w:rsidR="0055235B" w:rsidRPr="006F09D3" w:rsidRDefault="0055235B" w:rsidP="0020759B">
            <w:pPr>
              <w:rPr>
                <w:rFonts w:ascii="Times New Roman" w:eastAsia="Times New Roman" w:hAnsi="Times New Roman" w:cs="Times New Roman"/>
                <w:b w:val="0"/>
                <w:sz w:val="20"/>
                <w:szCs w:val="20"/>
              </w:rPr>
            </w:pPr>
            <w:r w:rsidRPr="006F09D3">
              <w:rPr>
                <w:rFonts w:ascii="Times New Roman" w:eastAsia="Times New Roman" w:hAnsi="Times New Roman" w:cs="Times New Roman"/>
                <w:b w:val="0"/>
                <w:sz w:val="20"/>
                <w:szCs w:val="20"/>
              </w:rPr>
              <w:t>Trumpalaikis turtas</w:t>
            </w:r>
          </w:p>
        </w:tc>
        <w:tc>
          <w:tcPr>
            <w:tcW w:w="1116" w:type="dxa"/>
            <w:noWrap/>
            <w:vAlign w:val="center"/>
            <w:hideMark/>
          </w:tcPr>
          <w:p w:rsidR="0055235B" w:rsidRPr="003C2D7A" w:rsidRDefault="0055235B" w:rsidP="0020759B">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2,641,699</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25.06</w:t>
            </w:r>
          </w:p>
        </w:tc>
        <w:tc>
          <w:tcPr>
            <w:tcW w:w="1116" w:type="dxa"/>
            <w:noWrap/>
            <w:vAlign w:val="center"/>
            <w:hideMark/>
          </w:tcPr>
          <w:p w:rsidR="0055235B" w:rsidRPr="003C2D7A" w:rsidRDefault="0055235B" w:rsidP="0020759B">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4,576,707</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37.09</w:t>
            </w:r>
          </w:p>
        </w:tc>
        <w:tc>
          <w:tcPr>
            <w:tcW w:w="1116" w:type="dxa"/>
            <w:noWrap/>
            <w:vAlign w:val="center"/>
            <w:hideMark/>
          </w:tcPr>
          <w:p w:rsidR="0055235B" w:rsidRPr="003C2D7A" w:rsidRDefault="0055235B" w:rsidP="0020759B">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4,141,643</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33.99</w:t>
            </w:r>
          </w:p>
        </w:tc>
      </w:tr>
      <w:tr w:rsidR="0055235B" w:rsidRPr="003C2D7A" w:rsidTr="0020759B">
        <w:trPr>
          <w:cnfStyle w:val="000000010000"/>
          <w:trHeight w:val="300"/>
        </w:trPr>
        <w:tc>
          <w:tcPr>
            <w:cnfStyle w:val="001000000000"/>
            <w:tcW w:w="2582" w:type="dxa"/>
            <w:hideMark/>
          </w:tcPr>
          <w:p w:rsidR="0055235B" w:rsidRPr="006F09D3" w:rsidRDefault="0055235B" w:rsidP="0020759B">
            <w:pPr>
              <w:rPr>
                <w:rFonts w:ascii="Times New Roman" w:eastAsia="Times New Roman" w:hAnsi="Times New Roman" w:cs="Times New Roman"/>
                <w:b w:val="0"/>
                <w:sz w:val="20"/>
                <w:szCs w:val="20"/>
              </w:rPr>
            </w:pPr>
            <w:r w:rsidRPr="006F09D3">
              <w:rPr>
                <w:rFonts w:ascii="Times New Roman" w:eastAsia="Times New Roman" w:hAnsi="Times New Roman" w:cs="Times New Roman"/>
                <w:b w:val="0"/>
                <w:sz w:val="20"/>
                <w:szCs w:val="20"/>
              </w:rPr>
              <w:t>- Atsargos</w:t>
            </w:r>
          </w:p>
        </w:tc>
        <w:tc>
          <w:tcPr>
            <w:tcW w:w="1116" w:type="dxa"/>
            <w:noWrap/>
            <w:vAlign w:val="center"/>
            <w:hideMark/>
          </w:tcPr>
          <w:p w:rsidR="0055235B" w:rsidRPr="003C2D7A" w:rsidRDefault="0055235B" w:rsidP="0020759B">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141,393</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5.35</w:t>
            </w:r>
          </w:p>
        </w:tc>
        <w:tc>
          <w:tcPr>
            <w:tcW w:w="1116" w:type="dxa"/>
            <w:noWrap/>
            <w:vAlign w:val="center"/>
            <w:hideMark/>
          </w:tcPr>
          <w:p w:rsidR="0055235B" w:rsidRPr="003C2D7A" w:rsidRDefault="0055235B" w:rsidP="0020759B">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123,014</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2.69</w:t>
            </w:r>
          </w:p>
        </w:tc>
        <w:tc>
          <w:tcPr>
            <w:tcW w:w="1116" w:type="dxa"/>
            <w:noWrap/>
            <w:vAlign w:val="center"/>
            <w:hideMark/>
          </w:tcPr>
          <w:p w:rsidR="0055235B" w:rsidRPr="003C2D7A" w:rsidRDefault="0055235B" w:rsidP="0020759B">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113,274</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2.74</w:t>
            </w:r>
          </w:p>
        </w:tc>
      </w:tr>
      <w:tr w:rsidR="0055235B" w:rsidRPr="003C2D7A" w:rsidTr="0020759B">
        <w:trPr>
          <w:cnfStyle w:val="000000100000"/>
          <w:trHeight w:val="510"/>
        </w:trPr>
        <w:tc>
          <w:tcPr>
            <w:cnfStyle w:val="001000000000"/>
            <w:tcW w:w="2582" w:type="dxa"/>
            <w:hideMark/>
          </w:tcPr>
          <w:p w:rsidR="0055235B" w:rsidRPr="006F09D3" w:rsidRDefault="0055235B" w:rsidP="0020759B">
            <w:pPr>
              <w:rPr>
                <w:rFonts w:ascii="Times New Roman" w:eastAsia="Times New Roman" w:hAnsi="Times New Roman" w:cs="Times New Roman"/>
                <w:b w:val="0"/>
                <w:sz w:val="20"/>
                <w:szCs w:val="20"/>
              </w:rPr>
            </w:pPr>
            <w:r w:rsidRPr="006F09D3">
              <w:rPr>
                <w:rFonts w:ascii="Times New Roman" w:eastAsia="Times New Roman" w:hAnsi="Times New Roman" w:cs="Times New Roman"/>
                <w:b w:val="0"/>
                <w:sz w:val="20"/>
                <w:szCs w:val="20"/>
              </w:rPr>
              <w:t>- Per vienerius metus gautinos sumos</w:t>
            </w:r>
          </w:p>
        </w:tc>
        <w:tc>
          <w:tcPr>
            <w:tcW w:w="1116" w:type="dxa"/>
            <w:noWrap/>
            <w:vAlign w:val="center"/>
            <w:hideMark/>
          </w:tcPr>
          <w:p w:rsidR="0055235B" w:rsidRPr="003C2D7A" w:rsidRDefault="0055235B" w:rsidP="0020759B">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1,539,070</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58.26</w:t>
            </w:r>
          </w:p>
        </w:tc>
        <w:tc>
          <w:tcPr>
            <w:tcW w:w="1116" w:type="dxa"/>
            <w:noWrap/>
            <w:vAlign w:val="center"/>
            <w:hideMark/>
          </w:tcPr>
          <w:p w:rsidR="0055235B" w:rsidRPr="003C2D7A" w:rsidRDefault="0055235B" w:rsidP="0020759B">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858,256</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18.75</w:t>
            </w:r>
          </w:p>
        </w:tc>
        <w:tc>
          <w:tcPr>
            <w:tcW w:w="1116" w:type="dxa"/>
            <w:noWrap/>
            <w:vAlign w:val="center"/>
            <w:hideMark/>
          </w:tcPr>
          <w:p w:rsidR="0055235B" w:rsidRPr="003C2D7A" w:rsidRDefault="0055235B" w:rsidP="0020759B">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689,931</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16.66</w:t>
            </w:r>
          </w:p>
        </w:tc>
      </w:tr>
      <w:tr w:rsidR="0055235B" w:rsidRPr="003C2D7A" w:rsidTr="0020759B">
        <w:trPr>
          <w:cnfStyle w:val="000000010000"/>
          <w:trHeight w:val="300"/>
        </w:trPr>
        <w:tc>
          <w:tcPr>
            <w:cnfStyle w:val="001000000000"/>
            <w:tcW w:w="2582" w:type="dxa"/>
            <w:hideMark/>
          </w:tcPr>
          <w:p w:rsidR="0055235B" w:rsidRPr="006F09D3" w:rsidRDefault="0055235B" w:rsidP="0020759B">
            <w:pPr>
              <w:rPr>
                <w:rFonts w:ascii="Times New Roman" w:eastAsia="Times New Roman" w:hAnsi="Times New Roman" w:cs="Times New Roman"/>
                <w:b w:val="0"/>
                <w:sz w:val="20"/>
                <w:szCs w:val="20"/>
              </w:rPr>
            </w:pPr>
            <w:r w:rsidRPr="006F09D3">
              <w:rPr>
                <w:rFonts w:ascii="Times New Roman" w:eastAsia="Times New Roman" w:hAnsi="Times New Roman" w:cs="Times New Roman"/>
                <w:b w:val="0"/>
                <w:sz w:val="20"/>
                <w:szCs w:val="20"/>
              </w:rPr>
              <w:t>- Kitas trumpalaikis turtas</w:t>
            </w:r>
          </w:p>
        </w:tc>
        <w:tc>
          <w:tcPr>
            <w:tcW w:w="1116" w:type="dxa"/>
            <w:noWrap/>
            <w:vAlign w:val="center"/>
            <w:hideMark/>
          </w:tcPr>
          <w:p w:rsidR="0055235B" w:rsidRPr="003C2D7A" w:rsidRDefault="0055235B" w:rsidP="0020759B">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961,237</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36.39</w:t>
            </w:r>
          </w:p>
        </w:tc>
        <w:tc>
          <w:tcPr>
            <w:tcW w:w="1116" w:type="dxa"/>
            <w:noWrap/>
            <w:vAlign w:val="center"/>
            <w:hideMark/>
          </w:tcPr>
          <w:p w:rsidR="0055235B" w:rsidRPr="003C2D7A" w:rsidRDefault="0055235B" w:rsidP="0020759B">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3,595,437</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78.56</w:t>
            </w:r>
          </w:p>
        </w:tc>
        <w:tc>
          <w:tcPr>
            <w:tcW w:w="1116" w:type="dxa"/>
            <w:noWrap/>
            <w:vAlign w:val="center"/>
            <w:hideMark/>
          </w:tcPr>
          <w:p w:rsidR="0055235B" w:rsidRPr="003C2D7A" w:rsidRDefault="0055235B" w:rsidP="0020759B">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3,338,437</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80.61</w:t>
            </w:r>
          </w:p>
        </w:tc>
      </w:tr>
      <w:tr w:rsidR="0055235B" w:rsidRPr="003C2D7A" w:rsidTr="0020759B">
        <w:trPr>
          <w:cnfStyle w:val="000000100000"/>
          <w:trHeight w:val="300"/>
        </w:trPr>
        <w:tc>
          <w:tcPr>
            <w:cnfStyle w:val="001000000000"/>
            <w:tcW w:w="2582" w:type="dxa"/>
            <w:hideMark/>
          </w:tcPr>
          <w:p w:rsidR="0055235B" w:rsidRPr="006F09D3" w:rsidRDefault="0055235B" w:rsidP="0020759B">
            <w:pPr>
              <w:rPr>
                <w:rFonts w:ascii="Times New Roman" w:eastAsia="Times New Roman" w:hAnsi="Times New Roman" w:cs="Times New Roman"/>
                <w:b w:val="0"/>
                <w:sz w:val="20"/>
                <w:szCs w:val="20"/>
              </w:rPr>
            </w:pPr>
            <w:r w:rsidRPr="006F09D3">
              <w:rPr>
                <w:rFonts w:ascii="Times New Roman" w:eastAsia="Times New Roman" w:hAnsi="Times New Roman" w:cs="Times New Roman"/>
                <w:b w:val="0"/>
                <w:sz w:val="20"/>
                <w:szCs w:val="20"/>
              </w:rPr>
              <w:t>* Pinigai ir jų ekvivalentai</w:t>
            </w:r>
          </w:p>
        </w:tc>
        <w:tc>
          <w:tcPr>
            <w:tcW w:w="1116" w:type="dxa"/>
            <w:noWrap/>
            <w:vAlign w:val="center"/>
            <w:hideMark/>
          </w:tcPr>
          <w:p w:rsidR="0055235B" w:rsidRPr="003C2D7A" w:rsidRDefault="0055235B" w:rsidP="0020759B">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135,663</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14.11</w:t>
            </w:r>
          </w:p>
        </w:tc>
        <w:tc>
          <w:tcPr>
            <w:tcW w:w="1116" w:type="dxa"/>
            <w:noWrap/>
            <w:vAlign w:val="center"/>
            <w:hideMark/>
          </w:tcPr>
          <w:p w:rsidR="0055235B" w:rsidRPr="003C2D7A" w:rsidRDefault="0055235B" w:rsidP="0020759B">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246,637</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6.86</w:t>
            </w:r>
          </w:p>
        </w:tc>
        <w:tc>
          <w:tcPr>
            <w:tcW w:w="1116" w:type="dxa"/>
            <w:noWrap/>
            <w:vAlign w:val="center"/>
            <w:hideMark/>
          </w:tcPr>
          <w:p w:rsidR="0055235B" w:rsidRPr="003C2D7A" w:rsidRDefault="0055235B" w:rsidP="0020759B">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175,044</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5.24</w:t>
            </w:r>
          </w:p>
        </w:tc>
      </w:tr>
      <w:tr w:rsidR="0055235B" w:rsidRPr="003C2D7A" w:rsidTr="0020759B">
        <w:trPr>
          <w:cnfStyle w:val="000000010000"/>
          <w:trHeight w:val="300"/>
        </w:trPr>
        <w:tc>
          <w:tcPr>
            <w:cnfStyle w:val="001000000000"/>
            <w:tcW w:w="2582" w:type="dxa"/>
            <w:hideMark/>
          </w:tcPr>
          <w:p w:rsidR="0055235B" w:rsidRPr="003C2D7A" w:rsidRDefault="0055235B" w:rsidP="0020759B">
            <w:pPr>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TURTO IŠ VISO</w:t>
            </w:r>
          </w:p>
        </w:tc>
        <w:tc>
          <w:tcPr>
            <w:tcW w:w="1116" w:type="dxa"/>
            <w:noWrap/>
            <w:vAlign w:val="center"/>
            <w:hideMark/>
          </w:tcPr>
          <w:p w:rsidR="0055235B" w:rsidRPr="006F09D3" w:rsidRDefault="0055235B" w:rsidP="0020759B">
            <w:pPr>
              <w:jc w:val="center"/>
              <w:cnfStyle w:val="000000010000"/>
              <w:rPr>
                <w:rFonts w:ascii="Times New Roman" w:eastAsia="Times New Roman" w:hAnsi="Times New Roman" w:cs="Times New Roman"/>
                <w:b/>
                <w:sz w:val="20"/>
                <w:szCs w:val="20"/>
              </w:rPr>
            </w:pPr>
            <w:r w:rsidRPr="006F09D3">
              <w:rPr>
                <w:rFonts w:ascii="Times New Roman" w:eastAsia="Times New Roman" w:hAnsi="Times New Roman" w:cs="Times New Roman"/>
                <w:b/>
                <w:sz w:val="20"/>
                <w:szCs w:val="20"/>
              </w:rPr>
              <w:t>10,543,402</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b/>
                <w:sz w:val="20"/>
                <w:szCs w:val="20"/>
              </w:rPr>
            </w:pPr>
          </w:p>
        </w:tc>
        <w:tc>
          <w:tcPr>
            <w:tcW w:w="1116" w:type="dxa"/>
            <w:noWrap/>
            <w:vAlign w:val="center"/>
            <w:hideMark/>
          </w:tcPr>
          <w:p w:rsidR="0055235B" w:rsidRPr="006F09D3" w:rsidRDefault="0055235B" w:rsidP="0020759B">
            <w:pPr>
              <w:jc w:val="center"/>
              <w:cnfStyle w:val="000000010000"/>
              <w:rPr>
                <w:rFonts w:ascii="Times New Roman" w:eastAsia="Times New Roman" w:hAnsi="Times New Roman" w:cs="Times New Roman"/>
                <w:b/>
                <w:sz w:val="20"/>
                <w:szCs w:val="20"/>
              </w:rPr>
            </w:pPr>
            <w:r w:rsidRPr="006F09D3">
              <w:rPr>
                <w:rFonts w:ascii="Times New Roman" w:eastAsia="Times New Roman" w:hAnsi="Times New Roman" w:cs="Times New Roman"/>
                <w:b/>
                <w:sz w:val="20"/>
                <w:szCs w:val="20"/>
              </w:rPr>
              <w:t>12,337,871</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b/>
                <w:sz w:val="20"/>
                <w:szCs w:val="20"/>
              </w:rPr>
            </w:pPr>
          </w:p>
        </w:tc>
        <w:tc>
          <w:tcPr>
            <w:tcW w:w="1116" w:type="dxa"/>
            <w:noWrap/>
            <w:vAlign w:val="center"/>
            <w:hideMark/>
          </w:tcPr>
          <w:p w:rsidR="0055235B" w:rsidRPr="006F09D3" w:rsidRDefault="0055235B" w:rsidP="0020759B">
            <w:pPr>
              <w:jc w:val="center"/>
              <w:cnfStyle w:val="000000010000"/>
              <w:rPr>
                <w:rFonts w:ascii="Times New Roman" w:eastAsia="Times New Roman" w:hAnsi="Times New Roman" w:cs="Times New Roman"/>
                <w:b/>
                <w:sz w:val="20"/>
                <w:szCs w:val="20"/>
              </w:rPr>
            </w:pPr>
            <w:r w:rsidRPr="006F09D3">
              <w:rPr>
                <w:rFonts w:ascii="Times New Roman" w:eastAsia="Times New Roman" w:hAnsi="Times New Roman" w:cs="Times New Roman"/>
                <w:b/>
                <w:sz w:val="20"/>
                <w:szCs w:val="20"/>
              </w:rPr>
              <w:t>12,185,339</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b/>
                <w:i/>
                <w:sz w:val="20"/>
                <w:szCs w:val="20"/>
              </w:rPr>
            </w:pPr>
          </w:p>
        </w:tc>
      </w:tr>
      <w:tr w:rsidR="00E6354F" w:rsidRPr="003C2D7A" w:rsidTr="0020759B">
        <w:trPr>
          <w:cnfStyle w:val="000000100000"/>
          <w:trHeight w:val="510"/>
        </w:trPr>
        <w:tc>
          <w:tcPr>
            <w:cnfStyle w:val="001000000000"/>
            <w:tcW w:w="2582" w:type="dxa"/>
            <w:vAlign w:val="center"/>
            <w:hideMark/>
          </w:tcPr>
          <w:p w:rsidR="00E6354F" w:rsidRPr="003C2D7A" w:rsidRDefault="00E6354F" w:rsidP="0020759B">
            <w:pPr>
              <w:jc w:val="center"/>
              <w:rPr>
                <w:rFonts w:ascii="Times New Roman" w:eastAsia="Times New Roman" w:hAnsi="Times New Roman" w:cs="Times New Roman"/>
                <w:b w:val="0"/>
                <w:bCs w:val="0"/>
                <w:sz w:val="20"/>
                <w:szCs w:val="20"/>
              </w:rPr>
            </w:pPr>
            <w:r w:rsidRPr="003C2D7A">
              <w:rPr>
                <w:rFonts w:ascii="Times New Roman" w:eastAsia="Times New Roman" w:hAnsi="Times New Roman" w:cs="Times New Roman"/>
                <w:b w:val="0"/>
                <w:bCs w:val="0"/>
                <w:sz w:val="20"/>
                <w:szCs w:val="20"/>
              </w:rPr>
              <w:t>Nuosavas kapitalas ir įsipareigojimai</w:t>
            </w:r>
          </w:p>
        </w:tc>
        <w:tc>
          <w:tcPr>
            <w:tcW w:w="1116" w:type="dxa"/>
            <w:vAlign w:val="center"/>
            <w:hideMark/>
          </w:tcPr>
          <w:p w:rsidR="00E6354F" w:rsidRPr="00F80CD4" w:rsidRDefault="00E6354F" w:rsidP="004633A4">
            <w:pPr>
              <w:contextualSpacing/>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EUR</w:t>
            </w:r>
          </w:p>
        </w:tc>
        <w:tc>
          <w:tcPr>
            <w:tcW w:w="1250" w:type="dxa"/>
            <w:vAlign w:val="center"/>
            <w:hideMark/>
          </w:tcPr>
          <w:p w:rsidR="00E6354F" w:rsidRPr="004D5C99" w:rsidRDefault="00E6354F" w:rsidP="004633A4">
            <w:pPr>
              <w:contextualSpacing/>
              <w:jc w:val="center"/>
              <w:cnfStyle w:val="000000100000"/>
              <w:rPr>
                <w:rFonts w:ascii="Times New Roman" w:eastAsia="Times New Roman" w:hAnsi="Times New Roman" w:cs="Times New Roman"/>
                <w:b/>
                <w:bCs/>
                <w:sz w:val="20"/>
                <w:szCs w:val="20"/>
              </w:rPr>
            </w:pPr>
            <w:r w:rsidRPr="004D5C99">
              <w:rPr>
                <w:rFonts w:ascii="Times New Roman" w:eastAsia="Times New Roman" w:hAnsi="Times New Roman" w:cs="Times New Roman"/>
                <w:b/>
                <w:bCs/>
                <w:sz w:val="20"/>
                <w:szCs w:val="20"/>
              </w:rPr>
              <w:t xml:space="preserve">Lyginamieji svoriai, </w:t>
            </w:r>
            <w:r>
              <w:rPr>
                <w:rFonts w:ascii="Times New Roman" w:eastAsia="Times New Roman" w:hAnsi="Times New Roman" w:cs="Times New Roman"/>
                <w:b/>
                <w:bCs/>
                <w:sz w:val="20"/>
                <w:szCs w:val="20"/>
              </w:rPr>
              <w:t>proc.</w:t>
            </w:r>
          </w:p>
        </w:tc>
        <w:tc>
          <w:tcPr>
            <w:tcW w:w="1116" w:type="dxa"/>
            <w:vAlign w:val="center"/>
            <w:hideMark/>
          </w:tcPr>
          <w:p w:rsidR="00E6354F" w:rsidRPr="004D5C99" w:rsidRDefault="00E6354F" w:rsidP="004633A4">
            <w:pPr>
              <w:contextualSpacing/>
              <w:jc w:val="center"/>
              <w:cnfStyle w:val="000000100000"/>
              <w:rPr>
                <w:rFonts w:ascii="Times New Roman" w:eastAsia="Times New Roman" w:hAnsi="Times New Roman" w:cs="Times New Roman"/>
                <w:b/>
                <w:bCs/>
                <w:sz w:val="20"/>
                <w:szCs w:val="20"/>
              </w:rPr>
            </w:pPr>
            <w:r w:rsidRPr="004D5C99">
              <w:rPr>
                <w:rFonts w:ascii="Times New Roman" w:eastAsia="Times New Roman" w:hAnsi="Times New Roman" w:cs="Times New Roman"/>
                <w:sz w:val="20"/>
                <w:szCs w:val="20"/>
              </w:rPr>
              <w:t>EUR</w:t>
            </w:r>
          </w:p>
        </w:tc>
        <w:tc>
          <w:tcPr>
            <w:tcW w:w="1250" w:type="dxa"/>
            <w:vAlign w:val="center"/>
            <w:hideMark/>
          </w:tcPr>
          <w:p w:rsidR="00E6354F" w:rsidRPr="004D5C99" w:rsidRDefault="00E6354F" w:rsidP="004633A4">
            <w:pPr>
              <w:contextualSpacing/>
              <w:jc w:val="center"/>
              <w:cnfStyle w:val="000000100000"/>
              <w:rPr>
                <w:rFonts w:ascii="Times New Roman" w:eastAsia="Times New Roman" w:hAnsi="Times New Roman" w:cs="Times New Roman"/>
                <w:b/>
                <w:bCs/>
                <w:sz w:val="20"/>
                <w:szCs w:val="20"/>
              </w:rPr>
            </w:pPr>
            <w:r w:rsidRPr="004D5C99">
              <w:rPr>
                <w:rFonts w:ascii="Times New Roman" w:eastAsia="Times New Roman" w:hAnsi="Times New Roman" w:cs="Times New Roman"/>
                <w:b/>
                <w:bCs/>
                <w:sz w:val="20"/>
                <w:szCs w:val="20"/>
              </w:rPr>
              <w:t xml:space="preserve">Lyginamieji svoriai, </w:t>
            </w:r>
            <w:r>
              <w:rPr>
                <w:rFonts w:ascii="Times New Roman" w:eastAsia="Times New Roman" w:hAnsi="Times New Roman" w:cs="Times New Roman"/>
                <w:b/>
                <w:bCs/>
                <w:sz w:val="20"/>
                <w:szCs w:val="20"/>
              </w:rPr>
              <w:t>proc.</w:t>
            </w:r>
          </w:p>
        </w:tc>
        <w:tc>
          <w:tcPr>
            <w:tcW w:w="1116" w:type="dxa"/>
            <w:vAlign w:val="center"/>
            <w:hideMark/>
          </w:tcPr>
          <w:p w:rsidR="00E6354F" w:rsidRPr="004D5C99" w:rsidRDefault="00E6354F" w:rsidP="004633A4">
            <w:pPr>
              <w:contextualSpacing/>
              <w:jc w:val="center"/>
              <w:cnfStyle w:val="000000100000"/>
              <w:rPr>
                <w:rFonts w:ascii="Times New Roman" w:eastAsia="Times New Roman" w:hAnsi="Times New Roman" w:cs="Times New Roman"/>
                <w:b/>
                <w:bCs/>
                <w:sz w:val="20"/>
                <w:szCs w:val="20"/>
              </w:rPr>
            </w:pPr>
            <w:r w:rsidRPr="004D5C99">
              <w:rPr>
                <w:rFonts w:ascii="Times New Roman" w:eastAsia="Times New Roman" w:hAnsi="Times New Roman" w:cs="Times New Roman"/>
                <w:sz w:val="20"/>
                <w:szCs w:val="20"/>
              </w:rPr>
              <w:t>EUR</w:t>
            </w:r>
          </w:p>
        </w:tc>
        <w:tc>
          <w:tcPr>
            <w:tcW w:w="1250" w:type="dxa"/>
            <w:vAlign w:val="center"/>
            <w:hideMark/>
          </w:tcPr>
          <w:p w:rsidR="00E6354F" w:rsidRPr="004D5C99" w:rsidRDefault="00E6354F" w:rsidP="004633A4">
            <w:pPr>
              <w:contextualSpacing/>
              <w:jc w:val="center"/>
              <w:cnfStyle w:val="000000100000"/>
              <w:rPr>
                <w:rFonts w:ascii="Times New Roman" w:eastAsia="Times New Roman" w:hAnsi="Times New Roman" w:cs="Times New Roman"/>
                <w:b/>
                <w:bCs/>
                <w:sz w:val="20"/>
                <w:szCs w:val="20"/>
              </w:rPr>
            </w:pPr>
            <w:r w:rsidRPr="004D5C99">
              <w:rPr>
                <w:rFonts w:ascii="Times New Roman" w:eastAsia="Times New Roman" w:hAnsi="Times New Roman" w:cs="Times New Roman"/>
                <w:b/>
                <w:bCs/>
                <w:sz w:val="20"/>
                <w:szCs w:val="20"/>
              </w:rPr>
              <w:t xml:space="preserve">Lyginamieji svoriai, </w:t>
            </w:r>
            <w:r>
              <w:rPr>
                <w:rFonts w:ascii="Times New Roman" w:eastAsia="Times New Roman" w:hAnsi="Times New Roman" w:cs="Times New Roman"/>
                <w:b/>
                <w:bCs/>
                <w:sz w:val="20"/>
                <w:szCs w:val="20"/>
              </w:rPr>
              <w:t xml:space="preserve"> proc.</w:t>
            </w:r>
          </w:p>
        </w:tc>
      </w:tr>
      <w:tr w:rsidR="0055235B" w:rsidRPr="003C2D7A" w:rsidTr="0020759B">
        <w:trPr>
          <w:cnfStyle w:val="000000010000"/>
          <w:trHeight w:val="300"/>
        </w:trPr>
        <w:tc>
          <w:tcPr>
            <w:cnfStyle w:val="001000000000"/>
            <w:tcW w:w="2582" w:type="dxa"/>
            <w:hideMark/>
          </w:tcPr>
          <w:p w:rsidR="0055235B" w:rsidRPr="003C2D7A" w:rsidRDefault="0055235B" w:rsidP="0020759B">
            <w:pPr>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Nuosavas kapitalas</w:t>
            </w:r>
          </w:p>
        </w:tc>
        <w:tc>
          <w:tcPr>
            <w:tcW w:w="1116" w:type="dxa"/>
            <w:noWrap/>
            <w:vAlign w:val="center"/>
            <w:hideMark/>
          </w:tcPr>
          <w:p w:rsidR="0055235B" w:rsidRPr="003C2D7A" w:rsidRDefault="0055235B" w:rsidP="0020759B">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4,127,134</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39.14</w:t>
            </w:r>
          </w:p>
        </w:tc>
        <w:tc>
          <w:tcPr>
            <w:tcW w:w="1116" w:type="dxa"/>
            <w:noWrap/>
            <w:vAlign w:val="center"/>
            <w:hideMark/>
          </w:tcPr>
          <w:p w:rsidR="0055235B" w:rsidRPr="003C2D7A" w:rsidRDefault="0055235B" w:rsidP="0020759B">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4,360,645</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35.34</w:t>
            </w:r>
          </w:p>
        </w:tc>
        <w:tc>
          <w:tcPr>
            <w:tcW w:w="1116" w:type="dxa"/>
            <w:noWrap/>
            <w:vAlign w:val="center"/>
            <w:hideMark/>
          </w:tcPr>
          <w:p w:rsidR="0055235B" w:rsidRPr="003C2D7A" w:rsidRDefault="0055235B" w:rsidP="0020759B">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4,897,326</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40.19</w:t>
            </w:r>
          </w:p>
        </w:tc>
      </w:tr>
      <w:tr w:rsidR="0055235B" w:rsidRPr="003C2D7A" w:rsidTr="0020759B">
        <w:trPr>
          <w:cnfStyle w:val="000000100000"/>
          <w:trHeight w:val="300"/>
        </w:trPr>
        <w:tc>
          <w:tcPr>
            <w:cnfStyle w:val="001000000000"/>
            <w:tcW w:w="2582" w:type="dxa"/>
            <w:hideMark/>
          </w:tcPr>
          <w:p w:rsidR="0055235B" w:rsidRPr="003C2D7A" w:rsidRDefault="0055235B" w:rsidP="0020759B">
            <w:pPr>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 Įstatinis kapitalas</w:t>
            </w:r>
          </w:p>
        </w:tc>
        <w:tc>
          <w:tcPr>
            <w:tcW w:w="1116" w:type="dxa"/>
            <w:noWrap/>
            <w:vAlign w:val="center"/>
            <w:hideMark/>
          </w:tcPr>
          <w:p w:rsidR="0055235B" w:rsidRPr="003C2D7A" w:rsidRDefault="0055235B" w:rsidP="0020759B">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1,147,264</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27.80</w:t>
            </w:r>
          </w:p>
        </w:tc>
        <w:tc>
          <w:tcPr>
            <w:tcW w:w="1116" w:type="dxa"/>
            <w:noWrap/>
            <w:vAlign w:val="center"/>
            <w:hideMark/>
          </w:tcPr>
          <w:p w:rsidR="0055235B" w:rsidRPr="003C2D7A" w:rsidRDefault="0055235B" w:rsidP="0020759B">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1,129,286</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25.90</w:t>
            </w:r>
          </w:p>
        </w:tc>
        <w:tc>
          <w:tcPr>
            <w:tcW w:w="1116" w:type="dxa"/>
            <w:noWrap/>
            <w:vAlign w:val="center"/>
            <w:hideMark/>
          </w:tcPr>
          <w:p w:rsidR="0055235B" w:rsidRPr="003C2D7A" w:rsidRDefault="0055235B" w:rsidP="0020759B">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1,122,027</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22.91</w:t>
            </w:r>
          </w:p>
        </w:tc>
      </w:tr>
      <w:tr w:rsidR="0055235B" w:rsidRPr="003C2D7A" w:rsidTr="0020759B">
        <w:trPr>
          <w:cnfStyle w:val="000000010000"/>
          <w:trHeight w:val="300"/>
        </w:trPr>
        <w:tc>
          <w:tcPr>
            <w:cnfStyle w:val="001000000000"/>
            <w:tcW w:w="2582" w:type="dxa"/>
            <w:hideMark/>
          </w:tcPr>
          <w:p w:rsidR="0055235B" w:rsidRPr="003C2D7A" w:rsidRDefault="0055235B" w:rsidP="0020759B">
            <w:pPr>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 Nepaskirstytas pelnas</w:t>
            </w:r>
          </w:p>
        </w:tc>
        <w:tc>
          <w:tcPr>
            <w:tcW w:w="1116" w:type="dxa"/>
            <w:noWrap/>
            <w:vAlign w:val="center"/>
            <w:hideMark/>
          </w:tcPr>
          <w:p w:rsidR="0055235B" w:rsidRPr="003C2D7A" w:rsidRDefault="0055235B" w:rsidP="0020759B">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2,979,870</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72.20</w:t>
            </w:r>
          </w:p>
        </w:tc>
        <w:tc>
          <w:tcPr>
            <w:tcW w:w="1116" w:type="dxa"/>
            <w:noWrap/>
            <w:vAlign w:val="center"/>
            <w:hideMark/>
          </w:tcPr>
          <w:p w:rsidR="0055235B" w:rsidRPr="003C2D7A" w:rsidRDefault="0055235B" w:rsidP="0020759B">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3,231,358</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74.10</w:t>
            </w:r>
          </w:p>
        </w:tc>
        <w:tc>
          <w:tcPr>
            <w:tcW w:w="1116" w:type="dxa"/>
            <w:noWrap/>
            <w:vAlign w:val="center"/>
            <w:hideMark/>
          </w:tcPr>
          <w:p w:rsidR="0055235B" w:rsidRPr="003C2D7A" w:rsidRDefault="0055235B" w:rsidP="0020759B">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3,775,299</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77.09</w:t>
            </w:r>
          </w:p>
        </w:tc>
      </w:tr>
      <w:tr w:rsidR="0055235B" w:rsidRPr="003C2D7A" w:rsidTr="0020759B">
        <w:trPr>
          <w:cnfStyle w:val="000000100000"/>
          <w:trHeight w:val="300"/>
        </w:trPr>
        <w:tc>
          <w:tcPr>
            <w:cnfStyle w:val="001000000000"/>
            <w:tcW w:w="2582" w:type="dxa"/>
            <w:hideMark/>
          </w:tcPr>
          <w:p w:rsidR="0055235B" w:rsidRPr="003C2D7A" w:rsidRDefault="0055235B" w:rsidP="0020759B">
            <w:pPr>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Įlgalaikiai įsipareigojimai</w:t>
            </w:r>
          </w:p>
        </w:tc>
        <w:tc>
          <w:tcPr>
            <w:tcW w:w="1116" w:type="dxa"/>
            <w:noWrap/>
            <w:vAlign w:val="center"/>
            <w:hideMark/>
          </w:tcPr>
          <w:p w:rsidR="0055235B" w:rsidRPr="003C2D7A" w:rsidRDefault="0055235B" w:rsidP="0020759B">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3,243,869</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30.77</w:t>
            </w:r>
          </w:p>
        </w:tc>
        <w:tc>
          <w:tcPr>
            <w:tcW w:w="1116" w:type="dxa"/>
            <w:noWrap/>
            <w:vAlign w:val="center"/>
            <w:hideMark/>
          </w:tcPr>
          <w:p w:rsidR="0055235B" w:rsidRPr="003C2D7A" w:rsidRDefault="0055235B" w:rsidP="0020759B">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5,258,113</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42.62</w:t>
            </w:r>
          </w:p>
        </w:tc>
        <w:tc>
          <w:tcPr>
            <w:tcW w:w="1116" w:type="dxa"/>
            <w:noWrap/>
            <w:vAlign w:val="center"/>
            <w:hideMark/>
          </w:tcPr>
          <w:p w:rsidR="0055235B" w:rsidRPr="003C2D7A" w:rsidRDefault="0055235B" w:rsidP="0020759B">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5,745,421</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47.15</w:t>
            </w:r>
          </w:p>
        </w:tc>
      </w:tr>
      <w:tr w:rsidR="0055235B" w:rsidRPr="003C2D7A" w:rsidTr="0020759B">
        <w:trPr>
          <w:cnfStyle w:val="000000010000"/>
          <w:trHeight w:val="300"/>
        </w:trPr>
        <w:tc>
          <w:tcPr>
            <w:cnfStyle w:val="001000000000"/>
            <w:tcW w:w="2582" w:type="dxa"/>
            <w:hideMark/>
          </w:tcPr>
          <w:p w:rsidR="0055235B" w:rsidRPr="003C2D7A" w:rsidRDefault="0055235B" w:rsidP="0020759B">
            <w:pPr>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 Ilgalaikės skolos</w:t>
            </w:r>
          </w:p>
        </w:tc>
        <w:tc>
          <w:tcPr>
            <w:tcW w:w="1116" w:type="dxa"/>
            <w:noWrap/>
            <w:vAlign w:val="center"/>
            <w:hideMark/>
          </w:tcPr>
          <w:p w:rsidR="0055235B" w:rsidRPr="003C2D7A" w:rsidRDefault="0055235B" w:rsidP="0020759B">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3,243,869</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100.00</w:t>
            </w:r>
          </w:p>
        </w:tc>
        <w:tc>
          <w:tcPr>
            <w:tcW w:w="1116" w:type="dxa"/>
            <w:noWrap/>
            <w:vAlign w:val="center"/>
            <w:hideMark/>
          </w:tcPr>
          <w:p w:rsidR="0055235B" w:rsidRPr="003C2D7A" w:rsidRDefault="0055235B" w:rsidP="0020759B">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5,258,113</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100.00</w:t>
            </w:r>
          </w:p>
        </w:tc>
        <w:tc>
          <w:tcPr>
            <w:tcW w:w="1116" w:type="dxa"/>
            <w:noWrap/>
            <w:vAlign w:val="center"/>
            <w:hideMark/>
          </w:tcPr>
          <w:p w:rsidR="0055235B" w:rsidRPr="003C2D7A" w:rsidRDefault="0055235B" w:rsidP="0020759B">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5,745,421</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100.00</w:t>
            </w:r>
          </w:p>
        </w:tc>
      </w:tr>
      <w:tr w:rsidR="0055235B" w:rsidRPr="003C2D7A" w:rsidTr="0020759B">
        <w:trPr>
          <w:cnfStyle w:val="000000100000"/>
          <w:trHeight w:val="300"/>
        </w:trPr>
        <w:tc>
          <w:tcPr>
            <w:cnfStyle w:val="001000000000"/>
            <w:tcW w:w="2582" w:type="dxa"/>
            <w:hideMark/>
          </w:tcPr>
          <w:p w:rsidR="0055235B" w:rsidRPr="003C2D7A" w:rsidRDefault="0055235B" w:rsidP="0020759B">
            <w:pPr>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 Kiti ilgalaikiai įsipareigojimai</w:t>
            </w:r>
          </w:p>
        </w:tc>
        <w:tc>
          <w:tcPr>
            <w:tcW w:w="1116" w:type="dxa"/>
            <w:noWrap/>
            <w:vAlign w:val="center"/>
            <w:hideMark/>
          </w:tcPr>
          <w:p w:rsidR="0055235B" w:rsidRPr="003C2D7A" w:rsidRDefault="0055235B" w:rsidP="0020759B">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0</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p>
        </w:tc>
        <w:tc>
          <w:tcPr>
            <w:tcW w:w="1116" w:type="dxa"/>
            <w:noWrap/>
            <w:vAlign w:val="center"/>
            <w:hideMark/>
          </w:tcPr>
          <w:p w:rsidR="0055235B" w:rsidRPr="003C2D7A" w:rsidRDefault="0055235B" w:rsidP="0020759B">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0</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p>
        </w:tc>
        <w:tc>
          <w:tcPr>
            <w:tcW w:w="1116" w:type="dxa"/>
            <w:noWrap/>
            <w:vAlign w:val="center"/>
            <w:hideMark/>
          </w:tcPr>
          <w:p w:rsidR="0055235B" w:rsidRPr="003C2D7A" w:rsidRDefault="0055235B" w:rsidP="0020759B">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0</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p>
        </w:tc>
      </w:tr>
      <w:tr w:rsidR="0055235B" w:rsidRPr="003C2D7A" w:rsidTr="0020759B">
        <w:trPr>
          <w:cnfStyle w:val="000000010000"/>
          <w:trHeight w:val="300"/>
        </w:trPr>
        <w:tc>
          <w:tcPr>
            <w:cnfStyle w:val="001000000000"/>
            <w:tcW w:w="2582" w:type="dxa"/>
            <w:hideMark/>
          </w:tcPr>
          <w:p w:rsidR="0055235B" w:rsidRPr="003C2D7A" w:rsidRDefault="0055235B" w:rsidP="0020759B">
            <w:pPr>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Trumpalaikiai įsipareigojimai</w:t>
            </w:r>
          </w:p>
        </w:tc>
        <w:tc>
          <w:tcPr>
            <w:tcW w:w="1116" w:type="dxa"/>
            <w:noWrap/>
            <w:vAlign w:val="center"/>
            <w:hideMark/>
          </w:tcPr>
          <w:p w:rsidR="0055235B" w:rsidRPr="003C2D7A" w:rsidRDefault="0055235B" w:rsidP="0020759B">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3,172,399</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30.09</w:t>
            </w:r>
          </w:p>
        </w:tc>
        <w:tc>
          <w:tcPr>
            <w:tcW w:w="1116" w:type="dxa"/>
            <w:noWrap/>
            <w:vAlign w:val="center"/>
            <w:hideMark/>
          </w:tcPr>
          <w:p w:rsidR="0055235B" w:rsidRPr="003C2D7A" w:rsidRDefault="0055235B" w:rsidP="0020759B">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2,719,114</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22.04</w:t>
            </w:r>
          </w:p>
        </w:tc>
        <w:tc>
          <w:tcPr>
            <w:tcW w:w="1116" w:type="dxa"/>
            <w:noWrap/>
            <w:vAlign w:val="center"/>
            <w:hideMark/>
          </w:tcPr>
          <w:p w:rsidR="0055235B" w:rsidRPr="003C2D7A" w:rsidRDefault="0055235B" w:rsidP="0020759B">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1,542,592</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12.66</w:t>
            </w:r>
          </w:p>
        </w:tc>
      </w:tr>
      <w:tr w:rsidR="0055235B" w:rsidRPr="003C2D7A" w:rsidTr="0020759B">
        <w:trPr>
          <w:cnfStyle w:val="000000100000"/>
          <w:trHeight w:val="300"/>
        </w:trPr>
        <w:tc>
          <w:tcPr>
            <w:cnfStyle w:val="001000000000"/>
            <w:tcW w:w="2582" w:type="dxa"/>
            <w:hideMark/>
          </w:tcPr>
          <w:p w:rsidR="0055235B" w:rsidRPr="003C2D7A" w:rsidRDefault="0055235B" w:rsidP="0020759B">
            <w:pPr>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 Trumpalaikės paskolos</w:t>
            </w:r>
          </w:p>
        </w:tc>
        <w:tc>
          <w:tcPr>
            <w:tcW w:w="1116" w:type="dxa"/>
            <w:noWrap/>
            <w:vAlign w:val="center"/>
            <w:hideMark/>
          </w:tcPr>
          <w:p w:rsidR="0055235B" w:rsidRPr="003C2D7A" w:rsidRDefault="0055235B" w:rsidP="0020759B">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994,921</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31.36</w:t>
            </w:r>
          </w:p>
        </w:tc>
        <w:tc>
          <w:tcPr>
            <w:tcW w:w="1116" w:type="dxa"/>
            <w:noWrap/>
            <w:vAlign w:val="center"/>
            <w:hideMark/>
          </w:tcPr>
          <w:p w:rsidR="0055235B" w:rsidRPr="003C2D7A" w:rsidRDefault="0055235B" w:rsidP="0020759B">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1,005,795</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36.99</w:t>
            </w:r>
          </w:p>
        </w:tc>
        <w:tc>
          <w:tcPr>
            <w:tcW w:w="1116" w:type="dxa"/>
            <w:noWrap/>
            <w:vAlign w:val="center"/>
            <w:hideMark/>
          </w:tcPr>
          <w:p w:rsidR="0055235B" w:rsidRPr="003C2D7A" w:rsidRDefault="0055235B" w:rsidP="0020759B">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109,826</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7.12</w:t>
            </w:r>
          </w:p>
        </w:tc>
      </w:tr>
      <w:tr w:rsidR="0055235B" w:rsidRPr="003C2D7A" w:rsidTr="0020759B">
        <w:trPr>
          <w:cnfStyle w:val="000000010000"/>
          <w:trHeight w:val="300"/>
        </w:trPr>
        <w:tc>
          <w:tcPr>
            <w:cnfStyle w:val="001000000000"/>
            <w:tcW w:w="2582" w:type="dxa"/>
            <w:hideMark/>
          </w:tcPr>
          <w:p w:rsidR="0055235B" w:rsidRPr="003C2D7A" w:rsidRDefault="0055235B" w:rsidP="0020759B">
            <w:pPr>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 Skolos tiekėjams</w:t>
            </w:r>
          </w:p>
        </w:tc>
        <w:tc>
          <w:tcPr>
            <w:tcW w:w="1116" w:type="dxa"/>
            <w:noWrap/>
            <w:vAlign w:val="center"/>
            <w:hideMark/>
          </w:tcPr>
          <w:p w:rsidR="0055235B" w:rsidRPr="003C2D7A" w:rsidRDefault="0055235B" w:rsidP="0020759B">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1,196,723</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37.72</w:t>
            </w:r>
          </w:p>
        </w:tc>
        <w:tc>
          <w:tcPr>
            <w:tcW w:w="1116" w:type="dxa"/>
            <w:noWrap/>
            <w:vAlign w:val="center"/>
            <w:hideMark/>
          </w:tcPr>
          <w:p w:rsidR="0055235B" w:rsidRPr="003C2D7A" w:rsidRDefault="0055235B" w:rsidP="0020759B">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980,614</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36.06</w:t>
            </w:r>
          </w:p>
        </w:tc>
        <w:tc>
          <w:tcPr>
            <w:tcW w:w="1116" w:type="dxa"/>
            <w:noWrap/>
            <w:vAlign w:val="center"/>
            <w:hideMark/>
          </w:tcPr>
          <w:p w:rsidR="0055235B" w:rsidRPr="003C2D7A" w:rsidRDefault="0055235B" w:rsidP="0020759B">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833,502</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54.03</w:t>
            </w:r>
          </w:p>
        </w:tc>
      </w:tr>
      <w:tr w:rsidR="0055235B" w:rsidRPr="003C2D7A" w:rsidTr="0020759B">
        <w:trPr>
          <w:cnfStyle w:val="000000100000"/>
          <w:trHeight w:val="300"/>
        </w:trPr>
        <w:tc>
          <w:tcPr>
            <w:cnfStyle w:val="001000000000"/>
            <w:tcW w:w="2582" w:type="dxa"/>
            <w:hideMark/>
          </w:tcPr>
          <w:p w:rsidR="0055235B" w:rsidRPr="003C2D7A" w:rsidRDefault="0055235B" w:rsidP="0020759B">
            <w:pPr>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 Kiti trumpalaikiai įsipareigojimai</w:t>
            </w:r>
          </w:p>
        </w:tc>
        <w:tc>
          <w:tcPr>
            <w:tcW w:w="1116" w:type="dxa"/>
            <w:noWrap/>
            <w:vAlign w:val="center"/>
            <w:hideMark/>
          </w:tcPr>
          <w:p w:rsidR="0055235B" w:rsidRPr="003C2D7A" w:rsidRDefault="0055235B" w:rsidP="0020759B">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980,756</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30.92</w:t>
            </w:r>
          </w:p>
        </w:tc>
        <w:tc>
          <w:tcPr>
            <w:tcW w:w="1116" w:type="dxa"/>
            <w:noWrap/>
            <w:vAlign w:val="center"/>
            <w:hideMark/>
          </w:tcPr>
          <w:p w:rsidR="0055235B" w:rsidRPr="003C2D7A" w:rsidRDefault="0055235B" w:rsidP="0020759B">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732,705</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26.95</w:t>
            </w:r>
          </w:p>
        </w:tc>
        <w:tc>
          <w:tcPr>
            <w:tcW w:w="1116" w:type="dxa"/>
            <w:noWrap/>
            <w:vAlign w:val="center"/>
            <w:hideMark/>
          </w:tcPr>
          <w:p w:rsidR="0055235B" w:rsidRPr="003C2D7A" w:rsidRDefault="0055235B" w:rsidP="0020759B">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599,264</w:t>
            </w:r>
          </w:p>
        </w:tc>
        <w:tc>
          <w:tcPr>
            <w:tcW w:w="1250" w:type="dxa"/>
            <w:noWrap/>
            <w:vAlign w:val="center"/>
            <w:hideMark/>
          </w:tcPr>
          <w:p w:rsidR="0055235B" w:rsidRPr="006F09D3" w:rsidRDefault="0055235B" w:rsidP="0020759B">
            <w:pPr>
              <w:jc w:val="center"/>
              <w:cnfStyle w:val="000000100000"/>
              <w:rPr>
                <w:rFonts w:ascii="Times New Roman" w:eastAsia="Times New Roman" w:hAnsi="Times New Roman" w:cs="Times New Roman"/>
                <w:i/>
                <w:sz w:val="20"/>
                <w:szCs w:val="20"/>
              </w:rPr>
            </w:pPr>
            <w:r w:rsidRPr="006F09D3">
              <w:rPr>
                <w:rFonts w:ascii="Times New Roman" w:eastAsia="Times New Roman" w:hAnsi="Times New Roman" w:cs="Times New Roman"/>
                <w:i/>
                <w:sz w:val="20"/>
                <w:szCs w:val="20"/>
              </w:rPr>
              <w:t>38.85</w:t>
            </w:r>
          </w:p>
        </w:tc>
      </w:tr>
      <w:tr w:rsidR="0055235B" w:rsidRPr="003C2D7A" w:rsidTr="0020759B">
        <w:trPr>
          <w:cnfStyle w:val="000000010000"/>
          <w:trHeight w:val="510"/>
        </w:trPr>
        <w:tc>
          <w:tcPr>
            <w:cnfStyle w:val="001000000000"/>
            <w:tcW w:w="2582" w:type="dxa"/>
            <w:hideMark/>
          </w:tcPr>
          <w:p w:rsidR="0055235B" w:rsidRPr="003C2D7A" w:rsidRDefault="0055235B" w:rsidP="0020759B">
            <w:pPr>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NUOSAVO KAPITALO IR ĮSIPAREIGOJIMŲ IŠ VISO</w:t>
            </w:r>
          </w:p>
        </w:tc>
        <w:tc>
          <w:tcPr>
            <w:tcW w:w="1116" w:type="dxa"/>
            <w:noWrap/>
            <w:vAlign w:val="center"/>
            <w:hideMark/>
          </w:tcPr>
          <w:p w:rsidR="0055235B" w:rsidRPr="006F09D3" w:rsidRDefault="0055235B" w:rsidP="0020759B">
            <w:pPr>
              <w:jc w:val="center"/>
              <w:cnfStyle w:val="000000010000"/>
              <w:rPr>
                <w:rFonts w:ascii="Times New Roman" w:eastAsia="Times New Roman" w:hAnsi="Times New Roman" w:cs="Times New Roman"/>
                <w:b/>
                <w:sz w:val="20"/>
                <w:szCs w:val="20"/>
              </w:rPr>
            </w:pPr>
            <w:r w:rsidRPr="006F09D3">
              <w:rPr>
                <w:rFonts w:ascii="Times New Roman" w:eastAsia="Times New Roman" w:hAnsi="Times New Roman" w:cs="Times New Roman"/>
                <w:b/>
                <w:sz w:val="20"/>
                <w:szCs w:val="20"/>
              </w:rPr>
              <w:t>10,543,402</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b/>
                <w:sz w:val="20"/>
                <w:szCs w:val="20"/>
              </w:rPr>
            </w:pPr>
          </w:p>
        </w:tc>
        <w:tc>
          <w:tcPr>
            <w:tcW w:w="1116" w:type="dxa"/>
            <w:noWrap/>
            <w:vAlign w:val="center"/>
            <w:hideMark/>
          </w:tcPr>
          <w:p w:rsidR="0055235B" w:rsidRPr="006F09D3" w:rsidRDefault="0055235B" w:rsidP="0020759B">
            <w:pPr>
              <w:jc w:val="center"/>
              <w:cnfStyle w:val="000000010000"/>
              <w:rPr>
                <w:rFonts w:ascii="Times New Roman" w:eastAsia="Times New Roman" w:hAnsi="Times New Roman" w:cs="Times New Roman"/>
                <w:b/>
                <w:sz w:val="20"/>
                <w:szCs w:val="20"/>
              </w:rPr>
            </w:pPr>
            <w:r w:rsidRPr="006F09D3">
              <w:rPr>
                <w:rFonts w:ascii="Times New Roman" w:eastAsia="Times New Roman" w:hAnsi="Times New Roman" w:cs="Times New Roman"/>
                <w:b/>
                <w:sz w:val="20"/>
                <w:szCs w:val="20"/>
              </w:rPr>
              <w:t>12,337,871</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b/>
                <w:i/>
                <w:sz w:val="20"/>
                <w:szCs w:val="20"/>
              </w:rPr>
            </w:pPr>
          </w:p>
        </w:tc>
        <w:tc>
          <w:tcPr>
            <w:tcW w:w="1116" w:type="dxa"/>
            <w:noWrap/>
            <w:vAlign w:val="center"/>
            <w:hideMark/>
          </w:tcPr>
          <w:p w:rsidR="0055235B" w:rsidRPr="006F09D3" w:rsidRDefault="0055235B" w:rsidP="0020759B">
            <w:pPr>
              <w:jc w:val="center"/>
              <w:cnfStyle w:val="000000010000"/>
              <w:rPr>
                <w:rFonts w:ascii="Times New Roman" w:eastAsia="Times New Roman" w:hAnsi="Times New Roman" w:cs="Times New Roman"/>
                <w:b/>
                <w:sz w:val="20"/>
                <w:szCs w:val="20"/>
              </w:rPr>
            </w:pPr>
            <w:r w:rsidRPr="006F09D3">
              <w:rPr>
                <w:rFonts w:ascii="Times New Roman" w:eastAsia="Times New Roman" w:hAnsi="Times New Roman" w:cs="Times New Roman"/>
                <w:b/>
                <w:sz w:val="20"/>
                <w:szCs w:val="20"/>
              </w:rPr>
              <w:t>12,185,339</w:t>
            </w:r>
          </w:p>
        </w:tc>
        <w:tc>
          <w:tcPr>
            <w:tcW w:w="1250" w:type="dxa"/>
            <w:noWrap/>
            <w:vAlign w:val="center"/>
            <w:hideMark/>
          </w:tcPr>
          <w:p w:rsidR="0055235B" w:rsidRPr="006F09D3" w:rsidRDefault="0055235B" w:rsidP="0020759B">
            <w:pPr>
              <w:jc w:val="center"/>
              <w:cnfStyle w:val="000000010000"/>
              <w:rPr>
                <w:rFonts w:ascii="Times New Roman" w:eastAsia="Times New Roman" w:hAnsi="Times New Roman" w:cs="Times New Roman"/>
                <w:b/>
                <w:sz w:val="20"/>
                <w:szCs w:val="20"/>
              </w:rPr>
            </w:pPr>
          </w:p>
        </w:tc>
      </w:tr>
    </w:tbl>
    <w:p w:rsidR="0055235B" w:rsidRDefault="0055235B" w:rsidP="004D5C99">
      <w:pPr>
        <w:autoSpaceDE w:val="0"/>
        <w:autoSpaceDN w:val="0"/>
        <w:adjustRightInd w:val="0"/>
        <w:spacing w:after="0"/>
        <w:jc w:val="center"/>
        <w:rPr>
          <w:rFonts w:ascii="Times New Roman" w:hAnsi="Times New Roman" w:cs="Times New Roman"/>
          <w:b/>
          <w:szCs w:val="24"/>
        </w:rPr>
      </w:pPr>
    </w:p>
    <w:p w:rsidR="0020759B" w:rsidRDefault="0020759B" w:rsidP="004D5C99">
      <w:pPr>
        <w:autoSpaceDE w:val="0"/>
        <w:autoSpaceDN w:val="0"/>
        <w:adjustRightInd w:val="0"/>
        <w:spacing w:after="0"/>
        <w:jc w:val="center"/>
        <w:rPr>
          <w:rFonts w:ascii="Times New Roman" w:hAnsi="Times New Roman" w:cs="Times New Roman"/>
          <w:b/>
          <w:szCs w:val="24"/>
        </w:rPr>
      </w:pPr>
    </w:p>
    <w:p w:rsidR="0020759B" w:rsidRDefault="0020759B" w:rsidP="004D5C99">
      <w:pPr>
        <w:autoSpaceDE w:val="0"/>
        <w:autoSpaceDN w:val="0"/>
        <w:adjustRightInd w:val="0"/>
        <w:spacing w:after="0"/>
        <w:jc w:val="center"/>
        <w:rPr>
          <w:rFonts w:ascii="Times New Roman" w:hAnsi="Times New Roman" w:cs="Times New Roman"/>
          <w:b/>
          <w:szCs w:val="24"/>
        </w:rPr>
      </w:pPr>
    </w:p>
    <w:p w:rsidR="0020759B" w:rsidRDefault="0020759B" w:rsidP="004D5C99">
      <w:pPr>
        <w:autoSpaceDE w:val="0"/>
        <w:autoSpaceDN w:val="0"/>
        <w:adjustRightInd w:val="0"/>
        <w:spacing w:after="0"/>
        <w:jc w:val="center"/>
        <w:rPr>
          <w:rFonts w:ascii="Times New Roman" w:hAnsi="Times New Roman" w:cs="Times New Roman"/>
          <w:b/>
          <w:szCs w:val="24"/>
        </w:rPr>
      </w:pPr>
    </w:p>
    <w:p w:rsidR="0020759B" w:rsidRDefault="0020759B" w:rsidP="004D5C99">
      <w:pPr>
        <w:autoSpaceDE w:val="0"/>
        <w:autoSpaceDN w:val="0"/>
        <w:adjustRightInd w:val="0"/>
        <w:spacing w:after="0"/>
        <w:jc w:val="center"/>
        <w:rPr>
          <w:rFonts w:ascii="Times New Roman" w:hAnsi="Times New Roman" w:cs="Times New Roman"/>
          <w:b/>
          <w:szCs w:val="24"/>
        </w:rPr>
      </w:pPr>
    </w:p>
    <w:p w:rsidR="00E6354F" w:rsidRDefault="00E6354F" w:rsidP="004D5C99">
      <w:pPr>
        <w:autoSpaceDE w:val="0"/>
        <w:autoSpaceDN w:val="0"/>
        <w:adjustRightInd w:val="0"/>
        <w:spacing w:after="0"/>
        <w:jc w:val="center"/>
        <w:rPr>
          <w:rFonts w:ascii="Times New Roman" w:hAnsi="Times New Roman" w:cs="Times New Roman"/>
          <w:b/>
          <w:szCs w:val="24"/>
        </w:rPr>
      </w:pPr>
    </w:p>
    <w:p w:rsidR="00E6354F" w:rsidRDefault="00E6354F" w:rsidP="004D5C99">
      <w:pPr>
        <w:autoSpaceDE w:val="0"/>
        <w:autoSpaceDN w:val="0"/>
        <w:adjustRightInd w:val="0"/>
        <w:spacing w:after="0"/>
        <w:jc w:val="center"/>
        <w:rPr>
          <w:rFonts w:ascii="Times New Roman" w:hAnsi="Times New Roman" w:cs="Times New Roman"/>
          <w:b/>
          <w:szCs w:val="24"/>
        </w:rPr>
      </w:pPr>
    </w:p>
    <w:p w:rsidR="0020759B" w:rsidRDefault="0020759B" w:rsidP="004D5C99">
      <w:pPr>
        <w:autoSpaceDE w:val="0"/>
        <w:autoSpaceDN w:val="0"/>
        <w:adjustRightInd w:val="0"/>
        <w:spacing w:after="0"/>
        <w:jc w:val="center"/>
        <w:rPr>
          <w:rFonts w:ascii="Times New Roman" w:hAnsi="Times New Roman" w:cs="Times New Roman"/>
          <w:b/>
          <w:szCs w:val="24"/>
        </w:rPr>
      </w:pPr>
    </w:p>
    <w:p w:rsidR="0020759B" w:rsidRDefault="0020759B" w:rsidP="004D5C99">
      <w:pPr>
        <w:autoSpaceDE w:val="0"/>
        <w:autoSpaceDN w:val="0"/>
        <w:adjustRightInd w:val="0"/>
        <w:spacing w:after="0"/>
        <w:jc w:val="center"/>
        <w:rPr>
          <w:rFonts w:ascii="Times New Roman" w:hAnsi="Times New Roman" w:cs="Times New Roman"/>
          <w:b/>
          <w:szCs w:val="24"/>
        </w:rPr>
      </w:pPr>
    </w:p>
    <w:p w:rsidR="00886C7E" w:rsidRDefault="00886C7E" w:rsidP="004D5C99">
      <w:pPr>
        <w:autoSpaceDE w:val="0"/>
        <w:autoSpaceDN w:val="0"/>
        <w:adjustRightInd w:val="0"/>
        <w:spacing w:after="0"/>
        <w:jc w:val="center"/>
        <w:rPr>
          <w:rFonts w:ascii="Times New Roman" w:hAnsi="Times New Roman" w:cs="Times New Roman"/>
          <w:b/>
          <w:szCs w:val="24"/>
        </w:rPr>
      </w:pPr>
    </w:p>
    <w:p w:rsidR="0020759B" w:rsidRDefault="0020759B" w:rsidP="004D5C99">
      <w:pPr>
        <w:autoSpaceDE w:val="0"/>
        <w:autoSpaceDN w:val="0"/>
        <w:adjustRightInd w:val="0"/>
        <w:spacing w:after="0"/>
        <w:jc w:val="center"/>
        <w:rPr>
          <w:rFonts w:ascii="Times New Roman" w:hAnsi="Times New Roman" w:cs="Times New Roman"/>
          <w:b/>
          <w:szCs w:val="24"/>
        </w:rPr>
      </w:pPr>
    </w:p>
    <w:p w:rsidR="004D5C99" w:rsidRPr="004D5C99" w:rsidRDefault="00854221" w:rsidP="004D5C99">
      <w:pPr>
        <w:autoSpaceDE w:val="0"/>
        <w:autoSpaceDN w:val="0"/>
        <w:adjustRightInd w:val="0"/>
        <w:spacing w:after="0"/>
        <w:jc w:val="center"/>
        <w:rPr>
          <w:rFonts w:ascii="Times New Roman" w:hAnsi="Times New Roman" w:cs="Times New Roman"/>
          <w:b/>
          <w:szCs w:val="24"/>
        </w:rPr>
      </w:pPr>
      <w:r>
        <w:rPr>
          <w:rFonts w:ascii="Times New Roman" w:hAnsi="Times New Roman" w:cs="Times New Roman"/>
          <w:szCs w:val="24"/>
        </w:rPr>
        <w:lastRenderedPageBreak/>
        <w:t>5</w:t>
      </w:r>
      <w:r w:rsidR="004D5C99" w:rsidRPr="004D5C99">
        <w:rPr>
          <w:rFonts w:ascii="Times New Roman" w:hAnsi="Times New Roman" w:cs="Times New Roman"/>
          <w:szCs w:val="24"/>
        </w:rPr>
        <w:t xml:space="preserve"> lentelė.</w:t>
      </w:r>
      <w:r w:rsidR="004D5C99" w:rsidRPr="004D5C99">
        <w:rPr>
          <w:rFonts w:ascii="Times New Roman" w:hAnsi="Times New Roman" w:cs="Times New Roman"/>
          <w:b/>
          <w:szCs w:val="24"/>
        </w:rPr>
        <w:t xml:space="preserve"> </w:t>
      </w:r>
      <w:r w:rsidR="004D5C99">
        <w:rPr>
          <w:rFonts w:ascii="Times New Roman" w:hAnsi="Times New Roman" w:cs="Times New Roman"/>
          <w:b/>
          <w:szCs w:val="24"/>
        </w:rPr>
        <w:t>UAB “Achemarida” balanso straipsnių pokyčiai</w:t>
      </w:r>
    </w:p>
    <w:tbl>
      <w:tblPr>
        <w:tblStyle w:val="LightGrid-Accent6"/>
        <w:tblW w:w="7940" w:type="dxa"/>
        <w:jc w:val="center"/>
        <w:tblLook w:val="04A0"/>
      </w:tblPr>
      <w:tblGrid>
        <w:gridCol w:w="2792"/>
        <w:gridCol w:w="1128"/>
        <w:gridCol w:w="1016"/>
        <w:gridCol w:w="950"/>
        <w:gridCol w:w="1154"/>
        <w:gridCol w:w="900"/>
      </w:tblGrid>
      <w:tr w:rsidR="00C229E2" w:rsidRPr="00F80CD4" w:rsidTr="00C229E2">
        <w:trPr>
          <w:cnfStyle w:val="100000000000"/>
          <w:trHeight w:val="300"/>
          <w:jc w:val="center"/>
        </w:trPr>
        <w:tc>
          <w:tcPr>
            <w:cnfStyle w:val="001000000000"/>
            <w:tcW w:w="7940" w:type="dxa"/>
            <w:gridSpan w:val="6"/>
            <w:hideMark/>
          </w:tcPr>
          <w:p w:rsidR="00C229E2" w:rsidRPr="00F80CD4" w:rsidRDefault="00C229E2" w:rsidP="0020759B">
            <w:pPr>
              <w:jc w:val="center"/>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UAB “ACHEMARIDA” BALANSO STRAIPSNIŲ POKYČIAI</w:t>
            </w:r>
          </w:p>
        </w:tc>
      </w:tr>
      <w:tr w:rsidR="00C229E2" w:rsidRPr="00F80CD4" w:rsidTr="00C229E2">
        <w:trPr>
          <w:cnfStyle w:val="000000100000"/>
          <w:trHeight w:val="300"/>
          <w:jc w:val="center"/>
        </w:trPr>
        <w:tc>
          <w:tcPr>
            <w:cnfStyle w:val="001000000000"/>
            <w:tcW w:w="2792" w:type="dxa"/>
            <w:hideMark/>
          </w:tcPr>
          <w:p w:rsidR="00C229E2" w:rsidRPr="00F80CD4" w:rsidRDefault="00C229E2" w:rsidP="0020759B">
            <w:pPr>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 </w:t>
            </w:r>
          </w:p>
        </w:tc>
        <w:tc>
          <w:tcPr>
            <w:tcW w:w="1128" w:type="dxa"/>
            <w:hideMark/>
          </w:tcPr>
          <w:p w:rsidR="00C229E2" w:rsidRPr="00F80CD4" w:rsidRDefault="00C229E2" w:rsidP="0020759B">
            <w:pPr>
              <w:jc w:val="right"/>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31/12/2008</w:t>
            </w:r>
          </w:p>
        </w:tc>
        <w:tc>
          <w:tcPr>
            <w:tcW w:w="1966" w:type="dxa"/>
            <w:gridSpan w:val="2"/>
            <w:hideMark/>
          </w:tcPr>
          <w:p w:rsidR="00C229E2" w:rsidRPr="00F80CD4" w:rsidRDefault="00C229E2" w:rsidP="0020759B">
            <w:pPr>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31/12/2009</w:t>
            </w:r>
          </w:p>
        </w:tc>
        <w:tc>
          <w:tcPr>
            <w:tcW w:w="2054" w:type="dxa"/>
            <w:gridSpan w:val="2"/>
            <w:hideMark/>
          </w:tcPr>
          <w:p w:rsidR="00C229E2" w:rsidRPr="00F80CD4" w:rsidRDefault="00C229E2" w:rsidP="0020759B">
            <w:pPr>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31/12/2010</w:t>
            </w:r>
          </w:p>
        </w:tc>
      </w:tr>
      <w:tr w:rsidR="00C229E2" w:rsidRPr="00F80CD4" w:rsidTr="00C229E2">
        <w:trPr>
          <w:cnfStyle w:val="000000010000"/>
          <w:trHeight w:val="615"/>
          <w:jc w:val="center"/>
        </w:trPr>
        <w:tc>
          <w:tcPr>
            <w:cnfStyle w:val="001000000000"/>
            <w:tcW w:w="2792" w:type="dxa"/>
            <w:vAlign w:val="center"/>
            <w:hideMark/>
          </w:tcPr>
          <w:p w:rsidR="00C229E2" w:rsidRPr="00F80CD4" w:rsidRDefault="00C229E2" w:rsidP="0020759B">
            <w:pPr>
              <w:jc w:val="center"/>
              <w:rPr>
                <w:rFonts w:ascii="Times New Roman" w:eastAsia="Times New Roman" w:hAnsi="Times New Roman" w:cs="Times New Roman"/>
                <w:b w:val="0"/>
                <w:bCs w:val="0"/>
                <w:sz w:val="20"/>
                <w:szCs w:val="20"/>
              </w:rPr>
            </w:pPr>
            <w:r w:rsidRPr="00F80CD4">
              <w:rPr>
                <w:rFonts w:ascii="Times New Roman" w:eastAsia="Times New Roman" w:hAnsi="Times New Roman" w:cs="Times New Roman"/>
                <w:b w:val="0"/>
                <w:bCs w:val="0"/>
                <w:sz w:val="20"/>
                <w:szCs w:val="20"/>
              </w:rPr>
              <w:t>Turtas</w:t>
            </w:r>
          </w:p>
        </w:tc>
        <w:tc>
          <w:tcPr>
            <w:tcW w:w="1128" w:type="dxa"/>
            <w:vAlign w:val="center"/>
            <w:hideMark/>
          </w:tcPr>
          <w:p w:rsidR="00C229E2" w:rsidRPr="00F80CD4" w:rsidRDefault="00C229E2" w:rsidP="0020759B">
            <w:pPr>
              <w:jc w:val="center"/>
              <w:cnfStyle w:val="000000010000"/>
              <w:rPr>
                <w:rFonts w:ascii="Times New Roman" w:eastAsia="Times New Roman" w:hAnsi="Times New Roman" w:cs="Times New Roman"/>
                <w:b/>
                <w:bCs/>
                <w:sz w:val="20"/>
                <w:szCs w:val="20"/>
              </w:rPr>
            </w:pPr>
            <w:r w:rsidRPr="00F80CD4">
              <w:rPr>
                <w:rFonts w:ascii="Times New Roman" w:eastAsia="Times New Roman" w:hAnsi="Times New Roman" w:cs="Times New Roman"/>
                <w:sz w:val="20"/>
                <w:szCs w:val="20"/>
              </w:rPr>
              <w:t>EUR</w:t>
            </w:r>
          </w:p>
        </w:tc>
        <w:tc>
          <w:tcPr>
            <w:tcW w:w="1016" w:type="dxa"/>
            <w:vAlign w:val="center"/>
            <w:hideMark/>
          </w:tcPr>
          <w:p w:rsidR="00C229E2" w:rsidRPr="00F80CD4" w:rsidRDefault="00C229E2" w:rsidP="0020759B">
            <w:pPr>
              <w:jc w:val="center"/>
              <w:cnfStyle w:val="000000010000"/>
              <w:rPr>
                <w:rFonts w:ascii="Times New Roman" w:eastAsia="Times New Roman" w:hAnsi="Times New Roman" w:cs="Times New Roman"/>
                <w:b/>
                <w:bCs/>
                <w:sz w:val="20"/>
                <w:szCs w:val="20"/>
              </w:rPr>
            </w:pPr>
            <w:r w:rsidRPr="00F80CD4">
              <w:rPr>
                <w:rFonts w:ascii="Times New Roman" w:eastAsia="Times New Roman" w:hAnsi="Times New Roman" w:cs="Times New Roman"/>
                <w:sz w:val="20"/>
                <w:szCs w:val="20"/>
              </w:rPr>
              <w:t>EUR</w:t>
            </w:r>
          </w:p>
        </w:tc>
        <w:tc>
          <w:tcPr>
            <w:tcW w:w="950" w:type="dxa"/>
            <w:vAlign w:val="center"/>
            <w:hideMark/>
          </w:tcPr>
          <w:p w:rsidR="00C229E2" w:rsidRPr="004D5C99" w:rsidRDefault="00C229E2" w:rsidP="0020759B">
            <w:pPr>
              <w:jc w:val="center"/>
              <w:cnfStyle w:val="000000010000"/>
              <w:rPr>
                <w:rFonts w:ascii="Times New Roman" w:eastAsia="Times New Roman" w:hAnsi="Times New Roman" w:cs="Times New Roman"/>
                <w:b/>
                <w:bCs/>
                <w:sz w:val="20"/>
                <w:szCs w:val="20"/>
              </w:rPr>
            </w:pPr>
            <w:r w:rsidRPr="004D5C99">
              <w:rPr>
                <w:rFonts w:ascii="Times New Roman" w:eastAsia="Times New Roman" w:hAnsi="Times New Roman" w:cs="Times New Roman"/>
                <w:b/>
                <w:bCs/>
                <w:sz w:val="20"/>
                <w:szCs w:val="20"/>
              </w:rPr>
              <w:t xml:space="preserve">Pokytis, </w:t>
            </w:r>
            <w:r w:rsidR="00E6354F">
              <w:rPr>
                <w:rFonts w:ascii="Times New Roman" w:eastAsia="Times New Roman" w:hAnsi="Times New Roman" w:cs="Times New Roman"/>
                <w:b/>
                <w:bCs/>
                <w:sz w:val="20"/>
                <w:szCs w:val="20"/>
              </w:rPr>
              <w:t>proc.</w:t>
            </w:r>
          </w:p>
        </w:tc>
        <w:tc>
          <w:tcPr>
            <w:tcW w:w="1154" w:type="dxa"/>
            <w:vAlign w:val="center"/>
            <w:hideMark/>
          </w:tcPr>
          <w:p w:rsidR="00C229E2" w:rsidRPr="004D5C99" w:rsidRDefault="00C229E2" w:rsidP="0020759B">
            <w:pPr>
              <w:jc w:val="center"/>
              <w:cnfStyle w:val="000000010000"/>
              <w:rPr>
                <w:rFonts w:ascii="Times New Roman" w:eastAsia="Times New Roman" w:hAnsi="Times New Roman" w:cs="Times New Roman"/>
                <w:b/>
                <w:bCs/>
                <w:sz w:val="20"/>
                <w:szCs w:val="20"/>
              </w:rPr>
            </w:pPr>
            <w:r w:rsidRPr="004D5C99">
              <w:rPr>
                <w:rFonts w:ascii="Times New Roman" w:eastAsia="Times New Roman" w:hAnsi="Times New Roman" w:cs="Times New Roman"/>
                <w:sz w:val="20"/>
                <w:szCs w:val="20"/>
              </w:rPr>
              <w:t>EUR</w:t>
            </w:r>
          </w:p>
        </w:tc>
        <w:tc>
          <w:tcPr>
            <w:tcW w:w="900" w:type="dxa"/>
            <w:vAlign w:val="center"/>
            <w:hideMark/>
          </w:tcPr>
          <w:p w:rsidR="00C229E2" w:rsidRPr="004D5C99" w:rsidRDefault="00C229E2" w:rsidP="0020759B">
            <w:pPr>
              <w:jc w:val="center"/>
              <w:cnfStyle w:val="000000010000"/>
              <w:rPr>
                <w:rFonts w:ascii="Times New Roman" w:eastAsia="Times New Roman" w:hAnsi="Times New Roman" w:cs="Times New Roman"/>
                <w:b/>
                <w:bCs/>
                <w:sz w:val="20"/>
                <w:szCs w:val="20"/>
              </w:rPr>
            </w:pPr>
            <w:r w:rsidRPr="004D5C99">
              <w:rPr>
                <w:rFonts w:ascii="Times New Roman" w:eastAsia="Times New Roman" w:hAnsi="Times New Roman" w:cs="Times New Roman"/>
                <w:b/>
                <w:bCs/>
                <w:sz w:val="20"/>
                <w:szCs w:val="20"/>
              </w:rPr>
              <w:t xml:space="preserve">Pokytis, </w:t>
            </w:r>
            <w:r w:rsidR="00E6354F">
              <w:rPr>
                <w:rFonts w:ascii="Times New Roman" w:eastAsia="Times New Roman" w:hAnsi="Times New Roman" w:cs="Times New Roman"/>
                <w:b/>
                <w:bCs/>
                <w:sz w:val="20"/>
                <w:szCs w:val="20"/>
              </w:rPr>
              <w:t>proc.</w:t>
            </w:r>
          </w:p>
        </w:tc>
      </w:tr>
      <w:tr w:rsidR="00C229E2" w:rsidRPr="00F80CD4" w:rsidTr="004D5C99">
        <w:trPr>
          <w:cnfStyle w:val="000000100000"/>
          <w:trHeight w:val="315"/>
          <w:jc w:val="center"/>
        </w:trPr>
        <w:tc>
          <w:tcPr>
            <w:cnfStyle w:val="001000000000"/>
            <w:tcW w:w="2792" w:type="dxa"/>
            <w:hideMark/>
          </w:tcPr>
          <w:p w:rsidR="00C229E2" w:rsidRPr="00651171" w:rsidRDefault="00C229E2" w:rsidP="0020759B">
            <w:pPr>
              <w:rPr>
                <w:rFonts w:ascii="Times New Roman" w:eastAsia="Times New Roman" w:hAnsi="Times New Roman" w:cs="Times New Roman"/>
                <w:b w:val="0"/>
                <w:sz w:val="20"/>
                <w:szCs w:val="20"/>
              </w:rPr>
            </w:pPr>
            <w:r w:rsidRPr="00651171">
              <w:rPr>
                <w:rFonts w:ascii="Times New Roman" w:eastAsia="Times New Roman" w:hAnsi="Times New Roman" w:cs="Times New Roman"/>
                <w:b w:val="0"/>
                <w:sz w:val="20"/>
                <w:szCs w:val="20"/>
              </w:rPr>
              <w:t>Ilgalaikis turtas</w:t>
            </w:r>
          </w:p>
        </w:tc>
        <w:tc>
          <w:tcPr>
            <w:tcW w:w="1128" w:type="dxa"/>
            <w:vAlign w:val="center"/>
            <w:hideMark/>
          </w:tcPr>
          <w:p w:rsidR="00C229E2" w:rsidRPr="00F80CD4" w:rsidRDefault="00C229E2" w:rsidP="004D5C99">
            <w:pPr>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2,031,820</w:t>
            </w:r>
          </w:p>
        </w:tc>
        <w:tc>
          <w:tcPr>
            <w:tcW w:w="1016" w:type="dxa"/>
            <w:vAlign w:val="center"/>
            <w:hideMark/>
          </w:tcPr>
          <w:p w:rsidR="00C229E2" w:rsidRPr="00F80CD4" w:rsidRDefault="00C229E2" w:rsidP="004D5C99">
            <w:pPr>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3,217,420</w:t>
            </w:r>
          </w:p>
        </w:tc>
        <w:tc>
          <w:tcPr>
            <w:tcW w:w="950" w:type="dxa"/>
            <w:vAlign w:val="center"/>
            <w:hideMark/>
          </w:tcPr>
          <w:p w:rsidR="00C229E2" w:rsidRPr="00651171" w:rsidRDefault="00C229E2" w:rsidP="004D5C99">
            <w:pPr>
              <w:jc w:val="center"/>
              <w:cnfStyle w:val="00000010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58.35</w:t>
            </w:r>
          </w:p>
        </w:tc>
        <w:tc>
          <w:tcPr>
            <w:tcW w:w="1154" w:type="dxa"/>
            <w:vAlign w:val="center"/>
            <w:hideMark/>
          </w:tcPr>
          <w:p w:rsidR="00C229E2" w:rsidRPr="00F80CD4" w:rsidRDefault="00C229E2" w:rsidP="004D5C99">
            <w:pPr>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2,760,072</w:t>
            </w:r>
          </w:p>
        </w:tc>
        <w:tc>
          <w:tcPr>
            <w:tcW w:w="900" w:type="dxa"/>
            <w:vAlign w:val="center"/>
            <w:hideMark/>
          </w:tcPr>
          <w:p w:rsidR="00C229E2" w:rsidRPr="00651171" w:rsidRDefault="00C229E2" w:rsidP="004D5C99">
            <w:pPr>
              <w:jc w:val="center"/>
              <w:cnfStyle w:val="00000010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-14.21</w:t>
            </w:r>
          </w:p>
        </w:tc>
      </w:tr>
      <w:tr w:rsidR="00C229E2" w:rsidRPr="00F80CD4" w:rsidTr="004D5C99">
        <w:trPr>
          <w:cnfStyle w:val="000000010000"/>
          <w:trHeight w:val="315"/>
          <w:jc w:val="center"/>
        </w:trPr>
        <w:tc>
          <w:tcPr>
            <w:cnfStyle w:val="001000000000"/>
            <w:tcW w:w="2792" w:type="dxa"/>
            <w:hideMark/>
          </w:tcPr>
          <w:p w:rsidR="00C229E2" w:rsidRPr="00651171" w:rsidRDefault="00C229E2" w:rsidP="0020759B">
            <w:pPr>
              <w:rPr>
                <w:rFonts w:ascii="Times New Roman" w:eastAsia="Times New Roman" w:hAnsi="Times New Roman" w:cs="Times New Roman"/>
                <w:b w:val="0"/>
                <w:sz w:val="20"/>
                <w:szCs w:val="20"/>
              </w:rPr>
            </w:pPr>
            <w:r w:rsidRPr="00651171">
              <w:rPr>
                <w:rFonts w:ascii="Times New Roman" w:eastAsia="Times New Roman" w:hAnsi="Times New Roman" w:cs="Times New Roman"/>
                <w:b w:val="0"/>
                <w:sz w:val="20"/>
                <w:szCs w:val="20"/>
              </w:rPr>
              <w:t>- Nematerialus turtas</w:t>
            </w:r>
          </w:p>
        </w:tc>
        <w:tc>
          <w:tcPr>
            <w:tcW w:w="1128" w:type="dxa"/>
            <w:vAlign w:val="center"/>
            <w:hideMark/>
          </w:tcPr>
          <w:p w:rsidR="00C229E2" w:rsidRPr="00F80CD4" w:rsidRDefault="00C229E2" w:rsidP="004D5C99">
            <w:pPr>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1,636</w:t>
            </w:r>
          </w:p>
        </w:tc>
        <w:tc>
          <w:tcPr>
            <w:tcW w:w="1016" w:type="dxa"/>
            <w:vAlign w:val="center"/>
            <w:hideMark/>
          </w:tcPr>
          <w:p w:rsidR="00C229E2" w:rsidRPr="00F80CD4" w:rsidRDefault="00C229E2" w:rsidP="004D5C99">
            <w:pPr>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1,377</w:t>
            </w:r>
          </w:p>
        </w:tc>
        <w:tc>
          <w:tcPr>
            <w:tcW w:w="950" w:type="dxa"/>
            <w:vAlign w:val="center"/>
            <w:hideMark/>
          </w:tcPr>
          <w:p w:rsidR="00C229E2" w:rsidRPr="00651171" w:rsidRDefault="00C229E2" w:rsidP="004D5C99">
            <w:pPr>
              <w:jc w:val="center"/>
              <w:cnfStyle w:val="00000001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-15.83</w:t>
            </w:r>
          </w:p>
        </w:tc>
        <w:tc>
          <w:tcPr>
            <w:tcW w:w="1154" w:type="dxa"/>
            <w:vAlign w:val="center"/>
            <w:hideMark/>
          </w:tcPr>
          <w:p w:rsidR="00C229E2" w:rsidRPr="00F80CD4" w:rsidRDefault="00C229E2" w:rsidP="004D5C99">
            <w:pPr>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1,027</w:t>
            </w:r>
          </w:p>
        </w:tc>
        <w:tc>
          <w:tcPr>
            <w:tcW w:w="900" w:type="dxa"/>
            <w:vAlign w:val="center"/>
            <w:hideMark/>
          </w:tcPr>
          <w:p w:rsidR="00C229E2" w:rsidRPr="00651171" w:rsidRDefault="00C229E2" w:rsidP="004D5C99">
            <w:pPr>
              <w:jc w:val="center"/>
              <w:cnfStyle w:val="00000001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-25.41</w:t>
            </w:r>
          </w:p>
        </w:tc>
      </w:tr>
      <w:tr w:rsidR="00C229E2" w:rsidRPr="00F80CD4" w:rsidTr="004D5C99">
        <w:trPr>
          <w:cnfStyle w:val="000000100000"/>
          <w:trHeight w:val="315"/>
          <w:jc w:val="center"/>
        </w:trPr>
        <w:tc>
          <w:tcPr>
            <w:cnfStyle w:val="001000000000"/>
            <w:tcW w:w="2792" w:type="dxa"/>
            <w:hideMark/>
          </w:tcPr>
          <w:p w:rsidR="00C229E2" w:rsidRPr="00651171" w:rsidRDefault="00C229E2" w:rsidP="0020759B">
            <w:pPr>
              <w:rPr>
                <w:rFonts w:ascii="Times New Roman" w:eastAsia="Times New Roman" w:hAnsi="Times New Roman" w:cs="Times New Roman"/>
                <w:b w:val="0"/>
                <w:sz w:val="20"/>
                <w:szCs w:val="20"/>
              </w:rPr>
            </w:pPr>
            <w:r w:rsidRPr="00651171">
              <w:rPr>
                <w:rFonts w:ascii="Times New Roman" w:eastAsia="Times New Roman" w:hAnsi="Times New Roman" w:cs="Times New Roman"/>
                <w:b w:val="0"/>
                <w:sz w:val="20"/>
                <w:szCs w:val="20"/>
              </w:rPr>
              <w:t>- Materialus turtas</w:t>
            </w:r>
          </w:p>
        </w:tc>
        <w:tc>
          <w:tcPr>
            <w:tcW w:w="1128" w:type="dxa"/>
            <w:vAlign w:val="center"/>
            <w:hideMark/>
          </w:tcPr>
          <w:p w:rsidR="00C229E2" w:rsidRPr="00F80CD4" w:rsidRDefault="00C229E2" w:rsidP="004D5C99">
            <w:pPr>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2,030,184</w:t>
            </w:r>
          </w:p>
        </w:tc>
        <w:tc>
          <w:tcPr>
            <w:tcW w:w="1016" w:type="dxa"/>
            <w:vAlign w:val="center"/>
            <w:hideMark/>
          </w:tcPr>
          <w:p w:rsidR="00C229E2" w:rsidRPr="00F80CD4" w:rsidRDefault="00C229E2" w:rsidP="004D5C99">
            <w:pPr>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3,208,100</w:t>
            </w:r>
          </w:p>
        </w:tc>
        <w:tc>
          <w:tcPr>
            <w:tcW w:w="950" w:type="dxa"/>
            <w:vAlign w:val="center"/>
            <w:hideMark/>
          </w:tcPr>
          <w:p w:rsidR="00C229E2" w:rsidRPr="00651171" w:rsidRDefault="00C229E2" w:rsidP="004D5C99">
            <w:pPr>
              <w:jc w:val="center"/>
              <w:cnfStyle w:val="00000010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58.02</w:t>
            </w:r>
          </w:p>
        </w:tc>
        <w:tc>
          <w:tcPr>
            <w:tcW w:w="1154" w:type="dxa"/>
            <w:vAlign w:val="center"/>
            <w:hideMark/>
          </w:tcPr>
          <w:p w:rsidR="00C229E2" w:rsidRPr="00F80CD4" w:rsidRDefault="00C229E2" w:rsidP="004D5C99">
            <w:pPr>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2,759,045</w:t>
            </w:r>
          </w:p>
        </w:tc>
        <w:tc>
          <w:tcPr>
            <w:tcW w:w="900" w:type="dxa"/>
            <w:vAlign w:val="center"/>
            <w:hideMark/>
          </w:tcPr>
          <w:p w:rsidR="00C229E2" w:rsidRPr="00651171" w:rsidRDefault="00C229E2" w:rsidP="004D5C99">
            <w:pPr>
              <w:jc w:val="center"/>
              <w:cnfStyle w:val="00000010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-14.00</w:t>
            </w:r>
          </w:p>
        </w:tc>
      </w:tr>
      <w:tr w:rsidR="00C229E2" w:rsidRPr="00F80CD4" w:rsidTr="004D5C99">
        <w:trPr>
          <w:cnfStyle w:val="000000010000"/>
          <w:trHeight w:val="315"/>
          <w:jc w:val="center"/>
        </w:trPr>
        <w:tc>
          <w:tcPr>
            <w:cnfStyle w:val="001000000000"/>
            <w:tcW w:w="2792" w:type="dxa"/>
            <w:hideMark/>
          </w:tcPr>
          <w:p w:rsidR="00C229E2" w:rsidRPr="00651171" w:rsidRDefault="00C229E2" w:rsidP="0020759B">
            <w:pPr>
              <w:rPr>
                <w:rFonts w:ascii="Times New Roman" w:eastAsia="Times New Roman" w:hAnsi="Times New Roman" w:cs="Times New Roman"/>
                <w:b w:val="0"/>
                <w:sz w:val="20"/>
                <w:szCs w:val="20"/>
              </w:rPr>
            </w:pPr>
            <w:r w:rsidRPr="00651171">
              <w:rPr>
                <w:rFonts w:ascii="Times New Roman" w:eastAsia="Times New Roman" w:hAnsi="Times New Roman" w:cs="Times New Roman"/>
                <w:b w:val="0"/>
                <w:sz w:val="20"/>
                <w:szCs w:val="20"/>
              </w:rPr>
              <w:t>- Kitas turtas</w:t>
            </w:r>
          </w:p>
        </w:tc>
        <w:tc>
          <w:tcPr>
            <w:tcW w:w="1128" w:type="dxa"/>
            <w:vAlign w:val="center"/>
            <w:hideMark/>
          </w:tcPr>
          <w:p w:rsidR="00C229E2" w:rsidRPr="00F80CD4" w:rsidRDefault="00C229E2" w:rsidP="004D5C99">
            <w:pPr>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0</w:t>
            </w:r>
          </w:p>
        </w:tc>
        <w:tc>
          <w:tcPr>
            <w:tcW w:w="1016" w:type="dxa"/>
            <w:vAlign w:val="center"/>
            <w:hideMark/>
          </w:tcPr>
          <w:p w:rsidR="00C229E2" w:rsidRPr="00F80CD4" w:rsidRDefault="00C229E2" w:rsidP="004D5C99">
            <w:pPr>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7,943</w:t>
            </w:r>
          </w:p>
        </w:tc>
        <w:tc>
          <w:tcPr>
            <w:tcW w:w="950" w:type="dxa"/>
            <w:vAlign w:val="center"/>
            <w:hideMark/>
          </w:tcPr>
          <w:p w:rsidR="00C229E2" w:rsidRPr="00651171" w:rsidRDefault="00C229E2" w:rsidP="004D5C99">
            <w:pPr>
              <w:jc w:val="center"/>
              <w:cnfStyle w:val="00000001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0.00</w:t>
            </w:r>
          </w:p>
        </w:tc>
        <w:tc>
          <w:tcPr>
            <w:tcW w:w="1154" w:type="dxa"/>
            <w:vAlign w:val="center"/>
            <w:hideMark/>
          </w:tcPr>
          <w:p w:rsidR="00C229E2" w:rsidRPr="00F80CD4" w:rsidRDefault="00C229E2" w:rsidP="004D5C99">
            <w:pPr>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0</w:t>
            </w:r>
          </w:p>
        </w:tc>
        <w:tc>
          <w:tcPr>
            <w:tcW w:w="900" w:type="dxa"/>
            <w:vAlign w:val="center"/>
            <w:hideMark/>
          </w:tcPr>
          <w:p w:rsidR="00C229E2" w:rsidRPr="00651171" w:rsidRDefault="00C229E2" w:rsidP="004D5C99">
            <w:pPr>
              <w:jc w:val="center"/>
              <w:cnfStyle w:val="00000001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-100.00</w:t>
            </w:r>
          </w:p>
        </w:tc>
      </w:tr>
      <w:tr w:rsidR="00C229E2" w:rsidRPr="00F80CD4" w:rsidTr="004D5C99">
        <w:trPr>
          <w:cnfStyle w:val="000000100000"/>
          <w:trHeight w:val="315"/>
          <w:jc w:val="center"/>
        </w:trPr>
        <w:tc>
          <w:tcPr>
            <w:cnfStyle w:val="001000000000"/>
            <w:tcW w:w="2792" w:type="dxa"/>
            <w:hideMark/>
          </w:tcPr>
          <w:p w:rsidR="00C229E2" w:rsidRPr="00651171" w:rsidRDefault="00C229E2" w:rsidP="0020759B">
            <w:pPr>
              <w:rPr>
                <w:rFonts w:ascii="Times New Roman" w:eastAsia="Times New Roman" w:hAnsi="Times New Roman" w:cs="Times New Roman"/>
                <w:b w:val="0"/>
                <w:sz w:val="20"/>
                <w:szCs w:val="20"/>
              </w:rPr>
            </w:pPr>
            <w:r w:rsidRPr="00651171">
              <w:rPr>
                <w:rFonts w:ascii="Times New Roman" w:eastAsia="Times New Roman" w:hAnsi="Times New Roman" w:cs="Times New Roman"/>
                <w:b w:val="0"/>
                <w:sz w:val="20"/>
                <w:szCs w:val="20"/>
              </w:rPr>
              <w:t>Trumpalaikis turtas</w:t>
            </w:r>
          </w:p>
        </w:tc>
        <w:tc>
          <w:tcPr>
            <w:tcW w:w="1128" w:type="dxa"/>
            <w:vAlign w:val="center"/>
            <w:hideMark/>
          </w:tcPr>
          <w:p w:rsidR="00C229E2" w:rsidRPr="00F80CD4" w:rsidRDefault="00C229E2" w:rsidP="004D5C99">
            <w:pPr>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1,066,606</w:t>
            </w:r>
          </w:p>
        </w:tc>
        <w:tc>
          <w:tcPr>
            <w:tcW w:w="1016" w:type="dxa"/>
            <w:vAlign w:val="center"/>
            <w:hideMark/>
          </w:tcPr>
          <w:p w:rsidR="00C229E2" w:rsidRPr="00F80CD4" w:rsidRDefault="00C229E2" w:rsidP="004D5C99">
            <w:pPr>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1,095,642</w:t>
            </w:r>
          </w:p>
        </w:tc>
        <w:tc>
          <w:tcPr>
            <w:tcW w:w="950" w:type="dxa"/>
            <w:vAlign w:val="center"/>
            <w:hideMark/>
          </w:tcPr>
          <w:p w:rsidR="00C229E2" w:rsidRPr="00651171" w:rsidRDefault="00C229E2" w:rsidP="004D5C99">
            <w:pPr>
              <w:jc w:val="center"/>
              <w:cnfStyle w:val="00000010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2.72</w:t>
            </w:r>
          </w:p>
        </w:tc>
        <w:tc>
          <w:tcPr>
            <w:tcW w:w="1154" w:type="dxa"/>
            <w:vAlign w:val="center"/>
            <w:hideMark/>
          </w:tcPr>
          <w:p w:rsidR="00C229E2" w:rsidRPr="00F80CD4" w:rsidRDefault="00C229E2" w:rsidP="004D5C99">
            <w:pPr>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1,169,738</w:t>
            </w:r>
          </w:p>
        </w:tc>
        <w:tc>
          <w:tcPr>
            <w:tcW w:w="900" w:type="dxa"/>
            <w:vAlign w:val="center"/>
            <w:hideMark/>
          </w:tcPr>
          <w:p w:rsidR="00C229E2" w:rsidRPr="00651171" w:rsidRDefault="00C229E2" w:rsidP="004D5C99">
            <w:pPr>
              <w:jc w:val="center"/>
              <w:cnfStyle w:val="00000010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6.76</w:t>
            </w:r>
          </w:p>
        </w:tc>
      </w:tr>
      <w:tr w:rsidR="00C229E2" w:rsidRPr="00F80CD4" w:rsidTr="004D5C99">
        <w:trPr>
          <w:cnfStyle w:val="000000010000"/>
          <w:trHeight w:val="315"/>
          <w:jc w:val="center"/>
        </w:trPr>
        <w:tc>
          <w:tcPr>
            <w:cnfStyle w:val="001000000000"/>
            <w:tcW w:w="2792" w:type="dxa"/>
            <w:hideMark/>
          </w:tcPr>
          <w:p w:rsidR="00C229E2" w:rsidRPr="00651171" w:rsidRDefault="00C229E2" w:rsidP="0020759B">
            <w:pPr>
              <w:rPr>
                <w:rFonts w:ascii="Times New Roman" w:eastAsia="Times New Roman" w:hAnsi="Times New Roman" w:cs="Times New Roman"/>
                <w:b w:val="0"/>
                <w:sz w:val="20"/>
                <w:szCs w:val="20"/>
              </w:rPr>
            </w:pPr>
            <w:r w:rsidRPr="00651171">
              <w:rPr>
                <w:rFonts w:ascii="Times New Roman" w:eastAsia="Times New Roman" w:hAnsi="Times New Roman" w:cs="Times New Roman"/>
                <w:b w:val="0"/>
                <w:sz w:val="20"/>
                <w:szCs w:val="20"/>
              </w:rPr>
              <w:t>- Atsargos</w:t>
            </w:r>
          </w:p>
        </w:tc>
        <w:tc>
          <w:tcPr>
            <w:tcW w:w="1128" w:type="dxa"/>
            <w:vAlign w:val="center"/>
            <w:hideMark/>
          </w:tcPr>
          <w:p w:rsidR="00C229E2" w:rsidRPr="00F80CD4" w:rsidRDefault="00C229E2" w:rsidP="004D5C99">
            <w:pPr>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329,155</w:t>
            </w:r>
          </w:p>
        </w:tc>
        <w:tc>
          <w:tcPr>
            <w:tcW w:w="1016" w:type="dxa"/>
            <w:vAlign w:val="center"/>
            <w:hideMark/>
          </w:tcPr>
          <w:p w:rsidR="00C229E2" w:rsidRPr="00F80CD4" w:rsidRDefault="00C229E2" w:rsidP="004D5C99">
            <w:pPr>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314,694</w:t>
            </w:r>
          </w:p>
        </w:tc>
        <w:tc>
          <w:tcPr>
            <w:tcW w:w="950" w:type="dxa"/>
            <w:vAlign w:val="center"/>
            <w:hideMark/>
          </w:tcPr>
          <w:p w:rsidR="00C229E2" w:rsidRPr="00651171" w:rsidRDefault="00C229E2" w:rsidP="004D5C99">
            <w:pPr>
              <w:jc w:val="center"/>
              <w:cnfStyle w:val="00000001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-4.39</w:t>
            </w:r>
          </w:p>
        </w:tc>
        <w:tc>
          <w:tcPr>
            <w:tcW w:w="1154" w:type="dxa"/>
            <w:vAlign w:val="center"/>
            <w:hideMark/>
          </w:tcPr>
          <w:p w:rsidR="00C229E2" w:rsidRPr="00F80CD4" w:rsidRDefault="00C229E2" w:rsidP="004D5C99">
            <w:pPr>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299,146</w:t>
            </w:r>
          </w:p>
        </w:tc>
        <w:tc>
          <w:tcPr>
            <w:tcW w:w="900" w:type="dxa"/>
            <w:vAlign w:val="center"/>
            <w:hideMark/>
          </w:tcPr>
          <w:p w:rsidR="00C229E2" w:rsidRPr="00651171" w:rsidRDefault="00C229E2" w:rsidP="004D5C99">
            <w:pPr>
              <w:jc w:val="center"/>
              <w:cnfStyle w:val="00000001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-4.94</w:t>
            </w:r>
          </w:p>
        </w:tc>
      </w:tr>
      <w:tr w:rsidR="00C229E2" w:rsidRPr="00F80CD4" w:rsidTr="004D5C99">
        <w:trPr>
          <w:cnfStyle w:val="000000100000"/>
          <w:trHeight w:val="510"/>
          <w:jc w:val="center"/>
        </w:trPr>
        <w:tc>
          <w:tcPr>
            <w:cnfStyle w:val="001000000000"/>
            <w:tcW w:w="2792" w:type="dxa"/>
            <w:hideMark/>
          </w:tcPr>
          <w:p w:rsidR="00C229E2" w:rsidRPr="00651171" w:rsidRDefault="00C229E2" w:rsidP="0020759B">
            <w:pPr>
              <w:rPr>
                <w:rFonts w:ascii="Times New Roman" w:eastAsia="Times New Roman" w:hAnsi="Times New Roman" w:cs="Times New Roman"/>
                <w:b w:val="0"/>
                <w:sz w:val="20"/>
                <w:szCs w:val="20"/>
              </w:rPr>
            </w:pPr>
            <w:r w:rsidRPr="00651171">
              <w:rPr>
                <w:rFonts w:ascii="Times New Roman" w:eastAsia="Times New Roman" w:hAnsi="Times New Roman" w:cs="Times New Roman"/>
                <w:b w:val="0"/>
                <w:sz w:val="20"/>
                <w:szCs w:val="20"/>
              </w:rPr>
              <w:t>- Per vienerius metus gautinos sumos</w:t>
            </w:r>
          </w:p>
        </w:tc>
        <w:tc>
          <w:tcPr>
            <w:tcW w:w="1128" w:type="dxa"/>
            <w:vAlign w:val="center"/>
            <w:hideMark/>
          </w:tcPr>
          <w:p w:rsidR="00C229E2" w:rsidRPr="00F80CD4" w:rsidRDefault="00C229E2" w:rsidP="004D5C99">
            <w:pPr>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503,220</w:t>
            </w:r>
          </w:p>
        </w:tc>
        <w:tc>
          <w:tcPr>
            <w:tcW w:w="1016" w:type="dxa"/>
            <w:vAlign w:val="center"/>
            <w:hideMark/>
          </w:tcPr>
          <w:p w:rsidR="00C229E2" w:rsidRPr="00F80CD4" w:rsidRDefault="00C229E2" w:rsidP="004D5C99">
            <w:pPr>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569,066</w:t>
            </w:r>
          </w:p>
        </w:tc>
        <w:tc>
          <w:tcPr>
            <w:tcW w:w="950" w:type="dxa"/>
            <w:vAlign w:val="center"/>
            <w:hideMark/>
          </w:tcPr>
          <w:p w:rsidR="00C229E2" w:rsidRPr="00651171" w:rsidRDefault="00C229E2" w:rsidP="004D5C99">
            <w:pPr>
              <w:jc w:val="center"/>
              <w:cnfStyle w:val="00000010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13.08</w:t>
            </w:r>
          </w:p>
        </w:tc>
        <w:tc>
          <w:tcPr>
            <w:tcW w:w="1154" w:type="dxa"/>
            <w:vAlign w:val="center"/>
            <w:hideMark/>
          </w:tcPr>
          <w:p w:rsidR="00C229E2" w:rsidRPr="00F80CD4" w:rsidRDefault="00C229E2" w:rsidP="004D5C99">
            <w:pPr>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771,085</w:t>
            </w:r>
          </w:p>
        </w:tc>
        <w:tc>
          <w:tcPr>
            <w:tcW w:w="900" w:type="dxa"/>
            <w:vAlign w:val="center"/>
            <w:hideMark/>
          </w:tcPr>
          <w:p w:rsidR="00C229E2" w:rsidRPr="00651171" w:rsidRDefault="00C229E2" w:rsidP="004D5C99">
            <w:pPr>
              <w:jc w:val="center"/>
              <w:cnfStyle w:val="00000010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35.50</w:t>
            </w:r>
          </w:p>
        </w:tc>
      </w:tr>
      <w:tr w:rsidR="00C229E2" w:rsidRPr="00F80CD4" w:rsidTr="004D5C99">
        <w:trPr>
          <w:cnfStyle w:val="000000010000"/>
          <w:trHeight w:val="300"/>
          <w:jc w:val="center"/>
        </w:trPr>
        <w:tc>
          <w:tcPr>
            <w:cnfStyle w:val="001000000000"/>
            <w:tcW w:w="2792" w:type="dxa"/>
            <w:hideMark/>
          </w:tcPr>
          <w:p w:rsidR="00C229E2" w:rsidRPr="00651171" w:rsidRDefault="00C229E2" w:rsidP="0020759B">
            <w:pPr>
              <w:rPr>
                <w:rFonts w:ascii="Times New Roman" w:eastAsia="Times New Roman" w:hAnsi="Times New Roman" w:cs="Times New Roman"/>
                <w:b w:val="0"/>
                <w:sz w:val="20"/>
                <w:szCs w:val="20"/>
              </w:rPr>
            </w:pPr>
            <w:r w:rsidRPr="00651171">
              <w:rPr>
                <w:rFonts w:ascii="Times New Roman" w:eastAsia="Times New Roman" w:hAnsi="Times New Roman" w:cs="Times New Roman"/>
                <w:b w:val="0"/>
                <w:sz w:val="20"/>
                <w:szCs w:val="20"/>
              </w:rPr>
              <w:t>- Kitas trumpalaikis turtas</w:t>
            </w:r>
          </w:p>
        </w:tc>
        <w:tc>
          <w:tcPr>
            <w:tcW w:w="1128" w:type="dxa"/>
            <w:vAlign w:val="center"/>
            <w:hideMark/>
          </w:tcPr>
          <w:p w:rsidR="00C229E2" w:rsidRPr="00F80CD4" w:rsidRDefault="00C229E2" w:rsidP="004D5C99">
            <w:pPr>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234,232</w:t>
            </w:r>
          </w:p>
        </w:tc>
        <w:tc>
          <w:tcPr>
            <w:tcW w:w="1016" w:type="dxa"/>
            <w:vAlign w:val="center"/>
            <w:hideMark/>
          </w:tcPr>
          <w:p w:rsidR="00C229E2" w:rsidRPr="00F80CD4" w:rsidRDefault="00C229E2" w:rsidP="004D5C99">
            <w:pPr>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211,882</w:t>
            </w:r>
          </w:p>
        </w:tc>
        <w:tc>
          <w:tcPr>
            <w:tcW w:w="950" w:type="dxa"/>
            <w:vAlign w:val="center"/>
            <w:hideMark/>
          </w:tcPr>
          <w:p w:rsidR="00C229E2" w:rsidRPr="00651171" w:rsidRDefault="00C229E2" w:rsidP="004D5C99">
            <w:pPr>
              <w:jc w:val="center"/>
              <w:cnfStyle w:val="00000001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-9.54</w:t>
            </w:r>
          </w:p>
        </w:tc>
        <w:tc>
          <w:tcPr>
            <w:tcW w:w="1154" w:type="dxa"/>
            <w:vAlign w:val="center"/>
            <w:hideMark/>
          </w:tcPr>
          <w:p w:rsidR="00C229E2" w:rsidRPr="00F80CD4" w:rsidRDefault="00C229E2" w:rsidP="004D5C99">
            <w:pPr>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99,507</w:t>
            </w:r>
          </w:p>
        </w:tc>
        <w:tc>
          <w:tcPr>
            <w:tcW w:w="900" w:type="dxa"/>
            <w:vAlign w:val="center"/>
            <w:hideMark/>
          </w:tcPr>
          <w:p w:rsidR="00C229E2" w:rsidRPr="00651171" w:rsidRDefault="00C229E2" w:rsidP="004D5C99">
            <w:pPr>
              <w:jc w:val="center"/>
              <w:cnfStyle w:val="00000001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-53.04</w:t>
            </w:r>
          </w:p>
        </w:tc>
      </w:tr>
      <w:tr w:rsidR="00C229E2" w:rsidRPr="00F80CD4" w:rsidTr="004D5C99">
        <w:trPr>
          <w:cnfStyle w:val="000000100000"/>
          <w:trHeight w:val="300"/>
          <w:jc w:val="center"/>
        </w:trPr>
        <w:tc>
          <w:tcPr>
            <w:cnfStyle w:val="001000000000"/>
            <w:tcW w:w="2792" w:type="dxa"/>
            <w:hideMark/>
          </w:tcPr>
          <w:p w:rsidR="00C229E2" w:rsidRPr="00651171" w:rsidRDefault="00C229E2" w:rsidP="0020759B">
            <w:pPr>
              <w:rPr>
                <w:rFonts w:ascii="Times New Roman" w:eastAsia="Times New Roman" w:hAnsi="Times New Roman" w:cs="Times New Roman"/>
                <w:b w:val="0"/>
                <w:sz w:val="20"/>
                <w:szCs w:val="20"/>
              </w:rPr>
            </w:pPr>
            <w:r w:rsidRPr="00651171">
              <w:rPr>
                <w:rFonts w:ascii="Times New Roman" w:eastAsia="Times New Roman" w:hAnsi="Times New Roman" w:cs="Times New Roman"/>
                <w:b w:val="0"/>
                <w:sz w:val="20"/>
                <w:szCs w:val="20"/>
              </w:rPr>
              <w:t>* Pinigai ir jų ekvivalentai</w:t>
            </w:r>
          </w:p>
        </w:tc>
        <w:tc>
          <w:tcPr>
            <w:tcW w:w="1128" w:type="dxa"/>
            <w:vAlign w:val="center"/>
            <w:hideMark/>
          </w:tcPr>
          <w:p w:rsidR="00C229E2" w:rsidRPr="00F80CD4" w:rsidRDefault="00C229E2" w:rsidP="004D5C99">
            <w:pPr>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138,072</w:t>
            </w:r>
          </w:p>
        </w:tc>
        <w:tc>
          <w:tcPr>
            <w:tcW w:w="1016" w:type="dxa"/>
            <w:vAlign w:val="center"/>
            <w:hideMark/>
          </w:tcPr>
          <w:p w:rsidR="00C229E2" w:rsidRPr="00F80CD4" w:rsidRDefault="00C229E2" w:rsidP="004D5C99">
            <w:pPr>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90,221</w:t>
            </w:r>
          </w:p>
        </w:tc>
        <w:tc>
          <w:tcPr>
            <w:tcW w:w="950" w:type="dxa"/>
            <w:vAlign w:val="center"/>
            <w:hideMark/>
          </w:tcPr>
          <w:p w:rsidR="00C229E2" w:rsidRPr="00651171" w:rsidRDefault="00C229E2" w:rsidP="004D5C99">
            <w:pPr>
              <w:jc w:val="center"/>
              <w:cnfStyle w:val="00000010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-34.66</w:t>
            </w:r>
          </w:p>
        </w:tc>
        <w:tc>
          <w:tcPr>
            <w:tcW w:w="1154" w:type="dxa"/>
            <w:vAlign w:val="center"/>
            <w:hideMark/>
          </w:tcPr>
          <w:p w:rsidR="00C229E2" w:rsidRPr="00F80CD4" w:rsidRDefault="00C229E2" w:rsidP="004D5C99">
            <w:pPr>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11,684</w:t>
            </w:r>
          </w:p>
        </w:tc>
        <w:tc>
          <w:tcPr>
            <w:tcW w:w="900" w:type="dxa"/>
            <w:vAlign w:val="center"/>
            <w:hideMark/>
          </w:tcPr>
          <w:p w:rsidR="00C229E2" w:rsidRPr="00651171" w:rsidRDefault="00C229E2" w:rsidP="004D5C99">
            <w:pPr>
              <w:jc w:val="center"/>
              <w:cnfStyle w:val="00000010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-87.05</w:t>
            </w:r>
          </w:p>
        </w:tc>
      </w:tr>
      <w:tr w:rsidR="00C229E2" w:rsidRPr="00F80CD4" w:rsidTr="004D5C99">
        <w:trPr>
          <w:cnfStyle w:val="000000010000"/>
          <w:trHeight w:val="300"/>
          <w:jc w:val="center"/>
        </w:trPr>
        <w:tc>
          <w:tcPr>
            <w:cnfStyle w:val="001000000000"/>
            <w:tcW w:w="2792" w:type="dxa"/>
            <w:hideMark/>
          </w:tcPr>
          <w:p w:rsidR="00C229E2" w:rsidRPr="00F80CD4" w:rsidRDefault="00C229E2" w:rsidP="0020759B">
            <w:pPr>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TURTO IŠ VISO</w:t>
            </w:r>
          </w:p>
        </w:tc>
        <w:tc>
          <w:tcPr>
            <w:tcW w:w="1128" w:type="dxa"/>
            <w:vAlign w:val="center"/>
            <w:hideMark/>
          </w:tcPr>
          <w:p w:rsidR="00C229E2" w:rsidRPr="00887D37" w:rsidRDefault="00C229E2" w:rsidP="004D5C99">
            <w:pPr>
              <w:jc w:val="center"/>
              <w:cnfStyle w:val="000000010000"/>
              <w:rPr>
                <w:rFonts w:ascii="Times New Roman" w:eastAsia="Times New Roman" w:hAnsi="Times New Roman" w:cs="Times New Roman"/>
                <w:b/>
                <w:sz w:val="20"/>
                <w:szCs w:val="20"/>
              </w:rPr>
            </w:pPr>
            <w:r w:rsidRPr="00887D37">
              <w:rPr>
                <w:rFonts w:ascii="Times New Roman" w:eastAsia="Times New Roman" w:hAnsi="Times New Roman" w:cs="Times New Roman"/>
                <w:b/>
                <w:sz w:val="20"/>
                <w:szCs w:val="20"/>
              </w:rPr>
              <w:t>3,098,426</w:t>
            </w:r>
          </w:p>
        </w:tc>
        <w:tc>
          <w:tcPr>
            <w:tcW w:w="1016" w:type="dxa"/>
            <w:vAlign w:val="center"/>
            <w:hideMark/>
          </w:tcPr>
          <w:p w:rsidR="00C229E2" w:rsidRPr="00887D37" w:rsidRDefault="00C229E2" w:rsidP="004D5C99">
            <w:pPr>
              <w:jc w:val="center"/>
              <w:cnfStyle w:val="000000010000"/>
              <w:rPr>
                <w:rFonts w:ascii="Times New Roman" w:eastAsia="Times New Roman" w:hAnsi="Times New Roman" w:cs="Times New Roman"/>
                <w:b/>
                <w:sz w:val="20"/>
                <w:szCs w:val="20"/>
              </w:rPr>
            </w:pPr>
            <w:r w:rsidRPr="00887D37">
              <w:rPr>
                <w:rFonts w:ascii="Times New Roman" w:eastAsia="Times New Roman" w:hAnsi="Times New Roman" w:cs="Times New Roman"/>
                <w:b/>
                <w:sz w:val="20"/>
                <w:szCs w:val="20"/>
              </w:rPr>
              <w:t>4,313,061</w:t>
            </w:r>
          </w:p>
        </w:tc>
        <w:tc>
          <w:tcPr>
            <w:tcW w:w="950" w:type="dxa"/>
            <w:vAlign w:val="center"/>
            <w:hideMark/>
          </w:tcPr>
          <w:p w:rsidR="00C229E2" w:rsidRPr="00887D37" w:rsidRDefault="00C229E2" w:rsidP="004D5C99">
            <w:pPr>
              <w:jc w:val="center"/>
              <w:cnfStyle w:val="000000010000"/>
              <w:rPr>
                <w:rFonts w:ascii="Times New Roman" w:eastAsia="Times New Roman" w:hAnsi="Times New Roman" w:cs="Times New Roman"/>
                <w:b/>
                <w:i/>
                <w:sz w:val="20"/>
                <w:szCs w:val="20"/>
              </w:rPr>
            </w:pPr>
            <w:r w:rsidRPr="00887D37">
              <w:rPr>
                <w:rFonts w:ascii="Times New Roman" w:eastAsia="Times New Roman" w:hAnsi="Times New Roman" w:cs="Times New Roman"/>
                <w:b/>
                <w:i/>
                <w:sz w:val="20"/>
                <w:szCs w:val="20"/>
              </w:rPr>
              <w:t>39.20</w:t>
            </w:r>
          </w:p>
        </w:tc>
        <w:tc>
          <w:tcPr>
            <w:tcW w:w="1154" w:type="dxa"/>
            <w:vAlign w:val="center"/>
            <w:hideMark/>
          </w:tcPr>
          <w:p w:rsidR="00C229E2" w:rsidRPr="00887D37" w:rsidRDefault="00C229E2" w:rsidP="004D5C99">
            <w:pPr>
              <w:jc w:val="center"/>
              <w:cnfStyle w:val="000000010000"/>
              <w:rPr>
                <w:rFonts w:ascii="Times New Roman" w:eastAsia="Times New Roman" w:hAnsi="Times New Roman" w:cs="Times New Roman"/>
                <w:b/>
                <w:sz w:val="20"/>
                <w:szCs w:val="20"/>
              </w:rPr>
            </w:pPr>
            <w:r w:rsidRPr="00887D37">
              <w:rPr>
                <w:rFonts w:ascii="Times New Roman" w:eastAsia="Times New Roman" w:hAnsi="Times New Roman" w:cs="Times New Roman"/>
                <w:b/>
                <w:sz w:val="20"/>
                <w:szCs w:val="20"/>
              </w:rPr>
              <w:t>3,929,810</w:t>
            </w:r>
          </w:p>
        </w:tc>
        <w:tc>
          <w:tcPr>
            <w:tcW w:w="900" w:type="dxa"/>
            <w:vAlign w:val="center"/>
            <w:hideMark/>
          </w:tcPr>
          <w:p w:rsidR="00C229E2" w:rsidRPr="00887D37" w:rsidRDefault="00C229E2" w:rsidP="004D5C99">
            <w:pPr>
              <w:jc w:val="center"/>
              <w:cnfStyle w:val="000000010000"/>
              <w:rPr>
                <w:rFonts w:ascii="Times New Roman" w:eastAsia="Times New Roman" w:hAnsi="Times New Roman" w:cs="Times New Roman"/>
                <w:b/>
                <w:i/>
                <w:sz w:val="20"/>
                <w:szCs w:val="20"/>
              </w:rPr>
            </w:pPr>
            <w:r w:rsidRPr="00887D37">
              <w:rPr>
                <w:rFonts w:ascii="Times New Roman" w:eastAsia="Times New Roman" w:hAnsi="Times New Roman" w:cs="Times New Roman"/>
                <w:b/>
                <w:i/>
                <w:sz w:val="20"/>
                <w:szCs w:val="20"/>
              </w:rPr>
              <w:t>-8.89</w:t>
            </w:r>
          </w:p>
        </w:tc>
      </w:tr>
      <w:tr w:rsidR="00E6354F" w:rsidRPr="00F80CD4" w:rsidTr="004D5C99">
        <w:trPr>
          <w:cnfStyle w:val="000000100000"/>
          <w:trHeight w:val="525"/>
          <w:jc w:val="center"/>
        </w:trPr>
        <w:tc>
          <w:tcPr>
            <w:cnfStyle w:val="001000000000"/>
            <w:tcW w:w="2792" w:type="dxa"/>
            <w:vAlign w:val="center"/>
            <w:hideMark/>
          </w:tcPr>
          <w:p w:rsidR="00E6354F" w:rsidRPr="00F80CD4" w:rsidRDefault="00E6354F" w:rsidP="0020759B">
            <w:pPr>
              <w:jc w:val="center"/>
              <w:rPr>
                <w:rFonts w:ascii="Times New Roman" w:eastAsia="Times New Roman" w:hAnsi="Times New Roman" w:cs="Times New Roman"/>
                <w:b w:val="0"/>
                <w:bCs w:val="0"/>
                <w:sz w:val="20"/>
                <w:szCs w:val="20"/>
              </w:rPr>
            </w:pPr>
            <w:r w:rsidRPr="00F80CD4">
              <w:rPr>
                <w:rFonts w:ascii="Times New Roman" w:eastAsia="Times New Roman" w:hAnsi="Times New Roman" w:cs="Times New Roman"/>
                <w:b w:val="0"/>
                <w:bCs w:val="0"/>
                <w:sz w:val="20"/>
                <w:szCs w:val="20"/>
              </w:rPr>
              <w:t>Nuosavas kapitalas ir įsipareigojimai</w:t>
            </w:r>
          </w:p>
        </w:tc>
        <w:tc>
          <w:tcPr>
            <w:tcW w:w="1128" w:type="dxa"/>
            <w:vAlign w:val="center"/>
            <w:hideMark/>
          </w:tcPr>
          <w:p w:rsidR="00E6354F" w:rsidRPr="00F80CD4" w:rsidRDefault="00E6354F" w:rsidP="004633A4">
            <w:pPr>
              <w:jc w:val="center"/>
              <w:cnfStyle w:val="000000100000"/>
              <w:rPr>
                <w:rFonts w:ascii="Times New Roman" w:eastAsia="Times New Roman" w:hAnsi="Times New Roman" w:cs="Times New Roman"/>
                <w:b/>
                <w:bCs/>
                <w:sz w:val="20"/>
                <w:szCs w:val="20"/>
              </w:rPr>
            </w:pPr>
            <w:r w:rsidRPr="00F80CD4">
              <w:rPr>
                <w:rFonts w:ascii="Times New Roman" w:eastAsia="Times New Roman" w:hAnsi="Times New Roman" w:cs="Times New Roman"/>
                <w:sz w:val="20"/>
                <w:szCs w:val="20"/>
              </w:rPr>
              <w:t>EUR</w:t>
            </w:r>
          </w:p>
        </w:tc>
        <w:tc>
          <w:tcPr>
            <w:tcW w:w="1016" w:type="dxa"/>
            <w:vAlign w:val="center"/>
            <w:hideMark/>
          </w:tcPr>
          <w:p w:rsidR="00E6354F" w:rsidRPr="00F80CD4" w:rsidRDefault="00E6354F" w:rsidP="004633A4">
            <w:pPr>
              <w:jc w:val="center"/>
              <w:cnfStyle w:val="000000100000"/>
              <w:rPr>
                <w:rFonts w:ascii="Times New Roman" w:eastAsia="Times New Roman" w:hAnsi="Times New Roman" w:cs="Times New Roman"/>
                <w:b/>
                <w:bCs/>
                <w:sz w:val="20"/>
                <w:szCs w:val="20"/>
              </w:rPr>
            </w:pPr>
            <w:r w:rsidRPr="00F80CD4">
              <w:rPr>
                <w:rFonts w:ascii="Times New Roman" w:eastAsia="Times New Roman" w:hAnsi="Times New Roman" w:cs="Times New Roman"/>
                <w:sz w:val="20"/>
                <w:szCs w:val="20"/>
              </w:rPr>
              <w:t>EUR</w:t>
            </w:r>
          </w:p>
        </w:tc>
        <w:tc>
          <w:tcPr>
            <w:tcW w:w="950" w:type="dxa"/>
            <w:vAlign w:val="center"/>
            <w:hideMark/>
          </w:tcPr>
          <w:p w:rsidR="00E6354F" w:rsidRPr="004D5C99" w:rsidRDefault="00E6354F" w:rsidP="004633A4">
            <w:pPr>
              <w:jc w:val="center"/>
              <w:cnfStyle w:val="000000100000"/>
              <w:rPr>
                <w:rFonts w:ascii="Times New Roman" w:eastAsia="Times New Roman" w:hAnsi="Times New Roman" w:cs="Times New Roman"/>
                <w:b/>
                <w:bCs/>
                <w:sz w:val="20"/>
                <w:szCs w:val="20"/>
              </w:rPr>
            </w:pPr>
            <w:r w:rsidRPr="004D5C99">
              <w:rPr>
                <w:rFonts w:ascii="Times New Roman" w:eastAsia="Times New Roman" w:hAnsi="Times New Roman" w:cs="Times New Roman"/>
                <w:b/>
                <w:bCs/>
                <w:sz w:val="20"/>
                <w:szCs w:val="20"/>
              </w:rPr>
              <w:t xml:space="preserve">Pokytis, </w:t>
            </w:r>
            <w:r>
              <w:rPr>
                <w:rFonts w:ascii="Times New Roman" w:eastAsia="Times New Roman" w:hAnsi="Times New Roman" w:cs="Times New Roman"/>
                <w:b/>
                <w:bCs/>
                <w:sz w:val="20"/>
                <w:szCs w:val="20"/>
              </w:rPr>
              <w:t>proc.</w:t>
            </w:r>
          </w:p>
        </w:tc>
        <w:tc>
          <w:tcPr>
            <w:tcW w:w="1154" w:type="dxa"/>
            <w:vAlign w:val="center"/>
            <w:hideMark/>
          </w:tcPr>
          <w:p w:rsidR="00E6354F" w:rsidRPr="004D5C99" w:rsidRDefault="00E6354F" w:rsidP="004633A4">
            <w:pPr>
              <w:jc w:val="center"/>
              <w:cnfStyle w:val="000000100000"/>
              <w:rPr>
                <w:rFonts w:ascii="Times New Roman" w:eastAsia="Times New Roman" w:hAnsi="Times New Roman" w:cs="Times New Roman"/>
                <w:b/>
                <w:bCs/>
                <w:sz w:val="20"/>
                <w:szCs w:val="20"/>
              </w:rPr>
            </w:pPr>
            <w:r w:rsidRPr="004D5C99">
              <w:rPr>
                <w:rFonts w:ascii="Times New Roman" w:eastAsia="Times New Roman" w:hAnsi="Times New Roman" w:cs="Times New Roman"/>
                <w:sz w:val="20"/>
                <w:szCs w:val="20"/>
              </w:rPr>
              <w:t>EUR</w:t>
            </w:r>
          </w:p>
        </w:tc>
        <w:tc>
          <w:tcPr>
            <w:tcW w:w="900" w:type="dxa"/>
            <w:vAlign w:val="center"/>
            <w:hideMark/>
          </w:tcPr>
          <w:p w:rsidR="00E6354F" w:rsidRPr="004D5C99" w:rsidRDefault="00E6354F" w:rsidP="004633A4">
            <w:pPr>
              <w:jc w:val="center"/>
              <w:cnfStyle w:val="000000100000"/>
              <w:rPr>
                <w:rFonts w:ascii="Times New Roman" w:eastAsia="Times New Roman" w:hAnsi="Times New Roman" w:cs="Times New Roman"/>
                <w:b/>
                <w:bCs/>
                <w:sz w:val="20"/>
                <w:szCs w:val="20"/>
              </w:rPr>
            </w:pPr>
            <w:r w:rsidRPr="004D5C99">
              <w:rPr>
                <w:rFonts w:ascii="Times New Roman" w:eastAsia="Times New Roman" w:hAnsi="Times New Roman" w:cs="Times New Roman"/>
                <w:b/>
                <w:bCs/>
                <w:sz w:val="20"/>
                <w:szCs w:val="20"/>
              </w:rPr>
              <w:t xml:space="preserve">Pokytis, </w:t>
            </w:r>
            <w:r>
              <w:rPr>
                <w:rFonts w:ascii="Times New Roman" w:eastAsia="Times New Roman" w:hAnsi="Times New Roman" w:cs="Times New Roman"/>
                <w:b/>
                <w:bCs/>
                <w:sz w:val="20"/>
                <w:szCs w:val="20"/>
              </w:rPr>
              <w:t>proc.</w:t>
            </w:r>
          </w:p>
        </w:tc>
      </w:tr>
      <w:tr w:rsidR="00E6354F" w:rsidRPr="00F80CD4" w:rsidTr="004D5C99">
        <w:trPr>
          <w:cnfStyle w:val="000000010000"/>
          <w:trHeight w:val="300"/>
          <w:jc w:val="center"/>
        </w:trPr>
        <w:tc>
          <w:tcPr>
            <w:cnfStyle w:val="001000000000"/>
            <w:tcW w:w="2792" w:type="dxa"/>
            <w:hideMark/>
          </w:tcPr>
          <w:p w:rsidR="00E6354F" w:rsidRPr="00651171" w:rsidRDefault="00E6354F" w:rsidP="0020759B">
            <w:pPr>
              <w:rPr>
                <w:rFonts w:ascii="Times New Roman" w:eastAsia="Times New Roman" w:hAnsi="Times New Roman" w:cs="Times New Roman"/>
                <w:b w:val="0"/>
                <w:sz w:val="20"/>
                <w:szCs w:val="20"/>
              </w:rPr>
            </w:pPr>
            <w:r w:rsidRPr="00651171">
              <w:rPr>
                <w:rFonts w:ascii="Times New Roman" w:eastAsia="Times New Roman" w:hAnsi="Times New Roman" w:cs="Times New Roman"/>
                <w:b w:val="0"/>
                <w:sz w:val="20"/>
                <w:szCs w:val="20"/>
              </w:rPr>
              <w:t>Nuosavas kapitalas</w:t>
            </w:r>
          </w:p>
        </w:tc>
        <w:tc>
          <w:tcPr>
            <w:tcW w:w="1128" w:type="dxa"/>
            <w:vAlign w:val="center"/>
            <w:hideMark/>
          </w:tcPr>
          <w:p w:rsidR="00E6354F" w:rsidRPr="00F80CD4" w:rsidRDefault="00E6354F" w:rsidP="004D5C99">
            <w:pPr>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2,394,678</w:t>
            </w:r>
          </w:p>
        </w:tc>
        <w:tc>
          <w:tcPr>
            <w:tcW w:w="1016" w:type="dxa"/>
            <w:vAlign w:val="center"/>
            <w:hideMark/>
          </w:tcPr>
          <w:p w:rsidR="00E6354F" w:rsidRPr="00F80CD4" w:rsidRDefault="00E6354F" w:rsidP="004D5C99">
            <w:pPr>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2,224,499</w:t>
            </w:r>
          </w:p>
        </w:tc>
        <w:tc>
          <w:tcPr>
            <w:tcW w:w="950" w:type="dxa"/>
            <w:vAlign w:val="center"/>
            <w:hideMark/>
          </w:tcPr>
          <w:p w:rsidR="00E6354F" w:rsidRPr="00651171" w:rsidRDefault="00E6354F" w:rsidP="004D5C99">
            <w:pPr>
              <w:jc w:val="center"/>
              <w:cnfStyle w:val="00000001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-7.11</w:t>
            </w:r>
          </w:p>
        </w:tc>
        <w:tc>
          <w:tcPr>
            <w:tcW w:w="1154" w:type="dxa"/>
            <w:vAlign w:val="center"/>
            <w:hideMark/>
          </w:tcPr>
          <w:p w:rsidR="00E6354F" w:rsidRPr="00F80CD4" w:rsidRDefault="00E6354F" w:rsidP="004D5C99">
            <w:pPr>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1,578,455</w:t>
            </w:r>
          </w:p>
        </w:tc>
        <w:tc>
          <w:tcPr>
            <w:tcW w:w="900" w:type="dxa"/>
            <w:vAlign w:val="center"/>
            <w:hideMark/>
          </w:tcPr>
          <w:p w:rsidR="00E6354F" w:rsidRPr="00651171" w:rsidRDefault="00E6354F" w:rsidP="004D5C99">
            <w:pPr>
              <w:jc w:val="center"/>
              <w:cnfStyle w:val="00000001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-29.04</w:t>
            </w:r>
          </w:p>
        </w:tc>
      </w:tr>
      <w:tr w:rsidR="00E6354F" w:rsidRPr="00F80CD4" w:rsidTr="004D5C99">
        <w:trPr>
          <w:cnfStyle w:val="000000100000"/>
          <w:trHeight w:val="300"/>
          <w:jc w:val="center"/>
        </w:trPr>
        <w:tc>
          <w:tcPr>
            <w:cnfStyle w:val="001000000000"/>
            <w:tcW w:w="2792" w:type="dxa"/>
            <w:hideMark/>
          </w:tcPr>
          <w:p w:rsidR="00E6354F" w:rsidRPr="00651171" w:rsidRDefault="00E6354F" w:rsidP="0020759B">
            <w:pPr>
              <w:rPr>
                <w:rFonts w:ascii="Times New Roman" w:eastAsia="Times New Roman" w:hAnsi="Times New Roman" w:cs="Times New Roman"/>
                <w:b w:val="0"/>
                <w:sz w:val="20"/>
                <w:szCs w:val="20"/>
              </w:rPr>
            </w:pPr>
            <w:r w:rsidRPr="00651171">
              <w:rPr>
                <w:rFonts w:ascii="Times New Roman" w:eastAsia="Times New Roman" w:hAnsi="Times New Roman" w:cs="Times New Roman"/>
                <w:b w:val="0"/>
                <w:sz w:val="20"/>
                <w:szCs w:val="20"/>
              </w:rPr>
              <w:t>- Įstatinis kapitalas</w:t>
            </w:r>
          </w:p>
        </w:tc>
        <w:tc>
          <w:tcPr>
            <w:tcW w:w="1128" w:type="dxa"/>
            <w:vAlign w:val="center"/>
            <w:hideMark/>
          </w:tcPr>
          <w:p w:rsidR="00E6354F" w:rsidRPr="00F80CD4" w:rsidRDefault="00E6354F" w:rsidP="004D5C99">
            <w:pPr>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2,988,250</w:t>
            </w:r>
          </w:p>
        </w:tc>
        <w:tc>
          <w:tcPr>
            <w:tcW w:w="1016" w:type="dxa"/>
            <w:vAlign w:val="center"/>
            <w:hideMark/>
          </w:tcPr>
          <w:p w:rsidR="00E6354F" w:rsidRPr="00F80CD4" w:rsidRDefault="00E6354F" w:rsidP="004D5C99">
            <w:pPr>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2,982,811</w:t>
            </w:r>
          </w:p>
        </w:tc>
        <w:tc>
          <w:tcPr>
            <w:tcW w:w="950" w:type="dxa"/>
            <w:vAlign w:val="center"/>
            <w:hideMark/>
          </w:tcPr>
          <w:p w:rsidR="00E6354F" w:rsidRPr="00651171" w:rsidRDefault="00E6354F" w:rsidP="004D5C99">
            <w:pPr>
              <w:jc w:val="center"/>
              <w:cnfStyle w:val="00000010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-0.18</w:t>
            </w:r>
          </w:p>
        </w:tc>
        <w:tc>
          <w:tcPr>
            <w:tcW w:w="1154" w:type="dxa"/>
            <w:vAlign w:val="center"/>
            <w:hideMark/>
          </w:tcPr>
          <w:p w:rsidR="00E6354F" w:rsidRPr="00F80CD4" w:rsidRDefault="00E6354F" w:rsidP="004D5C99">
            <w:pPr>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3,034,756</w:t>
            </w:r>
          </w:p>
        </w:tc>
        <w:tc>
          <w:tcPr>
            <w:tcW w:w="900" w:type="dxa"/>
            <w:vAlign w:val="center"/>
            <w:hideMark/>
          </w:tcPr>
          <w:p w:rsidR="00E6354F" w:rsidRPr="00651171" w:rsidRDefault="00E6354F" w:rsidP="004D5C99">
            <w:pPr>
              <w:jc w:val="center"/>
              <w:cnfStyle w:val="00000010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1.74</w:t>
            </w:r>
          </w:p>
        </w:tc>
      </w:tr>
      <w:tr w:rsidR="00E6354F" w:rsidRPr="00F80CD4" w:rsidTr="004D5C99">
        <w:trPr>
          <w:cnfStyle w:val="000000010000"/>
          <w:trHeight w:val="300"/>
          <w:jc w:val="center"/>
        </w:trPr>
        <w:tc>
          <w:tcPr>
            <w:cnfStyle w:val="001000000000"/>
            <w:tcW w:w="2792" w:type="dxa"/>
            <w:hideMark/>
          </w:tcPr>
          <w:p w:rsidR="00E6354F" w:rsidRPr="00651171" w:rsidRDefault="00E6354F" w:rsidP="0020759B">
            <w:pPr>
              <w:rPr>
                <w:rFonts w:ascii="Times New Roman" w:eastAsia="Times New Roman" w:hAnsi="Times New Roman" w:cs="Times New Roman"/>
                <w:b w:val="0"/>
                <w:sz w:val="20"/>
                <w:szCs w:val="20"/>
              </w:rPr>
            </w:pPr>
            <w:r w:rsidRPr="00651171">
              <w:rPr>
                <w:rFonts w:ascii="Times New Roman" w:eastAsia="Times New Roman" w:hAnsi="Times New Roman" w:cs="Times New Roman"/>
                <w:b w:val="0"/>
                <w:sz w:val="20"/>
                <w:szCs w:val="20"/>
              </w:rPr>
              <w:t>- Nepaskirstytas pelnas</w:t>
            </w:r>
          </w:p>
        </w:tc>
        <w:tc>
          <w:tcPr>
            <w:tcW w:w="1128" w:type="dxa"/>
            <w:vAlign w:val="center"/>
            <w:hideMark/>
          </w:tcPr>
          <w:p w:rsidR="00E6354F" w:rsidRPr="00F80CD4" w:rsidRDefault="00E6354F" w:rsidP="004D5C99">
            <w:pPr>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-593,572</w:t>
            </w:r>
          </w:p>
        </w:tc>
        <w:tc>
          <w:tcPr>
            <w:tcW w:w="1016" w:type="dxa"/>
            <w:vAlign w:val="center"/>
            <w:hideMark/>
          </w:tcPr>
          <w:p w:rsidR="00E6354F" w:rsidRPr="00F80CD4" w:rsidRDefault="00E6354F" w:rsidP="004D5C99">
            <w:pPr>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-758,312</w:t>
            </w:r>
          </w:p>
        </w:tc>
        <w:tc>
          <w:tcPr>
            <w:tcW w:w="950" w:type="dxa"/>
            <w:vAlign w:val="center"/>
            <w:hideMark/>
          </w:tcPr>
          <w:p w:rsidR="00E6354F" w:rsidRPr="00651171" w:rsidRDefault="00E6354F" w:rsidP="004D5C99">
            <w:pPr>
              <w:jc w:val="center"/>
              <w:cnfStyle w:val="00000001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27.75</w:t>
            </w:r>
          </w:p>
        </w:tc>
        <w:tc>
          <w:tcPr>
            <w:tcW w:w="1154" w:type="dxa"/>
            <w:vAlign w:val="center"/>
            <w:hideMark/>
          </w:tcPr>
          <w:p w:rsidR="00E6354F" w:rsidRPr="00F80CD4" w:rsidRDefault="00E6354F" w:rsidP="004D5C99">
            <w:pPr>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-1,456,301</w:t>
            </w:r>
          </w:p>
        </w:tc>
        <w:tc>
          <w:tcPr>
            <w:tcW w:w="900" w:type="dxa"/>
            <w:vAlign w:val="center"/>
            <w:hideMark/>
          </w:tcPr>
          <w:p w:rsidR="00E6354F" w:rsidRPr="00651171" w:rsidRDefault="00E6354F" w:rsidP="004D5C99">
            <w:pPr>
              <w:jc w:val="center"/>
              <w:cnfStyle w:val="00000001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92.05</w:t>
            </w:r>
          </w:p>
        </w:tc>
      </w:tr>
      <w:tr w:rsidR="00E6354F" w:rsidRPr="00F80CD4" w:rsidTr="004D5C99">
        <w:trPr>
          <w:cnfStyle w:val="000000100000"/>
          <w:trHeight w:val="300"/>
          <w:jc w:val="center"/>
        </w:trPr>
        <w:tc>
          <w:tcPr>
            <w:cnfStyle w:val="001000000000"/>
            <w:tcW w:w="2792" w:type="dxa"/>
            <w:hideMark/>
          </w:tcPr>
          <w:p w:rsidR="00E6354F" w:rsidRPr="00651171" w:rsidRDefault="00E6354F" w:rsidP="0020759B">
            <w:pPr>
              <w:rPr>
                <w:rFonts w:ascii="Times New Roman" w:eastAsia="Times New Roman" w:hAnsi="Times New Roman" w:cs="Times New Roman"/>
                <w:b w:val="0"/>
                <w:sz w:val="20"/>
                <w:szCs w:val="20"/>
              </w:rPr>
            </w:pPr>
            <w:r w:rsidRPr="00651171">
              <w:rPr>
                <w:rFonts w:ascii="Times New Roman" w:eastAsia="Times New Roman" w:hAnsi="Times New Roman" w:cs="Times New Roman"/>
                <w:b w:val="0"/>
                <w:sz w:val="20"/>
                <w:szCs w:val="20"/>
              </w:rPr>
              <w:t>Įlgalaikiai įsipareigojimai</w:t>
            </w:r>
          </w:p>
        </w:tc>
        <w:tc>
          <w:tcPr>
            <w:tcW w:w="1128" w:type="dxa"/>
            <w:vAlign w:val="center"/>
            <w:hideMark/>
          </w:tcPr>
          <w:p w:rsidR="00E6354F" w:rsidRPr="00F80CD4" w:rsidRDefault="00E6354F" w:rsidP="004D5C99">
            <w:pPr>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243,144</w:t>
            </w:r>
          </w:p>
        </w:tc>
        <w:tc>
          <w:tcPr>
            <w:tcW w:w="1016" w:type="dxa"/>
            <w:vAlign w:val="center"/>
            <w:hideMark/>
          </w:tcPr>
          <w:p w:rsidR="00E6354F" w:rsidRPr="00F80CD4" w:rsidRDefault="00E6354F" w:rsidP="004D5C99">
            <w:pPr>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1,178,205</w:t>
            </w:r>
          </w:p>
        </w:tc>
        <w:tc>
          <w:tcPr>
            <w:tcW w:w="950" w:type="dxa"/>
            <w:vAlign w:val="center"/>
            <w:hideMark/>
          </w:tcPr>
          <w:p w:rsidR="00E6354F" w:rsidRPr="00651171" w:rsidRDefault="00E6354F" w:rsidP="004D5C99">
            <w:pPr>
              <w:jc w:val="center"/>
              <w:cnfStyle w:val="00000010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384.57</w:t>
            </w:r>
          </w:p>
        </w:tc>
        <w:tc>
          <w:tcPr>
            <w:tcW w:w="1154" w:type="dxa"/>
            <w:vAlign w:val="center"/>
            <w:hideMark/>
          </w:tcPr>
          <w:p w:rsidR="00E6354F" w:rsidRPr="00F80CD4" w:rsidRDefault="00E6354F" w:rsidP="004D5C99">
            <w:pPr>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897,403</w:t>
            </w:r>
          </w:p>
        </w:tc>
        <w:tc>
          <w:tcPr>
            <w:tcW w:w="900" w:type="dxa"/>
            <w:vAlign w:val="center"/>
            <w:hideMark/>
          </w:tcPr>
          <w:p w:rsidR="00E6354F" w:rsidRPr="00651171" w:rsidRDefault="00E6354F" w:rsidP="004D5C99">
            <w:pPr>
              <w:jc w:val="center"/>
              <w:cnfStyle w:val="00000010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-23.83</w:t>
            </w:r>
          </w:p>
        </w:tc>
      </w:tr>
      <w:tr w:rsidR="00E6354F" w:rsidRPr="00F80CD4" w:rsidTr="004D5C99">
        <w:trPr>
          <w:cnfStyle w:val="000000010000"/>
          <w:trHeight w:val="300"/>
          <w:jc w:val="center"/>
        </w:trPr>
        <w:tc>
          <w:tcPr>
            <w:cnfStyle w:val="001000000000"/>
            <w:tcW w:w="2792" w:type="dxa"/>
            <w:hideMark/>
          </w:tcPr>
          <w:p w:rsidR="00E6354F" w:rsidRPr="00651171" w:rsidRDefault="00E6354F" w:rsidP="0020759B">
            <w:pPr>
              <w:rPr>
                <w:rFonts w:ascii="Times New Roman" w:eastAsia="Times New Roman" w:hAnsi="Times New Roman" w:cs="Times New Roman"/>
                <w:b w:val="0"/>
                <w:sz w:val="20"/>
                <w:szCs w:val="20"/>
              </w:rPr>
            </w:pPr>
            <w:r w:rsidRPr="00651171">
              <w:rPr>
                <w:rFonts w:ascii="Times New Roman" w:eastAsia="Times New Roman" w:hAnsi="Times New Roman" w:cs="Times New Roman"/>
                <w:b w:val="0"/>
                <w:sz w:val="20"/>
                <w:szCs w:val="20"/>
              </w:rPr>
              <w:t>- Ilgalaikės skolos</w:t>
            </w:r>
          </w:p>
        </w:tc>
        <w:tc>
          <w:tcPr>
            <w:tcW w:w="1128" w:type="dxa"/>
            <w:vAlign w:val="center"/>
            <w:hideMark/>
          </w:tcPr>
          <w:p w:rsidR="00E6354F" w:rsidRPr="00F80CD4" w:rsidRDefault="00E6354F" w:rsidP="004D5C99">
            <w:pPr>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243,144</w:t>
            </w:r>
          </w:p>
        </w:tc>
        <w:tc>
          <w:tcPr>
            <w:tcW w:w="1016" w:type="dxa"/>
            <w:vAlign w:val="center"/>
            <w:hideMark/>
          </w:tcPr>
          <w:p w:rsidR="00E6354F" w:rsidRPr="00F80CD4" w:rsidRDefault="00E6354F" w:rsidP="004D5C99">
            <w:pPr>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1,178,205</w:t>
            </w:r>
          </w:p>
        </w:tc>
        <w:tc>
          <w:tcPr>
            <w:tcW w:w="950" w:type="dxa"/>
            <w:vAlign w:val="center"/>
            <w:hideMark/>
          </w:tcPr>
          <w:p w:rsidR="00E6354F" w:rsidRPr="00651171" w:rsidRDefault="00E6354F" w:rsidP="004D5C99">
            <w:pPr>
              <w:jc w:val="center"/>
              <w:cnfStyle w:val="00000001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384.57</w:t>
            </w:r>
          </w:p>
        </w:tc>
        <w:tc>
          <w:tcPr>
            <w:tcW w:w="1154" w:type="dxa"/>
            <w:vAlign w:val="center"/>
            <w:hideMark/>
          </w:tcPr>
          <w:p w:rsidR="00E6354F" w:rsidRPr="00F80CD4" w:rsidRDefault="00E6354F" w:rsidP="004D5C99">
            <w:pPr>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897,403</w:t>
            </w:r>
          </w:p>
        </w:tc>
        <w:tc>
          <w:tcPr>
            <w:tcW w:w="900" w:type="dxa"/>
            <w:vAlign w:val="center"/>
            <w:hideMark/>
          </w:tcPr>
          <w:p w:rsidR="00E6354F" w:rsidRPr="00651171" w:rsidRDefault="00E6354F" w:rsidP="004D5C99">
            <w:pPr>
              <w:jc w:val="center"/>
              <w:cnfStyle w:val="00000001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-23.83</w:t>
            </w:r>
          </w:p>
        </w:tc>
      </w:tr>
      <w:tr w:rsidR="00E6354F" w:rsidRPr="00F80CD4" w:rsidTr="004D5C99">
        <w:trPr>
          <w:cnfStyle w:val="000000100000"/>
          <w:trHeight w:val="300"/>
          <w:jc w:val="center"/>
        </w:trPr>
        <w:tc>
          <w:tcPr>
            <w:cnfStyle w:val="001000000000"/>
            <w:tcW w:w="2792" w:type="dxa"/>
            <w:hideMark/>
          </w:tcPr>
          <w:p w:rsidR="00E6354F" w:rsidRPr="00651171" w:rsidRDefault="00E6354F" w:rsidP="0020759B">
            <w:pPr>
              <w:rPr>
                <w:rFonts w:ascii="Times New Roman" w:eastAsia="Times New Roman" w:hAnsi="Times New Roman" w:cs="Times New Roman"/>
                <w:b w:val="0"/>
                <w:sz w:val="20"/>
                <w:szCs w:val="20"/>
              </w:rPr>
            </w:pPr>
            <w:r w:rsidRPr="00651171">
              <w:rPr>
                <w:rFonts w:ascii="Times New Roman" w:eastAsia="Times New Roman" w:hAnsi="Times New Roman" w:cs="Times New Roman"/>
                <w:b w:val="0"/>
                <w:sz w:val="20"/>
                <w:szCs w:val="20"/>
              </w:rPr>
              <w:t>- Kiti ilgalaikiai įsipareigojimai</w:t>
            </w:r>
          </w:p>
        </w:tc>
        <w:tc>
          <w:tcPr>
            <w:tcW w:w="1128" w:type="dxa"/>
            <w:vAlign w:val="center"/>
            <w:hideMark/>
          </w:tcPr>
          <w:p w:rsidR="00E6354F" w:rsidRPr="00F80CD4" w:rsidRDefault="00E6354F" w:rsidP="004D5C99">
            <w:pPr>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0</w:t>
            </w:r>
          </w:p>
        </w:tc>
        <w:tc>
          <w:tcPr>
            <w:tcW w:w="1016" w:type="dxa"/>
            <w:vAlign w:val="center"/>
            <w:hideMark/>
          </w:tcPr>
          <w:p w:rsidR="00E6354F" w:rsidRPr="00F80CD4" w:rsidRDefault="00E6354F" w:rsidP="004D5C99">
            <w:pPr>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0</w:t>
            </w:r>
          </w:p>
        </w:tc>
        <w:tc>
          <w:tcPr>
            <w:tcW w:w="950" w:type="dxa"/>
            <w:vAlign w:val="center"/>
            <w:hideMark/>
          </w:tcPr>
          <w:p w:rsidR="00E6354F" w:rsidRPr="00651171" w:rsidRDefault="00E6354F" w:rsidP="004D5C99">
            <w:pPr>
              <w:jc w:val="center"/>
              <w:cnfStyle w:val="00000010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0.00</w:t>
            </w:r>
          </w:p>
        </w:tc>
        <w:tc>
          <w:tcPr>
            <w:tcW w:w="1154" w:type="dxa"/>
            <w:vAlign w:val="center"/>
            <w:hideMark/>
          </w:tcPr>
          <w:p w:rsidR="00E6354F" w:rsidRPr="00F80CD4" w:rsidRDefault="00E6354F" w:rsidP="004D5C99">
            <w:pPr>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0</w:t>
            </w:r>
          </w:p>
        </w:tc>
        <w:tc>
          <w:tcPr>
            <w:tcW w:w="900" w:type="dxa"/>
            <w:vAlign w:val="center"/>
            <w:hideMark/>
          </w:tcPr>
          <w:p w:rsidR="00E6354F" w:rsidRPr="00651171" w:rsidRDefault="00E6354F" w:rsidP="004D5C99">
            <w:pPr>
              <w:jc w:val="center"/>
              <w:cnfStyle w:val="00000010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0.00</w:t>
            </w:r>
          </w:p>
        </w:tc>
      </w:tr>
      <w:tr w:rsidR="00E6354F" w:rsidRPr="00F80CD4" w:rsidTr="004D5C99">
        <w:trPr>
          <w:cnfStyle w:val="000000010000"/>
          <w:trHeight w:val="300"/>
          <w:jc w:val="center"/>
        </w:trPr>
        <w:tc>
          <w:tcPr>
            <w:cnfStyle w:val="001000000000"/>
            <w:tcW w:w="2792" w:type="dxa"/>
            <w:hideMark/>
          </w:tcPr>
          <w:p w:rsidR="00E6354F" w:rsidRPr="00651171" w:rsidRDefault="00E6354F" w:rsidP="0020759B">
            <w:pPr>
              <w:rPr>
                <w:rFonts w:ascii="Times New Roman" w:eastAsia="Times New Roman" w:hAnsi="Times New Roman" w:cs="Times New Roman"/>
                <w:b w:val="0"/>
                <w:sz w:val="20"/>
                <w:szCs w:val="20"/>
              </w:rPr>
            </w:pPr>
            <w:r w:rsidRPr="00651171">
              <w:rPr>
                <w:rFonts w:ascii="Times New Roman" w:eastAsia="Times New Roman" w:hAnsi="Times New Roman" w:cs="Times New Roman"/>
                <w:b w:val="0"/>
                <w:sz w:val="20"/>
                <w:szCs w:val="20"/>
              </w:rPr>
              <w:t>Trumpalaikiai įsipareigojimai</w:t>
            </w:r>
          </w:p>
        </w:tc>
        <w:tc>
          <w:tcPr>
            <w:tcW w:w="1128" w:type="dxa"/>
            <w:vAlign w:val="center"/>
            <w:hideMark/>
          </w:tcPr>
          <w:p w:rsidR="00E6354F" w:rsidRPr="00F80CD4" w:rsidRDefault="00E6354F" w:rsidP="004D5C99">
            <w:pPr>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460,604</w:t>
            </w:r>
          </w:p>
        </w:tc>
        <w:tc>
          <w:tcPr>
            <w:tcW w:w="1016" w:type="dxa"/>
            <w:vAlign w:val="center"/>
            <w:hideMark/>
          </w:tcPr>
          <w:p w:rsidR="00E6354F" w:rsidRPr="00F80CD4" w:rsidRDefault="00E6354F" w:rsidP="004D5C99">
            <w:pPr>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910,357</w:t>
            </w:r>
          </w:p>
        </w:tc>
        <w:tc>
          <w:tcPr>
            <w:tcW w:w="950" w:type="dxa"/>
            <w:vAlign w:val="center"/>
            <w:hideMark/>
          </w:tcPr>
          <w:p w:rsidR="00E6354F" w:rsidRPr="00651171" w:rsidRDefault="00E6354F" w:rsidP="004D5C99">
            <w:pPr>
              <w:jc w:val="center"/>
              <w:cnfStyle w:val="00000001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97.64</w:t>
            </w:r>
          </w:p>
        </w:tc>
        <w:tc>
          <w:tcPr>
            <w:tcW w:w="1154" w:type="dxa"/>
            <w:vAlign w:val="center"/>
            <w:hideMark/>
          </w:tcPr>
          <w:p w:rsidR="00E6354F" w:rsidRPr="00F80CD4" w:rsidRDefault="00E6354F" w:rsidP="004D5C99">
            <w:pPr>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1,453,952</w:t>
            </w:r>
          </w:p>
        </w:tc>
        <w:tc>
          <w:tcPr>
            <w:tcW w:w="900" w:type="dxa"/>
            <w:vAlign w:val="center"/>
            <w:hideMark/>
          </w:tcPr>
          <w:p w:rsidR="00E6354F" w:rsidRPr="00651171" w:rsidRDefault="00E6354F" w:rsidP="004D5C99">
            <w:pPr>
              <w:jc w:val="center"/>
              <w:cnfStyle w:val="00000001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59.71</w:t>
            </w:r>
          </w:p>
        </w:tc>
      </w:tr>
      <w:tr w:rsidR="00E6354F" w:rsidRPr="00F80CD4" w:rsidTr="004D5C99">
        <w:trPr>
          <w:cnfStyle w:val="000000100000"/>
          <w:trHeight w:val="300"/>
          <w:jc w:val="center"/>
        </w:trPr>
        <w:tc>
          <w:tcPr>
            <w:cnfStyle w:val="001000000000"/>
            <w:tcW w:w="2792" w:type="dxa"/>
            <w:hideMark/>
          </w:tcPr>
          <w:p w:rsidR="00E6354F" w:rsidRPr="00651171" w:rsidRDefault="00E6354F" w:rsidP="0020759B">
            <w:pPr>
              <w:rPr>
                <w:rFonts w:ascii="Times New Roman" w:eastAsia="Times New Roman" w:hAnsi="Times New Roman" w:cs="Times New Roman"/>
                <w:b w:val="0"/>
                <w:sz w:val="20"/>
                <w:szCs w:val="20"/>
              </w:rPr>
            </w:pPr>
            <w:r w:rsidRPr="00651171">
              <w:rPr>
                <w:rFonts w:ascii="Times New Roman" w:eastAsia="Times New Roman" w:hAnsi="Times New Roman" w:cs="Times New Roman"/>
                <w:b w:val="0"/>
                <w:sz w:val="20"/>
                <w:szCs w:val="20"/>
              </w:rPr>
              <w:t>- Trumpalaikės paskolos</w:t>
            </w:r>
          </w:p>
        </w:tc>
        <w:tc>
          <w:tcPr>
            <w:tcW w:w="1128" w:type="dxa"/>
            <w:vAlign w:val="center"/>
            <w:hideMark/>
          </w:tcPr>
          <w:p w:rsidR="00E6354F" w:rsidRPr="00F80CD4" w:rsidRDefault="00E6354F" w:rsidP="004D5C99">
            <w:pPr>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0</w:t>
            </w:r>
          </w:p>
        </w:tc>
        <w:tc>
          <w:tcPr>
            <w:tcW w:w="1016" w:type="dxa"/>
            <w:vAlign w:val="center"/>
            <w:hideMark/>
          </w:tcPr>
          <w:p w:rsidR="00E6354F" w:rsidRPr="00F80CD4" w:rsidRDefault="00E6354F" w:rsidP="004D5C99">
            <w:pPr>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0</w:t>
            </w:r>
          </w:p>
        </w:tc>
        <w:tc>
          <w:tcPr>
            <w:tcW w:w="950" w:type="dxa"/>
            <w:vAlign w:val="center"/>
            <w:hideMark/>
          </w:tcPr>
          <w:p w:rsidR="00E6354F" w:rsidRPr="00651171" w:rsidRDefault="00E6354F" w:rsidP="004D5C99">
            <w:pPr>
              <w:jc w:val="center"/>
              <w:cnfStyle w:val="00000010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0.00</w:t>
            </w:r>
          </w:p>
        </w:tc>
        <w:tc>
          <w:tcPr>
            <w:tcW w:w="1154" w:type="dxa"/>
            <w:vAlign w:val="center"/>
            <w:hideMark/>
          </w:tcPr>
          <w:p w:rsidR="00E6354F" w:rsidRPr="00F80CD4" w:rsidRDefault="00E6354F" w:rsidP="004D5C99">
            <w:pPr>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0</w:t>
            </w:r>
          </w:p>
        </w:tc>
        <w:tc>
          <w:tcPr>
            <w:tcW w:w="900" w:type="dxa"/>
            <w:vAlign w:val="center"/>
            <w:hideMark/>
          </w:tcPr>
          <w:p w:rsidR="00E6354F" w:rsidRPr="00651171" w:rsidRDefault="00E6354F" w:rsidP="004D5C99">
            <w:pPr>
              <w:jc w:val="center"/>
              <w:cnfStyle w:val="000000100000"/>
              <w:rPr>
                <w:rFonts w:ascii="Times New Roman" w:eastAsia="Times New Roman" w:hAnsi="Times New Roman" w:cs="Times New Roman"/>
                <w:i/>
                <w:sz w:val="20"/>
                <w:szCs w:val="20"/>
              </w:rPr>
            </w:pPr>
          </w:p>
        </w:tc>
      </w:tr>
      <w:tr w:rsidR="00E6354F" w:rsidRPr="00F80CD4" w:rsidTr="004D5C99">
        <w:trPr>
          <w:cnfStyle w:val="000000010000"/>
          <w:trHeight w:val="300"/>
          <w:jc w:val="center"/>
        </w:trPr>
        <w:tc>
          <w:tcPr>
            <w:cnfStyle w:val="001000000000"/>
            <w:tcW w:w="2792" w:type="dxa"/>
            <w:hideMark/>
          </w:tcPr>
          <w:p w:rsidR="00E6354F" w:rsidRPr="00651171" w:rsidRDefault="00E6354F" w:rsidP="0020759B">
            <w:pPr>
              <w:rPr>
                <w:rFonts w:ascii="Times New Roman" w:eastAsia="Times New Roman" w:hAnsi="Times New Roman" w:cs="Times New Roman"/>
                <w:b w:val="0"/>
                <w:sz w:val="20"/>
                <w:szCs w:val="20"/>
              </w:rPr>
            </w:pPr>
            <w:r w:rsidRPr="00651171">
              <w:rPr>
                <w:rFonts w:ascii="Times New Roman" w:eastAsia="Times New Roman" w:hAnsi="Times New Roman" w:cs="Times New Roman"/>
                <w:b w:val="0"/>
                <w:sz w:val="20"/>
                <w:szCs w:val="20"/>
              </w:rPr>
              <w:t>- Skolos tiekėjams</w:t>
            </w:r>
          </w:p>
        </w:tc>
        <w:tc>
          <w:tcPr>
            <w:tcW w:w="1128" w:type="dxa"/>
            <w:vAlign w:val="center"/>
            <w:hideMark/>
          </w:tcPr>
          <w:p w:rsidR="00E6354F" w:rsidRPr="00F80CD4" w:rsidRDefault="00E6354F" w:rsidP="004D5C99">
            <w:pPr>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311,162</w:t>
            </w:r>
          </w:p>
        </w:tc>
        <w:tc>
          <w:tcPr>
            <w:tcW w:w="1016" w:type="dxa"/>
            <w:vAlign w:val="center"/>
            <w:hideMark/>
          </w:tcPr>
          <w:p w:rsidR="00E6354F" w:rsidRPr="00F80CD4" w:rsidRDefault="00E6354F" w:rsidP="004D5C99">
            <w:pPr>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400,933</w:t>
            </w:r>
          </w:p>
        </w:tc>
        <w:tc>
          <w:tcPr>
            <w:tcW w:w="950" w:type="dxa"/>
            <w:vAlign w:val="center"/>
            <w:hideMark/>
          </w:tcPr>
          <w:p w:rsidR="00E6354F" w:rsidRPr="00651171" w:rsidRDefault="00E6354F" w:rsidP="004D5C99">
            <w:pPr>
              <w:jc w:val="center"/>
              <w:cnfStyle w:val="00000001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28.85</w:t>
            </w:r>
          </w:p>
        </w:tc>
        <w:tc>
          <w:tcPr>
            <w:tcW w:w="1154" w:type="dxa"/>
            <w:vAlign w:val="center"/>
            <w:hideMark/>
          </w:tcPr>
          <w:p w:rsidR="00E6354F" w:rsidRPr="00F80CD4" w:rsidRDefault="00E6354F" w:rsidP="004D5C99">
            <w:pPr>
              <w:jc w:val="center"/>
              <w:cnfStyle w:val="00000001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807,980</w:t>
            </w:r>
          </w:p>
        </w:tc>
        <w:tc>
          <w:tcPr>
            <w:tcW w:w="900" w:type="dxa"/>
            <w:vAlign w:val="center"/>
            <w:hideMark/>
          </w:tcPr>
          <w:p w:rsidR="00E6354F" w:rsidRPr="00651171" w:rsidRDefault="00E6354F" w:rsidP="004D5C99">
            <w:pPr>
              <w:jc w:val="center"/>
              <w:cnfStyle w:val="00000001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101.52</w:t>
            </w:r>
          </w:p>
        </w:tc>
      </w:tr>
      <w:tr w:rsidR="00E6354F" w:rsidRPr="00F80CD4" w:rsidTr="004D5C99">
        <w:trPr>
          <w:cnfStyle w:val="000000100000"/>
          <w:trHeight w:val="510"/>
          <w:jc w:val="center"/>
        </w:trPr>
        <w:tc>
          <w:tcPr>
            <w:cnfStyle w:val="001000000000"/>
            <w:tcW w:w="2792" w:type="dxa"/>
            <w:hideMark/>
          </w:tcPr>
          <w:p w:rsidR="00E6354F" w:rsidRPr="00651171" w:rsidRDefault="00E6354F" w:rsidP="0020759B">
            <w:pPr>
              <w:rPr>
                <w:rFonts w:ascii="Times New Roman" w:eastAsia="Times New Roman" w:hAnsi="Times New Roman" w:cs="Times New Roman"/>
                <w:b w:val="0"/>
                <w:sz w:val="20"/>
                <w:szCs w:val="20"/>
              </w:rPr>
            </w:pPr>
            <w:r w:rsidRPr="00651171">
              <w:rPr>
                <w:rFonts w:ascii="Times New Roman" w:eastAsia="Times New Roman" w:hAnsi="Times New Roman" w:cs="Times New Roman"/>
                <w:b w:val="0"/>
                <w:sz w:val="20"/>
                <w:szCs w:val="20"/>
              </w:rPr>
              <w:t>- Kiti trumpalaikiai įsipareigojimai</w:t>
            </w:r>
          </w:p>
        </w:tc>
        <w:tc>
          <w:tcPr>
            <w:tcW w:w="1128" w:type="dxa"/>
            <w:vAlign w:val="center"/>
            <w:hideMark/>
          </w:tcPr>
          <w:p w:rsidR="00E6354F" w:rsidRPr="00F80CD4" w:rsidRDefault="00E6354F" w:rsidP="004D5C99">
            <w:pPr>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149,442</w:t>
            </w:r>
          </w:p>
        </w:tc>
        <w:tc>
          <w:tcPr>
            <w:tcW w:w="1016" w:type="dxa"/>
            <w:vAlign w:val="center"/>
            <w:hideMark/>
          </w:tcPr>
          <w:p w:rsidR="00E6354F" w:rsidRPr="00F80CD4" w:rsidRDefault="00E6354F" w:rsidP="004D5C99">
            <w:pPr>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509,424</w:t>
            </w:r>
          </w:p>
        </w:tc>
        <w:tc>
          <w:tcPr>
            <w:tcW w:w="950" w:type="dxa"/>
            <w:vAlign w:val="center"/>
            <w:hideMark/>
          </w:tcPr>
          <w:p w:rsidR="00E6354F" w:rsidRPr="00651171" w:rsidRDefault="00E6354F" w:rsidP="004D5C99">
            <w:pPr>
              <w:jc w:val="center"/>
              <w:cnfStyle w:val="00000010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240.88</w:t>
            </w:r>
          </w:p>
        </w:tc>
        <w:tc>
          <w:tcPr>
            <w:tcW w:w="1154" w:type="dxa"/>
            <w:vAlign w:val="center"/>
            <w:hideMark/>
          </w:tcPr>
          <w:p w:rsidR="00E6354F" w:rsidRPr="00F80CD4" w:rsidRDefault="00E6354F" w:rsidP="004D5C99">
            <w:pPr>
              <w:jc w:val="center"/>
              <w:cnfStyle w:val="000000100000"/>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645,972</w:t>
            </w:r>
          </w:p>
        </w:tc>
        <w:tc>
          <w:tcPr>
            <w:tcW w:w="900" w:type="dxa"/>
            <w:vAlign w:val="center"/>
            <w:hideMark/>
          </w:tcPr>
          <w:p w:rsidR="00E6354F" w:rsidRPr="00651171" w:rsidRDefault="00E6354F" w:rsidP="004D5C99">
            <w:pPr>
              <w:jc w:val="center"/>
              <w:cnfStyle w:val="00000010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26.80</w:t>
            </w:r>
          </w:p>
        </w:tc>
      </w:tr>
      <w:tr w:rsidR="00E6354F" w:rsidRPr="00F80CD4" w:rsidTr="004D5C99">
        <w:trPr>
          <w:cnfStyle w:val="000000010000"/>
          <w:trHeight w:val="510"/>
          <w:jc w:val="center"/>
        </w:trPr>
        <w:tc>
          <w:tcPr>
            <w:cnfStyle w:val="001000000000"/>
            <w:tcW w:w="2792" w:type="dxa"/>
            <w:hideMark/>
          </w:tcPr>
          <w:p w:rsidR="00E6354F" w:rsidRPr="00F80CD4" w:rsidRDefault="00E6354F" w:rsidP="0020759B">
            <w:pPr>
              <w:rPr>
                <w:rFonts w:ascii="Times New Roman" w:eastAsia="Times New Roman" w:hAnsi="Times New Roman" w:cs="Times New Roman"/>
                <w:sz w:val="20"/>
                <w:szCs w:val="20"/>
              </w:rPr>
            </w:pPr>
            <w:r w:rsidRPr="00F80CD4">
              <w:rPr>
                <w:rFonts w:ascii="Times New Roman" w:eastAsia="Times New Roman" w:hAnsi="Times New Roman" w:cs="Times New Roman"/>
                <w:sz w:val="20"/>
                <w:szCs w:val="20"/>
              </w:rPr>
              <w:t>NUOSAVO KAPITALO IR ĮSIPAREIGOJIMŲ IŠ VISO</w:t>
            </w:r>
          </w:p>
        </w:tc>
        <w:tc>
          <w:tcPr>
            <w:tcW w:w="1128" w:type="dxa"/>
            <w:vAlign w:val="center"/>
            <w:hideMark/>
          </w:tcPr>
          <w:p w:rsidR="00E6354F" w:rsidRPr="00887D37" w:rsidRDefault="00E6354F" w:rsidP="004D5C99">
            <w:pPr>
              <w:jc w:val="center"/>
              <w:cnfStyle w:val="000000010000"/>
              <w:rPr>
                <w:rFonts w:ascii="Times New Roman" w:eastAsia="Times New Roman" w:hAnsi="Times New Roman" w:cs="Times New Roman"/>
                <w:b/>
                <w:sz w:val="20"/>
                <w:szCs w:val="20"/>
              </w:rPr>
            </w:pPr>
            <w:r w:rsidRPr="00887D37">
              <w:rPr>
                <w:rFonts w:ascii="Times New Roman" w:eastAsia="Times New Roman" w:hAnsi="Times New Roman" w:cs="Times New Roman"/>
                <w:b/>
                <w:sz w:val="20"/>
                <w:szCs w:val="20"/>
              </w:rPr>
              <w:t>3,098,426</w:t>
            </w:r>
          </w:p>
        </w:tc>
        <w:tc>
          <w:tcPr>
            <w:tcW w:w="1016" w:type="dxa"/>
            <w:vAlign w:val="center"/>
            <w:hideMark/>
          </w:tcPr>
          <w:p w:rsidR="00E6354F" w:rsidRPr="00887D37" w:rsidRDefault="00E6354F" w:rsidP="004D5C99">
            <w:pPr>
              <w:jc w:val="center"/>
              <w:cnfStyle w:val="000000010000"/>
              <w:rPr>
                <w:rFonts w:ascii="Times New Roman" w:eastAsia="Times New Roman" w:hAnsi="Times New Roman" w:cs="Times New Roman"/>
                <w:b/>
                <w:sz w:val="20"/>
                <w:szCs w:val="20"/>
              </w:rPr>
            </w:pPr>
            <w:r w:rsidRPr="00887D37">
              <w:rPr>
                <w:rFonts w:ascii="Times New Roman" w:eastAsia="Times New Roman" w:hAnsi="Times New Roman" w:cs="Times New Roman"/>
                <w:b/>
                <w:sz w:val="20"/>
                <w:szCs w:val="20"/>
              </w:rPr>
              <w:t>4,313,061</w:t>
            </w:r>
          </w:p>
        </w:tc>
        <w:tc>
          <w:tcPr>
            <w:tcW w:w="950" w:type="dxa"/>
            <w:vAlign w:val="center"/>
            <w:hideMark/>
          </w:tcPr>
          <w:p w:rsidR="00E6354F" w:rsidRPr="00887D37" w:rsidRDefault="00E6354F" w:rsidP="004D5C99">
            <w:pPr>
              <w:jc w:val="center"/>
              <w:cnfStyle w:val="000000010000"/>
              <w:rPr>
                <w:rFonts w:ascii="Times New Roman" w:eastAsia="Times New Roman" w:hAnsi="Times New Roman" w:cs="Times New Roman"/>
                <w:b/>
                <w:i/>
                <w:sz w:val="20"/>
                <w:szCs w:val="20"/>
              </w:rPr>
            </w:pPr>
            <w:r w:rsidRPr="00887D37">
              <w:rPr>
                <w:rFonts w:ascii="Times New Roman" w:eastAsia="Times New Roman" w:hAnsi="Times New Roman" w:cs="Times New Roman"/>
                <w:b/>
                <w:i/>
                <w:sz w:val="20"/>
                <w:szCs w:val="20"/>
              </w:rPr>
              <w:t>39.20</w:t>
            </w:r>
          </w:p>
        </w:tc>
        <w:tc>
          <w:tcPr>
            <w:tcW w:w="1154" w:type="dxa"/>
            <w:vAlign w:val="center"/>
            <w:hideMark/>
          </w:tcPr>
          <w:p w:rsidR="00E6354F" w:rsidRPr="00887D37" w:rsidRDefault="00E6354F" w:rsidP="004D5C99">
            <w:pPr>
              <w:jc w:val="center"/>
              <w:cnfStyle w:val="000000010000"/>
              <w:rPr>
                <w:rFonts w:ascii="Times New Roman" w:eastAsia="Times New Roman" w:hAnsi="Times New Roman" w:cs="Times New Roman"/>
                <w:b/>
                <w:sz w:val="20"/>
                <w:szCs w:val="20"/>
              </w:rPr>
            </w:pPr>
            <w:r w:rsidRPr="00887D37">
              <w:rPr>
                <w:rFonts w:ascii="Times New Roman" w:eastAsia="Times New Roman" w:hAnsi="Times New Roman" w:cs="Times New Roman"/>
                <w:b/>
                <w:sz w:val="20"/>
                <w:szCs w:val="20"/>
              </w:rPr>
              <w:t>3,929,810</w:t>
            </w:r>
          </w:p>
        </w:tc>
        <w:tc>
          <w:tcPr>
            <w:tcW w:w="900" w:type="dxa"/>
            <w:vAlign w:val="center"/>
            <w:hideMark/>
          </w:tcPr>
          <w:p w:rsidR="00E6354F" w:rsidRPr="00887D37" w:rsidRDefault="00E6354F" w:rsidP="004D5C99">
            <w:pPr>
              <w:jc w:val="center"/>
              <w:cnfStyle w:val="000000010000"/>
              <w:rPr>
                <w:rFonts w:ascii="Times New Roman" w:eastAsia="Times New Roman" w:hAnsi="Times New Roman" w:cs="Times New Roman"/>
                <w:b/>
                <w:i/>
                <w:sz w:val="20"/>
                <w:szCs w:val="20"/>
              </w:rPr>
            </w:pPr>
            <w:r w:rsidRPr="00887D37">
              <w:rPr>
                <w:rFonts w:ascii="Times New Roman" w:eastAsia="Times New Roman" w:hAnsi="Times New Roman" w:cs="Times New Roman"/>
                <w:b/>
                <w:i/>
                <w:sz w:val="20"/>
                <w:szCs w:val="20"/>
              </w:rPr>
              <w:t>-8.89</w:t>
            </w:r>
          </w:p>
        </w:tc>
      </w:tr>
    </w:tbl>
    <w:p w:rsidR="00C229E2" w:rsidRDefault="00C229E2" w:rsidP="006014D3">
      <w:pPr>
        <w:rPr>
          <w:rFonts w:ascii="Times New Roman" w:hAnsi="Times New Roman" w:cs="Times New Roman"/>
          <w:sz w:val="24"/>
          <w:szCs w:val="24"/>
          <w:lang w:val="lt-LT"/>
        </w:rPr>
      </w:pPr>
    </w:p>
    <w:p w:rsidR="004D5C99" w:rsidRDefault="004D5C99" w:rsidP="006014D3">
      <w:pPr>
        <w:rPr>
          <w:rFonts w:ascii="Times New Roman" w:hAnsi="Times New Roman" w:cs="Times New Roman"/>
          <w:sz w:val="24"/>
          <w:szCs w:val="24"/>
          <w:lang w:val="lt-LT"/>
        </w:rPr>
      </w:pPr>
    </w:p>
    <w:p w:rsidR="004D5C99" w:rsidRDefault="004D5C99" w:rsidP="006014D3">
      <w:pPr>
        <w:rPr>
          <w:rFonts w:ascii="Times New Roman" w:hAnsi="Times New Roman" w:cs="Times New Roman"/>
          <w:sz w:val="24"/>
          <w:szCs w:val="24"/>
          <w:lang w:val="lt-LT"/>
        </w:rPr>
      </w:pPr>
    </w:p>
    <w:p w:rsidR="004D5C99" w:rsidRDefault="004D5C99" w:rsidP="006014D3">
      <w:pPr>
        <w:rPr>
          <w:rFonts w:ascii="Times New Roman" w:hAnsi="Times New Roman" w:cs="Times New Roman"/>
          <w:sz w:val="24"/>
          <w:szCs w:val="24"/>
          <w:lang w:val="lt-LT"/>
        </w:rPr>
      </w:pPr>
    </w:p>
    <w:p w:rsidR="004D5C99" w:rsidRDefault="004D5C99" w:rsidP="006014D3">
      <w:pPr>
        <w:rPr>
          <w:rFonts w:ascii="Times New Roman" w:hAnsi="Times New Roman" w:cs="Times New Roman"/>
          <w:sz w:val="24"/>
          <w:szCs w:val="24"/>
          <w:lang w:val="lt-LT"/>
        </w:rPr>
      </w:pPr>
    </w:p>
    <w:p w:rsidR="00E6354F" w:rsidRDefault="00E6354F" w:rsidP="006014D3">
      <w:pPr>
        <w:rPr>
          <w:rFonts w:ascii="Times New Roman" w:hAnsi="Times New Roman" w:cs="Times New Roman"/>
          <w:sz w:val="24"/>
          <w:szCs w:val="24"/>
          <w:lang w:val="lt-LT"/>
        </w:rPr>
      </w:pPr>
    </w:p>
    <w:p w:rsidR="00E6354F" w:rsidRDefault="00E6354F" w:rsidP="006014D3">
      <w:pPr>
        <w:rPr>
          <w:rFonts w:ascii="Times New Roman" w:hAnsi="Times New Roman" w:cs="Times New Roman"/>
          <w:sz w:val="24"/>
          <w:szCs w:val="24"/>
          <w:lang w:val="lt-LT"/>
        </w:rPr>
      </w:pPr>
    </w:p>
    <w:p w:rsidR="00854221" w:rsidRPr="004D5C99" w:rsidRDefault="00854221" w:rsidP="00854221">
      <w:pPr>
        <w:autoSpaceDE w:val="0"/>
        <w:autoSpaceDN w:val="0"/>
        <w:adjustRightInd w:val="0"/>
        <w:spacing w:after="0"/>
        <w:jc w:val="center"/>
        <w:rPr>
          <w:rFonts w:ascii="Times New Roman" w:hAnsi="Times New Roman" w:cs="Times New Roman"/>
          <w:b/>
          <w:szCs w:val="24"/>
        </w:rPr>
      </w:pPr>
      <w:r>
        <w:rPr>
          <w:rFonts w:ascii="Times New Roman" w:hAnsi="Times New Roman" w:cs="Times New Roman"/>
          <w:szCs w:val="24"/>
        </w:rPr>
        <w:lastRenderedPageBreak/>
        <w:t>6</w:t>
      </w:r>
      <w:r w:rsidRPr="004D5C99">
        <w:rPr>
          <w:rFonts w:ascii="Times New Roman" w:hAnsi="Times New Roman" w:cs="Times New Roman"/>
          <w:szCs w:val="24"/>
        </w:rPr>
        <w:t xml:space="preserve"> lentelė.</w:t>
      </w:r>
      <w:r w:rsidRPr="004D5C99">
        <w:rPr>
          <w:rFonts w:ascii="Times New Roman" w:hAnsi="Times New Roman" w:cs="Times New Roman"/>
          <w:b/>
          <w:szCs w:val="24"/>
        </w:rPr>
        <w:t xml:space="preserve"> </w:t>
      </w:r>
      <w:r>
        <w:rPr>
          <w:rFonts w:ascii="Times New Roman" w:hAnsi="Times New Roman" w:cs="Times New Roman"/>
          <w:b/>
          <w:szCs w:val="24"/>
        </w:rPr>
        <w:t>UAB “Romas ir ko” balanso straipsnių pokyčiai</w:t>
      </w:r>
    </w:p>
    <w:tbl>
      <w:tblPr>
        <w:tblStyle w:val="LightGrid-Accent6"/>
        <w:tblW w:w="8020" w:type="dxa"/>
        <w:jc w:val="center"/>
        <w:tblLook w:val="04A0"/>
      </w:tblPr>
      <w:tblGrid>
        <w:gridCol w:w="2940"/>
        <w:gridCol w:w="1128"/>
        <w:gridCol w:w="1016"/>
        <w:gridCol w:w="960"/>
        <w:gridCol w:w="1016"/>
        <w:gridCol w:w="960"/>
      </w:tblGrid>
      <w:tr w:rsidR="00887D37" w:rsidRPr="00455DFC" w:rsidTr="00887D37">
        <w:trPr>
          <w:cnfStyle w:val="100000000000"/>
          <w:trHeight w:val="300"/>
          <w:jc w:val="center"/>
        </w:trPr>
        <w:tc>
          <w:tcPr>
            <w:cnfStyle w:val="001000000000"/>
            <w:tcW w:w="8020" w:type="dxa"/>
            <w:gridSpan w:val="6"/>
            <w:hideMark/>
          </w:tcPr>
          <w:p w:rsidR="00887D37" w:rsidRPr="00455DFC" w:rsidRDefault="00887D37" w:rsidP="00275F1A">
            <w:pPr>
              <w:jc w:val="center"/>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UAB “ROMAS IR KO” BALANSO STRAIPSNIŲ POKYČIAI</w:t>
            </w:r>
          </w:p>
        </w:tc>
      </w:tr>
      <w:tr w:rsidR="00887D37" w:rsidRPr="00455DFC" w:rsidTr="00887D37">
        <w:trPr>
          <w:cnfStyle w:val="000000100000"/>
          <w:trHeight w:val="300"/>
          <w:jc w:val="center"/>
        </w:trPr>
        <w:tc>
          <w:tcPr>
            <w:cnfStyle w:val="001000000000"/>
            <w:tcW w:w="2940" w:type="dxa"/>
            <w:hideMark/>
          </w:tcPr>
          <w:p w:rsidR="00887D37" w:rsidRPr="00455DFC" w:rsidRDefault="00887D37" w:rsidP="00275F1A">
            <w:pPr>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 </w:t>
            </w:r>
          </w:p>
        </w:tc>
        <w:tc>
          <w:tcPr>
            <w:tcW w:w="1128" w:type="dxa"/>
            <w:hideMark/>
          </w:tcPr>
          <w:p w:rsidR="00887D37" w:rsidRPr="00455DFC" w:rsidRDefault="00887D37" w:rsidP="00275F1A">
            <w:pP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31/12/2008</w:t>
            </w:r>
          </w:p>
        </w:tc>
        <w:tc>
          <w:tcPr>
            <w:tcW w:w="1976" w:type="dxa"/>
            <w:gridSpan w:val="2"/>
            <w:hideMark/>
          </w:tcPr>
          <w:p w:rsidR="00887D37" w:rsidRPr="00455DFC" w:rsidRDefault="00887D37" w:rsidP="00275F1A">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31/12/2009</w:t>
            </w:r>
          </w:p>
        </w:tc>
        <w:tc>
          <w:tcPr>
            <w:tcW w:w="1976" w:type="dxa"/>
            <w:gridSpan w:val="2"/>
            <w:hideMark/>
          </w:tcPr>
          <w:p w:rsidR="00887D37" w:rsidRPr="00455DFC" w:rsidRDefault="00887D37" w:rsidP="00275F1A">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31/12/2010</w:t>
            </w:r>
          </w:p>
        </w:tc>
      </w:tr>
      <w:tr w:rsidR="00E6354F" w:rsidRPr="00455DFC" w:rsidTr="00887D37">
        <w:trPr>
          <w:cnfStyle w:val="000000010000"/>
          <w:trHeight w:val="510"/>
          <w:jc w:val="center"/>
        </w:trPr>
        <w:tc>
          <w:tcPr>
            <w:cnfStyle w:val="001000000000"/>
            <w:tcW w:w="2940" w:type="dxa"/>
            <w:vAlign w:val="center"/>
            <w:hideMark/>
          </w:tcPr>
          <w:p w:rsidR="00E6354F" w:rsidRPr="00455DFC" w:rsidRDefault="00E6354F" w:rsidP="00275F1A">
            <w:pPr>
              <w:jc w:val="center"/>
              <w:rPr>
                <w:rFonts w:ascii="Times New Roman" w:eastAsia="Times New Roman" w:hAnsi="Times New Roman" w:cs="Times New Roman"/>
                <w:b w:val="0"/>
                <w:bCs w:val="0"/>
                <w:sz w:val="20"/>
                <w:szCs w:val="20"/>
              </w:rPr>
            </w:pPr>
            <w:r w:rsidRPr="00455DFC">
              <w:rPr>
                <w:rFonts w:ascii="Times New Roman" w:eastAsia="Times New Roman" w:hAnsi="Times New Roman" w:cs="Times New Roman"/>
                <w:b w:val="0"/>
                <w:bCs w:val="0"/>
                <w:sz w:val="20"/>
                <w:szCs w:val="20"/>
              </w:rPr>
              <w:t>Turtas</w:t>
            </w:r>
          </w:p>
        </w:tc>
        <w:tc>
          <w:tcPr>
            <w:tcW w:w="1128" w:type="dxa"/>
            <w:vAlign w:val="center"/>
            <w:hideMark/>
          </w:tcPr>
          <w:p w:rsidR="00E6354F" w:rsidRPr="00F80CD4" w:rsidRDefault="00E6354F" w:rsidP="004633A4">
            <w:pPr>
              <w:jc w:val="center"/>
              <w:cnfStyle w:val="000000010000"/>
              <w:rPr>
                <w:rFonts w:ascii="Times New Roman" w:eastAsia="Times New Roman" w:hAnsi="Times New Roman" w:cs="Times New Roman"/>
                <w:b/>
                <w:bCs/>
                <w:sz w:val="20"/>
                <w:szCs w:val="20"/>
              </w:rPr>
            </w:pPr>
            <w:r w:rsidRPr="00F80CD4">
              <w:rPr>
                <w:rFonts w:ascii="Times New Roman" w:eastAsia="Times New Roman" w:hAnsi="Times New Roman" w:cs="Times New Roman"/>
                <w:sz w:val="20"/>
                <w:szCs w:val="20"/>
              </w:rPr>
              <w:t>EUR</w:t>
            </w:r>
          </w:p>
        </w:tc>
        <w:tc>
          <w:tcPr>
            <w:tcW w:w="1016" w:type="dxa"/>
            <w:vAlign w:val="center"/>
            <w:hideMark/>
          </w:tcPr>
          <w:p w:rsidR="00E6354F" w:rsidRPr="00F80CD4" w:rsidRDefault="00E6354F" w:rsidP="004633A4">
            <w:pPr>
              <w:jc w:val="center"/>
              <w:cnfStyle w:val="000000010000"/>
              <w:rPr>
                <w:rFonts w:ascii="Times New Roman" w:eastAsia="Times New Roman" w:hAnsi="Times New Roman" w:cs="Times New Roman"/>
                <w:b/>
                <w:bCs/>
                <w:sz w:val="20"/>
                <w:szCs w:val="20"/>
              </w:rPr>
            </w:pPr>
            <w:r w:rsidRPr="00F80CD4">
              <w:rPr>
                <w:rFonts w:ascii="Times New Roman" w:eastAsia="Times New Roman" w:hAnsi="Times New Roman" w:cs="Times New Roman"/>
                <w:sz w:val="20"/>
                <w:szCs w:val="20"/>
              </w:rPr>
              <w:t>EUR</w:t>
            </w:r>
          </w:p>
        </w:tc>
        <w:tc>
          <w:tcPr>
            <w:tcW w:w="960" w:type="dxa"/>
            <w:vAlign w:val="center"/>
            <w:hideMark/>
          </w:tcPr>
          <w:p w:rsidR="00E6354F" w:rsidRPr="004D5C99" w:rsidRDefault="00E6354F" w:rsidP="004633A4">
            <w:pPr>
              <w:jc w:val="center"/>
              <w:cnfStyle w:val="000000010000"/>
              <w:rPr>
                <w:rFonts w:ascii="Times New Roman" w:eastAsia="Times New Roman" w:hAnsi="Times New Roman" w:cs="Times New Roman"/>
                <w:b/>
                <w:bCs/>
                <w:sz w:val="20"/>
                <w:szCs w:val="20"/>
              </w:rPr>
            </w:pPr>
            <w:r w:rsidRPr="004D5C99">
              <w:rPr>
                <w:rFonts w:ascii="Times New Roman" w:eastAsia="Times New Roman" w:hAnsi="Times New Roman" w:cs="Times New Roman"/>
                <w:b/>
                <w:bCs/>
                <w:sz w:val="20"/>
                <w:szCs w:val="20"/>
              </w:rPr>
              <w:t xml:space="preserve">Pokytis, </w:t>
            </w:r>
            <w:r>
              <w:rPr>
                <w:rFonts w:ascii="Times New Roman" w:eastAsia="Times New Roman" w:hAnsi="Times New Roman" w:cs="Times New Roman"/>
                <w:b/>
                <w:bCs/>
                <w:sz w:val="20"/>
                <w:szCs w:val="20"/>
              </w:rPr>
              <w:t>proc.</w:t>
            </w:r>
          </w:p>
        </w:tc>
        <w:tc>
          <w:tcPr>
            <w:tcW w:w="1016" w:type="dxa"/>
            <w:vAlign w:val="center"/>
            <w:hideMark/>
          </w:tcPr>
          <w:p w:rsidR="00E6354F" w:rsidRPr="004D5C99" w:rsidRDefault="00E6354F" w:rsidP="004633A4">
            <w:pPr>
              <w:jc w:val="center"/>
              <w:cnfStyle w:val="000000010000"/>
              <w:rPr>
                <w:rFonts w:ascii="Times New Roman" w:eastAsia="Times New Roman" w:hAnsi="Times New Roman" w:cs="Times New Roman"/>
                <w:b/>
                <w:bCs/>
                <w:sz w:val="20"/>
                <w:szCs w:val="20"/>
              </w:rPr>
            </w:pPr>
            <w:r w:rsidRPr="004D5C99">
              <w:rPr>
                <w:rFonts w:ascii="Times New Roman" w:eastAsia="Times New Roman" w:hAnsi="Times New Roman" w:cs="Times New Roman"/>
                <w:sz w:val="20"/>
                <w:szCs w:val="20"/>
              </w:rPr>
              <w:t>EUR</w:t>
            </w:r>
          </w:p>
        </w:tc>
        <w:tc>
          <w:tcPr>
            <w:tcW w:w="960" w:type="dxa"/>
            <w:vAlign w:val="center"/>
            <w:hideMark/>
          </w:tcPr>
          <w:p w:rsidR="00E6354F" w:rsidRPr="004D5C99" w:rsidRDefault="00E6354F" w:rsidP="004633A4">
            <w:pPr>
              <w:jc w:val="center"/>
              <w:cnfStyle w:val="000000010000"/>
              <w:rPr>
                <w:rFonts w:ascii="Times New Roman" w:eastAsia="Times New Roman" w:hAnsi="Times New Roman" w:cs="Times New Roman"/>
                <w:b/>
                <w:bCs/>
                <w:sz w:val="20"/>
                <w:szCs w:val="20"/>
              </w:rPr>
            </w:pPr>
            <w:r w:rsidRPr="004D5C99">
              <w:rPr>
                <w:rFonts w:ascii="Times New Roman" w:eastAsia="Times New Roman" w:hAnsi="Times New Roman" w:cs="Times New Roman"/>
                <w:b/>
                <w:bCs/>
                <w:sz w:val="20"/>
                <w:szCs w:val="20"/>
              </w:rPr>
              <w:t xml:space="preserve">Pokytis, </w:t>
            </w:r>
            <w:r>
              <w:rPr>
                <w:rFonts w:ascii="Times New Roman" w:eastAsia="Times New Roman" w:hAnsi="Times New Roman" w:cs="Times New Roman"/>
                <w:b/>
                <w:bCs/>
                <w:sz w:val="20"/>
                <w:szCs w:val="20"/>
              </w:rPr>
              <w:t>proc.</w:t>
            </w:r>
          </w:p>
        </w:tc>
      </w:tr>
      <w:tr w:rsidR="00887D37" w:rsidRPr="00EC694B" w:rsidTr="00887D37">
        <w:trPr>
          <w:cnfStyle w:val="000000100000"/>
          <w:trHeight w:val="300"/>
          <w:jc w:val="center"/>
        </w:trPr>
        <w:tc>
          <w:tcPr>
            <w:cnfStyle w:val="001000000000"/>
            <w:tcW w:w="2940" w:type="dxa"/>
            <w:hideMark/>
          </w:tcPr>
          <w:p w:rsidR="00887D37" w:rsidRPr="00EC694B" w:rsidRDefault="00887D37" w:rsidP="00275F1A">
            <w:pPr>
              <w:rPr>
                <w:rFonts w:ascii="Times New Roman" w:eastAsia="Times New Roman" w:hAnsi="Times New Roman" w:cs="Times New Roman"/>
                <w:b w:val="0"/>
                <w:sz w:val="20"/>
                <w:szCs w:val="20"/>
              </w:rPr>
            </w:pPr>
            <w:r w:rsidRPr="00EC694B">
              <w:rPr>
                <w:rFonts w:ascii="Times New Roman" w:eastAsia="Times New Roman" w:hAnsi="Times New Roman" w:cs="Times New Roman"/>
                <w:b w:val="0"/>
                <w:sz w:val="20"/>
                <w:szCs w:val="20"/>
              </w:rPr>
              <w:t>Ilgalaikis turtas</w:t>
            </w:r>
          </w:p>
        </w:tc>
        <w:tc>
          <w:tcPr>
            <w:tcW w:w="1128" w:type="dxa"/>
            <w:noWrap/>
            <w:vAlign w:val="center"/>
            <w:hideMark/>
          </w:tcPr>
          <w:p w:rsidR="00887D37" w:rsidRPr="00455DFC" w:rsidRDefault="00887D37" w:rsidP="00275F1A">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2,685,640</w:t>
            </w:r>
          </w:p>
        </w:tc>
        <w:tc>
          <w:tcPr>
            <w:tcW w:w="1016" w:type="dxa"/>
            <w:noWrap/>
            <w:vAlign w:val="center"/>
            <w:hideMark/>
          </w:tcPr>
          <w:p w:rsidR="00887D37" w:rsidRPr="00455DFC" w:rsidRDefault="00887D37" w:rsidP="00275F1A">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2,182,263</w:t>
            </w:r>
          </w:p>
        </w:tc>
        <w:tc>
          <w:tcPr>
            <w:tcW w:w="960" w:type="dxa"/>
            <w:noWrap/>
            <w:vAlign w:val="center"/>
            <w:hideMark/>
          </w:tcPr>
          <w:p w:rsidR="00887D37" w:rsidRPr="00EC694B" w:rsidRDefault="00887D37" w:rsidP="00275F1A">
            <w:pPr>
              <w:jc w:val="center"/>
              <w:cnfStyle w:val="000000100000"/>
              <w:rPr>
                <w:rFonts w:ascii="Times New Roman" w:eastAsia="Times New Roman" w:hAnsi="Times New Roman" w:cs="Times New Roman"/>
                <w:i/>
                <w:sz w:val="20"/>
                <w:szCs w:val="20"/>
              </w:rPr>
            </w:pPr>
            <w:r w:rsidRPr="00EC694B">
              <w:rPr>
                <w:rFonts w:ascii="Times New Roman" w:eastAsia="Times New Roman" w:hAnsi="Times New Roman" w:cs="Times New Roman"/>
                <w:i/>
                <w:sz w:val="20"/>
                <w:szCs w:val="20"/>
              </w:rPr>
              <w:t>-18.74</w:t>
            </w:r>
          </w:p>
        </w:tc>
        <w:tc>
          <w:tcPr>
            <w:tcW w:w="1016" w:type="dxa"/>
            <w:noWrap/>
            <w:vAlign w:val="center"/>
            <w:hideMark/>
          </w:tcPr>
          <w:p w:rsidR="00887D37" w:rsidRPr="00455DFC" w:rsidRDefault="00887D37" w:rsidP="00275F1A">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1,771,286</w:t>
            </w:r>
          </w:p>
        </w:tc>
        <w:tc>
          <w:tcPr>
            <w:tcW w:w="960" w:type="dxa"/>
            <w:noWrap/>
            <w:vAlign w:val="center"/>
            <w:hideMark/>
          </w:tcPr>
          <w:p w:rsidR="00887D37" w:rsidRPr="00EC694B" w:rsidRDefault="00887D37" w:rsidP="00275F1A">
            <w:pPr>
              <w:jc w:val="center"/>
              <w:cnfStyle w:val="000000100000"/>
              <w:rPr>
                <w:rFonts w:ascii="Times New Roman" w:eastAsia="Times New Roman" w:hAnsi="Times New Roman" w:cs="Times New Roman"/>
                <w:i/>
                <w:sz w:val="20"/>
                <w:szCs w:val="20"/>
              </w:rPr>
            </w:pPr>
            <w:r w:rsidRPr="00EC694B">
              <w:rPr>
                <w:rFonts w:ascii="Times New Roman" w:eastAsia="Times New Roman" w:hAnsi="Times New Roman" w:cs="Times New Roman"/>
                <w:i/>
                <w:sz w:val="20"/>
                <w:szCs w:val="20"/>
              </w:rPr>
              <w:t>-18.83</w:t>
            </w:r>
          </w:p>
        </w:tc>
      </w:tr>
      <w:tr w:rsidR="00887D37" w:rsidRPr="00EC694B" w:rsidTr="00887D37">
        <w:trPr>
          <w:cnfStyle w:val="000000010000"/>
          <w:trHeight w:val="300"/>
          <w:jc w:val="center"/>
        </w:trPr>
        <w:tc>
          <w:tcPr>
            <w:cnfStyle w:val="001000000000"/>
            <w:tcW w:w="2940" w:type="dxa"/>
            <w:hideMark/>
          </w:tcPr>
          <w:p w:rsidR="00887D37" w:rsidRPr="00EC694B" w:rsidRDefault="00887D37" w:rsidP="00275F1A">
            <w:pPr>
              <w:rPr>
                <w:rFonts w:ascii="Times New Roman" w:eastAsia="Times New Roman" w:hAnsi="Times New Roman" w:cs="Times New Roman"/>
                <w:b w:val="0"/>
                <w:sz w:val="20"/>
                <w:szCs w:val="20"/>
              </w:rPr>
            </w:pPr>
            <w:r w:rsidRPr="00EC694B">
              <w:rPr>
                <w:rFonts w:ascii="Times New Roman" w:eastAsia="Times New Roman" w:hAnsi="Times New Roman" w:cs="Times New Roman"/>
                <w:b w:val="0"/>
                <w:sz w:val="20"/>
                <w:szCs w:val="20"/>
              </w:rPr>
              <w:t>- Nematerialus turtas</w:t>
            </w:r>
          </w:p>
        </w:tc>
        <w:tc>
          <w:tcPr>
            <w:tcW w:w="1128" w:type="dxa"/>
            <w:noWrap/>
            <w:vAlign w:val="center"/>
            <w:hideMark/>
          </w:tcPr>
          <w:p w:rsidR="00887D37" w:rsidRPr="00455DFC" w:rsidRDefault="00887D37" w:rsidP="00275F1A">
            <w:pPr>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312</w:t>
            </w:r>
          </w:p>
        </w:tc>
        <w:tc>
          <w:tcPr>
            <w:tcW w:w="1016" w:type="dxa"/>
            <w:noWrap/>
            <w:vAlign w:val="center"/>
            <w:hideMark/>
          </w:tcPr>
          <w:p w:rsidR="00887D37" w:rsidRPr="00455DFC" w:rsidRDefault="00887D37" w:rsidP="00275F1A">
            <w:pPr>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206</w:t>
            </w:r>
          </w:p>
        </w:tc>
        <w:tc>
          <w:tcPr>
            <w:tcW w:w="960" w:type="dxa"/>
            <w:noWrap/>
            <w:vAlign w:val="center"/>
            <w:hideMark/>
          </w:tcPr>
          <w:p w:rsidR="00887D37" w:rsidRPr="00EC694B" w:rsidRDefault="00887D37" w:rsidP="00275F1A">
            <w:pPr>
              <w:jc w:val="center"/>
              <w:cnfStyle w:val="000000010000"/>
              <w:rPr>
                <w:rFonts w:ascii="Times New Roman" w:eastAsia="Times New Roman" w:hAnsi="Times New Roman" w:cs="Times New Roman"/>
                <w:i/>
                <w:sz w:val="20"/>
                <w:szCs w:val="20"/>
              </w:rPr>
            </w:pPr>
            <w:r w:rsidRPr="00EC694B">
              <w:rPr>
                <w:rFonts w:ascii="Times New Roman" w:eastAsia="Times New Roman" w:hAnsi="Times New Roman" w:cs="Times New Roman"/>
                <w:i/>
                <w:sz w:val="20"/>
                <w:szCs w:val="20"/>
              </w:rPr>
              <w:t>-34.08</w:t>
            </w:r>
          </w:p>
        </w:tc>
        <w:tc>
          <w:tcPr>
            <w:tcW w:w="1016" w:type="dxa"/>
            <w:noWrap/>
            <w:vAlign w:val="center"/>
            <w:hideMark/>
          </w:tcPr>
          <w:p w:rsidR="00887D37" w:rsidRPr="00455DFC" w:rsidRDefault="00887D37" w:rsidP="00275F1A">
            <w:pPr>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92</w:t>
            </w:r>
          </w:p>
        </w:tc>
        <w:tc>
          <w:tcPr>
            <w:tcW w:w="960" w:type="dxa"/>
            <w:noWrap/>
            <w:vAlign w:val="center"/>
            <w:hideMark/>
          </w:tcPr>
          <w:p w:rsidR="00887D37" w:rsidRPr="00EC694B" w:rsidRDefault="00887D37" w:rsidP="00275F1A">
            <w:pPr>
              <w:jc w:val="center"/>
              <w:cnfStyle w:val="000000010000"/>
              <w:rPr>
                <w:rFonts w:ascii="Times New Roman" w:eastAsia="Times New Roman" w:hAnsi="Times New Roman" w:cs="Times New Roman"/>
                <w:i/>
                <w:sz w:val="20"/>
                <w:szCs w:val="20"/>
              </w:rPr>
            </w:pPr>
            <w:r w:rsidRPr="00EC694B">
              <w:rPr>
                <w:rFonts w:ascii="Times New Roman" w:eastAsia="Times New Roman" w:hAnsi="Times New Roman" w:cs="Times New Roman"/>
                <w:i/>
                <w:sz w:val="20"/>
                <w:szCs w:val="20"/>
              </w:rPr>
              <w:t>-55.07</w:t>
            </w:r>
          </w:p>
        </w:tc>
      </w:tr>
      <w:tr w:rsidR="00887D37" w:rsidRPr="00EC694B" w:rsidTr="00887D37">
        <w:trPr>
          <w:cnfStyle w:val="000000100000"/>
          <w:trHeight w:val="300"/>
          <w:jc w:val="center"/>
        </w:trPr>
        <w:tc>
          <w:tcPr>
            <w:cnfStyle w:val="001000000000"/>
            <w:tcW w:w="2940" w:type="dxa"/>
            <w:hideMark/>
          </w:tcPr>
          <w:p w:rsidR="00887D37" w:rsidRPr="00EC694B" w:rsidRDefault="00887D37" w:rsidP="00275F1A">
            <w:pPr>
              <w:rPr>
                <w:rFonts w:ascii="Times New Roman" w:eastAsia="Times New Roman" w:hAnsi="Times New Roman" w:cs="Times New Roman"/>
                <w:b w:val="0"/>
                <w:sz w:val="20"/>
                <w:szCs w:val="20"/>
              </w:rPr>
            </w:pPr>
            <w:r w:rsidRPr="00EC694B">
              <w:rPr>
                <w:rFonts w:ascii="Times New Roman" w:eastAsia="Times New Roman" w:hAnsi="Times New Roman" w:cs="Times New Roman"/>
                <w:b w:val="0"/>
                <w:sz w:val="20"/>
                <w:szCs w:val="20"/>
              </w:rPr>
              <w:t>- Materialus turtas</w:t>
            </w:r>
          </w:p>
        </w:tc>
        <w:tc>
          <w:tcPr>
            <w:tcW w:w="1128" w:type="dxa"/>
            <w:noWrap/>
            <w:vAlign w:val="center"/>
            <w:hideMark/>
          </w:tcPr>
          <w:p w:rsidR="00887D37" w:rsidRPr="00455DFC" w:rsidRDefault="00887D37" w:rsidP="00275F1A">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2,685,328</w:t>
            </w:r>
          </w:p>
        </w:tc>
        <w:tc>
          <w:tcPr>
            <w:tcW w:w="1016" w:type="dxa"/>
            <w:noWrap/>
            <w:vAlign w:val="center"/>
            <w:hideMark/>
          </w:tcPr>
          <w:p w:rsidR="00887D37" w:rsidRPr="00455DFC" w:rsidRDefault="00887D37" w:rsidP="00275F1A">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2,182,058</w:t>
            </w:r>
          </w:p>
        </w:tc>
        <w:tc>
          <w:tcPr>
            <w:tcW w:w="960" w:type="dxa"/>
            <w:noWrap/>
            <w:vAlign w:val="center"/>
            <w:hideMark/>
          </w:tcPr>
          <w:p w:rsidR="00887D37" w:rsidRPr="00EC694B" w:rsidRDefault="00887D37" w:rsidP="00275F1A">
            <w:pPr>
              <w:jc w:val="center"/>
              <w:cnfStyle w:val="000000100000"/>
              <w:rPr>
                <w:rFonts w:ascii="Times New Roman" w:eastAsia="Times New Roman" w:hAnsi="Times New Roman" w:cs="Times New Roman"/>
                <w:i/>
                <w:sz w:val="20"/>
                <w:szCs w:val="20"/>
              </w:rPr>
            </w:pPr>
            <w:r w:rsidRPr="00EC694B">
              <w:rPr>
                <w:rFonts w:ascii="Times New Roman" w:eastAsia="Times New Roman" w:hAnsi="Times New Roman" w:cs="Times New Roman"/>
                <w:i/>
                <w:sz w:val="20"/>
                <w:szCs w:val="20"/>
              </w:rPr>
              <w:t>-18.74</w:t>
            </w:r>
          </w:p>
        </w:tc>
        <w:tc>
          <w:tcPr>
            <w:tcW w:w="1016" w:type="dxa"/>
            <w:noWrap/>
            <w:vAlign w:val="center"/>
            <w:hideMark/>
          </w:tcPr>
          <w:p w:rsidR="00887D37" w:rsidRPr="00455DFC" w:rsidRDefault="00887D37" w:rsidP="00275F1A">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1,771,194</w:t>
            </w:r>
          </w:p>
        </w:tc>
        <w:tc>
          <w:tcPr>
            <w:tcW w:w="960" w:type="dxa"/>
            <w:noWrap/>
            <w:vAlign w:val="center"/>
            <w:hideMark/>
          </w:tcPr>
          <w:p w:rsidR="00887D37" w:rsidRPr="00EC694B" w:rsidRDefault="00887D37" w:rsidP="00275F1A">
            <w:pPr>
              <w:jc w:val="center"/>
              <w:cnfStyle w:val="000000100000"/>
              <w:rPr>
                <w:rFonts w:ascii="Times New Roman" w:eastAsia="Times New Roman" w:hAnsi="Times New Roman" w:cs="Times New Roman"/>
                <w:i/>
                <w:sz w:val="20"/>
                <w:szCs w:val="20"/>
              </w:rPr>
            </w:pPr>
            <w:r w:rsidRPr="00EC694B">
              <w:rPr>
                <w:rFonts w:ascii="Times New Roman" w:eastAsia="Times New Roman" w:hAnsi="Times New Roman" w:cs="Times New Roman"/>
                <w:i/>
                <w:sz w:val="20"/>
                <w:szCs w:val="20"/>
              </w:rPr>
              <w:t>-18.83</w:t>
            </w:r>
          </w:p>
        </w:tc>
      </w:tr>
      <w:tr w:rsidR="00887D37" w:rsidRPr="00EC694B" w:rsidTr="00887D37">
        <w:trPr>
          <w:cnfStyle w:val="000000010000"/>
          <w:trHeight w:val="300"/>
          <w:jc w:val="center"/>
        </w:trPr>
        <w:tc>
          <w:tcPr>
            <w:cnfStyle w:val="001000000000"/>
            <w:tcW w:w="2940" w:type="dxa"/>
            <w:hideMark/>
          </w:tcPr>
          <w:p w:rsidR="00887D37" w:rsidRPr="00EC694B" w:rsidRDefault="00887D37" w:rsidP="00275F1A">
            <w:pPr>
              <w:rPr>
                <w:rFonts w:ascii="Times New Roman" w:eastAsia="Times New Roman" w:hAnsi="Times New Roman" w:cs="Times New Roman"/>
                <w:b w:val="0"/>
                <w:sz w:val="20"/>
                <w:szCs w:val="20"/>
              </w:rPr>
            </w:pPr>
            <w:r w:rsidRPr="00EC694B">
              <w:rPr>
                <w:rFonts w:ascii="Times New Roman" w:eastAsia="Times New Roman" w:hAnsi="Times New Roman" w:cs="Times New Roman"/>
                <w:b w:val="0"/>
                <w:sz w:val="20"/>
                <w:szCs w:val="20"/>
              </w:rPr>
              <w:t>- Kitas turtas</w:t>
            </w:r>
          </w:p>
        </w:tc>
        <w:tc>
          <w:tcPr>
            <w:tcW w:w="1128" w:type="dxa"/>
            <w:noWrap/>
            <w:vAlign w:val="center"/>
            <w:hideMark/>
          </w:tcPr>
          <w:p w:rsidR="00887D37" w:rsidRPr="00455DFC" w:rsidRDefault="00887D37" w:rsidP="00275F1A">
            <w:pPr>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0</w:t>
            </w:r>
          </w:p>
        </w:tc>
        <w:tc>
          <w:tcPr>
            <w:tcW w:w="1016" w:type="dxa"/>
            <w:noWrap/>
            <w:vAlign w:val="center"/>
            <w:hideMark/>
          </w:tcPr>
          <w:p w:rsidR="00887D37" w:rsidRPr="00455DFC" w:rsidRDefault="00887D37" w:rsidP="00275F1A">
            <w:pPr>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0</w:t>
            </w:r>
          </w:p>
        </w:tc>
        <w:tc>
          <w:tcPr>
            <w:tcW w:w="960" w:type="dxa"/>
            <w:noWrap/>
            <w:vAlign w:val="center"/>
            <w:hideMark/>
          </w:tcPr>
          <w:p w:rsidR="00887D37" w:rsidRPr="00EC694B" w:rsidRDefault="00887D37" w:rsidP="00275F1A">
            <w:pPr>
              <w:jc w:val="center"/>
              <w:cnfStyle w:val="000000010000"/>
              <w:rPr>
                <w:rFonts w:ascii="Times New Roman" w:eastAsia="Times New Roman" w:hAnsi="Times New Roman" w:cs="Times New Roman"/>
                <w:i/>
                <w:sz w:val="20"/>
                <w:szCs w:val="20"/>
              </w:rPr>
            </w:pPr>
            <w:r w:rsidRPr="00EC694B">
              <w:rPr>
                <w:rFonts w:ascii="Times New Roman" w:eastAsia="Times New Roman" w:hAnsi="Times New Roman" w:cs="Times New Roman"/>
                <w:i/>
                <w:sz w:val="20"/>
                <w:szCs w:val="20"/>
              </w:rPr>
              <w:t>0.00</w:t>
            </w:r>
          </w:p>
        </w:tc>
        <w:tc>
          <w:tcPr>
            <w:tcW w:w="1016" w:type="dxa"/>
            <w:noWrap/>
            <w:vAlign w:val="center"/>
            <w:hideMark/>
          </w:tcPr>
          <w:p w:rsidR="00887D37" w:rsidRPr="00455DFC" w:rsidRDefault="00887D37" w:rsidP="00275F1A">
            <w:pPr>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0</w:t>
            </w:r>
          </w:p>
        </w:tc>
        <w:tc>
          <w:tcPr>
            <w:tcW w:w="960" w:type="dxa"/>
            <w:noWrap/>
            <w:vAlign w:val="center"/>
            <w:hideMark/>
          </w:tcPr>
          <w:p w:rsidR="00887D37" w:rsidRPr="00EC694B" w:rsidRDefault="00887D37" w:rsidP="00275F1A">
            <w:pPr>
              <w:jc w:val="center"/>
              <w:cnfStyle w:val="000000010000"/>
              <w:rPr>
                <w:rFonts w:ascii="Times New Roman" w:eastAsia="Times New Roman" w:hAnsi="Times New Roman" w:cs="Times New Roman"/>
                <w:i/>
                <w:sz w:val="20"/>
                <w:szCs w:val="20"/>
              </w:rPr>
            </w:pPr>
            <w:r w:rsidRPr="00EC694B">
              <w:rPr>
                <w:rFonts w:ascii="Times New Roman" w:eastAsia="Times New Roman" w:hAnsi="Times New Roman" w:cs="Times New Roman"/>
                <w:i/>
                <w:sz w:val="20"/>
                <w:szCs w:val="20"/>
              </w:rPr>
              <w:t>0.00</w:t>
            </w:r>
          </w:p>
        </w:tc>
      </w:tr>
      <w:tr w:rsidR="00887D37" w:rsidRPr="00EC694B" w:rsidTr="00887D37">
        <w:trPr>
          <w:cnfStyle w:val="000000100000"/>
          <w:trHeight w:val="300"/>
          <w:jc w:val="center"/>
        </w:trPr>
        <w:tc>
          <w:tcPr>
            <w:cnfStyle w:val="001000000000"/>
            <w:tcW w:w="2940" w:type="dxa"/>
            <w:hideMark/>
          </w:tcPr>
          <w:p w:rsidR="00887D37" w:rsidRPr="00EC694B" w:rsidRDefault="00887D37" w:rsidP="00275F1A">
            <w:pPr>
              <w:rPr>
                <w:rFonts w:ascii="Times New Roman" w:eastAsia="Times New Roman" w:hAnsi="Times New Roman" w:cs="Times New Roman"/>
                <w:b w:val="0"/>
                <w:sz w:val="20"/>
                <w:szCs w:val="20"/>
              </w:rPr>
            </w:pPr>
            <w:r w:rsidRPr="00EC694B">
              <w:rPr>
                <w:rFonts w:ascii="Times New Roman" w:eastAsia="Times New Roman" w:hAnsi="Times New Roman" w:cs="Times New Roman"/>
                <w:b w:val="0"/>
                <w:sz w:val="20"/>
                <w:szCs w:val="20"/>
              </w:rPr>
              <w:t>Trumpalaikis turtas</w:t>
            </w:r>
          </w:p>
        </w:tc>
        <w:tc>
          <w:tcPr>
            <w:tcW w:w="1128" w:type="dxa"/>
            <w:noWrap/>
            <w:vAlign w:val="center"/>
            <w:hideMark/>
          </w:tcPr>
          <w:p w:rsidR="00887D37" w:rsidRPr="00455DFC" w:rsidRDefault="00887D37" w:rsidP="00275F1A">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1,386,690</w:t>
            </w:r>
          </w:p>
        </w:tc>
        <w:tc>
          <w:tcPr>
            <w:tcW w:w="1016" w:type="dxa"/>
            <w:noWrap/>
            <w:vAlign w:val="center"/>
            <w:hideMark/>
          </w:tcPr>
          <w:p w:rsidR="00887D37" w:rsidRPr="00455DFC" w:rsidRDefault="00887D37" w:rsidP="00275F1A">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1,491,727</w:t>
            </w:r>
          </w:p>
        </w:tc>
        <w:tc>
          <w:tcPr>
            <w:tcW w:w="960" w:type="dxa"/>
            <w:noWrap/>
            <w:vAlign w:val="center"/>
            <w:hideMark/>
          </w:tcPr>
          <w:p w:rsidR="00887D37" w:rsidRPr="00EC694B" w:rsidRDefault="00887D37" w:rsidP="00275F1A">
            <w:pPr>
              <w:jc w:val="center"/>
              <w:cnfStyle w:val="000000100000"/>
              <w:rPr>
                <w:rFonts w:ascii="Times New Roman" w:eastAsia="Times New Roman" w:hAnsi="Times New Roman" w:cs="Times New Roman"/>
                <w:i/>
                <w:sz w:val="20"/>
                <w:szCs w:val="20"/>
              </w:rPr>
            </w:pPr>
            <w:r w:rsidRPr="00EC694B">
              <w:rPr>
                <w:rFonts w:ascii="Times New Roman" w:eastAsia="Times New Roman" w:hAnsi="Times New Roman" w:cs="Times New Roman"/>
                <w:i/>
                <w:sz w:val="20"/>
                <w:szCs w:val="20"/>
              </w:rPr>
              <w:t>7.57</w:t>
            </w:r>
          </w:p>
        </w:tc>
        <w:tc>
          <w:tcPr>
            <w:tcW w:w="1016" w:type="dxa"/>
            <w:noWrap/>
            <w:vAlign w:val="center"/>
            <w:hideMark/>
          </w:tcPr>
          <w:p w:rsidR="00887D37" w:rsidRPr="00455DFC" w:rsidRDefault="00887D37" w:rsidP="00275F1A">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742,516</w:t>
            </w:r>
          </w:p>
        </w:tc>
        <w:tc>
          <w:tcPr>
            <w:tcW w:w="960" w:type="dxa"/>
            <w:noWrap/>
            <w:vAlign w:val="center"/>
            <w:hideMark/>
          </w:tcPr>
          <w:p w:rsidR="00887D37" w:rsidRPr="00EC694B" w:rsidRDefault="00887D37" w:rsidP="00275F1A">
            <w:pPr>
              <w:jc w:val="center"/>
              <w:cnfStyle w:val="000000100000"/>
              <w:rPr>
                <w:rFonts w:ascii="Times New Roman" w:eastAsia="Times New Roman" w:hAnsi="Times New Roman" w:cs="Times New Roman"/>
                <w:i/>
                <w:sz w:val="20"/>
                <w:szCs w:val="20"/>
              </w:rPr>
            </w:pPr>
            <w:r w:rsidRPr="00EC694B">
              <w:rPr>
                <w:rFonts w:ascii="Times New Roman" w:eastAsia="Times New Roman" w:hAnsi="Times New Roman" w:cs="Times New Roman"/>
                <w:i/>
                <w:sz w:val="20"/>
                <w:szCs w:val="20"/>
              </w:rPr>
              <w:t>-50.22</w:t>
            </w:r>
          </w:p>
        </w:tc>
      </w:tr>
      <w:tr w:rsidR="00887D37" w:rsidRPr="00EC694B" w:rsidTr="00887D37">
        <w:trPr>
          <w:cnfStyle w:val="000000010000"/>
          <w:trHeight w:val="300"/>
          <w:jc w:val="center"/>
        </w:trPr>
        <w:tc>
          <w:tcPr>
            <w:cnfStyle w:val="001000000000"/>
            <w:tcW w:w="2940" w:type="dxa"/>
            <w:hideMark/>
          </w:tcPr>
          <w:p w:rsidR="00887D37" w:rsidRPr="00EC694B" w:rsidRDefault="00887D37" w:rsidP="00275F1A">
            <w:pPr>
              <w:rPr>
                <w:rFonts w:ascii="Times New Roman" w:eastAsia="Times New Roman" w:hAnsi="Times New Roman" w:cs="Times New Roman"/>
                <w:b w:val="0"/>
                <w:sz w:val="20"/>
                <w:szCs w:val="20"/>
              </w:rPr>
            </w:pPr>
            <w:r w:rsidRPr="00EC694B">
              <w:rPr>
                <w:rFonts w:ascii="Times New Roman" w:eastAsia="Times New Roman" w:hAnsi="Times New Roman" w:cs="Times New Roman"/>
                <w:b w:val="0"/>
                <w:sz w:val="20"/>
                <w:szCs w:val="20"/>
              </w:rPr>
              <w:t>- Atsargos</w:t>
            </w:r>
          </w:p>
        </w:tc>
        <w:tc>
          <w:tcPr>
            <w:tcW w:w="1128" w:type="dxa"/>
            <w:noWrap/>
            <w:vAlign w:val="center"/>
            <w:hideMark/>
          </w:tcPr>
          <w:p w:rsidR="00887D37" w:rsidRPr="00455DFC" w:rsidRDefault="00887D37" w:rsidP="00275F1A">
            <w:pPr>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513,202</w:t>
            </w:r>
          </w:p>
        </w:tc>
        <w:tc>
          <w:tcPr>
            <w:tcW w:w="1016" w:type="dxa"/>
            <w:noWrap/>
            <w:vAlign w:val="center"/>
            <w:hideMark/>
          </w:tcPr>
          <w:p w:rsidR="00887D37" w:rsidRPr="00455DFC" w:rsidRDefault="00887D37" w:rsidP="00275F1A">
            <w:pPr>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392,873</w:t>
            </w:r>
          </w:p>
        </w:tc>
        <w:tc>
          <w:tcPr>
            <w:tcW w:w="960" w:type="dxa"/>
            <w:noWrap/>
            <w:vAlign w:val="center"/>
            <w:hideMark/>
          </w:tcPr>
          <w:p w:rsidR="00887D37" w:rsidRPr="00EC694B" w:rsidRDefault="00887D37" w:rsidP="00275F1A">
            <w:pPr>
              <w:jc w:val="center"/>
              <w:cnfStyle w:val="000000010000"/>
              <w:rPr>
                <w:rFonts w:ascii="Times New Roman" w:eastAsia="Times New Roman" w:hAnsi="Times New Roman" w:cs="Times New Roman"/>
                <w:i/>
                <w:sz w:val="20"/>
                <w:szCs w:val="20"/>
              </w:rPr>
            </w:pPr>
            <w:r w:rsidRPr="00EC694B">
              <w:rPr>
                <w:rFonts w:ascii="Times New Roman" w:eastAsia="Times New Roman" w:hAnsi="Times New Roman" w:cs="Times New Roman"/>
                <w:i/>
                <w:sz w:val="20"/>
                <w:szCs w:val="20"/>
              </w:rPr>
              <w:t>-23.45</w:t>
            </w:r>
          </w:p>
        </w:tc>
        <w:tc>
          <w:tcPr>
            <w:tcW w:w="1016" w:type="dxa"/>
            <w:noWrap/>
            <w:vAlign w:val="center"/>
            <w:hideMark/>
          </w:tcPr>
          <w:p w:rsidR="00887D37" w:rsidRPr="00455DFC" w:rsidRDefault="00887D37" w:rsidP="00275F1A">
            <w:pPr>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156,796</w:t>
            </w:r>
          </w:p>
        </w:tc>
        <w:tc>
          <w:tcPr>
            <w:tcW w:w="960" w:type="dxa"/>
            <w:noWrap/>
            <w:vAlign w:val="center"/>
            <w:hideMark/>
          </w:tcPr>
          <w:p w:rsidR="00887D37" w:rsidRPr="00EC694B" w:rsidRDefault="00887D37" w:rsidP="00275F1A">
            <w:pPr>
              <w:jc w:val="center"/>
              <w:cnfStyle w:val="000000010000"/>
              <w:rPr>
                <w:rFonts w:ascii="Times New Roman" w:eastAsia="Times New Roman" w:hAnsi="Times New Roman" w:cs="Times New Roman"/>
                <w:i/>
                <w:sz w:val="20"/>
                <w:szCs w:val="20"/>
              </w:rPr>
            </w:pPr>
            <w:r w:rsidRPr="00EC694B">
              <w:rPr>
                <w:rFonts w:ascii="Times New Roman" w:eastAsia="Times New Roman" w:hAnsi="Times New Roman" w:cs="Times New Roman"/>
                <w:i/>
                <w:sz w:val="20"/>
                <w:szCs w:val="20"/>
              </w:rPr>
              <w:t>-60.09</w:t>
            </w:r>
          </w:p>
        </w:tc>
      </w:tr>
      <w:tr w:rsidR="00887D37" w:rsidRPr="00EC694B" w:rsidTr="00887D37">
        <w:trPr>
          <w:cnfStyle w:val="000000100000"/>
          <w:trHeight w:val="510"/>
          <w:jc w:val="center"/>
        </w:trPr>
        <w:tc>
          <w:tcPr>
            <w:cnfStyle w:val="001000000000"/>
            <w:tcW w:w="2940" w:type="dxa"/>
            <w:hideMark/>
          </w:tcPr>
          <w:p w:rsidR="00887D37" w:rsidRPr="00EC694B" w:rsidRDefault="00887D37" w:rsidP="00275F1A">
            <w:pPr>
              <w:rPr>
                <w:rFonts w:ascii="Times New Roman" w:eastAsia="Times New Roman" w:hAnsi="Times New Roman" w:cs="Times New Roman"/>
                <w:b w:val="0"/>
                <w:sz w:val="20"/>
                <w:szCs w:val="20"/>
              </w:rPr>
            </w:pPr>
            <w:r w:rsidRPr="00EC694B">
              <w:rPr>
                <w:rFonts w:ascii="Times New Roman" w:eastAsia="Times New Roman" w:hAnsi="Times New Roman" w:cs="Times New Roman"/>
                <w:b w:val="0"/>
                <w:sz w:val="20"/>
                <w:szCs w:val="20"/>
              </w:rPr>
              <w:t>- Per vienerius metus gautinos sumos</w:t>
            </w:r>
          </w:p>
        </w:tc>
        <w:tc>
          <w:tcPr>
            <w:tcW w:w="1128" w:type="dxa"/>
            <w:noWrap/>
            <w:vAlign w:val="center"/>
            <w:hideMark/>
          </w:tcPr>
          <w:p w:rsidR="00887D37" w:rsidRPr="00455DFC" w:rsidRDefault="00887D37" w:rsidP="00275F1A">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685,714</w:t>
            </w:r>
          </w:p>
        </w:tc>
        <w:tc>
          <w:tcPr>
            <w:tcW w:w="1016" w:type="dxa"/>
            <w:noWrap/>
            <w:vAlign w:val="center"/>
            <w:hideMark/>
          </w:tcPr>
          <w:p w:rsidR="00887D37" w:rsidRPr="00455DFC" w:rsidRDefault="00887D37" w:rsidP="00275F1A">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697,679</w:t>
            </w:r>
          </w:p>
        </w:tc>
        <w:tc>
          <w:tcPr>
            <w:tcW w:w="960" w:type="dxa"/>
            <w:noWrap/>
            <w:vAlign w:val="center"/>
            <w:hideMark/>
          </w:tcPr>
          <w:p w:rsidR="00887D37" w:rsidRPr="00EC694B" w:rsidRDefault="00887D37" w:rsidP="00275F1A">
            <w:pPr>
              <w:jc w:val="center"/>
              <w:cnfStyle w:val="000000100000"/>
              <w:rPr>
                <w:rFonts w:ascii="Times New Roman" w:eastAsia="Times New Roman" w:hAnsi="Times New Roman" w:cs="Times New Roman"/>
                <w:i/>
                <w:sz w:val="20"/>
                <w:szCs w:val="20"/>
              </w:rPr>
            </w:pPr>
            <w:r w:rsidRPr="00EC694B">
              <w:rPr>
                <w:rFonts w:ascii="Times New Roman" w:eastAsia="Times New Roman" w:hAnsi="Times New Roman" w:cs="Times New Roman"/>
                <w:i/>
                <w:sz w:val="20"/>
                <w:szCs w:val="20"/>
              </w:rPr>
              <w:t>1.74</w:t>
            </w:r>
          </w:p>
        </w:tc>
        <w:tc>
          <w:tcPr>
            <w:tcW w:w="1016" w:type="dxa"/>
            <w:noWrap/>
            <w:vAlign w:val="center"/>
            <w:hideMark/>
          </w:tcPr>
          <w:p w:rsidR="00887D37" w:rsidRPr="00455DFC" w:rsidRDefault="00887D37" w:rsidP="00275F1A">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498,511</w:t>
            </w:r>
          </w:p>
        </w:tc>
        <w:tc>
          <w:tcPr>
            <w:tcW w:w="960" w:type="dxa"/>
            <w:noWrap/>
            <w:vAlign w:val="center"/>
            <w:hideMark/>
          </w:tcPr>
          <w:p w:rsidR="00887D37" w:rsidRPr="00EC694B" w:rsidRDefault="00887D37" w:rsidP="00275F1A">
            <w:pPr>
              <w:jc w:val="center"/>
              <w:cnfStyle w:val="000000100000"/>
              <w:rPr>
                <w:rFonts w:ascii="Times New Roman" w:eastAsia="Times New Roman" w:hAnsi="Times New Roman" w:cs="Times New Roman"/>
                <w:i/>
                <w:sz w:val="20"/>
                <w:szCs w:val="20"/>
              </w:rPr>
            </w:pPr>
            <w:r w:rsidRPr="00EC694B">
              <w:rPr>
                <w:rFonts w:ascii="Times New Roman" w:eastAsia="Times New Roman" w:hAnsi="Times New Roman" w:cs="Times New Roman"/>
                <w:i/>
                <w:sz w:val="20"/>
                <w:szCs w:val="20"/>
              </w:rPr>
              <w:t>-28.55</w:t>
            </w:r>
          </w:p>
        </w:tc>
      </w:tr>
      <w:tr w:rsidR="00887D37" w:rsidRPr="00EC694B" w:rsidTr="00887D37">
        <w:trPr>
          <w:cnfStyle w:val="000000010000"/>
          <w:trHeight w:val="300"/>
          <w:jc w:val="center"/>
        </w:trPr>
        <w:tc>
          <w:tcPr>
            <w:cnfStyle w:val="001000000000"/>
            <w:tcW w:w="2940" w:type="dxa"/>
            <w:hideMark/>
          </w:tcPr>
          <w:p w:rsidR="00887D37" w:rsidRPr="00EC694B" w:rsidRDefault="00887D37" w:rsidP="00275F1A">
            <w:pPr>
              <w:rPr>
                <w:rFonts w:ascii="Times New Roman" w:eastAsia="Times New Roman" w:hAnsi="Times New Roman" w:cs="Times New Roman"/>
                <w:b w:val="0"/>
                <w:sz w:val="20"/>
                <w:szCs w:val="20"/>
              </w:rPr>
            </w:pPr>
            <w:r w:rsidRPr="00EC694B">
              <w:rPr>
                <w:rFonts w:ascii="Times New Roman" w:eastAsia="Times New Roman" w:hAnsi="Times New Roman" w:cs="Times New Roman"/>
                <w:b w:val="0"/>
                <w:sz w:val="20"/>
                <w:szCs w:val="20"/>
              </w:rPr>
              <w:t>- Kitas trumpalaikis turtas</w:t>
            </w:r>
          </w:p>
        </w:tc>
        <w:tc>
          <w:tcPr>
            <w:tcW w:w="1128" w:type="dxa"/>
            <w:noWrap/>
            <w:vAlign w:val="center"/>
            <w:hideMark/>
          </w:tcPr>
          <w:p w:rsidR="00887D37" w:rsidRPr="00455DFC" w:rsidRDefault="00887D37" w:rsidP="00275F1A">
            <w:pPr>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187,774</w:t>
            </w:r>
          </w:p>
        </w:tc>
        <w:tc>
          <w:tcPr>
            <w:tcW w:w="1016" w:type="dxa"/>
            <w:noWrap/>
            <w:vAlign w:val="center"/>
            <w:hideMark/>
          </w:tcPr>
          <w:p w:rsidR="00887D37" w:rsidRPr="00455DFC" w:rsidRDefault="00887D37" w:rsidP="00275F1A">
            <w:pPr>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401,175</w:t>
            </w:r>
          </w:p>
        </w:tc>
        <w:tc>
          <w:tcPr>
            <w:tcW w:w="960" w:type="dxa"/>
            <w:noWrap/>
            <w:vAlign w:val="center"/>
            <w:hideMark/>
          </w:tcPr>
          <w:p w:rsidR="00887D37" w:rsidRPr="00EC694B" w:rsidRDefault="00887D37" w:rsidP="00275F1A">
            <w:pPr>
              <w:jc w:val="center"/>
              <w:cnfStyle w:val="000000010000"/>
              <w:rPr>
                <w:rFonts w:ascii="Times New Roman" w:eastAsia="Times New Roman" w:hAnsi="Times New Roman" w:cs="Times New Roman"/>
                <w:i/>
                <w:sz w:val="20"/>
                <w:szCs w:val="20"/>
              </w:rPr>
            </w:pPr>
            <w:r w:rsidRPr="00EC694B">
              <w:rPr>
                <w:rFonts w:ascii="Times New Roman" w:eastAsia="Times New Roman" w:hAnsi="Times New Roman" w:cs="Times New Roman"/>
                <w:i/>
                <w:sz w:val="20"/>
                <w:szCs w:val="20"/>
              </w:rPr>
              <w:t>113.65</w:t>
            </w:r>
          </w:p>
        </w:tc>
        <w:tc>
          <w:tcPr>
            <w:tcW w:w="1016" w:type="dxa"/>
            <w:noWrap/>
            <w:vAlign w:val="center"/>
            <w:hideMark/>
          </w:tcPr>
          <w:p w:rsidR="00887D37" w:rsidRPr="00455DFC" w:rsidRDefault="00887D37" w:rsidP="00275F1A">
            <w:pPr>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87,209</w:t>
            </w:r>
          </w:p>
        </w:tc>
        <w:tc>
          <w:tcPr>
            <w:tcW w:w="960" w:type="dxa"/>
            <w:noWrap/>
            <w:vAlign w:val="center"/>
            <w:hideMark/>
          </w:tcPr>
          <w:p w:rsidR="00887D37" w:rsidRPr="00EC694B" w:rsidRDefault="00887D37" w:rsidP="00275F1A">
            <w:pPr>
              <w:jc w:val="center"/>
              <w:cnfStyle w:val="000000010000"/>
              <w:rPr>
                <w:rFonts w:ascii="Times New Roman" w:eastAsia="Times New Roman" w:hAnsi="Times New Roman" w:cs="Times New Roman"/>
                <w:i/>
                <w:sz w:val="20"/>
                <w:szCs w:val="20"/>
              </w:rPr>
            </w:pPr>
            <w:r w:rsidRPr="00EC694B">
              <w:rPr>
                <w:rFonts w:ascii="Times New Roman" w:eastAsia="Times New Roman" w:hAnsi="Times New Roman" w:cs="Times New Roman"/>
                <w:i/>
                <w:sz w:val="20"/>
                <w:szCs w:val="20"/>
              </w:rPr>
              <w:t>-78.26</w:t>
            </w:r>
          </w:p>
        </w:tc>
      </w:tr>
      <w:tr w:rsidR="00887D37" w:rsidRPr="00EC694B" w:rsidTr="00887D37">
        <w:trPr>
          <w:cnfStyle w:val="000000100000"/>
          <w:trHeight w:val="300"/>
          <w:jc w:val="center"/>
        </w:trPr>
        <w:tc>
          <w:tcPr>
            <w:cnfStyle w:val="001000000000"/>
            <w:tcW w:w="2940" w:type="dxa"/>
            <w:hideMark/>
          </w:tcPr>
          <w:p w:rsidR="00887D37" w:rsidRPr="00EC694B" w:rsidRDefault="00887D37" w:rsidP="00275F1A">
            <w:pPr>
              <w:rPr>
                <w:rFonts w:ascii="Times New Roman" w:eastAsia="Times New Roman" w:hAnsi="Times New Roman" w:cs="Times New Roman"/>
                <w:b w:val="0"/>
                <w:sz w:val="20"/>
                <w:szCs w:val="20"/>
              </w:rPr>
            </w:pPr>
            <w:r w:rsidRPr="00EC694B">
              <w:rPr>
                <w:rFonts w:ascii="Times New Roman" w:eastAsia="Times New Roman" w:hAnsi="Times New Roman" w:cs="Times New Roman"/>
                <w:b w:val="0"/>
                <w:sz w:val="20"/>
                <w:szCs w:val="20"/>
              </w:rPr>
              <w:t>* Pinigai ir jų ekvivalentai</w:t>
            </w:r>
          </w:p>
        </w:tc>
        <w:tc>
          <w:tcPr>
            <w:tcW w:w="1128" w:type="dxa"/>
            <w:noWrap/>
            <w:vAlign w:val="center"/>
            <w:hideMark/>
          </w:tcPr>
          <w:p w:rsidR="00887D37" w:rsidRPr="00455DFC" w:rsidRDefault="00887D37" w:rsidP="00275F1A">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71,815</w:t>
            </w:r>
          </w:p>
        </w:tc>
        <w:tc>
          <w:tcPr>
            <w:tcW w:w="1016" w:type="dxa"/>
            <w:noWrap/>
            <w:vAlign w:val="center"/>
            <w:hideMark/>
          </w:tcPr>
          <w:p w:rsidR="00887D37" w:rsidRPr="00455DFC" w:rsidRDefault="00887D37" w:rsidP="00275F1A">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283,416</w:t>
            </w:r>
          </w:p>
        </w:tc>
        <w:tc>
          <w:tcPr>
            <w:tcW w:w="960" w:type="dxa"/>
            <w:noWrap/>
            <w:vAlign w:val="center"/>
            <w:hideMark/>
          </w:tcPr>
          <w:p w:rsidR="00887D37" w:rsidRPr="00EC694B" w:rsidRDefault="00887D37" w:rsidP="00275F1A">
            <w:pPr>
              <w:jc w:val="center"/>
              <w:cnfStyle w:val="000000100000"/>
              <w:rPr>
                <w:rFonts w:ascii="Times New Roman" w:eastAsia="Times New Roman" w:hAnsi="Times New Roman" w:cs="Times New Roman"/>
                <w:i/>
                <w:sz w:val="20"/>
                <w:szCs w:val="20"/>
              </w:rPr>
            </w:pPr>
            <w:r w:rsidRPr="00EC694B">
              <w:rPr>
                <w:rFonts w:ascii="Times New Roman" w:eastAsia="Times New Roman" w:hAnsi="Times New Roman" w:cs="Times New Roman"/>
                <w:i/>
                <w:sz w:val="20"/>
                <w:szCs w:val="20"/>
              </w:rPr>
              <w:t>294.65</w:t>
            </w:r>
          </w:p>
        </w:tc>
        <w:tc>
          <w:tcPr>
            <w:tcW w:w="1016" w:type="dxa"/>
            <w:noWrap/>
            <w:vAlign w:val="center"/>
            <w:hideMark/>
          </w:tcPr>
          <w:p w:rsidR="00887D37" w:rsidRPr="00455DFC" w:rsidRDefault="00887D37" w:rsidP="00275F1A">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31,404</w:t>
            </w:r>
          </w:p>
        </w:tc>
        <w:tc>
          <w:tcPr>
            <w:tcW w:w="960" w:type="dxa"/>
            <w:noWrap/>
            <w:vAlign w:val="center"/>
            <w:hideMark/>
          </w:tcPr>
          <w:p w:rsidR="00887D37" w:rsidRPr="00EC694B" w:rsidRDefault="00887D37" w:rsidP="00275F1A">
            <w:pPr>
              <w:jc w:val="center"/>
              <w:cnfStyle w:val="000000100000"/>
              <w:rPr>
                <w:rFonts w:ascii="Times New Roman" w:eastAsia="Times New Roman" w:hAnsi="Times New Roman" w:cs="Times New Roman"/>
                <w:i/>
                <w:sz w:val="20"/>
                <w:szCs w:val="20"/>
              </w:rPr>
            </w:pPr>
            <w:r w:rsidRPr="00EC694B">
              <w:rPr>
                <w:rFonts w:ascii="Times New Roman" w:eastAsia="Times New Roman" w:hAnsi="Times New Roman" w:cs="Times New Roman"/>
                <w:i/>
                <w:sz w:val="20"/>
                <w:szCs w:val="20"/>
              </w:rPr>
              <w:t>-88.92</w:t>
            </w:r>
          </w:p>
        </w:tc>
      </w:tr>
      <w:tr w:rsidR="00887D37" w:rsidRPr="00EC694B" w:rsidTr="00887D37">
        <w:trPr>
          <w:cnfStyle w:val="000000010000"/>
          <w:trHeight w:val="300"/>
          <w:jc w:val="center"/>
        </w:trPr>
        <w:tc>
          <w:tcPr>
            <w:cnfStyle w:val="001000000000"/>
            <w:tcW w:w="2940" w:type="dxa"/>
            <w:hideMark/>
          </w:tcPr>
          <w:p w:rsidR="00887D37" w:rsidRPr="00455DFC" w:rsidRDefault="00887D37" w:rsidP="00275F1A">
            <w:pPr>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TURTO IŠ VISO</w:t>
            </w:r>
          </w:p>
        </w:tc>
        <w:tc>
          <w:tcPr>
            <w:tcW w:w="1128" w:type="dxa"/>
            <w:noWrap/>
            <w:vAlign w:val="center"/>
            <w:hideMark/>
          </w:tcPr>
          <w:p w:rsidR="00887D37" w:rsidRPr="00EC694B" w:rsidRDefault="00887D37" w:rsidP="00275F1A">
            <w:pPr>
              <w:jc w:val="center"/>
              <w:cnfStyle w:val="000000010000"/>
              <w:rPr>
                <w:rFonts w:ascii="Times New Roman" w:eastAsia="Times New Roman" w:hAnsi="Times New Roman" w:cs="Times New Roman"/>
                <w:b/>
                <w:sz w:val="20"/>
                <w:szCs w:val="20"/>
              </w:rPr>
            </w:pPr>
            <w:r w:rsidRPr="00EC694B">
              <w:rPr>
                <w:rFonts w:ascii="Times New Roman" w:eastAsia="Times New Roman" w:hAnsi="Times New Roman" w:cs="Times New Roman"/>
                <w:b/>
                <w:sz w:val="20"/>
                <w:szCs w:val="20"/>
              </w:rPr>
              <w:t>4,072,330</w:t>
            </w:r>
          </w:p>
        </w:tc>
        <w:tc>
          <w:tcPr>
            <w:tcW w:w="1016" w:type="dxa"/>
            <w:noWrap/>
            <w:vAlign w:val="center"/>
            <w:hideMark/>
          </w:tcPr>
          <w:p w:rsidR="00887D37" w:rsidRPr="00EC694B" w:rsidRDefault="00887D37" w:rsidP="00275F1A">
            <w:pPr>
              <w:jc w:val="center"/>
              <w:cnfStyle w:val="000000010000"/>
              <w:rPr>
                <w:rFonts w:ascii="Times New Roman" w:eastAsia="Times New Roman" w:hAnsi="Times New Roman" w:cs="Times New Roman"/>
                <w:b/>
                <w:sz w:val="20"/>
                <w:szCs w:val="20"/>
              </w:rPr>
            </w:pPr>
            <w:r w:rsidRPr="00EC694B">
              <w:rPr>
                <w:rFonts w:ascii="Times New Roman" w:eastAsia="Times New Roman" w:hAnsi="Times New Roman" w:cs="Times New Roman"/>
                <w:b/>
                <w:sz w:val="20"/>
                <w:szCs w:val="20"/>
              </w:rPr>
              <w:t>3,673,990</w:t>
            </w:r>
          </w:p>
        </w:tc>
        <w:tc>
          <w:tcPr>
            <w:tcW w:w="960" w:type="dxa"/>
            <w:noWrap/>
            <w:vAlign w:val="center"/>
            <w:hideMark/>
          </w:tcPr>
          <w:p w:rsidR="00887D37" w:rsidRPr="00EC694B" w:rsidRDefault="00887D37" w:rsidP="00275F1A">
            <w:pPr>
              <w:jc w:val="center"/>
              <w:cnfStyle w:val="000000010000"/>
              <w:rPr>
                <w:rFonts w:ascii="Times New Roman" w:eastAsia="Times New Roman" w:hAnsi="Times New Roman" w:cs="Times New Roman"/>
                <w:b/>
                <w:i/>
                <w:sz w:val="20"/>
                <w:szCs w:val="20"/>
              </w:rPr>
            </w:pPr>
            <w:r w:rsidRPr="00EC694B">
              <w:rPr>
                <w:rFonts w:ascii="Times New Roman" w:eastAsia="Times New Roman" w:hAnsi="Times New Roman" w:cs="Times New Roman"/>
                <w:b/>
                <w:i/>
                <w:sz w:val="20"/>
                <w:szCs w:val="20"/>
              </w:rPr>
              <w:t>-9.78</w:t>
            </w:r>
          </w:p>
        </w:tc>
        <w:tc>
          <w:tcPr>
            <w:tcW w:w="1016" w:type="dxa"/>
            <w:noWrap/>
            <w:vAlign w:val="center"/>
            <w:hideMark/>
          </w:tcPr>
          <w:p w:rsidR="00887D37" w:rsidRPr="00EC694B" w:rsidRDefault="00887D37" w:rsidP="00275F1A">
            <w:pPr>
              <w:jc w:val="center"/>
              <w:cnfStyle w:val="000000010000"/>
              <w:rPr>
                <w:rFonts w:ascii="Times New Roman" w:eastAsia="Times New Roman" w:hAnsi="Times New Roman" w:cs="Times New Roman"/>
                <w:b/>
                <w:sz w:val="20"/>
                <w:szCs w:val="20"/>
              </w:rPr>
            </w:pPr>
            <w:r w:rsidRPr="00EC694B">
              <w:rPr>
                <w:rFonts w:ascii="Times New Roman" w:eastAsia="Times New Roman" w:hAnsi="Times New Roman" w:cs="Times New Roman"/>
                <w:b/>
                <w:sz w:val="20"/>
                <w:szCs w:val="20"/>
              </w:rPr>
              <w:t>2,513,802</w:t>
            </w:r>
          </w:p>
        </w:tc>
        <w:tc>
          <w:tcPr>
            <w:tcW w:w="960" w:type="dxa"/>
            <w:noWrap/>
            <w:vAlign w:val="center"/>
            <w:hideMark/>
          </w:tcPr>
          <w:p w:rsidR="00887D37" w:rsidRPr="00EC694B" w:rsidRDefault="00887D37" w:rsidP="00275F1A">
            <w:pPr>
              <w:jc w:val="center"/>
              <w:cnfStyle w:val="000000010000"/>
              <w:rPr>
                <w:rFonts w:ascii="Times New Roman" w:eastAsia="Times New Roman" w:hAnsi="Times New Roman" w:cs="Times New Roman"/>
                <w:b/>
                <w:i/>
                <w:sz w:val="20"/>
                <w:szCs w:val="20"/>
              </w:rPr>
            </w:pPr>
            <w:r w:rsidRPr="00EC694B">
              <w:rPr>
                <w:rFonts w:ascii="Times New Roman" w:eastAsia="Times New Roman" w:hAnsi="Times New Roman" w:cs="Times New Roman"/>
                <w:b/>
                <w:i/>
                <w:sz w:val="20"/>
                <w:szCs w:val="20"/>
              </w:rPr>
              <w:t>-32.58</w:t>
            </w:r>
          </w:p>
        </w:tc>
      </w:tr>
      <w:tr w:rsidR="00E6354F" w:rsidRPr="00455DFC" w:rsidTr="00887D37">
        <w:trPr>
          <w:cnfStyle w:val="000000100000"/>
          <w:trHeight w:val="510"/>
          <w:jc w:val="center"/>
        </w:trPr>
        <w:tc>
          <w:tcPr>
            <w:cnfStyle w:val="001000000000"/>
            <w:tcW w:w="2940" w:type="dxa"/>
            <w:vAlign w:val="center"/>
            <w:hideMark/>
          </w:tcPr>
          <w:p w:rsidR="00E6354F" w:rsidRPr="00455DFC" w:rsidRDefault="00E6354F" w:rsidP="00275F1A">
            <w:pPr>
              <w:jc w:val="center"/>
              <w:rPr>
                <w:rFonts w:ascii="Times New Roman" w:eastAsia="Times New Roman" w:hAnsi="Times New Roman" w:cs="Times New Roman"/>
                <w:b w:val="0"/>
                <w:bCs w:val="0"/>
                <w:sz w:val="20"/>
                <w:szCs w:val="20"/>
              </w:rPr>
            </w:pPr>
            <w:r w:rsidRPr="00455DFC">
              <w:rPr>
                <w:rFonts w:ascii="Times New Roman" w:eastAsia="Times New Roman" w:hAnsi="Times New Roman" w:cs="Times New Roman"/>
                <w:b w:val="0"/>
                <w:bCs w:val="0"/>
                <w:sz w:val="20"/>
                <w:szCs w:val="20"/>
              </w:rPr>
              <w:t>Nuosavas kapitalas ir įsipareigojimai</w:t>
            </w:r>
          </w:p>
        </w:tc>
        <w:tc>
          <w:tcPr>
            <w:tcW w:w="1128" w:type="dxa"/>
            <w:vAlign w:val="center"/>
            <w:hideMark/>
          </w:tcPr>
          <w:p w:rsidR="00E6354F" w:rsidRPr="00F80CD4" w:rsidRDefault="00E6354F" w:rsidP="004633A4">
            <w:pPr>
              <w:jc w:val="center"/>
              <w:cnfStyle w:val="000000100000"/>
              <w:rPr>
                <w:rFonts w:ascii="Times New Roman" w:eastAsia="Times New Roman" w:hAnsi="Times New Roman" w:cs="Times New Roman"/>
                <w:b/>
                <w:bCs/>
                <w:sz w:val="20"/>
                <w:szCs w:val="20"/>
              </w:rPr>
            </w:pPr>
            <w:r w:rsidRPr="00F80CD4">
              <w:rPr>
                <w:rFonts w:ascii="Times New Roman" w:eastAsia="Times New Roman" w:hAnsi="Times New Roman" w:cs="Times New Roman"/>
                <w:sz w:val="20"/>
                <w:szCs w:val="20"/>
              </w:rPr>
              <w:t>EUR</w:t>
            </w:r>
          </w:p>
        </w:tc>
        <w:tc>
          <w:tcPr>
            <w:tcW w:w="1016" w:type="dxa"/>
            <w:vAlign w:val="center"/>
            <w:hideMark/>
          </w:tcPr>
          <w:p w:rsidR="00E6354F" w:rsidRPr="00F80CD4" w:rsidRDefault="00E6354F" w:rsidP="004633A4">
            <w:pPr>
              <w:jc w:val="center"/>
              <w:cnfStyle w:val="000000100000"/>
              <w:rPr>
                <w:rFonts w:ascii="Times New Roman" w:eastAsia="Times New Roman" w:hAnsi="Times New Roman" w:cs="Times New Roman"/>
                <w:b/>
                <w:bCs/>
                <w:sz w:val="20"/>
                <w:szCs w:val="20"/>
              </w:rPr>
            </w:pPr>
            <w:r w:rsidRPr="00F80CD4">
              <w:rPr>
                <w:rFonts w:ascii="Times New Roman" w:eastAsia="Times New Roman" w:hAnsi="Times New Roman" w:cs="Times New Roman"/>
                <w:sz w:val="20"/>
                <w:szCs w:val="20"/>
              </w:rPr>
              <w:t>EUR</w:t>
            </w:r>
          </w:p>
        </w:tc>
        <w:tc>
          <w:tcPr>
            <w:tcW w:w="960" w:type="dxa"/>
            <w:vAlign w:val="center"/>
            <w:hideMark/>
          </w:tcPr>
          <w:p w:rsidR="00E6354F" w:rsidRPr="004D5C99" w:rsidRDefault="00E6354F" w:rsidP="004633A4">
            <w:pPr>
              <w:jc w:val="center"/>
              <w:cnfStyle w:val="000000100000"/>
              <w:rPr>
                <w:rFonts w:ascii="Times New Roman" w:eastAsia="Times New Roman" w:hAnsi="Times New Roman" w:cs="Times New Roman"/>
                <w:b/>
                <w:bCs/>
                <w:sz w:val="20"/>
                <w:szCs w:val="20"/>
              </w:rPr>
            </w:pPr>
            <w:r w:rsidRPr="004D5C99">
              <w:rPr>
                <w:rFonts w:ascii="Times New Roman" w:eastAsia="Times New Roman" w:hAnsi="Times New Roman" w:cs="Times New Roman"/>
                <w:b/>
                <w:bCs/>
                <w:sz w:val="20"/>
                <w:szCs w:val="20"/>
              </w:rPr>
              <w:t xml:space="preserve">Pokytis, </w:t>
            </w:r>
            <w:r>
              <w:rPr>
                <w:rFonts w:ascii="Times New Roman" w:eastAsia="Times New Roman" w:hAnsi="Times New Roman" w:cs="Times New Roman"/>
                <w:b/>
                <w:bCs/>
                <w:sz w:val="20"/>
                <w:szCs w:val="20"/>
              </w:rPr>
              <w:t>proc.</w:t>
            </w:r>
          </w:p>
        </w:tc>
        <w:tc>
          <w:tcPr>
            <w:tcW w:w="1016" w:type="dxa"/>
            <w:vAlign w:val="center"/>
            <w:hideMark/>
          </w:tcPr>
          <w:p w:rsidR="00E6354F" w:rsidRPr="004D5C99" w:rsidRDefault="00E6354F" w:rsidP="004633A4">
            <w:pPr>
              <w:jc w:val="center"/>
              <w:cnfStyle w:val="000000100000"/>
              <w:rPr>
                <w:rFonts w:ascii="Times New Roman" w:eastAsia="Times New Roman" w:hAnsi="Times New Roman" w:cs="Times New Roman"/>
                <w:b/>
                <w:bCs/>
                <w:sz w:val="20"/>
                <w:szCs w:val="20"/>
              </w:rPr>
            </w:pPr>
            <w:r w:rsidRPr="004D5C99">
              <w:rPr>
                <w:rFonts w:ascii="Times New Roman" w:eastAsia="Times New Roman" w:hAnsi="Times New Roman" w:cs="Times New Roman"/>
                <w:sz w:val="20"/>
                <w:szCs w:val="20"/>
              </w:rPr>
              <w:t>EUR</w:t>
            </w:r>
          </w:p>
        </w:tc>
        <w:tc>
          <w:tcPr>
            <w:tcW w:w="960" w:type="dxa"/>
            <w:vAlign w:val="center"/>
            <w:hideMark/>
          </w:tcPr>
          <w:p w:rsidR="00E6354F" w:rsidRPr="004D5C99" w:rsidRDefault="00E6354F" w:rsidP="004633A4">
            <w:pPr>
              <w:jc w:val="center"/>
              <w:cnfStyle w:val="000000100000"/>
              <w:rPr>
                <w:rFonts w:ascii="Times New Roman" w:eastAsia="Times New Roman" w:hAnsi="Times New Roman" w:cs="Times New Roman"/>
                <w:b/>
                <w:bCs/>
                <w:sz w:val="20"/>
                <w:szCs w:val="20"/>
              </w:rPr>
            </w:pPr>
            <w:r w:rsidRPr="004D5C99">
              <w:rPr>
                <w:rFonts w:ascii="Times New Roman" w:eastAsia="Times New Roman" w:hAnsi="Times New Roman" w:cs="Times New Roman"/>
                <w:b/>
                <w:bCs/>
                <w:sz w:val="20"/>
                <w:szCs w:val="20"/>
              </w:rPr>
              <w:t xml:space="preserve">Pokytis, </w:t>
            </w:r>
            <w:r>
              <w:rPr>
                <w:rFonts w:ascii="Times New Roman" w:eastAsia="Times New Roman" w:hAnsi="Times New Roman" w:cs="Times New Roman"/>
                <w:b/>
                <w:bCs/>
                <w:sz w:val="20"/>
                <w:szCs w:val="20"/>
              </w:rPr>
              <w:t>proc.</w:t>
            </w:r>
          </w:p>
        </w:tc>
      </w:tr>
      <w:tr w:rsidR="00887D37" w:rsidRPr="00EC694B" w:rsidTr="00887D37">
        <w:trPr>
          <w:cnfStyle w:val="000000010000"/>
          <w:trHeight w:val="300"/>
          <w:jc w:val="center"/>
        </w:trPr>
        <w:tc>
          <w:tcPr>
            <w:cnfStyle w:val="001000000000"/>
            <w:tcW w:w="2940" w:type="dxa"/>
            <w:hideMark/>
          </w:tcPr>
          <w:p w:rsidR="00887D37" w:rsidRPr="00EC694B" w:rsidRDefault="00887D37" w:rsidP="00275F1A">
            <w:pPr>
              <w:rPr>
                <w:rFonts w:ascii="Times New Roman" w:eastAsia="Times New Roman" w:hAnsi="Times New Roman" w:cs="Times New Roman"/>
                <w:b w:val="0"/>
                <w:sz w:val="20"/>
                <w:szCs w:val="20"/>
              </w:rPr>
            </w:pPr>
            <w:r w:rsidRPr="00EC694B">
              <w:rPr>
                <w:rFonts w:ascii="Times New Roman" w:eastAsia="Times New Roman" w:hAnsi="Times New Roman" w:cs="Times New Roman"/>
                <w:b w:val="0"/>
                <w:sz w:val="20"/>
                <w:szCs w:val="20"/>
              </w:rPr>
              <w:t>Nuosavas kapitalas</w:t>
            </w:r>
          </w:p>
        </w:tc>
        <w:tc>
          <w:tcPr>
            <w:tcW w:w="1128" w:type="dxa"/>
            <w:noWrap/>
            <w:vAlign w:val="center"/>
            <w:hideMark/>
          </w:tcPr>
          <w:p w:rsidR="00887D37" w:rsidRPr="00455DFC" w:rsidRDefault="00887D37" w:rsidP="00275F1A">
            <w:pPr>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1,767,466</w:t>
            </w:r>
          </w:p>
        </w:tc>
        <w:tc>
          <w:tcPr>
            <w:tcW w:w="1016" w:type="dxa"/>
            <w:noWrap/>
            <w:vAlign w:val="center"/>
            <w:hideMark/>
          </w:tcPr>
          <w:p w:rsidR="00887D37" w:rsidRPr="00455DFC" w:rsidRDefault="00887D37" w:rsidP="00275F1A">
            <w:pPr>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1,742,139</w:t>
            </w:r>
          </w:p>
        </w:tc>
        <w:tc>
          <w:tcPr>
            <w:tcW w:w="960" w:type="dxa"/>
            <w:noWrap/>
            <w:vAlign w:val="center"/>
            <w:hideMark/>
          </w:tcPr>
          <w:p w:rsidR="00887D37" w:rsidRPr="00EC694B" w:rsidRDefault="00887D37" w:rsidP="00275F1A">
            <w:pPr>
              <w:jc w:val="center"/>
              <w:cnfStyle w:val="000000010000"/>
              <w:rPr>
                <w:rFonts w:ascii="Times New Roman" w:eastAsia="Times New Roman" w:hAnsi="Times New Roman" w:cs="Times New Roman"/>
                <w:i/>
                <w:sz w:val="20"/>
                <w:szCs w:val="20"/>
              </w:rPr>
            </w:pPr>
            <w:r w:rsidRPr="00EC694B">
              <w:rPr>
                <w:rFonts w:ascii="Times New Roman" w:eastAsia="Times New Roman" w:hAnsi="Times New Roman" w:cs="Times New Roman"/>
                <w:i/>
                <w:sz w:val="20"/>
                <w:szCs w:val="20"/>
              </w:rPr>
              <w:t>-1.43</w:t>
            </w:r>
          </w:p>
        </w:tc>
        <w:tc>
          <w:tcPr>
            <w:tcW w:w="1016" w:type="dxa"/>
            <w:noWrap/>
            <w:vAlign w:val="center"/>
            <w:hideMark/>
          </w:tcPr>
          <w:p w:rsidR="00887D37" w:rsidRPr="00455DFC" w:rsidRDefault="00887D37" w:rsidP="00275F1A">
            <w:pPr>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1,083,630</w:t>
            </w:r>
          </w:p>
        </w:tc>
        <w:tc>
          <w:tcPr>
            <w:tcW w:w="960" w:type="dxa"/>
            <w:noWrap/>
            <w:vAlign w:val="center"/>
            <w:hideMark/>
          </w:tcPr>
          <w:p w:rsidR="00887D37" w:rsidRPr="00EC694B" w:rsidRDefault="00887D37" w:rsidP="00275F1A">
            <w:pPr>
              <w:jc w:val="center"/>
              <w:cnfStyle w:val="000000010000"/>
              <w:rPr>
                <w:rFonts w:ascii="Times New Roman" w:eastAsia="Times New Roman" w:hAnsi="Times New Roman" w:cs="Times New Roman"/>
                <w:i/>
                <w:sz w:val="20"/>
                <w:szCs w:val="20"/>
              </w:rPr>
            </w:pPr>
            <w:r w:rsidRPr="00EC694B">
              <w:rPr>
                <w:rFonts w:ascii="Times New Roman" w:eastAsia="Times New Roman" w:hAnsi="Times New Roman" w:cs="Times New Roman"/>
                <w:i/>
                <w:sz w:val="20"/>
                <w:szCs w:val="20"/>
              </w:rPr>
              <w:t>-37.80</w:t>
            </w:r>
          </w:p>
        </w:tc>
      </w:tr>
      <w:tr w:rsidR="00887D37" w:rsidRPr="00EC694B" w:rsidTr="00887D37">
        <w:trPr>
          <w:cnfStyle w:val="000000100000"/>
          <w:trHeight w:val="300"/>
          <w:jc w:val="center"/>
        </w:trPr>
        <w:tc>
          <w:tcPr>
            <w:cnfStyle w:val="001000000000"/>
            <w:tcW w:w="2940" w:type="dxa"/>
            <w:hideMark/>
          </w:tcPr>
          <w:p w:rsidR="00887D37" w:rsidRPr="00EC694B" w:rsidRDefault="00887D37" w:rsidP="00275F1A">
            <w:pPr>
              <w:rPr>
                <w:rFonts w:ascii="Times New Roman" w:eastAsia="Times New Roman" w:hAnsi="Times New Roman" w:cs="Times New Roman"/>
                <w:b w:val="0"/>
                <w:sz w:val="20"/>
                <w:szCs w:val="20"/>
              </w:rPr>
            </w:pPr>
            <w:r w:rsidRPr="00EC694B">
              <w:rPr>
                <w:rFonts w:ascii="Times New Roman" w:eastAsia="Times New Roman" w:hAnsi="Times New Roman" w:cs="Times New Roman"/>
                <w:b w:val="0"/>
                <w:sz w:val="20"/>
                <w:szCs w:val="20"/>
              </w:rPr>
              <w:t>- Įstatinis kapitalas</w:t>
            </w:r>
          </w:p>
        </w:tc>
        <w:tc>
          <w:tcPr>
            <w:tcW w:w="1128" w:type="dxa"/>
            <w:noWrap/>
            <w:vAlign w:val="center"/>
            <w:hideMark/>
          </w:tcPr>
          <w:p w:rsidR="00887D37" w:rsidRPr="00455DFC" w:rsidRDefault="00887D37" w:rsidP="00275F1A">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57,636</w:t>
            </w:r>
          </w:p>
        </w:tc>
        <w:tc>
          <w:tcPr>
            <w:tcW w:w="1016" w:type="dxa"/>
            <w:noWrap/>
            <w:vAlign w:val="center"/>
            <w:hideMark/>
          </w:tcPr>
          <w:p w:rsidR="00887D37" w:rsidRPr="00455DFC" w:rsidRDefault="00887D37" w:rsidP="00275F1A">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58,640</w:t>
            </w:r>
          </w:p>
        </w:tc>
        <w:tc>
          <w:tcPr>
            <w:tcW w:w="960" w:type="dxa"/>
            <w:noWrap/>
            <w:vAlign w:val="center"/>
            <w:hideMark/>
          </w:tcPr>
          <w:p w:rsidR="00887D37" w:rsidRPr="00EC694B" w:rsidRDefault="00887D37" w:rsidP="00275F1A">
            <w:pPr>
              <w:jc w:val="center"/>
              <w:cnfStyle w:val="000000100000"/>
              <w:rPr>
                <w:rFonts w:ascii="Times New Roman" w:eastAsia="Times New Roman" w:hAnsi="Times New Roman" w:cs="Times New Roman"/>
                <w:i/>
                <w:sz w:val="20"/>
                <w:szCs w:val="20"/>
              </w:rPr>
            </w:pPr>
            <w:r w:rsidRPr="00EC694B">
              <w:rPr>
                <w:rFonts w:ascii="Times New Roman" w:eastAsia="Times New Roman" w:hAnsi="Times New Roman" w:cs="Times New Roman"/>
                <w:i/>
                <w:sz w:val="20"/>
                <w:szCs w:val="20"/>
              </w:rPr>
              <w:t>1.74</w:t>
            </w:r>
          </w:p>
        </w:tc>
        <w:tc>
          <w:tcPr>
            <w:tcW w:w="1016" w:type="dxa"/>
            <w:noWrap/>
            <w:vAlign w:val="center"/>
            <w:hideMark/>
          </w:tcPr>
          <w:p w:rsidR="00887D37" w:rsidRPr="00455DFC" w:rsidRDefault="00887D37" w:rsidP="00275F1A">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57,721</w:t>
            </w:r>
          </w:p>
        </w:tc>
        <w:tc>
          <w:tcPr>
            <w:tcW w:w="960" w:type="dxa"/>
            <w:noWrap/>
            <w:vAlign w:val="center"/>
            <w:hideMark/>
          </w:tcPr>
          <w:p w:rsidR="00887D37" w:rsidRPr="00EC694B" w:rsidRDefault="00887D37" w:rsidP="00275F1A">
            <w:pPr>
              <w:jc w:val="center"/>
              <w:cnfStyle w:val="000000100000"/>
              <w:rPr>
                <w:rFonts w:ascii="Times New Roman" w:eastAsia="Times New Roman" w:hAnsi="Times New Roman" w:cs="Times New Roman"/>
                <w:i/>
                <w:sz w:val="20"/>
                <w:szCs w:val="20"/>
              </w:rPr>
            </w:pPr>
            <w:r w:rsidRPr="00EC694B">
              <w:rPr>
                <w:rFonts w:ascii="Times New Roman" w:eastAsia="Times New Roman" w:hAnsi="Times New Roman" w:cs="Times New Roman"/>
                <w:i/>
                <w:sz w:val="20"/>
                <w:szCs w:val="20"/>
              </w:rPr>
              <w:t>-1.57</w:t>
            </w:r>
          </w:p>
        </w:tc>
      </w:tr>
      <w:tr w:rsidR="00887D37" w:rsidRPr="00EC694B" w:rsidTr="00887D37">
        <w:trPr>
          <w:cnfStyle w:val="000000010000"/>
          <w:trHeight w:val="300"/>
          <w:jc w:val="center"/>
        </w:trPr>
        <w:tc>
          <w:tcPr>
            <w:cnfStyle w:val="001000000000"/>
            <w:tcW w:w="2940" w:type="dxa"/>
            <w:hideMark/>
          </w:tcPr>
          <w:p w:rsidR="00887D37" w:rsidRPr="00EC694B" w:rsidRDefault="00887D37" w:rsidP="00275F1A">
            <w:pPr>
              <w:rPr>
                <w:rFonts w:ascii="Times New Roman" w:eastAsia="Times New Roman" w:hAnsi="Times New Roman" w:cs="Times New Roman"/>
                <w:b w:val="0"/>
                <w:sz w:val="20"/>
                <w:szCs w:val="20"/>
              </w:rPr>
            </w:pPr>
            <w:r w:rsidRPr="00EC694B">
              <w:rPr>
                <w:rFonts w:ascii="Times New Roman" w:eastAsia="Times New Roman" w:hAnsi="Times New Roman" w:cs="Times New Roman"/>
                <w:b w:val="0"/>
                <w:sz w:val="20"/>
                <w:szCs w:val="20"/>
              </w:rPr>
              <w:t>- Nepaskirstytas pelnas</w:t>
            </w:r>
          </w:p>
        </w:tc>
        <w:tc>
          <w:tcPr>
            <w:tcW w:w="1128" w:type="dxa"/>
            <w:noWrap/>
            <w:vAlign w:val="center"/>
            <w:hideMark/>
          </w:tcPr>
          <w:p w:rsidR="00887D37" w:rsidRPr="00455DFC" w:rsidRDefault="00887D37" w:rsidP="00275F1A">
            <w:pPr>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1,709,830</w:t>
            </w:r>
          </w:p>
        </w:tc>
        <w:tc>
          <w:tcPr>
            <w:tcW w:w="1016" w:type="dxa"/>
            <w:noWrap/>
            <w:vAlign w:val="center"/>
            <w:hideMark/>
          </w:tcPr>
          <w:p w:rsidR="00887D37" w:rsidRPr="00455DFC" w:rsidRDefault="00887D37" w:rsidP="00275F1A">
            <w:pPr>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1,683,499</w:t>
            </w:r>
          </w:p>
        </w:tc>
        <w:tc>
          <w:tcPr>
            <w:tcW w:w="960" w:type="dxa"/>
            <w:noWrap/>
            <w:vAlign w:val="center"/>
            <w:hideMark/>
          </w:tcPr>
          <w:p w:rsidR="00887D37" w:rsidRPr="00EC694B" w:rsidRDefault="00887D37" w:rsidP="00275F1A">
            <w:pPr>
              <w:jc w:val="center"/>
              <w:cnfStyle w:val="000000010000"/>
              <w:rPr>
                <w:rFonts w:ascii="Times New Roman" w:eastAsia="Times New Roman" w:hAnsi="Times New Roman" w:cs="Times New Roman"/>
                <w:i/>
                <w:sz w:val="20"/>
                <w:szCs w:val="20"/>
              </w:rPr>
            </w:pPr>
            <w:r w:rsidRPr="00EC694B">
              <w:rPr>
                <w:rFonts w:ascii="Times New Roman" w:eastAsia="Times New Roman" w:hAnsi="Times New Roman" w:cs="Times New Roman"/>
                <w:i/>
                <w:sz w:val="20"/>
                <w:szCs w:val="20"/>
              </w:rPr>
              <w:t>-1.54</w:t>
            </w:r>
          </w:p>
        </w:tc>
        <w:tc>
          <w:tcPr>
            <w:tcW w:w="1016" w:type="dxa"/>
            <w:noWrap/>
            <w:vAlign w:val="center"/>
            <w:hideMark/>
          </w:tcPr>
          <w:p w:rsidR="00887D37" w:rsidRPr="00455DFC" w:rsidRDefault="00887D37" w:rsidP="00275F1A">
            <w:pPr>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1,025,908</w:t>
            </w:r>
          </w:p>
        </w:tc>
        <w:tc>
          <w:tcPr>
            <w:tcW w:w="960" w:type="dxa"/>
            <w:noWrap/>
            <w:vAlign w:val="center"/>
            <w:hideMark/>
          </w:tcPr>
          <w:p w:rsidR="00887D37" w:rsidRPr="00EC694B" w:rsidRDefault="00887D37" w:rsidP="00275F1A">
            <w:pPr>
              <w:jc w:val="center"/>
              <w:cnfStyle w:val="000000010000"/>
              <w:rPr>
                <w:rFonts w:ascii="Times New Roman" w:eastAsia="Times New Roman" w:hAnsi="Times New Roman" w:cs="Times New Roman"/>
                <w:i/>
                <w:sz w:val="20"/>
                <w:szCs w:val="20"/>
              </w:rPr>
            </w:pPr>
            <w:r w:rsidRPr="00EC694B">
              <w:rPr>
                <w:rFonts w:ascii="Times New Roman" w:eastAsia="Times New Roman" w:hAnsi="Times New Roman" w:cs="Times New Roman"/>
                <w:i/>
                <w:sz w:val="20"/>
                <w:szCs w:val="20"/>
              </w:rPr>
              <w:t>-39.06</w:t>
            </w:r>
          </w:p>
        </w:tc>
      </w:tr>
      <w:tr w:rsidR="00887D37" w:rsidRPr="00EC694B" w:rsidTr="00887D37">
        <w:trPr>
          <w:cnfStyle w:val="000000100000"/>
          <w:trHeight w:val="300"/>
          <w:jc w:val="center"/>
        </w:trPr>
        <w:tc>
          <w:tcPr>
            <w:cnfStyle w:val="001000000000"/>
            <w:tcW w:w="2940" w:type="dxa"/>
            <w:hideMark/>
          </w:tcPr>
          <w:p w:rsidR="00887D37" w:rsidRPr="00EC694B" w:rsidRDefault="00887D37" w:rsidP="00275F1A">
            <w:pPr>
              <w:rPr>
                <w:rFonts w:ascii="Times New Roman" w:eastAsia="Times New Roman" w:hAnsi="Times New Roman" w:cs="Times New Roman"/>
                <w:b w:val="0"/>
                <w:sz w:val="20"/>
                <w:szCs w:val="20"/>
              </w:rPr>
            </w:pPr>
            <w:r w:rsidRPr="00EC694B">
              <w:rPr>
                <w:rFonts w:ascii="Times New Roman" w:eastAsia="Times New Roman" w:hAnsi="Times New Roman" w:cs="Times New Roman"/>
                <w:b w:val="0"/>
                <w:sz w:val="20"/>
                <w:szCs w:val="20"/>
              </w:rPr>
              <w:t>Įlgalaikiai įsipareigojimai</w:t>
            </w:r>
          </w:p>
        </w:tc>
        <w:tc>
          <w:tcPr>
            <w:tcW w:w="1128" w:type="dxa"/>
            <w:noWrap/>
            <w:vAlign w:val="center"/>
            <w:hideMark/>
          </w:tcPr>
          <w:p w:rsidR="00887D37" w:rsidRPr="00455DFC" w:rsidRDefault="00887D37" w:rsidP="00275F1A">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1,758,779</w:t>
            </w:r>
          </w:p>
        </w:tc>
        <w:tc>
          <w:tcPr>
            <w:tcW w:w="1016" w:type="dxa"/>
            <w:noWrap/>
            <w:vAlign w:val="center"/>
            <w:hideMark/>
          </w:tcPr>
          <w:p w:rsidR="00887D37" w:rsidRPr="00455DFC" w:rsidRDefault="00887D37" w:rsidP="00275F1A">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1,587,506</w:t>
            </w:r>
          </w:p>
        </w:tc>
        <w:tc>
          <w:tcPr>
            <w:tcW w:w="960" w:type="dxa"/>
            <w:noWrap/>
            <w:vAlign w:val="center"/>
            <w:hideMark/>
          </w:tcPr>
          <w:p w:rsidR="00887D37" w:rsidRPr="00EC694B" w:rsidRDefault="00887D37" w:rsidP="00275F1A">
            <w:pPr>
              <w:jc w:val="center"/>
              <w:cnfStyle w:val="000000100000"/>
              <w:rPr>
                <w:rFonts w:ascii="Times New Roman" w:eastAsia="Times New Roman" w:hAnsi="Times New Roman" w:cs="Times New Roman"/>
                <w:i/>
                <w:sz w:val="20"/>
                <w:szCs w:val="20"/>
              </w:rPr>
            </w:pPr>
            <w:r w:rsidRPr="00EC694B">
              <w:rPr>
                <w:rFonts w:ascii="Times New Roman" w:eastAsia="Times New Roman" w:hAnsi="Times New Roman" w:cs="Times New Roman"/>
                <w:i/>
                <w:sz w:val="20"/>
                <w:szCs w:val="20"/>
              </w:rPr>
              <w:t>-9.74</w:t>
            </w:r>
          </w:p>
        </w:tc>
        <w:tc>
          <w:tcPr>
            <w:tcW w:w="1016" w:type="dxa"/>
            <w:noWrap/>
            <w:vAlign w:val="center"/>
            <w:hideMark/>
          </w:tcPr>
          <w:p w:rsidR="00887D37" w:rsidRPr="00455DFC" w:rsidRDefault="00887D37" w:rsidP="00275F1A">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1,165,401</w:t>
            </w:r>
          </w:p>
        </w:tc>
        <w:tc>
          <w:tcPr>
            <w:tcW w:w="960" w:type="dxa"/>
            <w:noWrap/>
            <w:vAlign w:val="center"/>
            <w:hideMark/>
          </w:tcPr>
          <w:p w:rsidR="00887D37" w:rsidRPr="00EC694B" w:rsidRDefault="00887D37" w:rsidP="00275F1A">
            <w:pPr>
              <w:jc w:val="center"/>
              <w:cnfStyle w:val="000000100000"/>
              <w:rPr>
                <w:rFonts w:ascii="Times New Roman" w:eastAsia="Times New Roman" w:hAnsi="Times New Roman" w:cs="Times New Roman"/>
                <w:i/>
                <w:sz w:val="20"/>
                <w:szCs w:val="20"/>
              </w:rPr>
            </w:pPr>
            <w:r w:rsidRPr="00EC694B">
              <w:rPr>
                <w:rFonts w:ascii="Times New Roman" w:eastAsia="Times New Roman" w:hAnsi="Times New Roman" w:cs="Times New Roman"/>
                <w:i/>
                <w:sz w:val="20"/>
                <w:szCs w:val="20"/>
              </w:rPr>
              <w:t>-26.59</w:t>
            </w:r>
          </w:p>
        </w:tc>
      </w:tr>
      <w:tr w:rsidR="00887D37" w:rsidRPr="00EC694B" w:rsidTr="00887D37">
        <w:trPr>
          <w:cnfStyle w:val="000000010000"/>
          <w:trHeight w:val="300"/>
          <w:jc w:val="center"/>
        </w:trPr>
        <w:tc>
          <w:tcPr>
            <w:cnfStyle w:val="001000000000"/>
            <w:tcW w:w="2940" w:type="dxa"/>
            <w:hideMark/>
          </w:tcPr>
          <w:p w:rsidR="00887D37" w:rsidRPr="00EC694B" w:rsidRDefault="00887D37" w:rsidP="00275F1A">
            <w:pPr>
              <w:rPr>
                <w:rFonts w:ascii="Times New Roman" w:eastAsia="Times New Roman" w:hAnsi="Times New Roman" w:cs="Times New Roman"/>
                <w:b w:val="0"/>
                <w:sz w:val="20"/>
                <w:szCs w:val="20"/>
              </w:rPr>
            </w:pPr>
            <w:r w:rsidRPr="00EC694B">
              <w:rPr>
                <w:rFonts w:ascii="Times New Roman" w:eastAsia="Times New Roman" w:hAnsi="Times New Roman" w:cs="Times New Roman"/>
                <w:b w:val="0"/>
                <w:sz w:val="20"/>
                <w:szCs w:val="20"/>
              </w:rPr>
              <w:t>- Ilgalaikės skolos</w:t>
            </w:r>
          </w:p>
        </w:tc>
        <w:tc>
          <w:tcPr>
            <w:tcW w:w="1128" w:type="dxa"/>
            <w:noWrap/>
            <w:vAlign w:val="center"/>
            <w:hideMark/>
          </w:tcPr>
          <w:p w:rsidR="00887D37" w:rsidRPr="00455DFC" w:rsidRDefault="00887D37" w:rsidP="00275F1A">
            <w:pPr>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1,758,779</w:t>
            </w:r>
          </w:p>
        </w:tc>
        <w:tc>
          <w:tcPr>
            <w:tcW w:w="1016" w:type="dxa"/>
            <w:noWrap/>
            <w:vAlign w:val="center"/>
            <w:hideMark/>
          </w:tcPr>
          <w:p w:rsidR="00887D37" w:rsidRPr="00455DFC" w:rsidRDefault="00887D37" w:rsidP="00275F1A">
            <w:pPr>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1,587,506</w:t>
            </w:r>
          </w:p>
        </w:tc>
        <w:tc>
          <w:tcPr>
            <w:tcW w:w="960" w:type="dxa"/>
            <w:noWrap/>
            <w:vAlign w:val="center"/>
            <w:hideMark/>
          </w:tcPr>
          <w:p w:rsidR="00887D37" w:rsidRPr="00EC694B" w:rsidRDefault="00887D37" w:rsidP="00275F1A">
            <w:pPr>
              <w:jc w:val="center"/>
              <w:cnfStyle w:val="000000010000"/>
              <w:rPr>
                <w:rFonts w:ascii="Times New Roman" w:eastAsia="Times New Roman" w:hAnsi="Times New Roman" w:cs="Times New Roman"/>
                <w:i/>
                <w:sz w:val="20"/>
                <w:szCs w:val="20"/>
              </w:rPr>
            </w:pPr>
            <w:r w:rsidRPr="00EC694B">
              <w:rPr>
                <w:rFonts w:ascii="Times New Roman" w:eastAsia="Times New Roman" w:hAnsi="Times New Roman" w:cs="Times New Roman"/>
                <w:i/>
                <w:sz w:val="20"/>
                <w:szCs w:val="20"/>
              </w:rPr>
              <w:t>-9.74</w:t>
            </w:r>
          </w:p>
        </w:tc>
        <w:tc>
          <w:tcPr>
            <w:tcW w:w="1016" w:type="dxa"/>
            <w:noWrap/>
            <w:vAlign w:val="center"/>
            <w:hideMark/>
          </w:tcPr>
          <w:p w:rsidR="00887D37" w:rsidRPr="00455DFC" w:rsidRDefault="00887D37" w:rsidP="00275F1A">
            <w:pPr>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1,165,401</w:t>
            </w:r>
          </w:p>
        </w:tc>
        <w:tc>
          <w:tcPr>
            <w:tcW w:w="960" w:type="dxa"/>
            <w:noWrap/>
            <w:vAlign w:val="center"/>
            <w:hideMark/>
          </w:tcPr>
          <w:p w:rsidR="00887D37" w:rsidRPr="00EC694B" w:rsidRDefault="00887D37" w:rsidP="00275F1A">
            <w:pPr>
              <w:jc w:val="center"/>
              <w:cnfStyle w:val="000000010000"/>
              <w:rPr>
                <w:rFonts w:ascii="Times New Roman" w:eastAsia="Times New Roman" w:hAnsi="Times New Roman" w:cs="Times New Roman"/>
                <w:i/>
                <w:sz w:val="20"/>
                <w:szCs w:val="20"/>
              </w:rPr>
            </w:pPr>
            <w:r w:rsidRPr="00EC694B">
              <w:rPr>
                <w:rFonts w:ascii="Times New Roman" w:eastAsia="Times New Roman" w:hAnsi="Times New Roman" w:cs="Times New Roman"/>
                <w:i/>
                <w:sz w:val="20"/>
                <w:szCs w:val="20"/>
              </w:rPr>
              <w:t>-26.59</w:t>
            </w:r>
          </w:p>
        </w:tc>
      </w:tr>
      <w:tr w:rsidR="00887D37" w:rsidRPr="00EC694B" w:rsidTr="00887D37">
        <w:trPr>
          <w:cnfStyle w:val="000000100000"/>
          <w:trHeight w:val="300"/>
          <w:jc w:val="center"/>
        </w:trPr>
        <w:tc>
          <w:tcPr>
            <w:cnfStyle w:val="001000000000"/>
            <w:tcW w:w="2940" w:type="dxa"/>
            <w:hideMark/>
          </w:tcPr>
          <w:p w:rsidR="00887D37" w:rsidRPr="00EC694B" w:rsidRDefault="00887D37" w:rsidP="00275F1A">
            <w:pPr>
              <w:rPr>
                <w:rFonts w:ascii="Times New Roman" w:eastAsia="Times New Roman" w:hAnsi="Times New Roman" w:cs="Times New Roman"/>
                <w:b w:val="0"/>
                <w:sz w:val="20"/>
                <w:szCs w:val="20"/>
              </w:rPr>
            </w:pPr>
            <w:r w:rsidRPr="00EC694B">
              <w:rPr>
                <w:rFonts w:ascii="Times New Roman" w:eastAsia="Times New Roman" w:hAnsi="Times New Roman" w:cs="Times New Roman"/>
                <w:b w:val="0"/>
                <w:sz w:val="20"/>
                <w:szCs w:val="20"/>
              </w:rPr>
              <w:t>- Kiti ilgalaikiai įsipareigojimai</w:t>
            </w:r>
          </w:p>
        </w:tc>
        <w:tc>
          <w:tcPr>
            <w:tcW w:w="1128" w:type="dxa"/>
            <w:noWrap/>
            <w:vAlign w:val="center"/>
            <w:hideMark/>
          </w:tcPr>
          <w:p w:rsidR="00887D37" w:rsidRPr="00455DFC" w:rsidRDefault="00887D37" w:rsidP="00275F1A">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0</w:t>
            </w:r>
          </w:p>
        </w:tc>
        <w:tc>
          <w:tcPr>
            <w:tcW w:w="1016" w:type="dxa"/>
            <w:noWrap/>
            <w:vAlign w:val="center"/>
            <w:hideMark/>
          </w:tcPr>
          <w:p w:rsidR="00887D37" w:rsidRPr="00455DFC" w:rsidRDefault="00887D37" w:rsidP="00275F1A">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0</w:t>
            </w:r>
          </w:p>
        </w:tc>
        <w:tc>
          <w:tcPr>
            <w:tcW w:w="960" w:type="dxa"/>
            <w:noWrap/>
            <w:vAlign w:val="center"/>
            <w:hideMark/>
          </w:tcPr>
          <w:p w:rsidR="00887D37" w:rsidRPr="00EC694B" w:rsidRDefault="00887D37" w:rsidP="00275F1A">
            <w:pPr>
              <w:jc w:val="center"/>
              <w:cnfStyle w:val="000000100000"/>
              <w:rPr>
                <w:rFonts w:ascii="Times New Roman" w:eastAsia="Times New Roman" w:hAnsi="Times New Roman" w:cs="Times New Roman"/>
                <w:i/>
                <w:sz w:val="20"/>
                <w:szCs w:val="20"/>
              </w:rPr>
            </w:pPr>
            <w:r w:rsidRPr="00EC694B">
              <w:rPr>
                <w:rFonts w:ascii="Times New Roman" w:eastAsia="Times New Roman" w:hAnsi="Times New Roman" w:cs="Times New Roman"/>
                <w:i/>
                <w:sz w:val="20"/>
                <w:szCs w:val="20"/>
              </w:rPr>
              <w:t>0.00</w:t>
            </w:r>
          </w:p>
        </w:tc>
        <w:tc>
          <w:tcPr>
            <w:tcW w:w="1016" w:type="dxa"/>
            <w:noWrap/>
            <w:vAlign w:val="center"/>
            <w:hideMark/>
          </w:tcPr>
          <w:p w:rsidR="00887D37" w:rsidRPr="00455DFC" w:rsidRDefault="00887D37" w:rsidP="00275F1A">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0</w:t>
            </w:r>
          </w:p>
        </w:tc>
        <w:tc>
          <w:tcPr>
            <w:tcW w:w="960" w:type="dxa"/>
            <w:noWrap/>
            <w:vAlign w:val="center"/>
            <w:hideMark/>
          </w:tcPr>
          <w:p w:rsidR="00887D37" w:rsidRPr="00EC694B" w:rsidRDefault="00887D37" w:rsidP="00275F1A">
            <w:pPr>
              <w:jc w:val="center"/>
              <w:cnfStyle w:val="000000100000"/>
              <w:rPr>
                <w:rFonts w:ascii="Times New Roman" w:eastAsia="Times New Roman" w:hAnsi="Times New Roman" w:cs="Times New Roman"/>
                <w:i/>
                <w:sz w:val="20"/>
                <w:szCs w:val="20"/>
              </w:rPr>
            </w:pPr>
            <w:r w:rsidRPr="00EC694B">
              <w:rPr>
                <w:rFonts w:ascii="Times New Roman" w:eastAsia="Times New Roman" w:hAnsi="Times New Roman" w:cs="Times New Roman"/>
                <w:i/>
                <w:sz w:val="20"/>
                <w:szCs w:val="20"/>
              </w:rPr>
              <w:t>0.00</w:t>
            </w:r>
          </w:p>
        </w:tc>
      </w:tr>
      <w:tr w:rsidR="00887D37" w:rsidRPr="00EC694B" w:rsidTr="00887D37">
        <w:trPr>
          <w:cnfStyle w:val="000000010000"/>
          <w:trHeight w:val="300"/>
          <w:jc w:val="center"/>
        </w:trPr>
        <w:tc>
          <w:tcPr>
            <w:cnfStyle w:val="001000000000"/>
            <w:tcW w:w="2940" w:type="dxa"/>
            <w:hideMark/>
          </w:tcPr>
          <w:p w:rsidR="00887D37" w:rsidRPr="00EC694B" w:rsidRDefault="00887D37" w:rsidP="00275F1A">
            <w:pPr>
              <w:rPr>
                <w:rFonts w:ascii="Times New Roman" w:eastAsia="Times New Roman" w:hAnsi="Times New Roman" w:cs="Times New Roman"/>
                <w:b w:val="0"/>
                <w:sz w:val="20"/>
                <w:szCs w:val="20"/>
              </w:rPr>
            </w:pPr>
            <w:r w:rsidRPr="00EC694B">
              <w:rPr>
                <w:rFonts w:ascii="Times New Roman" w:eastAsia="Times New Roman" w:hAnsi="Times New Roman" w:cs="Times New Roman"/>
                <w:b w:val="0"/>
                <w:sz w:val="20"/>
                <w:szCs w:val="20"/>
              </w:rPr>
              <w:t>Trumpalaikiai įsipareigojimai</w:t>
            </w:r>
          </w:p>
        </w:tc>
        <w:tc>
          <w:tcPr>
            <w:tcW w:w="1128" w:type="dxa"/>
            <w:noWrap/>
            <w:vAlign w:val="center"/>
            <w:hideMark/>
          </w:tcPr>
          <w:p w:rsidR="00887D37" w:rsidRPr="00455DFC" w:rsidRDefault="00887D37" w:rsidP="00275F1A">
            <w:pPr>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546,085</w:t>
            </w:r>
          </w:p>
        </w:tc>
        <w:tc>
          <w:tcPr>
            <w:tcW w:w="1016" w:type="dxa"/>
            <w:noWrap/>
            <w:vAlign w:val="center"/>
            <w:hideMark/>
          </w:tcPr>
          <w:p w:rsidR="00887D37" w:rsidRPr="00455DFC" w:rsidRDefault="00887D37" w:rsidP="00275F1A">
            <w:pPr>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344,345</w:t>
            </w:r>
          </w:p>
        </w:tc>
        <w:tc>
          <w:tcPr>
            <w:tcW w:w="960" w:type="dxa"/>
            <w:noWrap/>
            <w:vAlign w:val="center"/>
            <w:hideMark/>
          </w:tcPr>
          <w:p w:rsidR="00887D37" w:rsidRPr="00EC694B" w:rsidRDefault="00887D37" w:rsidP="00275F1A">
            <w:pPr>
              <w:jc w:val="center"/>
              <w:cnfStyle w:val="000000010000"/>
              <w:rPr>
                <w:rFonts w:ascii="Times New Roman" w:eastAsia="Times New Roman" w:hAnsi="Times New Roman" w:cs="Times New Roman"/>
                <w:i/>
                <w:sz w:val="20"/>
                <w:szCs w:val="20"/>
              </w:rPr>
            </w:pPr>
            <w:r w:rsidRPr="00EC694B">
              <w:rPr>
                <w:rFonts w:ascii="Times New Roman" w:eastAsia="Times New Roman" w:hAnsi="Times New Roman" w:cs="Times New Roman"/>
                <w:i/>
                <w:sz w:val="20"/>
                <w:szCs w:val="20"/>
              </w:rPr>
              <w:t>-36.94</w:t>
            </w:r>
          </w:p>
        </w:tc>
        <w:tc>
          <w:tcPr>
            <w:tcW w:w="1016" w:type="dxa"/>
            <w:noWrap/>
            <w:vAlign w:val="center"/>
            <w:hideMark/>
          </w:tcPr>
          <w:p w:rsidR="00887D37" w:rsidRPr="00455DFC" w:rsidRDefault="00887D37" w:rsidP="00275F1A">
            <w:pPr>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264,772</w:t>
            </w:r>
          </w:p>
        </w:tc>
        <w:tc>
          <w:tcPr>
            <w:tcW w:w="960" w:type="dxa"/>
            <w:noWrap/>
            <w:vAlign w:val="center"/>
            <w:hideMark/>
          </w:tcPr>
          <w:p w:rsidR="00887D37" w:rsidRPr="00EC694B" w:rsidRDefault="00887D37" w:rsidP="00275F1A">
            <w:pPr>
              <w:jc w:val="center"/>
              <w:cnfStyle w:val="000000010000"/>
              <w:rPr>
                <w:rFonts w:ascii="Times New Roman" w:eastAsia="Times New Roman" w:hAnsi="Times New Roman" w:cs="Times New Roman"/>
                <w:i/>
                <w:sz w:val="20"/>
                <w:szCs w:val="20"/>
              </w:rPr>
            </w:pPr>
            <w:r w:rsidRPr="00EC694B">
              <w:rPr>
                <w:rFonts w:ascii="Times New Roman" w:eastAsia="Times New Roman" w:hAnsi="Times New Roman" w:cs="Times New Roman"/>
                <w:i/>
                <w:sz w:val="20"/>
                <w:szCs w:val="20"/>
              </w:rPr>
              <w:t>-23.11</w:t>
            </w:r>
          </w:p>
        </w:tc>
      </w:tr>
      <w:tr w:rsidR="00887D37" w:rsidRPr="00EC694B" w:rsidTr="00887D37">
        <w:trPr>
          <w:cnfStyle w:val="000000100000"/>
          <w:trHeight w:val="300"/>
          <w:jc w:val="center"/>
        </w:trPr>
        <w:tc>
          <w:tcPr>
            <w:cnfStyle w:val="001000000000"/>
            <w:tcW w:w="2940" w:type="dxa"/>
            <w:hideMark/>
          </w:tcPr>
          <w:p w:rsidR="00887D37" w:rsidRPr="00EC694B" w:rsidRDefault="00887D37" w:rsidP="00275F1A">
            <w:pPr>
              <w:rPr>
                <w:rFonts w:ascii="Times New Roman" w:eastAsia="Times New Roman" w:hAnsi="Times New Roman" w:cs="Times New Roman"/>
                <w:b w:val="0"/>
                <w:sz w:val="20"/>
                <w:szCs w:val="20"/>
              </w:rPr>
            </w:pPr>
            <w:r w:rsidRPr="00EC694B">
              <w:rPr>
                <w:rFonts w:ascii="Times New Roman" w:eastAsia="Times New Roman" w:hAnsi="Times New Roman" w:cs="Times New Roman"/>
                <w:b w:val="0"/>
                <w:sz w:val="20"/>
                <w:szCs w:val="20"/>
              </w:rPr>
              <w:t>- Trumpalaikės paskolos</w:t>
            </w:r>
          </w:p>
        </w:tc>
        <w:tc>
          <w:tcPr>
            <w:tcW w:w="1128" w:type="dxa"/>
            <w:noWrap/>
            <w:vAlign w:val="center"/>
            <w:hideMark/>
          </w:tcPr>
          <w:p w:rsidR="00887D37" w:rsidRPr="00455DFC" w:rsidRDefault="00887D37" w:rsidP="00275F1A">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115,129</w:t>
            </w:r>
          </w:p>
        </w:tc>
        <w:tc>
          <w:tcPr>
            <w:tcW w:w="1016" w:type="dxa"/>
            <w:noWrap/>
            <w:vAlign w:val="center"/>
            <w:hideMark/>
          </w:tcPr>
          <w:p w:rsidR="00887D37" w:rsidRPr="00455DFC" w:rsidRDefault="00887D37" w:rsidP="00275F1A">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78,007</w:t>
            </w:r>
          </w:p>
        </w:tc>
        <w:tc>
          <w:tcPr>
            <w:tcW w:w="960" w:type="dxa"/>
            <w:noWrap/>
            <w:vAlign w:val="center"/>
            <w:hideMark/>
          </w:tcPr>
          <w:p w:rsidR="00887D37" w:rsidRPr="00EC694B" w:rsidRDefault="00887D37" w:rsidP="00275F1A">
            <w:pPr>
              <w:jc w:val="center"/>
              <w:cnfStyle w:val="000000100000"/>
              <w:rPr>
                <w:rFonts w:ascii="Times New Roman" w:eastAsia="Times New Roman" w:hAnsi="Times New Roman" w:cs="Times New Roman"/>
                <w:i/>
                <w:sz w:val="20"/>
                <w:szCs w:val="20"/>
              </w:rPr>
            </w:pPr>
            <w:r w:rsidRPr="00EC694B">
              <w:rPr>
                <w:rFonts w:ascii="Times New Roman" w:eastAsia="Times New Roman" w:hAnsi="Times New Roman" w:cs="Times New Roman"/>
                <w:i/>
                <w:sz w:val="20"/>
                <w:szCs w:val="20"/>
              </w:rPr>
              <w:t>-32.24</w:t>
            </w:r>
          </w:p>
        </w:tc>
        <w:tc>
          <w:tcPr>
            <w:tcW w:w="1016" w:type="dxa"/>
            <w:noWrap/>
            <w:vAlign w:val="center"/>
            <w:hideMark/>
          </w:tcPr>
          <w:p w:rsidR="00887D37" w:rsidRPr="00455DFC" w:rsidRDefault="00887D37" w:rsidP="00275F1A">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1,063</w:t>
            </w:r>
          </w:p>
        </w:tc>
        <w:tc>
          <w:tcPr>
            <w:tcW w:w="960" w:type="dxa"/>
            <w:noWrap/>
            <w:vAlign w:val="center"/>
            <w:hideMark/>
          </w:tcPr>
          <w:p w:rsidR="00887D37" w:rsidRPr="00EC694B" w:rsidRDefault="00887D37" w:rsidP="00275F1A">
            <w:pPr>
              <w:jc w:val="center"/>
              <w:cnfStyle w:val="000000100000"/>
              <w:rPr>
                <w:rFonts w:ascii="Times New Roman" w:eastAsia="Times New Roman" w:hAnsi="Times New Roman" w:cs="Times New Roman"/>
                <w:i/>
                <w:sz w:val="20"/>
                <w:szCs w:val="20"/>
              </w:rPr>
            </w:pPr>
            <w:r w:rsidRPr="00EC694B">
              <w:rPr>
                <w:rFonts w:ascii="Times New Roman" w:eastAsia="Times New Roman" w:hAnsi="Times New Roman" w:cs="Times New Roman"/>
                <w:i/>
                <w:sz w:val="20"/>
                <w:szCs w:val="20"/>
              </w:rPr>
              <w:t>-98.64</w:t>
            </w:r>
          </w:p>
        </w:tc>
      </w:tr>
      <w:tr w:rsidR="00887D37" w:rsidRPr="00EC694B" w:rsidTr="00887D37">
        <w:trPr>
          <w:cnfStyle w:val="000000010000"/>
          <w:trHeight w:val="300"/>
          <w:jc w:val="center"/>
        </w:trPr>
        <w:tc>
          <w:tcPr>
            <w:cnfStyle w:val="001000000000"/>
            <w:tcW w:w="2940" w:type="dxa"/>
            <w:hideMark/>
          </w:tcPr>
          <w:p w:rsidR="00887D37" w:rsidRPr="00EC694B" w:rsidRDefault="00887D37" w:rsidP="00275F1A">
            <w:pPr>
              <w:rPr>
                <w:rFonts w:ascii="Times New Roman" w:eastAsia="Times New Roman" w:hAnsi="Times New Roman" w:cs="Times New Roman"/>
                <w:b w:val="0"/>
                <w:sz w:val="20"/>
                <w:szCs w:val="20"/>
              </w:rPr>
            </w:pPr>
            <w:r w:rsidRPr="00EC694B">
              <w:rPr>
                <w:rFonts w:ascii="Times New Roman" w:eastAsia="Times New Roman" w:hAnsi="Times New Roman" w:cs="Times New Roman"/>
                <w:b w:val="0"/>
                <w:sz w:val="20"/>
                <w:szCs w:val="20"/>
              </w:rPr>
              <w:t>- Skolos tiekėjams</w:t>
            </w:r>
          </w:p>
        </w:tc>
        <w:tc>
          <w:tcPr>
            <w:tcW w:w="1128" w:type="dxa"/>
            <w:noWrap/>
            <w:vAlign w:val="center"/>
            <w:hideMark/>
          </w:tcPr>
          <w:p w:rsidR="00887D37" w:rsidRPr="00455DFC" w:rsidRDefault="00887D37" w:rsidP="00275F1A">
            <w:pPr>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170,571</w:t>
            </w:r>
          </w:p>
        </w:tc>
        <w:tc>
          <w:tcPr>
            <w:tcW w:w="1016" w:type="dxa"/>
            <w:noWrap/>
            <w:vAlign w:val="center"/>
            <w:hideMark/>
          </w:tcPr>
          <w:p w:rsidR="00887D37" w:rsidRPr="00455DFC" w:rsidRDefault="00887D37" w:rsidP="00275F1A">
            <w:pPr>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217,983</w:t>
            </w:r>
          </w:p>
        </w:tc>
        <w:tc>
          <w:tcPr>
            <w:tcW w:w="960" w:type="dxa"/>
            <w:noWrap/>
            <w:vAlign w:val="center"/>
            <w:hideMark/>
          </w:tcPr>
          <w:p w:rsidR="00887D37" w:rsidRPr="00EC694B" w:rsidRDefault="00887D37" w:rsidP="00275F1A">
            <w:pPr>
              <w:jc w:val="center"/>
              <w:cnfStyle w:val="000000010000"/>
              <w:rPr>
                <w:rFonts w:ascii="Times New Roman" w:eastAsia="Times New Roman" w:hAnsi="Times New Roman" w:cs="Times New Roman"/>
                <w:i/>
                <w:sz w:val="20"/>
                <w:szCs w:val="20"/>
              </w:rPr>
            </w:pPr>
            <w:r w:rsidRPr="00EC694B">
              <w:rPr>
                <w:rFonts w:ascii="Times New Roman" w:eastAsia="Times New Roman" w:hAnsi="Times New Roman" w:cs="Times New Roman"/>
                <w:i/>
                <w:sz w:val="20"/>
                <w:szCs w:val="20"/>
              </w:rPr>
              <w:t>27.80</w:t>
            </w:r>
          </w:p>
        </w:tc>
        <w:tc>
          <w:tcPr>
            <w:tcW w:w="1016" w:type="dxa"/>
            <w:noWrap/>
            <w:vAlign w:val="center"/>
            <w:hideMark/>
          </w:tcPr>
          <w:p w:rsidR="00887D37" w:rsidRPr="00455DFC" w:rsidRDefault="00887D37" w:rsidP="00275F1A">
            <w:pPr>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166,809</w:t>
            </w:r>
          </w:p>
        </w:tc>
        <w:tc>
          <w:tcPr>
            <w:tcW w:w="960" w:type="dxa"/>
            <w:noWrap/>
            <w:vAlign w:val="center"/>
            <w:hideMark/>
          </w:tcPr>
          <w:p w:rsidR="00887D37" w:rsidRPr="00EC694B" w:rsidRDefault="00887D37" w:rsidP="00275F1A">
            <w:pPr>
              <w:jc w:val="center"/>
              <w:cnfStyle w:val="000000010000"/>
              <w:rPr>
                <w:rFonts w:ascii="Times New Roman" w:eastAsia="Times New Roman" w:hAnsi="Times New Roman" w:cs="Times New Roman"/>
                <w:i/>
                <w:sz w:val="20"/>
                <w:szCs w:val="20"/>
              </w:rPr>
            </w:pPr>
            <w:r w:rsidRPr="00EC694B">
              <w:rPr>
                <w:rFonts w:ascii="Times New Roman" w:eastAsia="Times New Roman" w:hAnsi="Times New Roman" w:cs="Times New Roman"/>
                <w:i/>
                <w:sz w:val="20"/>
                <w:szCs w:val="20"/>
              </w:rPr>
              <w:t>-23.48</w:t>
            </w:r>
          </w:p>
        </w:tc>
      </w:tr>
      <w:tr w:rsidR="00887D37" w:rsidRPr="00EC694B" w:rsidTr="00887D37">
        <w:trPr>
          <w:cnfStyle w:val="000000100000"/>
          <w:trHeight w:val="510"/>
          <w:jc w:val="center"/>
        </w:trPr>
        <w:tc>
          <w:tcPr>
            <w:cnfStyle w:val="001000000000"/>
            <w:tcW w:w="2940" w:type="dxa"/>
            <w:hideMark/>
          </w:tcPr>
          <w:p w:rsidR="00887D37" w:rsidRPr="00EC694B" w:rsidRDefault="00887D37" w:rsidP="00275F1A">
            <w:pPr>
              <w:rPr>
                <w:rFonts w:ascii="Times New Roman" w:eastAsia="Times New Roman" w:hAnsi="Times New Roman" w:cs="Times New Roman"/>
                <w:b w:val="0"/>
                <w:sz w:val="20"/>
                <w:szCs w:val="20"/>
              </w:rPr>
            </w:pPr>
            <w:r w:rsidRPr="00EC694B">
              <w:rPr>
                <w:rFonts w:ascii="Times New Roman" w:eastAsia="Times New Roman" w:hAnsi="Times New Roman" w:cs="Times New Roman"/>
                <w:b w:val="0"/>
                <w:sz w:val="20"/>
                <w:szCs w:val="20"/>
              </w:rPr>
              <w:t>- Kiti trumpalaikiai įsipareigojimai</w:t>
            </w:r>
          </w:p>
        </w:tc>
        <w:tc>
          <w:tcPr>
            <w:tcW w:w="1128" w:type="dxa"/>
            <w:noWrap/>
            <w:vAlign w:val="center"/>
            <w:hideMark/>
          </w:tcPr>
          <w:p w:rsidR="00887D37" w:rsidRPr="00455DFC" w:rsidRDefault="00887D37" w:rsidP="00275F1A">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260,385</w:t>
            </w:r>
          </w:p>
        </w:tc>
        <w:tc>
          <w:tcPr>
            <w:tcW w:w="1016" w:type="dxa"/>
            <w:noWrap/>
            <w:vAlign w:val="center"/>
            <w:hideMark/>
          </w:tcPr>
          <w:p w:rsidR="00887D37" w:rsidRPr="00455DFC" w:rsidRDefault="00887D37" w:rsidP="00275F1A">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48,355</w:t>
            </w:r>
          </w:p>
        </w:tc>
        <w:tc>
          <w:tcPr>
            <w:tcW w:w="960" w:type="dxa"/>
            <w:noWrap/>
            <w:vAlign w:val="center"/>
            <w:hideMark/>
          </w:tcPr>
          <w:p w:rsidR="00887D37" w:rsidRPr="00EC694B" w:rsidRDefault="00887D37" w:rsidP="00275F1A">
            <w:pPr>
              <w:jc w:val="center"/>
              <w:cnfStyle w:val="000000100000"/>
              <w:rPr>
                <w:rFonts w:ascii="Times New Roman" w:eastAsia="Times New Roman" w:hAnsi="Times New Roman" w:cs="Times New Roman"/>
                <w:i/>
                <w:sz w:val="20"/>
                <w:szCs w:val="20"/>
              </w:rPr>
            </w:pPr>
            <w:r w:rsidRPr="00EC694B">
              <w:rPr>
                <w:rFonts w:ascii="Times New Roman" w:eastAsia="Times New Roman" w:hAnsi="Times New Roman" w:cs="Times New Roman"/>
                <w:i/>
                <w:sz w:val="20"/>
                <w:szCs w:val="20"/>
              </w:rPr>
              <w:t>-81.43</w:t>
            </w:r>
          </w:p>
        </w:tc>
        <w:tc>
          <w:tcPr>
            <w:tcW w:w="1016" w:type="dxa"/>
            <w:noWrap/>
            <w:vAlign w:val="center"/>
            <w:hideMark/>
          </w:tcPr>
          <w:p w:rsidR="00887D37" w:rsidRPr="00455DFC" w:rsidRDefault="00887D37" w:rsidP="00275F1A">
            <w:pPr>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96,900</w:t>
            </w:r>
          </w:p>
        </w:tc>
        <w:tc>
          <w:tcPr>
            <w:tcW w:w="960" w:type="dxa"/>
            <w:noWrap/>
            <w:vAlign w:val="center"/>
            <w:hideMark/>
          </w:tcPr>
          <w:p w:rsidR="00887D37" w:rsidRPr="00EC694B" w:rsidRDefault="00887D37" w:rsidP="00275F1A">
            <w:pPr>
              <w:jc w:val="center"/>
              <w:cnfStyle w:val="000000100000"/>
              <w:rPr>
                <w:rFonts w:ascii="Times New Roman" w:eastAsia="Times New Roman" w:hAnsi="Times New Roman" w:cs="Times New Roman"/>
                <w:i/>
                <w:sz w:val="20"/>
                <w:szCs w:val="20"/>
              </w:rPr>
            </w:pPr>
            <w:r w:rsidRPr="00EC694B">
              <w:rPr>
                <w:rFonts w:ascii="Times New Roman" w:eastAsia="Times New Roman" w:hAnsi="Times New Roman" w:cs="Times New Roman"/>
                <w:i/>
                <w:sz w:val="20"/>
                <w:szCs w:val="20"/>
              </w:rPr>
              <w:t>100.39</w:t>
            </w:r>
          </w:p>
        </w:tc>
      </w:tr>
      <w:tr w:rsidR="00887D37" w:rsidRPr="00EC694B" w:rsidTr="00887D37">
        <w:trPr>
          <w:cnfStyle w:val="000000010000"/>
          <w:trHeight w:val="510"/>
          <w:jc w:val="center"/>
        </w:trPr>
        <w:tc>
          <w:tcPr>
            <w:cnfStyle w:val="001000000000"/>
            <w:tcW w:w="2940" w:type="dxa"/>
            <w:hideMark/>
          </w:tcPr>
          <w:p w:rsidR="00887D37" w:rsidRPr="00455DFC" w:rsidRDefault="00887D37" w:rsidP="00275F1A">
            <w:pPr>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NUOSAVO KAPITALO IR ĮSIPAREIGOJIMŲ IŠ VISO</w:t>
            </w:r>
          </w:p>
        </w:tc>
        <w:tc>
          <w:tcPr>
            <w:tcW w:w="1128" w:type="dxa"/>
            <w:noWrap/>
            <w:vAlign w:val="center"/>
            <w:hideMark/>
          </w:tcPr>
          <w:p w:rsidR="00887D37" w:rsidRPr="00EC694B" w:rsidRDefault="00887D37" w:rsidP="00275F1A">
            <w:pPr>
              <w:jc w:val="center"/>
              <w:cnfStyle w:val="000000010000"/>
              <w:rPr>
                <w:rFonts w:ascii="Times New Roman" w:eastAsia="Times New Roman" w:hAnsi="Times New Roman" w:cs="Times New Roman"/>
                <w:b/>
                <w:sz w:val="20"/>
                <w:szCs w:val="20"/>
              </w:rPr>
            </w:pPr>
            <w:r w:rsidRPr="00EC694B">
              <w:rPr>
                <w:rFonts w:ascii="Times New Roman" w:eastAsia="Times New Roman" w:hAnsi="Times New Roman" w:cs="Times New Roman"/>
                <w:b/>
                <w:sz w:val="20"/>
                <w:szCs w:val="20"/>
              </w:rPr>
              <w:t>4,072,330</w:t>
            </w:r>
          </w:p>
        </w:tc>
        <w:tc>
          <w:tcPr>
            <w:tcW w:w="1016" w:type="dxa"/>
            <w:noWrap/>
            <w:vAlign w:val="center"/>
            <w:hideMark/>
          </w:tcPr>
          <w:p w:rsidR="00887D37" w:rsidRPr="00EC694B" w:rsidRDefault="00887D37" w:rsidP="00275F1A">
            <w:pPr>
              <w:jc w:val="center"/>
              <w:cnfStyle w:val="000000010000"/>
              <w:rPr>
                <w:rFonts w:ascii="Times New Roman" w:eastAsia="Times New Roman" w:hAnsi="Times New Roman" w:cs="Times New Roman"/>
                <w:b/>
                <w:sz w:val="20"/>
                <w:szCs w:val="20"/>
              </w:rPr>
            </w:pPr>
            <w:r w:rsidRPr="00EC694B">
              <w:rPr>
                <w:rFonts w:ascii="Times New Roman" w:eastAsia="Times New Roman" w:hAnsi="Times New Roman" w:cs="Times New Roman"/>
                <w:b/>
                <w:sz w:val="20"/>
                <w:szCs w:val="20"/>
              </w:rPr>
              <w:t>3,673,990</w:t>
            </w:r>
          </w:p>
        </w:tc>
        <w:tc>
          <w:tcPr>
            <w:tcW w:w="960" w:type="dxa"/>
            <w:noWrap/>
            <w:vAlign w:val="center"/>
            <w:hideMark/>
          </w:tcPr>
          <w:p w:rsidR="00887D37" w:rsidRPr="00EC694B" w:rsidRDefault="00887D37" w:rsidP="00275F1A">
            <w:pPr>
              <w:jc w:val="center"/>
              <w:cnfStyle w:val="000000010000"/>
              <w:rPr>
                <w:rFonts w:ascii="Times New Roman" w:eastAsia="Times New Roman" w:hAnsi="Times New Roman" w:cs="Times New Roman"/>
                <w:b/>
                <w:i/>
                <w:sz w:val="20"/>
                <w:szCs w:val="20"/>
              </w:rPr>
            </w:pPr>
            <w:r w:rsidRPr="00EC694B">
              <w:rPr>
                <w:rFonts w:ascii="Times New Roman" w:eastAsia="Times New Roman" w:hAnsi="Times New Roman" w:cs="Times New Roman"/>
                <w:b/>
                <w:i/>
                <w:sz w:val="20"/>
                <w:szCs w:val="20"/>
              </w:rPr>
              <w:t>-9.78</w:t>
            </w:r>
          </w:p>
        </w:tc>
        <w:tc>
          <w:tcPr>
            <w:tcW w:w="1016" w:type="dxa"/>
            <w:noWrap/>
            <w:vAlign w:val="center"/>
            <w:hideMark/>
          </w:tcPr>
          <w:p w:rsidR="00887D37" w:rsidRPr="00EC694B" w:rsidRDefault="00887D37" w:rsidP="00275F1A">
            <w:pPr>
              <w:jc w:val="center"/>
              <w:cnfStyle w:val="000000010000"/>
              <w:rPr>
                <w:rFonts w:ascii="Times New Roman" w:eastAsia="Times New Roman" w:hAnsi="Times New Roman" w:cs="Times New Roman"/>
                <w:b/>
                <w:sz w:val="20"/>
                <w:szCs w:val="20"/>
              </w:rPr>
            </w:pPr>
            <w:r w:rsidRPr="00EC694B">
              <w:rPr>
                <w:rFonts w:ascii="Times New Roman" w:eastAsia="Times New Roman" w:hAnsi="Times New Roman" w:cs="Times New Roman"/>
                <w:b/>
                <w:sz w:val="20"/>
                <w:szCs w:val="20"/>
              </w:rPr>
              <w:t>2,513,802</w:t>
            </w:r>
          </w:p>
        </w:tc>
        <w:tc>
          <w:tcPr>
            <w:tcW w:w="960" w:type="dxa"/>
            <w:noWrap/>
            <w:vAlign w:val="center"/>
            <w:hideMark/>
          </w:tcPr>
          <w:p w:rsidR="00887D37" w:rsidRPr="00EC694B" w:rsidRDefault="00887D37" w:rsidP="00275F1A">
            <w:pPr>
              <w:jc w:val="center"/>
              <w:cnfStyle w:val="000000010000"/>
              <w:rPr>
                <w:rFonts w:ascii="Times New Roman" w:eastAsia="Times New Roman" w:hAnsi="Times New Roman" w:cs="Times New Roman"/>
                <w:b/>
                <w:i/>
                <w:sz w:val="20"/>
                <w:szCs w:val="20"/>
              </w:rPr>
            </w:pPr>
            <w:r w:rsidRPr="00EC694B">
              <w:rPr>
                <w:rFonts w:ascii="Times New Roman" w:eastAsia="Times New Roman" w:hAnsi="Times New Roman" w:cs="Times New Roman"/>
                <w:b/>
                <w:i/>
                <w:sz w:val="20"/>
                <w:szCs w:val="20"/>
              </w:rPr>
              <w:t>-32.58</w:t>
            </w:r>
          </w:p>
        </w:tc>
      </w:tr>
    </w:tbl>
    <w:p w:rsidR="00854221" w:rsidRDefault="00854221" w:rsidP="006014D3">
      <w:pPr>
        <w:rPr>
          <w:rFonts w:ascii="Times New Roman" w:hAnsi="Times New Roman" w:cs="Times New Roman"/>
          <w:sz w:val="24"/>
          <w:szCs w:val="24"/>
          <w:lang w:val="lt-LT"/>
        </w:rPr>
      </w:pPr>
    </w:p>
    <w:p w:rsidR="00887D37" w:rsidRDefault="00887D37" w:rsidP="006014D3">
      <w:pPr>
        <w:rPr>
          <w:rFonts w:ascii="Times New Roman" w:hAnsi="Times New Roman" w:cs="Times New Roman"/>
          <w:sz w:val="24"/>
          <w:szCs w:val="24"/>
          <w:lang w:val="lt-LT"/>
        </w:rPr>
      </w:pPr>
    </w:p>
    <w:p w:rsidR="00887D37" w:rsidRDefault="00887D37" w:rsidP="006014D3">
      <w:pPr>
        <w:rPr>
          <w:rFonts w:ascii="Times New Roman" w:hAnsi="Times New Roman" w:cs="Times New Roman"/>
          <w:sz w:val="24"/>
          <w:szCs w:val="24"/>
          <w:lang w:val="lt-LT"/>
        </w:rPr>
      </w:pPr>
    </w:p>
    <w:p w:rsidR="00887D37" w:rsidRDefault="00887D37" w:rsidP="006014D3">
      <w:pPr>
        <w:rPr>
          <w:rFonts w:ascii="Times New Roman" w:hAnsi="Times New Roman" w:cs="Times New Roman"/>
          <w:sz w:val="24"/>
          <w:szCs w:val="24"/>
          <w:lang w:val="lt-LT"/>
        </w:rPr>
      </w:pPr>
    </w:p>
    <w:p w:rsidR="00887D37" w:rsidRDefault="00887D37" w:rsidP="006014D3">
      <w:pPr>
        <w:rPr>
          <w:rFonts w:ascii="Times New Roman" w:hAnsi="Times New Roman" w:cs="Times New Roman"/>
          <w:sz w:val="24"/>
          <w:szCs w:val="24"/>
          <w:lang w:val="lt-LT"/>
        </w:rPr>
      </w:pPr>
    </w:p>
    <w:p w:rsidR="00887D37" w:rsidRDefault="00887D37" w:rsidP="006014D3">
      <w:pPr>
        <w:rPr>
          <w:rFonts w:ascii="Times New Roman" w:hAnsi="Times New Roman" w:cs="Times New Roman"/>
          <w:sz w:val="24"/>
          <w:szCs w:val="24"/>
          <w:lang w:val="lt-LT"/>
        </w:rPr>
      </w:pPr>
    </w:p>
    <w:p w:rsidR="00887D37" w:rsidRDefault="00887D37" w:rsidP="006014D3">
      <w:pPr>
        <w:rPr>
          <w:rFonts w:ascii="Times New Roman" w:hAnsi="Times New Roman" w:cs="Times New Roman"/>
          <w:sz w:val="24"/>
          <w:szCs w:val="24"/>
          <w:lang w:val="lt-LT"/>
        </w:rPr>
      </w:pPr>
    </w:p>
    <w:p w:rsidR="00887D37" w:rsidRDefault="00887D37" w:rsidP="006014D3">
      <w:pPr>
        <w:rPr>
          <w:rFonts w:ascii="Times New Roman" w:hAnsi="Times New Roman" w:cs="Times New Roman"/>
          <w:sz w:val="24"/>
          <w:szCs w:val="24"/>
          <w:lang w:val="lt-LT"/>
        </w:rPr>
      </w:pPr>
    </w:p>
    <w:p w:rsidR="00887D37" w:rsidRPr="004D5C99" w:rsidRDefault="00887D37" w:rsidP="00887D37">
      <w:pPr>
        <w:autoSpaceDE w:val="0"/>
        <w:autoSpaceDN w:val="0"/>
        <w:adjustRightInd w:val="0"/>
        <w:spacing w:after="0"/>
        <w:jc w:val="center"/>
        <w:rPr>
          <w:rFonts w:ascii="Times New Roman" w:hAnsi="Times New Roman" w:cs="Times New Roman"/>
          <w:b/>
          <w:szCs w:val="24"/>
        </w:rPr>
      </w:pPr>
      <w:r>
        <w:rPr>
          <w:rFonts w:ascii="Times New Roman" w:hAnsi="Times New Roman" w:cs="Times New Roman"/>
          <w:szCs w:val="24"/>
        </w:rPr>
        <w:lastRenderedPageBreak/>
        <w:t>7</w:t>
      </w:r>
      <w:r w:rsidRPr="004D5C99">
        <w:rPr>
          <w:rFonts w:ascii="Times New Roman" w:hAnsi="Times New Roman" w:cs="Times New Roman"/>
          <w:szCs w:val="24"/>
        </w:rPr>
        <w:t xml:space="preserve"> lentelė.</w:t>
      </w:r>
      <w:r w:rsidRPr="004D5C99">
        <w:rPr>
          <w:rFonts w:ascii="Times New Roman" w:hAnsi="Times New Roman" w:cs="Times New Roman"/>
          <w:b/>
          <w:szCs w:val="24"/>
        </w:rPr>
        <w:t xml:space="preserve"> </w:t>
      </w:r>
      <w:r>
        <w:rPr>
          <w:rFonts w:ascii="Times New Roman" w:hAnsi="Times New Roman" w:cs="Times New Roman"/>
          <w:b/>
          <w:szCs w:val="24"/>
        </w:rPr>
        <w:t>UAB “Girteka” balanso straipsnių pokyčiai</w:t>
      </w:r>
    </w:p>
    <w:tbl>
      <w:tblPr>
        <w:tblStyle w:val="LightGrid-Accent6"/>
        <w:tblW w:w="8620" w:type="dxa"/>
        <w:jc w:val="center"/>
        <w:tblLook w:val="04A0"/>
      </w:tblPr>
      <w:tblGrid>
        <w:gridCol w:w="2670"/>
        <w:gridCol w:w="1128"/>
        <w:gridCol w:w="1116"/>
        <w:gridCol w:w="1466"/>
        <w:gridCol w:w="1180"/>
        <w:gridCol w:w="1060"/>
      </w:tblGrid>
      <w:tr w:rsidR="00887D37" w:rsidRPr="00222F69" w:rsidTr="00887D37">
        <w:trPr>
          <w:cnfStyle w:val="100000000000"/>
          <w:trHeight w:val="300"/>
          <w:jc w:val="center"/>
        </w:trPr>
        <w:tc>
          <w:tcPr>
            <w:cnfStyle w:val="001000000000"/>
            <w:tcW w:w="8620" w:type="dxa"/>
            <w:gridSpan w:val="6"/>
            <w:hideMark/>
          </w:tcPr>
          <w:p w:rsidR="00887D37" w:rsidRPr="00222F69" w:rsidRDefault="00887D37" w:rsidP="00275F1A">
            <w:pPr>
              <w:jc w:val="center"/>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UAB “GIRTEKA” BALANSO STRAIPSNIŲ POKYČIAI</w:t>
            </w:r>
          </w:p>
        </w:tc>
      </w:tr>
      <w:tr w:rsidR="00887D37" w:rsidRPr="00222F69" w:rsidTr="00887D37">
        <w:trPr>
          <w:cnfStyle w:val="000000100000"/>
          <w:trHeight w:val="300"/>
          <w:jc w:val="center"/>
        </w:trPr>
        <w:tc>
          <w:tcPr>
            <w:cnfStyle w:val="001000000000"/>
            <w:tcW w:w="2670" w:type="dxa"/>
            <w:hideMark/>
          </w:tcPr>
          <w:p w:rsidR="00887D37" w:rsidRPr="00222F69" w:rsidRDefault="00887D37" w:rsidP="00275F1A">
            <w:pPr>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 </w:t>
            </w:r>
          </w:p>
        </w:tc>
        <w:tc>
          <w:tcPr>
            <w:tcW w:w="1128" w:type="dxa"/>
            <w:hideMark/>
          </w:tcPr>
          <w:p w:rsidR="00887D37" w:rsidRPr="00222F69" w:rsidRDefault="00887D37" w:rsidP="00275F1A">
            <w:pPr>
              <w:jc w:val="right"/>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31/12/2008</w:t>
            </w:r>
          </w:p>
        </w:tc>
        <w:tc>
          <w:tcPr>
            <w:tcW w:w="2582" w:type="dxa"/>
            <w:gridSpan w:val="2"/>
            <w:hideMark/>
          </w:tcPr>
          <w:p w:rsidR="00887D37" w:rsidRPr="00222F69" w:rsidRDefault="00887D37" w:rsidP="00275F1A">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31/12/2009</w:t>
            </w:r>
          </w:p>
        </w:tc>
        <w:tc>
          <w:tcPr>
            <w:tcW w:w="2240" w:type="dxa"/>
            <w:gridSpan w:val="2"/>
            <w:hideMark/>
          </w:tcPr>
          <w:p w:rsidR="00887D37" w:rsidRPr="00222F69" w:rsidRDefault="00887D37" w:rsidP="00275F1A">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31/12/2010</w:t>
            </w:r>
          </w:p>
        </w:tc>
      </w:tr>
      <w:tr w:rsidR="00E6354F" w:rsidRPr="00222F69" w:rsidTr="00887D37">
        <w:trPr>
          <w:cnfStyle w:val="000000010000"/>
          <w:trHeight w:val="510"/>
          <w:jc w:val="center"/>
        </w:trPr>
        <w:tc>
          <w:tcPr>
            <w:cnfStyle w:val="001000000000"/>
            <w:tcW w:w="2670" w:type="dxa"/>
            <w:vAlign w:val="center"/>
            <w:hideMark/>
          </w:tcPr>
          <w:p w:rsidR="00E6354F" w:rsidRPr="00222F69" w:rsidRDefault="00E6354F" w:rsidP="00275F1A">
            <w:pPr>
              <w:jc w:val="center"/>
              <w:rPr>
                <w:rFonts w:ascii="Times New Roman" w:eastAsia="Times New Roman" w:hAnsi="Times New Roman" w:cs="Times New Roman"/>
                <w:b w:val="0"/>
                <w:bCs w:val="0"/>
                <w:sz w:val="20"/>
                <w:szCs w:val="20"/>
              </w:rPr>
            </w:pPr>
            <w:r w:rsidRPr="00222F69">
              <w:rPr>
                <w:rFonts w:ascii="Times New Roman" w:eastAsia="Times New Roman" w:hAnsi="Times New Roman" w:cs="Times New Roman"/>
                <w:b w:val="0"/>
                <w:bCs w:val="0"/>
                <w:sz w:val="20"/>
                <w:szCs w:val="20"/>
              </w:rPr>
              <w:t>Turtas</w:t>
            </w:r>
          </w:p>
        </w:tc>
        <w:tc>
          <w:tcPr>
            <w:tcW w:w="1128" w:type="dxa"/>
            <w:vAlign w:val="center"/>
            <w:hideMark/>
          </w:tcPr>
          <w:p w:rsidR="00E6354F" w:rsidRPr="00F80CD4" w:rsidRDefault="00E6354F" w:rsidP="004633A4">
            <w:pPr>
              <w:jc w:val="center"/>
              <w:cnfStyle w:val="000000010000"/>
              <w:rPr>
                <w:rFonts w:ascii="Times New Roman" w:eastAsia="Times New Roman" w:hAnsi="Times New Roman" w:cs="Times New Roman"/>
                <w:b/>
                <w:bCs/>
                <w:sz w:val="20"/>
                <w:szCs w:val="20"/>
              </w:rPr>
            </w:pPr>
            <w:r w:rsidRPr="00F80CD4">
              <w:rPr>
                <w:rFonts w:ascii="Times New Roman" w:eastAsia="Times New Roman" w:hAnsi="Times New Roman" w:cs="Times New Roman"/>
                <w:sz w:val="20"/>
                <w:szCs w:val="20"/>
              </w:rPr>
              <w:t>EUR</w:t>
            </w:r>
          </w:p>
        </w:tc>
        <w:tc>
          <w:tcPr>
            <w:tcW w:w="1116" w:type="dxa"/>
            <w:vAlign w:val="center"/>
            <w:hideMark/>
          </w:tcPr>
          <w:p w:rsidR="00E6354F" w:rsidRPr="00F80CD4" w:rsidRDefault="00E6354F" w:rsidP="004633A4">
            <w:pPr>
              <w:jc w:val="center"/>
              <w:cnfStyle w:val="000000010000"/>
              <w:rPr>
                <w:rFonts w:ascii="Times New Roman" w:eastAsia="Times New Roman" w:hAnsi="Times New Roman" w:cs="Times New Roman"/>
                <w:b/>
                <w:bCs/>
                <w:sz w:val="20"/>
                <w:szCs w:val="20"/>
              </w:rPr>
            </w:pPr>
            <w:r w:rsidRPr="00F80CD4">
              <w:rPr>
                <w:rFonts w:ascii="Times New Roman" w:eastAsia="Times New Roman" w:hAnsi="Times New Roman" w:cs="Times New Roman"/>
                <w:sz w:val="20"/>
                <w:szCs w:val="20"/>
              </w:rPr>
              <w:t>EUR</w:t>
            </w:r>
          </w:p>
        </w:tc>
        <w:tc>
          <w:tcPr>
            <w:tcW w:w="1466" w:type="dxa"/>
            <w:vAlign w:val="center"/>
            <w:hideMark/>
          </w:tcPr>
          <w:p w:rsidR="00E6354F" w:rsidRPr="004D5C99" w:rsidRDefault="00E6354F" w:rsidP="004633A4">
            <w:pPr>
              <w:jc w:val="center"/>
              <w:cnfStyle w:val="000000010000"/>
              <w:rPr>
                <w:rFonts w:ascii="Times New Roman" w:eastAsia="Times New Roman" w:hAnsi="Times New Roman" w:cs="Times New Roman"/>
                <w:b/>
                <w:bCs/>
                <w:sz w:val="20"/>
                <w:szCs w:val="20"/>
              </w:rPr>
            </w:pPr>
            <w:r w:rsidRPr="004D5C99">
              <w:rPr>
                <w:rFonts w:ascii="Times New Roman" w:eastAsia="Times New Roman" w:hAnsi="Times New Roman" w:cs="Times New Roman"/>
                <w:b/>
                <w:bCs/>
                <w:sz w:val="20"/>
                <w:szCs w:val="20"/>
              </w:rPr>
              <w:t xml:space="preserve">Pokytis, </w:t>
            </w:r>
            <w:r>
              <w:rPr>
                <w:rFonts w:ascii="Times New Roman" w:eastAsia="Times New Roman" w:hAnsi="Times New Roman" w:cs="Times New Roman"/>
                <w:b/>
                <w:bCs/>
                <w:sz w:val="20"/>
                <w:szCs w:val="20"/>
              </w:rPr>
              <w:t>proc.</w:t>
            </w:r>
          </w:p>
        </w:tc>
        <w:tc>
          <w:tcPr>
            <w:tcW w:w="1180" w:type="dxa"/>
            <w:vAlign w:val="center"/>
            <w:hideMark/>
          </w:tcPr>
          <w:p w:rsidR="00E6354F" w:rsidRPr="004D5C99" w:rsidRDefault="00E6354F" w:rsidP="004633A4">
            <w:pPr>
              <w:jc w:val="center"/>
              <w:cnfStyle w:val="000000010000"/>
              <w:rPr>
                <w:rFonts w:ascii="Times New Roman" w:eastAsia="Times New Roman" w:hAnsi="Times New Roman" w:cs="Times New Roman"/>
                <w:b/>
                <w:bCs/>
                <w:sz w:val="20"/>
                <w:szCs w:val="20"/>
              </w:rPr>
            </w:pPr>
            <w:r w:rsidRPr="004D5C99">
              <w:rPr>
                <w:rFonts w:ascii="Times New Roman" w:eastAsia="Times New Roman" w:hAnsi="Times New Roman" w:cs="Times New Roman"/>
                <w:sz w:val="20"/>
                <w:szCs w:val="20"/>
              </w:rPr>
              <w:t>EUR</w:t>
            </w:r>
          </w:p>
        </w:tc>
        <w:tc>
          <w:tcPr>
            <w:tcW w:w="1060" w:type="dxa"/>
            <w:vAlign w:val="center"/>
            <w:hideMark/>
          </w:tcPr>
          <w:p w:rsidR="00E6354F" w:rsidRPr="004D5C99" w:rsidRDefault="00E6354F" w:rsidP="004633A4">
            <w:pPr>
              <w:jc w:val="center"/>
              <w:cnfStyle w:val="000000010000"/>
              <w:rPr>
                <w:rFonts w:ascii="Times New Roman" w:eastAsia="Times New Roman" w:hAnsi="Times New Roman" w:cs="Times New Roman"/>
                <w:b/>
                <w:bCs/>
                <w:sz w:val="20"/>
                <w:szCs w:val="20"/>
              </w:rPr>
            </w:pPr>
            <w:r w:rsidRPr="004D5C99">
              <w:rPr>
                <w:rFonts w:ascii="Times New Roman" w:eastAsia="Times New Roman" w:hAnsi="Times New Roman" w:cs="Times New Roman"/>
                <w:b/>
                <w:bCs/>
                <w:sz w:val="20"/>
                <w:szCs w:val="20"/>
              </w:rPr>
              <w:t xml:space="preserve">Pokytis, </w:t>
            </w:r>
            <w:r>
              <w:rPr>
                <w:rFonts w:ascii="Times New Roman" w:eastAsia="Times New Roman" w:hAnsi="Times New Roman" w:cs="Times New Roman"/>
                <w:b/>
                <w:bCs/>
                <w:sz w:val="20"/>
                <w:szCs w:val="20"/>
              </w:rPr>
              <w:t>proc.</w:t>
            </w:r>
          </w:p>
        </w:tc>
      </w:tr>
      <w:tr w:rsidR="00887D37" w:rsidRPr="00222F69" w:rsidTr="00887D37">
        <w:trPr>
          <w:cnfStyle w:val="000000100000"/>
          <w:trHeight w:val="300"/>
          <w:jc w:val="center"/>
        </w:trPr>
        <w:tc>
          <w:tcPr>
            <w:cnfStyle w:val="001000000000"/>
            <w:tcW w:w="2670" w:type="dxa"/>
            <w:hideMark/>
          </w:tcPr>
          <w:p w:rsidR="00887D37" w:rsidRPr="00CD7133" w:rsidRDefault="00887D37" w:rsidP="00275F1A">
            <w:pPr>
              <w:rPr>
                <w:rFonts w:ascii="Times New Roman" w:eastAsia="Times New Roman" w:hAnsi="Times New Roman" w:cs="Times New Roman"/>
                <w:b w:val="0"/>
                <w:sz w:val="20"/>
                <w:szCs w:val="20"/>
              </w:rPr>
            </w:pPr>
            <w:r w:rsidRPr="00CD7133">
              <w:rPr>
                <w:rFonts w:ascii="Times New Roman" w:eastAsia="Times New Roman" w:hAnsi="Times New Roman" w:cs="Times New Roman"/>
                <w:b w:val="0"/>
                <w:sz w:val="20"/>
                <w:szCs w:val="20"/>
              </w:rPr>
              <w:t>Ilgalaikis turtas</w:t>
            </w:r>
          </w:p>
        </w:tc>
        <w:tc>
          <w:tcPr>
            <w:tcW w:w="1128" w:type="dxa"/>
            <w:noWrap/>
            <w:vAlign w:val="center"/>
            <w:hideMark/>
          </w:tcPr>
          <w:p w:rsidR="00887D37" w:rsidRPr="00222F69" w:rsidRDefault="00887D37" w:rsidP="00275F1A">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53,287,304</w:t>
            </w:r>
          </w:p>
        </w:tc>
        <w:tc>
          <w:tcPr>
            <w:tcW w:w="1116" w:type="dxa"/>
            <w:noWrap/>
            <w:vAlign w:val="center"/>
            <w:hideMark/>
          </w:tcPr>
          <w:p w:rsidR="00887D37" w:rsidRPr="00222F69" w:rsidRDefault="00887D37" w:rsidP="00275F1A">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47,210,096</w:t>
            </w:r>
          </w:p>
        </w:tc>
        <w:tc>
          <w:tcPr>
            <w:tcW w:w="1466" w:type="dxa"/>
            <w:noWrap/>
            <w:vAlign w:val="center"/>
            <w:hideMark/>
          </w:tcPr>
          <w:p w:rsidR="00887D37" w:rsidRPr="00CD7133" w:rsidRDefault="00887D37" w:rsidP="00275F1A">
            <w:pPr>
              <w:jc w:val="center"/>
              <w:cnfStyle w:val="00000010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-11.40</w:t>
            </w:r>
          </w:p>
        </w:tc>
        <w:tc>
          <w:tcPr>
            <w:tcW w:w="1180" w:type="dxa"/>
            <w:noWrap/>
            <w:vAlign w:val="center"/>
            <w:hideMark/>
          </w:tcPr>
          <w:p w:rsidR="00887D37" w:rsidRPr="00222F69" w:rsidRDefault="00887D37" w:rsidP="00275F1A">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44,066,505</w:t>
            </w:r>
          </w:p>
        </w:tc>
        <w:tc>
          <w:tcPr>
            <w:tcW w:w="1060" w:type="dxa"/>
            <w:noWrap/>
            <w:vAlign w:val="center"/>
            <w:hideMark/>
          </w:tcPr>
          <w:p w:rsidR="00887D37" w:rsidRPr="00CD7133" w:rsidRDefault="00887D37" w:rsidP="00275F1A">
            <w:pPr>
              <w:jc w:val="center"/>
              <w:cnfStyle w:val="00000010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-6.66</w:t>
            </w:r>
          </w:p>
        </w:tc>
      </w:tr>
      <w:tr w:rsidR="00887D37" w:rsidRPr="00222F69" w:rsidTr="00887D37">
        <w:trPr>
          <w:cnfStyle w:val="000000010000"/>
          <w:trHeight w:val="300"/>
          <w:jc w:val="center"/>
        </w:trPr>
        <w:tc>
          <w:tcPr>
            <w:cnfStyle w:val="001000000000"/>
            <w:tcW w:w="2670" w:type="dxa"/>
            <w:hideMark/>
          </w:tcPr>
          <w:p w:rsidR="00887D37" w:rsidRPr="00CD7133" w:rsidRDefault="00887D37" w:rsidP="00275F1A">
            <w:pPr>
              <w:rPr>
                <w:rFonts w:ascii="Times New Roman" w:eastAsia="Times New Roman" w:hAnsi="Times New Roman" w:cs="Times New Roman"/>
                <w:b w:val="0"/>
                <w:sz w:val="20"/>
                <w:szCs w:val="20"/>
              </w:rPr>
            </w:pPr>
            <w:r w:rsidRPr="00CD7133">
              <w:rPr>
                <w:rFonts w:ascii="Times New Roman" w:eastAsia="Times New Roman" w:hAnsi="Times New Roman" w:cs="Times New Roman"/>
                <w:b w:val="0"/>
                <w:sz w:val="20"/>
                <w:szCs w:val="20"/>
              </w:rPr>
              <w:t>- Nematerialus turtas</w:t>
            </w:r>
          </w:p>
        </w:tc>
        <w:tc>
          <w:tcPr>
            <w:tcW w:w="1128" w:type="dxa"/>
            <w:noWrap/>
            <w:vAlign w:val="center"/>
            <w:hideMark/>
          </w:tcPr>
          <w:p w:rsidR="00887D37" w:rsidRPr="00222F69" w:rsidRDefault="00887D37" w:rsidP="00275F1A">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111,542</w:t>
            </w:r>
          </w:p>
        </w:tc>
        <w:tc>
          <w:tcPr>
            <w:tcW w:w="1116" w:type="dxa"/>
            <w:noWrap/>
            <w:vAlign w:val="center"/>
            <w:hideMark/>
          </w:tcPr>
          <w:p w:rsidR="00887D37" w:rsidRPr="00222F69" w:rsidRDefault="00887D37" w:rsidP="00275F1A">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53,276</w:t>
            </w:r>
          </w:p>
        </w:tc>
        <w:tc>
          <w:tcPr>
            <w:tcW w:w="1466" w:type="dxa"/>
            <w:noWrap/>
            <w:vAlign w:val="center"/>
            <w:hideMark/>
          </w:tcPr>
          <w:p w:rsidR="00887D37" w:rsidRPr="00CD7133" w:rsidRDefault="00887D37" w:rsidP="00275F1A">
            <w:pPr>
              <w:jc w:val="center"/>
              <w:cnfStyle w:val="00000001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-52.24</w:t>
            </w:r>
          </w:p>
        </w:tc>
        <w:tc>
          <w:tcPr>
            <w:tcW w:w="1180" w:type="dxa"/>
            <w:noWrap/>
            <w:vAlign w:val="center"/>
            <w:hideMark/>
          </w:tcPr>
          <w:p w:rsidR="00887D37" w:rsidRPr="00222F69" w:rsidRDefault="00887D37" w:rsidP="00275F1A">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16,252</w:t>
            </w:r>
          </w:p>
        </w:tc>
        <w:tc>
          <w:tcPr>
            <w:tcW w:w="1060" w:type="dxa"/>
            <w:noWrap/>
            <w:vAlign w:val="center"/>
            <w:hideMark/>
          </w:tcPr>
          <w:p w:rsidR="00887D37" w:rsidRPr="00CD7133" w:rsidRDefault="00887D37" w:rsidP="00275F1A">
            <w:pPr>
              <w:jc w:val="center"/>
              <w:cnfStyle w:val="00000001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-69.49</w:t>
            </w:r>
          </w:p>
        </w:tc>
      </w:tr>
      <w:tr w:rsidR="00887D37" w:rsidRPr="00222F69" w:rsidTr="00887D37">
        <w:trPr>
          <w:cnfStyle w:val="000000100000"/>
          <w:trHeight w:val="300"/>
          <w:jc w:val="center"/>
        </w:trPr>
        <w:tc>
          <w:tcPr>
            <w:cnfStyle w:val="001000000000"/>
            <w:tcW w:w="2670" w:type="dxa"/>
            <w:hideMark/>
          </w:tcPr>
          <w:p w:rsidR="00887D37" w:rsidRPr="00CD7133" w:rsidRDefault="00887D37" w:rsidP="00275F1A">
            <w:pPr>
              <w:rPr>
                <w:rFonts w:ascii="Times New Roman" w:eastAsia="Times New Roman" w:hAnsi="Times New Roman" w:cs="Times New Roman"/>
                <w:b w:val="0"/>
                <w:sz w:val="20"/>
                <w:szCs w:val="20"/>
              </w:rPr>
            </w:pPr>
            <w:r w:rsidRPr="00CD7133">
              <w:rPr>
                <w:rFonts w:ascii="Times New Roman" w:eastAsia="Times New Roman" w:hAnsi="Times New Roman" w:cs="Times New Roman"/>
                <w:b w:val="0"/>
                <w:sz w:val="20"/>
                <w:szCs w:val="20"/>
              </w:rPr>
              <w:t>- Materialus turtas</w:t>
            </w:r>
          </w:p>
        </w:tc>
        <w:tc>
          <w:tcPr>
            <w:tcW w:w="1128" w:type="dxa"/>
            <w:noWrap/>
            <w:vAlign w:val="center"/>
            <w:hideMark/>
          </w:tcPr>
          <w:p w:rsidR="00887D37" w:rsidRPr="00222F69" w:rsidRDefault="00887D37" w:rsidP="00275F1A">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31,009,762</w:t>
            </w:r>
          </w:p>
        </w:tc>
        <w:tc>
          <w:tcPr>
            <w:tcW w:w="1116" w:type="dxa"/>
            <w:noWrap/>
            <w:vAlign w:val="center"/>
            <w:hideMark/>
          </w:tcPr>
          <w:p w:rsidR="00887D37" w:rsidRPr="00222F69" w:rsidRDefault="00887D37" w:rsidP="00275F1A">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25,369,704</w:t>
            </w:r>
          </w:p>
        </w:tc>
        <w:tc>
          <w:tcPr>
            <w:tcW w:w="1466" w:type="dxa"/>
            <w:noWrap/>
            <w:vAlign w:val="center"/>
            <w:hideMark/>
          </w:tcPr>
          <w:p w:rsidR="00887D37" w:rsidRPr="00CD7133" w:rsidRDefault="00887D37" w:rsidP="00275F1A">
            <w:pPr>
              <w:jc w:val="center"/>
              <w:cnfStyle w:val="00000010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-18.19</w:t>
            </w:r>
          </w:p>
        </w:tc>
        <w:tc>
          <w:tcPr>
            <w:tcW w:w="1180" w:type="dxa"/>
            <w:noWrap/>
            <w:vAlign w:val="center"/>
            <w:hideMark/>
          </w:tcPr>
          <w:p w:rsidR="00887D37" w:rsidRPr="00222F69" w:rsidRDefault="00887D37" w:rsidP="00275F1A">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20,320,404</w:t>
            </w:r>
          </w:p>
        </w:tc>
        <w:tc>
          <w:tcPr>
            <w:tcW w:w="1060" w:type="dxa"/>
            <w:noWrap/>
            <w:vAlign w:val="center"/>
            <w:hideMark/>
          </w:tcPr>
          <w:p w:rsidR="00887D37" w:rsidRPr="00CD7133" w:rsidRDefault="00887D37" w:rsidP="00275F1A">
            <w:pPr>
              <w:jc w:val="center"/>
              <w:cnfStyle w:val="00000010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-19.90</w:t>
            </w:r>
          </w:p>
        </w:tc>
      </w:tr>
      <w:tr w:rsidR="00887D37" w:rsidRPr="00222F69" w:rsidTr="00887D37">
        <w:trPr>
          <w:cnfStyle w:val="000000010000"/>
          <w:trHeight w:val="300"/>
          <w:jc w:val="center"/>
        </w:trPr>
        <w:tc>
          <w:tcPr>
            <w:cnfStyle w:val="001000000000"/>
            <w:tcW w:w="2670" w:type="dxa"/>
            <w:hideMark/>
          </w:tcPr>
          <w:p w:rsidR="00887D37" w:rsidRPr="00CD7133" w:rsidRDefault="00887D37" w:rsidP="00275F1A">
            <w:pPr>
              <w:rPr>
                <w:rFonts w:ascii="Times New Roman" w:eastAsia="Times New Roman" w:hAnsi="Times New Roman" w:cs="Times New Roman"/>
                <w:b w:val="0"/>
                <w:sz w:val="20"/>
                <w:szCs w:val="20"/>
              </w:rPr>
            </w:pPr>
            <w:r w:rsidRPr="00CD7133">
              <w:rPr>
                <w:rFonts w:ascii="Times New Roman" w:eastAsia="Times New Roman" w:hAnsi="Times New Roman" w:cs="Times New Roman"/>
                <w:b w:val="0"/>
                <w:sz w:val="20"/>
                <w:szCs w:val="20"/>
              </w:rPr>
              <w:t>- Kitas turtas</w:t>
            </w:r>
          </w:p>
        </w:tc>
        <w:tc>
          <w:tcPr>
            <w:tcW w:w="1128" w:type="dxa"/>
            <w:noWrap/>
            <w:vAlign w:val="center"/>
            <w:hideMark/>
          </w:tcPr>
          <w:p w:rsidR="00887D37" w:rsidRPr="00222F69" w:rsidRDefault="00887D37" w:rsidP="00275F1A">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22,166,000</w:t>
            </w:r>
          </w:p>
        </w:tc>
        <w:tc>
          <w:tcPr>
            <w:tcW w:w="1116" w:type="dxa"/>
            <w:noWrap/>
            <w:vAlign w:val="center"/>
            <w:hideMark/>
          </w:tcPr>
          <w:p w:rsidR="00887D37" w:rsidRPr="00222F69" w:rsidRDefault="00887D37" w:rsidP="00275F1A">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21,787,117</w:t>
            </w:r>
          </w:p>
        </w:tc>
        <w:tc>
          <w:tcPr>
            <w:tcW w:w="1466" w:type="dxa"/>
            <w:noWrap/>
            <w:vAlign w:val="center"/>
            <w:hideMark/>
          </w:tcPr>
          <w:p w:rsidR="00887D37" w:rsidRPr="00CD7133" w:rsidRDefault="00887D37" w:rsidP="00275F1A">
            <w:pPr>
              <w:jc w:val="center"/>
              <w:cnfStyle w:val="00000001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-1.71</w:t>
            </w:r>
          </w:p>
        </w:tc>
        <w:tc>
          <w:tcPr>
            <w:tcW w:w="1180" w:type="dxa"/>
            <w:noWrap/>
            <w:vAlign w:val="center"/>
            <w:hideMark/>
          </w:tcPr>
          <w:p w:rsidR="00887D37" w:rsidRPr="00222F69" w:rsidRDefault="00887D37" w:rsidP="00275F1A">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23,729,848</w:t>
            </w:r>
          </w:p>
        </w:tc>
        <w:tc>
          <w:tcPr>
            <w:tcW w:w="1060" w:type="dxa"/>
            <w:noWrap/>
            <w:vAlign w:val="center"/>
            <w:hideMark/>
          </w:tcPr>
          <w:p w:rsidR="00887D37" w:rsidRPr="00CD7133" w:rsidRDefault="00887D37" w:rsidP="00275F1A">
            <w:pPr>
              <w:jc w:val="center"/>
              <w:cnfStyle w:val="00000001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8.92</w:t>
            </w:r>
          </w:p>
        </w:tc>
      </w:tr>
      <w:tr w:rsidR="00887D37" w:rsidRPr="00222F69" w:rsidTr="00887D37">
        <w:trPr>
          <w:cnfStyle w:val="000000100000"/>
          <w:trHeight w:val="300"/>
          <w:jc w:val="center"/>
        </w:trPr>
        <w:tc>
          <w:tcPr>
            <w:cnfStyle w:val="001000000000"/>
            <w:tcW w:w="2670" w:type="dxa"/>
            <w:hideMark/>
          </w:tcPr>
          <w:p w:rsidR="00887D37" w:rsidRPr="00CD7133" w:rsidRDefault="00887D37" w:rsidP="00275F1A">
            <w:pPr>
              <w:rPr>
                <w:rFonts w:ascii="Times New Roman" w:eastAsia="Times New Roman" w:hAnsi="Times New Roman" w:cs="Times New Roman"/>
                <w:b w:val="0"/>
                <w:sz w:val="20"/>
                <w:szCs w:val="20"/>
              </w:rPr>
            </w:pPr>
            <w:r w:rsidRPr="00CD7133">
              <w:rPr>
                <w:rFonts w:ascii="Times New Roman" w:eastAsia="Times New Roman" w:hAnsi="Times New Roman" w:cs="Times New Roman"/>
                <w:b w:val="0"/>
                <w:sz w:val="20"/>
                <w:szCs w:val="20"/>
              </w:rPr>
              <w:t>Trumpalaikis turtas</w:t>
            </w:r>
          </w:p>
        </w:tc>
        <w:tc>
          <w:tcPr>
            <w:tcW w:w="1128" w:type="dxa"/>
            <w:noWrap/>
            <w:vAlign w:val="center"/>
            <w:hideMark/>
          </w:tcPr>
          <w:p w:rsidR="00887D37" w:rsidRPr="00222F69" w:rsidRDefault="00887D37" w:rsidP="00275F1A">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19,470,066</w:t>
            </w:r>
          </w:p>
        </w:tc>
        <w:tc>
          <w:tcPr>
            <w:tcW w:w="1116" w:type="dxa"/>
            <w:noWrap/>
            <w:vAlign w:val="center"/>
            <w:hideMark/>
          </w:tcPr>
          <w:p w:rsidR="00887D37" w:rsidRPr="00222F69" w:rsidRDefault="00887D37" w:rsidP="00275F1A">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26,558,162</w:t>
            </w:r>
          </w:p>
        </w:tc>
        <w:tc>
          <w:tcPr>
            <w:tcW w:w="1466" w:type="dxa"/>
            <w:noWrap/>
            <w:vAlign w:val="center"/>
            <w:hideMark/>
          </w:tcPr>
          <w:p w:rsidR="00887D37" w:rsidRPr="00CD7133" w:rsidRDefault="00887D37" w:rsidP="00275F1A">
            <w:pPr>
              <w:jc w:val="center"/>
              <w:cnfStyle w:val="00000010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36.41</w:t>
            </w:r>
          </w:p>
        </w:tc>
        <w:tc>
          <w:tcPr>
            <w:tcW w:w="1180" w:type="dxa"/>
            <w:noWrap/>
            <w:vAlign w:val="center"/>
            <w:hideMark/>
          </w:tcPr>
          <w:p w:rsidR="00887D37" w:rsidRPr="00222F69" w:rsidRDefault="00887D37" w:rsidP="00275F1A">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39,095,431</w:t>
            </w:r>
          </w:p>
        </w:tc>
        <w:tc>
          <w:tcPr>
            <w:tcW w:w="1060" w:type="dxa"/>
            <w:noWrap/>
            <w:vAlign w:val="center"/>
            <w:hideMark/>
          </w:tcPr>
          <w:p w:rsidR="00887D37" w:rsidRPr="00CD7133" w:rsidRDefault="00887D37" w:rsidP="00275F1A">
            <w:pPr>
              <w:jc w:val="center"/>
              <w:cnfStyle w:val="00000010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47.21</w:t>
            </w:r>
          </w:p>
        </w:tc>
      </w:tr>
      <w:tr w:rsidR="00887D37" w:rsidRPr="00222F69" w:rsidTr="00887D37">
        <w:trPr>
          <w:cnfStyle w:val="000000010000"/>
          <w:trHeight w:val="300"/>
          <w:jc w:val="center"/>
        </w:trPr>
        <w:tc>
          <w:tcPr>
            <w:cnfStyle w:val="001000000000"/>
            <w:tcW w:w="2670" w:type="dxa"/>
            <w:hideMark/>
          </w:tcPr>
          <w:p w:rsidR="00887D37" w:rsidRPr="00CD7133" w:rsidRDefault="00887D37" w:rsidP="00275F1A">
            <w:pPr>
              <w:rPr>
                <w:rFonts w:ascii="Times New Roman" w:eastAsia="Times New Roman" w:hAnsi="Times New Roman" w:cs="Times New Roman"/>
                <w:b w:val="0"/>
                <w:sz w:val="20"/>
                <w:szCs w:val="20"/>
              </w:rPr>
            </w:pPr>
            <w:r w:rsidRPr="00CD7133">
              <w:rPr>
                <w:rFonts w:ascii="Times New Roman" w:eastAsia="Times New Roman" w:hAnsi="Times New Roman" w:cs="Times New Roman"/>
                <w:b w:val="0"/>
                <w:sz w:val="20"/>
                <w:szCs w:val="20"/>
              </w:rPr>
              <w:t>- Atsargos</w:t>
            </w:r>
          </w:p>
        </w:tc>
        <w:tc>
          <w:tcPr>
            <w:tcW w:w="1128" w:type="dxa"/>
            <w:noWrap/>
            <w:vAlign w:val="center"/>
            <w:hideMark/>
          </w:tcPr>
          <w:p w:rsidR="00887D37" w:rsidRPr="00222F69" w:rsidRDefault="00887D37" w:rsidP="00275F1A">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45,878</w:t>
            </w:r>
          </w:p>
        </w:tc>
        <w:tc>
          <w:tcPr>
            <w:tcW w:w="1116" w:type="dxa"/>
            <w:noWrap/>
            <w:vAlign w:val="center"/>
            <w:hideMark/>
          </w:tcPr>
          <w:p w:rsidR="00887D37" w:rsidRPr="00222F69" w:rsidRDefault="00887D37" w:rsidP="00275F1A">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50,755</w:t>
            </w:r>
          </w:p>
        </w:tc>
        <w:tc>
          <w:tcPr>
            <w:tcW w:w="1466" w:type="dxa"/>
            <w:noWrap/>
            <w:vAlign w:val="center"/>
            <w:hideMark/>
          </w:tcPr>
          <w:p w:rsidR="00887D37" w:rsidRPr="00CD7133" w:rsidRDefault="00887D37" w:rsidP="00275F1A">
            <w:pPr>
              <w:jc w:val="center"/>
              <w:cnfStyle w:val="00000001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10.63</w:t>
            </w:r>
          </w:p>
        </w:tc>
        <w:tc>
          <w:tcPr>
            <w:tcW w:w="1180" w:type="dxa"/>
            <w:noWrap/>
            <w:vAlign w:val="center"/>
            <w:hideMark/>
          </w:tcPr>
          <w:p w:rsidR="00887D37" w:rsidRPr="00222F69" w:rsidRDefault="00887D37" w:rsidP="00275F1A">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67,637</w:t>
            </w:r>
          </w:p>
        </w:tc>
        <w:tc>
          <w:tcPr>
            <w:tcW w:w="1060" w:type="dxa"/>
            <w:noWrap/>
            <w:vAlign w:val="center"/>
            <w:hideMark/>
          </w:tcPr>
          <w:p w:rsidR="00887D37" w:rsidRPr="00CD7133" w:rsidRDefault="00887D37" w:rsidP="00275F1A">
            <w:pPr>
              <w:jc w:val="center"/>
              <w:cnfStyle w:val="00000001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33.26</w:t>
            </w:r>
          </w:p>
        </w:tc>
      </w:tr>
      <w:tr w:rsidR="00887D37" w:rsidRPr="00222F69" w:rsidTr="00887D37">
        <w:trPr>
          <w:cnfStyle w:val="000000100000"/>
          <w:trHeight w:val="510"/>
          <w:jc w:val="center"/>
        </w:trPr>
        <w:tc>
          <w:tcPr>
            <w:cnfStyle w:val="001000000000"/>
            <w:tcW w:w="2670" w:type="dxa"/>
            <w:hideMark/>
          </w:tcPr>
          <w:p w:rsidR="00887D37" w:rsidRPr="00CD7133" w:rsidRDefault="00887D37" w:rsidP="00275F1A">
            <w:pPr>
              <w:rPr>
                <w:rFonts w:ascii="Times New Roman" w:eastAsia="Times New Roman" w:hAnsi="Times New Roman" w:cs="Times New Roman"/>
                <w:b w:val="0"/>
                <w:sz w:val="20"/>
                <w:szCs w:val="20"/>
              </w:rPr>
            </w:pPr>
            <w:r w:rsidRPr="00CD7133">
              <w:rPr>
                <w:rFonts w:ascii="Times New Roman" w:eastAsia="Times New Roman" w:hAnsi="Times New Roman" w:cs="Times New Roman"/>
                <w:b w:val="0"/>
                <w:sz w:val="20"/>
                <w:szCs w:val="20"/>
              </w:rPr>
              <w:t>- Per vienerius metus gautinos sumos</w:t>
            </w:r>
          </w:p>
        </w:tc>
        <w:tc>
          <w:tcPr>
            <w:tcW w:w="1128" w:type="dxa"/>
            <w:noWrap/>
            <w:vAlign w:val="center"/>
            <w:hideMark/>
          </w:tcPr>
          <w:p w:rsidR="00887D37" w:rsidRPr="00222F69" w:rsidRDefault="00887D37" w:rsidP="00275F1A">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12,995,224</w:t>
            </w:r>
          </w:p>
        </w:tc>
        <w:tc>
          <w:tcPr>
            <w:tcW w:w="1116" w:type="dxa"/>
            <w:noWrap/>
            <w:vAlign w:val="center"/>
            <w:hideMark/>
          </w:tcPr>
          <w:p w:rsidR="00887D37" w:rsidRPr="00222F69" w:rsidRDefault="00887D37" w:rsidP="00275F1A">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22,564,331</w:t>
            </w:r>
          </w:p>
        </w:tc>
        <w:tc>
          <w:tcPr>
            <w:tcW w:w="1466" w:type="dxa"/>
            <w:noWrap/>
            <w:vAlign w:val="center"/>
            <w:hideMark/>
          </w:tcPr>
          <w:p w:rsidR="00887D37" w:rsidRPr="00CD7133" w:rsidRDefault="00887D37" w:rsidP="00275F1A">
            <w:pPr>
              <w:jc w:val="center"/>
              <w:cnfStyle w:val="00000010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73.64</w:t>
            </w:r>
          </w:p>
        </w:tc>
        <w:tc>
          <w:tcPr>
            <w:tcW w:w="1180" w:type="dxa"/>
            <w:noWrap/>
            <w:vAlign w:val="center"/>
            <w:hideMark/>
          </w:tcPr>
          <w:p w:rsidR="00887D37" w:rsidRPr="00222F69" w:rsidRDefault="00887D37" w:rsidP="00275F1A">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29,877,549</w:t>
            </w:r>
          </w:p>
        </w:tc>
        <w:tc>
          <w:tcPr>
            <w:tcW w:w="1060" w:type="dxa"/>
            <w:noWrap/>
            <w:vAlign w:val="center"/>
            <w:hideMark/>
          </w:tcPr>
          <w:p w:rsidR="00887D37" w:rsidRPr="00CD7133" w:rsidRDefault="00887D37" w:rsidP="00275F1A">
            <w:pPr>
              <w:jc w:val="center"/>
              <w:cnfStyle w:val="00000010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32.41</w:t>
            </w:r>
          </w:p>
        </w:tc>
      </w:tr>
      <w:tr w:rsidR="00887D37" w:rsidRPr="00222F69" w:rsidTr="00887D37">
        <w:trPr>
          <w:cnfStyle w:val="000000010000"/>
          <w:trHeight w:val="300"/>
          <w:jc w:val="center"/>
        </w:trPr>
        <w:tc>
          <w:tcPr>
            <w:cnfStyle w:val="001000000000"/>
            <w:tcW w:w="2670" w:type="dxa"/>
            <w:hideMark/>
          </w:tcPr>
          <w:p w:rsidR="00887D37" w:rsidRPr="00CD7133" w:rsidRDefault="00887D37" w:rsidP="00275F1A">
            <w:pPr>
              <w:rPr>
                <w:rFonts w:ascii="Times New Roman" w:eastAsia="Times New Roman" w:hAnsi="Times New Roman" w:cs="Times New Roman"/>
                <w:b w:val="0"/>
                <w:sz w:val="20"/>
                <w:szCs w:val="20"/>
              </w:rPr>
            </w:pPr>
            <w:r w:rsidRPr="00CD7133">
              <w:rPr>
                <w:rFonts w:ascii="Times New Roman" w:eastAsia="Times New Roman" w:hAnsi="Times New Roman" w:cs="Times New Roman"/>
                <w:b w:val="0"/>
                <w:sz w:val="20"/>
                <w:szCs w:val="20"/>
              </w:rPr>
              <w:t>- Kitas trumpalaikis turtas</w:t>
            </w:r>
          </w:p>
        </w:tc>
        <w:tc>
          <w:tcPr>
            <w:tcW w:w="1128" w:type="dxa"/>
            <w:noWrap/>
            <w:vAlign w:val="center"/>
            <w:hideMark/>
          </w:tcPr>
          <w:p w:rsidR="00887D37" w:rsidRPr="00222F69" w:rsidRDefault="00887D37" w:rsidP="00275F1A">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6,428,964</w:t>
            </w:r>
          </w:p>
        </w:tc>
        <w:tc>
          <w:tcPr>
            <w:tcW w:w="1116" w:type="dxa"/>
            <w:noWrap/>
            <w:vAlign w:val="center"/>
            <w:hideMark/>
          </w:tcPr>
          <w:p w:rsidR="00887D37" w:rsidRPr="00222F69" w:rsidRDefault="00887D37" w:rsidP="00275F1A">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3,943,077</w:t>
            </w:r>
          </w:p>
        </w:tc>
        <w:tc>
          <w:tcPr>
            <w:tcW w:w="1466" w:type="dxa"/>
            <w:noWrap/>
            <w:vAlign w:val="center"/>
            <w:hideMark/>
          </w:tcPr>
          <w:p w:rsidR="00887D37" w:rsidRPr="00CD7133" w:rsidRDefault="00887D37" w:rsidP="00275F1A">
            <w:pPr>
              <w:jc w:val="center"/>
              <w:cnfStyle w:val="00000001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-38.67</w:t>
            </w:r>
          </w:p>
        </w:tc>
        <w:tc>
          <w:tcPr>
            <w:tcW w:w="1180" w:type="dxa"/>
            <w:noWrap/>
            <w:vAlign w:val="center"/>
            <w:hideMark/>
          </w:tcPr>
          <w:p w:rsidR="00887D37" w:rsidRPr="00222F69" w:rsidRDefault="00887D37" w:rsidP="00275F1A">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9,150,245</w:t>
            </w:r>
          </w:p>
        </w:tc>
        <w:tc>
          <w:tcPr>
            <w:tcW w:w="1060" w:type="dxa"/>
            <w:noWrap/>
            <w:vAlign w:val="center"/>
            <w:hideMark/>
          </w:tcPr>
          <w:p w:rsidR="00887D37" w:rsidRPr="00CD7133" w:rsidRDefault="00887D37" w:rsidP="00275F1A">
            <w:pPr>
              <w:jc w:val="center"/>
              <w:cnfStyle w:val="00000001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132.06</w:t>
            </w:r>
          </w:p>
        </w:tc>
      </w:tr>
      <w:tr w:rsidR="00887D37" w:rsidRPr="00222F69" w:rsidTr="00887D37">
        <w:trPr>
          <w:cnfStyle w:val="000000100000"/>
          <w:trHeight w:val="300"/>
          <w:jc w:val="center"/>
        </w:trPr>
        <w:tc>
          <w:tcPr>
            <w:cnfStyle w:val="001000000000"/>
            <w:tcW w:w="2670" w:type="dxa"/>
            <w:hideMark/>
          </w:tcPr>
          <w:p w:rsidR="00887D37" w:rsidRPr="00CD7133" w:rsidRDefault="00887D37" w:rsidP="00275F1A">
            <w:pPr>
              <w:rPr>
                <w:rFonts w:ascii="Times New Roman" w:eastAsia="Times New Roman" w:hAnsi="Times New Roman" w:cs="Times New Roman"/>
                <w:b w:val="0"/>
                <w:sz w:val="20"/>
                <w:szCs w:val="20"/>
              </w:rPr>
            </w:pPr>
            <w:r w:rsidRPr="00CD7133">
              <w:rPr>
                <w:rFonts w:ascii="Times New Roman" w:eastAsia="Times New Roman" w:hAnsi="Times New Roman" w:cs="Times New Roman"/>
                <w:b w:val="0"/>
                <w:sz w:val="20"/>
                <w:szCs w:val="20"/>
              </w:rPr>
              <w:t>* Pinigai ir jų ekvivalentai</w:t>
            </w:r>
          </w:p>
        </w:tc>
        <w:tc>
          <w:tcPr>
            <w:tcW w:w="1128" w:type="dxa"/>
            <w:noWrap/>
            <w:vAlign w:val="center"/>
            <w:hideMark/>
          </w:tcPr>
          <w:p w:rsidR="00887D37" w:rsidRPr="00222F69" w:rsidRDefault="00887D37" w:rsidP="00275F1A">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116,409</w:t>
            </w:r>
          </w:p>
        </w:tc>
        <w:tc>
          <w:tcPr>
            <w:tcW w:w="1116" w:type="dxa"/>
            <w:noWrap/>
            <w:vAlign w:val="center"/>
            <w:hideMark/>
          </w:tcPr>
          <w:p w:rsidR="00887D37" w:rsidRPr="00222F69" w:rsidRDefault="00887D37" w:rsidP="00275F1A">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410,150</w:t>
            </w:r>
          </w:p>
        </w:tc>
        <w:tc>
          <w:tcPr>
            <w:tcW w:w="1466" w:type="dxa"/>
            <w:noWrap/>
            <w:vAlign w:val="center"/>
            <w:hideMark/>
          </w:tcPr>
          <w:p w:rsidR="00887D37" w:rsidRPr="00CD7133" w:rsidRDefault="00887D37" w:rsidP="00275F1A">
            <w:pPr>
              <w:jc w:val="center"/>
              <w:cnfStyle w:val="00000010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252.33</w:t>
            </w:r>
          </w:p>
        </w:tc>
        <w:tc>
          <w:tcPr>
            <w:tcW w:w="1180" w:type="dxa"/>
            <w:noWrap/>
            <w:vAlign w:val="center"/>
            <w:hideMark/>
          </w:tcPr>
          <w:p w:rsidR="00887D37" w:rsidRPr="00222F69" w:rsidRDefault="00887D37" w:rsidP="00275F1A">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1,358,580</w:t>
            </w:r>
          </w:p>
        </w:tc>
        <w:tc>
          <w:tcPr>
            <w:tcW w:w="1060" w:type="dxa"/>
            <w:noWrap/>
            <w:vAlign w:val="center"/>
            <w:hideMark/>
          </w:tcPr>
          <w:p w:rsidR="00887D37" w:rsidRPr="00CD7133" w:rsidRDefault="00887D37" w:rsidP="00275F1A">
            <w:pPr>
              <w:jc w:val="center"/>
              <w:cnfStyle w:val="00000010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231.24</w:t>
            </w:r>
          </w:p>
        </w:tc>
      </w:tr>
      <w:tr w:rsidR="00887D37" w:rsidRPr="00222F69" w:rsidTr="00887D37">
        <w:trPr>
          <w:cnfStyle w:val="000000010000"/>
          <w:trHeight w:val="300"/>
          <w:jc w:val="center"/>
        </w:trPr>
        <w:tc>
          <w:tcPr>
            <w:cnfStyle w:val="001000000000"/>
            <w:tcW w:w="2670" w:type="dxa"/>
            <w:hideMark/>
          </w:tcPr>
          <w:p w:rsidR="00887D37" w:rsidRPr="00222F69" w:rsidRDefault="00887D37" w:rsidP="00275F1A">
            <w:pPr>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TURTO IŠ VISO</w:t>
            </w:r>
          </w:p>
        </w:tc>
        <w:tc>
          <w:tcPr>
            <w:tcW w:w="1128" w:type="dxa"/>
            <w:noWrap/>
            <w:vAlign w:val="center"/>
            <w:hideMark/>
          </w:tcPr>
          <w:p w:rsidR="00887D37" w:rsidRPr="00CD7133" w:rsidRDefault="00887D37" w:rsidP="00275F1A">
            <w:pPr>
              <w:jc w:val="center"/>
              <w:cnfStyle w:val="000000010000"/>
              <w:rPr>
                <w:rFonts w:ascii="Times New Roman" w:eastAsia="Times New Roman" w:hAnsi="Times New Roman" w:cs="Times New Roman"/>
                <w:b/>
                <w:sz w:val="20"/>
                <w:szCs w:val="20"/>
              </w:rPr>
            </w:pPr>
            <w:r w:rsidRPr="00CD7133">
              <w:rPr>
                <w:rFonts w:ascii="Times New Roman" w:eastAsia="Times New Roman" w:hAnsi="Times New Roman" w:cs="Times New Roman"/>
                <w:b/>
                <w:sz w:val="20"/>
                <w:szCs w:val="20"/>
              </w:rPr>
              <w:t>72,757,370</w:t>
            </w:r>
          </w:p>
        </w:tc>
        <w:tc>
          <w:tcPr>
            <w:tcW w:w="1116" w:type="dxa"/>
            <w:noWrap/>
            <w:vAlign w:val="center"/>
            <w:hideMark/>
          </w:tcPr>
          <w:p w:rsidR="00887D37" w:rsidRPr="00CD7133" w:rsidRDefault="00887D37" w:rsidP="00275F1A">
            <w:pPr>
              <w:jc w:val="center"/>
              <w:cnfStyle w:val="000000010000"/>
              <w:rPr>
                <w:rFonts w:ascii="Times New Roman" w:eastAsia="Times New Roman" w:hAnsi="Times New Roman" w:cs="Times New Roman"/>
                <w:b/>
                <w:sz w:val="20"/>
                <w:szCs w:val="20"/>
              </w:rPr>
            </w:pPr>
            <w:r w:rsidRPr="00CD7133">
              <w:rPr>
                <w:rFonts w:ascii="Times New Roman" w:eastAsia="Times New Roman" w:hAnsi="Times New Roman" w:cs="Times New Roman"/>
                <w:b/>
                <w:sz w:val="20"/>
                <w:szCs w:val="20"/>
              </w:rPr>
              <w:t>73,768,259</w:t>
            </w:r>
          </w:p>
        </w:tc>
        <w:tc>
          <w:tcPr>
            <w:tcW w:w="1466" w:type="dxa"/>
            <w:noWrap/>
            <w:vAlign w:val="center"/>
            <w:hideMark/>
          </w:tcPr>
          <w:p w:rsidR="00887D37" w:rsidRPr="00CD7133" w:rsidRDefault="00887D37" w:rsidP="00275F1A">
            <w:pPr>
              <w:jc w:val="center"/>
              <w:cnfStyle w:val="000000010000"/>
              <w:rPr>
                <w:rFonts w:ascii="Times New Roman" w:eastAsia="Times New Roman" w:hAnsi="Times New Roman" w:cs="Times New Roman"/>
                <w:b/>
                <w:i/>
                <w:sz w:val="20"/>
                <w:szCs w:val="20"/>
              </w:rPr>
            </w:pPr>
            <w:r w:rsidRPr="00CD7133">
              <w:rPr>
                <w:rFonts w:ascii="Times New Roman" w:eastAsia="Times New Roman" w:hAnsi="Times New Roman" w:cs="Times New Roman"/>
                <w:b/>
                <w:i/>
                <w:sz w:val="20"/>
                <w:szCs w:val="20"/>
              </w:rPr>
              <w:t>1.39</w:t>
            </w:r>
          </w:p>
        </w:tc>
        <w:tc>
          <w:tcPr>
            <w:tcW w:w="1180" w:type="dxa"/>
            <w:noWrap/>
            <w:vAlign w:val="center"/>
            <w:hideMark/>
          </w:tcPr>
          <w:p w:rsidR="00887D37" w:rsidRPr="00CD7133" w:rsidRDefault="00887D37" w:rsidP="00275F1A">
            <w:pPr>
              <w:jc w:val="center"/>
              <w:cnfStyle w:val="000000010000"/>
              <w:rPr>
                <w:rFonts w:ascii="Times New Roman" w:eastAsia="Times New Roman" w:hAnsi="Times New Roman" w:cs="Times New Roman"/>
                <w:b/>
                <w:sz w:val="20"/>
                <w:szCs w:val="20"/>
              </w:rPr>
            </w:pPr>
            <w:r w:rsidRPr="00CD7133">
              <w:rPr>
                <w:rFonts w:ascii="Times New Roman" w:eastAsia="Times New Roman" w:hAnsi="Times New Roman" w:cs="Times New Roman"/>
                <w:b/>
                <w:sz w:val="20"/>
                <w:szCs w:val="20"/>
              </w:rPr>
              <w:t>83,161,936</w:t>
            </w:r>
          </w:p>
        </w:tc>
        <w:tc>
          <w:tcPr>
            <w:tcW w:w="1060" w:type="dxa"/>
            <w:noWrap/>
            <w:vAlign w:val="center"/>
            <w:hideMark/>
          </w:tcPr>
          <w:p w:rsidR="00887D37" w:rsidRPr="00CD7133" w:rsidRDefault="00887D37" w:rsidP="00275F1A">
            <w:pPr>
              <w:jc w:val="center"/>
              <w:cnfStyle w:val="000000010000"/>
              <w:rPr>
                <w:rFonts w:ascii="Times New Roman" w:eastAsia="Times New Roman" w:hAnsi="Times New Roman" w:cs="Times New Roman"/>
                <w:b/>
                <w:i/>
                <w:sz w:val="20"/>
                <w:szCs w:val="20"/>
              </w:rPr>
            </w:pPr>
            <w:r w:rsidRPr="00CD7133">
              <w:rPr>
                <w:rFonts w:ascii="Times New Roman" w:eastAsia="Times New Roman" w:hAnsi="Times New Roman" w:cs="Times New Roman"/>
                <w:b/>
                <w:i/>
                <w:sz w:val="20"/>
                <w:szCs w:val="20"/>
              </w:rPr>
              <w:t>12.73</w:t>
            </w:r>
          </w:p>
        </w:tc>
      </w:tr>
      <w:tr w:rsidR="00E6354F" w:rsidRPr="00222F69" w:rsidTr="00887D37">
        <w:trPr>
          <w:cnfStyle w:val="000000100000"/>
          <w:trHeight w:val="510"/>
          <w:jc w:val="center"/>
        </w:trPr>
        <w:tc>
          <w:tcPr>
            <w:cnfStyle w:val="001000000000"/>
            <w:tcW w:w="2670" w:type="dxa"/>
            <w:vAlign w:val="center"/>
            <w:hideMark/>
          </w:tcPr>
          <w:p w:rsidR="00E6354F" w:rsidRPr="00222F69" w:rsidRDefault="00E6354F" w:rsidP="00275F1A">
            <w:pPr>
              <w:jc w:val="center"/>
              <w:rPr>
                <w:rFonts w:ascii="Times New Roman" w:eastAsia="Times New Roman" w:hAnsi="Times New Roman" w:cs="Times New Roman"/>
                <w:b w:val="0"/>
                <w:bCs w:val="0"/>
                <w:sz w:val="20"/>
                <w:szCs w:val="20"/>
              </w:rPr>
            </w:pPr>
            <w:r w:rsidRPr="00222F69">
              <w:rPr>
                <w:rFonts w:ascii="Times New Roman" w:eastAsia="Times New Roman" w:hAnsi="Times New Roman" w:cs="Times New Roman"/>
                <w:b w:val="0"/>
                <w:bCs w:val="0"/>
                <w:sz w:val="20"/>
                <w:szCs w:val="20"/>
              </w:rPr>
              <w:t>Nuosavas kapitalas ir įsipareigojimai</w:t>
            </w:r>
          </w:p>
        </w:tc>
        <w:tc>
          <w:tcPr>
            <w:tcW w:w="1128" w:type="dxa"/>
            <w:vAlign w:val="center"/>
            <w:hideMark/>
          </w:tcPr>
          <w:p w:rsidR="00E6354F" w:rsidRPr="00F80CD4" w:rsidRDefault="00E6354F" w:rsidP="004633A4">
            <w:pPr>
              <w:jc w:val="center"/>
              <w:cnfStyle w:val="000000100000"/>
              <w:rPr>
                <w:rFonts w:ascii="Times New Roman" w:eastAsia="Times New Roman" w:hAnsi="Times New Roman" w:cs="Times New Roman"/>
                <w:b/>
                <w:bCs/>
                <w:sz w:val="20"/>
                <w:szCs w:val="20"/>
              </w:rPr>
            </w:pPr>
            <w:r w:rsidRPr="00F80CD4">
              <w:rPr>
                <w:rFonts w:ascii="Times New Roman" w:eastAsia="Times New Roman" w:hAnsi="Times New Roman" w:cs="Times New Roman"/>
                <w:sz w:val="20"/>
                <w:szCs w:val="20"/>
              </w:rPr>
              <w:t>EUR</w:t>
            </w:r>
          </w:p>
        </w:tc>
        <w:tc>
          <w:tcPr>
            <w:tcW w:w="1116" w:type="dxa"/>
            <w:vAlign w:val="center"/>
            <w:hideMark/>
          </w:tcPr>
          <w:p w:rsidR="00E6354F" w:rsidRPr="00F80CD4" w:rsidRDefault="00E6354F" w:rsidP="004633A4">
            <w:pPr>
              <w:jc w:val="center"/>
              <w:cnfStyle w:val="000000100000"/>
              <w:rPr>
                <w:rFonts w:ascii="Times New Roman" w:eastAsia="Times New Roman" w:hAnsi="Times New Roman" w:cs="Times New Roman"/>
                <w:b/>
                <w:bCs/>
                <w:sz w:val="20"/>
                <w:szCs w:val="20"/>
              </w:rPr>
            </w:pPr>
            <w:r w:rsidRPr="00F80CD4">
              <w:rPr>
                <w:rFonts w:ascii="Times New Roman" w:eastAsia="Times New Roman" w:hAnsi="Times New Roman" w:cs="Times New Roman"/>
                <w:sz w:val="20"/>
                <w:szCs w:val="20"/>
              </w:rPr>
              <w:t>EUR</w:t>
            </w:r>
          </w:p>
        </w:tc>
        <w:tc>
          <w:tcPr>
            <w:tcW w:w="1466" w:type="dxa"/>
            <w:vAlign w:val="center"/>
            <w:hideMark/>
          </w:tcPr>
          <w:p w:rsidR="00E6354F" w:rsidRPr="004D5C99" w:rsidRDefault="00E6354F" w:rsidP="004633A4">
            <w:pPr>
              <w:jc w:val="center"/>
              <w:cnfStyle w:val="000000100000"/>
              <w:rPr>
                <w:rFonts w:ascii="Times New Roman" w:eastAsia="Times New Roman" w:hAnsi="Times New Roman" w:cs="Times New Roman"/>
                <w:b/>
                <w:bCs/>
                <w:sz w:val="20"/>
                <w:szCs w:val="20"/>
              </w:rPr>
            </w:pPr>
            <w:r w:rsidRPr="004D5C99">
              <w:rPr>
                <w:rFonts w:ascii="Times New Roman" w:eastAsia="Times New Roman" w:hAnsi="Times New Roman" w:cs="Times New Roman"/>
                <w:b/>
                <w:bCs/>
                <w:sz w:val="20"/>
                <w:szCs w:val="20"/>
              </w:rPr>
              <w:t xml:space="preserve">Pokytis, </w:t>
            </w:r>
            <w:r>
              <w:rPr>
                <w:rFonts w:ascii="Times New Roman" w:eastAsia="Times New Roman" w:hAnsi="Times New Roman" w:cs="Times New Roman"/>
                <w:b/>
                <w:bCs/>
                <w:sz w:val="20"/>
                <w:szCs w:val="20"/>
              </w:rPr>
              <w:t>proc.</w:t>
            </w:r>
          </w:p>
        </w:tc>
        <w:tc>
          <w:tcPr>
            <w:tcW w:w="1180" w:type="dxa"/>
            <w:vAlign w:val="center"/>
            <w:hideMark/>
          </w:tcPr>
          <w:p w:rsidR="00E6354F" w:rsidRPr="004D5C99" w:rsidRDefault="00E6354F" w:rsidP="004633A4">
            <w:pPr>
              <w:jc w:val="center"/>
              <w:cnfStyle w:val="000000100000"/>
              <w:rPr>
                <w:rFonts w:ascii="Times New Roman" w:eastAsia="Times New Roman" w:hAnsi="Times New Roman" w:cs="Times New Roman"/>
                <w:b/>
                <w:bCs/>
                <w:sz w:val="20"/>
                <w:szCs w:val="20"/>
              </w:rPr>
            </w:pPr>
            <w:r w:rsidRPr="004D5C99">
              <w:rPr>
                <w:rFonts w:ascii="Times New Roman" w:eastAsia="Times New Roman" w:hAnsi="Times New Roman" w:cs="Times New Roman"/>
                <w:sz w:val="20"/>
                <w:szCs w:val="20"/>
              </w:rPr>
              <w:t>EUR</w:t>
            </w:r>
          </w:p>
        </w:tc>
        <w:tc>
          <w:tcPr>
            <w:tcW w:w="1060" w:type="dxa"/>
            <w:vAlign w:val="center"/>
            <w:hideMark/>
          </w:tcPr>
          <w:p w:rsidR="00E6354F" w:rsidRPr="004D5C99" w:rsidRDefault="00E6354F" w:rsidP="004633A4">
            <w:pPr>
              <w:jc w:val="center"/>
              <w:cnfStyle w:val="000000100000"/>
              <w:rPr>
                <w:rFonts w:ascii="Times New Roman" w:eastAsia="Times New Roman" w:hAnsi="Times New Roman" w:cs="Times New Roman"/>
                <w:b/>
                <w:bCs/>
                <w:sz w:val="20"/>
                <w:szCs w:val="20"/>
              </w:rPr>
            </w:pPr>
            <w:r w:rsidRPr="004D5C99">
              <w:rPr>
                <w:rFonts w:ascii="Times New Roman" w:eastAsia="Times New Roman" w:hAnsi="Times New Roman" w:cs="Times New Roman"/>
                <w:b/>
                <w:bCs/>
                <w:sz w:val="20"/>
                <w:szCs w:val="20"/>
              </w:rPr>
              <w:t xml:space="preserve">Pokytis, </w:t>
            </w:r>
            <w:r>
              <w:rPr>
                <w:rFonts w:ascii="Times New Roman" w:eastAsia="Times New Roman" w:hAnsi="Times New Roman" w:cs="Times New Roman"/>
                <w:b/>
                <w:bCs/>
                <w:sz w:val="20"/>
                <w:szCs w:val="20"/>
              </w:rPr>
              <w:t>proc.</w:t>
            </w:r>
          </w:p>
        </w:tc>
      </w:tr>
      <w:tr w:rsidR="00887D37" w:rsidRPr="00222F69" w:rsidTr="00887D37">
        <w:trPr>
          <w:cnfStyle w:val="000000010000"/>
          <w:trHeight w:val="300"/>
          <w:jc w:val="center"/>
        </w:trPr>
        <w:tc>
          <w:tcPr>
            <w:cnfStyle w:val="001000000000"/>
            <w:tcW w:w="2670" w:type="dxa"/>
            <w:hideMark/>
          </w:tcPr>
          <w:p w:rsidR="00887D37" w:rsidRPr="00CD7133" w:rsidRDefault="00887D37" w:rsidP="00275F1A">
            <w:pPr>
              <w:rPr>
                <w:rFonts w:ascii="Times New Roman" w:eastAsia="Times New Roman" w:hAnsi="Times New Roman" w:cs="Times New Roman"/>
                <w:b w:val="0"/>
                <w:sz w:val="20"/>
                <w:szCs w:val="20"/>
              </w:rPr>
            </w:pPr>
            <w:r w:rsidRPr="00CD7133">
              <w:rPr>
                <w:rFonts w:ascii="Times New Roman" w:eastAsia="Times New Roman" w:hAnsi="Times New Roman" w:cs="Times New Roman"/>
                <w:b w:val="0"/>
                <w:sz w:val="20"/>
                <w:szCs w:val="20"/>
              </w:rPr>
              <w:t>Nuosavas kapitalas</w:t>
            </w:r>
          </w:p>
        </w:tc>
        <w:tc>
          <w:tcPr>
            <w:tcW w:w="1128" w:type="dxa"/>
            <w:noWrap/>
            <w:vAlign w:val="center"/>
            <w:hideMark/>
          </w:tcPr>
          <w:p w:rsidR="00887D37" w:rsidRPr="00222F69" w:rsidRDefault="00887D37" w:rsidP="00275F1A">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28,584,791</w:t>
            </w:r>
          </w:p>
        </w:tc>
        <w:tc>
          <w:tcPr>
            <w:tcW w:w="1116" w:type="dxa"/>
            <w:noWrap/>
            <w:vAlign w:val="center"/>
            <w:hideMark/>
          </w:tcPr>
          <w:p w:rsidR="00887D37" w:rsidRPr="00222F69" w:rsidRDefault="00887D37" w:rsidP="00275F1A">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29,817,519</w:t>
            </w:r>
          </w:p>
        </w:tc>
        <w:tc>
          <w:tcPr>
            <w:tcW w:w="1466" w:type="dxa"/>
            <w:noWrap/>
            <w:vAlign w:val="center"/>
            <w:hideMark/>
          </w:tcPr>
          <w:p w:rsidR="00887D37" w:rsidRPr="00CD7133" w:rsidRDefault="00887D37" w:rsidP="00275F1A">
            <w:pPr>
              <w:jc w:val="center"/>
              <w:cnfStyle w:val="00000001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4.31</w:t>
            </w:r>
          </w:p>
        </w:tc>
        <w:tc>
          <w:tcPr>
            <w:tcW w:w="1180" w:type="dxa"/>
            <w:noWrap/>
            <w:vAlign w:val="center"/>
            <w:hideMark/>
          </w:tcPr>
          <w:p w:rsidR="00887D37" w:rsidRPr="00222F69" w:rsidRDefault="00887D37" w:rsidP="00275F1A">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39,022,731</w:t>
            </w:r>
          </w:p>
        </w:tc>
        <w:tc>
          <w:tcPr>
            <w:tcW w:w="1060" w:type="dxa"/>
            <w:noWrap/>
            <w:vAlign w:val="center"/>
            <w:hideMark/>
          </w:tcPr>
          <w:p w:rsidR="00887D37" w:rsidRPr="00CD7133" w:rsidRDefault="00887D37" w:rsidP="00275F1A">
            <w:pPr>
              <w:jc w:val="center"/>
              <w:cnfStyle w:val="00000001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30.87</w:t>
            </w:r>
          </w:p>
        </w:tc>
      </w:tr>
      <w:tr w:rsidR="00887D37" w:rsidRPr="00222F69" w:rsidTr="00887D37">
        <w:trPr>
          <w:cnfStyle w:val="000000100000"/>
          <w:trHeight w:val="300"/>
          <w:jc w:val="center"/>
        </w:trPr>
        <w:tc>
          <w:tcPr>
            <w:cnfStyle w:val="001000000000"/>
            <w:tcW w:w="2670" w:type="dxa"/>
            <w:hideMark/>
          </w:tcPr>
          <w:p w:rsidR="00887D37" w:rsidRPr="00CD7133" w:rsidRDefault="00887D37" w:rsidP="00275F1A">
            <w:pPr>
              <w:rPr>
                <w:rFonts w:ascii="Times New Roman" w:eastAsia="Times New Roman" w:hAnsi="Times New Roman" w:cs="Times New Roman"/>
                <w:b w:val="0"/>
                <w:sz w:val="20"/>
                <w:szCs w:val="20"/>
              </w:rPr>
            </w:pPr>
            <w:r w:rsidRPr="00CD7133">
              <w:rPr>
                <w:rFonts w:ascii="Times New Roman" w:eastAsia="Times New Roman" w:hAnsi="Times New Roman" w:cs="Times New Roman"/>
                <w:b w:val="0"/>
                <w:sz w:val="20"/>
                <w:szCs w:val="20"/>
              </w:rPr>
              <w:t>- Įstatinis kapitalas</w:t>
            </w:r>
          </w:p>
        </w:tc>
        <w:tc>
          <w:tcPr>
            <w:tcW w:w="1128" w:type="dxa"/>
            <w:noWrap/>
            <w:vAlign w:val="center"/>
            <w:hideMark/>
          </w:tcPr>
          <w:p w:rsidR="00887D37" w:rsidRPr="00222F69" w:rsidRDefault="00887D37" w:rsidP="00275F1A">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439,800</w:t>
            </w:r>
          </w:p>
        </w:tc>
        <w:tc>
          <w:tcPr>
            <w:tcW w:w="1116" w:type="dxa"/>
            <w:noWrap/>
            <w:vAlign w:val="center"/>
            <w:hideMark/>
          </w:tcPr>
          <w:p w:rsidR="00887D37" w:rsidRPr="00222F69" w:rsidRDefault="00887D37" w:rsidP="00275F1A">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432,909</w:t>
            </w:r>
          </w:p>
        </w:tc>
        <w:tc>
          <w:tcPr>
            <w:tcW w:w="1466" w:type="dxa"/>
            <w:noWrap/>
            <w:vAlign w:val="center"/>
            <w:hideMark/>
          </w:tcPr>
          <w:p w:rsidR="00887D37" w:rsidRPr="00CD7133" w:rsidRDefault="00887D37" w:rsidP="00275F1A">
            <w:pPr>
              <w:jc w:val="center"/>
              <w:cnfStyle w:val="00000010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-1.57</w:t>
            </w:r>
          </w:p>
        </w:tc>
        <w:tc>
          <w:tcPr>
            <w:tcW w:w="1180" w:type="dxa"/>
            <w:noWrap/>
            <w:vAlign w:val="center"/>
            <w:hideMark/>
          </w:tcPr>
          <w:p w:rsidR="00887D37" w:rsidRPr="00222F69" w:rsidRDefault="00887D37" w:rsidP="00275F1A">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430,126</w:t>
            </w:r>
          </w:p>
        </w:tc>
        <w:tc>
          <w:tcPr>
            <w:tcW w:w="1060" w:type="dxa"/>
            <w:noWrap/>
            <w:vAlign w:val="center"/>
            <w:hideMark/>
          </w:tcPr>
          <w:p w:rsidR="00887D37" w:rsidRPr="00CD7133" w:rsidRDefault="00887D37" w:rsidP="00275F1A">
            <w:pPr>
              <w:jc w:val="center"/>
              <w:cnfStyle w:val="00000010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-0.64</w:t>
            </w:r>
          </w:p>
        </w:tc>
      </w:tr>
      <w:tr w:rsidR="00887D37" w:rsidRPr="00222F69" w:rsidTr="00887D37">
        <w:trPr>
          <w:cnfStyle w:val="000000010000"/>
          <w:trHeight w:val="300"/>
          <w:jc w:val="center"/>
        </w:trPr>
        <w:tc>
          <w:tcPr>
            <w:cnfStyle w:val="001000000000"/>
            <w:tcW w:w="2670" w:type="dxa"/>
            <w:hideMark/>
          </w:tcPr>
          <w:p w:rsidR="00887D37" w:rsidRPr="00CD7133" w:rsidRDefault="00887D37" w:rsidP="00275F1A">
            <w:pPr>
              <w:rPr>
                <w:rFonts w:ascii="Times New Roman" w:eastAsia="Times New Roman" w:hAnsi="Times New Roman" w:cs="Times New Roman"/>
                <w:b w:val="0"/>
                <w:sz w:val="20"/>
                <w:szCs w:val="20"/>
              </w:rPr>
            </w:pPr>
            <w:r w:rsidRPr="00CD7133">
              <w:rPr>
                <w:rFonts w:ascii="Times New Roman" w:eastAsia="Times New Roman" w:hAnsi="Times New Roman" w:cs="Times New Roman"/>
                <w:b w:val="0"/>
                <w:sz w:val="20"/>
                <w:szCs w:val="20"/>
              </w:rPr>
              <w:t>- Nepaskirstytas pelnas</w:t>
            </w:r>
          </w:p>
        </w:tc>
        <w:tc>
          <w:tcPr>
            <w:tcW w:w="1128" w:type="dxa"/>
            <w:noWrap/>
            <w:vAlign w:val="center"/>
            <w:hideMark/>
          </w:tcPr>
          <w:p w:rsidR="00887D37" w:rsidRPr="00222F69" w:rsidRDefault="00887D37" w:rsidP="00275F1A">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28,144,990</w:t>
            </w:r>
          </w:p>
        </w:tc>
        <w:tc>
          <w:tcPr>
            <w:tcW w:w="1116" w:type="dxa"/>
            <w:noWrap/>
            <w:vAlign w:val="center"/>
            <w:hideMark/>
          </w:tcPr>
          <w:p w:rsidR="00887D37" w:rsidRPr="00222F69" w:rsidRDefault="00887D37" w:rsidP="00275F1A">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29,384,610</w:t>
            </w:r>
          </w:p>
        </w:tc>
        <w:tc>
          <w:tcPr>
            <w:tcW w:w="1466" w:type="dxa"/>
            <w:noWrap/>
            <w:vAlign w:val="center"/>
            <w:hideMark/>
          </w:tcPr>
          <w:p w:rsidR="00887D37" w:rsidRPr="00CD7133" w:rsidRDefault="00887D37" w:rsidP="00275F1A">
            <w:pPr>
              <w:jc w:val="center"/>
              <w:cnfStyle w:val="00000001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4.40</w:t>
            </w:r>
          </w:p>
        </w:tc>
        <w:tc>
          <w:tcPr>
            <w:tcW w:w="1180" w:type="dxa"/>
            <w:noWrap/>
            <w:vAlign w:val="center"/>
            <w:hideMark/>
          </w:tcPr>
          <w:p w:rsidR="00887D37" w:rsidRPr="00222F69" w:rsidRDefault="00887D37" w:rsidP="00275F1A">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38,592,605</w:t>
            </w:r>
          </w:p>
        </w:tc>
        <w:tc>
          <w:tcPr>
            <w:tcW w:w="1060" w:type="dxa"/>
            <w:noWrap/>
            <w:vAlign w:val="center"/>
            <w:hideMark/>
          </w:tcPr>
          <w:p w:rsidR="00887D37" w:rsidRPr="00CD7133" w:rsidRDefault="00887D37" w:rsidP="00275F1A">
            <w:pPr>
              <w:jc w:val="center"/>
              <w:cnfStyle w:val="00000001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31.34</w:t>
            </w:r>
          </w:p>
        </w:tc>
      </w:tr>
      <w:tr w:rsidR="00887D37" w:rsidRPr="00222F69" w:rsidTr="00887D37">
        <w:trPr>
          <w:cnfStyle w:val="000000100000"/>
          <w:trHeight w:val="300"/>
          <w:jc w:val="center"/>
        </w:trPr>
        <w:tc>
          <w:tcPr>
            <w:cnfStyle w:val="001000000000"/>
            <w:tcW w:w="2670" w:type="dxa"/>
            <w:hideMark/>
          </w:tcPr>
          <w:p w:rsidR="00887D37" w:rsidRPr="00CD7133" w:rsidRDefault="00887D37" w:rsidP="00275F1A">
            <w:pPr>
              <w:rPr>
                <w:rFonts w:ascii="Times New Roman" w:eastAsia="Times New Roman" w:hAnsi="Times New Roman" w:cs="Times New Roman"/>
                <w:b w:val="0"/>
                <w:sz w:val="20"/>
                <w:szCs w:val="20"/>
              </w:rPr>
            </w:pPr>
            <w:r w:rsidRPr="00CD7133">
              <w:rPr>
                <w:rFonts w:ascii="Times New Roman" w:eastAsia="Times New Roman" w:hAnsi="Times New Roman" w:cs="Times New Roman"/>
                <w:b w:val="0"/>
                <w:sz w:val="20"/>
                <w:szCs w:val="20"/>
              </w:rPr>
              <w:t>Įlgalaikiai įsipareigojimai</w:t>
            </w:r>
          </w:p>
        </w:tc>
        <w:tc>
          <w:tcPr>
            <w:tcW w:w="1128" w:type="dxa"/>
            <w:noWrap/>
            <w:vAlign w:val="center"/>
            <w:hideMark/>
          </w:tcPr>
          <w:p w:rsidR="00887D37" w:rsidRPr="00222F69" w:rsidRDefault="00887D37" w:rsidP="00275F1A">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17,093,269</w:t>
            </w:r>
          </w:p>
        </w:tc>
        <w:tc>
          <w:tcPr>
            <w:tcW w:w="1116" w:type="dxa"/>
            <w:noWrap/>
            <w:vAlign w:val="center"/>
            <w:hideMark/>
          </w:tcPr>
          <w:p w:rsidR="00887D37" w:rsidRPr="00222F69" w:rsidRDefault="00887D37" w:rsidP="00275F1A">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15,583,498</w:t>
            </w:r>
          </w:p>
        </w:tc>
        <w:tc>
          <w:tcPr>
            <w:tcW w:w="1466" w:type="dxa"/>
            <w:noWrap/>
            <w:vAlign w:val="center"/>
            <w:hideMark/>
          </w:tcPr>
          <w:p w:rsidR="00887D37" w:rsidRPr="00CD7133" w:rsidRDefault="00887D37" w:rsidP="00275F1A">
            <w:pPr>
              <w:jc w:val="center"/>
              <w:cnfStyle w:val="00000010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-8.83</w:t>
            </w:r>
          </w:p>
        </w:tc>
        <w:tc>
          <w:tcPr>
            <w:tcW w:w="1180" w:type="dxa"/>
            <w:noWrap/>
            <w:vAlign w:val="center"/>
            <w:hideMark/>
          </w:tcPr>
          <w:p w:rsidR="00887D37" w:rsidRPr="00222F69" w:rsidRDefault="00887D37" w:rsidP="00275F1A">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17,604,241</w:t>
            </w:r>
          </w:p>
        </w:tc>
        <w:tc>
          <w:tcPr>
            <w:tcW w:w="1060" w:type="dxa"/>
            <w:noWrap/>
            <w:vAlign w:val="center"/>
            <w:hideMark/>
          </w:tcPr>
          <w:p w:rsidR="00887D37" w:rsidRPr="00CD7133" w:rsidRDefault="00887D37" w:rsidP="00275F1A">
            <w:pPr>
              <w:jc w:val="center"/>
              <w:cnfStyle w:val="00000010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12.97</w:t>
            </w:r>
          </w:p>
        </w:tc>
      </w:tr>
      <w:tr w:rsidR="00887D37" w:rsidRPr="00222F69" w:rsidTr="00887D37">
        <w:trPr>
          <w:cnfStyle w:val="000000010000"/>
          <w:trHeight w:val="300"/>
          <w:jc w:val="center"/>
        </w:trPr>
        <w:tc>
          <w:tcPr>
            <w:cnfStyle w:val="001000000000"/>
            <w:tcW w:w="2670" w:type="dxa"/>
            <w:hideMark/>
          </w:tcPr>
          <w:p w:rsidR="00887D37" w:rsidRPr="00CD7133" w:rsidRDefault="00887D37" w:rsidP="00275F1A">
            <w:pPr>
              <w:rPr>
                <w:rFonts w:ascii="Times New Roman" w:eastAsia="Times New Roman" w:hAnsi="Times New Roman" w:cs="Times New Roman"/>
                <w:b w:val="0"/>
                <w:sz w:val="20"/>
                <w:szCs w:val="20"/>
              </w:rPr>
            </w:pPr>
            <w:r w:rsidRPr="00CD7133">
              <w:rPr>
                <w:rFonts w:ascii="Times New Roman" w:eastAsia="Times New Roman" w:hAnsi="Times New Roman" w:cs="Times New Roman"/>
                <w:b w:val="0"/>
                <w:sz w:val="20"/>
                <w:szCs w:val="20"/>
              </w:rPr>
              <w:t>- Ilgalaikės skolos</w:t>
            </w:r>
          </w:p>
        </w:tc>
        <w:tc>
          <w:tcPr>
            <w:tcW w:w="1128" w:type="dxa"/>
            <w:noWrap/>
            <w:vAlign w:val="center"/>
            <w:hideMark/>
          </w:tcPr>
          <w:p w:rsidR="00887D37" w:rsidRPr="00222F69" w:rsidRDefault="00887D37" w:rsidP="00275F1A">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17,093,269</w:t>
            </w:r>
          </w:p>
        </w:tc>
        <w:tc>
          <w:tcPr>
            <w:tcW w:w="1116" w:type="dxa"/>
            <w:noWrap/>
            <w:vAlign w:val="center"/>
            <w:hideMark/>
          </w:tcPr>
          <w:p w:rsidR="00887D37" w:rsidRPr="00222F69" w:rsidRDefault="00887D37" w:rsidP="00275F1A">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14,351,497</w:t>
            </w:r>
          </w:p>
        </w:tc>
        <w:tc>
          <w:tcPr>
            <w:tcW w:w="1466" w:type="dxa"/>
            <w:noWrap/>
            <w:vAlign w:val="center"/>
            <w:hideMark/>
          </w:tcPr>
          <w:p w:rsidR="00887D37" w:rsidRPr="00CD7133" w:rsidRDefault="00887D37" w:rsidP="00275F1A">
            <w:pPr>
              <w:jc w:val="center"/>
              <w:cnfStyle w:val="00000001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-16.04</w:t>
            </w:r>
          </w:p>
        </w:tc>
        <w:tc>
          <w:tcPr>
            <w:tcW w:w="1180" w:type="dxa"/>
            <w:noWrap/>
            <w:vAlign w:val="center"/>
            <w:hideMark/>
          </w:tcPr>
          <w:p w:rsidR="00887D37" w:rsidRPr="00222F69" w:rsidRDefault="00887D37" w:rsidP="00275F1A">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16,220,485</w:t>
            </w:r>
          </w:p>
        </w:tc>
        <w:tc>
          <w:tcPr>
            <w:tcW w:w="1060" w:type="dxa"/>
            <w:noWrap/>
            <w:vAlign w:val="center"/>
            <w:hideMark/>
          </w:tcPr>
          <w:p w:rsidR="00887D37" w:rsidRPr="00CD7133" w:rsidRDefault="00887D37" w:rsidP="00275F1A">
            <w:pPr>
              <w:jc w:val="center"/>
              <w:cnfStyle w:val="00000001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13.02</w:t>
            </w:r>
          </w:p>
        </w:tc>
      </w:tr>
      <w:tr w:rsidR="00887D37" w:rsidRPr="00222F69" w:rsidTr="00887D37">
        <w:trPr>
          <w:cnfStyle w:val="000000100000"/>
          <w:trHeight w:val="300"/>
          <w:jc w:val="center"/>
        </w:trPr>
        <w:tc>
          <w:tcPr>
            <w:cnfStyle w:val="001000000000"/>
            <w:tcW w:w="2670" w:type="dxa"/>
            <w:hideMark/>
          </w:tcPr>
          <w:p w:rsidR="00887D37" w:rsidRPr="00CD7133" w:rsidRDefault="00887D37" w:rsidP="00275F1A">
            <w:pPr>
              <w:rPr>
                <w:rFonts w:ascii="Times New Roman" w:eastAsia="Times New Roman" w:hAnsi="Times New Roman" w:cs="Times New Roman"/>
                <w:b w:val="0"/>
                <w:sz w:val="20"/>
                <w:szCs w:val="20"/>
              </w:rPr>
            </w:pPr>
            <w:r w:rsidRPr="00CD7133">
              <w:rPr>
                <w:rFonts w:ascii="Times New Roman" w:eastAsia="Times New Roman" w:hAnsi="Times New Roman" w:cs="Times New Roman"/>
                <w:b w:val="0"/>
                <w:sz w:val="20"/>
                <w:szCs w:val="20"/>
              </w:rPr>
              <w:t>- Kiti ilgalaikiai įsipareigojimai</w:t>
            </w:r>
          </w:p>
        </w:tc>
        <w:tc>
          <w:tcPr>
            <w:tcW w:w="1128" w:type="dxa"/>
            <w:noWrap/>
            <w:vAlign w:val="center"/>
            <w:hideMark/>
          </w:tcPr>
          <w:p w:rsidR="00887D37" w:rsidRPr="00222F69" w:rsidRDefault="00887D37" w:rsidP="00275F1A">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0</w:t>
            </w:r>
          </w:p>
        </w:tc>
        <w:tc>
          <w:tcPr>
            <w:tcW w:w="1116" w:type="dxa"/>
            <w:noWrap/>
            <w:vAlign w:val="center"/>
            <w:hideMark/>
          </w:tcPr>
          <w:p w:rsidR="00887D37" w:rsidRPr="00222F69" w:rsidRDefault="00887D37" w:rsidP="00275F1A">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1,232,001</w:t>
            </w:r>
          </w:p>
        </w:tc>
        <w:tc>
          <w:tcPr>
            <w:tcW w:w="1466" w:type="dxa"/>
            <w:noWrap/>
            <w:vAlign w:val="center"/>
            <w:hideMark/>
          </w:tcPr>
          <w:p w:rsidR="00887D37" w:rsidRPr="00CD7133" w:rsidRDefault="00887D37" w:rsidP="00275F1A">
            <w:pPr>
              <w:jc w:val="center"/>
              <w:cnfStyle w:val="00000010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123,199,952.02</w:t>
            </w:r>
          </w:p>
        </w:tc>
        <w:tc>
          <w:tcPr>
            <w:tcW w:w="1180" w:type="dxa"/>
            <w:noWrap/>
            <w:vAlign w:val="center"/>
            <w:hideMark/>
          </w:tcPr>
          <w:p w:rsidR="00887D37" w:rsidRPr="00222F69" w:rsidRDefault="00887D37" w:rsidP="00275F1A">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1,383,756</w:t>
            </w:r>
          </w:p>
        </w:tc>
        <w:tc>
          <w:tcPr>
            <w:tcW w:w="1060" w:type="dxa"/>
            <w:noWrap/>
            <w:vAlign w:val="center"/>
            <w:hideMark/>
          </w:tcPr>
          <w:p w:rsidR="00887D37" w:rsidRPr="00CD7133" w:rsidRDefault="00887D37" w:rsidP="00275F1A">
            <w:pPr>
              <w:jc w:val="center"/>
              <w:cnfStyle w:val="00000010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12.32</w:t>
            </w:r>
          </w:p>
        </w:tc>
      </w:tr>
      <w:tr w:rsidR="00887D37" w:rsidRPr="00222F69" w:rsidTr="00887D37">
        <w:trPr>
          <w:cnfStyle w:val="000000010000"/>
          <w:trHeight w:val="300"/>
          <w:jc w:val="center"/>
        </w:trPr>
        <w:tc>
          <w:tcPr>
            <w:cnfStyle w:val="001000000000"/>
            <w:tcW w:w="2670" w:type="dxa"/>
            <w:hideMark/>
          </w:tcPr>
          <w:p w:rsidR="00887D37" w:rsidRPr="00CD7133" w:rsidRDefault="00887D37" w:rsidP="00275F1A">
            <w:pPr>
              <w:rPr>
                <w:rFonts w:ascii="Times New Roman" w:eastAsia="Times New Roman" w:hAnsi="Times New Roman" w:cs="Times New Roman"/>
                <w:b w:val="0"/>
                <w:sz w:val="20"/>
                <w:szCs w:val="20"/>
              </w:rPr>
            </w:pPr>
            <w:r w:rsidRPr="00CD7133">
              <w:rPr>
                <w:rFonts w:ascii="Times New Roman" w:eastAsia="Times New Roman" w:hAnsi="Times New Roman" w:cs="Times New Roman"/>
                <w:b w:val="0"/>
                <w:sz w:val="20"/>
                <w:szCs w:val="20"/>
              </w:rPr>
              <w:t>Trumpalaikiai įsipareigojimai</w:t>
            </w:r>
          </w:p>
        </w:tc>
        <w:tc>
          <w:tcPr>
            <w:tcW w:w="1128" w:type="dxa"/>
            <w:noWrap/>
            <w:vAlign w:val="center"/>
            <w:hideMark/>
          </w:tcPr>
          <w:p w:rsidR="00887D37" w:rsidRPr="00222F69" w:rsidRDefault="00887D37" w:rsidP="00275F1A">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27,079,310</w:t>
            </w:r>
          </w:p>
        </w:tc>
        <w:tc>
          <w:tcPr>
            <w:tcW w:w="1116" w:type="dxa"/>
            <w:noWrap/>
            <w:vAlign w:val="center"/>
            <w:hideMark/>
          </w:tcPr>
          <w:p w:rsidR="00887D37" w:rsidRPr="00222F69" w:rsidRDefault="00887D37" w:rsidP="00275F1A">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28,367,242</w:t>
            </w:r>
          </w:p>
        </w:tc>
        <w:tc>
          <w:tcPr>
            <w:tcW w:w="1466" w:type="dxa"/>
            <w:noWrap/>
            <w:vAlign w:val="center"/>
            <w:hideMark/>
          </w:tcPr>
          <w:p w:rsidR="00887D37" w:rsidRPr="00CD7133" w:rsidRDefault="00887D37" w:rsidP="00275F1A">
            <w:pPr>
              <w:jc w:val="center"/>
              <w:cnfStyle w:val="00000001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4.76</w:t>
            </w:r>
          </w:p>
        </w:tc>
        <w:tc>
          <w:tcPr>
            <w:tcW w:w="1180" w:type="dxa"/>
            <w:noWrap/>
            <w:vAlign w:val="center"/>
            <w:hideMark/>
          </w:tcPr>
          <w:p w:rsidR="00887D37" w:rsidRPr="00222F69" w:rsidRDefault="00887D37" w:rsidP="00275F1A">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26,534,963</w:t>
            </w:r>
          </w:p>
        </w:tc>
        <w:tc>
          <w:tcPr>
            <w:tcW w:w="1060" w:type="dxa"/>
            <w:noWrap/>
            <w:vAlign w:val="center"/>
            <w:hideMark/>
          </w:tcPr>
          <w:p w:rsidR="00887D37" w:rsidRPr="00CD7133" w:rsidRDefault="00887D37" w:rsidP="00275F1A">
            <w:pPr>
              <w:jc w:val="center"/>
              <w:cnfStyle w:val="00000001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-6.46</w:t>
            </w:r>
          </w:p>
        </w:tc>
      </w:tr>
      <w:tr w:rsidR="00887D37" w:rsidRPr="00222F69" w:rsidTr="00887D37">
        <w:trPr>
          <w:cnfStyle w:val="000000100000"/>
          <w:trHeight w:val="300"/>
          <w:jc w:val="center"/>
        </w:trPr>
        <w:tc>
          <w:tcPr>
            <w:cnfStyle w:val="001000000000"/>
            <w:tcW w:w="2670" w:type="dxa"/>
            <w:hideMark/>
          </w:tcPr>
          <w:p w:rsidR="00887D37" w:rsidRPr="00CD7133" w:rsidRDefault="00887D37" w:rsidP="00275F1A">
            <w:pPr>
              <w:rPr>
                <w:rFonts w:ascii="Times New Roman" w:eastAsia="Times New Roman" w:hAnsi="Times New Roman" w:cs="Times New Roman"/>
                <w:b w:val="0"/>
                <w:sz w:val="20"/>
                <w:szCs w:val="20"/>
              </w:rPr>
            </w:pPr>
            <w:r w:rsidRPr="00CD7133">
              <w:rPr>
                <w:rFonts w:ascii="Times New Roman" w:eastAsia="Times New Roman" w:hAnsi="Times New Roman" w:cs="Times New Roman"/>
                <w:b w:val="0"/>
                <w:sz w:val="20"/>
                <w:szCs w:val="20"/>
              </w:rPr>
              <w:t>- Trumpalaikės paskolos</w:t>
            </w:r>
          </w:p>
        </w:tc>
        <w:tc>
          <w:tcPr>
            <w:tcW w:w="1128" w:type="dxa"/>
            <w:noWrap/>
            <w:vAlign w:val="center"/>
            <w:hideMark/>
          </w:tcPr>
          <w:p w:rsidR="00887D37" w:rsidRPr="00222F69" w:rsidRDefault="00887D37" w:rsidP="00275F1A">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5,788,966</w:t>
            </w:r>
          </w:p>
        </w:tc>
        <w:tc>
          <w:tcPr>
            <w:tcW w:w="1116" w:type="dxa"/>
            <w:noWrap/>
            <w:vAlign w:val="center"/>
            <w:hideMark/>
          </w:tcPr>
          <w:p w:rsidR="00887D37" w:rsidRPr="00222F69" w:rsidRDefault="00887D37" w:rsidP="00275F1A">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9,492,152</w:t>
            </w:r>
          </w:p>
        </w:tc>
        <w:tc>
          <w:tcPr>
            <w:tcW w:w="1466" w:type="dxa"/>
            <w:noWrap/>
            <w:vAlign w:val="center"/>
            <w:hideMark/>
          </w:tcPr>
          <w:p w:rsidR="00887D37" w:rsidRPr="00CD7133" w:rsidRDefault="00887D37" w:rsidP="00275F1A">
            <w:pPr>
              <w:jc w:val="center"/>
              <w:cnfStyle w:val="00000010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63.97</w:t>
            </w:r>
          </w:p>
        </w:tc>
        <w:tc>
          <w:tcPr>
            <w:tcW w:w="1180" w:type="dxa"/>
            <w:noWrap/>
            <w:vAlign w:val="center"/>
            <w:hideMark/>
          </w:tcPr>
          <w:p w:rsidR="00887D37" w:rsidRPr="00222F69" w:rsidRDefault="00887D37" w:rsidP="00275F1A">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2,277,422</w:t>
            </w:r>
          </w:p>
        </w:tc>
        <w:tc>
          <w:tcPr>
            <w:tcW w:w="1060" w:type="dxa"/>
            <w:noWrap/>
            <w:vAlign w:val="center"/>
            <w:hideMark/>
          </w:tcPr>
          <w:p w:rsidR="00887D37" w:rsidRPr="00CD7133" w:rsidRDefault="00887D37" w:rsidP="00275F1A">
            <w:pPr>
              <w:jc w:val="center"/>
              <w:cnfStyle w:val="00000010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-76.01</w:t>
            </w:r>
          </w:p>
        </w:tc>
      </w:tr>
      <w:tr w:rsidR="00887D37" w:rsidRPr="00222F69" w:rsidTr="00887D37">
        <w:trPr>
          <w:cnfStyle w:val="000000010000"/>
          <w:trHeight w:val="300"/>
          <w:jc w:val="center"/>
        </w:trPr>
        <w:tc>
          <w:tcPr>
            <w:cnfStyle w:val="001000000000"/>
            <w:tcW w:w="2670" w:type="dxa"/>
            <w:hideMark/>
          </w:tcPr>
          <w:p w:rsidR="00887D37" w:rsidRPr="00CD7133" w:rsidRDefault="00887D37" w:rsidP="00275F1A">
            <w:pPr>
              <w:rPr>
                <w:rFonts w:ascii="Times New Roman" w:eastAsia="Times New Roman" w:hAnsi="Times New Roman" w:cs="Times New Roman"/>
                <w:b w:val="0"/>
                <w:sz w:val="20"/>
                <w:szCs w:val="20"/>
              </w:rPr>
            </w:pPr>
            <w:r w:rsidRPr="00CD7133">
              <w:rPr>
                <w:rFonts w:ascii="Times New Roman" w:eastAsia="Times New Roman" w:hAnsi="Times New Roman" w:cs="Times New Roman"/>
                <w:b w:val="0"/>
                <w:sz w:val="20"/>
                <w:szCs w:val="20"/>
              </w:rPr>
              <w:t>- Skolos tiekėjams</w:t>
            </w:r>
          </w:p>
        </w:tc>
        <w:tc>
          <w:tcPr>
            <w:tcW w:w="1128" w:type="dxa"/>
            <w:noWrap/>
            <w:vAlign w:val="center"/>
            <w:hideMark/>
          </w:tcPr>
          <w:p w:rsidR="00887D37" w:rsidRPr="00222F69" w:rsidRDefault="00887D37" w:rsidP="00275F1A">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10,745,871</w:t>
            </w:r>
          </w:p>
        </w:tc>
        <w:tc>
          <w:tcPr>
            <w:tcW w:w="1116" w:type="dxa"/>
            <w:noWrap/>
            <w:vAlign w:val="center"/>
            <w:hideMark/>
          </w:tcPr>
          <w:p w:rsidR="00887D37" w:rsidRPr="00222F69" w:rsidRDefault="00887D37" w:rsidP="00275F1A">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10,249,873</w:t>
            </w:r>
          </w:p>
        </w:tc>
        <w:tc>
          <w:tcPr>
            <w:tcW w:w="1466" w:type="dxa"/>
            <w:noWrap/>
            <w:vAlign w:val="center"/>
            <w:hideMark/>
          </w:tcPr>
          <w:p w:rsidR="00887D37" w:rsidRPr="00CD7133" w:rsidRDefault="00887D37" w:rsidP="00275F1A">
            <w:pPr>
              <w:jc w:val="center"/>
              <w:cnfStyle w:val="00000001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-4.62</w:t>
            </w:r>
          </w:p>
        </w:tc>
        <w:tc>
          <w:tcPr>
            <w:tcW w:w="1180" w:type="dxa"/>
            <w:noWrap/>
            <w:vAlign w:val="center"/>
            <w:hideMark/>
          </w:tcPr>
          <w:p w:rsidR="00887D37" w:rsidRPr="00222F69" w:rsidRDefault="00887D37" w:rsidP="00275F1A">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12,572,303</w:t>
            </w:r>
          </w:p>
        </w:tc>
        <w:tc>
          <w:tcPr>
            <w:tcW w:w="1060" w:type="dxa"/>
            <w:noWrap/>
            <w:vAlign w:val="center"/>
            <w:hideMark/>
          </w:tcPr>
          <w:p w:rsidR="00887D37" w:rsidRPr="00CD7133" w:rsidRDefault="00887D37" w:rsidP="00275F1A">
            <w:pPr>
              <w:jc w:val="center"/>
              <w:cnfStyle w:val="00000001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22.66</w:t>
            </w:r>
          </w:p>
        </w:tc>
      </w:tr>
      <w:tr w:rsidR="00887D37" w:rsidRPr="00222F69" w:rsidTr="00887D37">
        <w:trPr>
          <w:cnfStyle w:val="000000100000"/>
          <w:trHeight w:val="300"/>
          <w:jc w:val="center"/>
        </w:trPr>
        <w:tc>
          <w:tcPr>
            <w:cnfStyle w:val="001000000000"/>
            <w:tcW w:w="2670" w:type="dxa"/>
            <w:hideMark/>
          </w:tcPr>
          <w:p w:rsidR="00887D37" w:rsidRPr="00CD7133" w:rsidRDefault="00887D37" w:rsidP="00275F1A">
            <w:pPr>
              <w:rPr>
                <w:rFonts w:ascii="Times New Roman" w:eastAsia="Times New Roman" w:hAnsi="Times New Roman" w:cs="Times New Roman"/>
                <w:b w:val="0"/>
                <w:sz w:val="20"/>
                <w:szCs w:val="20"/>
              </w:rPr>
            </w:pPr>
            <w:r w:rsidRPr="00CD7133">
              <w:rPr>
                <w:rFonts w:ascii="Times New Roman" w:eastAsia="Times New Roman" w:hAnsi="Times New Roman" w:cs="Times New Roman"/>
                <w:b w:val="0"/>
                <w:sz w:val="20"/>
                <w:szCs w:val="20"/>
              </w:rPr>
              <w:t>- Kiti trumpalaikiai įsipareigojimai</w:t>
            </w:r>
          </w:p>
        </w:tc>
        <w:tc>
          <w:tcPr>
            <w:tcW w:w="1128" w:type="dxa"/>
            <w:noWrap/>
            <w:vAlign w:val="center"/>
            <w:hideMark/>
          </w:tcPr>
          <w:p w:rsidR="00887D37" w:rsidRPr="00222F69" w:rsidRDefault="00887D37" w:rsidP="00275F1A">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10,544,474</w:t>
            </w:r>
          </w:p>
        </w:tc>
        <w:tc>
          <w:tcPr>
            <w:tcW w:w="1116" w:type="dxa"/>
            <w:noWrap/>
            <w:vAlign w:val="center"/>
            <w:hideMark/>
          </w:tcPr>
          <w:p w:rsidR="00887D37" w:rsidRPr="00222F69" w:rsidRDefault="00887D37" w:rsidP="00275F1A">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8,625,218</w:t>
            </w:r>
          </w:p>
        </w:tc>
        <w:tc>
          <w:tcPr>
            <w:tcW w:w="1466" w:type="dxa"/>
            <w:noWrap/>
            <w:vAlign w:val="center"/>
            <w:hideMark/>
          </w:tcPr>
          <w:p w:rsidR="00887D37" w:rsidRPr="00CD7133" w:rsidRDefault="00887D37" w:rsidP="00275F1A">
            <w:pPr>
              <w:jc w:val="center"/>
              <w:cnfStyle w:val="00000010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-18.20</w:t>
            </w:r>
          </w:p>
        </w:tc>
        <w:tc>
          <w:tcPr>
            <w:tcW w:w="1180" w:type="dxa"/>
            <w:noWrap/>
            <w:vAlign w:val="center"/>
            <w:hideMark/>
          </w:tcPr>
          <w:p w:rsidR="00887D37" w:rsidRPr="00222F69" w:rsidRDefault="00887D37" w:rsidP="00275F1A">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11,685,239</w:t>
            </w:r>
          </w:p>
        </w:tc>
        <w:tc>
          <w:tcPr>
            <w:tcW w:w="1060" w:type="dxa"/>
            <w:noWrap/>
            <w:vAlign w:val="center"/>
            <w:hideMark/>
          </w:tcPr>
          <w:p w:rsidR="00887D37" w:rsidRPr="00CD7133" w:rsidRDefault="00887D37" w:rsidP="00275F1A">
            <w:pPr>
              <w:jc w:val="center"/>
              <w:cnfStyle w:val="00000010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35.48</w:t>
            </w:r>
          </w:p>
        </w:tc>
      </w:tr>
      <w:tr w:rsidR="00887D37" w:rsidRPr="00222F69" w:rsidTr="00887D37">
        <w:trPr>
          <w:cnfStyle w:val="000000010000"/>
          <w:trHeight w:val="510"/>
          <w:jc w:val="center"/>
        </w:trPr>
        <w:tc>
          <w:tcPr>
            <w:cnfStyle w:val="001000000000"/>
            <w:tcW w:w="2670" w:type="dxa"/>
            <w:hideMark/>
          </w:tcPr>
          <w:p w:rsidR="00887D37" w:rsidRPr="00222F69" w:rsidRDefault="00887D37" w:rsidP="00275F1A">
            <w:pPr>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NUOSAVO KAPITALO IR ĮSIPAREIGOJIMŲ IŠ VISO</w:t>
            </w:r>
          </w:p>
        </w:tc>
        <w:tc>
          <w:tcPr>
            <w:tcW w:w="1128" w:type="dxa"/>
            <w:noWrap/>
            <w:vAlign w:val="center"/>
            <w:hideMark/>
          </w:tcPr>
          <w:p w:rsidR="00887D37" w:rsidRPr="00CD7133" w:rsidRDefault="00887D37" w:rsidP="00275F1A">
            <w:pPr>
              <w:jc w:val="center"/>
              <w:cnfStyle w:val="000000010000"/>
              <w:rPr>
                <w:rFonts w:ascii="Times New Roman" w:eastAsia="Times New Roman" w:hAnsi="Times New Roman" w:cs="Times New Roman"/>
                <w:b/>
                <w:sz w:val="20"/>
                <w:szCs w:val="20"/>
              </w:rPr>
            </w:pPr>
            <w:r w:rsidRPr="00CD7133">
              <w:rPr>
                <w:rFonts w:ascii="Times New Roman" w:eastAsia="Times New Roman" w:hAnsi="Times New Roman" w:cs="Times New Roman"/>
                <w:b/>
                <w:sz w:val="20"/>
                <w:szCs w:val="20"/>
              </w:rPr>
              <w:t>72,757,370</w:t>
            </w:r>
          </w:p>
        </w:tc>
        <w:tc>
          <w:tcPr>
            <w:tcW w:w="1116" w:type="dxa"/>
            <w:noWrap/>
            <w:vAlign w:val="center"/>
            <w:hideMark/>
          </w:tcPr>
          <w:p w:rsidR="00887D37" w:rsidRPr="00CD7133" w:rsidRDefault="00887D37" w:rsidP="00275F1A">
            <w:pPr>
              <w:jc w:val="center"/>
              <w:cnfStyle w:val="000000010000"/>
              <w:rPr>
                <w:rFonts w:ascii="Times New Roman" w:eastAsia="Times New Roman" w:hAnsi="Times New Roman" w:cs="Times New Roman"/>
                <w:b/>
                <w:sz w:val="20"/>
                <w:szCs w:val="20"/>
              </w:rPr>
            </w:pPr>
            <w:r w:rsidRPr="00CD7133">
              <w:rPr>
                <w:rFonts w:ascii="Times New Roman" w:eastAsia="Times New Roman" w:hAnsi="Times New Roman" w:cs="Times New Roman"/>
                <w:b/>
                <w:sz w:val="20"/>
                <w:szCs w:val="20"/>
              </w:rPr>
              <w:t>73,768,259</w:t>
            </w:r>
          </w:p>
        </w:tc>
        <w:tc>
          <w:tcPr>
            <w:tcW w:w="1466" w:type="dxa"/>
            <w:noWrap/>
            <w:vAlign w:val="center"/>
            <w:hideMark/>
          </w:tcPr>
          <w:p w:rsidR="00887D37" w:rsidRPr="00CD7133" w:rsidRDefault="00887D37" w:rsidP="00275F1A">
            <w:pPr>
              <w:jc w:val="center"/>
              <w:cnfStyle w:val="000000010000"/>
              <w:rPr>
                <w:rFonts w:ascii="Times New Roman" w:eastAsia="Times New Roman" w:hAnsi="Times New Roman" w:cs="Times New Roman"/>
                <w:b/>
                <w:i/>
                <w:sz w:val="20"/>
                <w:szCs w:val="20"/>
              </w:rPr>
            </w:pPr>
            <w:r w:rsidRPr="00CD7133">
              <w:rPr>
                <w:rFonts w:ascii="Times New Roman" w:eastAsia="Times New Roman" w:hAnsi="Times New Roman" w:cs="Times New Roman"/>
                <w:b/>
                <w:i/>
                <w:sz w:val="20"/>
                <w:szCs w:val="20"/>
              </w:rPr>
              <w:t>1.39</w:t>
            </w:r>
          </w:p>
        </w:tc>
        <w:tc>
          <w:tcPr>
            <w:tcW w:w="1180" w:type="dxa"/>
            <w:noWrap/>
            <w:vAlign w:val="center"/>
            <w:hideMark/>
          </w:tcPr>
          <w:p w:rsidR="00887D37" w:rsidRPr="00CD7133" w:rsidRDefault="00887D37" w:rsidP="00275F1A">
            <w:pPr>
              <w:jc w:val="center"/>
              <w:cnfStyle w:val="000000010000"/>
              <w:rPr>
                <w:rFonts w:ascii="Times New Roman" w:eastAsia="Times New Roman" w:hAnsi="Times New Roman" w:cs="Times New Roman"/>
                <w:b/>
                <w:sz w:val="20"/>
                <w:szCs w:val="20"/>
              </w:rPr>
            </w:pPr>
            <w:r w:rsidRPr="00CD7133">
              <w:rPr>
                <w:rFonts w:ascii="Times New Roman" w:eastAsia="Times New Roman" w:hAnsi="Times New Roman" w:cs="Times New Roman"/>
                <w:b/>
                <w:sz w:val="20"/>
                <w:szCs w:val="20"/>
              </w:rPr>
              <w:t>83,161,936</w:t>
            </w:r>
          </w:p>
        </w:tc>
        <w:tc>
          <w:tcPr>
            <w:tcW w:w="1060" w:type="dxa"/>
            <w:noWrap/>
            <w:vAlign w:val="center"/>
            <w:hideMark/>
          </w:tcPr>
          <w:p w:rsidR="00887D37" w:rsidRPr="00CD7133" w:rsidRDefault="00887D37" w:rsidP="00275F1A">
            <w:pPr>
              <w:jc w:val="center"/>
              <w:cnfStyle w:val="000000010000"/>
              <w:rPr>
                <w:rFonts w:ascii="Times New Roman" w:eastAsia="Times New Roman" w:hAnsi="Times New Roman" w:cs="Times New Roman"/>
                <w:b/>
                <w:i/>
                <w:sz w:val="20"/>
                <w:szCs w:val="20"/>
              </w:rPr>
            </w:pPr>
            <w:r w:rsidRPr="00CD7133">
              <w:rPr>
                <w:rFonts w:ascii="Times New Roman" w:eastAsia="Times New Roman" w:hAnsi="Times New Roman" w:cs="Times New Roman"/>
                <w:b/>
                <w:i/>
                <w:sz w:val="20"/>
                <w:szCs w:val="20"/>
              </w:rPr>
              <w:t>12.73</w:t>
            </w:r>
          </w:p>
        </w:tc>
      </w:tr>
    </w:tbl>
    <w:p w:rsidR="00887D37" w:rsidRDefault="00887D37" w:rsidP="006014D3">
      <w:pPr>
        <w:rPr>
          <w:rFonts w:ascii="Times New Roman" w:hAnsi="Times New Roman" w:cs="Times New Roman"/>
          <w:sz w:val="24"/>
          <w:szCs w:val="24"/>
          <w:lang w:val="lt-LT"/>
        </w:rPr>
      </w:pPr>
    </w:p>
    <w:p w:rsidR="00887D37" w:rsidRDefault="00887D37" w:rsidP="006014D3">
      <w:pPr>
        <w:rPr>
          <w:rFonts w:ascii="Times New Roman" w:hAnsi="Times New Roman" w:cs="Times New Roman"/>
          <w:sz w:val="24"/>
          <w:szCs w:val="24"/>
          <w:lang w:val="lt-LT"/>
        </w:rPr>
      </w:pPr>
    </w:p>
    <w:p w:rsidR="00887D37" w:rsidRDefault="00887D37" w:rsidP="006014D3">
      <w:pPr>
        <w:rPr>
          <w:rFonts w:ascii="Times New Roman" w:hAnsi="Times New Roman" w:cs="Times New Roman"/>
          <w:sz w:val="24"/>
          <w:szCs w:val="24"/>
          <w:lang w:val="lt-LT"/>
        </w:rPr>
      </w:pPr>
    </w:p>
    <w:p w:rsidR="00887D37" w:rsidRDefault="00887D37" w:rsidP="006014D3">
      <w:pPr>
        <w:rPr>
          <w:rFonts w:ascii="Times New Roman" w:hAnsi="Times New Roman" w:cs="Times New Roman"/>
          <w:sz w:val="24"/>
          <w:szCs w:val="24"/>
          <w:lang w:val="lt-LT"/>
        </w:rPr>
      </w:pPr>
    </w:p>
    <w:p w:rsidR="00887D37" w:rsidRDefault="00887D37" w:rsidP="006014D3">
      <w:pPr>
        <w:rPr>
          <w:rFonts w:ascii="Times New Roman" w:hAnsi="Times New Roman" w:cs="Times New Roman"/>
          <w:sz w:val="24"/>
          <w:szCs w:val="24"/>
          <w:lang w:val="lt-LT"/>
        </w:rPr>
      </w:pPr>
    </w:p>
    <w:p w:rsidR="00887D37" w:rsidRDefault="00887D37" w:rsidP="006014D3">
      <w:pPr>
        <w:rPr>
          <w:rFonts w:ascii="Times New Roman" w:hAnsi="Times New Roman" w:cs="Times New Roman"/>
          <w:sz w:val="24"/>
          <w:szCs w:val="24"/>
          <w:lang w:val="lt-LT"/>
        </w:rPr>
      </w:pPr>
    </w:p>
    <w:p w:rsidR="00887D37" w:rsidRDefault="00887D37" w:rsidP="006014D3">
      <w:pPr>
        <w:rPr>
          <w:rFonts w:ascii="Times New Roman" w:hAnsi="Times New Roman" w:cs="Times New Roman"/>
          <w:sz w:val="24"/>
          <w:szCs w:val="24"/>
          <w:lang w:val="lt-LT"/>
        </w:rPr>
      </w:pPr>
    </w:p>
    <w:p w:rsidR="00887D37" w:rsidRPr="004D5C99" w:rsidRDefault="00887D37" w:rsidP="00887D37">
      <w:pPr>
        <w:autoSpaceDE w:val="0"/>
        <w:autoSpaceDN w:val="0"/>
        <w:adjustRightInd w:val="0"/>
        <w:spacing w:after="0"/>
        <w:jc w:val="center"/>
        <w:rPr>
          <w:rFonts w:ascii="Times New Roman" w:hAnsi="Times New Roman" w:cs="Times New Roman"/>
          <w:b/>
          <w:szCs w:val="24"/>
        </w:rPr>
      </w:pPr>
      <w:r>
        <w:rPr>
          <w:rFonts w:ascii="Times New Roman" w:hAnsi="Times New Roman" w:cs="Times New Roman"/>
          <w:szCs w:val="24"/>
        </w:rPr>
        <w:lastRenderedPageBreak/>
        <w:t>8</w:t>
      </w:r>
      <w:r w:rsidRPr="004D5C99">
        <w:rPr>
          <w:rFonts w:ascii="Times New Roman" w:hAnsi="Times New Roman" w:cs="Times New Roman"/>
          <w:szCs w:val="24"/>
        </w:rPr>
        <w:t xml:space="preserve"> lentelė.</w:t>
      </w:r>
      <w:r w:rsidRPr="004D5C99">
        <w:rPr>
          <w:rFonts w:ascii="Times New Roman" w:hAnsi="Times New Roman" w:cs="Times New Roman"/>
          <w:b/>
          <w:szCs w:val="24"/>
        </w:rPr>
        <w:t xml:space="preserve"> </w:t>
      </w:r>
      <w:r>
        <w:rPr>
          <w:rFonts w:ascii="Times New Roman" w:hAnsi="Times New Roman" w:cs="Times New Roman"/>
          <w:b/>
          <w:szCs w:val="24"/>
        </w:rPr>
        <w:t>UAB “Autoverslas” balanso straipsnių pokyčiai</w:t>
      </w:r>
    </w:p>
    <w:tbl>
      <w:tblPr>
        <w:tblStyle w:val="LightGrid-Accent6"/>
        <w:tblW w:w="8100" w:type="dxa"/>
        <w:jc w:val="center"/>
        <w:tblLook w:val="04A0"/>
      </w:tblPr>
      <w:tblGrid>
        <w:gridCol w:w="2720"/>
        <w:gridCol w:w="1128"/>
        <w:gridCol w:w="1116"/>
        <w:gridCol w:w="1060"/>
        <w:gridCol w:w="1116"/>
        <w:gridCol w:w="960"/>
      </w:tblGrid>
      <w:tr w:rsidR="00887D37" w:rsidRPr="003C2D7A" w:rsidTr="00887D37">
        <w:trPr>
          <w:cnfStyle w:val="100000000000"/>
          <w:trHeight w:val="338"/>
          <w:jc w:val="center"/>
        </w:trPr>
        <w:tc>
          <w:tcPr>
            <w:cnfStyle w:val="001000000000"/>
            <w:tcW w:w="8100" w:type="dxa"/>
            <w:gridSpan w:val="6"/>
            <w:hideMark/>
          </w:tcPr>
          <w:p w:rsidR="00887D37" w:rsidRPr="003C2D7A" w:rsidRDefault="00887D37" w:rsidP="00275F1A">
            <w:pPr>
              <w:jc w:val="center"/>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UAB “AUTOVERSLAS” BALANSO STRAIPSNIŲ POKYČIAI</w:t>
            </w:r>
          </w:p>
        </w:tc>
      </w:tr>
      <w:tr w:rsidR="00887D37" w:rsidRPr="003C2D7A" w:rsidTr="00887D37">
        <w:trPr>
          <w:cnfStyle w:val="000000100000"/>
          <w:trHeight w:val="300"/>
          <w:jc w:val="center"/>
        </w:trPr>
        <w:tc>
          <w:tcPr>
            <w:cnfStyle w:val="001000000000"/>
            <w:tcW w:w="2720" w:type="dxa"/>
            <w:hideMark/>
          </w:tcPr>
          <w:p w:rsidR="00887D37" w:rsidRPr="003C2D7A" w:rsidRDefault="00887D37" w:rsidP="00275F1A">
            <w:pPr>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 </w:t>
            </w:r>
          </w:p>
        </w:tc>
        <w:tc>
          <w:tcPr>
            <w:tcW w:w="1128" w:type="dxa"/>
            <w:hideMark/>
          </w:tcPr>
          <w:p w:rsidR="00887D37" w:rsidRPr="003C2D7A" w:rsidRDefault="00887D37" w:rsidP="00275F1A">
            <w:pPr>
              <w:jc w:val="right"/>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31/12/2008</w:t>
            </w:r>
          </w:p>
        </w:tc>
        <w:tc>
          <w:tcPr>
            <w:tcW w:w="2176" w:type="dxa"/>
            <w:gridSpan w:val="2"/>
            <w:hideMark/>
          </w:tcPr>
          <w:p w:rsidR="00887D37" w:rsidRPr="003C2D7A" w:rsidRDefault="00887D37" w:rsidP="00275F1A">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31/12/2009</w:t>
            </w:r>
          </w:p>
        </w:tc>
        <w:tc>
          <w:tcPr>
            <w:tcW w:w="2076" w:type="dxa"/>
            <w:gridSpan w:val="2"/>
            <w:hideMark/>
          </w:tcPr>
          <w:p w:rsidR="00887D37" w:rsidRPr="003C2D7A" w:rsidRDefault="00887D37" w:rsidP="00275F1A">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31/12/2010</w:t>
            </w:r>
          </w:p>
        </w:tc>
      </w:tr>
      <w:tr w:rsidR="00E6354F" w:rsidRPr="003C2D7A" w:rsidTr="00887D37">
        <w:trPr>
          <w:cnfStyle w:val="000000010000"/>
          <w:trHeight w:val="510"/>
          <w:jc w:val="center"/>
        </w:trPr>
        <w:tc>
          <w:tcPr>
            <w:cnfStyle w:val="001000000000"/>
            <w:tcW w:w="2720" w:type="dxa"/>
            <w:vAlign w:val="center"/>
            <w:hideMark/>
          </w:tcPr>
          <w:p w:rsidR="00E6354F" w:rsidRPr="003C2D7A" w:rsidRDefault="00E6354F" w:rsidP="00275F1A">
            <w:pPr>
              <w:jc w:val="center"/>
              <w:rPr>
                <w:rFonts w:ascii="Times New Roman" w:eastAsia="Times New Roman" w:hAnsi="Times New Roman" w:cs="Times New Roman"/>
                <w:b w:val="0"/>
                <w:bCs w:val="0"/>
                <w:sz w:val="20"/>
                <w:szCs w:val="20"/>
              </w:rPr>
            </w:pPr>
            <w:r w:rsidRPr="003C2D7A">
              <w:rPr>
                <w:rFonts w:ascii="Times New Roman" w:eastAsia="Times New Roman" w:hAnsi="Times New Roman" w:cs="Times New Roman"/>
                <w:b w:val="0"/>
                <w:bCs w:val="0"/>
                <w:sz w:val="20"/>
                <w:szCs w:val="20"/>
              </w:rPr>
              <w:t>Turtas</w:t>
            </w:r>
          </w:p>
        </w:tc>
        <w:tc>
          <w:tcPr>
            <w:tcW w:w="1128" w:type="dxa"/>
            <w:vAlign w:val="center"/>
            <w:hideMark/>
          </w:tcPr>
          <w:p w:rsidR="00E6354F" w:rsidRPr="00F80CD4" w:rsidRDefault="00E6354F" w:rsidP="004633A4">
            <w:pPr>
              <w:jc w:val="center"/>
              <w:cnfStyle w:val="000000010000"/>
              <w:rPr>
                <w:rFonts w:ascii="Times New Roman" w:eastAsia="Times New Roman" w:hAnsi="Times New Roman" w:cs="Times New Roman"/>
                <w:b/>
                <w:bCs/>
                <w:sz w:val="20"/>
                <w:szCs w:val="20"/>
              </w:rPr>
            </w:pPr>
            <w:r w:rsidRPr="00F80CD4">
              <w:rPr>
                <w:rFonts w:ascii="Times New Roman" w:eastAsia="Times New Roman" w:hAnsi="Times New Roman" w:cs="Times New Roman"/>
                <w:sz w:val="20"/>
                <w:szCs w:val="20"/>
              </w:rPr>
              <w:t>EUR</w:t>
            </w:r>
          </w:p>
        </w:tc>
        <w:tc>
          <w:tcPr>
            <w:tcW w:w="1116" w:type="dxa"/>
            <w:vAlign w:val="center"/>
            <w:hideMark/>
          </w:tcPr>
          <w:p w:rsidR="00E6354F" w:rsidRPr="00F80CD4" w:rsidRDefault="00E6354F" w:rsidP="004633A4">
            <w:pPr>
              <w:jc w:val="center"/>
              <w:cnfStyle w:val="000000010000"/>
              <w:rPr>
                <w:rFonts w:ascii="Times New Roman" w:eastAsia="Times New Roman" w:hAnsi="Times New Roman" w:cs="Times New Roman"/>
                <w:b/>
                <w:bCs/>
                <w:sz w:val="20"/>
                <w:szCs w:val="20"/>
              </w:rPr>
            </w:pPr>
            <w:r w:rsidRPr="00F80CD4">
              <w:rPr>
                <w:rFonts w:ascii="Times New Roman" w:eastAsia="Times New Roman" w:hAnsi="Times New Roman" w:cs="Times New Roman"/>
                <w:sz w:val="20"/>
                <w:szCs w:val="20"/>
              </w:rPr>
              <w:t>EUR</w:t>
            </w:r>
          </w:p>
        </w:tc>
        <w:tc>
          <w:tcPr>
            <w:tcW w:w="1060" w:type="dxa"/>
            <w:vAlign w:val="center"/>
            <w:hideMark/>
          </w:tcPr>
          <w:p w:rsidR="00E6354F" w:rsidRPr="004D5C99" w:rsidRDefault="00E6354F" w:rsidP="004633A4">
            <w:pPr>
              <w:jc w:val="center"/>
              <w:cnfStyle w:val="000000010000"/>
              <w:rPr>
                <w:rFonts w:ascii="Times New Roman" w:eastAsia="Times New Roman" w:hAnsi="Times New Roman" w:cs="Times New Roman"/>
                <w:b/>
                <w:bCs/>
                <w:sz w:val="20"/>
                <w:szCs w:val="20"/>
              </w:rPr>
            </w:pPr>
            <w:r w:rsidRPr="004D5C99">
              <w:rPr>
                <w:rFonts w:ascii="Times New Roman" w:eastAsia="Times New Roman" w:hAnsi="Times New Roman" w:cs="Times New Roman"/>
                <w:b/>
                <w:bCs/>
                <w:sz w:val="20"/>
                <w:szCs w:val="20"/>
              </w:rPr>
              <w:t xml:space="preserve">Pokytis, </w:t>
            </w:r>
            <w:r>
              <w:rPr>
                <w:rFonts w:ascii="Times New Roman" w:eastAsia="Times New Roman" w:hAnsi="Times New Roman" w:cs="Times New Roman"/>
                <w:b/>
                <w:bCs/>
                <w:sz w:val="20"/>
                <w:szCs w:val="20"/>
              </w:rPr>
              <w:t>proc.</w:t>
            </w:r>
          </w:p>
        </w:tc>
        <w:tc>
          <w:tcPr>
            <w:tcW w:w="1116" w:type="dxa"/>
            <w:vAlign w:val="center"/>
            <w:hideMark/>
          </w:tcPr>
          <w:p w:rsidR="00E6354F" w:rsidRPr="004D5C99" w:rsidRDefault="00E6354F" w:rsidP="004633A4">
            <w:pPr>
              <w:jc w:val="center"/>
              <w:cnfStyle w:val="000000010000"/>
              <w:rPr>
                <w:rFonts w:ascii="Times New Roman" w:eastAsia="Times New Roman" w:hAnsi="Times New Roman" w:cs="Times New Roman"/>
                <w:b/>
                <w:bCs/>
                <w:sz w:val="20"/>
                <w:szCs w:val="20"/>
              </w:rPr>
            </w:pPr>
            <w:r w:rsidRPr="004D5C99">
              <w:rPr>
                <w:rFonts w:ascii="Times New Roman" w:eastAsia="Times New Roman" w:hAnsi="Times New Roman" w:cs="Times New Roman"/>
                <w:sz w:val="20"/>
                <w:szCs w:val="20"/>
              </w:rPr>
              <w:t>EUR</w:t>
            </w:r>
          </w:p>
        </w:tc>
        <w:tc>
          <w:tcPr>
            <w:tcW w:w="960" w:type="dxa"/>
            <w:vAlign w:val="center"/>
            <w:hideMark/>
          </w:tcPr>
          <w:p w:rsidR="00E6354F" w:rsidRPr="004D5C99" w:rsidRDefault="00E6354F" w:rsidP="004633A4">
            <w:pPr>
              <w:jc w:val="center"/>
              <w:cnfStyle w:val="000000010000"/>
              <w:rPr>
                <w:rFonts w:ascii="Times New Roman" w:eastAsia="Times New Roman" w:hAnsi="Times New Roman" w:cs="Times New Roman"/>
                <w:b/>
                <w:bCs/>
                <w:sz w:val="20"/>
                <w:szCs w:val="20"/>
              </w:rPr>
            </w:pPr>
            <w:r w:rsidRPr="004D5C99">
              <w:rPr>
                <w:rFonts w:ascii="Times New Roman" w:eastAsia="Times New Roman" w:hAnsi="Times New Roman" w:cs="Times New Roman"/>
                <w:b/>
                <w:bCs/>
                <w:sz w:val="20"/>
                <w:szCs w:val="20"/>
              </w:rPr>
              <w:t xml:space="preserve">Pokytis, </w:t>
            </w:r>
            <w:r>
              <w:rPr>
                <w:rFonts w:ascii="Times New Roman" w:eastAsia="Times New Roman" w:hAnsi="Times New Roman" w:cs="Times New Roman"/>
                <w:b/>
                <w:bCs/>
                <w:sz w:val="20"/>
                <w:szCs w:val="20"/>
              </w:rPr>
              <w:t>proc.</w:t>
            </w:r>
          </w:p>
        </w:tc>
      </w:tr>
      <w:tr w:rsidR="00887D37" w:rsidRPr="003C2D7A" w:rsidTr="00887D37">
        <w:trPr>
          <w:cnfStyle w:val="000000100000"/>
          <w:trHeight w:val="300"/>
          <w:jc w:val="center"/>
        </w:trPr>
        <w:tc>
          <w:tcPr>
            <w:cnfStyle w:val="001000000000"/>
            <w:tcW w:w="2720" w:type="dxa"/>
            <w:hideMark/>
          </w:tcPr>
          <w:p w:rsidR="00887D37" w:rsidRPr="00CD7133" w:rsidRDefault="00887D37" w:rsidP="00275F1A">
            <w:pPr>
              <w:rPr>
                <w:rFonts w:ascii="Times New Roman" w:eastAsia="Times New Roman" w:hAnsi="Times New Roman" w:cs="Times New Roman"/>
                <w:b w:val="0"/>
                <w:sz w:val="20"/>
                <w:szCs w:val="20"/>
              </w:rPr>
            </w:pPr>
            <w:r w:rsidRPr="00CD7133">
              <w:rPr>
                <w:rFonts w:ascii="Times New Roman" w:eastAsia="Times New Roman" w:hAnsi="Times New Roman" w:cs="Times New Roman"/>
                <w:b w:val="0"/>
                <w:sz w:val="20"/>
                <w:szCs w:val="20"/>
              </w:rPr>
              <w:t>Ilgalaikis turtas</w:t>
            </w:r>
          </w:p>
        </w:tc>
        <w:tc>
          <w:tcPr>
            <w:tcW w:w="1128" w:type="dxa"/>
            <w:noWrap/>
            <w:vAlign w:val="center"/>
            <w:hideMark/>
          </w:tcPr>
          <w:p w:rsidR="00887D37" w:rsidRPr="003C2D7A" w:rsidRDefault="00887D37" w:rsidP="00275F1A">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7,901,702</w:t>
            </w:r>
          </w:p>
        </w:tc>
        <w:tc>
          <w:tcPr>
            <w:tcW w:w="1116" w:type="dxa"/>
            <w:noWrap/>
            <w:vAlign w:val="center"/>
            <w:hideMark/>
          </w:tcPr>
          <w:p w:rsidR="00887D37" w:rsidRPr="003C2D7A" w:rsidRDefault="00887D37" w:rsidP="00275F1A">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7,761,164</w:t>
            </w:r>
          </w:p>
        </w:tc>
        <w:tc>
          <w:tcPr>
            <w:tcW w:w="1060" w:type="dxa"/>
            <w:noWrap/>
            <w:vAlign w:val="center"/>
            <w:hideMark/>
          </w:tcPr>
          <w:p w:rsidR="00887D37" w:rsidRPr="00CD7133" w:rsidRDefault="00887D37" w:rsidP="00275F1A">
            <w:pPr>
              <w:jc w:val="center"/>
              <w:cnfStyle w:val="00000010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-1.78</w:t>
            </w:r>
          </w:p>
        </w:tc>
        <w:tc>
          <w:tcPr>
            <w:tcW w:w="1116" w:type="dxa"/>
            <w:noWrap/>
            <w:vAlign w:val="center"/>
            <w:hideMark/>
          </w:tcPr>
          <w:p w:rsidR="00887D37" w:rsidRPr="003C2D7A" w:rsidRDefault="00887D37" w:rsidP="00275F1A">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8,043,696</w:t>
            </w:r>
          </w:p>
        </w:tc>
        <w:tc>
          <w:tcPr>
            <w:tcW w:w="960" w:type="dxa"/>
            <w:noWrap/>
            <w:vAlign w:val="center"/>
            <w:hideMark/>
          </w:tcPr>
          <w:p w:rsidR="00887D37" w:rsidRPr="00CD7133" w:rsidRDefault="00887D37" w:rsidP="00275F1A">
            <w:pPr>
              <w:jc w:val="center"/>
              <w:cnfStyle w:val="00000010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3.64</w:t>
            </w:r>
          </w:p>
        </w:tc>
      </w:tr>
      <w:tr w:rsidR="00887D37" w:rsidRPr="003C2D7A" w:rsidTr="00887D37">
        <w:trPr>
          <w:cnfStyle w:val="000000010000"/>
          <w:trHeight w:val="300"/>
          <w:jc w:val="center"/>
        </w:trPr>
        <w:tc>
          <w:tcPr>
            <w:cnfStyle w:val="001000000000"/>
            <w:tcW w:w="2720" w:type="dxa"/>
            <w:hideMark/>
          </w:tcPr>
          <w:p w:rsidR="00887D37" w:rsidRPr="00CD7133" w:rsidRDefault="00887D37" w:rsidP="00275F1A">
            <w:pPr>
              <w:rPr>
                <w:rFonts w:ascii="Times New Roman" w:eastAsia="Times New Roman" w:hAnsi="Times New Roman" w:cs="Times New Roman"/>
                <w:b w:val="0"/>
                <w:sz w:val="20"/>
                <w:szCs w:val="20"/>
              </w:rPr>
            </w:pPr>
            <w:r w:rsidRPr="00CD7133">
              <w:rPr>
                <w:rFonts w:ascii="Times New Roman" w:eastAsia="Times New Roman" w:hAnsi="Times New Roman" w:cs="Times New Roman"/>
                <w:b w:val="0"/>
                <w:sz w:val="20"/>
                <w:szCs w:val="20"/>
              </w:rPr>
              <w:t>- Nematerialus turtas</w:t>
            </w:r>
          </w:p>
        </w:tc>
        <w:tc>
          <w:tcPr>
            <w:tcW w:w="1128" w:type="dxa"/>
            <w:noWrap/>
            <w:vAlign w:val="center"/>
            <w:hideMark/>
          </w:tcPr>
          <w:p w:rsidR="00887D37" w:rsidRPr="003C2D7A" w:rsidRDefault="00887D37" w:rsidP="00275F1A">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12,808</w:t>
            </w:r>
          </w:p>
        </w:tc>
        <w:tc>
          <w:tcPr>
            <w:tcW w:w="1116" w:type="dxa"/>
            <w:noWrap/>
            <w:vAlign w:val="center"/>
            <w:hideMark/>
          </w:tcPr>
          <w:p w:rsidR="00887D37" w:rsidRPr="003C2D7A" w:rsidRDefault="00887D37" w:rsidP="00275F1A">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7,757</w:t>
            </w:r>
          </w:p>
        </w:tc>
        <w:tc>
          <w:tcPr>
            <w:tcW w:w="1060" w:type="dxa"/>
            <w:noWrap/>
            <w:vAlign w:val="center"/>
            <w:hideMark/>
          </w:tcPr>
          <w:p w:rsidR="00887D37" w:rsidRPr="00CD7133" w:rsidRDefault="00887D37" w:rsidP="00275F1A">
            <w:pPr>
              <w:jc w:val="center"/>
              <w:cnfStyle w:val="00000001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-39.44</w:t>
            </w:r>
          </w:p>
        </w:tc>
        <w:tc>
          <w:tcPr>
            <w:tcW w:w="1116" w:type="dxa"/>
            <w:noWrap/>
            <w:vAlign w:val="center"/>
            <w:hideMark/>
          </w:tcPr>
          <w:p w:rsidR="00887D37" w:rsidRPr="003C2D7A" w:rsidRDefault="00887D37" w:rsidP="00275F1A">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3,577</w:t>
            </w:r>
          </w:p>
        </w:tc>
        <w:tc>
          <w:tcPr>
            <w:tcW w:w="960" w:type="dxa"/>
            <w:noWrap/>
            <w:vAlign w:val="center"/>
            <w:hideMark/>
          </w:tcPr>
          <w:p w:rsidR="00887D37" w:rsidRPr="00CD7133" w:rsidRDefault="00887D37" w:rsidP="00275F1A">
            <w:pPr>
              <w:jc w:val="center"/>
              <w:cnfStyle w:val="00000001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-53.89</w:t>
            </w:r>
          </w:p>
        </w:tc>
      </w:tr>
      <w:tr w:rsidR="00887D37" w:rsidRPr="003C2D7A" w:rsidTr="00887D37">
        <w:trPr>
          <w:cnfStyle w:val="000000100000"/>
          <w:trHeight w:val="300"/>
          <w:jc w:val="center"/>
        </w:trPr>
        <w:tc>
          <w:tcPr>
            <w:cnfStyle w:val="001000000000"/>
            <w:tcW w:w="2720" w:type="dxa"/>
            <w:hideMark/>
          </w:tcPr>
          <w:p w:rsidR="00887D37" w:rsidRPr="00CD7133" w:rsidRDefault="00887D37" w:rsidP="00275F1A">
            <w:pPr>
              <w:rPr>
                <w:rFonts w:ascii="Times New Roman" w:eastAsia="Times New Roman" w:hAnsi="Times New Roman" w:cs="Times New Roman"/>
                <w:b w:val="0"/>
                <w:sz w:val="20"/>
                <w:szCs w:val="20"/>
              </w:rPr>
            </w:pPr>
            <w:r w:rsidRPr="00CD7133">
              <w:rPr>
                <w:rFonts w:ascii="Times New Roman" w:eastAsia="Times New Roman" w:hAnsi="Times New Roman" w:cs="Times New Roman"/>
                <w:b w:val="0"/>
                <w:sz w:val="20"/>
                <w:szCs w:val="20"/>
              </w:rPr>
              <w:t>- Materialus turtas</w:t>
            </w:r>
          </w:p>
        </w:tc>
        <w:tc>
          <w:tcPr>
            <w:tcW w:w="1128" w:type="dxa"/>
            <w:noWrap/>
            <w:vAlign w:val="center"/>
            <w:hideMark/>
          </w:tcPr>
          <w:p w:rsidR="00887D37" w:rsidRPr="003C2D7A" w:rsidRDefault="00887D37" w:rsidP="00275F1A">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7,392,214</w:t>
            </w:r>
          </w:p>
        </w:tc>
        <w:tc>
          <w:tcPr>
            <w:tcW w:w="1116" w:type="dxa"/>
            <w:noWrap/>
            <w:vAlign w:val="center"/>
            <w:hideMark/>
          </w:tcPr>
          <w:p w:rsidR="00887D37" w:rsidRPr="003C2D7A" w:rsidRDefault="00887D37" w:rsidP="00275F1A">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6,435,525</w:t>
            </w:r>
          </w:p>
        </w:tc>
        <w:tc>
          <w:tcPr>
            <w:tcW w:w="1060" w:type="dxa"/>
            <w:noWrap/>
            <w:vAlign w:val="center"/>
            <w:hideMark/>
          </w:tcPr>
          <w:p w:rsidR="00887D37" w:rsidRPr="00CD7133" w:rsidRDefault="00887D37" w:rsidP="00275F1A">
            <w:pPr>
              <w:jc w:val="center"/>
              <w:cnfStyle w:val="00000010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-12.94</w:t>
            </w:r>
          </w:p>
        </w:tc>
        <w:tc>
          <w:tcPr>
            <w:tcW w:w="1116" w:type="dxa"/>
            <w:noWrap/>
            <w:vAlign w:val="center"/>
            <w:hideMark/>
          </w:tcPr>
          <w:p w:rsidR="00887D37" w:rsidRPr="003C2D7A" w:rsidRDefault="00887D37" w:rsidP="00275F1A">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5,483,164</w:t>
            </w:r>
          </w:p>
        </w:tc>
        <w:tc>
          <w:tcPr>
            <w:tcW w:w="960" w:type="dxa"/>
            <w:noWrap/>
            <w:vAlign w:val="center"/>
            <w:hideMark/>
          </w:tcPr>
          <w:p w:rsidR="00887D37" w:rsidRPr="00CD7133" w:rsidRDefault="00887D37" w:rsidP="00275F1A">
            <w:pPr>
              <w:jc w:val="center"/>
              <w:cnfStyle w:val="00000010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-14.80</w:t>
            </w:r>
          </w:p>
        </w:tc>
      </w:tr>
      <w:tr w:rsidR="00887D37" w:rsidRPr="003C2D7A" w:rsidTr="00887D37">
        <w:trPr>
          <w:cnfStyle w:val="000000010000"/>
          <w:trHeight w:val="300"/>
          <w:jc w:val="center"/>
        </w:trPr>
        <w:tc>
          <w:tcPr>
            <w:cnfStyle w:val="001000000000"/>
            <w:tcW w:w="2720" w:type="dxa"/>
            <w:hideMark/>
          </w:tcPr>
          <w:p w:rsidR="00887D37" w:rsidRPr="00CD7133" w:rsidRDefault="00887D37" w:rsidP="00275F1A">
            <w:pPr>
              <w:rPr>
                <w:rFonts w:ascii="Times New Roman" w:eastAsia="Times New Roman" w:hAnsi="Times New Roman" w:cs="Times New Roman"/>
                <w:b w:val="0"/>
                <w:sz w:val="20"/>
                <w:szCs w:val="20"/>
              </w:rPr>
            </w:pPr>
            <w:r w:rsidRPr="00CD7133">
              <w:rPr>
                <w:rFonts w:ascii="Times New Roman" w:eastAsia="Times New Roman" w:hAnsi="Times New Roman" w:cs="Times New Roman"/>
                <w:b w:val="0"/>
                <w:sz w:val="20"/>
                <w:szCs w:val="20"/>
              </w:rPr>
              <w:t>- Kitas turtas</w:t>
            </w:r>
          </w:p>
        </w:tc>
        <w:tc>
          <w:tcPr>
            <w:tcW w:w="1128" w:type="dxa"/>
            <w:noWrap/>
            <w:vAlign w:val="center"/>
            <w:hideMark/>
          </w:tcPr>
          <w:p w:rsidR="00887D37" w:rsidRPr="003C2D7A" w:rsidRDefault="00887D37" w:rsidP="00275F1A">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496,681</w:t>
            </w:r>
          </w:p>
        </w:tc>
        <w:tc>
          <w:tcPr>
            <w:tcW w:w="1116" w:type="dxa"/>
            <w:noWrap/>
            <w:vAlign w:val="center"/>
            <w:hideMark/>
          </w:tcPr>
          <w:p w:rsidR="00887D37" w:rsidRPr="003C2D7A" w:rsidRDefault="00887D37" w:rsidP="00275F1A">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1,317,883</w:t>
            </w:r>
          </w:p>
        </w:tc>
        <w:tc>
          <w:tcPr>
            <w:tcW w:w="1060" w:type="dxa"/>
            <w:noWrap/>
            <w:vAlign w:val="center"/>
            <w:hideMark/>
          </w:tcPr>
          <w:p w:rsidR="00887D37" w:rsidRPr="00CD7133" w:rsidRDefault="00887D37" w:rsidP="00275F1A">
            <w:pPr>
              <w:jc w:val="center"/>
              <w:cnfStyle w:val="00000001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165.34</w:t>
            </w:r>
          </w:p>
        </w:tc>
        <w:tc>
          <w:tcPr>
            <w:tcW w:w="1116" w:type="dxa"/>
            <w:noWrap/>
            <w:vAlign w:val="center"/>
            <w:hideMark/>
          </w:tcPr>
          <w:p w:rsidR="00887D37" w:rsidRPr="003C2D7A" w:rsidRDefault="00887D37" w:rsidP="00275F1A">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2,556,955</w:t>
            </w:r>
          </w:p>
        </w:tc>
        <w:tc>
          <w:tcPr>
            <w:tcW w:w="960" w:type="dxa"/>
            <w:noWrap/>
            <w:vAlign w:val="center"/>
            <w:hideMark/>
          </w:tcPr>
          <w:p w:rsidR="00887D37" w:rsidRPr="00CD7133" w:rsidRDefault="00887D37" w:rsidP="00275F1A">
            <w:pPr>
              <w:jc w:val="center"/>
              <w:cnfStyle w:val="00000001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94.02</w:t>
            </w:r>
          </w:p>
        </w:tc>
      </w:tr>
      <w:tr w:rsidR="00887D37" w:rsidRPr="003C2D7A" w:rsidTr="00887D37">
        <w:trPr>
          <w:cnfStyle w:val="000000100000"/>
          <w:trHeight w:val="300"/>
          <w:jc w:val="center"/>
        </w:trPr>
        <w:tc>
          <w:tcPr>
            <w:cnfStyle w:val="001000000000"/>
            <w:tcW w:w="2720" w:type="dxa"/>
            <w:hideMark/>
          </w:tcPr>
          <w:p w:rsidR="00887D37" w:rsidRPr="00CD7133" w:rsidRDefault="00887D37" w:rsidP="00275F1A">
            <w:pPr>
              <w:rPr>
                <w:rFonts w:ascii="Times New Roman" w:eastAsia="Times New Roman" w:hAnsi="Times New Roman" w:cs="Times New Roman"/>
                <w:b w:val="0"/>
                <w:sz w:val="20"/>
                <w:szCs w:val="20"/>
              </w:rPr>
            </w:pPr>
            <w:r w:rsidRPr="00CD7133">
              <w:rPr>
                <w:rFonts w:ascii="Times New Roman" w:eastAsia="Times New Roman" w:hAnsi="Times New Roman" w:cs="Times New Roman"/>
                <w:b w:val="0"/>
                <w:sz w:val="20"/>
                <w:szCs w:val="20"/>
              </w:rPr>
              <w:t>Trumpalaikis turtas</w:t>
            </w:r>
          </w:p>
        </w:tc>
        <w:tc>
          <w:tcPr>
            <w:tcW w:w="1128" w:type="dxa"/>
            <w:noWrap/>
            <w:vAlign w:val="center"/>
            <w:hideMark/>
          </w:tcPr>
          <w:p w:rsidR="00887D37" w:rsidRPr="003C2D7A" w:rsidRDefault="00887D37" w:rsidP="00275F1A">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2,641,699</w:t>
            </w:r>
          </w:p>
        </w:tc>
        <w:tc>
          <w:tcPr>
            <w:tcW w:w="1116" w:type="dxa"/>
            <w:noWrap/>
            <w:vAlign w:val="center"/>
            <w:hideMark/>
          </w:tcPr>
          <w:p w:rsidR="00887D37" w:rsidRPr="003C2D7A" w:rsidRDefault="00887D37" w:rsidP="00275F1A">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4,576,707</w:t>
            </w:r>
          </w:p>
        </w:tc>
        <w:tc>
          <w:tcPr>
            <w:tcW w:w="1060" w:type="dxa"/>
            <w:noWrap/>
            <w:vAlign w:val="center"/>
            <w:hideMark/>
          </w:tcPr>
          <w:p w:rsidR="00887D37" w:rsidRPr="00CD7133" w:rsidRDefault="00887D37" w:rsidP="00275F1A">
            <w:pPr>
              <w:jc w:val="center"/>
              <w:cnfStyle w:val="00000010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73.25</w:t>
            </w:r>
          </w:p>
        </w:tc>
        <w:tc>
          <w:tcPr>
            <w:tcW w:w="1116" w:type="dxa"/>
            <w:noWrap/>
            <w:vAlign w:val="center"/>
            <w:hideMark/>
          </w:tcPr>
          <w:p w:rsidR="00887D37" w:rsidRPr="003C2D7A" w:rsidRDefault="00887D37" w:rsidP="00275F1A">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4,141,643</w:t>
            </w:r>
          </w:p>
        </w:tc>
        <w:tc>
          <w:tcPr>
            <w:tcW w:w="960" w:type="dxa"/>
            <w:noWrap/>
            <w:vAlign w:val="center"/>
            <w:hideMark/>
          </w:tcPr>
          <w:p w:rsidR="00887D37" w:rsidRPr="00CD7133" w:rsidRDefault="00887D37" w:rsidP="00275F1A">
            <w:pPr>
              <w:jc w:val="center"/>
              <w:cnfStyle w:val="00000010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-9.51</w:t>
            </w:r>
          </w:p>
        </w:tc>
      </w:tr>
      <w:tr w:rsidR="00887D37" w:rsidRPr="003C2D7A" w:rsidTr="00887D37">
        <w:trPr>
          <w:cnfStyle w:val="000000010000"/>
          <w:trHeight w:val="300"/>
          <w:jc w:val="center"/>
        </w:trPr>
        <w:tc>
          <w:tcPr>
            <w:cnfStyle w:val="001000000000"/>
            <w:tcW w:w="2720" w:type="dxa"/>
            <w:hideMark/>
          </w:tcPr>
          <w:p w:rsidR="00887D37" w:rsidRPr="00CD7133" w:rsidRDefault="00887D37" w:rsidP="00275F1A">
            <w:pPr>
              <w:rPr>
                <w:rFonts w:ascii="Times New Roman" w:eastAsia="Times New Roman" w:hAnsi="Times New Roman" w:cs="Times New Roman"/>
                <w:b w:val="0"/>
                <w:sz w:val="20"/>
                <w:szCs w:val="20"/>
              </w:rPr>
            </w:pPr>
            <w:r w:rsidRPr="00CD7133">
              <w:rPr>
                <w:rFonts w:ascii="Times New Roman" w:eastAsia="Times New Roman" w:hAnsi="Times New Roman" w:cs="Times New Roman"/>
                <w:b w:val="0"/>
                <w:sz w:val="20"/>
                <w:szCs w:val="20"/>
              </w:rPr>
              <w:t>- Atsargos</w:t>
            </w:r>
          </w:p>
        </w:tc>
        <w:tc>
          <w:tcPr>
            <w:tcW w:w="1128" w:type="dxa"/>
            <w:noWrap/>
            <w:vAlign w:val="center"/>
            <w:hideMark/>
          </w:tcPr>
          <w:p w:rsidR="00887D37" w:rsidRPr="003C2D7A" w:rsidRDefault="00887D37" w:rsidP="00275F1A">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141,393</w:t>
            </w:r>
          </w:p>
        </w:tc>
        <w:tc>
          <w:tcPr>
            <w:tcW w:w="1116" w:type="dxa"/>
            <w:noWrap/>
            <w:vAlign w:val="center"/>
            <w:hideMark/>
          </w:tcPr>
          <w:p w:rsidR="00887D37" w:rsidRPr="003C2D7A" w:rsidRDefault="00887D37" w:rsidP="00275F1A">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123,014</w:t>
            </w:r>
          </w:p>
        </w:tc>
        <w:tc>
          <w:tcPr>
            <w:tcW w:w="1060" w:type="dxa"/>
            <w:noWrap/>
            <w:vAlign w:val="center"/>
            <w:hideMark/>
          </w:tcPr>
          <w:p w:rsidR="00887D37" w:rsidRPr="00CD7133" w:rsidRDefault="00887D37" w:rsidP="00275F1A">
            <w:pPr>
              <w:jc w:val="center"/>
              <w:cnfStyle w:val="00000001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-13.00</w:t>
            </w:r>
          </w:p>
        </w:tc>
        <w:tc>
          <w:tcPr>
            <w:tcW w:w="1116" w:type="dxa"/>
            <w:noWrap/>
            <w:vAlign w:val="center"/>
            <w:hideMark/>
          </w:tcPr>
          <w:p w:rsidR="00887D37" w:rsidRPr="003C2D7A" w:rsidRDefault="00887D37" w:rsidP="00275F1A">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113,274</w:t>
            </w:r>
          </w:p>
        </w:tc>
        <w:tc>
          <w:tcPr>
            <w:tcW w:w="960" w:type="dxa"/>
            <w:noWrap/>
            <w:vAlign w:val="center"/>
            <w:hideMark/>
          </w:tcPr>
          <w:p w:rsidR="00887D37" w:rsidRPr="00CD7133" w:rsidRDefault="00887D37" w:rsidP="00275F1A">
            <w:pPr>
              <w:jc w:val="center"/>
              <w:cnfStyle w:val="00000001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-7.92</w:t>
            </w:r>
          </w:p>
        </w:tc>
      </w:tr>
      <w:tr w:rsidR="00887D37" w:rsidRPr="003C2D7A" w:rsidTr="00887D37">
        <w:trPr>
          <w:cnfStyle w:val="000000100000"/>
          <w:trHeight w:val="510"/>
          <w:jc w:val="center"/>
        </w:trPr>
        <w:tc>
          <w:tcPr>
            <w:cnfStyle w:val="001000000000"/>
            <w:tcW w:w="2720" w:type="dxa"/>
            <w:hideMark/>
          </w:tcPr>
          <w:p w:rsidR="00887D37" w:rsidRPr="00CD7133" w:rsidRDefault="00887D37" w:rsidP="00275F1A">
            <w:pPr>
              <w:rPr>
                <w:rFonts w:ascii="Times New Roman" w:eastAsia="Times New Roman" w:hAnsi="Times New Roman" w:cs="Times New Roman"/>
                <w:b w:val="0"/>
                <w:sz w:val="20"/>
                <w:szCs w:val="20"/>
              </w:rPr>
            </w:pPr>
            <w:r w:rsidRPr="00CD7133">
              <w:rPr>
                <w:rFonts w:ascii="Times New Roman" w:eastAsia="Times New Roman" w:hAnsi="Times New Roman" w:cs="Times New Roman"/>
                <w:b w:val="0"/>
                <w:sz w:val="20"/>
                <w:szCs w:val="20"/>
              </w:rPr>
              <w:t>- Per vienerius metus gautinos sumos</w:t>
            </w:r>
          </w:p>
        </w:tc>
        <w:tc>
          <w:tcPr>
            <w:tcW w:w="1128" w:type="dxa"/>
            <w:noWrap/>
            <w:vAlign w:val="center"/>
            <w:hideMark/>
          </w:tcPr>
          <w:p w:rsidR="00887D37" w:rsidRPr="003C2D7A" w:rsidRDefault="00887D37" w:rsidP="00275F1A">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1,539,070</w:t>
            </w:r>
          </w:p>
        </w:tc>
        <w:tc>
          <w:tcPr>
            <w:tcW w:w="1116" w:type="dxa"/>
            <w:noWrap/>
            <w:vAlign w:val="center"/>
            <w:hideMark/>
          </w:tcPr>
          <w:p w:rsidR="00887D37" w:rsidRPr="003C2D7A" w:rsidRDefault="00887D37" w:rsidP="00275F1A">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858,256</w:t>
            </w:r>
          </w:p>
        </w:tc>
        <w:tc>
          <w:tcPr>
            <w:tcW w:w="1060" w:type="dxa"/>
            <w:noWrap/>
            <w:vAlign w:val="center"/>
            <w:hideMark/>
          </w:tcPr>
          <w:p w:rsidR="00887D37" w:rsidRPr="00CD7133" w:rsidRDefault="00887D37" w:rsidP="00275F1A">
            <w:pPr>
              <w:jc w:val="center"/>
              <w:cnfStyle w:val="00000010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-44.24</w:t>
            </w:r>
          </w:p>
        </w:tc>
        <w:tc>
          <w:tcPr>
            <w:tcW w:w="1116" w:type="dxa"/>
            <w:noWrap/>
            <w:vAlign w:val="center"/>
            <w:hideMark/>
          </w:tcPr>
          <w:p w:rsidR="00887D37" w:rsidRPr="003C2D7A" w:rsidRDefault="00887D37" w:rsidP="00275F1A">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689,931</w:t>
            </w:r>
          </w:p>
        </w:tc>
        <w:tc>
          <w:tcPr>
            <w:tcW w:w="960" w:type="dxa"/>
            <w:noWrap/>
            <w:vAlign w:val="center"/>
            <w:hideMark/>
          </w:tcPr>
          <w:p w:rsidR="00887D37" w:rsidRPr="00CD7133" w:rsidRDefault="00887D37" w:rsidP="00275F1A">
            <w:pPr>
              <w:jc w:val="center"/>
              <w:cnfStyle w:val="00000010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-19.61</w:t>
            </w:r>
          </w:p>
        </w:tc>
      </w:tr>
      <w:tr w:rsidR="00887D37" w:rsidRPr="003C2D7A" w:rsidTr="00887D37">
        <w:trPr>
          <w:cnfStyle w:val="000000010000"/>
          <w:trHeight w:val="300"/>
          <w:jc w:val="center"/>
        </w:trPr>
        <w:tc>
          <w:tcPr>
            <w:cnfStyle w:val="001000000000"/>
            <w:tcW w:w="2720" w:type="dxa"/>
            <w:hideMark/>
          </w:tcPr>
          <w:p w:rsidR="00887D37" w:rsidRPr="00CD7133" w:rsidRDefault="00887D37" w:rsidP="00275F1A">
            <w:pPr>
              <w:rPr>
                <w:rFonts w:ascii="Times New Roman" w:eastAsia="Times New Roman" w:hAnsi="Times New Roman" w:cs="Times New Roman"/>
                <w:b w:val="0"/>
                <w:sz w:val="20"/>
                <w:szCs w:val="20"/>
              </w:rPr>
            </w:pPr>
            <w:r w:rsidRPr="00CD7133">
              <w:rPr>
                <w:rFonts w:ascii="Times New Roman" w:eastAsia="Times New Roman" w:hAnsi="Times New Roman" w:cs="Times New Roman"/>
                <w:b w:val="0"/>
                <w:sz w:val="20"/>
                <w:szCs w:val="20"/>
              </w:rPr>
              <w:t>- Kitas trumpalaikis turtas</w:t>
            </w:r>
          </w:p>
        </w:tc>
        <w:tc>
          <w:tcPr>
            <w:tcW w:w="1128" w:type="dxa"/>
            <w:noWrap/>
            <w:vAlign w:val="center"/>
            <w:hideMark/>
          </w:tcPr>
          <w:p w:rsidR="00887D37" w:rsidRPr="003C2D7A" w:rsidRDefault="00887D37" w:rsidP="00275F1A">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961,237</w:t>
            </w:r>
          </w:p>
        </w:tc>
        <w:tc>
          <w:tcPr>
            <w:tcW w:w="1116" w:type="dxa"/>
            <w:noWrap/>
            <w:vAlign w:val="center"/>
            <w:hideMark/>
          </w:tcPr>
          <w:p w:rsidR="00887D37" w:rsidRPr="003C2D7A" w:rsidRDefault="00887D37" w:rsidP="00275F1A">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3,595,437</w:t>
            </w:r>
          </w:p>
        </w:tc>
        <w:tc>
          <w:tcPr>
            <w:tcW w:w="1060" w:type="dxa"/>
            <w:noWrap/>
            <w:vAlign w:val="center"/>
            <w:hideMark/>
          </w:tcPr>
          <w:p w:rsidR="00887D37" w:rsidRPr="00CD7133" w:rsidRDefault="00887D37" w:rsidP="00275F1A">
            <w:pPr>
              <w:jc w:val="center"/>
              <w:cnfStyle w:val="00000001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274.04</w:t>
            </w:r>
          </w:p>
        </w:tc>
        <w:tc>
          <w:tcPr>
            <w:tcW w:w="1116" w:type="dxa"/>
            <w:noWrap/>
            <w:vAlign w:val="center"/>
            <w:hideMark/>
          </w:tcPr>
          <w:p w:rsidR="00887D37" w:rsidRPr="003C2D7A" w:rsidRDefault="00887D37" w:rsidP="00275F1A">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3,338,437</w:t>
            </w:r>
          </w:p>
        </w:tc>
        <w:tc>
          <w:tcPr>
            <w:tcW w:w="960" w:type="dxa"/>
            <w:noWrap/>
            <w:vAlign w:val="center"/>
            <w:hideMark/>
          </w:tcPr>
          <w:p w:rsidR="00887D37" w:rsidRPr="00CD7133" w:rsidRDefault="00887D37" w:rsidP="00275F1A">
            <w:pPr>
              <w:jc w:val="center"/>
              <w:cnfStyle w:val="00000001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-7.15</w:t>
            </w:r>
          </w:p>
        </w:tc>
      </w:tr>
      <w:tr w:rsidR="00887D37" w:rsidRPr="003C2D7A" w:rsidTr="00887D37">
        <w:trPr>
          <w:cnfStyle w:val="000000100000"/>
          <w:trHeight w:val="300"/>
          <w:jc w:val="center"/>
        </w:trPr>
        <w:tc>
          <w:tcPr>
            <w:cnfStyle w:val="001000000000"/>
            <w:tcW w:w="2720" w:type="dxa"/>
            <w:hideMark/>
          </w:tcPr>
          <w:p w:rsidR="00887D37" w:rsidRPr="00CD7133" w:rsidRDefault="00887D37" w:rsidP="00275F1A">
            <w:pPr>
              <w:rPr>
                <w:rFonts w:ascii="Times New Roman" w:eastAsia="Times New Roman" w:hAnsi="Times New Roman" w:cs="Times New Roman"/>
                <w:b w:val="0"/>
                <w:sz w:val="20"/>
                <w:szCs w:val="20"/>
              </w:rPr>
            </w:pPr>
            <w:r w:rsidRPr="00CD7133">
              <w:rPr>
                <w:rFonts w:ascii="Times New Roman" w:eastAsia="Times New Roman" w:hAnsi="Times New Roman" w:cs="Times New Roman"/>
                <w:b w:val="0"/>
                <w:sz w:val="20"/>
                <w:szCs w:val="20"/>
              </w:rPr>
              <w:t>* Pinigai ir jų ekvivalentai</w:t>
            </w:r>
          </w:p>
        </w:tc>
        <w:tc>
          <w:tcPr>
            <w:tcW w:w="1128" w:type="dxa"/>
            <w:noWrap/>
            <w:vAlign w:val="center"/>
            <w:hideMark/>
          </w:tcPr>
          <w:p w:rsidR="00887D37" w:rsidRPr="003C2D7A" w:rsidRDefault="00887D37" w:rsidP="00275F1A">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135,663</w:t>
            </w:r>
          </w:p>
        </w:tc>
        <w:tc>
          <w:tcPr>
            <w:tcW w:w="1116" w:type="dxa"/>
            <w:noWrap/>
            <w:vAlign w:val="center"/>
            <w:hideMark/>
          </w:tcPr>
          <w:p w:rsidR="00887D37" w:rsidRPr="003C2D7A" w:rsidRDefault="00887D37" w:rsidP="00275F1A">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246,637</w:t>
            </w:r>
          </w:p>
        </w:tc>
        <w:tc>
          <w:tcPr>
            <w:tcW w:w="1060" w:type="dxa"/>
            <w:noWrap/>
            <w:vAlign w:val="center"/>
            <w:hideMark/>
          </w:tcPr>
          <w:p w:rsidR="00887D37" w:rsidRPr="00CD7133" w:rsidRDefault="00887D37" w:rsidP="00275F1A">
            <w:pPr>
              <w:jc w:val="center"/>
              <w:cnfStyle w:val="00000010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81.80</w:t>
            </w:r>
          </w:p>
        </w:tc>
        <w:tc>
          <w:tcPr>
            <w:tcW w:w="1116" w:type="dxa"/>
            <w:noWrap/>
            <w:vAlign w:val="center"/>
            <w:hideMark/>
          </w:tcPr>
          <w:p w:rsidR="00887D37" w:rsidRPr="003C2D7A" w:rsidRDefault="00887D37" w:rsidP="00275F1A">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175,044</w:t>
            </w:r>
          </w:p>
        </w:tc>
        <w:tc>
          <w:tcPr>
            <w:tcW w:w="960" w:type="dxa"/>
            <w:noWrap/>
            <w:vAlign w:val="center"/>
            <w:hideMark/>
          </w:tcPr>
          <w:p w:rsidR="00887D37" w:rsidRPr="00CD7133" w:rsidRDefault="00887D37" w:rsidP="00275F1A">
            <w:pPr>
              <w:jc w:val="center"/>
              <w:cnfStyle w:val="00000010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-29.03</w:t>
            </w:r>
          </w:p>
        </w:tc>
      </w:tr>
      <w:tr w:rsidR="00887D37" w:rsidRPr="003C2D7A" w:rsidTr="00887D37">
        <w:trPr>
          <w:cnfStyle w:val="000000010000"/>
          <w:trHeight w:val="300"/>
          <w:jc w:val="center"/>
        </w:trPr>
        <w:tc>
          <w:tcPr>
            <w:cnfStyle w:val="001000000000"/>
            <w:tcW w:w="2720" w:type="dxa"/>
            <w:hideMark/>
          </w:tcPr>
          <w:p w:rsidR="00887D37" w:rsidRPr="00CD7133" w:rsidRDefault="00887D37" w:rsidP="00275F1A">
            <w:pPr>
              <w:rPr>
                <w:rFonts w:ascii="Times New Roman" w:eastAsia="Times New Roman" w:hAnsi="Times New Roman" w:cs="Times New Roman"/>
                <w:sz w:val="20"/>
                <w:szCs w:val="20"/>
              </w:rPr>
            </w:pPr>
            <w:r w:rsidRPr="00CD7133">
              <w:rPr>
                <w:rFonts w:ascii="Times New Roman" w:eastAsia="Times New Roman" w:hAnsi="Times New Roman" w:cs="Times New Roman"/>
                <w:sz w:val="20"/>
                <w:szCs w:val="20"/>
              </w:rPr>
              <w:t>TURTO IŠ VISO</w:t>
            </w:r>
          </w:p>
        </w:tc>
        <w:tc>
          <w:tcPr>
            <w:tcW w:w="1128" w:type="dxa"/>
            <w:noWrap/>
            <w:vAlign w:val="center"/>
            <w:hideMark/>
          </w:tcPr>
          <w:p w:rsidR="00887D37" w:rsidRPr="00CD7133" w:rsidRDefault="00887D37" w:rsidP="00275F1A">
            <w:pPr>
              <w:jc w:val="center"/>
              <w:cnfStyle w:val="000000010000"/>
              <w:rPr>
                <w:rFonts w:ascii="Times New Roman" w:eastAsia="Times New Roman" w:hAnsi="Times New Roman" w:cs="Times New Roman"/>
                <w:b/>
                <w:sz w:val="20"/>
                <w:szCs w:val="20"/>
              </w:rPr>
            </w:pPr>
            <w:r w:rsidRPr="00CD7133">
              <w:rPr>
                <w:rFonts w:ascii="Times New Roman" w:eastAsia="Times New Roman" w:hAnsi="Times New Roman" w:cs="Times New Roman"/>
                <w:b/>
                <w:sz w:val="20"/>
                <w:szCs w:val="20"/>
              </w:rPr>
              <w:t>10,543,402</w:t>
            </w:r>
          </w:p>
        </w:tc>
        <w:tc>
          <w:tcPr>
            <w:tcW w:w="1116" w:type="dxa"/>
            <w:noWrap/>
            <w:vAlign w:val="center"/>
            <w:hideMark/>
          </w:tcPr>
          <w:p w:rsidR="00887D37" w:rsidRPr="00CD7133" w:rsidRDefault="00887D37" w:rsidP="00275F1A">
            <w:pPr>
              <w:jc w:val="center"/>
              <w:cnfStyle w:val="000000010000"/>
              <w:rPr>
                <w:rFonts w:ascii="Times New Roman" w:eastAsia="Times New Roman" w:hAnsi="Times New Roman" w:cs="Times New Roman"/>
                <w:b/>
                <w:sz w:val="20"/>
                <w:szCs w:val="20"/>
              </w:rPr>
            </w:pPr>
            <w:r w:rsidRPr="00CD7133">
              <w:rPr>
                <w:rFonts w:ascii="Times New Roman" w:eastAsia="Times New Roman" w:hAnsi="Times New Roman" w:cs="Times New Roman"/>
                <w:b/>
                <w:sz w:val="20"/>
                <w:szCs w:val="20"/>
              </w:rPr>
              <w:t>12,337,871</w:t>
            </w:r>
          </w:p>
        </w:tc>
        <w:tc>
          <w:tcPr>
            <w:tcW w:w="1060" w:type="dxa"/>
            <w:noWrap/>
            <w:vAlign w:val="center"/>
            <w:hideMark/>
          </w:tcPr>
          <w:p w:rsidR="00887D37" w:rsidRPr="00CD7133" w:rsidRDefault="00887D37" w:rsidP="00275F1A">
            <w:pPr>
              <w:jc w:val="center"/>
              <w:cnfStyle w:val="000000010000"/>
              <w:rPr>
                <w:rFonts w:ascii="Times New Roman" w:eastAsia="Times New Roman" w:hAnsi="Times New Roman" w:cs="Times New Roman"/>
                <w:b/>
                <w:i/>
                <w:sz w:val="20"/>
                <w:szCs w:val="20"/>
              </w:rPr>
            </w:pPr>
            <w:r w:rsidRPr="00CD7133">
              <w:rPr>
                <w:rFonts w:ascii="Times New Roman" w:eastAsia="Times New Roman" w:hAnsi="Times New Roman" w:cs="Times New Roman"/>
                <w:b/>
                <w:i/>
                <w:sz w:val="20"/>
                <w:szCs w:val="20"/>
              </w:rPr>
              <w:t>17.02</w:t>
            </w:r>
          </w:p>
        </w:tc>
        <w:tc>
          <w:tcPr>
            <w:tcW w:w="1116" w:type="dxa"/>
            <w:noWrap/>
            <w:vAlign w:val="center"/>
            <w:hideMark/>
          </w:tcPr>
          <w:p w:rsidR="00887D37" w:rsidRPr="00CD7133" w:rsidRDefault="00887D37" w:rsidP="00275F1A">
            <w:pPr>
              <w:jc w:val="center"/>
              <w:cnfStyle w:val="000000010000"/>
              <w:rPr>
                <w:rFonts w:ascii="Times New Roman" w:eastAsia="Times New Roman" w:hAnsi="Times New Roman" w:cs="Times New Roman"/>
                <w:b/>
                <w:sz w:val="20"/>
                <w:szCs w:val="20"/>
              </w:rPr>
            </w:pPr>
            <w:r w:rsidRPr="00CD7133">
              <w:rPr>
                <w:rFonts w:ascii="Times New Roman" w:eastAsia="Times New Roman" w:hAnsi="Times New Roman" w:cs="Times New Roman"/>
                <w:b/>
                <w:sz w:val="20"/>
                <w:szCs w:val="20"/>
              </w:rPr>
              <w:t>12,185,339</w:t>
            </w:r>
          </w:p>
        </w:tc>
        <w:tc>
          <w:tcPr>
            <w:tcW w:w="960" w:type="dxa"/>
            <w:noWrap/>
            <w:vAlign w:val="center"/>
            <w:hideMark/>
          </w:tcPr>
          <w:p w:rsidR="00887D37" w:rsidRPr="00CD7133" w:rsidRDefault="00887D37" w:rsidP="00275F1A">
            <w:pPr>
              <w:jc w:val="center"/>
              <w:cnfStyle w:val="000000010000"/>
              <w:rPr>
                <w:rFonts w:ascii="Times New Roman" w:eastAsia="Times New Roman" w:hAnsi="Times New Roman" w:cs="Times New Roman"/>
                <w:b/>
                <w:i/>
                <w:sz w:val="20"/>
                <w:szCs w:val="20"/>
              </w:rPr>
            </w:pPr>
            <w:r w:rsidRPr="00CD7133">
              <w:rPr>
                <w:rFonts w:ascii="Times New Roman" w:eastAsia="Times New Roman" w:hAnsi="Times New Roman" w:cs="Times New Roman"/>
                <w:b/>
                <w:i/>
                <w:sz w:val="20"/>
                <w:szCs w:val="20"/>
              </w:rPr>
              <w:t>-1.24</w:t>
            </w:r>
          </w:p>
        </w:tc>
      </w:tr>
      <w:tr w:rsidR="00E6354F" w:rsidRPr="003C2D7A" w:rsidTr="00887D37">
        <w:trPr>
          <w:cnfStyle w:val="000000100000"/>
          <w:trHeight w:val="510"/>
          <w:jc w:val="center"/>
        </w:trPr>
        <w:tc>
          <w:tcPr>
            <w:cnfStyle w:val="001000000000"/>
            <w:tcW w:w="2720" w:type="dxa"/>
            <w:vAlign w:val="center"/>
            <w:hideMark/>
          </w:tcPr>
          <w:p w:rsidR="00E6354F" w:rsidRPr="003C2D7A" w:rsidRDefault="00E6354F" w:rsidP="00275F1A">
            <w:pPr>
              <w:jc w:val="center"/>
              <w:rPr>
                <w:rFonts w:ascii="Times New Roman" w:eastAsia="Times New Roman" w:hAnsi="Times New Roman" w:cs="Times New Roman"/>
                <w:b w:val="0"/>
                <w:bCs w:val="0"/>
                <w:sz w:val="20"/>
                <w:szCs w:val="20"/>
              </w:rPr>
            </w:pPr>
            <w:r w:rsidRPr="003C2D7A">
              <w:rPr>
                <w:rFonts w:ascii="Times New Roman" w:eastAsia="Times New Roman" w:hAnsi="Times New Roman" w:cs="Times New Roman"/>
                <w:b w:val="0"/>
                <w:bCs w:val="0"/>
                <w:sz w:val="20"/>
                <w:szCs w:val="20"/>
              </w:rPr>
              <w:t>Nuosavas kapitalas ir įsipareigojimai</w:t>
            </w:r>
          </w:p>
        </w:tc>
        <w:tc>
          <w:tcPr>
            <w:tcW w:w="1128" w:type="dxa"/>
            <w:vAlign w:val="center"/>
            <w:hideMark/>
          </w:tcPr>
          <w:p w:rsidR="00E6354F" w:rsidRPr="00F80CD4" w:rsidRDefault="00E6354F" w:rsidP="004633A4">
            <w:pPr>
              <w:jc w:val="center"/>
              <w:cnfStyle w:val="000000100000"/>
              <w:rPr>
                <w:rFonts w:ascii="Times New Roman" w:eastAsia="Times New Roman" w:hAnsi="Times New Roman" w:cs="Times New Roman"/>
                <w:b/>
                <w:bCs/>
                <w:sz w:val="20"/>
                <w:szCs w:val="20"/>
              </w:rPr>
            </w:pPr>
            <w:r w:rsidRPr="00F80CD4">
              <w:rPr>
                <w:rFonts w:ascii="Times New Roman" w:eastAsia="Times New Roman" w:hAnsi="Times New Roman" w:cs="Times New Roman"/>
                <w:sz w:val="20"/>
                <w:szCs w:val="20"/>
              </w:rPr>
              <w:t>EUR</w:t>
            </w:r>
          </w:p>
        </w:tc>
        <w:tc>
          <w:tcPr>
            <w:tcW w:w="1116" w:type="dxa"/>
            <w:vAlign w:val="center"/>
            <w:hideMark/>
          </w:tcPr>
          <w:p w:rsidR="00E6354F" w:rsidRPr="00F80CD4" w:rsidRDefault="00E6354F" w:rsidP="004633A4">
            <w:pPr>
              <w:jc w:val="center"/>
              <w:cnfStyle w:val="000000100000"/>
              <w:rPr>
                <w:rFonts w:ascii="Times New Roman" w:eastAsia="Times New Roman" w:hAnsi="Times New Roman" w:cs="Times New Roman"/>
                <w:b/>
                <w:bCs/>
                <w:sz w:val="20"/>
                <w:szCs w:val="20"/>
              </w:rPr>
            </w:pPr>
            <w:r w:rsidRPr="00F80CD4">
              <w:rPr>
                <w:rFonts w:ascii="Times New Roman" w:eastAsia="Times New Roman" w:hAnsi="Times New Roman" w:cs="Times New Roman"/>
                <w:sz w:val="20"/>
                <w:szCs w:val="20"/>
              </w:rPr>
              <w:t>EUR</w:t>
            </w:r>
          </w:p>
        </w:tc>
        <w:tc>
          <w:tcPr>
            <w:tcW w:w="1060" w:type="dxa"/>
            <w:vAlign w:val="center"/>
            <w:hideMark/>
          </w:tcPr>
          <w:p w:rsidR="00E6354F" w:rsidRPr="004D5C99" w:rsidRDefault="00E6354F" w:rsidP="004633A4">
            <w:pPr>
              <w:jc w:val="center"/>
              <w:cnfStyle w:val="000000100000"/>
              <w:rPr>
                <w:rFonts w:ascii="Times New Roman" w:eastAsia="Times New Roman" w:hAnsi="Times New Roman" w:cs="Times New Roman"/>
                <w:b/>
                <w:bCs/>
                <w:sz w:val="20"/>
                <w:szCs w:val="20"/>
              </w:rPr>
            </w:pPr>
            <w:r w:rsidRPr="004D5C99">
              <w:rPr>
                <w:rFonts w:ascii="Times New Roman" w:eastAsia="Times New Roman" w:hAnsi="Times New Roman" w:cs="Times New Roman"/>
                <w:b/>
                <w:bCs/>
                <w:sz w:val="20"/>
                <w:szCs w:val="20"/>
              </w:rPr>
              <w:t xml:space="preserve">Pokytis, </w:t>
            </w:r>
            <w:r>
              <w:rPr>
                <w:rFonts w:ascii="Times New Roman" w:eastAsia="Times New Roman" w:hAnsi="Times New Roman" w:cs="Times New Roman"/>
                <w:b/>
                <w:bCs/>
                <w:sz w:val="20"/>
                <w:szCs w:val="20"/>
              </w:rPr>
              <w:t>proc.</w:t>
            </w:r>
          </w:p>
        </w:tc>
        <w:tc>
          <w:tcPr>
            <w:tcW w:w="1116" w:type="dxa"/>
            <w:vAlign w:val="center"/>
            <w:hideMark/>
          </w:tcPr>
          <w:p w:rsidR="00E6354F" w:rsidRPr="004D5C99" w:rsidRDefault="00E6354F" w:rsidP="004633A4">
            <w:pPr>
              <w:jc w:val="center"/>
              <w:cnfStyle w:val="000000100000"/>
              <w:rPr>
                <w:rFonts w:ascii="Times New Roman" w:eastAsia="Times New Roman" w:hAnsi="Times New Roman" w:cs="Times New Roman"/>
                <w:b/>
                <w:bCs/>
                <w:sz w:val="20"/>
                <w:szCs w:val="20"/>
              </w:rPr>
            </w:pPr>
            <w:r w:rsidRPr="004D5C99">
              <w:rPr>
                <w:rFonts w:ascii="Times New Roman" w:eastAsia="Times New Roman" w:hAnsi="Times New Roman" w:cs="Times New Roman"/>
                <w:sz w:val="20"/>
                <w:szCs w:val="20"/>
              </w:rPr>
              <w:t>EUR</w:t>
            </w:r>
          </w:p>
        </w:tc>
        <w:tc>
          <w:tcPr>
            <w:tcW w:w="960" w:type="dxa"/>
            <w:vAlign w:val="center"/>
            <w:hideMark/>
          </w:tcPr>
          <w:p w:rsidR="00E6354F" w:rsidRPr="004D5C99" w:rsidRDefault="00E6354F" w:rsidP="004633A4">
            <w:pPr>
              <w:jc w:val="center"/>
              <w:cnfStyle w:val="000000100000"/>
              <w:rPr>
                <w:rFonts w:ascii="Times New Roman" w:eastAsia="Times New Roman" w:hAnsi="Times New Roman" w:cs="Times New Roman"/>
                <w:b/>
                <w:bCs/>
                <w:sz w:val="20"/>
                <w:szCs w:val="20"/>
              </w:rPr>
            </w:pPr>
            <w:r w:rsidRPr="004D5C99">
              <w:rPr>
                <w:rFonts w:ascii="Times New Roman" w:eastAsia="Times New Roman" w:hAnsi="Times New Roman" w:cs="Times New Roman"/>
                <w:b/>
                <w:bCs/>
                <w:sz w:val="20"/>
                <w:szCs w:val="20"/>
              </w:rPr>
              <w:t xml:space="preserve">Pokytis, </w:t>
            </w:r>
            <w:r>
              <w:rPr>
                <w:rFonts w:ascii="Times New Roman" w:eastAsia="Times New Roman" w:hAnsi="Times New Roman" w:cs="Times New Roman"/>
                <w:b/>
                <w:bCs/>
                <w:sz w:val="20"/>
                <w:szCs w:val="20"/>
              </w:rPr>
              <w:t>proc.</w:t>
            </w:r>
          </w:p>
        </w:tc>
      </w:tr>
      <w:tr w:rsidR="00887D37" w:rsidRPr="003C2D7A" w:rsidTr="00887D37">
        <w:trPr>
          <w:cnfStyle w:val="000000010000"/>
          <w:trHeight w:val="300"/>
          <w:jc w:val="center"/>
        </w:trPr>
        <w:tc>
          <w:tcPr>
            <w:cnfStyle w:val="001000000000"/>
            <w:tcW w:w="2720" w:type="dxa"/>
            <w:hideMark/>
          </w:tcPr>
          <w:p w:rsidR="00887D37" w:rsidRPr="003C2D7A" w:rsidRDefault="00887D37" w:rsidP="00275F1A">
            <w:pPr>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Nuosavas kapitalas</w:t>
            </w:r>
          </w:p>
        </w:tc>
        <w:tc>
          <w:tcPr>
            <w:tcW w:w="1128" w:type="dxa"/>
            <w:noWrap/>
            <w:vAlign w:val="center"/>
            <w:hideMark/>
          </w:tcPr>
          <w:p w:rsidR="00887D37" w:rsidRPr="003C2D7A" w:rsidRDefault="00887D37" w:rsidP="00275F1A">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4,127,134</w:t>
            </w:r>
          </w:p>
        </w:tc>
        <w:tc>
          <w:tcPr>
            <w:tcW w:w="1116" w:type="dxa"/>
            <w:noWrap/>
            <w:vAlign w:val="center"/>
            <w:hideMark/>
          </w:tcPr>
          <w:p w:rsidR="00887D37" w:rsidRPr="003C2D7A" w:rsidRDefault="00887D37" w:rsidP="00275F1A">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4,360,645</w:t>
            </w:r>
          </w:p>
        </w:tc>
        <w:tc>
          <w:tcPr>
            <w:tcW w:w="1060" w:type="dxa"/>
            <w:noWrap/>
            <w:vAlign w:val="center"/>
            <w:hideMark/>
          </w:tcPr>
          <w:p w:rsidR="00887D37" w:rsidRPr="00CD7133" w:rsidRDefault="00887D37" w:rsidP="00275F1A">
            <w:pPr>
              <w:jc w:val="center"/>
              <w:cnfStyle w:val="00000001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5.66</w:t>
            </w:r>
          </w:p>
        </w:tc>
        <w:tc>
          <w:tcPr>
            <w:tcW w:w="1116" w:type="dxa"/>
            <w:noWrap/>
            <w:vAlign w:val="center"/>
            <w:hideMark/>
          </w:tcPr>
          <w:p w:rsidR="00887D37" w:rsidRPr="003C2D7A" w:rsidRDefault="00887D37" w:rsidP="00275F1A">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4,897,326</w:t>
            </w:r>
          </w:p>
        </w:tc>
        <w:tc>
          <w:tcPr>
            <w:tcW w:w="960" w:type="dxa"/>
            <w:noWrap/>
            <w:vAlign w:val="center"/>
            <w:hideMark/>
          </w:tcPr>
          <w:p w:rsidR="00887D37" w:rsidRPr="00CD7133" w:rsidRDefault="00887D37" w:rsidP="00275F1A">
            <w:pPr>
              <w:jc w:val="center"/>
              <w:cnfStyle w:val="00000001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12.31</w:t>
            </w:r>
          </w:p>
        </w:tc>
      </w:tr>
      <w:tr w:rsidR="00887D37" w:rsidRPr="003C2D7A" w:rsidTr="00887D37">
        <w:trPr>
          <w:cnfStyle w:val="000000100000"/>
          <w:trHeight w:val="300"/>
          <w:jc w:val="center"/>
        </w:trPr>
        <w:tc>
          <w:tcPr>
            <w:cnfStyle w:val="001000000000"/>
            <w:tcW w:w="2720" w:type="dxa"/>
            <w:hideMark/>
          </w:tcPr>
          <w:p w:rsidR="00887D37" w:rsidRPr="003C2D7A" w:rsidRDefault="00887D37" w:rsidP="00275F1A">
            <w:pPr>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 Įstatinis kapitalas</w:t>
            </w:r>
          </w:p>
        </w:tc>
        <w:tc>
          <w:tcPr>
            <w:tcW w:w="1128" w:type="dxa"/>
            <w:noWrap/>
            <w:vAlign w:val="center"/>
            <w:hideMark/>
          </w:tcPr>
          <w:p w:rsidR="00887D37" w:rsidRPr="003C2D7A" w:rsidRDefault="00887D37" w:rsidP="00275F1A">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1,147,264</w:t>
            </w:r>
          </w:p>
        </w:tc>
        <w:tc>
          <w:tcPr>
            <w:tcW w:w="1116" w:type="dxa"/>
            <w:noWrap/>
            <w:vAlign w:val="center"/>
            <w:hideMark/>
          </w:tcPr>
          <w:p w:rsidR="00887D37" w:rsidRPr="003C2D7A" w:rsidRDefault="00887D37" w:rsidP="00275F1A">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1,129,286</w:t>
            </w:r>
          </w:p>
        </w:tc>
        <w:tc>
          <w:tcPr>
            <w:tcW w:w="1060" w:type="dxa"/>
            <w:noWrap/>
            <w:vAlign w:val="center"/>
            <w:hideMark/>
          </w:tcPr>
          <w:p w:rsidR="00887D37" w:rsidRPr="00CD7133" w:rsidRDefault="00887D37" w:rsidP="00275F1A">
            <w:pPr>
              <w:jc w:val="center"/>
              <w:cnfStyle w:val="00000010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-1.57</w:t>
            </w:r>
          </w:p>
        </w:tc>
        <w:tc>
          <w:tcPr>
            <w:tcW w:w="1116" w:type="dxa"/>
            <w:noWrap/>
            <w:vAlign w:val="center"/>
            <w:hideMark/>
          </w:tcPr>
          <w:p w:rsidR="00887D37" w:rsidRPr="003C2D7A" w:rsidRDefault="00887D37" w:rsidP="00275F1A">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1,122,027</w:t>
            </w:r>
          </w:p>
        </w:tc>
        <w:tc>
          <w:tcPr>
            <w:tcW w:w="960" w:type="dxa"/>
            <w:noWrap/>
            <w:vAlign w:val="center"/>
            <w:hideMark/>
          </w:tcPr>
          <w:p w:rsidR="00887D37" w:rsidRPr="00CD7133" w:rsidRDefault="00887D37" w:rsidP="00275F1A">
            <w:pPr>
              <w:jc w:val="center"/>
              <w:cnfStyle w:val="00000010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-0.64</w:t>
            </w:r>
          </w:p>
        </w:tc>
      </w:tr>
      <w:tr w:rsidR="00887D37" w:rsidRPr="003C2D7A" w:rsidTr="00887D37">
        <w:trPr>
          <w:cnfStyle w:val="000000010000"/>
          <w:trHeight w:val="300"/>
          <w:jc w:val="center"/>
        </w:trPr>
        <w:tc>
          <w:tcPr>
            <w:cnfStyle w:val="001000000000"/>
            <w:tcW w:w="2720" w:type="dxa"/>
            <w:hideMark/>
          </w:tcPr>
          <w:p w:rsidR="00887D37" w:rsidRPr="003C2D7A" w:rsidRDefault="00887D37" w:rsidP="00275F1A">
            <w:pPr>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 Nepaskirstytas pelnas</w:t>
            </w:r>
          </w:p>
        </w:tc>
        <w:tc>
          <w:tcPr>
            <w:tcW w:w="1128" w:type="dxa"/>
            <w:noWrap/>
            <w:vAlign w:val="center"/>
            <w:hideMark/>
          </w:tcPr>
          <w:p w:rsidR="00887D37" w:rsidRPr="003C2D7A" w:rsidRDefault="00887D37" w:rsidP="00275F1A">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2,979,870</w:t>
            </w:r>
          </w:p>
        </w:tc>
        <w:tc>
          <w:tcPr>
            <w:tcW w:w="1116" w:type="dxa"/>
            <w:noWrap/>
            <w:vAlign w:val="center"/>
            <w:hideMark/>
          </w:tcPr>
          <w:p w:rsidR="00887D37" w:rsidRPr="003C2D7A" w:rsidRDefault="00887D37" w:rsidP="00275F1A">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3,231,358</w:t>
            </w:r>
          </w:p>
        </w:tc>
        <w:tc>
          <w:tcPr>
            <w:tcW w:w="1060" w:type="dxa"/>
            <w:noWrap/>
            <w:vAlign w:val="center"/>
            <w:hideMark/>
          </w:tcPr>
          <w:p w:rsidR="00887D37" w:rsidRPr="00CD7133" w:rsidRDefault="00887D37" w:rsidP="00275F1A">
            <w:pPr>
              <w:jc w:val="center"/>
              <w:cnfStyle w:val="00000001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8.44</w:t>
            </w:r>
          </w:p>
        </w:tc>
        <w:tc>
          <w:tcPr>
            <w:tcW w:w="1116" w:type="dxa"/>
            <w:noWrap/>
            <w:vAlign w:val="center"/>
            <w:hideMark/>
          </w:tcPr>
          <w:p w:rsidR="00887D37" w:rsidRPr="003C2D7A" w:rsidRDefault="00887D37" w:rsidP="00275F1A">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3,775,299</w:t>
            </w:r>
          </w:p>
        </w:tc>
        <w:tc>
          <w:tcPr>
            <w:tcW w:w="960" w:type="dxa"/>
            <w:noWrap/>
            <w:vAlign w:val="center"/>
            <w:hideMark/>
          </w:tcPr>
          <w:p w:rsidR="00887D37" w:rsidRPr="00CD7133" w:rsidRDefault="00887D37" w:rsidP="00275F1A">
            <w:pPr>
              <w:jc w:val="center"/>
              <w:cnfStyle w:val="00000001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16.83</w:t>
            </w:r>
          </w:p>
        </w:tc>
      </w:tr>
      <w:tr w:rsidR="00887D37" w:rsidRPr="003C2D7A" w:rsidTr="00887D37">
        <w:trPr>
          <w:cnfStyle w:val="000000100000"/>
          <w:trHeight w:val="300"/>
          <w:jc w:val="center"/>
        </w:trPr>
        <w:tc>
          <w:tcPr>
            <w:cnfStyle w:val="001000000000"/>
            <w:tcW w:w="2720" w:type="dxa"/>
            <w:hideMark/>
          </w:tcPr>
          <w:p w:rsidR="00887D37" w:rsidRPr="003C2D7A" w:rsidRDefault="00887D37" w:rsidP="00275F1A">
            <w:pPr>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Įlgalaikiai įsipareigojimai</w:t>
            </w:r>
          </w:p>
        </w:tc>
        <w:tc>
          <w:tcPr>
            <w:tcW w:w="1128" w:type="dxa"/>
            <w:noWrap/>
            <w:vAlign w:val="center"/>
            <w:hideMark/>
          </w:tcPr>
          <w:p w:rsidR="00887D37" w:rsidRPr="003C2D7A" w:rsidRDefault="00887D37" w:rsidP="00275F1A">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3,243,869</w:t>
            </w:r>
          </w:p>
        </w:tc>
        <w:tc>
          <w:tcPr>
            <w:tcW w:w="1116" w:type="dxa"/>
            <w:noWrap/>
            <w:vAlign w:val="center"/>
            <w:hideMark/>
          </w:tcPr>
          <w:p w:rsidR="00887D37" w:rsidRPr="003C2D7A" w:rsidRDefault="00887D37" w:rsidP="00275F1A">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5,258,113</w:t>
            </w:r>
          </w:p>
        </w:tc>
        <w:tc>
          <w:tcPr>
            <w:tcW w:w="1060" w:type="dxa"/>
            <w:noWrap/>
            <w:vAlign w:val="center"/>
            <w:hideMark/>
          </w:tcPr>
          <w:p w:rsidR="00887D37" w:rsidRPr="00CD7133" w:rsidRDefault="00887D37" w:rsidP="00275F1A">
            <w:pPr>
              <w:jc w:val="center"/>
              <w:cnfStyle w:val="00000010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62.09</w:t>
            </w:r>
          </w:p>
        </w:tc>
        <w:tc>
          <w:tcPr>
            <w:tcW w:w="1116" w:type="dxa"/>
            <w:noWrap/>
            <w:vAlign w:val="center"/>
            <w:hideMark/>
          </w:tcPr>
          <w:p w:rsidR="00887D37" w:rsidRPr="003C2D7A" w:rsidRDefault="00887D37" w:rsidP="00275F1A">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5,745,421</w:t>
            </w:r>
          </w:p>
        </w:tc>
        <w:tc>
          <w:tcPr>
            <w:tcW w:w="960" w:type="dxa"/>
            <w:noWrap/>
            <w:vAlign w:val="center"/>
            <w:hideMark/>
          </w:tcPr>
          <w:p w:rsidR="00887D37" w:rsidRPr="00CD7133" w:rsidRDefault="00887D37" w:rsidP="00275F1A">
            <w:pPr>
              <w:jc w:val="center"/>
              <w:cnfStyle w:val="00000010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9.27</w:t>
            </w:r>
          </w:p>
        </w:tc>
      </w:tr>
      <w:tr w:rsidR="00887D37" w:rsidRPr="003C2D7A" w:rsidTr="00887D37">
        <w:trPr>
          <w:cnfStyle w:val="000000010000"/>
          <w:trHeight w:val="300"/>
          <w:jc w:val="center"/>
        </w:trPr>
        <w:tc>
          <w:tcPr>
            <w:cnfStyle w:val="001000000000"/>
            <w:tcW w:w="2720" w:type="dxa"/>
            <w:hideMark/>
          </w:tcPr>
          <w:p w:rsidR="00887D37" w:rsidRPr="003C2D7A" w:rsidRDefault="00887D37" w:rsidP="00275F1A">
            <w:pPr>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 Ilgalaikės skolos</w:t>
            </w:r>
          </w:p>
        </w:tc>
        <w:tc>
          <w:tcPr>
            <w:tcW w:w="1128" w:type="dxa"/>
            <w:noWrap/>
            <w:vAlign w:val="center"/>
            <w:hideMark/>
          </w:tcPr>
          <w:p w:rsidR="00887D37" w:rsidRPr="003C2D7A" w:rsidRDefault="00887D37" w:rsidP="00275F1A">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3,243,869</w:t>
            </w:r>
          </w:p>
        </w:tc>
        <w:tc>
          <w:tcPr>
            <w:tcW w:w="1116" w:type="dxa"/>
            <w:noWrap/>
            <w:vAlign w:val="center"/>
            <w:hideMark/>
          </w:tcPr>
          <w:p w:rsidR="00887D37" w:rsidRPr="003C2D7A" w:rsidRDefault="00887D37" w:rsidP="00275F1A">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5,258,113</w:t>
            </w:r>
          </w:p>
        </w:tc>
        <w:tc>
          <w:tcPr>
            <w:tcW w:w="1060" w:type="dxa"/>
            <w:noWrap/>
            <w:vAlign w:val="center"/>
            <w:hideMark/>
          </w:tcPr>
          <w:p w:rsidR="00887D37" w:rsidRPr="00CD7133" w:rsidRDefault="00887D37" w:rsidP="00275F1A">
            <w:pPr>
              <w:jc w:val="center"/>
              <w:cnfStyle w:val="00000001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62.09</w:t>
            </w:r>
          </w:p>
        </w:tc>
        <w:tc>
          <w:tcPr>
            <w:tcW w:w="1116" w:type="dxa"/>
            <w:noWrap/>
            <w:vAlign w:val="center"/>
            <w:hideMark/>
          </w:tcPr>
          <w:p w:rsidR="00887D37" w:rsidRPr="003C2D7A" w:rsidRDefault="00887D37" w:rsidP="00275F1A">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5,745,421</w:t>
            </w:r>
          </w:p>
        </w:tc>
        <w:tc>
          <w:tcPr>
            <w:tcW w:w="960" w:type="dxa"/>
            <w:noWrap/>
            <w:vAlign w:val="center"/>
            <w:hideMark/>
          </w:tcPr>
          <w:p w:rsidR="00887D37" w:rsidRPr="00CD7133" w:rsidRDefault="00887D37" w:rsidP="00275F1A">
            <w:pPr>
              <w:jc w:val="center"/>
              <w:cnfStyle w:val="00000001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9.27</w:t>
            </w:r>
          </w:p>
        </w:tc>
      </w:tr>
      <w:tr w:rsidR="00887D37" w:rsidRPr="003C2D7A" w:rsidTr="00887D37">
        <w:trPr>
          <w:cnfStyle w:val="000000100000"/>
          <w:trHeight w:val="300"/>
          <w:jc w:val="center"/>
        </w:trPr>
        <w:tc>
          <w:tcPr>
            <w:cnfStyle w:val="001000000000"/>
            <w:tcW w:w="2720" w:type="dxa"/>
            <w:hideMark/>
          </w:tcPr>
          <w:p w:rsidR="00887D37" w:rsidRPr="003C2D7A" w:rsidRDefault="00887D37" w:rsidP="00275F1A">
            <w:pPr>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 Kiti ilgalaikiai įsipareigojimai</w:t>
            </w:r>
          </w:p>
        </w:tc>
        <w:tc>
          <w:tcPr>
            <w:tcW w:w="1128" w:type="dxa"/>
            <w:noWrap/>
            <w:vAlign w:val="center"/>
            <w:hideMark/>
          </w:tcPr>
          <w:p w:rsidR="00887D37" w:rsidRPr="003C2D7A" w:rsidRDefault="00887D37" w:rsidP="00275F1A">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0</w:t>
            </w:r>
          </w:p>
        </w:tc>
        <w:tc>
          <w:tcPr>
            <w:tcW w:w="1116" w:type="dxa"/>
            <w:noWrap/>
            <w:vAlign w:val="center"/>
            <w:hideMark/>
          </w:tcPr>
          <w:p w:rsidR="00887D37" w:rsidRPr="003C2D7A" w:rsidRDefault="00887D37" w:rsidP="00275F1A">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0</w:t>
            </w:r>
          </w:p>
        </w:tc>
        <w:tc>
          <w:tcPr>
            <w:tcW w:w="1060" w:type="dxa"/>
            <w:noWrap/>
            <w:vAlign w:val="center"/>
            <w:hideMark/>
          </w:tcPr>
          <w:p w:rsidR="00887D37" w:rsidRPr="00CD7133" w:rsidRDefault="00887D37" w:rsidP="00275F1A">
            <w:pPr>
              <w:jc w:val="center"/>
              <w:cnfStyle w:val="00000010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0.00</w:t>
            </w:r>
          </w:p>
        </w:tc>
        <w:tc>
          <w:tcPr>
            <w:tcW w:w="1116" w:type="dxa"/>
            <w:noWrap/>
            <w:vAlign w:val="center"/>
            <w:hideMark/>
          </w:tcPr>
          <w:p w:rsidR="00887D37" w:rsidRPr="003C2D7A" w:rsidRDefault="00887D37" w:rsidP="00275F1A">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0</w:t>
            </w:r>
          </w:p>
        </w:tc>
        <w:tc>
          <w:tcPr>
            <w:tcW w:w="960" w:type="dxa"/>
            <w:noWrap/>
            <w:vAlign w:val="center"/>
            <w:hideMark/>
          </w:tcPr>
          <w:p w:rsidR="00887D37" w:rsidRPr="00CD7133" w:rsidRDefault="00887D37" w:rsidP="00275F1A">
            <w:pPr>
              <w:jc w:val="center"/>
              <w:cnfStyle w:val="00000010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0.00</w:t>
            </w:r>
          </w:p>
        </w:tc>
      </w:tr>
      <w:tr w:rsidR="00887D37" w:rsidRPr="003C2D7A" w:rsidTr="00887D37">
        <w:trPr>
          <w:cnfStyle w:val="000000010000"/>
          <w:trHeight w:val="300"/>
          <w:jc w:val="center"/>
        </w:trPr>
        <w:tc>
          <w:tcPr>
            <w:cnfStyle w:val="001000000000"/>
            <w:tcW w:w="2720" w:type="dxa"/>
            <w:hideMark/>
          </w:tcPr>
          <w:p w:rsidR="00887D37" w:rsidRPr="003C2D7A" w:rsidRDefault="00887D37" w:rsidP="00275F1A">
            <w:pPr>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Trumpalaikiai įsipareigojimai</w:t>
            </w:r>
          </w:p>
        </w:tc>
        <w:tc>
          <w:tcPr>
            <w:tcW w:w="1128" w:type="dxa"/>
            <w:noWrap/>
            <w:vAlign w:val="center"/>
            <w:hideMark/>
          </w:tcPr>
          <w:p w:rsidR="00887D37" w:rsidRPr="003C2D7A" w:rsidRDefault="00887D37" w:rsidP="00275F1A">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3,172,399</w:t>
            </w:r>
          </w:p>
        </w:tc>
        <w:tc>
          <w:tcPr>
            <w:tcW w:w="1116" w:type="dxa"/>
            <w:noWrap/>
            <w:vAlign w:val="center"/>
            <w:hideMark/>
          </w:tcPr>
          <w:p w:rsidR="00887D37" w:rsidRPr="003C2D7A" w:rsidRDefault="00887D37" w:rsidP="00275F1A">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2,719,114</w:t>
            </w:r>
          </w:p>
        </w:tc>
        <w:tc>
          <w:tcPr>
            <w:tcW w:w="1060" w:type="dxa"/>
            <w:noWrap/>
            <w:vAlign w:val="center"/>
            <w:hideMark/>
          </w:tcPr>
          <w:p w:rsidR="00887D37" w:rsidRPr="00CD7133" w:rsidRDefault="00887D37" w:rsidP="00275F1A">
            <w:pPr>
              <w:jc w:val="center"/>
              <w:cnfStyle w:val="00000001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-14.29</w:t>
            </w:r>
          </w:p>
        </w:tc>
        <w:tc>
          <w:tcPr>
            <w:tcW w:w="1116" w:type="dxa"/>
            <w:noWrap/>
            <w:vAlign w:val="center"/>
            <w:hideMark/>
          </w:tcPr>
          <w:p w:rsidR="00887D37" w:rsidRPr="003C2D7A" w:rsidRDefault="00887D37" w:rsidP="00275F1A">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1,542,592</w:t>
            </w:r>
          </w:p>
        </w:tc>
        <w:tc>
          <w:tcPr>
            <w:tcW w:w="960" w:type="dxa"/>
            <w:noWrap/>
            <w:vAlign w:val="center"/>
            <w:hideMark/>
          </w:tcPr>
          <w:p w:rsidR="00887D37" w:rsidRPr="00CD7133" w:rsidRDefault="00887D37" w:rsidP="00275F1A">
            <w:pPr>
              <w:jc w:val="center"/>
              <w:cnfStyle w:val="00000001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-43.27</w:t>
            </w:r>
          </w:p>
        </w:tc>
      </w:tr>
      <w:tr w:rsidR="00887D37" w:rsidRPr="003C2D7A" w:rsidTr="00887D37">
        <w:trPr>
          <w:cnfStyle w:val="000000100000"/>
          <w:trHeight w:val="300"/>
          <w:jc w:val="center"/>
        </w:trPr>
        <w:tc>
          <w:tcPr>
            <w:cnfStyle w:val="001000000000"/>
            <w:tcW w:w="2720" w:type="dxa"/>
            <w:hideMark/>
          </w:tcPr>
          <w:p w:rsidR="00887D37" w:rsidRPr="003C2D7A" w:rsidRDefault="00887D37" w:rsidP="00275F1A">
            <w:pPr>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 Trumpalaikės paskolos</w:t>
            </w:r>
          </w:p>
        </w:tc>
        <w:tc>
          <w:tcPr>
            <w:tcW w:w="1128" w:type="dxa"/>
            <w:noWrap/>
            <w:vAlign w:val="center"/>
            <w:hideMark/>
          </w:tcPr>
          <w:p w:rsidR="00887D37" w:rsidRPr="003C2D7A" w:rsidRDefault="00887D37" w:rsidP="00275F1A">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994,921</w:t>
            </w:r>
          </w:p>
        </w:tc>
        <w:tc>
          <w:tcPr>
            <w:tcW w:w="1116" w:type="dxa"/>
            <w:noWrap/>
            <w:vAlign w:val="center"/>
            <w:hideMark/>
          </w:tcPr>
          <w:p w:rsidR="00887D37" w:rsidRPr="003C2D7A" w:rsidRDefault="00887D37" w:rsidP="00275F1A">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1,005,795</w:t>
            </w:r>
          </w:p>
        </w:tc>
        <w:tc>
          <w:tcPr>
            <w:tcW w:w="1060" w:type="dxa"/>
            <w:noWrap/>
            <w:vAlign w:val="center"/>
            <w:hideMark/>
          </w:tcPr>
          <w:p w:rsidR="00887D37" w:rsidRPr="00CD7133" w:rsidRDefault="00887D37" w:rsidP="00275F1A">
            <w:pPr>
              <w:jc w:val="center"/>
              <w:cnfStyle w:val="00000010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1.09</w:t>
            </w:r>
          </w:p>
        </w:tc>
        <w:tc>
          <w:tcPr>
            <w:tcW w:w="1116" w:type="dxa"/>
            <w:noWrap/>
            <w:vAlign w:val="center"/>
            <w:hideMark/>
          </w:tcPr>
          <w:p w:rsidR="00887D37" w:rsidRPr="003C2D7A" w:rsidRDefault="00887D37" w:rsidP="00275F1A">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109,826</w:t>
            </w:r>
          </w:p>
        </w:tc>
        <w:tc>
          <w:tcPr>
            <w:tcW w:w="960" w:type="dxa"/>
            <w:noWrap/>
            <w:vAlign w:val="center"/>
            <w:hideMark/>
          </w:tcPr>
          <w:p w:rsidR="00887D37" w:rsidRPr="00CD7133" w:rsidRDefault="00887D37" w:rsidP="00275F1A">
            <w:pPr>
              <w:jc w:val="center"/>
              <w:cnfStyle w:val="00000010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-89.08</w:t>
            </w:r>
          </w:p>
        </w:tc>
      </w:tr>
      <w:tr w:rsidR="00887D37" w:rsidRPr="003C2D7A" w:rsidTr="00887D37">
        <w:trPr>
          <w:cnfStyle w:val="000000010000"/>
          <w:trHeight w:val="300"/>
          <w:jc w:val="center"/>
        </w:trPr>
        <w:tc>
          <w:tcPr>
            <w:cnfStyle w:val="001000000000"/>
            <w:tcW w:w="2720" w:type="dxa"/>
            <w:hideMark/>
          </w:tcPr>
          <w:p w:rsidR="00887D37" w:rsidRPr="003C2D7A" w:rsidRDefault="00887D37" w:rsidP="00275F1A">
            <w:pPr>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 Skolos tiekėjams</w:t>
            </w:r>
          </w:p>
        </w:tc>
        <w:tc>
          <w:tcPr>
            <w:tcW w:w="1128" w:type="dxa"/>
            <w:noWrap/>
            <w:vAlign w:val="center"/>
            <w:hideMark/>
          </w:tcPr>
          <w:p w:rsidR="00887D37" w:rsidRPr="003C2D7A" w:rsidRDefault="00887D37" w:rsidP="00275F1A">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1,196,723</w:t>
            </w:r>
          </w:p>
        </w:tc>
        <w:tc>
          <w:tcPr>
            <w:tcW w:w="1116" w:type="dxa"/>
            <w:noWrap/>
            <w:vAlign w:val="center"/>
            <w:hideMark/>
          </w:tcPr>
          <w:p w:rsidR="00887D37" w:rsidRPr="003C2D7A" w:rsidRDefault="00887D37" w:rsidP="00275F1A">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980,614</w:t>
            </w:r>
          </w:p>
        </w:tc>
        <w:tc>
          <w:tcPr>
            <w:tcW w:w="1060" w:type="dxa"/>
            <w:noWrap/>
            <w:vAlign w:val="center"/>
            <w:hideMark/>
          </w:tcPr>
          <w:p w:rsidR="00887D37" w:rsidRPr="00CD7133" w:rsidRDefault="00887D37" w:rsidP="00275F1A">
            <w:pPr>
              <w:jc w:val="center"/>
              <w:cnfStyle w:val="00000001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-18.06</w:t>
            </w:r>
          </w:p>
        </w:tc>
        <w:tc>
          <w:tcPr>
            <w:tcW w:w="1116" w:type="dxa"/>
            <w:noWrap/>
            <w:vAlign w:val="center"/>
            <w:hideMark/>
          </w:tcPr>
          <w:p w:rsidR="00887D37" w:rsidRPr="003C2D7A" w:rsidRDefault="00887D37" w:rsidP="00275F1A">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833,502</w:t>
            </w:r>
          </w:p>
        </w:tc>
        <w:tc>
          <w:tcPr>
            <w:tcW w:w="960" w:type="dxa"/>
            <w:noWrap/>
            <w:vAlign w:val="center"/>
            <w:hideMark/>
          </w:tcPr>
          <w:p w:rsidR="00887D37" w:rsidRPr="00CD7133" w:rsidRDefault="00887D37" w:rsidP="00275F1A">
            <w:pPr>
              <w:jc w:val="center"/>
              <w:cnfStyle w:val="00000001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-15.00</w:t>
            </w:r>
          </w:p>
        </w:tc>
      </w:tr>
      <w:tr w:rsidR="00887D37" w:rsidRPr="003C2D7A" w:rsidTr="00887D37">
        <w:trPr>
          <w:cnfStyle w:val="000000100000"/>
          <w:trHeight w:val="300"/>
          <w:jc w:val="center"/>
        </w:trPr>
        <w:tc>
          <w:tcPr>
            <w:cnfStyle w:val="001000000000"/>
            <w:tcW w:w="2720" w:type="dxa"/>
            <w:hideMark/>
          </w:tcPr>
          <w:p w:rsidR="00887D37" w:rsidRPr="003C2D7A" w:rsidRDefault="00887D37" w:rsidP="00275F1A">
            <w:pPr>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 Kiti trumpalaikiai įsipareigojimai</w:t>
            </w:r>
          </w:p>
        </w:tc>
        <w:tc>
          <w:tcPr>
            <w:tcW w:w="1128" w:type="dxa"/>
            <w:noWrap/>
            <w:vAlign w:val="center"/>
            <w:hideMark/>
          </w:tcPr>
          <w:p w:rsidR="00887D37" w:rsidRPr="003C2D7A" w:rsidRDefault="00887D37" w:rsidP="00275F1A">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980,756</w:t>
            </w:r>
          </w:p>
        </w:tc>
        <w:tc>
          <w:tcPr>
            <w:tcW w:w="1116" w:type="dxa"/>
            <w:noWrap/>
            <w:vAlign w:val="center"/>
            <w:hideMark/>
          </w:tcPr>
          <w:p w:rsidR="00887D37" w:rsidRPr="003C2D7A" w:rsidRDefault="00887D37" w:rsidP="00275F1A">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732,705</w:t>
            </w:r>
          </w:p>
        </w:tc>
        <w:tc>
          <w:tcPr>
            <w:tcW w:w="1060" w:type="dxa"/>
            <w:noWrap/>
            <w:vAlign w:val="center"/>
            <w:hideMark/>
          </w:tcPr>
          <w:p w:rsidR="00887D37" w:rsidRPr="00CD7133" w:rsidRDefault="00887D37" w:rsidP="00275F1A">
            <w:pPr>
              <w:jc w:val="center"/>
              <w:cnfStyle w:val="00000010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-25.29</w:t>
            </w:r>
          </w:p>
        </w:tc>
        <w:tc>
          <w:tcPr>
            <w:tcW w:w="1116" w:type="dxa"/>
            <w:noWrap/>
            <w:vAlign w:val="center"/>
            <w:hideMark/>
          </w:tcPr>
          <w:p w:rsidR="00887D37" w:rsidRPr="003C2D7A" w:rsidRDefault="00887D37" w:rsidP="00275F1A">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599,264</w:t>
            </w:r>
          </w:p>
        </w:tc>
        <w:tc>
          <w:tcPr>
            <w:tcW w:w="960" w:type="dxa"/>
            <w:noWrap/>
            <w:vAlign w:val="center"/>
            <w:hideMark/>
          </w:tcPr>
          <w:p w:rsidR="00887D37" w:rsidRPr="00CD7133" w:rsidRDefault="00887D37" w:rsidP="00275F1A">
            <w:pPr>
              <w:jc w:val="center"/>
              <w:cnfStyle w:val="00000010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-18.21</w:t>
            </w:r>
          </w:p>
        </w:tc>
      </w:tr>
      <w:tr w:rsidR="00887D37" w:rsidRPr="003C2D7A" w:rsidTr="00887D37">
        <w:trPr>
          <w:cnfStyle w:val="000000010000"/>
          <w:trHeight w:val="510"/>
          <w:jc w:val="center"/>
        </w:trPr>
        <w:tc>
          <w:tcPr>
            <w:cnfStyle w:val="001000000000"/>
            <w:tcW w:w="2720" w:type="dxa"/>
            <w:hideMark/>
          </w:tcPr>
          <w:p w:rsidR="00887D37" w:rsidRPr="003C2D7A" w:rsidRDefault="00887D37" w:rsidP="00275F1A">
            <w:pPr>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NUOSAVO KAPITALO IR ĮSIPAREIGOJIMŲ IŠ VISO</w:t>
            </w:r>
          </w:p>
        </w:tc>
        <w:tc>
          <w:tcPr>
            <w:tcW w:w="1128" w:type="dxa"/>
            <w:noWrap/>
            <w:vAlign w:val="center"/>
            <w:hideMark/>
          </w:tcPr>
          <w:p w:rsidR="00887D37" w:rsidRPr="00CD7133" w:rsidRDefault="00887D37" w:rsidP="00275F1A">
            <w:pPr>
              <w:jc w:val="center"/>
              <w:cnfStyle w:val="000000010000"/>
              <w:rPr>
                <w:rFonts w:ascii="Times New Roman" w:eastAsia="Times New Roman" w:hAnsi="Times New Roman" w:cs="Times New Roman"/>
                <w:b/>
                <w:sz w:val="20"/>
                <w:szCs w:val="20"/>
              </w:rPr>
            </w:pPr>
            <w:r w:rsidRPr="00CD7133">
              <w:rPr>
                <w:rFonts w:ascii="Times New Roman" w:eastAsia="Times New Roman" w:hAnsi="Times New Roman" w:cs="Times New Roman"/>
                <w:b/>
                <w:sz w:val="20"/>
                <w:szCs w:val="20"/>
              </w:rPr>
              <w:t>10,543,402</w:t>
            </w:r>
          </w:p>
        </w:tc>
        <w:tc>
          <w:tcPr>
            <w:tcW w:w="1116" w:type="dxa"/>
            <w:noWrap/>
            <w:vAlign w:val="center"/>
            <w:hideMark/>
          </w:tcPr>
          <w:p w:rsidR="00887D37" w:rsidRPr="00CD7133" w:rsidRDefault="00887D37" w:rsidP="00275F1A">
            <w:pPr>
              <w:jc w:val="center"/>
              <w:cnfStyle w:val="000000010000"/>
              <w:rPr>
                <w:rFonts w:ascii="Times New Roman" w:eastAsia="Times New Roman" w:hAnsi="Times New Roman" w:cs="Times New Roman"/>
                <w:b/>
                <w:sz w:val="20"/>
                <w:szCs w:val="20"/>
              </w:rPr>
            </w:pPr>
            <w:r w:rsidRPr="00CD7133">
              <w:rPr>
                <w:rFonts w:ascii="Times New Roman" w:eastAsia="Times New Roman" w:hAnsi="Times New Roman" w:cs="Times New Roman"/>
                <w:b/>
                <w:sz w:val="20"/>
                <w:szCs w:val="20"/>
              </w:rPr>
              <w:t>12,337,871</w:t>
            </w:r>
          </w:p>
        </w:tc>
        <w:tc>
          <w:tcPr>
            <w:tcW w:w="1060" w:type="dxa"/>
            <w:noWrap/>
            <w:vAlign w:val="center"/>
            <w:hideMark/>
          </w:tcPr>
          <w:p w:rsidR="00887D37" w:rsidRPr="00CD7133" w:rsidRDefault="00887D37" w:rsidP="00275F1A">
            <w:pPr>
              <w:jc w:val="center"/>
              <w:cnfStyle w:val="000000010000"/>
              <w:rPr>
                <w:rFonts w:ascii="Times New Roman" w:eastAsia="Times New Roman" w:hAnsi="Times New Roman" w:cs="Times New Roman"/>
                <w:b/>
                <w:i/>
                <w:sz w:val="20"/>
                <w:szCs w:val="20"/>
              </w:rPr>
            </w:pPr>
            <w:r w:rsidRPr="00CD7133">
              <w:rPr>
                <w:rFonts w:ascii="Times New Roman" w:eastAsia="Times New Roman" w:hAnsi="Times New Roman" w:cs="Times New Roman"/>
                <w:b/>
                <w:i/>
                <w:sz w:val="20"/>
                <w:szCs w:val="20"/>
              </w:rPr>
              <w:t>17.02</w:t>
            </w:r>
          </w:p>
        </w:tc>
        <w:tc>
          <w:tcPr>
            <w:tcW w:w="1116" w:type="dxa"/>
            <w:noWrap/>
            <w:vAlign w:val="center"/>
            <w:hideMark/>
          </w:tcPr>
          <w:p w:rsidR="00887D37" w:rsidRPr="00CD7133" w:rsidRDefault="00887D37" w:rsidP="00275F1A">
            <w:pPr>
              <w:jc w:val="center"/>
              <w:cnfStyle w:val="000000010000"/>
              <w:rPr>
                <w:rFonts w:ascii="Times New Roman" w:eastAsia="Times New Roman" w:hAnsi="Times New Roman" w:cs="Times New Roman"/>
                <w:b/>
                <w:sz w:val="20"/>
                <w:szCs w:val="20"/>
              </w:rPr>
            </w:pPr>
            <w:r w:rsidRPr="00CD7133">
              <w:rPr>
                <w:rFonts w:ascii="Times New Roman" w:eastAsia="Times New Roman" w:hAnsi="Times New Roman" w:cs="Times New Roman"/>
                <w:b/>
                <w:sz w:val="20"/>
                <w:szCs w:val="20"/>
              </w:rPr>
              <w:t>12,185,339</w:t>
            </w:r>
          </w:p>
        </w:tc>
        <w:tc>
          <w:tcPr>
            <w:tcW w:w="960" w:type="dxa"/>
            <w:noWrap/>
            <w:vAlign w:val="center"/>
            <w:hideMark/>
          </w:tcPr>
          <w:p w:rsidR="00887D37" w:rsidRPr="00CD7133" w:rsidRDefault="00887D37" w:rsidP="00275F1A">
            <w:pPr>
              <w:jc w:val="center"/>
              <w:cnfStyle w:val="000000010000"/>
              <w:rPr>
                <w:rFonts w:ascii="Times New Roman" w:eastAsia="Times New Roman" w:hAnsi="Times New Roman" w:cs="Times New Roman"/>
                <w:b/>
                <w:i/>
                <w:sz w:val="20"/>
                <w:szCs w:val="20"/>
              </w:rPr>
            </w:pPr>
            <w:r w:rsidRPr="00CD7133">
              <w:rPr>
                <w:rFonts w:ascii="Times New Roman" w:eastAsia="Times New Roman" w:hAnsi="Times New Roman" w:cs="Times New Roman"/>
                <w:b/>
                <w:i/>
                <w:sz w:val="20"/>
                <w:szCs w:val="20"/>
              </w:rPr>
              <w:t>-1.24</w:t>
            </w:r>
          </w:p>
        </w:tc>
      </w:tr>
    </w:tbl>
    <w:p w:rsidR="00887D37" w:rsidRDefault="00887D37" w:rsidP="006014D3">
      <w:pPr>
        <w:rPr>
          <w:rFonts w:ascii="Times New Roman" w:hAnsi="Times New Roman" w:cs="Times New Roman"/>
          <w:sz w:val="24"/>
          <w:szCs w:val="24"/>
          <w:lang w:val="lt-LT"/>
        </w:rPr>
      </w:pPr>
    </w:p>
    <w:p w:rsidR="00887D37" w:rsidRDefault="00887D37" w:rsidP="006014D3">
      <w:pPr>
        <w:rPr>
          <w:rFonts w:ascii="Times New Roman" w:hAnsi="Times New Roman" w:cs="Times New Roman"/>
          <w:sz w:val="24"/>
          <w:szCs w:val="24"/>
          <w:lang w:val="lt-LT"/>
        </w:rPr>
      </w:pPr>
    </w:p>
    <w:p w:rsidR="00887D37" w:rsidRDefault="00887D37" w:rsidP="006014D3">
      <w:pPr>
        <w:rPr>
          <w:rFonts w:ascii="Times New Roman" w:hAnsi="Times New Roman" w:cs="Times New Roman"/>
          <w:sz w:val="24"/>
          <w:szCs w:val="24"/>
          <w:lang w:val="lt-LT"/>
        </w:rPr>
      </w:pPr>
    </w:p>
    <w:p w:rsidR="00887D37" w:rsidRDefault="00887D37" w:rsidP="006014D3">
      <w:pPr>
        <w:rPr>
          <w:rFonts w:ascii="Times New Roman" w:hAnsi="Times New Roman" w:cs="Times New Roman"/>
          <w:sz w:val="24"/>
          <w:szCs w:val="24"/>
          <w:lang w:val="lt-LT"/>
        </w:rPr>
      </w:pPr>
    </w:p>
    <w:p w:rsidR="00887D37" w:rsidRDefault="00887D37" w:rsidP="006014D3">
      <w:pPr>
        <w:rPr>
          <w:rFonts w:ascii="Times New Roman" w:hAnsi="Times New Roman" w:cs="Times New Roman"/>
          <w:sz w:val="24"/>
          <w:szCs w:val="24"/>
          <w:lang w:val="lt-LT"/>
        </w:rPr>
      </w:pPr>
    </w:p>
    <w:p w:rsidR="00887D37" w:rsidRDefault="00887D37" w:rsidP="006014D3">
      <w:pPr>
        <w:rPr>
          <w:rFonts w:ascii="Times New Roman" w:hAnsi="Times New Roman" w:cs="Times New Roman"/>
          <w:sz w:val="24"/>
          <w:szCs w:val="24"/>
          <w:lang w:val="lt-LT"/>
        </w:rPr>
      </w:pPr>
    </w:p>
    <w:p w:rsidR="00887D37" w:rsidRDefault="00887D37" w:rsidP="006014D3">
      <w:pPr>
        <w:rPr>
          <w:rFonts w:ascii="Times New Roman" w:hAnsi="Times New Roman" w:cs="Times New Roman"/>
          <w:sz w:val="24"/>
          <w:szCs w:val="24"/>
          <w:lang w:val="lt-LT"/>
        </w:rPr>
      </w:pPr>
    </w:p>
    <w:p w:rsidR="004D5C99" w:rsidRDefault="00887D37" w:rsidP="004D5C99">
      <w:pPr>
        <w:spacing w:after="0"/>
        <w:contextualSpacing/>
        <w:jc w:val="center"/>
        <w:rPr>
          <w:rFonts w:ascii="Times New Roman" w:hAnsi="Times New Roman" w:cs="Times New Roman"/>
          <w:sz w:val="24"/>
          <w:szCs w:val="24"/>
          <w:lang w:val="lt-LT"/>
        </w:rPr>
      </w:pPr>
      <w:r>
        <w:rPr>
          <w:rFonts w:ascii="Times New Roman" w:hAnsi="Times New Roman" w:cs="Times New Roman"/>
          <w:szCs w:val="24"/>
        </w:rPr>
        <w:lastRenderedPageBreak/>
        <w:t>9</w:t>
      </w:r>
      <w:r w:rsidR="004D5C99" w:rsidRPr="004D5C99">
        <w:rPr>
          <w:rFonts w:ascii="Times New Roman" w:hAnsi="Times New Roman" w:cs="Times New Roman"/>
          <w:szCs w:val="24"/>
        </w:rPr>
        <w:t xml:space="preserve"> lentelė.</w:t>
      </w:r>
      <w:r w:rsidR="004D5C99" w:rsidRPr="004D5C99">
        <w:rPr>
          <w:rFonts w:ascii="Times New Roman" w:hAnsi="Times New Roman" w:cs="Times New Roman"/>
          <w:b/>
          <w:szCs w:val="24"/>
        </w:rPr>
        <w:t xml:space="preserve"> </w:t>
      </w:r>
      <w:r w:rsidR="004D5C99">
        <w:rPr>
          <w:rFonts w:ascii="Times New Roman" w:hAnsi="Times New Roman" w:cs="Times New Roman"/>
          <w:b/>
          <w:szCs w:val="24"/>
        </w:rPr>
        <w:t>UAB “Achemarida” pelno (nuostolio) ataskaitos straipsnių pokyčiai</w:t>
      </w:r>
    </w:p>
    <w:tbl>
      <w:tblPr>
        <w:tblStyle w:val="LightGrid-Accent6"/>
        <w:tblW w:w="8692" w:type="dxa"/>
        <w:jc w:val="center"/>
        <w:tblLook w:val="04A0"/>
      </w:tblPr>
      <w:tblGrid>
        <w:gridCol w:w="3400"/>
        <w:gridCol w:w="1016"/>
        <w:gridCol w:w="1016"/>
        <w:gridCol w:w="1060"/>
        <w:gridCol w:w="1180"/>
        <w:gridCol w:w="1020"/>
      </w:tblGrid>
      <w:tr w:rsidR="004D5C99" w:rsidRPr="00384ABD" w:rsidTr="004D5C99">
        <w:trPr>
          <w:cnfStyle w:val="100000000000"/>
          <w:trHeight w:val="300"/>
          <w:jc w:val="center"/>
        </w:trPr>
        <w:tc>
          <w:tcPr>
            <w:cnfStyle w:val="001000000000"/>
            <w:tcW w:w="8692" w:type="dxa"/>
            <w:gridSpan w:val="6"/>
            <w:noWrap/>
            <w:hideMark/>
          </w:tcPr>
          <w:p w:rsidR="004D5C99" w:rsidRPr="00384ABD" w:rsidRDefault="004D5C99" w:rsidP="0020759B">
            <w:pPr>
              <w:jc w:val="center"/>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 xml:space="preserve">UAB “ACHEMARIDA” PELNO (NUOSTOLIO) ATASKAITOS STRAIPSNIŲ POKYČIAI </w:t>
            </w:r>
          </w:p>
        </w:tc>
      </w:tr>
      <w:tr w:rsidR="004D5C99" w:rsidRPr="00384ABD" w:rsidTr="00E6354F">
        <w:trPr>
          <w:cnfStyle w:val="000000100000"/>
          <w:trHeight w:val="300"/>
          <w:jc w:val="center"/>
        </w:trPr>
        <w:tc>
          <w:tcPr>
            <w:cnfStyle w:val="001000000000"/>
            <w:tcW w:w="3400" w:type="dxa"/>
            <w:noWrap/>
            <w:hideMark/>
          </w:tcPr>
          <w:p w:rsidR="004D5C99" w:rsidRPr="00384ABD" w:rsidRDefault="004D5C99" w:rsidP="0020759B">
            <w:pPr>
              <w:rPr>
                <w:rFonts w:ascii="Times New Roman" w:eastAsia="Times New Roman" w:hAnsi="Times New Roman" w:cs="Times New Roman"/>
                <w:sz w:val="20"/>
                <w:szCs w:val="20"/>
              </w:rPr>
            </w:pPr>
            <w:r w:rsidRPr="00384ABD">
              <w:rPr>
                <w:rFonts w:ascii="Times New Roman" w:eastAsia="Times New Roman" w:hAnsi="Times New Roman" w:cs="Times New Roman"/>
                <w:sz w:val="20"/>
                <w:szCs w:val="20"/>
              </w:rPr>
              <w:t> </w:t>
            </w:r>
          </w:p>
        </w:tc>
        <w:tc>
          <w:tcPr>
            <w:tcW w:w="1016" w:type="dxa"/>
            <w:noWrap/>
            <w:vAlign w:val="center"/>
            <w:hideMark/>
          </w:tcPr>
          <w:p w:rsidR="004D5C99" w:rsidRPr="00384ABD" w:rsidRDefault="004D5C99" w:rsidP="00E6354F">
            <w:pPr>
              <w:jc w:val="center"/>
              <w:cnfStyle w:val="000000100000"/>
              <w:rPr>
                <w:rFonts w:ascii="Times New Roman" w:eastAsia="Times New Roman" w:hAnsi="Times New Roman" w:cs="Times New Roman"/>
                <w:i/>
                <w:iCs/>
                <w:sz w:val="20"/>
                <w:szCs w:val="20"/>
              </w:rPr>
            </w:pPr>
            <w:r w:rsidRPr="00384ABD">
              <w:rPr>
                <w:rFonts w:ascii="Times New Roman" w:eastAsia="Times New Roman" w:hAnsi="Times New Roman" w:cs="Times New Roman"/>
                <w:i/>
                <w:iCs/>
                <w:sz w:val="20"/>
                <w:szCs w:val="20"/>
              </w:rPr>
              <w:t>2008</w:t>
            </w:r>
          </w:p>
        </w:tc>
        <w:tc>
          <w:tcPr>
            <w:tcW w:w="1016" w:type="dxa"/>
            <w:noWrap/>
            <w:vAlign w:val="center"/>
            <w:hideMark/>
          </w:tcPr>
          <w:p w:rsidR="004D5C99" w:rsidRPr="00384ABD" w:rsidRDefault="004D5C99" w:rsidP="00E6354F">
            <w:pPr>
              <w:jc w:val="center"/>
              <w:cnfStyle w:val="000000100000"/>
              <w:rPr>
                <w:rFonts w:ascii="Times New Roman" w:eastAsia="Times New Roman" w:hAnsi="Times New Roman" w:cs="Times New Roman"/>
                <w:i/>
                <w:iCs/>
                <w:sz w:val="20"/>
                <w:szCs w:val="20"/>
              </w:rPr>
            </w:pPr>
            <w:r w:rsidRPr="00384ABD">
              <w:rPr>
                <w:rFonts w:ascii="Times New Roman" w:eastAsia="Times New Roman" w:hAnsi="Times New Roman" w:cs="Times New Roman"/>
                <w:i/>
                <w:iCs/>
                <w:sz w:val="20"/>
                <w:szCs w:val="20"/>
              </w:rPr>
              <w:t>2009</w:t>
            </w:r>
          </w:p>
        </w:tc>
        <w:tc>
          <w:tcPr>
            <w:tcW w:w="1060" w:type="dxa"/>
            <w:noWrap/>
            <w:vAlign w:val="center"/>
            <w:hideMark/>
          </w:tcPr>
          <w:p w:rsidR="004D5C99" w:rsidRPr="00384ABD" w:rsidRDefault="004D5C99" w:rsidP="00E6354F">
            <w:pPr>
              <w:jc w:val="center"/>
              <w:cnfStyle w:val="000000100000"/>
              <w:rPr>
                <w:rFonts w:ascii="Times New Roman" w:eastAsia="Times New Roman" w:hAnsi="Times New Roman" w:cs="Times New Roman"/>
                <w:i/>
                <w:iCs/>
                <w:sz w:val="20"/>
                <w:szCs w:val="20"/>
              </w:rPr>
            </w:pPr>
            <w:r w:rsidRPr="00384ABD">
              <w:rPr>
                <w:rFonts w:ascii="Times New Roman" w:eastAsia="Times New Roman" w:hAnsi="Times New Roman" w:cs="Times New Roman"/>
                <w:i/>
                <w:iCs/>
                <w:sz w:val="20"/>
                <w:szCs w:val="20"/>
              </w:rPr>
              <w:t xml:space="preserve">Pokytis, </w:t>
            </w:r>
            <w:r w:rsidR="00E6354F">
              <w:rPr>
                <w:rFonts w:ascii="Times New Roman" w:eastAsia="Times New Roman" w:hAnsi="Times New Roman" w:cs="Times New Roman"/>
                <w:i/>
                <w:iCs/>
                <w:sz w:val="20"/>
                <w:szCs w:val="20"/>
              </w:rPr>
              <w:t>proc.</w:t>
            </w:r>
          </w:p>
        </w:tc>
        <w:tc>
          <w:tcPr>
            <w:tcW w:w="1180" w:type="dxa"/>
            <w:noWrap/>
            <w:vAlign w:val="center"/>
            <w:hideMark/>
          </w:tcPr>
          <w:p w:rsidR="004D5C99" w:rsidRPr="00384ABD" w:rsidRDefault="004D5C99" w:rsidP="00E6354F">
            <w:pPr>
              <w:jc w:val="center"/>
              <w:cnfStyle w:val="000000100000"/>
              <w:rPr>
                <w:rFonts w:ascii="Times New Roman" w:eastAsia="Times New Roman" w:hAnsi="Times New Roman" w:cs="Times New Roman"/>
                <w:i/>
                <w:iCs/>
                <w:sz w:val="20"/>
                <w:szCs w:val="20"/>
              </w:rPr>
            </w:pPr>
            <w:r w:rsidRPr="00384ABD">
              <w:rPr>
                <w:rFonts w:ascii="Times New Roman" w:eastAsia="Times New Roman" w:hAnsi="Times New Roman" w:cs="Times New Roman"/>
                <w:i/>
                <w:iCs/>
                <w:sz w:val="20"/>
                <w:szCs w:val="20"/>
              </w:rPr>
              <w:t>2010</w:t>
            </w:r>
          </w:p>
        </w:tc>
        <w:tc>
          <w:tcPr>
            <w:tcW w:w="1020" w:type="dxa"/>
            <w:noWrap/>
            <w:vAlign w:val="center"/>
            <w:hideMark/>
          </w:tcPr>
          <w:p w:rsidR="004D5C99" w:rsidRPr="00384ABD" w:rsidRDefault="004D5C99" w:rsidP="00E6354F">
            <w:pPr>
              <w:jc w:val="center"/>
              <w:cnfStyle w:val="000000100000"/>
              <w:rPr>
                <w:rFonts w:ascii="Times New Roman" w:eastAsia="Times New Roman" w:hAnsi="Times New Roman" w:cs="Times New Roman"/>
                <w:i/>
                <w:iCs/>
                <w:sz w:val="20"/>
                <w:szCs w:val="20"/>
              </w:rPr>
            </w:pPr>
            <w:r w:rsidRPr="00384ABD">
              <w:rPr>
                <w:rFonts w:ascii="Times New Roman" w:eastAsia="Times New Roman" w:hAnsi="Times New Roman" w:cs="Times New Roman"/>
                <w:i/>
                <w:iCs/>
                <w:sz w:val="20"/>
                <w:szCs w:val="20"/>
              </w:rPr>
              <w:t xml:space="preserve">Pokytis, </w:t>
            </w:r>
            <w:r w:rsidR="00E6354F">
              <w:rPr>
                <w:rFonts w:ascii="Times New Roman" w:eastAsia="Times New Roman" w:hAnsi="Times New Roman" w:cs="Times New Roman"/>
                <w:i/>
                <w:iCs/>
                <w:sz w:val="20"/>
                <w:szCs w:val="20"/>
              </w:rPr>
              <w:t>proc.</w:t>
            </w:r>
          </w:p>
        </w:tc>
      </w:tr>
      <w:tr w:rsidR="004D5C99" w:rsidRPr="00384ABD" w:rsidTr="004D5C99">
        <w:trPr>
          <w:cnfStyle w:val="000000010000"/>
          <w:trHeight w:val="300"/>
          <w:jc w:val="center"/>
        </w:trPr>
        <w:tc>
          <w:tcPr>
            <w:cnfStyle w:val="001000000000"/>
            <w:tcW w:w="3400" w:type="dxa"/>
            <w:hideMark/>
          </w:tcPr>
          <w:p w:rsidR="004D5C99" w:rsidRPr="00384ABD" w:rsidRDefault="004D5C99" w:rsidP="0020759B">
            <w:pPr>
              <w:rPr>
                <w:rFonts w:ascii="Times New Roman" w:eastAsia="Times New Roman" w:hAnsi="Times New Roman" w:cs="Times New Roman"/>
                <w:sz w:val="20"/>
                <w:szCs w:val="20"/>
              </w:rPr>
            </w:pPr>
            <w:r w:rsidRPr="00384ABD">
              <w:rPr>
                <w:rFonts w:ascii="Times New Roman" w:eastAsia="Times New Roman" w:hAnsi="Times New Roman" w:cs="Times New Roman"/>
                <w:sz w:val="20"/>
                <w:szCs w:val="20"/>
              </w:rPr>
              <w:t>Veiklos pajamos</w:t>
            </w:r>
          </w:p>
        </w:tc>
        <w:tc>
          <w:tcPr>
            <w:tcW w:w="1016" w:type="dxa"/>
            <w:noWrap/>
            <w:hideMark/>
          </w:tcPr>
          <w:p w:rsidR="004D5C99" w:rsidRPr="00384ABD" w:rsidRDefault="004D5C99" w:rsidP="0020759B">
            <w:pPr>
              <w:jc w:val="right"/>
              <w:cnfStyle w:val="000000010000"/>
              <w:rPr>
                <w:rFonts w:ascii="Times New Roman" w:eastAsia="Times New Roman" w:hAnsi="Times New Roman" w:cs="Times New Roman"/>
                <w:sz w:val="20"/>
                <w:szCs w:val="20"/>
              </w:rPr>
            </w:pPr>
            <w:r w:rsidRPr="00384ABD">
              <w:rPr>
                <w:rFonts w:ascii="Times New Roman" w:eastAsia="Times New Roman" w:hAnsi="Times New Roman" w:cs="Times New Roman"/>
                <w:sz w:val="20"/>
                <w:szCs w:val="20"/>
              </w:rPr>
              <w:t>4,279,237</w:t>
            </w:r>
          </w:p>
        </w:tc>
        <w:tc>
          <w:tcPr>
            <w:tcW w:w="1016" w:type="dxa"/>
            <w:noWrap/>
            <w:hideMark/>
          </w:tcPr>
          <w:p w:rsidR="004D5C99" w:rsidRPr="00384ABD" w:rsidRDefault="004D5C99" w:rsidP="0020759B">
            <w:pPr>
              <w:jc w:val="right"/>
              <w:cnfStyle w:val="000000010000"/>
              <w:rPr>
                <w:rFonts w:ascii="Times New Roman" w:eastAsia="Times New Roman" w:hAnsi="Times New Roman" w:cs="Times New Roman"/>
                <w:sz w:val="20"/>
                <w:szCs w:val="20"/>
              </w:rPr>
            </w:pPr>
            <w:r w:rsidRPr="00384ABD">
              <w:rPr>
                <w:rFonts w:ascii="Times New Roman" w:eastAsia="Times New Roman" w:hAnsi="Times New Roman" w:cs="Times New Roman"/>
                <w:sz w:val="20"/>
                <w:szCs w:val="20"/>
              </w:rPr>
              <w:t>3,886,494</w:t>
            </w:r>
          </w:p>
        </w:tc>
        <w:tc>
          <w:tcPr>
            <w:tcW w:w="1060" w:type="dxa"/>
            <w:noWrap/>
            <w:hideMark/>
          </w:tcPr>
          <w:p w:rsidR="004D5C99" w:rsidRPr="00651171" w:rsidRDefault="004D5C99" w:rsidP="0020759B">
            <w:pPr>
              <w:jc w:val="right"/>
              <w:cnfStyle w:val="00000001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-9.18</w:t>
            </w:r>
          </w:p>
        </w:tc>
        <w:tc>
          <w:tcPr>
            <w:tcW w:w="1180" w:type="dxa"/>
            <w:noWrap/>
            <w:hideMark/>
          </w:tcPr>
          <w:p w:rsidR="004D5C99" w:rsidRPr="00384ABD" w:rsidRDefault="004D5C99" w:rsidP="0020759B">
            <w:pPr>
              <w:jc w:val="right"/>
              <w:cnfStyle w:val="000000010000"/>
              <w:rPr>
                <w:rFonts w:ascii="Times New Roman" w:eastAsia="Times New Roman" w:hAnsi="Times New Roman" w:cs="Times New Roman"/>
                <w:sz w:val="20"/>
                <w:szCs w:val="20"/>
              </w:rPr>
            </w:pPr>
            <w:r w:rsidRPr="00384ABD">
              <w:rPr>
                <w:rFonts w:ascii="Times New Roman" w:eastAsia="Times New Roman" w:hAnsi="Times New Roman" w:cs="Times New Roman"/>
                <w:sz w:val="20"/>
                <w:szCs w:val="20"/>
              </w:rPr>
              <w:t>4,542,976</w:t>
            </w:r>
          </w:p>
        </w:tc>
        <w:tc>
          <w:tcPr>
            <w:tcW w:w="1020" w:type="dxa"/>
            <w:noWrap/>
            <w:hideMark/>
          </w:tcPr>
          <w:p w:rsidR="004D5C99" w:rsidRPr="00651171" w:rsidRDefault="004D5C99" w:rsidP="0020759B">
            <w:pPr>
              <w:jc w:val="right"/>
              <w:cnfStyle w:val="00000001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16.89</w:t>
            </w:r>
          </w:p>
        </w:tc>
      </w:tr>
      <w:tr w:rsidR="004D5C99" w:rsidRPr="00384ABD" w:rsidTr="004D5C99">
        <w:trPr>
          <w:cnfStyle w:val="000000100000"/>
          <w:trHeight w:val="300"/>
          <w:jc w:val="center"/>
        </w:trPr>
        <w:tc>
          <w:tcPr>
            <w:cnfStyle w:val="001000000000"/>
            <w:tcW w:w="3400" w:type="dxa"/>
            <w:hideMark/>
          </w:tcPr>
          <w:p w:rsidR="004D5C99" w:rsidRPr="00384ABD" w:rsidRDefault="004D5C99" w:rsidP="0020759B">
            <w:pPr>
              <w:rPr>
                <w:rFonts w:ascii="Times New Roman" w:eastAsia="Times New Roman" w:hAnsi="Times New Roman" w:cs="Times New Roman"/>
                <w:sz w:val="20"/>
                <w:szCs w:val="20"/>
              </w:rPr>
            </w:pPr>
            <w:r w:rsidRPr="00384ABD">
              <w:rPr>
                <w:rFonts w:ascii="Times New Roman" w:eastAsia="Times New Roman" w:hAnsi="Times New Roman" w:cs="Times New Roman"/>
                <w:sz w:val="20"/>
                <w:szCs w:val="20"/>
              </w:rPr>
              <w:t>Pardavimo pajamos</w:t>
            </w:r>
          </w:p>
        </w:tc>
        <w:tc>
          <w:tcPr>
            <w:tcW w:w="1016" w:type="dxa"/>
            <w:noWrap/>
            <w:hideMark/>
          </w:tcPr>
          <w:p w:rsidR="004D5C99" w:rsidRPr="00384ABD" w:rsidRDefault="004D5C99" w:rsidP="0020759B">
            <w:pPr>
              <w:jc w:val="right"/>
              <w:cnfStyle w:val="000000100000"/>
              <w:rPr>
                <w:rFonts w:ascii="Times New Roman" w:eastAsia="Times New Roman" w:hAnsi="Times New Roman" w:cs="Times New Roman"/>
                <w:sz w:val="20"/>
                <w:szCs w:val="20"/>
              </w:rPr>
            </w:pPr>
            <w:r w:rsidRPr="00384ABD">
              <w:rPr>
                <w:rFonts w:ascii="Times New Roman" w:eastAsia="Times New Roman" w:hAnsi="Times New Roman" w:cs="Times New Roman"/>
                <w:sz w:val="20"/>
                <w:szCs w:val="20"/>
              </w:rPr>
              <w:t>4,178,940</w:t>
            </w:r>
          </w:p>
        </w:tc>
        <w:tc>
          <w:tcPr>
            <w:tcW w:w="1016" w:type="dxa"/>
            <w:noWrap/>
            <w:hideMark/>
          </w:tcPr>
          <w:p w:rsidR="004D5C99" w:rsidRPr="00384ABD" w:rsidRDefault="004D5C99" w:rsidP="0020759B">
            <w:pPr>
              <w:jc w:val="right"/>
              <w:cnfStyle w:val="000000100000"/>
              <w:rPr>
                <w:rFonts w:ascii="Times New Roman" w:eastAsia="Times New Roman" w:hAnsi="Times New Roman" w:cs="Times New Roman"/>
                <w:sz w:val="20"/>
                <w:szCs w:val="20"/>
              </w:rPr>
            </w:pPr>
            <w:r w:rsidRPr="00384ABD">
              <w:rPr>
                <w:rFonts w:ascii="Times New Roman" w:eastAsia="Times New Roman" w:hAnsi="Times New Roman" w:cs="Times New Roman"/>
                <w:sz w:val="20"/>
                <w:szCs w:val="20"/>
              </w:rPr>
              <w:t>3,649,449</w:t>
            </w:r>
          </w:p>
        </w:tc>
        <w:tc>
          <w:tcPr>
            <w:tcW w:w="1060" w:type="dxa"/>
            <w:noWrap/>
            <w:hideMark/>
          </w:tcPr>
          <w:p w:rsidR="004D5C99" w:rsidRPr="00651171" w:rsidRDefault="004D5C99" w:rsidP="0020759B">
            <w:pPr>
              <w:jc w:val="right"/>
              <w:cnfStyle w:val="00000010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-12.67</w:t>
            </w:r>
          </w:p>
        </w:tc>
        <w:tc>
          <w:tcPr>
            <w:tcW w:w="1180" w:type="dxa"/>
            <w:noWrap/>
            <w:hideMark/>
          </w:tcPr>
          <w:p w:rsidR="004D5C99" w:rsidRPr="00384ABD" w:rsidRDefault="004D5C99" w:rsidP="0020759B">
            <w:pPr>
              <w:jc w:val="right"/>
              <w:cnfStyle w:val="000000100000"/>
              <w:rPr>
                <w:rFonts w:ascii="Times New Roman" w:eastAsia="Times New Roman" w:hAnsi="Times New Roman" w:cs="Times New Roman"/>
                <w:sz w:val="20"/>
                <w:szCs w:val="20"/>
              </w:rPr>
            </w:pPr>
            <w:r w:rsidRPr="00384ABD">
              <w:rPr>
                <w:rFonts w:ascii="Times New Roman" w:eastAsia="Times New Roman" w:hAnsi="Times New Roman" w:cs="Times New Roman"/>
                <w:sz w:val="20"/>
                <w:szCs w:val="20"/>
              </w:rPr>
              <w:t>4,373,488</w:t>
            </w:r>
          </w:p>
        </w:tc>
        <w:tc>
          <w:tcPr>
            <w:tcW w:w="1020" w:type="dxa"/>
            <w:noWrap/>
            <w:hideMark/>
          </w:tcPr>
          <w:p w:rsidR="004D5C99" w:rsidRPr="00651171" w:rsidRDefault="004D5C99" w:rsidP="0020759B">
            <w:pPr>
              <w:jc w:val="right"/>
              <w:cnfStyle w:val="00000010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19.84</w:t>
            </w:r>
          </w:p>
        </w:tc>
      </w:tr>
      <w:tr w:rsidR="004D5C99" w:rsidRPr="00384ABD" w:rsidTr="004D5C99">
        <w:trPr>
          <w:cnfStyle w:val="000000010000"/>
          <w:trHeight w:val="300"/>
          <w:jc w:val="center"/>
        </w:trPr>
        <w:tc>
          <w:tcPr>
            <w:cnfStyle w:val="001000000000"/>
            <w:tcW w:w="3400" w:type="dxa"/>
            <w:hideMark/>
          </w:tcPr>
          <w:p w:rsidR="004D5C99" w:rsidRPr="00384ABD" w:rsidRDefault="004D5C99" w:rsidP="0020759B">
            <w:pPr>
              <w:rPr>
                <w:rFonts w:ascii="Times New Roman" w:eastAsia="Times New Roman" w:hAnsi="Times New Roman" w:cs="Times New Roman"/>
                <w:sz w:val="20"/>
                <w:szCs w:val="20"/>
              </w:rPr>
            </w:pPr>
            <w:r w:rsidRPr="00384ABD">
              <w:rPr>
                <w:rFonts w:ascii="Times New Roman" w:eastAsia="Times New Roman" w:hAnsi="Times New Roman" w:cs="Times New Roman"/>
                <w:sz w:val="20"/>
                <w:szCs w:val="20"/>
              </w:rPr>
              <w:t>Pardavimo savikaina</w:t>
            </w:r>
          </w:p>
        </w:tc>
        <w:tc>
          <w:tcPr>
            <w:tcW w:w="1016" w:type="dxa"/>
            <w:noWrap/>
            <w:hideMark/>
          </w:tcPr>
          <w:p w:rsidR="004D5C99" w:rsidRPr="00384ABD" w:rsidRDefault="004D5C99" w:rsidP="0020759B">
            <w:pPr>
              <w:jc w:val="right"/>
              <w:cnfStyle w:val="000000010000"/>
              <w:rPr>
                <w:rFonts w:ascii="Times New Roman" w:eastAsia="Times New Roman" w:hAnsi="Times New Roman" w:cs="Times New Roman"/>
                <w:sz w:val="20"/>
                <w:szCs w:val="20"/>
              </w:rPr>
            </w:pPr>
            <w:r w:rsidRPr="00384ABD">
              <w:rPr>
                <w:rFonts w:ascii="Times New Roman" w:eastAsia="Times New Roman" w:hAnsi="Times New Roman" w:cs="Times New Roman"/>
                <w:sz w:val="20"/>
                <w:szCs w:val="20"/>
              </w:rPr>
              <w:t>3,718,815</w:t>
            </w:r>
          </w:p>
        </w:tc>
        <w:tc>
          <w:tcPr>
            <w:tcW w:w="1016" w:type="dxa"/>
            <w:noWrap/>
            <w:hideMark/>
          </w:tcPr>
          <w:p w:rsidR="004D5C99" w:rsidRPr="00384ABD" w:rsidRDefault="004D5C99" w:rsidP="0020759B">
            <w:pPr>
              <w:jc w:val="right"/>
              <w:cnfStyle w:val="000000010000"/>
              <w:rPr>
                <w:rFonts w:ascii="Times New Roman" w:eastAsia="Times New Roman" w:hAnsi="Times New Roman" w:cs="Times New Roman"/>
                <w:sz w:val="20"/>
                <w:szCs w:val="20"/>
              </w:rPr>
            </w:pPr>
            <w:r w:rsidRPr="00384ABD">
              <w:rPr>
                <w:rFonts w:ascii="Times New Roman" w:eastAsia="Times New Roman" w:hAnsi="Times New Roman" w:cs="Times New Roman"/>
                <w:sz w:val="20"/>
                <w:szCs w:val="20"/>
              </w:rPr>
              <w:t>3,417,039</w:t>
            </w:r>
          </w:p>
        </w:tc>
        <w:tc>
          <w:tcPr>
            <w:tcW w:w="1060" w:type="dxa"/>
            <w:noWrap/>
            <w:hideMark/>
          </w:tcPr>
          <w:p w:rsidR="004D5C99" w:rsidRPr="00651171" w:rsidRDefault="004D5C99" w:rsidP="0020759B">
            <w:pPr>
              <w:jc w:val="right"/>
              <w:cnfStyle w:val="00000001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-8.11</w:t>
            </w:r>
          </w:p>
        </w:tc>
        <w:tc>
          <w:tcPr>
            <w:tcW w:w="1180" w:type="dxa"/>
            <w:noWrap/>
            <w:hideMark/>
          </w:tcPr>
          <w:p w:rsidR="004D5C99" w:rsidRPr="00384ABD" w:rsidRDefault="004D5C99" w:rsidP="0020759B">
            <w:pPr>
              <w:jc w:val="right"/>
              <w:cnfStyle w:val="000000010000"/>
              <w:rPr>
                <w:rFonts w:ascii="Times New Roman" w:eastAsia="Times New Roman" w:hAnsi="Times New Roman" w:cs="Times New Roman"/>
                <w:sz w:val="20"/>
                <w:szCs w:val="20"/>
              </w:rPr>
            </w:pPr>
            <w:r w:rsidRPr="00384ABD">
              <w:rPr>
                <w:rFonts w:ascii="Times New Roman" w:eastAsia="Times New Roman" w:hAnsi="Times New Roman" w:cs="Times New Roman"/>
                <w:sz w:val="20"/>
                <w:szCs w:val="20"/>
              </w:rPr>
              <w:t>4,541,550</w:t>
            </w:r>
          </w:p>
        </w:tc>
        <w:tc>
          <w:tcPr>
            <w:tcW w:w="1020" w:type="dxa"/>
            <w:noWrap/>
            <w:hideMark/>
          </w:tcPr>
          <w:p w:rsidR="004D5C99" w:rsidRPr="00651171" w:rsidRDefault="004D5C99" w:rsidP="0020759B">
            <w:pPr>
              <w:jc w:val="right"/>
              <w:cnfStyle w:val="00000001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32.91</w:t>
            </w:r>
          </w:p>
        </w:tc>
      </w:tr>
      <w:tr w:rsidR="004D5C99" w:rsidRPr="00384ABD" w:rsidTr="004D5C99">
        <w:trPr>
          <w:cnfStyle w:val="000000100000"/>
          <w:trHeight w:val="300"/>
          <w:jc w:val="center"/>
        </w:trPr>
        <w:tc>
          <w:tcPr>
            <w:cnfStyle w:val="001000000000"/>
            <w:tcW w:w="3400" w:type="dxa"/>
            <w:hideMark/>
          </w:tcPr>
          <w:p w:rsidR="004D5C99" w:rsidRPr="00384ABD" w:rsidRDefault="004D5C99" w:rsidP="0020759B">
            <w:pPr>
              <w:rPr>
                <w:rFonts w:ascii="Times New Roman" w:eastAsia="Times New Roman" w:hAnsi="Times New Roman" w:cs="Times New Roman"/>
                <w:sz w:val="20"/>
                <w:szCs w:val="20"/>
              </w:rPr>
            </w:pPr>
            <w:r w:rsidRPr="00384ABD">
              <w:rPr>
                <w:rFonts w:ascii="Times New Roman" w:eastAsia="Times New Roman" w:hAnsi="Times New Roman" w:cs="Times New Roman"/>
                <w:sz w:val="20"/>
                <w:szCs w:val="20"/>
              </w:rPr>
              <w:t>Bendrasis pelnas</w:t>
            </w:r>
          </w:p>
        </w:tc>
        <w:tc>
          <w:tcPr>
            <w:tcW w:w="1016" w:type="dxa"/>
            <w:noWrap/>
            <w:hideMark/>
          </w:tcPr>
          <w:p w:rsidR="004D5C99" w:rsidRPr="00384ABD" w:rsidRDefault="004D5C99" w:rsidP="0020759B">
            <w:pPr>
              <w:jc w:val="right"/>
              <w:cnfStyle w:val="000000100000"/>
              <w:rPr>
                <w:rFonts w:ascii="Times New Roman" w:eastAsia="Times New Roman" w:hAnsi="Times New Roman" w:cs="Times New Roman"/>
                <w:sz w:val="20"/>
                <w:szCs w:val="20"/>
              </w:rPr>
            </w:pPr>
            <w:r w:rsidRPr="00384ABD">
              <w:rPr>
                <w:rFonts w:ascii="Times New Roman" w:eastAsia="Times New Roman" w:hAnsi="Times New Roman" w:cs="Times New Roman"/>
                <w:sz w:val="20"/>
                <w:szCs w:val="20"/>
              </w:rPr>
              <w:t>560,422</w:t>
            </w:r>
          </w:p>
        </w:tc>
        <w:tc>
          <w:tcPr>
            <w:tcW w:w="1016" w:type="dxa"/>
            <w:noWrap/>
            <w:hideMark/>
          </w:tcPr>
          <w:p w:rsidR="004D5C99" w:rsidRPr="00384ABD" w:rsidRDefault="004D5C99" w:rsidP="0020759B">
            <w:pPr>
              <w:jc w:val="right"/>
              <w:cnfStyle w:val="000000100000"/>
              <w:rPr>
                <w:rFonts w:ascii="Times New Roman" w:eastAsia="Times New Roman" w:hAnsi="Times New Roman" w:cs="Times New Roman"/>
                <w:sz w:val="20"/>
                <w:szCs w:val="20"/>
              </w:rPr>
            </w:pPr>
            <w:r w:rsidRPr="00384ABD">
              <w:rPr>
                <w:rFonts w:ascii="Times New Roman" w:eastAsia="Times New Roman" w:hAnsi="Times New Roman" w:cs="Times New Roman"/>
                <w:sz w:val="20"/>
                <w:szCs w:val="20"/>
              </w:rPr>
              <w:t>469,455</w:t>
            </w:r>
          </w:p>
        </w:tc>
        <w:tc>
          <w:tcPr>
            <w:tcW w:w="1060" w:type="dxa"/>
            <w:noWrap/>
            <w:hideMark/>
          </w:tcPr>
          <w:p w:rsidR="004D5C99" w:rsidRPr="00651171" w:rsidRDefault="004D5C99" w:rsidP="0020759B">
            <w:pPr>
              <w:jc w:val="right"/>
              <w:cnfStyle w:val="00000010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-16.23</w:t>
            </w:r>
          </w:p>
        </w:tc>
        <w:tc>
          <w:tcPr>
            <w:tcW w:w="1180" w:type="dxa"/>
            <w:noWrap/>
            <w:hideMark/>
          </w:tcPr>
          <w:p w:rsidR="004D5C99" w:rsidRPr="00384ABD" w:rsidRDefault="004D5C99" w:rsidP="0020759B">
            <w:pPr>
              <w:jc w:val="right"/>
              <w:cnfStyle w:val="000000100000"/>
              <w:rPr>
                <w:rFonts w:ascii="Times New Roman" w:eastAsia="Times New Roman" w:hAnsi="Times New Roman" w:cs="Times New Roman"/>
                <w:sz w:val="20"/>
                <w:szCs w:val="20"/>
              </w:rPr>
            </w:pPr>
            <w:r w:rsidRPr="00384ABD">
              <w:rPr>
                <w:rFonts w:ascii="Times New Roman" w:eastAsia="Times New Roman" w:hAnsi="Times New Roman" w:cs="Times New Roman"/>
                <w:sz w:val="20"/>
                <w:szCs w:val="20"/>
              </w:rPr>
              <w:t>1,426</w:t>
            </w:r>
          </w:p>
        </w:tc>
        <w:tc>
          <w:tcPr>
            <w:tcW w:w="1020" w:type="dxa"/>
            <w:noWrap/>
            <w:hideMark/>
          </w:tcPr>
          <w:p w:rsidR="004D5C99" w:rsidRPr="00651171" w:rsidRDefault="004D5C99" w:rsidP="0020759B">
            <w:pPr>
              <w:jc w:val="right"/>
              <w:cnfStyle w:val="00000010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-99.70</w:t>
            </w:r>
          </w:p>
        </w:tc>
      </w:tr>
      <w:tr w:rsidR="004D5C99" w:rsidRPr="00384ABD" w:rsidTr="004D5C99">
        <w:trPr>
          <w:cnfStyle w:val="000000010000"/>
          <w:trHeight w:val="300"/>
          <w:jc w:val="center"/>
        </w:trPr>
        <w:tc>
          <w:tcPr>
            <w:cnfStyle w:val="001000000000"/>
            <w:tcW w:w="3400" w:type="dxa"/>
            <w:hideMark/>
          </w:tcPr>
          <w:p w:rsidR="004D5C99" w:rsidRPr="00384ABD" w:rsidRDefault="004D5C99" w:rsidP="0020759B">
            <w:pPr>
              <w:rPr>
                <w:rFonts w:ascii="Times New Roman" w:eastAsia="Times New Roman" w:hAnsi="Times New Roman" w:cs="Times New Roman"/>
                <w:sz w:val="20"/>
                <w:szCs w:val="20"/>
              </w:rPr>
            </w:pPr>
            <w:r w:rsidRPr="00384ABD">
              <w:rPr>
                <w:rFonts w:ascii="Times New Roman" w:eastAsia="Times New Roman" w:hAnsi="Times New Roman" w:cs="Times New Roman"/>
                <w:sz w:val="20"/>
                <w:szCs w:val="20"/>
              </w:rPr>
              <w:t>Veiklos sąnaudos</w:t>
            </w:r>
          </w:p>
        </w:tc>
        <w:tc>
          <w:tcPr>
            <w:tcW w:w="1016" w:type="dxa"/>
            <w:noWrap/>
            <w:hideMark/>
          </w:tcPr>
          <w:p w:rsidR="004D5C99" w:rsidRPr="00384ABD" w:rsidRDefault="004D5C99" w:rsidP="0020759B">
            <w:pPr>
              <w:jc w:val="right"/>
              <w:cnfStyle w:val="000000010000"/>
              <w:rPr>
                <w:rFonts w:ascii="Times New Roman" w:eastAsia="Times New Roman" w:hAnsi="Times New Roman" w:cs="Times New Roman"/>
                <w:sz w:val="20"/>
                <w:szCs w:val="20"/>
              </w:rPr>
            </w:pPr>
            <w:r w:rsidRPr="00384ABD">
              <w:rPr>
                <w:rFonts w:ascii="Times New Roman" w:eastAsia="Times New Roman" w:hAnsi="Times New Roman" w:cs="Times New Roman"/>
                <w:sz w:val="20"/>
                <w:szCs w:val="20"/>
              </w:rPr>
              <w:t>531,068</w:t>
            </w:r>
          </w:p>
        </w:tc>
        <w:tc>
          <w:tcPr>
            <w:tcW w:w="1016" w:type="dxa"/>
            <w:noWrap/>
            <w:hideMark/>
          </w:tcPr>
          <w:p w:rsidR="004D5C99" w:rsidRPr="00384ABD" w:rsidRDefault="004D5C99" w:rsidP="0020759B">
            <w:pPr>
              <w:jc w:val="right"/>
              <w:cnfStyle w:val="000000010000"/>
              <w:rPr>
                <w:rFonts w:ascii="Times New Roman" w:eastAsia="Times New Roman" w:hAnsi="Times New Roman" w:cs="Times New Roman"/>
                <w:sz w:val="20"/>
                <w:szCs w:val="20"/>
              </w:rPr>
            </w:pPr>
            <w:r w:rsidRPr="00384ABD">
              <w:rPr>
                <w:rFonts w:ascii="Times New Roman" w:eastAsia="Times New Roman" w:hAnsi="Times New Roman" w:cs="Times New Roman"/>
                <w:sz w:val="20"/>
                <w:szCs w:val="20"/>
              </w:rPr>
              <w:t>580,052</w:t>
            </w:r>
          </w:p>
        </w:tc>
        <w:tc>
          <w:tcPr>
            <w:tcW w:w="1060" w:type="dxa"/>
            <w:noWrap/>
            <w:hideMark/>
          </w:tcPr>
          <w:p w:rsidR="004D5C99" w:rsidRPr="00651171" w:rsidRDefault="004D5C99" w:rsidP="0020759B">
            <w:pPr>
              <w:jc w:val="right"/>
              <w:cnfStyle w:val="00000001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9.22</w:t>
            </w:r>
          </w:p>
        </w:tc>
        <w:tc>
          <w:tcPr>
            <w:tcW w:w="1180" w:type="dxa"/>
            <w:noWrap/>
            <w:hideMark/>
          </w:tcPr>
          <w:p w:rsidR="004D5C99" w:rsidRPr="00384ABD" w:rsidRDefault="004D5C99" w:rsidP="0020759B">
            <w:pPr>
              <w:jc w:val="right"/>
              <w:cnfStyle w:val="000000010000"/>
              <w:rPr>
                <w:rFonts w:ascii="Times New Roman" w:eastAsia="Times New Roman" w:hAnsi="Times New Roman" w:cs="Times New Roman"/>
                <w:sz w:val="20"/>
                <w:szCs w:val="20"/>
              </w:rPr>
            </w:pPr>
            <w:r w:rsidRPr="00384ABD">
              <w:rPr>
                <w:rFonts w:ascii="Times New Roman" w:eastAsia="Times New Roman" w:hAnsi="Times New Roman" w:cs="Times New Roman"/>
                <w:sz w:val="20"/>
                <w:szCs w:val="20"/>
              </w:rPr>
              <w:t>614,258</w:t>
            </w:r>
          </w:p>
        </w:tc>
        <w:tc>
          <w:tcPr>
            <w:tcW w:w="1020" w:type="dxa"/>
            <w:noWrap/>
            <w:hideMark/>
          </w:tcPr>
          <w:p w:rsidR="004D5C99" w:rsidRPr="00651171" w:rsidRDefault="004D5C99" w:rsidP="0020759B">
            <w:pPr>
              <w:jc w:val="right"/>
              <w:cnfStyle w:val="00000001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5.90</w:t>
            </w:r>
          </w:p>
        </w:tc>
      </w:tr>
      <w:tr w:rsidR="004D5C99" w:rsidRPr="00384ABD" w:rsidTr="004D5C99">
        <w:trPr>
          <w:cnfStyle w:val="000000100000"/>
          <w:trHeight w:val="300"/>
          <w:jc w:val="center"/>
        </w:trPr>
        <w:tc>
          <w:tcPr>
            <w:cnfStyle w:val="001000000000"/>
            <w:tcW w:w="3400" w:type="dxa"/>
            <w:hideMark/>
          </w:tcPr>
          <w:p w:rsidR="004D5C99" w:rsidRPr="00384ABD" w:rsidRDefault="004D5C99" w:rsidP="0020759B">
            <w:pPr>
              <w:rPr>
                <w:rFonts w:ascii="Times New Roman" w:eastAsia="Times New Roman" w:hAnsi="Times New Roman" w:cs="Times New Roman"/>
                <w:sz w:val="20"/>
                <w:szCs w:val="20"/>
              </w:rPr>
            </w:pPr>
            <w:r w:rsidRPr="00384ABD">
              <w:rPr>
                <w:rFonts w:ascii="Times New Roman" w:eastAsia="Times New Roman" w:hAnsi="Times New Roman" w:cs="Times New Roman"/>
                <w:sz w:val="20"/>
                <w:szCs w:val="20"/>
              </w:rPr>
              <w:t>Tipinės veiklos pelnas (nuostolis)</w:t>
            </w:r>
          </w:p>
        </w:tc>
        <w:tc>
          <w:tcPr>
            <w:tcW w:w="1016" w:type="dxa"/>
            <w:noWrap/>
            <w:hideMark/>
          </w:tcPr>
          <w:p w:rsidR="004D5C99" w:rsidRPr="00384ABD" w:rsidRDefault="004D5C99" w:rsidP="0020759B">
            <w:pPr>
              <w:jc w:val="right"/>
              <w:cnfStyle w:val="000000100000"/>
              <w:rPr>
                <w:rFonts w:ascii="Times New Roman" w:eastAsia="Times New Roman" w:hAnsi="Times New Roman" w:cs="Times New Roman"/>
                <w:sz w:val="20"/>
                <w:szCs w:val="20"/>
              </w:rPr>
            </w:pPr>
            <w:r w:rsidRPr="00384ABD">
              <w:rPr>
                <w:rFonts w:ascii="Times New Roman" w:eastAsia="Times New Roman" w:hAnsi="Times New Roman" w:cs="Times New Roman"/>
                <w:sz w:val="20"/>
                <w:szCs w:val="20"/>
              </w:rPr>
              <w:t>29,354</w:t>
            </w:r>
          </w:p>
        </w:tc>
        <w:tc>
          <w:tcPr>
            <w:tcW w:w="1016" w:type="dxa"/>
            <w:noWrap/>
            <w:hideMark/>
          </w:tcPr>
          <w:p w:rsidR="004D5C99" w:rsidRPr="00384ABD" w:rsidRDefault="004D5C99" w:rsidP="0020759B">
            <w:pPr>
              <w:jc w:val="right"/>
              <w:cnfStyle w:val="000000100000"/>
              <w:rPr>
                <w:rFonts w:ascii="Times New Roman" w:eastAsia="Times New Roman" w:hAnsi="Times New Roman" w:cs="Times New Roman"/>
                <w:sz w:val="20"/>
                <w:szCs w:val="20"/>
              </w:rPr>
            </w:pPr>
            <w:r w:rsidRPr="00384ABD">
              <w:rPr>
                <w:rFonts w:ascii="Times New Roman" w:eastAsia="Times New Roman" w:hAnsi="Times New Roman" w:cs="Times New Roman"/>
                <w:sz w:val="20"/>
                <w:szCs w:val="20"/>
              </w:rPr>
              <w:t>-110,597</w:t>
            </w:r>
          </w:p>
        </w:tc>
        <w:tc>
          <w:tcPr>
            <w:tcW w:w="1060" w:type="dxa"/>
            <w:noWrap/>
            <w:hideMark/>
          </w:tcPr>
          <w:p w:rsidR="004D5C99" w:rsidRPr="00651171" w:rsidRDefault="004D5C99" w:rsidP="0020759B">
            <w:pPr>
              <w:jc w:val="right"/>
              <w:cnfStyle w:val="00000010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-476.77</w:t>
            </w:r>
          </w:p>
        </w:tc>
        <w:tc>
          <w:tcPr>
            <w:tcW w:w="1180" w:type="dxa"/>
            <w:noWrap/>
            <w:hideMark/>
          </w:tcPr>
          <w:p w:rsidR="004D5C99" w:rsidRPr="00384ABD" w:rsidRDefault="004D5C99" w:rsidP="0020759B">
            <w:pPr>
              <w:jc w:val="right"/>
              <w:cnfStyle w:val="000000100000"/>
              <w:rPr>
                <w:rFonts w:ascii="Times New Roman" w:eastAsia="Times New Roman" w:hAnsi="Times New Roman" w:cs="Times New Roman"/>
                <w:sz w:val="20"/>
                <w:szCs w:val="20"/>
              </w:rPr>
            </w:pPr>
            <w:r w:rsidRPr="00384ABD">
              <w:rPr>
                <w:rFonts w:ascii="Times New Roman" w:eastAsia="Times New Roman" w:hAnsi="Times New Roman" w:cs="Times New Roman"/>
                <w:sz w:val="20"/>
                <w:szCs w:val="20"/>
              </w:rPr>
              <w:t>-612,833</w:t>
            </w:r>
          </w:p>
        </w:tc>
        <w:tc>
          <w:tcPr>
            <w:tcW w:w="1020" w:type="dxa"/>
            <w:noWrap/>
            <w:hideMark/>
          </w:tcPr>
          <w:p w:rsidR="004D5C99" w:rsidRPr="00651171" w:rsidRDefault="004D5C99" w:rsidP="0020759B">
            <w:pPr>
              <w:jc w:val="right"/>
              <w:cnfStyle w:val="00000010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-454.11</w:t>
            </w:r>
          </w:p>
        </w:tc>
      </w:tr>
      <w:tr w:rsidR="004D5C99" w:rsidRPr="00384ABD" w:rsidTr="004D5C99">
        <w:trPr>
          <w:cnfStyle w:val="000000010000"/>
          <w:trHeight w:val="300"/>
          <w:jc w:val="center"/>
        </w:trPr>
        <w:tc>
          <w:tcPr>
            <w:cnfStyle w:val="001000000000"/>
            <w:tcW w:w="3400" w:type="dxa"/>
            <w:hideMark/>
          </w:tcPr>
          <w:p w:rsidR="004D5C99" w:rsidRPr="00384ABD" w:rsidRDefault="004D5C99" w:rsidP="0020759B">
            <w:pPr>
              <w:rPr>
                <w:rFonts w:ascii="Times New Roman" w:eastAsia="Times New Roman" w:hAnsi="Times New Roman" w:cs="Times New Roman"/>
                <w:sz w:val="20"/>
                <w:szCs w:val="20"/>
              </w:rPr>
            </w:pPr>
            <w:r w:rsidRPr="00384ABD">
              <w:rPr>
                <w:rFonts w:ascii="Times New Roman" w:eastAsia="Times New Roman" w:hAnsi="Times New Roman" w:cs="Times New Roman"/>
                <w:sz w:val="20"/>
                <w:szCs w:val="20"/>
              </w:rPr>
              <w:t>Finansinės ir investicinės veiklos pelnas</w:t>
            </w:r>
          </w:p>
        </w:tc>
        <w:tc>
          <w:tcPr>
            <w:tcW w:w="1016" w:type="dxa"/>
            <w:noWrap/>
            <w:hideMark/>
          </w:tcPr>
          <w:p w:rsidR="004D5C99" w:rsidRPr="00384ABD" w:rsidRDefault="004D5C99" w:rsidP="0020759B">
            <w:pPr>
              <w:jc w:val="right"/>
              <w:cnfStyle w:val="000000010000"/>
              <w:rPr>
                <w:rFonts w:ascii="Times New Roman" w:eastAsia="Times New Roman" w:hAnsi="Times New Roman" w:cs="Times New Roman"/>
                <w:sz w:val="20"/>
                <w:szCs w:val="20"/>
              </w:rPr>
            </w:pPr>
            <w:r w:rsidRPr="00384ABD">
              <w:rPr>
                <w:rFonts w:ascii="Times New Roman" w:eastAsia="Times New Roman" w:hAnsi="Times New Roman" w:cs="Times New Roman"/>
                <w:sz w:val="20"/>
                <w:szCs w:val="20"/>
              </w:rPr>
              <w:t>13,666</w:t>
            </w:r>
          </w:p>
        </w:tc>
        <w:tc>
          <w:tcPr>
            <w:tcW w:w="1016" w:type="dxa"/>
            <w:noWrap/>
            <w:hideMark/>
          </w:tcPr>
          <w:p w:rsidR="004D5C99" w:rsidRPr="00384ABD" w:rsidRDefault="004D5C99" w:rsidP="0020759B">
            <w:pPr>
              <w:jc w:val="right"/>
              <w:cnfStyle w:val="000000010000"/>
              <w:rPr>
                <w:rFonts w:ascii="Times New Roman" w:eastAsia="Times New Roman" w:hAnsi="Times New Roman" w:cs="Times New Roman"/>
                <w:sz w:val="20"/>
                <w:szCs w:val="20"/>
              </w:rPr>
            </w:pPr>
            <w:r w:rsidRPr="00384ABD">
              <w:rPr>
                <w:rFonts w:ascii="Times New Roman" w:eastAsia="Times New Roman" w:hAnsi="Times New Roman" w:cs="Times New Roman"/>
                <w:sz w:val="20"/>
                <w:szCs w:val="20"/>
              </w:rPr>
              <w:t>11,206</w:t>
            </w:r>
          </w:p>
        </w:tc>
        <w:tc>
          <w:tcPr>
            <w:tcW w:w="1060" w:type="dxa"/>
            <w:noWrap/>
            <w:hideMark/>
          </w:tcPr>
          <w:p w:rsidR="004D5C99" w:rsidRPr="00651171" w:rsidRDefault="004D5C99" w:rsidP="0020759B">
            <w:pPr>
              <w:jc w:val="right"/>
              <w:cnfStyle w:val="00000001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-18.00</w:t>
            </w:r>
          </w:p>
        </w:tc>
        <w:tc>
          <w:tcPr>
            <w:tcW w:w="1180" w:type="dxa"/>
            <w:noWrap/>
            <w:hideMark/>
          </w:tcPr>
          <w:p w:rsidR="004D5C99" w:rsidRPr="00384ABD" w:rsidRDefault="004D5C99" w:rsidP="0020759B">
            <w:pPr>
              <w:jc w:val="right"/>
              <w:cnfStyle w:val="000000010000"/>
              <w:rPr>
                <w:rFonts w:ascii="Times New Roman" w:eastAsia="Times New Roman" w:hAnsi="Times New Roman" w:cs="Times New Roman"/>
                <w:sz w:val="20"/>
                <w:szCs w:val="20"/>
              </w:rPr>
            </w:pPr>
            <w:r w:rsidRPr="00384ABD">
              <w:rPr>
                <w:rFonts w:ascii="Times New Roman" w:eastAsia="Times New Roman" w:hAnsi="Times New Roman" w:cs="Times New Roman"/>
                <w:sz w:val="20"/>
                <w:szCs w:val="20"/>
              </w:rPr>
              <w:t>7,413</w:t>
            </w:r>
          </w:p>
        </w:tc>
        <w:tc>
          <w:tcPr>
            <w:tcW w:w="1020" w:type="dxa"/>
            <w:noWrap/>
            <w:hideMark/>
          </w:tcPr>
          <w:p w:rsidR="004D5C99" w:rsidRPr="00651171" w:rsidRDefault="004D5C99" w:rsidP="0020759B">
            <w:pPr>
              <w:jc w:val="right"/>
              <w:cnfStyle w:val="00000001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-33.85</w:t>
            </w:r>
          </w:p>
        </w:tc>
      </w:tr>
      <w:tr w:rsidR="004D5C99" w:rsidRPr="00384ABD" w:rsidTr="004D5C99">
        <w:trPr>
          <w:cnfStyle w:val="000000100000"/>
          <w:trHeight w:val="300"/>
          <w:jc w:val="center"/>
        </w:trPr>
        <w:tc>
          <w:tcPr>
            <w:cnfStyle w:val="001000000000"/>
            <w:tcW w:w="3400" w:type="dxa"/>
            <w:hideMark/>
          </w:tcPr>
          <w:p w:rsidR="004D5C99" w:rsidRPr="00384ABD" w:rsidRDefault="004D5C99" w:rsidP="0020759B">
            <w:pPr>
              <w:rPr>
                <w:rFonts w:ascii="Times New Roman" w:eastAsia="Times New Roman" w:hAnsi="Times New Roman" w:cs="Times New Roman"/>
                <w:sz w:val="20"/>
                <w:szCs w:val="20"/>
              </w:rPr>
            </w:pPr>
            <w:r w:rsidRPr="00384ABD">
              <w:rPr>
                <w:rFonts w:ascii="Times New Roman" w:eastAsia="Times New Roman" w:hAnsi="Times New Roman" w:cs="Times New Roman"/>
                <w:sz w:val="20"/>
                <w:szCs w:val="20"/>
              </w:rPr>
              <w:t>Finansinės ir investicinės veiklos sąnaudos</w:t>
            </w:r>
          </w:p>
        </w:tc>
        <w:tc>
          <w:tcPr>
            <w:tcW w:w="1016" w:type="dxa"/>
            <w:noWrap/>
            <w:hideMark/>
          </w:tcPr>
          <w:p w:rsidR="004D5C99" w:rsidRPr="00384ABD" w:rsidRDefault="004D5C99" w:rsidP="0020759B">
            <w:pPr>
              <w:jc w:val="right"/>
              <w:cnfStyle w:val="000000100000"/>
              <w:rPr>
                <w:rFonts w:ascii="Times New Roman" w:eastAsia="Times New Roman" w:hAnsi="Times New Roman" w:cs="Times New Roman"/>
                <w:sz w:val="20"/>
                <w:szCs w:val="20"/>
              </w:rPr>
            </w:pPr>
            <w:r w:rsidRPr="00384ABD">
              <w:rPr>
                <w:rFonts w:ascii="Times New Roman" w:eastAsia="Times New Roman" w:hAnsi="Times New Roman" w:cs="Times New Roman"/>
                <w:sz w:val="20"/>
                <w:szCs w:val="20"/>
              </w:rPr>
              <w:t>30,113</w:t>
            </w:r>
          </w:p>
        </w:tc>
        <w:tc>
          <w:tcPr>
            <w:tcW w:w="1016" w:type="dxa"/>
            <w:noWrap/>
            <w:hideMark/>
          </w:tcPr>
          <w:p w:rsidR="004D5C99" w:rsidRPr="00384ABD" w:rsidRDefault="004D5C99" w:rsidP="0020759B">
            <w:pPr>
              <w:jc w:val="right"/>
              <w:cnfStyle w:val="000000100000"/>
              <w:rPr>
                <w:rFonts w:ascii="Times New Roman" w:eastAsia="Times New Roman" w:hAnsi="Times New Roman" w:cs="Times New Roman"/>
                <w:sz w:val="20"/>
                <w:szCs w:val="20"/>
              </w:rPr>
            </w:pPr>
            <w:r w:rsidRPr="00384ABD">
              <w:rPr>
                <w:rFonts w:ascii="Times New Roman" w:eastAsia="Times New Roman" w:hAnsi="Times New Roman" w:cs="Times New Roman"/>
                <w:sz w:val="20"/>
                <w:szCs w:val="20"/>
              </w:rPr>
              <w:t>66,429</w:t>
            </w:r>
          </w:p>
        </w:tc>
        <w:tc>
          <w:tcPr>
            <w:tcW w:w="1060" w:type="dxa"/>
            <w:noWrap/>
            <w:hideMark/>
          </w:tcPr>
          <w:p w:rsidR="004D5C99" w:rsidRPr="00651171" w:rsidRDefault="004D5C99" w:rsidP="0020759B">
            <w:pPr>
              <w:jc w:val="right"/>
              <w:cnfStyle w:val="00000010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120.60</w:t>
            </w:r>
          </w:p>
        </w:tc>
        <w:tc>
          <w:tcPr>
            <w:tcW w:w="1180" w:type="dxa"/>
            <w:noWrap/>
            <w:hideMark/>
          </w:tcPr>
          <w:p w:rsidR="004D5C99" w:rsidRPr="00384ABD" w:rsidRDefault="004D5C99" w:rsidP="0020759B">
            <w:pPr>
              <w:jc w:val="right"/>
              <w:cnfStyle w:val="000000100000"/>
              <w:rPr>
                <w:rFonts w:ascii="Times New Roman" w:eastAsia="Times New Roman" w:hAnsi="Times New Roman" w:cs="Times New Roman"/>
                <w:sz w:val="20"/>
                <w:szCs w:val="20"/>
              </w:rPr>
            </w:pPr>
            <w:r w:rsidRPr="00384ABD">
              <w:rPr>
                <w:rFonts w:ascii="Times New Roman" w:eastAsia="Times New Roman" w:hAnsi="Times New Roman" w:cs="Times New Roman"/>
                <w:sz w:val="20"/>
                <w:szCs w:val="20"/>
              </w:rPr>
              <w:t>110,837</w:t>
            </w:r>
          </w:p>
        </w:tc>
        <w:tc>
          <w:tcPr>
            <w:tcW w:w="1020" w:type="dxa"/>
            <w:noWrap/>
            <w:hideMark/>
          </w:tcPr>
          <w:p w:rsidR="004D5C99" w:rsidRPr="00651171" w:rsidRDefault="004D5C99" w:rsidP="0020759B">
            <w:pPr>
              <w:jc w:val="right"/>
              <w:cnfStyle w:val="00000010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66.85</w:t>
            </w:r>
          </w:p>
        </w:tc>
      </w:tr>
      <w:tr w:rsidR="004D5C99" w:rsidRPr="00384ABD" w:rsidTr="004D5C99">
        <w:trPr>
          <w:cnfStyle w:val="000000010000"/>
          <w:trHeight w:val="510"/>
          <w:jc w:val="center"/>
        </w:trPr>
        <w:tc>
          <w:tcPr>
            <w:cnfStyle w:val="001000000000"/>
            <w:tcW w:w="3400" w:type="dxa"/>
            <w:hideMark/>
          </w:tcPr>
          <w:p w:rsidR="004D5C99" w:rsidRPr="00384ABD" w:rsidRDefault="004D5C99" w:rsidP="0020759B">
            <w:pPr>
              <w:rPr>
                <w:rFonts w:ascii="Times New Roman" w:eastAsia="Times New Roman" w:hAnsi="Times New Roman" w:cs="Times New Roman"/>
                <w:sz w:val="20"/>
                <w:szCs w:val="20"/>
              </w:rPr>
            </w:pPr>
            <w:r w:rsidRPr="00384ABD">
              <w:rPr>
                <w:rFonts w:ascii="Times New Roman" w:eastAsia="Times New Roman" w:hAnsi="Times New Roman" w:cs="Times New Roman"/>
                <w:sz w:val="20"/>
                <w:szCs w:val="20"/>
              </w:rPr>
              <w:t>Finansinės ir investicinės veiklos pelnas (nuostolis)</w:t>
            </w:r>
          </w:p>
        </w:tc>
        <w:tc>
          <w:tcPr>
            <w:tcW w:w="1016" w:type="dxa"/>
            <w:noWrap/>
            <w:hideMark/>
          </w:tcPr>
          <w:p w:rsidR="004D5C99" w:rsidRPr="00384ABD" w:rsidRDefault="004D5C99" w:rsidP="0020759B">
            <w:pPr>
              <w:jc w:val="right"/>
              <w:cnfStyle w:val="000000010000"/>
              <w:rPr>
                <w:rFonts w:ascii="Times New Roman" w:eastAsia="Times New Roman" w:hAnsi="Times New Roman" w:cs="Times New Roman"/>
                <w:sz w:val="20"/>
                <w:szCs w:val="20"/>
              </w:rPr>
            </w:pPr>
            <w:r w:rsidRPr="00384ABD">
              <w:rPr>
                <w:rFonts w:ascii="Times New Roman" w:eastAsia="Times New Roman" w:hAnsi="Times New Roman" w:cs="Times New Roman"/>
                <w:sz w:val="20"/>
                <w:szCs w:val="20"/>
              </w:rPr>
              <w:t>-16,447</w:t>
            </w:r>
          </w:p>
        </w:tc>
        <w:tc>
          <w:tcPr>
            <w:tcW w:w="1016" w:type="dxa"/>
            <w:noWrap/>
            <w:hideMark/>
          </w:tcPr>
          <w:p w:rsidR="004D5C99" w:rsidRPr="00384ABD" w:rsidRDefault="004D5C99" w:rsidP="0020759B">
            <w:pPr>
              <w:jc w:val="right"/>
              <w:cnfStyle w:val="000000010000"/>
              <w:rPr>
                <w:rFonts w:ascii="Times New Roman" w:eastAsia="Times New Roman" w:hAnsi="Times New Roman" w:cs="Times New Roman"/>
                <w:sz w:val="20"/>
                <w:szCs w:val="20"/>
              </w:rPr>
            </w:pPr>
            <w:r w:rsidRPr="00384ABD">
              <w:rPr>
                <w:rFonts w:ascii="Times New Roman" w:eastAsia="Times New Roman" w:hAnsi="Times New Roman" w:cs="Times New Roman"/>
                <w:sz w:val="20"/>
                <w:szCs w:val="20"/>
              </w:rPr>
              <w:t>-55,223</w:t>
            </w:r>
          </w:p>
        </w:tc>
        <w:tc>
          <w:tcPr>
            <w:tcW w:w="1060" w:type="dxa"/>
            <w:noWrap/>
            <w:hideMark/>
          </w:tcPr>
          <w:p w:rsidR="004D5C99" w:rsidRPr="00651171" w:rsidRDefault="004D5C99" w:rsidP="0020759B">
            <w:pPr>
              <w:jc w:val="right"/>
              <w:cnfStyle w:val="00000001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235.75</w:t>
            </w:r>
          </w:p>
        </w:tc>
        <w:tc>
          <w:tcPr>
            <w:tcW w:w="1180" w:type="dxa"/>
            <w:noWrap/>
            <w:hideMark/>
          </w:tcPr>
          <w:p w:rsidR="004D5C99" w:rsidRPr="00384ABD" w:rsidRDefault="004D5C99" w:rsidP="0020759B">
            <w:pPr>
              <w:jc w:val="right"/>
              <w:cnfStyle w:val="000000010000"/>
              <w:rPr>
                <w:rFonts w:ascii="Times New Roman" w:eastAsia="Times New Roman" w:hAnsi="Times New Roman" w:cs="Times New Roman"/>
                <w:sz w:val="20"/>
                <w:szCs w:val="20"/>
              </w:rPr>
            </w:pPr>
            <w:r w:rsidRPr="00384ABD">
              <w:rPr>
                <w:rFonts w:ascii="Times New Roman" w:eastAsia="Times New Roman" w:hAnsi="Times New Roman" w:cs="Times New Roman"/>
                <w:sz w:val="20"/>
                <w:szCs w:val="20"/>
              </w:rPr>
              <w:t>-103,424</w:t>
            </w:r>
          </w:p>
        </w:tc>
        <w:tc>
          <w:tcPr>
            <w:tcW w:w="1020" w:type="dxa"/>
            <w:noWrap/>
            <w:hideMark/>
          </w:tcPr>
          <w:p w:rsidR="004D5C99" w:rsidRPr="00651171" w:rsidRDefault="004D5C99" w:rsidP="0020759B">
            <w:pPr>
              <w:jc w:val="right"/>
              <w:cnfStyle w:val="00000001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-87.29</w:t>
            </w:r>
          </w:p>
        </w:tc>
      </w:tr>
      <w:tr w:rsidR="004D5C99" w:rsidRPr="00384ABD" w:rsidTr="004D5C99">
        <w:trPr>
          <w:cnfStyle w:val="000000100000"/>
          <w:trHeight w:val="300"/>
          <w:jc w:val="center"/>
        </w:trPr>
        <w:tc>
          <w:tcPr>
            <w:cnfStyle w:val="001000000000"/>
            <w:tcW w:w="3400" w:type="dxa"/>
            <w:hideMark/>
          </w:tcPr>
          <w:p w:rsidR="004D5C99" w:rsidRPr="00384ABD" w:rsidRDefault="004D5C99" w:rsidP="0020759B">
            <w:pPr>
              <w:rPr>
                <w:rFonts w:ascii="Times New Roman" w:eastAsia="Times New Roman" w:hAnsi="Times New Roman" w:cs="Times New Roman"/>
                <w:sz w:val="20"/>
                <w:szCs w:val="20"/>
              </w:rPr>
            </w:pPr>
            <w:r w:rsidRPr="00384ABD">
              <w:rPr>
                <w:rFonts w:ascii="Times New Roman" w:eastAsia="Times New Roman" w:hAnsi="Times New Roman" w:cs="Times New Roman"/>
                <w:sz w:val="20"/>
                <w:szCs w:val="20"/>
              </w:rPr>
              <w:t>Pelnas prieš apmokestinimą</w:t>
            </w:r>
          </w:p>
        </w:tc>
        <w:tc>
          <w:tcPr>
            <w:tcW w:w="1016" w:type="dxa"/>
            <w:noWrap/>
            <w:hideMark/>
          </w:tcPr>
          <w:p w:rsidR="004D5C99" w:rsidRPr="00384ABD" w:rsidRDefault="004D5C99" w:rsidP="0020759B">
            <w:pPr>
              <w:jc w:val="right"/>
              <w:cnfStyle w:val="000000100000"/>
              <w:rPr>
                <w:rFonts w:ascii="Times New Roman" w:eastAsia="Times New Roman" w:hAnsi="Times New Roman" w:cs="Times New Roman"/>
                <w:sz w:val="20"/>
                <w:szCs w:val="20"/>
              </w:rPr>
            </w:pPr>
            <w:r w:rsidRPr="00384ABD">
              <w:rPr>
                <w:rFonts w:ascii="Times New Roman" w:eastAsia="Times New Roman" w:hAnsi="Times New Roman" w:cs="Times New Roman"/>
                <w:sz w:val="20"/>
                <w:szCs w:val="20"/>
              </w:rPr>
              <w:t>12,907</w:t>
            </w:r>
          </w:p>
        </w:tc>
        <w:tc>
          <w:tcPr>
            <w:tcW w:w="1016" w:type="dxa"/>
            <w:noWrap/>
            <w:hideMark/>
          </w:tcPr>
          <w:p w:rsidR="004D5C99" w:rsidRPr="00384ABD" w:rsidRDefault="004D5C99" w:rsidP="0020759B">
            <w:pPr>
              <w:jc w:val="right"/>
              <w:cnfStyle w:val="000000100000"/>
              <w:rPr>
                <w:rFonts w:ascii="Times New Roman" w:eastAsia="Times New Roman" w:hAnsi="Times New Roman" w:cs="Times New Roman"/>
                <w:sz w:val="20"/>
                <w:szCs w:val="20"/>
              </w:rPr>
            </w:pPr>
            <w:r w:rsidRPr="00384ABD">
              <w:rPr>
                <w:rFonts w:ascii="Times New Roman" w:eastAsia="Times New Roman" w:hAnsi="Times New Roman" w:cs="Times New Roman"/>
                <w:sz w:val="20"/>
                <w:szCs w:val="20"/>
              </w:rPr>
              <w:t>-165,820</w:t>
            </w:r>
          </w:p>
        </w:tc>
        <w:tc>
          <w:tcPr>
            <w:tcW w:w="1060" w:type="dxa"/>
            <w:noWrap/>
            <w:hideMark/>
          </w:tcPr>
          <w:p w:rsidR="004D5C99" w:rsidRPr="00651171" w:rsidRDefault="004D5C99" w:rsidP="0020759B">
            <w:pPr>
              <w:jc w:val="right"/>
              <w:cnfStyle w:val="00000010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-1,384.76</w:t>
            </w:r>
          </w:p>
        </w:tc>
        <w:tc>
          <w:tcPr>
            <w:tcW w:w="1180" w:type="dxa"/>
            <w:noWrap/>
            <w:hideMark/>
          </w:tcPr>
          <w:p w:rsidR="004D5C99" w:rsidRPr="00384ABD" w:rsidRDefault="004D5C99" w:rsidP="0020759B">
            <w:pPr>
              <w:jc w:val="right"/>
              <w:cnfStyle w:val="000000100000"/>
              <w:rPr>
                <w:rFonts w:ascii="Times New Roman" w:eastAsia="Times New Roman" w:hAnsi="Times New Roman" w:cs="Times New Roman"/>
                <w:sz w:val="20"/>
                <w:szCs w:val="20"/>
              </w:rPr>
            </w:pPr>
            <w:r w:rsidRPr="00384ABD">
              <w:rPr>
                <w:rFonts w:ascii="Times New Roman" w:eastAsia="Times New Roman" w:hAnsi="Times New Roman" w:cs="Times New Roman"/>
                <w:sz w:val="20"/>
                <w:szCs w:val="20"/>
              </w:rPr>
              <w:t>-716,257</w:t>
            </w:r>
          </w:p>
        </w:tc>
        <w:tc>
          <w:tcPr>
            <w:tcW w:w="1020" w:type="dxa"/>
            <w:noWrap/>
            <w:hideMark/>
          </w:tcPr>
          <w:p w:rsidR="004D5C99" w:rsidRPr="00651171" w:rsidRDefault="004D5C99" w:rsidP="0020759B">
            <w:pPr>
              <w:jc w:val="right"/>
              <w:cnfStyle w:val="00000010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-331.95</w:t>
            </w:r>
          </w:p>
        </w:tc>
      </w:tr>
      <w:tr w:rsidR="004D5C99" w:rsidRPr="00384ABD" w:rsidTr="004D5C99">
        <w:trPr>
          <w:cnfStyle w:val="000000010000"/>
          <w:trHeight w:val="300"/>
          <w:jc w:val="center"/>
        </w:trPr>
        <w:tc>
          <w:tcPr>
            <w:cnfStyle w:val="001000000000"/>
            <w:tcW w:w="3400" w:type="dxa"/>
            <w:hideMark/>
          </w:tcPr>
          <w:p w:rsidR="004D5C99" w:rsidRPr="00384ABD" w:rsidRDefault="004D5C99" w:rsidP="0020759B">
            <w:pPr>
              <w:rPr>
                <w:rFonts w:ascii="Times New Roman" w:eastAsia="Times New Roman" w:hAnsi="Times New Roman" w:cs="Times New Roman"/>
                <w:sz w:val="20"/>
                <w:szCs w:val="20"/>
              </w:rPr>
            </w:pPr>
            <w:r w:rsidRPr="00384ABD">
              <w:rPr>
                <w:rFonts w:ascii="Times New Roman" w:eastAsia="Times New Roman" w:hAnsi="Times New Roman" w:cs="Times New Roman"/>
                <w:sz w:val="20"/>
                <w:szCs w:val="20"/>
              </w:rPr>
              <w:t>Pelno mokestis</w:t>
            </w:r>
          </w:p>
        </w:tc>
        <w:tc>
          <w:tcPr>
            <w:tcW w:w="1016" w:type="dxa"/>
            <w:hideMark/>
          </w:tcPr>
          <w:p w:rsidR="004D5C99" w:rsidRPr="00384ABD" w:rsidRDefault="004D5C99" w:rsidP="0020759B">
            <w:pPr>
              <w:jc w:val="right"/>
              <w:cnfStyle w:val="000000010000"/>
              <w:rPr>
                <w:rFonts w:ascii="Times New Roman" w:eastAsia="Times New Roman" w:hAnsi="Times New Roman" w:cs="Times New Roman"/>
                <w:sz w:val="20"/>
                <w:szCs w:val="20"/>
              </w:rPr>
            </w:pPr>
            <w:r w:rsidRPr="00384ABD">
              <w:rPr>
                <w:rFonts w:ascii="Times New Roman" w:eastAsia="Times New Roman" w:hAnsi="Times New Roman" w:cs="Times New Roman"/>
                <w:sz w:val="20"/>
                <w:szCs w:val="20"/>
              </w:rPr>
              <w:t>n.a.</w:t>
            </w:r>
          </w:p>
        </w:tc>
        <w:tc>
          <w:tcPr>
            <w:tcW w:w="1016" w:type="dxa"/>
            <w:hideMark/>
          </w:tcPr>
          <w:p w:rsidR="004D5C99" w:rsidRPr="00384ABD" w:rsidRDefault="004D5C99" w:rsidP="0020759B">
            <w:pPr>
              <w:jc w:val="right"/>
              <w:cnfStyle w:val="000000010000"/>
              <w:rPr>
                <w:rFonts w:ascii="Times New Roman" w:eastAsia="Times New Roman" w:hAnsi="Times New Roman" w:cs="Times New Roman"/>
                <w:sz w:val="20"/>
                <w:szCs w:val="20"/>
              </w:rPr>
            </w:pPr>
            <w:r w:rsidRPr="00384ABD">
              <w:rPr>
                <w:rFonts w:ascii="Times New Roman" w:eastAsia="Times New Roman" w:hAnsi="Times New Roman" w:cs="Times New Roman"/>
                <w:sz w:val="20"/>
                <w:szCs w:val="20"/>
              </w:rPr>
              <w:t>n.a.</w:t>
            </w:r>
          </w:p>
        </w:tc>
        <w:tc>
          <w:tcPr>
            <w:tcW w:w="1060" w:type="dxa"/>
            <w:hideMark/>
          </w:tcPr>
          <w:p w:rsidR="004D5C99" w:rsidRPr="00651171" w:rsidRDefault="004D5C99" w:rsidP="0020759B">
            <w:pPr>
              <w:jc w:val="right"/>
              <w:cnfStyle w:val="00000001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n.a.</w:t>
            </w:r>
          </w:p>
        </w:tc>
        <w:tc>
          <w:tcPr>
            <w:tcW w:w="1180" w:type="dxa"/>
            <w:hideMark/>
          </w:tcPr>
          <w:p w:rsidR="004D5C99" w:rsidRPr="00384ABD" w:rsidRDefault="004D5C99" w:rsidP="0020759B">
            <w:pPr>
              <w:jc w:val="right"/>
              <w:cnfStyle w:val="000000010000"/>
              <w:rPr>
                <w:rFonts w:ascii="Times New Roman" w:eastAsia="Times New Roman" w:hAnsi="Times New Roman" w:cs="Times New Roman"/>
                <w:sz w:val="20"/>
                <w:szCs w:val="20"/>
              </w:rPr>
            </w:pPr>
            <w:r w:rsidRPr="00384ABD">
              <w:rPr>
                <w:rFonts w:ascii="Times New Roman" w:eastAsia="Times New Roman" w:hAnsi="Times New Roman" w:cs="Times New Roman"/>
                <w:sz w:val="20"/>
                <w:szCs w:val="20"/>
              </w:rPr>
              <w:t>n.a.</w:t>
            </w:r>
          </w:p>
        </w:tc>
        <w:tc>
          <w:tcPr>
            <w:tcW w:w="1020" w:type="dxa"/>
            <w:hideMark/>
          </w:tcPr>
          <w:p w:rsidR="004D5C99" w:rsidRPr="00651171" w:rsidRDefault="004D5C99" w:rsidP="0020759B">
            <w:pPr>
              <w:jc w:val="right"/>
              <w:cnfStyle w:val="00000001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n.a.</w:t>
            </w:r>
          </w:p>
        </w:tc>
      </w:tr>
      <w:tr w:rsidR="004D5C99" w:rsidRPr="00384ABD" w:rsidTr="004D5C99">
        <w:trPr>
          <w:cnfStyle w:val="000000100000"/>
          <w:trHeight w:val="300"/>
          <w:jc w:val="center"/>
        </w:trPr>
        <w:tc>
          <w:tcPr>
            <w:cnfStyle w:val="001000000000"/>
            <w:tcW w:w="3400" w:type="dxa"/>
            <w:hideMark/>
          </w:tcPr>
          <w:p w:rsidR="004D5C99" w:rsidRPr="00384ABD" w:rsidRDefault="004D5C99" w:rsidP="0020759B">
            <w:pPr>
              <w:rPr>
                <w:rFonts w:ascii="Times New Roman" w:eastAsia="Times New Roman" w:hAnsi="Times New Roman" w:cs="Times New Roman"/>
                <w:sz w:val="20"/>
                <w:szCs w:val="20"/>
              </w:rPr>
            </w:pPr>
            <w:r w:rsidRPr="00384ABD">
              <w:rPr>
                <w:rFonts w:ascii="Times New Roman" w:eastAsia="Times New Roman" w:hAnsi="Times New Roman" w:cs="Times New Roman"/>
                <w:sz w:val="20"/>
                <w:szCs w:val="20"/>
              </w:rPr>
              <w:t>Grynasis pelnas</w:t>
            </w:r>
          </w:p>
        </w:tc>
        <w:tc>
          <w:tcPr>
            <w:tcW w:w="1016" w:type="dxa"/>
            <w:noWrap/>
            <w:hideMark/>
          </w:tcPr>
          <w:p w:rsidR="004D5C99" w:rsidRPr="00384ABD" w:rsidRDefault="004D5C99" w:rsidP="0020759B">
            <w:pPr>
              <w:jc w:val="right"/>
              <w:cnfStyle w:val="000000100000"/>
              <w:rPr>
                <w:rFonts w:ascii="Times New Roman" w:eastAsia="Times New Roman" w:hAnsi="Times New Roman" w:cs="Times New Roman"/>
                <w:sz w:val="20"/>
                <w:szCs w:val="20"/>
              </w:rPr>
            </w:pPr>
            <w:r w:rsidRPr="00384ABD">
              <w:rPr>
                <w:rFonts w:ascii="Times New Roman" w:eastAsia="Times New Roman" w:hAnsi="Times New Roman" w:cs="Times New Roman"/>
                <w:sz w:val="20"/>
                <w:szCs w:val="20"/>
              </w:rPr>
              <w:t>12,907</w:t>
            </w:r>
          </w:p>
        </w:tc>
        <w:tc>
          <w:tcPr>
            <w:tcW w:w="1016" w:type="dxa"/>
            <w:noWrap/>
            <w:hideMark/>
          </w:tcPr>
          <w:p w:rsidR="004D5C99" w:rsidRPr="00384ABD" w:rsidRDefault="004D5C99" w:rsidP="0020759B">
            <w:pPr>
              <w:jc w:val="right"/>
              <w:cnfStyle w:val="000000100000"/>
              <w:rPr>
                <w:rFonts w:ascii="Times New Roman" w:eastAsia="Times New Roman" w:hAnsi="Times New Roman" w:cs="Times New Roman"/>
                <w:sz w:val="20"/>
                <w:szCs w:val="20"/>
              </w:rPr>
            </w:pPr>
            <w:r w:rsidRPr="00384ABD">
              <w:rPr>
                <w:rFonts w:ascii="Times New Roman" w:eastAsia="Times New Roman" w:hAnsi="Times New Roman" w:cs="Times New Roman"/>
                <w:sz w:val="20"/>
                <w:szCs w:val="20"/>
              </w:rPr>
              <w:t>-165,820</w:t>
            </w:r>
          </w:p>
        </w:tc>
        <w:tc>
          <w:tcPr>
            <w:tcW w:w="1060" w:type="dxa"/>
            <w:noWrap/>
            <w:hideMark/>
          </w:tcPr>
          <w:p w:rsidR="004D5C99" w:rsidRPr="00651171" w:rsidRDefault="004D5C99" w:rsidP="0020759B">
            <w:pPr>
              <w:jc w:val="right"/>
              <w:cnfStyle w:val="00000010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-1,384.76</w:t>
            </w:r>
          </w:p>
        </w:tc>
        <w:tc>
          <w:tcPr>
            <w:tcW w:w="1180" w:type="dxa"/>
            <w:noWrap/>
            <w:hideMark/>
          </w:tcPr>
          <w:p w:rsidR="004D5C99" w:rsidRPr="00384ABD" w:rsidRDefault="004D5C99" w:rsidP="0020759B">
            <w:pPr>
              <w:jc w:val="right"/>
              <w:cnfStyle w:val="000000100000"/>
              <w:rPr>
                <w:rFonts w:ascii="Times New Roman" w:eastAsia="Times New Roman" w:hAnsi="Times New Roman" w:cs="Times New Roman"/>
                <w:sz w:val="20"/>
                <w:szCs w:val="20"/>
              </w:rPr>
            </w:pPr>
            <w:r w:rsidRPr="00384ABD">
              <w:rPr>
                <w:rFonts w:ascii="Times New Roman" w:eastAsia="Times New Roman" w:hAnsi="Times New Roman" w:cs="Times New Roman"/>
                <w:sz w:val="20"/>
                <w:szCs w:val="20"/>
              </w:rPr>
              <w:t>-716,257</w:t>
            </w:r>
          </w:p>
        </w:tc>
        <w:tc>
          <w:tcPr>
            <w:tcW w:w="1020" w:type="dxa"/>
            <w:noWrap/>
            <w:hideMark/>
          </w:tcPr>
          <w:p w:rsidR="004D5C99" w:rsidRPr="00651171" w:rsidRDefault="004D5C99" w:rsidP="0020759B">
            <w:pPr>
              <w:jc w:val="right"/>
              <w:cnfStyle w:val="000000100000"/>
              <w:rPr>
                <w:rFonts w:ascii="Times New Roman" w:eastAsia="Times New Roman" w:hAnsi="Times New Roman" w:cs="Times New Roman"/>
                <w:i/>
                <w:sz w:val="20"/>
                <w:szCs w:val="20"/>
              </w:rPr>
            </w:pPr>
            <w:r w:rsidRPr="00651171">
              <w:rPr>
                <w:rFonts w:ascii="Times New Roman" w:eastAsia="Times New Roman" w:hAnsi="Times New Roman" w:cs="Times New Roman"/>
                <w:i/>
                <w:sz w:val="20"/>
                <w:szCs w:val="20"/>
              </w:rPr>
              <w:t>-331.95</w:t>
            </w:r>
          </w:p>
        </w:tc>
      </w:tr>
    </w:tbl>
    <w:p w:rsidR="004D5C99" w:rsidRDefault="004D5C99" w:rsidP="006014D3">
      <w:pPr>
        <w:rPr>
          <w:rFonts w:ascii="Times New Roman" w:hAnsi="Times New Roman" w:cs="Times New Roman"/>
          <w:sz w:val="24"/>
          <w:szCs w:val="24"/>
          <w:lang w:val="lt-LT"/>
        </w:rPr>
      </w:pPr>
    </w:p>
    <w:p w:rsidR="00887D37" w:rsidRDefault="00887D37" w:rsidP="00887D37">
      <w:pPr>
        <w:spacing w:after="0"/>
        <w:contextualSpacing/>
        <w:jc w:val="center"/>
        <w:rPr>
          <w:rFonts w:ascii="Times New Roman" w:hAnsi="Times New Roman" w:cs="Times New Roman"/>
          <w:sz w:val="24"/>
          <w:szCs w:val="24"/>
          <w:lang w:val="lt-LT"/>
        </w:rPr>
      </w:pPr>
      <w:r>
        <w:rPr>
          <w:rFonts w:ascii="Times New Roman" w:hAnsi="Times New Roman" w:cs="Times New Roman"/>
          <w:szCs w:val="24"/>
        </w:rPr>
        <w:t>10</w:t>
      </w:r>
      <w:r w:rsidRPr="004D5C99">
        <w:rPr>
          <w:rFonts w:ascii="Times New Roman" w:hAnsi="Times New Roman" w:cs="Times New Roman"/>
          <w:szCs w:val="24"/>
        </w:rPr>
        <w:t xml:space="preserve"> lentelė.</w:t>
      </w:r>
      <w:r w:rsidRPr="004D5C99">
        <w:rPr>
          <w:rFonts w:ascii="Times New Roman" w:hAnsi="Times New Roman" w:cs="Times New Roman"/>
          <w:b/>
          <w:szCs w:val="24"/>
        </w:rPr>
        <w:t xml:space="preserve"> </w:t>
      </w:r>
      <w:r>
        <w:rPr>
          <w:rFonts w:ascii="Times New Roman" w:hAnsi="Times New Roman" w:cs="Times New Roman"/>
          <w:b/>
          <w:szCs w:val="24"/>
        </w:rPr>
        <w:t>UAB “Romas ir ko” pelno (nuostolio) ataskaitos straipsnių pokyčiai</w:t>
      </w:r>
    </w:p>
    <w:tbl>
      <w:tblPr>
        <w:tblStyle w:val="LightGrid-Accent6"/>
        <w:tblW w:w="8586" w:type="dxa"/>
        <w:jc w:val="center"/>
        <w:tblInd w:w="-562" w:type="dxa"/>
        <w:tblLook w:val="04A0"/>
      </w:tblPr>
      <w:tblGrid>
        <w:gridCol w:w="3294"/>
        <w:gridCol w:w="1016"/>
        <w:gridCol w:w="1016"/>
        <w:gridCol w:w="1083"/>
        <w:gridCol w:w="1094"/>
        <w:gridCol w:w="1083"/>
      </w:tblGrid>
      <w:tr w:rsidR="00887D37" w:rsidRPr="00455DFC" w:rsidTr="00887D37">
        <w:trPr>
          <w:cnfStyle w:val="100000000000"/>
          <w:trHeight w:val="300"/>
          <w:jc w:val="center"/>
        </w:trPr>
        <w:tc>
          <w:tcPr>
            <w:cnfStyle w:val="001000000000"/>
            <w:tcW w:w="8586" w:type="dxa"/>
            <w:gridSpan w:val="6"/>
            <w:noWrap/>
            <w:hideMark/>
          </w:tcPr>
          <w:p w:rsidR="00887D37" w:rsidRPr="00455DFC" w:rsidRDefault="00887D37" w:rsidP="00275F1A">
            <w:pPr>
              <w:contextualSpacing/>
              <w:jc w:val="center"/>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UAB “ROMAS IR KO” PELNO (NUOSTOLIO) ATASKAITOS STRAIPSNIŲ POKYČIAI</w:t>
            </w:r>
          </w:p>
        </w:tc>
      </w:tr>
      <w:tr w:rsidR="00E6354F" w:rsidRPr="00455DFC" w:rsidTr="004633A4">
        <w:trPr>
          <w:cnfStyle w:val="000000100000"/>
          <w:trHeight w:val="300"/>
          <w:jc w:val="center"/>
        </w:trPr>
        <w:tc>
          <w:tcPr>
            <w:cnfStyle w:val="001000000000"/>
            <w:tcW w:w="3294" w:type="dxa"/>
            <w:noWrap/>
            <w:hideMark/>
          </w:tcPr>
          <w:p w:rsidR="00E6354F" w:rsidRPr="00455DFC" w:rsidRDefault="00E6354F" w:rsidP="00275F1A">
            <w:pPr>
              <w:contextualSpacing/>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 </w:t>
            </w:r>
          </w:p>
        </w:tc>
        <w:tc>
          <w:tcPr>
            <w:tcW w:w="1016" w:type="dxa"/>
            <w:noWrap/>
            <w:vAlign w:val="center"/>
            <w:hideMark/>
          </w:tcPr>
          <w:p w:rsidR="00E6354F" w:rsidRPr="00384ABD" w:rsidRDefault="00E6354F" w:rsidP="004633A4">
            <w:pPr>
              <w:jc w:val="center"/>
              <w:cnfStyle w:val="000000100000"/>
              <w:rPr>
                <w:rFonts w:ascii="Times New Roman" w:eastAsia="Times New Roman" w:hAnsi="Times New Roman" w:cs="Times New Roman"/>
                <w:i/>
                <w:iCs/>
                <w:sz w:val="20"/>
                <w:szCs w:val="20"/>
              </w:rPr>
            </w:pPr>
            <w:r w:rsidRPr="00384ABD">
              <w:rPr>
                <w:rFonts w:ascii="Times New Roman" w:eastAsia="Times New Roman" w:hAnsi="Times New Roman" w:cs="Times New Roman"/>
                <w:i/>
                <w:iCs/>
                <w:sz w:val="20"/>
                <w:szCs w:val="20"/>
              </w:rPr>
              <w:t>2008</w:t>
            </w:r>
          </w:p>
        </w:tc>
        <w:tc>
          <w:tcPr>
            <w:tcW w:w="1016" w:type="dxa"/>
            <w:noWrap/>
            <w:vAlign w:val="center"/>
            <w:hideMark/>
          </w:tcPr>
          <w:p w:rsidR="00E6354F" w:rsidRPr="00384ABD" w:rsidRDefault="00E6354F" w:rsidP="004633A4">
            <w:pPr>
              <w:jc w:val="center"/>
              <w:cnfStyle w:val="000000100000"/>
              <w:rPr>
                <w:rFonts w:ascii="Times New Roman" w:eastAsia="Times New Roman" w:hAnsi="Times New Roman" w:cs="Times New Roman"/>
                <w:i/>
                <w:iCs/>
                <w:sz w:val="20"/>
                <w:szCs w:val="20"/>
              </w:rPr>
            </w:pPr>
            <w:r w:rsidRPr="00384ABD">
              <w:rPr>
                <w:rFonts w:ascii="Times New Roman" w:eastAsia="Times New Roman" w:hAnsi="Times New Roman" w:cs="Times New Roman"/>
                <w:i/>
                <w:iCs/>
                <w:sz w:val="20"/>
                <w:szCs w:val="20"/>
              </w:rPr>
              <w:t>2009</w:t>
            </w:r>
          </w:p>
        </w:tc>
        <w:tc>
          <w:tcPr>
            <w:tcW w:w="1083" w:type="dxa"/>
            <w:noWrap/>
            <w:vAlign w:val="center"/>
            <w:hideMark/>
          </w:tcPr>
          <w:p w:rsidR="00E6354F" w:rsidRPr="00384ABD" w:rsidRDefault="00E6354F" w:rsidP="004633A4">
            <w:pPr>
              <w:jc w:val="center"/>
              <w:cnfStyle w:val="000000100000"/>
              <w:rPr>
                <w:rFonts w:ascii="Times New Roman" w:eastAsia="Times New Roman" w:hAnsi="Times New Roman" w:cs="Times New Roman"/>
                <w:i/>
                <w:iCs/>
                <w:sz w:val="20"/>
                <w:szCs w:val="20"/>
              </w:rPr>
            </w:pPr>
            <w:r w:rsidRPr="00384ABD">
              <w:rPr>
                <w:rFonts w:ascii="Times New Roman" w:eastAsia="Times New Roman" w:hAnsi="Times New Roman" w:cs="Times New Roman"/>
                <w:i/>
                <w:iCs/>
                <w:sz w:val="20"/>
                <w:szCs w:val="20"/>
              </w:rPr>
              <w:t xml:space="preserve">Pokytis, </w:t>
            </w:r>
            <w:r>
              <w:rPr>
                <w:rFonts w:ascii="Times New Roman" w:eastAsia="Times New Roman" w:hAnsi="Times New Roman" w:cs="Times New Roman"/>
                <w:i/>
                <w:iCs/>
                <w:sz w:val="20"/>
                <w:szCs w:val="20"/>
              </w:rPr>
              <w:t>proc.</w:t>
            </w:r>
          </w:p>
        </w:tc>
        <w:tc>
          <w:tcPr>
            <w:tcW w:w="1094" w:type="dxa"/>
            <w:noWrap/>
            <w:vAlign w:val="center"/>
            <w:hideMark/>
          </w:tcPr>
          <w:p w:rsidR="00E6354F" w:rsidRPr="00384ABD" w:rsidRDefault="00E6354F" w:rsidP="004633A4">
            <w:pPr>
              <w:jc w:val="center"/>
              <w:cnfStyle w:val="000000100000"/>
              <w:rPr>
                <w:rFonts w:ascii="Times New Roman" w:eastAsia="Times New Roman" w:hAnsi="Times New Roman" w:cs="Times New Roman"/>
                <w:i/>
                <w:iCs/>
                <w:sz w:val="20"/>
                <w:szCs w:val="20"/>
              </w:rPr>
            </w:pPr>
            <w:r w:rsidRPr="00384ABD">
              <w:rPr>
                <w:rFonts w:ascii="Times New Roman" w:eastAsia="Times New Roman" w:hAnsi="Times New Roman" w:cs="Times New Roman"/>
                <w:i/>
                <w:iCs/>
                <w:sz w:val="20"/>
                <w:szCs w:val="20"/>
              </w:rPr>
              <w:t>2010</w:t>
            </w:r>
          </w:p>
        </w:tc>
        <w:tc>
          <w:tcPr>
            <w:tcW w:w="1083" w:type="dxa"/>
            <w:noWrap/>
            <w:vAlign w:val="center"/>
            <w:hideMark/>
          </w:tcPr>
          <w:p w:rsidR="00E6354F" w:rsidRPr="00384ABD" w:rsidRDefault="00E6354F" w:rsidP="004633A4">
            <w:pPr>
              <w:jc w:val="center"/>
              <w:cnfStyle w:val="000000100000"/>
              <w:rPr>
                <w:rFonts w:ascii="Times New Roman" w:eastAsia="Times New Roman" w:hAnsi="Times New Roman" w:cs="Times New Roman"/>
                <w:i/>
                <w:iCs/>
                <w:sz w:val="20"/>
                <w:szCs w:val="20"/>
              </w:rPr>
            </w:pPr>
            <w:r w:rsidRPr="00384ABD">
              <w:rPr>
                <w:rFonts w:ascii="Times New Roman" w:eastAsia="Times New Roman" w:hAnsi="Times New Roman" w:cs="Times New Roman"/>
                <w:i/>
                <w:iCs/>
                <w:sz w:val="20"/>
                <w:szCs w:val="20"/>
              </w:rPr>
              <w:t xml:space="preserve">Pokytis, </w:t>
            </w:r>
            <w:r>
              <w:rPr>
                <w:rFonts w:ascii="Times New Roman" w:eastAsia="Times New Roman" w:hAnsi="Times New Roman" w:cs="Times New Roman"/>
                <w:i/>
                <w:iCs/>
                <w:sz w:val="20"/>
                <w:szCs w:val="20"/>
              </w:rPr>
              <w:t>proc.</w:t>
            </w:r>
          </w:p>
        </w:tc>
      </w:tr>
      <w:tr w:rsidR="00887D37" w:rsidRPr="00455DFC" w:rsidTr="00887D37">
        <w:trPr>
          <w:cnfStyle w:val="000000010000"/>
          <w:trHeight w:val="300"/>
          <w:jc w:val="center"/>
        </w:trPr>
        <w:tc>
          <w:tcPr>
            <w:cnfStyle w:val="001000000000"/>
            <w:tcW w:w="3294" w:type="dxa"/>
            <w:hideMark/>
          </w:tcPr>
          <w:p w:rsidR="00887D37" w:rsidRPr="00455DFC" w:rsidRDefault="00887D37" w:rsidP="00275F1A">
            <w:pPr>
              <w:contextualSpacing/>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Veiklos pajamos</w:t>
            </w:r>
          </w:p>
        </w:tc>
        <w:tc>
          <w:tcPr>
            <w:tcW w:w="1016" w:type="dxa"/>
            <w:noWrap/>
            <w:vAlign w:val="center"/>
            <w:hideMark/>
          </w:tcPr>
          <w:p w:rsidR="00887D37" w:rsidRPr="00455DFC" w:rsidRDefault="00887D37" w:rsidP="00275F1A">
            <w:pPr>
              <w:contextualSpacing/>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5,269,191</w:t>
            </w:r>
          </w:p>
        </w:tc>
        <w:tc>
          <w:tcPr>
            <w:tcW w:w="1016" w:type="dxa"/>
            <w:noWrap/>
            <w:vAlign w:val="center"/>
            <w:hideMark/>
          </w:tcPr>
          <w:p w:rsidR="00887D37" w:rsidRPr="00455DFC" w:rsidRDefault="00887D37" w:rsidP="00275F1A">
            <w:pPr>
              <w:contextualSpacing/>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5,522,825</w:t>
            </w:r>
          </w:p>
        </w:tc>
        <w:tc>
          <w:tcPr>
            <w:tcW w:w="1083" w:type="dxa"/>
            <w:noWrap/>
            <w:vAlign w:val="center"/>
            <w:hideMark/>
          </w:tcPr>
          <w:p w:rsidR="00887D37" w:rsidRPr="00CD7133" w:rsidRDefault="00887D37" w:rsidP="00275F1A">
            <w:pPr>
              <w:contextualSpacing/>
              <w:jc w:val="center"/>
              <w:cnfStyle w:val="00000001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4.81</w:t>
            </w:r>
          </w:p>
        </w:tc>
        <w:tc>
          <w:tcPr>
            <w:tcW w:w="1094" w:type="dxa"/>
            <w:noWrap/>
            <w:vAlign w:val="center"/>
            <w:hideMark/>
          </w:tcPr>
          <w:p w:rsidR="00887D37" w:rsidRPr="00455DFC" w:rsidRDefault="00887D37" w:rsidP="00275F1A">
            <w:pPr>
              <w:contextualSpacing/>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4,836,560</w:t>
            </w:r>
          </w:p>
        </w:tc>
        <w:tc>
          <w:tcPr>
            <w:tcW w:w="1083" w:type="dxa"/>
            <w:noWrap/>
            <w:vAlign w:val="center"/>
            <w:hideMark/>
          </w:tcPr>
          <w:p w:rsidR="00887D37" w:rsidRPr="00CD7133" w:rsidRDefault="00887D37" w:rsidP="00275F1A">
            <w:pPr>
              <w:contextualSpacing/>
              <w:jc w:val="center"/>
              <w:cnfStyle w:val="000000010000"/>
              <w:rPr>
                <w:rFonts w:ascii="Times New Roman" w:hAnsi="Times New Roman" w:cs="Times New Roman"/>
                <w:i/>
                <w:sz w:val="20"/>
                <w:szCs w:val="20"/>
              </w:rPr>
            </w:pPr>
            <w:r w:rsidRPr="00CD7133">
              <w:rPr>
                <w:rFonts w:ascii="Times New Roman" w:hAnsi="Times New Roman" w:cs="Times New Roman"/>
                <w:i/>
                <w:sz w:val="20"/>
                <w:szCs w:val="20"/>
              </w:rPr>
              <w:t>-12.43</w:t>
            </w:r>
          </w:p>
        </w:tc>
      </w:tr>
      <w:tr w:rsidR="00887D37" w:rsidRPr="00455DFC" w:rsidTr="00887D37">
        <w:trPr>
          <w:cnfStyle w:val="000000100000"/>
          <w:trHeight w:val="300"/>
          <w:jc w:val="center"/>
        </w:trPr>
        <w:tc>
          <w:tcPr>
            <w:cnfStyle w:val="001000000000"/>
            <w:tcW w:w="3294" w:type="dxa"/>
            <w:hideMark/>
          </w:tcPr>
          <w:p w:rsidR="00887D37" w:rsidRPr="00455DFC" w:rsidRDefault="00887D37" w:rsidP="00275F1A">
            <w:pPr>
              <w:contextualSpacing/>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Pardavimo pajamos</w:t>
            </w:r>
          </w:p>
        </w:tc>
        <w:tc>
          <w:tcPr>
            <w:tcW w:w="1016" w:type="dxa"/>
            <w:noWrap/>
            <w:vAlign w:val="center"/>
            <w:hideMark/>
          </w:tcPr>
          <w:p w:rsidR="00887D37" w:rsidRPr="00455DFC" w:rsidRDefault="00887D37" w:rsidP="00275F1A">
            <w:pPr>
              <w:contextualSpacing/>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4,844,228</w:t>
            </w:r>
          </w:p>
        </w:tc>
        <w:tc>
          <w:tcPr>
            <w:tcW w:w="1016" w:type="dxa"/>
            <w:noWrap/>
            <w:vAlign w:val="center"/>
            <w:hideMark/>
          </w:tcPr>
          <w:p w:rsidR="00887D37" w:rsidRPr="00455DFC" w:rsidRDefault="00887D37" w:rsidP="00275F1A">
            <w:pPr>
              <w:contextualSpacing/>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5,295,644</w:t>
            </w:r>
          </w:p>
        </w:tc>
        <w:tc>
          <w:tcPr>
            <w:tcW w:w="1083" w:type="dxa"/>
            <w:noWrap/>
            <w:vAlign w:val="center"/>
            <w:hideMark/>
          </w:tcPr>
          <w:p w:rsidR="00887D37" w:rsidRPr="00CD7133" w:rsidRDefault="00887D37" w:rsidP="00275F1A">
            <w:pPr>
              <w:contextualSpacing/>
              <w:jc w:val="center"/>
              <w:cnfStyle w:val="00000010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9.32</w:t>
            </w:r>
          </w:p>
        </w:tc>
        <w:tc>
          <w:tcPr>
            <w:tcW w:w="1094" w:type="dxa"/>
            <w:noWrap/>
            <w:vAlign w:val="center"/>
            <w:hideMark/>
          </w:tcPr>
          <w:p w:rsidR="00887D37" w:rsidRPr="00455DFC" w:rsidRDefault="00887D37" w:rsidP="00275F1A">
            <w:pPr>
              <w:contextualSpacing/>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4,786,223</w:t>
            </w:r>
          </w:p>
        </w:tc>
        <w:tc>
          <w:tcPr>
            <w:tcW w:w="1083" w:type="dxa"/>
            <w:noWrap/>
            <w:vAlign w:val="center"/>
            <w:hideMark/>
          </w:tcPr>
          <w:p w:rsidR="00887D37" w:rsidRPr="00CD7133" w:rsidRDefault="00887D37" w:rsidP="00275F1A">
            <w:pPr>
              <w:contextualSpacing/>
              <w:jc w:val="center"/>
              <w:cnfStyle w:val="000000100000"/>
              <w:rPr>
                <w:rFonts w:ascii="Times New Roman" w:hAnsi="Times New Roman" w:cs="Times New Roman"/>
                <w:i/>
                <w:sz w:val="20"/>
                <w:szCs w:val="20"/>
              </w:rPr>
            </w:pPr>
            <w:r w:rsidRPr="00CD7133">
              <w:rPr>
                <w:rFonts w:ascii="Times New Roman" w:hAnsi="Times New Roman" w:cs="Times New Roman"/>
                <w:i/>
                <w:sz w:val="20"/>
                <w:szCs w:val="20"/>
              </w:rPr>
              <w:t>-9.62</w:t>
            </w:r>
          </w:p>
        </w:tc>
      </w:tr>
      <w:tr w:rsidR="00887D37" w:rsidRPr="00455DFC" w:rsidTr="00887D37">
        <w:trPr>
          <w:cnfStyle w:val="000000010000"/>
          <w:trHeight w:val="300"/>
          <w:jc w:val="center"/>
        </w:trPr>
        <w:tc>
          <w:tcPr>
            <w:cnfStyle w:val="001000000000"/>
            <w:tcW w:w="3294" w:type="dxa"/>
            <w:hideMark/>
          </w:tcPr>
          <w:p w:rsidR="00887D37" w:rsidRPr="00455DFC" w:rsidRDefault="00887D37" w:rsidP="00275F1A">
            <w:pPr>
              <w:contextualSpacing/>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Pardavimo savikaina</w:t>
            </w:r>
          </w:p>
        </w:tc>
        <w:tc>
          <w:tcPr>
            <w:tcW w:w="1016" w:type="dxa"/>
            <w:noWrap/>
            <w:vAlign w:val="center"/>
            <w:hideMark/>
          </w:tcPr>
          <w:p w:rsidR="00887D37" w:rsidRPr="00455DFC" w:rsidRDefault="00887D37" w:rsidP="00275F1A">
            <w:pPr>
              <w:contextualSpacing/>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2,376,883</w:t>
            </w:r>
          </w:p>
        </w:tc>
        <w:tc>
          <w:tcPr>
            <w:tcW w:w="1016" w:type="dxa"/>
            <w:noWrap/>
            <w:vAlign w:val="center"/>
            <w:hideMark/>
          </w:tcPr>
          <w:p w:rsidR="00887D37" w:rsidRPr="00455DFC" w:rsidRDefault="00887D37" w:rsidP="00275F1A">
            <w:pPr>
              <w:contextualSpacing/>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1,761,991</w:t>
            </w:r>
          </w:p>
        </w:tc>
        <w:tc>
          <w:tcPr>
            <w:tcW w:w="1083" w:type="dxa"/>
            <w:noWrap/>
            <w:vAlign w:val="center"/>
            <w:hideMark/>
          </w:tcPr>
          <w:p w:rsidR="00887D37" w:rsidRPr="00CD7133" w:rsidRDefault="00887D37" w:rsidP="00275F1A">
            <w:pPr>
              <w:contextualSpacing/>
              <w:jc w:val="center"/>
              <w:cnfStyle w:val="00000001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-25.87</w:t>
            </w:r>
          </w:p>
        </w:tc>
        <w:tc>
          <w:tcPr>
            <w:tcW w:w="1094" w:type="dxa"/>
            <w:noWrap/>
            <w:vAlign w:val="center"/>
            <w:hideMark/>
          </w:tcPr>
          <w:p w:rsidR="00887D37" w:rsidRPr="00455DFC" w:rsidRDefault="00887D37" w:rsidP="00275F1A">
            <w:pPr>
              <w:contextualSpacing/>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3,041,157</w:t>
            </w:r>
          </w:p>
        </w:tc>
        <w:tc>
          <w:tcPr>
            <w:tcW w:w="1083" w:type="dxa"/>
            <w:noWrap/>
            <w:vAlign w:val="center"/>
            <w:hideMark/>
          </w:tcPr>
          <w:p w:rsidR="00887D37" w:rsidRPr="00CD7133" w:rsidRDefault="00887D37" w:rsidP="00275F1A">
            <w:pPr>
              <w:contextualSpacing/>
              <w:jc w:val="center"/>
              <w:cnfStyle w:val="000000010000"/>
              <w:rPr>
                <w:rFonts w:ascii="Times New Roman" w:hAnsi="Times New Roman" w:cs="Times New Roman"/>
                <w:i/>
                <w:sz w:val="20"/>
                <w:szCs w:val="20"/>
              </w:rPr>
            </w:pPr>
            <w:r w:rsidRPr="00CD7133">
              <w:rPr>
                <w:rFonts w:ascii="Times New Roman" w:hAnsi="Times New Roman" w:cs="Times New Roman"/>
                <w:i/>
                <w:sz w:val="20"/>
                <w:szCs w:val="20"/>
              </w:rPr>
              <w:t>72.60</w:t>
            </w:r>
          </w:p>
        </w:tc>
      </w:tr>
      <w:tr w:rsidR="00887D37" w:rsidRPr="00455DFC" w:rsidTr="00887D37">
        <w:trPr>
          <w:cnfStyle w:val="000000100000"/>
          <w:trHeight w:val="300"/>
          <w:jc w:val="center"/>
        </w:trPr>
        <w:tc>
          <w:tcPr>
            <w:cnfStyle w:val="001000000000"/>
            <w:tcW w:w="3294" w:type="dxa"/>
            <w:hideMark/>
          </w:tcPr>
          <w:p w:rsidR="00887D37" w:rsidRPr="00455DFC" w:rsidRDefault="00887D37" w:rsidP="00275F1A">
            <w:pPr>
              <w:contextualSpacing/>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Bendrasis pelnas</w:t>
            </w:r>
          </w:p>
        </w:tc>
        <w:tc>
          <w:tcPr>
            <w:tcW w:w="1016" w:type="dxa"/>
            <w:noWrap/>
            <w:vAlign w:val="center"/>
            <w:hideMark/>
          </w:tcPr>
          <w:p w:rsidR="00887D37" w:rsidRPr="00455DFC" w:rsidRDefault="00887D37" w:rsidP="00275F1A">
            <w:pPr>
              <w:contextualSpacing/>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2,892,309</w:t>
            </w:r>
          </w:p>
        </w:tc>
        <w:tc>
          <w:tcPr>
            <w:tcW w:w="1016" w:type="dxa"/>
            <w:noWrap/>
            <w:vAlign w:val="center"/>
            <w:hideMark/>
          </w:tcPr>
          <w:p w:rsidR="00887D37" w:rsidRPr="00455DFC" w:rsidRDefault="00887D37" w:rsidP="00275F1A">
            <w:pPr>
              <w:contextualSpacing/>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3,760,834</w:t>
            </w:r>
          </w:p>
        </w:tc>
        <w:tc>
          <w:tcPr>
            <w:tcW w:w="1083" w:type="dxa"/>
            <w:noWrap/>
            <w:vAlign w:val="center"/>
            <w:hideMark/>
          </w:tcPr>
          <w:p w:rsidR="00887D37" w:rsidRPr="00CD7133" w:rsidRDefault="00887D37" w:rsidP="00275F1A">
            <w:pPr>
              <w:contextualSpacing/>
              <w:jc w:val="center"/>
              <w:cnfStyle w:val="00000010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30.03</w:t>
            </w:r>
          </w:p>
        </w:tc>
        <w:tc>
          <w:tcPr>
            <w:tcW w:w="1094" w:type="dxa"/>
            <w:noWrap/>
            <w:vAlign w:val="center"/>
            <w:hideMark/>
          </w:tcPr>
          <w:p w:rsidR="00887D37" w:rsidRPr="00455DFC" w:rsidRDefault="00887D37" w:rsidP="00275F1A">
            <w:pPr>
              <w:contextualSpacing/>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1,795,404</w:t>
            </w:r>
          </w:p>
        </w:tc>
        <w:tc>
          <w:tcPr>
            <w:tcW w:w="1083" w:type="dxa"/>
            <w:noWrap/>
            <w:vAlign w:val="center"/>
            <w:hideMark/>
          </w:tcPr>
          <w:p w:rsidR="00887D37" w:rsidRPr="00CD7133" w:rsidRDefault="00887D37" w:rsidP="00275F1A">
            <w:pPr>
              <w:contextualSpacing/>
              <w:jc w:val="center"/>
              <w:cnfStyle w:val="000000100000"/>
              <w:rPr>
                <w:rFonts w:ascii="Times New Roman" w:hAnsi="Times New Roman" w:cs="Times New Roman"/>
                <w:i/>
                <w:sz w:val="20"/>
                <w:szCs w:val="20"/>
              </w:rPr>
            </w:pPr>
            <w:r w:rsidRPr="00CD7133">
              <w:rPr>
                <w:rFonts w:ascii="Times New Roman" w:hAnsi="Times New Roman" w:cs="Times New Roman"/>
                <w:i/>
                <w:sz w:val="20"/>
                <w:szCs w:val="20"/>
              </w:rPr>
              <w:t>-52.26</w:t>
            </w:r>
          </w:p>
        </w:tc>
      </w:tr>
      <w:tr w:rsidR="00887D37" w:rsidRPr="00455DFC" w:rsidTr="00887D37">
        <w:trPr>
          <w:cnfStyle w:val="000000010000"/>
          <w:trHeight w:val="300"/>
          <w:jc w:val="center"/>
        </w:trPr>
        <w:tc>
          <w:tcPr>
            <w:cnfStyle w:val="001000000000"/>
            <w:tcW w:w="3294" w:type="dxa"/>
            <w:hideMark/>
          </w:tcPr>
          <w:p w:rsidR="00887D37" w:rsidRPr="00455DFC" w:rsidRDefault="00887D37" w:rsidP="00275F1A">
            <w:pPr>
              <w:contextualSpacing/>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Veiklos sąnaudos</w:t>
            </w:r>
          </w:p>
        </w:tc>
        <w:tc>
          <w:tcPr>
            <w:tcW w:w="1016" w:type="dxa"/>
            <w:noWrap/>
            <w:vAlign w:val="center"/>
            <w:hideMark/>
          </w:tcPr>
          <w:p w:rsidR="00887D37" w:rsidRPr="00455DFC" w:rsidRDefault="00887D37" w:rsidP="00275F1A">
            <w:pPr>
              <w:contextualSpacing/>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2,391,636</w:t>
            </w:r>
          </w:p>
        </w:tc>
        <w:tc>
          <w:tcPr>
            <w:tcW w:w="1016" w:type="dxa"/>
            <w:noWrap/>
            <w:vAlign w:val="center"/>
            <w:hideMark/>
          </w:tcPr>
          <w:p w:rsidR="00887D37" w:rsidRPr="00455DFC" w:rsidRDefault="00887D37" w:rsidP="00275F1A">
            <w:pPr>
              <w:contextualSpacing/>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3,664,365</w:t>
            </w:r>
          </w:p>
        </w:tc>
        <w:tc>
          <w:tcPr>
            <w:tcW w:w="1083" w:type="dxa"/>
            <w:noWrap/>
            <w:vAlign w:val="center"/>
            <w:hideMark/>
          </w:tcPr>
          <w:p w:rsidR="00887D37" w:rsidRPr="00CD7133" w:rsidRDefault="00887D37" w:rsidP="00275F1A">
            <w:pPr>
              <w:contextualSpacing/>
              <w:jc w:val="center"/>
              <w:cnfStyle w:val="00000001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53.22</w:t>
            </w:r>
          </w:p>
        </w:tc>
        <w:tc>
          <w:tcPr>
            <w:tcW w:w="1094" w:type="dxa"/>
            <w:noWrap/>
            <w:vAlign w:val="center"/>
            <w:hideMark/>
          </w:tcPr>
          <w:p w:rsidR="00887D37" w:rsidRPr="00455DFC" w:rsidRDefault="00887D37" w:rsidP="00275F1A">
            <w:pPr>
              <w:contextualSpacing/>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2,359,986</w:t>
            </w:r>
          </w:p>
        </w:tc>
        <w:tc>
          <w:tcPr>
            <w:tcW w:w="1083" w:type="dxa"/>
            <w:noWrap/>
            <w:vAlign w:val="center"/>
            <w:hideMark/>
          </w:tcPr>
          <w:p w:rsidR="00887D37" w:rsidRPr="00CD7133" w:rsidRDefault="00887D37" w:rsidP="00275F1A">
            <w:pPr>
              <w:contextualSpacing/>
              <w:jc w:val="center"/>
              <w:cnfStyle w:val="000000010000"/>
              <w:rPr>
                <w:rFonts w:ascii="Times New Roman" w:hAnsi="Times New Roman" w:cs="Times New Roman"/>
                <w:i/>
                <w:sz w:val="20"/>
                <w:szCs w:val="20"/>
              </w:rPr>
            </w:pPr>
            <w:r w:rsidRPr="00CD7133">
              <w:rPr>
                <w:rFonts w:ascii="Times New Roman" w:hAnsi="Times New Roman" w:cs="Times New Roman"/>
                <w:i/>
                <w:sz w:val="20"/>
                <w:szCs w:val="20"/>
              </w:rPr>
              <w:t>-35.60</w:t>
            </w:r>
          </w:p>
        </w:tc>
      </w:tr>
      <w:tr w:rsidR="00887D37" w:rsidRPr="00455DFC" w:rsidTr="00887D37">
        <w:trPr>
          <w:cnfStyle w:val="000000100000"/>
          <w:trHeight w:val="300"/>
          <w:jc w:val="center"/>
        </w:trPr>
        <w:tc>
          <w:tcPr>
            <w:cnfStyle w:val="001000000000"/>
            <w:tcW w:w="3294" w:type="dxa"/>
            <w:hideMark/>
          </w:tcPr>
          <w:p w:rsidR="00887D37" w:rsidRPr="00455DFC" w:rsidRDefault="00887D37" w:rsidP="00275F1A">
            <w:pPr>
              <w:contextualSpacing/>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Tipinės veiklos pelnas (nuostolis)</w:t>
            </w:r>
          </w:p>
        </w:tc>
        <w:tc>
          <w:tcPr>
            <w:tcW w:w="1016" w:type="dxa"/>
            <w:noWrap/>
            <w:vAlign w:val="center"/>
            <w:hideMark/>
          </w:tcPr>
          <w:p w:rsidR="00887D37" w:rsidRPr="00455DFC" w:rsidRDefault="00887D37" w:rsidP="00275F1A">
            <w:pPr>
              <w:contextualSpacing/>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500,673</w:t>
            </w:r>
          </w:p>
        </w:tc>
        <w:tc>
          <w:tcPr>
            <w:tcW w:w="1016" w:type="dxa"/>
            <w:noWrap/>
            <w:vAlign w:val="center"/>
            <w:hideMark/>
          </w:tcPr>
          <w:p w:rsidR="00887D37" w:rsidRPr="00455DFC" w:rsidRDefault="00887D37" w:rsidP="00275F1A">
            <w:pPr>
              <w:contextualSpacing/>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96,468</w:t>
            </w:r>
          </w:p>
        </w:tc>
        <w:tc>
          <w:tcPr>
            <w:tcW w:w="1083" w:type="dxa"/>
            <w:noWrap/>
            <w:vAlign w:val="center"/>
            <w:hideMark/>
          </w:tcPr>
          <w:p w:rsidR="00887D37" w:rsidRPr="00CD7133" w:rsidRDefault="00887D37" w:rsidP="00275F1A">
            <w:pPr>
              <w:contextualSpacing/>
              <w:jc w:val="center"/>
              <w:cnfStyle w:val="00000010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-80.73</w:t>
            </w:r>
          </w:p>
        </w:tc>
        <w:tc>
          <w:tcPr>
            <w:tcW w:w="1094" w:type="dxa"/>
            <w:noWrap/>
            <w:vAlign w:val="center"/>
            <w:hideMark/>
          </w:tcPr>
          <w:p w:rsidR="00887D37" w:rsidRPr="00455DFC" w:rsidRDefault="00887D37" w:rsidP="00275F1A">
            <w:pPr>
              <w:contextualSpacing/>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-564,583</w:t>
            </w:r>
          </w:p>
        </w:tc>
        <w:tc>
          <w:tcPr>
            <w:tcW w:w="1083" w:type="dxa"/>
            <w:noWrap/>
            <w:vAlign w:val="center"/>
            <w:hideMark/>
          </w:tcPr>
          <w:p w:rsidR="00887D37" w:rsidRPr="00CD7133" w:rsidRDefault="00887D37" w:rsidP="00275F1A">
            <w:pPr>
              <w:contextualSpacing/>
              <w:jc w:val="center"/>
              <w:cnfStyle w:val="000000100000"/>
              <w:rPr>
                <w:rFonts w:ascii="Times New Roman" w:hAnsi="Times New Roman" w:cs="Times New Roman"/>
                <w:i/>
                <w:sz w:val="20"/>
                <w:szCs w:val="20"/>
              </w:rPr>
            </w:pPr>
            <w:r w:rsidRPr="00CD7133">
              <w:rPr>
                <w:rFonts w:ascii="Times New Roman" w:hAnsi="Times New Roman" w:cs="Times New Roman"/>
                <w:i/>
                <w:sz w:val="20"/>
                <w:szCs w:val="20"/>
              </w:rPr>
              <w:t>685.25</w:t>
            </w:r>
          </w:p>
        </w:tc>
      </w:tr>
      <w:tr w:rsidR="00887D37" w:rsidRPr="00455DFC" w:rsidTr="00887D37">
        <w:trPr>
          <w:cnfStyle w:val="000000010000"/>
          <w:trHeight w:val="510"/>
          <w:jc w:val="center"/>
        </w:trPr>
        <w:tc>
          <w:tcPr>
            <w:cnfStyle w:val="001000000000"/>
            <w:tcW w:w="3294" w:type="dxa"/>
            <w:hideMark/>
          </w:tcPr>
          <w:p w:rsidR="00887D37" w:rsidRPr="00455DFC" w:rsidRDefault="00887D37" w:rsidP="00275F1A">
            <w:pPr>
              <w:contextualSpacing/>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Finansinės ir investicinės veiklos pelnas</w:t>
            </w:r>
          </w:p>
        </w:tc>
        <w:tc>
          <w:tcPr>
            <w:tcW w:w="1016" w:type="dxa"/>
            <w:noWrap/>
            <w:vAlign w:val="center"/>
            <w:hideMark/>
          </w:tcPr>
          <w:p w:rsidR="00887D37" w:rsidRPr="00455DFC" w:rsidRDefault="00887D37" w:rsidP="00275F1A">
            <w:pPr>
              <w:contextualSpacing/>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7,833</w:t>
            </w:r>
          </w:p>
        </w:tc>
        <w:tc>
          <w:tcPr>
            <w:tcW w:w="1016" w:type="dxa"/>
            <w:noWrap/>
            <w:vAlign w:val="center"/>
            <w:hideMark/>
          </w:tcPr>
          <w:p w:rsidR="00887D37" w:rsidRPr="00455DFC" w:rsidRDefault="00887D37" w:rsidP="00275F1A">
            <w:pPr>
              <w:contextualSpacing/>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5,781</w:t>
            </w:r>
          </w:p>
        </w:tc>
        <w:tc>
          <w:tcPr>
            <w:tcW w:w="1083" w:type="dxa"/>
            <w:noWrap/>
            <w:vAlign w:val="center"/>
            <w:hideMark/>
          </w:tcPr>
          <w:p w:rsidR="00887D37" w:rsidRPr="00CD7133" w:rsidRDefault="00887D37" w:rsidP="00275F1A">
            <w:pPr>
              <w:contextualSpacing/>
              <w:jc w:val="center"/>
              <w:cnfStyle w:val="00000001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-26.20</w:t>
            </w:r>
          </w:p>
        </w:tc>
        <w:tc>
          <w:tcPr>
            <w:tcW w:w="1094" w:type="dxa"/>
            <w:noWrap/>
            <w:vAlign w:val="center"/>
            <w:hideMark/>
          </w:tcPr>
          <w:p w:rsidR="00887D37" w:rsidRPr="00455DFC" w:rsidRDefault="00887D37" w:rsidP="00275F1A">
            <w:pPr>
              <w:contextualSpacing/>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6,056</w:t>
            </w:r>
          </w:p>
        </w:tc>
        <w:tc>
          <w:tcPr>
            <w:tcW w:w="1083" w:type="dxa"/>
            <w:noWrap/>
            <w:vAlign w:val="center"/>
            <w:hideMark/>
          </w:tcPr>
          <w:p w:rsidR="00887D37" w:rsidRPr="00CD7133" w:rsidRDefault="00887D37" w:rsidP="00275F1A">
            <w:pPr>
              <w:contextualSpacing/>
              <w:jc w:val="center"/>
              <w:cnfStyle w:val="000000010000"/>
              <w:rPr>
                <w:rFonts w:ascii="Times New Roman" w:hAnsi="Times New Roman" w:cs="Times New Roman"/>
                <w:i/>
                <w:sz w:val="20"/>
                <w:szCs w:val="20"/>
              </w:rPr>
            </w:pPr>
            <w:r w:rsidRPr="00CD7133">
              <w:rPr>
                <w:rFonts w:ascii="Times New Roman" w:hAnsi="Times New Roman" w:cs="Times New Roman"/>
                <w:i/>
                <w:sz w:val="20"/>
                <w:szCs w:val="20"/>
              </w:rPr>
              <w:t>4.76</w:t>
            </w:r>
          </w:p>
        </w:tc>
      </w:tr>
      <w:tr w:rsidR="00887D37" w:rsidRPr="00455DFC" w:rsidTr="00887D37">
        <w:trPr>
          <w:cnfStyle w:val="000000100000"/>
          <w:trHeight w:val="510"/>
          <w:jc w:val="center"/>
        </w:trPr>
        <w:tc>
          <w:tcPr>
            <w:cnfStyle w:val="001000000000"/>
            <w:tcW w:w="3294" w:type="dxa"/>
            <w:hideMark/>
          </w:tcPr>
          <w:p w:rsidR="00887D37" w:rsidRPr="00455DFC" w:rsidRDefault="00887D37" w:rsidP="00275F1A">
            <w:pPr>
              <w:contextualSpacing/>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Finansinės ir investicinės veiklos sąnaudos</w:t>
            </w:r>
          </w:p>
        </w:tc>
        <w:tc>
          <w:tcPr>
            <w:tcW w:w="1016" w:type="dxa"/>
            <w:noWrap/>
            <w:vAlign w:val="center"/>
            <w:hideMark/>
          </w:tcPr>
          <w:p w:rsidR="00887D37" w:rsidRPr="00455DFC" w:rsidRDefault="00887D37" w:rsidP="00275F1A">
            <w:pPr>
              <w:contextualSpacing/>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86,479</w:t>
            </w:r>
          </w:p>
        </w:tc>
        <w:tc>
          <w:tcPr>
            <w:tcW w:w="1016" w:type="dxa"/>
            <w:noWrap/>
            <w:vAlign w:val="center"/>
            <w:hideMark/>
          </w:tcPr>
          <w:p w:rsidR="00887D37" w:rsidRPr="00455DFC" w:rsidRDefault="00887D37" w:rsidP="00275F1A">
            <w:pPr>
              <w:contextualSpacing/>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147,821</w:t>
            </w:r>
          </w:p>
        </w:tc>
        <w:tc>
          <w:tcPr>
            <w:tcW w:w="1083" w:type="dxa"/>
            <w:noWrap/>
            <w:vAlign w:val="center"/>
            <w:hideMark/>
          </w:tcPr>
          <w:p w:rsidR="00887D37" w:rsidRPr="00CD7133" w:rsidRDefault="00887D37" w:rsidP="00275F1A">
            <w:pPr>
              <w:contextualSpacing/>
              <w:jc w:val="center"/>
              <w:cnfStyle w:val="00000010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70.93</w:t>
            </w:r>
          </w:p>
        </w:tc>
        <w:tc>
          <w:tcPr>
            <w:tcW w:w="1094" w:type="dxa"/>
            <w:noWrap/>
            <w:vAlign w:val="center"/>
            <w:hideMark/>
          </w:tcPr>
          <w:p w:rsidR="00887D37" w:rsidRPr="00455DFC" w:rsidRDefault="00887D37" w:rsidP="00275F1A">
            <w:pPr>
              <w:contextualSpacing/>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72,684</w:t>
            </w:r>
          </w:p>
        </w:tc>
        <w:tc>
          <w:tcPr>
            <w:tcW w:w="1083" w:type="dxa"/>
            <w:noWrap/>
            <w:vAlign w:val="center"/>
            <w:hideMark/>
          </w:tcPr>
          <w:p w:rsidR="00887D37" w:rsidRPr="00CD7133" w:rsidRDefault="00887D37" w:rsidP="00275F1A">
            <w:pPr>
              <w:contextualSpacing/>
              <w:jc w:val="center"/>
              <w:cnfStyle w:val="000000100000"/>
              <w:rPr>
                <w:rFonts w:ascii="Times New Roman" w:hAnsi="Times New Roman" w:cs="Times New Roman"/>
                <w:i/>
                <w:sz w:val="20"/>
                <w:szCs w:val="20"/>
              </w:rPr>
            </w:pPr>
            <w:r w:rsidRPr="00CD7133">
              <w:rPr>
                <w:rFonts w:ascii="Times New Roman" w:hAnsi="Times New Roman" w:cs="Times New Roman"/>
                <w:i/>
                <w:sz w:val="20"/>
                <w:szCs w:val="20"/>
              </w:rPr>
              <w:t>-50.83</w:t>
            </w:r>
          </w:p>
        </w:tc>
      </w:tr>
      <w:tr w:rsidR="00887D37" w:rsidRPr="00455DFC" w:rsidTr="00887D37">
        <w:trPr>
          <w:cnfStyle w:val="000000010000"/>
          <w:trHeight w:val="510"/>
          <w:jc w:val="center"/>
        </w:trPr>
        <w:tc>
          <w:tcPr>
            <w:cnfStyle w:val="001000000000"/>
            <w:tcW w:w="3294" w:type="dxa"/>
            <w:hideMark/>
          </w:tcPr>
          <w:p w:rsidR="00887D37" w:rsidRPr="00455DFC" w:rsidRDefault="00887D37" w:rsidP="00275F1A">
            <w:pPr>
              <w:contextualSpacing/>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Finansinės ir investicinės veiklos pelnas (nuostolis)</w:t>
            </w:r>
          </w:p>
        </w:tc>
        <w:tc>
          <w:tcPr>
            <w:tcW w:w="1016" w:type="dxa"/>
            <w:noWrap/>
            <w:vAlign w:val="center"/>
            <w:hideMark/>
          </w:tcPr>
          <w:p w:rsidR="00887D37" w:rsidRPr="00455DFC" w:rsidRDefault="00887D37" w:rsidP="00275F1A">
            <w:pPr>
              <w:contextualSpacing/>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-78,646</w:t>
            </w:r>
          </w:p>
        </w:tc>
        <w:tc>
          <w:tcPr>
            <w:tcW w:w="1016" w:type="dxa"/>
            <w:noWrap/>
            <w:vAlign w:val="center"/>
            <w:hideMark/>
          </w:tcPr>
          <w:p w:rsidR="00887D37" w:rsidRPr="00455DFC" w:rsidRDefault="00887D37" w:rsidP="00275F1A">
            <w:pPr>
              <w:contextualSpacing/>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-142,040</w:t>
            </w:r>
          </w:p>
        </w:tc>
        <w:tc>
          <w:tcPr>
            <w:tcW w:w="1083" w:type="dxa"/>
            <w:noWrap/>
            <w:vAlign w:val="center"/>
            <w:hideMark/>
          </w:tcPr>
          <w:p w:rsidR="00887D37" w:rsidRPr="00CD7133" w:rsidRDefault="00887D37" w:rsidP="00275F1A">
            <w:pPr>
              <w:contextualSpacing/>
              <w:jc w:val="center"/>
              <w:cnfStyle w:val="00000001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80.61</w:t>
            </w:r>
          </w:p>
        </w:tc>
        <w:tc>
          <w:tcPr>
            <w:tcW w:w="1094" w:type="dxa"/>
            <w:noWrap/>
            <w:vAlign w:val="center"/>
            <w:hideMark/>
          </w:tcPr>
          <w:p w:rsidR="00887D37" w:rsidRPr="00455DFC" w:rsidRDefault="00887D37" w:rsidP="00275F1A">
            <w:pPr>
              <w:contextualSpacing/>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-66,628</w:t>
            </w:r>
          </w:p>
        </w:tc>
        <w:tc>
          <w:tcPr>
            <w:tcW w:w="1083" w:type="dxa"/>
            <w:noWrap/>
            <w:vAlign w:val="center"/>
            <w:hideMark/>
          </w:tcPr>
          <w:p w:rsidR="00887D37" w:rsidRPr="00CD7133" w:rsidRDefault="00887D37" w:rsidP="00275F1A">
            <w:pPr>
              <w:contextualSpacing/>
              <w:jc w:val="center"/>
              <w:cnfStyle w:val="000000010000"/>
              <w:rPr>
                <w:rFonts w:ascii="Times New Roman" w:hAnsi="Times New Roman" w:cs="Times New Roman"/>
                <w:i/>
                <w:sz w:val="20"/>
                <w:szCs w:val="20"/>
              </w:rPr>
            </w:pPr>
            <w:r w:rsidRPr="00CD7133">
              <w:rPr>
                <w:rFonts w:ascii="Times New Roman" w:hAnsi="Times New Roman" w:cs="Times New Roman"/>
                <w:i/>
                <w:sz w:val="20"/>
                <w:szCs w:val="20"/>
              </w:rPr>
              <w:t>53.09</w:t>
            </w:r>
          </w:p>
        </w:tc>
      </w:tr>
      <w:tr w:rsidR="00887D37" w:rsidRPr="00455DFC" w:rsidTr="00887D37">
        <w:trPr>
          <w:cnfStyle w:val="000000100000"/>
          <w:trHeight w:val="300"/>
          <w:jc w:val="center"/>
        </w:trPr>
        <w:tc>
          <w:tcPr>
            <w:cnfStyle w:val="001000000000"/>
            <w:tcW w:w="3294" w:type="dxa"/>
            <w:hideMark/>
          </w:tcPr>
          <w:p w:rsidR="00887D37" w:rsidRPr="00455DFC" w:rsidRDefault="00887D37" w:rsidP="00275F1A">
            <w:pPr>
              <w:contextualSpacing/>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Pelnas prieš apmokestinimą</w:t>
            </w:r>
          </w:p>
        </w:tc>
        <w:tc>
          <w:tcPr>
            <w:tcW w:w="1016" w:type="dxa"/>
            <w:noWrap/>
            <w:vAlign w:val="center"/>
            <w:hideMark/>
          </w:tcPr>
          <w:p w:rsidR="00887D37" w:rsidRPr="00455DFC" w:rsidRDefault="00887D37" w:rsidP="00275F1A">
            <w:pPr>
              <w:contextualSpacing/>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422,026</w:t>
            </w:r>
          </w:p>
        </w:tc>
        <w:tc>
          <w:tcPr>
            <w:tcW w:w="1016" w:type="dxa"/>
            <w:noWrap/>
            <w:vAlign w:val="center"/>
            <w:hideMark/>
          </w:tcPr>
          <w:p w:rsidR="00887D37" w:rsidRPr="00455DFC" w:rsidRDefault="00887D37" w:rsidP="00275F1A">
            <w:pPr>
              <w:contextualSpacing/>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-45,572</w:t>
            </w:r>
          </w:p>
        </w:tc>
        <w:tc>
          <w:tcPr>
            <w:tcW w:w="1083" w:type="dxa"/>
            <w:noWrap/>
            <w:vAlign w:val="center"/>
            <w:hideMark/>
          </w:tcPr>
          <w:p w:rsidR="00887D37" w:rsidRPr="00CD7133" w:rsidRDefault="00887D37" w:rsidP="00275F1A">
            <w:pPr>
              <w:contextualSpacing/>
              <w:jc w:val="center"/>
              <w:cnfStyle w:val="00000010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-110.80</w:t>
            </w:r>
          </w:p>
        </w:tc>
        <w:tc>
          <w:tcPr>
            <w:tcW w:w="1094" w:type="dxa"/>
            <w:noWrap/>
            <w:vAlign w:val="center"/>
            <w:hideMark/>
          </w:tcPr>
          <w:p w:rsidR="00887D37" w:rsidRPr="00455DFC" w:rsidRDefault="00887D37" w:rsidP="00275F1A">
            <w:pPr>
              <w:contextualSpacing/>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-631,210</w:t>
            </w:r>
          </w:p>
        </w:tc>
        <w:tc>
          <w:tcPr>
            <w:tcW w:w="1083" w:type="dxa"/>
            <w:noWrap/>
            <w:vAlign w:val="center"/>
            <w:hideMark/>
          </w:tcPr>
          <w:p w:rsidR="00887D37" w:rsidRPr="00CD7133" w:rsidRDefault="00887D37" w:rsidP="00275F1A">
            <w:pPr>
              <w:contextualSpacing/>
              <w:jc w:val="center"/>
              <w:cnfStyle w:val="000000100000"/>
              <w:rPr>
                <w:rFonts w:ascii="Times New Roman" w:hAnsi="Times New Roman" w:cs="Times New Roman"/>
                <w:i/>
                <w:sz w:val="20"/>
                <w:szCs w:val="20"/>
              </w:rPr>
            </w:pPr>
            <w:r w:rsidRPr="00CD7133">
              <w:rPr>
                <w:rFonts w:ascii="Times New Roman" w:hAnsi="Times New Roman" w:cs="Times New Roman"/>
                <w:i/>
                <w:sz w:val="20"/>
                <w:szCs w:val="20"/>
              </w:rPr>
              <w:t>-1,285.10</w:t>
            </w:r>
          </w:p>
        </w:tc>
      </w:tr>
      <w:tr w:rsidR="00887D37" w:rsidRPr="00455DFC" w:rsidTr="00887D37">
        <w:trPr>
          <w:cnfStyle w:val="000000010000"/>
          <w:trHeight w:val="300"/>
          <w:jc w:val="center"/>
        </w:trPr>
        <w:tc>
          <w:tcPr>
            <w:cnfStyle w:val="001000000000"/>
            <w:tcW w:w="3294" w:type="dxa"/>
            <w:hideMark/>
          </w:tcPr>
          <w:p w:rsidR="00887D37" w:rsidRPr="00455DFC" w:rsidRDefault="00887D37" w:rsidP="00275F1A">
            <w:pPr>
              <w:contextualSpacing/>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Pelno mokestis</w:t>
            </w:r>
          </w:p>
        </w:tc>
        <w:tc>
          <w:tcPr>
            <w:tcW w:w="1016" w:type="dxa"/>
            <w:noWrap/>
            <w:vAlign w:val="center"/>
            <w:hideMark/>
          </w:tcPr>
          <w:p w:rsidR="00887D37" w:rsidRPr="00455DFC" w:rsidRDefault="00887D37" w:rsidP="00275F1A">
            <w:pPr>
              <w:contextualSpacing/>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83,276</w:t>
            </w:r>
          </w:p>
        </w:tc>
        <w:tc>
          <w:tcPr>
            <w:tcW w:w="1016" w:type="dxa"/>
            <w:noWrap/>
            <w:vAlign w:val="center"/>
            <w:hideMark/>
          </w:tcPr>
          <w:p w:rsidR="00887D37" w:rsidRPr="00455DFC" w:rsidRDefault="00887D37" w:rsidP="00275F1A">
            <w:pPr>
              <w:contextualSpacing/>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5,687</w:t>
            </w:r>
          </w:p>
        </w:tc>
        <w:tc>
          <w:tcPr>
            <w:tcW w:w="1083" w:type="dxa"/>
            <w:noWrap/>
            <w:vAlign w:val="center"/>
            <w:hideMark/>
          </w:tcPr>
          <w:p w:rsidR="00887D37" w:rsidRPr="00CD7133" w:rsidRDefault="00887D37" w:rsidP="00275F1A">
            <w:pPr>
              <w:contextualSpacing/>
              <w:jc w:val="center"/>
              <w:cnfStyle w:val="00000001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n.a.</w:t>
            </w:r>
          </w:p>
        </w:tc>
        <w:tc>
          <w:tcPr>
            <w:tcW w:w="1094" w:type="dxa"/>
            <w:vAlign w:val="center"/>
            <w:hideMark/>
          </w:tcPr>
          <w:p w:rsidR="00887D37" w:rsidRPr="00455DFC" w:rsidRDefault="00887D37" w:rsidP="00275F1A">
            <w:pPr>
              <w:contextualSpacing/>
              <w:jc w:val="center"/>
              <w:cnfStyle w:val="00000001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n.a.</w:t>
            </w:r>
          </w:p>
        </w:tc>
        <w:tc>
          <w:tcPr>
            <w:tcW w:w="1083" w:type="dxa"/>
            <w:noWrap/>
            <w:vAlign w:val="center"/>
            <w:hideMark/>
          </w:tcPr>
          <w:p w:rsidR="00887D37" w:rsidRPr="00CD7133" w:rsidRDefault="00887D37" w:rsidP="00275F1A">
            <w:pPr>
              <w:contextualSpacing/>
              <w:jc w:val="center"/>
              <w:cnfStyle w:val="000000010000"/>
              <w:rPr>
                <w:rFonts w:ascii="Times New Roman" w:hAnsi="Times New Roman" w:cs="Times New Roman"/>
                <w:i/>
                <w:sz w:val="20"/>
                <w:szCs w:val="20"/>
              </w:rPr>
            </w:pPr>
            <w:r w:rsidRPr="00CD7133">
              <w:rPr>
                <w:rFonts w:ascii="Times New Roman" w:hAnsi="Times New Roman" w:cs="Times New Roman"/>
                <w:i/>
                <w:sz w:val="20"/>
                <w:szCs w:val="20"/>
              </w:rPr>
              <w:t>n.a.</w:t>
            </w:r>
          </w:p>
        </w:tc>
      </w:tr>
      <w:tr w:rsidR="00887D37" w:rsidRPr="00455DFC" w:rsidTr="00887D37">
        <w:trPr>
          <w:cnfStyle w:val="000000100000"/>
          <w:trHeight w:val="300"/>
          <w:jc w:val="center"/>
        </w:trPr>
        <w:tc>
          <w:tcPr>
            <w:cnfStyle w:val="001000000000"/>
            <w:tcW w:w="3294" w:type="dxa"/>
            <w:hideMark/>
          </w:tcPr>
          <w:p w:rsidR="00887D37" w:rsidRPr="00455DFC" w:rsidRDefault="00887D37" w:rsidP="00275F1A">
            <w:pPr>
              <w:contextualSpacing/>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Grynasis pelnas</w:t>
            </w:r>
          </w:p>
        </w:tc>
        <w:tc>
          <w:tcPr>
            <w:tcW w:w="1016" w:type="dxa"/>
            <w:noWrap/>
            <w:vAlign w:val="center"/>
            <w:hideMark/>
          </w:tcPr>
          <w:p w:rsidR="00887D37" w:rsidRPr="00455DFC" w:rsidRDefault="00887D37" w:rsidP="00275F1A">
            <w:pPr>
              <w:contextualSpacing/>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338,750</w:t>
            </w:r>
          </w:p>
        </w:tc>
        <w:tc>
          <w:tcPr>
            <w:tcW w:w="1016" w:type="dxa"/>
            <w:noWrap/>
            <w:vAlign w:val="center"/>
            <w:hideMark/>
          </w:tcPr>
          <w:p w:rsidR="00887D37" w:rsidRPr="00455DFC" w:rsidRDefault="00887D37" w:rsidP="00275F1A">
            <w:pPr>
              <w:contextualSpacing/>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-51,259</w:t>
            </w:r>
          </w:p>
        </w:tc>
        <w:tc>
          <w:tcPr>
            <w:tcW w:w="1083" w:type="dxa"/>
            <w:noWrap/>
            <w:vAlign w:val="center"/>
            <w:hideMark/>
          </w:tcPr>
          <w:p w:rsidR="00887D37" w:rsidRPr="00CD7133" w:rsidRDefault="00887D37" w:rsidP="00275F1A">
            <w:pPr>
              <w:contextualSpacing/>
              <w:jc w:val="center"/>
              <w:cnfStyle w:val="000000100000"/>
              <w:rPr>
                <w:rFonts w:ascii="Times New Roman" w:eastAsia="Times New Roman" w:hAnsi="Times New Roman" w:cs="Times New Roman"/>
                <w:i/>
                <w:sz w:val="20"/>
                <w:szCs w:val="20"/>
              </w:rPr>
            </w:pPr>
            <w:r w:rsidRPr="00CD7133">
              <w:rPr>
                <w:rFonts w:ascii="Times New Roman" w:eastAsia="Times New Roman" w:hAnsi="Times New Roman" w:cs="Times New Roman"/>
                <w:i/>
                <w:sz w:val="20"/>
                <w:szCs w:val="20"/>
              </w:rPr>
              <w:t>-115.13</w:t>
            </w:r>
          </w:p>
        </w:tc>
        <w:tc>
          <w:tcPr>
            <w:tcW w:w="1094" w:type="dxa"/>
            <w:noWrap/>
            <w:vAlign w:val="center"/>
            <w:hideMark/>
          </w:tcPr>
          <w:p w:rsidR="00887D37" w:rsidRPr="00455DFC" w:rsidRDefault="00887D37" w:rsidP="00275F1A">
            <w:pPr>
              <w:contextualSpacing/>
              <w:jc w:val="center"/>
              <w:cnfStyle w:val="000000100000"/>
              <w:rPr>
                <w:rFonts w:ascii="Times New Roman" w:eastAsia="Times New Roman" w:hAnsi="Times New Roman" w:cs="Times New Roman"/>
                <w:sz w:val="20"/>
                <w:szCs w:val="20"/>
              </w:rPr>
            </w:pPr>
            <w:r w:rsidRPr="00455DFC">
              <w:rPr>
                <w:rFonts w:ascii="Times New Roman" w:eastAsia="Times New Roman" w:hAnsi="Times New Roman" w:cs="Times New Roman"/>
                <w:sz w:val="20"/>
                <w:szCs w:val="20"/>
              </w:rPr>
              <w:t>-631,210</w:t>
            </w:r>
          </w:p>
        </w:tc>
        <w:tc>
          <w:tcPr>
            <w:tcW w:w="1083" w:type="dxa"/>
            <w:noWrap/>
            <w:vAlign w:val="center"/>
            <w:hideMark/>
          </w:tcPr>
          <w:p w:rsidR="00887D37" w:rsidRPr="00CD7133" w:rsidRDefault="00887D37" w:rsidP="00275F1A">
            <w:pPr>
              <w:contextualSpacing/>
              <w:jc w:val="center"/>
              <w:cnfStyle w:val="000000100000"/>
              <w:rPr>
                <w:rFonts w:ascii="Times New Roman" w:hAnsi="Times New Roman" w:cs="Times New Roman"/>
                <w:i/>
                <w:sz w:val="20"/>
                <w:szCs w:val="20"/>
              </w:rPr>
            </w:pPr>
            <w:r w:rsidRPr="00CD7133">
              <w:rPr>
                <w:rFonts w:ascii="Times New Roman" w:hAnsi="Times New Roman" w:cs="Times New Roman"/>
                <w:i/>
                <w:sz w:val="20"/>
                <w:szCs w:val="20"/>
              </w:rPr>
              <w:t>-1,131.42</w:t>
            </w:r>
          </w:p>
        </w:tc>
      </w:tr>
    </w:tbl>
    <w:p w:rsidR="00887D37" w:rsidRDefault="00887D37" w:rsidP="006014D3">
      <w:pPr>
        <w:rPr>
          <w:rFonts w:ascii="Times New Roman" w:hAnsi="Times New Roman" w:cs="Times New Roman"/>
          <w:sz w:val="24"/>
          <w:szCs w:val="24"/>
          <w:lang w:val="lt-LT"/>
        </w:rPr>
      </w:pPr>
    </w:p>
    <w:p w:rsidR="00887D37" w:rsidRDefault="00887D37" w:rsidP="006014D3">
      <w:pPr>
        <w:rPr>
          <w:rFonts w:ascii="Times New Roman" w:hAnsi="Times New Roman" w:cs="Times New Roman"/>
          <w:sz w:val="24"/>
          <w:szCs w:val="24"/>
          <w:lang w:val="lt-LT"/>
        </w:rPr>
      </w:pPr>
    </w:p>
    <w:p w:rsidR="00887D37" w:rsidRDefault="00887D37" w:rsidP="006014D3">
      <w:pPr>
        <w:rPr>
          <w:rFonts w:ascii="Times New Roman" w:hAnsi="Times New Roman" w:cs="Times New Roman"/>
          <w:sz w:val="24"/>
          <w:szCs w:val="24"/>
          <w:lang w:val="lt-LT"/>
        </w:rPr>
      </w:pPr>
    </w:p>
    <w:p w:rsidR="00887D37" w:rsidRDefault="00887D37" w:rsidP="006014D3">
      <w:pPr>
        <w:rPr>
          <w:rFonts w:ascii="Times New Roman" w:hAnsi="Times New Roman" w:cs="Times New Roman"/>
          <w:sz w:val="24"/>
          <w:szCs w:val="24"/>
          <w:lang w:val="lt-LT"/>
        </w:rPr>
      </w:pPr>
    </w:p>
    <w:p w:rsidR="00887D37" w:rsidRDefault="00887D37" w:rsidP="00887D37">
      <w:pPr>
        <w:spacing w:after="0"/>
        <w:contextualSpacing/>
        <w:jc w:val="center"/>
        <w:rPr>
          <w:rFonts w:ascii="Times New Roman" w:hAnsi="Times New Roman" w:cs="Times New Roman"/>
          <w:sz w:val="24"/>
          <w:szCs w:val="24"/>
          <w:lang w:val="lt-LT"/>
        </w:rPr>
      </w:pPr>
      <w:r>
        <w:rPr>
          <w:rFonts w:ascii="Times New Roman" w:hAnsi="Times New Roman" w:cs="Times New Roman"/>
          <w:szCs w:val="24"/>
        </w:rPr>
        <w:lastRenderedPageBreak/>
        <w:t>11</w:t>
      </w:r>
      <w:r w:rsidRPr="004D5C99">
        <w:rPr>
          <w:rFonts w:ascii="Times New Roman" w:hAnsi="Times New Roman" w:cs="Times New Roman"/>
          <w:szCs w:val="24"/>
        </w:rPr>
        <w:t xml:space="preserve"> lentelė.</w:t>
      </w:r>
      <w:r w:rsidRPr="004D5C99">
        <w:rPr>
          <w:rFonts w:ascii="Times New Roman" w:hAnsi="Times New Roman" w:cs="Times New Roman"/>
          <w:b/>
          <w:szCs w:val="24"/>
        </w:rPr>
        <w:t xml:space="preserve"> </w:t>
      </w:r>
      <w:r>
        <w:rPr>
          <w:rFonts w:ascii="Times New Roman" w:hAnsi="Times New Roman" w:cs="Times New Roman"/>
          <w:b/>
          <w:szCs w:val="24"/>
        </w:rPr>
        <w:t>UAB “Girteka” pelno (nuostolio) ataskaitos straipsnių pokyčiai</w:t>
      </w:r>
    </w:p>
    <w:tbl>
      <w:tblPr>
        <w:tblStyle w:val="LightGrid-Accent6"/>
        <w:tblW w:w="8624" w:type="dxa"/>
        <w:jc w:val="center"/>
        <w:tblLook w:val="04A0"/>
      </w:tblPr>
      <w:tblGrid>
        <w:gridCol w:w="2753"/>
        <w:gridCol w:w="1134"/>
        <w:gridCol w:w="1134"/>
        <w:gridCol w:w="1115"/>
        <w:gridCol w:w="1323"/>
        <w:gridCol w:w="1165"/>
      </w:tblGrid>
      <w:tr w:rsidR="00E035CC" w:rsidRPr="00222F69" w:rsidTr="00E035CC">
        <w:trPr>
          <w:cnfStyle w:val="100000000000"/>
          <w:trHeight w:val="300"/>
          <w:jc w:val="center"/>
        </w:trPr>
        <w:tc>
          <w:tcPr>
            <w:cnfStyle w:val="001000000000"/>
            <w:tcW w:w="8624" w:type="dxa"/>
            <w:gridSpan w:val="6"/>
            <w:noWrap/>
            <w:hideMark/>
          </w:tcPr>
          <w:p w:rsidR="00E035CC" w:rsidRPr="00222F69" w:rsidRDefault="00E035CC" w:rsidP="00275F1A">
            <w:pPr>
              <w:jc w:val="center"/>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UAB “GIRTEKA” PELNO (NUOSTOLIO) ATASKAITOS STRAIPSNIŲ POKYČIAI</w:t>
            </w:r>
          </w:p>
        </w:tc>
      </w:tr>
      <w:tr w:rsidR="00E6354F" w:rsidRPr="00222F69" w:rsidTr="004633A4">
        <w:trPr>
          <w:cnfStyle w:val="000000100000"/>
          <w:trHeight w:val="300"/>
          <w:jc w:val="center"/>
        </w:trPr>
        <w:tc>
          <w:tcPr>
            <w:cnfStyle w:val="001000000000"/>
            <w:tcW w:w="2753" w:type="dxa"/>
            <w:noWrap/>
            <w:hideMark/>
          </w:tcPr>
          <w:p w:rsidR="00E6354F" w:rsidRPr="00222F69" w:rsidRDefault="00E6354F" w:rsidP="00275F1A">
            <w:pPr>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 </w:t>
            </w:r>
          </w:p>
        </w:tc>
        <w:tc>
          <w:tcPr>
            <w:tcW w:w="1134" w:type="dxa"/>
            <w:noWrap/>
            <w:vAlign w:val="center"/>
            <w:hideMark/>
          </w:tcPr>
          <w:p w:rsidR="00E6354F" w:rsidRPr="00384ABD" w:rsidRDefault="00E6354F" w:rsidP="004633A4">
            <w:pPr>
              <w:jc w:val="center"/>
              <w:cnfStyle w:val="000000100000"/>
              <w:rPr>
                <w:rFonts w:ascii="Times New Roman" w:eastAsia="Times New Roman" w:hAnsi="Times New Roman" w:cs="Times New Roman"/>
                <w:i/>
                <w:iCs/>
                <w:sz w:val="20"/>
                <w:szCs w:val="20"/>
              </w:rPr>
            </w:pPr>
            <w:r w:rsidRPr="00384ABD">
              <w:rPr>
                <w:rFonts w:ascii="Times New Roman" w:eastAsia="Times New Roman" w:hAnsi="Times New Roman" w:cs="Times New Roman"/>
                <w:i/>
                <w:iCs/>
                <w:sz w:val="20"/>
                <w:szCs w:val="20"/>
              </w:rPr>
              <w:t>2008</w:t>
            </w:r>
          </w:p>
        </w:tc>
        <w:tc>
          <w:tcPr>
            <w:tcW w:w="1134" w:type="dxa"/>
            <w:noWrap/>
            <w:vAlign w:val="center"/>
            <w:hideMark/>
          </w:tcPr>
          <w:p w:rsidR="00E6354F" w:rsidRPr="00384ABD" w:rsidRDefault="00E6354F" w:rsidP="004633A4">
            <w:pPr>
              <w:jc w:val="center"/>
              <w:cnfStyle w:val="000000100000"/>
              <w:rPr>
                <w:rFonts w:ascii="Times New Roman" w:eastAsia="Times New Roman" w:hAnsi="Times New Roman" w:cs="Times New Roman"/>
                <w:i/>
                <w:iCs/>
                <w:sz w:val="20"/>
                <w:szCs w:val="20"/>
              </w:rPr>
            </w:pPr>
            <w:r w:rsidRPr="00384ABD">
              <w:rPr>
                <w:rFonts w:ascii="Times New Roman" w:eastAsia="Times New Roman" w:hAnsi="Times New Roman" w:cs="Times New Roman"/>
                <w:i/>
                <w:iCs/>
                <w:sz w:val="20"/>
                <w:szCs w:val="20"/>
              </w:rPr>
              <w:t>2009</w:t>
            </w:r>
          </w:p>
        </w:tc>
        <w:tc>
          <w:tcPr>
            <w:tcW w:w="1115" w:type="dxa"/>
            <w:noWrap/>
            <w:vAlign w:val="center"/>
            <w:hideMark/>
          </w:tcPr>
          <w:p w:rsidR="00E6354F" w:rsidRPr="00384ABD" w:rsidRDefault="00E6354F" w:rsidP="004633A4">
            <w:pPr>
              <w:jc w:val="center"/>
              <w:cnfStyle w:val="000000100000"/>
              <w:rPr>
                <w:rFonts w:ascii="Times New Roman" w:eastAsia="Times New Roman" w:hAnsi="Times New Roman" w:cs="Times New Roman"/>
                <w:i/>
                <w:iCs/>
                <w:sz w:val="20"/>
                <w:szCs w:val="20"/>
              </w:rPr>
            </w:pPr>
            <w:r w:rsidRPr="00384ABD">
              <w:rPr>
                <w:rFonts w:ascii="Times New Roman" w:eastAsia="Times New Roman" w:hAnsi="Times New Roman" w:cs="Times New Roman"/>
                <w:i/>
                <w:iCs/>
                <w:sz w:val="20"/>
                <w:szCs w:val="20"/>
              </w:rPr>
              <w:t xml:space="preserve">Pokytis, </w:t>
            </w:r>
            <w:r>
              <w:rPr>
                <w:rFonts w:ascii="Times New Roman" w:eastAsia="Times New Roman" w:hAnsi="Times New Roman" w:cs="Times New Roman"/>
                <w:i/>
                <w:iCs/>
                <w:sz w:val="20"/>
                <w:szCs w:val="20"/>
              </w:rPr>
              <w:t>proc.</w:t>
            </w:r>
          </w:p>
        </w:tc>
        <w:tc>
          <w:tcPr>
            <w:tcW w:w="1323" w:type="dxa"/>
            <w:noWrap/>
            <w:vAlign w:val="center"/>
            <w:hideMark/>
          </w:tcPr>
          <w:p w:rsidR="00E6354F" w:rsidRPr="00384ABD" w:rsidRDefault="00E6354F" w:rsidP="004633A4">
            <w:pPr>
              <w:jc w:val="center"/>
              <w:cnfStyle w:val="000000100000"/>
              <w:rPr>
                <w:rFonts w:ascii="Times New Roman" w:eastAsia="Times New Roman" w:hAnsi="Times New Roman" w:cs="Times New Roman"/>
                <w:i/>
                <w:iCs/>
                <w:sz w:val="20"/>
                <w:szCs w:val="20"/>
              </w:rPr>
            </w:pPr>
            <w:r w:rsidRPr="00384ABD">
              <w:rPr>
                <w:rFonts w:ascii="Times New Roman" w:eastAsia="Times New Roman" w:hAnsi="Times New Roman" w:cs="Times New Roman"/>
                <w:i/>
                <w:iCs/>
                <w:sz w:val="20"/>
                <w:szCs w:val="20"/>
              </w:rPr>
              <w:t>2010</w:t>
            </w:r>
          </w:p>
        </w:tc>
        <w:tc>
          <w:tcPr>
            <w:tcW w:w="1165" w:type="dxa"/>
            <w:noWrap/>
            <w:vAlign w:val="center"/>
            <w:hideMark/>
          </w:tcPr>
          <w:p w:rsidR="00E6354F" w:rsidRPr="00384ABD" w:rsidRDefault="00E6354F" w:rsidP="004633A4">
            <w:pPr>
              <w:jc w:val="center"/>
              <w:cnfStyle w:val="000000100000"/>
              <w:rPr>
                <w:rFonts w:ascii="Times New Roman" w:eastAsia="Times New Roman" w:hAnsi="Times New Roman" w:cs="Times New Roman"/>
                <w:i/>
                <w:iCs/>
                <w:sz w:val="20"/>
                <w:szCs w:val="20"/>
              </w:rPr>
            </w:pPr>
            <w:r w:rsidRPr="00384ABD">
              <w:rPr>
                <w:rFonts w:ascii="Times New Roman" w:eastAsia="Times New Roman" w:hAnsi="Times New Roman" w:cs="Times New Roman"/>
                <w:i/>
                <w:iCs/>
                <w:sz w:val="20"/>
                <w:szCs w:val="20"/>
              </w:rPr>
              <w:t xml:space="preserve">Pokytis, </w:t>
            </w:r>
            <w:r>
              <w:rPr>
                <w:rFonts w:ascii="Times New Roman" w:eastAsia="Times New Roman" w:hAnsi="Times New Roman" w:cs="Times New Roman"/>
                <w:i/>
                <w:iCs/>
                <w:sz w:val="20"/>
                <w:szCs w:val="20"/>
              </w:rPr>
              <w:t>proc.</w:t>
            </w:r>
          </w:p>
        </w:tc>
      </w:tr>
      <w:tr w:rsidR="00E035CC" w:rsidRPr="00222F69" w:rsidTr="00E035CC">
        <w:trPr>
          <w:cnfStyle w:val="000000010000"/>
          <w:trHeight w:val="300"/>
          <w:jc w:val="center"/>
        </w:trPr>
        <w:tc>
          <w:tcPr>
            <w:cnfStyle w:val="001000000000"/>
            <w:tcW w:w="2753" w:type="dxa"/>
            <w:hideMark/>
          </w:tcPr>
          <w:p w:rsidR="00E035CC" w:rsidRPr="00222F69" w:rsidRDefault="00E035CC" w:rsidP="00275F1A">
            <w:pPr>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Veiklos pajamos</w:t>
            </w:r>
          </w:p>
        </w:tc>
        <w:tc>
          <w:tcPr>
            <w:tcW w:w="1134" w:type="dxa"/>
            <w:noWrap/>
            <w:vAlign w:val="center"/>
            <w:hideMark/>
          </w:tcPr>
          <w:p w:rsidR="00E035CC" w:rsidRPr="00222F69" w:rsidRDefault="00E035CC" w:rsidP="00275F1A">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86,907,395</w:t>
            </w:r>
          </w:p>
        </w:tc>
        <w:tc>
          <w:tcPr>
            <w:tcW w:w="1134" w:type="dxa"/>
            <w:noWrap/>
            <w:vAlign w:val="center"/>
            <w:hideMark/>
          </w:tcPr>
          <w:p w:rsidR="00E035CC" w:rsidRPr="00222F69" w:rsidRDefault="00E035CC" w:rsidP="00275F1A">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79,352,936</w:t>
            </w:r>
          </w:p>
        </w:tc>
        <w:tc>
          <w:tcPr>
            <w:tcW w:w="1115" w:type="dxa"/>
            <w:noWrap/>
            <w:vAlign w:val="center"/>
            <w:hideMark/>
          </w:tcPr>
          <w:p w:rsidR="00E035CC" w:rsidRPr="00EB346F" w:rsidRDefault="00E035CC" w:rsidP="00275F1A">
            <w:pPr>
              <w:jc w:val="center"/>
              <w:cnfStyle w:val="000000010000"/>
              <w:rPr>
                <w:rFonts w:ascii="Times New Roman" w:eastAsia="Times New Roman" w:hAnsi="Times New Roman" w:cs="Times New Roman"/>
                <w:i/>
                <w:sz w:val="20"/>
                <w:szCs w:val="20"/>
              </w:rPr>
            </w:pPr>
            <w:r w:rsidRPr="00EB346F">
              <w:rPr>
                <w:rFonts w:ascii="Times New Roman" w:eastAsia="Times New Roman" w:hAnsi="Times New Roman" w:cs="Times New Roman"/>
                <w:i/>
                <w:sz w:val="20"/>
                <w:szCs w:val="20"/>
              </w:rPr>
              <w:t>-8.69</w:t>
            </w:r>
          </w:p>
        </w:tc>
        <w:tc>
          <w:tcPr>
            <w:tcW w:w="1323" w:type="dxa"/>
            <w:noWrap/>
            <w:vAlign w:val="center"/>
            <w:hideMark/>
          </w:tcPr>
          <w:p w:rsidR="00E035CC" w:rsidRPr="00222F69" w:rsidRDefault="00E035CC" w:rsidP="00275F1A">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115,563,328</w:t>
            </w:r>
          </w:p>
        </w:tc>
        <w:tc>
          <w:tcPr>
            <w:tcW w:w="1165" w:type="dxa"/>
            <w:noWrap/>
            <w:vAlign w:val="center"/>
            <w:hideMark/>
          </w:tcPr>
          <w:p w:rsidR="00E035CC" w:rsidRPr="00EB346F" w:rsidRDefault="00E035CC" w:rsidP="00275F1A">
            <w:pPr>
              <w:jc w:val="center"/>
              <w:cnfStyle w:val="000000010000"/>
              <w:rPr>
                <w:rFonts w:ascii="Times New Roman" w:eastAsia="Times New Roman" w:hAnsi="Times New Roman" w:cs="Times New Roman"/>
                <w:i/>
                <w:sz w:val="20"/>
                <w:szCs w:val="20"/>
              </w:rPr>
            </w:pPr>
            <w:r w:rsidRPr="00EB346F">
              <w:rPr>
                <w:rFonts w:ascii="Times New Roman" w:eastAsia="Times New Roman" w:hAnsi="Times New Roman" w:cs="Times New Roman"/>
                <w:i/>
                <w:sz w:val="20"/>
                <w:szCs w:val="20"/>
              </w:rPr>
              <w:t>45.63</w:t>
            </w:r>
          </w:p>
        </w:tc>
      </w:tr>
      <w:tr w:rsidR="00E035CC" w:rsidRPr="00222F69" w:rsidTr="00E035CC">
        <w:trPr>
          <w:cnfStyle w:val="000000100000"/>
          <w:trHeight w:val="300"/>
          <w:jc w:val="center"/>
        </w:trPr>
        <w:tc>
          <w:tcPr>
            <w:cnfStyle w:val="001000000000"/>
            <w:tcW w:w="2753" w:type="dxa"/>
            <w:hideMark/>
          </w:tcPr>
          <w:p w:rsidR="00E035CC" w:rsidRPr="00222F69" w:rsidRDefault="00E035CC" w:rsidP="00275F1A">
            <w:pPr>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Pardavimo pajamos</w:t>
            </w:r>
          </w:p>
        </w:tc>
        <w:tc>
          <w:tcPr>
            <w:tcW w:w="1134" w:type="dxa"/>
            <w:noWrap/>
            <w:vAlign w:val="center"/>
            <w:hideMark/>
          </w:tcPr>
          <w:p w:rsidR="00E035CC" w:rsidRPr="00222F69" w:rsidRDefault="00E035CC" w:rsidP="00275F1A">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85,844,310</w:t>
            </w:r>
          </w:p>
        </w:tc>
        <w:tc>
          <w:tcPr>
            <w:tcW w:w="1134" w:type="dxa"/>
            <w:noWrap/>
            <w:vAlign w:val="center"/>
            <w:hideMark/>
          </w:tcPr>
          <w:p w:rsidR="00E035CC" w:rsidRPr="00222F69" w:rsidRDefault="00E035CC" w:rsidP="00275F1A">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79,352,936</w:t>
            </w:r>
          </w:p>
        </w:tc>
        <w:tc>
          <w:tcPr>
            <w:tcW w:w="1115" w:type="dxa"/>
            <w:noWrap/>
            <w:vAlign w:val="center"/>
            <w:hideMark/>
          </w:tcPr>
          <w:p w:rsidR="00E035CC" w:rsidRPr="00EB346F" w:rsidRDefault="00E035CC" w:rsidP="00275F1A">
            <w:pPr>
              <w:jc w:val="center"/>
              <w:cnfStyle w:val="000000100000"/>
              <w:rPr>
                <w:rFonts w:ascii="Times New Roman" w:eastAsia="Times New Roman" w:hAnsi="Times New Roman" w:cs="Times New Roman"/>
                <w:i/>
                <w:sz w:val="20"/>
                <w:szCs w:val="20"/>
              </w:rPr>
            </w:pPr>
            <w:r w:rsidRPr="00EB346F">
              <w:rPr>
                <w:rFonts w:ascii="Times New Roman" w:eastAsia="Times New Roman" w:hAnsi="Times New Roman" w:cs="Times New Roman"/>
                <w:i/>
                <w:sz w:val="20"/>
                <w:szCs w:val="20"/>
              </w:rPr>
              <w:t>-7.56</w:t>
            </w:r>
          </w:p>
        </w:tc>
        <w:tc>
          <w:tcPr>
            <w:tcW w:w="1323" w:type="dxa"/>
            <w:noWrap/>
            <w:vAlign w:val="center"/>
            <w:hideMark/>
          </w:tcPr>
          <w:p w:rsidR="00E035CC" w:rsidRPr="00222F69" w:rsidRDefault="00E035CC" w:rsidP="00275F1A">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115,563,328</w:t>
            </w:r>
          </w:p>
        </w:tc>
        <w:tc>
          <w:tcPr>
            <w:tcW w:w="1165" w:type="dxa"/>
            <w:noWrap/>
            <w:vAlign w:val="center"/>
            <w:hideMark/>
          </w:tcPr>
          <w:p w:rsidR="00E035CC" w:rsidRPr="00EB346F" w:rsidRDefault="00E035CC" w:rsidP="00275F1A">
            <w:pPr>
              <w:jc w:val="center"/>
              <w:cnfStyle w:val="000000100000"/>
              <w:rPr>
                <w:rFonts w:ascii="Times New Roman" w:eastAsia="Times New Roman" w:hAnsi="Times New Roman" w:cs="Times New Roman"/>
                <w:i/>
                <w:sz w:val="20"/>
                <w:szCs w:val="20"/>
              </w:rPr>
            </w:pPr>
            <w:r w:rsidRPr="00EB346F">
              <w:rPr>
                <w:rFonts w:ascii="Times New Roman" w:eastAsia="Times New Roman" w:hAnsi="Times New Roman" w:cs="Times New Roman"/>
                <w:i/>
                <w:sz w:val="20"/>
                <w:szCs w:val="20"/>
              </w:rPr>
              <w:t>45.63</w:t>
            </w:r>
          </w:p>
        </w:tc>
      </w:tr>
      <w:tr w:rsidR="00E035CC" w:rsidRPr="00222F69" w:rsidTr="00E035CC">
        <w:trPr>
          <w:cnfStyle w:val="000000010000"/>
          <w:trHeight w:val="300"/>
          <w:jc w:val="center"/>
        </w:trPr>
        <w:tc>
          <w:tcPr>
            <w:cnfStyle w:val="001000000000"/>
            <w:tcW w:w="2753" w:type="dxa"/>
            <w:hideMark/>
          </w:tcPr>
          <w:p w:rsidR="00E035CC" w:rsidRPr="00222F69" w:rsidRDefault="00E035CC" w:rsidP="00275F1A">
            <w:pPr>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Pardavimo savikaina</w:t>
            </w:r>
          </w:p>
        </w:tc>
        <w:tc>
          <w:tcPr>
            <w:tcW w:w="1134" w:type="dxa"/>
            <w:noWrap/>
            <w:vAlign w:val="center"/>
            <w:hideMark/>
          </w:tcPr>
          <w:p w:rsidR="00E035CC" w:rsidRPr="00222F69" w:rsidRDefault="00E035CC" w:rsidP="00275F1A">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77,514,705</w:t>
            </w:r>
          </w:p>
        </w:tc>
        <w:tc>
          <w:tcPr>
            <w:tcW w:w="1134" w:type="dxa"/>
            <w:noWrap/>
            <w:vAlign w:val="center"/>
            <w:hideMark/>
          </w:tcPr>
          <w:p w:rsidR="00E035CC" w:rsidRPr="00222F69" w:rsidRDefault="00E035CC" w:rsidP="00275F1A">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71,828,699</w:t>
            </w:r>
          </w:p>
        </w:tc>
        <w:tc>
          <w:tcPr>
            <w:tcW w:w="1115" w:type="dxa"/>
            <w:noWrap/>
            <w:vAlign w:val="center"/>
            <w:hideMark/>
          </w:tcPr>
          <w:p w:rsidR="00E035CC" w:rsidRPr="00EB346F" w:rsidRDefault="00E035CC" w:rsidP="00275F1A">
            <w:pPr>
              <w:jc w:val="center"/>
              <w:cnfStyle w:val="000000010000"/>
              <w:rPr>
                <w:rFonts w:ascii="Times New Roman" w:eastAsia="Times New Roman" w:hAnsi="Times New Roman" w:cs="Times New Roman"/>
                <w:i/>
                <w:sz w:val="20"/>
                <w:szCs w:val="20"/>
              </w:rPr>
            </w:pPr>
            <w:r w:rsidRPr="00EB346F">
              <w:rPr>
                <w:rFonts w:ascii="Times New Roman" w:eastAsia="Times New Roman" w:hAnsi="Times New Roman" w:cs="Times New Roman"/>
                <w:i/>
                <w:sz w:val="20"/>
                <w:szCs w:val="20"/>
              </w:rPr>
              <w:t>-7.34</w:t>
            </w:r>
          </w:p>
        </w:tc>
        <w:tc>
          <w:tcPr>
            <w:tcW w:w="1323" w:type="dxa"/>
            <w:noWrap/>
            <w:vAlign w:val="center"/>
            <w:hideMark/>
          </w:tcPr>
          <w:p w:rsidR="00E035CC" w:rsidRPr="00222F69" w:rsidRDefault="00E035CC" w:rsidP="00275F1A">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104,263,569</w:t>
            </w:r>
          </w:p>
        </w:tc>
        <w:tc>
          <w:tcPr>
            <w:tcW w:w="1165" w:type="dxa"/>
            <w:noWrap/>
            <w:vAlign w:val="center"/>
            <w:hideMark/>
          </w:tcPr>
          <w:p w:rsidR="00E035CC" w:rsidRPr="00EB346F" w:rsidRDefault="00E035CC" w:rsidP="00275F1A">
            <w:pPr>
              <w:jc w:val="center"/>
              <w:cnfStyle w:val="000000010000"/>
              <w:rPr>
                <w:rFonts w:ascii="Times New Roman" w:eastAsia="Times New Roman" w:hAnsi="Times New Roman" w:cs="Times New Roman"/>
                <w:i/>
                <w:sz w:val="20"/>
                <w:szCs w:val="20"/>
              </w:rPr>
            </w:pPr>
            <w:r w:rsidRPr="00EB346F">
              <w:rPr>
                <w:rFonts w:ascii="Times New Roman" w:eastAsia="Times New Roman" w:hAnsi="Times New Roman" w:cs="Times New Roman"/>
                <w:i/>
                <w:sz w:val="20"/>
                <w:szCs w:val="20"/>
              </w:rPr>
              <w:t>45.16</w:t>
            </w:r>
          </w:p>
        </w:tc>
      </w:tr>
      <w:tr w:rsidR="00E035CC" w:rsidRPr="00222F69" w:rsidTr="00E035CC">
        <w:trPr>
          <w:cnfStyle w:val="000000100000"/>
          <w:trHeight w:val="300"/>
          <w:jc w:val="center"/>
        </w:trPr>
        <w:tc>
          <w:tcPr>
            <w:cnfStyle w:val="001000000000"/>
            <w:tcW w:w="2753" w:type="dxa"/>
            <w:hideMark/>
          </w:tcPr>
          <w:p w:rsidR="00E035CC" w:rsidRPr="00222F69" w:rsidRDefault="00E035CC" w:rsidP="00275F1A">
            <w:pPr>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Bendrasis pelnas</w:t>
            </w:r>
          </w:p>
        </w:tc>
        <w:tc>
          <w:tcPr>
            <w:tcW w:w="1134" w:type="dxa"/>
            <w:noWrap/>
            <w:vAlign w:val="center"/>
            <w:hideMark/>
          </w:tcPr>
          <w:p w:rsidR="00E035CC" w:rsidRPr="00222F69" w:rsidRDefault="00E035CC" w:rsidP="00275F1A">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9,392,690</w:t>
            </w:r>
          </w:p>
        </w:tc>
        <w:tc>
          <w:tcPr>
            <w:tcW w:w="1134" w:type="dxa"/>
            <w:noWrap/>
            <w:vAlign w:val="center"/>
            <w:hideMark/>
          </w:tcPr>
          <w:p w:rsidR="00E035CC" w:rsidRPr="00222F69" w:rsidRDefault="00E035CC" w:rsidP="00275F1A">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7,524,237</w:t>
            </w:r>
          </w:p>
        </w:tc>
        <w:tc>
          <w:tcPr>
            <w:tcW w:w="1115" w:type="dxa"/>
            <w:noWrap/>
            <w:vAlign w:val="center"/>
            <w:hideMark/>
          </w:tcPr>
          <w:p w:rsidR="00E035CC" w:rsidRPr="00EB346F" w:rsidRDefault="00E035CC" w:rsidP="00275F1A">
            <w:pPr>
              <w:jc w:val="center"/>
              <w:cnfStyle w:val="000000100000"/>
              <w:rPr>
                <w:rFonts w:ascii="Times New Roman" w:eastAsia="Times New Roman" w:hAnsi="Times New Roman" w:cs="Times New Roman"/>
                <w:i/>
                <w:sz w:val="20"/>
                <w:szCs w:val="20"/>
              </w:rPr>
            </w:pPr>
            <w:r w:rsidRPr="00EB346F">
              <w:rPr>
                <w:rFonts w:ascii="Times New Roman" w:eastAsia="Times New Roman" w:hAnsi="Times New Roman" w:cs="Times New Roman"/>
                <w:i/>
                <w:sz w:val="20"/>
                <w:szCs w:val="20"/>
              </w:rPr>
              <w:t>-19.89</w:t>
            </w:r>
          </w:p>
        </w:tc>
        <w:tc>
          <w:tcPr>
            <w:tcW w:w="1323" w:type="dxa"/>
            <w:noWrap/>
            <w:vAlign w:val="center"/>
            <w:hideMark/>
          </w:tcPr>
          <w:p w:rsidR="00E035CC" w:rsidRPr="00222F69" w:rsidRDefault="00E035CC" w:rsidP="00275F1A">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11,299,759</w:t>
            </w:r>
          </w:p>
        </w:tc>
        <w:tc>
          <w:tcPr>
            <w:tcW w:w="1165" w:type="dxa"/>
            <w:noWrap/>
            <w:vAlign w:val="center"/>
            <w:hideMark/>
          </w:tcPr>
          <w:p w:rsidR="00E035CC" w:rsidRPr="00EB346F" w:rsidRDefault="00E035CC" w:rsidP="00275F1A">
            <w:pPr>
              <w:jc w:val="center"/>
              <w:cnfStyle w:val="000000100000"/>
              <w:rPr>
                <w:rFonts w:ascii="Times New Roman" w:eastAsia="Times New Roman" w:hAnsi="Times New Roman" w:cs="Times New Roman"/>
                <w:i/>
                <w:sz w:val="20"/>
                <w:szCs w:val="20"/>
              </w:rPr>
            </w:pPr>
            <w:r w:rsidRPr="00EB346F">
              <w:rPr>
                <w:rFonts w:ascii="Times New Roman" w:eastAsia="Times New Roman" w:hAnsi="Times New Roman" w:cs="Times New Roman"/>
                <w:i/>
                <w:sz w:val="20"/>
                <w:szCs w:val="20"/>
              </w:rPr>
              <w:t>50.18</w:t>
            </w:r>
          </w:p>
        </w:tc>
      </w:tr>
      <w:tr w:rsidR="00E035CC" w:rsidRPr="00222F69" w:rsidTr="00E035CC">
        <w:trPr>
          <w:cnfStyle w:val="000000010000"/>
          <w:trHeight w:val="300"/>
          <w:jc w:val="center"/>
        </w:trPr>
        <w:tc>
          <w:tcPr>
            <w:cnfStyle w:val="001000000000"/>
            <w:tcW w:w="2753" w:type="dxa"/>
            <w:hideMark/>
          </w:tcPr>
          <w:p w:rsidR="00E035CC" w:rsidRPr="00222F69" w:rsidRDefault="00E035CC" w:rsidP="00275F1A">
            <w:pPr>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Veiklos sąnaudos</w:t>
            </w:r>
          </w:p>
        </w:tc>
        <w:tc>
          <w:tcPr>
            <w:tcW w:w="1134" w:type="dxa"/>
            <w:noWrap/>
            <w:vAlign w:val="center"/>
            <w:hideMark/>
          </w:tcPr>
          <w:p w:rsidR="00E035CC" w:rsidRPr="00222F69" w:rsidRDefault="00E035CC" w:rsidP="00275F1A">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4,398,880</w:t>
            </w:r>
          </w:p>
        </w:tc>
        <w:tc>
          <w:tcPr>
            <w:tcW w:w="1134" w:type="dxa"/>
            <w:noWrap/>
            <w:vAlign w:val="center"/>
            <w:hideMark/>
          </w:tcPr>
          <w:p w:rsidR="00E035CC" w:rsidRPr="00222F69" w:rsidRDefault="00E035CC" w:rsidP="00275F1A">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3,022,789</w:t>
            </w:r>
          </w:p>
        </w:tc>
        <w:tc>
          <w:tcPr>
            <w:tcW w:w="1115" w:type="dxa"/>
            <w:noWrap/>
            <w:vAlign w:val="center"/>
            <w:hideMark/>
          </w:tcPr>
          <w:p w:rsidR="00E035CC" w:rsidRPr="00EB346F" w:rsidRDefault="00E035CC" w:rsidP="00275F1A">
            <w:pPr>
              <w:jc w:val="center"/>
              <w:cnfStyle w:val="000000010000"/>
              <w:rPr>
                <w:rFonts w:ascii="Times New Roman" w:eastAsia="Times New Roman" w:hAnsi="Times New Roman" w:cs="Times New Roman"/>
                <w:i/>
                <w:sz w:val="20"/>
                <w:szCs w:val="20"/>
              </w:rPr>
            </w:pPr>
            <w:r w:rsidRPr="00EB346F">
              <w:rPr>
                <w:rFonts w:ascii="Times New Roman" w:eastAsia="Times New Roman" w:hAnsi="Times New Roman" w:cs="Times New Roman"/>
                <w:i/>
                <w:sz w:val="20"/>
                <w:szCs w:val="20"/>
              </w:rPr>
              <w:t>-31.28</w:t>
            </w:r>
          </w:p>
        </w:tc>
        <w:tc>
          <w:tcPr>
            <w:tcW w:w="1323" w:type="dxa"/>
            <w:noWrap/>
            <w:vAlign w:val="center"/>
            <w:hideMark/>
          </w:tcPr>
          <w:p w:rsidR="00E035CC" w:rsidRPr="00222F69" w:rsidRDefault="00E035CC" w:rsidP="00275F1A">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3,264,075</w:t>
            </w:r>
          </w:p>
        </w:tc>
        <w:tc>
          <w:tcPr>
            <w:tcW w:w="1165" w:type="dxa"/>
            <w:noWrap/>
            <w:vAlign w:val="center"/>
            <w:hideMark/>
          </w:tcPr>
          <w:p w:rsidR="00E035CC" w:rsidRPr="00EB346F" w:rsidRDefault="00E035CC" w:rsidP="00275F1A">
            <w:pPr>
              <w:jc w:val="center"/>
              <w:cnfStyle w:val="000000010000"/>
              <w:rPr>
                <w:rFonts w:ascii="Times New Roman" w:eastAsia="Times New Roman" w:hAnsi="Times New Roman" w:cs="Times New Roman"/>
                <w:i/>
                <w:sz w:val="20"/>
                <w:szCs w:val="20"/>
              </w:rPr>
            </w:pPr>
            <w:r w:rsidRPr="00EB346F">
              <w:rPr>
                <w:rFonts w:ascii="Times New Roman" w:eastAsia="Times New Roman" w:hAnsi="Times New Roman" w:cs="Times New Roman"/>
                <w:i/>
                <w:sz w:val="20"/>
                <w:szCs w:val="20"/>
              </w:rPr>
              <w:t>7.98</w:t>
            </w:r>
          </w:p>
        </w:tc>
      </w:tr>
      <w:tr w:rsidR="00E035CC" w:rsidRPr="00222F69" w:rsidTr="00E035CC">
        <w:trPr>
          <w:cnfStyle w:val="000000100000"/>
          <w:trHeight w:val="300"/>
          <w:jc w:val="center"/>
        </w:trPr>
        <w:tc>
          <w:tcPr>
            <w:cnfStyle w:val="001000000000"/>
            <w:tcW w:w="2753" w:type="dxa"/>
            <w:hideMark/>
          </w:tcPr>
          <w:p w:rsidR="00E035CC" w:rsidRPr="00222F69" w:rsidRDefault="00E035CC" w:rsidP="00275F1A">
            <w:pPr>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Tipinės veiklos pelnas (nuostolis)</w:t>
            </w:r>
          </w:p>
        </w:tc>
        <w:tc>
          <w:tcPr>
            <w:tcW w:w="1134" w:type="dxa"/>
            <w:noWrap/>
            <w:vAlign w:val="center"/>
            <w:hideMark/>
          </w:tcPr>
          <w:p w:rsidR="00E035CC" w:rsidRPr="00222F69" w:rsidRDefault="00E035CC" w:rsidP="00275F1A">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4,993,810</w:t>
            </w:r>
          </w:p>
        </w:tc>
        <w:tc>
          <w:tcPr>
            <w:tcW w:w="1134" w:type="dxa"/>
            <w:noWrap/>
            <w:vAlign w:val="center"/>
            <w:hideMark/>
          </w:tcPr>
          <w:p w:rsidR="00E035CC" w:rsidRPr="00222F69" w:rsidRDefault="00E035CC" w:rsidP="00275F1A">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4,369,080</w:t>
            </w:r>
          </w:p>
        </w:tc>
        <w:tc>
          <w:tcPr>
            <w:tcW w:w="1115" w:type="dxa"/>
            <w:noWrap/>
            <w:vAlign w:val="center"/>
            <w:hideMark/>
          </w:tcPr>
          <w:p w:rsidR="00E035CC" w:rsidRPr="00EB346F" w:rsidRDefault="00E035CC" w:rsidP="00275F1A">
            <w:pPr>
              <w:jc w:val="center"/>
              <w:cnfStyle w:val="000000100000"/>
              <w:rPr>
                <w:rFonts w:ascii="Times New Roman" w:eastAsia="Times New Roman" w:hAnsi="Times New Roman" w:cs="Times New Roman"/>
                <w:i/>
                <w:sz w:val="20"/>
                <w:szCs w:val="20"/>
              </w:rPr>
            </w:pPr>
            <w:r w:rsidRPr="00EB346F">
              <w:rPr>
                <w:rFonts w:ascii="Times New Roman" w:eastAsia="Times New Roman" w:hAnsi="Times New Roman" w:cs="Times New Roman"/>
                <w:i/>
                <w:sz w:val="20"/>
                <w:szCs w:val="20"/>
              </w:rPr>
              <w:t>-12.51</w:t>
            </w:r>
          </w:p>
        </w:tc>
        <w:tc>
          <w:tcPr>
            <w:tcW w:w="1323" w:type="dxa"/>
            <w:noWrap/>
            <w:vAlign w:val="center"/>
            <w:hideMark/>
          </w:tcPr>
          <w:p w:rsidR="00E035CC" w:rsidRPr="00222F69" w:rsidRDefault="00E035CC" w:rsidP="00275F1A">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11,273,561</w:t>
            </w:r>
          </w:p>
        </w:tc>
        <w:tc>
          <w:tcPr>
            <w:tcW w:w="1165" w:type="dxa"/>
            <w:noWrap/>
            <w:vAlign w:val="center"/>
            <w:hideMark/>
          </w:tcPr>
          <w:p w:rsidR="00E035CC" w:rsidRPr="00EB346F" w:rsidRDefault="00E035CC" w:rsidP="00275F1A">
            <w:pPr>
              <w:jc w:val="center"/>
              <w:cnfStyle w:val="000000100000"/>
              <w:rPr>
                <w:rFonts w:ascii="Times New Roman" w:eastAsia="Times New Roman" w:hAnsi="Times New Roman" w:cs="Times New Roman"/>
                <w:i/>
                <w:sz w:val="20"/>
                <w:szCs w:val="20"/>
              </w:rPr>
            </w:pPr>
            <w:r w:rsidRPr="00EB346F">
              <w:rPr>
                <w:rFonts w:ascii="Times New Roman" w:eastAsia="Times New Roman" w:hAnsi="Times New Roman" w:cs="Times New Roman"/>
                <w:i/>
                <w:sz w:val="20"/>
                <w:szCs w:val="20"/>
              </w:rPr>
              <w:t>158.03</w:t>
            </w:r>
          </w:p>
        </w:tc>
      </w:tr>
      <w:tr w:rsidR="00E035CC" w:rsidRPr="00222F69" w:rsidTr="00E035CC">
        <w:trPr>
          <w:cnfStyle w:val="000000010000"/>
          <w:trHeight w:val="510"/>
          <w:jc w:val="center"/>
        </w:trPr>
        <w:tc>
          <w:tcPr>
            <w:cnfStyle w:val="001000000000"/>
            <w:tcW w:w="2753" w:type="dxa"/>
            <w:hideMark/>
          </w:tcPr>
          <w:p w:rsidR="00E035CC" w:rsidRPr="00222F69" w:rsidRDefault="00E035CC" w:rsidP="00275F1A">
            <w:pPr>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Finansinės ir investicinės veiklos pelnas</w:t>
            </w:r>
          </w:p>
        </w:tc>
        <w:tc>
          <w:tcPr>
            <w:tcW w:w="1134" w:type="dxa"/>
            <w:noWrap/>
            <w:vAlign w:val="center"/>
            <w:hideMark/>
          </w:tcPr>
          <w:p w:rsidR="00E035CC" w:rsidRPr="00222F69" w:rsidRDefault="00E035CC" w:rsidP="00275F1A">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1,924,817</w:t>
            </w:r>
          </w:p>
        </w:tc>
        <w:tc>
          <w:tcPr>
            <w:tcW w:w="1134" w:type="dxa"/>
            <w:vAlign w:val="center"/>
            <w:hideMark/>
          </w:tcPr>
          <w:p w:rsidR="00E035CC" w:rsidRPr="00222F69" w:rsidRDefault="00E035CC" w:rsidP="00275F1A">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n.a.</w:t>
            </w:r>
          </w:p>
        </w:tc>
        <w:tc>
          <w:tcPr>
            <w:tcW w:w="1115" w:type="dxa"/>
            <w:vAlign w:val="center"/>
            <w:hideMark/>
          </w:tcPr>
          <w:p w:rsidR="00E035CC" w:rsidRPr="00EB346F" w:rsidRDefault="00E035CC" w:rsidP="00275F1A">
            <w:pPr>
              <w:jc w:val="center"/>
              <w:cnfStyle w:val="000000010000"/>
              <w:rPr>
                <w:rFonts w:ascii="Times New Roman" w:eastAsia="Times New Roman" w:hAnsi="Times New Roman" w:cs="Times New Roman"/>
                <w:i/>
                <w:sz w:val="20"/>
                <w:szCs w:val="20"/>
              </w:rPr>
            </w:pPr>
            <w:r w:rsidRPr="00EB346F">
              <w:rPr>
                <w:rFonts w:ascii="Times New Roman" w:eastAsia="Times New Roman" w:hAnsi="Times New Roman" w:cs="Times New Roman"/>
                <w:i/>
                <w:sz w:val="20"/>
                <w:szCs w:val="20"/>
              </w:rPr>
              <w:t>n.a.</w:t>
            </w:r>
          </w:p>
        </w:tc>
        <w:tc>
          <w:tcPr>
            <w:tcW w:w="1323" w:type="dxa"/>
            <w:vAlign w:val="center"/>
            <w:hideMark/>
          </w:tcPr>
          <w:p w:rsidR="00E035CC" w:rsidRPr="00222F69" w:rsidRDefault="00E035CC" w:rsidP="00275F1A">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n.a.</w:t>
            </w:r>
          </w:p>
        </w:tc>
        <w:tc>
          <w:tcPr>
            <w:tcW w:w="1165" w:type="dxa"/>
            <w:vAlign w:val="center"/>
            <w:hideMark/>
          </w:tcPr>
          <w:p w:rsidR="00E035CC" w:rsidRPr="00EB346F" w:rsidRDefault="00E035CC" w:rsidP="00275F1A">
            <w:pPr>
              <w:jc w:val="center"/>
              <w:cnfStyle w:val="000000010000"/>
              <w:rPr>
                <w:rFonts w:ascii="Times New Roman" w:eastAsia="Times New Roman" w:hAnsi="Times New Roman" w:cs="Times New Roman"/>
                <w:i/>
                <w:sz w:val="20"/>
                <w:szCs w:val="20"/>
              </w:rPr>
            </w:pPr>
            <w:r w:rsidRPr="00EB346F">
              <w:rPr>
                <w:rFonts w:ascii="Times New Roman" w:eastAsia="Times New Roman" w:hAnsi="Times New Roman" w:cs="Times New Roman"/>
                <w:i/>
                <w:sz w:val="20"/>
                <w:szCs w:val="20"/>
              </w:rPr>
              <w:t>n.a.</w:t>
            </w:r>
          </w:p>
        </w:tc>
      </w:tr>
      <w:tr w:rsidR="00E035CC" w:rsidRPr="00222F69" w:rsidTr="00E035CC">
        <w:trPr>
          <w:cnfStyle w:val="000000100000"/>
          <w:trHeight w:val="510"/>
          <w:jc w:val="center"/>
        </w:trPr>
        <w:tc>
          <w:tcPr>
            <w:cnfStyle w:val="001000000000"/>
            <w:tcW w:w="2753" w:type="dxa"/>
            <w:hideMark/>
          </w:tcPr>
          <w:p w:rsidR="00E035CC" w:rsidRPr="00222F69" w:rsidRDefault="00E035CC" w:rsidP="00275F1A">
            <w:pPr>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Finansinės ir investicinės veiklos sąnaudos</w:t>
            </w:r>
          </w:p>
        </w:tc>
        <w:tc>
          <w:tcPr>
            <w:tcW w:w="1134" w:type="dxa"/>
            <w:noWrap/>
            <w:vAlign w:val="center"/>
            <w:hideMark/>
          </w:tcPr>
          <w:p w:rsidR="00E035CC" w:rsidRPr="00222F69" w:rsidRDefault="00E035CC" w:rsidP="00275F1A">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1,409,662</w:t>
            </w:r>
          </w:p>
        </w:tc>
        <w:tc>
          <w:tcPr>
            <w:tcW w:w="1134" w:type="dxa"/>
            <w:vAlign w:val="center"/>
            <w:hideMark/>
          </w:tcPr>
          <w:p w:rsidR="00E035CC" w:rsidRPr="00222F69" w:rsidRDefault="00E035CC" w:rsidP="00275F1A">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n.a.</w:t>
            </w:r>
          </w:p>
        </w:tc>
        <w:tc>
          <w:tcPr>
            <w:tcW w:w="1115" w:type="dxa"/>
            <w:vAlign w:val="center"/>
            <w:hideMark/>
          </w:tcPr>
          <w:p w:rsidR="00E035CC" w:rsidRPr="00EB346F" w:rsidRDefault="00E035CC" w:rsidP="00275F1A">
            <w:pPr>
              <w:jc w:val="center"/>
              <w:cnfStyle w:val="000000100000"/>
              <w:rPr>
                <w:rFonts w:ascii="Times New Roman" w:eastAsia="Times New Roman" w:hAnsi="Times New Roman" w:cs="Times New Roman"/>
                <w:i/>
                <w:sz w:val="20"/>
                <w:szCs w:val="20"/>
              </w:rPr>
            </w:pPr>
            <w:r w:rsidRPr="00EB346F">
              <w:rPr>
                <w:rFonts w:ascii="Times New Roman" w:eastAsia="Times New Roman" w:hAnsi="Times New Roman" w:cs="Times New Roman"/>
                <w:i/>
                <w:sz w:val="20"/>
                <w:szCs w:val="20"/>
              </w:rPr>
              <w:t>n.a.</w:t>
            </w:r>
          </w:p>
        </w:tc>
        <w:tc>
          <w:tcPr>
            <w:tcW w:w="1323" w:type="dxa"/>
            <w:vAlign w:val="center"/>
            <w:hideMark/>
          </w:tcPr>
          <w:p w:rsidR="00E035CC" w:rsidRPr="00222F69" w:rsidRDefault="00E035CC" w:rsidP="00275F1A">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n.a.</w:t>
            </w:r>
          </w:p>
        </w:tc>
        <w:tc>
          <w:tcPr>
            <w:tcW w:w="1165" w:type="dxa"/>
            <w:vAlign w:val="center"/>
            <w:hideMark/>
          </w:tcPr>
          <w:p w:rsidR="00E035CC" w:rsidRPr="00EB346F" w:rsidRDefault="00E035CC" w:rsidP="00275F1A">
            <w:pPr>
              <w:jc w:val="center"/>
              <w:cnfStyle w:val="000000100000"/>
              <w:rPr>
                <w:rFonts w:ascii="Times New Roman" w:eastAsia="Times New Roman" w:hAnsi="Times New Roman" w:cs="Times New Roman"/>
                <w:i/>
                <w:sz w:val="20"/>
                <w:szCs w:val="20"/>
              </w:rPr>
            </w:pPr>
            <w:r w:rsidRPr="00EB346F">
              <w:rPr>
                <w:rFonts w:ascii="Times New Roman" w:eastAsia="Times New Roman" w:hAnsi="Times New Roman" w:cs="Times New Roman"/>
                <w:i/>
                <w:sz w:val="20"/>
                <w:szCs w:val="20"/>
              </w:rPr>
              <w:t>n.a.</w:t>
            </w:r>
          </w:p>
        </w:tc>
      </w:tr>
      <w:tr w:rsidR="00E035CC" w:rsidRPr="00222F69" w:rsidTr="00E035CC">
        <w:trPr>
          <w:cnfStyle w:val="000000010000"/>
          <w:trHeight w:val="510"/>
          <w:jc w:val="center"/>
        </w:trPr>
        <w:tc>
          <w:tcPr>
            <w:cnfStyle w:val="001000000000"/>
            <w:tcW w:w="2753" w:type="dxa"/>
            <w:hideMark/>
          </w:tcPr>
          <w:p w:rsidR="00E035CC" w:rsidRPr="00222F69" w:rsidRDefault="00E035CC" w:rsidP="00275F1A">
            <w:pPr>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Finansinės ir investicinės veiklos pelnas (nuostolis)</w:t>
            </w:r>
          </w:p>
        </w:tc>
        <w:tc>
          <w:tcPr>
            <w:tcW w:w="1134" w:type="dxa"/>
            <w:noWrap/>
            <w:vAlign w:val="center"/>
            <w:hideMark/>
          </w:tcPr>
          <w:p w:rsidR="00E035CC" w:rsidRPr="00222F69" w:rsidRDefault="00E035CC" w:rsidP="00275F1A">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515,155</w:t>
            </w:r>
          </w:p>
        </w:tc>
        <w:tc>
          <w:tcPr>
            <w:tcW w:w="1134" w:type="dxa"/>
            <w:noWrap/>
            <w:vAlign w:val="center"/>
            <w:hideMark/>
          </w:tcPr>
          <w:p w:rsidR="00E035CC" w:rsidRPr="00222F69" w:rsidRDefault="00E035CC" w:rsidP="00275F1A">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-948,329</w:t>
            </w:r>
          </w:p>
        </w:tc>
        <w:tc>
          <w:tcPr>
            <w:tcW w:w="1115" w:type="dxa"/>
            <w:noWrap/>
            <w:vAlign w:val="center"/>
            <w:hideMark/>
          </w:tcPr>
          <w:p w:rsidR="00E035CC" w:rsidRPr="00EB346F" w:rsidRDefault="00E035CC" w:rsidP="00275F1A">
            <w:pPr>
              <w:jc w:val="center"/>
              <w:cnfStyle w:val="000000010000"/>
              <w:rPr>
                <w:rFonts w:ascii="Times New Roman" w:eastAsia="Times New Roman" w:hAnsi="Times New Roman" w:cs="Times New Roman"/>
                <w:i/>
                <w:sz w:val="20"/>
                <w:szCs w:val="20"/>
              </w:rPr>
            </w:pPr>
            <w:r w:rsidRPr="00EB346F">
              <w:rPr>
                <w:rFonts w:ascii="Times New Roman" w:eastAsia="Times New Roman" w:hAnsi="Times New Roman" w:cs="Times New Roman"/>
                <w:i/>
                <w:sz w:val="20"/>
                <w:szCs w:val="20"/>
              </w:rPr>
              <w:t>-284.09</w:t>
            </w:r>
          </w:p>
        </w:tc>
        <w:tc>
          <w:tcPr>
            <w:tcW w:w="1323" w:type="dxa"/>
            <w:noWrap/>
            <w:vAlign w:val="center"/>
            <w:hideMark/>
          </w:tcPr>
          <w:p w:rsidR="00E035CC" w:rsidRPr="00222F69" w:rsidRDefault="00E035CC" w:rsidP="00275F1A">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-610,483</w:t>
            </w:r>
          </w:p>
        </w:tc>
        <w:tc>
          <w:tcPr>
            <w:tcW w:w="1165" w:type="dxa"/>
            <w:noWrap/>
            <w:vAlign w:val="center"/>
            <w:hideMark/>
          </w:tcPr>
          <w:p w:rsidR="00E035CC" w:rsidRPr="00EB346F" w:rsidRDefault="00E035CC" w:rsidP="00275F1A">
            <w:pPr>
              <w:jc w:val="center"/>
              <w:cnfStyle w:val="000000010000"/>
              <w:rPr>
                <w:rFonts w:ascii="Times New Roman" w:eastAsia="Times New Roman" w:hAnsi="Times New Roman" w:cs="Times New Roman"/>
                <w:i/>
                <w:sz w:val="20"/>
                <w:szCs w:val="20"/>
              </w:rPr>
            </w:pPr>
            <w:r w:rsidRPr="00EB346F">
              <w:rPr>
                <w:rFonts w:ascii="Times New Roman" w:eastAsia="Times New Roman" w:hAnsi="Times New Roman" w:cs="Times New Roman"/>
                <w:i/>
                <w:sz w:val="20"/>
                <w:szCs w:val="20"/>
              </w:rPr>
              <w:t>35.63</w:t>
            </w:r>
          </w:p>
        </w:tc>
      </w:tr>
      <w:tr w:rsidR="00E035CC" w:rsidRPr="00222F69" w:rsidTr="00E035CC">
        <w:trPr>
          <w:cnfStyle w:val="000000100000"/>
          <w:trHeight w:val="300"/>
          <w:jc w:val="center"/>
        </w:trPr>
        <w:tc>
          <w:tcPr>
            <w:cnfStyle w:val="001000000000"/>
            <w:tcW w:w="2753" w:type="dxa"/>
            <w:hideMark/>
          </w:tcPr>
          <w:p w:rsidR="00E035CC" w:rsidRPr="00222F69" w:rsidRDefault="00E035CC" w:rsidP="00275F1A">
            <w:pPr>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Pelnas prieš apmokestinimą</w:t>
            </w:r>
          </w:p>
        </w:tc>
        <w:tc>
          <w:tcPr>
            <w:tcW w:w="1134" w:type="dxa"/>
            <w:noWrap/>
            <w:vAlign w:val="center"/>
            <w:hideMark/>
          </w:tcPr>
          <w:p w:rsidR="00E035CC" w:rsidRPr="00222F69" w:rsidRDefault="00E035CC" w:rsidP="00275F1A">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5,508,964</w:t>
            </w:r>
          </w:p>
        </w:tc>
        <w:tc>
          <w:tcPr>
            <w:tcW w:w="1134" w:type="dxa"/>
            <w:noWrap/>
            <w:vAlign w:val="center"/>
            <w:hideMark/>
          </w:tcPr>
          <w:p w:rsidR="00E035CC" w:rsidRPr="00222F69" w:rsidRDefault="00E035CC" w:rsidP="00275F1A">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3,420,752</w:t>
            </w:r>
          </w:p>
        </w:tc>
        <w:tc>
          <w:tcPr>
            <w:tcW w:w="1115" w:type="dxa"/>
            <w:noWrap/>
            <w:vAlign w:val="center"/>
            <w:hideMark/>
          </w:tcPr>
          <w:p w:rsidR="00E035CC" w:rsidRPr="00EB346F" w:rsidRDefault="00E035CC" w:rsidP="00275F1A">
            <w:pPr>
              <w:jc w:val="center"/>
              <w:cnfStyle w:val="000000100000"/>
              <w:rPr>
                <w:rFonts w:ascii="Times New Roman" w:eastAsia="Times New Roman" w:hAnsi="Times New Roman" w:cs="Times New Roman"/>
                <w:i/>
                <w:sz w:val="20"/>
                <w:szCs w:val="20"/>
              </w:rPr>
            </w:pPr>
            <w:r w:rsidRPr="00EB346F">
              <w:rPr>
                <w:rFonts w:ascii="Times New Roman" w:eastAsia="Times New Roman" w:hAnsi="Times New Roman" w:cs="Times New Roman"/>
                <w:i/>
                <w:sz w:val="20"/>
                <w:szCs w:val="20"/>
              </w:rPr>
              <w:t>-37.91</w:t>
            </w:r>
          </w:p>
        </w:tc>
        <w:tc>
          <w:tcPr>
            <w:tcW w:w="1323" w:type="dxa"/>
            <w:noWrap/>
            <w:vAlign w:val="center"/>
            <w:hideMark/>
          </w:tcPr>
          <w:p w:rsidR="00E035CC" w:rsidRPr="00222F69" w:rsidRDefault="00E035CC" w:rsidP="00275F1A">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10,663,078</w:t>
            </w:r>
          </w:p>
        </w:tc>
        <w:tc>
          <w:tcPr>
            <w:tcW w:w="1165" w:type="dxa"/>
            <w:noWrap/>
            <w:vAlign w:val="center"/>
            <w:hideMark/>
          </w:tcPr>
          <w:p w:rsidR="00E035CC" w:rsidRPr="00EB346F" w:rsidRDefault="00E035CC" w:rsidP="00275F1A">
            <w:pPr>
              <w:jc w:val="center"/>
              <w:cnfStyle w:val="000000100000"/>
              <w:rPr>
                <w:rFonts w:ascii="Times New Roman" w:eastAsia="Times New Roman" w:hAnsi="Times New Roman" w:cs="Times New Roman"/>
                <w:i/>
                <w:sz w:val="20"/>
                <w:szCs w:val="20"/>
              </w:rPr>
            </w:pPr>
            <w:r w:rsidRPr="00EB346F">
              <w:rPr>
                <w:rFonts w:ascii="Times New Roman" w:eastAsia="Times New Roman" w:hAnsi="Times New Roman" w:cs="Times New Roman"/>
                <w:i/>
                <w:sz w:val="20"/>
                <w:szCs w:val="20"/>
              </w:rPr>
              <w:t>211.72</w:t>
            </w:r>
          </w:p>
        </w:tc>
      </w:tr>
      <w:tr w:rsidR="00E035CC" w:rsidRPr="00222F69" w:rsidTr="00E035CC">
        <w:trPr>
          <w:cnfStyle w:val="000000010000"/>
          <w:trHeight w:val="300"/>
          <w:jc w:val="center"/>
        </w:trPr>
        <w:tc>
          <w:tcPr>
            <w:cnfStyle w:val="001000000000"/>
            <w:tcW w:w="2753" w:type="dxa"/>
            <w:hideMark/>
          </w:tcPr>
          <w:p w:rsidR="00E035CC" w:rsidRPr="00222F69" w:rsidRDefault="00E035CC" w:rsidP="00275F1A">
            <w:pPr>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Pelno mokestis</w:t>
            </w:r>
          </w:p>
        </w:tc>
        <w:tc>
          <w:tcPr>
            <w:tcW w:w="1134" w:type="dxa"/>
            <w:noWrap/>
            <w:vAlign w:val="center"/>
            <w:hideMark/>
          </w:tcPr>
          <w:p w:rsidR="00E035CC" w:rsidRPr="00222F69" w:rsidRDefault="00E035CC" w:rsidP="00275F1A">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181,687</w:t>
            </w:r>
          </w:p>
        </w:tc>
        <w:tc>
          <w:tcPr>
            <w:tcW w:w="1134" w:type="dxa"/>
            <w:noWrap/>
            <w:vAlign w:val="center"/>
            <w:hideMark/>
          </w:tcPr>
          <w:p w:rsidR="00E035CC" w:rsidRPr="00222F69" w:rsidRDefault="00E035CC" w:rsidP="00275F1A">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225,438</w:t>
            </w:r>
          </w:p>
        </w:tc>
        <w:tc>
          <w:tcPr>
            <w:tcW w:w="1115" w:type="dxa"/>
            <w:noWrap/>
            <w:vAlign w:val="center"/>
            <w:hideMark/>
          </w:tcPr>
          <w:p w:rsidR="00E035CC" w:rsidRPr="00EB346F" w:rsidRDefault="00E035CC" w:rsidP="00275F1A">
            <w:pPr>
              <w:jc w:val="center"/>
              <w:cnfStyle w:val="000000010000"/>
              <w:rPr>
                <w:rFonts w:ascii="Times New Roman" w:eastAsia="Times New Roman" w:hAnsi="Times New Roman" w:cs="Times New Roman"/>
                <w:i/>
                <w:sz w:val="20"/>
                <w:szCs w:val="20"/>
              </w:rPr>
            </w:pPr>
            <w:r w:rsidRPr="00EB346F">
              <w:rPr>
                <w:rFonts w:ascii="Times New Roman" w:eastAsia="Times New Roman" w:hAnsi="Times New Roman" w:cs="Times New Roman"/>
                <w:i/>
                <w:sz w:val="20"/>
                <w:szCs w:val="20"/>
              </w:rPr>
              <w:t>n.a.</w:t>
            </w:r>
          </w:p>
        </w:tc>
        <w:tc>
          <w:tcPr>
            <w:tcW w:w="1323" w:type="dxa"/>
            <w:noWrap/>
            <w:vAlign w:val="center"/>
            <w:hideMark/>
          </w:tcPr>
          <w:p w:rsidR="00E035CC" w:rsidRPr="00222F69" w:rsidRDefault="00E035CC" w:rsidP="00275F1A">
            <w:pPr>
              <w:jc w:val="center"/>
              <w:cnfStyle w:val="00000001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1,266,201</w:t>
            </w:r>
          </w:p>
        </w:tc>
        <w:tc>
          <w:tcPr>
            <w:tcW w:w="1165" w:type="dxa"/>
            <w:noWrap/>
            <w:vAlign w:val="center"/>
            <w:hideMark/>
          </w:tcPr>
          <w:p w:rsidR="00E035CC" w:rsidRPr="00EB346F" w:rsidRDefault="00E035CC" w:rsidP="00275F1A">
            <w:pPr>
              <w:jc w:val="center"/>
              <w:cnfStyle w:val="000000010000"/>
              <w:rPr>
                <w:rFonts w:ascii="Times New Roman" w:eastAsia="Times New Roman" w:hAnsi="Times New Roman" w:cs="Times New Roman"/>
                <w:i/>
                <w:sz w:val="20"/>
                <w:szCs w:val="20"/>
              </w:rPr>
            </w:pPr>
            <w:r w:rsidRPr="00EB346F">
              <w:rPr>
                <w:rFonts w:ascii="Times New Roman" w:eastAsia="Times New Roman" w:hAnsi="Times New Roman" w:cs="Times New Roman"/>
                <w:i/>
                <w:sz w:val="20"/>
                <w:szCs w:val="20"/>
              </w:rPr>
              <w:t>n.a.</w:t>
            </w:r>
          </w:p>
        </w:tc>
      </w:tr>
      <w:tr w:rsidR="00E035CC" w:rsidRPr="00222F69" w:rsidTr="00E035CC">
        <w:trPr>
          <w:cnfStyle w:val="000000100000"/>
          <w:trHeight w:val="300"/>
          <w:jc w:val="center"/>
        </w:trPr>
        <w:tc>
          <w:tcPr>
            <w:cnfStyle w:val="001000000000"/>
            <w:tcW w:w="2753" w:type="dxa"/>
            <w:hideMark/>
          </w:tcPr>
          <w:p w:rsidR="00E035CC" w:rsidRPr="00222F69" w:rsidRDefault="00E035CC" w:rsidP="00275F1A">
            <w:pPr>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Grynasis pelnas</w:t>
            </w:r>
          </w:p>
        </w:tc>
        <w:tc>
          <w:tcPr>
            <w:tcW w:w="1134" w:type="dxa"/>
            <w:noWrap/>
            <w:vAlign w:val="center"/>
            <w:hideMark/>
          </w:tcPr>
          <w:p w:rsidR="00E035CC" w:rsidRPr="00222F69" w:rsidRDefault="00E035CC" w:rsidP="00275F1A">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5,327,278</w:t>
            </w:r>
          </w:p>
        </w:tc>
        <w:tc>
          <w:tcPr>
            <w:tcW w:w="1134" w:type="dxa"/>
            <w:noWrap/>
            <w:vAlign w:val="center"/>
            <w:hideMark/>
          </w:tcPr>
          <w:p w:rsidR="00E035CC" w:rsidRPr="00222F69" w:rsidRDefault="00E035CC" w:rsidP="00275F1A">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3,195,314</w:t>
            </w:r>
          </w:p>
        </w:tc>
        <w:tc>
          <w:tcPr>
            <w:tcW w:w="1115" w:type="dxa"/>
            <w:noWrap/>
            <w:vAlign w:val="center"/>
            <w:hideMark/>
          </w:tcPr>
          <w:p w:rsidR="00E035CC" w:rsidRPr="00EB346F" w:rsidRDefault="00E035CC" w:rsidP="00275F1A">
            <w:pPr>
              <w:jc w:val="center"/>
              <w:cnfStyle w:val="000000100000"/>
              <w:rPr>
                <w:rFonts w:ascii="Times New Roman" w:eastAsia="Times New Roman" w:hAnsi="Times New Roman" w:cs="Times New Roman"/>
                <w:i/>
                <w:sz w:val="20"/>
                <w:szCs w:val="20"/>
              </w:rPr>
            </w:pPr>
            <w:r w:rsidRPr="00EB346F">
              <w:rPr>
                <w:rFonts w:ascii="Times New Roman" w:eastAsia="Times New Roman" w:hAnsi="Times New Roman" w:cs="Times New Roman"/>
                <w:i/>
                <w:sz w:val="20"/>
                <w:szCs w:val="20"/>
              </w:rPr>
              <w:t>-40.02</w:t>
            </w:r>
          </w:p>
        </w:tc>
        <w:tc>
          <w:tcPr>
            <w:tcW w:w="1323" w:type="dxa"/>
            <w:noWrap/>
            <w:vAlign w:val="center"/>
            <w:hideMark/>
          </w:tcPr>
          <w:p w:rsidR="00E035CC" w:rsidRPr="00222F69" w:rsidRDefault="00E035CC" w:rsidP="00275F1A">
            <w:pPr>
              <w:jc w:val="center"/>
              <w:cnfStyle w:val="000000100000"/>
              <w:rPr>
                <w:rFonts w:ascii="Times New Roman" w:eastAsia="Times New Roman" w:hAnsi="Times New Roman" w:cs="Times New Roman"/>
                <w:sz w:val="20"/>
                <w:szCs w:val="20"/>
              </w:rPr>
            </w:pPr>
            <w:r w:rsidRPr="00222F69">
              <w:rPr>
                <w:rFonts w:ascii="Times New Roman" w:eastAsia="Times New Roman" w:hAnsi="Times New Roman" w:cs="Times New Roman"/>
                <w:sz w:val="20"/>
                <w:szCs w:val="20"/>
              </w:rPr>
              <w:t>9,396,877</w:t>
            </w:r>
          </w:p>
        </w:tc>
        <w:tc>
          <w:tcPr>
            <w:tcW w:w="1165" w:type="dxa"/>
            <w:noWrap/>
            <w:vAlign w:val="center"/>
            <w:hideMark/>
          </w:tcPr>
          <w:p w:rsidR="00E035CC" w:rsidRPr="00EB346F" w:rsidRDefault="00E035CC" w:rsidP="00275F1A">
            <w:pPr>
              <w:jc w:val="center"/>
              <w:cnfStyle w:val="000000100000"/>
              <w:rPr>
                <w:rFonts w:ascii="Times New Roman" w:eastAsia="Times New Roman" w:hAnsi="Times New Roman" w:cs="Times New Roman"/>
                <w:i/>
                <w:sz w:val="20"/>
                <w:szCs w:val="20"/>
              </w:rPr>
            </w:pPr>
            <w:r w:rsidRPr="00EB346F">
              <w:rPr>
                <w:rFonts w:ascii="Times New Roman" w:eastAsia="Times New Roman" w:hAnsi="Times New Roman" w:cs="Times New Roman"/>
                <w:i/>
                <w:sz w:val="20"/>
                <w:szCs w:val="20"/>
              </w:rPr>
              <w:t>194.08</w:t>
            </w:r>
          </w:p>
        </w:tc>
      </w:tr>
    </w:tbl>
    <w:p w:rsidR="00887D37" w:rsidRDefault="00887D37" w:rsidP="006014D3">
      <w:pPr>
        <w:rPr>
          <w:rFonts w:ascii="Times New Roman" w:hAnsi="Times New Roman" w:cs="Times New Roman"/>
          <w:sz w:val="24"/>
          <w:szCs w:val="24"/>
          <w:lang w:val="lt-LT"/>
        </w:rPr>
      </w:pPr>
    </w:p>
    <w:p w:rsidR="00E035CC" w:rsidRDefault="00E035CC" w:rsidP="00E035CC">
      <w:pPr>
        <w:spacing w:after="0"/>
        <w:contextualSpacing/>
        <w:jc w:val="center"/>
        <w:rPr>
          <w:rFonts w:ascii="Times New Roman" w:hAnsi="Times New Roman" w:cs="Times New Roman"/>
          <w:b/>
          <w:szCs w:val="24"/>
        </w:rPr>
      </w:pPr>
      <w:r>
        <w:rPr>
          <w:rFonts w:ascii="Times New Roman" w:hAnsi="Times New Roman" w:cs="Times New Roman"/>
          <w:szCs w:val="24"/>
        </w:rPr>
        <w:t>12</w:t>
      </w:r>
      <w:r w:rsidRPr="004D5C99">
        <w:rPr>
          <w:rFonts w:ascii="Times New Roman" w:hAnsi="Times New Roman" w:cs="Times New Roman"/>
          <w:szCs w:val="24"/>
        </w:rPr>
        <w:t xml:space="preserve"> lentelė.</w:t>
      </w:r>
      <w:r w:rsidRPr="004D5C99">
        <w:rPr>
          <w:rFonts w:ascii="Times New Roman" w:hAnsi="Times New Roman" w:cs="Times New Roman"/>
          <w:b/>
          <w:szCs w:val="24"/>
        </w:rPr>
        <w:t xml:space="preserve"> </w:t>
      </w:r>
      <w:r>
        <w:rPr>
          <w:rFonts w:ascii="Times New Roman" w:hAnsi="Times New Roman" w:cs="Times New Roman"/>
          <w:b/>
          <w:szCs w:val="24"/>
        </w:rPr>
        <w:t>UAB “Autoverslas” pelno (nuostolio) ataskaitos straipsnių pokyčiai</w:t>
      </w:r>
    </w:p>
    <w:tbl>
      <w:tblPr>
        <w:tblStyle w:val="LightGrid-Accent6"/>
        <w:tblW w:w="8577" w:type="dxa"/>
        <w:jc w:val="center"/>
        <w:tblLook w:val="04A0"/>
      </w:tblPr>
      <w:tblGrid>
        <w:gridCol w:w="3085"/>
        <w:gridCol w:w="1116"/>
        <w:gridCol w:w="1028"/>
        <w:gridCol w:w="1098"/>
        <w:gridCol w:w="1152"/>
        <w:gridCol w:w="1098"/>
      </w:tblGrid>
      <w:tr w:rsidR="00E035CC" w:rsidRPr="003C2D7A" w:rsidTr="00E6354F">
        <w:trPr>
          <w:cnfStyle w:val="100000000000"/>
          <w:trHeight w:val="300"/>
          <w:jc w:val="center"/>
        </w:trPr>
        <w:tc>
          <w:tcPr>
            <w:cnfStyle w:val="001000000000"/>
            <w:tcW w:w="8577" w:type="dxa"/>
            <w:gridSpan w:val="6"/>
            <w:noWrap/>
            <w:hideMark/>
          </w:tcPr>
          <w:p w:rsidR="00E035CC" w:rsidRPr="003C2D7A" w:rsidRDefault="00E035CC" w:rsidP="00275F1A">
            <w:pPr>
              <w:jc w:val="center"/>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UAB “AUTOVERSLAS” PELNO (NUOSTOLIO) ATASKAITOS STRAIPSNIŲ POKYČIAI</w:t>
            </w:r>
          </w:p>
        </w:tc>
      </w:tr>
      <w:tr w:rsidR="00E6354F" w:rsidRPr="003C2D7A" w:rsidTr="00E6354F">
        <w:trPr>
          <w:cnfStyle w:val="000000100000"/>
          <w:trHeight w:val="300"/>
          <w:jc w:val="center"/>
        </w:trPr>
        <w:tc>
          <w:tcPr>
            <w:cnfStyle w:val="001000000000"/>
            <w:tcW w:w="3085" w:type="dxa"/>
            <w:noWrap/>
            <w:hideMark/>
          </w:tcPr>
          <w:p w:rsidR="00E6354F" w:rsidRPr="003C2D7A" w:rsidRDefault="00E6354F" w:rsidP="00275F1A">
            <w:pPr>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 </w:t>
            </w:r>
          </w:p>
        </w:tc>
        <w:tc>
          <w:tcPr>
            <w:tcW w:w="1116" w:type="dxa"/>
            <w:noWrap/>
            <w:vAlign w:val="center"/>
            <w:hideMark/>
          </w:tcPr>
          <w:p w:rsidR="00E6354F" w:rsidRPr="00384ABD" w:rsidRDefault="00E6354F" w:rsidP="004633A4">
            <w:pPr>
              <w:jc w:val="center"/>
              <w:cnfStyle w:val="000000100000"/>
              <w:rPr>
                <w:rFonts w:ascii="Times New Roman" w:eastAsia="Times New Roman" w:hAnsi="Times New Roman" w:cs="Times New Roman"/>
                <w:i/>
                <w:iCs/>
                <w:sz w:val="20"/>
                <w:szCs w:val="20"/>
              </w:rPr>
            </w:pPr>
            <w:r w:rsidRPr="00384ABD">
              <w:rPr>
                <w:rFonts w:ascii="Times New Roman" w:eastAsia="Times New Roman" w:hAnsi="Times New Roman" w:cs="Times New Roman"/>
                <w:i/>
                <w:iCs/>
                <w:sz w:val="20"/>
                <w:szCs w:val="20"/>
              </w:rPr>
              <w:t>2008</w:t>
            </w:r>
          </w:p>
        </w:tc>
        <w:tc>
          <w:tcPr>
            <w:tcW w:w="1028" w:type="dxa"/>
            <w:noWrap/>
            <w:vAlign w:val="center"/>
            <w:hideMark/>
          </w:tcPr>
          <w:p w:rsidR="00E6354F" w:rsidRPr="00384ABD" w:rsidRDefault="00E6354F" w:rsidP="004633A4">
            <w:pPr>
              <w:jc w:val="center"/>
              <w:cnfStyle w:val="000000100000"/>
              <w:rPr>
                <w:rFonts w:ascii="Times New Roman" w:eastAsia="Times New Roman" w:hAnsi="Times New Roman" w:cs="Times New Roman"/>
                <w:i/>
                <w:iCs/>
                <w:sz w:val="20"/>
                <w:szCs w:val="20"/>
              </w:rPr>
            </w:pPr>
            <w:r w:rsidRPr="00384ABD">
              <w:rPr>
                <w:rFonts w:ascii="Times New Roman" w:eastAsia="Times New Roman" w:hAnsi="Times New Roman" w:cs="Times New Roman"/>
                <w:i/>
                <w:iCs/>
                <w:sz w:val="20"/>
                <w:szCs w:val="20"/>
              </w:rPr>
              <w:t>2009</w:t>
            </w:r>
          </w:p>
        </w:tc>
        <w:tc>
          <w:tcPr>
            <w:tcW w:w="1098" w:type="dxa"/>
            <w:noWrap/>
            <w:vAlign w:val="center"/>
            <w:hideMark/>
          </w:tcPr>
          <w:p w:rsidR="00E6354F" w:rsidRPr="00384ABD" w:rsidRDefault="00E6354F" w:rsidP="004633A4">
            <w:pPr>
              <w:jc w:val="center"/>
              <w:cnfStyle w:val="000000100000"/>
              <w:rPr>
                <w:rFonts w:ascii="Times New Roman" w:eastAsia="Times New Roman" w:hAnsi="Times New Roman" w:cs="Times New Roman"/>
                <w:i/>
                <w:iCs/>
                <w:sz w:val="20"/>
                <w:szCs w:val="20"/>
              </w:rPr>
            </w:pPr>
            <w:r w:rsidRPr="00384ABD">
              <w:rPr>
                <w:rFonts w:ascii="Times New Roman" w:eastAsia="Times New Roman" w:hAnsi="Times New Roman" w:cs="Times New Roman"/>
                <w:i/>
                <w:iCs/>
                <w:sz w:val="20"/>
                <w:szCs w:val="20"/>
              </w:rPr>
              <w:t xml:space="preserve">Pokytis, </w:t>
            </w:r>
            <w:r>
              <w:rPr>
                <w:rFonts w:ascii="Times New Roman" w:eastAsia="Times New Roman" w:hAnsi="Times New Roman" w:cs="Times New Roman"/>
                <w:i/>
                <w:iCs/>
                <w:sz w:val="20"/>
                <w:szCs w:val="20"/>
              </w:rPr>
              <w:t>proc.</w:t>
            </w:r>
          </w:p>
        </w:tc>
        <w:tc>
          <w:tcPr>
            <w:tcW w:w="1152" w:type="dxa"/>
            <w:noWrap/>
            <w:vAlign w:val="center"/>
            <w:hideMark/>
          </w:tcPr>
          <w:p w:rsidR="00E6354F" w:rsidRPr="00384ABD" w:rsidRDefault="00E6354F" w:rsidP="004633A4">
            <w:pPr>
              <w:jc w:val="center"/>
              <w:cnfStyle w:val="000000100000"/>
              <w:rPr>
                <w:rFonts w:ascii="Times New Roman" w:eastAsia="Times New Roman" w:hAnsi="Times New Roman" w:cs="Times New Roman"/>
                <w:i/>
                <w:iCs/>
                <w:sz w:val="20"/>
                <w:szCs w:val="20"/>
              </w:rPr>
            </w:pPr>
            <w:r w:rsidRPr="00384ABD">
              <w:rPr>
                <w:rFonts w:ascii="Times New Roman" w:eastAsia="Times New Roman" w:hAnsi="Times New Roman" w:cs="Times New Roman"/>
                <w:i/>
                <w:iCs/>
                <w:sz w:val="20"/>
                <w:szCs w:val="20"/>
              </w:rPr>
              <w:t>2010</w:t>
            </w:r>
          </w:p>
        </w:tc>
        <w:tc>
          <w:tcPr>
            <w:tcW w:w="1098" w:type="dxa"/>
            <w:noWrap/>
            <w:vAlign w:val="center"/>
            <w:hideMark/>
          </w:tcPr>
          <w:p w:rsidR="00E6354F" w:rsidRPr="00384ABD" w:rsidRDefault="00E6354F" w:rsidP="004633A4">
            <w:pPr>
              <w:jc w:val="center"/>
              <w:cnfStyle w:val="000000100000"/>
              <w:rPr>
                <w:rFonts w:ascii="Times New Roman" w:eastAsia="Times New Roman" w:hAnsi="Times New Roman" w:cs="Times New Roman"/>
                <w:i/>
                <w:iCs/>
                <w:sz w:val="20"/>
                <w:szCs w:val="20"/>
              </w:rPr>
            </w:pPr>
            <w:r w:rsidRPr="00384ABD">
              <w:rPr>
                <w:rFonts w:ascii="Times New Roman" w:eastAsia="Times New Roman" w:hAnsi="Times New Roman" w:cs="Times New Roman"/>
                <w:i/>
                <w:iCs/>
                <w:sz w:val="20"/>
                <w:szCs w:val="20"/>
              </w:rPr>
              <w:t xml:space="preserve">Pokytis, </w:t>
            </w:r>
            <w:r>
              <w:rPr>
                <w:rFonts w:ascii="Times New Roman" w:eastAsia="Times New Roman" w:hAnsi="Times New Roman" w:cs="Times New Roman"/>
                <w:i/>
                <w:iCs/>
                <w:sz w:val="20"/>
                <w:szCs w:val="20"/>
              </w:rPr>
              <w:t>proc.</w:t>
            </w:r>
          </w:p>
        </w:tc>
      </w:tr>
      <w:tr w:rsidR="00E035CC" w:rsidRPr="003C2D7A" w:rsidTr="00E6354F">
        <w:trPr>
          <w:cnfStyle w:val="000000010000"/>
          <w:trHeight w:val="300"/>
          <w:jc w:val="center"/>
        </w:trPr>
        <w:tc>
          <w:tcPr>
            <w:cnfStyle w:val="001000000000"/>
            <w:tcW w:w="3085" w:type="dxa"/>
            <w:hideMark/>
          </w:tcPr>
          <w:p w:rsidR="00E035CC" w:rsidRPr="003C2D7A" w:rsidRDefault="00E035CC" w:rsidP="00275F1A">
            <w:pPr>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Veiklos pajamos</w:t>
            </w:r>
          </w:p>
        </w:tc>
        <w:tc>
          <w:tcPr>
            <w:tcW w:w="1116" w:type="dxa"/>
            <w:noWrap/>
            <w:vAlign w:val="center"/>
            <w:hideMark/>
          </w:tcPr>
          <w:p w:rsidR="00E035CC" w:rsidRPr="003C2D7A" w:rsidRDefault="00E035CC" w:rsidP="00275F1A">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11,355,136</w:t>
            </w:r>
          </w:p>
        </w:tc>
        <w:tc>
          <w:tcPr>
            <w:tcW w:w="1028" w:type="dxa"/>
            <w:noWrap/>
            <w:vAlign w:val="center"/>
            <w:hideMark/>
          </w:tcPr>
          <w:p w:rsidR="00E035CC" w:rsidRPr="003C2D7A" w:rsidRDefault="00E035CC" w:rsidP="00275F1A">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9,753,338</w:t>
            </w:r>
          </w:p>
        </w:tc>
        <w:tc>
          <w:tcPr>
            <w:tcW w:w="1098" w:type="dxa"/>
            <w:noWrap/>
            <w:vAlign w:val="center"/>
            <w:hideMark/>
          </w:tcPr>
          <w:p w:rsidR="00E035CC" w:rsidRPr="00EB346F" w:rsidRDefault="00E035CC" w:rsidP="00275F1A">
            <w:pPr>
              <w:jc w:val="center"/>
              <w:cnfStyle w:val="000000010000"/>
              <w:rPr>
                <w:rFonts w:ascii="Times New Roman" w:eastAsia="Times New Roman" w:hAnsi="Times New Roman" w:cs="Times New Roman"/>
                <w:i/>
                <w:sz w:val="20"/>
                <w:szCs w:val="20"/>
              </w:rPr>
            </w:pPr>
            <w:r w:rsidRPr="00EB346F">
              <w:rPr>
                <w:rFonts w:ascii="Times New Roman" w:eastAsia="Times New Roman" w:hAnsi="Times New Roman" w:cs="Times New Roman"/>
                <w:i/>
                <w:sz w:val="20"/>
                <w:szCs w:val="20"/>
              </w:rPr>
              <w:t>-14.11</w:t>
            </w:r>
          </w:p>
        </w:tc>
        <w:tc>
          <w:tcPr>
            <w:tcW w:w="1152" w:type="dxa"/>
            <w:noWrap/>
            <w:vAlign w:val="center"/>
            <w:hideMark/>
          </w:tcPr>
          <w:p w:rsidR="00E035CC" w:rsidRPr="003C2D7A" w:rsidRDefault="00E035CC" w:rsidP="00275F1A">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12,798,452</w:t>
            </w:r>
          </w:p>
        </w:tc>
        <w:tc>
          <w:tcPr>
            <w:tcW w:w="1098" w:type="dxa"/>
            <w:noWrap/>
            <w:vAlign w:val="center"/>
            <w:hideMark/>
          </w:tcPr>
          <w:p w:rsidR="00E035CC" w:rsidRPr="00EB346F" w:rsidRDefault="00E035CC" w:rsidP="00275F1A">
            <w:pPr>
              <w:jc w:val="center"/>
              <w:cnfStyle w:val="000000010000"/>
              <w:rPr>
                <w:rFonts w:ascii="Times New Roman" w:eastAsia="Times New Roman" w:hAnsi="Times New Roman" w:cs="Times New Roman"/>
                <w:i/>
                <w:sz w:val="20"/>
                <w:szCs w:val="20"/>
              </w:rPr>
            </w:pPr>
            <w:r w:rsidRPr="00EB346F">
              <w:rPr>
                <w:rFonts w:ascii="Times New Roman" w:eastAsia="Times New Roman" w:hAnsi="Times New Roman" w:cs="Times New Roman"/>
                <w:i/>
                <w:sz w:val="20"/>
                <w:szCs w:val="20"/>
              </w:rPr>
              <w:t>31.22</w:t>
            </w:r>
          </w:p>
        </w:tc>
      </w:tr>
      <w:tr w:rsidR="00E035CC" w:rsidRPr="003C2D7A" w:rsidTr="00E6354F">
        <w:trPr>
          <w:cnfStyle w:val="000000100000"/>
          <w:trHeight w:val="300"/>
          <w:jc w:val="center"/>
        </w:trPr>
        <w:tc>
          <w:tcPr>
            <w:cnfStyle w:val="001000000000"/>
            <w:tcW w:w="3085" w:type="dxa"/>
            <w:hideMark/>
          </w:tcPr>
          <w:p w:rsidR="00E035CC" w:rsidRPr="003C2D7A" w:rsidRDefault="00E035CC" w:rsidP="00275F1A">
            <w:pPr>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Pardavimo pajamos</w:t>
            </w:r>
          </w:p>
        </w:tc>
        <w:tc>
          <w:tcPr>
            <w:tcW w:w="1116" w:type="dxa"/>
            <w:noWrap/>
            <w:vAlign w:val="center"/>
            <w:hideMark/>
          </w:tcPr>
          <w:p w:rsidR="00E035CC" w:rsidRPr="003C2D7A" w:rsidRDefault="00E035CC" w:rsidP="00275F1A">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11,224,366</w:t>
            </w:r>
          </w:p>
        </w:tc>
        <w:tc>
          <w:tcPr>
            <w:tcW w:w="1028" w:type="dxa"/>
            <w:noWrap/>
            <w:vAlign w:val="center"/>
            <w:hideMark/>
          </w:tcPr>
          <w:p w:rsidR="00E035CC" w:rsidRPr="003C2D7A" w:rsidRDefault="00E035CC" w:rsidP="00275F1A">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9,712,182</w:t>
            </w:r>
          </w:p>
        </w:tc>
        <w:tc>
          <w:tcPr>
            <w:tcW w:w="1098" w:type="dxa"/>
            <w:noWrap/>
            <w:vAlign w:val="center"/>
            <w:hideMark/>
          </w:tcPr>
          <w:p w:rsidR="00E035CC" w:rsidRPr="00EB346F" w:rsidRDefault="00E035CC" w:rsidP="00275F1A">
            <w:pPr>
              <w:jc w:val="center"/>
              <w:cnfStyle w:val="000000100000"/>
              <w:rPr>
                <w:rFonts w:ascii="Times New Roman" w:eastAsia="Times New Roman" w:hAnsi="Times New Roman" w:cs="Times New Roman"/>
                <w:i/>
                <w:sz w:val="20"/>
                <w:szCs w:val="20"/>
              </w:rPr>
            </w:pPr>
            <w:r w:rsidRPr="00EB346F">
              <w:rPr>
                <w:rFonts w:ascii="Times New Roman" w:eastAsia="Times New Roman" w:hAnsi="Times New Roman" w:cs="Times New Roman"/>
                <w:i/>
                <w:sz w:val="20"/>
                <w:szCs w:val="20"/>
              </w:rPr>
              <w:t>-13.47</w:t>
            </w:r>
          </w:p>
        </w:tc>
        <w:tc>
          <w:tcPr>
            <w:tcW w:w="1152" w:type="dxa"/>
            <w:noWrap/>
            <w:vAlign w:val="center"/>
            <w:hideMark/>
          </w:tcPr>
          <w:p w:rsidR="00E035CC" w:rsidRPr="003C2D7A" w:rsidRDefault="00E035CC" w:rsidP="00275F1A">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12,763,484</w:t>
            </w:r>
          </w:p>
        </w:tc>
        <w:tc>
          <w:tcPr>
            <w:tcW w:w="1098" w:type="dxa"/>
            <w:noWrap/>
            <w:vAlign w:val="center"/>
            <w:hideMark/>
          </w:tcPr>
          <w:p w:rsidR="00E035CC" w:rsidRPr="00EB346F" w:rsidRDefault="00E035CC" w:rsidP="00275F1A">
            <w:pPr>
              <w:jc w:val="center"/>
              <w:cnfStyle w:val="000000100000"/>
              <w:rPr>
                <w:rFonts w:ascii="Times New Roman" w:eastAsia="Times New Roman" w:hAnsi="Times New Roman" w:cs="Times New Roman"/>
                <w:i/>
                <w:sz w:val="20"/>
                <w:szCs w:val="20"/>
              </w:rPr>
            </w:pPr>
            <w:r w:rsidRPr="00EB346F">
              <w:rPr>
                <w:rFonts w:ascii="Times New Roman" w:eastAsia="Times New Roman" w:hAnsi="Times New Roman" w:cs="Times New Roman"/>
                <w:i/>
                <w:sz w:val="20"/>
                <w:szCs w:val="20"/>
              </w:rPr>
              <w:t>31.42</w:t>
            </w:r>
          </w:p>
        </w:tc>
      </w:tr>
      <w:tr w:rsidR="00E035CC" w:rsidRPr="003C2D7A" w:rsidTr="00E6354F">
        <w:trPr>
          <w:cnfStyle w:val="000000010000"/>
          <w:trHeight w:val="300"/>
          <w:jc w:val="center"/>
        </w:trPr>
        <w:tc>
          <w:tcPr>
            <w:cnfStyle w:val="001000000000"/>
            <w:tcW w:w="3085" w:type="dxa"/>
            <w:hideMark/>
          </w:tcPr>
          <w:p w:rsidR="00E035CC" w:rsidRPr="003C2D7A" w:rsidRDefault="00E035CC" w:rsidP="00275F1A">
            <w:pPr>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Pardavimo savikaina</w:t>
            </w:r>
          </w:p>
        </w:tc>
        <w:tc>
          <w:tcPr>
            <w:tcW w:w="1116" w:type="dxa"/>
            <w:noWrap/>
            <w:vAlign w:val="center"/>
            <w:hideMark/>
          </w:tcPr>
          <w:p w:rsidR="00E035CC" w:rsidRPr="003C2D7A" w:rsidRDefault="00E035CC" w:rsidP="00275F1A">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7,632,469</w:t>
            </w:r>
          </w:p>
        </w:tc>
        <w:tc>
          <w:tcPr>
            <w:tcW w:w="1028" w:type="dxa"/>
            <w:noWrap/>
            <w:vAlign w:val="center"/>
            <w:hideMark/>
          </w:tcPr>
          <w:p w:rsidR="00E035CC" w:rsidRPr="003C2D7A" w:rsidRDefault="00E035CC" w:rsidP="00275F1A">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6,516,807</w:t>
            </w:r>
          </w:p>
        </w:tc>
        <w:tc>
          <w:tcPr>
            <w:tcW w:w="1098" w:type="dxa"/>
            <w:noWrap/>
            <w:vAlign w:val="center"/>
            <w:hideMark/>
          </w:tcPr>
          <w:p w:rsidR="00E035CC" w:rsidRPr="00EB346F" w:rsidRDefault="00E035CC" w:rsidP="00275F1A">
            <w:pPr>
              <w:jc w:val="center"/>
              <w:cnfStyle w:val="000000010000"/>
              <w:rPr>
                <w:rFonts w:ascii="Times New Roman" w:eastAsia="Times New Roman" w:hAnsi="Times New Roman" w:cs="Times New Roman"/>
                <w:i/>
                <w:sz w:val="20"/>
                <w:szCs w:val="20"/>
              </w:rPr>
            </w:pPr>
            <w:r w:rsidRPr="00EB346F">
              <w:rPr>
                <w:rFonts w:ascii="Times New Roman" w:eastAsia="Times New Roman" w:hAnsi="Times New Roman" w:cs="Times New Roman"/>
                <w:i/>
                <w:sz w:val="20"/>
                <w:szCs w:val="20"/>
              </w:rPr>
              <w:t>-14.62</w:t>
            </w:r>
          </w:p>
        </w:tc>
        <w:tc>
          <w:tcPr>
            <w:tcW w:w="1152" w:type="dxa"/>
            <w:noWrap/>
            <w:vAlign w:val="center"/>
            <w:hideMark/>
          </w:tcPr>
          <w:p w:rsidR="00E035CC" w:rsidRPr="003C2D7A" w:rsidRDefault="00E035CC" w:rsidP="00275F1A">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9,225,805</w:t>
            </w:r>
          </w:p>
        </w:tc>
        <w:tc>
          <w:tcPr>
            <w:tcW w:w="1098" w:type="dxa"/>
            <w:noWrap/>
            <w:vAlign w:val="center"/>
            <w:hideMark/>
          </w:tcPr>
          <w:p w:rsidR="00E035CC" w:rsidRPr="00EB346F" w:rsidRDefault="00E035CC" w:rsidP="00275F1A">
            <w:pPr>
              <w:jc w:val="center"/>
              <w:cnfStyle w:val="000000010000"/>
              <w:rPr>
                <w:rFonts w:ascii="Times New Roman" w:eastAsia="Times New Roman" w:hAnsi="Times New Roman" w:cs="Times New Roman"/>
                <w:i/>
                <w:sz w:val="20"/>
                <w:szCs w:val="20"/>
              </w:rPr>
            </w:pPr>
            <w:r w:rsidRPr="00EB346F">
              <w:rPr>
                <w:rFonts w:ascii="Times New Roman" w:eastAsia="Times New Roman" w:hAnsi="Times New Roman" w:cs="Times New Roman"/>
                <w:i/>
                <w:sz w:val="20"/>
                <w:szCs w:val="20"/>
              </w:rPr>
              <w:t>41.57</w:t>
            </w:r>
          </w:p>
        </w:tc>
      </w:tr>
      <w:tr w:rsidR="00E035CC" w:rsidRPr="003C2D7A" w:rsidTr="00E6354F">
        <w:trPr>
          <w:cnfStyle w:val="000000100000"/>
          <w:trHeight w:val="300"/>
          <w:jc w:val="center"/>
        </w:trPr>
        <w:tc>
          <w:tcPr>
            <w:cnfStyle w:val="001000000000"/>
            <w:tcW w:w="3085" w:type="dxa"/>
            <w:hideMark/>
          </w:tcPr>
          <w:p w:rsidR="00E035CC" w:rsidRPr="003C2D7A" w:rsidRDefault="00E035CC" w:rsidP="00275F1A">
            <w:pPr>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Bendrasis pelnas</w:t>
            </w:r>
          </w:p>
        </w:tc>
        <w:tc>
          <w:tcPr>
            <w:tcW w:w="1116" w:type="dxa"/>
            <w:noWrap/>
            <w:vAlign w:val="center"/>
            <w:hideMark/>
          </w:tcPr>
          <w:p w:rsidR="00E035CC" w:rsidRPr="003C2D7A" w:rsidRDefault="00E035CC" w:rsidP="00275F1A">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3,722,667</w:t>
            </w:r>
          </w:p>
        </w:tc>
        <w:tc>
          <w:tcPr>
            <w:tcW w:w="1028" w:type="dxa"/>
            <w:noWrap/>
            <w:vAlign w:val="center"/>
            <w:hideMark/>
          </w:tcPr>
          <w:p w:rsidR="00E035CC" w:rsidRPr="003C2D7A" w:rsidRDefault="00E035CC" w:rsidP="00275F1A">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3,236,532</w:t>
            </w:r>
          </w:p>
        </w:tc>
        <w:tc>
          <w:tcPr>
            <w:tcW w:w="1098" w:type="dxa"/>
            <w:noWrap/>
            <w:vAlign w:val="center"/>
            <w:hideMark/>
          </w:tcPr>
          <w:p w:rsidR="00E035CC" w:rsidRPr="00EB346F" w:rsidRDefault="00E035CC" w:rsidP="00275F1A">
            <w:pPr>
              <w:jc w:val="center"/>
              <w:cnfStyle w:val="000000100000"/>
              <w:rPr>
                <w:rFonts w:ascii="Times New Roman" w:eastAsia="Times New Roman" w:hAnsi="Times New Roman" w:cs="Times New Roman"/>
                <w:i/>
                <w:sz w:val="20"/>
                <w:szCs w:val="20"/>
              </w:rPr>
            </w:pPr>
            <w:r w:rsidRPr="00EB346F">
              <w:rPr>
                <w:rFonts w:ascii="Times New Roman" w:eastAsia="Times New Roman" w:hAnsi="Times New Roman" w:cs="Times New Roman"/>
                <w:i/>
                <w:sz w:val="20"/>
                <w:szCs w:val="20"/>
              </w:rPr>
              <w:t>-13.06</w:t>
            </w:r>
          </w:p>
        </w:tc>
        <w:tc>
          <w:tcPr>
            <w:tcW w:w="1152" w:type="dxa"/>
            <w:noWrap/>
            <w:vAlign w:val="center"/>
            <w:hideMark/>
          </w:tcPr>
          <w:p w:rsidR="00E035CC" w:rsidRPr="003C2D7A" w:rsidRDefault="00E035CC" w:rsidP="00275F1A">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3,572,647</w:t>
            </w:r>
          </w:p>
        </w:tc>
        <w:tc>
          <w:tcPr>
            <w:tcW w:w="1098" w:type="dxa"/>
            <w:noWrap/>
            <w:vAlign w:val="center"/>
            <w:hideMark/>
          </w:tcPr>
          <w:p w:rsidR="00E035CC" w:rsidRPr="00EB346F" w:rsidRDefault="00E035CC" w:rsidP="00275F1A">
            <w:pPr>
              <w:jc w:val="center"/>
              <w:cnfStyle w:val="000000100000"/>
              <w:rPr>
                <w:rFonts w:ascii="Times New Roman" w:eastAsia="Times New Roman" w:hAnsi="Times New Roman" w:cs="Times New Roman"/>
                <w:i/>
                <w:sz w:val="20"/>
                <w:szCs w:val="20"/>
              </w:rPr>
            </w:pPr>
            <w:r w:rsidRPr="00EB346F">
              <w:rPr>
                <w:rFonts w:ascii="Times New Roman" w:eastAsia="Times New Roman" w:hAnsi="Times New Roman" w:cs="Times New Roman"/>
                <w:i/>
                <w:sz w:val="20"/>
                <w:szCs w:val="20"/>
              </w:rPr>
              <w:t>10.39</w:t>
            </w:r>
          </w:p>
        </w:tc>
      </w:tr>
      <w:tr w:rsidR="00E035CC" w:rsidRPr="003C2D7A" w:rsidTr="00E6354F">
        <w:trPr>
          <w:cnfStyle w:val="000000010000"/>
          <w:trHeight w:val="300"/>
          <w:jc w:val="center"/>
        </w:trPr>
        <w:tc>
          <w:tcPr>
            <w:cnfStyle w:val="001000000000"/>
            <w:tcW w:w="3085" w:type="dxa"/>
            <w:hideMark/>
          </w:tcPr>
          <w:p w:rsidR="00E035CC" w:rsidRPr="003C2D7A" w:rsidRDefault="00E035CC" w:rsidP="00275F1A">
            <w:pPr>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Veiklos sąnaudos</w:t>
            </w:r>
          </w:p>
        </w:tc>
        <w:tc>
          <w:tcPr>
            <w:tcW w:w="1116" w:type="dxa"/>
            <w:noWrap/>
            <w:vAlign w:val="center"/>
            <w:hideMark/>
          </w:tcPr>
          <w:p w:rsidR="00E035CC" w:rsidRPr="003C2D7A" w:rsidRDefault="00E035CC" w:rsidP="00275F1A">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3,372,530</w:t>
            </w:r>
          </w:p>
        </w:tc>
        <w:tc>
          <w:tcPr>
            <w:tcW w:w="1028" w:type="dxa"/>
            <w:noWrap/>
            <w:vAlign w:val="center"/>
            <w:hideMark/>
          </w:tcPr>
          <w:p w:rsidR="00E035CC" w:rsidRPr="003C2D7A" w:rsidRDefault="00E035CC" w:rsidP="00275F1A">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2,561,157</w:t>
            </w:r>
          </w:p>
        </w:tc>
        <w:tc>
          <w:tcPr>
            <w:tcW w:w="1098" w:type="dxa"/>
            <w:noWrap/>
            <w:vAlign w:val="center"/>
            <w:hideMark/>
          </w:tcPr>
          <w:p w:rsidR="00E035CC" w:rsidRPr="00EB346F" w:rsidRDefault="00E035CC" w:rsidP="00275F1A">
            <w:pPr>
              <w:jc w:val="center"/>
              <w:cnfStyle w:val="000000010000"/>
              <w:rPr>
                <w:rFonts w:ascii="Times New Roman" w:eastAsia="Times New Roman" w:hAnsi="Times New Roman" w:cs="Times New Roman"/>
                <w:i/>
                <w:sz w:val="20"/>
                <w:szCs w:val="20"/>
              </w:rPr>
            </w:pPr>
            <w:r w:rsidRPr="00EB346F">
              <w:rPr>
                <w:rFonts w:ascii="Times New Roman" w:eastAsia="Times New Roman" w:hAnsi="Times New Roman" w:cs="Times New Roman"/>
                <w:i/>
                <w:sz w:val="20"/>
                <w:szCs w:val="20"/>
              </w:rPr>
              <w:t>-24.06</w:t>
            </w:r>
          </w:p>
        </w:tc>
        <w:tc>
          <w:tcPr>
            <w:tcW w:w="1152" w:type="dxa"/>
            <w:noWrap/>
            <w:vAlign w:val="center"/>
            <w:hideMark/>
          </w:tcPr>
          <w:p w:rsidR="00E035CC" w:rsidRPr="003C2D7A" w:rsidRDefault="00E035CC" w:rsidP="00275F1A">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2,682,428</w:t>
            </w:r>
          </w:p>
        </w:tc>
        <w:tc>
          <w:tcPr>
            <w:tcW w:w="1098" w:type="dxa"/>
            <w:noWrap/>
            <w:vAlign w:val="center"/>
            <w:hideMark/>
          </w:tcPr>
          <w:p w:rsidR="00E035CC" w:rsidRPr="00EB346F" w:rsidRDefault="00E035CC" w:rsidP="00275F1A">
            <w:pPr>
              <w:jc w:val="center"/>
              <w:cnfStyle w:val="000000010000"/>
              <w:rPr>
                <w:rFonts w:ascii="Times New Roman" w:eastAsia="Times New Roman" w:hAnsi="Times New Roman" w:cs="Times New Roman"/>
                <w:i/>
                <w:sz w:val="20"/>
                <w:szCs w:val="20"/>
              </w:rPr>
            </w:pPr>
            <w:r w:rsidRPr="00EB346F">
              <w:rPr>
                <w:rFonts w:ascii="Times New Roman" w:eastAsia="Times New Roman" w:hAnsi="Times New Roman" w:cs="Times New Roman"/>
                <w:i/>
                <w:sz w:val="20"/>
                <w:szCs w:val="20"/>
              </w:rPr>
              <w:t>4.73</w:t>
            </w:r>
          </w:p>
        </w:tc>
      </w:tr>
      <w:tr w:rsidR="00E035CC" w:rsidRPr="003C2D7A" w:rsidTr="00E6354F">
        <w:trPr>
          <w:cnfStyle w:val="000000100000"/>
          <w:trHeight w:val="300"/>
          <w:jc w:val="center"/>
        </w:trPr>
        <w:tc>
          <w:tcPr>
            <w:cnfStyle w:val="001000000000"/>
            <w:tcW w:w="3085" w:type="dxa"/>
            <w:hideMark/>
          </w:tcPr>
          <w:p w:rsidR="00E035CC" w:rsidRPr="003C2D7A" w:rsidRDefault="00E035CC" w:rsidP="00275F1A">
            <w:pPr>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Tipinės veiklos pelnas (nuostolis)</w:t>
            </w:r>
          </w:p>
        </w:tc>
        <w:tc>
          <w:tcPr>
            <w:tcW w:w="1116" w:type="dxa"/>
            <w:noWrap/>
            <w:vAlign w:val="center"/>
            <w:hideMark/>
          </w:tcPr>
          <w:p w:rsidR="00E035CC" w:rsidRPr="003C2D7A" w:rsidRDefault="00E035CC" w:rsidP="00275F1A">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350,137</w:t>
            </w:r>
          </w:p>
        </w:tc>
        <w:tc>
          <w:tcPr>
            <w:tcW w:w="1028" w:type="dxa"/>
            <w:noWrap/>
            <w:vAlign w:val="center"/>
            <w:hideMark/>
          </w:tcPr>
          <w:p w:rsidR="00E035CC" w:rsidRPr="003C2D7A" w:rsidRDefault="00E035CC" w:rsidP="00275F1A">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675,374</w:t>
            </w:r>
          </w:p>
        </w:tc>
        <w:tc>
          <w:tcPr>
            <w:tcW w:w="1098" w:type="dxa"/>
            <w:noWrap/>
            <w:vAlign w:val="center"/>
            <w:hideMark/>
          </w:tcPr>
          <w:p w:rsidR="00E035CC" w:rsidRPr="00EB346F" w:rsidRDefault="00E035CC" w:rsidP="00275F1A">
            <w:pPr>
              <w:jc w:val="center"/>
              <w:cnfStyle w:val="000000100000"/>
              <w:rPr>
                <w:rFonts w:ascii="Times New Roman" w:eastAsia="Times New Roman" w:hAnsi="Times New Roman" w:cs="Times New Roman"/>
                <w:i/>
                <w:sz w:val="20"/>
                <w:szCs w:val="20"/>
              </w:rPr>
            </w:pPr>
            <w:r w:rsidRPr="00EB346F">
              <w:rPr>
                <w:rFonts w:ascii="Times New Roman" w:eastAsia="Times New Roman" w:hAnsi="Times New Roman" w:cs="Times New Roman"/>
                <w:i/>
                <w:sz w:val="20"/>
                <w:szCs w:val="20"/>
              </w:rPr>
              <w:t>92.89</w:t>
            </w:r>
          </w:p>
        </w:tc>
        <w:tc>
          <w:tcPr>
            <w:tcW w:w="1152" w:type="dxa"/>
            <w:noWrap/>
            <w:vAlign w:val="center"/>
            <w:hideMark/>
          </w:tcPr>
          <w:p w:rsidR="00E035CC" w:rsidRPr="003C2D7A" w:rsidRDefault="00E035CC" w:rsidP="00275F1A">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890,219</w:t>
            </w:r>
          </w:p>
        </w:tc>
        <w:tc>
          <w:tcPr>
            <w:tcW w:w="1098" w:type="dxa"/>
            <w:noWrap/>
            <w:vAlign w:val="center"/>
            <w:hideMark/>
          </w:tcPr>
          <w:p w:rsidR="00E035CC" w:rsidRPr="00EB346F" w:rsidRDefault="00E035CC" w:rsidP="00275F1A">
            <w:pPr>
              <w:jc w:val="center"/>
              <w:cnfStyle w:val="000000100000"/>
              <w:rPr>
                <w:rFonts w:ascii="Times New Roman" w:eastAsia="Times New Roman" w:hAnsi="Times New Roman" w:cs="Times New Roman"/>
                <w:i/>
                <w:sz w:val="20"/>
                <w:szCs w:val="20"/>
              </w:rPr>
            </w:pPr>
            <w:r w:rsidRPr="00EB346F">
              <w:rPr>
                <w:rFonts w:ascii="Times New Roman" w:eastAsia="Times New Roman" w:hAnsi="Times New Roman" w:cs="Times New Roman"/>
                <w:i/>
                <w:sz w:val="20"/>
                <w:szCs w:val="20"/>
              </w:rPr>
              <w:t>31.81</w:t>
            </w:r>
          </w:p>
        </w:tc>
      </w:tr>
      <w:tr w:rsidR="00E035CC" w:rsidRPr="003C2D7A" w:rsidTr="00E6354F">
        <w:trPr>
          <w:cnfStyle w:val="000000010000"/>
          <w:trHeight w:val="510"/>
          <w:jc w:val="center"/>
        </w:trPr>
        <w:tc>
          <w:tcPr>
            <w:cnfStyle w:val="001000000000"/>
            <w:tcW w:w="3085" w:type="dxa"/>
            <w:hideMark/>
          </w:tcPr>
          <w:p w:rsidR="00E035CC" w:rsidRPr="003C2D7A" w:rsidRDefault="00E035CC" w:rsidP="00275F1A">
            <w:pPr>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Finansinės ir investicinės veiklos pelnas</w:t>
            </w:r>
          </w:p>
        </w:tc>
        <w:tc>
          <w:tcPr>
            <w:tcW w:w="1116" w:type="dxa"/>
            <w:noWrap/>
            <w:vAlign w:val="center"/>
            <w:hideMark/>
          </w:tcPr>
          <w:p w:rsidR="00E035CC" w:rsidRPr="003C2D7A" w:rsidRDefault="00E035CC" w:rsidP="00275F1A">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125,084</w:t>
            </w:r>
          </w:p>
        </w:tc>
        <w:tc>
          <w:tcPr>
            <w:tcW w:w="1028" w:type="dxa"/>
            <w:noWrap/>
            <w:vAlign w:val="center"/>
            <w:hideMark/>
          </w:tcPr>
          <w:p w:rsidR="00E035CC" w:rsidRPr="003C2D7A" w:rsidRDefault="00E035CC" w:rsidP="00275F1A">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106,451</w:t>
            </w:r>
          </w:p>
        </w:tc>
        <w:tc>
          <w:tcPr>
            <w:tcW w:w="1098" w:type="dxa"/>
            <w:noWrap/>
            <w:vAlign w:val="center"/>
            <w:hideMark/>
          </w:tcPr>
          <w:p w:rsidR="00E035CC" w:rsidRPr="00EB346F" w:rsidRDefault="00E035CC" w:rsidP="00275F1A">
            <w:pPr>
              <w:jc w:val="center"/>
              <w:cnfStyle w:val="000000010000"/>
              <w:rPr>
                <w:rFonts w:ascii="Times New Roman" w:eastAsia="Times New Roman" w:hAnsi="Times New Roman" w:cs="Times New Roman"/>
                <w:i/>
                <w:sz w:val="20"/>
                <w:szCs w:val="20"/>
              </w:rPr>
            </w:pPr>
            <w:r w:rsidRPr="00EB346F">
              <w:rPr>
                <w:rFonts w:ascii="Times New Roman" w:eastAsia="Times New Roman" w:hAnsi="Times New Roman" w:cs="Times New Roman"/>
                <w:i/>
                <w:sz w:val="20"/>
                <w:szCs w:val="20"/>
              </w:rPr>
              <w:t>n.a.</w:t>
            </w:r>
          </w:p>
        </w:tc>
        <w:tc>
          <w:tcPr>
            <w:tcW w:w="1152" w:type="dxa"/>
            <w:noWrap/>
            <w:vAlign w:val="center"/>
            <w:hideMark/>
          </w:tcPr>
          <w:p w:rsidR="00E035CC" w:rsidRPr="003C2D7A" w:rsidRDefault="00E035CC" w:rsidP="00275F1A">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141,073</w:t>
            </w:r>
          </w:p>
        </w:tc>
        <w:tc>
          <w:tcPr>
            <w:tcW w:w="1098" w:type="dxa"/>
            <w:noWrap/>
            <w:vAlign w:val="center"/>
            <w:hideMark/>
          </w:tcPr>
          <w:p w:rsidR="00E035CC" w:rsidRPr="00EB346F" w:rsidRDefault="00E035CC" w:rsidP="00275F1A">
            <w:pPr>
              <w:jc w:val="center"/>
              <w:cnfStyle w:val="000000010000"/>
              <w:rPr>
                <w:rFonts w:ascii="Times New Roman" w:eastAsia="Times New Roman" w:hAnsi="Times New Roman" w:cs="Times New Roman"/>
                <w:i/>
                <w:sz w:val="20"/>
                <w:szCs w:val="20"/>
              </w:rPr>
            </w:pPr>
            <w:r w:rsidRPr="00EB346F">
              <w:rPr>
                <w:rFonts w:ascii="Times New Roman" w:eastAsia="Times New Roman" w:hAnsi="Times New Roman" w:cs="Times New Roman"/>
                <w:i/>
                <w:sz w:val="20"/>
                <w:szCs w:val="20"/>
              </w:rPr>
              <w:t>n.a.</w:t>
            </w:r>
          </w:p>
        </w:tc>
      </w:tr>
      <w:tr w:rsidR="00E035CC" w:rsidRPr="003C2D7A" w:rsidTr="00E6354F">
        <w:trPr>
          <w:cnfStyle w:val="000000100000"/>
          <w:trHeight w:val="510"/>
          <w:jc w:val="center"/>
        </w:trPr>
        <w:tc>
          <w:tcPr>
            <w:cnfStyle w:val="001000000000"/>
            <w:tcW w:w="3085" w:type="dxa"/>
            <w:hideMark/>
          </w:tcPr>
          <w:p w:rsidR="00E035CC" w:rsidRPr="003C2D7A" w:rsidRDefault="00E035CC" w:rsidP="00275F1A">
            <w:pPr>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Finansinės ir investicinės veiklos sąnaudos</w:t>
            </w:r>
          </w:p>
        </w:tc>
        <w:tc>
          <w:tcPr>
            <w:tcW w:w="1116" w:type="dxa"/>
            <w:noWrap/>
            <w:vAlign w:val="center"/>
            <w:hideMark/>
          </w:tcPr>
          <w:p w:rsidR="00E035CC" w:rsidRPr="003C2D7A" w:rsidRDefault="00E035CC" w:rsidP="00275F1A">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408,096</w:t>
            </w:r>
          </w:p>
        </w:tc>
        <w:tc>
          <w:tcPr>
            <w:tcW w:w="1028" w:type="dxa"/>
            <w:noWrap/>
            <w:vAlign w:val="center"/>
            <w:hideMark/>
          </w:tcPr>
          <w:p w:rsidR="00E035CC" w:rsidRPr="003C2D7A" w:rsidRDefault="00E035CC" w:rsidP="00275F1A">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434,404</w:t>
            </w:r>
          </w:p>
        </w:tc>
        <w:tc>
          <w:tcPr>
            <w:tcW w:w="1098" w:type="dxa"/>
            <w:noWrap/>
            <w:vAlign w:val="center"/>
            <w:hideMark/>
          </w:tcPr>
          <w:p w:rsidR="00E035CC" w:rsidRPr="00EB346F" w:rsidRDefault="00E035CC" w:rsidP="00275F1A">
            <w:pPr>
              <w:jc w:val="center"/>
              <w:cnfStyle w:val="000000100000"/>
              <w:rPr>
                <w:rFonts w:ascii="Times New Roman" w:eastAsia="Times New Roman" w:hAnsi="Times New Roman" w:cs="Times New Roman"/>
                <w:i/>
                <w:sz w:val="20"/>
                <w:szCs w:val="20"/>
              </w:rPr>
            </w:pPr>
            <w:r w:rsidRPr="00EB346F">
              <w:rPr>
                <w:rFonts w:ascii="Times New Roman" w:eastAsia="Times New Roman" w:hAnsi="Times New Roman" w:cs="Times New Roman"/>
                <w:i/>
                <w:sz w:val="20"/>
                <w:szCs w:val="20"/>
              </w:rPr>
              <w:t>n.a.</w:t>
            </w:r>
          </w:p>
        </w:tc>
        <w:tc>
          <w:tcPr>
            <w:tcW w:w="1152" w:type="dxa"/>
            <w:noWrap/>
            <w:vAlign w:val="center"/>
            <w:hideMark/>
          </w:tcPr>
          <w:p w:rsidR="00E035CC" w:rsidRPr="003C2D7A" w:rsidRDefault="00E035CC" w:rsidP="00275F1A">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420,751</w:t>
            </w:r>
          </w:p>
        </w:tc>
        <w:tc>
          <w:tcPr>
            <w:tcW w:w="1098" w:type="dxa"/>
            <w:noWrap/>
            <w:vAlign w:val="center"/>
            <w:hideMark/>
          </w:tcPr>
          <w:p w:rsidR="00E035CC" w:rsidRPr="00EB346F" w:rsidRDefault="00E035CC" w:rsidP="00275F1A">
            <w:pPr>
              <w:jc w:val="center"/>
              <w:cnfStyle w:val="000000100000"/>
              <w:rPr>
                <w:rFonts w:ascii="Times New Roman" w:eastAsia="Times New Roman" w:hAnsi="Times New Roman" w:cs="Times New Roman"/>
                <w:i/>
                <w:sz w:val="20"/>
                <w:szCs w:val="20"/>
              </w:rPr>
            </w:pPr>
            <w:r w:rsidRPr="00EB346F">
              <w:rPr>
                <w:rFonts w:ascii="Times New Roman" w:eastAsia="Times New Roman" w:hAnsi="Times New Roman" w:cs="Times New Roman"/>
                <w:i/>
                <w:sz w:val="20"/>
                <w:szCs w:val="20"/>
              </w:rPr>
              <w:t>n.a.</w:t>
            </w:r>
          </w:p>
        </w:tc>
      </w:tr>
      <w:tr w:rsidR="00E035CC" w:rsidRPr="003C2D7A" w:rsidTr="00E6354F">
        <w:trPr>
          <w:cnfStyle w:val="000000010000"/>
          <w:trHeight w:val="510"/>
          <w:jc w:val="center"/>
        </w:trPr>
        <w:tc>
          <w:tcPr>
            <w:cnfStyle w:val="001000000000"/>
            <w:tcW w:w="3085" w:type="dxa"/>
            <w:hideMark/>
          </w:tcPr>
          <w:p w:rsidR="00E035CC" w:rsidRPr="003C2D7A" w:rsidRDefault="00E035CC" w:rsidP="00275F1A">
            <w:pPr>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Finansinės ir investicinės veiklos pelnas (nuostolis)</w:t>
            </w:r>
          </w:p>
        </w:tc>
        <w:tc>
          <w:tcPr>
            <w:tcW w:w="1116" w:type="dxa"/>
            <w:noWrap/>
            <w:vAlign w:val="center"/>
            <w:hideMark/>
          </w:tcPr>
          <w:p w:rsidR="00E035CC" w:rsidRPr="003C2D7A" w:rsidRDefault="00E035CC" w:rsidP="00275F1A">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-283,012</w:t>
            </w:r>
          </w:p>
        </w:tc>
        <w:tc>
          <w:tcPr>
            <w:tcW w:w="1028" w:type="dxa"/>
            <w:noWrap/>
            <w:vAlign w:val="center"/>
            <w:hideMark/>
          </w:tcPr>
          <w:p w:rsidR="00E035CC" w:rsidRPr="003C2D7A" w:rsidRDefault="00E035CC" w:rsidP="00275F1A">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-327,952</w:t>
            </w:r>
          </w:p>
        </w:tc>
        <w:tc>
          <w:tcPr>
            <w:tcW w:w="1098" w:type="dxa"/>
            <w:noWrap/>
            <w:vAlign w:val="center"/>
            <w:hideMark/>
          </w:tcPr>
          <w:p w:rsidR="00E035CC" w:rsidRPr="00EB346F" w:rsidRDefault="00E035CC" w:rsidP="00275F1A">
            <w:pPr>
              <w:jc w:val="center"/>
              <w:cnfStyle w:val="000000010000"/>
              <w:rPr>
                <w:rFonts w:ascii="Times New Roman" w:eastAsia="Times New Roman" w:hAnsi="Times New Roman" w:cs="Times New Roman"/>
                <w:i/>
                <w:sz w:val="20"/>
                <w:szCs w:val="20"/>
              </w:rPr>
            </w:pPr>
            <w:r w:rsidRPr="00EB346F">
              <w:rPr>
                <w:rFonts w:ascii="Times New Roman" w:eastAsia="Times New Roman" w:hAnsi="Times New Roman" w:cs="Times New Roman"/>
                <w:i/>
                <w:sz w:val="20"/>
                <w:szCs w:val="20"/>
              </w:rPr>
              <w:t>-15.88</w:t>
            </w:r>
          </w:p>
        </w:tc>
        <w:tc>
          <w:tcPr>
            <w:tcW w:w="1152" w:type="dxa"/>
            <w:noWrap/>
            <w:vAlign w:val="center"/>
            <w:hideMark/>
          </w:tcPr>
          <w:p w:rsidR="00E035CC" w:rsidRPr="003C2D7A" w:rsidRDefault="00E035CC" w:rsidP="00275F1A">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-279,679</w:t>
            </w:r>
          </w:p>
        </w:tc>
        <w:tc>
          <w:tcPr>
            <w:tcW w:w="1098" w:type="dxa"/>
            <w:noWrap/>
            <w:vAlign w:val="center"/>
            <w:hideMark/>
          </w:tcPr>
          <w:p w:rsidR="00E035CC" w:rsidRPr="00EB346F" w:rsidRDefault="00E035CC" w:rsidP="00275F1A">
            <w:pPr>
              <w:jc w:val="center"/>
              <w:cnfStyle w:val="000000010000"/>
              <w:rPr>
                <w:rFonts w:ascii="Times New Roman" w:eastAsia="Times New Roman" w:hAnsi="Times New Roman" w:cs="Times New Roman"/>
                <w:i/>
                <w:sz w:val="20"/>
                <w:szCs w:val="20"/>
              </w:rPr>
            </w:pPr>
            <w:r w:rsidRPr="00EB346F">
              <w:rPr>
                <w:rFonts w:ascii="Times New Roman" w:eastAsia="Times New Roman" w:hAnsi="Times New Roman" w:cs="Times New Roman"/>
                <w:i/>
                <w:sz w:val="20"/>
                <w:szCs w:val="20"/>
              </w:rPr>
              <w:t>14.72</w:t>
            </w:r>
          </w:p>
        </w:tc>
      </w:tr>
      <w:tr w:rsidR="00E035CC" w:rsidRPr="003C2D7A" w:rsidTr="00E6354F">
        <w:trPr>
          <w:cnfStyle w:val="000000100000"/>
          <w:trHeight w:val="300"/>
          <w:jc w:val="center"/>
        </w:trPr>
        <w:tc>
          <w:tcPr>
            <w:cnfStyle w:val="001000000000"/>
            <w:tcW w:w="3085" w:type="dxa"/>
            <w:hideMark/>
          </w:tcPr>
          <w:p w:rsidR="00E035CC" w:rsidRPr="003C2D7A" w:rsidRDefault="00E035CC" w:rsidP="00275F1A">
            <w:pPr>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Pelnas prieš apmokestinimą</w:t>
            </w:r>
          </w:p>
        </w:tc>
        <w:tc>
          <w:tcPr>
            <w:tcW w:w="1116" w:type="dxa"/>
            <w:noWrap/>
            <w:vAlign w:val="center"/>
            <w:hideMark/>
          </w:tcPr>
          <w:p w:rsidR="00E035CC" w:rsidRPr="003C2D7A" w:rsidRDefault="00E035CC" w:rsidP="00275F1A">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67,125</w:t>
            </w:r>
          </w:p>
        </w:tc>
        <w:tc>
          <w:tcPr>
            <w:tcW w:w="1028" w:type="dxa"/>
            <w:noWrap/>
            <w:vAlign w:val="center"/>
            <w:hideMark/>
          </w:tcPr>
          <w:p w:rsidR="00E035CC" w:rsidRPr="003C2D7A" w:rsidRDefault="00E035CC" w:rsidP="00275F1A">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347,422</w:t>
            </w:r>
          </w:p>
        </w:tc>
        <w:tc>
          <w:tcPr>
            <w:tcW w:w="1098" w:type="dxa"/>
            <w:noWrap/>
            <w:vAlign w:val="center"/>
            <w:hideMark/>
          </w:tcPr>
          <w:p w:rsidR="00E035CC" w:rsidRPr="00EB346F" w:rsidRDefault="00E035CC" w:rsidP="00275F1A">
            <w:pPr>
              <w:jc w:val="center"/>
              <w:cnfStyle w:val="000000100000"/>
              <w:rPr>
                <w:rFonts w:ascii="Times New Roman" w:eastAsia="Times New Roman" w:hAnsi="Times New Roman" w:cs="Times New Roman"/>
                <w:i/>
                <w:sz w:val="20"/>
                <w:szCs w:val="20"/>
              </w:rPr>
            </w:pPr>
            <w:r w:rsidRPr="00EB346F">
              <w:rPr>
                <w:rFonts w:ascii="Times New Roman" w:eastAsia="Times New Roman" w:hAnsi="Times New Roman" w:cs="Times New Roman"/>
                <w:i/>
                <w:sz w:val="20"/>
                <w:szCs w:val="20"/>
              </w:rPr>
              <w:t>417.57</w:t>
            </w:r>
          </w:p>
        </w:tc>
        <w:tc>
          <w:tcPr>
            <w:tcW w:w="1152" w:type="dxa"/>
            <w:noWrap/>
            <w:vAlign w:val="center"/>
            <w:hideMark/>
          </w:tcPr>
          <w:p w:rsidR="00E035CC" w:rsidRPr="003C2D7A" w:rsidRDefault="00E035CC" w:rsidP="00275F1A">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610,540</w:t>
            </w:r>
          </w:p>
        </w:tc>
        <w:tc>
          <w:tcPr>
            <w:tcW w:w="1098" w:type="dxa"/>
            <w:noWrap/>
            <w:vAlign w:val="center"/>
            <w:hideMark/>
          </w:tcPr>
          <w:p w:rsidR="00E035CC" w:rsidRPr="00EB346F" w:rsidRDefault="00E035CC" w:rsidP="00275F1A">
            <w:pPr>
              <w:jc w:val="center"/>
              <w:cnfStyle w:val="000000100000"/>
              <w:rPr>
                <w:rFonts w:ascii="Times New Roman" w:eastAsia="Times New Roman" w:hAnsi="Times New Roman" w:cs="Times New Roman"/>
                <w:i/>
                <w:sz w:val="20"/>
                <w:szCs w:val="20"/>
              </w:rPr>
            </w:pPr>
            <w:r w:rsidRPr="00EB346F">
              <w:rPr>
                <w:rFonts w:ascii="Times New Roman" w:eastAsia="Times New Roman" w:hAnsi="Times New Roman" w:cs="Times New Roman"/>
                <w:i/>
                <w:sz w:val="20"/>
                <w:szCs w:val="20"/>
              </w:rPr>
              <w:t>75.73</w:t>
            </w:r>
          </w:p>
        </w:tc>
      </w:tr>
      <w:tr w:rsidR="00E035CC" w:rsidRPr="003C2D7A" w:rsidTr="00E6354F">
        <w:trPr>
          <w:cnfStyle w:val="000000010000"/>
          <w:trHeight w:val="300"/>
          <w:jc w:val="center"/>
        </w:trPr>
        <w:tc>
          <w:tcPr>
            <w:cnfStyle w:val="001000000000"/>
            <w:tcW w:w="3085" w:type="dxa"/>
            <w:hideMark/>
          </w:tcPr>
          <w:p w:rsidR="00E035CC" w:rsidRPr="003C2D7A" w:rsidRDefault="00E035CC" w:rsidP="00275F1A">
            <w:pPr>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Pelno mokestis</w:t>
            </w:r>
          </w:p>
        </w:tc>
        <w:tc>
          <w:tcPr>
            <w:tcW w:w="1116" w:type="dxa"/>
            <w:noWrap/>
            <w:vAlign w:val="center"/>
            <w:hideMark/>
          </w:tcPr>
          <w:p w:rsidR="00E035CC" w:rsidRPr="003C2D7A" w:rsidRDefault="00E035CC" w:rsidP="00275F1A">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21,875</w:t>
            </w:r>
          </w:p>
        </w:tc>
        <w:tc>
          <w:tcPr>
            <w:tcW w:w="1028" w:type="dxa"/>
            <w:noWrap/>
            <w:vAlign w:val="center"/>
            <w:hideMark/>
          </w:tcPr>
          <w:p w:rsidR="00E035CC" w:rsidRPr="003C2D7A" w:rsidRDefault="00E035CC" w:rsidP="00275F1A">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50,854</w:t>
            </w:r>
          </w:p>
        </w:tc>
        <w:tc>
          <w:tcPr>
            <w:tcW w:w="1098" w:type="dxa"/>
            <w:noWrap/>
            <w:vAlign w:val="center"/>
            <w:hideMark/>
          </w:tcPr>
          <w:p w:rsidR="00E035CC" w:rsidRPr="00EB346F" w:rsidRDefault="00E035CC" w:rsidP="00275F1A">
            <w:pPr>
              <w:jc w:val="center"/>
              <w:cnfStyle w:val="000000010000"/>
              <w:rPr>
                <w:rFonts w:ascii="Times New Roman" w:eastAsia="Times New Roman" w:hAnsi="Times New Roman" w:cs="Times New Roman"/>
                <w:i/>
                <w:sz w:val="20"/>
                <w:szCs w:val="20"/>
              </w:rPr>
            </w:pPr>
            <w:r w:rsidRPr="00EB346F">
              <w:rPr>
                <w:rFonts w:ascii="Times New Roman" w:eastAsia="Times New Roman" w:hAnsi="Times New Roman" w:cs="Times New Roman"/>
                <w:i/>
                <w:sz w:val="20"/>
                <w:szCs w:val="20"/>
              </w:rPr>
              <w:t>n.a.</w:t>
            </w:r>
          </w:p>
        </w:tc>
        <w:tc>
          <w:tcPr>
            <w:tcW w:w="1152" w:type="dxa"/>
            <w:noWrap/>
            <w:vAlign w:val="center"/>
            <w:hideMark/>
          </w:tcPr>
          <w:p w:rsidR="00E035CC" w:rsidRPr="003C2D7A" w:rsidRDefault="00E035CC" w:rsidP="00275F1A">
            <w:pPr>
              <w:jc w:val="center"/>
              <w:cnfStyle w:val="00000001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81,057</w:t>
            </w:r>
          </w:p>
        </w:tc>
        <w:tc>
          <w:tcPr>
            <w:tcW w:w="1098" w:type="dxa"/>
            <w:noWrap/>
            <w:vAlign w:val="center"/>
            <w:hideMark/>
          </w:tcPr>
          <w:p w:rsidR="00E035CC" w:rsidRPr="00EB346F" w:rsidRDefault="00E035CC" w:rsidP="00275F1A">
            <w:pPr>
              <w:jc w:val="center"/>
              <w:cnfStyle w:val="000000010000"/>
              <w:rPr>
                <w:rFonts w:ascii="Times New Roman" w:eastAsia="Times New Roman" w:hAnsi="Times New Roman" w:cs="Times New Roman"/>
                <w:i/>
                <w:sz w:val="20"/>
                <w:szCs w:val="20"/>
              </w:rPr>
            </w:pPr>
            <w:r w:rsidRPr="00EB346F">
              <w:rPr>
                <w:rFonts w:ascii="Times New Roman" w:eastAsia="Times New Roman" w:hAnsi="Times New Roman" w:cs="Times New Roman"/>
                <w:i/>
                <w:sz w:val="20"/>
                <w:szCs w:val="20"/>
              </w:rPr>
              <w:t>n.a.</w:t>
            </w:r>
          </w:p>
        </w:tc>
      </w:tr>
      <w:tr w:rsidR="00E035CC" w:rsidRPr="003C2D7A" w:rsidTr="00E6354F">
        <w:trPr>
          <w:cnfStyle w:val="000000100000"/>
          <w:trHeight w:val="300"/>
          <w:jc w:val="center"/>
        </w:trPr>
        <w:tc>
          <w:tcPr>
            <w:cnfStyle w:val="001000000000"/>
            <w:tcW w:w="3085" w:type="dxa"/>
            <w:hideMark/>
          </w:tcPr>
          <w:p w:rsidR="00E035CC" w:rsidRPr="003C2D7A" w:rsidRDefault="00E035CC" w:rsidP="00275F1A">
            <w:pPr>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Grynasis pelnas</w:t>
            </w:r>
          </w:p>
        </w:tc>
        <w:tc>
          <w:tcPr>
            <w:tcW w:w="1116" w:type="dxa"/>
            <w:noWrap/>
            <w:vAlign w:val="center"/>
            <w:hideMark/>
          </w:tcPr>
          <w:p w:rsidR="00E035CC" w:rsidRPr="003C2D7A" w:rsidRDefault="00E035CC" w:rsidP="00275F1A">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45,250</w:t>
            </w:r>
          </w:p>
        </w:tc>
        <w:tc>
          <w:tcPr>
            <w:tcW w:w="1028" w:type="dxa"/>
            <w:noWrap/>
            <w:vAlign w:val="center"/>
            <w:hideMark/>
          </w:tcPr>
          <w:p w:rsidR="00E035CC" w:rsidRPr="003C2D7A" w:rsidRDefault="00E035CC" w:rsidP="00275F1A">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296,568</w:t>
            </w:r>
          </w:p>
        </w:tc>
        <w:tc>
          <w:tcPr>
            <w:tcW w:w="1098" w:type="dxa"/>
            <w:noWrap/>
            <w:vAlign w:val="center"/>
            <w:hideMark/>
          </w:tcPr>
          <w:p w:rsidR="00E035CC" w:rsidRPr="00EB346F" w:rsidRDefault="00E035CC" w:rsidP="00275F1A">
            <w:pPr>
              <w:jc w:val="center"/>
              <w:cnfStyle w:val="000000100000"/>
              <w:rPr>
                <w:rFonts w:ascii="Times New Roman" w:eastAsia="Times New Roman" w:hAnsi="Times New Roman" w:cs="Times New Roman"/>
                <w:i/>
                <w:sz w:val="20"/>
                <w:szCs w:val="20"/>
              </w:rPr>
            </w:pPr>
            <w:r w:rsidRPr="00EB346F">
              <w:rPr>
                <w:rFonts w:ascii="Times New Roman" w:eastAsia="Times New Roman" w:hAnsi="Times New Roman" w:cs="Times New Roman"/>
                <w:i/>
                <w:sz w:val="20"/>
                <w:szCs w:val="20"/>
              </w:rPr>
              <w:t>555.40</w:t>
            </w:r>
          </w:p>
        </w:tc>
        <w:tc>
          <w:tcPr>
            <w:tcW w:w="1152" w:type="dxa"/>
            <w:noWrap/>
            <w:vAlign w:val="center"/>
            <w:hideMark/>
          </w:tcPr>
          <w:p w:rsidR="00E035CC" w:rsidRPr="003C2D7A" w:rsidRDefault="00E035CC" w:rsidP="00275F1A">
            <w:pPr>
              <w:jc w:val="center"/>
              <w:cnfStyle w:val="000000100000"/>
              <w:rPr>
                <w:rFonts w:ascii="Times New Roman" w:eastAsia="Times New Roman" w:hAnsi="Times New Roman" w:cs="Times New Roman"/>
                <w:sz w:val="20"/>
                <w:szCs w:val="20"/>
              </w:rPr>
            </w:pPr>
            <w:r w:rsidRPr="003C2D7A">
              <w:rPr>
                <w:rFonts w:ascii="Times New Roman" w:eastAsia="Times New Roman" w:hAnsi="Times New Roman" w:cs="Times New Roman"/>
                <w:sz w:val="20"/>
                <w:szCs w:val="20"/>
              </w:rPr>
              <w:t>529,483</w:t>
            </w:r>
          </w:p>
        </w:tc>
        <w:tc>
          <w:tcPr>
            <w:tcW w:w="1098" w:type="dxa"/>
            <w:noWrap/>
            <w:vAlign w:val="center"/>
            <w:hideMark/>
          </w:tcPr>
          <w:p w:rsidR="00E035CC" w:rsidRPr="00EB346F" w:rsidRDefault="00E035CC" w:rsidP="00275F1A">
            <w:pPr>
              <w:jc w:val="center"/>
              <w:cnfStyle w:val="000000100000"/>
              <w:rPr>
                <w:rFonts w:ascii="Times New Roman" w:eastAsia="Times New Roman" w:hAnsi="Times New Roman" w:cs="Times New Roman"/>
                <w:i/>
                <w:sz w:val="20"/>
                <w:szCs w:val="20"/>
              </w:rPr>
            </w:pPr>
            <w:r w:rsidRPr="00EB346F">
              <w:rPr>
                <w:rFonts w:ascii="Times New Roman" w:eastAsia="Times New Roman" w:hAnsi="Times New Roman" w:cs="Times New Roman"/>
                <w:i/>
                <w:sz w:val="20"/>
                <w:szCs w:val="20"/>
              </w:rPr>
              <w:t>78.54</w:t>
            </w:r>
          </w:p>
        </w:tc>
      </w:tr>
    </w:tbl>
    <w:p w:rsidR="00E035CC" w:rsidRDefault="00E035CC" w:rsidP="00E035CC">
      <w:pPr>
        <w:jc w:val="center"/>
        <w:rPr>
          <w:rFonts w:ascii="Times New Roman" w:hAnsi="Times New Roman" w:cs="Times New Roman"/>
          <w:sz w:val="24"/>
          <w:szCs w:val="24"/>
          <w:lang w:val="lt-LT"/>
        </w:rPr>
      </w:pPr>
    </w:p>
    <w:p w:rsidR="00486B70" w:rsidRDefault="00486B70" w:rsidP="00E035CC">
      <w:pPr>
        <w:jc w:val="center"/>
        <w:rPr>
          <w:rFonts w:ascii="Times New Roman" w:hAnsi="Times New Roman" w:cs="Times New Roman"/>
          <w:sz w:val="24"/>
          <w:szCs w:val="24"/>
          <w:lang w:val="lt-LT"/>
        </w:rPr>
      </w:pPr>
    </w:p>
    <w:p w:rsidR="00486B70" w:rsidRDefault="00486B70" w:rsidP="00E035CC">
      <w:pPr>
        <w:jc w:val="center"/>
        <w:rPr>
          <w:rFonts w:ascii="Times New Roman" w:hAnsi="Times New Roman" w:cs="Times New Roman"/>
          <w:sz w:val="24"/>
          <w:szCs w:val="24"/>
          <w:lang w:val="lt-LT"/>
        </w:rPr>
      </w:pPr>
    </w:p>
    <w:p w:rsidR="00486B70" w:rsidRPr="005D0A53" w:rsidRDefault="00486B70" w:rsidP="006312DF">
      <w:pPr>
        <w:pStyle w:val="Heading1"/>
        <w:spacing w:before="0"/>
        <w:contextualSpacing/>
        <w:jc w:val="right"/>
      </w:pPr>
      <w:bookmarkStart w:id="114" w:name="_Toc374655672"/>
      <w:r>
        <w:lastRenderedPageBreak/>
        <w:t>3</w:t>
      </w:r>
      <w:r w:rsidRPr="005D0A53">
        <w:t xml:space="preserve"> PRIEDAS</w:t>
      </w:r>
      <w:bookmarkEnd w:id="114"/>
      <w:r w:rsidRPr="005D0A53">
        <w:t xml:space="preserve"> </w:t>
      </w:r>
    </w:p>
    <w:p w:rsidR="00486B70" w:rsidRDefault="00486B70" w:rsidP="006312DF">
      <w:pPr>
        <w:tabs>
          <w:tab w:val="left" w:pos="142"/>
        </w:tabs>
        <w:spacing w:after="0"/>
        <w:ind w:firstLine="426"/>
        <w:contextualSpacing/>
        <w:rPr>
          <w:rFonts w:cs="Times New Roman"/>
        </w:rPr>
      </w:pPr>
    </w:p>
    <w:p w:rsidR="00486B70" w:rsidRDefault="00486B70" w:rsidP="006312DF">
      <w:pPr>
        <w:spacing w:after="0"/>
        <w:contextualSpacing/>
        <w:jc w:val="center"/>
        <w:rPr>
          <w:rFonts w:ascii="Times New Roman" w:hAnsi="Times New Roman" w:cs="Times New Roman"/>
          <w:b/>
          <w:sz w:val="24"/>
          <w:szCs w:val="24"/>
          <w:lang w:val="lt-LT"/>
        </w:rPr>
      </w:pPr>
      <w:r>
        <w:rPr>
          <w:rFonts w:ascii="Times New Roman" w:hAnsi="Times New Roman" w:cs="Times New Roman"/>
          <w:b/>
          <w:sz w:val="24"/>
          <w:szCs w:val="24"/>
          <w:lang w:val="lt-LT"/>
        </w:rPr>
        <w:t>TRANSPORTAVIMO ĮMONIŲ FINANSINIŲ SANTYKINIŲ RODIKLIŲ ANALIZĖ</w:t>
      </w:r>
    </w:p>
    <w:p w:rsidR="00486B70" w:rsidRDefault="00486B70" w:rsidP="006312DF">
      <w:pPr>
        <w:spacing w:after="0"/>
        <w:contextualSpacing/>
        <w:jc w:val="center"/>
        <w:rPr>
          <w:rFonts w:ascii="Times New Roman" w:hAnsi="Times New Roman" w:cs="Times New Roman"/>
          <w:b/>
          <w:sz w:val="24"/>
          <w:szCs w:val="24"/>
          <w:lang w:val="lt-LT"/>
        </w:rPr>
      </w:pPr>
    </w:p>
    <w:p w:rsidR="00486B70" w:rsidRDefault="00486B70" w:rsidP="006312DF">
      <w:pPr>
        <w:spacing w:after="0"/>
        <w:contextualSpacing/>
        <w:jc w:val="center"/>
        <w:rPr>
          <w:rFonts w:ascii="Times New Roman" w:hAnsi="Times New Roman" w:cs="Times New Roman"/>
          <w:b/>
          <w:szCs w:val="24"/>
        </w:rPr>
      </w:pPr>
      <w:r>
        <w:rPr>
          <w:rFonts w:ascii="Times New Roman" w:hAnsi="Times New Roman" w:cs="Times New Roman"/>
          <w:szCs w:val="24"/>
        </w:rPr>
        <w:t>1</w:t>
      </w:r>
      <w:r w:rsidRPr="004D5C99">
        <w:rPr>
          <w:rFonts w:ascii="Times New Roman" w:hAnsi="Times New Roman" w:cs="Times New Roman"/>
          <w:szCs w:val="24"/>
        </w:rPr>
        <w:t xml:space="preserve"> lentelė.</w:t>
      </w:r>
      <w:r w:rsidRPr="004D5C99">
        <w:rPr>
          <w:rFonts w:ascii="Times New Roman" w:hAnsi="Times New Roman" w:cs="Times New Roman"/>
          <w:b/>
          <w:szCs w:val="24"/>
        </w:rPr>
        <w:t xml:space="preserve"> </w:t>
      </w:r>
      <w:r>
        <w:rPr>
          <w:rFonts w:ascii="Times New Roman" w:hAnsi="Times New Roman" w:cs="Times New Roman"/>
          <w:b/>
          <w:szCs w:val="24"/>
        </w:rPr>
        <w:t>UAB “Achemarida” finansinių santykinių rodiklių skaičiavimas</w:t>
      </w:r>
    </w:p>
    <w:tbl>
      <w:tblPr>
        <w:tblW w:w="10435" w:type="dxa"/>
        <w:jc w:val="center"/>
        <w:tblInd w:w="93" w:type="dxa"/>
        <w:tblLook w:val="04A0"/>
      </w:tblPr>
      <w:tblGrid>
        <w:gridCol w:w="2383"/>
        <w:gridCol w:w="1701"/>
        <w:gridCol w:w="851"/>
        <w:gridCol w:w="1843"/>
        <w:gridCol w:w="850"/>
        <w:gridCol w:w="1943"/>
        <w:gridCol w:w="864"/>
      </w:tblGrid>
      <w:tr w:rsidR="00486B70" w:rsidRPr="006D296F" w:rsidTr="006312DF">
        <w:trPr>
          <w:trHeight w:val="300"/>
          <w:jc w:val="center"/>
        </w:trPr>
        <w:tc>
          <w:tcPr>
            <w:tcW w:w="2383"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486B70" w:rsidRPr="006D296F" w:rsidRDefault="00486B70" w:rsidP="00275F1A">
            <w:pPr>
              <w:spacing w:after="0" w:line="240" w:lineRule="auto"/>
              <w:jc w:val="center"/>
              <w:rPr>
                <w:rFonts w:ascii="Times New Roman" w:eastAsia="Times New Roman" w:hAnsi="Times New Roman" w:cs="Times New Roman"/>
                <w:b/>
                <w:bCs/>
                <w:sz w:val="20"/>
                <w:szCs w:val="20"/>
              </w:rPr>
            </w:pPr>
            <w:r w:rsidRPr="006D296F">
              <w:rPr>
                <w:rFonts w:ascii="Times New Roman" w:eastAsia="Times New Roman" w:hAnsi="Times New Roman" w:cs="Times New Roman"/>
                <w:b/>
                <w:bCs/>
                <w:sz w:val="20"/>
                <w:szCs w:val="20"/>
              </w:rPr>
              <w:t>Santykiniai rodikliai</w:t>
            </w:r>
          </w:p>
        </w:tc>
        <w:tc>
          <w:tcPr>
            <w:tcW w:w="1701" w:type="dxa"/>
            <w:tcBorders>
              <w:top w:val="single" w:sz="4" w:space="0" w:color="auto"/>
              <w:left w:val="nil"/>
              <w:bottom w:val="single" w:sz="4" w:space="0" w:color="auto"/>
              <w:right w:val="single" w:sz="4" w:space="0" w:color="auto"/>
            </w:tcBorders>
            <w:shd w:val="clear" w:color="000000" w:fill="FCD5B4"/>
            <w:noWrap/>
            <w:vAlign w:val="center"/>
            <w:hideMark/>
          </w:tcPr>
          <w:p w:rsidR="00486B70" w:rsidRPr="006D296F" w:rsidRDefault="00486B70" w:rsidP="00275F1A">
            <w:pPr>
              <w:spacing w:after="0" w:line="240" w:lineRule="auto"/>
              <w:jc w:val="center"/>
              <w:rPr>
                <w:rFonts w:ascii="Times New Roman" w:eastAsia="Times New Roman" w:hAnsi="Times New Roman" w:cs="Times New Roman"/>
                <w:b/>
                <w:bCs/>
                <w:sz w:val="20"/>
                <w:szCs w:val="20"/>
              </w:rPr>
            </w:pPr>
            <w:r w:rsidRPr="006D296F">
              <w:rPr>
                <w:rFonts w:ascii="Times New Roman" w:eastAsia="Times New Roman" w:hAnsi="Times New Roman" w:cs="Times New Roman"/>
                <w:b/>
                <w:bCs/>
                <w:sz w:val="20"/>
                <w:szCs w:val="20"/>
              </w:rPr>
              <w:t> </w:t>
            </w:r>
          </w:p>
        </w:tc>
        <w:tc>
          <w:tcPr>
            <w:tcW w:w="851" w:type="dxa"/>
            <w:tcBorders>
              <w:top w:val="single" w:sz="4" w:space="0" w:color="auto"/>
              <w:left w:val="nil"/>
              <w:bottom w:val="single" w:sz="4" w:space="0" w:color="auto"/>
              <w:right w:val="single" w:sz="4" w:space="0" w:color="auto"/>
            </w:tcBorders>
            <w:shd w:val="clear" w:color="000000" w:fill="FCD5B4"/>
            <w:noWrap/>
            <w:vAlign w:val="center"/>
            <w:hideMark/>
          </w:tcPr>
          <w:p w:rsidR="00486B70" w:rsidRPr="006D296F" w:rsidRDefault="00486B70" w:rsidP="00275F1A">
            <w:pPr>
              <w:spacing w:after="0" w:line="240" w:lineRule="auto"/>
              <w:jc w:val="center"/>
              <w:rPr>
                <w:rFonts w:ascii="Times New Roman" w:eastAsia="Times New Roman" w:hAnsi="Times New Roman" w:cs="Times New Roman"/>
                <w:b/>
                <w:bCs/>
                <w:sz w:val="20"/>
                <w:szCs w:val="20"/>
              </w:rPr>
            </w:pPr>
            <w:r w:rsidRPr="006D296F">
              <w:rPr>
                <w:rFonts w:ascii="Times New Roman" w:eastAsia="Times New Roman" w:hAnsi="Times New Roman" w:cs="Times New Roman"/>
                <w:b/>
                <w:bCs/>
                <w:sz w:val="20"/>
                <w:szCs w:val="20"/>
              </w:rPr>
              <w:t>2008</w:t>
            </w:r>
          </w:p>
        </w:tc>
        <w:tc>
          <w:tcPr>
            <w:tcW w:w="1843" w:type="dxa"/>
            <w:tcBorders>
              <w:top w:val="single" w:sz="4" w:space="0" w:color="auto"/>
              <w:left w:val="nil"/>
              <w:bottom w:val="single" w:sz="4" w:space="0" w:color="auto"/>
              <w:right w:val="single" w:sz="4" w:space="0" w:color="auto"/>
            </w:tcBorders>
            <w:shd w:val="clear" w:color="000000" w:fill="FCD5B4"/>
            <w:noWrap/>
            <w:vAlign w:val="center"/>
            <w:hideMark/>
          </w:tcPr>
          <w:p w:rsidR="00486B70" w:rsidRPr="006D296F" w:rsidRDefault="00486B70" w:rsidP="00275F1A">
            <w:pPr>
              <w:spacing w:after="0" w:line="240" w:lineRule="auto"/>
              <w:jc w:val="center"/>
              <w:rPr>
                <w:rFonts w:ascii="Times New Roman" w:eastAsia="Times New Roman" w:hAnsi="Times New Roman" w:cs="Times New Roman"/>
                <w:b/>
                <w:bCs/>
                <w:sz w:val="20"/>
                <w:szCs w:val="20"/>
              </w:rPr>
            </w:pPr>
            <w:r w:rsidRPr="006D296F">
              <w:rPr>
                <w:rFonts w:ascii="Times New Roman" w:eastAsia="Times New Roman" w:hAnsi="Times New Roman" w:cs="Times New Roman"/>
                <w:b/>
                <w:bCs/>
                <w:sz w:val="20"/>
                <w:szCs w:val="20"/>
              </w:rPr>
              <w:t> </w:t>
            </w:r>
          </w:p>
        </w:tc>
        <w:tc>
          <w:tcPr>
            <w:tcW w:w="850" w:type="dxa"/>
            <w:tcBorders>
              <w:top w:val="single" w:sz="4" w:space="0" w:color="auto"/>
              <w:left w:val="nil"/>
              <w:bottom w:val="single" w:sz="4" w:space="0" w:color="auto"/>
              <w:right w:val="single" w:sz="4" w:space="0" w:color="auto"/>
            </w:tcBorders>
            <w:shd w:val="clear" w:color="000000" w:fill="FCD5B4"/>
            <w:noWrap/>
            <w:vAlign w:val="center"/>
            <w:hideMark/>
          </w:tcPr>
          <w:p w:rsidR="00486B70" w:rsidRPr="006D296F" w:rsidRDefault="00486B70" w:rsidP="00275F1A">
            <w:pPr>
              <w:spacing w:after="0" w:line="240" w:lineRule="auto"/>
              <w:jc w:val="center"/>
              <w:rPr>
                <w:rFonts w:ascii="Times New Roman" w:eastAsia="Times New Roman" w:hAnsi="Times New Roman" w:cs="Times New Roman"/>
                <w:b/>
                <w:bCs/>
                <w:sz w:val="20"/>
                <w:szCs w:val="20"/>
              </w:rPr>
            </w:pPr>
            <w:r w:rsidRPr="006D296F">
              <w:rPr>
                <w:rFonts w:ascii="Times New Roman" w:eastAsia="Times New Roman" w:hAnsi="Times New Roman" w:cs="Times New Roman"/>
                <w:b/>
                <w:bCs/>
                <w:sz w:val="20"/>
                <w:szCs w:val="20"/>
              </w:rPr>
              <w:t>2009</w:t>
            </w:r>
          </w:p>
        </w:tc>
        <w:tc>
          <w:tcPr>
            <w:tcW w:w="1943" w:type="dxa"/>
            <w:tcBorders>
              <w:top w:val="single" w:sz="4" w:space="0" w:color="auto"/>
              <w:left w:val="nil"/>
              <w:bottom w:val="single" w:sz="4" w:space="0" w:color="auto"/>
              <w:right w:val="single" w:sz="4" w:space="0" w:color="auto"/>
            </w:tcBorders>
            <w:shd w:val="clear" w:color="000000" w:fill="FCD5B4"/>
            <w:noWrap/>
            <w:vAlign w:val="center"/>
            <w:hideMark/>
          </w:tcPr>
          <w:p w:rsidR="00486B70" w:rsidRPr="006D296F" w:rsidRDefault="00486B70" w:rsidP="00275F1A">
            <w:pPr>
              <w:spacing w:after="0" w:line="240" w:lineRule="auto"/>
              <w:jc w:val="center"/>
              <w:rPr>
                <w:rFonts w:ascii="Times New Roman" w:eastAsia="Times New Roman" w:hAnsi="Times New Roman" w:cs="Times New Roman"/>
                <w:b/>
                <w:bCs/>
                <w:sz w:val="20"/>
                <w:szCs w:val="20"/>
              </w:rPr>
            </w:pPr>
            <w:r w:rsidRPr="006D296F">
              <w:rPr>
                <w:rFonts w:ascii="Times New Roman" w:eastAsia="Times New Roman" w:hAnsi="Times New Roman" w:cs="Times New Roman"/>
                <w:b/>
                <w:bCs/>
                <w:sz w:val="20"/>
                <w:szCs w:val="20"/>
              </w:rPr>
              <w:t> </w:t>
            </w:r>
          </w:p>
        </w:tc>
        <w:tc>
          <w:tcPr>
            <w:tcW w:w="864" w:type="dxa"/>
            <w:tcBorders>
              <w:top w:val="single" w:sz="4" w:space="0" w:color="auto"/>
              <w:left w:val="nil"/>
              <w:bottom w:val="single" w:sz="4" w:space="0" w:color="auto"/>
              <w:right w:val="single" w:sz="4" w:space="0" w:color="auto"/>
            </w:tcBorders>
            <w:shd w:val="clear" w:color="000000" w:fill="FCD5B4"/>
            <w:noWrap/>
            <w:vAlign w:val="center"/>
            <w:hideMark/>
          </w:tcPr>
          <w:p w:rsidR="00486B70" w:rsidRPr="006D296F" w:rsidRDefault="00486B70" w:rsidP="00275F1A">
            <w:pPr>
              <w:spacing w:after="0" w:line="240" w:lineRule="auto"/>
              <w:jc w:val="center"/>
              <w:rPr>
                <w:rFonts w:ascii="Times New Roman" w:eastAsia="Times New Roman" w:hAnsi="Times New Roman" w:cs="Times New Roman"/>
                <w:b/>
                <w:bCs/>
                <w:sz w:val="20"/>
                <w:szCs w:val="20"/>
              </w:rPr>
            </w:pPr>
            <w:r w:rsidRPr="006D296F">
              <w:rPr>
                <w:rFonts w:ascii="Times New Roman" w:eastAsia="Times New Roman" w:hAnsi="Times New Roman" w:cs="Times New Roman"/>
                <w:b/>
                <w:bCs/>
                <w:sz w:val="20"/>
                <w:szCs w:val="20"/>
              </w:rPr>
              <w:t>2010</w:t>
            </w:r>
          </w:p>
        </w:tc>
      </w:tr>
      <w:tr w:rsidR="00486B70" w:rsidRPr="006D296F" w:rsidTr="006312DF">
        <w:trPr>
          <w:trHeight w:val="360"/>
          <w:jc w:val="center"/>
        </w:trPr>
        <w:tc>
          <w:tcPr>
            <w:tcW w:w="2383" w:type="dxa"/>
            <w:vMerge w:val="restart"/>
            <w:tcBorders>
              <w:top w:val="nil"/>
              <w:left w:val="single" w:sz="4" w:space="0" w:color="auto"/>
              <w:bottom w:val="single" w:sz="4" w:space="0" w:color="auto"/>
              <w:right w:val="single" w:sz="4" w:space="0" w:color="auto"/>
            </w:tcBorders>
            <w:shd w:val="clear" w:color="000000" w:fill="FDE9D9"/>
            <w:vAlign w:val="center"/>
            <w:hideMark/>
          </w:tcPr>
          <w:p w:rsidR="00486B70" w:rsidRPr="006D296F" w:rsidRDefault="00486B70" w:rsidP="00275F1A">
            <w:pPr>
              <w:spacing w:after="0" w:line="240" w:lineRule="auto"/>
              <w:jc w:val="center"/>
              <w:rPr>
                <w:rFonts w:ascii="Times New Roman" w:eastAsia="Times New Roman" w:hAnsi="Times New Roman" w:cs="Times New Roman"/>
                <w:i/>
                <w:iCs/>
                <w:sz w:val="20"/>
                <w:szCs w:val="20"/>
              </w:rPr>
            </w:pPr>
            <w:r w:rsidRPr="006D296F">
              <w:rPr>
                <w:rFonts w:ascii="Times New Roman" w:eastAsia="Times New Roman" w:hAnsi="Times New Roman" w:cs="Times New Roman"/>
                <w:i/>
                <w:iCs/>
                <w:sz w:val="20"/>
                <w:szCs w:val="20"/>
              </w:rPr>
              <w:t>Bendrasis trumpalaikio mokumo koeficientas</w:t>
            </w:r>
          </w:p>
        </w:tc>
        <w:tc>
          <w:tcPr>
            <w:tcW w:w="1701" w:type="dxa"/>
            <w:tcBorders>
              <w:top w:val="nil"/>
              <w:left w:val="nil"/>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1,066,606</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=2.316</w:t>
            </w:r>
          </w:p>
        </w:tc>
        <w:tc>
          <w:tcPr>
            <w:tcW w:w="1843" w:type="dxa"/>
            <w:tcBorders>
              <w:top w:val="nil"/>
              <w:left w:val="nil"/>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1,095,642</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=1.204</w:t>
            </w:r>
          </w:p>
        </w:tc>
        <w:tc>
          <w:tcPr>
            <w:tcW w:w="1943" w:type="dxa"/>
            <w:tcBorders>
              <w:top w:val="nil"/>
              <w:left w:val="nil"/>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1,169,738</w:t>
            </w:r>
          </w:p>
        </w:tc>
        <w:tc>
          <w:tcPr>
            <w:tcW w:w="8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=0.805</w:t>
            </w:r>
          </w:p>
        </w:tc>
      </w:tr>
      <w:tr w:rsidR="00486B70" w:rsidRPr="006D296F" w:rsidTr="006312DF">
        <w:trPr>
          <w:trHeight w:val="300"/>
          <w:jc w:val="center"/>
        </w:trPr>
        <w:tc>
          <w:tcPr>
            <w:tcW w:w="2383" w:type="dxa"/>
            <w:vMerge/>
            <w:tcBorders>
              <w:top w:val="nil"/>
              <w:left w:val="single" w:sz="4" w:space="0" w:color="auto"/>
              <w:bottom w:val="single" w:sz="4" w:space="0" w:color="auto"/>
              <w:right w:val="single" w:sz="4" w:space="0" w:color="auto"/>
            </w:tcBorders>
            <w:vAlign w:val="center"/>
            <w:hideMark/>
          </w:tcPr>
          <w:p w:rsidR="00486B70" w:rsidRPr="006D296F" w:rsidRDefault="00486B70" w:rsidP="00275F1A">
            <w:pPr>
              <w:spacing w:after="0" w:line="240" w:lineRule="auto"/>
              <w:rPr>
                <w:rFonts w:ascii="Times New Roman" w:eastAsia="Times New Roman" w:hAnsi="Times New Roman" w:cs="Times New Roman"/>
                <w:i/>
                <w:iCs/>
                <w:sz w:val="20"/>
                <w:szCs w:val="20"/>
              </w:rPr>
            </w:pPr>
          </w:p>
        </w:tc>
        <w:tc>
          <w:tcPr>
            <w:tcW w:w="1701" w:type="dxa"/>
            <w:tcBorders>
              <w:top w:val="nil"/>
              <w:left w:val="nil"/>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460,604</w:t>
            </w:r>
          </w:p>
        </w:tc>
        <w:tc>
          <w:tcPr>
            <w:tcW w:w="851" w:type="dxa"/>
            <w:vMerge/>
            <w:tcBorders>
              <w:top w:val="nil"/>
              <w:left w:val="single" w:sz="4" w:space="0" w:color="auto"/>
              <w:bottom w:val="single" w:sz="4" w:space="0" w:color="auto"/>
              <w:right w:val="single" w:sz="4" w:space="0" w:color="auto"/>
            </w:tcBorders>
            <w:vAlign w:val="center"/>
            <w:hideMark/>
          </w:tcPr>
          <w:p w:rsidR="00486B70" w:rsidRPr="00E75AAE" w:rsidRDefault="00486B70" w:rsidP="00275F1A">
            <w:pPr>
              <w:spacing w:after="0" w:line="240" w:lineRule="auto"/>
              <w:rPr>
                <w:rFonts w:ascii="Times New Roman" w:eastAsia="Times New Roman" w:hAnsi="Times New Roman" w:cs="Times New Roman"/>
                <w:sz w:val="18"/>
                <w:szCs w:val="18"/>
              </w:rPr>
            </w:pPr>
          </w:p>
        </w:tc>
        <w:tc>
          <w:tcPr>
            <w:tcW w:w="1843" w:type="dxa"/>
            <w:tcBorders>
              <w:top w:val="nil"/>
              <w:left w:val="nil"/>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910,357</w:t>
            </w:r>
          </w:p>
        </w:tc>
        <w:tc>
          <w:tcPr>
            <w:tcW w:w="850" w:type="dxa"/>
            <w:vMerge/>
            <w:tcBorders>
              <w:top w:val="nil"/>
              <w:left w:val="single" w:sz="4" w:space="0" w:color="auto"/>
              <w:bottom w:val="single" w:sz="4" w:space="0" w:color="auto"/>
              <w:right w:val="single" w:sz="4" w:space="0" w:color="auto"/>
            </w:tcBorders>
            <w:vAlign w:val="center"/>
            <w:hideMark/>
          </w:tcPr>
          <w:p w:rsidR="00486B70" w:rsidRPr="00E75AAE" w:rsidRDefault="00486B70" w:rsidP="00275F1A">
            <w:pPr>
              <w:spacing w:after="0" w:line="240" w:lineRule="auto"/>
              <w:rPr>
                <w:rFonts w:ascii="Times New Roman" w:eastAsia="Times New Roman" w:hAnsi="Times New Roman" w:cs="Times New Roman"/>
                <w:sz w:val="18"/>
                <w:szCs w:val="18"/>
              </w:rPr>
            </w:pPr>
          </w:p>
        </w:tc>
        <w:tc>
          <w:tcPr>
            <w:tcW w:w="1943" w:type="dxa"/>
            <w:tcBorders>
              <w:top w:val="nil"/>
              <w:left w:val="nil"/>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1,453,952</w:t>
            </w:r>
          </w:p>
        </w:tc>
        <w:tc>
          <w:tcPr>
            <w:tcW w:w="864" w:type="dxa"/>
            <w:vMerge/>
            <w:tcBorders>
              <w:top w:val="nil"/>
              <w:left w:val="single" w:sz="4" w:space="0" w:color="auto"/>
              <w:bottom w:val="single" w:sz="4" w:space="0" w:color="auto"/>
              <w:right w:val="single" w:sz="4" w:space="0" w:color="auto"/>
            </w:tcBorders>
            <w:vAlign w:val="center"/>
            <w:hideMark/>
          </w:tcPr>
          <w:p w:rsidR="00486B70" w:rsidRPr="00E75AAE" w:rsidRDefault="00486B70" w:rsidP="00275F1A">
            <w:pPr>
              <w:spacing w:after="0" w:line="240" w:lineRule="auto"/>
              <w:rPr>
                <w:rFonts w:ascii="Times New Roman" w:eastAsia="Times New Roman" w:hAnsi="Times New Roman" w:cs="Times New Roman"/>
                <w:sz w:val="18"/>
                <w:szCs w:val="18"/>
              </w:rPr>
            </w:pPr>
          </w:p>
        </w:tc>
      </w:tr>
      <w:tr w:rsidR="00486B70" w:rsidRPr="006D296F" w:rsidTr="006312DF">
        <w:trPr>
          <w:trHeight w:val="300"/>
          <w:jc w:val="center"/>
        </w:trPr>
        <w:tc>
          <w:tcPr>
            <w:tcW w:w="2383" w:type="dxa"/>
            <w:vMerge w:val="restart"/>
            <w:tcBorders>
              <w:top w:val="nil"/>
              <w:left w:val="single" w:sz="4" w:space="0" w:color="auto"/>
              <w:bottom w:val="single" w:sz="4" w:space="0" w:color="auto"/>
              <w:right w:val="single" w:sz="4" w:space="0" w:color="auto"/>
            </w:tcBorders>
            <w:shd w:val="clear" w:color="000000" w:fill="FDE9D9"/>
            <w:vAlign w:val="center"/>
            <w:hideMark/>
          </w:tcPr>
          <w:p w:rsidR="00486B70" w:rsidRPr="006D296F" w:rsidRDefault="00486B70" w:rsidP="00275F1A">
            <w:pPr>
              <w:spacing w:after="0" w:line="240" w:lineRule="auto"/>
              <w:jc w:val="center"/>
              <w:rPr>
                <w:rFonts w:ascii="Times New Roman" w:eastAsia="Times New Roman" w:hAnsi="Times New Roman" w:cs="Times New Roman"/>
                <w:i/>
                <w:iCs/>
                <w:sz w:val="20"/>
                <w:szCs w:val="20"/>
              </w:rPr>
            </w:pPr>
            <w:r w:rsidRPr="006D296F">
              <w:rPr>
                <w:rFonts w:ascii="Times New Roman" w:eastAsia="Times New Roman" w:hAnsi="Times New Roman" w:cs="Times New Roman"/>
                <w:i/>
                <w:iCs/>
                <w:sz w:val="20"/>
                <w:szCs w:val="20"/>
              </w:rPr>
              <w:t>Greitojo trumpalaikio mokumo koeficientas</w:t>
            </w:r>
          </w:p>
        </w:tc>
        <w:tc>
          <w:tcPr>
            <w:tcW w:w="1701" w:type="dxa"/>
            <w:tcBorders>
              <w:top w:val="nil"/>
              <w:left w:val="nil"/>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1,066,606-329,155</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=1.601</w:t>
            </w:r>
          </w:p>
        </w:tc>
        <w:tc>
          <w:tcPr>
            <w:tcW w:w="1843" w:type="dxa"/>
            <w:tcBorders>
              <w:top w:val="nil"/>
              <w:left w:val="nil"/>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1,095,642-314,694</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=0.858</w:t>
            </w:r>
          </w:p>
        </w:tc>
        <w:tc>
          <w:tcPr>
            <w:tcW w:w="1943" w:type="dxa"/>
            <w:tcBorders>
              <w:top w:val="nil"/>
              <w:left w:val="nil"/>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1,169,738-299,146</w:t>
            </w:r>
          </w:p>
        </w:tc>
        <w:tc>
          <w:tcPr>
            <w:tcW w:w="8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=0.599</w:t>
            </w:r>
          </w:p>
        </w:tc>
      </w:tr>
      <w:tr w:rsidR="00486B70" w:rsidRPr="006D296F" w:rsidTr="006312DF">
        <w:trPr>
          <w:trHeight w:val="300"/>
          <w:jc w:val="center"/>
        </w:trPr>
        <w:tc>
          <w:tcPr>
            <w:tcW w:w="2383" w:type="dxa"/>
            <w:vMerge/>
            <w:tcBorders>
              <w:top w:val="nil"/>
              <w:left w:val="single" w:sz="4" w:space="0" w:color="auto"/>
              <w:bottom w:val="single" w:sz="4" w:space="0" w:color="auto"/>
              <w:right w:val="single" w:sz="4" w:space="0" w:color="auto"/>
            </w:tcBorders>
            <w:vAlign w:val="center"/>
            <w:hideMark/>
          </w:tcPr>
          <w:p w:rsidR="00486B70" w:rsidRPr="006D296F" w:rsidRDefault="00486B70" w:rsidP="00275F1A">
            <w:pPr>
              <w:spacing w:after="0" w:line="240" w:lineRule="auto"/>
              <w:rPr>
                <w:rFonts w:ascii="Times New Roman" w:eastAsia="Times New Roman" w:hAnsi="Times New Roman" w:cs="Times New Roman"/>
                <w:i/>
                <w:iCs/>
                <w:sz w:val="20"/>
                <w:szCs w:val="20"/>
              </w:rPr>
            </w:pPr>
          </w:p>
        </w:tc>
        <w:tc>
          <w:tcPr>
            <w:tcW w:w="1701" w:type="dxa"/>
            <w:tcBorders>
              <w:top w:val="nil"/>
              <w:left w:val="nil"/>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460,604</w:t>
            </w:r>
          </w:p>
        </w:tc>
        <w:tc>
          <w:tcPr>
            <w:tcW w:w="851" w:type="dxa"/>
            <w:vMerge/>
            <w:tcBorders>
              <w:top w:val="nil"/>
              <w:left w:val="single" w:sz="4" w:space="0" w:color="auto"/>
              <w:bottom w:val="single" w:sz="4" w:space="0" w:color="auto"/>
              <w:right w:val="single" w:sz="4" w:space="0" w:color="auto"/>
            </w:tcBorders>
            <w:vAlign w:val="center"/>
            <w:hideMark/>
          </w:tcPr>
          <w:p w:rsidR="00486B70" w:rsidRPr="00E75AAE" w:rsidRDefault="00486B70" w:rsidP="00275F1A">
            <w:pPr>
              <w:spacing w:after="0" w:line="240" w:lineRule="auto"/>
              <w:rPr>
                <w:rFonts w:ascii="Times New Roman" w:eastAsia="Times New Roman" w:hAnsi="Times New Roman" w:cs="Times New Roman"/>
                <w:sz w:val="18"/>
                <w:szCs w:val="18"/>
              </w:rPr>
            </w:pPr>
          </w:p>
        </w:tc>
        <w:tc>
          <w:tcPr>
            <w:tcW w:w="1843" w:type="dxa"/>
            <w:tcBorders>
              <w:top w:val="nil"/>
              <w:left w:val="nil"/>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910,357</w:t>
            </w:r>
          </w:p>
        </w:tc>
        <w:tc>
          <w:tcPr>
            <w:tcW w:w="850" w:type="dxa"/>
            <w:vMerge/>
            <w:tcBorders>
              <w:top w:val="nil"/>
              <w:left w:val="single" w:sz="4" w:space="0" w:color="auto"/>
              <w:bottom w:val="single" w:sz="4" w:space="0" w:color="auto"/>
              <w:right w:val="single" w:sz="4" w:space="0" w:color="auto"/>
            </w:tcBorders>
            <w:vAlign w:val="center"/>
            <w:hideMark/>
          </w:tcPr>
          <w:p w:rsidR="00486B70" w:rsidRPr="00E75AAE" w:rsidRDefault="00486B70" w:rsidP="00275F1A">
            <w:pPr>
              <w:spacing w:after="0" w:line="240" w:lineRule="auto"/>
              <w:rPr>
                <w:rFonts w:ascii="Times New Roman" w:eastAsia="Times New Roman" w:hAnsi="Times New Roman" w:cs="Times New Roman"/>
                <w:sz w:val="18"/>
                <w:szCs w:val="18"/>
              </w:rPr>
            </w:pPr>
          </w:p>
        </w:tc>
        <w:tc>
          <w:tcPr>
            <w:tcW w:w="1943" w:type="dxa"/>
            <w:tcBorders>
              <w:top w:val="nil"/>
              <w:left w:val="nil"/>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1,453,952</w:t>
            </w:r>
          </w:p>
        </w:tc>
        <w:tc>
          <w:tcPr>
            <w:tcW w:w="864" w:type="dxa"/>
            <w:vMerge/>
            <w:tcBorders>
              <w:top w:val="nil"/>
              <w:left w:val="single" w:sz="4" w:space="0" w:color="auto"/>
              <w:bottom w:val="single" w:sz="4" w:space="0" w:color="auto"/>
              <w:right w:val="single" w:sz="4" w:space="0" w:color="auto"/>
            </w:tcBorders>
            <w:vAlign w:val="center"/>
            <w:hideMark/>
          </w:tcPr>
          <w:p w:rsidR="00486B70" w:rsidRPr="00E75AAE" w:rsidRDefault="00486B70" w:rsidP="00275F1A">
            <w:pPr>
              <w:spacing w:after="0" w:line="240" w:lineRule="auto"/>
              <w:rPr>
                <w:rFonts w:ascii="Times New Roman" w:eastAsia="Times New Roman" w:hAnsi="Times New Roman" w:cs="Times New Roman"/>
                <w:sz w:val="18"/>
                <w:szCs w:val="18"/>
              </w:rPr>
            </w:pPr>
          </w:p>
        </w:tc>
      </w:tr>
      <w:tr w:rsidR="00486B70" w:rsidRPr="006D296F" w:rsidTr="006312DF">
        <w:trPr>
          <w:trHeight w:val="300"/>
          <w:jc w:val="center"/>
        </w:trPr>
        <w:tc>
          <w:tcPr>
            <w:tcW w:w="2383" w:type="dxa"/>
            <w:vMerge w:val="restart"/>
            <w:tcBorders>
              <w:top w:val="nil"/>
              <w:left w:val="single" w:sz="4" w:space="0" w:color="auto"/>
              <w:bottom w:val="single" w:sz="4" w:space="0" w:color="auto"/>
              <w:right w:val="single" w:sz="4" w:space="0" w:color="auto"/>
            </w:tcBorders>
            <w:shd w:val="clear" w:color="000000" w:fill="FDE9D9"/>
            <w:vAlign w:val="center"/>
            <w:hideMark/>
          </w:tcPr>
          <w:p w:rsidR="00486B70" w:rsidRPr="006D296F" w:rsidRDefault="00486B70" w:rsidP="00275F1A">
            <w:pPr>
              <w:spacing w:after="0" w:line="240" w:lineRule="auto"/>
              <w:jc w:val="center"/>
              <w:rPr>
                <w:rFonts w:ascii="Times New Roman" w:eastAsia="Times New Roman" w:hAnsi="Times New Roman" w:cs="Times New Roman"/>
                <w:i/>
                <w:iCs/>
                <w:sz w:val="20"/>
                <w:szCs w:val="20"/>
              </w:rPr>
            </w:pPr>
            <w:r w:rsidRPr="006D296F">
              <w:rPr>
                <w:rFonts w:ascii="Times New Roman" w:eastAsia="Times New Roman" w:hAnsi="Times New Roman" w:cs="Times New Roman"/>
                <w:i/>
                <w:iCs/>
                <w:sz w:val="20"/>
                <w:szCs w:val="20"/>
              </w:rPr>
              <w:t>Bendrasis skolos koeficientas</w:t>
            </w:r>
          </w:p>
        </w:tc>
        <w:tc>
          <w:tcPr>
            <w:tcW w:w="1701" w:type="dxa"/>
            <w:tcBorders>
              <w:top w:val="nil"/>
              <w:left w:val="nil"/>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3,098,426</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=0.227</w:t>
            </w:r>
          </w:p>
        </w:tc>
        <w:tc>
          <w:tcPr>
            <w:tcW w:w="1843" w:type="dxa"/>
            <w:tcBorders>
              <w:top w:val="nil"/>
              <w:left w:val="nil"/>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4,313,061</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=0.484</w:t>
            </w:r>
          </w:p>
        </w:tc>
        <w:tc>
          <w:tcPr>
            <w:tcW w:w="1943" w:type="dxa"/>
            <w:tcBorders>
              <w:top w:val="nil"/>
              <w:left w:val="nil"/>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3,929,810</w:t>
            </w:r>
          </w:p>
        </w:tc>
        <w:tc>
          <w:tcPr>
            <w:tcW w:w="8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=0.598</w:t>
            </w:r>
          </w:p>
        </w:tc>
      </w:tr>
      <w:tr w:rsidR="00486B70" w:rsidRPr="006D296F" w:rsidTr="006312DF">
        <w:trPr>
          <w:trHeight w:val="300"/>
          <w:jc w:val="center"/>
        </w:trPr>
        <w:tc>
          <w:tcPr>
            <w:tcW w:w="2383" w:type="dxa"/>
            <w:vMerge/>
            <w:tcBorders>
              <w:top w:val="nil"/>
              <w:left w:val="single" w:sz="4" w:space="0" w:color="auto"/>
              <w:bottom w:val="single" w:sz="4" w:space="0" w:color="auto"/>
              <w:right w:val="single" w:sz="4" w:space="0" w:color="auto"/>
            </w:tcBorders>
            <w:vAlign w:val="center"/>
            <w:hideMark/>
          </w:tcPr>
          <w:p w:rsidR="00486B70" w:rsidRPr="006D296F" w:rsidRDefault="00486B70" w:rsidP="00275F1A">
            <w:pPr>
              <w:spacing w:after="0" w:line="240" w:lineRule="auto"/>
              <w:rPr>
                <w:rFonts w:ascii="Times New Roman" w:eastAsia="Times New Roman" w:hAnsi="Times New Roman" w:cs="Times New Roman"/>
                <w:i/>
                <w:iCs/>
                <w:sz w:val="20"/>
                <w:szCs w:val="20"/>
              </w:rPr>
            </w:pPr>
          </w:p>
        </w:tc>
        <w:tc>
          <w:tcPr>
            <w:tcW w:w="1701" w:type="dxa"/>
            <w:tcBorders>
              <w:top w:val="nil"/>
              <w:left w:val="nil"/>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243,144+460,604</w:t>
            </w:r>
          </w:p>
        </w:tc>
        <w:tc>
          <w:tcPr>
            <w:tcW w:w="851" w:type="dxa"/>
            <w:vMerge/>
            <w:tcBorders>
              <w:top w:val="nil"/>
              <w:left w:val="single" w:sz="4" w:space="0" w:color="auto"/>
              <w:bottom w:val="single" w:sz="4" w:space="0" w:color="auto"/>
              <w:right w:val="single" w:sz="4" w:space="0" w:color="auto"/>
            </w:tcBorders>
            <w:vAlign w:val="center"/>
            <w:hideMark/>
          </w:tcPr>
          <w:p w:rsidR="00486B70" w:rsidRPr="00E75AAE" w:rsidRDefault="00486B70" w:rsidP="00275F1A">
            <w:pPr>
              <w:spacing w:after="0" w:line="240" w:lineRule="auto"/>
              <w:rPr>
                <w:rFonts w:ascii="Times New Roman" w:eastAsia="Times New Roman" w:hAnsi="Times New Roman" w:cs="Times New Roman"/>
                <w:sz w:val="18"/>
                <w:szCs w:val="18"/>
              </w:rPr>
            </w:pPr>
          </w:p>
        </w:tc>
        <w:tc>
          <w:tcPr>
            <w:tcW w:w="1843" w:type="dxa"/>
            <w:tcBorders>
              <w:top w:val="nil"/>
              <w:left w:val="nil"/>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1,178,205+910,357</w:t>
            </w:r>
          </w:p>
        </w:tc>
        <w:tc>
          <w:tcPr>
            <w:tcW w:w="850" w:type="dxa"/>
            <w:vMerge/>
            <w:tcBorders>
              <w:top w:val="nil"/>
              <w:left w:val="single" w:sz="4" w:space="0" w:color="auto"/>
              <w:bottom w:val="single" w:sz="4" w:space="0" w:color="auto"/>
              <w:right w:val="single" w:sz="4" w:space="0" w:color="auto"/>
            </w:tcBorders>
            <w:vAlign w:val="center"/>
            <w:hideMark/>
          </w:tcPr>
          <w:p w:rsidR="00486B70" w:rsidRPr="00E75AAE" w:rsidRDefault="00486B70" w:rsidP="00275F1A">
            <w:pPr>
              <w:spacing w:after="0" w:line="240" w:lineRule="auto"/>
              <w:rPr>
                <w:rFonts w:ascii="Times New Roman" w:eastAsia="Times New Roman" w:hAnsi="Times New Roman" w:cs="Times New Roman"/>
                <w:sz w:val="18"/>
                <w:szCs w:val="18"/>
              </w:rPr>
            </w:pPr>
          </w:p>
        </w:tc>
        <w:tc>
          <w:tcPr>
            <w:tcW w:w="1943" w:type="dxa"/>
            <w:tcBorders>
              <w:top w:val="nil"/>
              <w:left w:val="nil"/>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897,403+1,453,952</w:t>
            </w:r>
          </w:p>
        </w:tc>
        <w:tc>
          <w:tcPr>
            <w:tcW w:w="864" w:type="dxa"/>
            <w:vMerge/>
            <w:tcBorders>
              <w:top w:val="nil"/>
              <w:left w:val="single" w:sz="4" w:space="0" w:color="auto"/>
              <w:bottom w:val="single" w:sz="4" w:space="0" w:color="auto"/>
              <w:right w:val="single" w:sz="4" w:space="0" w:color="auto"/>
            </w:tcBorders>
            <w:vAlign w:val="center"/>
            <w:hideMark/>
          </w:tcPr>
          <w:p w:rsidR="00486B70" w:rsidRPr="00E75AAE" w:rsidRDefault="00486B70" w:rsidP="00275F1A">
            <w:pPr>
              <w:spacing w:after="0" w:line="240" w:lineRule="auto"/>
              <w:rPr>
                <w:rFonts w:ascii="Times New Roman" w:eastAsia="Times New Roman" w:hAnsi="Times New Roman" w:cs="Times New Roman"/>
                <w:sz w:val="18"/>
                <w:szCs w:val="18"/>
              </w:rPr>
            </w:pPr>
          </w:p>
        </w:tc>
      </w:tr>
      <w:tr w:rsidR="00486B70" w:rsidRPr="006D296F" w:rsidTr="006312DF">
        <w:trPr>
          <w:trHeight w:val="300"/>
          <w:jc w:val="center"/>
        </w:trPr>
        <w:tc>
          <w:tcPr>
            <w:tcW w:w="2383" w:type="dxa"/>
            <w:vMerge w:val="restart"/>
            <w:tcBorders>
              <w:top w:val="nil"/>
              <w:left w:val="single" w:sz="4" w:space="0" w:color="auto"/>
              <w:bottom w:val="single" w:sz="4" w:space="0" w:color="auto"/>
              <w:right w:val="single" w:sz="4" w:space="0" w:color="auto"/>
            </w:tcBorders>
            <w:shd w:val="clear" w:color="000000" w:fill="FDE9D9"/>
            <w:vAlign w:val="center"/>
            <w:hideMark/>
          </w:tcPr>
          <w:p w:rsidR="00486B70" w:rsidRPr="006D296F" w:rsidRDefault="00486B70" w:rsidP="00275F1A">
            <w:pPr>
              <w:spacing w:after="0" w:line="240" w:lineRule="auto"/>
              <w:jc w:val="center"/>
              <w:rPr>
                <w:rFonts w:ascii="Times New Roman" w:eastAsia="Times New Roman" w:hAnsi="Times New Roman" w:cs="Times New Roman"/>
                <w:i/>
                <w:iCs/>
                <w:sz w:val="20"/>
                <w:szCs w:val="20"/>
              </w:rPr>
            </w:pPr>
            <w:r w:rsidRPr="006D296F">
              <w:rPr>
                <w:rFonts w:ascii="Times New Roman" w:eastAsia="Times New Roman" w:hAnsi="Times New Roman" w:cs="Times New Roman"/>
                <w:i/>
                <w:iCs/>
                <w:sz w:val="20"/>
                <w:szCs w:val="20"/>
              </w:rPr>
              <w:t>Turto pelningumas (ROA)</w:t>
            </w:r>
          </w:p>
        </w:tc>
        <w:tc>
          <w:tcPr>
            <w:tcW w:w="1701" w:type="dxa"/>
            <w:tcBorders>
              <w:top w:val="nil"/>
              <w:left w:val="nil"/>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12,907</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=0.004</w:t>
            </w:r>
          </w:p>
        </w:tc>
        <w:tc>
          <w:tcPr>
            <w:tcW w:w="1843" w:type="dxa"/>
            <w:tcBorders>
              <w:top w:val="nil"/>
              <w:left w:val="nil"/>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-165,820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=-0.038</w:t>
            </w:r>
          </w:p>
        </w:tc>
        <w:tc>
          <w:tcPr>
            <w:tcW w:w="1943" w:type="dxa"/>
            <w:tcBorders>
              <w:top w:val="nil"/>
              <w:left w:val="nil"/>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-716,257</w:t>
            </w:r>
          </w:p>
        </w:tc>
        <w:tc>
          <w:tcPr>
            <w:tcW w:w="8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=-0.182</w:t>
            </w:r>
          </w:p>
        </w:tc>
      </w:tr>
      <w:tr w:rsidR="00486B70" w:rsidRPr="006D296F" w:rsidTr="006312DF">
        <w:trPr>
          <w:trHeight w:val="300"/>
          <w:jc w:val="center"/>
        </w:trPr>
        <w:tc>
          <w:tcPr>
            <w:tcW w:w="2383" w:type="dxa"/>
            <w:vMerge/>
            <w:tcBorders>
              <w:top w:val="nil"/>
              <w:left w:val="single" w:sz="4" w:space="0" w:color="auto"/>
              <w:bottom w:val="single" w:sz="4" w:space="0" w:color="auto"/>
              <w:right w:val="single" w:sz="4" w:space="0" w:color="auto"/>
            </w:tcBorders>
            <w:vAlign w:val="center"/>
            <w:hideMark/>
          </w:tcPr>
          <w:p w:rsidR="00486B70" w:rsidRPr="006D296F" w:rsidRDefault="00486B70" w:rsidP="00275F1A">
            <w:pPr>
              <w:spacing w:after="0" w:line="240" w:lineRule="auto"/>
              <w:rPr>
                <w:rFonts w:ascii="Times New Roman" w:eastAsia="Times New Roman" w:hAnsi="Times New Roman" w:cs="Times New Roman"/>
                <w:i/>
                <w:iCs/>
                <w:sz w:val="20"/>
                <w:szCs w:val="20"/>
              </w:rPr>
            </w:pPr>
          </w:p>
        </w:tc>
        <w:tc>
          <w:tcPr>
            <w:tcW w:w="1701" w:type="dxa"/>
            <w:tcBorders>
              <w:top w:val="nil"/>
              <w:left w:val="nil"/>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3,098,426</w:t>
            </w:r>
          </w:p>
        </w:tc>
        <w:tc>
          <w:tcPr>
            <w:tcW w:w="851" w:type="dxa"/>
            <w:vMerge/>
            <w:tcBorders>
              <w:top w:val="nil"/>
              <w:left w:val="single" w:sz="4" w:space="0" w:color="auto"/>
              <w:bottom w:val="single" w:sz="4" w:space="0" w:color="auto"/>
              <w:right w:val="single" w:sz="4" w:space="0" w:color="auto"/>
            </w:tcBorders>
            <w:vAlign w:val="center"/>
            <w:hideMark/>
          </w:tcPr>
          <w:p w:rsidR="00486B70" w:rsidRPr="00E75AAE" w:rsidRDefault="00486B70" w:rsidP="00275F1A">
            <w:pPr>
              <w:spacing w:after="0" w:line="240" w:lineRule="auto"/>
              <w:rPr>
                <w:rFonts w:ascii="Times New Roman" w:eastAsia="Times New Roman" w:hAnsi="Times New Roman" w:cs="Times New Roman"/>
                <w:sz w:val="18"/>
                <w:szCs w:val="18"/>
              </w:rPr>
            </w:pPr>
          </w:p>
        </w:tc>
        <w:tc>
          <w:tcPr>
            <w:tcW w:w="1843" w:type="dxa"/>
            <w:tcBorders>
              <w:top w:val="nil"/>
              <w:left w:val="nil"/>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4,313,061</w:t>
            </w:r>
          </w:p>
        </w:tc>
        <w:tc>
          <w:tcPr>
            <w:tcW w:w="850" w:type="dxa"/>
            <w:vMerge/>
            <w:tcBorders>
              <w:top w:val="nil"/>
              <w:left w:val="single" w:sz="4" w:space="0" w:color="auto"/>
              <w:bottom w:val="single" w:sz="4" w:space="0" w:color="auto"/>
              <w:right w:val="single" w:sz="4" w:space="0" w:color="auto"/>
            </w:tcBorders>
            <w:vAlign w:val="center"/>
            <w:hideMark/>
          </w:tcPr>
          <w:p w:rsidR="00486B70" w:rsidRPr="00E75AAE" w:rsidRDefault="00486B70" w:rsidP="00275F1A">
            <w:pPr>
              <w:spacing w:after="0" w:line="240" w:lineRule="auto"/>
              <w:rPr>
                <w:rFonts w:ascii="Times New Roman" w:eastAsia="Times New Roman" w:hAnsi="Times New Roman" w:cs="Times New Roman"/>
                <w:sz w:val="18"/>
                <w:szCs w:val="18"/>
              </w:rPr>
            </w:pPr>
          </w:p>
        </w:tc>
        <w:tc>
          <w:tcPr>
            <w:tcW w:w="1943" w:type="dxa"/>
            <w:tcBorders>
              <w:top w:val="nil"/>
              <w:left w:val="nil"/>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3,929,810</w:t>
            </w:r>
          </w:p>
        </w:tc>
        <w:tc>
          <w:tcPr>
            <w:tcW w:w="864" w:type="dxa"/>
            <w:vMerge/>
            <w:tcBorders>
              <w:top w:val="nil"/>
              <w:left w:val="single" w:sz="4" w:space="0" w:color="auto"/>
              <w:bottom w:val="single" w:sz="4" w:space="0" w:color="auto"/>
              <w:right w:val="single" w:sz="4" w:space="0" w:color="auto"/>
            </w:tcBorders>
            <w:vAlign w:val="center"/>
            <w:hideMark/>
          </w:tcPr>
          <w:p w:rsidR="00486B70" w:rsidRPr="00E75AAE" w:rsidRDefault="00486B70" w:rsidP="00275F1A">
            <w:pPr>
              <w:spacing w:after="0" w:line="240" w:lineRule="auto"/>
              <w:rPr>
                <w:rFonts w:ascii="Times New Roman" w:eastAsia="Times New Roman" w:hAnsi="Times New Roman" w:cs="Times New Roman"/>
                <w:sz w:val="18"/>
                <w:szCs w:val="18"/>
              </w:rPr>
            </w:pPr>
          </w:p>
        </w:tc>
      </w:tr>
      <w:tr w:rsidR="00486B70" w:rsidRPr="006D296F" w:rsidTr="006312DF">
        <w:trPr>
          <w:trHeight w:val="345"/>
          <w:jc w:val="center"/>
        </w:trPr>
        <w:tc>
          <w:tcPr>
            <w:tcW w:w="2383" w:type="dxa"/>
            <w:vMerge w:val="restart"/>
            <w:tcBorders>
              <w:top w:val="nil"/>
              <w:left w:val="single" w:sz="4" w:space="0" w:color="auto"/>
              <w:bottom w:val="single" w:sz="4" w:space="0" w:color="auto"/>
              <w:right w:val="single" w:sz="4" w:space="0" w:color="auto"/>
            </w:tcBorders>
            <w:shd w:val="clear" w:color="000000" w:fill="FDE9D9"/>
            <w:vAlign w:val="center"/>
            <w:hideMark/>
          </w:tcPr>
          <w:p w:rsidR="00486B70" w:rsidRPr="006D296F" w:rsidRDefault="00486B70" w:rsidP="00275F1A">
            <w:pPr>
              <w:spacing w:after="0" w:line="240" w:lineRule="auto"/>
              <w:jc w:val="center"/>
              <w:rPr>
                <w:rFonts w:ascii="Times New Roman" w:eastAsia="Times New Roman" w:hAnsi="Times New Roman" w:cs="Times New Roman"/>
                <w:i/>
                <w:iCs/>
                <w:sz w:val="20"/>
                <w:szCs w:val="20"/>
              </w:rPr>
            </w:pPr>
            <w:r w:rsidRPr="006D296F">
              <w:rPr>
                <w:rFonts w:ascii="Times New Roman" w:eastAsia="Times New Roman" w:hAnsi="Times New Roman" w:cs="Times New Roman"/>
                <w:i/>
                <w:iCs/>
                <w:sz w:val="20"/>
                <w:szCs w:val="20"/>
              </w:rPr>
              <w:t>Grynasis pardavimo pelningumas</w:t>
            </w:r>
          </w:p>
        </w:tc>
        <w:tc>
          <w:tcPr>
            <w:tcW w:w="1701" w:type="dxa"/>
            <w:tcBorders>
              <w:top w:val="nil"/>
              <w:left w:val="nil"/>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12,907</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=0.003</w:t>
            </w:r>
          </w:p>
        </w:tc>
        <w:tc>
          <w:tcPr>
            <w:tcW w:w="1843" w:type="dxa"/>
            <w:tcBorders>
              <w:top w:val="nil"/>
              <w:left w:val="nil"/>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-165,820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=-0.043</w:t>
            </w:r>
          </w:p>
        </w:tc>
        <w:tc>
          <w:tcPr>
            <w:tcW w:w="1943" w:type="dxa"/>
            <w:tcBorders>
              <w:top w:val="nil"/>
              <w:left w:val="nil"/>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-716,257</w:t>
            </w:r>
          </w:p>
        </w:tc>
        <w:tc>
          <w:tcPr>
            <w:tcW w:w="8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=-0.158</w:t>
            </w:r>
          </w:p>
        </w:tc>
      </w:tr>
      <w:tr w:rsidR="00486B70" w:rsidRPr="006D296F" w:rsidTr="006312DF">
        <w:trPr>
          <w:trHeight w:val="300"/>
          <w:jc w:val="center"/>
        </w:trPr>
        <w:tc>
          <w:tcPr>
            <w:tcW w:w="2383" w:type="dxa"/>
            <w:vMerge/>
            <w:tcBorders>
              <w:top w:val="nil"/>
              <w:left w:val="single" w:sz="4" w:space="0" w:color="auto"/>
              <w:bottom w:val="single" w:sz="4" w:space="0" w:color="auto"/>
              <w:right w:val="single" w:sz="4" w:space="0" w:color="auto"/>
            </w:tcBorders>
            <w:vAlign w:val="center"/>
            <w:hideMark/>
          </w:tcPr>
          <w:p w:rsidR="00486B70" w:rsidRPr="006D296F" w:rsidRDefault="00486B70" w:rsidP="00275F1A">
            <w:pPr>
              <w:spacing w:after="0" w:line="240" w:lineRule="auto"/>
              <w:rPr>
                <w:rFonts w:ascii="Times New Roman" w:eastAsia="Times New Roman" w:hAnsi="Times New Roman" w:cs="Times New Roman"/>
                <w:i/>
                <w:iCs/>
                <w:sz w:val="20"/>
                <w:szCs w:val="20"/>
              </w:rPr>
            </w:pPr>
          </w:p>
        </w:tc>
        <w:tc>
          <w:tcPr>
            <w:tcW w:w="1701" w:type="dxa"/>
            <w:tcBorders>
              <w:top w:val="nil"/>
              <w:left w:val="nil"/>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4,279,237</w:t>
            </w:r>
          </w:p>
        </w:tc>
        <w:tc>
          <w:tcPr>
            <w:tcW w:w="851" w:type="dxa"/>
            <w:vMerge/>
            <w:tcBorders>
              <w:top w:val="nil"/>
              <w:left w:val="single" w:sz="4" w:space="0" w:color="auto"/>
              <w:bottom w:val="single" w:sz="4" w:space="0" w:color="auto"/>
              <w:right w:val="single" w:sz="4" w:space="0" w:color="auto"/>
            </w:tcBorders>
            <w:vAlign w:val="center"/>
            <w:hideMark/>
          </w:tcPr>
          <w:p w:rsidR="00486B70" w:rsidRPr="00E75AAE" w:rsidRDefault="00486B70" w:rsidP="00275F1A">
            <w:pPr>
              <w:spacing w:after="0" w:line="240" w:lineRule="auto"/>
              <w:rPr>
                <w:rFonts w:ascii="Times New Roman" w:eastAsia="Times New Roman" w:hAnsi="Times New Roman" w:cs="Times New Roman"/>
                <w:sz w:val="18"/>
                <w:szCs w:val="18"/>
              </w:rPr>
            </w:pPr>
          </w:p>
        </w:tc>
        <w:tc>
          <w:tcPr>
            <w:tcW w:w="1843" w:type="dxa"/>
            <w:tcBorders>
              <w:top w:val="nil"/>
              <w:left w:val="nil"/>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3,886,494</w:t>
            </w:r>
          </w:p>
        </w:tc>
        <w:tc>
          <w:tcPr>
            <w:tcW w:w="850" w:type="dxa"/>
            <w:vMerge/>
            <w:tcBorders>
              <w:top w:val="nil"/>
              <w:left w:val="single" w:sz="4" w:space="0" w:color="auto"/>
              <w:bottom w:val="single" w:sz="4" w:space="0" w:color="auto"/>
              <w:right w:val="single" w:sz="4" w:space="0" w:color="auto"/>
            </w:tcBorders>
            <w:vAlign w:val="center"/>
            <w:hideMark/>
          </w:tcPr>
          <w:p w:rsidR="00486B70" w:rsidRPr="00E75AAE" w:rsidRDefault="00486B70" w:rsidP="00275F1A">
            <w:pPr>
              <w:spacing w:after="0" w:line="240" w:lineRule="auto"/>
              <w:rPr>
                <w:rFonts w:ascii="Times New Roman" w:eastAsia="Times New Roman" w:hAnsi="Times New Roman" w:cs="Times New Roman"/>
                <w:sz w:val="18"/>
                <w:szCs w:val="18"/>
              </w:rPr>
            </w:pPr>
          </w:p>
        </w:tc>
        <w:tc>
          <w:tcPr>
            <w:tcW w:w="1943" w:type="dxa"/>
            <w:tcBorders>
              <w:top w:val="nil"/>
              <w:left w:val="nil"/>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4,542,976</w:t>
            </w:r>
          </w:p>
        </w:tc>
        <w:tc>
          <w:tcPr>
            <w:tcW w:w="864" w:type="dxa"/>
            <w:vMerge/>
            <w:tcBorders>
              <w:top w:val="nil"/>
              <w:left w:val="single" w:sz="4" w:space="0" w:color="auto"/>
              <w:bottom w:val="single" w:sz="4" w:space="0" w:color="auto"/>
              <w:right w:val="single" w:sz="4" w:space="0" w:color="auto"/>
            </w:tcBorders>
            <w:vAlign w:val="center"/>
            <w:hideMark/>
          </w:tcPr>
          <w:p w:rsidR="00486B70" w:rsidRPr="00E75AAE" w:rsidRDefault="00486B70" w:rsidP="00275F1A">
            <w:pPr>
              <w:spacing w:after="0" w:line="240" w:lineRule="auto"/>
              <w:rPr>
                <w:rFonts w:ascii="Times New Roman" w:eastAsia="Times New Roman" w:hAnsi="Times New Roman" w:cs="Times New Roman"/>
                <w:sz w:val="18"/>
                <w:szCs w:val="18"/>
              </w:rPr>
            </w:pPr>
          </w:p>
        </w:tc>
      </w:tr>
      <w:tr w:rsidR="00486B70" w:rsidRPr="006D296F" w:rsidTr="006312DF">
        <w:trPr>
          <w:trHeight w:val="300"/>
          <w:jc w:val="center"/>
        </w:trPr>
        <w:tc>
          <w:tcPr>
            <w:tcW w:w="2383" w:type="dxa"/>
            <w:vMerge w:val="restart"/>
            <w:tcBorders>
              <w:top w:val="nil"/>
              <w:left w:val="single" w:sz="4" w:space="0" w:color="auto"/>
              <w:bottom w:val="single" w:sz="4" w:space="0" w:color="auto"/>
              <w:right w:val="single" w:sz="4" w:space="0" w:color="auto"/>
            </w:tcBorders>
            <w:shd w:val="clear" w:color="000000" w:fill="FDE9D9"/>
            <w:vAlign w:val="center"/>
            <w:hideMark/>
          </w:tcPr>
          <w:p w:rsidR="00486B70" w:rsidRPr="006D296F" w:rsidRDefault="00486B70" w:rsidP="00275F1A">
            <w:pPr>
              <w:spacing w:after="0" w:line="240" w:lineRule="auto"/>
              <w:jc w:val="center"/>
              <w:rPr>
                <w:rFonts w:ascii="Times New Roman" w:eastAsia="Times New Roman" w:hAnsi="Times New Roman" w:cs="Times New Roman"/>
                <w:i/>
                <w:iCs/>
                <w:sz w:val="20"/>
                <w:szCs w:val="20"/>
              </w:rPr>
            </w:pPr>
            <w:r w:rsidRPr="006D296F">
              <w:rPr>
                <w:rFonts w:ascii="Times New Roman" w:eastAsia="Times New Roman" w:hAnsi="Times New Roman" w:cs="Times New Roman"/>
                <w:i/>
                <w:iCs/>
                <w:sz w:val="20"/>
                <w:szCs w:val="20"/>
              </w:rPr>
              <w:t>Grynasis nuosavo pelningumas (ROE)</w:t>
            </w:r>
          </w:p>
        </w:tc>
        <w:tc>
          <w:tcPr>
            <w:tcW w:w="1701" w:type="dxa"/>
            <w:tcBorders>
              <w:top w:val="nil"/>
              <w:left w:val="nil"/>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12,907</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=0.005</w:t>
            </w:r>
          </w:p>
        </w:tc>
        <w:tc>
          <w:tcPr>
            <w:tcW w:w="1843" w:type="dxa"/>
            <w:tcBorders>
              <w:top w:val="nil"/>
              <w:left w:val="nil"/>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-165,820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=-0.075</w:t>
            </w:r>
          </w:p>
        </w:tc>
        <w:tc>
          <w:tcPr>
            <w:tcW w:w="1943" w:type="dxa"/>
            <w:tcBorders>
              <w:top w:val="nil"/>
              <w:left w:val="nil"/>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-716,257</w:t>
            </w:r>
          </w:p>
        </w:tc>
        <w:tc>
          <w:tcPr>
            <w:tcW w:w="8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=-0.454</w:t>
            </w:r>
          </w:p>
        </w:tc>
      </w:tr>
      <w:tr w:rsidR="00486B70" w:rsidRPr="006D296F" w:rsidTr="006312DF">
        <w:trPr>
          <w:trHeight w:val="300"/>
          <w:jc w:val="center"/>
        </w:trPr>
        <w:tc>
          <w:tcPr>
            <w:tcW w:w="2383" w:type="dxa"/>
            <w:vMerge/>
            <w:tcBorders>
              <w:top w:val="nil"/>
              <w:left w:val="single" w:sz="4" w:space="0" w:color="auto"/>
              <w:bottom w:val="single" w:sz="4" w:space="0" w:color="auto"/>
              <w:right w:val="single" w:sz="4" w:space="0" w:color="auto"/>
            </w:tcBorders>
            <w:vAlign w:val="center"/>
            <w:hideMark/>
          </w:tcPr>
          <w:p w:rsidR="00486B70" w:rsidRPr="006D296F" w:rsidRDefault="00486B70" w:rsidP="00275F1A">
            <w:pPr>
              <w:spacing w:after="0" w:line="240" w:lineRule="auto"/>
              <w:rPr>
                <w:rFonts w:ascii="Times New Roman" w:eastAsia="Times New Roman" w:hAnsi="Times New Roman" w:cs="Times New Roman"/>
                <w:i/>
                <w:iCs/>
                <w:sz w:val="20"/>
                <w:szCs w:val="20"/>
              </w:rPr>
            </w:pPr>
          </w:p>
        </w:tc>
        <w:tc>
          <w:tcPr>
            <w:tcW w:w="1701" w:type="dxa"/>
            <w:tcBorders>
              <w:top w:val="nil"/>
              <w:left w:val="nil"/>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2,394,678</w:t>
            </w:r>
          </w:p>
        </w:tc>
        <w:tc>
          <w:tcPr>
            <w:tcW w:w="851" w:type="dxa"/>
            <w:vMerge/>
            <w:tcBorders>
              <w:top w:val="nil"/>
              <w:left w:val="single" w:sz="4" w:space="0" w:color="auto"/>
              <w:bottom w:val="single" w:sz="4" w:space="0" w:color="auto"/>
              <w:right w:val="single" w:sz="4" w:space="0" w:color="auto"/>
            </w:tcBorders>
            <w:vAlign w:val="center"/>
            <w:hideMark/>
          </w:tcPr>
          <w:p w:rsidR="00486B70" w:rsidRPr="00E75AAE" w:rsidRDefault="00486B70" w:rsidP="00275F1A">
            <w:pPr>
              <w:spacing w:after="0" w:line="240" w:lineRule="auto"/>
              <w:rPr>
                <w:rFonts w:ascii="Times New Roman" w:eastAsia="Times New Roman" w:hAnsi="Times New Roman" w:cs="Times New Roman"/>
                <w:sz w:val="18"/>
                <w:szCs w:val="18"/>
              </w:rPr>
            </w:pPr>
          </w:p>
        </w:tc>
        <w:tc>
          <w:tcPr>
            <w:tcW w:w="1843" w:type="dxa"/>
            <w:tcBorders>
              <w:top w:val="nil"/>
              <w:left w:val="nil"/>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2,224,499</w:t>
            </w:r>
          </w:p>
        </w:tc>
        <w:tc>
          <w:tcPr>
            <w:tcW w:w="850" w:type="dxa"/>
            <w:vMerge/>
            <w:tcBorders>
              <w:top w:val="nil"/>
              <w:left w:val="single" w:sz="4" w:space="0" w:color="auto"/>
              <w:bottom w:val="single" w:sz="4" w:space="0" w:color="auto"/>
              <w:right w:val="single" w:sz="4" w:space="0" w:color="auto"/>
            </w:tcBorders>
            <w:vAlign w:val="center"/>
            <w:hideMark/>
          </w:tcPr>
          <w:p w:rsidR="00486B70" w:rsidRPr="00E75AAE" w:rsidRDefault="00486B70" w:rsidP="00275F1A">
            <w:pPr>
              <w:spacing w:after="0" w:line="240" w:lineRule="auto"/>
              <w:rPr>
                <w:rFonts w:ascii="Times New Roman" w:eastAsia="Times New Roman" w:hAnsi="Times New Roman" w:cs="Times New Roman"/>
                <w:sz w:val="18"/>
                <w:szCs w:val="18"/>
              </w:rPr>
            </w:pPr>
          </w:p>
        </w:tc>
        <w:tc>
          <w:tcPr>
            <w:tcW w:w="1943" w:type="dxa"/>
            <w:tcBorders>
              <w:top w:val="nil"/>
              <w:left w:val="nil"/>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1,578,455</w:t>
            </w:r>
          </w:p>
        </w:tc>
        <w:tc>
          <w:tcPr>
            <w:tcW w:w="864" w:type="dxa"/>
            <w:vMerge/>
            <w:tcBorders>
              <w:top w:val="nil"/>
              <w:left w:val="single" w:sz="4" w:space="0" w:color="auto"/>
              <w:bottom w:val="single" w:sz="4" w:space="0" w:color="auto"/>
              <w:right w:val="single" w:sz="4" w:space="0" w:color="auto"/>
            </w:tcBorders>
            <w:vAlign w:val="center"/>
            <w:hideMark/>
          </w:tcPr>
          <w:p w:rsidR="00486B70" w:rsidRPr="00E75AAE" w:rsidRDefault="00486B70" w:rsidP="00275F1A">
            <w:pPr>
              <w:spacing w:after="0" w:line="240" w:lineRule="auto"/>
              <w:rPr>
                <w:rFonts w:ascii="Times New Roman" w:eastAsia="Times New Roman" w:hAnsi="Times New Roman" w:cs="Times New Roman"/>
                <w:sz w:val="18"/>
                <w:szCs w:val="18"/>
              </w:rPr>
            </w:pPr>
          </w:p>
        </w:tc>
      </w:tr>
      <w:tr w:rsidR="00486B70" w:rsidRPr="006D296F" w:rsidTr="006312DF">
        <w:trPr>
          <w:trHeight w:val="300"/>
          <w:jc w:val="center"/>
        </w:trPr>
        <w:tc>
          <w:tcPr>
            <w:tcW w:w="2383" w:type="dxa"/>
            <w:vMerge w:val="restart"/>
            <w:tcBorders>
              <w:top w:val="nil"/>
              <w:left w:val="single" w:sz="4" w:space="0" w:color="auto"/>
              <w:bottom w:val="single" w:sz="4" w:space="0" w:color="auto"/>
              <w:right w:val="single" w:sz="4" w:space="0" w:color="auto"/>
            </w:tcBorders>
            <w:shd w:val="clear" w:color="000000" w:fill="FDE9D9"/>
            <w:vAlign w:val="center"/>
            <w:hideMark/>
          </w:tcPr>
          <w:p w:rsidR="00486B70" w:rsidRPr="006D296F" w:rsidRDefault="00486B70" w:rsidP="00275F1A">
            <w:pPr>
              <w:spacing w:after="0" w:line="240" w:lineRule="auto"/>
              <w:jc w:val="center"/>
              <w:rPr>
                <w:rFonts w:ascii="Times New Roman" w:eastAsia="Times New Roman" w:hAnsi="Times New Roman" w:cs="Times New Roman"/>
                <w:i/>
                <w:iCs/>
                <w:sz w:val="20"/>
                <w:szCs w:val="20"/>
              </w:rPr>
            </w:pPr>
            <w:r w:rsidRPr="006D296F">
              <w:rPr>
                <w:rFonts w:ascii="Times New Roman" w:eastAsia="Times New Roman" w:hAnsi="Times New Roman" w:cs="Times New Roman"/>
                <w:i/>
                <w:iCs/>
                <w:sz w:val="20"/>
                <w:szCs w:val="20"/>
              </w:rPr>
              <w:t xml:space="preserve">Finansinis svertas </w:t>
            </w:r>
          </w:p>
        </w:tc>
        <w:tc>
          <w:tcPr>
            <w:tcW w:w="1701" w:type="dxa"/>
            <w:tcBorders>
              <w:top w:val="nil"/>
              <w:left w:val="nil"/>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243,144+460,604</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=0.294</w:t>
            </w:r>
          </w:p>
        </w:tc>
        <w:tc>
          <w:tcPr>
            <w:tcW w:w="1843" w:type="dxa"/>
            <w:tcBorders>
              <w:top w:val="nil"/>
              <w:left w:val="nil"/>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1,178,205+910,357</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=0.939</w:t>
            </w:r>
          </w:p>
        </w:tc>
        <w:tc>
          <w:tcPr>
            <w:tcW w:w="1943" w:type="dxa"/>
            <w:tcBorders>
              <w:top w:val="nil"/>
              <w:left w:val="nil"/>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897,403+1,453,952</w:t>
            </w:r>
          </w:p>
        </w:tc>
        <w:tc>
          <w:tcPr>
            <w:tcW w:w="8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=1.490</w:t>
            </w:r>
          </w:p>
        </w:tc>
      </w:tr>
      <w:tr w:rsidR="00486B70" w:rsidRPr="006D296F" w:rsidTr="006312DF">
        <w:trPr>
          <w:trHeight w:val="345"/>
          <w:jc w:val="center"/>
        </w:trPr>
        <w:tc>
          <w:tcPr>
            <w:tcW w:w="2383" w:type="dxa"/>
            <w:vMerge/>
            <w:tcBorders>
              <w:top w:val="nil"/>
              <w:left w:val="single" w:sz="4" w:space="0" w:color="auto"/>
              <w:bottom w:val="single" w:sz="4" w:space="0" w:color="auto"/>
              <w:right w:val="single" w:sz="4" w:space="0" w:color="auto"/>
            </w:tcBorders>
            <w:vAlign w:val="center"/>
            <w:hideMark/>
          </w:tcPr>
          <w:p w:rsidR="00486B70" w:rsidRPr="006D296F" w:rsidRDefault="00486B70" w:rsidP="00275F1A">
            <w:pPr>
              <w:spacing w:after="0" w:line="240" w:lineRule="auto"/>
              <w:rPr>
                <w:rFonts w:ascii="Times New Roman" w:eastAsia="Times New Roman" w:hAnsi="Times New Roman" w:cs="Times New Roman"/>
                <w:i/>
                <w:iCs/>
                <w:sz w:val="20"/>
                <w:szCs w:val="20"/>
              </w:rPr>
            </w:pPr>
          </w:p>
        </w:tc>
        <w:tc>
          <w:tcPr>
            <w:tcW w:w="1701" w:type="dxa"/>
            <w:tcBorders>
              <w:top w:val="nil"/>
              <w:left w:val="nil"/>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2,394,678</w:t>
            </w:r>
          </w:p>
        </w:tc>
        <w:tc>
          <w:tcPr>
            <w:tcW w:w="851" w:type="dxa"/>
            <w:vMerge/>
            <w:tcBorders>
              <w:top w:val="nil"/>
              <w:left w:val="single" w:sz="4" w:space="0" w:color="auto"/>
              <w:bottom w:val="single" w:sz="4" w:space="0" w:color="auto"/>
              <w:right w:val="single" w:sz="4" w:space="0" w:color="auto"/>
            </w:tcBorders>
            <w:vAlign w:val="center"/>
            <w:hideMark/>
          </w:tcPr>
          <w:p w:rsidR="00486B70" w:rsidRPr="00E75AAE" w:rsidRDefault="00486B70" w:rsidP="00275F1A">
            <w:pPr>
              <w:spacing w:after="0" w:line="240" w:lineRule="auto"/>
              <w:rPr>
                <w:rFonts w:ascii="Times New Roman" w:eastAsia="Times New Roman" w:hAnsi="Times New Roman" w:cs="Times New Roman"/>
                <w:sz w:val="18"/>
                <w:szCs w:val="18"/>
              </w:rPr>
            </w:pPr>
          </w:p>
        </w:tc>
        <w:tc>
          <w:tcPr>
            <w:tcW w:w="1843" w:type="dxa"/>
            <w:tcBorders>
              <w:top w:val="nil"/>
              <w:left w:val="nil"/>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2,224,499</w:t>
            </w:r>
          </w:p>
        </w:tc>
        <w:tc>
          <w:tcPr>
            <w:tcW w:w="850" w:type="dxa"/>
            <w:vMerge/>
            <w:tcBorders>
              <w:top w:val="nil"/>
              <w:left w:val="single" w:sz="4" w:space="0" w:color="auto"/>
              <w:bottom w:val="single" w:sz="4" w:space="0" w:color="auto"/>
              <w:right w:val="single" w:sz="4" w:space="0" w:color="auto"/>
            </w:tcBorders>
            <w:vAlign w:val="center"/>
            <w:hideMark/>
          </w:tcPr>
          <w:p w:rsidR="00486B70" w:rsidRPr="00E75AAE" w:rsidRDefault="00486B70" w:rsidP="00275F1A">
            <w:pPr>
              <w:spacing w:after="0" w:line="240" w:lineRule="auto"/>
              <w:rPr>
                <w:rFonts w:ascii="Times New Roman" w:eastAsia="Times New Roman" w:hAnsi="Times New Roman" w:cs="Times New Roman"/>
                <w:sz w:val="18"/>
                <w:szCs w:val="18"/>
              </w:rPr>
            </w:pPr>
          </w:p>
        </w:tc>
        <w:tc>
          <w:tcPr>
            <w:tcW w:w="1943" w:type="dxa"/>
            <w:tcBorders>
              <w:top w:val="nil"/>
              <w:left w:val="nil"/>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1,578,455</w:t>
            </w:r>
          </w:p>
        </w:tc>
        <w:tc>
          <w:tcPr>
            <w:tcW w:w="864" w:type="dxa"/>
            <w:vMerge/>
            <w:tcBorders>
              <w:top w:val="nil"/>
              <w:left w:val="single" w:sz="4" w:space="0" w:color="auto"/>
              <w:bottom w:val="single" w:sz="4" w:space="0" w:color="auto"/>
              <w:right w:val="single" w:sz="4" w:space="0" w:color="auto"/>
            </w:tcBorders>
            <w:vAlign w:val="center"/>
            <w:hideMark/>
          </w:tcPr>
          <w:p w:rsidR="00486B70" w:rsidRPr="00E75AAE" w:rsidRDefault="00486B70" w:rsidP="00275F1A">
            <w:pPr>
              <w:spacing w:after="0" w:line="240" w:lineRule="auto"/>
              <w:rPr>
                <w:rFonts w:ascii="Times New Roman" w:eastAsia="Times New Roman" w:hAnsi="Times New Roman" w:cs="Times New Roman"/>
                <w:sz w:val="18"/>
                <w:szCs w:val="18"/>
              </w:rPr>
            </w:pPr>
          </w:p>
        </w:tc>
      </w:tr>
      <w:tr w:rsidR="00486B70" w:rsidRPr="006D296F" w:rsidTr="006312DF">
        <w:trPr>
          <w:trHeight w:val="360"/>
          <w:jc w:val="center"/>
        </w:trPr>
        <w:tc>
          <w:tcPr>
            <w:tcW w:w="2383" w:type="dxa"/>
            <w:vMerge w:val="restart"/>
            <w:tcBorders>
              <w:top w:val="nil"/>
              <w:left w:val="single" w:sz="4" w:space="0" w:color="auto"/>
              <w:bottom w:val="single" w:sz="4" w:space="0" w:color="auto"/>
              <w:right w:val="single" w:sz="4" w:space="0" w:color="auto"/>
            </w:tcBorders>
            <w:shd w:val="clear" w:color="000000" w:fill="FDE9D9"/>
            <w:vAlign w:val="center"/>
            <w:hideMark/>
          </w:tcPr>
          <w:p w:rsidR="00486B70" w:rsidRPr="006D296F" w:rsidRDefault="00486B70" w:rsidP="00275F1A">
            <w:pPr>
              <w:spacing w:after="0" w:line="240" w:lineRule="auto"/>
              <w:jc w:val="center"/>
              <w:rPr>
                <w:rFonts w:ascii="Times New Roman" w:eastAsia="Times New Roman" w:hAnsi="Times New Roman" w:cs="Times New Roman"/>
                <w:i/>
                <w:iCs/>
                <w:sz w:val="20"/>
                <w:szCs w:val="20"/>
              </w:rPr>
            </w:pPr>
            <w:r w:rsidRPr="006D296F">
              <w:rPr>
                <w:rFonts w:ascii="Times New Roman" w:eastAsia="Times New Roman" w:hAnsi="Times New Roman" w:cs="Times New Roman"/>
                <w:i/>
                <w:iCs/>
                <w:sz w:val="20"/>
                <w:szCs w:val="20"/>
              </w:rPr>
              <w:t>Pardavimo savikainos lygis</w:t>
            </w:r>
          </w:p>
        </w:tc>
        <w:tc>
          <w:tcPr>
            <w:tcW w:w="1701" w:type="dxa"/>
            <w:tcBorders>
              <w:top w:val="nil"/>
              <w:left w:val="nil"/>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3,718,815</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=0.890</w:t>
            </w:r>
          </w:p>
        </w:tc>
        <w:tc>
          <w:tcPr>
            <w:tcW w:w="1843" w:type="dxa"/>
            <w:tcBorders>
              <w:top w:val="nil"/>
              <w:left w:val="nil"/>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3,417,039</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=0.936</w:t>
            </w:r>
          </w:p>
        </w:tc>
        <w:tc>
          <w:tcPr>
            <w:tcW w:w="1943" w:type="dxa"/>
            <w:tcBorders>
              <w:top w:val="nil"/>
              <w:left w:val="nil"/>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4,541,550</w:t>
            </w:r>
          </w:p>
        </w:tc>
        <w:tc>
          <w:tcPr>
            <w:tcW w:w="8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=1.038</w:t>
            </w:r>
          </w:p>
        </w:tc>
      </w:tr>
      <w:tr w:rsidR="00486B70" w:rsidRPr="006D296F" w:rsidTr="006312DF">
        <w:trPr>
          <w:trHeight w:val="300"/>
          <w:jc w:val="center"/>
        </w:trPr>
        <w:tc>
          <w:tcPr>
            <w:tcW w:w="2383" w:type="dxa"/>
            <w:vMerge/>
            <w:tcBorders>
              <w:top w:val="nil"/>
              <w:left w:val="single" w:sz="4" w:space="0" w:color="auto"/>
              <w:bottom w:val="single" w:sz="4" w:space="0" w:color="auto"/>
              <w:right w:val="single" w:sz="4" w:space="0" w:color="auto"/>
            </w:tcBorders>
            <w:vAlign w:val="center"/>
            <w:hideMark/>
          </w:tcPr>
          <w:p w:rsidR="00486B70" w:rsidRPr="006D296F" w:rsidRDefault="00486B70" w:rsidP="00275F1A">
            <w:pPr>
              <w:spacing w:after="0" w:line="240" w:lineRule="auto"/>
              <w:rPr>
                <w:rFonts w:ascii="Times New Roman" w:eastAsia="Times New Roman" w:hAnsi="Times New Roman" w:cs="Times New Roman"/>
                <w:i/>
                <w:iCs/>
                <w:sz w:val="20"/>
                <w:szCs w:val="20"/>
              </w:rPr>
            </w:pPr>
          </w:p>
        </w:tc>
        <w:tc>
          <w:tcPr>
            <w:tcW w:w="1701" w:type="dxa"/>
            <w:tcBorders>
              <w:top w:val="nil"/>
              <w:left w:val="nil"/>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4,178,940</w:t>
            </w:r>
          </w:p>
        </w:tc>
        <w:tc>
          <w:tcPr>
            <w:tcW w:w="851" w:type="dxa"/>
            <w:vMerge/>
            <w:tcBorders>
              <w:top w:val="nil"/>
              <w:left w:val="single" w:sz="4" w:space="0" w:color="auto"/>
              <w:bottom w:val="single" w:sz="4" w:space="0" w:color="auto"/>
              <w:right w:val="single" w:sz="4" w:space="0" w:color="auto"/>
            </w:tcBorders>
            <w:vAlign w:val="center"/>
            <w:hideMark/>
          </w:tcPr>
          <w:p w:rsidR="00486B70" w:rsidRPr="00E75AAE" w:rsidRDefault="00486B70" w:rsidP="00275F1A">
            <w:pPr>
              <w:spacing w:after="0" w:line="240" w:lineRule="auto"/>
              <w:rPr>
                <w:rFonts w:ascii="Times New Roman" w:eastAsia="Times New Roman" w:hAnsi="Times New Roman" w:cs="Times New Roman"/>
                <w:sz w:val="18"/>
                <w:szCs w:val="18"/>
              </w:rPr>
            </w:pPr>
          </w:p>
        </w:tc>
        <w:tc>
          <w:tcPr>
            <w:tcW w:w="1843" w:type="dxa"/>
            <w:tcBorders>
              <w:top w:val="nil"/>
              <w:left w:val="nil"/>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3,649,449</w:t>
            </w:r>
          </w:p>
        </w:tc>
        <w:tc>
          <w:tcPr>
            <w:tcW w:w="850" w:type="dxa"/>
            <w:vMerge/>
            <w:tcBorders>
              <w:top w:val="nil"/>
              <w:left w:val="single" w:sz="4" w:space="0" w:color="auto"/>
              <w:bottom w:val="single" w:sz="4" w:space="0" w:color="auto"/>
              <w:right w:val="single" w:sz="4" w:space="0" w:color="auto"/>
            </w:tcBorders>
            <w:vAlign w:val="center"/>
            <w:hideMark/>
          </w:tcPr>
          <w:p w:rsidR="00486B70" w:rsidRPr="00E75AAE" w:rsidRDefault="00486B70" w:rsidP="00275F1A">
            <w:pPr>
              <w:spacing w:after="0" w:line="240" w:lineRule="auto"/>
              <w:rPr>
                <w:rFonts w:ascii="Times New Roman" w:eastAsia="Times New Roman" w:hAnsi="Times New Roman" w:cs="Times New Roman"/>
                <w:sz w:val="18"/>
                <w:szCs w:val="18"/>
              </w:rPr>
            </w:pPr>
          </w:p>
        </w:tc>
        <w:tc>
          <w:tcPr>
            <w:tcW w:w="1943" w:type="dxa"/>
            <w:tcBorders>
              <w:top w:val="nil"/>
              <w:left w:val="nil"/>
              <w:bottom w:val="single" w:sz="4" w:space="0" w:color="auto"/>
              <w:right w:val="single" w:sz="4" w:space="0" w:color="auto"/>
            </w:tcBorders>
            <w:shd w:val="clear" w:color="auto" w:fill="auto"/>
            <w:noWrap/>
            <w:vAlign w:val="center"/>
            <w:hideMark/>
          </w:tcPr>
          <w:p w:rsidR="00486B70" w:rsidRPr="00E75AAE" w:rsidRDefault="00486B70" w:rsidP="00275F1A">
            <w:pPr>
              <w:spacing w:after="0" w:line="240" w:lineRule="auto"/>
              <w:jc w:val="center"/>
              <w:rPr>
                <w:rFonts w:ascii="Times New Roman" w:eastAsia="Times New Roman" w:hAnsi="Times New Roman" w:cs="Times New Roman"/>
                <w:sz w:val="18"/>
                <w:szCs w:val="18"/>
              </w:rPr>
            </w:pPr>
            <w:r w:rsidRPr="00E75AAE">
              <w:rPr>
                <w:rFonts w:ascii="Times New Roman" w:eastAsia="Times New Roman" w:hAnsi="Times New Roman" w:cs="Times New Roman"/>
                <w:sz w:val="18"/>
                <w:szCs w:val="18"/>
              </w:rPr>
              <w:t>4,373,488</w:t>
            </w:r>
          </w:p>
        </w:tc>
        <w:tc>
          <w:tcPr>
            <w:tcW w:w="864" w:type="dxa"/>
            <w:vMerge/>
            <w:tcBorders>
              <w:top w:val="nil"/>
              <w:left w:val="single" w:sz="4" w:space="0" w:color="auto"/>
              <w:bottom w:val="single" w:sz="4" w:space="0" w:color="auto"/>
              <w:right w:val="single" w:sz="4" w:space="0" w:color="auto"/>
            </w:tcBorders>
            <w:vAlign w:val="center"/>
            <w:hideMark/>
          </w:tcPr>
          <w:p w:rsidR="00486B70" w:rsidRPr="006D296F" w:rsidRDefault="00486B70" w:rsidP="00275F1A">
            <w:pPr>
              <w:spacing w:after="0" w:line="240" w:lineRule="auto"/>
              <w:rPr>
                <w:rFonts w:ascii="Times New Roman" w:eastAsia="Times New Roman" w:hAnsi="Times New Roman" w:cs="Times New Roman"/>
                <w:sz w:val="20"/>
                <w:szCs w:val="20"/>
              </w:rPr>
            </w:pPr>
          </w:p>
        </w:tc>
      </w:tr>
    </w:tbl>
    <w:p w:rsidR="00486B70" w:rsidRDefault="00486B70" w:rsidP="006312DF">
      <w:pPr>
        <w:spacing w:after="0"/>
        <w:contextualSpacing/>
        <w:jc w:val="center"/>
        <w:rPr>
          <w:rFonts w:ascii="Times New Roman" w:hAnsi="Times New Roman" w:cs="Times New Roman"/>
          <w:sz w:val="24"/>
          <w:szCs w:val="24"/>
          <w:lang w:val="lt-LT"/>
        </w:rPr>
      </w:pPr>
    </w:p>
    <w:p w:rsidR="00486B70" w:rsidRDefault="00486B70" w:rsidP="006312DF">
      <w:pPr>
        <w:spacing w:after="0"/>
        <w:contextualSpacing/>
        <w:jc w:val="center"/>
        <w:rPr>
          <w:rFonts w:ascii="Times New Roman" w:hAnsi="Times New Roman" w:cs="Times New Roman"/>
          <w:b/>
          <w:szCs w:val="24"/>
        </w:rPr>
      </w:pPr>
      <w:r>
        <w:rPr>
          <w:rFonts w:ascii="Times New Roman" w:hAnsi="Times New Roman" w:cs="Times New Roman"/>
          <w:szCs w:val="24"/>
        </w:rPr>
        <w:t>2</w:t>
      </w:r>
      <w:r w:rsidRPr="004D5C99">
        <w:rPr>
          <w:rFonts w:ascii="Times New Roman" w:hAnsi="Times New Roman" w:cs="Times New Roman"/>
          <w:szCs w:val="24"/>
        </w:rPr>
        <w:t xml:space="preserve"> lentelė.</w:t>
      </w:r>
      <w:r w:rsidRPr="004D5C99">
        <w:rPr>
          <w:rFonts w:ascii="Times New Roman" w:hAnsi="Times New Roman" w:cs="Times New Roman"/>
          <w:b/>
          <w:szCs w:val="24"/>
        </w:rPr>
        <w:t xml:space="preserve"> </w:t>
      </w:r>
      <w:r>
        <w:rPr>
          <w:rFonts w:ascii="Times New Roman" w:hAnsi="Times New Roman" w:cs="Times New Roman"/>
          <w:b/>
          <w:szCs w:val="24"/>
        </w:rPr>
        <w:t>UAB “Romas ir ko” finansinių santykinių rodiklių skaičiavimas</w:t>
      </w:r>
    </w:p>
    <w:tbl>
      <w:tblPr>
        <w:tblW w:w="10329" w:type="dxa"/>
        <w:tblInd w:w="93" w:type="dxa"/>
        <w:tblLook w:val="04A0"/>
      </w:tblPr>
      <w:tblGrid>
        <w:gridCol w:w="1997"/>
        <w:gridCol w:w="1885"/>
        <w:gridCol w:w="987"/>
        <w:gridCol w:w="1799"/>
        <w:gridCol w:w="951"/>
        <w:gridCol w:w="1894"/>
        <w:gridCol w:w="816"/>
      </w:tblGrid>
      <w:tr w:rsidR="006312DF" w:rsidRPr="00A90BCB" w:rsidTr="006312DF">
        <w:trPr>
          <w:trHeight w:val="300"/>
        </w:trPr>
        <w:tc>
          <w:tcPr>
            <w:tcW w:w="1997"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275F1A" w:rsidRPr="00A90BCB" w:rsidRDefault="00275F1A" w:rsidP="00275F1A">
            <w:pPr>
              <w:spacing w:after="0" w:line="240" w:lineRule="auto"/>
              <w:jc w:val="center"/>
              <w:rPr>
                <w:rFonts w:ascii="Times New Roman" w:eastAsia="Times New Roman" w:hAnsi="Times New Roman" w:cs="Times New Roman"/>
                <w:b/>
                <w:bCs/>
                <w:sz w:val="20"/>
                <w:szCs w:val="20"/>
              </w:rPr>
            </w:pPr>
            <w:r w:rsidRPr="00A90BCB">
              <w:rPr>
                <w:rFonts w:ascii="Times New Roman" w:eastAsia="Times New Roman" w:hAnsi="Times New Roman" w:cs="Times New Roman"/>
                <w:b/>
                <w:bCs/>
                <w:sz w:val="20"/>
                <w:szCs w:val="20"/>
              </w:rPr>
              <w:t>Santykiniai rodikliai</w:t>
            </w:r>
          </w:p>
        </w:tc>
        <w:tc>
          <w:tcPr>
            <w:tcW w:w="1885" w:type="dxa"/>
            <w:tcBorders>
              <w:top w:val="single" w:sz="4" w:space="0" w:color="auto"/>
              <w:left w:val="nil"/>
              <w:bottom w:val="single" w:sz="4" w:space="0" w:color="auto"/>
              <w:right w:val="single" w:sz="4" w:space="0" w:color="auto"/>
            </w:tcBorders>
            <w:shd w:val="clear" w:color="000000" w:fill="FCD5B4"/>
            <w:noWrap/>
            <w:vAlign w:val="center"/>
            <w:hideMark/>
          </w:tcPr>
          <w:p w:rsidR="00275F1A" w:rsidRPr="00A90BCB" w:rsidRDefault="00275F1A" w:rsidP="00275F1A">
            <w:pPr>
              <w:spacing w:after="0" w:line="240" w:lineRule="auto"/>
              <w:jc w:val="center"/>
              <w:rPr>
                <w:rFonts w:ascii="Times New Roman" w:eastAsia="Times New Roman" w:hAnsi="Times New Roman" w:cs="Times New Roman"/>
                <w:b/>
                <w:bCs/>
                <w:sz w:val="20"/>
                <w:szCs w:val="20"/>
              </w:rPr>
            </w:pPr>
            <w:r w:rsidRPr="00A90BCB">
              <w:rPr>
                <w:rFonts w:ascii="Times New Roman" w:eastAsia="Times New Roman" w:hAnsi="Times New Roman" w:cs="Times New Roman"/>
                <w:b/>
                <w:bCs/>
                <w:sz w:val="20"/>
                <w:szCs w:val="20"/>
              </w:rPr>
              <w:t> </w:t>
            </w:r>
          </w:p>
        </w:tc>
        <w:tc>
          <w:tcPr>
            <w:tcW w:w="987" w:type="dxa"/>
            <w:tcBorders>
              <w:top w:val="single" w:sz="4" w:space="0" w:color="auto"/>
              <w:left w:val="nil"/>
              <w:bottom w:val="single" w:sz="4" w:space="0" w:color="auto"/>
              <w:right w:val="single" w:sz="4" w:space="0" w:color="auto"/>
            </w:tcBorders>
            <w:shd w:val="clear" w:color="000000" w:fill="FCD5B4"/>
            <w:noWrap/>
            <w:vAlign w:val="center"/>
            <w:hideMark/>
          </w:tcPr>
          <w:p w:rsidR="00275F1A" w:rsidRPr="00A90BCB" w:rsidRDefault="00275F1A" w:rsidP="00275F1A">
            <w:pPr>
              <w:spacing w:after="0" w:line="240" w:lineRule="auto"/>
              <w:jc w:val="center"/>
              <w:rPr>
                <w:rFonts w:ascii="Times New Roman" w:eastAsia="Times New Roman" w:hAnsi="Times New Roman" w:cs="Times New Roman"/>
                <w:b/>
                <w:bCs/>
                <w:sz w:val="20"/>
                <w:szCs w:val="20"/>
              </w:rPr>
            </w:pPr>
            <w:r w:rsidRPr="00A90BCB">
              <w:rPr>
                <w:rFonts w:ascii="Times New Roman" w:eastAsia="Times New Roman" w:hAnsi="Times New Roman" w:cs="Times New Roman"/>
                <w:b/>
                <w:bCs/>
                <w:sz w:val="20"/>
                <w:szCs w:val="20"/>
              </w:rPr>
              <w:t>2008</w:t>
            </w:r>
          </w:p>
        </w:tc>
        <w:tc>
          <w:tcPr>
            <w:tcW w:w="1799" w:type="dxa"/>
            <w:tcBorders>
              <w:top w:val="single" w:sz="4" w:space="0" w:color="auto"/>
              <w:left w:val="nil"/>
              <w:bottom w:val="single" w:sz="4" w:space="0" w:color="auto"/>
              <w:right w:val="single" w:sz="4" w:space="0" w:color="auto"/>
            </w:tcBorders>
            <w:shd w:val="clear" w:color="000000" w:fill="FCD5B4"/>
            <w:noWrap/>
            <w:vAlign w:val="center"/>
            <w:hideMark/>
          </w:tcPr>
          <w:p w:rsidR="00275F1A" w:rsidRPr="00A90BCB" w:rsidRDefault="00275F1A" w:rsidP="00275F1A">
            <w:pPr>
              <w:spacing w:after="0" w:line="240" w:lineRule="auto"/>
              <w:jc w:val="center"/>
              <w:rPr>
                <w:rFonts w:ascii="Times New Roman" w:eastAsia="Times New Roman" w:hAnsi="Times New Roman" w:cs="Times New Roman"/>
                <w:b/>
                <w:bCs/>
                <w:sz w:val="20"/>
                <w:szCs w:val="20"/>
              </w:rPr>
            </w:pPr>
            <w:r w:rsidRPr="00A90BCB">
              <w:rPr>
                <w:rFonts w:ascii="Times New Roman" w:eastAsia="Times New Roman" w:hAnsi="Times New Roman" w:cs="Times New Roman"/>
                <w:b/>
                <w:bCs/>
                <w:sz w:val="20"/>
                <w:szCs w:val="20"/>
              </w:rPr>
              <w:t> </w:t>
            </w:r>
          </w:p>
        </w:tc>
        <w:tc>
          <w:tcPr>
            <w:tcW w:w="951" w:type="dxa"/>
            <w:tcBorders>
              <w:top w:val="single" w:sz="4" w:space="0" w:color="auto"/>
              <w:left w:val="nil"/>
              <w:bottom w:val="single" w:sz="4" w:space="0" w:color="auto"/>
              <w:right w:val="single" w:sz="4" w:space="0" w:color="auto"/>
            </w:tcBorders>
            <w:shd w:val="clear" w:color="000000" w:fill="FCD5B4"/>
            <w:noWrap/>
            <w:vAlign w:val="center"/>
            <w:hideMark/>
          </w:tcPr>
          <w:p w:rsidR="00275F1A" w:rsidRPr="00A90BCB" w:rsidRDefault="00275F1A" w:rsidP="00275F1A">
            <w:pPr>
              <w:spacing w:after="0" w:line="240" w:lineRule="auto"/>
              <w:jc w:val="center"/>
              <w:rPr>
                <w:rFonts w:ascii="Times New Roman" w:eastAsia="Times New Roman" w:hAnsi="Times New Roman" w:cs="Times New Roman"/>
                <w:b/>
                <w:bCs/>
                <w:sz w:val="20"/>
                <w:szCs w:val="20"/>
              </w:rPr>
            </w:pPr>
            <w:r w:rsidRPr="00A90BCB">
              <w:rPr>
                <w:rFonts w:ascii="Times New Roman" w:eastAsia="Times New Roman" w:hAnsi="Times New Roman" w:cs="Times New Roman"/>
                <w:b/>
                <w:bCs/>
                <w:sz w:val="20"/>
                <w:szCs w:val="20"/>
              </w:rPr>
              <w:t>2009</w:t>
            </w:r>
          </w:p>
        </w:tc>
        <w:tc>
          <w:tcPr>
            <w:tcW w:w="1894" w:type="dxa"/>
            <w:tcBorders>
              <w:top w:val="single" w:sz="4" w:space="0" w:color="auto"/>
              <w:left w:val="nil"/>
              <w:bottom w:val="single" w:sz="4" w:space="0" w:color="auto"/>
              <w:right w:val="single" w:sz="4" w:space="0" w:color="auto"/>
            </w:tcBorders>
            <w:shd w:val="clear" w:color="000000" w:fill="FCD5B4"/>
            <w:noWrap/>
            <w:vAlign w:val="center"/>
            <w:hideMark/>
          </w:tcPr>
          <w:p w:rsidR="00275F1A" w:rsidRPr="00A90BCB" w:rsidRDefault="00275F1A" w:rsidP="00275F1A">
            <w:pPr>
              <w:spacing w:after="0" w:line="240" w:lineRule="auto"/>
              <w:jc w:val="center"/>
              <w:rPr>
                <w:rFonts w:ascii="Times New Roman" w:eastAsia="Times New Roman" w:hAnsi="Times New Roman" w:cs="Times New Roman"/>
                <w:b/>
                <w:bCs/>
                <w:sz w:val="20"/>
                <w:szCs w:val="20"/>
              </w:rPr>
            </w:pPr>
            <w:r w:rsidRPr="00A90BCB">
              <w:rPr>
                <w:rFonts w:ascii="Times New Roman" w:eastAsia="Times New Roman" w:hAnsi="Times New Roman" w:cs="Times New Roman"/>
                <w:b/>
                <w:bCs/>
                <w:sz w:val="20"/>
                <w:szCs w:val="20"/>
              </w:rPr>
              <w:t> </w:t>
            </w:r>
          </w:p>
        </w:tc>
        <w:tc>
          <w:tcPr>
            <w:tcW w:w="816" w:type="dxa"/>
            <w:tcBorders>
              <w:top w:val="single" w:sz="4" w:space="0" w:color="auto"/>
              <w:left w:val="nil"/>
              <w:bottom w:val="single" w:sz="4" w:space="0" w:color="auto"/>
              <w:right w:val="single" w:sz="4" w:space="0" w:color="auto"/>
            </w:tcBorders>
            <w:shd w:val="clear" w:color="000000" w:fill="FCD5B4"/>
            <w:noWrap/>
            <w:vAlign w:val="center"/>
            <w:hideMark/>
          </w:tcPr>
          <w:p w:rsidR="00275F1A" w:rsidRPr="00A90BCB" w:rsidRDefault="00275F1A" w:rsidP="00275F1A">
            <w:pPr>
              <w:spacing w:after="0" w:line="240" w:lineRule="auto"/>
              <w:jc w:val="center"/>
              <w:rPr>
                <w:rFonts w:ascii="Times New Roman" w:eastAsia="Times New Roman" w:hAnsi="Times New Roman" w:cs="Times New Roman"/>
                <w:b/>
                <w:bCs/>
                <w:sz w:val="20"/>
                <w:szCs w:val="20"/>
              </w:rPr>
            </w:pPr>
            <w:r w:rsidRPr="00A90BCB">
              <w:rPr>
                <w:rFonts w:ascii="Times New Roman" w:eastAsia="Times New Roman" w:hAnsi="Times New Roman" w:cs="Times New Roman"/>
                <w:b/>
                <w:bCs/>
                <w:sz w:val="20"/>
                <w:szCs w:val="20"/>
              </w:rPr>
              <w:t>2010</w:t>
            </w:r>
          </w:p>
        </w:tc>
      </w:tr>
      <w:tr w:rsidR="006312DF" w:rsidRPr="00A90BCB" w:rsidTr="006312DF">
        <w:trPr>
          <w:trHeight w:val="315"/>
        </w:trPr>
        <w:tc>
          <w:tcPr>
            <w:tcW w:w="1997" w:type="dxa"/>
            <w:vMerge w:val="restart"/>
            <w:tcBorders>
              <w:top w:val="nil"/>
              <w:left w:val="single" w:sz="4" w:space="0" w:color="auto"/>
              <w:bottom w:val="single" w:sz="4" w:space="0" w:color="auto"/>
              <w:right w:val="single" w:sz="4" w:space="0" w:color="auto"/>
            </w:tcBorders>
            <w:shd w:val="clear" w:color="000000" w:fill="FDE9D9"/>
            <w:vAlign w:val="center"/>
            <w:hideMark/>
          </w:tcPr>
          <w:p w:rsidR="00275F1A" w:rsidRPr="00A90BCB" w:rsidRDefault="00275F1A" w:rsidP="00275F1A">
            <w:pPr>
              <w:spacing w:after="0" w:line="240" w:lineRule="auto"/>
              <w:jc w:val="center"/>
              <w:rPr>
                <w:rFonts w:ascii="Times New Roman" w:eastAsia="Times New Roman" w:hAnsi="Times New Roman" w:cs="Times New Roman"/>
                <w:i/>
                <w:iCs/>
                <w:sz w:val="20"/>
                <w:szCs w:val="20"/>
              </w:rPr>
            </w:pPr>
            <w:r w:rsidRPr="00A90BCB">
              <w:rPr>
                <w:rFonts w:ascii="Times New Roman" w:eastAsia="Times New Roman" w:hAnsi="Times New Roman" w:cs="Times New Roman"/>
                <w:i/>
                <w:iCs/>
                <w:sz w:val="20"/>
                <w:szCs w:val="20"/>
              </w:rPr>
              <w:t>Bendrasis trumpalaikio mokumo koeficientas</w:t>
            </w:r>
          </w:p>
        </w:tc>
        <w:tc>
          <w:tcPr>
            <w:tcW w:w="1885" w:type="dxa"/>
            <w:tcBorders>
              <w:top w:val="nil"/>
              <w:left w:val="nil"/>
              <w:bottom w:val="single" w:sz="4" w:space="0" w:color="auto"/>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1,386,690</w:t>
            </w:r>
          </w:p>
        </w:tc>
        <w:tc>
          <w:tcPr>
            <w:tcW w:w="98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=2.540</w:t>
            </w:r>
          </w:p>
        </w:tc>
        <w:tc>
          <w:tcPr>
            <w:tcW w:w="1799" w:type="dxa"/>
            <w:tcBorders>
              <w:top w:val="nil"/>
              <w:left w:val="nil"/>
              <w:bottom w:val="single" w:sz="4" w:space="0" w:color="auto"/>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1,491,727</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=4.332</w:t>
            </w:r>
          </w:p>
        </w:tc>
        <w:tc>
          <w:tcPr>
            <w:tcW w:w="1894" w:type="dxa"/>
            <w:tcBorders>
              <w:top w:val="nil"/>
              <w:left w:val="nil"/>
              <w:bottom w:val="single" w:sz="4" w:space="0" w:color="auto"/>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742,516</w:t>
            </w:r>
          </w:p>
        </w:tc>
        <w:tc>
          <w:tcPr>
            <w:tcW w:w="81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=2.804</w:t>
            </w:r>
          </w:p>
        </w:tc>
      </w:tr>
      <w:tr w:rsidR="006312DF" w:rsidRPr="00A90BCB" w:rsidTr="006312DF">
        <w:trPr>
          <w:trHeight w:val="300"/>
        </w:trPr>
        <w:tc>
          <w:tcPr>
            <w:tcW w:w="1997" w:type="dxa"/>
            <w:vMerge/>
            <w:tcBorders>
              <w:top w:val="nil"/>
              <w:left w:val="single" w:sz="4" w:space="0" w:color="auto"/>
              <w:bottom w:val="single" w:sz="4" w:space="0" w:color="auto"/>
              <w:right w:val="single" w:sz="4" w:space="0" w:color="auto"/>
            </w:tcBorders>
            <w:vAlign w:val="center"/>
            <w:hideMark/>
          </w:tcPr>
          <w:p w:rsidR="00275F1A" w:rsidRPr="00A90BCB" w:rsidRDefault="00275F1A" w:rsidP="00275F1A">
            <w:pPr>
              <w:spacing w:after="0" w:line="240" w:lineRule="auto"/>
              <w:rPr>
                <w:rFonts w:ascii="Times New Roman" w:eastAsia="Times New Roman" w:hAnsi="Times New Roman" w:cs="Times New Roman"/>
                <w:i/>
                <w:iCs/>
                <w:sz w:val="20"/>
                <w:szCs w:val="20"/>
              </w:rPr>
            </w:pPr>
          </w:p>
        </w:tc>
        <w:tc>
          <w:tcPr>
            <w:tcW w:w="1885" w:type="dxa"/>
            <w:tcBorders>
              <w:top w:val="nil"/>
              <w:left w:val="nil"/>
              <w:bottom w:val="single" w:sz="4" w:space="0" w:color="auto"/>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546,085</w:t>
            </w:r>
          </w:p>
        </w:tc>
        <w:tc>
          <w:tcPr>
            <w:tcW w:w="987" w:type="dxa"/>
            <w:vMerge/>
            <w:tcBorders>
              <w:top w:val="nil"/>
              <w:left w:val="single" w:sz="4" w:space="0" w:color="auto"/>
              <w:bottom w:val="single" w:sz="4" w:space="0" w:color="000000"/>
              <w:right w:val="single" w:sz="4" w:space="0" w:color="auto"/>
            </w:tcBorders>
            <w:vAlign w:val="center"/>
            <w:hideMark/>
          </w:tcPr>
          <w:p w:rsidR="00275F1A" w:rsidRPr="00E75AAE" w:rsidRDefault="00275F1A" w:rsidP="00275F1A">
            <w:pPr>
              <w:spacing w:after="0" w:line="240" w:lineRule="auto"/>
              <w:rPr>
                <w:rFonts w:ascii="Times New Roman" w:eastAsia="Times New Roman" w:hAnsi="Times New Roman" w:cs="Times New Roman"/>
                <w:color w:val="000000"/>
                <w:sz w:val="18"/>
                <w:szCs w:val="18"/>
              </w:rPr>
            </w:pPr>
          </w:p>
        </w:tc>
        <w:tc>
          <w:tcPr>
            <w:tcW w:w="1799" w:type="dxa"/>
            <w:tcBorders>
              <w:top w:val="nil"/>
              <w:left w:val="nil"/>
              <w:bottom w:val="single" w:sz="4" w:space="0" w:color="auto"/>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344,345</w:t>
            </w:r>
          </w:p>
        </w:tc>
        <w:tc>
          <w:tcPr>
            <w:tcW w:w="951" w:type="dxa"/>
            <w:vMerge/>
            <w:tcBorders>
              <w:top w:val="nil"/>
              <w:left w:val="single" w:sz="4" w:space="0" w:color="auto"/>
              <w:bottom w:val="single" w:sz="4" w:space="0" w:color="000000"/>
              <w:right w:val="single" w:sz="4" w:space="0" w:color="auto"/>
            </w:tcBorders>
            <w:vAlign w:val="center"/>
            <w:hideMark/>
          </w:tcPr>
          <w:p w:rsidR="00275F1A" w:rsidRPr="00E75AAE" w:rsidRDefault="00275F1A" w:rsidP="00275F1A">
            <w:pPr>
              <w:spacing w:after="0" w:line="240" w:lineRule="auto"/>
              <w:rPr>
                <w:rFonts w:ascii="Times New Roman" w:eastAsia="Times New Roman" w:hAnsi="Times New Roman" w:cs="Times New Roman"/>
                <w:color w:val="000000"/>
                <w:sz w:val="18"/>
                <w:szCs w:val="18"/>
              </w:rPr>
            </w:pPr>
          </w:p>
        </w:tc>
        <w:tc>
          <w:tcPr>
            <w:tcW w:w="1894" w:type="dxa"/>
            <w:tcBorders>
              <w:top w:val="nil"/>
              <w:left w:val="nil"/>
              <w:bottom w:val="single" w:sz="4" w:space="0" w:color="auto"/>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264,772</w:t>
            </w:r>
          </w:p>
        </w:tc>
        <w:tc>
          <w:tcPr>
            <w:tcW w:w="816" w:type="dxa"/>
            <w:vMerge/>
            <w:tcBorders>
              <w:top w:val="nil"/>
              <w:left w:val="single" w:sz="4" w:space="0" w:color="auto"/>
              <w:bottom w:val="single" w:sz="4" w:space="0" w:color="000000"/>
              <w:right w:val="single" w:sz="4" w:space="0" w:color="auto"/>
            </w:tcBorders>
            <w:vAlign w:val="center"/>
            <w:hideMark/>
          </w:tcPr>
          <w:p w:rsidR="00275F1A" w:rsidRPr="00E75AAE" w:rsidRDefault="00275F1A" w:rsidP="00275F1A">
            <w:pPr>
              <w:spacing w:after="0" w:line="240" w:lineRule="auto"/>
              <w:rPr>
                <w:rFonts w:ascii="Times New Roman" w:eastAsia="Times New Roman" w:hAnsi="Times New Roman" w:cs="Times New Roman"/>
                <w:color w:val="000000"/>
                <w:sz w:val="18"/>
                <w:szCs w:val="18"/>
              </w:rPr>
            </w:pPr>
          </w:p>
        </w:tc>
      </w:tr>
      <w:tr w:rsidR="006312DF" w:rsidRPr="00A90BCB" w:rsidTr="006312DF">
        <w:trPr>
          <w:trHeight w:val="300"/>
        </w:trPr>
        <w:tc>
          <w:tcPr>
            <w:tcW w:w="1997" w:type="dxa"/>
            <w:vMerge w:val="restart"/>
            <w:tcBorders>
              <w:top w:val="nil"/>
              <w:left w:val="single" w:sz="4" w:space="0" w:color="auto"/>
              <w:bottom w:val="single" w:sz="4" w:space="0" w:color="auto"/>
              <w:right w:val="single" w:sz="4" w:space="0" w:color="auto"/>
            </w:tcBorders>
            <w:shd w:val="clear" w:color="000000" w:fill="FDE9D9"/>
            <w:vAlign w:val="center"/>
            <w:hideMark/>
          </w:tcPr>
          <w:p w:rsidR="00275F1A" w:rsidRPr="00A90BCB" w:rsidRDefault="00275F1A" w:rsidP="00275F1A">
            <w:pPr>
              <w:spacing w:after="0" w:line="240" w:lineRule="auto"/>
              <w:jc w:val="center"/>
              <w:rPr>
                <w:rFonts w:ascii="Times New Roman" w:eastAsia="Times New Roman" w:hAnsi="Times New Roman" w:cs="Times New Roman"/>
                <w:i/>
                <w:iCs/>
                <w:sz w:val="20"/>
                <w:szCs w:val="20"/>
              </w:rPr>
            </w:pPr>
            <w:r w:rsidRPr="00A90BCB">
              <w:rPr>
                <w:rFonts w:ascii="Times New Roman" w:eastAsia="Times New Roman" w:hAnsi="Times New Roman" w:cs="Times New Roman"/>
                <w:i/>
                <w:iCs/>
                <w:sz w:val="20"/>
                <w:szCs w:val="20"/>
              </w:rPr>
              <w:t>Greitojo trumpalaikio mokumo koeficientas</w:t>
            </w:r>
          </w:p>
        </w:tc>
        <w:tc>
          <w:tcPr>
            <w:tcW w:w="1885" w:type="dxa"/>
            <w:tcBorders>
              <w:top w:val="nil"/>
              <w:left w:val="nil"/>
              <w:bottom w:val="single" w:sz="4" w:space="0" w:color="auto"/>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1,386,690-513,202</w:t>
            </w:r>
          </w:p>
        </w:tc>
        <w:tc>
          <w:tcPr>
            <w:tcW w:w="98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=1.600</w:t>
            </w:r>
          </w:p>
        </w:tc>
        <w:tc>
          <w:tcPr>
            <w:tcW w:w="1799" w:type="dxa"/>
            <w:tcBorders>
              <w:top w:val="nil"/>
              <w:left w:val="nil"/>
              <w:bottom w:val="single" w:sz="4" w:space="0" w:color="auto"/>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1,491,727-392,873</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=3.191</w:t>
            </w:r>
          </w:p>
        </w:tc>
        <w:tc>
          <w:tcPr>
            <w:tcW w:w="1894" w:type="dxa"/>
            <w:tcBorders>
              <w:top w:val="nil"/>
              <w:left w:val="nil"/>
              <w:bottom w:val="single" w:sz="4" w:space="0" w:color="auto"/>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742,516-156,796</w:t>
            </w:r>
          </w:p>
        </w:tc>
        <w:tc>
          <w:tcPr>
            <w:tcW w:w="81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=2.212</w:t>
            </w:r>
          </w:p>
        </w:tc>
      </w:tr>
      <w:tr w:rsidR="006312DF" w:rsidRPr="00A90BCB" w:rsidTr="006312DF">
        <w:trPr>
          <w:trHeight w:val="300"/>
        </w:trPr>
        <w:tc>
          <w:tcPr>
            <w:tcW w:w="1997" w:type="dxa"/>
            <w:vMerge/>
            <w:tcBorders>
              <w:top w:val="nil"/>
              <w:left w:val="single" w:sz="4" w:space="0" w:color="auto"/>
              <w:bottom w:val="single" w:sz="4" w:space="0" w:color="auto"/>
              <w:right w:val="single" w:sz="4" w:space="0" w:color="auto"/>
            </w:tcBorders>
            <w:vAlign w:val="center"/>
            <w:hideMark/>
          </w:tcPr>
          <w:p w:rsidR="00275F1A" w:rsidRPr="00A90BCB" w:rsidRDefault="00275F1A" w:rsidP="00275F1A">
            <w:pPr>
              <w:spacing w:after="0" w:line="240" w:lineRule="auto"/>
              <w:rPr>
                <w:rFonts w:ascii="Times New Roman" w:eastAsia="Times New Roman" w:hAnsi="Times New Roman" w:cs="Times New Roman"/>
                <w:i/>
                <w:iCs/>
                <w:sz w:val="20"/>
                <w:szCs w:val="20"/>
              </w:rPr>
            </w:pPr>
          </w:p>
        </w:tc>
        <w:tc>
          <w:tcPr>
            <w:tcW w:w="1885" w:type="dxa"/>
            <w:tcBorders>
              <w:top w:val="nil"/>
              <w:left w:val="nil"/>
              <w:bottom w:val="single" w:sz="4" w:space="0" w:color="auto"/>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546,085</w:t>
            </w:r>
          </w:p>
        </w:tc>
        <w:tc>
          <w:tcPr>
            <w:tcW w:w="987" w:type="dxa"/>
            <w:vMerge/>
            <w:tcBorders>
              <w:top w:val="nil"/>
              <w:left w:val="single" w:sz="4" w:space="0" w:color="auto"/>
              <w:bottom w:val="single" w:sz="4" w:space="0" w:color="000000"/>
              <w:right w:val="single" w:sz="4" w:space="0" w:color="auto"/>
            </w:tcBorders>
            <w:vAlign w:val="center"/>
            <w:hideMark/>
          </w:tcPr>
          <w:p w:rsidR="00275F1A" w:rsidRPr="00E75AAE" w:rsidRDefault="00275F1A" w:rsidP="00275F1A">
            <w:pPr>
              <w:spacing w:after="0" w:line="240" w:lineRule="auto"/>
              <w:rPr>
                <w:rFonts w:ascii="Times New Roman" w:eastAsia="Times New Roman" w:hAnsi="Times New Roman" w:cs="Times New Roman"/>
                <w:color w:val="000000"/>
                <w:sz w:val="18"/>
                <w:szCs w:val="18"/>
              </w:rPr>
            </w:pPr>
          </w:p>
        </w:tc>
        <w:tc>
          <w:tcPr>
            <w:tcW w:w="1799" w:type="dxa"/>
            <w:tcBorders>
              <w:top w:val="nil"/>
              <w:left w:val="nil"/>
              <w:bottom w:val="single" w:sz="4" w:space="0" w:color="auto"/>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344,345</w:t>
            </w:r>
          </w:p>
        </w:tc>
        <w:tc>
          <w:tcPr>
            <w:tcW w:w="951" w:type="dxa"/>
            <w:vMerge/>
            <w:tcBorders>
              <w:top w:val="nil"/>
              <w:left w:val="single" w:sz="4" w:space="0" w:color="auto"/>
              <w:bottom w:val="single" w:sz="4" w:space="0" w:color="000000"/>
              <w:right w:val="single" w:sz="4" w:space="0" w:color="auto"/>
            </w:tcBorders>
            <w:vAlign w:val="center"/>
            <w:hideMark/>
          </w:tcPr>
          <w:p w:rsidR="00275F1A" w:rsidRPr="00E75AAE" w:rsidRDefault="00275F1A" w:rsidP="00275F1A">
            <w:pPr>
              <w:spacing w:after="0" w:line="240" w:lineRule="auto"/>
              <w:rPr>
                <w:rFonts w:ascii="Times New Roman" w:eastAsia="Times New Roman" w:hAnsi="Times New Roman" w:cs="Times New Roman"/>
                <w:color w:val="000000"/>
                <w:sz w:val="18"/>
                <w:szCs w:val="18"/>
              </w:rPr>
            </w:pPr>
          </w:p>
        </w:tc>
        <w:tc>
          <w:tcPr>
            <w:tcW w:w="1894" w:type="dxa"/>
            <w:tcBorders>
              <w:top w:val="nil"/>
              <w:left w:val="nil"/>
              <w:bottom w:val="single" w:sz="4" w:space="0" w:color="auto"/>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264,772</w:t>
            </w:r>
          </w:p>
        </w:tc>
        <w:tc>
          <w:tcPr>
            <w:tcW w:w="816" w:type="dxa"/>
            <w:vMerge/>
            <w:tcBorders>
              <w:top w:val="nil"/>
              <w:left w:val="single" w:sz="4" w:space="0" w:color="auto"/>
              <w:bottom w:val="single" w:sz="4" w:space="0" w:color="000000"/>
              <w:right w:val="single" w:sz="4" w:space="0" w:color="auto"/>
            </w:tcBorders>
            <w:vAlign w:val="center"/>
            <w:hideMark/>
          </w:tcPr>
          <w:p w:rsidR="00275F1A" w:rsidRPr="00E75AAE" w:rsidRDefault="00275F1A" w:rsidP="00275F1A">
            <w:pPr>
              <w:spacing w:after="0" w:line="240" w:lineRule="auto"/>
              <w:rPr>
                <w:rFonts w:ascii="Times New Roman" w:eastAsia="Times New Roman" w:hAnsi="Times New Roman" w:cs="Times New Roman"/>
                <w:color w:val="000000"/>
                <w:sz w:val="18"/>
                <w:szCs w:val="18"/>
              </w:rPr>
            </w:pPr>
          </w:p>
        </w:tc>
      </w:tr>
      <w:tr w:rsidR="006312DF" w:rsidRPr="00A90BCB" w:rsidTr="006312DF">
        <w:trPr>
          <w:trHeight w:val="300"/>
        </w:trPr>
        <w:tc>
          <w:tcPr>
            <w:tcW w:w="1997" w:type="dxa"/>
            <w:vMerge w:val="restart"/>
            <w:tcBorders>
              <w:top w:val="nil"/>
              <w:left w:val="single" w:sz="4" w:space="0" w:color="auto"/>
              <w:bottom w:val="single" w:sz="4" w:space="0" w:color="auto"/>
              <w:right w:val="single" w:sz="4" w:space="0" w:color="auto"/>
            </w:tcBorders>
            <w:shd w:val="clear" w:color="000000" w:fill="FDE9D9"/>
            <w:vAlign w:val="center"/>
            <w:hideMark/>
          </w:tcPr>
          <w:p w:rsidR="00275F1A" w:rsidRPr="00A90BCB" w:rsidRDefault="00275F1A" w:rsidP="00275F1A">
            <w:pPr>
              <w:spacing w:after="0" w:line="240" w:lineRule="auto"/>
              <w:jc w:val="center"/>
              <w:rPr>
                <w:rFonts w:ascii="Times New Roman" w:eastAsia="Times New Roman" w:hAnsi="Times New Roman" w:cs="Times New Roman"/>
                <w:i/>
                <w:iCs/>
                <w:sz w:val="20"/>
                <w:szCs w:val="20"/>
              </w:rPr>
            </w:pPr>
            <w:r w:rsidRPr="00A90BCB">
              <w:rPr>
                <w:rFonts w:ascii="Times New Roman" w:eastAsia="Times New Roman" w:hAnsi="Times New Roman" w:cs="Times New Roman"/>
                <w:i/>
                <w:iCs/>
                <w:sz w:val="20"/>
                <w:szCs w:val="20"/>
              </w:rPr>
              <w:t>Bendrasis skolos koeficientas</w:t>
            </w:r>
          </w:p>
        </w:tc>
        <w:tc>
          <w:tcPr>
            <w:tcW w:w="1885" w:type="dxa"/>
            <w:tcBorders>
              <w:top w:val="nil"/>
              <w:left w:val="nil"/>
              <w:bottom w:val="single" w:sz="4" w:space="0" w:color="auto"/>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4,072,330</w:t>
            </w:r>
          </w:p>
        </w:tc>
        <w:tc>
          <w:tcPr>
            <w:tcW w:w="98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=0.566</w:t>
            </w:r>
          </w:p>
        </w:tc>
        <w:tc>
          <w:tcPr>
            <w:tcW w:w="1799" w:type="dxa"/>
            <w:tcBorders>
              <w:top w:val="nil"/>
              <w:left w:val="nil"/>
              <w:bottom w:val="single" w:sz="4" w:space="0" w:color="auto"/>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3,673,990</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=0.526</w:t>
            </w:r>
          </w:p>
        </w:tc>
        <w:tc>
          <w:tcPr>
            <w:tcW w:w="1894" w:type="dxa"/>
            <w:tcBorders>
              <w:top w:val="nil"/>
              <w:left w:val="nil"/>
              <w:bottom w:val="single" w:sz="4" w:space="0" w:color="auto"/>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2,513,802</w:t>
            </w:r>
          </w:p>
        </w:tc>
        <w:tc>
          <w:tcPr>
            <w:tcW w:w="81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=0.569</w:t>
            </w:r>
          </w:p>
        </w:tc>
      </w:tr>
      <w:tr w:rsidR="006312DF" w:rsidRPr="00A90BCB" w:rsidTr="006312DF">
        <w:trPr>
          <w:trHeight w:val="300"/>
        </w:trPr>
        <w:tc>
          <w:tcPr>
            <w:tcW w:w="1997" w:type="dxa"/>
            <w:vMerge/>
            <w:tcBorders>
              <w:top w:val="nil"/>
              <w:left w:val="single" w:sz="4" w:space="0" w:color="auto"/>
              <w:bottom w:val="single" w:sz="4" w:space="0" w:color="auto"/>
              <w:right w:val="single" w:sz="4" w:space="0" w:color="auto"/>
            </w:tcBorders>
            <w:vAlign w:val="center"/>
            <w:hideMark/>
          </w:tcPr>
          <w:p w:rsidR="00275F1A" w:rsidRPr="00A90BCB" w:rsidRDefault="00275F1A" w:rsidP="00275F1A">
            <w:pPr>
              <w:spacing w:after="0" w:line="240" w:lineRule="auto"/>
              <w:rPr>
                <w:rFonts w:ascii="Times New Roman" w:eastAsia="Times New Roman" w:hAnsi="Times New Roman" w:cs="Times New Roman"/>
                <w:i/>
                <w:iCs/>
                <w:sz w:val="20"/>
                <w:szCs w:val="20"/>
              </w:rPr>
            </w:pPr>
          </w:p>
        </w:tc>
        <w:tc>
          <w:tcPr>
            <w:tcW w:w="1885" w:type="dxa"/>
            <w:tcBorders>
              <w:top w:val="nil"/>
              <w:left w:val="nil"/>
              <w:bottom w:val="single" w:sz="4" w:space="0" w:color="auto"/>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1,758,779+546,085</w:t>
            </w:r>
          </w:p>
        </w:tc>
        <w:tc>
          <w:tcPr>
            <w:tcW w:w="987" w:type="dxa"/>
            <w:vMerge/>
            <w:tcBorders>
              <w:top w:val="nil"/>
              <w:left w:val="single" w:sz="4" w:space="0" w:color="auto"/>
              <w:bottom w:val="single" w:sz="4" w:space="0" w:color="000000"/>
              <w:right w:val="single" w:sz="4" w:space="0" w:color="auto"/>
            </w:tcBorders>
            <w:vAlign w:val="center"/>
            <w:hideMark/>
          </w:tcPr>
          <w:p w:rsidR="00275F1A" w:rsidRPr="00E75AAE" w:rsidRDefault="00275F1A" w:rsidP="00275F1A">
            <w:pPr>
              <w:spacing w:after="0" w:line="240" w:lineRule="auto"/>
              <w:rPr>
                <w:rFonts w:ascii="Times New Roman" w:eastAsia="Times New Roman" w:hAnsi="Times New Roman" w:cs="Times New Roman"/>
                <w:color w:val="000000"/>
                <w:sz w:val="18"/>
                <w:szCs w:val="18"/>
              </w:rPr>
            </w:pPr>
          </w:p>
        </w:tc>
        <w:tc>
          <w:tcPr>
            <w:tcW w:w="1799" w:type="dxa"/>
            <w:tcBorders>
              <w:top w:val="nil"/>
              <w:left w:val="nil"/>
              <w:bottom w:val="single" w:sz="4" w:space="0" w:color="auto"/>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1,587,506+344,345</w:t>
            </w:r>
          </w:p>
        </w:tc>
        <w:tc>
          <w:tcPr>
            <w:tcW w:w="951" w:type="dxa"/>
            <w:vMerge/>
            <w:tcBorders>
              <w:top w:val="nil"/>
              <w:left w:val="single" w:sz="4" w:space="0" w:color="auto"/>
              <w:bottom w:val="single" w:sz="4" w:space="0" w:color="000000"/>
              <w:right w:val="single" w:sz="4" w:space="0" w:color="auto"/>
            </w:tcBorders>
            <w:vAlign w:val="center"/>
            <w:hideMark/>
          </w:tcPr>
          <w:p w:rsidR="00275F1A" w:rsidRPr="00E75AAE" w:rsidRDefault="00275F1A" w:rsidP="00275F1A">
            <w:pPr>
              <w:spacing w:after="0" w:line="240" w:lineRule="auto"/>
              <w:rPr>
                <w:rFonts w:ascii="Times New Roman" w:eastAsia="Times New Roman" w:hAnsi="Times New Roman" w:cs="Times New Roman"/>
                <w:color w:val="000000"/>
                <w:sz w:val="18"/>
                <w:szCs w:val="18"/>
              </w:rPr>
            </w:pPr>
          </w:p>
        </w:tc>
        <w:tc>
          <w:tcPr>
            <w:tcW w:w="1894" w:type="dxa"/>
            <w:tcBorders>
              <w:top w:val="nil"/>
              <w:left w:val="nil"/>
              <w:bottom w:val="single" w:sz="4" w:space="0" w:color="auto"/>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1.165,401+264,772</w:t>
            </w:r>
          </w:p>
        </w:tc>
        <w:tc>
          <w:tcPr>
            <w:tcW w:w="816" w:type="dxa"/>
            <w:vMerge/>
            <w:tcBorders>
              <w:top w:val="nil"/>
              <w:left w:val="single" w:sz="4" w:space="0" w:color="auto"/>
              <w:bottom w:val="single" w:sz="4" w:space="0" w:color="000000"/>
              <w:right w:val="single" w:sz="4" w:space="0" w:color="auto"/>
            </w:tcBorders>
            <w:vAlign w:val="center"/>
            <w:hideMark/>
          </w:tcPr>
          <w:p w:rsidR="00275F1A" w:rsidRPr="00E75AAE" w:rsidRDefault="00275F1A" w:rsidP="00275F1A">
            <w:pPr>
              <w:spacing w:after="0" w:line="240" w:lineRule="auto"/>
              <w:rPr>
                <w:rFonts w:ascii="Times New Roman" w:eastAsia="Times New Roman" w:hAnsi="Times New Roman" w:cs="Times New Roman"/>
                <w:color w:val="000000"/>
                <w:sz w:val="18"/>
                <w:szCs w:val="18"/>
              </w:rPr>
            </w:pPr>
          </w:p>
        </w:tc>
      </w:tr>
      <w:tr w:rsidR="006312DF" w:rsidRPr="00A90BCB" w:rsidTr="006312DF">
        <w:trPr>
          <w:trHeight w:val="300"/>
        </w:trPr>
        <w:tc>
          <w:tcPr>
            <w:tcW w:w="1997" w:type="dxa"/>
            <w:vMerge w:val="restart"/>
            <w:tcBorders>
              <w:top w:val="nil"/>
              <w:left w:val="single" w:sz="4" w:space="0" w:color="auto"/>
              <w:bottom w:val="single" w:sz="4" w:space="0" w:color="auto"/>
              <w:right w:val="single" w:sz="4" w:space="0" w:color="auto"/>
            </w:tcBorders>
            <w:shd w:val="clear" w:color="000000" w:fill="FDE9D9"/>
            <w:vAlign w:val="center"/>
            <w:hideMark/>
          </w:tcPr>
          <w:p w:rsidR="00275F1A" w:rsidRPr="00A90BCB" w:rsidRDefault="00275F1A" w:rsidP="00275F1A">
            <w:pPr>
              <w:spacing w:after="0" w:line="240" w:lineRule="auto"/>
              <w:jc w:val="center"/>
              <w:rPr>
                <w:rFonts w:ascii="Times New Roman" w:eastAsia="Times New Roman" w:hAnsi="Times New Roman" w:cs="Times New Roman"/>
                <w:i/>
                <w:iCs/>
                <w:sz w:val="20"/>
                <w:szCs w:val="20"/>
              </w:rPr>
            </w:pPr>
            <w:r w:rsidRPr="00A90BCB">
              <w:rPr>
                <w:rFonts w:ascii="Times New Roman" w:eastAsia="Times New Roman" w:hAnsi="Times New Roman" w:cs="Times New Roman"/>
                <w:i/>
                <w:iCs/>
                <w:sz w:val="20"/>
                <w:szCs w:val="20"/>
              </w:rPr>
              <w:t>Turto pelningumas (ROA)</w:t>
            </w:r>
          </w:p>
        </w:tc>
        <w:tc>
          <w:tcPr>
            <w:tcW w:w="1885" w:type="dxa"/>
            <w:tcBorders>
              <w:top w:val="nil"/>
              <w:left w:val="nil"/>
              <w:bottom w:val="single" w:sz="4" w:space="0" w:color="auto"/>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338,750</w:t>
            </w:r>
          </w:p>
        </w:tc>
        <w:tc>
          <w:tcPr>
            <w:tcW w:w="98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=0.083</w:t>
            </w:r>
          </w:p>
        </w:tc>
        <w:tc>
          <w:tcPr>
            <w:tcW w:w="1799" w:type="dxa"/>
            <w:tcBorders>
              <w:top w:val="nil"/>
              <w:left w:val="nil"/>
              <w:bottom w:val="single" w:sz="4" w:space="0" w:color="auto"/>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-51,259</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=-0.014</w:t>
            </w:r>
          </w:p>
        </w:tc>
        <w:tc>
          <w:tcPr>
            <w:tcW w:w="1894" w:type="dxa"/>
            <w:tcBorders>
              <w:top w:val="nil"/>
              <w:left w:val="nil"/>
              <w:bottom w:val="single" w:sz="4" w:space="0" w:color="auto"/>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-631,210</w:t>
            </w:r>
          </w:p>
        </w:tc>
        <w:tc>
          <w:tcPr>
            <w:tcW w:w="81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=-0.251</w:t>
            </w:r>
          </w:p>
        </w:tc>
      </w:tr>
      <w:tr w:rsidR="006312DF" w:rsidRPr="00A90BCB" w:rsidTr="006312DF">
        <w:trPr>
          <w:trHeight w:val="300"/>
        </w:trPr>
        <w:tc>
          <w:tcPr>
            <w:tcW w:w="1997" w:type="dxa"/>
            <w:vMerge/>
            <w:tcBorders>
              <w:top w:val="nil"/>
              <w:left w:val="single" w:sz="4" w:space="0" w:color="auto"/>
              <w:bottom w:val="single" w:sz="4" w:space="0" w:color="auto"/>
              <w:right w:val="single" w:sz="4" w:space="0" w:color="auto"/>
            </w:tcBorders>
            <w:vAlign w:val="center"/>
            <w:hideMark/>
          </w:tcPr>
          <w:p w:rsidR="00275F1A" w:rsidRPr="00A90BCB" w:rsidRDefault="00275F1A" w:rsidP="00275F1A">
            <w:pPr>
              <w:spacing w:after="0" w:line="240" w:lineRule="auto"/>
              <w:rPr>
                <w:rFonts w:ascii="Times New Roman" w:eastAsia="Times New Roman" w:hAnsi="Times New Roman" w:cs="Times New Roman"/>
                <w:i/>
                <w:iCs/>
                <w:sz w:val="20"/>
                <w:szCs w:val="20"/>
              </w:rPr>
            </w:pPr>
          </w:p>
        </w:tc>
        <w:tc>
          <w:tcPr>
            <w:tcW w:w="1885" w:type="dxa"/>
            <w:tcBorders>
              <w:top w:val="nil"/>
              <w:left w:val="nil"/>
              <w:bottom w:val="single" w:sz="4" w:space="0" w:color="auto"/>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4,072,330</w:t>
            </w:r>
          </w:p>
        </w:tc>
        <w:tc>
          <w:tcPr>
            <w:tcW w:w="987" w:type="dxa"/>
            <w:vMerge/>
            <w:tcBorders>
              <w:top w:val="nil"/>
              <w:left w:val="single" w:sz="4" w:space="0" w:color="auto"/>
              <w:bottom w:val="single" w:sz="4" w:space="0" w:color="000000"/>
              <w:right w:val="single" w:sz="4" w:space="0" w:color="auto"/>
            </w:tcBorders>
            <w:vAlign w:val="center"/>
            <w:hideMark/>
          </w:tcPr>
          <w:p w:rsidR="00275F1A" w:rsidRPr="00E75AAE" w:rsidRDefault="00275F1A" w:rsidP="00275F1A">
            <w:pPr>
              <w:spacing w:after="0" w:line="240" w:lineRule="auto"/>
              <w:rPr>
                <w:rFonts w:ascii="Times New Roman" w:eastAsia="Times New Roman" w:hAnsi="Times New Roman" w:cs="Times New Roman"/>
                <w:color w:val="000000"/>
                <w:sz w:val="18"/>
                <w:szCs w:val="18"/>
              </w:rPr>
            </w:pPr>
          </w:p>
        </w:tc>
        <w:tc>
          <w:tcPr>
            <w:tcW w:w="1799" w:type="dxa"/>
            <w:tcBorders>
              <w:top w:val="nil"/>
              <w:left w:val="nil"/>
              <w:bottom w:val="single" w:sz="4" w:space="0" w:color="auto"/>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3,673,990</w:t>
            </w:r>
          </w:p>
        </w:tc>
        <w:tc>
          <w:tcPr>
            <w:tcW w:w="951" w:type="dxa"/>
            <w:vMerge/>
            <w:tcBorders>
              <w:top w:val="nil"/>
              <w:left w:val="single" w:sz="4" w:space="0" w:color="auto"/>
              <w:bottom w:val="single" w:sz="4" w:space="0" w:color="000000"/>
              <w:right w:val="single" w:sz="4" w:space="0" w:color="auto"/>
            </w:tcBorders>
            <w:vAlign w:val="center"/>
            <w:hideMark/>
          </w:tcPr>
          <w:p w:rsidR="00275F1A" w:rsidRPr="00E75AAE" w:rsidRDefault="00275F1A" w:rsidP="00275F1A">
            <w:pPr>
              <w:spacing w:after="0" w:line="240" w:lineRule="auto"/>
              <w:rPr>
                <w:rFonts w:ascii="Times New Roman" w:eastAsia="Times New Roman" w:hAnsi="Times New Roman" w:cs="Times New Roman"/>
                <w:color w:val="000000"/>
                <w:sz w:val="18"/>
                <w:szCs w:val="18"/>
              </w:rPr>
            </w:pPr>
          </w:p>
        </w:tc>
        <w:tc>
          <w:tcPr>
            <w:tcW w:w="1894" w:type="dxa"/>
            <w:tcBorders>
              <w:top w:val="nil"/>
              <w:left w:val="nil"/>
              <w:bottom w:val="single" w:sz="4" w:space="0" w:color="auto"/>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2,513,802</w:t>
            </w:r>
          </w:p>
        </w:tc>
        <w:tc>
          <w:tcPr>
            <w:tcW w:w="816" w:type="dxa"/>
            <w:vMerge/>
            <w:tcBorders>
              <w:top w:val="nil"/>
              <w:left w:val="single" w:sz="4" w:space="0" w:color="auto"/>
              <w:bottom w:val="single" w:sz="4" w:space="0" w:color="000000"/>
              <w:right w:val="single" w:sz="4" w:space="0" w:color="auto"/>
            </w:tcBorders>
            <w:vAlign w:val="center"/>
            <w:hideMark/>
          </w:tcPr>
          <w:p w:rsidR="00275F1A" w:rsidRPr="00E75AAE" w:rsidRDefault="00275F1A" w:rsidP="00275F1A">
            <w:pPr>
              <w:spacing w:after="0" w:line="240" w:lineRule="auto"/>
              <w:rPr>
                <w:rFonts w:ascii="Times New Roman" w:eastAsia="Times New Roman" w:hAnsi="Times New Roman" w:cs="Times New Roman"/>
                <w:color w:val="000000"/>
                <w:sz w:val="18"/>
                <w:szCs w:val="18"/>
              </w:rPr>
            </w:pPr>
          </w:p>
        </w:tc>
      </w:tr>
      <w:tr w:rsidR="006312DF" w:rsidRPr="00A90BCB" w:rsidTr="006312DF">
        <w:trPr>
          <w:trHeight w:val="300"/>
        </w:trPr>
        <w:tc>
          <w:tcPr>
            <w:tcW w:w="1997" w:type="dxa"/>
            <w:vMerge w:val="restart"/>
            <w:tcBorders>
              <w:top w:val="nil"/>
              <w:left w:val="single" w:sz="4" w:space="0" w:color="auto"/>
              <w:bottom w:val="single" w:sz="4" w:space="0" w:color="auto"/>
              <w:right w:val="single" w:sz="4" w:space="0" w:color="auto"/>
            </w:tcBorders>
            <w:shd w:val="clear" w:color="000000" w:fill="FDE9D9"/>
            <w:vAlign w:val="center"/>
            <w:hideMark/>
          </w:tcPr>
          <w:p w:rsidR="00275F1A" w:rsidRPr="00A90BCB" w:rsidRDefault="00275F1A" w:rsidP="00275F1A">
            <w:pPr>
              <w:spacing w:after="0" w:line="240" w:lineRule="auto"/>
              <w:jc w:val="center"/>
              <w:rPr>
                <w:rFonts w:ascii="Times New Roman" w:eastAsia="Times New Roman" w:hAnsi="Times New Roman" w:cs="Times New Roman"/>
                <w:i/>
                <w:iCs/>
                <w:sz w:val="20"/>
                <w:szCs w:val="20"/>
              </w:rPr>
            </w:pPr>
            <w:r w:rsidRPr="00A90BCB">
              <w:rPr>
                <w:rFonts w:ascii="Times New Roman" w:eastAsia="Times New Roman" w:hAnsi="Times New Roman" w:cs="Times New Roman"/>
                <w:i/>
                <w:iCs/>
                <w:sz w:val="20"/>
                <w:szCs w:val="20"/>
              </w:rPr>
              <w:t>Grynasis pardavimo pelningumas</w:t>
            </w:r>
          </w:p>
        </w:tc>
        <w:tc>
          <w:tcPr>
            <w:tcW w:w="1885" w:type="dxa"/>
            <w:tcBorders>
              <w:top w:val="nil"/>
              <w:left w:val="nil"/>
              <w:bottom w:val="single" w:sz="4" w:space="0" w:color="auto"/>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338,750</w:t>
            </w:r>
          </w:p>
        </w:tc>
        <w:tc>
          <w:tcPr>
            <w:tcW w:w="98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=0.064</w:t>
            </w:r>
          </w:p>
        </w:tc>
        <w:tc>
          <w:tcPr>
            <w:tcW w:w="1799" w:type="dxa"/>
            <w:tcBorders>
              <w:top w:val="nil"/>
              <w:left w:val="nil"/>
              <w:bottom w:val="single" w:sz="4" w:space="0" w:color="auto"/>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-51,259</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=-0.009</w:t>
            </w:r>
          </w:p>
        </w:tc>
        <w:tc>
          <w:tcPr>
            <w:tcW w:w="1894" w:type="dxa"/>
            <w:tcBorders>
              <w:top w:val="nil"/>
              <w:left w:val="nil"/>
              <w:bottom w:val="single" w:sz="4" w:space="0" w:color="auto"/>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-631,210</w:t>
            </w:r>
          </w:p>
        </w:tc>
        <w:tc>
          <w:tcPr>
            <w:tcW w:w="81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=-0.131</w:t>
            </w:r>
          </w:p>
        </w:tc>
      </w:tr>
      <w:tr w:rsidR="006312DF" w:rsidRPr="00A90BCB" w:rsidTr="006312DF">
        <w:trPr>
          <w:trHeight w:val="300"/>
        </w:trPr>
        <w:tc>
          <w:tcPr>
            <w:tcW w:w="1997" w:type="dxa"/>
            <w:vMerge/>
            <w:tcBorders>
              <w:top w:val="nil"/>
              <w:left w:val="single" w:sz="4" w:space="0" w:color="auto"/>
              <w:bottom w:val="single" w:sz="4" w:space="0" w:color="auto"/>
              <w:right w:val="single" w:sz="4" w:space="0" w:color="auto"/>
            </w:tcBorders>
            <w:vAlign w:val="center"/>
            <w:hideMark/>
          </w:tcPr>
          <w:p w:rsidR="00275F1A" w:rsidRPr="00A90BCB" w:rsidRDefault="00275F1A" w:rsidP="00275F1A">
            <w:pPr>
              <w:spacing w:after="0" w:line="240" w:lineRule="auto"/>
              <w:rPr>
                <w:rFonts w:ascii="Times New Roman" w:eastAsia="Times New Roman" w:hAnsi="Times New Roman" w:cs="Times New Roman"/>
                <w:i/>
                <w:iCs/>
                <w:sz w:val="20"/>
                <w:szCs w:val="20"/>
              </w:rPr>
            </w:pPr>
          </w:p>
        </w:tc>
        <w:tc>
          <w:tcPr>
            <w:tcW w:w="1885" w:type="dxa"/>
            <w:tcBorders>
              <w:top w:val="nil"/>
              <w:left w:val="nil"/>
              <w:bottom w:val="single" w:sz="4" w:space="0" w:color="auto"/>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5,269,191</w:t>
            </w:r>
          </w:p>
        </w:tc>
        <w:tc>
          <w:tcPr>
            <w:tcW w:w="987" w:type="dxa"/>
            <w:vMerge/>
            <w:tcBorders>
              <w:top w:val="nil"/>
              <w:left w:val="single" w:sz="4" w:space="0" w:color="auto"/>
              <w:bottom w:val="single" w:sz="4" w:space="0" w:color="000000"/>
              <w:right w:val="single" w:sz="4" w:space="0" w:color="auto"/>
            </w:tcBorders>
            <w:vAlign w:val="center"/>
            <w:hideMark/>
          </w:tcPr>
          <w:p w:rsidR="00275F1A" w:rsidRPr="00E75AAE" w:rsidRDefault="00275F1A" w:rsidP="00275F1A">
            <w:pPr>
              <w:spacing w:after="0" w:line="240" w:lineRule="auto"/>
              <w:rPr>
                <w:rFonts w:ascii="Times New Roman" w:eastAsia="Times New Roman" w:hAnsi="Times New Roman" w:cs="Times New Roman"/>
                <w:color w:val="000000"/>
                <w:sz w:val="18"/>
                <w:szCs w:val="18"/>
              </w:rPr>
            </w:pPr>
          </w:p>
        </w:tc>
        <w:tc>
          <w:tcPr>
            <w:tcW w:w="1799" w:type="dxa"/>
            <w:tcBorders>
              <w:top w:val="nil"/>
              <w:left w:val="nil"/>
              <w:bottom w:val="single" w:sz="4" w:space="0" w:color="auto"/>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5,522,825</w:t>
            </w:r>
          </w:p>
        </w:tc>
        <w:tc>
          <w:tcPr>
            <w:tcW w:w="951" w:type="dxa"/>
            <w:vMerge/>
            <w:tcBorders>
              <w:top w:val="nil"/>
              <w:left w:val="single" w:sz="4" w:space="0" w:color="auto"/>
              <w:bottom w:val="single" w:sz="4" w:space="0" w:color="000000"/>
              <w:right w:val="single" w:sz="4" w:space="0" w:color="auto"/>
            </w:tcBorders>
            <w:vAlign w:val="center"/>
            <w:hideMark/>
          </w:tcPr>
          <w:p w:rsidR="00275F1A" w:rsidRPr="00E75AAE" w:rsidRDefault="00275F1A" w:rsidP="00275F1A">
            <w:pPr>
              <w:spacing w:after="0" w:line="240" w:lineRule="auto"/>
              <w:rPr>
                <w:rFonts w:ascii="Times New Roman" w:eastAsia="Times New Roman" w:hAnsi="Times New Roman" w:cs="Times New Roman"/>
                <w:color w:val="000000"/>
                <w:sz w:val="18"/>
                <w:szCs w:val="18"/>
              </w:rPr>
            </w:pPr>
          </w:p>
        </w:tc>
        <w:tc>
          <w:tcPr>
            <w:tcW w:w="1894" w:type="dxa"/>
            <w:tcBorders>
              <w:top w:val="nil"/>
              <w:left w:val="nil"/>
              <w:bottom w:val="single" w:sz="4" w:space="0" w:color="auto"/>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4,836,560</w:t>
            </w:r>
          </w:p>
        </w:tc>
        <w:tc>
          <w:tcPr>
            <w:tcW w:w="816" w:type="dxa"/>
            <w:vMerge/>
            <w:tcBorders>
              <w:top w:val="nil"/>
              <w:left w:val="single" w:sz="4" w:space="0" w:color="auto"/>
              <w:bottom w:val="single" w:sz="4" w:space="0" w:color="000000"/>
              <w:right w:val="single" w:sz="4" w:space="0" w:color="auto"/>
            </w:tcBorders>
            <w:vAlign w:val="center"/>
            <w:hideMark/>
          </w:tcPr>
          <w:p w:rsidR="00275F1A" w:rsidRPr="00E75AAE" w:rsidRDefault="00275F1A" w:rsidP="00275F1A">
            <w:pPr>
              <w:spacing w:after="0" w:line="240" w:lineRule="auto"/>
              <w:rPr>
                <w:rFonts w:ascii="Times New Roman" w:eastAsia="Times New Roman" w:hAnsi="Times New Roman" w:cs="Times New Roman"/>
                <w:color w:val="000000"/>
                <w:sz w:val="18"/>
                <w:szCs w:val="18"/>
              </w:rPr>
            </w:pPr>
          </w:p>
        </w:tc>
      </w:tr>
      <w:tr w:rsidR="006312DF" w:rsidRPr="00A90BCB" w:rsidTr="006312DF">
        <w:trPr>
          <w:trHeight w:val="300"/>
        </w:trPr>
        <w:tc>
          <w:tcPr>
            <w:tcW w:w="1997" w:type="dxa"/>
            <w:vMerge w:val="restart"/>
            <w:tcBorders>
              <w:top w:val="nil"/>
              <w:left w:val="single" w:sz="4" w:space="0" w:color="auto"/>
              <w:bottom w:val="single" w:sz="4" w:space="0" w:color="auto"/>
              <w:right w:val="single" w:sz="4" w:space="0" w:color="auto"/>
            </w:tcBorders>
            <w:shd w:val="clear" w:color="000000" w:fill="FDE9D9"/>
            <w:vAlign w:val="center"/>
            <w:hideMark/>
          </w:tcPr>
          <w:p w:rsidR="00275F1A" w:rsidRPr="00A90BCB" w:rsidRDefault="00275F1A" w:rsidP="00275F1A">
            <w:pPr>
              <w:spacing w:after="0" w:line="240" w:lineRule="auto"/>
              <w:jc w:val="center"/>
              <w:rPr>
                <w:rFonts w:ascii="Times New Roman" w:eastAsia="Times New Roman" w:hAnsi="Times New Roman" w:cs="Times New Roman"/>
                <w:i/>
                <w:iCs/>
                <w:sz w:val="20"/>
                <w:szCs w:val="20"/>
              </w:rPr>
            </w:pPr>
            <w:r w:rsidRPr="00A90BCB">
              <w:rPr>
                <w:rFonts w:ascii="Times New Roman" w:eastAsia="Times New Roman" w:hAnsi="Times New Roman" w:cs="Times New Roman"/>
                <w:i/>
                <w:iCs/>
                <w:sz w:val="20"/>
                <w:szCs w:val="20"/>
              </w:rPr>
              <w:t>Grynasis nuosavo pelningumas (ROE)</w:t>
            </w:r>
          </w:p>
        </w:tc>
        <w:tc>
          <w:tcPr>
            <w:tcW w:w="1885" w:type="dxa"/>
            <w:tcBorders>
              <w:top w:val="nil"/>
              <w:left w:val="nil"/>
              <w:bottom w:val="single" w:sz="4" w:space="0" w:color="auto"/>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338,750</w:t>
            </w:r>
          </w:p>
        </w:tc>
        <w:tc>
          <w:tcPr>
            <w:tcW w:w="98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=0.192</w:t>
            </w:r>
          </w:p>
        </w:tc>
        <w:tc>
          <w:tcPr>
            <w:tcW w:w="1799" w:type="dxa"/>
            <w:tcBorders>
              <w:top w:val="nil"/>
              <w:left w:val="nil"/>
              <w:bottom w:val="single" w:sz="4" w:space="0" w:color="auto"/>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-51,259</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=-0.029</w:t>
            </w:r>
          </w:p>
        </w:tc>
        <w:tc>
          <w:tcPr>
            <w:tcW w:w="1894" w:type="dxa"/>
            <w:tcBorders>
              <w:top w:val="nil"/>
              <w:left w:val="nil"/>
              <w:bottom w:val="single" w:sz="4" w:space="0" w:color="auto"/>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-631,210</w:t>
            </w:r>
          </w:p>
        </w:tc>
        <w:tc>
          <w:tcPr>
            <w:tcW w:w="81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=-0.582</w:t>
            </w:r>
          </w:p>
        </w:tc>
      </w:tr>
      <w:tr w:rsidR="006312DF" w:rsidRPr="00A90BCB" w:rsidTr="006312DF">
        <w:trPr>
          <w:trHeight w:val="300"/>
        </w:trPr>
        <w:tc>
          <w:tcPr>
            <w:tcW w:w="1997" w:type="dxa"/>
            <w:vMerge/>
            <w:tcBorders>
              <w:top w:val="nil"/>
              <w:left w:val="single" w:sz="4" w:space="0" w:color="auto"/>
              <w:bottom w:val="single" w:sz="4" w:space="0" w:color="auto"/>
              <w:right w:val="single" w:sz="4" w:space="0" w:color="auto"/>
            </w:tcBorders>
            <w:vAlign w:val="center"/>
            <w:hideMark/>
          </w:tcPr>
          <w:p w:rsidR="00275F1A" w:rsidRPr="00A90BCB" w:rsidRDefault="00275F1A" w:rsidP="00275F1A">
            <w:pPr>
              <w:spacing w:after="0" w:line="240" w:lineRule="auto"/>
              <w:rPr>
                <w:rFonts w:ascii="Times New Roman" w:eastAsia="Times New Roman" w:hAnsi="Times New Roman" w:cs="Times New Roman"/>
                <w:i/>
                <w:iCs/>
                <w:sz w:val="20"/>
                <w:szCs w:val="20"/>
              </w:rPr>
            </w:pPr>
          </w:p>
        </w:tc>
        <w:tc>
          <w:tcPr>
            <w:tcW w:w="1885" w:type="dxa"/>
            <w:tcBorders>
              <w:top w:val="nil"/>
              <w:left w:val="nil"/>
              <w:bottom w:val="single" w:sz="4" w:space="0" w:color="auto"/>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1,767,466</w:t>
            </w:r>
          </w:p>
        </w:tc>
        <w:tc>
          <w:tcPr>
            <w:tcW w:w="987" w:type="dxa"/>
            <w:vMerge/>
            <w:tcBorders>
              <w:top w:val="nil"/>
              <w:left w:val="single" w:sz="4" w:space="0" w:color="auto"/>
              <w:bottom w:val="single" w:sz="4" w:space="0" w:color="000000"/>
              <w:right w:val="single" w:sz="4" w:space="0" w:color="auto"/>
            </w:tcBorders>
            <w:vAlign w:val="center"/>
            <w:hideMark/>
          </w:tcPr>
          <w:p w:rsidR="00275F1A" w:rsidRPr="00E75AAE" w:rsidRDefault="00275F1A" w:rsidP="00275F1A">
            <w:pPr>
              <w:spacing w:after="0" w:line="240" w:lineRule="auto"/>
              <w:rPr>
                <w:rFonts w:ascii="Times New Roman" w:eastAsia="Times New Roman" w:hAnsi="Times New Roman" w:cs="Times New Roman"/>
                <w:color w:val="000000"/>
                <w:sz w:val="18"/>
                <w:szCs w:val="18"/>
              </w:rPr>
            </w:pPr>
          </w:p>
        </w:tc>
        <w:tc>
          <w:tcPr>
            <w:tcW w:w="1799" w:type="dxa"/>
            <w:tcBorders>
              <w:top w:val="nil"/>
              <w:left w:val="nil"/>
              <w:bottom w:val="single" w:sz="4" w:space="0" w:color="auto"/>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1,742,139</w:t>
            </w:r>
          </w:p>
        </w:tc>
        <w:tc>
          <w:tcPr>
            <w:tcW w:w="951" w:type="dxa"/>
            <w:vMerge/>
            <w:tcBorders>
              <w:top w:val="nil"/>
              <w:left w:val="single" w:sz="4" w:space="0" w:color="auto"/>
              <w:bottom w:val="single" w:sz="4" w:space="0" w:color="000000"/>
              <w:right w:val="single" w:sz="4" w:space="0" w:color="auto"/>
            </w:tcBorders>
            <w:vAlign w:val="center"/>
            <w:hideMark/>
          </w:tcPr>
          <w:p w:rsidR="00275F1A" w:rsidRPr="00E75AAE" w:rsidRDefault="00275F1A" w:rsidP="00275F1A">
            <w:pPr>
              <w:spacing w:after="0" w:line="240" w:lineRule="auto"/>
              <w:rPr>
                <w:rFonts w:ascii="Times New Roman" w:eastAsia="Times New Roman" w:hAnsi="Times New Roman" w:cs="Times New Roman"/>
                <w:color w:val="000000"/>
                <w:sz w:val="18"/>
                <w:szCs w:val="18"/>
              </w:rPr>
            </w:pPr>
          </w:p>
        </w:tc>
        <w:tc>
          <w:tcPr>
            <w:tcW w:w="1894" w:type="dxa"/>
            <w:tcBorders>
              <w:top w:val="nil"/>
              <w:left w:val="nil"/>
              <w:bottom w:val="single" w:sz="4" w:space="0" w:color="auto"/>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1,083,630</w:t>
            </w:r>
          </w:p>
        </w:tc>
        <w:tc>
          <w:tcPr>
            <w:tcW w:w="816" w:type="dxa"/>
            <w:vMerge/>
            <w:tcBorders>
              <w:top w:val="nil"/>
              <w:left w:val="single" w:sz="4" w:space="0" w:color="auto"/>
              <w:bottom w:val="single" w:sz="4" w:space="0" w:color="000000"/>
              <w:right w:val="single" w:sz="4" w:space="0" w:color="auto"/>
            </w:tcBorders>
            <w:vAlign w:val="center"/>
            <w:hideMark/>
          </w:tcPr>
          <w:p w:rsidR="00275F1A" w:rsidRPr="00E75AAE" w:rsidRDefault="00275F1A" w:rsidP="00275F1A">
            <w:pPr>
              <w:spacing w:after="0" w:line="240" w:lineRule="auto"/>
              <w:rPr>
                <w:rFonts w:ascii="Times New Roman" w:eastAsia="Times New Roman" w:hAnsi="Times New Roman" w:cs="Times New Roman"/>
                <w:color w:val="000000"/>
                <w:sz w:val="18"/>
                <w:szCs w:val="18"/>
              </w:rPr>
            </w:pPr>
          </w:p>
        </w:tc>
      </w:tr>
      <w:tr w:rsidR="006312DF" w:rsidRPr="00A90BCB" w:rsidTr="006312DF">
        <w:trPr>
          <w:trHeight w:val="300"/>
        </w:trPr>
        <w:tc>
          <w:tcPr>
            <w:tcW w:w="1997" w:type="dxa"/>
            <w:vMerge w:val="restart"/>
            <w:tcBorders>
              <w:top w:val="nil"/>
              <w:left w:val="single" w:sz="4" w:space="0" w:color="auto"/>
              <w:bottom w:val="single" w:sz="4" w:space="0" w:color="auto"/>
              <w:right w:val="single" w:sz="4" w:space="0" w:color="auto"/>
            </w:tcBorders>
            <w:shd w:val="clear" w:color="000000" w:fill="FDE9D9"/>
            <w:vAlign w:val="center"/>
            <w:hideMark/>
          </w:tcPr>
          <w:p w:rsidR="00275F1A" w:rsidRPr="00A90BCB" w:rsidRDefault="00275F1A" w:rsidP="00275F1A">
            <w:pPr>
              <w:spacing w:after="0" w:line="240" w:lineRule="auto"/>
              <w:jc w:val="center"/>
              <w:rPr>
                <w:rFonts w:ascii="Times New Roman" w:eastAsia="Times New Roman" w:hAnsi="Times New Roman" w:cs="Times New Roman"/>
                <w:i/>
                <w:iCs/>
                <w:sz w:val="20"/>
                <w:szCs w:val="20"/>
              </w:rPr>
            </w:pPr>
            <w:r w:rsidRPr="00A90BCB">
              <w:rPr>
                <w:rFonts w:ascii="Times New Roman" w:eastAsia="Times New Roman" w:hAnsi="Times New Roman" w:cs="Times New Roman"/>
                <w:i/>
                <w:iCs/>
                <w:sz w:val="20"/>
                <w:szCs w:val="20"/>
              </w:rPr>
              <w:t xml:space="preserve">Finansinis svertas </w:t>
            </w:r>
          </w:p>
        </w:tc>
        <w:tc>
          <w:tcPr>
            <w:tcW w:w="1885" w:type="dxa"/>
            <w:tcBorders>
              <w:top w:val="nil"/>
              <w:left w:val="nil"/>
              <w:bottom w:val="single" w:sz="4" w:space="0" w:color="auto"/>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1,758,779+546,085</w:t>
            </w:r>
          </w:p>
        </w:tc>
        <w:tc>
          <w:tcPr>
            <w:tcW w:w="98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=1.304</w:t>
            </w:r>
          </w:p>
        </w:tc>
        <w:tc>
          <w:tcPr>
            <w:tcW w:w="1799" w:type="dxa"/>
            <w:tcBorders>
              <w:top w:val="nil"/>
              <w:left w:val="nil"/>
              <w:bottom w:val="single" w:sz="4" w:space="0" w:color="auto"/>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1,587,506+344,345</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=1.109</w:t>
            </w:r>
          </w:p>
        </w:tc>
        <w:tc>
          <w:tcPr>
            <w:tcW w:w="1894" w:type="dxa"/>
            <w:tcBorders>
              <w:top w:val="nil"/>
              <w:left w:val="nil"/>
              <w:bottom w:val="single" w:sz="4" w:space="0" w:color="auto"/>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1.165,401+264,772</w:t>
            </w:r>
          </w:p>
        </w:tc>
        <w:tc>
          <w:tcPr>
            <w:tcW w:w="81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=1.320</w:t>
            </w:r>
          </w:p>
        </w:tc>
      </w:tr>
      <w:tr w:rsidR="006312DF" w:rsidRPr="00A90BCB" w:rsidTr="006312DF">
        <w:trPr>
          <w:trHeight w:val="300"/>
        </w:trPr>
        <w:tc>
          <w:tcPr>
            <w:tcW w:w="1997" w:type="dxa"/>
            <w:vMerge/>
            <w:tcBorders>
              <w:top w:val="nil"/>
              <w:left w:val="single" w:sz="4" w:space="0" w:color="auto"/>
              <w:bottom w:val="single" w:sz="4" w:space="0" w:color="auto"/>
              <w:right w:val="single" w:sz="4" w:space="0" w:color="auto"/>
            </w:tcBorders>
            <w:vAlign w:val="center"/>
            <w:hideMark/>
          </w:tcPr>
          <w:p w:rsidR="00275F1A" w:rsidRPr="00A90BCB" w:rsidRDefault="00275F1A" w:rsidP="00275F1A">
            <w:pPr>
              <w:spacing w:after="0" w:line="240" w:lineRule="auto"/>
              <w:rPr>
                <w:rFonts w:ascii="Times New Roman" w:eastAsia="Times New Roman" w:hAnsi="Times New Roman" w:cs="Times New Roman"/>
                <w:i/>
                <w:iCs/>
                <w:sz w:val="20"/>
                <w:szCs w:val="20"/>
              </w:rPr>
            </w:pPr>
          </w:p>
        </w:tc>
        <w:tc>
          <w:tcPr>
            <w:tcW w:w="1885" w:type="dxa"/>
            <w:tcBorders>
              <w:top w:val="nil"/>
              <w:left w:val="nil"/>
              <w:bottom w:val="single" w:sz="4" w:space="0" w:color="auto"/>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1,767,466</w:t>
            </w:r>
          </w:p>
        </w:tc>
        <w:tc>
          <w:tcPr>
            <w:tcW w:w="987" w:type="dxa"/>
            <w:vMerge/>
            <w:tcBorders>
              <w:top w:val="nil"/>
              <w:left w:val="single" w:sz="4" w:space="0" w:color="auto"/>
              <w:bottom w:val="single" w:sz="4" w:space="0" w:color="000000"/>
              <w:right w:val="single" w:sz="4" w:space="0" w:color="auto"/>
            </w:tcBorders>
            <w:vAlign w:val="center"/>
            <w:hideMark/>
          </w:tcPr>
          <w:p w:rsidR="00275F1A" w:rsidRPr="00E75AAE" w:rsidRDefault="00275F1A" w:rsidP="00275F1A">
            <w:pPr>
              <w:spacing w:after="0" w:line="240" w:lineRule="auto"/>
              <w:rPr>
                <w:rFonts w:ascii="Times New Roman" w:eastAsia="Times New Roman" w:hAnsi="Times New Roman" w:cs="Times New Roman"/>
                <w:color w:val="000000"/>
                <w:sz w:val="18"/>
                <w:szCs w:val="18"/>
              </w:rPr>
            </w:pPr>
          </w:p>
        </w:tc>
        <w:tc>
          <w:tcPr>
            <w:tcW w:w="1799" w:type="dxa"/>
            <w:tcBorders>
              <w:top w:val="nil"/>
              <w:left w:val="nil"/>
              <w:bottom w:val="single" w:sz="4" w:space="0" w:color="auto"/>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1,742,139</w:t>
            </w:r>
          </w:p>
        </w:tc>
        <w:tc>
          <w:tcPr>
            <w:tcW w:w="951" w:type="dxa"/>
            <w:vMerge/>
            <w:tcBorders>
              <w:top w:val="nil"/>
              <w:left w:val="single" w:sz="4" w:space="0" w:color="auto"/>
              <w:bottom w:val="single" w:sz="4" w:space="0" w:color="000000"/>
              <w:right w:val="single" w:sz="4" w:space="0" w:color="auto"/>
            </w:tcBorders>
            <w:vAlign w:val="center"/>
            <w:hideMark/>
          </w:tcPr>
          <w:p w:rsidR="00275F1A" w:rsidRPr="00E75AAE" w:rsidRDefault="00275F1A" w:rsidP="00275F1A">
            <w:pPr>
              <w:spacing w:after="0" w:line="240" w:lineRule="auto"/>
              <w:rPr>
                <w:rFonts w:ascii="Times New Roman" w:eastAsia="Times New Roman" w:hAnsi="Times New Roman" w:cs="Times New Roman"/>
                <w:color w:val="000000"/>
                <w:sz w:val="18"/>
                <w:szCs w:val="18"/>
              </w:rPr>
            </w:pPr>
          </w:p>
        </w:tc>
        <w:tc>
          <w:tcPr>
            <w:tcW w:w="1894" w:type="dxa"/>
            <w:tcBorders>
              <w:top w:val="nil"/>
              <w:left w:val="nil"/>
              <w:bottom w:val="single" w:sz="4" w:space="0" w:color="auto"/>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1,083,630</w:t>
            </w:r>
          </w:p>
        </w:tc>
        <w:tc>
          <w:tcPr>
            <w:tcW w:w="816" w:type="dxa"/>
            <w:vMerge/>
            <w:tcBorders>
              <w:top w:val="nil"/>
              <w:left w:val="single" w:sz="4" w:space="0" w:color="auto"/>
              <w:bottom w:val="single" w:sz="4" w:space="0" w:color="000000"/>
              <w:right w:val="single" w:sz="4" w:space="0" w:color="auto"/>
            </w:tcBorders>
            <w:vAlign w:val="center"/>
            <w:hideMark/>
          </w:tcPr>
          <w:p w:rsidR="00275F1A" w:rsidRPr="00E75AAE" w:rsidRDefault="00275F1A" w:rsidP="00275F1A">
            <w:pPr>
              <w:spacing w:after="0" w:line="240" w:lineRule="auto"/>
              <w:rPr>
                <w:rFonts w:ascii="Times New Roman" w:eastAsia="Times New Roman" w:hAnsi="Times New Roman" w:cs="Times New Roman"/>
                <w:color w:val="000000"/>
                <w:sz w:val="18"/>
                <w:szCs w:val="18"/>
              </w:rPr>
            </w:pPr>
          </w:p>
        </w:tc>
      </w:tr>
      <w:tr w:rsidR="006312DF" w:rsidRPr="00A90BCB" w:rsidTr="006312DF">
        <w:trPr>
          <w:trHeight w:val="315"/>
        </w:trPr>
        <w:tc>
          <w:tcPr>
            <w:tcW w:w="1997" w:type="dxa"/>
            <w:vMerge w:val="restart"/>
            <w:tcBorders>
              <w:top w:val="nil"/>
              <w:left w:val="single" w:sz="4" w:space="0" w:color="auto"/>
              <w:bottom w:val="single" w:sz="4" w:space="0" w:color="auto"/>
              <w:right w:val="single" w:sz="4" w:space="0" w:color="auto"/>
            </w:tcBorders>
            <w:shd w:val="clear" w:color="000000" w:fill="FDE9D9"/>
            <w:vAlign w:val="center"/>
            <w:hideMark/>
          </w:tcPr>
          <w:p w:rsidR="00275F1A" w:rsidRPr="00A90BCB" w:rsidRDefault="00275F1A" w:rsidP="00275F1A">
            <w:pPr>
              <w:spacing w:after="0" w:line="240" w:lineRule="auto"/>
              <w:jc w:val="center"/>
              <w:rPr>
                <w:rFonts w:ascii="Times New Roman" w:eastAsia="Times New Roman" w:hAnsi="Times New Roman" w:cs="Times New Roman"/>
                <w:i/>
                <w:iCs/>
                <w:sz w:val="20"/>
                <w:szCs w:val="20"/>
              </w:rPr>
            </w:pPr>
            <w:r w:rsidRPr="00A90BCB">
              <w:rPr>
                <w:rFonts w:ascii="Times New Roman" w:eastAsia="Times New Roman" w:hAnsi="Times New Roman" w:cs="Times New Roman"/>
                <w:i/>
                <w:iCs/>
                <w:sz w:val="20"/>
                <w:szCs w:val="20"/>
              </w:rPr>
              <w:t>Pardavimo savikainos lygis</w:t>
            </w:r>
          </w:p>
        </w:tc>
        <w:tc>
          <w:tcPr>
            <w:tcW w:w="1885" w:type="dxa"/>
            <w:tcBorders>
              <w:top w:val="nil"/>
              <w:left w:val="nil"/>
              <w:bottom w:val="single" w:sz="4" w:space="0" w:color="auto"/>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2,376,883</w:t>
            </w:r>
          </w:p>
        </w:tc>
        <w:tc>
          <w:tcPr>
            <w:tcW w:w="98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=0.491</w:t>
            </w:r>
          </w:p>
        </w:tc>
        <w:tc>
          <w:tcPr>
            <w:tcW w:w="1799" w:type="dxa"/>
            <w:tcBorders>
              <w:top w:val="nil"/>
              <w:left w:val="nil"/>
              <w:bottom w:val="single" w:sz="4" w:space="0" w:color="auto"/>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1,761,991</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=0.333</w:t>
            </w:r>
          </w:p>
        </w:tc>
        <w:tc>
          <w:tcPr>
            <w:tcW w:w="1894" w:type="dxa"/>
            <w:tcBorders>
              <w:top w:val="nil"/>
              <w:left w:val="nil"/>
              <w:bottom w:val="single" w:sz="4" w:space="0" w:color="auto"/>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3,041,157</w:t>
            </w:r>
          </w:p>
        </w:tc>
        <w:tc>
          <w:tcPr>
            <w:tcW w:w="81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=0.635</w:t>
            </w:r>
          </w:p>
        </w:tc>
      </w:tr>
      <w:tr w:rsidR="006312DF" w:rsidRPr="00A90BCB" w:rsidTr="006312DF">
        <w:trPr>
          <w:trHeight w:val="300"/>
        </w:trPr>
        <w:tc>
          <w:tcPr>
            <w:tcW w:w="1997" w:type="dxa"/>
            <w:vMerge/>
            <w:tcBorders>
              <w:top w:val="nil"/>
              <w:left w:val="single" w:sz="4" w:space="0" w:color="auto"/>
              <w:bottom w:val="single" w:sz="4" w:space="0" w:color="auto"/>
              <w:right w:val="single" w:sz="4" w:space="0" w:color="auto"/>
            </w:tcBorders>
            <w:vAlign w:val="center"/>
            <w:hideMark/>
          </w:tcPr>
          <w:p w:rsidR="00275F1A" w:rsidRPr="00A90BCB" w:rsidRDefault="00275F1A" w:rsidP="00275F1A">
            <w:pPr>
              <w:spacing w:after="0" w:line="240" w:lineRule="auto"/>
              <w:rPr>
                <w:rFonts w:ascii="Times New Roman" w:eastAsia="Times New Roman" w:hAnsi="Times New Roman" w:cs="Times New Roman"/>
                <w:i/>
                <w:iCs/>
                <w:sz w:val="20"/>
                <w:szCs w:val="20"/>
              </w:rPr>
            </w:pPr>
          </w:p>
        </w:tc>
        <w:tc>
          <w:tcPr>
            <w:tcW w:w="1885" w:type="dxa"/>
            <w:tcBorders>
              <w:top w:val="nil"/>
              <w:left w:val="nil"/>
              <w:bottom w:val="single" w:sz="4" w:space="0" w:color="auto"/>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4,844,228</w:t>
            </w:r>
          </w:p>
        </w:tc>
        <w:tc>
          <w:tcPr>
            <w:tcW w:w="987" w:type="dxa"/>
            <w:vMerge/>
            <w:tcBorders>
              <w:top w:val="nil"/>
              <w:left w:val="single" w:sz="4" w:space="0" w:color="auto"/>
              <w:bottom w:val="single" w:sz="4" w:space="0" w:color="000000"/>
              <w:right w:val="single" w:sz="4" w:space="0" w:color="auto"/>
            </w:tcBorders>
            <w:vAlign w:val="center"/>
            <w:hideMark/>
          </w:tcPr>
          <w:p w:rsidR="00275F1A" w:rsidRPr="00E75AAE" w:rsidRDefault="00275F1A" w:rsidP="00275F1A">
            <w:pPr>
              <w:spacing w:after="0" w:line="240" w:lineRule="auto"/>
              <w:rPr>
                <w:rFonts w:ascii="Times New Roman" w:eastAsia="Times New Roman" w:hAnsi="Times New Roman" w:cs="Times New Roman"/>
                <w:color w:val="000000"/>
                <w:sz w:val="18"/>
                <w:szCs w:val="18"/>
              </w:rPr>
            </w:pPr>
          </w:p>
        </w:tc>
        <w:tc>
          <w:tcPr>
            <w:tcW w:w="1799" w:type="dxa"/>
            <w:tcBorders>
              <w:top w:val="nil"/>
              <w:left w:val="nil"/>
              <w:bottom w:val="single" w:sz="4" w:space="0" w:color="auto"/>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5,295,644</w:t>
            </w:r>
          </w:p>
        </w:tc>
        <w:tc>
          <w:tcPr>
            <w:tcW w:w="951" w:type="dxa"/>
            <w:vMerge/>
            <w:tcBorders>
              <w:top w:val="nil"/>
              <w:left w:val="single" w:sz="4" w:space="0" w:color="auto"/>
              <w:bottom w:val="single" w:sz="4" w:space="0" w:color="000000"/>
              <w:right w:val="single" w:sz="4" w:space="0" w:color="auto"/>
            </w:tcBorders>
            <w:vAlign w:val="center"/>
            <w:hideMark/>
          </w:tcPr>
          <w:p w:rsidR="00275F1A" w:rsidRPr="00E75AAE" w:rsidRDefault="00275F1A" w:rsidP="00275F1A">
            <w:pPr>
              <w:spacing w:after="0" w:line="240" w:lineRule="auto"/>
              <w:rPr>
                <w:rFonts w:ascii="Times New Roman" w:eastAsia="Times New Roman" w:hAnsi="Times New Roman" w:cs="Times New Roman"/>
                <w:color w:val="000000"/>
                <w:sz w:val="18"/>
                <w:szCs w:val="18"/>
              </w:rPr>
            </w:pPr>
          </w:p>
        </w:tc>
        <w:tc>
          <w:tcPr>
            <w:tcW w:w="1894" w:type="dxa"/>
            <w:tcBorders>
              <w:top w:val="nil"/>
              <w:left w:val="nil"/>
              <w:bottom w:val="single" w:sz="4" w:space="0" w:color="auto"/>
              <w:right w:val="single" w:sz="4" w:space="0" w:color="auto"/>
            </w:tcBorders>
            <w:shd w:val="clear" w:color="auto" w:fill="auto"/>
            <w:noWrap/>
            <w:vAlign w:val="center"/>
            <w:hideMark/>
          </w:tcPr>
          <w:p w:rsidR="00275F1A" w:rsidRPr="00E75AAE" w:rsidRDefault="00275F1A" w:rsidP="00275F1A">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4,786,223</w:t>
            </w:r>
          </w:p>
        </w:tc>
        <w:tc>
          <w:tcPr>
            <w:tcW w:w="816" w:type="dxa"/>
            <w:vMerge/>
            <w:tcBorders>
              <w:top w:val="nil"/>
              <w:left w:val="single" w:sz="4" w:space="0" w:color="auto"/>
              <w:bottom w:val="single" w:sz="4" w:space="0" w:color="000000"/>
              <w:right w:val="single" w:sz="4" w:space="0" w:color="auto"/>
            </w:tcBorders>
            <w:vAlign w:val="center"/>
            <w:hideMark/>
          </w:tcPr>
          <w:p w:rsidR="00275F1A" w:rsidRPr="00E75AAE" w:rsidRDefault="00275F1A" w:rsidP="00275F1A">
            <w:pPr>
              <w:spacing w:after="0" w:line="240" w:lineRule="auto"/>
              <w:rPr>
                <w:rFonts w:ascii="Times New Roman" w:eastAsia="Times New Roman" w:hAnsi="Times New Roman" w:cs="Times New Roman"/>
                <w:color w:val="000000"/>
                <w:sz w:val="18"/>
                <w:szCs w:val="18"/>
              </w:rPr>
            </w:pPr>
          </w:p>
        </w:tc>
      </w:tr>
    </w:tbl>
    <w:p w:rsidR="00275F1A" w:rsidRDefault="00275F1A" w:rsidP="00486B70">
      <w:pPr>
        <w:spacing w:after="0"/>
        <w:contextualSpacing/>
        <w:jc w:val="center"/>
        <w:rPr>
          <w:rFonts w:ascii="Times New Roman" w:hAnsi="Times New Roman" w:cs="Times New Roman"/>
          <w:b/>
          <w:szCs w:val="24"/>
        </w:rPr>
      </w:pPr>
    </w:p>
    <w:p w:rsidR="006312DF" w:rsidRDefault="006312DF" w:rsidP="006312DF">
      <w:pPr>
        <w:spacing w:after="0"/>
        <w:contextualSpacing/>
        <w:jc w:val="center"/>
        <w:rPr>
          <w:rFonts w:ascii="Times New Roman" w:hAnsi="Times New Roman" w:cs="Times New Roman"/>
          <w:b/>
          <w:szCs w:val="24"/>
        </w:rPr>
      </w:pPr>
      <w:r>
        <w:rPr>
          <w:rFonts w:ascii="Times New Roman" w:hAnsi="Times New Roman" w:cs="Times New Roman"/>
          <w:szCs w:val="24"/>
        </w:rPr>
        <w:lastRenderedPageBreak/>
        <w:t>3</w:t>
      </w:r>
      <w:r w:rsidRPr="004D5C99">
        <w:rPr>
          <w:rFonts w:ascii="Times New Roman" w:hAnsi="Times New Roman" w:cs="Times New Roman"/>
          <w:szCs w:val="24"/>
        </w:rPr>
        <w:t xml:space="preserve"> lentelė.</w:t>
      </w:r>
      <w:r w:rsidRPr="004D5C99">
        <w:rPr>
          <w:rFonts w:ascii="Times New Roman" w:hAnsi="Times New Roman" w:cs="Times New Roman"/>
          <w:b/>
          <w:szCs w:val="24"/>
        </w:rPr>
        <w:t xml:space="preserve"> </w:t>
      </w:r>
      <w:r>
        <w:rPr>
          <w:rFonts w:ascii="Times New Roman" w:hAnsi="Times New Roman" w:cs="Times New Roman"/>
          <w:b/>
          <w:szCs w:val="24"/>
        </w:rPr>
        <w:t>UAB “Girteka” finansinių santykinių rodiklių skaičiavimas</w:t>
      </w:r>
    </w:p>
    <w:tbl>
      <w:tblPr>
        <w:tblW w:w="10329" w:type="dxa"/>
        <w:tblInd w:w="93" w:type="dxa"/>
        <w:tblLook w:val="04A0"/>
      </w:tblPr>
      <w:tblGrid>
        <w:gridCol w:w="1854"/>
        <w:gridCol w:w="2121"/>
        <w:gridCol w:w="860"/>
        <w:gridCol w:w="1942"/>
        <w:gridCol w:w="750"/>
        <w:gridCol w:w="2052"/>
        <w:gridCol w:w="750"/>
      </w:tblGrid>
      <w:tr w:rsidR="003F03A1" w:rsidRPr="00A32546" w:rsidTr="003F03A1">
        <w:trPr>
          <w:trHeight w:val="300"/>
        </w:trPr>
        <w:tc>
          <w:tcPr>
            <w:tcW w:w="1854"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3F03A1" w:rsidRPr="00A32546" w:rsidRDefault="003F03A1" w:rsidP="004633A4">
            <w:pPr>
              <w:spacing w:after="0" w:line="240" w:lineRule="auto"/>
              <w:jc w:val="center"/>
              <w:rPr>
                <w:rFonts w:ascii="Times New Roman" w:eastAsia="Times New Roman" w:hAnsi="Times New Roman" w:cs="Times New Roman"/>
                <w:b/>
                <w:bCs/>
                <w:sz w:val="20"/>
                <w:szCs w:val="20"/>
              </w:rPr>
            </w:pPr>
            <w:r w:rsidRPr="00A32546">
              <w:rPr>
                <w:rFonts w:ascii="Times New Roman" w:eastAsia="Times New Roman" w:hAnsi="Times New Roman" w:cs="Times New Roman"/>
                <w:b/>
                <w:bCs/>
                <w:sz w:val="20"/>
                <w:szCs w:val="20"/>
              </w:rPr>
              <w:t>Santykiniai rodikliai</w:t>
            </w:r>
          </w:p>
        </w:tc>
        <w:tc>
          <w:tcPr>
            <w:tcW w:w="2121" w:type="dxa"/>
            <w:tcBorders>
              <w:top w:val="single" w:sz="4" w:space="0" w:color="auto"/>
              <w:left w:val="nil"/>
              <w:bottom w:val="single" w:sz="4" w:space="0" w:color="auto"/>
              <w:right w:val="single" w:sz="4" w:space="0" w:color="auto"/>
            </w:tcBorders>
            <w:shd w:val="clear" w:color="000000" w:fill="FCD5B4"/>
            <w:noWrap/>
            <w:vAlign w:val="center"/>
            <w:hideMark/>
          </w:tcPr>
          <w:p w:rsidR="003F03A1" w:rsidRPr="00A32546" w:rsidRDefault="003F03A1" w:rsidP="004633A4">
            <w:pPr>
              <w:spacing w:after="0" w:line="240" w:lineRule="auto"/>
              <w:jc w:val="center"/>
              <w:rPr>
                <w:rFonts w:ascii="Times New Roman" w:eastAsia="Times New Roman" w:hAnsi="Times New Roman" w:cs="Times New Roman"/>
                <w:b/>
                <w:bCs/>
                <w:sz w:val="20"/>
                <w:szCs w:val="20"/>
              </w:rPr>
            </w:pPr>
            <w:r w:rsidRPr="00A32546">
              <w:rPr>
                <w:rFonts w:ascii="Times New Roman" w:eastAsia="Times New Roman" w:hAnsi="Times New Roman" w:cs="Times New Roman"/>
                <w:b/>
                <w:bCs/>
                <w:sz w:val="20"/>
                <w:szCs w:val="20"/>
              </w:rPr>
              <w:t> </w:t>
            </w:r>
          </w:p>
        </w:tc>
        <w:tc>
          <w:tcPr>
            <w:tcW w:w="860" w:type="dxa"/>
            <w:tcBorders>
              <w:top w:val="single" w:sz="4" w:space="0" w:color="auto"/>
              <w:left w:val="nil"/>
              <w:bottom w:val="single" w:sz="4" w:space="0" w:color="auto"/>
              <w:right w:val="single" w:sz="4" w:space="0" w:color="auto"/>
            </w:tcBorders>
            <w:shd w:val="clear" w:color="000000" w:fill="FCD5B4"/>
            <w:noWrap/>
            <w:vAlign w:val="center"/>
            <w:hideMark/>
          </w:tcPr>
          <w:p w:rsidR="003F03A1" w:rsidRPr="00A32546" w:rsidRDefault="003F03A1" w:rsidP="004633A4">
            <w:pPr>
              <w:spacing w:after="0" w:line="240" w:lineRule="auto"/>
              <w:jc w:val="center"/>
              <w:rPr>
                <w:rFonts w:ascii="Times New Roman" w:eastAsia="Times New Roman" w:hAnsi="Times New Roman" w:cs="Times New Roman"/>
                <w:b/>
                <w:bCs/>
                <w:sz w:val="20"/>
                <w:szCs w:val="20"/>
              </w:rPr>
            </w:pPr>
            <w:r w:rsidRPr="00A32546">
              <w:rPr>
                <w:rFonts w:ascii="Times New Roman" w:eastAsia="Times New Roman" w:hAnsi="Times New Roman" w:cs="Times New Roman"/>
                <w:b/>
                <w:bCs/>
                <w:sz w:val="20"/>
                <w:szCs w:val="20"/>
              </w:rPr>
              <w:t>2008</w:t>
            </w:r>
          </w:p>
        </w:tc>
        <w:tc>
          <w:tcPr>
            <w:tcW w:w="1942" w:type="dxa"/>
            <w:tcBorders>
              <w:top w:val="single" w:sz="4" w:space="0" w:color="auto"/>
              <w:left w:val="nil"/>
              <w:bottom w:val="single" w:sz="4" w:space="0" w:color="auto"/>
              <w:right w:val="single" w:sz="4" w:space="0" w:color="auto"/>
            </w:tcBorders>
            <w:shd w:val="clear" w:color="000000" w:fill="FCD5B4"/>
            <w:noWrap/>
            <w:vAlign w:val="center"/>
            <w:hideMark/>
          </w:tcPr>
          <w:p w:rsidR="003F03A1" w:rsidRPr="00A32546" w:rsidRDefault="003F03A1" w:rsidP="004633A4">
            <w:pPr>
              <w:spacing w:after="0" w:line="240" w:lineRule="auto"/>
              <w:jc w:val="center"/>
              <w:rPr>
                <w:rFonts w:ascii="Times New Roman" w:eastAsia="Times New Roman" w:hAnsi="Times New Roman" w:cs="Times New Roman"/>
                <w:b/>
                <w:bCs/>
                <w:sz w:val="20"/>
                <w:szCs w:val="20"/>
              </w:rPr>
            </w:pPr>
            <w:r w:rsidRPr="00A32546">
              <w:rPr>
                <w:rFonts w:ascii="Times New Roman" w:eastAsia="Times New Roman" w:hAnsi="Times New Roman" w:cs="Times New Roman"/>
                <w:b/>
                <w:bCs/>
                <w:sz w:val="20"/>
                <w:szCs w:val="20"/>
              </w:rPr>
              <w:t> </w:t>
            </w:r>
          </w:p>
        </w:tc>
        <w:tc>
          <w:tcPr>
            <w:tcW w:w="750" w:type="dxa"/>
            <w:tcBorders>
              <w:top w:val="single" w:sz="4" w:space="0" w:color="auto"/>
              <w:left w:val="nil"/>
              <w:bottom w:val="single" w:sz="4" w:space="0" w:color="auto"/>
              <w:right w:val="single" w:sz="4" w:space="0" w:color="auto"/>
            </w:tcBorders>
            <w:shd w:val="clear" w:color="000000" w:fill="FCD5B4"/>
            <w:noWrap/>
            <w:vAlign w:val="center"/>
            <w:hideMark/>
          </w:tcPr>
          <w:p w:rsidR="003F03A1" w:rsidRPr="00A32546" w:rsidRDefault="003F03A1" w:rsidP="004633A4">
            <w:pPr>
              <w:spacing w:after="0" w:line="240" w:lineRule="auto"/>
              <w:jc w:val="center"/>
              <w:rPr>
                <w:rFonts w:ascii="Times New Roman" w:eastAsia="Times New Roman" w:hAnsi="Times New Roman" w:cs="Times New Roman"/>
                <w:b/>
                <w:bCs/>
                <w:sz w:val="20"/>
                <w:szCs w:val="20"/>
              </w:rPr>
            </w:pPr>
            <w:r w:rsidRPr="00A32546">
              <w:rPr>
                <w:rFonts w:ascii="Times New Roman" w:eastAsia="Times New Roman" w:hAnsi="Times New Roman" w:cs="Times New Roman"/>
                <w:b/>
                <w:bCs/>
                <w:sz w:val="20"/>
                <w:szCs w:val="20"/>
              </w:rPr>
              <w:t>2009</w:t>
            </w:r>
          </w:p>
        </w:tc>
        <w:tc>
          <w:tcPr>
            <w:tcW w:w="2052" w:type="dxa"/>
            <w:tcBorders>
              <w:top w:val="single" w:sz="4" w:space="0" w:color="auto"/>
              <w:left w:val="nil"/>
              <w:bottom w:val="single" w:sz="4" w:space="0" w:color="auto"/>
              <w:right w:val="single" w:sz="4" w:space="0" w:color="auto"/>
            </w:tcBorders>
            <w:shd w:val="clear" w:color="000000" w:fill="FCD5B4"/>
            <w:noWrap/>
            <w:vAlign w:val="center"/>
            <w:hideMark/>
          </w:tcPr>
          <w:p w:rsidR="003F03A1" w:rsidRPr="00A32546" w:rsidRDefault="003F03A1" w:rsidP="004633A4">
            <w:pPr>
              <w:spacing w:after="0" w:line="240" w:lineRule="auto"/>
              <w:jc w:val="center"/>
              <w:rPr>
                <w:rFonts w:ascii="Times New Roman" w:eastAsia="Times New Roman" w:hAnsi="Times New Roman" w:cs="Times New Roman"/>
                <w:b/>
                <w:bCs/>
                <w:sz w:val="20"/>
                <w:szCs w:val="20"/>
              </w:rPr>
            </w:pPr>
            <w:r w:rsidRPr="00A32546">
              <w:rPr>
                <w:rFonts w:ascii="Times New Roman" w:eastAsia="Times New Roman" w:hAnsi="Times New Roman" w:cs="Times New Roman"/>
                <w:b/>
                <w:bCs/>
                <w:sz w:val="20"/>
                <w:szCs w:val="20"/>
              </w:rPr>
              <w:t> </w:t>
            </w:r>
          </w:p>
        </w:tc>
        <w:tc>
          <w:tcPr>
            <w:tcW w:w="750" w:type="dxa"/>
            <w:tcBorders>
              <w:top w:val="single" w:sz="4" w:space="0" w:color="auto"/>
              <w:left w:val="nil"/>
              <w:bottom w:val="single" w:sz="4" w:space="0" w:color="auto"/>
              <w:right w:val="single" w:sz="4" w:space="0" w:color="auto"/>
            </w:tcBorders>
            <w:shd w:val="clear" w:color="000000" w:fill="FCD5B4"/>
            <w:noWrap/>
            <w:vAlign w:val="center"/>
            <w:hideMark/>
          </w:tcPr>
          <w:p w:rsidR="003F03A1" w:rsidRPr="00A32546" w:rsidRDefault="003F03A1" w:rsidP="004633A4">
            <w:pPr>
              <w:spacing w:after="0" w:line="240" w:lineRule="auto"/>
              <w:jc w:val="center"/>
              <w:rPr>
                <w:rFonts w:ascii="Times New Roman" w:eastAsia="Times New Roman" w:hAnsi="Times New Roman" w:cs="Times New Roman"/>
                <w:b/>
                <w:bCs/>
                <w:sz w:val="20"/>
                <w:szCs w:val="20"/>
              </w:rPr>
            </w:pPr>
            <w:r w:rsidRPr="00A32546">
              <w:rPr>
                <w:rFonts w:ascii="Times New Roman" w:eastAsia="Times New Roman" w:hAnsi="Times New Roman" w:cs="Times New Roman"/>
                <w:b/>
                <w:bCs/>
                <w:sz w:val="20"/>
                <w:szCs w:val="20"/>
              </w:rPr>
              <w:t>2010</w:t>
            </w:r>
          </w:p>
        </w:tc>
      </w:tr>
      <w:tr w:rsidR="003F03A1" w:rsidRPr="00A32546" w:rsidTr="003F03A1">
        <w:trPr>
          <w:trHeight w:val="375"/>
        </w:trPr>
        <w:tc>
          <w:tcPr>
            <w:tcW w:w="1854" w:type="dxa"/>
            <w:vMerge w:val="restart"/>
            <w:tcBorders>
              <w:top w:val="nil"/>
              <w:left w:val="single" w:sz="4" w:space="0" w:color="auto"/>
              <w:bottom w:val="single" w:sz="4" w:space="0" w:color="auto"/>
              <w:right w:val="single" w:sz="4" w:space="0" w:color="auto"/>
            </w:tcBorders>
            <w:shd w:val="clear" w:color="000000" w:fill="FDE9D9"/>
            <w:vAlign w:val="center"/>
            <w:hideMark/>
          </w:tcPr>
          <w:p w:rsidR="003F03A1" w:rsidRPr="00A32546" w:rsidRDefault="003F03A1" w:rsidP="004633A4">
            <w:pPr>
              <w:spacing w:after="0" w:line="240" w:lineRule="auto"/>
              <w:jc w:val="center"/>
              <w:rPr>
                <w:rFonts w:ascii="Times New Roman" w:eastAsia="Times New Roman" w:hAnsi="Times New Roman" w:cs="Times New Roman"/>
                <w:i/>
                <w:iCs/>
                <w:sz w:val="20"/>
                <w:szCs w:val="20"/>
              </w:rPr>
            </w:pPr>
            <w:r w:rsidRPr="00A32546">
              <w:rPr>
                <w:rFonts w:ascii="Times New Roman" w:eastAsia="Times New Roman" w:hAnsi="Times New Roman" w:cs="Times New Roman"/>
                <w:i/>
                <w:iCs/>
                <w:sz w:val="20"/>
                <w:szCs w:val="20"/>
              </w:rPr>
              <w:t>Bendrasis trumpalaikio mokumo koeficientas</w:t>
            </w:r>
          </w:p>
        </w:tc>
        <w:tc>
          <w:tcPr>
            <w:tcW w:w="2121" w:type="dxa"/>
            <w:tcBorders>
              <w:top w:val="nil"/>
              <w:left w:val="nil"/>
              <w:bottom w:val="single" w:sz="4" w:space="0" w:color="auto"/>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19,470,066</w:t>
            </w:r>
          </w:p>
        </w:tc>
        <w:tc>
          <w:tcPr>
            <w:tcW w:w="8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=0.719</w:t>
            </w:r>
          </w:p>
        </w:tc>
        <w:tc>
          <w:tcPr>
            <w:tcW w:w="1942" w:type="dxa"/>
            <w:tcBorders>
              <w:top w:val="nil"/>
              <w:left w:val="nil"/>
              <w:bottom w:val="single" w:sz="4" w:space="0" w:color="auto"/>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26,558,162</w:t>
            </w:r>
          </w:p>
        </w:tc>
        <w:tc>
          <w:tcPr>
            <w:tcW w:w="7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=0.936</w:t>
            </w:r>
          </w:p>
        </w:tc>
        <w:tc>
          <w:tcPr>
            <w:tcW w:w="2052" w:type="dxa"/>
            <w:tcBorders>
              <w:top w:val="nil"/>
              <w:left w:val="nil"/>
              <w:bottom w:val="single" w:sz="4" w:space="0" w:color="auto"/>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39,095,431</w:t>
            </w:r>
          </w:p>
        </w:tc>
        <w:tc>
          <w:tcPr>
            <w:tcW w:w="7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=1.473</w:t>
            </w:r>
          </w:p>
        </w:tc>
      </w:tr>
      <w:tr w:rsidR="003F03A1" w:rsidRPr="00A32546" w:rsidTr="003F03A1">
        <w:trPr>
          <w:trHeight w:val="450"/>
        </w:trPr>
        <w:tc>
          <w:tcPr>
            <w:tcW w:w="1854" w:type="dxa"/>
            <w:vMerge/>
            <w:tcBorders>
              <w:top w:val="nil"/>
              <w:left w:val="single" w:sz="4" w:space="0" w:color="auto"/>
              <w:bottom w:val="single" w:sz="4" w:space="0" w:color="auto"/>
              <w:right w:val="single" w:sz="4" w:space="0" w:color="auto"/>
            </w:tcBorders>
            <w:vAlign w:val="center"/>
            <w:hideMark/>
          </w:tcPr>
          <w:p w:rsidR="003F03A1" w:rsidRPr="00A32546" w:rsidRDefault="003F03A1" w:rsidP="004633A4">
            <w:pPr>
              <w:spacing w:after="0" w:line="240" w:lineRule="auto"/>
              <w:rPr>
                <w:rFonts w:ascii="Times New Roman" w:eastAsia="Times New Roman" w:hAnsi="Times New Roman" w:cs="Times New Roman"/>
                <w:i/>
                <w:iCs/>
                <w:sz w:val="20"/>
                <w:szCs w:val="20"/>
              </w:rPr>
            </w:pPr>
          </w:p>
        </w:tc>
        <w:tc>
          <w:tcPr>
            <w:tcW w:w="2121" w:type="dxa"/>
            <w:tcBorders>
              <w:top w:val="nil"/>
              <w:left w:val="nil"/>
              <w:bottom w:val="single" w:sz="4" w:space="0" w:color="auto"/>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27,079,310</w:t>
            </w:r>
          </w:p>
        </w:tc>
        <w:tc>
          <w:tcPr>
            <w:tcW w:w="860" w:type="dxa"/>
            <w:vMerge/>
            <w:tcBorders>
              <w:top w:val="nil"/>
              <w:left w:val="single" w:sz="4" w:space="0" w:color="auto"/>
              <w:bottom w:val="single" w:sz="4" w:space="0" w:color="000000"/>
              <w:right w:val="single" w:sz="4" w:space="0" w:color="auto"/>
            </w:tcBorders>
            <w:vAlign w:val="center"/>
            <w:hideMark/>
          </w:tcPr>
          <w:p w:rsidR="003F03A1" w:rsidRPr="003F03A1" w:rsidRDefault="003F03A1" w:rsidP="004633A4">
            <w:pPr>
              <w:spacing w:after="0" w:line="240" w:lineRule="auto"/>
              <w:rPr>
                <w:rFonts w:ascii="Times New Roman" w:eastAsia="Times New Roman" w:hAnsi="Times New Roman" w:cs="Times New Roman"/>
                <w:color w:val="000000"/>
                <w:sz w:val="18"/>
                <w:szCs w:val="18"/>
              </w:rPr>
            </w:pPr>
          </w:p>
        </w:tc>
        <w:tc>
          <w:tcPr>
            <w:tcW w:w="1942" w:type="dxa"/>
            <w:tcBorders>
              <w:top w:val="nil"/>
              <w:left w:val="nil"/>
              <w:bottom w:val="single" w:sz="4" w:space="0" w:color="auto"/>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28,367,242</w:t>
            </w:r>
          </w:p>
        </w:tc>
        <w:tc>
          <w:tcPr>
            <w:tcW w:w="750" w:type="dxa"/>
            <w:vMerge/>
            <w:tcBorders>
              <w:top w:val="nil"/>
              <w:left w:val="single" w:sz="4" w:space="0" w:color="auto"/>
              <w:bottom w:val="single" w:sz="4" w:space="0" w:color="000000"/>
              <w:right w:val="single" w:sz="4" w:space="0" w:color="auto"/>
            </w:tcBorders>
            <w:vAlign w:val="center"/>
            <w:hideMark/>
          </w:tcPr>
          <w:p w:rsidR="003F03A1" w:rsidRPr="003F03A1" w:rsidRDefault="003F03A1" w:rsidP="004633A4">
            <w:pPr>
              <w:spacing w:after="0" w:line="240" w:lineRule="auto"/>
              <w:rPr>
                <w:rFonts w:ascii="Times New Roman" w:eastAsia="Times New Roman" w:hAnsi="Times New Roman" w:cs="Times New Roman"/>
                <w:color w:val="000000"/>
                <w:sz w:val="18"/>
                <w:szCs w:val="18"/>
              </w:rPr>
            </w:pPr>
          </w:p>
        </w:tc>
        <w:tc>
          <w:tcPr>
            <w:tcW w:w="2052" w:type="dxa"/>
            <w:tcBorders>
              <w:top w:val="nil"/>
              <w:left w:val="nil"/>
              <w:bottom w:val="single" w:sz="4" w:space="0" w:color="auto"/>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26,534,963</w:t>
            </w:r>
          </w:p>
        </w:tc>
        <w:tc>
          <w:tcPr>
            <w:tcW w:w="750" w:type="dxa"/>
            <w:vMerge/>
            <w:tcBorders>
              <w:top w:val="nil"/>
              <w:left w:val="single" w:sz="4" w:space="0" w:color="auto"/>
              <w:bottom w:val="single" w:sz="4" w:space="0" w:color="000000"/>
              <w:right w:val="single" w:sz="4" w:space="0" w:color="auto"/>
            </w:tcBorders>
            <w:vAlign w:val="center"/>
            <w:hideMark/>
          </w:tcPr>
          <w:p w:rsidR="003F03A1" w:rsidRPr="003F03A1" w:rsidRDefault="003F03A1" w:rsidP="004633A4">
            <w:pPr>
              <w:spacing w:after="0" w:line="240" w:lineRule="auto"/>
              <w:rPr>
                <w:rFonts w:ascii="Times New Roman" w:eastAsia="Times New Roman" w:hAnsi="Times New Roman" w:cs="Times New Roman"/>
                <w:color w:val="000000"/>
                <w:sz w:val="18"/>
                <w:szCs w:val="18"/>
              </w:rPr>
            </w:pPr>
          </w:p>
        </w:tc>
      </w:tr>
      <w:tr w:rsidR="003F03A1" w:rsidRPr="00A32546" w:rsidTr="003F03A1">
        <w:trPr>
          <w:trHeight w:val="300"/>
        </w:trPr>
        <w:tc>
          <w:tcPr>
            <w:tcW w:w="1854" w:type="dxa"/>
            <w:vMerge w:val="restart"/>
            <w:tcBorders>
              <w:top w:val="nil"/>
              <w:left w:val="single" w:sz="4" w:space="0" w:color="auto"/>
              <w:bottom w:val="single" w:sz="4" w:space="0" w:color="auto"/>
              <w:right w:val="single" w:sz="4" w:space="0" w:color="auto"/>
            </w:tcBorders>
            <w:shd w:val="clear" w:color="000000" w:fill="FDE9D9"/>
            <w:vAlign w:val="center"/>
            <w:hideMark/>
          </w:tcPr>
          <w:p w:rsidR="003F03A1" w:rsidRPr="00A32546" w:rsidRDefault="003F03A1" w:rsidP="004633A4">
            <w:pPr>
              <w:spacing w:after="0" w:line="240" w:lineRule="auto"/>
              <w:jc w:val="center"/>
              <w:rPr>
                <w:rFonts w:ascii="Times New Roman" w:eastAsia="Times New Roman" w:hAnsi="Times New Roman" w:cs="Times New Roman"/>
                <w:i/>
                <w:iCs/>
                <w:sz w:val="20"/>
                <w:szCs w:val="20"/>
              </w:rPr>
            </w:pPr>
            <w:r w:rsidRPr="00A32546">
              <w:rPr>
                <w:rFonts w:ascii="Times New Roman" w:eastAsia="Times New Roman" w:hAnsi="Times New Roman" w:cs="Times New Roman"/>
                <w:i/>
                <w:iCs/>
                <w:sz w:val="20"/>
                <w:szCs w:val="20"/>
              </w:rPr>
              <w:t>Greitojo trumpalaikio mokumo koeficientas</w:t>
            </w:r>
          </w:p>
        </w:tc>
        <w:tc>
          <w:tcPr>
            <w:tcW w:w="2121" w:type="dxa"/>
            <w:tcBorders>
              <w:top w:val="nil"/>
              <w:left w:val="nil"/>
              <w:bottom w:val="single" w:sz="4" w:space="0" w:color="auto"/>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19,470,066-45,878</w:t>
            </w:r>
          </w:p>
        </w:tc>
        <w:tc>
          <w:tcPr>
            <w:tcW w:w="8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=0.717</w:t>
            </w:r>
          </w:p>
        </w:tc>
        <w:tc>
          <w:tcPr>
            <w:tcW w:w="1942" w:type="dxa"/>
            <w:tcBorders>
              <w:top w:val="nil"/>
              <w:left w:val="nil"/>
              <w:bottom w:val="single" w:sz="4" w:space="0" w:color="auto"/>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26,558,162-50,755</w:t>
            </w:r>
          </w:p>
        </w:tc>
        <w:tc>
          <w:tcPr>
            <w:tcW w:w="7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=0.934</w:t>
            </w:r>
          </w:p>
        </w:tc>
        <w:tc>
          <w:tcPr>
            <w:tcW w:w="2052" w:type="dxa"/>
            <w:tcBorders>
              <w:top w:val="nil"/>
              <w:left w:val="nil"/>
              <w:bottom w:val="single" w:sz="4" w:space="0" w:color="auto"/>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39,095,431-67,637</w:t>
            </w:r>
          </w:p>
        </w:tc>
        <w:tc>
          <w:tcPr>
            <w:tcW w:w="7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=1.471</w:t>
            </w:r>
          </w:p>
        </w:tc>
      </w:tr>
      <w:tr w:rsidR="003F03A1" w:rsidRPr="00A32546" w:rsidTr="003F03A1">
        <w:trPr>
          <w:trHeight w:val="300"/>
        </w:trPr>
        <w:tc>
          <w:tcPr>
            <w:tcW w:w="1854" w:type="dxa"/>
            <w:vMerge/>
            <w:tcBorders>
              <w:top w:val="nil"/>
              <w:left w:val="single" w:sz="4" w:space="0" w:color="auto"/>
              <w:bottom w:val="single" w:sz="4" w:space="0" w:color="auto"/>
              <w:right w:val="single" w:sz="4" w:space="0" w:color="auto"/>
            </w:tcBorders>
            <w:vAlign w:val="center"/>
            <w:hideMark/>
          </w:tcPr>
          <w:p w:rsidR="003F03A1" w:rsidRPr="00A32546" w:rsidRDefault="003F03A1" w:rsidP="004633A4">
            <w:pPr>
              <w:spacing w:after="0" w:line="240" w:lineRule="auto"/>
              <w:rPr>
                <w:rFonts w:ascii="Times New Roman" w:eastAsia="Times New Roman" w:hAnsi="Times New Roman" w:cs="Times New Roman"/>
                <w:i/>
                <w:iCs/>
                <w:sz w:val="20"/>
                <w:szCs w:val="20"/>
              </w:rPr>
            </w:pPr>
          </w:p>
        </w:tc>
        <w:tc>
          <w:tcPr>
            <w:tcW w:w="2121" w:type="dxa"/>
            <w:tcBorders>
              <w:top w:val="nil"/>
              <w:left w:val="nil"/>
              <w:bottom w:val="single" w:sz="4" w:space="0" w:color="auto"/>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27,079,310</w:t>
            </w:r>
          </w:p>
        </w:tc>
        <w:tc>
          <w:tcPr>
            <w:tcW w:w="860" w:type="dxa"/>
            <w:vMerge/>
            <w:tcBorders>
              <w:top w:val="nil"/>
              <w:left w:val="single" w:sz="4" w:space="0" w:color="auto"/>
              <w:bottom w:val="single" w:sz="4" w:space="0" w:color="000000"/>
              <w:right w:val="single" w:sz="4" w:space="0" w:color="auto"/>
            </w:tcBorders>
            <w:vAlign w:val="center"/>
            <w:hideMark/>
          </w:tcPr>
          <w:p w:rsidR="003F03A1" w:rsidRPr="003F03A1" w:rsidRDefault="003F03A1" w:rsidP="004633A4">
            <w:pPr>
              <w:spacing w:after="0" w:line="240" w:lineRule="auto"/>
              <w:rPr>
                <w:rFonts w:ascii="Times New Roman" w:eastAsia="Times New Roman" w:hAnsi="Times New Roman" w:cs="Times New Roman"/>
                <w:color w:val="000000"/>
                <w:sz w:val="18"/>
                <w:szCs w:val="18"/>
              </w:rPr>
            </w:pPr>
          </w:p>
        </w:tc>
        <w:tc>
          <w:tcPr>
            <w:tcW w:w="1942" w:type="dxa"/>
            <w:tcBorders>
              <w:top w:val="nil"/>
              <w:left w:val="nil"/>
              <w:bottom w:val="single" w:sz="4" w:space="0" w:color="auto"/>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28,367,242</w:t>
            </w:r>
          </w:p>
        </w:tc>
        <w:tc>
          <w:tcPr>
            <w:tcW w:w="750" w:type="dxa"/>
            <w:vMerge/>
            <w:tcBorders>
              <w:top w:val="nil"/>
              <w:left w:val="single" w:sz="4" w:space="0" w:color="auto"/>
              <w:bottom w:val="single" w:sz="4" w:space="0" w:color="000000"/>
              <w:right w:val="single" w:sz="4" w:space="0" w:color="auto"/>
            </w:tcBorders>
            <w:vAlign w:val="center"/>
            <w:hideMark/>
          </w:tcPr>
          <w:p w:rsidR="003F03A1" w:rsidRPr="003F03A1" w:rsidRDefault="003F03A1" w:rsidP="004633A4">
            <w:pPr>
              <w:spacing w:after="0" w:line="240" w:lineRule="auto"/>
              <w:rPr>
                <w:rFonts w:ascii="Times New Roman" w:eastAsia="Times New Roman" w:hAnsi="Times New Roman" w:cs="Times New Roman"/>
                <w:color w:val="000000"/>
                <w:sz w:val="18"/>
                <w:szCs w:val="18"/>
              </w:rPr>
            </w:pPr>
          </w:p>
        </w:tc>
        <w:tc>
          <w:tcPr>
            <w:tcW w:w="2052" w:type="dxa"/>
            <w:tcBorders>
              <w:top w:val="nil"/>
              <w:left w:val="nil"/>
              <w:bottom w:val="single" w:sz="4" w:space="0" w:color="auto"/>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26,534,963</w:t>
            </w:r>
          </w:p>
        </w:tc>
        <w:tc>
          <w:tcPr>
            <w:tcW w:w="750" w:type="dxa"/>
            <w:vMerge/>
            <w:tcBorders>
              <w:top w:val="nil"/>
              <w:left w:val="single" w:sz="4" w:space="0" w:color="auto"/>
              <w:bottom w:val="single" w:sz="4" w:space="0" w:color="000000"/>
              <w:right w:val="single" w:sz="4" w:space="0" w:color="auto"/>
            </w:tcBorders>
            <w:vAlign w:val="center"/>
            <w:hideMark/>
          </w:tcPr>
          <w:p w:rsidR="003F03A1" w:rsidRPr="003F03A1" w:rsidRDefault="003F03A1" w:rsidP="004633A4">
            <w:pPr>
              <w:spacing w:after="0" w:line="240" w:lineRule="auto"/>
              <w:rPr>
                <w:rFonts w:ascii="Times New Roman" w:eastAsia="Times New Roman" w:hAnsi="Times New Roman" w:cs="Times New Roman"/>
                <w:color w:val="000000"/>
                <w:sz w:val="18"/>
                <w:szCs w:val="18"/>
              </w:rPr>
            </w:pPr>
          </w:p>
        </w:tc>
      </w:tr>
      <w:tr w:rsidR="003F03A1" w:rsidRPr="00A32546" w:rsidTr="003F03A1">
        <w:trPr>
          <w:trHeight w:val="300"/>
        </w:trPr>
        <w:tc>
          <w:tcPr>
            <w:tcW w:w="1854" w:type="dxa"/>
            <w:vMerge w:val="restart"/>
            <w:tcBorders>
              <w:top w:val="nil"/>
              <w:left w:val="single" w:sz="4" w:space="0" w:color="auto"/>
              <w:bottom w:val="single" w:sz="4" w:space="0" w:color="auto"/>
              <w:right w:val="single" w:sz="4" w:space="0" w:color="auto"/>
            </w:tcBorders>
            <w:shd w:val="clear" w:color="000000" w:fill="FDE9D9"/>
            <w:vAlign w:val="center"/>
            <w:hideMark/>
          </w:tcPr>
          <w:p w:rsidR="003F03A1" w:rsidRPr="00A32546" w:rsidRDefault="003F03A1" w:rsidP="004633A4">
            <w:pPr>
              <w:spacing w:after="0" w:line="240" w:lineRule="auto"/>
              <w:jc w:val="center"/>
              <w:rPr>
                <w:rFonts w:ascii="Times New Roman" w:eastAsia="Times New Roman" w:hAnsi="Times New Roman" w:cs="Times New Roman"/>
                <w:i/>
                <w:iCs/>
                <w:sz w:val="20"/>
                <w:szCs w:val="20"/>
              </w:rPr>
            </w:pPr>
            <w:r w:rsidRPr="00A32546">
              <w:rPr>
                <w:rFonts w:ascii="Times New Roman" w:eastAsia="Times New Roman" w:hAnsi="Times New Roman" w:cs="Times New Roman"/>
                <w:i/>
                <w:iCs/>
                <w:sz w:val="20"/>
                <w:szCs w:val="20"/>
              </w:rPr>
              <w:t>Bendrasis skolos koeficientas</w:t>
            </w:r>
          </w:p>
        </w:tc>
        <w:tc>
          <w:tcPr>
            <w:tcW w:w="2121" w:type="dxa"/>
            <w:tcBorders>
              <w:top w:val="nil"/>
              <w:left w:val="nil"/>
              <w:bottom w:val="single" w:sz="4" w:space="0" w:color="auto"/>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72,757,370</w:t>
            </w:r>
          </w:p>
        </w:tc>
        <w:tc>
          <w:tcPr>
            <w:tcW w:w="8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=0.607</w:t>
            </w:r>
          </w:p>
        </w:tc>
        <w:tc>
          <w:tcPr>
            <w:tcW w:w="1942" w:type="dxa"/>
            <w:tcBorders>
              <w:top w:val="nil"/>
              <w:left w:val="nil"/>
              <w:bottom w:val="single" w:sz="4" w:space="0" w:color="auto"/>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73,768,259</w:t>
            </w:r>
          </w:p>
        </w:tc>
        <w:tc>
          <w:tcPr>
            <w:tcW w:w="7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=0.596</w:t>
            </w:r>
          </w:p>
        </w:tc>
        <w:tc>
          <w:tcPr>
            <w:tcW w:w="2052" w:type="dxa"/>
            <w:tcBorders>
              <w:top w:val="nil"/>
              <w:left w:val="nil"/>
              <w:bottom w:val="single" w:sz="4" w:space="0" w:color="auto"/>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83,161,936</w:t>
            </w:r>
          </w:p>
        </w:tc>
        <w:tc>
          <w:tcPr>
            <w:tcW w:w="7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=0.531</w:t>
            </w:r>
          </w:p>
        </w:tc>
      </w:tr>
      <w:tr w:rsidR="003F03A1" w:rsidRPr="00A32546" w:rsidTr="003F03A1">
        <w:trPr>
          <w:trHeight w:val="300"/>
        </w:trPr>
        <w:tc>
          <w:tcPr>
            <w:tcW w:w="1854" w:type="dxa"/>
            <w:vMerge/>
            <w:tcBorders>
              <w:top w:val="nil"/>
              <w:left w:val="single" w:sz="4" w:space="0" w:color="auto"/>
              <w:bottom w:val="single" w:sz="4" w:space="0" w:color="auto"/>
              <w:right w:val="single" w:sz="4" w:space="0" w:color="auto"/>
            </w:tcBorders>
            <w:vAlign w:val="center"/>
            <w:hideMark/>
          </w:tcPr>
          <w:p w:rsidR="003F03A1" w:rsidRPr="00A32546" w:rsidRDefault="003F03A1" w:rsidP="004633A4">
            <w:pPr>
              <w:spacing w:after="0" w:line="240" w:lineRule="auto"/>
              <w:rPr>
                <w:rFonts w:ascii="Times New Roman" w:eastAsia="Times New Roman" w:hAnsi="Times New Roman" w:cs="Times New Roman"/>
                <w:i/>
                <w:iCs/>
                <w:sz w:val="20"/>
                <w:szCs w:val="20"/>
              </w:rPr>
            </w:pPr>
          </w:p>
        </w:tc>
        <w:tc>
          <w:tcPr>
            <w:tcW w:w="2121" w:type="dxa"/>
            <w:tcBorders>
              <w:top w:val="nil"/>
              <w:left w:val="nil"/>
              <w:bottom w:val="single" w:sz="4" w:space="0" w:color="auto"/>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17,093,269+27,079,310</w:t>
            </w:r>
          </w:p>
        </w:tc>
        <w:tc>
          <w:tcPr>
            <w:tcW w:w="860" w:type="dxa"/>
            <w:vMerge/>
            <w:tcBorders>
              <w:top w:val="nil"/>
              <w:left w:val="single" w:sz="4" w:space="0" w:color="auto"/>
              <w:bottom w:val="single" w:sz="4" w:space="0" w:color="000000"/>
              <w:right w:val="single" w:sz="4" w:space="0" w:color="auto"/>
            </w:tcBorders>
            <w:vAlign w:val="center"/>
            <w:hideMark/>
          </w:tcPr>
          <w:p w:rsidR="003F03A1" w:rsidRPr="003F03A1" w:rsidRDefault="003F03A1" w:rsidP="004633A4">
            <w:pPr>
              <w:spacing w:after="0" w:line="240" w:lineRule="auto"/>
              <w:rPr>
                <w:rFonts w:ascii="Times New Roman" w:eastAsia="Times New Roman" w:hAnsi="Times New Roman" w:cs="Times New Roman"/>
                <w:color w:val="000000"/>
                <w:sz w:val="18"/>
                <w:szCs w:val="18"/>
              </w:rPr>
            </w:pPr>
          </w:p>
        </w:tc>
        <w:tc>
          <w:tcPr>
            <w:tcW w:w="1942" w:type="dxa"/>
            <w:tcBorders>
              <w:top w:val="nil"/>
              <w:left w:val="nil"/>
              <w:bottom w:val="single" w:sz="4" w:space="0" w:color="auto"/>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15,583,498+28,367,242</w:t>
            </w:r>
          </w:p>
        </w:tc>
        <w:tc>
          <w:tcPr>
            <w:tcW w:w="750" w:type="dxa"/>
            <w:vMerge/>
            <w:tcBorders>
              <w:top w:val="nil"/>
              <w:left w:val="single" w:sz="4" w:space="0" w:color="auto"/>
              <w:bottom w:val="single" w:sz="4" w:space="0" w:color="000000"/>
              <w:right w:val="single" w:sz="4" w:space="0" w:color="auto"/>
            </w:tcBorders>
            <w:vAlign w:val="center"/>
            <w:hideMark/>
          </w:tcPr>
          <w:p w:rsidR="003F03A1" w:rsidRPr="003F03A1" w:rsidRDefault="003F03A1" w:rsidP="004633A4">
            <w:pPr>
              <w:spacing w:after="0" w:line="240" w:lineRule="auto"/>
              <w:rPr>
                <w:rFonts w:ascii="Times New Roman" w:eastAsia="Times New Roman" w:hAnsi="Times New Roman" w:cs="Times New Roman"/>
                <w:color w:val="000000"/>
                <w:sz w:val="18"/>
                <w:szCs w:val="18"/>
              </w:rPr>
            </w:pPr>
          </w:p>
        </w:tc>
        <w:tc>
          <w:tcPr>
            <w:tcW w:w="2052" w:type="dxa"/>
            <w:tcBorders>
              <w:top w:val="nil"/>
              <w:left w:val="nil"/>
              <w:bottom w:val="single" w:sz="4" w:space="0" w:color="auto"/>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17,604,241+26,534,963</w:t>
            </w:r>
          </w:p>
        </w:tc>
        <w:tc>
          <w:tcPr>
            <w:tcW w:w="750" w:type="dxa"/>
            <w:vMerge/>
            <w:tcBorders>
              <w:top w:val="nil"/>
              <w:left w:val="single" w:sz="4" w:space="0" w:color="auto"/>
              <w:bottom w:val="single" w:sz="4" w:space="0" w:color="000000"/>
              <w:right w:val="single" w:sz="4" w:space="0" w:color="auto"/>
            </w:tcBorders>
            <w:vAlign w:val="center"/>
            <w:hideMark/>
          </w:tcPr>
          <w:p w:rsidR="003F03A1" w:rsidRPr="003F03A1" w:rsidRDefault="003F03A1" w:rsidP="004633A4">
            <w:pPr>
              <w:spacing w:after="0" w:line="240" w:lineRule="auto"/>
              <w:rPr>
                <w:rFonts w:ascii="Times New Roman" w:eastAsia="Times New Roman" w:hAnsi="Times New Roman" w:cs="Times New Roman"/>
                <w:color w:val="000000"/>
                <w:sz w:val="18"/>
                <w:szCs w:val="18"/>
              </w:rPr>
            </w:pPr>
          </w:p>
        </w:tc>
      </w:tr>
      <w:tr w:rsidR="003F03A1" w:rsidRPr="00A32546" w:rsidTr="003F03A1">
        <w:trPr>
          <w:trHeight w:val="300"/>
        </w:trPr>
        <w:tc>
          <w:tcPr>
            <w:tcW w:w="1854" w:type="dxa"/>
            <w:vMerge w:val="restart"/>
            <w:tcBorders>
              <w:top w:val="nil"/>
              <w:left w:val="single" w:sz="4" w:space="0" w:color="auto"/>
              <w:bottom w:val="single" w:sz="4" w:space="0" w:color="auto"/>
              <w:right w:val="single" w:sz="4" w:space="0" w:color="auto"/>
            </w:tcBorders>
            <w:shd w:val="clear" w:color="000000" w:fill="FDE9D9"/>
            <w:vAlign w:val="center"/>
            <w:hideMark/>
          </w:tcPr>
          <w:p w:rsidR="003F03A1" w:rsidRPr="00A32546" w:rsidRDefault="003F03A1" w:rsidP="004633A4">
            <w:pPr>
              <w:spacing w:after="0" w:line="240" w:lineRule="auto"/>
              <w:jc w:val="center"/>
              <w:rPr>
                <w:rFonts w:ascii="Times New Roman" w:eastAsia="Times New Roman" w:hAnsi="Times New Roman" w:cs="Times New Roman"/>
                <w:i/>
                <w:iCs/>
                <w:sz w:val="20"/>
                <w:szCs w:val="20"/>
              </w:rPr>
            </w:pPr>
            <w:r w:rsidRPr="00A32546">
              <w:rPr>
                <w:rFonts w:ascii="Times New Roman" w:eastAsia="Times New Roman" w:hAnsi="Times New Roman" w:cs="Times New Roman"/>
                <w:i/>
                <w:iCs/>
                <w:sz w:val="20"/>
                <w:szCs w:val="20"/>
              </w:rPr>
              <w:t>Turto pelningumas (ROA)</w:t>
            </w:r>
          </w:p>
        </w:tc>
        <w:tc>
          <w:tcPr>
            <w:tcW w:w="2121" w:type="dxa"/>
            <w:tcBorders>
              <w:top w:val="nil"/>
              <w:left w:val="nil"/>
              <w:bottom w:val="single" w:sz="4" w:space="0" w:color="auto"/>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5,327,278</w:t>
            </w:r>
          </w:p>
        </w:tc>
        <w:tc>
          <w:tcPr>
            <w:tcW w:w="8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=0.073</w:t>
            </w:r>
          </w:p>
        </w:tc>
        <w:tc>
          <w:tcPr>
            <w:tcW w:w="1942" w:type="dxa"/>
            <w:tcBorders>
              <w:top w:val="nil"/>
              <w:left w:val="nil"/>
              <w:bottom w:val="single" w:sz="4" w:space="0" w:color="auto"/>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3,195,314</w:t>
            </w:r>
          </w:p>
        </w:tc>
        <w:tc>
          <w:tcPr>
            <w:tcW w:w="7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=0.043</w:t>
            </w:r>
          </w:p>
        </w:tc>
        <w:tc>
          <w:tcPr>
            <w:tcW w:w="2052" w:type="dxa"/>
            <w:tcBorders>
              <w:top w:val="nil"/>
              <w:left w:val="nil"/>
              <w:bottom w:val="single" w:sz="4" w:space="0" w:color="auto"/>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9,396,877</w:t>
            </w:r>
          </w:p>
        </w:tc>
        <w:tc>
          <w:tcPr>
            <w:tcW w:w="7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=0.113</w:t>
            </w:r>
          </w:p>
        </w:tc>
      </w:tr>
      <w:tr w:rsidR="003F03A1" w:rsidRPr="00A32546" w:rsidTr="003F03A1">
        <w:trPr>
          <w:trHeight w:val="300"/>
        </w:trPr>
        <w:tc>
          <w:tcPr>
            <w:tcW w:w="1854" w:type="dxa"/>
            <w:vMerge/>
            <w:tcBorders>
              <w:top w:val="nil"/>
              <w:left w:val="single" w:sz="4" w:space="0" w:color="auto"/>
              <w:bottom w:val="single" w:sz="4" w:space="0" w:color="auto"/>
              <w:right w:val="single" w:sz="4" w:space="0" w:color="auto"/>
            </w:tcBorders>
            <w:vAlign w:val="center"/>
            <w:hideMark/>
          </w:tcPr>
          <w:p w:rsidR="003F03A1" w:rsidRPr="00A32546" w:rsidRDefault="003F03A1" w:rsidP="004633A4">
            <w:pPr>
              <w:spacing w:after="0" w:line="240" w:lineRule="auto"/>
              <w:rPr>
                <w:rFonts w:ascii="Times New Roman" w:eastAsia="Times New Roman" w:hAnsi="Times New Roman" w:cs="Times New Roman"/>
                <w:i/>
                <w:iCs/>
                <w:sz w:val="20"/>
                <w:szCs w:val="20"/>
              </w:rPr>
            </w:pPr>
          </w:p>
        </w:tc>
        <w:tc>
          <w:tcPr>
            <w:tcW w:w="2121" w:type="dxa"/>
            <w:tcBorders>
              <w:top w:val="nil"/>
              <w:left w:val="nil"/>
              <w:bottom w:val="single" w:sz="4" w:space="0" w:color="auto"/>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72,757,370</w:t>
            </w:r>
          </w:p>
        </w:tc>
        <w:tc>
          <w:tcPr>
            <w:tcW w:w="860" w:type="dxa"/>
            <w:vMerge/>
            <w:tcBorders>
              <w:top w:val="nil"/>
              <w:left w:val="single" w:sz="4" w:space="0" w:color="auto"/>
              <w:bottom w:val="single" w:sz="4" w:space="0" w:color="000000"/>
              <w:right w:val="single" w:sz="4" w:space="0" w:color="auto"/>
            </w:tcBorders>
            <w:vAlign w:val="center"/>
            <w:hideMark/>
          </w:tcPr>
          <w:p w:rsidR="003F03A1" w:rsidRPr="003F03A1" w:rsidRDefault="003F03A1" w:rsidP="004633A4">
            <w:pPr>
              <w:spacing w:after="0" w:line="240" w:lineRule="auto"/>
              <w:rPr>
                <w:rFonts w:ascii="Times New Roman" w:eastAsia="Times New Roman" w:hAnsi="Times New Roman" w:cs="Times New Roman"/>
                <w:color w:val="000000"/>
                <w:sz w:val="18"/>
                <w:szCs w:val="18"/>
              </w:rPr>
            </w:pPr>
          </w:p>
        </w:tc>
        <w:tc>
          <w:tcPr>
            <w:tcW w:w="1942" w:type="dxa"/>
            <w:tcBorders>
              <w:top w:val="nil"/>
              <w:left w:val="nil"/>
              <w:bottom w:val="single" w:sz="4" w:space="0" w:color="auto"/>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73,768,259</w:t>
            </w:r>
          </w:p>
        </w:tc>
        <w:tc>
          <w:tcPr>
            <w:tcW w:w="750" w:type="dxa"/>
            <w:vMerge/>
            <w:tcBorders>
              <w:top w:val="nil"/>
              <w:left w:val="single" w:sz="4" w:space="0" w:color="auto"/>
              <w:bottom w:val="single" w:sz="4" w:space="0" w:color="000000"/>
              <w:right w:val="single" w:sz="4" w:space="0" w:color="auto"/>
            </w:tcBorders>
            <w:vAlign w:val="center"/>
            <w:hideMark/>
          </w:tcPr>
          <w:p w:rsidR="003F03A1" w:rsidRPr="003F03A1" w:rsidRDefault="003F03A1" w:rsidP="004633A4">
            <w:pPr>
              <w:spacing w:after="0" w:line="240" w:lineRule="auto"/>
              <w:rPr>
                <w:rFonts w:ascii="Times New Roman" w:eastAsia="Times New Roman" w:hAnsi="Times New Roman" w:cs="Times New Roman"/>
                <w:color w:val="000000"/>
                <w:sz w:val="18"/>
                <w:szCs w:val="18"/>
              </w:rPr>
            </w:pPr>
          </w:p>
        </w:tc>
        <w:tc>
          <w:tcPr>
            <w:tcW w:w="2052" w:type="dxa"/>
            <w:tcBorders>
              <w:top w:val="nil"/>
              <w:left w:val="nil"/>
              <w:bottom w:val="single" w:sz="4" w:space="0" w:color="auto"/>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83,161,936</w:t>
            </w:r>
          </w:p>
        </w:tc>
        <w:tc>
          <w:tcPr>
            <w:tcW w:w="750" w:type="dxa"/>
            <w:vMerge/>
            <w:tcBorders>
              <w:top w:val="nil"/>
              <w:left w:val="single" w:sz="4" w:space="0" w:color="auto"/>
              <w:bottom w:val="single" w:sz="4" w:space="0" w:color="000000"/>
              <w:right w:val="single" w:sz="4" w:space="0" w:color="auto"/>
            </w:tcBorders>
            <w:vAlign w:val="center"/>
            <w:hideMark/>
          </w:tcPr>
          <w:p w:rsidR="003F03A1" w:rsidRPr="003F03A1" w:rsidRDefault="003F03A1" w:rsidP="004633A4">
            <w:pPr>
              <w:spacing w:after="0" w:line="240" w:lineRule="auto"/>
              <w:rPr>
                <w:rFonts w:ascii="Times New Roman" w:eastAsia="Times New Roman" w:hAnsi="Times New Roman" w:cs="Times New Roman"/>
                <w:color w:val="000000"/>
                <w:sz w:val="18"/>
                <w:szCs w:val="18"/>
              </w:rPr>
            </w:pPr>
          </w:p>
        </w:tc>
      </w:tr>
      <w:tr w:rsidR="003F03A1" w:rsidRPr="00A32546" w:rsidTr="003F03A1">
        <w:trPr>
          <w:trHeight w:val="345"/>
        </w:trPr>
        <w:tc>
          <w:tcPr>
            <w:tcW w:w="1854" w:type="dxa"/>
            <w:vMerge w:val="restart"/>
            <w:tcBorders>
              <w:top w:val="nil"/>
              <w:left w:val="single" w:sz="4" w:space="0" w:color="auto"/>
              <w:bottom w:val="single" w:sz="4" w:space="0" w:color="auto"/>
              <w:right w:val="single" w:sz="4" w:space="0" w:color="auto"/>
            </w:tcBorders>
            <w:shd w:val="clear" w:color="000000" w:fill="FDE9D9"/>
            <w:vAlign w:val="center"/>
            <w:hideMark/>
          </w:tcPr>
          <w:p w:rsidR="003F03A1" w:rsidRPr="00A32546" w:rsidRDefault="003F03A1" w:rsidP="004633A4">
            <w:pPr>
              <w:spacing w:after="0" w:line="240" w:lineRule="auto"/>
              <w:jc w:val="center"/>
              <w:rPr>
                <w:rFonts w:ascii="Times New Roman" w:eastAsia="Times New Roman" w:hAnsi="Times New Roman" w:cs="Times New Roman"/>
                <w:i/>
                <w:iCs/>
                <w:sz w:val="20"/>
                <w:szCs w:val="20"/>
              </w:rPr>
            </w:pPr>
            <w:r w:rsidRPr="00A32546">
              <w:rPr>
                <w:rFonts w:ascii="Times New Roman" w:eastAsia="Times New Roman" w:hAnsi="Times New Roman" w:cs="Times New Roman"/>
                <w:i/>
                <w:iCs/>
                <w:sz w:val="20"/>
                <w:szCs w:val="20"/>
              </w:rPr>
              <w:t>Grynasis pardavimo pelningumas</w:t>
            </w:r>
          </w:p>
        </w:tc>
        <w:tc>
          <w:tcPr>
            <w:tcW w:w="2121" w:type="dxa"/>
            <w:tcBorders>
              <w:top w:val="nil"/>
              <w:left w:val="nil"/>
              <w:bottom w:val="single" w:sz="4" w:space="0" w:color="auto"/>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5,327,278</w:t>
            </w:r>
          </w:p>
        </w:tc>
        <w:tc>
          <w:tcPr>
            <w:tcW w:w="8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=0.061</w:t>
            </w:r>
          </w:p>
        </w:tc>
        <w:tc>
          <w:tcPr>
            <w:tcW w:w="1942" w:type="dxa"/>
            <w:tcBorders>
              <w:top w:val="nil"/>
              <w:left w:val="nil"/>
              <w:bottom w:val="single" w:sz="4" w:space="0" w:color="auto"/>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3,195,314</w:t>
            </w:r>
          </w:p>
        </w:tc>
        <w:tc>
          <w:tcPr>
            <w:tcW w:w="7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=0.040</w:t>
            </w:r>
          </w:p>
        </w:tc>
        <w:tc>
          <w:tcPr>
            <w:tcW w:w="2052" w:type="dxa"/>
            <w:tcBorders>
              <w:top w:val="nil"/>
              <w:left w:val="nil"/>
              <w:bottom w:val="single" w:sz="4" w:space="0" w:color="auto"/>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9,396,877</w:t>
            </w:r>
          </w:p>
        </w:tc>
        <w:tc>
          <w:tcPr>
            <w:tcW w:w="7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=0.081</w:t>
            </w:r>
          </w:p>
        </w:tc>
      </w:tr>
      <w:tr w:rsidR="003F03A1" w:rsidRPr="00A32546" w:rsidTr="003F03A1">
        <w:trPr>
          <w:trHeight w:val="300"/>
        </w:trPr>
        <w:tc>
          <w:tcPr>
            <w:tcW w:w="1854" w:type="dxa"/>
            <w:vMerge/>
            <w:tcBorders>
              <w:top w:val="nil"/>
              <w:left w:val="single" w:sz="4" w:space="0" w:color="auto"/>
              <w:bottom w:val="single" w:sz="4" w:space="0" w:color="auto"/>
              <w:right w:val="single" w:sz="4" w:space="0" w:color="auto"/>
            </w:tcBorders>
            <w:vAlign w:val="center"/>
            <w:hideMark/>
          </w:tcPr>
          <w:p w:rsidR="003F03A1" w:rsidRPr="00A32546" w:rsidRDefault="003F03A1" w:rsidP="004633A4">
            <w:pPr>
              <w:spacing w:after="0" w:line="240" w:lineRule="auto"/>
              <w:rPr>
                <w:rFonts w:ascii="Times New Roman" w:eastAsia="Times New Roman" w:hAnsi="Times New Roman" w:cs="Times New Roman"/>
                <w:i/>
                <w:iCs/>
                <w:sz w:val="20"/>
                <w:szCs w:val="20"/>
              </w:rPr>
            </w:pPr>
          </w:p>
        </w:tc>
        <w:tc>
          <w:tcPr>
            <w:tcW w:w="2121" w:type="dxa"/>
            <w:tcBorders>
              <w:top w:val="nil"/>
              <w:left w:val="nil"/>
              <w:bottom w:val="single" w:sz="4" w:space="0" w:color="auto"/>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86,907,395</w:t>
            </w:r>
          </w:p>
        </w:tc>
        <w:tc>
          <w:tcPr>
            <w:tcW w:w="860" w:type="dxa"/>
            <w:vMerge/>
            <w:tcBorders>
              <w:top w:val="nil"/>
              <w:left w:val="single" w:sz="4" w:space="0" w:color="auto"/>
              <w:bottom w:val="single" w:sz="4" w:space="0" w:color="000000"/>
              <w:right w:val="single" w:sz="4" w:space="0" w:color="auto"/>
            </w:tcBorders>
            <w:vAlign w:val="center"/>
            <w:hideMark/>
          </w:tcPr>
          <w:p w:rsidR="003F03A1" w:rsidRPr="003F03A1" w:rsidRDefault="003F03A1" w:rsidP="004633A4">
            <w:pPr>
              <w:spacing w:after="0" w:line="240" w:lineRule="auto"/>
              <w:rPr>
                <w:rFonts w:ascii="Times New Roman" w:eastAsia="Times New Roman" w:hAnsi="Times New Roman" w:cs="Times New Roman"/>
                <w:color w:val="000000"/>
                <w:sz w:val="18"/>
                <w:szCs w:val="18"/>
              </w:rPr>
            </w:pPr>
          </w:p>
        </w:tc>
        <w:tc>
          <w:tcPr>
            <w:tcW w:w="1942" w:type="dxa"/>
            <w:tcBorders>
              <w:top w:val="nil"/>
              <w:left w:val="nil"/>
              <w:bottom w:val="single" w:sz="4" w:space="0" w:color="auto"/>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79,352,936</w:t>
            </w:r>
          </w:p>
        </w:tc>
        <w:tc>
          <w:tcPr>
            <w:tcW w:w="750" w:type="dxa"/>
            <w:vMerge/>
            <w:tcBorders>
              <w:top w:val="nil"/>
              <w:left w:val="single" w:sz="4" w:space="0" w:color="auto"/>
              <w:bottom w:val="single" w:sz="4" w:space="0" w:color="000000"/>
              <w:right w:val="single" w:sz="4" w:space="0" w:color="auto"/>
            </w:tcBorders>
            <w:vAlign w:val="center"/>
            <w:hideMark/>
          </w:tcPr>
          <w:p w:rsidR="003F03A1" w:rsidRPr="003F03A1" w:rsidRDefault="003F03A1" w:rsidP="004633A4">
            <w:pPr>
              <w:spacing w:after="0" w:line="240" w:lineRule="auto"/>
              <w:rPr>
                <w:rFonts w:ascii="Times New Roman" w:eastAsia="Times New Roman" w:hAnsi="Times New Roman" w:cs="Times New Roman"/>
                <w:color w:val="000000"/>
                <w:sz w:val="18"/>
                <w:szCs w:val="18"/>
              </w:rPr>
            </w:pPr>
          </w:p>
        </w:tc>
        <w:tc>
          <w:tcPr>
            <w:tcW w:w="2052" w:type="dxa"/>
            <w:tcBorders>
              <w:top w:val="nil"/>
              <w:left w:val="nil"/>
              <w:bottom w:val="single" w:sz="4" w:space="0" w:color="auto"/>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115,563,328</w:t>
            </w:r>
          </w:p>
        </w:tc>
        <w:tc>
          <w:tcPr>
            <w:tcW w:w="750" w:type="dxa"/>
            <w:vMerge/>
            <w:tcBorders>
              <w:top w:val="nil"/>
              <w:left w:val="single" w:sz="4" w:space="0" w:color="auto"/>
              <w:bottom w:val="single" w:sz="4" w:space="0" w:color="000000"/>
              <w:right w:val="single" w:sz="4" w:space="0" w:color="auto"/>
            </w:tcBorders>
            <w:vAlign w:val="center"/>
            <w:hideMark/>
          </w:tcPr>
          <w:p w:rsidR="003F03A1" w:rsidRPr="003F03A1" w:rsidRDefault="003F03A1" w:rsidP="004633A4">
            <w:pPr>
              <w:spacing w:after="0" w:line="240" w:lineRule="auto"/>
              <w:rPr>
                <w:rFonts w:ascii="Times New Roman" w:eastAsia="Times New Roman" w:hAnsi="Times New Roman" w:cs="Times New Roman"/>
                <w:color w:val="000000"/>
                <w:sz w:val="18"/>
                <w:szCs w:val="18"/>
              </w:rPr>
            </w:pPr>
          </w:p>
        </w:tc>
      </w:tr>
      <w:tr w:rsidR="003F03A1" w:rsidRPr="00A32546" w:rsidTr="003F03A1">
        <w:trPr>
          <w:trHeight w:val="300"/>
        </w:trPr>
        <w:tc>
          <w:tcPr>
            <w:tcW w:w="1854" w:type="dxa"/>
            <w:vMerge w:val="restart"/>
            <w:tcBorders>
              <w:top w:val="nil"/>
              <w:left w:val="single" w:sz="4" w:space="0" w:color="auto"/>
              <w:bottom w:val="single" w:sz="4" w:space="0" w:color="auto"/>
              <w:right w:val="single" w:sz="4" w:space="0" w:color="auto"/>
            </w:tcBorders>
            <w:shd w:val="clear" w:color="000000" w:fill="FDE9D9"/>
            <w:vAlign w:val="center"/>
            <w:hideMark/>
          </w:tcPr>
          <w:p w:rsidR="003F03A1" w:rsidRPr="00A32546" w:rsidRDefault="003F03A1" w:rsidP="004633A4">
            <w:pPr>
              <w:spacing w:after="0" w:line="240" w:lineRule="auto"/>
              <w:jc w:val="center"/>
              <w:rPr>
                <w:rFonts w:ascii="Times New Roman" w:eastAsia="Times New Roman" w:hAnsi="Times New Roman" w:cs="Times New Roman"/>
                <w:i/>
                <w:iCs/>
                <w:sz w:val="20"/>
                <w:szCs w:val="20"/>
              </w:rPr>
            </w:pPr>
            <w:r w:rsidRPr="00A32546">
              <w:rPr>
                <w:rFonts w:ascii="Times New Roman" w:eastAsia="Times New Roman" w:hAnsi="Times New Roman" w:cs="Times New Roman"/>
                <w:i/>
                <w:iCs/>
                <w:sz w:val="20"/>
                <w:szCs w:val="20"/>
              </w:rPr>
              <w:t>Grynasis nuosavo pelningumas (ROE)</w:t>
            </w:r>
          </w:p>
        </w:tc>
        <w:tc>
          <w:tcPr>
            <w:tcW w:w="2121" w:type="dxa"/>
            <w:tcBorders>
              <w:top w:val="nil"/>
              <w:left w:val="nil"/>
              <w:bottom w:val="single" w:sz="4" w:space="0" w:color="auto"/>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5,327,278</w:t>
            </w:r>
          </w:p>
        </w:tc>
        <w:tc>
          <w:tcPr>
            <w:tcW w:w="8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=0.186</w:t>
            </w:r>
          </w:p>
        </w:tc>
        <w:tc>
          <w:tcPr>
            <w:tcW w:w="1942" w:type="dxa"/>
            <w:tcBorders>
              <w:top w:val="nil"/>
              <w:left w:val="nil"/>
              <w:bottom w:val="single" w:sz="4" w:space="0" w:color="auto"/>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3,195,314</w:t>
            </w:r>
          </w:p>
        </w:tc>
        <w:tc>
          <w:tcPr>
            <w:tcW w:w="7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=0.107</w:t>
            </w:r>
          </w:p>
        </w:tc>
        <w:tc>
          <w:tcPr>
            <w:tcW w:w="2052" w:type="dxa"/>
            <w:tcBorders>
              <w:top w:val="nil"/>
              <w:left w:val="nil"/>
              <w:bottom w:val="single" w:sz="4" w:space="0" w:color="auto"/>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9,396,877</w:t>
            </w:r>
          </w:p>
        </w:tc>
        <w:tc>
          <w:tcPr>
            <w:tcW w:w="7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=0.241</w:t>
            </w:r>
          </w:p>
        </w:tc>
      </w:tr>
      <w:tr w:rsidR="003F03A1" w:rsidRPr="00A32546" w:rsidTr="003F03A1">
        <w:trPr>
          <w:trHeight w:val="300"/>
        </w:trPr>
        <w:tc>
          <w:tcPr>
            <w:tcW w:w="1854" w:type="dxa"/>
            <w:vMerge/>
            <w:tcBorders>
              <w:top w:val="nil"/>
              <w:left w:val="single" w:sz="4" w:space="0" w:color="auto"/>
              <w:bottom w:val="single" w:sz="4" w:space="0" w:color="auto"/>
              <w:right w:val="single" w:sz="4" w:space="0" w:color="auto"/>
            </w:tcBorders>
            <w:vAlign w:val="center"/>
            <w:hideMark/>
          </w:tcPr>
          <w:p w:rsidR="003F03A1" w:rsidRPr="00A32546" w:rsidRDefault="003F03A1" w:rsidP="004633A4">
            <w:pPr>
              <w:spacing w:after="0" w:line="240" w:lineRule="auto"/>
              <w:rPr>
                <w:rFonts w:ascii="Times New Roman" w:eastAsia="Times New Roman" w:hAnsi="Times New Roman" w:cs="Times New Roman"/>
                <w:i/>
                <w:iCs/>
                <w:sz w:val="20"/>
                <w:szCs w:val="20"/>
              </w:rPr>
            </w:pPr>
          </w:p>
        </w:tc>
        <w:tc>
          <w:tcPr>
            <w:tcW w:w="2121" w:type="dxa"/>
            <w:tcBorders>
              <w:top w:val="nil"/>
              <w:left w:val="nil"/>
              <w:bottom w:val="single" w:sz="4" w:space="0" w:color="auto"/>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28,584,791</w:t>
            </w:r>
          </w:p>
        </w:tc>
        <w:tc>
          <w:tcPr>
            <w:tcW w:w="860" w:type="dxa"/>
            <w:vMerge/>
            <w:tcBorders>
              <w:top w:val="nil"/>
              <w:left w:val="single" w:sz="4" w:space="0" w:color="auto"/>
              <w:bottom w:val="single" w:sz="4" w:space="0" w:color="000000"/>
              <w:right w:val="single" w:sz="4" w:space="0" w:color="auto"/>
            </w:tcBorders>
            <w:vAlign w:val="center"/>
            <w:hideMark/>
          </w:tcPr>
          <w:p w:rsidR="003F03A1" w:rsidRPr="003F03A1" w:rsidRDefault="003F03A1" w:rsidP="004633A4">
            <w:pPr>
              <w:spacing w:after="0" w:line="240" w:lineRule="auto"/>
              <w:rPr>
                <w:rFonts w:ascii="Times New Roman" w:eastAsia="Times New Roman" w:hAnsi="Times New Roman" w:cs="Times New Roman"/>
                <w:color w:val="000000"/>
                <w:sz w:val="18"/>
                <w:szCs w:val="18"/>
              </w:rPr>
            </w:pPr>
          </w:p>
        </w:tc>
        <w:tc>
          <w:tcPr>
            <w:tcW w:w="1942" w:type="dxa"/>
            <w:tcBorders>
              <w:top w:val="nil"/>
              <w:left w:val="nil"/>
              <w:bottom w:val="single" w:sz="4" w:space="0" w:color="auto"/>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29,817,519</w:t>
            </w:r>
          </w:p>
        </w:tc>
        <w:tc>
          <w:tcPr>
            <w:tcW w:w="750" w:type="dxa"/>
            <w:vMerge/>
            <w:tcBorders>
              <w:top w:val="nil"/>
              <w:left w:val="single" w:sz="4" w:space="0" w:color="auto"/>
              <w:bottom w:val="single" w:sz="4" w:space="0" w:color="000000"/>
              <w:right w:val="single" w:sz="4" w:space="0" w:color="auto"/>
            </w:tcBorders>
            <w:vAlign w:val="center"/>
            <w:hideMark/>
          </w:tcPr>
          <w:p w:rsidR="003F03A1" w:rsidRPr="003F03A1" w:rsidRDefault="003F03A1" w:rsidP="004633A4">
            <w:pPr>
              <w:spacing w:after="0" w:line="240" w:lineRule="auto"/>
              <w:rPr>
                <w:rFonts w:ascii="Times New Roman" w:eastAsia="Times New Roman" w:hAnsi="Times New Roman" w:cs="Times New Roman"/>
                <w:color w:val="000000"/>
                <w:sz w:val="18"/>
                <w:szCs w:val="18"/>
              </w:rPr>
            </w:pPr>
          </w:p>
        </w:tc>
        <w:tc>
          <w:tcPr>
            <w:tcW w:w="2052" w:type="dxa"/>
            <w:tcBorders>
              <w:top w:val="nil"/>
              <w:left w:val="nil"/>
              <w:bottom w:val="single" w:sz="4" w:space="0" w:color="auto"/>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39,022,731</w:t>
            </w:r>
          </w:p>
        </w:tc>
        <w:tc>
          <w:tcPr>
            <w:tcW w:w="750" w:type="dxa"/>
            <w:vMerge/>
            <w:tcBorders>
              <w:top w:val="nil"/>
              <w:left w:val="single" w:sz="4" w:space="0" w:color="auto"/>
              <w:bottom w:val="single" w:sz="4" w:space="0" w:color="000000"/>
              <w:right w:val="single" w:sz="4" w:space="0" w:color="auto"/>
            </w:tcBorders>
            <w:vAlign w:val="center"/>
            <w:hideMark/>
          </w:tcPr>
          <w:p w:rsidR="003F03A1" w:rsidRPr="003F03A1" w:rsidRDefault="003F03A1" w:rsidP="004633A4">
            <w:pPr>
              <w:spacing w:after="0" w:line="240" w:lineRule="auto"/>
              <w:rPr>
                <w:rFonts w:ascii="Times New Roman" w:eastAsia="Times New Roman" w:hAnsi="Times New Roman" w:cs="Times New Roman"/>
                <w:color w:val="000000"/>
                <w:sz w:val="18"/>
                <w:szCs w:val="18"/>
              </w:rPr>
            </w:pPr>
          </w:p>
        </w:tc>
      </w:tr>
      <w:tr w:rsidR="003F03A1" w:rsidRPr="00A32546" w:rsidTr="003F03A1">
        <w:trPr>
          <w:trHeight w:val="300"/>
        </w:trPr>
        <w:tc>
          <w:tcPr>
            <w:tcW w:w="1854" w:type="dxa"/>
            <w:vMerge w:val="restart"/>
            <w:tcBorders>
              <w:top w:val="nil"/>
              <w:left w:val="single" w:sz="4" w:space="0" w:color="auto"/>
              <w:bottom w:val="single" w:sz="4" w:space="0" w:color="auto"/>
              <w:right w:val="single" w:sz="4" w:space="0" w:color="auto"/>
            </w:tcBorders>
            <w:shd w:val="clear" w:color="000000" w:fill="FDE9D9"/>
            <w:vAlign w:val="center"/>
            <w:hideMark/>
          </w:tcPr>
          <w:p w:rsidR="003F03A1" w:rsidRPr="00A32546" w:rsidRDefault="003F03A1" w:rsidP="004633A4">
            <w:pPr>
              <w:spacing w:after="0" w:line="240" w:lineRule="auto"/>
              <w:jc w:val="center"/>
              <w:rPr>
                <w:rFonts w:ascii="Times New Roman" w:eastAsia="Times New Roman" w:hAnsi="Times New Roman" w:cs="Times New Roman"/>
                <w:i/>
                <w:iCs/>
                <w:sz w:val="20"/>
                <w:szCs w:val="20"/>
              </w:rPr>
            </w:pPr>
            <w:r w:rsidRPr="00A32546">
              <w:rPr>
                <w:rFonts w:ascii="Times New Roman" w:eastAsia="Times New Roman" w:hAnsi="Times New Roman" w:cs="Times New Roman"/>
                <w:i/>
                <w:iCs/>
                <w:sz w:val="20"/>
                <w:szCs w:val="20"/>
              </w:rPr>
              <w:t xml:space="preserve">Finansinis svertas </w:t>
            </w:r>
          </w:p>
        </w:tc>
        <w:tc>
          <w:tcPr>
            <w:tcW w:w="2121" w:type="dxa"/>
            <w:tcBorders>
              <w:top w:val="nil"/>
              <w:left w:val="nil"/>
              <w:bottom w:val="single" w:sz="4" w:space="0" w:color="auto"/>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17,093,269+27,079,310</w:t>
            </w:r>
          </w:p>
        </w:tc>
        <w:tc>
          <w:tcPr>
            <w:tcW w:w="8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=1.545</w:t>
            </w:r>
          </w:p>
        </w:tc>
        <w:tc>
          <w:tcPr>
            <w:tcW w:w="1942" w:type="dxa"/>
            <w:tcBorders>
              <w:top w:val="nil"/>
              <w:left w:val="nil"/>
              <w:bottom w:val="single" w:sz="4" w:space="0" w:color="auto"/>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15,583,498+28,367,242</w:t>
            </w:r>
          </w:p>
        </w:tc>
        <w:tc>
          <w:tcPr>
            <w:tcW w:w="7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=1.474</w:t>
            </w:r>
          </w:p>
        </w:tc>
        <w:tc>
          <w:tcPr>
            <w:tcW w:w="2052" w:type="dxa"/>
            <w:tcBorders>
              <w:top w:val="nil"/>
              <w:left w:val="nil"/>
              <w:bottom w:val="single" w:sz="4" w:space="0" w:color="auto"/>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17,604,241+26,534,963</w:t>
            </w:r>
          </w:p>
        </w:tc>
        <w:tc>
          <w:tcPr>
            <w:tcW w:w="7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=1.131</w:t>
            </w:r>
          </w:p>
        </w:tc>
      </w:tr>
      <w:tr w:rsidR="003F03A1" w:rsidRPr="00A32546" w:rsidTr="003F03A1">
        <w:trPr>
          <w:trHeight w:val="300"/>
        </w:trPr>
        <w:tc>
          <w:tcPr>
            <w:tcW w:w="1854" w:type="dxa"/>
            <w:vMerge/>
            <w:tcBorders>
              <w:top w:val="nil"/>
              <w:left w:val="single" w:sz="4" w:space="0" w:color="auto"/>
              <w:bottom w:val="single" w:sz="4" w:space="0" w:color="auto"/>
              <w:right w:val="single" w:sz="4" w:space="0" w:color="auto"/>
            </w:tcBorders>
            <w:vAlign w:val="center"/>
            <w:hideMark/>
          </w:tcPr>
          <w:p w:rsidR="003F03A1" w:rsidRPr="00A32546" w:rsidRDefault="003F03A1" w:rsidP="004633A4">
            <w:pPr>
              <w:spacing w:after="0" w:line="240" w:lineRule="auto"/>
              <w:rPr>
                <w:rFonts w:ascii="Times New Roman" w:eastAsia="Times New Roman" w:hAnsi="Times New Roman" w:cs="Times New Roman"/>
                <w:i/>
                <w:iCs/>
                <w:sz w:val="20"/>
                <w:szCs w:val="20"/>
              </w:rPr>
            </w:pPr>
          </w:p>
        </w:tc>
        <w:tc>
          <w:tcPr>
            <w:tcW w:w="2121" w:type="dxa"/>
            <w:tcBorders>
              <w:top w:val="nil"/>
              <w:left w:val="nil"/>
              <w:bottom w:val="single" w:sz="4" w:space="0" w:color="auto"/>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28,584,791</w:t>
            </w:r>
          </w:p>
        </w:tc>
        <w:tc>
          <w:tcPr>
            <w:tcW w:w="860" w:type="dxa"/>
            <w:vMerge/>
            <w:tcBorders>
              <w:top w:val="nil"/>
              <w:left w:val="single" w:sz="4" w:space="0" w:color="auto"/>
              <w:bottom w:val="single" w:sz="4" w:space="0" w:color="000000"/>
              <w:right w:val="single" w:sz="4" w:space="0" w:color="auto"/>
            </w:tcBorders>
            <w:vAlign w:val="center"/>
            <w:hideMark/>
          </w:tcPr>
          <w:p w:rsidR="003F03A1" w:rsidRPr="003F03A1" w:rsidRDefault="003F03A1" w:rsidP="004633A4">
            <w:pPr>
              <w:spacing w:after="0" w:line="240" w:lineRule="auto"/>
              <w:rPr>
                <w:rFonts w:ascii="Times New Roman" w:eastAsia="Times New Roman" w:hAnsi="Times New Roman" w:cs="Times New Roman"/>
                <w:color w:val="000000"/>
                <w:sz w:val="18"/>
                <w:szCs w:val="18"/>
              </w:rPr>
            </w:pPr>
          </w:p>
        </w:tc>
        <w:tc>
          <w:tcPr>
            <w:tcW w:w="1942" w:type="dxa"/>
            <w:tcBorders>
              <w:top w:val="nil"/>
              <w:left w:val="nil"/>
              <w:bottom w:val="single" w:sz="4" w:space="0" w:color="auto"/>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29,817,519</w:t>
            </w:r>
          </w:p>
        </w:tc>
        <w:tc>
          <w:tcPr>
            <w:tcW w:w="750" w:type="dxa"/>
            <w:vMerge/>
            <w:tcBorders>
              <w:top w:val="nil"/>
              <w:left w:val="single" w:sz="4" w:space="0" w:color="auto"/>
              <w:bottom w:val="single" w:sz="4" w:space="0" w:color="000000"/>
              <w:right w:val="single" w:sz="4" w:space="0" w:color="auto"/>
            </w:tcBorders>
            <w:vAlign w:val="center"/>
            <w:hideMark/>
          </w:tcPr>
          <w:p w:rsidR="003F03A1" w:rsidRPr="003F03A1" w:rsidRDefault="003F03A1" w:rsidP="004633A4">
            <w:pPr>
              <w:spacing w:after="0" w:line="240" w:lineRule="auto"/>
              <w:rPr>
                <w:rFonts w:ascii="Times New Roman" w:eastAsia="Times New Roman" w:hAnsi="Times New Roman" w:cs="Times New Roman"/>
                <w:color w:val="000000"/>
                <w:sz w:val="18"/>
                <w:szCs w:val="18"/>
              </w:rPr>
            </w:pPr>
          </w:p>
        </w:tc>
        <w:tc>
          <w:tcPr>
            <w:tcW w:w="2052" w:type="dxa"/>
            <w:tcBorders>
              <w:top w:val="nil"/>
              <w:left w:val="nil"/>
              <w:bottom w:val="single" w:sz="4" w:space="0" w:color="auto"/>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39,022,731</w:t>
            </w:r>
          </w:p>
        </w:tc>
        <w:tc>
          <w:tcPr>
            <w:tcW w:w="750" w:type="dxa"/>
            <w:vMerge/>
            <w:tcBorders>
              <w:top w:val="nil"/>
              <w:left w:val="single" w:sz="4" w:space="0" w:color="auto"/>
              <w:bottom w:val="single" w:sz="4" w:space="0" w:color="000000"/>
              <w:right w:val="single" w:sz="4" w:space="0" w:color="auto"/>
            </w:tcBorders>
            <w:vAlign w:val="center"/>
            <w:hideMark/>
          </w:tcPr>
          <w:p w:rsidR="003F03A1" w:rsidRPr="003F03A1" w:rsidRDefault="003F03A1" w:rsidP="004633A4">
            <w:pPr>
              <w:spacing w:after="0" w:line="240" w:lineRule="auto"/>
              <w:rPr>
                <w:rFonts w:ascii="Times New Roman" w:eastAsia="Times New Roman" w:hAnsi="Times New Roman" w:cs="Times New Roman"/>
                <w:color w:val="000000"/>
                <w:sz w:val="18"/>
                <w:szCs w:val="18"/>
              </w:rPr>
            </w:pPr>
          </w:p>
        </w:tc>
      </w:tr>
      <w:tr w:rsidR="003F03A1" w:rsidRPr="00A32546" w:rsidTr="003F03A1">
        <w:trPr>
          <w:trHeight w:val="360"/>
        </w:trPr>
        <w:tc>
          <w:tcPr>
            <w:tcW w:w="1854" w:type="dxa"/>
            <w:vMerge w:val="restart"/>
            <w:tcBorders>
              <w:top w:val="nil"/>
              <w:left w:val="single" w:sz="4" w:space="0" w:color="auto"/>
              <w:bottom w:val="single" w:sz="4" w:space="0" w:color="auto"/>
              <w:right w:val="single" w:sz="4" w:space="0" w:color="auto"/>
            </w:tcBorders>
            <w:shd w:val="clear" w:color="000000" w:fill="FDE9D9"/>
            <w:vAlign w:val="center"/>
            <w:hideMark/>
          </w:tcPr>
          <w:p w:rsidR="003F03A1" w:rsidRPr="00A32546" w:rsidRDefault="003F03A1" w:rsidP="004633A4">
            <w:pPr>
              <w:spacing w:after="0" w:line="240" w:lineRule="auto"/>
              <w:jc w:val="center"/>
              <w:rPr>
                <w:rFonts w:ascii="Times New Roman" w:eastAsia="Times New Roman" w:hAnsi="Times New Roman" w:cs="Times New Roman"/>
                <w:i/>
                <w:iCs/>
                <w:sz w:val="20"/>
                <w:szCs w:val="20"/>
              </w:rPr>
            </w:pPr>
            <w:r w:rsidRPr="00A32546">
              <w:rPr>
                <w:rFonts w:ascii="Times New Roman" w:eastAsia="Times New Roman" w:hAnsi="Times New Roman" w:cs="Times New Roman"/>
                <w:i/>
                <w:iCs/>
                <w:sz w:val="20"/>
                <w:szCs w:val="20"/>
              </w:rPr>
              <w:t>Pardavimo savikainos lygis</w:t>
            </w:r>
          </w:p>
        </w:tc>
        <w:tc>
          <w:tcPr>
            <w:tcW w:w="2121" w:type="dxa"/>
            <w:tcBorders>
              <w:top w:val="nil"/>
              <w:left w:val="nil"/>
              <w:bottom w:val="single" w:sz="4" w:space="0" w:color="auto"/>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77,514,705</w:t>
            </w:r>
          </w:p>
        </w:tc>
        <w:tc>
          <w:tcPr>
            <w:tcW w:w="8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=0.903</w:t>
            </w:r>
          </w:p>
        </w:tc>
        <w:tc>
          <w:tcPr>
            <w:tcW w:w="1942" w:type="dxa"/>
            <w:tcBorders>
              <w:top w:val="nil"/>
              <w:left w:val="nil"/>
              <w:bottom w:val="single" w:sz="4" w:space="0" w:color="auto"/>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71,828,699</w:t>
            </w:r>
          </w:p>
        </w:tc>
        <w:tc>
          <w:tcPr>
            <w:tcW w:w="7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=0.905</w:t>
            </w:r>
          </w:p>
        </w:tc>
        <w:tc>
          <w:tcPr>
            <w:tcW w:w="2052" w:type="dxa"/>
            <w:tcBorders>
              <w:top w:val="nil"/>
              <w:left w:val="nil"/>
              <w:bottom w:val="single" w:sz="4" w:space="0" w:color="auto"/>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104,263,569</w:t>
            </w:r>
          </w:p>
        </w:tc>
        <w:tc>
          <w:tcPr>
            <w:tcW w:w="7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=0.902</w:t>
            </w:r>
          </w:p>
        </w:tc>
      </w:tr>
      <w:tr w:rsidR="003F03A1" w:rsidRPr="00A32546" w:rsidTr="003F03A1">
        <w:trPr>
          <w:trHeight w:val="300"/>
        </w:trPr>
        <w:tc>
          <w:tcPr>
            <w:tcW w:w="1854" w:type="dxa"/>
            <w:vMerge/>
            <w:tcBorders>
              <w:top w:val="nil"/>
              <w:left w:val="single" w:sz="4" w:space="0" w:color="auto"/>
              <w:bottom w:val="single" w:sz="4" w:space="0" w:color="auto"/>
              <w:right w:val="single" w:sz="4" w:space="0" w:color="auto"/>
            </w:tcBorders>
            <w:vAlign w:val="center"/>
            <w:hideMark/>
          </w:tcPr>
          <w:p w:rsidR="003F03A1" w:rsidRPr="00A32546" w:rsidRDefault="003F03A1" w:rsidP="004633A4">
            <w:pPr>
              <w:spacing w:after="0" w:line="240" w:lineRule="auto"/>
              <w:rPr>
                <w:rFonts w:ascii="Times New Roman" w:eastAsia="Times New Roman" w:hAnsi="Times New Roman" w:cs="Times New Roman"/>
                <w:i/>
                <w:iCs/>
                <w:sz w:val="20"/>
                <w:szCs w:val="20"/>
              </w:rPr>
            </w:pPr>
          </w:p>
        </w:tc>
        <w:tc>
          <w:tcPr>
            <w:tcW w:w="2121" w:type="dxa"/>
            <w:tcBorders>
              <w:top w:val="nil"/>
              <w:left w:val="nil"/>
              <w:bottom w:val="single" w:sz="4" w:space="0" w:color="auto"/>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85,844,310</w:t>
            </w:r>
          </w:p>
        </w:tc>
        <w:tc>
          <w:tcPr>
            <w:tcW w:w="860" w:type="dxa"/>
            <w:vMerge/>
            <w:tcBorders>
              <w:top w:val="nil"/>
              <w:left w:val="single" w:sz="4" w:space="0" w:color="auto"/>
              <w:bottom w:val="single" w:sz="4" w:space="0" w:color="000000"/>
              <w:right w:val="single" w:sz="4" w:space="0" w:color="auto"/>
            </w:tcBorders>
            <w:vAlign w:val="center"/>
            <w:hideMark/>
          </w:tcPr>
          <w:p w:rsidR="003F03A1" w:rsidRPr="003F03A1" w:rsidRDefault="003F03A1" w:rsidP="004633A4">
            <w:pPr>
              <w:spacing w:after="0" w:line="240" w:lineRule="auto"/>
              <w:rPr>
                <w:rFonts w:ascii="Times New Roman" w:eastAsia="Times New Roman" w:hAnsi="Times New Roman" w:cs="Times New Roman"/>
                <w:color w:val="000000"/>
                <w:sz w:val="18"/>
                <w:szCs w:val="18"/>
              </w:rPr>
            </w:pPr>
          </w:p>
        </w:tc>
        <w:tc>
          <w:tcPr>
            <w:tcW w:w="1942" w:type="dxa"/>
            <w:tcBorders>
              <w:top w:val="nil"/>
              <w:left w:val="nil"/>
              <w:bottom w:val="single" w:sz="4" w:space="0" w:color="auto"/>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79,352,936</w:t>
            </w:r>
          </w:p>
        </w:tc>
        <w:tc>
          <w:tcPr>
            <w:tcW w:w="750" w:type="dxa"/>
            <w:vMerge/>
            <w:tcBorders>
              <w:top w:val="nil"/>
              <w:left w:val="single" w:sz="4" w:space="0" w:color="auto"/>
              <w:bottom w:val="single" w:sz="4" w:space="0" w:color="000000"/>
              <w:right w:val="single" w:sz="4" w:space="0" w:color="auto"/>
            </w:tcBorders>
            <w:vAlign w:val="center"/>
            <w:hideMark/>
          </w:tcPr>
          <w:p w:rsidR="003F03A1" w:rsidRPr="003F03A1" w:rsidRDefault="003F03A1" w:rsidP="004633A4">
            <w:pPr>
              <w:spacing w:after="0" w:line="240" w:lineRule="auto"/>
              <w:rPr>
                <w:rFonts w:ascii="Times New Roman" w:eastAsia="Times New Roman" w:hAnsi="Times New Roman" w:cs="Times New Roman"/>
                <w:color w:val="000000"/>
                <w:sz w:val="18"/>
                <w:szCs w:val="18"/>
              </w:rPr>
            </w:pPr>
          </w:p>
        </w:tc>
        <w:tc>
          <w:tcPr>
            <w:tcW w:w="2052" w:type="dxa"/>
            <w:tcBorders>
              <w:top w:val="nil"/>
              <w:left w:val="nil"/>
              <w:bottom w:val="single" w:sz="4" w:space="0" w:color="auto"/>
              <w:right w:val="single" w:sz="4" w:space="0" w:color="auto"/>
            </w:tcBorders>
            <w:shd w:val="clear" w:color="auto" w:fill="auto"/>
            <w:noWrap/>
            <w:vAlign w:val="center"/>
            <w:hideMark/>
          </w:tcPr>
          <w:p w:rsidR="003F03A1" w:rsidRPr="003F03A1" w:rsidRDefault="003F03A1" w:rsidP="004633A4">
            <w:pPr>
              <w:spacing w:after="0" w:line="240" w:lineRule="auto"/>
              <w:jc w:val="center"/>
              <w:rPr>
                <w:rFonts w:ascii="Times New Roman" w:eastAsia="Times New Roman" w:hAnsi="Times New Roman" w:cs="Times New Roman"/>
                <w:color w:val="000000"/>
                <w:sz w:val="18"/>
                <w:szCs w:val="18"/>
              </w:rPr>
            </w:pPr>
            <w:r w:rsidRPr="003F03A1">
              <w:rPr>
                <w:rFonts w:ascii="Times New Roman" w:eastAsia="Times New Roman" w:hAnsi="Times New Roman" w:cs="Times New Roman"/>
                <w:color w:val="000000"/>
                <w:sz w:val="18"/>
                <w:szCs w:val="18"/>
              </w:rPr>
              <w:t>115,563,328</w:t>
            </w:r>
          </w:p>
        </w:tc>
        <w:tc>
          <w:tcPr>
            <w:tcW w:w="750" w:type="dxa"/>
            <w:vMerge/>
            <w:tcBorders>
              <w:top w:val="nil"/>
              <w:left w:val="single" w:sz="4" w:space="0" w:color="auto"/>
              <w:bottom w:val="single" w:sz="4" w:space="0" w:color="000000"/>
              <w:right w:val="single" w:sz="4" w:space="0" w:color="auto"/>
            </w:tcBorders>
            <w:vAlign w:val="center"/>
            <w:hideMark/>
          </w:tcPr>
          <w:p w:rsidR="003F03A1" w:rsidRPr="00A32546" w:rsidRDefault="003F03A1" w:rsidP="004633A4">
            <w:pPr>
              <w:spacing w:after="0" w:line="240" w:lineRule="auto"/>
              <w:rPr>
                <w:rFonts w:ascii="Times New Roman" w:eastAsia="Times New Roman" w:hAnsi="Times New Roman" w:cs="Times New Roman"/>
                <w:color w:val="000000"/>
                <w:sz w:val="20"/>
                <w:szCs w:val="20"/>
              </w:rPr>
            </w:pPr>
          </w:p>
        </w:tc>
      </w:tr>
    </w:tbl>
    <w:p w:rsidR="003F03A1" w:rsidRDefault="003F03A1" w:rsidP="006312DF">
      <w:pPr>
        <w:spacing w:after="0"/>
        <w:contextualSpacing/>
        <w:jc w:val="center"/>
        <w:rPr>
          <w:rFonts w:ascii="Times New Roman" w:hAnsi="Times New Roman" w:cs="Times New Roman"/>
          <w:b/>
          <w:szCs w:val="24"/>
        </w:rPr>
      </w:pPr>
    </w:p>
    <w:p w:rsidR="003F03A1" w:rsidRDefault="003F03A1" w:rsidP="003F03A1">
      <w:pPr>
        <w:spacing w:after="0"/>
        <w:contextualSpacing/>
        <w:jc w:val="center"/>
        <w:rPr>
          <w:rFonts w:ascii="Times New Roman" w:hAnsi="Times New Roman" w:cs="Times New Roman"/>
          <w:b/>
          <w:szCs w:val="24"/>
        </w:rPr>
      </w:pPr>
      <w:r>
        <w:rPr>
          <w:rFonts w:ascii="Times New Roman" w:hAnsi="Times New Roman" w:cs="Times New Roman"/>
          <w:szCs w:val="24"/>
        </w:rPr>
        <w:t>4</w:t>
      </w:r>
      <w:r w:rsidRPr="004D5C99">
        <w:rPr>
          <w:rFonts w:ascii="Times New Roman" w:hAnsi="Times New Roman" w:cs="Times New Roman"/>
          <w:szCs w:val="24"/>
        </w:rPr>
        <w:t xml:space="preserve"> lentelė.</w:t>
      </w:r>
      <w:r w:rsidRPr="004D5C99">
        <w:rPr>
          <w:rFonts w:ascii="Times New Roman" w:hAnsi="Times New Roman" w:cs="Times New Roman"/>
          <w:b/>
          <w:szCs w:val="24"/>
        </w:rPr>
        <w:t xml:space="preserve"> </w:t>
      </w:r>
      <w:r>
        <w:rPr>
          <w:rFonts w:ascii="Times New Roman" w:hAnsi="Times New Roman" w:cs="Times New Roman"/>
          <w:b/>
          <w:szCs w:val="24"/>
        </w:rPr>
        <w:t>UAB “Autoverslas” finansinių santykinių rodiklių skaičiavimas</w:t>
      </w:r>
    </w:p>
    <w:tbl>
      <w:tblPr>
        <w:tblW w:w="9680" w:type="dxa"/>
        <w:tblInd w:w="93" w:type="dxa"/>
        <w:tblLook w:val="04A0"/>
      </w:tblPr>
      <w:tblGrid>
        <w:gridCol w:w="2120"/>
        <w:gridCol w:w="1840"/>
        <w:gridCol w:w="723"/>
        <w:gridCol w:w="1840"/>
        <w:gridCol w:w="723"/>
        <w:gridCol w:w="1840"/>
        <w:gridCol w:w="723"/>
      </w:tblGrid>
      <w:tr w:rsidR="00E75AAE" w:rsidRPr="0045200C" w:rsidTr="004633A4">
        <w:trPr>
          <w:trHeight w:val="300"/>
        </w:trPr>
        <w:tc>
          <w:tcPr>
            <w:tcW w:w="2120"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E75AAE" w:rsidRPr="0045200C" w:rsidRDefault="00E75AAE" w:rsidP="004633A4">
            <w:pPr>
              <w:spacing w:after="0" w:line="240" w:lineRule="auto"/>
              <w:jc w:val="center"/>
              <w:rPr>
                <w:rFonts w:ascii="Times New Roman" w:eastAsia="Times New Roman" w:hAnsi="Times New Roman" w:cs="Times New Roman"/>
                <w:b/>
                <w:bCs/>
                <w:sz w:val="20"/>
                <w:szCs w:val="20"/>
              </w:rPr>
            </w:pPr>
            <w:r w:rsidRPr="0045200C">
              <w:rPr>
                <w:rFonts w:ascii="Times New Roman" w:eastAsia="Times New Roman" w:hAnsi="Times New Roman" w:cs="Times New Roman"/>
                <w:b/>
                <w:bCs/>
                <w:sz w:val="20"/>
                <w:szCs w:val="20"/>
              </w:rPr>
              <w:t>Santykiniai rodikliai</w:t>
            </w:r>
          </w:p>
        </w:tc>
        <w:tc>
          <w:tcPr>
            <w:tcW w:w="1840" w:type="dxa"/>
            <w:tcBorders>
              <w:top w:val="single" w:sz="4" w:space="0" w:color="auto"/>
              <w:left w:val="nil"/>
              <w:bottom w:val="single" w:sz="4" w:space="0" w:color="auto"/>
              <w:right w:val="single" w:sz="4" w:space="0" w:color="auto"/>
            </w:tcBorders>
            <w:shd w:val="clear" w:color="000000" w:fill="FCD5B4"/>
            <w:noWrap/>
            <w:vAlign w:val="center"/>
            <w:hideMark/>
          </w:tcPr>
          <w:p w:rsidR="00E75AAE" w:rsidRPr="0045200C" w:rsidRDefault="00E75AAE" w:rsidP="004633A4">
            <w:pPr>
              <w:spacing w:after="0" w:line="240" w:lineRule="auto"/>
              <w:jc w:val="center"/>
              <w:rPr>
                <w:rFonts w:ascii="Times New Roman" w:eastAsia="Times New Roman" w:hAnsi="Times New Roman" w:cs="Times New Roman"/>
                <w:b/>
                <w:bCs/>
                <w:sz w:val="20"/>
                <w:szCs w:val="20"/>
              </w:rPr>
            </w:pPr>
            <w:r w:rsidRPr="0045200C">
              <w:rPr>
                <w:rFonts w:ascii="Times New Roman" w:eastAsia="Times New Roman" w:hAnsi="Times New Roman" w:cs="Times New Roman"/>
                <w:b/>
                <w:bCs/>
                <w:sz w:val="20"/>
                <w:szCs w:val="20"/>
              </w:rPr>
              <w:t> </w:t>
            </w:r>
          </w:p>
        </w:tc>
        <w:tc>
          <w:tcPr>
            <w:tcW w:w="680" w:type="dxa"/>
            <w:tcBorders>
              <w:top w:val="single" w:sz="4" w:space="0" w:color="auto"/>
              <w:left w:val="nil"/>
              <w:bottom w:val="single" w:sz="4" w:space="0" w:color="auto"/>
              <w:right w:val="single" w:sz="4" w:space="0" w:color="auto"/>
            </w:tcBorders>
            <w:shd w:val="clear" w:color="000000" w:fill="FCD5B4"/>
            <w:noWrap/>
            <w:vAlign w:val="center"/>
            <w:hideMark/>
          </w:tcPr>
          <w:p w:rsidR="00E75AAE" w:rsidRPr="0045200C" w:rsidRDefault="00E75AAE" w:rsidP="004633A4">
            <w:pPr>
              <w:spacing w:after="0" w:line="240" w:lineRule="auto"/>
              <w:jc w:val="center"/>
              <w:rPr>
                <w:rFonts w:ascii="Times New Roman" w:eastAsia="Times New Roman" w:hAnsi="Times New Roman" w:cs="Times New Roman"/>
                <w:b/>
                <w:bCs/>
                <w:sz w:val="20"/>
                <w:szCs w:val="20"/>
              </w:rPr>
            </w:pPr>
            <w:r w:rsidRPr="0045200C">
              <w:rPr>
                <w:rFonts w:ascii="Times New Roman" w:eastAsia="Times New Roman" w:hAnsi="Times New Roman" w:cs="Times New Roman"/>
                <w:b/>
                <w:bCs/>
                <w:sz w:val="20"/>
                <w:szCs w:val="20"/>
              </w:rPr>
              <w:t>2008</w:t>
            </w:r>
          </w:p>
        </w:tc>
        <w:tc>
          <w:tcPr>
            <w:tcW w:w="1840" w:type="dxa"/>
            <w:tcBorders>
              <w:top w:val="single" w:sz="4" w:space="0" w:color="auto"/>
              <w:left w:val="nil"/>
              <w:bottom w:val="single" w:sz="4" w:space="0" w:color="auto"/>
              <w:right w:val="single" w:sz="4" w:space="0" w:color="auto"/>
            </w:tcBorders>
            <w:shd w:val="clear" w:color="000000" w:fill="FCD5B4"/>
            <w:noWrap/>
            <w:vAlign w:val="center"/>
            <w:hideMark/>
          </w:tcPr>
          <w:p w:rsidR="00E75AAE" w:rsidRPr="0045200C" w:rsidRDefault="00E75AAE" w:rsidP="004633A4">
            <w:pPr>
              <w:spacing w:after="0" w:line="240" w:lineRule="auto"/>
              <w:jc w:val="center"/>
              <w:rPr>
                <w:rFonts w:ascii="Times New Roman" w:eastAsia="Times New Roman" w:hAnsi="Times New Roman" w:cs="Times New Roman"/>
                <w:b/>
                <w:bCs/>
                <w:sz w:val="20"/>
                <w:szCs w:val="20"/>
              </w:rPr>
            </w:pPr>
            <w:r w:rsidRPr="0045200C">
              <w:rPr>
                <w:rFonts w:ascii="Times New Roman" w:eastAsia="Times New Roman" w:hAnsi="Times New Roman" w:cs="Times New Roman"/>
                <w:b/>
                <w:bCs/>
                <w:sz w:val="20"/>
                <w:szCs w:val="20"/>
              </w:rPr>
              <w:t> </w:t>
            </w:r>
          </w:p>
        </w:tc>
        <w:tc>
          <w:tcPr>
            <w:tcW w:w="680" w:type="dxa"/>
            <w:tcBorders>
              <w:top w:val="single" w:sz="4" w:space="0" w:color="auto"/>
              <w:left w:val="nil"/>
              <w:bottom w:val="single" w:sz="4" w:space="0" w:color="auto"/>
              <w:right w:val="single" w:sz="4" w:space="0" w:color="auto"/>
            </w:tcBorders>
            <w:shd w:val="clear" w:color="000000" w:fill="FCD5B4"/>
            <w:noWrap/>
            <w:vAlign w:val="center"/>
            <w:hideMark/>
          </w:tcPr>
          <w:p w:rsidR="00E75AAE" w:rsidRPr="0045200C" w:rsidRDefault="00E75AAE" w:rsidP="004633A4">
            <w:pPr>
              <w:spacing w:after="0" w:line="240" w:lineRule="auto"/>
              <w:jc w:val="center"/>
              <w:rPr>
                <w:rFonts w:ascii="Times New Roman" w:eastAsia="Times New Roman" w:hAnsi="Times New Roman" w:cs="Times New Roman"/>
                <w:b/>
                <w:bCs/>
                <w:sz w:val="20"/>
                <w:szCs w:val="20"/>
              </w:rPr>
            </w:pPr>
            <w:r w:rsidRPr="0045200C">
              <w:rPr>
                <w:rFonts w:ascii="Times New Roman" w:eastAsia="Times New Roman" w:hAnsi="Times New Roman" w:cs="Times New Roman"/>
                <w:b/>
                <w:bCs/>
                <w:sz w:val="20"/>
                <w:szCs w:val="20"/>
              </w:rPr>
              <w:t>2009</w:t>
            </w:r>
          </w:p>
        </w:tc>
        <w:tc>
          <w:tcPr>
            <w:tcW w:w="1840" w:type="dxa"/>
            <w:tcBorders>
              <w:top w:val="single" w:sz="4" w:space="0" w:color="auto"/>
              <w:left w:val="nil"/>
              <w:bottom w:val="single" w:sz="4" w:space="0" w:color="auto"/>
              <w:right w:val="single" w:sz="4" w:space="0" w:color="auto"/>
            </w:tcBorders>
            <w:shd w:val="clear" w:color="000000" w:fill="FCD5B4"/>
            <w:noWrap/>
            <w:vAlign w:val="center"/>
            <w:hideMark/>
          </w:tcPr>
          <w:p w:rsidR="00E75AAE" w:rsidRPr="0045200C" w:rsidRDefault="00E75AAE" w:rsidP="004633A4">
            <w:pPr>
              <w:spacing w:after="0" w:line="240" w:lineRule="auto"/>
              <w:jc w:val="center"/>
              <w:rPr>
                <w:rFonts w:ascii="Times New Roman" w:eastAsia="Times New Roman" w:hAnsi="Times New Roman" w:cs="Times New Roman"/>
                <w:b/>
                <w:bCs/>
                <w:sz w:val="20"/>
                <w:szCs w:val="20"/>
              </w:rPr>
            </w:pPr>
            <w:r w:rsidRPr="0045200C">
              <w:rPr>
                <w:rFonts w:ascii="Times New Roman" w:eastAsia="Times New Roman" w:hAnsi="Times New Roman" w:cs="Times New Roman"/>
                <w:b/>
                <w:bCs/>
                <w:sz w:val="20"/>
                <w:szCs w:val="20"/>
              </w:rPr>
              <w:t> </w:t>
            </w:r>
          </w:p>
        </w:tc>
        <w:tc>
          <w:tcPr>
            <w:tcW w:w="680" w:type="dxa"/>
            <w:tcBorders>
              <w:top w:val="single" w:sz="4" w:space="0" w:color="auto"/>
              <w:left w:val="nil"/>
              <w:bottom w:val="single" w:sz="4" w:space="0" w:color="auto"/>
              <w:right w:val="single" w:sz="4" w:space="0" w:color="auto"/>
            </w:tcBorders>
            <w:shd w:val="clear" w:color="000000" w:fill="FCD5B4"/>
            <w:noWrap/>
            <w:vAlign w:val="center"/>
            <w:hideMark/>
          </w:tcPr>
          <w:p w:rsidR="00E75AAE" w:rsidRPr="0045200C" w:rsidRDefault="00E75AAE" w:rsidP="004633A4">
            <w:pPr>
              <w:spacing w:after="0" w:line="240" w:lineRule="auto"/>
              <w:jc w:val="center"/>
              <w:rPr>
                <w:rFonts w:ascii="Times New Roman" w:eastAsia="Times New Roman" w:hAnsi="Times New Roman" w:cs="Times New Roman"/>
                <w:b/>
                <w:bCs/>
                <w:sz w:val="20"/>
                <w:szCs w:val="20"/>
              </w:rPr>
            </w:pPr>
            <w:r w:rsidRPr="0045200C">
              <w:rPr>
                <w:rFonts w:ascii="Times New Roman" w:eastAsia="Times New Roman" w:hAnsi="Times New Roman" w:cs="Times New Roman"/>
                <w:b/>
                <w:bCs/>
                <w:sz w:val="20"/>
                <w:szCs w:val="20"/>
              </w:rPr>
              <w:t>2010</w:t>
            </w:r>
          </w:p>
        </w:tc>
      </w:tr>
      <w:tr w:rsidR="00E75AAE" w:rsidRPr="0045200C" w:rsidTr="004633A4">
        <w:trPr>
          <w:trHeight w:val="510"/>
        </w:trPr>
        <w:tc>
          <w:tcPr>
            <w:tcW w:w="2120" w:type="dxa"/>
            <w:vMerge w:val="restart"/>
            <w:tcBorders>
              <w:top w:val="nil"/>
              <w:left w:val="single" w:sz="4" w:space="0" w:color="auto"/>
              <w:bottom w:val="single" w:sz="4" w:space="0" w:color="auto"/>
              <w:right w:val="single" w:sz="4" w:space="0" w:color="auto"/>
            </w:tcBorders>
            <w:shd w:val="clear" w:color="000000" w:fill="FDE9D9"/>
            <w:vAlign w:val="center"/>
            <w:hideMark/>
          </w:tcPr>
          <w:p w:rsidR="00E75AAE" w:rsidRPr="0045200C" w:rsidRDefault="00E75AAE" w:rsidP="004633A4">
            <w:pPr>
              <w:spacing w:after="0" w:line="240" w:lineRule="auto"/>
              <w:jc w:val="center"/>
              <w:rPr>
                <w:rFonts w:ascii="Times New Roman" w:eastAsia="Times New Roman" w:hAnsi="Times New Roman" w:cs="Times New Roman"/>
                <w:i/>
                <w:iCs/>
                <w:sz w:val="20"/>
                <w:szCs w:val="20"/>
              </w:rPr>
            </w:pPr>
            <w:r w:rsidRPr="0045200C">
              <w:rPr>
                <w:rFonts w:ascii="Times New Roman" w:eastAsia="Times New Roman" w:hAnsi="Times New Roman" w:cs="Times New Roman"/>
                <w:i/>
                <w:iCs/>
                <w:sz w:val="20"/>
                <w:szCs w:val="20"/>
              </w:rPr>
              <w:t>Bendrasis trumpalaikio mokumo koeficientas</w:t>
            </w:r>
          </w:p>
        </w:tc>
        <w:tc>
          <w:tcPr>
            <w:tcW w:w="1840" w:type="dxa"/>
            <w:tcBorders>
              <w:top w:val="nil"/>
              <w:left w:val="nil"/>
              <w:bottom w:val="single" w:sz="4" w:space="0" w:color="auto"/>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2,641,699</w:t>
            </w:r>
          </w:p>
        </w:tc>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=0.833</w:t>
            </w:r>
          </w:p>
        </w:tc>
        <w:tc>
          <w:tcPr>
            <w:tcW w:w="1840" w:type="dxa"/>
            <w:tcBorders>
              <w:top w:val="nil"/>
              <w:left w:val="nil"/>
              <w:bottom w:val="single" w:sz="4" w:space="0" w:color="auto"/>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4,576,707</w:t>
            </w:r>
          </w:p>
        </w:tc>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=1.683</w:t>
            </w:r>
          </w:p>
        </w:tc>
        <w:tc>
          <w:tcPr>
            <w:tcW w:w="1840" w:type="dxa"/>
            <w:tcBorders>
              <w:top w:val="nil"/>
              <w:left w:val="nil"/>
              <w:bottom w:val="single" w:sz="4" w:space="0" w:color="auto"/>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4,141,643</w:t>
            </w:r>
          </w:p>
        </w:tc>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=2.685</w:t>
            </w:r>
          </w:p>
        </w:tc>
      </w:tr>
      <w:tr w:rsidR="00E75AAE" w:rsidRPr="0045200C" w:rsidTr="004633A4">
        <w:trPr>
          <w:trHeight w:val="300"/>
        </w:trPr>
        <w:tc>
          <w:tcPr>
            <w:tcW w:w="2120" w:type="dxa"/>
            <w:vMerge/>
            <w:tcBorders>
              <w:top w:val="nil"/>
              <w:left w:val="single" w:sz="4" w:space="0" w:color="auto"/>
              <w:bottom w:val="single" w:sz="4" w:space="0" w:color="auto"/>
              <w:right w:val="single" w:sz="4" w:space="0" w:color="auto"/>
            </w:tcBorders>
            <w:vAlign w:val="center"/>
            <w:hideMark/>
          </w:tcPr>
          <w:p w:rsidR="00E75AAE" w:rsidRPr="0045200C" w:rsidRDefault="00E75AAE" w:rsidP="004633A4">
            <w:pPr>
              <w:spacing w:after="0" w:line="240" w:lineRule="auto"/>
              <w:rPr>
                <w:rFonts w:ascii="Times New Roman" w:eastAsia="Times New Roman" w:hAnsi="Times New Roman" w:cs="Times New Roman"/>
                <w:i/>
                <w:iCs/>
                <w:sz w:val="20"/>
                <w:szCs w:val="20"/>
              </w:rPr>
            </w:pPr>
          </w:p>
        </w:tc>
        <w:tc>
          <w:tcPr>
            <w:tcW w:w="1840" w:type="dxa"/>
            <w:tcBorders>
              <w:top w:val="nil"/>
              <w:left w:val="nil"/>
              <w:bottom w:val="single" w:sz="4" w:space="0" w:color="auto"/>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3,172,399</w:t>
            </w:r>
          </w:p>
        </w:tc>
        <w:tc>
          <w:tcPr>
            <w:tcW w:w="680" w:type="dxa"/>
            <w:vMerge/>
            <w:tcBorders>
              <w:top w:val="nil"/>
              <w:left w:val="single" w:sz="4" w:space="0" w:color="auto"/>
              <w:bottom w:val="single" w:sz="4" w:space="0" w:color="000000"/>
              <w:right w:val="single" w:sz="4" w:space="0" w:color="auto"/>
            </w:tcBorders>
            <w:vAlign w:val="center"/>
            <w:hideMark/>
          </w:tcPr>
          <w:p w:rsidR="00E75AAE" w:rsidRPr="00E75AAE" w:rsidRDefault="00E75AAE" w:rsidP="004633A4">
            <w:pPr>
              <w:spacing w:after="0" w:line="240" w:lineRule="auto"/>
              <w:rPr>
                <w:rFonts w:ascii="Times New Roman" w:eastAsia="Times New Roman" w:hAnsi="Times New Roman" w:cs="Times New Roman"/>
                <w:color w:val="000000"/>
                <w:sz w:val="18"/>
                <w:szCs w:val="18"/>
              </w:rPr>
            </w:pPr>
          </w:p>
        </w:tc>
        <w:tc>
          <w:tcPr>
            <w:tcW w:w="1840" w:type="dxa"/>
            <w:tcBorders>
              <w:top w:val="nil"/>
              <w:left w:val="nil"/>
              <w:bottom w:val="single" w:sz="4" w:space="0" w:color="auto"/>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2,719,114</w:t>
            </w:r>
          </w:p>
        </w:tc>
        <w:tc>
          <w:tcPr>
            <w:tcW w:w="680" w:type="dxa"/>
            <w:vMerge/>
            <w:tcBorders>
              <w:top w:val="nil"/>
              <w:left w:val="single" w:sz="4" w:space="0" w:color="auto"/>
              <w:bottom w:val="single" w:sz="4" w:space="0" w:color="000000"/>
              <w:right w:val="single" w:sz="4" w:space="0" w:color="auto"/>
            </w:tcBorders>
            <w:vAlign w:val="center"/>
            <w:hideMark/>
          </w:tcPr>
          <w:p w:rsidR="00E75AAE" w:rsidRPr="00E75AAE" w:rsidRDefault="00E75AAE" w:rsidP="004633A4">
            <w:pPr>
              <w:spacing w:after="0" w:line="240" w:lineRule="auto"/>
              <w:rPr>
                <w:rFonts w:ascii="Times New Roman" w:eastAsia="Times New Roman" w:hAnsi="Times New Roman" w:cs="Times New Roman"/>
                <w:color w:val="000000"/>
                <w:sz w:val="18"/>
                <w:szCs w:val="18"/>
              </w:rPr>
            </w:pPr>
          </w:p>
        </w:tc>
        <w:tc>
          <w:tcPr>
            <w:tcW w:w="1840" w:type="dxa"/>
            <w:tcBorders>
              <w:top w:val="nil"/>
              <w:left w:val="nil"/>
              <w:bottom w:val="single" w:sz="4" w:space="0" w:color="auto"/>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1,542,592</w:t>
            </w:r>
          </w:p>
        </w:tc>
        <w:tc>
          <w:tcPr>
            <w:tcW w:w="680" w:type="dxa"/>
            <w:vMerge/>
            <w:tcBorders>
              <w:top w:val="nil"/>
              <w:left w:val="single" w:sz="4" w:space="0" w:color="auto"/>
              <w:bottom w:val="single" w:sz="4" w:space="0" w:color="000000"/>
              <w:right w:val="single" w:sz="4" w:space="0" w:color="auto"/>
            </w:tcBorders>
            <w:vAlign w:val="center"/>
            <w:hideMark/>
          </w:tcPr>
          <w:p w:rsidR="00E75AAE" w:rsidRPr="00E75AAE" w:rsidRDefault="00E75AAE" w:rsidP="004633A4">
            <w:pPr>
              <w:spacing w:after="0" w:line="240" w:lineRule="auto"/>
              <w:rPr>
                <w:rFonts w:ascii="Times New Roman" w:eastAsia="Times New Roman" w:hAnsi="Times New Roman" w:cs="Times New Roman"/>
                <w:color w:val="000000"/>
                <w:sz w:val="18"/>
                <w:szCs w:val="18"/>
              </w:rPr>
            </w:pPr>
          </w:p>
        </w:tc>
      </w:tr>
      <w:tr w:rsidR="00E75AAE" w:rsidRPr="0045200C" w:rsidTr="004633A4">
        <w:trPr>
          <w:trHeight w:val="300"/>
        </w:trPr>
        <w:tc>
          <w:tcPr>
            <w:tcW w:w="2120" w:type="dxa"/>
            <w:vMerge w:val="restart"/>
            <w:tcBorders>
              <w:top w:val="nil"/>
              <w:left w:val="single" w:sz="4" w:space="0" w:color="auto"/>
              <w:bottom w:val="single" w:sz="4" w:space="0" w:color="auto"/>
              <w:right w:val="single" w:sz="4" w:space="0" w:color="auto"/>
            </w:tcBorders>
            <w:shd w:val="clear" w:color="000000" w:fill="FDE9D9"/>
            <w:vAlign w:val="center"/>
            <w:hideMark/>
          </w:tcPr>
          <w:p w:rsidR="00E75AAE" w:rsidRPr="0045200C" w:rsidRDefault="00E75AAE" w:rsidP="004633A4">
            <w:pPr>
              <w:spacing w:after="0" w:line="240" w:lineRule="auto"/>
              <w:jc w:val="center"/>
              <w:rPr>
                <w:rFonts w:ascii="Times New Roman" w:eastAsia="Times New Roman" w:hAnsi="Times New Roman" w:cs="Times New Roman"/>
                <w:i/>
                <w:iCs/>
                <w:sz w:val="20"/>
                <w:szCs w:val="20"/>
              </w:rPr>
            </w:pPr>
            <w:r w:rsidRPr="0045200C">
              <w:rPr>
                <w:rFonts w:ascii="Times New Roman" w:eastAsia="Times New Roman" w:hAnsi="Times New Roman" w:cs="Times New Roman"/>
                <w:i/>
                <w:iCs/>
                <w:sz w:val="20"/>
                <w:szCs w:val="20"/>
              </w:rPr>
              <w:t>Greitojo trumpalaikio mokumo koeficientas</w:t>
            </w:r>
          </w:p>
        </w:tc>
        <w:tc>
          <w:tcPr>
            <w:tcW w:w="1840" w:type="dxa"/>
            <w:tcBorders>
              <w:top w:val="nil"/>
              <w:left w:val="nil"/>
              <w:bottom w:val="single" w:sz="4" w:space="0" w:color="auto"/>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2,641,699-141,393</w:t>
            </w:r>
          </w:p>
        </w:tc>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=0.788</w:t>
            </w:r>
          </w:p>
        </w:tc>
        <w:tc>
          <w:tcPr>
            <w:tcW w:w="1840" w:type="dxa"/>
            <w:tcBorders>
              <w:top w:val="nil"/>
              <w:left w:val="nil"/>
              <w:bottom w:val="single" w:sz="4" w:space="0" w:color="auto"/>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4,576,707-123,014</w:t>
            </w:r>
          </w:p>
        </w:tc>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=1.638</w:t>
            </w:r>
          </w:p>
        </w:tc>
        <w:tc>
          <w:tcPr>
            <w:tcW w:w="1840" w:type="dxa"/>
            <w:tcBorders>
              <w:top w:val="nil"/>
              <w:left w:val="nil"/>
              <w:bottom w:val="single" w:sz="4" w:space="0" w:color="auto"/>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4,141,643-113,274</w:t>
            </w:r>
          </w:p>
        </w:tc>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=2.611</w:t>
            </w:r>
          </w:p>
        </w:tc>
      </w:tr>
      <w:tr w:rsidR="00E75AAE" w:rsidRPr="0045200C" w:rsidTr="004633A4">
        <w:trPr>
          <w:trHeight w:val="300"/>
        </w:trPr>
        <w:tc>
          <w:tcPr>
            <w:tcW w:w="2120" w:type="dxa"/>
            <w:vMerge/>
            <w:tcBorders>
              <w:top w:val="nil"/>
              <w:left w:val="single" w:sz="4" w:space="0" w:color="auto"/>
              <w:bottom w:val="single" w:sz="4" w:space="0" w:color="auto"/>
              <w:right w:val="single" w:sz="4" w:space="0" w:color="auto"/>
            </w:tcBorders>
            <w:vAlign w:val="center"/>
            <w:hideMark/>
          </w:tcPr>
          <w:p w:rsidR="00E75AAE" w:rsidRPr="0045200C" w:rsidRDefault="00E75AAE" w:rsidP="004633A4">
            <w:pPr>
              <w:spacing w:after="0" w:line="240" w:lineRule="auto"/>
              <w:rPr>
                <w:rFonts w:ascii="Times New Roman" w:eastAsia="Times New Roman" w:hAnsi="Times New Roman" w:cs="Times New Roman"/>
                <w:i/>
                <w:iCs/>
                <w:sz w:val="20"/>
                <w:szCs w:val="20"/>
              </w:rPr>
            </w:pPr>
          </w:p>
        </w:tc>
        <w:tc>
          <w:tcPr>
            <w:tcW w:w="1840" w:type="dxa"/>
            <w:tcBorders>
              <w:top w:val="nil"/>
              <w:left w:val="nil"/>
              <w:bottom w:val="single" w:sz="4" w:space="0" w:color="auto"/>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3,172,399</w:t>
            </w:r>
          </w:p>
        </w:tc>
        <w:tc>
          <w:tcPr>
            <w:tcW w:w="680" w:type="dxa"/>
            <w:vMerge/>
            <w:tcBorders>
              <w:top w:val="nil"/>
              <w:left w:val="single" w:sz="4" w:space="0" w:color="auto"/>
              <w:bottom w:val="single" w:sz="4" w:space="0" w:color="000000"/>
              <w:right w:val="single" w:sz="4" w:space="0" w:color="auto"/>
            </w:tcBorders>
            <w:vAlign w:val="center"/>
            <w:hideMark/>
          </w:tcPr>
          <w:p w:rsidR="00E75AAE" w:rsidRPr="00E75AAE" w:rsidRDefault="00E75AAE" w:rsidP="004633A4">
            <w:pPr>
              <w:spacing w:after="0" w:line="240" w:lineRule="auto"/>
              <w:rPr>
                <w:rFonts w:ascii="Times New Roman" w:eastAsia="Times New Roman" w:hAnsi="Times New Roman" w:cs="Times New Roman"/>
                <w:color w:val="000000"/>
                <w:sz w:val="18"/>
                <w:szCs w:val="18"/>
              </w:rPr>
            </w:pPr>
          </w:p>
        </w:tc>
        <w:tc>
          <w:tcPr>
            <w:tcW w:w="1840" w:type="dxa"/>
            <w:tcBorders>
              <w:top w:val="nil"/>
              <w:left w:val="nil"/>
              <w:bottom w:val="single" w:sz="4" w:space="0" w:color="auto"/>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2,719,114</w:t>
            </w:r>
          </w:p>
        </w:tc>
        <w:tc>
          <w:tcPr>
            <w:tcW w:w="680" w:type="dxa"/>
            <w:vMerge/>
            <w:tcBorders>
              <w:top w:val="nil"/>
              <w:left w:val="single" w:sz="4" w:space="0" w:color="auto"/>
              <w:bottom w:val="single" w:sz="4" w:space="0" w:color="000000"/>
              <w:right w:val="single" w:sz="4" w:space="0" w:color="auto"/>
            </w:tcBorders>
            <w:vAlign w:val="center"/>
            <w:hideMark/>
          </w:tcPr>
          <w:p w:rsidR="00E75AAE" w:rsidRPr="00E75AAE" w:rsidRDefault="00E75AAE" w:rsidP="004633A4">
            <w:pPr>
              <w:spacing w:after="0" w:line="240" w:lineRule="auto"/>
              <w:rPr>
                <w:rFonts w:ascii="Times New Roman" w:eastAsia="Times New Roman" w:hAnsi="Times New Roman" w:cs="Times New Roman"/>
                <w:color w:val="000000"/>
                <w:sz w:val="18"/>
                <w:szCs w:val="18"/>
              </w:rPr>
            </w:pPr>
          </w:p>
        </w:tc>
        <w:tc>
          <w:tcPr>
            <w:tcW w:w="1840" w:type="dxa"/>
            <w:tcBorders>
              <w:top w:val="nil"/>
              <w:left w:val="nil"/>
              <w:bottom w:val="single" w:sz="4" w:space="0" w:color="auto"/>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1,542,592</w:t>
            </w:r>
          </w:p>
        </w:tc>
        <w:tc>
          <w:tcPr>
            <w:tcW w:w="680" w:type="dxa"/>
            <w:vMerge/>
            <w:tcBorders>
              <w:top w:val="nil"/>
              <w:left w:val="single" w:sz="4" w:space="0" w:color="auto"/>
              <w:bottom w:val="single" w:sz="4" w:space="0" w:color="000000"/>
              <w:right w:val="single" w:sz="4" w:space="0" w:color="auto"/>
            </w:tcBorders>
            <w:vAlign w:val="center"/>
            <w:hideMark/>
          </w:tcPr>
          <w:p w:rsidR="00E75AAE" w:rsidRPr="00E75AAE" w:rsidRDefault="00E75AAE" w:rsidP="004633A4">
            <w:pPr>
              <w:spacing w:after="0" w:line="240" w:lineRule="auto"/>
              <w:rPr>
                <w:rFonts w:ascii="Times New Roman" w:eastAsia="Times New Roman" w:hAnsi="Times New Roman" w:cs="Times New Roman"/>
                <w:color w:val="000000"/>
                <w:sz w:val="18"/>
                <w:szCs w:val="18"/>
              </w:rPr>
            </w:pPr>
          </w:p>
        </w:tc>
      </w:tr>
      <w:tr w:rsidR="00E75AAE" w:rsidRPr="0045200C" w:rsidTr="004633A4">
        <w:trPr>
          <w:trHeight w:val="300"/>
        </w:trPr>
        <w:tc>
          <w:tcPr>
            <w:tcW w:w="2120" w:type="dxa"/>
            <w:vMerge w:val="restart"/>
            <w:tcBorders>
              <w:top w:val="nil"/>
              <w:left w:val="single" w:sz="4" w:space="0" w:color="auto"/>
              <w:bottom w:val="single" w:sz="4" w:space="0" w:color="auto"/>
              <w:right w:val="single" w:sz="4" w:space="0" w:color="auto"/>
            </w:tcBorders>
            <w:shd w:val="clear" w:color="000000" w:fill="FDE9D9"/>
            <w:vAlign w:val="center"/>
            <w:hideMark/>
          </w:tcPr>
          <w:p w:rsidR="00E75AAE" w:rsidRPr="0045200C" w:rsidRDefault="00E75AAE" w:rsidP="004633A4">
            <w:pPr>
              <w:spacing w:after="0" w:line="240" w:lineRule="auto"/>
              <w:jc w:val="center"/>
              <w:rPr>
                <w:rFonts w:ascii="Times New Roman" w:eastAsia="Times New Roman" w:hAnsi="Times New Roman" w:cs="Times New Roman"/>
                <w:i/>
                <w:iCs/>
                <w:sz w:val="20"/>
                <w:szCs w:val="20"/>
              </w:rPr>
            </w:pPr>
            <w:r w:rsidRPr="0045200C">
              <w:rPr>
                <w:rFonts w:ascii="Times New Roman" w:eastAsia="Times New Roman" w:hAnsi="Times New Roman" w:cs="Times New Roman"/>
                <w:i/>
                <w:iCs/>
                <w:sz w:val="20"/>
                <w:szCs w:val="20"/>
              </w:rPr>
              <w:t>Bendrasis skolos koeficientas</w:t>
            </w:r>
          </w:p>
        </w:tc>
        <w:tc>
          <w:tcPr>
            <w:tcW w:w="1840" w:type="dxa"/>
            <w:tcBorders>
              <w:top w:val="nil"/>
              <w:left w:val="nil"/>
              <w:bottom w:val="single" w:sz="4" w:space="0" w:color="auto"/>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10,543,402</w:t>
            </w:r>
          </w:p>
        </w:tc>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=0.609</w:t>
            </w:r>
          </w:p>
        </w:tc>
        <w:tc>
          <w:tcPr>
            <w:tcW w:w="1840" w:type="dxa"/>
            <w:tcBorders>
              <w:top w:val="nil"/>
              <w:left w:val="nil"/>
              <w:bottom w:val="single" w:sz="4" w:space="0" w:color="auto"/>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12,337,871</w:t>
            </w:r>
          </w:p>
        </w:tc>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=0.647</w:t>
            </w:r>
          </w:p>
        </w:tc>
        <w:tc>
          <w:tcPr>
            <w:tcW w:w="1840" w:type="dxa"/>
            <w:tcBorders>
              <w:top w:val="nil"/>
              <w:left w:val="nil"/>
              <w:bottom w:val="single" w:sz="4" w:space="0" w:color="auto"/>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12,185,339</w:t>
            </w:r>
          </w:p>
        </w:tc>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=0.598</w:t>
            </w:r>
          </w:p>
        </w:tc>
      </w:tr>
      <w:tr w:rsidR="00E75AAE" w:rsidRPr="0045200C" w:rsidTr="004633A4">
        <w:trPr>
          <w:trHeight w:val="300"/>
        </w:trPr>
        <w:tc>
          <w:tcPr>
            <w:tcW w:w="2120" w:type="dxa"/>
            <w:vMerge/>
            <w:tcBorders>
              <w:top w:val="nil"/>
              <w:left w:val="single" w:sz="4" w:space="0" w:color="auto"/>
              <w:bottom w:val="single" w:sz="4" w:space="0" w:color="auto"/>
              <w:right w:val="single" w:sz="4" w:space="0" w:color="auto"/>
            </w:tcBorders>
            <w:vAlign w:val="center"/>
            <w:hideMark/>
          </w:tcPr>
          <w:p w:rsidR="00E75AAE" w:rsidRPr="0045200C" w:rsidRDefault="00E75AAE" w:rsidP="004633A4">
            <w:pPr>
              <w:spacing w:after="0" w:line="240" w:lineRule="auto"/>
              <w:rPr>
                <w:rFonts w:ascii="Times New Roman" w:eastAsia="Times New Roman" w:hAnsi="Times New Roman" w:cs="Times New Roman"/>
                <w:i/>
                <w:iCs/>
                <w:sz w:val="20"/>
                <w:szCs w:val="20"/>
              </w:rPr>
            </w:pPr>
          </w:p>
        </w:tc>
        <w:tc>
          <w:tcPr>
            <w:tcW w:w="1840" w:type="dxa"/>
            <w:tcBorders>
              <w:top w:val="nil"/>
              <w:left w:val="nil"/>
              <w:bottom w:val="single" w:sz="4" w:space="0" w:color="auto"/>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3,243,869+3,172,399</w:t>
            </w:r>
          </w:p>
        </w:tc>
        <w:tc>
          <w:tcPr>
            <w:tcW w:w="680" w:type="dxa"/>
            <w:vMerge/>
            <w:tcBorders>
              <w:top w:val="nil"/>
              <w:left w:val="single" w:sz="4" w:space="0" w:color="auto"/>
              <w:bottom w:val="single" w:sz="4" w:space="0" w:color="000000"/>
              <w:right w:val="single" w:sz="4" w:space="0" w:color="auto"/>
            </w:tcBorders>
            <w:vAlign w:val="center"/>
            <w:hideMark/>
          </w:tcPr>
          <w:p w:rsidR="00E75AAE" w:rsidRPr="00E75AAE" w:rsidRDefault="00E75AAE" w:rsidP="004633A4">
            <w:pPr>
              <w:spacing w:after="0" w:line="240" w:lineRule="auto"/>
              <w:rPr>
                <w:rFonts w:ascii="Times New Roman" w:eastAsia="Times New Roman" w:hAnsi="Times New Roman" w:cs="Times New Roman"/>
                <w:color w:val="000000"/>
                <w:sz w:val="18"/>
                <w:szCs w:val="18"/>
              </w:rPr>
            </w:pPr>
          </w:p>
        </w:tc>
        <w:tc>
          <w:tcPr>
            <w:tcW w:w="1840" w:type="dxa"/>
            <w:tcBorders>
              <w:top w:val="nil"/>
              <w:left w:val="nil"/>
              <w:bottom w:val="single" w:sz="4" w:space="0" w:color="auto"/>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5,258,113+2,719,114</w:t>
            </w:r>
          </w:p>
        </w:tc>
        <w:tc>
          <w:tcPr>
            <w:tcW w:w="680" w:type="dxa"/>
            <w:vMerge/>
            <w:tcBorders>
              <w:top w:val="nil"/>
              <w:left w:val="single" w:sz="4" w:space="0" w:color="auto"/>
              <w:bottom w:val="single" w:sz="4" w:space="0" w:color="000000"/>
              <w:right w:val="single" w:sz="4" w:space="0" w:color="auto"/>
            </w:tcBorders>
            <w:vAlign w:val="center"/>
            <w:hideMark/>
          </w:tcPr>
          <w:p w:rsidR="00E75AAE" w:rsidRPr="00E75AAE" w:rsidRDefault="00E75AAE" w:rsidP="004633A4">
            <w:pPr>
              <w:spacing w:after="0" w:line="240" w:lineRule="auto"/>
              <w:rPr>
                <w:rFonts w:ascii="Times New Roman" w:eastAsia="Times New Roman" w:hAnsi="Times New Roman" w:cs="Times New Roman"/>
                <w:color w:val="000000"/>
                <w:sz w:val="18"/>
                <w:szCs w:val="18"/>
              </w:rPr>
            </w:pPr>
          </w:p>
        </w:tc>
        <w:tc>
          <w:tcPr>
            <w:tcW w:w="1840" w:type="dxa"/>
            <w:tcBorders>
              <w:top w:val="nil"/>
              <w:left w:val="nil"/>
              <w:bottom w:val="single" w:sz="4" w:space="0" w:color="auto"/>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5,745,421+1,542,592</w:t>
            </w:r>
          </w:p>
        </w:tc>
        <w:tc>
          <w:tcPr>
            <w:tcW w:w="680" w:type="dxa"/>
            <w:vMerge/>
            <w:tcBorders>
              <w:top w:val="nil"/>
              <w:left w:val="single" w:sz="4" w:space="0" w:color="auto"/>
              <w:bottom w:val="single" w:sz="4" w:space="0" w:color="000000"/>
              <w:right w:val="single" w:sz="4" w:space="0" w:color="auto"/>
            </w:tcBorders>
            <w:vAlign w:val="center"/>
            <w:hideMark/>
          </w:tcPr>
          <w:p w:rsidR="00E75AAE" w:rsidRPr="00E75AAE" w:rsidRDefault="00E75AAE" w:rsidP="004633A4">
            <w:pPr>
              <w:spacing w:after="0" w:line="240" w:lineRule="auto"/>
              <w:rPr>
                <w:rFonts w:ascii="Times New Roman" w:eastAsia="Times New Roman" w:hAnsi="Times New Roman" w:cs="Times New Roman"/>
                <w:color w:val="000000"/>
                <w:sz w:val="18"/>
                <w:szCs w:val="18"/>
              </w:rPr>
            </w:pPr>
          </w:p>
        </w:tc>
      </w:tr>
      <w:tr w:rsidR="00E75AAE" w:rsidRPr="0045200C" w:rsidTr="004633A4">
        <w:trPr>
          <w:trHeight w:val="300"/>
        </w:trPr>
        <w:tc>
          <w:tcPr>
            <w:tcW w:w="2120" w:type="dxa"/>
            <w:vMerge w:val="restart"/>
            <w:tcBorders>
              <w:top w:val="nil"/>
              <w:left w:val="single" w:sz="4" w:space="0" w:color="auto"/>
              <w:bottom w:val="single" w:sz="4" w:space="0" w:color="auto"/>
              <w:right w:val="single" w:sz="4" w:space="0" w:color="auto"/>
            </w:tcBorders>
            <w:shd w:val="clear" w:color="000000" w:fill="FDE9D9"/>
            <w:vAlign w:val="center"/>
            <w:hideMark/>
          </w:tcPr>
          <w:p w:rsidR="00E75AAE" w:rsidRPr="0045200C" w:rsidRDefault="00E75AAE" w:rsidP="004633A4">
            <w:pPr>
              <w:spacing w:after="0" w:line="240" w:lineRule="auto"/>
              <w:jc w:val="center"/>
              <w:rPr>
                <w:rFonts w:ascii="Times New Roman" w:eastAsia="Times New Roman" w:hAnsi="Times New Roman" w:cs="Times New Roman"/>
                <w:i/>
                <w:iCs/>
                <w:sz w:val="20"/>
                <w:szCs w:val="20"/>
              </w:rPr>
            </w:pPr>
            <w:r w:rsidRPr="0045200C">
              <w:rPr>
                <w:rFonts w:ascii="Times New Roman" w:eastAsia="Times New Roman" w:hAnsi="Times New Roman" w:cs="Times New Roman"/>
                <w:i/>
                <w:iCs/>
                <w:sz w:val="20"/>
                <w:szCs w:val="20"/>
              </w:rPr>
              <w:t>Turto pelningumas (ROA)</w:t>
            </w:r>
          </w:p>
        </w:tc>
        <w:tc>
          <w:tcPr>
            <w:tcW w:w="1840" w:type="dxa"/>
            <w:tcBorders>
              <w:top w:val="nil"/>
              <w:left w:val="nil"/>
              <w:bottom w:val="single" w:sz="4" w:space="0" w:color="auto"/>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45,250</w:t>
            </w:r>
          </w:p>
        </w:tc>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=0.004</w:t>
            </w:r>
          </w:p>
        </w:tc>
        <w:tc>
          <w:tcPr>
            <w:tcW w:w="1840" w:type="dxa"/>
            <w:tcBorders>
              <w:top w:val="nil"/>
              <w:left w:val="nil"/>
              <w:bottom w:val="single" w:sz="4" w:space="0" w:color="auto"/>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296,568</w:t>
            </w:r>
          </w:p>
        </w:tc>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=0.024</w:t>
            </w:r>
          </w:p>
        </w:tc>
        <w:tc>
          <w:tcPr>
            <w:tcW w:w="1840" w:type="dxa"/>
            <w:tcBorders>
              <w:top w:val="nil"/>
              <w:left w:val="nil"/>
              <w:bottom w:val="single" w:sz="4" w:space="0" w:color="auto"/>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529,483</w:t>
            </w:r>
          </w:p>
        </w:tc>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=0.043</w:t>
            </w:r>
          </w:p>
        </w:tc>
      </w:tr>
      <w:tr w:rsidR="00E75AAE" w:rsidRPr="0045200C" w:rsidTr="004633A4">
        <w:trPr>
          <w:trHeight w:val="300"/>
        </w:trPr>
        <w:tc>
          <w:tcPr>
            <w:tcW w:w="2120" w:type="dxa"/>
            <w:vMerge/>
            <w:tcBorders>
              <w:top w:val="nil"/>
              <w:left w:val="single" w:sz="4" w:space="0" w:color="auto"/>
              <w:bottom w:val="single" w:sz="4" w:space="0" w:color="auto"/>
              <w:right w:val="single" w:sz="4" w:space="0" w:color="auto"/>
            </w:tcBorders>
            <w:vAlign w:val="center"/>
            <w:hideMark/>
          </w:tcPr>
          <w:p w:rsidR="00E75AAE" w:rsidRPr="0045200C" w:rsidRDefault="00E75AAE" w:rsidP="004633A4">
            <w:pPr>
              <w:spacing w:after="0" w:line="240" w:lineRule="auto"/>
              <w:rPr>
                <w:rFonts w:ascii="Times New Roman" w:eastAsia="Times New Roman" w:hAnsi="Times New Roman" w:cs="Times New Roman"/>
                <w:i/>
                <w:iCs/>
                <w:sz w:val="20"/>
                <w:szCs w:val="20"/>
              </w:rPr>
            </w:pPr>
          </w:p>
        </w:tc>
        <w:tc>
          <w:tcPr>
            <w:tcW w:w="1840" w:type="dxa"/>
            <w:tcBorders>
              <w:top w:val="nil"/>
              <w:left w:val="nil"/>
              <w:bottom w:val="single" w:sz="4" w:space="0" w:color="auto"/>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10,543,402</w:t>
            </w:r>
          </w:p>
        </w:tc>
        <w:tc>
          <w:tcPr>
            <w:tcW w:w="680" w:type="dxa"/>
            <w:vMerge/>
            <w:tcBorders>
              <w:top w:val="nil"/>
              <w:left w:val="single" w:sz="4" w:space="0" w:color="auto"/>
              <w:bottom w:val="single" w:sz="4" w:space="0" w:color="000000"/>
              <w:right w:val="single" w:sz="4" w:space="0" w:color="auto"/>
            </w:tcBorders>
            <w:vAlign w:val="center"/>
            <w:hideMark/>
          </w:tcPr>
          <w:p w:rsidR="00E75AAE" w:rsidRPr="00E75AAE" w:rsidRDefault="00E75AAE" w:rsidP="004633A4">
            <w:pPr>
              <w:spacing w:after="0" w:line="240" w:lineRule="auto"/>
              <w:rPr>
                <w:rFonts w:ascii="Times New Roman" w:eastAsia="Times New Roman" w:hAnsi="Times New Roman" w:cs="Times New Roman"/>
                <w:color w:val="000000"/>
                <w:sz w:val="18"/>
                <w:szCs w:val="18"/>
              </w:rPr>
            </w:pPr>
          </w:p>
        </w:tc>
        <w:tc>
          <w:tcPr>
            <w:tcW w:w="1840" w:type="dxa"/>
            <w:tcBorders>
              <w:top w:val="nil"/>
              <w:left w:val="nil"/>
              <w:bottom w:val="single" w:sz="4" w:space="0" w:color="auto"/>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12,337,871</w:t>
            </w:r>
          </w:p>
        </w:tc>
        <w:tc>
          <w:tcPr>
            <w:tcW w:w="680" w:type="dxa"/>
            <w:vMerge/>
            <w:tcBorders>
              <w:top w:val="nil"/>
              <w:left w:val="single" w:sz="4" w:space="0" w:color="auto"/>
              <w:bottom w:val="single" w:sz="4" w:space="0" w:color="000000"/>
              <w:right w:val="single" w:sz="4" w:space="0" w:color="auto"/>
            </w:tcBorders>
            <w:vAlign w:val="center"/>
            <w:hideMark/>
          </w:tcPr>
          <w:p w:rsidR="00E75AAE" w:rsidRPr="00E75AAE" w:rsidRDefault="00E75AAE" w:rsidP="004633A4">
            <w:pPr>
              <w:spacing w:after="0" w:line="240" w:lineRule="auto"/>
              <w:rPr>
                <w:rFonts w:ascii="Times New Roman" w:eastAsia="Times New Roman" w:hAnsi="Times New Roman" w:cs="Times New Roman"/>
                <w:color w:val="000000"/>
                <w:sz w:val="18"/>
                <w:szCs w:val="18"/>
              </w:rPr>
            </w:pPr>
          </w:p>
        </w:tc>
        <w:tc>
          <w:tcPr>
            <w:tcW w:w="1840" w:type="dxa"/>
            <w:tcBorders>
              <w:top w:val="nil"/>
              <w:left w:val="nil"/>
              <w:bottom w:val="single" w:sz="4" w:space="0" w:color="auto"/>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12,185,339</w:t>
            </w:r>
          </w:p>
        </w:tc>
        <w:tc>
          <w:tcPr>
            <w:tcW w:w="680" w:type="dxa"/>
            <w:vMerge/>
            <w:tcBorders>
              <w:top w:val="nil"/>
              <w:left w:val="single" w:sz="4" w:space="0" w:color="auto"/>
              <w:bottom w:val="single" w:sz="4" w:space="0" w:color="000000"/>
              <w:right w:val="single" w:sz="4" w:space="0" w:color="auto"/>
            </w:tcBorders>
            <w:vAlign w:val="center"/>
            <w:hideMark/>
          </w:tcPr>
          <w:p w:rsidR="00E75AAE" w:rsidRPr="00E75AAE" w:rsidRDefault="00E75AAE" w:rsidP="004633A4">
            <w:pPr>
              <w:spacing w:after="0" w:line="240" w:lineRule="auto"/>
              <w:rPr>
                <w:rFonts w:ascii="Times New Roman" w:eastAsia="Times New Roman" w:hAnsi="Times New Roman" w:cs="Times New Roman"/>
                <w:color w:val="000000"/>
                <w:sz w:val="18"/>
                <w:szCs w:val="18"/>
              </w:rPr>
            </w:pPr>
          </w:p>
        </w:tc>
      </w:tr>
      <w:tr w:rsidR="00E75AAE" w:rsidRPr="0045200C" w:rsidTr="004633A4">
        <w:trPr>
          <w:trHeight w:val="510"/>
        </w:trPr>
        <w:tc>
          <w:tcPr>
            <w:tcW w:w="2120" w:type="dxa"/>
            <w:vMerge w:val="restart"/>
            <w:tcBorders>
              <w:top w:val="nil"/>
              <w:left w:val="single" w:sz="4" w:space="0" w:color="auto"/>
              <w:bottom w:val="single" w:sz="4" w:space="0" w:color="auto"/>
              <w:right w:val="single" w:sz="4" w:space="0" w:color="auto"/>
            </w:tcBorders>
            <w:shd w:val="clear" w:color="000000" w:fill="FDE9D9"/>
            <w:vAlign w:val="center"/>
            <w:hideMark/>
          </w:tcPr>
          <w:p w:rsidR="00E75AAE" w:rsidRPr="0045200C" w:rsidRDefault="00E75AAE" w:rsidP="004633A4">
            <w:pPr>
              <w:spacing w:after="0" w:line="240" w:lineRule="auto"/>
              <w:jc w:val="center"/>
              <w:rPr>
                <w:rFonts w:ascii="Times New Roman" w:eastAsia="Times New Roman" w:hAnsi="Times New Roman" w:cs="Times New Roman"/>
                <w:i/>
                <w:iCs/>
                <w:sz w:val="20"/>
                <w:szCs w:val="20"/>
              </w:rPr>
            </w:pPr>
            <w:r w:rsidRPr="0045200C">
              <w:rPr>
                <w:rFonts w:ascii="Times New Roman" w:eastAsia="Times New Roman" w:hAnsi="Times New Roman" w:cs="Times New Roman"/>
                <w:i/>
                <w:iCs/>
                <w:sz w:val="20"/>
                <w:szCs w:val="20"/>
              </w:rPr>
              <w:t>Grynasis pardavimo pelningumas</w:t>
            </w:r>
          </w:p>
        </w:tc>
        <w:tc>
          <w:tcPr>
            <w:tcW w:w="1840" w:type="dxa"/>
            <w:tcBorders>
              <w:top w:val="nil"/>
              <w:left w:val="nil"/>
              <w:bottom w:val="single" w:sz="4" w:space="0" w:color="auto"/>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45,250</w:t>
            </w:r>
          </w:p>
        </w:tc>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=0.004</w:t>
            </w:r>
          </w:p>
        </w:tc>
        <w:tc>
          <w:tcPr>
            <w:tcW w:w="1840" w:type="dxa"/>
            <w:tcBorders>
              <w:top w:val="nil"/>
              <w:left w:val="nil"/>
              <w:bottom w:val="single" w:sz="4" w:space="0" w:color="auto"/>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296,568</w:t>
            </w:r>
          </w:p>
        </w:tc>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=0.030</w:t>
            </w:r>
          </w:p>
        </w:tc>
        <w:tc>
          <w:tcPr>
            <w:tcW w:w="1840" w:type="dxa"/>
            <w:tcBorders>
              <w:top w:val="nil"/>
              <w:left w:val="nil"/>
              <w:bottom w:val="single" w:sz="4" w:space="0" w:color="auto"/>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529,483</w:t>
            </w:r>
          </w:p>
        </w:tc>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=0.041</w:t>
            </w:r>
          </w:p>
        </w:tc>
      </w:tr>
      <w:tr w:rsidR="00E75AAE" w:rsidRPr="0045200C" w:rsidTr="004633A4">
        <w:trPr>
          <w:trHeight w:val="300"/>
        </w:trPr>
        <w:tc>
          <w:tcPr>
            <w:tcW w:w="2120" w:type="dxa"/>
            <w:vMerge/>
            <w:tcBorders>
              <w:top w:val="nil"/>
              <w:left w:val="single" w:sz="4" w:space="0" w:color="auto"/>
              <w:bottom w:val="single" w:sz="4" w:space="0" w:color="auto"/>
              <w:right w:val="single" w:sz="4" w:space="0" w:color="auto"/>
            </w:tcBorders>
            <w:vAlign w:val="center"/>
            <w:hideMark/>
          </w:tcPr>
          <w:p w:rsidR="00E75AAE" w:rsidRPr="0045200C" w:rsidRDefault="00E75AAE" w:rsidP="004633A4">
            <w:pPr>
              <w:spacing w:after="0" w:line="240" w:lineRule="auto"/>
              <w:rPr>
                <w:rFonts w:ascii="Times New Roman" w:eastAsia="Times New Roman" w:hAnsi="Times New Roman" w:cs="Times New Roman"/>
                <w:i/>
                <w:iCs/>
                <w:sz w:val="20"/>
                <w:szCs w:val="20"/>
              </w:rPr>
            </w:pPr>
          </w:p>
        </w:tc>
        <w:tc>
          <w:tcPr>
            <w:tcW w:w="1840" w:type="dxa"/>
            <w:tcBorders>
              <w:top w:val="nil"/>
              <w:left w:val="nil"/>
              <w:bottom w:val="single" w:sz="4" w:space="0" w:color="auto"/>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11,355,136</w:t>
            </w:r>
          </w:p>
        </w:tc>
        <w:tc>
          <w:tcPr>
            <w:tcW w:w="680" w:type="dxa"/>
            <w:vMerge/>
            <w:tcBorders>
              <w:top w:val="nil"/>
              <w:left w:val="single" w:sz="4" w:space="0" w:color="auto"/>
              <w:bottom w:val="single" w:sz="4" w:space="0" w:color="000000"/>
              <w:right w:val="single" w:sz="4" w:space="0" w:color="auto"/>
            </w:tcBorders>
            <w:vAlign w:val="center"/>
            <w:hideMark/>
          </w:tcPr>
          <w:p w:rsidR="00E75AAE" w:rsidRPr="00E75AAE" w:rsidRDefault="00E75AAE" w:rsidP="004633A4">
            <w:pPr>
              <w:spacing w:after="0" w:line="240" w:lineRule="auto"/>
              <w:rPr>
                <w:rFonts w:ascii="Times New Roman" w:eastAsia="Times New Roman" w:hAnsi="Times New Roman" w:cs="Times New Roman"/>
                <w:color w:val="000000"/>
                <w:sz w:val="18"/>
                <w:szCs w:val="18"/>
              </w:rPr>
            </w:pPr>
          </w:p>
        </w:tc>
        <w:tc>
          <w:tcPr>
            <w:tcW w:w="1840" w:type="dxa"/>
            <w:tcBorders>
              <w:top w:val="nil"/>
              <w:left w:val="nil"/>
              <w:bottom w:val="single" w:sz="4" w:space="0" w:color="auto"/>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9,753,338</w:t>
            </w:r>
          </w:p>
        </w:tc>
        <w:tc>
          <w:tcPr>
            <w:tcW w:w="680" w:type="dxa"/>
            <w:vMerge/>
            <w:tcBorders>
              <w:top w:val="nil"/>
              <w:left w:val="single" w:sz="4" w:space="0" w:color="auto"/>
              <w:bottom w:val="single" w:sz="4" w:space="0" w:color="000000"/>
              <w:right w:val="single" w:sz="4" w:space="0" w:color="auto"/>
            </w:tcBorders>
            <w:vAlign w:val="center"/>
            <w:hideMark/>
          </w:tcPr>
          <w:p w:rsidR="00E75AAE" w:rsidRPr="00E75AAE" w:rsidRDefault="00E75AAE" w:rsidP="004633A4">
            <w:pPr>
              <w:spacing w:after="0" w:line="240" w:lineRule="auto"/>
              <w:rPr>
                <w:rFonts w:ascii="Times New Roman" w:eastAsia="Times New Roman" w:hAnsi="Times New Roman" w:cs="Times New Roman"/>
                <w:color w:val="000000"/>
                <w:sz w:val="18"/>
                <w:szCs w:val="18"/>
              </w:rPr>
            </w:pPr>
          </w:p>
        </w:tc>
        <w:tc>
          <w:tcPr>
            <w:tcW w:w="1840" w:type="dxa"/>
            <w:tcBorders>
              <w:top w:val="nil"/>
              <w:left w:val="nil"/>
              <w:bottom w:val="single" w:sz="4" w:space="0" w:color="auto"/>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12,798,452</w:t>
            </w:r>
          </w:p>
        </w:tc>
        <w:tc>
          <w:tcPr>
            <w:tcW w:w="680" w:type="dxa"/>
            <w:vMerge/>
            <w:tcBorders>
              <w:top w:val="nil"/>
              <w:left w:val="single" w:sz="4" w:space="0" w:color="auto"/>
              <w:bottom w:val="single" w:sz="4" w:space="0" w:color="000000"/>
              <w:right w:val="single" w:sz="4" w:space="0" w:color="auto"/>
            </w:tcBorders>
            <w:vAlign w:val="center"/>
            <w:hideMark/>
          </w:tcPr>
          <w:p w:rsidR="00E75AAE" w:rsidRPr="00E75AAE" w:rsidRDefault="00E75AAE" w:rsidP="004633A4">
            <w:pPr>
              <w:spacing w:after="0" w:line="240" w:lineRule="auto"/>
              <w:rPr>
                <w:rFonts w:ascii="Times New Roman" w:eastAsia="Times New Roman" w:hAnsi="Times New Roman" w:cs="Times New Roman"/>
                <w:color w:val="000000"/>
                <w:sz w:val="18"/>
                <w:szCs w:val="18"/>
              </w:rPr>
            </w:pPr>
          </w:p>
        </w:tc>
      </w:tr>
      <w:tr w:rsidR="00E75AAE" w:rsidRPr="0045200C" w:rsidTr="004633A4">
        <w:trPr>
          <w:trHeight w:val="300"/>
        </w:trPr>
        <w:tc>
          <w:tcPr>
            <w:tcW w:w="2120" w:type="dxa"/>
            <w:vMerge w:val="restart"/>
            <w:tcBorders>
              <w:top w:val="nil"/>
              <w:left w:val="single" w:sz="4" w:space="0" w:color="auto"/>
              <w:bottom w:val="single" w:sz="4" w:space="0" w:color="auto"/>
              <w:right w:val="single" w:sz="4" w:space="0" w:color="auto"/>
            </w:tcBorders>
            <w:shd w:val="clear" w:color="000000" w:fill="FDE9D9"/>
            <w:vAlign w:val="center"/>
            <w:hideMark/>
          </w:tcPr>
          <w:p w:rsidR="00E75AAE" w:rsidRPr="0045200C" w:rsidRDefault="00E75AAE" w:rsidP="004633A4">
            <w:pPr>
              <w:spacing w:after="0" w:line="240" w:lineRule="auto"/>
              <w:jc w:val="center"/>
              <w:rPr>
                <w:rFonts w:ascii="Times New Roman" w:eastAsia="Times New Roman" w:hAnsi="Times New Roman" w:cs="Times New Roman"/>
                <w:i/>
                <w:iCs/>
                <w:sz w:val="20"/>
                <w:szCs w:val="20"/>
              </w:rPr>
            </w:pPr>
            <w:r w:rsidRPr="0045200C">
              <w:rPr>
                <w:rFonts w:ascii="Times New Roman" w:eastAsia="Times New Roman" w:hAnsi="Times New Roman" w:cs="Times New Roman"/>
                <w:i/>
                <w:iCs/>
                <w:sz w:val="20"/>
                <w:szCs w:val="20"/>
              </w:rPr>
              <w:t>Grynasis nuosavo pelningumas (ROE)</w:t>
            </w:r>
          </w:p>
        </w:tc>
        <w:tc>
          <w:tcPr>
            <w:tcW w:w="1840" w:type="dxa"/>
            <w:tcBorders>
              <w:top w:val="nil"/>
              <w:left w:val="nil"/>
              <w:bottom w:val="single" w:sz="4" w:space="0" w:color="auto"/>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45,250</w:t>
            </w:r>
          </w:p>
        </w:tc>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=0.011</w:t>
            </w:r>
          </w:p>
        </w:tc>
        <w:tc>
          <w:tcPr>
            <w:tcW w:w="1840" w:type="dxa"/>
            <w:tcBorders>
              <w:top w:val="nil"/>
              <w:left w:val="nil"/>
              <w:bottom w:val="single" w:sz="4" w:space="0" w:color="auto"/>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296,568</w:t>
            </w:r>
          </w:p>
        </w:tc>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=0.068</w:t>
            </w:r>
          </w:p>
        </w:tc>
        <w:tc>
          <w:tcPr>
            <w:tcW w:w="1840" w:type="dxa"/>
            <w:tcBorders>
              <w:top w:val="nil"/>
              <w:left w:val="nil"/>
              <w:bottom w:val="single" w:sz="4" w:space="0" w:color="auto"/>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529,483</w:t>
            </w:r>
          </w:p>
        </w:tc>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=0.108</w:t>
            </w:r>
          </w:p>
        </w:tc>
      </w:tr>
      <w:tr w:rsidR="00E75AAE" w:rsidRPr="0045200C" w:rsidTr="004633A4">
        <w:trPr>
          <w:trHeight w:val="300"/>
        </w:trPr>
        <w:tc>
          <w:tcPr>
            <w:tcW w:w="2120" w:type="dxa"/>
            <w:vMerge/>
            <w:tcBorders>
              <w:top w:val="nil"/>
              <w:left w:val="single" w:sz="4" w:space="0" w:color="auto"/>
              <w:bottom w:val="single" w:sz="4" w:space="0" w:color="auto"/>
              <w:right w:val="single" w:sz="4" w:space="0" w:color="auto"/>
            </w:tcBorders>
            <w:vAlign w:val="center"/>
            <w:hideMark/>
          </w:tcPr>
          <w:p w:rsidR="00E75AAE" w:rsidRPr="0045200C" w:rsidRDefault="00E75AAE" w:rsidP="004633A4">
            <w:pPr>
              <w:spacing w:after="0" w:line="240" w:lineRule="auto"/>
              <w:rPr>
                <w:rFonts w:ascii="Times New Roman" w:eastAsia="Times New Roman" w:hAnsi="Times New Roman" w:cs="Times New Roman"/>
                <w:i/>
                <w:iCs/>
                <w:sz w:val="20"/>
                <w:szCs w:val="20"/>
              </w:rPr>
            </w:pPr>
          </w:p>
        </w:tc>
        <w:tc>
          <w:tcPr>
            <w:tcW w:w="1840" w:type="dxa"/>
            <w:tcBorders>
              <w:top w:val="nil"/>
              <w:left w:val="nil"/>
              <w:bottom w:val="single" w:sz="4" w:space="0" w:color="auto"/>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4,127,134</w:t>
            </w:r>
          </w:p>
        </w:tc>
        <w:tc>
          <w:tcPr>
            <w:tcW w:w="680" w:type="dxa"/>
            <w:vMerge/>
            <w:tcBorders>
              <w:top w:val="nil"/>
              <w:left w:val="single" w:sz="4" w:space="0" w:color="auto"/>
              <w:bottom w:val="single" w:sz="4" w:space="0" w:color="000000"/>
              <w:right w:val="single" w:sz="4" w:space="0" w:color="auto"/>
            </w:tcBorders>
            <w:vAlign w:val="center"/>
            <w:hideMark/>
          </w:tcPr>
          <w:p w:rsidR="00E75AAE" w:rsidRPr="00E75AAE" w:rsidRDefault="00E75AAE" w:rsidP="004633A4">
            <w:pPr>
              <w:spacing w:after="0" w:line="240" w:lineRule="auto"/>
              <w:rPr>
                <w:rFonts w:ascii="Times New Roman" w:eastAsia="Times New Roman" w:hAnsi="Times New Roman" w:cs="Times New Roman"/>
                <w:color w:val="000000"/>
                <w:sz w:val="18"/>
                <w:szCs w:val="18"/>
              </w:rPr>
            </w:pPr>
          </w:p>
        </w:tc>
        <w:tc>
          <w:tcPr>
            <w:tcW w:w="1840" w:type="dxa"/>
            <w:tcBorders>
              <w:top w:val="nil"/>
              <w:left w:val="nil"/>
              <w:bottom w:val="single" w:sz="4" w:space="0" w:color="auto"/>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4,360,645</w:t>
            </w:r>
          </w:p>
        </w:tc>
        <w:tc>
          <w:tcPr>
            <w:tcW w:w="680" w:type="dxa"/>
            <w:vMerge/>
            <w:tcBorders>
              <w:top w:val="nil"/>
              <w:left w:val="single" w:sz="4" w:space="0" w:color="auto"/>
              <w:bottom w:val="single" w:sz="4" w:space="0" w:color="000000"/>
              <w:right w:val="single" w:sz="4" w:space="0" w:color="auto"/>
            </w:tcBorders>
            <w:vAlign w:val="center"/>
            <w:hideMark/>
          </w:tcPr>
          <w:p w:rsidR="00E75AAE" w:rsidRPr="00E75AAE" w:rsidRDefault="00E75AAE" w:rsidP="004633A4">
            <w:pPr>
              <w:spacing w:after="0" w:line="240" w:lineRule="auto"/>
              <w:rPr>
                <w:rFonts w:ascii="Times New Roman" w:eastAsia="Times New Roman" w:hAnsi="Times New Roman" w:cs="Times New Roman"/>
                <w:color w:val="000000"/>
                <w:sz w:val="18"/>
                <w:szCs w:val="18"/>
              </w:rPr>
            </w:pPr>
          </w:p>
        </w:tc>
        <w:tc>
          <w:tcPr>
            <w:tcW w:w="1840" w:type="dxa"/>
            <w:tcBorders>
              <w:top w:val="nil"/>
              <w:left w:val="nil"/>
              <w:bottom w:val="single" w:sz="4" w:space="0" w:color="auto"/>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4,897,326</w:t>
            </w:r>
          </w:p>
        </w:tc>
        <w:tc>
          <w:tcPr>
            <w:tcW w:w="680" w:type="dxa"/>
            <w:vMerge/>
            <w:tcBorders>
              <w:top w:val="nil"/>
              <w:left w:val="single" w:sz="4" w:space="0" w:color="auto"/>
              <w:bottom w:val="single" w:sz="4" w:space="0" w:color="000000"/>
              <w:right w:val="single" w:sz="4" w:space="0" w:color="auto"/>
            </w:tcBorders>
            <w:vAlign w:val="center"/>
            <w:hideMark/>
          </w:tcPr>
          <w:p w:rsidR="00E75AAE" w:rsidRPr="00E75AAE" w:rsidRDefault="00E75AAE" w:rsidP="004633A4">
            <w:pPr>
              <w:spacing w:after="0" w:line="240" w:lineRule="auto"/>
              <w:rPr>
                <w:rFonts w:ascii="Times New Roman" w:eastAsia="Times New Roman" w:hAnsi="Times New Roman" w:cs="Times New Roman"/>
                <w:color w:val="000000"/>
                <w:sz w:val="18"/>
                <w:szCs w:val="18"/>
              </w:rPr>
            </w:pPr>
          </w:p>
        </w:tc>
      </w:tr>
      <w:tr w:rsidR="00E75AAE" w:rsidRPr="0045200C" w:rsidTr="004633A4">
        <w:trPr>
          <w:trHeight w:val="300"/>
        </w:trPr>
        <w:tc>
          <w:tcPr>
            <w:tcW w:w="2120" w:type="dxa"/>
            <w:vMerge w:val="restart"/>
            <w:tcBorders>
              <w:top w:val="nil"/>
              <w:left w:val="single" w:sz="4" w:space="0" w:color="auto"/>
              <w:bottom w:val="single" w:sz="4" w:space="0" w:color="auto"/>
              <w:right w:val="single" w:sz="4" w:space="0" w:color="auto"/>
            </w:tcBorders>
            <w:shd w:val="clear" w:color="000000" w:fill="FDE9D9"/>
            <w:vAlign w:val="center"/>
            <w:hideMark/>
          </w:tcPr>
          <w:p w:rsidR="00E75AAE" w:rsidRPr="0045200C" w:rsidRDefault="00E75AAE" w:rsidP="004633A4">
            <w:pPr>
              <w:spacing w:after="0" w:line="240" w:lineRule="auto"/>
              <w:jc w:val="center"/>
              <w:rPr>
                <w:rFonts w:ascii="Times New Roman" w:eastAsia="Times New Roman" w:hAnsi="Times New Roman" w:cs="Times New Roman"/>
                <w:i/>
                <w:iCs/>
                <w:sz w:val="20"/>
                <w:szCs w:val="20"/>
              </w:rPr>
            </w:pPr>
            <w:r w:rsidRPr="0045200C">
              <w:rPr>
                <w:rFonts w:ascii="Times New Roman" w:eastAsia="Times New Roman" w:hAnsi="Times New Roman" w:cs="Times New Roman"/>
                <w:i/>
                <w:iCs/>
                <w:sz w:val="20"/>
                <w:szCs w:val="20"/>
              </w:rPr>
              <w:t xml:space="preserve">Finansinis svertas </w:t>
            </w:r>
          </w:p>
        </w:tc>
        <w:tc>
          <w:tcPr>
            <w:tcW w:w="1840" w:type="dxa"/>
            <w:tcBorders>
              <w:top w:val="nil"/>
              <w:left w:val="nil"/>
              <w:bottom w:val="single" w:sz="4" w:space="0" w:color="auto"/>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3,243,869+3,172,399</w:t>
            </w:r>
          </w:p>
        </w:tc>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=1.555</w:t>
            </w:r>
          </w:p>
        </w:tc>
        <w:tc>
          <w:tcPr>
            <w:tcW w:w="1840" w:type="dxa"/>
            <w:tcBorders>
              <w:top w:val="nil"/>
              <w:left w:val="nil"/>
              <w:bottom w:val="single" w:sz="4" w:space="0" w:color="auto"/>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5,258,113+2,719,114</w:t>
            </w:r>
          </w:p>
        </w:tc>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=1.829</w:t>
            </w:r>
          </w:p>
        </w:tc>
        <w:tc>
          <w:tcPr>
            <w:tcW w:w="1840" w:type="dxa"/>
            <w:tcBorders>
              <w:top w:val="nil"/>
              <w:left w:val="nil"/>
              <w:bottom w:val="single" w:sz="4" w:space="0" w:color="auto"/>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5,745,421+1,542,592</w:t>
            </w:r>
          </w:p>
        </w:tc>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=1.488</w:t>
            </w:r>
          </w:p>
        </w:tc>
      </w:tr>
      <w:tr w:rsidR="00E75AAE" w:rsidRPr="0045200C" w:rsidTr="004633A4">
        <w:trPr>
          <w:trHeight w:val="300"/>
        </w:trPr>
        <w:tc>
          <w:tcPr>
            <w:tcW w:w="2120" w:type="dxa"/>
            <w:vMerge/>
            <w:tcBorders>
              <w:top w:val="nil"/>
              <w:left w:val="single" w:sz="4" w:space="0" w:color="auto"/>
              <w:bottom w:val="single" w:sz="4" w:space="0" w:color="auto"/>
              <w:right w:val="single" w:sz="4" w:space="0" w:color="auto"/>
            </w:tcBorders>
            <w:vAlign w:val="center"/>
            <w:hideMark/>
          </w:tcPr>
          <w:p w:rsidR="00E75AAE" w:rsidRPr="0045200C" w:rsidRDefault="00E75AAE" w:rsidP="004633A4">
            <w:pPr>
              <w:spacing w:after="0" w:line="240" w:lineRule="auto"/>
              <w:rPr>
                <w:rFonts w:ascii="Times New Roman" w:eastAsia="Times New Roman" w:hAnsi="Times New Roman" w:cs="Times New Roman"/>
                <w:i/>
                <w:iCs/>
                <w:sz w:val="20"/>
                <w:szCs w:val="20"/>
              </w:rPr>
            </w:pPr>
          </w:p>
        </w:tc>
        <w:tc>
          <w:tcPr>
            <w:tcW w:w="1840" w:type="dxa"/>
            <w:tcBorders>
              <w:top w:val="nil"/>
              <w:left w:val="nil"/>
              <w:bottom w:val="single" w:sz="4" w:space="0" w:color="auto"/>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4,127,134</w:t>
            </w:r>
          </w:p>
        </w:tc>
        <w:tc>
          <w:tcPr>
            <w:tcW w:w="680" w:type="dxa"/>
            <w:vMerge/>
            <w:tcBorders>
              <w:top w:val="nil"/>
              <w:left w:val="single" w:sz="4" w:space="0" w:color="auto"/>
              <w:bottom w:val="single" w:sz="4" w:space="0" w:color="000000"/>
              <w:right w:val="single" w:sz="4" w:space="0" w:color="auto"/>
            </w:tcBorders>
            <w:vAlign w:val="center"/>
            <w:hideMark/>
          </w:tcPr>
          <w:p w:rsidR="00E75AAE" w:rsidRPr="00E75AAE" w:rsidRDefault="00E75AAE" w:rsidP="004633A4">
            <w:pPr>
              <w:spacing w:after="0" w:line="240" w:lineRule="auto"/>
              <w:rPr>
                <w:rFonts w:ascii="Times New Roman" w:eastAsia="Times New Roman" w:hAnsi="Times New Roman" w:cs="Times New Roman"/>
                <w:color w:val="000000"/>
                <w:sz w:val="18"/>
                <w:szCs w:val="18"/>
              </w:rPr>
            </w:pPr>
          </w:p>
        </w:tc>
        <w:tc>
          <w:tcPr>
            <w:tcW w:w="1840" w:type="dxa"/>
            <w:tcBorders>
              <w:top w:val="nil"/>
              <w:left w:val="nil"/>
              <w:bottom w:val="single" w:sz="4" w:space="0" w:color="auto"/>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4,360,645</w:t>
            </w:r>
          </w:p>
        </w:tc>
        <w:tc>
          <w:tcPr>
            <w:tcW w:w="680" w:type="dxa"/>
            <w:vMerge/>
            <w:tcBorders>
              <w:top w:val="nil"/>
              <w:left w:val="single" w:sz="4" w:space="0" w:color="auto"/>
              <w:bottom w:val="single" w:sz="4" w:space="0" w:color="000000"/>
              <w:right w:val="single" w:sz="4" w:space="0" w:color="auto"/>
            </w:tcBorders>
            <w:vAlign w:val="center"/>
            <w:hideMark/>
          </w:tcPr>
          <w:p w:rsidR="00E75AAE" w:rsidRPr="00E75AAE" w:rsidRDefault="00E75AAE" w:rsidP="004633A4">
            <w:pPr>
              <w:spacing w:after="0" w:line="240" w:lineRule="auto"/>
              <w:rPr>
                <w:rFonts w:ascii="Times New Roman" w:eastAsia="Times New Roman" w:hAnsi="Times New Roman" w:cs="Times New Roman"/>
                <w:color w:val="000000"/>
                <w:sz w:val="18"/>
                <w:szCs w:val="18"/>
              </w:rPr>
            </w:pPr>
          </w:p>
        </w:tc>
        <w:tc>
          <w:tcPr>
            <w:tcW w:w="1840" w:type="dxa"/>
            <w:tcBorders>
              <w:top w:val="nil"/>
              <w:left w:val="nil"/>
              <w:bottom w:val="single" w:sz="4" w:space="0" w:color="auto"/>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4,897,326</w:t>
            </w:r>
          </w:p>
        </w:tc>
        <w:tc>
          <w:tcPr>
            <w:tcW w:w="680" w:type="dxa"/>
            <w:vMerge/>
            <w:tcBorders>
              <w:top w:val="nil"/>
              <w:left w:val="single" w:sz="4" w:space="0" w:color="auto"/>
              <w:bottom w:val="single" w:sz="4" w:space="0" w:color="000000"/>
              <w:right w:val="single" w:sz="4" w:space="0" w:color="auto"/>
            </w:tcBorders>
            <w:vAlign w:val="center"/>
            <w:hideMark/>
          </w:tcPr>
          <w:p w:rsidR="00E75AAE" w:rsidRPr="00E75AAE" w:rsidRDefault="00E75AAE" w:rsidP="004633A4">
            <w:pPr>
              <w:spacing w:after="0" w:line="240" w:lineRule="auto"/>
              <w:rPr>
                <w:rFonts w:ascii="Times New Roman" w:eastAsia="Times New Roman" w:hAnsi="Times New Roman" w:cs="Times New Roman"/>
                <w:color w:val="000000"/>
                <w:sz w:val="18"/>
                <w:szCs w:val="18"/>
              </w:rPr>
            </w:pPr>
          </w:p>
        </w:tc>
      </w:tr>
      <w:tr w:rsidR="00E75AAE" w:rsidRPr="0045200C" w:rsidTr="004633A4">
        <w:trPr>
          <w:trHeight w:val="510"/>
        </w:trPr>
        <w:tc>
          <w:tcPr>
            <w:tcW w:w="2120" w:type="dxa"/>
            <w:vMerge w:val="restart"/>
            <w:tcBorders>
              <w:top w:val="nil"/>
              <w:left w:val="single" w:sz="4" w:space="0" w:color="auto"/>
              <w:bottom w:val="single" w:sz="4" w:space="0" w:color="auto"/>
              <w:right w:val="single" w:sz="4" w:space="0" w:color="auto"/>
            </w:tcBorders>
            <w:shd w:val="clear" w:color="000000" w:fill="FDE9D9"/>
            <w:vAlign w:val="center"/>
            <w:hideMark/>
          </w:tcPr>
          <w:p w:rsidR="00E75AAE" w:rsidRPr="0045200C" w:rsidRDefault="00E75AAE" w:rsidP="004633A4">
            <w:pPr>
              <w:spacing w:after="0" w:line="240" w:lineRule="auto"/>
              <w:jc w:val="center"/>
              <w:rPr>
                <w:rFonts w:ascii="Times New Roman" w:eastAsia="Times New Roman" w:hAnsi="Times New Roman" w:cs="Times New Roman"/>
                <w:i/>
                <w:iCs/>
                <w:sz w:val="20"/>
                <w:szCs w:val="20"/>
              </w:rPr>
            </w:pPr>
            <w:r w:rsidRPr="0045200C">
              <w:rPr>
                <w:rFonts w:ascii="Times New Roman" w:eastAsia="Times New Roman" w:hAnsi="Times New Roman" w:cs="Times New Roman"/>
                <w:i/>
                <w:iCs/>
                <w:sz w:val="20"/>
                <w:szCs w:val="20"/>
              </w:rPr>
              <w:t>Pardavimo savikainos lygis</w:t>
            </w:r>
          </w:p>
        </w:tc>
        <w:tc>
          <w:tcPr>
            <w:tcW w:w="1840" w:type="dxa"/>
            <w:tcBorders>
              <w:top w:val="nil"/>
              <w:left w:val="nil"/>
              <w:bottom w:val="single" w:sz="4" w:space="0" w:color="auto"/>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7,632,469</w:t>
            </w:r>
          </w:p>
        </w:tc>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=0.680</w:t>
            </w:r>
          </w:p>
        </w:tc>
        <w:tc>
          <w:tcPr>
            <w:tcW w:w="1840" w:type="dxa"/>
            <w:tcBorders>
              <w:top w:val="nil"/>
              <w:left w:val="nil"/>
              <w:bottom w:val="single" w:sz="4" w:space="0" w:color="auto"/>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6,516,807</w:t>
            </w:r>
          </w:p>
        </w:tc>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=0.671</w:t>
            </w:r>
          </w:p>
        </w:tc>
        <w:tc>
          <w:tcPr>
            <w:tcW w:w="1840" w:type="dxa"/>
            <w:tcBorders>
              <w:top w:val="nil"/>
              <w:left w:val="nil"/>
              <w:bottom w:val="single" w:sz="4" w:space="0" w:color="auto"/>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9,225,805</w:t>
            </w:r>
          </w:p>
        </w:tc>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=0.723</w:t>
            </w:r>
          </w:p>
        </w:tc>
      </w:tr>
      <w:tr w:rsidR="00E75AAE" w:rsidRPr="0045200C" w:rsidTr="004633A4">
        <w:trPr>
          <w:trHeight w:val="300"/>
        </w:trPr>
        <w:tc>
          <w:tcPr>
            <w:tcW w:w="2120" w:type="dxa"/>
            <w:vMerge/>
            <w:tcBorders>
              <w:top w:val="nil"/>
              <w:left w:val="single" w:sz="4" w:space="0" w:color="auto"/>
              <w:bottom w:val="single" w:sz="4" w:space="0" w:color="auto"/>
              <w:right w:val="single" w:sz="4" w:space="0" w:color="auto"/>
            </w:tcBorders>
            <w:vAlign w:val="center"/>
            <w:hideMark/>
          </w:tcPr>
          <w:p w:rsidR="00E75AAE" w:rsidRPr="0045200C" w:rsidRDefault="00E75AAE" w:rsidP="004633A4">
            <w:pPr>
              <w:spacing w:after="0" w:line="240" w:lineRule="auto"/>
              <w:rPr>
                <w:rFonts w:ascii="Times New Roman" w:eastAsia="Times New Roman" w:hAnsi="Times New Roman" w:cs="Times New Roman"/>
                <w:i/>
                <w:iCs/>
                <w:sz w:val="20"/>
                <w:szCs w:val="20"/>
              </w:rPr>
            </w:pPr>
          </w:p>
        </w:tc>
        <w:tc>
          <w:tcPr>
            <w:tcW w:w="1840" w:type="dxa"/>
            <w:tcBorders>
              <w:top w:val="nil"/>
              <w:left w:val="nil"/>
              <w:bottom w:val="single" w:sz="4" w:space="0" w:color="auto"/>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11,224,366</w:t>
            </w:r>
          </w:p>
        </w:tc>
        <w:tc>
          <w:tcPr>
            <w:tcW w:w="680" w:type="dxa"/>
            <w:vMerge/>
            <w:tcBorders>
              <w:top w:val="nil"/>
              <w:left w:val="single" w:sz="4" w:space="0" w:color="auto"/>
              <w:bottom w:val="single" w:sz="4" w:space="0" w:color="000000"/>
              <w:right w:val="single" w:sz="4" w:space="0" w:color="auto"/>
            </w:tcBorders>
            <w:vAlign w:val="center"/>
            <w:hideMark/>
          </w:tcPr>
          <w:p w:rsidR="00E75AAE" w:rsidRPr="00E75AAE" w:rsidRDefault="00E75AAE" w:rsidP="004633A4">
            <w:pPr>
              <w:spacing w:after="0" w:line="240" w:lineRule="auto"/>
              <w:rPr>
                <w:rFonts w:ascii="Times New Roman" w:eastAsia="Times New Roman" w:hAnsi="Times New Roman" w:cs="Times New Roman"/>
                <w:color w:val="000000"/>
                <w:sz w:val="18"/>
                <w:szCs w:val="18"/>
              </w:rPr>
            </w:pPr>
          </w:p>
        </w:tc>
        <w:tc>
          <w:tcPr>
            <w:tcW w:w="1840" w:type="dxa"/>
            <w:tcBorders>
              <w:top w:val="nil"/>
              <w:left w:val="nil"/>
              <w:bottom w:val="single" w:sz="4" w:space="0" w:color="auto"/>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9,712,182</w:t>
            </w:r>
          </w:p>
        </w:tc>
        <w:tc>
          <w:tcPr>
            <w:tcW w:w="680" w:type="dxa"/>
            <w:vMerge/>
            <w:tcBorders>
              <w:top w:val="nil"/>
              <w:left w:val="single" w:sz="4" w:space="0" w:color="auto"/>
              <w:bottom w:val="single" w:sz="4" w:space="0" w:color="000000"/>
              <w:right w:val="single" w:sz="4" w:space="0" w:color="auto"/>
            </w:tcBorders>
            <w:vAlign w:val="center"/>
            <w:hideMark/>
          </w:tcPr>
          <w:p w:rsidR="00E75AAE" w:rsidRPr="00E75AAE" w:rsidRDefault="00E75AAE" w:rsidP="004633A4">
            <w:pPr>
              <w:spacing w:after="0" w:line="240" w:lineRule="auto"/>
              <w:rPr>
                <w:rFonts w:ascii="Times New Roman" w:eastAsia="Times New Roman" w:hAnsi="Times New Roman" w:cs="Times New Roman"/>
                <w:color w:val="000000"/>
                <w:sz w:val="18"/>
                <w:szCs w:val="18"/>
              </w:rPr>
            </w:pPr>
          </w:p>
        </w:tc>
        <w:tc>
          <w:tcPr>
            <w:tcW w:w="1840" w:type="dxa"/>
            <w:tcBorders>
              <w:top w:val="nil"/>
              <w:left w:val="nil"/>
              <w:bottom w:val="single" w:sz="4" w:space="0" w:color="auto"/>
              <w:right w:val="single" w:sz="4" w:space="0" w:color="auto"/>
            </w:tcBorders>
            <w:shd w:val="clear" w:color="auto" w:fill="auto"/>
            <w:noWrap/>
            <w:vAlign w:val="center"/>
            <w:hideMark/>
          </w:tcPr>
          <w:p w:rsidR="00E75AAE" w:rsidRPr="00E75AAE" w:rsidRDefault="00E75AAE" w:rsidP="004633A4">
            <w:pPr>
              <w:spacing w:after="0" w:line="240" w:lineRule="auto"/>
              <w:jc w:val="center"/>
              <w:rPr>
                <w:rFonts w:ascii="Times New Roman" w:eastAsia="Times New Roman" w:hAnsi="Times New Roman" w:cs="Times New Roman"/>
                <w:color w:val="000000"/>
                <w:sz w:val="18"/>
                <w:szCs w:val="18"/>
              </w:rPr>
            </w:pPr>
            <w:r w:rsidRPr="00E75AAE">
              <w:rPr>
                <w:rFonts w:ascii="Times New Roman" w:eastAsia="Times New Roman" w:hAnsi="Times New Roman" w:cs="Times New Roman"/>
                <w:color w:val="000000"/>
                <w:sz w:val="18"/>
                <w:szCs w:val="18"/>
              </w:rPr>
              <w:t>12,763,484</w:t>
            </w:r>
          </w:p>
        </w:tc>
        <w:tc>
          <w:tcPr>
            <w:tcW w:w="680" w:type="dxa"/>
            <w:vMerge/>
            <w:tcBorders>
              <w:top w:val="nil"/>
              <w:left w:val="single" w:sz="4" w:space="0" w:color="auto"/>
              <w:bottom w:val="single" w:sz="4" w:space="0" w:color="000000"/>
              <w:right w:val="single" w:sz="4" w:space="0" w:color="auto"/>
            </w:tcBorders>
            <w:vAlign w:val="center"/>
            <w:hideMark/>
          </w:tcPr>
          <w:p w:rsidR="00E75AAE" w:rsidRPr="0045200C" w:rsidRDefault="00E75AAE" w:rsidP="004633A4">
            <w:pPr>
              <w:spacing w:after="0" w:line="240" w:lineRule="auto"/>
              <w:rPr>
                <w:rFonts w:ascii="Times New Roman" w:eastAsia="Times New Roman" w:hAnsi="Times New Roman" w:cs="Times New Roman"/>
                <w:color w:val="000000"/>
                <w:sz w:val="20"/>
                <w:szCs w:val="20"/>
              </w:rPr>
            </w:pPr>
          </w:p>
        </w:tc>
      </w:tr>
    </w:tbl>
    <w:p w:rsidR="00486B70" w:rsidRDefault="00486B70" w:rsidP="00E035CC">
      <w:pPr>
        <w:jc w:val="center"/>
        <w:rPr>
          <w:rFonts w:ascii="Times New Roman" w:hAnsi="Times New Roman" w:cs="Times New Roman"/>
          <w:sz w:val="24"/>
          <w:szCs w:val="24"/>
          <w:lang w:val="lt-LT"/>
        </w:rPr>
      </w:pPr>
    </w:p>
    <w:p w:rsidR="004556BE" w:rsidRPr="005D0A53" w:rsidRDefault="004556BE" w:rsidP="004556BE">
      <w:pPr>
        <w:pStyle w:val="Heading1"/>
        <w:spacing w:before="0"/>
        <w:contextualSpacing/>
        <w:jc w:val="right"/>
      </w:pPr>
      <w:bookmarkStart w:id="115" w:name="_Toc374655673"/>
      <w:r>
        <w:lastRenderedPageBreak/>
        <w:t>4</w:t>
      </w:r>
      <w:r w:rsidRPr="005D0A53">
        <w:t xml:space="preserve"> PRIEDAS</w:t>
      </w:r>
      <w:bookmarkEnd w:id="115"/>
      <w:r w:rsidRPr="005D0A53">
        <w:t xml:space="preserve"> </w:t>
      </w:r>
    </w:p>
    <w:p w:rsidR="004556BE" w:rsidRDefault="004556BE" w:rsidP="004556BE">
      <w:pPr>
        <w:tabs>
          <w:tab w:val="left" w:pos="142"/>
        </w:tabs>
        <w:spacing w:after="0"/>
        <w:ind w:firstLine="426"/>
        <w:contextualSpacing/>
        <w:rPr>
          <w:rFonts w:cs="Times New Roman"/>
        </w:rPr>
      </w:pPr>
    </w:p>
    <w:p w:rsidR="004556BE" w:rsidRDefault="004556BE" w:rsidP="004556BE">
      <w:pPr>
        <w:spacing w:after="0"/>
        <w:contextualSpacing/>
        <w:jc w:val="center"/>
        <w:rPr>
          <w:rFonts w:ascii="Times New Roman" w:hAnsi="Times New Roman" w:cs="Times New Roman"/>
          <w:b/>
          <w:sz w:val="24"/>
          <w:szCs w:val="24"/>
          <w:lang w:val="lt-LT"/>
        </w:rPr>
      </w:pPr>
      <w:r>
        <w:rPr>
          <w:rFonts w:ascii="Times New Roman" w:hAnsi="Times New Roman" w:cs="Times New Roman"/>
          <w:b/>
          <w:sz w:val="24"/>
          <w:szCs w:val="24"/>
          <w:lang w:val="lt-LT"/>
        </w:rPr>
        <w:t>TRANSPORTAVIMO ĮMONIŲ BANKROTO PROGNOZAVIMO MODELIŲ REZULTATAI</w:t>
      </w:r>
    </w:p>
    <w:p w:rsidR="004556BE" w:rsidRDefault="004556BE" w:rsidP="00E035CC">
      <w:pPr>
        <w:jc w:val="center"/>
        <w:rPr>
          <w:rFonts w:ascii="Times New Roman" w:hAnsi="Times New Roman" w:cs="Times New Roman"/>
          <w:sz w:val="24"/>
          <w:szCs w:val="24"/>
          <w:lang w:val="lt-LT"/>
        </w:rPr>
      </w:pPr>
    </w:p>
    <w:p w:rsidR="001C2B23" w:rsidRDefault="001C2B23" w:rsidP="001C2B23">
      <w:pPr>
        <w:spacing w:after="0"/>
        <w:contextualSpacing/>
        <w:jc w:val="center"/>
        <w:rPr>
          <w:rFonts w:ascii="Times New Roman" w:hAnsi="Times New Roman" w:cs="Times New Roman"/>
          <w:b/>
          <w:szCs w:val="24"/>
        </w:rPr>
      </w:pPr>
      <w:r>
        <w:rPr>
          <w:rFonts w:ascii="Times New Roman" w:hAnsi="Times New Roman" w:cs="Times New Roman"/>
          <w:szCs w:val="24"/>
        </w:rPr>
        <w:t>1</w:t>
      </w:r>
      <w:r w:rsidRPr="004D5C99">
        <w:rPr>
          <w:rFonts w:ascii="Times New Roman" w:hAnsi="Times New Roman" w:cs="Times New Roman"/>
          <w:szCs w:val="24"/>
        </w:rPr>
        <w:t xml:space="preserve"> lentelė.</w:t>
      </w:r>
      <w:r w:rsidRPr="004D5C99">
        <w:rPr>
          <w:rFonts w:ascii="Times New Roman" w:hAnsi="Times New Roman" w:cs="Times New Roman"/>
          <w:b/>
          <w:szCs w:val="24"/>
        </w:rPr>
        <w:t xml:space="preserve"> </w:t>
      </w:r>
      <w:r>
        <w:rPr>
          <w:rFonts w:ascii="Times New Roman" w:hAnsi="Times New Roman" w:cs="Times New Roman"/>
          <w:b/>
          <w:szCs w:val="24"/>
        </w:rPr>
        <w:t xml:space="preserve">2008 m. tiesinės diskriminantinės analizės modelių rezultatai </w:t>
      </w:r>
    </w:p>
    <w:tbl>
      <w:tblPr>
        <w:tblW w:w="9860" w:type="dxa"/>
        <w:jc w:val="center"/>
        <w:tblInd w:w="93" w:type="dxa"/>
        <w:tblLook w:val="04A0"/>
      </w:tblPr>
      <w:tblGrid>
        <w:gridCol w:w="2180"/>
        <w:gridCol w:w="883"/>
        <w:gridCol w:w="1134"/>
        <w:gridCol w:w="883"/>
        <w:gridCol w:w="1134"/>
        <w:gridCol w:w="883"/>
        <w:gridCol w:w="1134"/>
        <w:gridCol w:w="883"/>
        <w:gridCol w:w="1134"/>
      </w:tblGrid>
      <w:tr w:rsidR="001C2B23" w:rsidRPr="00B37DEE" w:rsidTr="001C2B23">
        <w:trPr>
          <w:trHeight w:val="300"/>
          <w:jc w:val="center"/>
        </w:trPr>
        <w:tc>
          <w:tcPr>
            <w:tcW w:w="2180" w:type="dxa"/>
            <w:vMerge w:val="restart"/>
            <w:tcBorders>
              <w:top w:val="single" w:sz="4" w:space="0" w:color="auto"/>
              <w:left w:val="single" w:sz="4" w:space="0" w:color="auto"/>
              <w:bottom w:val="single" w:sz="4" w:space="0" w:color="auto"/>
              <w:right w:val="single" w:sz="4" w:space="0" w:color="auto"/>
            </w:tcBorders>
            <w:shd w:val="clear" w:color="000000" w:fill="FAC090"/>
            <w:noWrap/>
            <w:vAlign w:val="center"/>
            <w:hideMark/>
          </w:tcPr>
          <w:p w:rsidR="001C2B23" w:rsidRPr="00B37DEE" w:rsidRDefault="001C2B23" w:rsidP="004633A4">
            <w:pPr>
              <w:spacing w:after="0" w:line="240" w:lineRule="auto"/>
              <w:jc w:val="center"/>
              <w:rPr>
                <w:rFonts w:ascii="Times New Roman" w:eastAsia="Times New Roman" w:hAnsi="Times New Roman" w:cs="Times New Roman"/>
                <w:b/>
                <w:bCs/>
                <w:color w:val="000000"/>
              </w:rPr>
            </w:pPr>
            <w:r w:rsidRPr="00B37DEE">
              <w:rPr>
                <w:rFonts w:ascii="Times New Roman" w:eastAsia="Times New Roman" w:hAnsi="Times New Roman" w:cs="Times New Roman"/>
                <w:b/>
                <w:bCs/>
                <w:color w:val="000000"/>
              </w:rPr>
              <w:t>Įmonė</w:t>
            </w:r>
          </w:p>
        </w:tc>
        <w:tc>
          <w:tcPr>
            <w:tcW w:w="1920" w:type="dxa"/>
            <w:gridSpan w:val="2"/>
            <w:tcBorders>
              <w:top w:val="single" w:sz="4" w:space="0" w:color="auto"/>
              <w:left w:val="nil"/>
              <w:bottom w:val="single" w:sz="4" w:space="0" w:color="auto"/>
              <w:right w:val="single" w:sz="4" w:space="0" w:color="000000"/>
            </w:tcBorders>
            <w:shd w:val="clear" w:color="000000" w:fill="FAC090"/>
            <w:noWrap/>
            <w:vAlign w:val="center"/>
            <w:hideMark/>
          </w:tcPr>
          <w:p w:rsidR="001C2B23" w:rsidRPr="00B37DEE" w:rsidRDefault="001C2B23" w:rsidP="004633A4">
            <w:pPr>
              <w:spacing w:after="0" w:line="240" w:lineRule="auto"/>
              <w:jc w:val="center"/>
              <w:rPr>
                <w:rFonts w:ascii="Times New Roman" w:eastAsia="Times New Roman" w:hAnsi="Times New Roman" w:cs="Times New Roman"/>
                <w:b/>
                <w:bCs/>
                <w:color w:val="000000"/>
              </w:rPr>
            </w:pPr>
            <w:r w:rsidRPr="00B37DEE">
              <w:rPr>
                <w:rFonts w:ascii="Times New Roman" w:eastAsia="Times New Roman" w:hAnsi="Times New Roman" w:cs="Times New Roman"/>
                <w:b/>
                <w:bCs/>
                <w:color w:val="000000"/>
              </w:rPr>
              <w:t>ALTMAN</w:t>
            </w:r>
          </w:p>
        </w:tc>
        <w:tc>
          <w:tcPr>
            <w:tcW w:w="1920" w:type="dxa"/>
            <w:gridSpan w:val="2"/>
            <w:tcBorders>
              <w:top w:val="single" w:sz="4" w:space="0" w:color="auto"/>
              <w:left w:val="nil"/>
              <w:bottom w:val="single" w:sz="4" w:space="0" w:color="auto"/>
              <w:right w:val="single" w:sz="4" w:space="0" w:color="000000"/>
            </w:tcBorders>
            <w:shd w:val="clear" w:color="000000" w:fill="FAC090"/>
            <w:noWrap/>
            <w:vAlign w:val="center"/>
            <w:hideMark/>
          </w:tcPr>
          <w:p w:rsidR="001C2B23" w:rsidRPr="00B37DEE" w:rsidRDefault="001C2B23" w:rsidP="004633A4">
            <w:pPr>
              <w:spacing w:after="0" w:line="240" w:lineRule="auto"/>
              <w:jc w:val="center"/>
              <w:rPr>
                <w:rFonts w:ascii="Times New Roman" w:eastAsia="Times New Roman" w:hAnsi="Times New Roman" w:cs="Times New Roman"/>
                <w:b/>
                <w:bCs/>
                <w:color w:val="000000"/>
              </w:rPr>
            </w:pPr>
            <w:r w:rsidRPr="00B37DEE">
              <w:rPr>
                <w:rFonts w:ascii="Times New Roman" w:eastAsia="Times New Roman" w:hAnsi="Times New Roman" w:cs="Times New Roman"/>
                <w:b/>
                <w:bCs/>
                <w:color w:val="000000"/>
              </w:rPr>
              <w:t>SPRINGATE</w:t>
            </w:r>
          </w:p>
        </w:tc>
        <w:tc>
          <w:tcPr>
            <w:tcW w:w="1920" w:type="dxa"/>
            <w:gridSpan w:val="2"/>
            <w:tcBorders>
              <w:top w:val="single" w:sz="4" w:space="0" w:color="auto"/>
              <w:left w:val="nil"/>
              <w:bottom w:val="single" w:sz="4" w:space="0" w:color="auto"/>
              <w:right w:val="single" w:sz="4" w:space="0" w:color="000000"/>
            </w:tcBorders>
            <w:shd w:val="clear" w:color="000000" w:fill="FAC090"/>
            <w:noWrap/>
            <w:vAlign w:val="center"/>
            <w:hideMark/>
          </w:tcPr>
          <w:p w:rsidR="001C2B23" w:rsidRPr="00B37DEE" w:rsidRDefault="001C2B23" w:rsidP="004633A4">
            <w:pPr>
              <w:spacing w:after="0" w:line="240" w:lineRule="auto"/>
              <w:jc w:val="center"/>
              <w:rPr>
                <w:rFonts w:ascii="Times New Roman" w:eastAsia="Times New Roman" w:hAnsi="Times New Roman" w:cs="Times New Roman"/>
                <w:b/>
                <w:bCs/>
                <w:color w:val="000000"/>
              </w:rPr>
            </w:pPr>
            <w:r w:rsidRPr="00B37DEE">
              <w:rPr>
                <w:rFonts w:ascii="Times New Roman" w:eastAsia="Times New Roman" w:hAnsi="Times New Roman" w:cs="Times New Roman"/>
                <w:b/>
                <w:bCs/>
                <w:color w:val="000000"/>
              </w:rPr>
              <w:t>TAFLER</w:t>
            </w:r>
          </w:p>
        </w:tc>
        <w:tc>
          <w:tcPr>
            <w:tcW w:w="1920" w:type="dxa"/>
            <w:gridSpan w:val="2"/>
            <w:tcBorders>
              <w:top w:val="single" w:sz="4" w:space="0" w:color="auto"/>
              <w:left w:val="nil"/>
              <w:bottom w:val="single" w:sz="4" w:space="0" w:color="auto"/>
              <w:right w:val="single" w:sz="4" w:space="0" w:color="000000"/>
            </w:tcBorders>
            <w:shd w:val="clear" w:color="000000" w:fill="FAC090"/>
            <w:noWrap/>
            <w:vAlign w:val="center"/>
            <w:hideMark/>
          </w:tcPr>
          <w:p w:rsidR="001C2B23" w:rsidRPr="00B37DEE" w:rsidRDefault="001C2B23" w:rsidP="004633A4">
            <w:pPr>
              <w:spacing w:after="0" w:line="240" w:lineRule="auto"/>
              <w:jc w:val="center"/>
              <w:rPr>
                <w:rFonts w:ascii="Times New Roman" w:eastAsia="Times New Roman" w:hAnsi="Times New Roman" w:cs="Times New Roman"/>
                <w:b/>
                <w:bCs/>
                <w:color w:val="000000"/>
              </w:rPr>
            </w:pPr>
            <w:r w:rsidRPr="00B37DEE">
              <w:rPr>
                <w:rFonts w:ascii="Times New Roman" w:eastAsia="Times New Roman" w:hAnsi="Times New Roman" w:cs="Times New Roman"/>
                <w:b/>
                <w:bCs/>
                <w:color w:val="000000"/>
              </w:rPr>
              <w:t>LISS</w:t>
            </w:r>
          </w:p>
        </w:tc>
      </w:tr>
      <w:tr w:rsidR="001C2B23" w:rsidRPr="00B37DEE" w:rsidTr="001C2B23">
        <w:trPr>
          <w:trHeight w:val="510"/>
          <w:jc w:val="center"/>
        </w:trPr>
        <w:tc>
          <w:tcPr>
            <w:tcW w:w="2180" w:type="dxa"/>
            <w:vMerge/>
            <w:tcBorders>
              <w:top w:val="single" w:sz="4" w:space="0" w:color="auto"/>
              <w:left w:val="single" w:sz="4" w:space="0" w:color="auto"/>
              <w:bottom w:val="single" w:sz="4" w:space="0" w:color="auto"/>
              <w:right w:val="single" w:sz="4" w:space="0" w:color="auto"/>
            </w:tcBorders>
            <w:vAlign w:val="center"/>
            <w:hideMark/>
          </w:tcPr>
          <w:p w:rsidR="001C2B23" w:rsidRPr="00B37DEE" w:rsidRDefault="001C2B23" w:rsidP="004633A4">
            <w:pPr>
              <w:spacing w:after="0" w:line="240" w:lineRule="auto"/>
              <w:rPr>
                <w:rFonts w:ascii="Times New Roman" w:eastAsia="Times New Roman" w:hAnsi="Times New Roman" w:cs="Times New Roman"/>
                <w:b/>
                <w:bCs/>
                <w:color w:val="000000"/>
              </w:rPr>
            </w:pPr>
          </w:p>
        </w:tc>
        <w:tc>
          <w:tcPr>
            <w:tcW w:w="786" w:type="dxa"/>
            <w:tcBorders>
              <w:top w:val="nil"/>
              <w:left w:val="nil"/>
              <w:bottom w:val="single" w:sz="4" w:space="0" w:color="auto"/>
              <w:right w:val="single" w:sz="4" w:space="0" w:color="auto"/>
            </w:tcBorders>
            <w:shd w:val="clear" w:color="000000" w:fill="FDE9D9"/>
            <w:noWrap/>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sz w:val="20"/>
                <w:szCs w:val="20"/>
              </w:rPr>
            </w:pPr>
            <w:r w:rsidRPr="00B37DEE">
              <w:rPr>
                <w:rFonts w:ascii="Times New Roman" w:eastAsia="Times New Roman" w:hAnsi="Times New Roman" w:cs="Times New Roman"/>
                <w:i/>
                <w:iCs/>
                <w:color w:val="000000"/>
                <w:sz w:val="20"/>
                <w:szCs w:val="20"/>
              </w:rPr>
              <w:t>Reikšmė</w:t>
            </w:r>
          </w:p>
        </w:tc>
        <w:tc>
          <w:tcPr>
            <w:tcW w:w="1134" w:type="dxa"/>
            <w:tcBorders>
              <w:top w:val="nil"/>
              <w:left w:val="nil"/>
              <w:bottom w:val="single" w:sz="4" w:space="0" w:color="auto"/>
              <w:right w:val="single" w:sz="4" w:space="0" w:color="auto"/>
            </w:tcBorders>
            <w:shd w:val="clear" w:color="000000" w:fill="FDE9D9"/>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sz w:val="20"/>
                <w:szCs w:val="20"/>
              </w:rPr>
            </w:pPr>
            <w:r w:rsidRPr="00B37DEE">
              <w:rPr>
                <w:rFonts w:ascii="Times New Roman" w:eastAsia="Times New Roman" w:hAnsi="Times New Roman" w:cs="Times New Roman"/>
                <w:i/>
                <w:iCs/>
                <w:color w:val="000000"/>
                <w:sz w:val="20"/>
                <w:szCs w:val="20"/>
              </w:rPr>
              <w:t>Būklės įvertinimas</w:t>
            </w:r>
          </w:p>
        </w:tc>
        <w:tc>
          <w:tcPr>
            <w:tcW w:w="786" w:type="dxa"/>
            <w:tcBorders>
              <w:top w:val="nil"/>
              <w:left w:val="nil"/>
              <w:bottom w:val="single" w:sz="4" w:space="0" w:color="auto"/>
              <w:right w:val="single" w:sz="4" w:space="0" w:color="auto"/>
            </w:tcBorders>
            <w:shd w:val="clear" w:color="000000" w:fill="FDE9D9"/>
            <w:noWrap/>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sz w:val="20"/>
                <w:szCs w:val="20"/>
              </w:rPr>
            </w:pPr>
            <w:r w:rsidRPr="00B37DEE">
              <w:rPr>
                <w:rFonts w:ascii="Times New Roman" w:eastAsia="Times New Roman" w:hAnsi="Times New Roman" w:cs="Times New Roman"/>
                <w:i/>
                <w:iCs/>
                <w:color w:val="000000"/>
                <w:sz w:val="20"/>
                <w:szCs w:val="20"/>
              </w:rPr>
              <w:t>Reikšmė</w:t>
            </w:r>
          </w:p>
        </w:tc>
        <w:tc>
          <w:tcPr>
            <w:tcW w:w="1134" w:type="dxa"/>
            <w:tcBorders>
              <w:top w:val="nil"/>
              <w:left w:val="nil"/>
              <w:bottom w:val="single" w:sz="4" w:space="0" w:color="auto"/>
              <w:right w:val="single" w:sz="4" w:space="0" w:color="auto"/>
            </w:tcBorders>
            <w:shd w:val="clear" w:color="000000" w:fill="FDE9D9"/>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sz w:val="20"/>
                <w:szCs w:val="20"/>
              </w:rPr>
            </w:pPr>
            <w:r w:rsidRPr="00B37DEE">
              <w:rPr>
                <w:rFonts w:ascii="Times New Roman" w:eastAsia="Times New Roman" w:hAnsi="Times New Roman" w:cs="Times New Roman"/>
                <w:i/>
                <w:iCs/>
                <w:color w:val="000000"/>
                <w:sz w:val="20"/>
                <w:szCs w:val="20"/>
              </w:rPr>
              <w:t>Būklės įvertinimas</w:t>
            </w:r>
          </w:p>
        </w:tc>
        <w:tc>
          <w:tcPr>
            <w:tcW w:w="786" w:type="dxa"/>
            <w:tcBorders>
              <w:top w:val="nil"/>
              <w:left w:val="nil"/>
              <w:bottom w:val="single" w:sz="4" w:space="0" w:color="auto"/>
              <w:right w:val="single" w:sz="4" w:space="0" w:color="auto"/>
            </w:tcBorders>
            <w:shd w:val="clear" w:color="000000" w:fill="FDE9D9"/>
            <w:noWrap/>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sz w:val="20"/>
                <w:szCs w:val="20"/>
              </w:rPr>
            </w:pPr>
            <w:r w:rsidRPr="00B37DEE">
              <w:rPr>
                <w:rFonts w:ascii="Times New Roman" w:eastAsia="Times New Roman" w:hAnsi="Times New Roman" w:cs="Times New Roman"/>
                <w:i/>
                <w:iCs/>
                <w:color w:val="000000"/>
                <w:sz w:val="20"/>
                <w:szCs w:val="20"/>
              </w:rPr>
              <w:t>Reikšmė</w:t>
            </w:r>
          </w:p>
        </w:tc>
        <w:tc>
          <w:tcPr>
            <w:tcW w:w="1134" w:type="dxa"/>
            <w:tcBorders>
              <w:top w:val="nil"/>
              <w:left w:val="nil"/>
              <w:bottom w:val="single" w:sz="4" w:space="0" w:color="auto"/>
              <w:right w:val="single" w:sz="4" w:space="0" w:color="auto"/>
            </w:tcBorders>
            <w:shd w:val="clear" w:color="000000" w:fill="FDE9D9"/>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sz w:val="20"/>
                <w:szCs w:val="20"/>
              </w:rPr>
            </w:pPr>
            <w:r w:rsidRPr="00B37DEE">
              <w:rPr>
                <w:rFonts w:ascii="Times New Roman" w:eastAsia="Times New Roman" w:hAnsi="Times New Roman" w:cs="Times New Roman"/>
                <w:i/>
                <w:iCs/>
                <w:color w:val="000000"/>
                <w:sz w:val="20"/>
                <w:szCs w:val="20"/>
              </w:rPr>
              <w:t>Būklės įvertinimas</w:t>
            </w:r>
          </w:p>
        </w:tc>
        <w:tc>
          <w:tcPr>
            <w:tcW w:w="786" w:type="dxa"/>
            <w:tcBorders>
              <w:top w:val="nil"/>
              <w:left w:val="nil"/>
              <w:bottom w:val="single" w:sz="4" w:space="0" w:color="auto"/>
              <w:right w:val="single" w:sz="4" w:space="0" w:color="auto"/>
            </w:tcBorders>
            <w:shd w:val="clear" w:color="000000" w:fill="FDE9D9"/>
            <w:noWrap/>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sz w:val="20"/>
                <w:szCs w:val="20"/>
              </w:rPr>
            </w:pPr>
            <w:r w:rsidRPr="00B37DEE">
              <w:rPr>
                <w:rFonts w:ascii="Times New Roman" w:eastAsia="Times New Roman" w:hAnsi="Times New Roman" w:cs="Times New Roman"/>
                <w:i/>
                <w:iCs/>
                <w:color w:val="000000"/>
                <w:sz w:val="20"/>
                <w:szCs w:val="20"/>
              </w:rPr>
              <w:t>Reikšmė</w:t>
            </w:r>
          </w:p>
        </w:tc>
        <w:tc>
          <w:tcPr>
            <w:tcW w:w="1134" w:type="dxa"/>
            <w:tcBorders>
              <w:top w:val="nil"/>
              <w:left w:val="nil"/>
              <w:bottom w:val="single" w:sz="4" w:space="0" w:color="auto"/>
              <w:right w:val="single" w:sz="4" w:space="0" w:color="auto"/>
            </w:tcBorders>
            <w:shd w:val="clear" w:color="000000" w:fill="FDE9D9"/>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sz w:val="20"/>
                <w:szCs w:val="20"/>
              </w:rPr>
            </w:pPr>
            <w:r w:rsidRPr="00B37DEE">
              <w:rPr>
                <w:rFonts w:ascii="Times New Roman" w:eastAsia="Times New Roman" w:hAnsi="Times New Roman" w:cs="Times New Roman"/>
                <w:i/>
                <w:iCs/>
                <w:color w:val="000000"/>
                <w:sz w:val="20"/>
                <w:szCs w:val="20"/>
              </w:rPr>
              <w:t>Būklės įvertinimas</w:t>
            </w:r>
          </w:p>
        </w:tc>
      </w:tr>
      <w:tr w:rsidR="001C2B23" w:rsidRPr="00B37DEE" w:rsidTr="001C2B23">
        <w:trPr>
          <w:trHeight w:val="300"/>
          <w:jc w:val="center"/>
        </w:trPr>
        <w:tc>
          <w:tcPr>
            <w:tcW w:w="2180" w:type="dxa"/>
            <w:tcBorders>
              <w:top w:val="nil"/>
              <w:left w:val="single" w:sz="4" w:space="0" w:color="auto"/>
              <w:bottom w:val="single" w:sz="4" w:space="0" w:color="auto"/>
              <w:right w:val="single" w:sz="4" w:space="0" w:color="auto"/>
            </w:tcBorders>
            <w:shd w:val="clear" w:color="000000" w:fill="FDE9D9"/>
            <w:noWrap/>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sz w:val="20"/>
                <w:szCs w:val="20"/>
              </w:rPr>
            </w:pPr>
            <w:r w:rsidRPr="00B37DEE">
              <w:rPr>
                <w:rFonts w:ascii="Times New Roman" w:eastAsia="Times New Roman" w:hAnsi="Times New Roman" w:cs="Times New Roman"/>
                <w:i/>
                <w:iCs/>
                <w:color w:val="000000"/>
                <w:sz w:val="20"/>
                <w:szCs w:val="20"/>
              </w:rPr>
              <w:t>UAB "Girteka"</w:t>
            </w:r>
          </w:p>
        </w:tc>
        <w:tc>
          <w:tcPr>
            <w:tcW w:w="78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1.934</w:t>
            </w:r>
          </w:p>
        </w:tc>
        <w:tc>
          <w:tcPr>
            <w:tcW w:w="113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Vidutinė</w:t>
            </w:r>
          </w:p>
        </w:tc>
        <w:tc>
          <w:tcPr>
            <w:tcW w:w="78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0.731</w:t>
            </w:r>
          </w:p>
        </w:tc>
        <w:tc>
          <w:tcPr>
            <w:tcW w:w="113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Bloga</w:t>
            </w:r>
          </w:p>
        </w:tc>
        <w:tc>
          <w:tcPr>
            <w:tcW w:w="78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-0.045</w:t>
            </w:r>
          </w:p>
        </w:tc>
        <w:tc>
          <w:tcPr>
            <w:tcW w:w="113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Bloga</w:t>
            </w:r>
          </w:p>
        </w:tc>
        <w:tc>
          <w:tcPr>
            <w:tcW w:w="78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0.028</w:t>
            </w:r>
          </w:p>
        </w:tc>
        <w:tc>
          <w:tcPr>
            <w:tcW w:w="113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Bloga</w:t>
            </w:r>
          </w:p>
        </w:tc>
      </w:tr>
      <w:tr w:rsidR="001C2B23" w:rsidRPr="00B37DEE" w:rsidTr="001C2B23">
        <w:trPr>
          <w:trHeight w:val="300"/>
          <w:jc w:val="center"/>
        </w:trPr>
        <w:tc>
          <w:tcPr>
            <w:tcW w:w="2180" w:type="dxa"/>
            <w:tcBorders>
              <w:top w:val="nil"/>
              <w:left w:val="single" w:sz="4" w:space="0" w:color="auto"/>
              <w:bottom w:val="single" w:sz="4" w:space="0" w:color="auto"/>
              <w:right w:val="single" w:sz="4" w:space="0" w:color="auto"/>
            </w:tcBorders>
            <w:shd w:val="clear" w:color="000000" w:fill="FDE9D9"/>
            <w:noWrap/>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sz w:val="20"/>
                <w:szCs w:val="20"/>
              </w:rPr>
            </w:pPr>
            <w:r w:rsidRPr="00B37DEE">
              <w:rPr>
                <w:rFonts w:ascii="Times New Roman" w:eastAsia="Times New Roman" w:hAnsi="Times New Roman" w:cs="Times New Roman"/>
                <w:i/>
                <w:iCs/>
                <w:color w:val="000000"/>
                <w:sz w:val="20"/>
                <w:szCs w:val="20"/>
              </w:rPr>
              <w:t>UAB "Autoverslas"</w:t>
            </w:r>
          </w:p>
        </w:tc>
        <w:tc>
          <w:tcPr>
            <w:tcW w:w="78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1.552</w:t>
            </w:r>
          </w:p>
        </w:tc>
        <w:tc>
          <w:tcPr>
            <w:tcW w:w="113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Vidutinė</w:t>
            </w:r>
          </w:p>
        </w:tc>
        <w:tc>
          <w:tcPr>
            <w:tcW w:w="78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0.408</w:t>
            </w:r>
          </w:p>
        </w:tc>
        <w:tc>
          <w:tcPr>
            <w:tcW w:w="113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Bloga</w:t>
            </w:r>
          </w:p>
        </w:tc>
        <w:tc>
          <w:tcPr>
            <w:tcW w:w="78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0.094</w:t>
            </w:r>
          </w:p>
        </w:tc>
        <w:tc>
          <w:tcPr>
            <w:tcW w:w="113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Bloga</w:t>
            </w:r>
          </w:p>
        </w:tc>
        <w:tc>
          <w:tcPr>
            <w:tcW w:w="78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0.046</w:t>
            </w:r>
          </w:p>
        </w:tc>
        <w:tc>
          <w:tcPr>
            <w:tcW w:w="113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Gera</w:t>
            </w:r>
          </w:p>
        </w:tc>
      </w:tr>
      <w:tr w:rsidR="001C2B23" w:rsidRPr="00B37DEE" w:rsidTr="001C2B23">
        <w:trPr>
          <w:trHeight w:val="300"/>
          <w:jc w:val="center"/>
        </w:trPr>
        <w:tc>
          <w:tcPr>
            <w:tcW w:w="2180" w:type="dxa"/>
            <w:tcBorders>
              <w:top w:val="nil"/>
              <w:left w:val="single" w:sz="4" w:space="0" w:color="auto"/>
              <w:bottom w:val="single" w:sz="4" w:space="0" w:color="auto"/>
              <w:right w:val="single" w:sz="4" w:space="0" w:color="auto"/>
            </w:tcBorders>
            <w:shd w:val="clear" w:color="000000" w:fill="FDE9D9"/>
            <w:noWrap/>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sz w:val="20"/>
                <w:szCs w:val="20"/>
              </w:rPr>
            </w:pPr>
            <w:r w:rsidRPr="00B37DEE">
              <w:rPr>
                <w:rFonts w:ascii="Times New Roman" w:eastAsia="Times New Roman" w:hAnsi="Times New Roman" w:cs="Times New Roman"/>
                <w:i/>
                <w:iCs/>
                <w:color w:val="000000"/>
                <w:sz w:val="20"/>
                <w:szCs w:val="20"/>
              </w:rPr>
              <w:t>*UAB "Romas ir Ko"</w:t>
            </w:r>
          </w:p>
        </w:tc>
        <w:tc>
          <w:tcPr>
            <w:tcW w:w="78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2.331</w:t>
            </w:r>
          </w:p>
        </w:tc>
        <w:tc>
          <w:tcPr>
            <w:tcW w:w="113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Vidutinė</w:t>
            </w:r>
          </w:p>
        </w:tc>
        <w:tc>
          <w:tcPr>
            <w:tcW w:w="78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1.517</w:t>
            </w:r>
          </w:p>
        </w:tc>
        <w:tc>
          <w:tcPr>
            <w:tcW w:w="113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Gera</w:t>
            </w:r>
          </w:p>
        </w:tc>
        <w:tc>
          <w:tcPr>
            <w:tcW w:w="78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0.568</w:t>
            </w:r>
          </w:p>
        </w:tc>
        <w:tc>
          <w:tcPr>
            <w:tcW w:w="113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Gera</w:t>
            </w:r>
          </w:p>
        </w:tc>
        <w:tc>
          <w:tcPr>
            <w:tcW w:w="78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0.103</w:t>
            </w:r>
          </w:p>
        </w:tc>
        <w:tc>
          <w:tcPr>
            <w:tcW w:w="113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Gera</w:t>
            </w:r>
          </w:p>
        </w:tc>
      </w:tr>
      <w:tr w:rsidR="001C2B23" w:rsidRPr="00B37DEE" w:rsidTr="001C2B23">
        <w:trPr>
          <w:trHeight w:val="300"/>
          <w:jc w:val="center"/>
        </w:trPr>
        <w:tc>
          <w:tcPr>
            <w:tcW w:w="2180" w:type="dxa"/>
            <w:tcBorders>
              <w:top w:val="nil"/>
              <w:left w:val="single" w:sz="4" w:space="0" w:color="auto"/>
              <w:bottom w:val="single" w:sz="4" w:space="0" w:color="auto"/>
              <w:right w:val="single" w:sz="4" w:space="0" w:color="auto"/>
            </w:tcBorders>
            <w:shd w:val="clear" w:color="000000" w:fill="FDE9D9"/>
            <w:noWrap/>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sz w:val="20"/>
                <w:szCs w:val="20"/>
              </w:rPr>
            </w:pPr>
            <w:r w:rsidRPr="00B37DEE">
              <w:rPr>
                <w:rFonts w:ascii="Times New Roman" w:eastAsia="Times New Roman" w:hAnsi="Times New Roman" w:cs="Times New Roman"/>
                <w:i/>
                <w:iCs/>
                <w:color w:val="000000"/>
                <w:sz w:val="20"/>
                <w:szCs w:val="20"/>
              </w:rPr>
              <w:t>*UAB "Achemarida"</w:t>
            </w:r>
          </w:p>
        </w:tc>
        <w:tc>
          <w:tcPr>
            <w:tcW w:w="78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2.762</w:t>
            </w:r>
          </w:p>
        </w:tc>
        <w:tc>
          <w:tcPr>
            <w:tcW w:w="113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Vidutinė</w:t>
            </w:r>
          </w:p>
        </w:tc>
        <w:tc>
          <w:tcPr>
            <w:tcW w:w="78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0.772</w:t>
            </w:r>
          </w:p>
        </w:tc>
        <w:tc>
          <w:tcPr>
            <w:tcW w:w="113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Bloga</w:t>
            </w:r>
          </w:p>
        </w:tc>
        <w:tc>
          <w:tcPr>
            <w:tcW w:w="78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0.421</w:t>
            </w:r>
          </w:p>
        </w:tc>
        <w:tc>
          <w:tcPr>
            <w:tcW w:w="113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Gera</w:t>
            </w:r>
          </w:p>
        </w:tc>
        <w:tc>
          <w:tcPr>
            <w:tcW w:w="78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0.021</w:t>
            </w:r>
          </w:p>
        </w:tc>
        <w:tc>
          <w:tcPr>
            <w:tcW w:w="113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Bloga</w:t>
            </w:r>
          </w:p>
        </w:tc>
      </w:tr>
    </w:tbl>
    <w:p w:rsidR="001C2B23" w:rsidRDefault="001C2B23" w:rsidP="00E035CC">
      <w:pPr>
        <w:jc w:val="center"/>
        <w:rPr>
          <w:rFonts w:ascii="Times New Roman" w:hAnsi="Times New Roman" w:cs="Times New Roman"/>
          <w:sz w:val="24"/>
          <w:szCs w:val="24"/>
          <w:lang w:val="lt-LT"/>
        </w:rPr>
      </w:pPr>
    </w:p>
    <w:p w:rsidR="001C2B23" w:rsidRDefault="001C2B23" w:rsidP="001C2B23">
      <w:pPr>
        <w:spacing w:after="0"/>
        <w:contextualSpacing/>
        <w:jc w:val="center"/>
        <w:rPr>
          <w:rFonts w:ascii="Times New Roman" w:hAnsi="Times New Roman" w:cs="Times New Roman"/>
          <w:b/>
          <w:szCs w:val="24"/>
        </w:rPr>
      </w:pPr>
      <w:r>
        <w:rPr>
          <w:rFonts w:ascii="Times New Roman" w:hAnsi="Times New Roman" w:cs="Times New Roman"/>
          <w:szCs w:val="24"/>
        </w:rPr>
        <w:t>2</w:t>
      </w:r>
      <w:r w:rsidRPr="004D5C99">
        <w:rPr>
          <w:rFonts w:ascii="Times New Roman" w:hAnsi="Times New Roman" w:cs="Times New Roman"/>
          <w:szCs w:val="24"/>
        </w:rPr>
        <w:t xml:space="preserve"> lentelė.</w:t>
      </w:r>
      <w:r w:rsidRPr="004D5C99">
        <w:rPr>
          <w:rFonts w:ascii="Times New Roman" w:hAnsi="Times New Roman" w:cs="Times New Roman"/>
          <w:b/>
          <w:szCs w:val="24"/>
        </w:rPr>
        <w:t xml:space="preserve"> </w:t>
      </w:r>
      <w:r>
        <w:rPr>
          <w:rFonts w:ascii="Times New Roman" w:hAnsi="Times New Roman" w:cs="Times New Roman"/>
          <w:b/>
          <w:szCs w:val="24"/>
        </w:rPr>
        <w:t xml:space="preserve">2009 m. tiesinės diskriminantinės analizės modelių rezultatai </w:t>
      </w:r>
    </w:p>
    <w:tbl>
      <w:tblPr>
        <w:tblW w:w="9860" w:type="dxa"/>
        <w:jc w:val="center"/>
        <w:tblInd w:w="93" w:type="dxa"/>
        <w:tblLook w:val="04A0"/>
      </w:tblPr>
      <w:tblGrid>
        <w:gridCol w:w="2180"/>
        <w:gridCol w:w="883"/>
        <w:gridCol w:w="1134"/>
        <w:gridCol w:w="883"/>
        <w:gridCol w:w="1134"/>
        <w:gridCol w:w="883"/>
        <w:gridCol w:w="1134"/>
        <w:gridCol w:w="883"/>
        <w:gridCol w:w="1134"/>
      </w:tblGrid>
      <w:tr w:rsidR="001C2B23" w:rsidRPr="00B37DEE" w:rsidTr="001C2B23">
        <w:trPr>
          <w:trHeight w:val="300"/>
          <w:jc w:val="center"/>
        </w:trPr>
        <w:tc>
          <w:tcPr>
            <w:tcW w:w="2180" w:type="dxa"/>
            <w:vMerge w:val="restart"/>
            <w:tcBorders>
              <w:top w:val="single" w:sz="4" w:space="0" w:color="auto"/>
              <w:left w:val="single" w:sz="4" w:space="0" w:color="auto"/>
              <w:bottom w:val="single" w:sz="4" w:space="0" w:color="auto"/>
              <w:right w:val="single" w:sz="4" w:space="0" w:color="auto"/>
            </w:tcBorders>
            <w:shd w:val="clear" w:color="000000" w:fill="FAC090"/>
            <w:noWrap/>
            <w:vAlign w:val="center"/>
            <w:hideMark/>
          </w:tcPr>
          <w:p w:rsidR="001C2B23" w:rsidRPr="00B37DEE" w:rsidRDefault="001C2B23" w:rsidP="004633A4">
            <w:pPr>
              <w:spacing w:after="0" w:line="240" w:lineRule="auto"/>
              <w:jc w:val="center"/>
              <w:rPr>
                <w:rFonts w:ascii="Times New Roman" w:eastAsia="Times New Roman" w:hAnsi="Times New Roman" w:cs="Times New Roman"/>
                <w:b/>
                <w:bCs/>
                <w:color w:val="000000"/>
              </w:rPr>
            </w:pPr>
            <w:r w:rsidRPr="00B37DEE">
              <w:rPr>
                <w:rFonts w:ascii="Times New Roman" w:eastAsia="Times New Roman" w:hAnsi="Times New Roman" w:cs="Times New Roman"/>
                <w:b/>
                <w:bCs/>
                <w:color w:val="000000"/>
              </w:rPr>
              <w:t>Įmonė</w:t>
            </w:r>
          </w:p>
        </w:tc>
        <w:tc>
          <w:tcPr>
            <w:tcW w:w="1920" w:type="dxa"/>
            <w:gridSpan w:val="2"/>
            <w:tcBorders>
              <w:top w:val="single" w:sz="4" w:space="0" w:color="auto"/>
              <w:left w:val="nil"/>
              <w:bottom w:val="single" w:sz="4" w:space="0" w:color="auto"/>
              <w:right w:val="single" w:sz="4" w:space="0" w:color="000000"/>
            </w:tcBorders>
            <w:shd w:val="clear" w:color="000000" w:fill="FAC090"/>
            <w:noWrap/>
            <w:vAlign w:val="center"/>
            <w:hideMark/>
          </w:tcPr>
          <w:p w:rsidR="001C2B23" w:rsidRPr="00B37DEE" w:rsidRDefault="001C2B23" w:rsidP="004633A4">
            <w:pPr>
              <w:spacing w:after="0" w:line="240" w:lineRule="auto"/>
              <w:jc w:val="center"/>
              <w:rPr>
                <w:rFonts w:ascii="Times New Roman" w:eastAsia="Times New Roman" w:hAnsi="Times New Roman" w:cs="Times New Roman"/>
                <w:b/>
                <w:bCs/>
                <w:color w:val="000000"/>
              </w:rPr>
            </w:pPr>
            <w:r w:rsidRPr="00B37DEE">
              <w:rPr>
                <w:rFonts w:ascii="Times New Roman" w:eastAsia="Times New Roman" w:hAnsi="Times New Roman" w:cs="Times New Roman"/>
                <w:b/>
                <w:bCs/>
                <w:color w:val="000000"/>
              </w:rPr>
              <w:t>ALTMAN</w:t>
            </w:r>
          </w:p>
        </w:tc>
        <w:tc>
          <w:tcPr>
            <w:tcW w:w="1920" w:type="dxa"/>
            <w:gridSpan w:val="2"/>
            <w:tcBorders>
              <w:top w:val="single" w:sz="4" w:space="0" w:color="auto"/>
              <w:left w:val="nil"/>
              <w:bottom w:val="single" w:sz="4" w:space="0" w:color="auto"/>
              <w:right w:val="single" w:sz="4" w:space="0" w:color="000000"/>
            </w:tcBorders>
            <w:shd w:val="clear" w:color="000000" w:fill="FAC090"/>
            <w:noWrap/>
            <w:vAlign w:val="center"/>
            <w:hideMark/>
          </w:tcPr>
          <w:p w:rsidR="001C2B23" w:rsidRPr="00B37DEE" w:rsidRDefault="001C2B23" w:rsidP="004633A4">
            <w:pPr>
              <w:spacing w:after="0" w:line="240" w:lineRule="auto"/>
              <w:jc w:val="center"/>
              <w:rPr>
                <w:rFonts w:ascii="Times New Roman" w:eastAsia="Times New Roman" w:hAnsi="Times New Roman" w:cs="Times New Roman"/>
                <w:b/>
                <w:bCs/>
                <w:color w:val="000000"/>
              </w:rPr>
            </w:pPr>
            <w:r w:rsidRPr="00B37DEE">
              <w:rPr>
                <w:rFonts w:ascii="Times New Roman" w:eastAsia="Times New Roman" w:hAnsi="Times New Roman" w:cs="Times New Roman"/>
                <w:b/>
                <w:bCs/>
                <w:color w:val="000000"/>
              </w:rPr>
              <w:t>SPRINGATE</w:t>
            </w:r>
          </w:p>
        </w:tc>
        <w:tc>
          <w:tcPr>
            <w:tcW w:w="1920" w:type="dxa"/>
            <w:gridSpan w:val="2"/>
            <w:tcBorders>
              <w:top w:val="single" w:sz="4" w:space="0" w:color="auto"/>
              <w:left w:val="nil"/>
              <w:bottom w:val="single" w:sz="4" w:space="0" w:color="auto"/>
              <w:right w:val="single" w:sz="4" w:space="0" w:color="000000"/>
            </w:tcBorders>
            <w:shd w:val="clear" w:color="000000" w:fill="FAC090"/>
            <w:noWrap/>
            <w:vAlign w:val="center"/>
            <w:hideMark/>
          </w:tcPr>
          <w:p w:rsidR="001C2B23" w:rsidRPr="00B37DEE" w:rsidRDefault="001C2B23" w:rsidP="004633A4">
            <w:pPr>
              <w:spacing w:after="0" w:line="240" w:lineRule="auto"/>
              <w:jc w:val="center"/>
              <w:rPr>
                <w:rFonts w:ascii="Times New Roman" w:eastAsia="Times New Roman" w:hAnsi="Times New Roman" w:cs="Times New Roman"/>
                <w:b/>
                <w:bCs/>
                <w:color w:val="000000"/>
              </w:rPr>
            </w:pPr>
            <w:r w:rsidRPr="00B37DEE">
              <w:rPr>
                <w:rFonts w:ascii="Times New Roman" w:eastAsia="Times New Roman" w:hAnsi="Times New Roman" w:cs="Times New Roman"/>
                <w:b/>
                <w:bCs/>
                <w:color w:val="000000"/>
              </w:rPr>
              <w:t>TAFLER</w:t>
            </w:r>
          </w:p>
        </w:tc>
        <w:tc>
          <w:tcPr>
            <w:tcW w:w="1920" w:type="dxa"/>
            <w:gridSpan w:val="2"/>
            <w:tcBorders>
              <w:top w:val="single" w:sz="4" w:space="0" w:color="auto"/>
              <w:left w:val="nil"/>
              <w:bottom w:val="single" w:sz="4" w:space="0" w:color="auto"/>
              <w:right w:val="single" w:sz="4" w:space="0" w:color="000000"/>
            </w:tcBorders>
            <w:shd w:val="clear" w:color="000000" w:fill="FAC090"/>
            <w:noWrap/>
            <w:vAlign w:val="center"/>
            <w:hideMark/>
          </w:tcPr>
          <w:p w:rsidR="001C2B23" w:rsidRPr="00B37DEE" w:rsidRDefault="001C2B23" w:rsidP="004633A4">
            <w:pPr>
              <w:spacing w:after="0" w:line="240" w:lineRule="auto"/>
              <w:jc w:val="center"/>
              <w:rPr>
                <w:rFonts w:ascii="Times New Roman" w:eastAsia="Times New Roman" w:hAnsi="Times New Roman" w:cs="Times New Roman"/>
                <w:b/>
                <w:bCs/>
                <w:color w:val="000000"/>
              </w:rPr>
            </w:pPr>
            <w:r w:rsidRPr="00B37DEE">
              <w:rPr>
                <w:rFonts w:ascii="Times New Roman" w:eastAsia="Times New Roman" w:hAnsi="Times New Roman" w:cs="Times New Roman"/>
                <w:b/>
                <w:bCs/>
                <w:color w:val="000000"/>
              </w:rPr>
              <w:t>LISS</w:t>
            </w:r>
          </w:p>
        </w:tc>
      </w:tr>
      <w:tr w:rsidR="001C2B23" w:rsidRPr="00B37DEE" w:rsidTr="001C2B23">
        <w:trPr>
          <w:trHeight w:val="510"/>
          <w:jc w:val="center"/>
        </w:trPr>
        <w:tc>
          <w:tcPr>
            <w:tcW w:w="2180" w:type="dxa"/>
            <w:vMerge/>
            <w:tcBorders>
              <w:top w:val="single" w:sz="4" w:space="0" w:color="auto"/>
              <w:left w:val="single" w:sz="4" w:space="0" w:color="auto"/>
              <w:bottom w:val="single" w:sz="4" w:space="0" w:color="auto"/>
              <w:right w:val="single" w:sz="4" w:space="0" w:color="auto"/>
            </w:tcBorders>
            <w:vAlign w:val="center"/>
            <w:hideMark/>
          </w:tcPr>
          <w:p w:rsidR="001C2B23" w:rsidRPr="00B37DEE" w:rsidRDefault="001C2B23" w:rsidP="004633A4">
            <w:pPr>
              <w:spacing w:after="0" w:line="240" w:lineRule="auto"/>
              <w:rPr>
                <w:rFonts w:ascii="Times New Roman" w:eastAsia="Times New Roman" w:hAnsi="Times New Roman" w:cs="Times New Roman"/>
                <w:b/>
                <w:bCs/>
                <w:color w:val="000000"/>
              </w:rPr>
            </w:pPr>
          </w:p>
        </w:tc>
        <w:tc>
          <w:tcPr>
            <w:tcW w:w="786" w:type="dxa"/>
            <w:tcBorders>
              <w:top w:val="nil"/>
              <w:left w:val="nil"/>
              <w:bottom w:val="single" w:sz="4" w:space="0" w:color="auto"/>
              <w:right w:val="single" w:sz="4" w:space="0" w:color="auto"/>
            </w:tcBorders>
            <w:shd w:val="clear" w:color="000000" w:fill="FDE9D9"/>
            <w:noWrap/>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sz w:val="20"/>
                <w:szCs w:val="20"/>
              </w:rPr>
            </w:pPr>
            <w:r w:rsidRPr="00B37DEE">
              <w:rPr>
                <w:rFonts w:ascii="Times New Roman" w:eastAsia="Times New Roman" w:hAnsi="Times New Roman" w:cs="Times New Roman"/>
                <w:i/>
                <w:iCs/>
                <w:color w:val="000000"/>
                <w:sz w:val="20"/>
                <w:szCs w:val="20"/>
              </w:rPr>
              <w:t>Reikšmė</w:t>
            </w:r>
          </w:p>
        </w:tc>
        <w:tc>
          <w:tcPr>
            <w:tcW w:w="1134" w:type="dxa"/>
            <w:tcBorders>
              <w:top w:val="nil"/>
              <w:left w:val="nil"/>
              <w:bottom w:val="single" w:sz="4" w:space="0" w:color="auto"/>
              <w:right w:val="single" w:sz="4" w:space="0" w:color="auto"/>
            </w:tcBorders>
            <w:shd w:val="clear" w:color="000000" w:fill="FDE9D9"/>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sz w:val="20"/>
                <w:szCs w:val="20"/>
              </w:rPr>
            </w:pPr>
            <w:r w:rsidRPr="00B37DEE">
              <w:rPr>
                <w:rFonts w:ascii="Times New Roman" w:eastAsia="Times New Roman" w:hAnsi="Times New Roman" w:cs="Times New Roman"/>
                <w:i/>
                <w:iCs/>
                <w:color w:val="000000"/>
                <w:sz w:val="20"/>
                <w:szCs w:val="20"/>
              </w:rPr>
              <w:t>Būklės įvertinimas</w:t>
            </w:r>
          </w:p>
        </w:tc>
        <w:tc>
          <w:tcPr>
            <w:tcW w:w="786" w:type="dxa"/>
            <w:tcBorders>
              <w:top w:val="nil"/>
              <w:left w:val="nil"/>
              <w:bottom w:val="single" w:sz="4" w:space="0" w:color="auto"/>
              <w:right w:val="single" w:sz="4" w:space="0" w:color="auto"/>
            </w:tcBorders>
            <w:shd w:val="clear" w:color="000000" w:fill="FDE9D9"/>
            <w:noWrap/>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sz w:val="20"/>
                <w:szCs w:val="20"/>
              </w:rPr>
            </w:pPr>
            <w:r w:rsidRPr="00B37DEE">
              <w:rPr>
                <w:rFonts w:ascii="Times New Roman" w:eastAsia="Times New Roman" w:hAnsi="Times New Roman" w:cs="Times New Roman"/>
                <w:i/>
                <w:iCs/>
                <w:color w:val="000000"/>
                <w:sz w:val="20"/>
                <w:szCs w:val="20"/>
              </w:rPr>
              <w:t>Reikšmė</w:t>
            </w:r>
          </w:p>
        </w:tc>
        <w:tc>
          <w:tcPr>
            <w:tcW w:w="1134" w:type="dxa"/>
            <w:tcBorders>
              <w:top w:val="nil"/>
              <w:left w:val="nil"/>
              <w:bottom w:val="single" w:sz="4" w:space="0" w:color="auto"/>
              <w:right w:val="single" w:sz="4" w:space="0" w:color="auto"/>
            </w:tcBorders>
            <w:shd w:val="clear" w:color="000000" w:fill="FDE9D9"/>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sz w:val="20"/>
                <w:szCs w:val="20"/>
              </w:rPr>
            </w:pPr>
            <w:r w:rsidRPr="00B37DEE">
              <w:rPr>
                <w:rFonts w:ascii="Times New Roman" w:eastAsia="Times New Roman" w:hAnsi="Times New Roman" w:cs="Times New Roman"/>
                <w:i/>
                <w:iCs/>
                <w:color w:val="000000"/>
                <w:sz w:val="20"/>
                <w:szCs w:val="20"/>
              </w:rPr>
              <w:t>Būklės įvertinimas</w:t>
            </w:r>
          </w:p>
        </w:tc>
        <w:tc>
          <w:tcPr>
            <w:tcW w:w="786" w:type="dxa"/>
            <w:tcBorders>
              <w:top w:val="nil"/>
              <w:left w:val="nil"/>
              <w:bottom w:val="single" w:sz="4" w:space="0" w:color="auto"/>
              <w:right w:val="single" w:sz="4" w:space="0" w:color="auto"/>
            </w:tcBorders>
            <w:shd w:val="clear" w:color="000000" w:fill="FDE9D9"/>
            <w:noWrap/>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sz w:val="20"/>
                <w:szCs w:val="20"/>
              </w:rPr>
            </w:pPr>
            <w:r w:rsidRPr="00B37DEE">
              <w:rPr>
                <w:rFonts w:ascii="Times New Roman" w:eastAsia="Times New Roman" w:hAnsi="Times New Roman" w:cs="Times New Roman"/>
                <w:i/>
                <w:iCs/>
                <w:color w:val="000000"/>
                <w:sz w:val="20"/>
                <w:szCs w:val="20"/>
              </w:rPr>
              <w:t>Reikšmė</w:t>
            </w:r>
          </w:p>
        </w:tc>
        <w:tc>
          <w:tcPr>
            <w:tcW w:w="1134" w:type="dxa"/>
            <w:tcBorders>
              <w:top w:val="nil"/>
              <w:left w:val="nil"/>
              <w:bottom w:val="single" w:sz="4" w:space="0" w:color="auto"/>
              <w:right w:val="single" w:sz="4" w:space="0" w:color="auto"/>
            </w:tcBorders>
            <w:shd w:val="clear" w:color="000000" w:fill="FDE9D9"/>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sz w:val="20"/>
                <w:szCs w:val="20"/>
              </w:rPr>
            </w:pPr>
            <w:r w:rsidRPr="00B37DEE">
              <w:rPr>
                <w:rFonts w:ascii="Times New Roman" w:eastAsia="Times New Roman" w:hAnsi="Times New Roman" w:cs="Times New Roman"/>
                <w:i/>
                <w:iCs/>
                <w:color w:val="000000"/>
                <w:sz w:val="20"/>
                <w:szCs w:val="20"/>
              </w:rPr>
              <w:t>Būklės įvertinimas</w:t>
            </w:r>
          </w:p>
        </w:tc>
        <w:tc>
          <w:tcPr>
            <w:tcW w:w="786" w:type="dxa"/>
            <w:tcBorders>
              <w:top w:val="nil"/>
              <w:left w:val="nil"/>
              <w:bottom w:val="single" w:sz="4" w:space="0" w:color="auto"/>
              <w:right w:val="single" w:sz="4" w:space="0" w:color="auto"/>
            </w:tcBorders>
            <w:shd w:val="clear" w:color="000000" w:fill="FDE9D9"/>
            <w:noWrap/>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sz w:val="20"/>
                <w:szCs w:val="20"/>
              </w:rPr>
            </w:pPr>
            <w:r w:rsidRPr="00B37DEE">
              <w:rPr>
                <w:rFonts w:ascii="Times New Roman" w:eastAsia="Times New Roman" w:hAnsi="Times New Roman" w:cs="Times New Roman"/>
                <w:i/>
                <w:iCs/>
                <w:color w:val="000000"/>
                <w:sz w:val="20"/>
                <w:szCs w:val="20"/>
              </w:rPr>
              <w:t>Reikšmė</w:t>
            </w:r>
          </w:p>
        </w:tc>
        <w:tc>
          <w:tcPr>
            <w:tcW w:w="1134" w:type="dxa"/>
            <w:tcBorders>
              <w:top w:val="nil"/>
              <w:left w:val="nil"/>
              <w:bottom w:val="single" w:sz="4" w:space="0" w:color="auto"/>
              <w:right w:val="single" w:sz="4" w:space="0" w:color="auto"/>
            </w:tcBorders>
            <w:shd w:val="clear" w:color="000000" w:fill="FDE9D9"/>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sz w:val="20"/>
                <w:szCs w:val="20"/>
              </w:rPr>
            </w:pPr>
            <w:r w:rsidRPr="00B37DEE">
              <w:rPr>
                <w:rFonts w:ascii="Times New Roman" w:eastAsia="Times New Roman" w:hAnsi="Times New Roman" w:cs="Times New Roman"/>
                <w:i/>
                <w:iCs/>
                <w:color w:val="000000"/>
                <w:sz w:val="20"/>
                <w:szCs w:val="20"/>
              </w:rPr>
              <w:t>Būklės įvertinimas</w:t>
            </w:r>
          </w:p>
        </w:tc>
      </w:tr>
      <w:tr w:rsidR="001C2B23" w:rsidRPr="00B37DEE" w:rsidTr="001C2B23">
        <w:trPr>
          <w:trHeight w:val="300"/>
          <w:jc w:val="center"/>
        </w:trPr>
        <w:tc>
          <w:tcPr>
            <w:tcW w:w="2180" w:type="dxa"/>
            <w:tcBorders>
              <w:top w:val="nil"/>
              <w:left w:val="single" w:sz="4" w:space="0" w:color="auto"/>
              <w:bottom w:val="single" w:sz="4" w:space="0" w:color="auto"/>
              <w:right w:val="single" w:sz="4" w:space="0" w:color="auto"/>
            </w:tcBorders>
            <w:shd w:val="clear" w:color="000000" w:fill="FDE9D9"/>
            <w:noWrap/>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sz w:val="20"/>
                <w:szCs w:val="20"/>
              </w:rPr>
            </w:pPr>
            <w:r w:rsidRPr="00B37DEE">
              <w:rPr>
                <w:rFonts w:ascii="Times New Roman" w:eastAsia="Times New Roman" w:hAnsi="Times New Roman" w:cs="Times New Roman"/>
                <w:i/>
                <w:iCs/>
                <w:color w:val="000000"/>
                <w:sz w:val="20"/>
                <w:szCs w:val="20"/>
              </w:rPr>
              <w:t>UAB "Girteka"</w:t>
            </w:r>
          </w:p>
        </w:tc>
        <w:tc>
          <w:tcPr>
            <w:tcW w:w="78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1.819</w:t>
            </w:r>
          </w:p>
        </w:tc>
        <w:tc>
          <w:tcPr>
            <w:tcW w:w="113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Vidutinė</w:t>
            </w:r>
          </w:p>
        </w:tc>
        <w:tc>
          <w:tcPr>
            <w:tcW w:w="78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0.627</w:t>
            </w:r>
          </w:p>
        </w:tc>
        <w:tc>
          <w:tcPr>
            <w:tcW w:w="113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Bloga</w:t>
            </w:r>
          </w:p>
        </w:tc>
        <w:tc>
          <w:tcPr>
            <w:tcW w:w="78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0.116</w:t>
            </w:r>
          </w:p>
        </w:tc>
        <w:tc>
          <w:tcPr>
            <w:tcW w:w="113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Bloga</w:t>
            </w:r>
          </w:p>
        </w:tc>
        <w:tc>
          <w:tcPr>
            <w:tcW w:w="78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0.031</w:t>
            </w:r>
          </w:p>
        </w:tc>
        <w:tc>
          <w:tcPr>
            <w:tcW w:w="113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Bloga</w:t>
            </w:r>
          </w:p>
        </w:tc>
      </w:tr>
      <w:tr w:rsidR="001C2B23" w:rsidRPr="00B37DEE" w:rsidTr="001C2B23">
        <w:trPr>
          <w:trHeight w:val="300"/>
          <w:jc w:val="center"/>
        </w:trPr>
        <w:tc>
          <w:tcPr>
            <w:tcW w:w="2180" w:type="dxa"/>
            <w:tcBorders>
              <w:top w:val="nil"/>
              <w:left w:val="single" w:sz="4" w:space="0" w:color="auto"/>
              <w:bottom w:val="single" w:sz="4" w:space="0" w:color="auto"/>
              <w:right w:val="single" w:sz="4" w:space="0" w:color="auto"/>
            </w:tcBorders>
            <w:shd w:val="clear" w:color="000000" w:fill="FDE9D9"/>
            <w:noWrap/>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sz w:val="20"/>
                <w:szCs w:val="20"/>
              </w:rPr>
            </w:pPr>
            <w:r w:rsidRPr="00B37DEE">
              <w:rPr>
                <w:rFonts w:ascii="Times New Roman" w:eastAsia="Times New Roman" w:hAnsi="Times New Roman" w:cs="Times New Roman"/>
                <w:i/>
                <w:iCs/>
                <w:color w:val="000000"/>
                <w:sz w:val="20"/>
                <w:szCs w:val="20"/>
              </w:rPr>
              <w:t>UAB "Autoverslas"</w:t>
            </w:r>
          </w:p>
        </w:tc>
        <w:tc>
          <w:tcPr>
            <w:tcW w:w="78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1.430</w:t>
            </w:r>
          </w:p>
        </w:tc>
        <w:tc>
          <w:tcPr>
            <w:tcW w:w="113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Vidutinė</w:t>
            </w:r>
          </w:p>
        </w:tc>
        <w:tc>
          <w:tcPr>
            <w:tcW w:w="78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0.641</w:t>
            </w:r>
          </w:p>
        </w:tc>
        <w:tc>
          <w:tcPr>
            <w:tcW w:w="113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Bloga</w:t>
            </w:r>
          </w:p>
        </w:tc>
        <w:tc>
          <w:tcPr>
            <w:tcW w:w="78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0.298</w:t>
            </w:r>
          </w:p>
        </w:tc>
        <w:tc>
          <w:tcPr>
            <w:tcW w:w="113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Vidutinė</w:t>
            </w:r>
          </w:p>
        </w:tc>
        <w:tc>
          <w:tcPr>
            <w:tcW w:w="78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0.049</w:t>
            </w:r>
          </w:p>
        </w:tc>
        <w:tc>
          <w:tcPr>
            <w:tcW w:w="113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Gera</w:t>
            </w:r>
          </w:p>
        </w:tc>
      </w:tr>
      <w:tr w:rsidR="001C2B23" w:rsidRPr="00B37DEE" w:rsidTr="001C2B23">
        <w:trPr>
          <w:trHeight w:val="300"/>
          <w:jc w:val="center"/>
        </w:trPr>
        <w:tc>
          <w:tcPr>
            <w:tcW w:w="2180" w:type="dxa"/>
            <w:tcBorders>
              <w:top w:val="nil"/>
              <w:left w:val="single" w:sz="4" w:space="0" w:color="auto"/>
              <w:bottom w:val="single" w:sz="4" w:space="0" w:color="auto"/>
              <w:right w:val="single" w:sz="4" w:space="0" w:color="auto"/>
            </w:tcBorders>
            <w:shd w:val="clear" w:color="000000" w:fill="FDE9D9"/>
            <w:noWrap/>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sz w:val="20"/>
                <w:szCs w:val="20"/>
              </w:rPr>
            </w:pPr>
            <w:r w:rsidRPr="00B37DEE">
              <w:rPr>
                <w:rFonts w:ascii="Times New Roman" w:eastAsia="Times New Roman" w:hAnsi="Times New Roman" w:cs="Times New Roman"/>
                <w:i/>
                <w:iCs/>
                <w:color w:val="000000"/>
                <w:sz w:val="20"/>
                <w:szCs w:val="20"/>
              </w:rPr>
              <w:t>*UAB "Romas ir Ko"</w:t>
            </w:r>
          </w:p>
        </w:tc>
        <w:tc>
          <w:tcPr>
            <w:tcW w:w="78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2.386</w:t>
            </w:r>
          </w:p>
        </w:tc>
        <w:tc>
          <w:tcPr>
            <w:tcW w:w="113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Vidutinė</w:t>
            </w:r>
          </w:p>
        </w:tc>
        <w:tc>
          <w:tcPr>
            <w:tcW w:w="78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0.773</w:t>
            </w:r>
          </w:p>
        </w:tc>
        <w:tc>
          <w:tcPr>
            <w:tcW w:w="113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Bloga</w:t>
            </w:r>
          </w:p>
        </w:tc>
        <w:tc>
          <w:tcPr>
            <w:tcW w:w="78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0.097</w:t>
            </w:r>
          </w:p>
        </w:tc>
        <w:tc>
          <w:tcPr>
            <w:tcW w:w="113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Bloga</w:t>
            </w:r>
          </w:p>
        </w:tc>
        <w:tc>
          <w:tcPr>
            <w:tcW w:w="78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0.141</w:t>
            </w:r>
          </w:p>
        </w:tc>
        <w:tc>
          <w:tcPr>
            <w:tcW w:w="113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Gera</w:t>
            </w:r>
          </w:p>
        </w:tc>
      </w:tr>
      <w:tr w:rsidR="001C2B23" w:rsidRPr="00B37DEE" w:rsidTr="001C2B23">
        <w:trPr>
          <w:trHeight w:val="300"/>
          <w:jc w:val="center"/>
        </w:trPr>
        <w:tc>
          <w:tcPr>
            <w:tcW w:w="2180" w:type="dxa"/>
            <w:tcBorders>
              <w:top w:val="nil"/>
              <w:left w:val="single" w:sz="4" w:space="0" w:color="auto"/>
              <w:bottom w:val="single" w:sz="4" w:space="0" w:color="auto"/>
              <w:right w:val="single" w:sz="4" w:space="0" w:color="auto"/>
            </w:tcBorders>
            <w:shd w:val="clear" w:color="000000" w:fill="FDE9D9"/>
            <w:noWrap/>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sz w:val="20"/>
                <w:szCs w:val="20"/>
              </w:rPr>
            </w:pPr>
            <w:r w:rsidRPr="00B37DEE">
              <w:rPr>
                <w:rFonts w:ascii="Times New Roman" w:eastAsia="Times New Roman" w:hAnsi="Times New Roman" w:cs="Times New Roman"/>
                <w:i/>
                <w:iCs/>
                <w:color w:val="000000"/>
                <w:sz w:val="20"/>
                <w:szCs w:val="20"/>
              </w:rPr>
              <w:t>*UAB "Achemarida"</w:t>
            </w:r>
          </w:p>
        </w:tc>
        <w:tc>
          <w:tcPr>
            <w:tcW w:w="78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1.052</w:t>
            </w:r>
          </w:p>
        </w:tc>
        <w:tc>
          <w:tcPr>
            <w:tcW w:w="113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Bloga</w:t>
            </w:r>
          </w:p>
        </w:tc>
        <w:tc>
          <w:tcPr>
            <w:tcW w:w="78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0.144</w:t>
            </w:r>
          </w:p>
        </w:tc>
        <w:tc>
          <w:tcPr>
            <w:tcW w:w="113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Bloga</w:t>
            </w:r>
          </w:p>
        </w:tc>
        <w:tc>
          <w:tcPr>
            <w:tcW w:w="78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0.061</w:t>
            </w:r>
          </w:p>
        </w:tc>
        <w:tc>
          <w:tcPr>
            <w:tcW w:w="113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Bloga</w:t>
            </w:r>
          </w:p>
        </w:tc>
        <w:tc>
          <w:tcPr>
            <w:tcW w:w="78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0.004</w:t>
            </w:r>
          </w:p>
        </w:tc>
        <w:tc>
          <w:tcPr>
            <w:tcW w:w="113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Bloga</w:t>
            </w:r>
          </w:p>
        </w:tc>
      </w:tr>
    </w:tbl>
    <w:p w:rsidR="001C2B23" w:rsidRDefault="001C2B23" w:rsidP="00E035CC">
      <w:pPr>
        <w:jc w:val="center"/>
        <w:rPr>
          <w:rFonts w:ascii="Times New Roman" w:hAnsi="Times New Roman" w:cs="Times New Roman"/>
          <w:sz w:val="24"/>
          <w:szCs w:val="24"/>
          <w:lang w:val="lt-LT"/>
        </w:rPr>
      </w:pPr>
    </w:p>
    <w:p w:rsidR="004556BE" w:rsidRDefault="001C2B23" w:rsidP="004556BE">
      <w:pPr>
        <w:spacing w:after="0"/>
        <w:contextualSpacing/>
        <w:jc w:val="center"/>
        <w:rPr>
          <w:rFonts w:ascii="Times New Roman" w:hAnsi="Times New Roman" w:cs="Times New Roman"/>
          <w:b/>
          <w:szCs w:val="24"/>
        </w:rPr>
      </w:pPr>
      <w:r>
        <w:rPr>
          <w:rFonts w:ascii="Times New Roman" w:hAnsi="Times New Roman" w:cs="Times New Roman"/>
          <w:szCs w:val="24"/>
        </w:rPr>
        <w:t>3</w:t>
      </w:r>
      <w:r w:rsidR="004556BE" w:rsidRPr="004D5C99">
        <w:rPr>
          <w:rFonts w:ascii="Times New Roman" w:hAnsi="Times New Roman" w:cs="Times New Roman"/>
          <w:szCs w:val="24"/>
        </w:rPr>
        <w:t xml:space="preserve"> lentelė.</w:t>
      </w:r>
      <w:r w:rsidR="004556BE" w:rsidRPr="004D5C99">
        <w:rPr>
          <w:rFonts w:ascii="Times New Roman" w:hAnsi="Times New Roman" w:cs="Times New Roman"/>
          <w:b/>
          <w:szCs w:val="24"/>
        </w:rPr>
        <w:t xml:space="preserve"> </w:t>
      </w:r>
      <w:r>
        <w:rPr>
          <w:rFonts w:ascii="Times New Roman" w:hAnsi="Times New Roman" w:cs="Times New Roman"/>
          <w:b/>
          <w:szCs w:val="24"/>
        </w:rPr>
        <w:t>2010 m. t</w:t>
      </w:r>
      <w:r w:rsidR="004556BE">
        <w:rPr>
          <w:rFonts w:ascii="Times New Roman" w:hAnsi="Times New Roman" w:cs="Times New Roman"/>
          <w:b/>
          <w:szCs w:val="24"/>
        </w:rPr>
        <w:t>iesinės diskriminantinės analizės modelių</w:t>
      </w:r>
      <w:r>
        <w:rPr>
          <w:rFonts w:ascii="Times New Roman" w:hAnsi="Times New Roman" w:cs="Times New Roman"/>
          <w:b/>
          <w:szCs w:val="24"/>
        </w:rPr>
        <w:t xml:space="preserve"> rezultatai </w:t>
      </w:r>
    </w:p>
    <w:tbl>
      <w:tblPr>
        <w:tblW w:w="9860" w:type="dxa"/>
        <w:jc w:val="center"/>
        <w:tblInd w:w="93" w:type="dxa"/>
        <w:tblLook w:val="04A0"/>
      </w:tblPr>
      <w:tblGrid>
        <w:gridCol w:w="2180"/>
        <w:gridCol w:w="883"/>
        <w:gridCol w:w="1134"/>
        <w:gridCol w:w="883"/>
        <w:gridCol w:w="1134"/>
        <w:gridCol w:w="883"/>
        <w:gridCol w:w="1134"/>
        <w:gridCol w:w="883"/>
        <w:gridCol w:w="1134"/>
      </w:tblGrid>
      <w:tr w:rsidR="001C2B23" w:rsidRPr="00B37DEE" w:rsidTr="001C2B23">
        <w:trPr>
          <w:trHeight w:val="300"/>
          <w:jc w:val="center"/>
        </w:trPr>
        <w:tc>
          <w:tcPr>
            <w:tcW w:w="2180" w:type="dxa"/>
            <w:vMerge w:val="restart"/>
            <w:tcBorders>
              <w:top w:val="single" w:sz="4" w:space="0" w:color="auto"/>
              <w:left w:val="single" w:sz="4" w:space="0" w:color="auto"/>
              <w:bottom w:val="single" w:sz="4" w:space="0" w:color="auto"/>
              <w:right w:val="single" w:sz="4" w:space="0" w:color="auto"/>
            </w:tcBorders>
            <w:shd w:val="clear" w:color="000000" w:fill="FAC090"/>
            <w:noWrap/>
            <w:vAlign w:val="center"/>
            <w:hideMark/>
          </w:tcPr>
          <w:p w:rsidR="001C2B23" w:rsidRPr="00B37DEE" w:rsidRDefault="001C2B23" w:rsidP="004633A4">
            <w:pPr>
              <w:spacing w:after="0" w:line="240" w:lineRule="auto"/>
              <w:jc w:val="center"/>
              <w:rPr>
                <w:rFonts w:ascii="Times New Roman" w:eastAsia="Times New Roman" w:hAnsi="Times New Roman" w:cs="Times New Roman"/>
                <w:b/>
                <w:bCs/>
                <w:color w:val="000000"/>
              </w:rPr>
            </w:pPr>
            <w:r w:rsidRPr="00B37DEE">
              <w:rPr>
                <w:rFonts w:ascii="Times New Roman" w:eastAsia="Times New Roman" w:hAnsi="Times New Roman" w:cs="Times New Roman"/>
                <w:b/>
                <w:bCs/>
                <w:color w:val="000000"/>
              </w:rPr>
              <w:t>Įmonė</w:t>
            </w:r>
          </w:p>
        </w:tc>
        <w:tc>
          <w:tcPr>
            <w:tcW w:w="1920" w:type="dxa"/>
            <w:gridSpan w:val="2"/>
            <w:tcBorders>
              <w:top w:val="single" w:sz="4" w:space="0" w:color="auto"/>
              <w:left w:val="nil"/>
              <w:bottom w:val="single" w:sz="4" w:space="0" w:color="auto"/>
              <w:right w:val="single" w:sz="4" w:space="0" w:color="000000"/>
            </w:tcBorders>
            <w:shd w:val="clear" w:color="000000" w:fill="FAC090"/>
            <w:noWrap/>
            <w:vAlign w:val="center"/>
            <w:hideMark/>
          </w:tcPr>
          <w:p w:rsidR="001C2B23" w:rsidRPr="00B37DEE" w:rsidRDefault="001C2B23" w:rsidP="004633A4">
            <w:pPr>
              <w:spacing w:after="0" w:line="240" w:lineRule="auto"/>
              <w:jc w:val="center"/>
              <w:rPr>
                <w:rFonts w:ascii="Times New Roman" w:eastAsia="Times New Roman" w:hAnsi="Times New Roman" w:cs="Times New Roman"/>
                <w:b/>
                <w:bCs/>
                <w:color w:val="000000"/>
              </w:rPr>
            </w:pPr>
            <w:r w:rsidRPr="00B37DEE">
              <w:rPr>
                <w:rFonts w:ascii="Times New Roman" w:eastAsia="Times New Roman" w:hAnsi="Times New Roman" w:cs="Times New Roman"/>
                <w:b/>
                <w:bCs/>
                <w:color w:val="000000"/>
              </w:rPr>
              <w:t>ALTMAN</w:t>
            </w:r>
          </w:p>
        </w:tc>
        <w:tc>
          <w:tcPr>
            <w:tcW w:w="1920" w:type="dxa"/>
            <w:gridSpan w:val="2"/>
            <w:tcBorders>
              <w:top w:val="single" w:sz="4" w:space="0" w:color="auto"/>
              <w:left w:val="nil"/>
              <w:bottom w:val="single" w:sz="4" w:space="0" w:color="auto"/>
              <w:right w:val="single" w:sz="4" w:space="0" w:color="000000"/>
            </w:tcBorders>
            <w:shd w:val="clear" w:color="000000" w:fill="FAC090"/>
            <w:noWrap/>
            <w:vAlign w:val="center"/>
            <w:hideMark/>
          </w:tcPr>
          <w:p w:rsidR="001C2B23" w:rsidRPr="00B37DEE" w:rsidRDefault="001C2B23" w:rsidP="004633A4">
            <w:pPr>
              <w:spacing w:after="0" w:line="240" w:lineRule="auto"/>
              <w:jc w:val="center"/>
              <w:rPr>
                <w:rFonts w:ascii="Times New Roman" w:eastAsia="Times New Roman" w:hAnsi="Times New Roman" w:cs="Times New Roman"/>
                <w:b/>
                <w:bCs/>
                <w:color w:val="000000"/>
              </w:rPr>
            </w:pPr>
            <w:r w:rsidRPr="00B37DEE">
              <w:rPr>
                <w:rFonts w:ascii="Times New Roman" w:eastAsia="Times New Roman" w:hAnsi="Times New Roman" w:cs="Times New Roman"/>
                <w:b/>
                <w:bCs/>
                <w:color w:val="000000"/>
              </w:rPr>
              <w:t>SPRINGATE</w:t>
            </w:r>
          </w:p>
        </w:tc>
        <w:tc>
          <w:tcPr>
            <w:tcW w:w="1920" w:type="dxa"/>
            <w:gridSpan w:val="2"/>
            <w:tcBorders>
              <w:top w:val="single" w:sz="4" w:space="0" w:color="auto"/>
              <w:left w:val="nil"/>
              <w:bottom w:val="single" w:sz="4" w:space="0" w:color="auto"/>
              <w:right w:val="single" w:sz="4" w:space="0" w:color="000000"/>
            </w:tcBorders>
            <w:shd w:val="clear" w:color="000000" w:fill="FAC090"/>
            <w:noWrap/>
            <w:vAlign w:val="center"/>
            <w:hideMark/>
          </w:tcPr>
          <w:p w:rsidR="001C2B23" w:rsidRPr="00B37DEE" w:rsidRDefault="001C2B23" w:rsidP="004633A4">
            <w:pPr>
              <w:spacing w:after="0" w:line="240" w:lineRule="auto"/>
              <w:jc w:val="center"/>
              <w:rPr>
                <w:rFonts w:ascii="Times New Roman" w:eastAsia="Times New Roman" w:hAnsi="Times New Roman" w:cs="Times New Roman"/>
                <w:b/>
                <w:bCs/>
                <w:color w:val="000000"/>
              </w:rPr>
            </w:pPr>
            <w:r w:rsidRPr="00B37DEE">
              <w:rPr>
                <w:rFonts w:ascii="Times New Roman" w:eastAsia="Times New Roman" w:hAnsi="Times New Roman" w:cs="Times New Roman"/>
                <w:b/>
                <w:bCs/>
                <w:color w:val="000000"/>
              </w:rPr>
              <w:t>TAFLER</w:t>
            </w:r>
          </w:p>
        </w:tc>
        <w:tc>
          <w:tcPr>
            <w:tcW w:w="1920" w:type="dxa"/>
            <w:gridSpan w:val="2"/>
            <w:tcBorders>
              <w:top w:val="single" w:sz="4" w:space="0" w:color="auto"/>
              <w:left w:val="nil"/>
              <w:bottom w:val="single" w:sz="4" w:space="0" w:color="auto"/>
              <w:right w:val="single" w:sz="4" w:space="0" w:color="000000"/>
            </w:tcBorders>
            <w:shd w:val="clear" w:color="000000" w:fill="FAC090"/>
            <w:noWrap/>
            <w:vAlign w:val="center"/>
            <w:hideMark/>
          </w:tcPr>
          <w:p w:rsidR="001C2B23" w:rsidRPr="00B37DEE" w:rsidRDefault="001C2B23" w:rsidP="004633A4">
            <w:pPr>
              <w:spacing w:after="0" w:line="240" w:lineRule="auto"/>
              <w:jc w:val="center"/>
              <w:rPr>
                <w:rFonts w:ascii="Times New Roman" w:eastAsia="Times New Roman" w:hAnsi="Times New Roman" w:cs="Times New Roman"/>
                <w:b/>
                <w:bCs/>
                <w:color w:val="000000"/>
              </w:rPr>
            </w:pPr>
            <w:r w:rsidRPr="00B37DEE">
              <w:rPr>
                <w:rFonts w:ascii="Times New Roman" w:eastAsia="Times New Roman" w:hAnsi="Times New Roman" w:cs="Times New Roman"/>
                <w:b/>
                <w:bCs/>
                <w:color w:val="000000"/>
              </w:rPr>
              <w:t>LISS</w:t>
            </w:r>
          </w:p>
        </w:tc>
      </w:tr>
      <w:tr w:rsidR="001C2B23" w:rsidRPr="00B37DEE" w:rsidTr="001C2B23">
        <w:trPr>
          <w:trHeight w:val="600"/>
          <w:jc w:val="center"/>
        </w:trPr>
        <w:tc>
          <w:tcPr>
            <w:tcW w:w="2180" w:type="dxa"/>
            <w:vMerge/>
            <w:tcBorders>
              <w:top w:val="single" w:sz="4" w:space="0" w:color="auto"/>
              <w:left w:val="single" w:sz="4" w:space="0" w:color="auto"/>
              <w:bottom w:val="single" w:sz="4" w:space="0" w:color="auto"/>
              <w:right w:val="single" w:sz="4" w:space="0" w:color="auto"/>
            </w:tcBorders>
            <w:vAlign w:val="center"/>
            <w:hideMark/>
          </w:tcPr>
          <w:p w:rsidR="001C2B23" w:rsidRPr="00B37DEE" w:rsidRDefault="001C2B23" w:rsidP="004633A4">
            <w:pPr>
              <w:spacing w:after="0" w:line="240" w:lineRule="auto"/>
              <w:rPr>
                <w:rFonts w:ascii="Times New Roman" w:eastAsia="Times New Roman" w:hAnsi="Times New Roman" w:cs="Times New Roman"/>
                <w:b/>
                <w:bCs/>
                <w:color w:val="000000"/>
              </w:rPr>
            </w:pPr>
          </w:p>
        </w:tc>
        <w:tc>
          <w:tcPr>
            <w:tcW w:w="786" w:type="dxa"/>
            <w:tcBorders>
              <w:top w:val="nil"/>
              <w:left w:val="nil"/>
              <w:bottom w:val="single" w:sz="4" w:space="0" w:color="auto"/>
              <w:right w:val="single" w:sz="4" w:space="0" w:color="auto"/>
            </w:tcBorders>
            <w:shd w:val="clear" w:color="000000" w:fill="FDE9D9"/>
            <w:noWrap/>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sz w:val="20"/>
                <w:szCs w:val="20"/>
              </w:rPr>
            </w:pPr>
            <w:r w:rsidRPr="00B37DEE">
              <w:rPr>
                <w:rFonts w:ascii="Times New Roman" w:eastAsia="Times New Roman" w:hAnsi="Times New Roman" w:cs="Times New Roman"/>
                <w:i/>
                <w:iCs/>
                <w:color w:val="000000"/>
                <w:sz w:val="20"/>
                <w:szCs w:val="20"/>
              </w:rPr>
              <w:t>Reikšmė</w:t>
            </w:r>
          </w:p>
        </w:tc>
        <w:tc>
          <w:tcPr>
            <w:tcW w:w="1134" w:type="dxa"/>
            <w:tcBorders>
              <w:top w:val="nil"/>
              <w:left w:val="nil"/>
              <w:bottom w:val="single" w:sz="4" w:space="0" w:color="auto"/>
              <w:right w:val="single" w:sz="4" w:space="0" w:color="auto"/>
            </w:tcBorders>
            <w:shd w:val="clear" w:color="000000" w:fill="FDE9D9"/>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sz w:val="20"/>
                <w:szCs w:val="20"/>
              </w:rPr>
            </w:pPr>
            <w:r w:rsidRPr="00B37DEE">
              <w:rPr>
                <w:rFonts w:ascii="Times New Roman" w:eastAsia="Times New Roman" w:hAnsi="Times New Roman" w:cs="Times New Roman"/>
                <w:i/>
                <w:iCs/>
                <w:color w:val="000000"/>
                <w:sz w:val="20"/>
                <w:szCs w:val="20"/>
              </w:rPr>
              <w:t>Būklės įvertinimas</w:t>
            </w:r>
          </w:p>
        </w:tc>
        <w:tc>
          <w:tcPr>
            <w:tcW w:w="786" w:type="dxa"/>
            <w:tcBorders>
              <w:top w:val="nil"/>
              <w:left w:val="nil"/>
              <w:bottom w:val="single" w:sz="4" w:space="0" w:color="auto"/>
              <w:right w:val="single" w:sz="4" w:space="0" w:color="auto"/>
            </w:tcBorders>
            <w:shd w:val="clear" w:color="000000" w:fill="FDE9D9"/>
            <w:noWrap/>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sz w:val="20"/>
                <w:szCs w:val="20"/>
              </w:rPr>
            </w:pPr>
            <w:r w:rsidRPr="00B37DEE">
              <w:rPr>
                <w:rFonts w:ascii="Times New Roman" w:eastAsia="Times New Roman" w:hAnsi="Times New Roman" w:cs="Times New Roman"/>
                <w:i/>
                <w:iCs/>
                <w:color w:val="000000"/>
                <w:sz w:val="20"/>
                <w:szCs w:val="20"/>
              </w:rPr>
              <w:t>Reikšmė</w:t>
            </w:r>
          </w:p>
        </w:tc>
        <w:tc>
          <w:tcPr>
            <w:tcW w:w="1134" w:type="dxa"/>
            <w:tcBorders>
              <w:top w:val="nil"/>
              <w:left w:val="nil"/>
              <w:bottom w:val="single" w:sz="4" w:space="0" w:color="auto"/>
              <w:right w:val="single" w:sz="4" w:space="0" w:color="auto"/>
            </w:tcBorders>
            <w:shd w:val="clear" w:color="000000" w:fill="FDE9D9"/>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sz w:val="20"/>
                <w:szCs w:val="20"/>
              </w:rPr>
            </w:pPr>
            <w:r w:rsidRPr="00B37DEE">
              <w:rPr>
                <w:rFonts w:ascii="Times New Roman" w:eastAsia="Times New Roman" w:hAnsi="Times New Roman" w:cs="Times New Roman"/>
                <w:i/>
                <w:iCs/>
                <w:color w:val="000000"/>
                <w:sz w:val="20"/>
                <w:szCs w:val="20"/>
              </w:rPr>
              <w:t>Būklės įvertinimas</w:t>
            </w:r>
          </w:p>
        </w:tc>
        <w:tc>
          <w:tcPr>
            <w:tcW w:w="786" w:type="dxa"/>
            <w:tcBorders>
              <w:top w:val="nil"/>
              <w:left w:val="nil"/>
              <w:bottom w:val="single" w:sz="4" w:space="0" w:color="auto"/>
              <w:right w:val="single" w:sz="4" w:space="0" w:color="auto"/>
            </w:tcBorders>
            <w:shd w:val="clear" w:color="000000" w:fill="FDE9D9"/>
            <w:noWrap/>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sz w:val="20"/>
                <w:szCs w:val="20"/>
              </w:rPr>
            </w:pPr>
            <w:r w:rsidRPr="00B37DEE">
              <w:rPr>
                <w:rFonts w:ascii="Times New Roman" w:eastAsia="Times New Roman" w:hAnsi="Times New Roman" w:cs="Times New Roman"/>
                <w:i/>
                <w:iCs/>
                <w:color w:val="000000"/>
                <w:sz w:val="20"/>
                <w:szCs w:val="20"/>
              </w:rPr>
              <w:t>Reikšmė</w:t>
            </w:r>
          </w:p>
        </w:tc>
        <w:tc>
          <w:tcPr>
            <w:tcW w:w="1134" w:type="dxa"/>
            <w:tcBorders>
              <w:top w:val="nil"/>
              <w:left w:val="nil"/>
              <w:bottom w:val="single" w:sz="4" w:space="0" w:color="auto"/>
              <w:right w:val="single" w:sz="4" w:space="0" w:color="auto"/>
            </w:tcBorders>
            <w:shd w:val="clear" w:color="000000" w:fill="FDE9D9"/>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sz w:val="20"/>
                <w:szCs w:val="20"/>
              </w:rPr>
            </w:pPr>
            <w:r w:rsidRPr="00B37DEE">
              <w:rPr>
                <w:rFonts w:ascii="Times New Roman" w:eastAsia="Times New Roman" w:hAnsi="Times New Roman" w:cs="Times New Roman"/>
                <w:i/>
                <w:iCs/>
                <w:color w:val="000000"/>
                <w:sz w:val="20"/>
                <w:szCs w:val="20"/>
              </w:rPr>
              <w:t>Būklės įvertinimas</w:t>
            </w:r>
          </w:p>
        </w:tc>
        <w:tc>
          <w:tcPr>
            <w:tcW w:w="786" w:type="dxa"/>
            <w:tcBorders>
              <w:top w:val="nil"/>
              <w:left w:val="nil"/>
              <w:bottom w:val="single" w:sz="4" w:space="0" w:color="auto"/>
              <w:right w:val="single" w:sz="4" w:space="0" w:color="auto"/>
            </w:tcBorders>
            <w:shd w:val="clear" w:color="000000" w:fill="FDE9D9"/>
            <w:noWrap/>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sz w:val="20"/>
                <w:szCs w:val="20"/>
              </w:rPr>
            </w:pPr>
            <w:r w:rsidRPr="00B37DEE">
              <w:rPr>
                <w:rFonts w:ascii="Times New Roman" w:eastAsia="Times New Roman" w:hAnsi="Times New Roman" w:cs="Times New Roman"/>
                <w:i/>
                <w:iCs/>
                <w:color w:val="000000"/>
                <w:sz w:val="20"/>
                <w:szCs w:val="20"/>
              </w:rPr>
              <w:t>Reikšmė</w:t>
            </w:r>
          </w:p>
        </w:tc>
        <w:tc>
          <w:tcPr>
            <w:tcW w:w="1134" w:type="dxa"/>
            <w:tcBorders>
              <w:top w:val="nil"/>
              <w:left w:val="nil"/>
              <w:bottom w:val="single" w:sz="4" w:space="0" w:color="auto"/>
              <w:right w:val="single" w:sz="4" w:space="0" w:color="auto"/>
            </w:tcBorders>
            <w:shd w:val="clear" w:color="000000" w:fill="FDE9D9"/>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sz w:val="20"/>
                <w:szCs w:val="20"/>
              </w:rPr>
            </w:pPr>
            <w:r w:rsidRPr="00B37DEE">
              <w:rPr>
                <w:rFonts w:ascii="Times New Roman" w:eastAsia="Times New Roman" w:hAnsi="Times New Roman" w:cs="Times New Roman"/>
                <w:i/>
                <w:iCs/>
                <w:color w:val="000000"/>
                <w:sz w:val="20"/>
                <w:szCs w:val="20"/>
              </w:rPr>
              <w:t>Būklės įvertinimas</w:t>
            </w:r>
          </w:p>
        </w:tc>
      </w:tr>
      <w:tr w:rsidR="001C2B23" w:rsidRPr="00B37DEE" w:rsidTr="001C2B23">
        <w:trPr>
          <w:trHeight w:val="300"/>
          <w:jc w:val="center"/>
        </w:trPr>
        <w:tc>
          <w:tcPr>
            <w:tcW w:w="2180" w:type="dxa"/>
            <w:tcBorders>
              <w:top w:val="nil"/>
              <w:left w:val="single" w:sz="4" w:space="0" w:color="auto"/>
              <w:bottom w:val="single" w:sz="4" w:space="0" w:color="auto"/>
              <w:right w:val="single" w:sz="4" w:space="0" w:color="auto"/>
            </w:tcBorders>
            <w:shd w:val="clear" w:color="000000" w:fill="FDE9D9"/>
            <w:noWrap/>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sz w:val="20"/>
                <w:szCs w:val="20"/>
              </w:rPr>
            </w:pPr>
            <w:r w:rsidRPr="00B37DEE">
              <w:rPr>
                <w:rFonts w:ascii="Times New Roman" w:eastAsia="Times New Roman" w:hAnsi="Times New Roman" w:cs="Times New Roman"/>
                <w:i/>
                <w:iCs/>
                <w:color w:val="000000"/>
                <w:sz w:val="20"/>
                <w:szCs w:val="20"/>
              </w:rPr>
              <w:t>UAB "Girteka"</w:t>
            </w:r>
          </w:p>
        </w:tc>
        <w:tc>
          <w:tcPr>
            <w:tcW w:w="78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2.654</w:t>
            </w:r>
          </w:p>
        </w:tc>
        <w:tc>
          <w:tcPr>
            <w:tcW w:w="113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Vidutinė</w:t>
            </w:r>
          </w:p>
        </w:tc>
        <w:tc>
          <w:tcPr>
            <w:tcW w:w="78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1.370</w:t>
            </w:r>
          </w:p>
        </w:tc>
        <w:tc>
          <w:tcPr>
            <w:tcW w:w="113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Gera</w:t>
            </w:r>
          </w:p>
        </w:tc>
        <w:tc>
          <w:tcPr>
            <w:tcW w:w="78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1.001</w:t>
            </w:r>
          </w:p>
        </w:tc>
        <w:tc>
          <w:tcPr>
            <w:tcW w:w="113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Gera</w:t>
            </w:r>
          </w:p>
        </w:tc>
        <w:tc>
          <w:tcPr>
            <w:tcW w:w="78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0.049</w:t>
            </w:r>
          </w:p>
        </w:tc>
        <w:tc>
          <w:tcPr>
            <w:tcW w:w="113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Gera</w:t>
            </w:r>
          </w:p>
        </w:tc>
      </w:tr>
      <w:tr w:rsidR="001C2B23" w:rsidRPr="00B37DEE" w:rsidTr="001C2B23">
        <w:trPr>
          <w:trHeight w:val="300"/>
          <w:jc w:val="center"/>
        </w:trPr>
        <w:tc>
          <w:tcPr>
            <w:tcW w:w="2180" w:type="dxa"/>
            <w:tcBorders>
              <w:top w:val="nil"/>
              <w:left w:val="single" w:sz="4" w:space="0" w:color="auto"/>
              <w:bottom w:val="single" w:sz="4" w:space="0" w:color="auto"/>
              <w:right w:val="single" w:sz="4" w:space="0" w:color="auto"/>
            </w:tcBorders>
            <w:shd w:val="clear" w:color="000000" w:fill="FDE9D9"/>
            <w:noWrap/>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sz w:val="20"/>
                <w:szCs w:val="20"/>
              </w:rPr>
            </w:pPr>
            <w:r w:rsidRPr="00B37DEE">
              <w:rPr>
                <w:rFonts w:ascii="Times New Roman" w:eastAsia="Times New Roman" w:hAnsi="Times New Roman" w:cs="Times New Roman"/>
                <w:i/>
                <w:iCs/>
                <w:color w:val="000000"/>
                <w:sz w:val="20"/>
                <w:szCs w:val="20"/>
              </w:rPr>
              <w:t>UAB "Autoverslas"</w:t>
            </w:r>
          </w:p>
        </w:tc>
        <w:tc>
          <w:tcPr>
            <w:tcW w:w="78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1.895</w:t>
            </w:r>
          </w:p>
        </w:tc>
        <w:tc>
          <w:tcPr>
            <w:tcW w:w="113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Vidutinė</w:t>
            </w:r>
          </w:p>
        </w:tc>
        <w:tc>
          <w:tcPr>
            <w:tcW w:w="78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1.054</w:t>
            </w:r>
          </w:p>
        </w:tc>
        <w:tc>
          <w:tcPr>
            <w:tcW w:w="113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Gera</w:t>
            </w:r>
          </w:p>
        </w:tc>
        <w:tc>
          <w:tcPr>
            <w:tcW w:w="78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0.461</w:t>
            </w:r>
          </w:p>
        </w:tc>
        <w:tc>
          <w:tcPr>
            <w:tcW w:w="113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Gera</w:t>
            </w:r>
          </w:p>
        </w:tc>
        <w:tc>
          <w:tcPr>
            <w:tcW w:w="78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0.059</w:t>
            </w:r>
          </w:p>
        </w:tc>
        <w:tc>
          <w:tcPr>
            <w:tcW w:w="113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Gera</w:t>
            </w:r>
          </w:p>
        </w:tc>
      </w:tr>
      <w:tr w:rsidR="001C2B23" w:rsidRPr="00B37DEE" w:rsidTr="001C2B23">
        <w:trPr>
          <w:trHeight w:val="300"/>
          <w:jc w:val="center"/>
        </w:trPr>
        <w:tc>
          <w:tcPr>
            <w:tcW w:w="2180" w:type="dxa"/>
            <w:tcBorders>
              <w:top w:val="nil"/>
              <w:left w:val="single" w:sz="4" w:space="0" w:color="auto"/>
              <w:bottom w:val="single" w:sz="4" w:space="0" w:color="auto"/>
              <w:right w:val="single" w:sz="4" w:space="0" w:color="auto"/>
            </w:tcBorders>
            <w:shd w:val="clear" w:color="000000" w:fill="FDE9D9"/>
            <w:noWrap/>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sz w:val="20"/>
                <w:szCs w:val="20"/>
              </w:rPr>
            </w:pPr>
            <w:r w:rsidRPr="00B37DEE">
              <w:rPr>
                <w:rFonts w:ascii="Times New Roman" w:eastAsia="Times New Roman" w:hAnsi="Times New Roman" w:cs="Times New Roman"/>
                <w:i/>
                <w:iCs/>
                <w:color w:val="000000"/>
                <w:sz w:val="20"/>
                <w:szCs w:val="20"/>
              </w:rPr>
              <w:t>*UAB "Romas ir Ko"</w:t>
            </w:r>
          </w:p>
        </w:tc>
        <w:tc>
          <w:tcPr>
            <w:tcW w:w="78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1.914</w:t>
            </w:r>
          </w:p>
        </w:tc>
        <w:tc>
          <w:tcPr>
            <w:tcW w:w="113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Vidutinė</w:t>
            </w:r>
          </w:p>
        </w:tc>
        <w:tc>
          <w:tcPr>
            <w:tcW w:w="78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-1.387</w:t>
            </w:r>
          </w:p>
        </w:tc>
        <w:tc>
          <w:tcPr>
            <w:tcW w:w="113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Bloga</w:t>
            </w:r>
          </w:p>
        </w:tc>
        <w:tc>
          <w:tcPr>
            <w:tcW w:w="78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-1.145</w:t>
            </w:r>
          </w:p>
        </w:tc>
        <w:tc>
          <w:tcPr>
            <w:tcW w:w="113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Bloga</w:t>
            </w:r>
          </w:p>
        </w:tc>
        <w:tc>
          <w:tcPr>
            <w:tcW w:w="78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0.102</w:t>
            </w:r>
          </w:p>
        </w:tc>
        <w:tc>
          <w:tcPr>
            <w:tcW w:w="113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Gera</w:t>
            </w:r>
          </w:p>
        </w:tc>
      </w:tr>
      <w:tr w:rsidR="001C2B23" w:rsidRPr="00B37DEE" w:rsidTr="001C2B23">
        <w:trPr>
          <w:trHeight w:val="300"/>
          <w:jc w:val="center"/>
        </w:trPr>
        <w:tc>
          <w:tcPr>
            <w:tcW w:w="2180" w:type="dxa"/>
            <w:tcBorders>
              <w:top w:val="nil"/>
              <w:left w:val="single" w:sz="4" w:space="0" w:color="auto"/>
              <w:bottom w:val="single" w:sz="4" w:space="0" w:color="auto"/>
              <w:right w:val="single" w:sz="4" w:space="0" w:color="auto"/>
            </w:tcBorders>
            <w:shd w:val="clear" w:color="000000" w:fill="FDE9D9"/>
            <w:noWrap/>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sz w:val="20"/>
                <w:szCs w:val="20"/>
              </w:rPr>
            </w:pPr>
            <w:r w:rsidRPr="00B37DEE">
              <w:rPr>
                <w:rFonts w:ascii="Times New Roman" w:eastAsia="Times New Roman" w:hAnsi="Times New Roman" w:cs="Times New Roman"/>
                <w:i/>
                <w:iCs/>
                <w:color w:val="000000"/>
                <w:sz w:val="20"/>
                <w:szCs w:val="20"/>
              </w:rPr>
              <w:t>*UAB "Achemarida"</w:t>
            </w:r>
          </w:p>
        </w:tc>
        <w:tc>
          <w:tcPr>
            <w:tcW w:w="78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0.457</w:t>
            </w:r>
          </w:p>
        </w:tc>
        <w:tc>
          <w:tcPr>
            <w:tcW w:w="113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Bloga</w:t>
            </w:r>
          </w:p>
        </w:tc>
        <w:tc>
          <w:tcPr>
            <w:tcW w:w="78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-0.514</w:t>
            </w:r>
          </w:p>
        </w:tc>
        <w:tc>
          <w:tcPr>
            <w:tcW w:w="113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Bloga</w:t>
            </w:r>
          </w:p>
        </w:tc>
        <w:tc>
          <w:tcPr>
            <w:tcW w:w="78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-0.204</w:t>
            </w:r>
          </w:p>
        </w:tc>
        <w:tc>
          <w:tcPr>
            <w:tcW w:w="113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Bloga</w:t>
            </w:r>
          </w:p>
        </w:tc>
        <w:tc>
          <w:tcPr>
            <w:tcW w:w="78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-0.025</w:t>
            </w:r>
          </w:p>
        </w:tc>
        <w:tc>
          <w:tcPr>
            <w:tcW w:w="113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Bloga</w:t>
            </w:r>
          </w:p>
        </w:tc>
      </w:tr>
    </w:tbl>
    <w:p w:rsidR="004556BE" w:rsidRDefault="004556BE" w:rsidP="00E035CC">
      <w:pPr>
        <w:jc w:val="center"/>
        <w:rPr>
          <w:rFonts w:ascii="Times New Roman" w:hAnsi="Times New Roman" w:cs="Times New Roman"/>
          <w:sz w:val="24"/>
          <w:szCs w:val="24"/>
          <w:lang w:val="lt-LT"/>
        </w:rPr>
      </w:pPr>
    </w:p>
    <w:p w:rsidR="001C2B23" w:rsidRDefault="001C2B23" w:rsidP="001C2B23">
      <w:pPr>
        <w:spacing w:after="0"/>
        <w:contextualSpacing/>
        <w:jc w:val="center"/>
        <w:rPr>
          <w:rFonts w:ascii="Times New Roman" w:hAnsi="Times New Roman" w:cs="Times New Roman"/>
          <w:b/>
          <w:szCs w:val="24"/>
        </w:rPr>
      </w:pPr>
      <w:r>
        <w:rPr>
          <w:rFonts w:ascii="Times New Roman" w:hAnsi="Times New Roman" w:cs="Times New Roman"/>
          <w:szCs w:val="24"/>
        </w:rPr>
        <w:t>4</w:t>
      </w:r>
      <w:r w:rsidRPr="004D5C99">
        <w:rPr>
          <w:rFonts w:ascii="Times New Roman" w:hAnsi="Times New Roman" w:cs="Times New Roman"/>
          <w:szCs w:val="24"/>
        </w:rPr>
        <w:t xml:space="preserve"> lentelė.</w:t>
      </w:r>
      <w:r w:rsidRPr="004D5C99">
        <w:rPr>
          <w:rFonts w:ascii="Times New Roman" w:hAnsi="Times New Roman" w:cs="Times New Roman"/>
          <w:b/>
          <w:szCs w:val="24"/>
        </w:rPr>
        <w:t xml:space="preserve"> </w:t>
      </w:r>
      <w:r>
        <w:rPr>
          <w:rFonts w:ascii="Times New Roman" w:hAnsi="Times New Roman" w:cs="Times New Roman"/>
          <w:b/>
          <w:szCs w:val="24"/>
        </w:rPr>
        <w:t xml:space="preserve">2008 m. logistinės regresijos modelių rezultatai </w:t>
      </w:r>
    </w:p>
    <w:tbl>
      <w:tblPr>
        <w:tblW w:w="6780" w:type="dxa"/>
        <w:jc w:val="center"/>
        <w:tblInd w:w="93" w:type="dxa"/>
        <w:tblLook w:val="04A0"/>
      </w:tblPr>
      <w:tblGrid>
        <w:gridCol w:w="2500"/>
        <w:gridCol w:w="949"/>
        <w:gridCol w:w="1264"/>
        <w:gridCol w:w="949"/>
        <w:gridCol w:w="1264"/>
      </w:tblGrid>
      <w:tr w:rsidR="001C2B23" w:rsidRPr="00B37DEE" w:rsidTr="001C2B23">
        <w:trPr>
          <w:trHeight w:val="300"/>
          <w:jc w:val="center"/>
        </w:trPr>
        <w:tc>
          <w:tcPr>
            <w:tcW w:w="2500" w:type="dxa"/>
            <w:vMerge w:val="restart"/>
            <w:tcBorders>
              <w:top w:val="single" w:sz="4" w:space="0" w:color="auto"/>
              <w:left w:val="single" w:sz="4" w:space="0" w:color="auto"/>
              <w:bottom w:val="single" w:sz="4" w:space="0" w:color="auto"/>
              <w:right w:val="single" w:sz="4" w:space="0" w:color="auto"/>
            </w:tcBorders>
            <w:shd w:val="clear" w:color="000000" w:fill="FAC090"/>
            <w:noWrap/>
            <w:vAlign w:val="center"/>
            <w:hideMark/>
          </w:tcPr>
          <w:p w:rsidR="001C2B23" w:rsidRPr="00B37DEE" w:rsidRDefault="001C2B23" w:rsidP="004633A4">
            <w:pPr>
              <w:spacing w:after="0" w:line="240" w:lineRule="auto"/>
              <w:jc w:val="center"/>
              <w:rPr>
                <w:rFonts w:ascii="Times New Roman" w:eastAsia="Times New Roman" w:hAnsi="Times New Roman" w:cs="Times New Roman"/>
                <w:b/>
                <w:bCs/>
                <w:color w:val="000000"/>
              </w:rPr>
            </w:pPr>
            <w:r w:rsidRPr="00B37DEE">
              <w:rPr>
                <w:rFonts w:ascii="Times New Roman" w:eastAsia="Times New Roman" w:hAnsi="Times New Roman" w:cs="Times New Roman"/>
                <w:b/>
                <w:bCs/>
                <w:color w:val="000000"/>
              </w:rPr>
              <w:t>Įmonė</w:t>
            </w:r>
          </w:p>
        </w:tc>
        <w:tc>
          <w:tcPr>
            <w:tcW w:w="2140" w:type="dxa"/>
            <w:gridSpan w:val="2"/>
            <w:tcBorders>
              <w:top w:val="single" w:sz="4" w:space="0" w:color="auto"/>
              <w:left w:val="nil"/>
              <w:bottom w:val="single" w:sz="4" w:space="0" w:color="auto"/>
              <w:right w:val="single" w:sz="4" w:space="0" w:color="auto"/>
            </w:tcBorders>
            <w:shd w:val="clear" w:color="000000" w:fill="FAC090"/>
            <w:noWrap/>
            <w:vAlign w:val="center"/>
            <w:hideMark/>
          </w:tcPr>
          <w:p w:rsidR="001C2B23" w:rsidRPr="00B37DEE" w:rsidRDefault="001C2B23" w:rsidP="004633A4">
            <w:pPr>
              <w:spacing w:after="0" w:line="240" w:lineRule="auto"/>
              <w:jc w:val="center"/>
              <w:rPr>
                <w:rFonts w:ascii="Times New Roman" w:eastAsia="Times New Roman" w:hAnsi="Times New Roman" w:cs="Times New Roman"/>
                <w:b/>
                <w:bCs/>
                <w:color w:val="000000"/>
              </w:rPr>
            </w:pPr>
            <w:r w:rsidRPr="00B37DEE">
              <w:rPr>
                <w:rFonts w:ascii="Times New Roman" w:eastAsia="Times New Roman" w:hAnsi="Times New Roman" w:cs="Times New Roman"/>
                <w:b/>
                <w:bCs/>
                <w:color w:val="000000"/>
              </w:rPr>
              <w:t>ZAVGREN</w:t>
            </w:r>
          </w:p>
        </w:tc>
        <w:tc>
          <w:tcPr>
            <w:tcW w:w="2140" w:type="dxa"/>
            <w:gridSpan w:val="2"/>
            <w:tcBorders>
              <w:top w:val="single" w:sz="4" w:space="0" w:color="auto"/>
              <w:left w:val="nil"/>
              <w:bottom w:val="single" w:sz="4" w:space="0" w:color="auto"/>
              <w:right w:val="single" w:sz="4" w:space="0" w:color="auto"/>
            </w:tcBorders>
            <w:shd w:val="clear" w:color="000000" w:fill="FAC090"/>
            <w:noWrap/>
            <w:vAlign w:val="center"/>
            <w:hideMark/>
          </w:tcPr>
          <w:p w:rsidR="001C2B23" w:rsidRPr="00B37DEE" w:rsidRDefault="001C2B23" w:rsidP="004633A4">
            <w:pPr>
              <w:spacing w:after="0" w:line="240" w:lineRule="auto"/>
              <w:jc w:val="center"/>
              <w:rPr>
                <w:rFonts w:ascii="Times New Roman" w:eastAsia="Times New Roman" w:hAnsi="Times New Roman" w:cs="Times New Roman"/>
                <w:b/>
                <w:bCs/>
                <w:color w:val="000000"/>
              </w:rPr>
            </w:pPr>
            <w:r w:rsidRPr="00B37DEE">
              <w:rPr>
                <w:rFonts w:ascii="Times New Roman" w:eastAsia="Times New Roman" w:hAnsi="Times New Roman" w:cs="Times New Roman"/>
                <w:b/>
                <w:bCs/>
                <w:color w:val="000000"/>
              </w:rPr>
              <w:t>CHESSER</w:t>
            </w:r>
          </w:p>
        </w:tc>
      </w:tr>
      <w:tr w:rsidR="001C2B23" w:rsidRPr="00B37DEE" w:rsidTr="001C2B23">
        <w:trPr>
          <w:trHeight w:val="600"/>
          <w:jc w:val="center"/>
        </w:trPr>
        <w:tc>
          <w:tcPr>
            <w:tcW w:w="2500" w:type="dxa"/>
            <w:vMerge/>
            <w:tcBorders>
              <w:top w:val="single" w:sz="4" w:space="0" w:color="auto"/>
              <w:left w:val="single" w:sz="4" w:space="0" w:color="auto"/>
              <w:bottom w:val="single" w:sz="4" w:space="0" w:color="auto"/>
              <w:right w:val="single" w:sz="4" w:space="0" w:color="auto"/>
            </w:tcBorders>
            <w:vAlign w:val="center"/>
            <w:hideMark/>
          </w:tcPr>
          <w:p w:rsidR="001C2B23" w:rsidRPr="00B37DEE" w:rsidRDefault="001C2B23" w:rsidP="004633A4">
            <w:pPr>
              <w:spacing w:after="0" w:line="240" w:lineRule="auto"/>
              <w:rPr>
                <w:rFonts w:ascii="Times New Roman" w:eastAsia="Times New Roman" w:hAnsi="Times New Roman" w:cs="Times New Roman"/>
                <w:b/>
                <w:bCs/>
                <w:color w:val="000000"/>
              </w:rPr>
            </w:pPr>
          </w:p>
        </w:tc>
        <w:tc>
          <w:tcPr>
            <w:tcW w:w="876" w:type="dxa"/>
            <w:tcBorders>
              <w:top w:val="nil"/>
              <w:left w:val="nil"/>
              <w:bottom w:val="single" w:sz="4" w:space="0" w:color="auto"/>
              <w:right w:val="single" w:sz="4" w:space="0" w:color="auto"/>
            </w:tcBorders>
            <w:shd w:val="clear" w:color="000000" w:fill="FDE9D9"/>
            <w:noWrap/>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rPr>
            </w:pPr>
            <w:r w:rsidRPr="00B37DEE">
              <w:rPr>
                <w:rFonts w:ascii="Times New Roman" w:eastAsia="Times New Roman" w:hAnsi="Times New Roman" w:cs="Times New Roman"/>
                <w:i/>
                <w:iCs/>
                <w:color w:val="000000"/>
              </w:rPr>
              <w:t>Reikšmė</w:t>
            </w:r>
          </w:p>
        </w:tc>
        <w:tc>
          <w:tcPr>
            <w:tcW w:w="1264" w:type="dxa"/>
            <w:tcBorders>
              <w:top w:val="nil"/>
              <w:left w:val="nil"/>
              <w:bottom w:val="single" w:sz="4" w:space="0" w:color="auto"/>
              <w:right w:val="single" w:sz="4" w:space="0" w:color="auto"/>
            </w:tcBorders>
            <w:shd w:val="clear" w:color="000000" w:fill="FDE9D9"/>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rPr>
            </w:pPr>
            <w:r w:rsidRPr="00B37DEE">
              <w:rPr>
                <w:rFonts w:ascii="Times New Roman" w:eastAsia="Times New Roman" w:hAnsi="Times New Roman" w:cs="Times New Roman"/>
                <w:i/>
                <w:iCs/>
                <w:color w:val="000000"/>
              </w:rPr>
              <w:t>Būklės įvertinimas</w:t>
            </w:r>
          </w:p>
        </w:tc>
        <w:tc>
          <w:tcPr>
            <w:tcW w:w="876" w:type="dxa"/>
            <w:tcBorders>
              <w:top w:val="nil"/>
              <w:left w:val="nil"/>
              <w:bottom w:val="single" w:sz="4" w:space="0" w:color="auto"/>
              <w:right w:val="single" w:sz="4" w:space="0" w:color="auto"/>
            </w:tcBorders>
            <w:shd w:val="clear" w:color="000000" w:fill="FDE9D9"/>
            <w:noWrap/>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rPr>
            </w:pPr>
            <w:r w:rsidRPr="00B37DEE">
              <w:rPr>
                <w:rFonts w:ascii="Times New Roman" w:eastAsia="Times New Roman" w:hAnsi="Times New Roman" w:cs="Times New Roman"/>
                <w:i/>
                <w:iCs/>
                <w:color w:val="000000"/>
              </w:rPr>
              <w:t>Reikšmė</w:t>
            </w:r>
          </w:p>
        </w:tc>
        <w:tc>
          <w:tcPr>
            <w:tcW w:w="1264" w:type="dxa"/>
            <w:tcBorders>
              <w:top w:val="nil"/>
              <w:left w:val="nil"/>
              <w:bottom w:val="single" w:sz="4" w:space="0" w:color="auto"/>
              <w:right w:val="single" w:sz="4" w:space="0" w:color="auto"/>
            </w:tcBorders>
            <w:shd w:val="clear" w:color="000000" w:fill="FDE9D9"/>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rPr>
            </w:pPr>
            <w:r w:rsidRPr="00B37DEE">
              <w:rPr>
                <w:rFonts w:ascii="Times New Roman" w:eastAsia="Times New Roman" w:hAnsi="Times New Roman" w:cs="Times New Roman"/>
                <w:i/>
                <w:iCs/>
                <w:color w:val="000000"/>
              </w:rPr>
              <w:t>Būklės įvertinimas</w:t>
            </w:r>
          </w:p>
        </w:tc>
      </w:tr>
      <w:tr w:rsidR="001C2B23" w:rsidRPr="00B37DEE" w:rsidTr="001C2B23">
        <w:trPr>
          <w:trHeight w:val="300"/>
          <w:jc w:val="center"/>
        </w:trPr>
        <w:tc>
          <w:tcPr>
            <w:tcW w:w="2500" w:type="dxa"/>
            <w:tcBorders>
              <w:top w:val="nil"/>
              <w:left w:val="single" w:sz="4" w:space="0" w:color="auto"/>
              <w:bottom w:val="single" w:sz="4" w:space="0" w:color="auto"/>
              <w:right w:val="nil"/>
            </w:tcBorders>
            <w:shd w:val="clear" w:color="000000" w:fill="FDE9D9"/>
            <w:noWrap/>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rPr>
            </w:pPr>
            <w:r w:rsidRPr="00B37DEE">
              <w:rPr>
                <w:rFonts w:ascii="Times New Roman" w:eastAsia="Times New Roman" w:hAnsi="Times New Roman" w:cs="Times New Roman"/>
                <w:i/>
                <w:iCs/>
                <w:color w:val="000000"/>
              </w:rPr>
              <w:t>UAB "Girteka"</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1.000</w:t>
            </w:r>
          </w:p>
        </w:tc>
        <w:tc>
          <w:tcPr>
            <w:tcW w:w="126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Bloga</w:t>
            </w:r>
          </w:p>
        </w:tc>
        <w:tc>
          <w:tcPr>
            <w:tcW w:w="87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0.981</w:t>
            </w:r>
          </w:p>
        </w:tc>
        <w:tc>
          <w:tcPr>
            <w:tcW w:w="126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Bloga</w:t>
            </w:r>
          </w:p>
        </w:tc>
      </w:tr>
      <w:tr w:rsidR="001C2B23" w:rsidRPr="00B37DEE" w:rsidTr="001C2B23">
        <w:trPr>
          <w:trHeight w:val="300"/>
          <w:jc w:val="center"/>
        </w:trPr>
        <w:tc>
          <w:tcPr>
            <w:tcW w:w="2500" w:type="dxa"/>
            <w:tcBorders>
              <w:top w:val="nil"/>
              <w:left w:val="single" w:sz="4" w:space="0" w:color="auto"/>
              <w:bottom w:val="single" w:sz="4" w:space="0" w:color="auto"/>
              <w:right w:val="nil"/>
            </w:tcBorders>
            <w:shd w:val="clear" w:color="000000" w:fill="FDE9D9"/>
            <w:noWrap/>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rPr>
            </w:pPr>
            <w:r w:rsidRPr="00B37DEE">
              <w:rPr>
                <w:rFonts w:ascii="Times New Roman" w:eastAsia="Times New Roman" w:hAnsi="Times New Roman" w:cs="Times New Roman"/>
                <w:i/>
                <w:iCs/>
                <w:color w:val="000000"/>
              </w:rPr>
              <w:t>UAB "Autoverslas"</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1.000</w:t>
            </w:r>
          </w:p>
        </w:tc>
        <w:tc>
          <w:tcPr>
            <w:tcW w:w="126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Bloga</w:t>
            </w:r>
          </w:p>
        </w:tc>
        <w:tc>
          <w:tcPr>
            <w:tcW w:w="87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0.694</w:t>
            </w:r>
          </w:p>
        </w:tc>
        <w:tc>
          <w:tcPr>
            <w:tcW w:w="126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Bloga</w:t>
            </w:r>
          </w:p>
        </w:tc>
      </w:tr>
      <w:tr w:rsidR="001C2B23" w:rsidRPr="00B37DEE" w:rsidTr="001C2B23">
        <w:trPr>
          <w:trHeight w:val="300"/>
          <w:jc w:val="center"/>
        </w:trPr>
        <w:tc>
          <w:tcPr>
            <w:tcW w:w="2500" w:type="dxa"/>
            <w:tcBorders>
              <w:top w:val="nil"/>
              <w:left w:val="single" w:sz="4" w:space="0" w:color="auto"/>
              <w:bottom w:val="single" w:sz="4" w:space="0" w:color="auto"/>
              <w:right w:val="nil"/>
            </w:tcBorders>
            <w:shd w:val="clear" w:color="000000" w:fill="FDE9D9"/>
            <w:noWrap/>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rPr>
            </w:pPr>
            <w:r w:rsidRPr="00B37DEE">
              <w:rPr>
                <w:rFonts w:ascii="Times New Roman" w:eastAsia="Times New Roman" w:hAnsi="Times New Roman" w:cs="Times New Roman"/>
                <w:i/>
                <w:iCs/>
                <w:color w:val="000000"/>
              </w:rPr>
              <w:t>*UAB "Romas ir Ko"</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0.854</w:t>
            </w:r>
          </w:p>
        </w:tc>
        <w:tc>
          <w:tcPr>
            <w:tcW w:w="126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Bloga</w:t>
            </w:r>
          </w:p>
        </w:tc>
        <w:tc>
          <w:tcPr>
            <w:tcW w:w="87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0.471</w:t>
            </w:r>
          </w:p>
        </w:tc>
        <w:tc>
          <w:tcPr>
            <w:tcW w:w="126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Gera</w:t>
            </w:r>
          </w:p>
        </w:tc>
      </w:tr>
      <w:tr w:rsidR="001C2B23" w:rsidRPr="00B37DEE" w:rsidTr="001C2B23">
        <w:trPr>
          <w:trHeight w:val="300"/>
          <w:jc w:val="center"/>
        </w:trPr>
        <w:tc>
          <w:tcPr>
            <w:tcW w:w="2500" w:type="dxa"/>
            <w:tcBorders>
              <w:top w:val="nil"/>
              <w:left w:val="single" w:sz="4" w:space="0" w:color="auto"/>
              <w:bottom w:val="single" w:sz="4" w:space="0" w:color="auto"/>
              <w:right w:val="nil"/>
            </w:tcBorders>
            <w:shd w:val="clear" w:color="000000" w:fill="FDE9D9"/>
            <w:noWrap/>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rPr>
            </w:pPr>
            <w:r w:rsidRPr="00B37DEE">
              <w:rPr>
                <w:rFonts w:ascii="Times New Roman" w:eastAsia="Times New Roman" w:hAnsi="Times New Roman" w:cs="Times New Roman"/>
                <w:i/>
                <w:iCs/>
                <w:color w:val="000000"/>
              </w:rPr>
              <w:t>*UAB "Achemarida"</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0.863</w:t>
            </w:r>
          </w:p>
        </w:tc>
        <w:tc>
          <w:tcPr>
            <w:tcW w:w="126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Bloga</w:t>
            </w:r>
          </w:p>
        </w:tc>
        <w:tc>
          <w:tcPr>
            <w:tcW w:w="87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0.227</w:t>
            </w:r>
          </w:p>
        </w:tc>
        <w:tc>
          <w:tcPr>
            <w:tcW w:w="126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Gera</w:t>
            </w:r>
          </w:p>
        </w:tc>
      </w:tr>
    </w:tbl>
    <w:p w:rsidR="001C2B23" w:rsidRDefault="001C2B23" w:rsidP="00E035CC">
      <w:pPr>
        <w:jc w:val="center"/>
        <w:rPr>
          <w:rFonts w:ascii="Times New Roman" w:hAnsi="Times New Roman" w:cs="Times New Roman"/>
          <w:sz w:val="24"/>
          <w:szCs w:val="24"/>
          <w:lang w:val="lt-LT"/>
        </w:rPr>
      </w:pPr>
    </w:p>
    <w:p w:rsidR="001C2B23" w:rsidRDefault="001C2B23" w:rsidP="001C2B23">
      <w:pPr>
        <w:spacing w:after="0"/>
        <w:contextualSpacing/>
        <w:jc w:val="center"/>
        <w:rPr>
          <w:rFonts w:ascii="Times New Roman" w:hAnsi="Times New Roman" w:cs="Times New Roman"/>
          <w:b/>
          <w:szCs w:val="24"/>
        </w:rPr>
      </w:pPr>
      <w:r>
        <w:rPr>
          <w:rFonts w:ascii="Times New Roman" w:hAnsi="Times New Roman" w:cs="Times New Roman"/>
          <w:szCs w:val="24"/>
        </w:rPr>
        <w:lastRenderedPageBreak/>
        <w:t>5</w:t>
      </w:r>
      <w:r w:rsidRPr="004D5C99">
        <w:rPr>
          <w:rFonts w:ascii="Times New Roman" w:hAnsi="Times New Roman" w:cs="Times New Roman"/>
          <w:szCs w:val="24"/>
        </w:rPr>
        <w:t xml:space="preserve"> lentelė.</w:t>
      </w:r>
      <w:r w:rsidRPr="004D5C99">
        <w:rPr>
          <w:rFonts w:ascii="Times New Roman" w:hAnsi="Times New Roman" w:cs="Times New Roman"/>
          <w:b/>
          <w:szCs w:val="24"/>
        </w:rPr>
        <w:t xml:space="preserve"> </w:t>
      </w:r>
      <w:r>
        <w:rPr>
          <w:rFonts w:ascii="Times New Roman" w:hAnsi="Times New Roman" w:cs="Times New Roman"/>
          <w:b/>
          <w:szCs w:val="24"/>
        </w:rPr>
        <w:t xml:space="preserve">2009 m. logistinės regresijos modelių rezultatai </w:t>
      </w:r>
    </w:p>
    <w:tbl>
      <w:tblPr>
        <w:tblW w:w="6780" w:type="dxa"/>
        <w:jc w:val="center"/>
        <w:tblInd w:w="93" w:type="dxa"/>
        <w:tblLook w:val="04A0"/>
      </w:tblPr>
      <w:tblGrid>
        <w:gridCol w:w="2500"/>
        <w:gridCol w:w="949"/>
        <w:gridCol w:w="1264"/>
        <w:gridCol w:w="949"/>
        <w:gridCol w:w="1264"/>
      </w:tblGrid>
      <w:tr w:rsidR="001C2B23" w:rsidRPr="00B37DEE" w:rsidTr="001C2B23">
        <w:trPr>
          <w:trHeight w:val="300"/>
          <w:jc w:val="center"/>
        </w:trPr>
        <w:tc>
          <w:tcPr>
            <w:tcW w:w="2500" w:type="dxa"/>
            <w:vMerge w:val="restart"/>
            <w:tcBorders>
              <w:top w:val="single" w:sz="4" w:space="0" w:color="auto"/>
              <w:left w:val="single" w:sz="4" w:space="0" w:color="auto"/>
              <w:bottom w:val="single" w:sz="4" w:space="0" w:color="auto"/>
              <w:right w:val="single" w:sz="4" w:space="0" w:color="auto"/>
            </w:tcBorders>
            <w:shd w:val="clear" w:color="000000" w:fill="FAC090"/>
            <w:noWrap/>
            <w:vAlign w:val="center"/>
            <w:hideMark/>
          </w:tcPr>
          <w:p w:rsidR="001C2B23" w:rsidRPr="00B37DEE" w:rsidRDefault="001C2B23" w:rsidP="004633A4">
            <w:pPr>
              <w:spacing w:after="0" w:line="240" w:lineRule="auto"/>
              <w:jc w:val="center"/>
              <w:rPr>
                <w:rFonts w:ascii="Times New Roman" w:eastAsia="Times New Roman" w:hAnsi="Times New Roman" w:cs="Times New Roman"/>
                <w:b/>
                <w:bCs/>
                <w:color w:val="000000"/>
              </w:rPr>
            </w:pPr>
            <w:r w:rsidRPr="00B37DEE">
              <w:rPr>
                <w:rFonts w:ascii="Times New Roman" w:eastAsia="Times New Roman" w:hAnsi="Times New Roman" w:cs="Times New Roman"/>
                <w:b/>
                <w:bCs/>
                <w:color w:val="000000"/>
              </w:rPr>
              <w:t>Įmonė</w:t>
            </w:r>
          </w:p>
        </w:tc>
        <w:tc>
          <w:tcPr>
            <w:tcW w:w="2140" w:type="dxa"/>
            <w:gridSpan w:val="2"/>
            <w:tcBorders>
              <w:top w:val="single" w:sz="4" w:space="0" w:color="auto"/>
              <w:left w:val="nil"/>
              <w:bottom w:val="single" w:sz="4" w:space="0" w:color="auto"/>
              <w:right w:val="single" w:sz="4" w:space="0" w:color="auto"/>
            </w:tcBorders>
            <w:shd w:val="clear" w:color="000000" w:fill="FAC090"/>
            <w:noWrap/>
            <w:vAlign w:val="center"/>
            <w:hideMark/>
          </w:tcPr>
          <w:p w:rsidR="001C2B23" w:rsidRPr="00B37DEE" w:rsidRDefault="001C2B23" w:rsidP="004633A4">
            <w:pPr>
              <w:spacing w:after="0" w:line="240" w:lineRule="auto"/>
              <w:jc w:val="center"/>
              <w:rPr>
                <w:rFonts w:ascii="Times New Roman" w:eastAsia="Times New Roman" w:hAnsi="Times New Roman" w:cs="Times New Roman"/>
                <w:b/>
                <w:bCs/>
                <w:color w:val="000000"/>
              </w:rPr>
            </w:pPr>
            <w:r w:rsidRPr="00B37DEE">
              <w:rPr>
                <w:rFonts w:ascii="Times New Roman" w:eastAsia="Times New Roman" w:hAnsi="Times New Roman" w:cs="Times New Roman"/>
                <w:b/>
                <w:bCs/>
                <w:color w:val="000000"/>
              </w:rPr>
              <w:t>ZAVGREN</w:t>
            </w:r>
          </w:p>
        </w:tc>
        <w:tc>
          <w:tcPr>
            <w:tcW w:w="2140" w:type="dxa"/>
            <w:gridSpan w:val="2"/>
            <w:tcBorders>
              <w:top w:val="single" w:sz="4" w:space="0" w:color="auto"/>
              <w:left w:val="nil"/>
              <w:bottom w:val="single" w:sz="4" w:space="0" w:color="auto"/>
              <w:right w:val="single" w:sz="4" w:space="0" w:color="auto"/>
            </w:tcBorders>
            <w:shd w:val="clear" w:color="000000" w:fill="FAC090"/>
            <w:noWrap/>
            <w:vAlign w:val="center"/>
            <w:hideMark/>
          </w:tcPr>
          <w:p w:rsidR="001C2B23" w:rsidRPr="00B37DEE" w:rsidRDefault="001C2B23" w:rsidP="004633A4">
            <w:pPr>
              <w:spacing w:after="0" w:line="240" w:lineRule="auto"/>
              <w:jc w:val="center"/>
              <w:rPr>
                <w:rFonts w:ascii="Times New Roman" w:eastAsia="Times New Roman" w:hAnsi="Times New Roman" w:cs="Times New Roman"/>
                <w:b/>
                <w:bCs/>
                <w:color w:val="000000"/>
              </w:rPr>
            </w:pPr>
            <w:r w:rsidRPr="00B37DEE">
              <w:rPr>
                <w:rFonts w:ascii="Times New Roman" w:eastAsia="Times New Roman" w:hAnsi="Times New Roman" w:cs="Times New Roman"/>
                <w:b/>
                <w:bCs/>
                <w:color w:val="000000"/>
              </w:rPr>
              <w:t>CHESSER</w:t>
            </w:r>
          </w:p>
        </w:tc>
      </w:tr>
      <w:tr w:rsidR="001C2B23" w:rsidRPr="00B37DEE" w:rsidTr="001C2B23">
        <w:trPr>
          <w:trHeight w:val="600"/>
          <w:jc w:val="center"/>
        </w:trPr>
        <w:tc>
          <w:tcPr>
            <w:tcW w:w="2500" w:type="dxa"/>
            <w:vMerge/>
            <w:tcBorders>
              <w:top w:val="single" w:sz="4" w:space="0" w:color="auto"/>
              <w:left w:val="single" w:sz="4" w:space="0" w:color="auto"/>
              <w:bottom w:val="single" w:sz="4" w:space="0" w:color="auto"/>
              <w:right w:val="single" w:sz="4" w:space="0" w:color="auto"/>
            </w:tcBorders>
            <w:vAlign w:val="center"/>
            <w:hideMark/>
          </w:tcPr>
          <w:p w:rsidR="001C2B23" w:rsidRPr="00B37DEE" w:rsidRDefault="001C2B23" w:rsidP="004633A4">
            <w:pPr>
              <w:spacing w:after="0" w:line="240" w:lineRule="auto"/>
              <w:rPr>
                <w:rFonts w:ascii="Times New Roman" w:eastAsia="Times New Roman" w:hAnsi="Times New Roman" w:cs="Times New Roman"/>
                <w:b/>
                <w:bCs/>
                <w:color w:val="000000"/>
              </w:rPr>
            </w:pPr>
          </w:p>
        </w:tc>
        <w:tc>
          <w:tcPr>
            <w:tcW w:w="876" w:type="dxa"/>
            <w:tcBorders>
              <w:top w:val="nil"/>
              <w:left w:val="nil"/>
              <w:bottom w:val="single" w:sz="4" w:space="0" w:color="auto"/>
              <w:right w:val="single" w:sz="4" w:space="0" w:color="auto"/>
            </w:tcBorders>
            <w:shd w:val="clear" w:color="000000" w:fill="FDE9D9"/>
            <w:noWrap/>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rPr>
            </w:pPr>
            <w:r w:rsidRPr="00B37DEE">
              <w:rPr>
                <w:rFonts w:ascii="Times New Roman" w:eastAsia="Times New Roman" w:hAnsi="Times New Roman" w:cs="Times New Roman"/>
                <w:i/>
                <w:iCs/>
                <w:color w:val="000000"/>
              </w:rPr>
              <w:t>Reikšmė</w:t>
            </w:r>
          </w:p>
        </w:tc>
        <w:tc>
          <w:tcPr>
            <w:tcW w:w="1264" w:type="dxa"/>
            <w:tcBorders>
              <w:top w:val="nil"/>
              <w:left w:val="nil"/>
              <w:bottom w:val="single" w:sz="4" w:space="0" w:color="auto"/>
              <w:right w:val="single" w:sz="4" w:space="0" w:color="auto"/>
            </w:tcBorders>
            <w:shd w:val="clear" w:color="000000" w:fill="FDE9D9"/>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rPr>
            </w:pPr>
            <w:r w:rsidRPr="00B37DEE">
              <w:rPr>
                <w:rFonts w:ascii="Times New Roman" w:eastAsia="Times New Roman" w:hAnsi="Times New Roman" w:cs="Times New Roman"/>
                <w:i/>
                <w:iCs/>
                <w:color w:val="000000"/>
              </w:rPr>
              <w:t>Būklės įvertinimas</w:t>
            </w:r>
          </w:p>
        </w:tc>
        <w:tc>
          <w:tcPr>
            <w:tcW w:w="876" w:type="dxa"/>
            <w:tcBorders>
              <w:top w:val="nil"/>
              <w:left w:val="nil"/>
              <w:bottom w:val="single" w:sz="4" w:space="0" w:color="auto"/>
              <w:right w:val="single" w:sz="4" w:space="0" w:color="auto"/>
            </w:tcBorders>
            <w:shd w:val="clear" w:color="000000" w:fill="FDE9D9"/>
            <w:noWrap/>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rPr>
            </w:pPr>
            <w:r w:rsidRPr="00B37DEE">
              <w:rPr>
                <w:rFonts w:ascii="Times New Roman" w:eastAsia="Times New Roman" w:hAnsi="Times New Roman" w:cs="Times New Roman"/>
                <w:i/>
                <w:iCs/>
                <w:color w:val="000000"/>
              </w:rPr>
              <w:t>Reikšmė</w:t>
            </w:r>
          </w:p>
        </w:tc>
        <w:tc>
          <w:tcPr>
            <w:tcW w:w="1264" w:type="dxa"/>
            <w:tcBorders>
              <w:top w:val="nil"/>
              <w:left w:val="nil"/>
              <w:bottom w:val="single" w:sz="4" w:space="0" w:color="auto"/>
              <w:right w:val="single" w:sz="4" w:space="0" w:color="auto"/>
            </w:tcBorders>
            <w:shd w:val="clear" w:color="000000" w:fill="FDE9D9"/>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rPr>
            </w:pPr>
            <w:r w:rsidRPr="00B37DEE">
              <w:rPr>
                <w:rFonts w:ascii="Times New Roman" w:eastAsia="Times New Roman" w:hAnsi="Times New Roman" w:cs="Times New Roman"/>
                <w:i/>
                <w:iCs/>
                <w:color w:val="000000"/>
              </w:rPr>
              <w:t>Būklės įvertinimas</w:t>
            </w:r>
          </w:p>
        </w:tc>
      </w:tr>
      <w:tr w:rsidR="001C2B23" w:rsidRPr="00B37DEE" w:rsidTr="001C2B23">
        <w:trPr>
          <w:trHeight w:val="300"/>
          <w:jc w:val="center"/>
        </w:trPr>
        <w:tc>
          <w:tcPr>
            <w:tcW w:w="2500" w:type="dxa"/>
            <w:tcBorders>
              <w:top w:val="nil"/>
              <w:left w:val="single" w:sz="4" w:space="0" w:color="auto"/>
              <w:bottom w:val="single" w:sz="4" w:space="0" w:color="auto"/>
              <w:right w:val="single" w:sz="4" w:space="0" w:color="auto"/>
            </w:tcBorders>
            <w:shd w:val="clear" w:color="000000" w:fill="FDE9D9"/>
            <w:noWrap/>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rPr>
            </w:pPr>
            <w:r w:rsidRPr="00B37DEE">
              <w:rPr>
                <w:rFonts w:ascii="Times New Roman" w:eastAsia="Times New Roman" w:hAnsi="Times New Roman" w:cs="Times New Roman"/>
                <w:i/>
                <w:iCs/>
                <w:color w:val="000000"/>
              </w:rPr>
              <w:t>UAB "Girteka"</w:t>
            </w:r>
          </w:p>
        </w:tc>
        <w:tc>
          <w:tcPr>
            <w:tcW w:w="87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1.000</w:t>
            </w:r>
          </w:p>
        </w:tc>
        <w:tc>
          <w:tcPr>
            <w:tcW w:w="126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Bloga</w:t>
            </w:r>
          </w:p>
        </w:tc>
        <w:tc>
          <w:tcPr>
            <w:tcW w:w="87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0.767</w:t>
            </w:r>
          </w:p>
        </w:tc>
        <w:tc>
          <w:tcPr>
            <w:tcW w:w="126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Bloga</w:t>
            </w:r>
          </w:p>
        </w:tc>
      </w:tr>
      <w:tr w:rsidR="001C2B23" w:rsidRPr="00B37DEE" w:rsidTr="001C2B23">
        <w:trPr>
          <w:trHeight w:val="300"/>
          <w:jc w:val="center"/>
        </w:trPr>
        <w:tc>
          <w:tcPr>
            <w:tcW w:w="2500" w:type="dxa"/>
            <w:tcBorders>
              <w:top w:val="nil"/>
              <w:left w:val="single" w:sz="4" w:space="0" w:color="auto"/>
              <w:bottom w:val="single" w:sz="4" w:space="0" w:color="auto"/>
              <w:right w:val="single" w:sz="4" w:space="0" w:color="auto"/>
            </w:tcBorders>
            <w:shd w:val="clear" w:color="000000" w:fill="FDE9D9"/>
            <w:noWrap/>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rPr>
            </w:pPr>
            <w:r w:rsidRPr="00B37DEE">
              <w:rPr>
                <w:rFonts w:ascii="Times New Roman" w:eastAsia="Times New Roman" w:hAnsi="Times New Roman" w:cs="Times New Roman"/>
                <w:i/>
                <w:iCs/>
                <w:color w:val="000000"/>
              </w:rPr>
              <w:t>UAB "Autoverslas"</w:t>
            </w:r>
          </w:p>
        </w:tc>
        <w:tc>
          <w:tcPr>
            <w:tcW w:w="87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1.000</w:t>
            </w:r>
          </w:p>
        </w:tc>
        <w:tc>
          <w:tcPr>
            <w:tcW w:w="126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Bloga</w:t>
            </w:r>
          </w:p>
        </w:tc>
        <w:tc>
          <w:tcPr>
            <w:tcW w:w="87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0.640</w:t>
            </w:r>
          </w:p>
        </w:tc>
        <w:tc>
          <w:tcPr>
            <w:tcW w:w="126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Bloga</w:t>
            </w:r>
          </w:p>
        </w:tc>
      </w:tr>
      <w:tr w:rsidR="001C2B23" w:rsidRPr="00B37DEE" w:rsidTr="001C2B23">
        <w:trPr>
          <w:trHeight w:val="300"/>
          <w:jc w:val="center"/>
        </w:trPr>
        <w:tc>
          <w:tcPr>
            <w:tcW w:w="2500" w:type="dxa"/>
            <w:tcBorders>
              <w:top w:val="nil"/>
              <w:left w:val="single" w:sz="4" w:space="0" w:color="auto"/>
              <w:bottom w:val="single" w:sz="4" w:space="0" w:color="auto"/>
              <w:right w:val="single" w:sz="4" w:space="0" w:color="auto"/>
            </w:tcBorders>
            <w:shd w:val="clear" w:color="000000" w:fill="FDE9D9"/>
            <w:noWrap/>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rPr>
            </w:pPr>
            <w:r w:rsidRPr="00B37DEE">
              <w:rPr>
                <w:rFonts w:ascii="Times New Roman" w:eastAsia="Times New Roman" w:hAnsi="Times New Roman" w:cs="Times New Roman"/>
                <w:i/>
                <w:iCs/>
                <w:color w:val="000000"/>
              </w:rPr>
              <w:t>*UAB "Romas ir Ko"</w:t>
            </w:r>
          </w:p>
        </w:tc>
        <w:tc>
          <w:tcPr>
            <w:tcW w:w="87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0.925</w:t>
            </w:r>
          </w:p>
        </w:tc>
        <w:tc>
          <w:tcPr>
            <w:tcW w:w="126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Bloga</w:t>
            </w:r>
          </w:p>
        </w:tc>
        <w:tc>
          <w:tcPr>
            <w:tcW w:w="87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0.478</w:t>
            </w:r>
          </w:p>
        </w:tc>
        <w:tc>
          <w:tcPr>
            <w:tcW w:w="126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Gera</w:t>
            </w:r>
          </w:p>
        </w:tc>
      </w:tr>
      <w:tr w:rsidR="001C2B23" w:rsidRPr="00B37DEE" w:rsidTr="001C2B23">
        <w:trPr>
          <w:trHeight w:val="300"/>
          <w:jc w:val="center"/>
        </w:trPr>
        <w:tc>
          <w:tcPr>
            <w:tcW w:w="2500" w:type="dxa"/>
            <w:tcBorders>
              <w:top w:val="nil"/>
              <w:left w:val="single" w:sz="4" w:space="0" w:color="auto"/>
              <w:bottom w:val="single" w:sz="4" w:space="0" w:color="auto"/>
              <w:right w:val="single" w:sz="4" w:space="0" w:color="auto"/>
            </w:tcBorders>
            <w:shd w:val="clear" w:color="000000" w:fill="FDE9D9"/>
            <w:noWrap/>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rPr>
            </w:pPr>
            <w:r w:rsidRPr="00B37DEE">
              <w:rPr>
                <w:rFonts w:ascii="Times New Roman" w:eastAsia="Times New Roman" w:hAnsi="Times New Roman" w:cs="Times New Roman"/>
                <w:i/>
                <w:iCs/>
                <w:color w:val="000000"/>
              </w:rPr>
              <w:t>*UAB "Achemarida"</w:t>
            </w:r>
          </w:p>
        </w:tc>
        <w:tc>
          <w:tcPr>
            <w:tcW w:w="87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0.967</w:t>
            </w:r>
          </w:p>
        </w:tc>
        <w:tc>
          <w:tcPr>
            <w:tcW w:w="126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Bloga</w:t>
            </w:r>
          </w:p>
        </w:tc>
        <w:tc>
          <w:tcPr>
            <w:tcW w:w="87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0.580</w:t>
            </w:r>
          </w:p>
        </w:tc>
        <w:tc>
          <w:tcPr>
            <w:tcW w:w="126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Bloga</w:t>
            </w:r>
          </w:p>
        </w:tc>
      </w:tr>
    </w:tbl>
    <w:p w:rsidR="001C2B23" w:rsidRDefault="001C2B23" w:rsidP="001C2B23">
      <w:pPr>
        <w:spacing w:after="0"/>
        <w:contextualSpacing/>
        <w:jc w:val="center"/>
        <w:rPr>
          <w:rFonts w:ascii="Times New Roman" w:hAnsi="Times New Roman" w:cs="Times New Roman"/>
          <w:b/>
          <w:szCs w:val="24"/>
        </w:rPr>
      </w:pPr>
    </w:p>
    <w:p w:rsidR="001C2B23" w:rsidRDefault="001C2B23" w:rsidP="001C2B23">
      <w:pPr>
        <w:spacing w:after="0"/>
        <w:contextualSpacing/>
        <w:jc w:val="center"/>
        <w:rPr>
          <w:rFonts w:ascii="Times New Roman" w:hAnsi="Times New Roman" w:cs="Times New Roman"/>
          <w:b/>
          <w:szCs w:val="24"/>
        </w:rPr>
      </w:pPr>
    </w:p>
    <w:p w:rsidR="001C2B23" w:rsidRDefault="001C2B23" w:rsidP="001C2B23">
      <w:pPr>
        <w:spacing w:after="0"/>
        <w:contextualSpacing/>
        <w:jc w:val="center"/>
        <w:rPr>
          <w:rFonts w:ascii="Times New Roman" w:hAnsi="Times New Roman" w:cs="Times New Roman"/>
          <w:b/>
          <w:szCs w:val="24"/>
        </w:rPr>
      </w:pPr>
      <w:r>
        <w:rPr>
          <w:rFonts w:ascii="Times New Roman" w:hAnsi="Times New Roman" w:cs="Times New Roman"/>
          <w:szCs w:val="24"/>
        </w:rPr>
        <w:t>6</w:t>
      </w:r>
      <w:r w:rsidRPr="004D5C99">
        <w:rPr>
          <w:rFonts w:ascii="Times New Roman" w:hAnsi="Times New Roman" w:cs="Times New Roman"/>
          <w:szCs w:val="24"/>
        </w:rPr>
        <w:t xml:space="preserve"> lentelė.</w:t>
      </w:r>
      <w:r w:rsidRPr="004D5C99">
        <w:rPr>
          <w:rFonts w:ascii="Times New Roman" w:hAnsi="Times New Roman" w:cs="Times New Roman"/>
          <w:b/>
          <w:szCs w:val="24"/>
        </w:rPr>
        <w:t xml:space="preserve"> </w:t>
      </w:r>
      <w:r>
        <w:rPr>
          <w:rFonts w:ascii="Times New Roman" w:hAnsi="Times New Roman" w:cs="Times New Roman"/>
          <w:b/>
          <w:szCs w:val="24"/>
        </w:rPr>
        <w:t xml:space="preserve">2010 m. logistinės regresijos modelių rezultatai </w:t>
      </w:r>
    </w:p>
    <w:tbl>
      <w:tblPr>
        <w:tblW w:w="6780" w:type="dxa"/>
        <w:jc w:val="center"/>
        <w:tblInd w:w="93" w:type="dxa"/>
        <w:tblLook w:val="04A0"/>
      </w:tblPr>
      <w:tblGrid>
        <w:gridCol w:w="2500"/>
        <w:gridCol w:w="949"/>
        <w:gridCol w:w="1264"/>
        <w:gridCol w:w="949"/>
        <w:gridCol w:w="1264"/>
      </w:tblGrid>
      <w:tr w:rsidR="001C2B23" w:rsidRPr="00B37DEE" w:rsidTr="001C2B23">
        <w:trPr>
          <w:trHeight w:val="300"/>
          <w:jc w:val="center"/>
        </w:trPr>
        <w:tc>
          <w:tcPr>
            <w:tcW w:w="2500" w:type="dxa"/>
            <w:vMerge w:val="restart"/>
            <w:tcBorders>
              <w:top w:val="single" w:sz="4" w:space="0" w:color="auto"/>
              <w:left w:val="single" w:sz="4" w:space="0" w:color="auto"/>
              <w:bottom w:val="single" w:sz="4" w:space="0" w:color="auto"/>
              <w:right w:val="single" w:sz="4" w:space="0" w:color="auto"/>
            </w:tcBorders>
            <w:shd w:val="clear" w:color="000000" w:fill="FAC090"/>
            <w:noWrap/>
            <w:vAlign w:val="center"/>
            <w:hideMark/>
          </w:tcPr>
          <w:p w:rsidR="001C2B23" w:rsidRPr="00B37DEE" w:rsidRDefault="001C2B23" w:rsidP="004633A4">
            <w:pPr>
              <w:spacing w:after="0" w:line="240" w:lineRule="auto"/>
              <w:jc w:val="center"/>
              <w:rPr>
                <w:rFonts w:ascii="Times New Roman" w:eastAsia="Times New Roman" w:hAnsi="Times New Roman" w:cs="Times New Roman"/>
                <w:b/>
                <w:bCs/>
                <w:color w:val="000000"/>
              </w:rPr>
            </w:pPr>
            <w:r w:rsidRPr="00B37DEE">
              <w:rPr>
                <w:rFonts w:ascii="Times New Roman" w:eastAsia="Times New Roman" w:hAnsi="Times New Roman" w:cs="Times New Roman"/>
                <w:b/>
                <w:bCs/>
                <w:color w:val="000000"/>
              </w:rPr>
              <w:t>Įmonė</w:t>
            </w:r>
          </w:p>
        </w:tc>
        <w:tc>
          <w:tcPr>
            <w:tcW w:w="2140" w:type="dxa"/>
            <w:gridSpan w:val="2"/>
            <w:tcBorders>
              <w:top w:val="single" w:sz="4" w:space="0" w:color="auto"/>
              <w:left w:val="nil"/>
              <w:bottom w:val="single" w:sz="4" w:space="0" w:color="auto"/>
              <w:right w:val="single" w:sz="4" w:space="0" w:color="auto"/>
            </w:tcBorders>
            <w:shd w:val="clear" w:color="000000" w:fill="FAC090"/>
            <w:noWrap/>
            <w:vAlign w:val="center"/>
            <w:hideMark/>
          </w:tcPr>
          <w:p w:rsidR="001C2B23" w:rsidRPr="00B37DEE" w:rsidRDefault="001C2B23" w:rsidP="004633A4">
            <w:pPr>
              <w:spacing w:after="0" w:line="240" w:lineRule="auto"/>
              <w:jc w:val="center"/>
              <w:rPr>
                <w:rFonts w:ascii="Times New Roman" w:eastAsia="Times New Roman" w:hAnsi="Times New Roman" w:cs="Times New Roman"/>
                <w:b/>
                <w:bCs/>
                <w:color w:val="000000"/>
              </w:rPr>
            </w:pPr>
            <w:r w:rsidRPr="00B37DEE">
              <w:rPr>
                <w:rFonts w:ascii="Times New Roman" w:eastAsia="Times New Roman" w:hAnsi="Times New Roman" w:cs="Times New Roman"/>
                <w:b/>
                <w:bCs/>
                <w:color w:val="000000"/>
              </w:rPr>
              <w:t>ZAVGREN</w:t>
            </w:r>
          </w:p>
        </w:tc>
        <w:tc>
          <w:tcPr>
            <w:tcW w:w="2140" w:type="dxa"/>
            <w:gridSpan w:val="2"/>
            <w:tcBorders>
              <w:top w:val="single" w:sz="4" w:space="0" w:color="auto"/>
              <w:left w:val="nil"/>
              <w:bottom w:val="single" w:sz="4" w:space="0" w:color="auto"/>
              <w:right w:val="single" w:sz="4" w:space="0" w:color="auto"/>
            </w:tcBorders>
            <w:shd w:val="clear" w:color="000000" w:fill="FAC090"/>
            <w:noWrap/>
            <w:vAlign w:val="center"/>
            <w:hideMark/>
          </w:tcPr>
          <w:p w:rsidR="001C2B23" w:rsidRPr="00B37DEE" w:rsidRDefault="001C2B23" w:rsidP="004633A4">
            <w:pPr>
              <w:spacing w:after="0" w:line="240" w:lineRule="auto"/>
              <w:jc w:val="center"/>
              <w:rPr>
                <w:rFonts w:ascii="Times New Roman" w:eastAsia="Times New Roman" w:hAnsi="Times New Roman" w:cs="Times New Roman"/>
                <w:b/>
                <w:bCs/>
                <w:color w:val="000000"/>
              </w:rPr>
            </w:pPr>
            <w:r w:rsidRPr="00B37DEE">
              <w:rPr>
                <w:rFonts w:ascii="Times New Roman" w:eastAsia="Times New Roman" w:hAnsi="Times New Roman" w:cs="Times New Roman"/>
                <w:b/>
                <w:bCs/>
                <w:color w:val="000000"/>
              </w:rPr>
              <w:t>CHESSER</w:t>
            </w:r>
          </w:p>
        </w:tc>
      </w:tr>
      <w:tr w:rsidR="001C2B23" w:rsidRPr="00B37DEE" w:rsidTr="001C2B23">
        <w:trPr>
          <w:trHeight w:val="600"/>
          <w:jc w:val="center"/>
        </w:trPr>
        <w:tc>
          <w:tcPr>
            <w:tcW w:w="2500" w:type="dxa"/>
            <w:vMerge/>
            <w:tcBorders>
              <w:top w:val="single" w:sz="4" w:space="0" w:color="auto"/>
              <w:left w:val="single" w:sz="4" w:space="0" w:color="auto"/>
              <w:bottom w:val="single" w:sz="4" w:space="0" w:color="auto"/>
              <w:right w:val="single" w:sz="4" w:space="0" w:color="auto"/>
            </w:tcBorders>
            <w:vAlign w:val="center"/>
            <w:hideMark/>
          </w:tcPr>
          <w:p w:rsidR="001C2B23" w:rsidRPr="00B37DEE" w:rsidRDefault="001C2B23" w:rsidP="004633A4">
            <w:pPr>
              <w:spacing w:after="0" w:line="240" w:lineRule="auto"/>
              <w:rPr>
                <w:rFonts w:ascii="Times New Roman" w:eastAsia="Times New Roman" w:hAnsi="Times New Roman" w:cs="Times New Roman"/>
                <w:b/>
                <w:bCs/>
                <w:color w:val="000000"/>
              </w:rPr>
            </w:pPr>
          </w:p>
        </w:tc>
        <w:tc>
          <w:tcPr>
            <w:tcW w:w="876" w:type="dxa"/>
            <w:tcBorders>
              <w:top w:val="nil"/>
              <w:left w:val="nil"/>
              <w:bottom w:val="single" w:sz="4" w:space="0" w:color="auto"/>
              <w:right w:val="single" w:sz="4" w:space="0" w:color="auto"/>
            </w:tcBorders>
            <w:shd w:val="clear" w:color="000000" w:fill="FDE9D9"/>
            <w:noWrap/>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rPr>
            </w:pPr>
            <w:r w:rsidRPr="00B37DEE">
              <w:rPr>
                <w:rFonts w:ascii="Times New Roman" w:eastAsia="Times New Roman" w:hAnsi="Times New Roman" w:cs="Times New Roman"/>
                <w:i/>
                <w:iCs/>
                <w:color w:val="000000"/>
              </w:rPr>
              <w:t>Reikšmė</w:t>
            </w:r>
          </w:p>
        </w:tc>
        <w:tc>
          <w:tcPr>
            <w:tcW w:w="1264" w:type="dxa"/>
            <w:tcBorders>
              <w:top w:val="nil"/>
              <w:left w:val="nil"/>
              <w:bottom w:val="single" w:sz="4" w:space="0" w:color="auto"/>
              <w:right w:val="single" w:sz="4" w:space="0" w:color="auto"/>
            </w:tcBorders>
            <w:shd w:val="clear" w:color="000000" w:fill="FDE9D9"/>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rPr>
            </w:pPr>
            <w:r w:rsidRPr="00B37DEE">
              <w:rPr>
                <w:rFonts w:ascii="Times New Roman" w:eastAsia="Times New Roman" w:hAnsi="Times New Roman" w:cs="Times New Roman"/>
                <w:i/>
                <w:iCs/>
                <w:color w:val="000000"/>
              </w:rPr>
              <w:t>Būklės įvertinimas</w:t>
            </w:r>
          </w:p>
        </w:tc>
        <w:tc>
          <w:tcPr>
            <w:tcW w:w="876" w:type="dxa"/>
            <w:tcBorders>
              <w:top w:val="nil"/>
              <w:left w:val="nil"/>
              <w:bottom w:val="single" w:sz="4" w:space="0" w:color="auto"/>
              <w:right w:val="single" w:sz="4" w:space="0" w:color="auto"/>
            </w:tcBorders>
            <w:shd w:val="clear" w:color="000000" w:fill="FDE9D9"/>
            <w:noWrap/>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rPr>
            </w:pPr>
            <w:r w:rsidRPr="00B37DEE">
              <w:rPr>
                <w:rFonts w:ascii="Times New Roman" w:eastAsia="Times New Roman" w:hAnsi="Times New Roman" w:cs="Times New Roman"/>
                <w:i/>
                <w:iCs/>
                <w:color w:val="000000"/>
              </w:rPr>
              <w:t>Reikšmė</w:t>
            </w:r>
          </w:p>
        </w:tc>
        <w:tc>
          <w:tcPr>
            <w:tcW w:w="1264" w:type="dxa"/>
            <w:tcBorders>
              <w:top w:val="nil"/>
              <w:left w:val="nil"/>
              <w:bottom w:val="single" w:sz="4" w:space="0" w:color="auto"/>
              <w:right w:val="single" w:sz="4" w:space="0" w:color="auto"/>
            </w:tcBorders>
            <w:shd w:val="clear" w:color="000000" w:fill="FDE9D9"/>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rPr>
            </w:pPr>
            <w:r w:rsidRPr="00B37DEE">
              <w:rPr>
                <w:rFonts w:ascii="Times New Roman" w:eastAsia="Times New Roman" w:hAnsi="Times New Roman" w:cs="Times New Roman"/>
                <w:i/>
                <w:iCs/>
                <w:color w:val="000000"/>
              </w:rPr>
              <w:t>Būklės įvertinimas</w:t>
            </w:r>
          </w:p>
        </w:tc>
      </w:tr>
      <w:tr w:rsidR="001C2B23" w:rsidRPr="00B37DEE" w:rsidTr="001C2B23">
        <w:trPr>
          <w:trHeight w:val="300"/>
          <w:jc w:val="center"/>
        </w:trPr>
        <w:tc>
          <w:tcPr>
            <w:tcW w:w="2500" w:type="dxa"/>
            <w:tcBorders>
              <w:top w:val="nil"/>
              <w:left w:val="single" w:sz="4" w:space="0" w:color="auto"/>
              <w:bottom w:val="single" w:sz="4" w:space="0" w:color="auto"/>
              <w:right w:val="single" w:sz="4" w:space="0" w:color="auto"/>
            </w:tcBorders>
            <w:shd w:val="clear" w:color="000000" w:fill="FDE9D9"/>
            <w:noWrap/>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rPr>
            </w:pPr>
            <w:r w:rsidRPr="00B37DEE">
              <w:rPr>
                <w:rFonts w:ascii="Times New Roman" w:eastAsia="Times New Roman" w:hAnsi="Times New Roman" w:cs="Times New Roman"/>
                <w:i/>
                <w:iCs/>
                <w:color w:val="000000"/>
              </w:rPr>
              <w:t>UAB "Girteka"</w:t>
            </w:r>
          </w:p>
        </w:tc>
        <w:tc>
          <w:tcPr>
            <w:tcW w:w="87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1.000</w:t>
            </w:r>
          </w:p>
        </w:tc>
        <w:tc>
          <w:tcPr>
            <w:tcW w:w="126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Bloga</w:t>
            </w:r>
          </w:p>
        </w:tc>
        <w:tc>
          <w:tcPr>
            <w:tcW w:w="87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0.438</w:t>
            </w:r>
          </w:p>
        </w:tc>
        <w:tc>
          <w:tcPr>
            <w:tcW w:w="126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Gera</w:t>
            </w:r>
          </w:p>
        </w:tc>
      </w:tr>
      <w:tr w:rsidR="001C2B23" w:rsidRPr="00B37DEE" w:rsidTr="001C2B23">
        <w:trPr>
          <w:trHeight w:val="300"/>
          <w:jc w:val="center"/>
        </w:trPr>
        <w:tc>
          <w:tcPr>
            <w:tcW w:w="2500" w:type="dxa"/>
            <w:tcBorders>
              <w:top w:val="nil"/>
              <w:left w:val="single" w:sz="4" w:space="0" w:color="auto"/>
              <w:bottom w:val="single" w:sz="4" w:space="0" w:color="auto"/>
              <w:right w:val="single" w:sz="4" w:space="0" w:color="auto"/>
            </w:tcBorders>
            <w:shd w:val="clear" w:color="000000" w:fill="FDE9D9"/>
            <w:noWrap/>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rPr>
            </w:pPr>
            <w:r w:rsidRPr="00B37DEE">
              <w:rPr>
                <w:rFonts w:ascii="Times New Roman" w:eastAsia="Times New Roman" w:hAnsi="Times New Roman" w:cs="Times New Roman"/>
                <w:i/>
                <w:iCs/>
                <w:color w:val="000000"/>
              </w:rPr>
              <w:t>UAB "Autoverslas"</w:t>
            </w:r>
          </w:p>
        </w:tc>
        <w:tc>
          <w:tcPr>
            <w:tcW w:w="87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1.000</w:t>
            </w:r>
          </w:p>
        </w:tc>
        <w:tc>
          <w:tcPr>
            <w:tcW w:w="126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Bloga</w:t>
            </w:r>
          </w:p>
        </w:tc>
        <w:tc>
          <w:tcPr>
            <w:tcW w:w="87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0.611</w:t>
            </w:r>
          </w:p>
        </w:tc>
        <w:tc>
          <w:tcPr>
            <w:tcW w:w="126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Bloga</w:t>
            </w:r>
          </w:p>
        </w:tc>
      </w:tr>
      <w:tr w:rsidR="001C2B23" w:rsidRPr="00B37DEE" w:rsidTr="001C2B23">
        <w:trPr>
          <w:trHeight w:val="300"/>
          <w:jc w:val="center"/>
        </w:trPr>
        <w:tc>
          <w:tcPr>
            <w:tcW w:w="2500" w:type="dxa"/>
            <w:tcBorders>
              <w:top w:val="nil"/>
              <w:left w:val="single" w:sz="4" w:space="0" w:color="auto"/>
              <w:bottom w:val="single" w:sz="4" w:space="0" w:color="auto"/>
              <w:right w:val="single" w:sz="4" w:space="0" w:color="auto"/>
            </w:tcBorders>
            <w:shd w:val="clear" w:color="000000" w:fill="FDE9D9"/>
            <w:noWrap/>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rPr>
            </w:pPr>
            <w:r w:rsidRPr="00B37DEE">
              <w:rPr>
                <w:rFonts w:ascii="Times New Roman" w:eastAsia="Times New Roman" w:hAnsi="Times New Roman" w:cs="Times New Roman"/>
                <w:i/>
                <w:iCs/>
                <w:color w:val="000000"/>
              </w:rPr>
              <w:t>*UAB "Romas ir Ko"</w:t>
            </w:r>
          </w:p>
        </w:tc>
        <w:tc>
          <w:tcPr>
            <w:tcW w:w="87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0.999</w:t>
            </w:r>
          </w:p>
        </w:tc>
        <w:tc>
          <w:tcPr>
            <w:tcW w:w="126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Bloga</w:t>
            </w:r>
          </w:p>
        </w:tc>
        <w:tc>
          <w:tcPr>
            <w:tcW w:w="87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0.938</w:t>
            </w:r>
          </w:p>
        </w:tc>
        <w:tc>
          <w:tcPr>
            <w:tcW w:w="126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Bloga</w:t>
            </w:r>
          </w:p>
        </w:tc>
      </w:tr>
      <w:tr w:rsidR="001C2B23" w:rsidRPr="00B37DEE" w:rsidTr="001C2B23">
        <w:trPr>
          <w:trHeight w:val="300"/>
          <w:jc w:val="center"/>
        </w:trPr>
        <w:tc>
          <w:tcPr>
            <w:tcW w:w="2500" w:type="dxa"/>
            <w:tcBorders>
              <w:top w:val="nil"/>
              <w:left w:val="single" w:sz="4" w:space="0" w:color="auto"/>
              <w:bottom w:val="single" w:sz="4" w:space="0" w:color="auto"/>
              <w:right w:val="single" w:sz="4" w:space="0" w:color="auto"/>
            </w:tcBorders>
            <w:shd w:val="clear" w:color="000000" w:fill="FDE9D9"/>
            <w:noWrap/>
            <w:vAlign w:val="center"/>
            <w:hideMark/>
          </w:tcPr>
          <w:p w:rsidR="001C2B23" w:rsidRPr="00B37DEE" w:rsidRDefault="001C2B23" w:rsidP="004633A4">
            <w:pPr>
              <w:spacing w:after="0" w:line="240" w:lineRule="auto"/>
              <w:jc w:val="center"/>
              <w:rPr>
                <w:rFonts w:ascii="Times New Roman" w:eastAsia="Times New Roman" w:hAnsi="Times New Roman" w:cs="Times New Roman"/>
                <w:i/>
                <w:iCs/>
                <w:color w:val="000000"/>
              </w:rPr>
            </w:pPr>
            <w:r w:rsidRPr="00B37DEE">
              <w:rPr>
                <w:rFonts w:ascii="Times New Roman" w:eastAsia="Times New Roman" w:hAnsi="Times New Roman" w:cs="Times New Roman"/>
                <w:i/>
                <w:iCs/>
                <w:color w:val="000000"/>
              </w:rPr>
              <w:t>*UAB "Achemarida"</w:t>
            </w:r>
          </w:p>
        </w:tc>
        <w:tc>
          <w:tcPr>
            <w:tcW w:w="87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0.996</w:t>
            </w:r>
          </w:p>
        </w:tc>
        <w:tc>
          <w:tcPr>
            <w:tcW w:w="126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Bloga</w:t>
            </w:r>
          </w:p>
        </w:tc>
        <w:tc>
          <w:tcPr>
            <w:tcW w:w="876"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0.974</w:t>
            </w:r>
          </w:p>
        </w:tc>
        <w:tc>
          <w:tcPr>
            <w:tcW w:w="1264" w:type="dxa"/>
            <w:tcBorders>
              <w:top w:val="nil"/>
              <w:left w:val="nil"/>
              <w:bottom w:val="single" w:sz="4" w:space="0" w:color="auto"/>
              <w:right w:val="single" w:sz="4" w:space="0" w:color="auto"/>
            </w:tcBorders>
            <w:shd w:val="clear" w:color="auto" w:fill="auto"/>
            <w:noWrap/>
            <w:vAlign w:val="center"/>
            <w:hideMark/>
          </w:tcPr>
          <w:p w:rsidR="001C2B23" w:rsidRPr="001C2B23" w:rsidRDefault="001C2B23" w:rsidP="004633A4">
            <w:pPr>
              <w:spacing w:after="0" w:line="240" w:lineRule="auto"/>
              <w:jc w:val="center"/>
              <w:rPr>
                <w:rFonts w:ascii="Times New Roman" w:eastAsia="Times New Roman" w:hAnsi="Times New Roman" w:cs="Times New Roman"/>
                <w:color w:val="000000"/>
                <w:sz w:val="20"/>
              </w:rPr>
            </w:pPr>
            <w:r w:rsidRPr="001C2B23">
              <w:rPr>
                <w:rFonts w:ascii="Times New Roman" w:eastAsia="Times New Roman" w:hAnsi="Times New Roman" w:cs="Times New Roman"/>
                <w:color w:val="000000"/>
                <w:sz w:val="20"/>
              </w:rPr>
              <w:t>Bloga</w:t>
            </w:r>
          </w:p>
        </w:tc>
      </w:tr>
    </w:tbl>
    <w:p w:rsidR="001C2B23" w:rsidRDefault="001C2B23" w:rsidP="001C2B23">
      <w:pPr>
        <w:spacing w:after="0"/>
        <w:contextualSpacing/>
        <w:jc w:val="center"/>
        <w:rPr>
          <w:rFonts w:ascii="Times New Roman" w:hAnsi="Times New Roman" w:cs="Times New Roman"/>
          <w:b/>
          <w:szCs w:val="24"/>
        </w:rPr>
      </w:pPr>
    </w:p>
    <w:p w:rsidR="001C2B23" w:rsidRPr="006014D3" w:rsidRDefault="001C2B23" w:rsidP="00E035CC">
      <w:pPr>
        <w:jc w:val="center"/>
        <w:rPr>
          <w:rFonts w:ascii="Times New Roman" w:hAnsi="Times New Roman" w:cs="Times New Roman"/>
          <w:sz w:val="24"/>
          <w:szCs w:val="24"/>
          <w:lang w:val="lt-LT"/>
        </w:rPr>
      </w:pPr>
    </w:p>
    <w:sectPr w:rsidR="001C2B23" w:rsidRPr="006014D3" w:rsidSect="001555FE">
      <w:headerReference w:type="default" r:id="rId57"/>
      <w:pgSz w:w="12240" w:h="15840"/>
      <w:pgMar w:top="1134" w:right="616" w:bottom="1134"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2DAE" w:rsidRDefault="00F22DAE" w:rsidP="001555FE">
      <w:pPr>
        <w:spacing w:after="0" w:line="240" w:lineRule="auto"/>
      </w:pPr>
      <w:r>
        <w:separator/>
      </w:r>
    </w:p>
  </w:endnote>
  <w:endnote w:type="continuationSeparator" w:id="1">
    <w:p w:rsidR="00F22DAE" w:rsidRDefault="00F22DAE" w:rsidP="001555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default"/>
    <w:sig w:usb0="00000003" w:usb1="08070000" w:usb2="00000010" w:usb3="00000000" w:csb0="0002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2FF" w:usb1="420024FF" w:usb2="00000000" w:usb3="00000000" w:csb0="0000019F" w:csb1="00000000"/>
  </w:font>
  <w:font w:name="TimesNewRomanPS-Italic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2DAE" w:rsidRDefault="00F22DAE" w:rsidP="001555FE">
      <w:pPr>
        <w:spacing w:after="0" w:line="240" w:lineRule="auto"/>
      </w:pPr>
      <w:r>
        <w:separator/>
      </w:r>
    </w:p>
  </w:footnote>
  <w:footnote w:type="continuationSeparator" w:id="1">
    <w:p w:rsidR="00F22DAE" w:rsidRDefault="00F22DAE" w:rsidP="001555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069938"/>
      <w:docPartObj>
        <w:docPartGallery w:val="Page Numbers (Top of Page)"/>
        <w:docPartUnique/>
      </w:docPartObj>
    </w:sdtPr>
    <w:sdtContent>
      <w:p w:rsidR="003C7149" w:rsidRDefault="0020234E">
        <w:pPr>
          <w:pStyle w:val="Header"/>
          <w:jc w:val="center"/>
        </w:pPr>
        <w:r w:rsidRPr="007A7F0B">
          <w:rPr>
            <w:rFonts w:ascii="Times New Roman" w:hAnsi="Times New Roman" w:cs="Times New Roman"/>
          </w:rPr>
          <w:fldChar w:fldCharType="begin"/>
        </w:r>
        <w:r w:rsidR="003C7149" w:rsidRPr="007A7F0B">
          <w:rPr>
            <w:rFonts w:ascii="Times New Roman" w:hAnsi="Times New Roman" w:cs="Times New Roman"/>
          </w:rPr>
          <w:instrText xml:space="preserve"> PAGE   \* MERGEFORMAT </w:instrText>
        </w:r>
        <w:r w:rsidRPr="007A7F0B">
          <w:rPr>
            <w:rFonts w:ascii="Times New Roman" w:hAnsi="Times New Roman" w:cs="Times New Roman"/>
          </w:rPr>
          <w:fldChar w:fldCharType="separate"/>
        </w:r>
        <w:r w:rsidR="003C7149">
          <w:rPr>
            <w:rFonts w:ascii="Times New Roman" w:hAnsi="Times New Roman" w:cs="Times New Roman"/>
            <w:noProof/>
          </w:rPr>
          <w:t>3</w:t>
        </w:r>
        <w:r w:rsidRPr="007A7F0B">
          <w:rPr>
            <w:rFonts w:ascii="Times New Roman" w:hAnsi="Times New Roman" w:cs="Times New Roman"/>
          </w:rPr>
          <w:fldChar w:fldCharType="end"/>
        </w:r>
      </w:p>
    </w:sdtContent>
  </w:sdt>
  <w:p w:rsidR="003C7149" w:rsidRDefault="003C71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149" w:rsidRPr="00FA0AB0" w:rsidRDefault="0020234E">
    <w:pPr>
      <w:pStyle w:val="Header"/>
      <w:jc w:val="center"/>
      <w:rPr>
        <w:rFonts w:ascii="Times New Roman" w:hAnsi="Times New Roman" w:cs="Times New Roman"/>
      </w:rPr>
    </w:pPr>
    <w:r w:rsidRPr="00FA0AB0">
      <w:rPr>
        <w:rFonts w:ascii="Times New Roman" w:hAnsi="Times New Roman" w:cs="Times New Roman"/>
      </w:rPr>
      <w:fldChar w:fldCharType="begin"/>
    </w:r>
    <w:r w:rsidR="003C7149" w:rsidRPr="00FA0AB0">
      <w:rPr>
        <w:rFonts w:ascii="Times New Roman" w:hAnsi="Times New Roman" w:cs="Times New Roman"/>
      </w:rPr>
      <w:instrText xml:space="preserve"> PAGE   \* MERGEFORMAT </w:instrText>
    </w:r>
    <w:r w:rsidRPr="00FA0AB0">
      <w:rPr>
        <w:rFonts w:ascii="Times New Roman" w:hAnsi="Times New Roman" w:cs="Times New Roman"/>
      </w:rPr>
      <w:fldChar w:fldCharType="separate"/>
    </w:r>
    <w:r w:rsidR="00886C7E">
      <w:rPr>
        <w:rFonts w:ascii="Times New Roman" w:hAnsi="Times New Roman" w:cs="Times New Roman"/>
        <w:noProof/>
      </w:rPr>
      <w:t>39</w:t>
    </w:r>
    <w:r w:rsidRPr="00FA0AB0">
      <w:rPr>
        <w:rFonts w:ascii="Times New Roman" w:hAnsi="Times New Roman" w:cs="Times New Roman"/>
      </w:rPr>
      <w:fldChar w:fldCharType="end"/>
    </w:r>
  </w:p>
  <w:p w:rsidR="003C7149" w:rsidRDefault="003C71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015AC"/>
    <w:multiLevelType w:val="hybridMultilevel"/>
    <w:tmpl w:val="37BA4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471195"/>
    <w:multiLevelType w:val="hybridMultilevel"/>
    <w:tmpl w:val="588C78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333711"/>
    <w:multiLevelType w:val="hybridMultilevel"/>
    <w:tmpl w:val="8AF8D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717BA1"/>
    <w:multiLevelType w:val="hybridMultilevel"/>
    <w:tmpl w:val="302C6A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61F7BCF"/>
    <w:multiLevelType w:val="hybridMultilevel"/>
    <w:tmpl w:val="044E77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64F35A3"/>
    <w:multiLevelType w:val="hybridMultilevel"/>
    <w:tmpl w:val="BD086A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D0237D3"/>
    <w:multiLevelType w:val="hybridMultilevel"/>
    <w:tmpl w:val="8AF694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D22F52"/>
    <w:multiLevelType w:val="hybridMultilevel"/>
    <w:tmpl w:val="211CAE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08044B2"/>
    <w:multiLevelType w:val="hybridMultilevel"/>
    <w:tmpl w:val="5ECADE6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136A0E51"/>
    <w:multiLevelType w:val="hybridMultilevel"/>
    <w:tmpl w:val="CFC65634"/>
    <w:lvl w:ilvl="0" w:tplc="04090001">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0">
    <w:nsid w:val="15483079"/>
    <w:multiLevelType w:val="hybridMultilevel"/>
    <w:tmpl w:val="B90487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7792503"/>
    <w:multiLevelType w:val="hybridMultilevel"/>
    <w:tmpl w:val="2F425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D74516"/>
    <w:multiLevelType w:val="hybridMultilevel"/>
    <w:tmpl w:val="1A160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CB74E12"/>
    <w:multiLevelType w:val="hybridMultilevel"/>
    <w:tmpl w:val="A5B0F63E"/>
    <w:lvl w:ilvl="0" w:tplc="04090001">
      <w:start w:val="1"/>
      <w:numFmt w:val="bullet"/>
      <w:lvlText w:val=""/>
      <w:lvlJc w:val="left"/>
      <w:pPr>
        <w:ind w:left="1259" w:hanging="360"/>
      </w:pPr>
      <w:rPr>
        <w:rFonts w:ascii="Symbol" w:hAnsi="Symbol" w:hint="default"/>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14">
    <w:nsid w:val="1DE93AA4"/>
    <w:multiLevelType w:val="hybridMultilevel"/>
    <w:tmpl w:val="D40454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FCE6B1C"/>
    <w:multiLevelType w:val="hybridMultilevel"/>
    <w:tmpl w:val="B378A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3F768AC"/>
    <w:multiLevelType w:val="hybridMultilevel"/>
    <w:tmpl w:val="AB9E5F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B09312B"/>
    <w:multiLevelType w:val="hybridMultilevel"/>
    <w:tmpl w:val="DC64A3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412437D"/>
    <w:multiLevelType w:val="hybridMultilevel"/>
    <w:tmpl w:val="A96C0A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C1A79AA"/>
    <w:multiLevelType w:val="hybridMultilevel"/>
    <w:tmpl w:val="844CC8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F042AC6"/>
    <w:multiLevelType w:val="hybridMultilevel"/>
    <w:tmpl w:val="3AECCA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0054936"/>
    <w:multiLevelType w:val="hybridMultilevel"/>
    <w:tmpl w:val="B3DEEA4A"/>
    <w:lvl w:ilvl="0" w:tplc="04090001">
      <w:start w:val="1"/>
      <w:numFmt w:val="bullet"/>
      <w:lvlText w:val=""/>
      <w:lvlJc w:val="left"/>
      <w:pPr>
        <w:ind w:left="899" w:hanging="360"/>
      </w:pPr>
      <w:rPr>
        <w:rFonts w:ascii="Symbol" w:hAnsi="Symbol"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22">
    <w:nsid w:val="400E27A3"/>
    <w:multiLevelType w:val="hybridMultilevel"/>
    <w:tmpl w:val="83B65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181E0C"/>
    <w:multiLevelType w:val="hybridMultilevel"/>
    <w:tmpl w:val="2A36E782"/>
    <w:lvl w:ilvl="0" w:tplc="69708D4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EE7B03"/>
    <w:multiLevelType w:val="hybridMultilevel"/>
    <w:tmpl w:val="D842D9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B0935C8"/>
    <w:multiLevelType w:val="hybridMultilevel"/>
    <w:tmpl w:val="FA424C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EA0CE4"/>
    <w:multiLevelType w:val="hybridMultilevel"/>
    <w:tmpl w:val="6EB0B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01620D"/>
    <w:multiLevelType w:val="hybridMultilevel"/>
    <w:tmpl w:val="924CD1E6"/>
    <w:lvl w:ilvl="0" w:tplc="69708D4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9761FB"/>
    <w:multiLevelType w:val="hybridMultilevel"/>
    <w:tmpl w:val="6598D4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6BE418B"/>
    <w:multiLevelType w:val="hybridMultilevel"/>
    <w:tmpl w:val="67E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1C4526"/>
    <w:multiLevelType w:val="hybridMultilevel"/>
    <w:tmpl w:val="2DCC5E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1187612"/>
    <w:multiLevelType w:val="hybridMultilevel"/>
    <w:tmpl w:val="493603FA"/>
    <w:lvl w:ilvl="0" w:tplc="06D8E60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2"/>
  </w:num>
  <w:num w:numId="3">
    <w:abstractNumId w:val="11"/>
  </w:num>
  <w:num w:numId="4">
    <w:abstractNumId w:val="26"/>
  </w:num>
  <w:num w:numId="5">
    <w:abstractNumId w:val="24"/>
  </w:num>
  <w:num w:numId="6">
    <w:abstractNumId w:val="19"/>
  </w:num>
  <w:num w:numId="7">
    <w:abstractNumId w:val="10"/>
  </w:num>
  <w:num w:numId="8">
    <w:abstractNumId w:val="5"/>
  </w:num>
  <w:num w:numId="9">
    <w:abstractNumId w:val="30"/>
  </w:num>
  <w:num w:numId="10">
    <w:abstractNumId w:val="4"/>
  </w:num>
  <w:num w:numId="11">
    <w:abstractNumId w:val="14"/>
  </w:num>
  <w:num w:numId="12">
    <w:abstractNumId w:val="3"/>
  </w:num>
  <w:num w:numId="13">
    <w:abstractNumId w:val="21"/>
  </w:num>
  <w:num w:numId="14">
    <w:abstractNumId w:val="8"/>
  </w:num>
  <w:num w:numId="15">
    <w:abstractNumId w:val="6"/>
  </w:num>
  <w:num w:numId="16">
    <w:abstractNumId w:val="28"/>
  </w:num>
  <w:num w:numId="17">
    <w:abstractNumId w:val="29"/>
  </w:num>
  <w:num w:numId="18">
    <w:abstractNumId w:val="31"/>
  </w:num>
  <w:num w:numId="19">
    <w:abstractNumId w:val="13"/>
  </w:num>
  <w:num w:numId="20">
    <w:abstractNumId w:val="15"/>
  </w:num>
  <w:num w:numId="21">
    <w:abstractNumId w:val="9"/>
  </w:num>
  <w:num w:numId="22">
    <w:abstractNumId w:val="1"/>
  </w:num>
  <w:num w:numId="23">
    <w:abstractNumId w:val="18"/>
  </w:num>
  <w:num w:numId="2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0"/>
  </w:num>
  <w:num w:numId="29">
    <w:abstractNumId w:val="20"/>
  </w:num>
  <w:num w:numId="30">
    <w:abstractNumId w:val="23"/>
  </w:num>
  <w:num w:numId="31">
    <w:abstractNumId w:val="27"/>
  </w:num>
  <w:num w:numId="32">
    <w:abstractNumId w:val="25"/>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54C4B"/>
    <w:rsid w:val="00014BAD"/>
    <w:rsid w:val="00022D66"/>
    <w:rsid w:val="0002535E"/>
    <w:rsid w:val="00025E5C"/>
    <w:rsid w:val="0002695B"/>
    <w:rsid w:val="00034302"/>
    <w:rsid w:val="000361F5"/>
    <w:rsid w:val="000407AD"/>
    <w:rsid w:val="000433EF"/>
    <w:rsid w:val="000437A8"/>
    <w:rsid w:val="0004448C"/>
    <w:rsid w:val="00056B53"/>
    <w:rsid w:val="000574A0"/>
    <w:rsid w:val="00057B32"/>
    <w:rsid w:val="00063021"/>
    <w:rsid w:val="0006328F"/>
    <w:rsid w:val="00063EC0"/>
    <w:rsid w:val="000659AC"/>
    <w:rsid w:val="00083D68"/>
    <w:rsid w:val="00087BF1"/>
    <w:rsid w:val="000939C2"/>
    <w:rsid w:val="000975E4"/>
    <w:rsid w:val="000B26B1"/>
    <w:rsid w:val="000B579B"/>
    <w:rsid w:val="000B6358"/>
    <w:rsid w:val="000C15F0"/>
    <w:rsid w:val="000C4339"/>
    <w:rsid w:val="000C4DF5"/>
    <w:rsid w:val="000C7C3C"/>
    <w:rsid w:val="000D7378"/>
    <w:rsid w:val="000F2749"/>
    <w:rsid w:val="000F4A10"/>
    <w:rsid w:val="000F7568"/>
    <w:rsid w:val="001047F0"/>
    <w:rsid w:val="0010694A"/>
    <w:rsid w:val="0011272F"/>
    <w:rsid w:val="00115DA0"/>
    <w:rsid w:val="00117C24"/>
    <w:rsid w:val="00127571"/>
    <w:rsid w:val="00131359"/>
    <w:rsid w:val="00133CD5"/>
    <w:rsid w:val="0015251A"/>
    <w:rsid w:val="00153647"/>
    <w:rsid w:val="001555FE"/>
    <w:rsid w:val="001558C7"/>
    <w:rsid w:val="00164EBD"/>
    <w:rsid w:val="00171598"/>
    <w:rsid w:val="0017614D"/>
    <w:rsid w:val="0017770E"/>
    <w:rsid w:val="00180EAE"/>
    <w:rsid w:val="00186457"/>
    <w:rsid w:val="00190485"/>
    <w:rsid w:val="00193039"/>
    <w:rsid w:val="00193B35"/>
    <w:rsid w:val="00195365"/>
    <w:rsid w:val="0019604C"/>
    <w:rsid w:val="00196536"/>
    <w:rsid w:val="001A022F"/>
    <w:rsid w:val="001A2B05"/>
    <w:rsid w:val="001A3345"/>
    <w:rsid w:val="001A47AF"/>
    <w:rsid w:val="001A7716"/>
    <w:rsid w:val="001A795B"/>
    <w:rsid w:val="001A79A5"/>
    <w:rsid w:val="001C00DF"/>
    <w:rsid w:val="001C2B23"/>
    <w:rsid w:val="001D76F8"/>
    <w:rsid w:val="001E009B"/>
    <w:rsid w:val="001E1E22"/>
    <w:rsid w:val="001F2BF1"/>
    <w:rsid w:val="001F5EF2"/>
    <w:rsid w:val="001F5FE5"/>
    <w:rsid w:val="001F7242"/>
    <w:rsid w:val="001F7E1A"/>
    <w:rsid w:val="0020234E"/>
    <w:rsid w:val="00203582"/>
    <w:rsid w:val="0020728F"/>
    <w:rsid w:val="0020759B"/>
    <w:rsid w:val="002135A8"/>
    <w:rsid w:val="00220C93"/>
    <w:rsid w:val="0022117D"/>
    <w:rsid w:val="00224675"/>
    <w:rsid w:val="00224D93"/>
    <w:rsid w:val="00225B63"/>
    <w:rsid w:val="00226DE6"/>
    <w:rsid w:val="00231A54"/>
    <w:rsid w:val="00234DE5"/>
    <w:rsid w:val="00237D36"/>
    <w:rsid w:val="00240BC1"/>
    <w:rsid w:val="0024195D"/>
    <w:rsid w:val="00244ED2"/>
    <w:rsid w:val="00246225"/>
    <w:rsid w:val="002518BD"/>
    <w:rsid w:val="0025300E"/>
    <w:rsid w:val="00261062"/>
    <w:rsid w:val="00261D9F"/>
    <w:rsid w:val="002624EB"/>
    <w:rsid w:val="002663B6"/>
    <w:rsid w:val="002673FC"/>
    <w:rsid w:val="00275F1A"/>
    <w:rsid w:val="00282851"/>
    <w:rsid w:val="00292DD6"/>
    <w:rsid w:val="00297207"/>
    <w:rsid w:val="002A3E4F"/>
    <w:rsid w:val="002B2202"/>
    <w:rsid w:val="002B3E00"/>
    <w:rsid w:val="002B4FA0"/>
    <w:rsid w:val="002B57E2"/>
    <w:rsid w:val="002C116C"/>
    <w:rsid w:val="002C162D"/>
    <w:rsid w:val="002D389C"/>
    <w:rsid w:val="002D60A8"/>
    <w:rsid w:val="002E08A9"/>
    <w:rsid w:val="002E4703"/>
    <w:rsid w:val="002E710C"/>
    <w:rsid w:val="002E79A7"/>
    <w:rsid w:val="002F0937"/>
    <w:rsid w:val="002F428B"/>
    <w:rsid w:val="002F4547"/>
    <w:rsid w:val="003021BC"/>
    <w:rsid w:val="0030491E"/>
    <w:rsid w:val="0030702A"/>
    <w:rsid w:val="00314E83"/>
    <w:rsid w:val="0031568A"/>
    <w:rsid w:val="00316E53"/>
    <w:rsid w:val="003228C9"/>
    <w:rsid w:val="0032400C"/>
    <w:rsid w:val="00324559"/>
    <w:rsid w:val="003262DC"/>
    <w:rsid w:val="0033086C"/>
    <w:rsid w:val="00331453"/>
    <w:rsid w:val="0033368A"/>
    <w:rsid w:val="0033397E"/>
    <w:rsid w:val="00333B48"/>
    <w:rsid w:val="003412CC"/>
    <w:rsid w:val="00341455"/>
    <w:rsid w:val="00342552"/>
    <w:rsid w:val="0034722D"/>
    <w:rsid w:val="00347B3C"/>
    <w:rsid w:val="00347F9C"/>
    <w:rsid w:val="0035115D"/>
    <w:rsid w:val="00352371"/>
    <w:rsid w:val="003549AB"/>
    <w:rsid w:val="00356FBC"/>
    <w:rsid w:val="00366C34"/>
    <w:rsid w:val="00381F56"/>
    <w:rsid w:val="0038326D"/>
    <w:rsid w:val="00383309"/>
    <w:rsid w:val="00385EDC"/>
    <w:rsid w:val="00387E00"/>
    <w:rsid w:val="00387E65"/>
    <w:rsid w:val="003920B8"/>
    <w:rsid w:val="00393555"/>
    <w:rsid w:val="00395779"/>
    <w:rsid w:val="0039602C"/>
    <w:rsid w:val="00397BB5"/>
    <w:rsid w:val="003A287B"/>
    <w:rsid w:val="003A3984"/>
    <w:rsid w:val="003A3AB6"/>
    <w:rsid w:val="003A7BF0"/>
    <w:rsid w:val="003B1BFE"/>
    <w:rsid w:val="003B2446"/>
    <w:rsid w:val="003B36F2"/>
    <w:rsid w:val="003B43B3"/>
    <w:rsid w:val="003B6194"/>
    <w:rsid w:val="003C6E4D"/>
    <w:rsid w:val="003C7149"/>
    <w:rsid w:val="003C752E"/>
    <w:rsid w:val="003D0441"/>
    <w:rsid w:val="003D1573"/>
    <w:rsid w:val="003D438B"/>
    <w:rsid w:val="003D57EA"/>
    <w:rsid w:val="003E2E78"/>
    <w:rsid w:val="003E401B"/>
    <w:rsid w:val="003E70B8"/>
    <w:rsid w:val="003F03A1"/>
    <w:rsid w:val="00404F1D"/>
    <w:rsid w:val="00407B8E"/>
    <w:rsid w:val="0041085D"/>
    <w:rsid w:val="00415D66"/>
    <w:rsid w:val="00416135"/>
    <w:rsid w:val="00417443"/>
    <w:rsid w:val="00431325"/>
    <w:rsid w:val="00433B66"/>
    <w:rsid w:val="00451291"/>
    <w:rsid w:val="004556BE"/>
    <w:rsid w:val="004576EF"/>
    <w:rsid w:val="004633A4"/>
    <w:rsid w:val="0046358D"/>
    <w:rsid w:val="00465DA6"/>
    <w:rsid w:val="00466AC6"/>
    <w:rsid w:val="00470F23"/>
    <w:rsid w:val="004756BC"/>
    <w:rsid w:val="00476877"/>
    <w:rsid w:val="00476A72"/>
    <w:rsid w:val="00477FF6"/>
    <w:rsid w:val="00480688"/>
    <w:rsid w:val="00486B70"/>
    <w:rsid w:val="00487B55"/>
    <w:rsid w:val="004924AC"/>
    <w:rsid w:val="004958D7"/>
    <w:rsid w:val="004A301B"/>
    <w:rsid w:val="004B3553"/>
    <w:rsid w:val="004C0714"/>
    <w:rsid w:val="004C2C9E"/>
    <w:rsid w:val="004C49E9"/>
    <w:rsid w:val="004D4C8C"/>
    <w:rsid w:val="004D5C99"/>
    <w:rsid w:val="004D6508"/>
    <w:rsid w:val="004E188A"/>
    <w:rsid w:val="004E4528"/>
    <w:rsid w:val="004E6380"/>
    <w:rsid w:val="004E7005"/>
    <w:rsid w:val="004F1490"/>
    <w:rsid w:val="004F1AD8"/>
    <w:rsid w:val="004F4894"/>
    <w:rsid w:val="004F79DA"/>
    <w:rsid w:val="004F7C03"/>
    <w:rsid w:val="00505592"/>
    <w:rsid w:val="005057BF"/>
    <w:rsid w:val="00517980"/>
    <w:rsid w:val="00522B27"/>
    <w:rsid w:val="005236C4"/>
    <w:rsid w:val="00535423"/>
    <w:rsid w:val="00536626"/>
    <w:rsid w:val="0053699B"/>
    <w:rsid w:val="005437A2"/>
    <w:rsid w:val="00545B5E"/>
    <w:rsid w:val="005476C7"/>
    <w:rsid w:val="0055235B"/>
    <w:rsid w:val="005536CD"/>
    <w:rsid w:val="005559C8"/>
    <w:rsid w:val="00556401"/>
    <w:rsid w:val="005656A2"/>
    <w:rsid w:val="00572CC0"/>
    <w:rsid w:val="005731EF"/>
    <w:rsid w:val="005742A5"/>
    <w:rsid w:val="00577E15"/>
    <w:rsid w:val="005872EB"/>
    <w:rsid w:val="00587A25"/>
    <w:rsid w:val="00590A9E"/>
    <w:rsid w:val="00592F9F"/>
    <w:rsid w:val="00594784"/>
    <w:rsid w:val="00596569"/>
    <w:rsid w:val="00597CF0"/>
    <w:rsid w:val="005A1823"/>
    <w:rsid w:val="005A5BC4"/>
    <w:rsid w:val="005A7515"/>
    <w:rsid w:val="005B412B"/>
    <w:rsid w:val="005B5899"/>
    <w:rsid w:val="005B6E8A"/>
    <w:rsid w:val="005B765D"/>
    <w:rsid w:val="005C32C0"/>
    <w:rsid w:val="005C3870"/>
    <w:rsid w:val="005C4748"/>
    <w:rsid w:val="005C7A5A"/>
    <w:rsid w:val="005D3FF6"/>
    <w:rsid w:val="005D7D5D"/>
    <w:rsid w:val="005F35BE"/>
    <w:rsid w:val="005F4584"/>
    <w:rsid w:val="005F73FB"/>
    <w:rsid w:val="005F7FC9"/>
    <w:rsid w:val="006014D3"/>
    <w:rsid w:val="00601E2F"/>
    <w:rsid w:val="00603CFE"/>
    <w:rsid w:val="00604CD2"/>
    <w:rsid w:val="006072FA"/>
    <w:rsid w:val="006132BE"/>
    <w:rsid w:val="00616E2A"/>
    <w:rsid w:val="00620F75"/>
    <w:rsid w:val="0062222E"/>
    <w:rsid w:val="006312DF"/>
    <w:rsid w:val="00641D7E"/>
    <w:rsid w:val="006434CF"/>
    <w:rsid w:val="00646AC7"/>
    <w:rsid w:val="00647447"/>
    <w:rsid w:val="006507BA"/>
    <w:rsid w:val="006510D1"/>
    <w:rsid w:val="00652DE5"/>
    <w:rsid w:val="0066330F"/>
    <w:rsid w:val="006666D3"/>
    <w:rsid w:val="006671D8"/>
    <w:rsid w:val="00673CC1"/>
    <w:rsid w:val="006751E6"/>
    <w:rsid w:val="0067581C"/>
    <w:rsid w:val="0068126E"/>
    <w:rsid w:val="006815B2"/>
    <w:rsid w:val="00683271"/>
    <w:rsid w:val="00684931"/>
    <w:rsid w:val="00687C67"/>
    <w:rsid w:val="00697522"/>
    <w:rsid w:val="006A0E87"/>
    <w:rsid w:val="006A1BFF"/>
    <w:rsid w:val="006A7213"/>
    <w:rsid w:val="006B39FE"/>
    <w:rsid w:val="006C0391"/>
    <w:rsid w:val="006C0683"/>
    <w:rsid w:val="006C5FFD"/>
    <w:rsid w:val="006C6040"/>
    <w:rsid w:val="006D2A31"/>
    <w:rsid w:val="006D3702"/>
    <w:rsid w:val="006D3DFF"/>
    <w:rsid w:val="006D591B"/>
    <w:rsid w:val="006E3A46"/>
    <w:rsid w:val="006E51F7"/>
    <w:rsid w:val="006F2D9D"/>
    <w:rsid w:val="006F5124"/>
    <w:rsid w:val="006F5BE7"/>
    <w:rsid w:val="0070086B"/>
    <w:rsid w:val="00704EFE"/>
    <w:rsid w:val="007064C3"/>
    <w:rsid w:val="00707725"/>
    <w:rsid w:val="00713F61"/>
    <w:rsid w:val="00716930"/>
    <w:rsid w:val="007220D0"/>
    <w:rsid w:val="00722437"/>
    <w:rsid w:val="00723263"/>
    <w:rsid w:val="0072395E"/>
    <w:rsid w:val="00737379"/>
    <w:rsid w:val="00742B93"/>
    <w:rsid w:val="0074341D"/>
    <w:rsid w:val="007553E7"/>
    <w:rsid w:val="007753AB"/>
    <w:rsid w:val="00776738"/>
    <w:rsid w:val="00777A1A"/>
    <w:rsid w:val="00783452"/>
    <w:rsid w:val="00790917"/>
    <w:rsid w:val="0079320F"/>
    <w:rsid w:val="007A209B"/>
    <w:rsid w:val="007A6F5D"/>
    <w:rsid w:val="007A7C39"/>
    <w:rsid w:val="007B043E"/>
    <w:rsid w:val="007C0276"/>
    <w:rsid w:val="007C10EB"/>
    <w:rsid w:val="007D0021"/>
    <w:rsid w:val="007E3ABB"/>
    <w:rsid w:val="007F0830"/>
    <w:rsid w:val="007F1077"/>
    <w:rsid w:val="007F3604"/>
    <w:rsid w:val="007F71DE"/>
    <w:rsid w:val="007F773E"/>
    <w:rsid w:val="00801C69"/>
    <w:rsid w:val="00802257"/>
    <w:rsid w:val="00802DA2"/>
    <w:rsid w:val="00805F74"/>
    <w:rsid w:val="0081290A"/>
    <w:rsid w:val="00820015"/>
    <w:rsid w:val="00820234"/>
    <w:rsid w:val="008234C4"/>
    <w:rsid w:val="00823DCC"/>
    <w:rsid w:val="008241E2"/>
    <w:rsid w:val="00825298"/>
    <w:rsid w:val="00834335"/>
    <w:rsid w:val="0083663F"/>
    <w:rsid w:val="0083678B"/>
    <w:rsid w:val="0084411C"/>
    <w:rsid w:val="0085076E"/>
    <w:rsid w:val="00854221"/>
    <w:rsid w:val="00873F0E"/>
    <w:rsid w:val="008856CA"/>
    <w:rsid w:val="00886C7E"/>
    <w:rsid w:val="00887D37"/>
    <w:rsid w:val="008945EC"/>
    <w:rsid w:val="00895373"/>
    <w:rsid w:val="008A13C3"/>
    <w:rsid w:val="008A1CF6"/>
    <w:rsid w:val="008A74B3"/>
    <w:rsid w:val="008A74CE"/>
    <w:rsid w:val="008B029E"/>
    <w:rsid w:val="008B524C"/>
    <w:rsid w:val="008B7F4B"/>
    <w:rsid w:val="008C0945"/>
    <w:rsid w:val="008C5B71"/>
    <w:rsid w:val="008C5DB5"/>
    <w:rsid w:val="008D07FA"/>
    <w:rsid w:val="008D6409"/>
    <w:rsid w:val="008E325E"/>
    <w:rsid w:val="008E5BB6"/>
    <w:rsid w:val="008E7501"/>
    <w:rsid w:val="008F08C9"/>
    <w:rsid w:val="009016EA"/>
    <w:rsid w:val="009063D8"/>
    <w:rsid w:val="00914B44"/>
    <w:rsid w:val="009164B5"/>
    <w:rsid w:val="00916B4B"/>
    <w:rsid w:val="009177F7"/>
    <w:rsid w:val="0092314A"/>
    <w:rsid w:val="00935252"/>
    <w:rsid w:val="00942A9A"/>
    <w:rsid w:val="00943620"/>
    <w:rsid w:val="00946905"/>
    <w:rsid w:val="00947BFC"/>
    <w:rsid w:val="0095145D"/>
    <w:rsid w:val="009546E9"/>
    <w:rsid w:val="00954C4B"/>
    <w:rsid w:val="00981FBB"/>
    <w:rsid w:val="00982FFF"/>
    <w:rsid w:val="009831CA"/>
    <w:rsid w:val="0098675B"/>
    <w:rsid w:val="00987385"/>
    <w:rsid w:val="009926D2"/>
    <w:rsid w:val="009975D6"/>
    <w:rsid w:val="009A16F7"/>
    <w:rsid w:val="009B25F5"/>
    <w:rsid w:val="009B3C57"/>
    <w:rsid w:val="009B3E21"/>
    <w:rsid w:val="009B539E"/>
    <w:rsid w:val="009B581E"/>
    <w:rsid w:val="009B5A7F"/>
    <w:rsid w:val="009B65EE"/>
    <w:rsid w:val="009B7132"/>
    <w:rsid w:val="009B75D5"/>
    <w:rsid w:val="009C0E78"/>
    <w:rsid w:val="009C1ED1"/>
    <w:rsid w:val="009C2172"/>
    <w:rsid w:val="009C3786"/>
    <w:rsid w:val="009D7C0C"/>
    <w:rsid w:val="009E4106"/>
    <w:rsid w:val="009E513B"/>
    <w:rsid w:val="009E7F02"/>
    <w:rsid w:val="009F3A9B"/>
    <w:rsid w:val="009F48A8"/>
    <w:rsid w:val="009F4F32"/>
    <w:rsid w:val="00A02A73"/>
    <w:rsid w:val="00A03AE9"/>
    <w:rsid w:val="00A24F9A"/>
    <w:rsid w:val="00A26974"/>
    <w:rsid w:val="00A35208"/>
    <w:rsid w:val="00A3796F"/>
    <w:rsid w:val="00A40492"/>
    <w:rsid w:val="00A41355"/>
    <w:rsid w:val="00A43056"/>
    <w:rsid w:val="00A4340C"/>
    <w:rsid w:val="00A4487D"/>
    <w:rsid w:val="00A4621C"/>
    <w:rsid w:val="00A5715B"/>
    <w:rsid w:val="00A63CCF"/>
    <w:rsid w:val="00A70889"/>
    <w:rsid w:val="00A71536"/>
    <w:rsid w:val="00A7167B"/>
    <w:rsid w:val="00A72BB5"/>
    <w:rsid w:val="00A74EEB"/>
    <w:rsid w:val="00A87E9F"/>
    <w:rsid w:val="00A9022F"/>
    <w:rsid w:val="00A92894"/>
    <w:rsid w:val="00A93CCE"/>
    <w:rsid w:val="00A94573"/>
    <w:rsid w:val="00AA19CC"/>
    <w:rsid w:val="00AA32D6"/>
    <w:rsid w:val="00AA3637"/>
    <w:rsid w:val="00AA6655"/>
    <w:rsid w:val="00AA6AA3"/>
    <w:rsid w:val="00AA73D8"/>
    <w:rsid w:val="00AB3BCC"/>
    <w:rsid w:val="00AC216C"/>
    <w:rsid w:val="00AC4E93"/>
    <w:rsid w:val="00AC6999"/>
    <w:rsid w:val="00AE11ED"/>
    <w:rsid w:val="00AE58AE"/>
    <w:rsid w:val="00AE77B1"/>
    <w:rsid w:val="00AF1FF4"/>
    <w:rsid w:val="00AF4F6E"/>
    <w:rsid w:val="00B045A4"/>
    <w:rsid w:val="00B068F0"/>
    <w:rsid w:val="00B20E23"/>
    <w:rsid w:val="00B217E2"/>
    <w:rsid w:val="00B2220B"/>
    <w:rsid w:val="00B22DEA"/>
    <w:rsid w:val="00B2516B"/>
    <w:rsid w:val="00B2527C"/>
    <w:rsid w:val="00B25C02"/>
    <w:rsid w:val="00B263DA"/>
    <w:rsid w:val="00B35662"/>
    <w:rsid w:val="00B37E55"/>
    <w:rsid w:val="00B42894"/>
    <w:rsid w:val="00B454BE"/>
    <w:rsid w:val="00B53953"/>
    <w:rsid w:val="00B54166"/>
    <w:rsid w:val="00B67FD6"/>
    <w:rsid w:val="00B70FA8"/>
    <w:rsid w:val="00B71821"/>
    <w:rsid w:val="00B97FBA"/>
    <w:rsid w:val="00BA2539"/>
    <w:rsid w:val="00BA330A"/>
    <w:rsid w:val="00BA45F9"/>
    <w:rsid w:val="00BA6599"/>
    <w:rsid w:val="00BA6F16"/>
    <w:rsid w:val="00BB4F5D"/>
    <w:rsid w:val="00BC01C1"/>
    <w:rsid w:val="00BC336E"/>
    <w:rsid w:val="00BC34FC"/>
    <w:rsid w:val="00BC69AA"/>
    <w:rsid w:val="00BE3F57"/>
    <w:rsid w:val="00BF073E"/>
    <w:rsid w:val="00C066C1"/>
    <w:rsid w:val="00C07676"/>
    <w:rsid w:val="00C229E2"/>
    <w:rsid w:val="00C24D3A"/>
    <w:rsid w:val="00C342DC"/>
    <w:rsid w:val="00C350A8"/>
    <w:rsid w:val="00C41FBB"/>
    <w:rsid w:val="00C43C31"/>
    <w:rsid w:val="00C458E7"/>
    <w:rsid w:val="00C46E5B"/>
    <w:rsid w:val="00C50F46"/>
    <w:rsid w:val="00C51AA8"/>
    <w:rsid w:val="00C53335"/>
    <w:rsid w:val="00C643AD"/>
    <w:rsid w:val="00C64748"/>
    <w:rsid w:val="00C652E5"/>
    <w:rsid w:val="00C66D09"/>
    <w:rsid w:val="00C72F00"/>
    <w:rsid w:val="00C7796F"/>
    <w:rsid w:val="00C9750B"/>
    <w:rsid w:val="00CA0515"/>
    <w:rsid w:val="00CA1942"/>
    <w:rsid w:val="00CA222E"/>
    <w:rsid w:val="00CA7B02"/>
    <w:rsid w:val="00CB21C0"/>
    <w:rsid w:val="00CB5CC9"/>
    <w:rsid w:val="00CC0B69"/>
    <w:rsid w:val="00CD06A8"/>
    <w:rsid w:val="00CD3C3F"/>
    <w:rsid w:val="00CD3EBF"/>
    <w:rsid w:val="00CE106F"/>
    <w:rsid w:val="00CE4B13"/>
    <w:rsid w:val="00CE4F47"/>
    <w:rsid w:val="00CF04E2"/>
    <w:rsid w:val="00CF7FEE"/>
    <w:rsid w:val="00D133A3"/>
    <w:rsid w:val="00D13A69"/>
    <w:rsid w:val="00D22226"/>
    <w:rsid w:val="00D358D3"/>
    <w:rsid w:val="00D36717"/>
    <w:rsid w:val="00D50483"/>
    <w:rsid w:val="00D52710"/>
    <w:rsid w:val="00D631F5"/>
    <w:rsid w:val="00D64B40"/>
    <w:rsid w:val="00D65244"/>
    <w:rsid w:val="00D747D3"/>
    <w:rsid w:val="00D84787"/>
    <w:rsid w:val="00D86A72"/>
    <w:rsid w:val="00D91B5B"/>
    <w:rsid w:val="00D93DF6"/>
    <w:rsid w:val="00D94CDA"/>
    <w:rsid w:val="00D94D93"/>
    <w:rsid w:val="00DA1E65"/>
    <w:rsid w:val="00DA2AB7"/>
    <w:rsid w:val="00DB1D4C"/>
    <w:rsid w:val="00DB3591"/>
    <w:rsid w:val="00DB389C"/>
    <w:rsid w:val="00DB4812"/>
    <w:rsid w:val="00DC136A"/>
    <w:rsid w:val="00DC298A"/>
    <w:rsid w:val="00DC6FD2"/>
    <w:rsid w:val="00DD055E"/>
    <w:rsid w:val="00DD4A11"/>
    <w:rsid w:val="00DF226B"/>
    <w:rsid w:val="00DF3901"/>
    <w:rsid w:val="00E035CC"/>
    <w:rsid w:val="00E1115F"/>
    <w:rsid w:val="00E12723"/>
    <w:rsid w:val="00E15DF4"/>
    <w:rsid w:val="00E16D81"/>
    <w:rsid w:val="00E229F2"/>
    <w:rsid w:val="00E2406B"/>
    <w:rsid w:val="00E2698C"/>
    <w:rsid w:val="00E357BF"/>
    <w:rsid w:val="00E438BD"/>
    <w:rsid w:val="00E524EC"/>
    <w:rsid w:val="00E537D2"/>
    <w:rsid w:val="00E55ADE"/>
    <w:rsid w:val="00E62D5D"/>
    <w:rsid w:val="00E6354F"/>
    <w:rsid w:val="00E63EB1"/>
    <w:rsid w:val="00E72D1F"/>
    <w:rsid w:val="00E73C1B"/>
    <w:rsid w:val="00E75AAE"/>
    <w:rsid w:val="00E77F72"/>
    <w:rsid w:val="00E809CD"/>
    <w:rsid w:val="00E8798A"/>
    <w:rsid w:val="00E87A83"/>
    <w:rsid w:val="00E91E22"/>
    <w:rsid w:val="00E92F3A"/>
    <w:rsid w:val="00EA1A84"/>
    <w:rsid w:val="00EA2B06"/>
    <w:rsid w:val="00EA3BC6"/>
    <w:rsid w:val="00EA42F1"/>
    <w:rsid w:val="00EC12C6"/>
    <w:rsid w:val="00EC5749"/>
    <w:rsid w:val="00EC61CE"/>
    <w:rsid w:val="00EC7DE5"/>
    <w:rsid w:val="00ED15C7"/>
    <w:rsid w:val="00ED2D19"/>
    <w:rsid w:val="00ED3FB5"/>
    <w:rsid w:val="00EE21B9"/>
    <w:rsid w:val="00EE3D0D"/>
    <w:rsid w:val="00EF2C00"/>
    <w:rsid w:val="00EF3C90"/>
    <w:rsid w:val="00EF5CAD"/>
    <w:rsid w:val="00F0649E"/>
    <w:rsid w:val="00F06716"/>
    <w:rsid w:val="00F07405"/>
    <w:rsid w:val="00F11E3B"/>
    <w:rsid w:val="00F142F6"/>
    <w:rsid w:val="00F1498A"/>
    <w:rsid w:val="00F22DAE"/>
    <w:rsid w:val="00F231FF"/>
    <w:rsid w:val="00F2770C"/>
    <w:rsid w:val="00F42206"/>
    <w:rsid w:val="00F4304D"/>
    <w:rsid w:val="00F43A0C"/>
    <w:rsid w:val="00F453AB"/>
    <w:rsid w:val="00F4649B"/>
    <w:rsid w:val="00F54E5A"/>
    <w:rsid w:val="00F62AD3"/>
    <w:rsid w:val="00F63EF6"/>
    <w:rsid w:val="00F66B28"/>
    <w:rsid w:val="00F726F0"/>
    <w:rsid w:val="00F74303"/>
    <w:rsid w:val="00F74B60"/>
    <w:rsid w:val="00F7625E"/>
    <w:rsid w:val="00F8254D"/>
    <w:rsid w:val="00F90556"/>
    <w:rsid w:val="00F9314A"/>
    <w:rsid w:val="00FA0868"/>
    <w:rsid w:val="00FA0AB0"/>
    <w:rsid w:val="00FA1BBC"/>
    <w:rsid w:val="00FA6921"/>
    <w:rsid w:val="00FB16AF"/>
    <w:rsid w:val="00FB2C61"/>
    <w:rsid w:val="00FB72DB"/>
    <w:rsid w:val="00FB7CD5"/>
    <w:rsid w:val="00FC4F8E"/>
    <w:rsid w:val="00FC5833"/>
    <w:rsid w:val="00FC6570"/>
    <w:rsid w:val="00FD31E0"/>
    <w:rsid w:val="00FD4AE0"/>
    <w:rsid w:val="00FE1AB7"/>
    <w:rsid w:val="00FF4091"/>
    <w:rsid w:val="00FF41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C4B"/>
  </w:style>
  <w:style w:type="paragraph" w:styleId="Heading1">
    <w:name w:val="heading 1"/>
    <w:basedOn w:val="Normal"/>
    <w:next w:val="Normal"/>
    <w:link w:val="Heading1Char"/>
    <w:uiPriority w:val="9"/>
    <w:qFormat/>
    <w:rsid w:val="00FC6570"/>
    <w:pPr>
      <w:keepNext/>
      <w:keepLines/>
      <w:spacing w:before="480" w:after="0"/>
      <w:jc w:val="center"/>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C6570"/>
    <w:pPr>
      <w:keepNext/>
      <w:keepLines/>
      <w:spacing w:before="200" w:after="0"/>
      <w:jc w:val="center"/>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BA330A"/>
    <w:pPr>
      <w:keepNext/>
      <w:keepLines/>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autoRedefine/>
    <w:uiPriority w:val="9"/>
    <w:unhideWhenUsed/>
    <w:qFormat/>
    <w:rsid w:val="004F7C03"/>
    <w:pPr>
      <w:keepNext/>
      <w:keepLines/>
      <w:spacing w:before="200" w:after="0"/>
      <w:outlineLvl w:val="3"/>
    </w:pPr>
    <w:rPr>
      <w:rFonts w:asciiTheme="majorHAnsi" w:eastAsiaTheme="majorEastAsia" w:hAnsiTheme="majorHAnsi" w:cstheme="majorBidi"/>
      <w:b/>
      <w:bCs/>
      <w:iCs/>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F7C03"/>
    <w:rPr>
      <w:rFonts w:asciiTheme="majorHAnsi" w:eastAsiaTheme="majorEastAsia" w:hAnsiTheme="majorHAnsi" w:cstheme="majorBidi"/>
      <w:b/>
      <w:bCs/>
      <w:iCs/>
      <w:sz w:val="24"/>
      <w:lang w:val="lt-LT"/>
    </w:rPr>
  </w:style>
  <w:style w:type="character" w:customStyle="1" w:styleId="Heading1Char">
    <w:name w:val="Heading 1 Char"/>
    <w:basedOn w:val="DefaultParagraphFont"/>
    <w:link w:val="Heading1"/>
    <w:uiPriority w:val="9"/>
    <w:rsid w:val="00FC657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FC6570"/>
    <w:rPr>
      <w:rFonts w:asciiTheme="majorHAnsi" w:eastAsiaTheme="majorEastAsia" w:hAnsiTheme="majorHAnsi" w:cstheme="majorBidi"/>
      <w:b/>
      <w:bCs/>
      <w:sz w:val="26"/>
      <w:szCs w:val="26"/>
    </w:rPr>
  </w:style>
  <w:style w:type="paragraph" w:styleId="ListParagraph">
    <w:name w:val="List Paragraph"/>
    <w:basedOn w:val="Normal"/>
    <w:uiPriority w:val="34"/>
    <w:qFormat/>
    <w:rsid w:val="00954C4B"/>
    <w:pPr>
      <w:ind w:left="720"/>
      <w:contextualSpacing/>
    </w:pPr>
  </w:style>
  <w:style w:type="table" w:styleId="TableGrid">
    <w:name w:val="Table Grid"/>
    <w:basedOn w:val="TableNormal"/>
    <w:uiPriority w:val="59"/>
    <w:rsid w:val="00954C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954C4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54C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C4B"/>
    <w:rPr>
      <w:rFonts w:ascii="Tahoma" w:hAnsi="Tahoma" w:cs="Tahoma"/>
      <w:sz w:val="16"/>
      <w:szCs w:val="16"/>
    </w:rPr>
  </w:style>
  <w:style w:type="table" w:styleId="LightList-Accent6">
    <w:name w:val="Light List Accent 6"/>
    <w:basedOn w:val="TableNormal"/>
    <w:uiPriority w:val="61"/>
    <w:rsid w:val="00CD06A8"/>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MediumShading1-Accent4">
    <w:name w:val="Medium Shading 1 Accent 4"/>
    <w:basedOn w:val="TableNormal"/>
    <w:uiPriority w:val="63"/>
    <w:rsid w:val="00CD06A8"/>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Grid-Accent4">
    <w:name w:val="Light Grid Accent 4"/>
    <w:basedOn w:val="TableNormal"/>
    <w:uiPriority w:val="62"/>
    <w:rsid w:val="00CD06A8"/>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character" w:styleId="Hyperlink">
    <w:name w:val="Hyperlink"/>
    <w:basedOn w:val="DefaultParagraphFont"/>
    <w:uiPriority w:val="99"/>
    <w:unhideWhenUsed/>
    <w:rsid w:val="00EC5749"/>
    <w:rPr>
      <w:color w:val="0000FF"/>
      <w:u w:val="single"/>
    </w:rPr>
  </w:style>
  <w:style w:type="table" w:styleId="LightShading-Accent5">
    <w:name w:val="Light Shading Accent 5"/>
    <w:basedOn w:val="TableNormal"/>
    <w:uiPriority w:val="60"/>
    <w:rsid w:val="00572CC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4">
    <w:name w:val="Light List Accent 4"/>
    <w:basedOn w:val="TableNormal"/>
    <w:uiPriority w:val="61"/>
    <w:rsid w:val="00572CC0"/>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MediumGrid1-Accent4">
    <w:name w:val="Medium Grid 1 Accent 4"/>
    <w:basedOn w:val="TableNormal"/>
    <w:uiPriority w:val="67"/>
    <w:rsid w:val="002D389C"/>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character" w:customStyle="1" w:styleId="hps">
    <w:name w:val="hps"/>
    <w:basedOn w:val="DefaultParagraphFont"/>
    <w:rsid w:val="000433EF"/>
  </w:style>
  <w:style w:type="table" w:styleId="LightGrid-Accent6">
    <w:name w:val="Light Grid Accent 6"/>
    <w:basedOn w:val="TableNormal"/>
    <w:uiPriority w:val="62"/>
    <w:rsid w:val="00E524E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Grid1-Accent6">
    <w:name w:val="Medium Grid 1 Accent 6"/>
    <w:basedOn w:val="TableNormal"/>
    <w:uiPriority w:val="67"/>
    <w:rsid w:val="00E524EC"/>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Header">
    <w:name w:val="header"/>
    <w:basedOn w:val="Normal"/>
    <w:link w:val="HeaderChar"/>
    <w:uiPriority w:val="99"/>
    <w:unhideWhenUsed/>
    <w:rsid w:val="001555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5FE"/>
  </w:style>
  <w:style w:type="paragraph" w:styleId="Footer">
    <w:name w:val="footer"/>
    <w:basedOn w:val="Normal"/>
    <w:link w:val="FooterChar"/>
    <w:uiPriority w:val="99"/>
    <w:semiHidden/>
    <w:unhideWhenUsed/>
    <w:rsid w:val="001555F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555FE"/>
  </w:style>
  <w:style w:type="character" w:customStyle="1" w:styleId="Heading3Char">
    <w:name w:val="Heading 3 Char"/>
    <w:basedOn w:val="DefaultParagraphFont"/>
    <w:link w:val="Heading3"/>
    <w:uiPriority w:val="9"/>
    <w:rsid w:val="00BA330A"/>
    <w:rPr>
      <w:rFonts w:asciiTheme="majorHAnsi" w:eastAsiaTheme="majorEastAsia" w:hAnsiTheme="majorHAnsi" w:cstheme="majorBidi"/>
      <w:b/>
      <w:bCs/>
      <w:color w:val="000000" w:themeColor="text1"/>
    </w:rPr>
  </w:style>
  <w:style w:type="paragraph" w:styleId="TOC1">
    <w:name w:val="toc 1"/>
    <w:basedOn w:val="Normal"/>
    <w:next w:val="Normal"/>
    <w:autoRedefine/>
    <w:uiPriority w:val="39"/>
    <w:unhideWhenUsed/>
    <w:qFormat/>
    <w:rsid w:val="006D2A31"/>
    <w:pPr>
      <w:spacing w:after="100"/>
    </w:pPr>
  </w:style>
  <w:style w:type="paragraph" w:styleId="TOC3">
    <w:name w:val="toc 3"/>
    <w:basedOn w:val="Normal"/>
    <w:next w:val="Normal"/>
    <w:autoRedefine/>
    <w:uiPriority w:val="39"/>
    <w:unhideWhenUsed/>
    <w:qFormat/>
    <w:rsid w:val="006D2A31"/>
    <w:pPr>
      <w:spacing w:after="100"/>
      <w:ind w:left="440"/>
    </w:pPr>
  </w:style>
  <w:style w:type="paragraph" w:styleId="TOC2">
    <w:name w:val="toc 2"/>
    <w:basedOn w:val="Normal"/>
    <w:next w:val="Normal"/>
    <w:autoRedefine/>
    <w:uiPriority w:val="39"/>
    <w:unhideWhenUsed/>
    <w:qFormat/>
    <w:rsid w:val="006D2A31"/>
    <w:pPr>
      <w:spacing w:after="100"/>
      <w:ind w:left="220"/>
    </w:pPr>
  </w:style>
  <w:style w:type="paragraph" w:styleId="TOC4">
    <w:name w:val="toc 4"/>
    <w:basedOn w:val="Normal"/>
    <w:next w:val="Normal"/>
    <w:autoRedefine/>
    <w:uiPriority w:val="39"/>
    <w:unhideWhenUsed/>
    <w:rsid w:val="006D2A31"/>
    <w:pPr>
      <w:spacing w:after="100"/>
      <w:ind w:left="660"/>
    </w:pPr>
  </w:style>
  <w:style w:type="character" w:styleId="HTMLCite">
    <w:name w:val="HTML Cite"/>
    <w:basedOn w:val="DefaultParagraphFont"/>
    <w:uiPriority w:val="99"/>
    <w:semiHidden/>
    <w:unhideWhenUsed/>
    <w:rsid w:val="00E73C1B"/>
    <w:rPr>
      <w:i/>
      <w:iCs/>
    </w:rPr>
  </w:style>
  <w:style w:type="table" w:styleId="LightShading-Accent6">
    <w:name w:val="Light Shading Accent 6"/>
    <w:basedOn w:val="TableNormal"/>
    <w:uiPriority w:val="60"/>
    <w:rsid w:val="00F142F6"/>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FollowedHyperlink">
    <w:name w:val="FollowedHyperlink"/>
    <w:basedOn w:val="DefaultParagraphFont"/>
    <w:uiPriority w:val="99"/>
    <w:semiHidden/>
    <w:unhideWhenUsed/>
    <w:rsid w:val="0031568A"/>
    <w:rPr>
      <w:color w:val="800080" w:themeColor="followedHyperlink"/>
      <w:u w:val="single"/>
    </w:rPr>
  </w:style>
  <w:style w:type="paragraph" w:styleId="FootnoteText">
    <w:name w:val="footnote text"/>
    <w:basedOn w:val="Normal"/>
    <w:link w:val="FootnoteTextChar"/>
    <w:uiPriority w:val="99"/>
    <w:semiHidden/>
    <w:unhideWhenUsed/>
    <w:rsid w:val="002E79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79A7"/>
    <w:rPr>
      <w:sz w:val="20"/>
      <w:szCs w:val="20"/>
    </w:rPr>
  </w:style>
  <w:style w:type="character" w:styleId="FootnoteReference">
    <w:name w:val="footnote reference"/>
    <w:basedOn w:val="DefaultParagraphFont"/>
    <w:uiPriority w:val="99"/>
    <w:semiHidden/>
    <w:unhideWhenUsed/>
    <w:rsid w:val="002E79A7"/>
    <w:rPr>
      <w:vertAlign w:val="superscript"/>
    </w:rPr>
  </w:style>
  <w:style w:type="table" w:styleId="MediumShading1-Accent6">
    <w:name w:val="Medium Shading 1 Accent 6"/>
    <w:basedOn w:val="TableNormal"/>
    <w:uiPriority w:val="63"/>
    <w:rsid w:val="00CD3EBF"/>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List2-Accent6">
    <w:name w:val="Medium List 2 Accent 6"/>
    <w:basedOn w:val="TableNormal"/>
    <w:uiPriority w:val="66"/>
    <w:rsid w:val="00D2222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6">
    <w:name w:val="Medium Grid 2 Accent 6"/>
    <w:basedOn w:val="TableNormal"/>
    <w:uiPriority w:val="68"/>
    <w:rsid w:val="00D2222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Accent6">
    <w:name w:val="Medium Grid 3 Accent 6"/>
    <w:basedOn w:val="TableNormal"/>
    <w:uiPriority w:val="69"/>
    <w:rsid w:val="00D22226"/>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olorfulGrid-Accent6">
    <w:name w:val="Colorful Grid Accent 6"/>
    <w:basedOn w:val="TableNormal"/>
    <w:uiPriority w:val="73"/>
    <w:rsid w:val="00D22226"/>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Emphasis">
    <w:name w:val="Emphasis"/>
    <w:basedOn w:val="DefaultParagraphFont"/>
    <w:qFormat/>
    <w:rsid w:val="003228C9"/>
    <w:rPr>
      <w:i/>
      <w:iCs/>
    </w:rPr>
  </w:style>
  <w:style w:type="character" w:styleId="Strong">
    <w:name w:val="Strong"/>
    <w:basedOn w:val="DefaultParagraphFont"/>
    <w:uiPriority w:val="22"/>
    <w:qFormat/>
    <w:rsid w:val="003228C9"/>
    <w:rPr>
      <w:rFonts w:ascii="Times New Roman" w:hAnsi="Times New Roman"/>
      <w:b/>
      <w:bCs/>
      <w:sz w:val="24"/>
    </w:rPr>
  </w:style>
  <w:style w:type="character" w:customStyle="1" w:styleId="highlight">
    <w:name w:val="highlight"/>
    <w:basedOn w:val="DefaultParagraphFont"/>
    <w:rsid w:val="003228C9"/>
  </w:style>
  <w:style w:type="paragraph" w:styleId="BodyText">
    <w:name w:val="Body Text"/>
    <w:basedOn w:val="Normal"/>
    <w:link w:val="BodyTextChar"/>
    <w:uiPriority w:val="99"/>
    <w:unhideWhenUsed/>
    <w:rsid w:val="003228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3228C9"/>
    <w:rPr>
      <w:rFonts w:ascii="Times New Roman" w:eastAsia="Times New Roman" w:hAnsi="Times New Roman" w:cs="Times New Roman"/>
      <w:sz w:val="24"/>
      <w:szCs w:val="24"/>
    </w:rPr>
  </w:style>
  <w:style w:type="character" w:customStyle="1" w:styleId="shorttext">
    <w:name w:val="short_text"/>
    <w:basedOn w:val="DefaultParagraphFont"/>
    <w:rsid w:val="003D438B"/>
  </w:style>
  <w:style w:type="table" w:styleId="MediumList1-Accent6">
    <w:name w:val="Medium List 1 Accent 6"/>
    <w:basedOn w:val="TableNormal"/>
    <w:uiPriority w:val="65"/>
    <w:rsid w:val="00BC69AA"/>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s>
</file>

<file path=word/webSettings.xml><?xml version="1.0" encoding="utf-8"?>
<w:webSettings xmlns:r="http://schemas.openxmlformats.org/officeDocument/2006/relationships" xmlns:w="http://schemas.openxmlformats.org/wordprocessingml/2006/main">
  <w:divs>
    <w:div w:id="10105327">
      <w:bodyDiv w:val="1"/>
      <w:marLeft w:val="0"/>
      <w:marRight w:val="0"/>
      <w:marTop w:val="0"/>
      <w:marBottom w:val="0"/>
      <w:divBdr>
        <w:top w:val="none" w:sz="0" w:space="0" w:color="auto"/>
        <w:left w:val="none" w:sz="0" w:space="0" w:color="auto"/>
        <w:bottom w:val="none" w:sz="0" w:space="0" w:color="auto"/>
        <w:right w:val="none" w:sz="0" w:space="0" w:color="auto"/>
      </w:divBdr>
      <w:divsChild>
        <w:div w:id="1503818371">
          <w:marLeft w:val="0"/>
          <w:marRight w:val="0"/>
          <w:marTop w:val="0"/>
          <w:marBottom w:val="0"/>
          <w:divBdr>
            <w:top w:val="none" w:sz="0" w:space="0" w:color="auto"/>
            <w:left w:val="none" w:sz="0" w:space="0" w:color="auto"/>
            <w:bottom w:val="none" w:sz="0" w:space="0" w:color="auto"/>
            <w:right w:val="none" w:sz="0" w:space="0" w:color="auto"/>
          </w:divBdr>
        </w:div>
        <w:div w:id="888303436">
          <w:marLeft w:val="0"/>
          <w:marRight w:val="0"/>
          <w:marTop w:val="0"/>
          <w:marBottom w:val="0"/>
          <w:divBdr>
            <w:top w:val="none" w:sz="0" w:space="0" w:color="auto"/>
            <w:left w:val="none" w:sz="0" w:space="0" w:color="auto"/>
            <w:bottom w:val="none" w:sz="0" w:space="0" w:color="auto"/>
            <w:right w:val="none" w:sz="0" w:space="0" w:color="auto"/>
          </w:divBdr>
        </w:div>
        <w:div w:id="1385325286">
          <w:marLeft w:val="0"/>
          <w:marRight w:val="0"/>
          <w:marTop w:val="0"/>
          <w:marBottom w:val="0"/>
          <w:divBdr>
            <w:top w:val="none" w:sz="0" w:space="0" w:color="auto"/>
            <w:left w:val="none" w:sz="0" w:space="0" w:color="auto"/>
            <w:bottom w:val="none" w:sz="0" w:space="0" w:color="auto"/>
            <w:right w:val="none" w:sz="0" w:space="0" w:color="auto"/>
          </w:divBdr>
        </w:div>
        <w:div w:id="932010492">
          <w:marLeft w:val="0"/>
          <w:marRight w:val="0"/>
          <w:marTop w:val="0"/>
          <w:marBottom w:val="0"/>
          <w:divBdr>
            <w:top w:val="none" w:sz="0" w:space="0" w:color="auto"/>
            <w:left w:val="none" w:sz="0" w:space="0" w:color="auto"/>
            <w:bottom w:val="none" w:sz="0" w:space="0" w:color="auto"/>
            <w:right w:val="none" w:sz="0" w:space="0" w:color="auto"/>
          </w:divBdr>
        </w:div>
        <w:div w:id="1147018096">
          <w:marLeft w:val="0"/>
          <w:marRight w:val="0"/>
          <w:marTop w:val="0"/>
          <w:marBottom w:val="0"/>
          <w:divBdr>
            <w:top w:val="none" w:sz="0" w:space="0" w:color="auto"/>
            <w:left w:val="none" w:sz="0" w:space="0" w:color="auto"/>
            <w:bottom w:val="none" w:sz="0" w:space="0" w:color="auto"/>
            <w:right w:val="none" w:sz="0" w:space="0" w:color="auto"/>
          </w:divBdr>
        </w:div>
        <w:div w:id="754518804">
          <w:marLeft w:val="0"/>
          <w:marRight w:val="0"/>
          <w:marTop w:val="0"/>
          <w:marBottom w:val="0"/>
          <w:divBdr>
            <w:top w:val="none" w:sz="0" w:space="0" w:color="auto"/>
            <w:left w:val="none" w:sz="0" w:space="0" w:color="auto"/>
            <w:bottom w:val="none" w:sz="0" w:space="0" w:color="auto"/>
            <w:right w:val="none" w:sz="0" w:space="0" w:color="auto"/>
          </w:divBdr>
        </w:div>
        <w:div w:id="235939929">
          <w:marLeft w:val="0"/>
          <w:marRight w:val="0"/>
          <w:marTop w:val="0"/>
          <w:marBottom w:val="0"/>
          <w:divBdr>
            <w:top w:val="none" w:sz="0" w:space="0" w:color="auto"/>
            <w:left w:val="none" w:sz="0" w:space="0" w:color="auto"/>
            <w:bottom w:val="none" w:sz="0" w:space="0" w:color="auto"/>
            <w:right w:val="none" w:sz="0" w:space="0" w:color="auto"/>
          </w:divBdr>
        </w:div>
        <w:div w:id="77988990">
          <w:marLeft w:val="0"/>
          <w:marRight w:val="0"/>
          <w:marTop w:val="0"/>
          <w:marBottom w:val="0"/>
          <w:divBdr>
            <w:top w:val="none" w:sz="0" w:space="0" w:color="auto"/>
            <w:left w:val="none" w:sz="0" w:space="0" w:color="auto"/>
            <w:bottom w:val="none" w:sz="0" w:space="0" w:color="auto"/>
            <w:right w:val="none" w:sz="0" w:space="0" w:color="auto"/>
          </w:divBdr>
        </w:div>
        <w:div w:id="1581670036">
          <w:marLeft w:val="0"/>
          <w:marRight w:val="0"/>
          <w:marTop w:val="0"/>
          <w:marBottom w:val="0"/>
          <w:divBdr>
            <w:top w:val="none" w:sz="0" w:space="0" w:color="auto"/>
            <w:left w:val="none" w:sz="0" w:space="0" w:color="auto"/>
            <w:bottom w:val="none" w:sz="0" w:space="0" w:color="auto"/>
            <w:right w:val="none" w:sz="0" w:space="0" w:color="auto"/>
          </w:divBdr>
        </w:div>
        <w:div w:id="2049329416">
          <w:marLeft w:val="0"/>
          <w:marRight w:val="0"/>
          <w:marTop w:val="0"/>
          <w:marBottom w:val="0"/>
          <w:divBdr>
            <w:top w:val="none" w:sz="0" w:space="0" w:color="auto"/>
            <w:left w:val="none" w:sz="0" w:space="0" w:color="auto"/>
            <w:bottom w:val="none" w:sz="0" w:space="0" w:color="auto"/>
            <w:right w:val="none" w:sz="0" w:space="0" w:color="auto"/>
          </w:divBdr>
        </w:div>
        <w:div w:id="1216695954">
          <w:marLeft w:val="0"/>
          <w:marRight w:val="0"/>
          <w:marTop w:val="0"/>
          <w:marBottom w:val="0"/>
          <w:divBdr>
            <w:top w:val="none" w:sz="0" w:space="0" w:color="auto"/>
            <w:left w:val="none" w:sz="0" w:space="0" w:color="auto"/>
            <w:bottom w:val="none" w:sz="0" w:space="0" w:color="auto"/>
            <w:right w:val="none" w:sz="0" w:space="0" w:color="auto"/>
          </w:divBdr>
        </w:div>
        <w:div w:id="1318270469">
          <w:marLeft w:val="0"/>
          <w:marRight w:val="0"/>
          <w:marTop w:val="0"/>
          <w:marBottom w:val="0"/>
          <w:divBdr>
            <w:top w:val="none" w:sz="0" w:space="0" w:color="auto"/>
            <w:left w:val="none" w:sz="0" w:space="0" w:color="auto"/>
            <w:bottom w:val="none" w:sz="0" w:space="0" w:color="auto"/>
            <w:right w:val="none" w:sz="0" w:space="0" w:color="auto"/>
          </w:divBdr>
        </w:div>
        <w:div w:id="1859587408">
          <w:marLeft w:val="0"/>
          <w:marRight w:val="0"/>
          <w:marTop w:val="0"/>
          <w:marBottom w:val="0"/>
          <w:divBdr>
            <w:top w:val="none" w:sz="0" w:space="0" w:color="auto"/>
            <w:left w:val="none" w:sz="0" w:space="0" w:color="auto"/>
            <w:bottom w:val="none" w:sz="0" w:space="0" w:color="auto"/>
            <w:right w:val="none" w:sz="0" w:space="0" w:color="auto"/>
          </w:divBdr>
        </w:div>
        <w:div w:id="991719048">
          <w:marLeft w:val="0"/>
          <w:marRight w:val="0"/>
          <w:marTop w:val="0"/>
          <w:marBottom w:val="0"/>
          <w:divBdr>
            <w:top w:val="none" w:sz="0" w:space="0" w:color="auto"/>
            <w:left w:val="none" w:sz="0" w:space="0" w:color="auto"/>
            <w:bottom w:val="none" w:sz="0" w:space="0" w:color="auto"/>
            <w:right w:val="none" w:sz="0" w:space="0" w:color="auto"/>
          </w:divBdr>
        </w:div>
        <w:div w:id="1843663526">
          <w:marLeft w:val="0"/>
          <w:marRight w:val="0"/>
          <w:marTop w:val="0"/>
          <w:marBottom w:val="0"/>
          <w:divBdr>
            <w:top w:val="none" w:sz="0" w:space="0" w:color="auto"/>
            <w:left w:val="none" w:sz="0" w:space="0" w:color="auto"/>
            <w:bottom w:val="none" w:sz="0" w:space="0" w:color="auto"/>
            <w:right w:val="none" w:sz="0" w:space="0" w:color="auto"/>
          </w:divBdr>
        </w:div>
        <w:div w:id="2058702597">
          <w:marLeft w:val="0"/>
          <w:marRight w:val="0"/>
          <w:marTop w:val="0"/>
          <w:marBottom w:val="0"/>
          <w:divBdr>
            <w:top w:val="none" w:sz="0" w:space="0" w:color="auto"/>
            <w:left w:val="none" w:sz="0" w:space="0" w:color="auto"/>
            <w:bottom w:val="none" w:sz="0" w:space="0" w:color="auto"/>
            <w:right w:val="none" w:sz="0" w:space="0" w:color="auto"/>
          </w:divBdr>
        </w:div>
        <w:div w:id="520319618">
          <w:marLeft w:val="0"/>
          <w:marRight w:val="0"/>
          <w:marTop w:val="0"/>
          <w:marBottom w:val="0"/>
          <w:divBdr>
            <w:top w:val="none" w:sz="0" w:space="0" w:color="auto"/>
            <w:left w:val="none" w:sz="0" w:space="0" w:color="auto"/>
            <w:bottom w:val="none" w:sz="0" w:space="0" w:color="auto"/>
            <w:right w:val="none" w:sz="0" w:space="0" w:color="auto"/>
          </w:divBdr>
        </w:div>
        <w:div w:id="145055712">
          <w:marLeft w:val="0"/>
          <w:marRight w:val="0"/>
          <w:marTop w:val="0"/>
          <w:marBottom w:val="0"/>
          <w:divBdr>
            <w:top w:val="none" w:sz="0" w:space="0" w:color="auto"/>
            <w:left w:val="none" w:sz="0" w:space="0" w:color="auto"/>
            <w:bottom w:val="none" w:sz="0" w:space="0" w:color="auto"/>
            <w:right w:val="none" w:sz="0" w:space="0" w:color="auto"/>
          </w:divBdr>
        </w:div>
        <w:div w:id="931934687">
          <w:marLeft w:val="0"/>
          <w:marRight w:val="0"/>
          <w:marTop w:val="0"/>
          <w:marBottom w:val="0"/>
          <w:divBdr>
            <w:top w:val="none" w:sz="0" w:space="0" w:color="auto"/>
            <w:left w:val="none" w:sz="0" w:space="0" w:color="auto"/>
            <w:bottom w:val="none" w:sz="0" w:space="0" w:color="auto"/>
            <w:right w:val="none" w:sz="0" w:space="0" w:color="auto"/>
          </w:divBdr>
        </w:div>
        <w:div w:id="1496915147">
          <w:marLeft w:val="0"/>
          <w:marRight w:val="0"/>
          <w:marTop w:val="0"/>
          <w:marBottom w:val="0"/>
          <w:divBdr>
            <w:top w:val="none" w:sz="0" w:space="0" w:color="auto"/>
            <w:left w:val="none" w:sz="0" w:space="0" w:color="auto"/>
            <w:bottom w:val="none" w:sz="0" w:space="0" w:color="auto"/>
            <w:right w:val="none" w:sz="0" w:space="0" w:color="auto"/>
          </w:divBdr>
        </w:div>
        <w:div w:id="409500213">
          <w:marLeft w:val="0"/>
          <w:marRight w:val="0"/>
          <w:marTop w:val="0"/>
          <w:marBottom w:val="0"/>
          <w:divBdr>
            <w:top w:val="none" w:sz="0" w:space="0" w:color="auto"/>
            <w:left w:val="none" w:sz="0" w:space="0" w:color="auto"/>
            <w:bottom w:val="none" w:sz="0" w:space="0" w:color="auto"/>
            <w:right w:val="none" w:sz="0" w:space="0" w:color="auto"/>
          </w:divBdr>
        </w:div>
        <w:div w:id="1923489218">
          <w:marLeft w:val="0"/>
          <w:marRight w:val="0"/>
          <w:marTop w:val="0"/>
          <w:marBottom w:val="0"/>
          <w:divBdr>
            <w:top w:val="none" w:sz="0" w:space="0" w:color="auto"/>
            <w:left w:val="none" w:sz="0" w:space="0" w:color="auto"/>
            <w:bottom w:val="none" w:sz="0" w:space="0" w:color="auto"/>
            <w:right w:val="none" w:sz="0" w:space="0" w:color="auto"/>
          </w:divBdr>
        </w:div>
        <w:div w:id="732852707">
          <w:marLeft w:val="0"/>
          <w:marRight w:val="0"/>
          <w:marTop w:val="0"/>
          <w:marBottom w:val="0"/>
          <w:divBdr>
            <w:top w:val="none" w:sz="0" w:space="0" w:color="auto"/>
            <w:left w:val="none" w:sz="0" w:space="0" w:color="auto"/>
            <w:bottom w:val="none" w:sz="0" w:space="0" w:color="auto"/>
            <w:right w:val="none" w:sz="0" w:space="0" w:color="auto"/>
          </w:divBdr>
        </w:div>
        <w:div w:id="781613582">
          <w:marLeft w:val="0"/>
          <w:marRight w:val="0"/>
          <w:marTop w:val="0"/>
          <w:marBottom w:val="0"/>
          <w:divBdr>
            <w:top w:val="none" w:sz="0" w:space="0" w:color="auto"/>
            <w:left w:val="none" w:sz="0" w:space="0" w:color="auto"/>
            <w:bottom w:val="none" w:sz="0" w:space="0" w:color="auto"/>
            <w:right w:val="none" w:sz="0" w:space="0" w:color="auto"/>
          </w:divBdr>
        </w:div>
        <w:div w:id="420221666">
          <w:marLeft w:val="0"/>
          <w:marRight w:val="0"/>
          <w:marTop w:val="0"/>
          <w:marBottom w:val="0"/>
          <w:divBdr>
            <w:top w:val="none" w:sz="0" w:space="0" w:color="auto"/>
            <w:left w:val="none" w:sz="0" w:space="0" w:color="auto"/>
            <w:bottom w:val="none" w:sz="0" w:space="0" w:color="auto"/>
            <w:right w:val="none" w:sz="0" w:space="0" w:color="auto"/>
          </w:divBdr>
        </w:div>
      </w:divsChild>
    </w:div>
    <w:div w:id="22362566">
      <w:bodyDiv w:val="1"/>
      <w:marLeft w:val="0"/>
      <w:marRight w:val="0"/>
      <w:marTop w:val="0"/>
      <w:marBottom w:val="0"/>
      <w:divBdr>
        <w:top w:val="none" w:sz="0" w:space="0" w:color="auto"/>
        <w:left w:val="none" w:sz="0" w:space="0" w:color="auto"/>
        <w:bottom w:val="none" w:sz="0" w:space="0" w:color="auto"/>
        <w:right w:val="none" w:sz="0" w:space="0" w:color="auto"/>
      </w:divBdr>
      <w:divsChild>
        <w:div w:id="301354151">
          <w:marLeft w:val="0"/>
          <w:marRight w:val="0"/>
          <w:marTop w:val="0"/>
          <w:marBottom w:val="0"/>
          <w:divBdr>
            <w:top w:val="none" w:sz="0" w:space="0" w:color="auto"/>
            <w:left w:val="none" w:sz="0" w:space="0" w:color="auto"/>
            <w:bottom w:val="none" w:sz="0" w:space="0" w:color="auto"/>
            <w:right w:val="none" w:sz="0" w:space="0" w:color="auto"/>
          </w:divBdr>
        </w:div>
        <w:div w:id="1362782120">
          <w:marLeft w:val="0"/>
          <w:marRight w:val="0"/>
          <w:marTop w:val="0"/>
          <w:marBottom w:val="0"/>
          <w:divBdr>
            <w:top w:val="none" w:sz="0" w:space="0" w:color="auto"/>
            <w:left w:val="none" w:sz="0" w:space="0" w:color="auto"/>
            <w:bottom w:val="none" w:sz="0" w:space="0" w:color="auto"/>
            <w:right w:val="none" w:sz="0" w:space="0" w:color="auto"/>
          </w:divBdr>
        </w:div>
        <w:div w:id="1113480150">
          <w:marLeft w:val="0"/>
          <w:marRight w:val="0"/>
          <w:marTop w:val="0"/>
          <w:marBottom w:val="0"/>
          <w:divBdr>
            <w:top w:val="none" w:sz="0" w:space="0" w:color="auto"/>
            <w:left w:val="none" w:sz="0" w:space="0" w:color="auto"/>
            <w:bottom w:val="none" w:sz="0" w:space="0" w:color="auto"/>
            <w:right w:val="none" w:sz="0" w:space="0" w:color="auto"/>
          </w:divBdr>
        </w:div>
        <w:div w:id="909778610">
          <w:marLeft w:val="0"/>
          <w:marRight w:val="0"/>
          <w:marTop w:val="0"/>
          <w:marBottom w:val="0"/>
          <w:divBdr>
            <w:top w:val="none" w:sz="0" w:space="0" w:color="auto"/>
            <w:left w:val="none" w:sz="0" w:space="0" w:color="auto"/>
            <w:bottom w:val="none" w:sz="0" w:space="0" w:color="auto"/>
            <w:right w:val="none" w:sz="0" w:space="0" w:color="auto"/>
          </w:divBdr>
        </w:div>
        <w:div w:id="632365764">
          <w:marLeft w:val="0"/>
          <w:marRight w:val="0"/>
          <w:marTop w:val="0"/>
          <w:marBottom w:val="0"/>
          <w:divBdr>
            <w:top w:val="none" w:sz="0" w:space="0" w:color="auto"/>
            <w:left w:val="none" w:sz="0" w:space="0" w:color="auto"/>
            <w:bottom w:val="none" w:sz="0" w:space="0" w:color="auto"/>
            <w:right w:val="none" w:sz="0" w:space="0" w:color="auto"/>
          </w:divBdr>
        </w:div>
        <w:div w:id="1296906153">
          <w:marLeft w:val="0"/>
          <w:marRight w:val="0"/>
          <w:marTop w:val="0"/>
          <w:marBottom w:val="0"/>
          <w:divBdr>
            <w:top w:val="none" w:sz="0" w:space="0" w:color="auto"/>
            <w:left w:val="none" w:sz="0" w:space="0" w:color="auto"/>
            <w:bottom w:val="none" w:sz="0" w:space="0" w:color="auto"/>
            <w:right w:val="none" w:sz="0" w:space="0" w:color="auto"/>
          </w:divBdr>
        </w:div>
        <w:div w:id="1917744124">
          <w:marLeft w:val="0"/>
          <w:marRight w:val="0"/>
          <w:marTop w:val="0"/>
          <w:marBottom w:val="0"/>
          <w:divBdr>
            <w:top w:val="none" w:sz="0" w:space="0" w:color="auto"/>
            <w:left w:val="none" w:sz="0" w:space="0" w:color="auto"/>
            <w:bottom w:val="none" w:sz="0" w:space="0" w:color="auto"/>
            <w:right w:val="none" w:sz="0" w:space="0" w:color="auto"/>
          </w:divBdr>
        </w:div>
        <w:div w:id="945574475">
          <w:marLeft w:val="0"/>
          <w:marRight w:val="0"/>
          <w:marTop w:val="0"/>
          <w:marBottom w:val="0"/>
          <w:divBdr>
            <w:top w:val="none" w:sz="0" w:space="0" w:color="auto"/>
            <w:left w:val="none" w:sz="0" w:space="0" w:color="auto"/>
            <w:bottom w:val="none" w:sz="0" w:space="0" w:color="auto"/>
            <w:right w:val="none" w:sz="0" w:space="0" w:color="auto"/>
          </w:divBdr>
        </w:div>
        <w:div w:id="366873283">
          <w:marLeft w:val="0"/>
          <w:marRight w:val="0"/>
          <w:marTop w:val="0"/>
          <w:marBottom w:val="0"/>
          <w:divBdr>
            <w:top w:val="none" w:sz="0" w:space="0" w:color="auto"/>
            <w:left w:val="none" w:sz="0" w:space="0" w:color="auto"/>
            <w:bottom w:val="none" w:sz="0" w:space="0" w:color="auto"/>
            <w:right w:val="none" w:sz="0" w:space="0" w:color="auto"/>
          </w:divBdr>
        </w:div>
        <w:div w:id="1593129585">
          <w:marLeft w:val="0"/>
          <w:marRight w:val="0"/>
          <w:marTop w:val="0"/>
          <w:marBottom w:val="0"/>
          <w:divBdr>
            <w:top w:val="none" w:sz="0" w:space="0" w:color="auto"/>
            <w:left w:val="none" w:sz="0" w:space="0" w:color="auto"/>
            <w:bottom w:val="none" w:sz="0" w:space="0" w:color="auto"/>
            <w:right w:val="none" w:sz="0" w:space="0" w:color="auto"/>
          </w:divBdr>
        </w:div>
        <w:div w:id="355350804">
          <w:marLeft w:val="0"/>
          <w:marRight w:val="0"/>
          <w:marTop w:val="0"/>
          <w:marBottom w:val="0"/>
          <w:divBdr>
            <w:top w:val="none" w:sz="0" w:space="0" w:color="auto"/>
            <w:left w:val="none" w:sz="0" w:space="0" w:color="auto"/>
            <w:bottom w:val="none" w:sz="0" w:space="0" w:color="auto"/>
            <w:right w:val="none" w:sz="0" w:space="0" w:color="auto"/>
          </w:divBdr>
        </w:div>
        <w:div w:id="1078132988">
          <w:marLeft w:val="0"/>
          <w:marRight w:val="0"/>
          <w:marTop w:val="0"/>
          <w:marBottom w:val="0"/>
          <w:divBdr>
            <w:top w:val="none" w:sz="0" w:space="0" w:color="auto"/>
            <w:left w:val="none" w:sz="0" w:space="0" w:color="auto"/>
            <w:bottom w:val="none" w:sz="0" w:space="0" w:color="auto"/>
            <w:right w:val="none" w:sz="0" w:space="0" w:color="auto"/>
          </w:divBdr>
        </w:div>
        <w:div w:id="1414816114">
          <w:marLeft w:val="0"/>
          <w:marRight w:val="0"/>
          <w:marTop w:val="0"/>
          <w:marBottom w:val="0"/>
          <w:divBdr>
            <w:top w:val="none" w:sz="0" w:space="0" w:color="auto"/>
            <w:left w:val="none" w:sz="0" w:space="0" w:color="auto"/>
            <w:bottom w:val="none" w:sz="0" w:space="0" w:color="auto"/>
            <w:right w:val="none" w:sz="0" w:space="0" w:color="auto"/>
          </w:divBdr>
        </w:div>
        <w:div w:id="2097357169">
          <w:marLeft w:val="0"/>
          <w:marRight w:val="0"/>
          <w:marTop w:val="0"/>
          <w:marBottom w:val="0"/>
          <w:divBdr>
            <w:top w:val="none" w:sz="0" w:space="0" w:color="auto"/>
            <w:left w:val="none" w:sz="0" w:space="0" w:color="auto"/>
            <w:bottom w:val="none" w:sz="0" w:space="0" w:color="auto"/>
            <w:right w:val="none" w:sz="0" w:space="0" w:color="auto"/>
          </w:divBdr>
        </w:div>
        <w:div w:id="118107360">
          <w:marLeft w:val="0"/>
          <w:marRight w:val="0"/>
          <w:marTop w:val="0"/>
          <w:marBottom w:val="0"/>
          <w:divBdr>
            <w:top w:val="none" w:sz="0" w:space="0" w:color="auto"/>
            <w:left w:val="none" w:sz="0" w:space="0" w:color="auto"/>
            <w:bottom w:val="none" w:sz="0" w:space="0" w:color="auto"/>
            <w:right w:val="none" w:sz="0" w:space="0" w:color="auto"/>
          </w:divBdr>
        </w:div>
        <w:div w:id="295524101">
          <w:marLeft w:val="0"/>
          <w:marRight w:val="0"/>
          <w:marTop w:val="0"/>
          <w:marBottom w:val="0"/>
          <w:divBdr>
            <w:top w:val="none" w:sz="0" w:space="0" w:color="auto"/>
            <w:left w:val="none" w:sz="0" w:space="0" w:color="auto"/>
            <w:bottom w:val="none" w:sz="0" w:space="0" w:color="auto"/>
            <w:right w:val="none" w:sz="0" w:space="0" w:color="auto"/>
          </w:divBdr>
        </w:div>
        <w:div w:id="35009020">
          <w:marLeft w:val="0"/>
          <w:marRight w:val="0"/>
          <w:marTop w:val="0"/>
          <w:marBottom w:val="0"/>
          <w:divBdr>
            <w:top w:val="none" w:sz="0" w:space="0" w:color="auto"/>
            <w:left w:val="none" w:sz="0" w:space="0" w:color="auto"/>
            <w:bottom w:val="none" w:sz="0" w:space="0" w:color="auto"/>
            <w:right w:val="none" w:sz="0" w:space="0" w:color="auto"/>
          </w:divBdr>
        </w:div>
        <w:div w:id="691106527">
          <w:marLeft w:val="0"/>
          <w:marRight w:val="0"/>
          <w:marTop w:val="0"/>
          <w:marBottom w:val="0"/>
          <w:divBdr>
            <w:top w:val="none" w:sz="0" w:space="0" w:color="auto"/>
            <w:left w:val="none" w:sz="0" w:space="0" w:color="auto"/>
            <w:bottom w:val="none" w:sz="0" w:space="0" w:color="auto"/>
            <w:right w:val="none" w:sz="0" w:space="0" w:color="auto"/>
          </w:divBdr>
        </w:div>
      </w:divsChild>
    </w:div>
    <w:div w:id="123430853">
      <w:bodyDiv w:val="1"/>
      <w:marLeft w:val="0"/>
      <w:marRight w:val="0"/>
      <w:marTop w:val="0"/>
      <w:marBottom w:val="0"/>
      <w:divBdr>
        <w:top w:val="none" w:sz="0" w:space="0" w:color="auto"/>
        <w:left w:val="none" w:sz="0" w:space="0" w:color="auto"/>
        <w:bottom w:val="none" w:sz="0" w:space="0" w:color="auto"/>
        <w:right w:val="none" w:sz="0" w:space="0" w:color="auto"/>
      </w:divBdr>
      <w:divsChild>
        <w:div w:id="480387799">
          <w:marLeft w:val="0"/>
          <w:marRight w:val="0"/>
          <w:marTop w:val="0"/>
          <w:marBottom w:val="0"/>
          <w:divBdr>
            <w:top w:val="none" w:sz="0" w:space="0" w:color="auto"/>
            <w:left w:val="none" w:sz="0" w:space="0" w:color="auto"/>
            <w:bottom w:val="none" w:sz="0" w:space="0" w:color="auto"/>
            <w:right w:val="none" w:sz="0" w:space="0" w:color="auto"/>
          </w:divBdr>
        </w:div>
        <w:div w:id="905797158">
          <w:marLeft w:val="0"/>
          <w:marRight w:val="0"/>
          <w:marTop w:val="0"/>
          <w:marBottom w:val="0"/>
          <w:divBdr>
            <w:top w:val="none" w:sz="0" w:space="0" w:color="auto"/>
            <w:left w:val="none" w:sz="0" w:space="0" w:color="auto"/>
            <w:bottom w:val="none" w:sz="0" w:space="0" w:color="auto"/>
            <w:right w:val="none" w:sz="0" w:space="0" w:color="auto"/>
          </w:divBdr>
        </w:div>
        <w:div w:id="52438200">
          <w:marLeft w:val="0"/>
          <w:marRight w:val="0"/>
          <w:marTop w:val="0"/>
          <w:marBottom w:val="0"/>
          <w:divBdr>
            <w:top w:val="none" w:sz="0" w:space="0" w:color="auto"/>
            <w:left w:val="none" w:sz="0" w:space="0" w:color="auto"/>
            <w:bottom w:val="none" w:sz="0" w:space="0" w:color="auto"/>
            <w:right w:val="none" w:sz="0" w:space="0" w:color="auto"/>
          </w:divBdr>
        </w:div>
        <w:div w:id="1241138171">
          <w:marLeft w:val="0"/>
          <w:marRight w:val="0"/>
          <w:marTop w:val="0"/>
          <w:marBottom w:val="0"/>
          <w:divBdr>
            <w:top w:val="none" w:sz="0" w:space="0" w:color="auto"/>
            <w:left w:val="none" w:sz="0" w:space="0" w:color="auto"/>
            <w:bottom w:val="none" w:sz="0" w:space="0" w:color="auto"/>
            <w:right w:val="none" w:sz="0" w:space="0" w:color="auto"/>
          </w:divBdr>
        </w:div>
        <w:div w:id="554122566">
          <w:marLeft w:val="0"/>
          <w:marRight w:val="0"/>
          <w:marTop w:val="0"/>
          <w:marBottom w:val="0"/>
          <w:divBdr>
            <w:top w:val="none" w:sz="0" w:space="0" w:color="auto"/>
            <w:left w:val="none" w:sz="0" w:space="0" w:color="auto"/>
            <w:bottom w:val="none" w:sz="0" w:space="0" w:color="auto"/>
            <w:right w:val="none" w:sz="0" w:space="0" w:color="auto"/>
          </w:divBdr>
        </w:div>
        <w:div w:id="1319773825">
          <w:marLeft w:val="0"/>
          <w:marRight w:val="0"/>
          <w:marTop w:val="0"/>
          <w:marBottom w:val="0"/>
          <w:divBdr>
            <w:top w:val="none" w:sz="0" w:space="0" w:color="auto"/>
            <w:left w:val="none" w:sz="0" w:space="0" w:color="auto"/>
            <w:bottom w:val="none" w:sz="0" w:space="0" w:color="auto"/>
            <w:right w:val="none" w:sz="0" w:space="0" w:color="auto"/>
          </w:divBdr>
        </w:div>
        <w:div w:id="1162888620">
          <w:marLeft w:val="0"/>
          <w:marRight w:val="0"/>
          <w:marTop w:val="0"/>
          <w:marBottom w:val="0"/>
          <w:divBdr>
            <w:top w:val="none" w:sz="0" w:space="0" w:color="auto"/>
            <w:left w:val="none" w:sz="0" w:space="0" w:color="auto"/>
            <w:bottom w:val="none" w:sz="0" w:space="0" w:color="auto"/>
            <w:right w:val="none" w:sz="0" w:space="0" w:color="auto"/>
          </w:divBdr>
        </w:div>
      </w:divsChild>
    </w:div>
    <w:div w:id="156189850">
      <w:bodyDiv w:val="1"/>
      <w:marLeft w:val="0"/>
      <w:marRight w:val="0"/>
      <w:marTop w:val="0"/>
      <w:marBottom w:val="0"/>
      <w:divBdr>
        <w:top w:val="none" w:sz="0" w:space="0" w:color="auto"/>
        <w:left w:val="none" w:sz="0" w:space="0" w:color="auto"/>
        <w:bottom w:val="none" w:sz="0" w:space="0" w:color="auto"/>
        <w:right w:val="none" w:sz="0" w:space="0" w:color="auto"/>
      </w:divBdr>
      <w:divsChild>
        <w:div w:id="797915872">
          <w:marLeft w:val="0"/>
          <w:marRight w:val="0"/>
          <w:marTop w:val="0"/>
          <w:marBottom w:val="0"/>
          <w:divBdr>
            <w:top w:val="none" w:sz="0" w:space="0" w:color="auto"/>
            <w:left w:val="none" w:sz="0" w:space="0" w:color="auto"/>
            <w:bottom w:val="none" w:sz="0" w:space="0" w:color="auto"/>
            <w:right w:val="none" w:sz="0" w:space="0" w:color="auto"/>
          </w:divBdr>
        </w:div>
        <w:div w:id="1152678610">
          <w:marLeft w:val="0"/>
          <w:marRight w:val="0"/>
          <w:marTop w:val="0"/>
          <w:marBottom w:val="0"/>
          <w:divBdr>
            <w:top w:val="none" w:sz="0" w:space="0" w:color="auto"/>
            <w:left w:val="none" w:sz="0" w:space="0" w:color="auto"/>
            <w:bottom w:val="none" w:sz="0" w:space="0" w:color="auto"/>
            <w:right w:val="none" w:sz="0" w:space="0" w:color="auto"/>
          </w:divBdr>
        </w:div>
        <w:div w:id="2052029846">
          <w:marLeft w:val="0"/>
          <w:marRight w:val="0"/>
          <w:marTop w:val="0"/>
          <w:marBottom w:val="0"/>
          <w:divBdr>
            <w:top w:val="none" w:sz="0" w:space="0" w:color="auto"/>
            <w:left w:val="none" w:sz="0" w:space="0" w:color="auto"/>
            <w:bottom w:val="none" w:sz="0" w:space="0" w:color="auto"/>
            <w:right w:val="none" w:sz="0" w:space="0" w:color="auto"/>
          </w:divBdr>
        </w:div>
        <w:div w:id="293171383">
          <w:marLeft w:val="0"/>
          <w:marRight w:val="0"/>
          <w:marTop w:val="0"/>
          <w:marBottom w:val="0"/>
          <w:divBdr>
            <w:top w:val="none" w:sz="0" w:space="0" w:color="auto"/>
            <w:left w:val="none" w:sz="0" w:space="0" w:color="auto"/>
            <w:bottom w:val="none" w:sz="0" w:space="0" w:color="auto"/>
            <w:right w:val="none" w:sz="0" w:space="0" w:color="auto"/>
          </w:divBdr>
        </w:div>
        <w:div w:id="1020475682">
          <w:marLeft w:val="0"/>
          <w:marRight w:val="0"/>
          <w:marTop w:val="0"/>
          <w:marBottom w:val="0"/>
          <w:divBdr>
            <w:top w:val="none" w:sz="0" w:space="0" w:color="auto"/>
            <w:left w:val="none" w:sz="0" w:space="0" w:color="auto"/>
            <w:bottom w:val="none" w:sz="0" w:space="0" w:color="auto"/>
            <w:right w:val="none" w:sz="0" w:space="0" w:color="auto"/>
          </w:divBdr>
        </w:div>
        <w:div w:id="1559055204">
          <w:marLeft w:val="0"/>
          <w:marRight w:val="0"/>
          <w:marTop w:val="0"/>
          <w:marBottom w:val="0"/>
          <w:divBdr>
            <w:top w:val="none" w:sz="0" w:space="0" w:color="auto"/>
            <w:left w:val="none" w:sz="0" w:space="0" w:color="auto"/>
            <w:bottom w:val="none" w:sz="0" w:space="0" w:color="auto"/>
            <w:right w:val="none" w:sz="0" w:space="0" w:color="auto"/>
          </w:divBdr>
        </w:div>
        <w:div w:id="1656254887">
          <w:marLeft w:val="0"/>
          <w:marRight w:val="0"/>
          <w:marTop w:val="0"/>
          <w:marBottom w:val="0"/>
          <w:divBdr>
            <w:top w:val="none" w:sz="0" w:space="0" w:color="auto"/>
            <w:left w:val="none" w:sz="0" w:space="0" w:color="auto"/>
            <w:bottom w:val="none" w:sz="0" w:space="0" w:color="auto"/>
            <w:right w:val="none" w:sz="0" w:space="0" w:color="auto"/>
          </w:divBdr>
        </w:div>
        <w:div w:id="1227762781">
          <w:marLeft w:val="0"/>
          <w:marRight w:val="0"/>
          <w:marTop w:val="0"/>
          <w:marBottom w:val="0"/>
          <w:divBdr>
            <w:top w:val="none" w:sz="0" w:space="0" w:color="auto"/>
            <w:left w:val="none" w:sz="0" w:space="0" w:color="auto"/>
            <w:bottom w:val="none" w:sz="0" w:space="0" w:color="auto"/>
            <w:right w:val="none" w:sz="0" w:space="0" w:color="auto"/>
          </w:divBdr>
        </w:div>
      </w:divsChild>
    </w:div>
    <w:div w:id="299920029">
      <w:bodyDiv w:val="1"/>
      <w:marLeft w:val="0"/>
      <w:marRight w:val="0"/>
      <w:marTop w:val="0"/>
      <w:marBottom w:val="0"/>
      <w:divBdr>
        <w:top w:val="none" w:sz="0" w:space="0" w:color="auto"/>
        <w:left w:val="none" w:sz="0" w:space="0" w:color="auto"/>
        <w:bottom w:val="none" w:sz="0" w:space="0" w:color="auto"/>
        <w:right w:val="none" w:sz="0" w:space="0" w:color="auto"/>
      </w:divBdr>
      <w:divsChild>
        <w:div w:id="1609580359">
          <w:marLeft w:val="0"/>
          <w:marRight w:val="0"/>
          <w:marTop w:val="0"/>
          <w:marBottom w:val="0"/>
          <w:divBdr>
            <w:top w:val="none" w:sz="0" w:space="0" w:color="auto"/>
            <w:left w:val="none" w:sz="0" w:space="0" w:color="auto"/>
            <w:bottom w:val="none" w:sz="0" w:space="0" w:color="auto"/>
            <w:right w:val="none" w:sz="0" w:space="0" w:color="auto"/>
          </w:divBdr>
        </w:div>
        <w:div w:id="309605136">
          <w:marLeft w:val="0"/>
          <w:marRight w:val="0"/>
          <w:marTop w:val="0"/>
          <w:marBottom w:val="0"/>
          <w:divBdr>
            <w:top w:val="none" w:sz="0" w:space="0" w:color="auto"/>
            <w:left w:val="none" w:sz="0" w:space="0" w:color="auto"/>
            <w:bottom w:val="none" w:sz="0" w:space="0" w:color="auto"/>
            <w:right w:val="none" w:sz="0" w:space="0" w:color="auto"/>
          </w:divBdr>
        </w:div>
        <w:div w:id="2077045390">
          <w:marLeft w:val="0"/>
          <w:marRight w:val="0"/>
          <w:marTop w:val="0"/>
          <w:marBottom w:val="0"/>
          <w:divBdr>
            <w:top w:val="none" w:sz="0" w:space="0" w:color="auto"/>
            <w:left w:val="none" w:sz="0" w:space="0" w:color="auto"/>
            <w:bottom w:val="none" w:sz="0" w:space="0" w:color="auto"/>
            <w:right w:val="none" w:sz="0" w:space="0" w:color="auto"/>
          </w:divBdr>
        </w:div>
        <w:div w:id="19210717">
          <w:marLeft w:val="0"/>
          <w:marRight w:val="0"/>
          <w:marTop w:val="0"/>
          <w:marBottom w:val="0"/>
          <w:divBdr>
            <w:top w:val="none" w:sz="0" w:space="0" w:color="auto"/>
            <w:left w:val="none" w:sz="0" w:space="0" w:color="auto"/>
            <w:bottom w:val="none" w:sz="0" w:space="0" w:color="auto"/>
            <w:right w:val="none" w:sz="0" w:space="0" w:color="auto"/>
          </w:divBdr>
        </w:div>
        <w:div w:id="991762597">
          <w:marLeft w:val="0"/>
          <w:marRight w:val="0"/>
          <w:marTop w:val="0"/>
          <w:marBottom w:val="0"/>
          <w:divBdr>
            <w:top w:val="none" w:sz="0" w:space="0" w:color="auto"/>
            <w:left w:val="none" w:sz="0" w:space="0" w:color="auto"/>
            <w:bottom w:val="none" w:sz="0" w:space="0" w:color="auto"/>
            <w:right w:val="none" w:sz="0" w:space="0" w:color="auto"/>
          </w:divBdr>
        </w:div>
        <w:div w:id="271599350">
          <w:marLeft w:val="0"/>
          <w:marRight w:val="0"/>
          <w:marTop w:val="0"/>
          <w:marBottom w:val="0"/>
          <w:divBdr>
            <w:top w:val="none" w:sz="0" w:space="0" w:color="auto"/>
            <w:left w:val="none" w:sz="0" w:space="0" w:color="auto"/>
            <w:bottom w:val="none" w:sz="0" w:space="0" w:color="auto"/>
            <w:right w:val="none" w:sz="0" w:space="0" w:color="auto"/>
          </w:divBdr>
        </w:div>
        <w:div w:id="1694303803">
          <w:marLeft w:val="0"/>
          <w:marRight w:val="0"/>
          <w:marTop w:val="0"/>
          <w:marBottom w:val="0"/>
          <w:divBdr>
            <w:top w:val="none" w:sz="0" w:space="0" w:color="auto"/>
            <w:left w:val="none" w:sz="0" w:space="0" w:color="auto"/>
            <w:bottom w:val="none" w:sz="0" w:space="0" w:color="auto"/>
            <w:right w:val="none" w:sz="0" w:space="0" w:color="auto"/>
          </w:divBdr>
        </w:div>
        <w:div w:id="7950319">
          <w:marLeft w:val="0"/>
          <w:marRight w:val="0"/>
          <w:marTop w:val="0"/>
          <w:marBottom w:val="0"/>
          <w:divBdr>
            <w:top w:val="none" w:sz="0" w:space="0" w:color="auto"/>
            <w:left w:val="none" w:sz="0" w:space="0" w:color="auto"/>
            <w:bottom w:val="none" w:sz="0" w:space="0" w:color="auto"/>
            <w:right w:val="none" w:sz="0" w:space="0" w:color="auto"/>
          </w:divBdr>
        </w:div>
        <w:div w:id="465203756">
          <w:marLeft w:val="0"/>
          <w:marRight w:val="0"/>
          <w:marTop w:val="0"/>
          <w:marBottom w:val="0"/>
          <w:divBdr>
            <w:top w:val="none" w:sz="0" w:space="0" w:color="auto"/>
            <w:left w:val="none" w:sz="0" w:space="0" w:color="auto"/>
            <w:bottom w:val="none" w:sz="0" w:space="0" w:color="auto"/>
            <w:right w:val="none" w:sz="0" w:space="0" w:color="auto"/>
          </w:divBdr>
        </w:div>
        <w:div w:id="719090684">
          <w:marLeft w:val="0"/>
          <w:marRight w:val="0"/>
          <w:marTop w:val="0"/>
          <w:marBottom w:val="0"/>
          <w:divBdr>
            <w:top w:val="none" w:sz="0" w:space="0" w:color="auto"/>
            <w:left w:val="none" w:sz="0" w:space="0" w:color="auto"/>
            <w:bottom w:val="none" w:sz="0" w:space="0" w:color="auto"/>
            <w:right w:val="none" w:sz="0" w:space="0" w:color="auto"/>
          </w:divBdr>
        </w:div>
        <w:div w:id="901333937">
          <w:marLeft w:val="0"/>
          <w:marRight w:val="0"/>
          <w:marTop w:val="0"/>
          <w:marBottom w:val="0"/>
          <w:divBdr>
            <w:top w:val="none" w:sz="0" w:space="0" w:color="auto"/>
            <w:left w:val="none" w:sz="0" w:space="0" w:color="auto"/>
            <w:bottom w:val="none" w:sz="0" w:space="0" w:color="auto"/>
            <w:right w:val="none" w:sz="0" w:space="0" w:color="auto"/>
          </w:divBdr>
        </w:div>
        <w:div w:id="26569352">
          <w:marLeft w:val="0"/>
          <w:marRight w:val="0"/>
          <w:marTop w:val="0"/>
          <w:marBottom w:val="0"/>
          <w:divBdr>
            <w:top w:val="none" w:sz="0" w:space="0" w:color="auto"/>
            <w:left w:val="none" w:sz="0" w:space="0" w:color="auto"/>
            <w:bottom w:val="none" w:sz="0" w:space="0" w:color="auto"/>
            <w:right w:val="none" w:sz="0" w:space="0" w:color="auto"/>
          </w:divBdr>
        </w:div>
        <w:div w:id="2022077362">
          <w:marLeft w:val="0"/>
          <w:marRight w:val="0"/>
          <w:marTop w:val="0"/>
          <w:marBottom w:val="0"/>
          <w:divBdr>
            <w:top w:val="none" w:sz="0" w:space="0" w:color="auto"/>
            <w:left w:val="none" w:sz="0" w:space="0" w:color="auto"/>
            <w:bottom w:val="none" w:sz="0" w:space="0" w:color="auto"/>
            <w:right w:val="none" w:sz="0" w:space="0" w:color="auto"/>
          </w:divBdr>
        </w:div>
        <w:div w:id="466629918">
          <w:marLeft w:val="0"/>
          <w:marRight w:val="0"/>
          <w:marTop w:val="0"/>
          <w:marBottom w:val="0"/>
          <w:divBdr>
            <w:top w:val="none" w:sz="0" w:space="0" w:color="auto"/>
            <w:left w:val="none" w:sz="0" w:space="0" w:color="auto"/>
            <w:bottom w:val="none" w:sz="0" w:space="0" w:color="auto"/>
            <w:right w:val="none" w:sz="0" w:space="0" w:color="auto"/>
          </w:divBdr>
        </w:div>
        <w:div w:id="1483038463">
          <w:marLeft w:val="0"/>
          <w:marRight w:val="0"/>
          <w:marTop w:val="0"/>
          <w:marBottom w:val="0"/>
          <w:divBdr>
            <w:top w:val="none" w:sz="0" w:space="0" w:color="auto"/>
            <w:left w:val="none" w:sz="0" w:space="0" w:color="auto"/>
            <w:bottom w:val="none" w:sz="0" w:space="0" w:color="auto"/>
            <w:right w:val="none" w:sz="0" w:space="0" w:color="auto"/>
          </w:divBdr>
        </w:div>
      </w:divsChild>
    </w:div>
    <w:div w:id="321739315">
      <w:bodyDiv w:val="1"/>
      <w:marLeft w:val="0"/>
      <w:marRight w:val="0"/>
      <w:marTop w:val="0"/>
      <w:marBottom w:val="0"/>
      <w:divBdr>
        <w:top w:val="none" w:sz="0" w:space="0" w:color="auto"/>
        <w:left w:val="none" w:sz="0" w:space="0" w:color="auto"/>
        <w:bottom w:val="none" w:sz="0" w:space="0" w:color="auto"/>
        <w:right w:val="none" w:sz="0" w:space="0" w:color="auto"/>
      </w:divBdr>
    </w:div>
    <w:div w:id="371074174">
      <w:bodyDiv w:val="1"/>
      <w:marLeft w:val="0"/>
      <w:marRight w:val="0"/>
      <w:marTop w:val="0"/>
      <w:marBottom w:val="0"/>
      <w:divBdr>
        <w:top w:val="none" w:sz="0" w:space="0" w:color="auto"/>
        <w:left w:val="none" w:sz="0" w:space="0" w:color="auto"/>
        <w:bottom w:val="none" w:sz="0" w:space="0" w:color="auto"/>
        <w:right w:val="none" w:sz="0" w:space="0" w:color="auto"/>
      </w:divBdr>
      <w:divsChild>
        <w:div w:id="1027827236">
          <w:marLeft w:val="0"/>
          <w:marRight w:val="0"/>
          <w:marTop w:val="0"/>
          <w:marBottom w:val="0"/>
          <w:divBdr>
            <w:top w:val="none" w:sz="0" w:space="0" w:color="auto"/>
            <w:left w:val="none" w:sz="0" w:space="0" w:color="auto"/>
            <w:bottom w:val="none" w:sz="0" w:space="0" w:color="auto"/>
            <w:right w:val="none" w:sz="0" w:space="0" w:color="auto"/>
          </w:divBdr>
          <w:divsChild>
            <w:div w:id="311177396">
              <w:marLeft w:val="0"/>
              <w:marRight w:val="0"/>
              <w:marTop w:val="0"/>
              <w:marBottom w:val="0"/>
              <w:divBdr>
                <w:top w:val="none" w:sz="0" w:space="0" w:color="auto"/>
                <w:left w:val="none" w:sz="0" w:space="0" w:color="auto"/>
                <w:bottom w:val="none" w:sz="0" w:space="0" w:color="auto"/>
                <w:right w:val="none" w:sz="0" w:space="0" w:color="auto"/>
              </w:divBdr>
            </w:div>
            <w:div w:id="1906911158">
              <w:marLeft w:val="0"/>
              <w:marRight w:val="0"/>
              <w:marTop w:val="0"/>
              <w:marBottom w:val="0"/>
              <w:divBdr>
                <w:top w:val="none" w:sz="0" w:space="0" w:color="auto"/>
                <w:left w:val="none" w:sz="0" w:space="0" w:color="auto"/>
                <w:bottom w:val="none" w:sz="0" w:space="0" w:color="auto"/>
                <w:right w:val="none" w:sz="0" w:space="0" w:color="auto"/>
              </w:divBdr>
            </w:div>
            <w:div w:id="2082411395">
              <w:marLeft w:val="0"/>
              <w:marRight w:val="0"/>
              <w:marTop w:val="0"/>
              <w:marBottom w:val="0"/>
              <w:divBdr>
                <w:top w:val="none" w:sz="0" w:space="0" w:color="auto"/>
                <w:left w:val="none" w:sz="0" w:space="0" w:color="auto"/>
                <w:bottom w:val="none" w:sz="0" w:space="0" w:color="auto"/>
                <w:right w:val="none" w:sz="0" w:space="0" w:color="auto"/>
              </w:divBdr>
            </w:div>
            <w:div w:id="468134231">
              <w:marLeft w:val="0"/>
              <w:marRight w:val="0"/>
              <w:marTop w:val="0"/>
              <w:marBottom w:val="0"/>
              <w:divBdr>
                <w:top w:val="none" w:sz="0" w:space="0" w:color="auto"/>
                <w:left w:val="none" w:sz="0" w:space="0" w:color="auto"/>
                <w:bottom w:val="none" w:sz="0" w:space="0" w:color="auto"/>
                <w:right w:val="none" w:sz="0" w:space="0" w:color="auto"/>
              </w:divBdr>
            </w:div>
            <w:div w:id="38558422">
              <w:marLeft w:val="0"/>
              <w:marRight w:val="0"/>
              <w:marTop w:val="0"/>
              <w:marBottom w:val="0"/>
              <w:divBdr>
                <w:top w:val="none" w:sz="0" w:space="0" w:color="auto"/>
                <w:left w:val="none" w:sz="0" w:space="0" w:color="auto"/>
                <w:bottom w:val="none" w:sz="0" w:space="0" w:color="auto"/>
                <w:right w:val="none" w:sz="0" w:space="0" w:color="auto"/>
              </w:divBdr>
            </w:div>
            <w:div w:id="1654916429">
              <w:marLeft w:val="0"/>
              <w:marRight w:val="0"/>
              <w:marTop w:val="0"/>
              <w:marBottom w:val="0"/>
              <w:divBdr>
                <w:top w:val="none" w:sz="0" w:space="0" w:color="auto"/>
                <w:left w:val="none" w:sz="0" w:space="0" w:color="auto"/>
                <w:bottom w:val="none" w:sz="0" w:space="0" w:color="auto"/>
                <w:right w:val="none" w:sz="0" w:space="0" w:color="auto"/>
              </w:divBdr>
            </w:div>
            <w:div w:id="1894920888">
              <w:marLeft w:val="0"/>
              <w:marRight w:val="0"/>
              <w:marTop w:val="0"/>
              <w:marBottom w:val="0"/>
              <w:divBdr>
                <w:top w:val="none" w:sz="0" w:space="0" w:color="auto"/>
                <w:left w:val="none" w:sz="0" w:space="0" w:color="auto"/>
                <w:bottom w:val="none" w:sz="0" w:space="0" w:color="auto"/>
                <w:right w:val="none" w:sz="0" w:space="0" w:color="auto"/>
              </w:divBdr>
            </w:div>
            <w:div w:id="1264265452">
              <w:marLeft w:val="0"/>
              <w:marRight w:val="0"/>
              <w:marTop w:val="0"/>
              <w:marBottom w:val="0"/>
              <w:divBdr>
                <w:top w:val="none" w:sz="0" w:space="0" w:color="auto"/>
                <w:left w:val="none" w:sz="0" w:space="0" w:color="auto"/>
                <w:bottom w:val="none" w:sz="0" w:space="0" w:color="auto"/>
                <w:right w:val="none" w:sz="0" w:space="0" w:color="auto"/>
              </w:divBdr>
            </w:div>
            <w:div w:id="1894584293">
              <w:marLeft w:val="0"/>
              <w:marRight w:val="0"/>
              <w:marTop w:val="0"/>
              <w:marBottom w:val="0"/>
              <w:divBdr>
                <w:top w:val="none" w:sz="0" w:space="0" w:color="auto"/>
                <w:left w:val="none" w:sz="0" w:space="0" w:color="auto"/>
                <w:bottom w:val="none" w:sz="0" w:space="0" w:color="auto"/>
                <w:right w:val="none" w:sz="0" w:space="0" w:color="auto"/>
              </w:divBdr>
            </w:div>
            <w:div w:id="1270236750">
              <w:marLeft w:val="0"/>
              <w:marRight w:val="0"/>
              <w:marTop w:val="0"/>
              <w:marBottom w:val="0"/>
              <w:divBdr>
                <w:top w:val="none" w:sz="0" w:space="0" w:color="auto"/>
                <w:left w:val="none" w:sz="0" w:space="0" w:color="auto"/>
                <w:bottom w:val="none" w:sz="0" w:space="0" w:color="auto"/>
                <w:right w:val="none" w:sz="0" w:space="0" w:color="auto"/>
              </w:divBdr>
            </w:div>
            <w:div w:id="881476302">
              <w:marLeft w:val="0"/>
              <w:marRight w:val="0"/>
              <w:marTop w:val="0"/>
              <w:marBottom w:val="0"/>
              <w:divBdr>
                <w:top w:val="none" w:sz="0" w:space="0" w:color="auto"/>
                <w:left w:val="none" w:sz="0" w:space="0" w:color="auto"/>
                <w:bottom w:val="none" w:sz="0" w:space="0" w:color="auto"/>
                <w:right w:val="none" w:sz="0" w:space="0" w:color="auto"/>
              </w:divBdr>
            </w:div>
            <w:div w:id="22177836">
              <w:marLeft w:val="0"/>
              <w:marRight w:val="0"/>
              <w:marTop w:val="0"/>
              <w:marBottom w:val="0"/>
              <w:divBdr>
                <w:top w:val="none" w:sz="0" w:space="0" w:color="auto"/>
                <w:left w:val="none" w:sz="0" w:space="0" w:color="auto"/>
                <w:bottom w:val="none" w:sz="0" w:space="0" w:color="auto"/>
                <w:right w:val="none" w:sz="0" w:space="0" w:color="auto"/>
              </w:divBdr>
            </w:div>
            <w:div w:id="360976794">
              <w:marLeft w:val="0"/>
              <w:marRight w:val="0"/>
              <w:marTop w:val="0"/>
              <w:marBottom w:val="0"/>
              <w:divBdr>
                <w:top w:val="none" w:sz="0" w:space="0" w:color="auto"/>
                <w:left w:val="none" w:sz="0" w:space="0" w:color="auto"/>
                <w:bottom w:val="none" w:sz="0" w:space="0" w:color="auto"/>
                <w:right w:val="none" w:sz="0" w:space="0" w:color="auto"/>
              </w:divBdr>
            </w:div>
            <w:div w:id="1397707966">
              <w:marLeft w:val="0"/>
              <w:marRight w:val="0"/>
              <w:marTop w:val="0"/>
              <w:marBottom w:val="0"/>
              <w:divBdr>
                <w:top w:val="none" w:sz="0" w:space="0" w:color="auto"/>
                <w:left w:val="none" w:sz="0" w:space="0" w:color="auto"/>
                <w:bottom w:val="none" w:sz="0" w:space="0" w:color="auto"/>
                <w:right w:val="none" w:sz="0" w:space="0" w:color="auto"/>
              </w:divBdr>
            </w:div>
            <w:div w:id="341051047">
              <w:marLeft w:val="0"/>
              <w:marRight w:val="0"/>
              <w:marTop w:val="0"/>
              <w:marBottom w:val="0"/>
              <w:divBdr>
                <w:top w:val="none" w:sz="0" w:space="0" w:color="auto"/>
                <w:left w:val="none" w:sz="0" w:space="0" w:color="auto"/>
                <w:bottom w:val="none" w:sz="0" w:space="0" w:color="auto"/>
                <w:right w:val="none" w:sz="0" w:space="0" w:color="auto"/>
              </w:divBdr>
            </w:div>
            <w:div w:id="821773493">
              <w:marLeft w:val="0"/>
              <w:marRight w:val="0"/>
              <w:marTop w:val="0"/>
              <w:marBottom w:val="0"/>
              <w:divBdr>
                <w:top w:val="none" w:sz="0" w:space="0" w:color="auto"/>
                <w:left w:val="none" w:sz="0" w:space="0" w:color="auto"/>
                <w:bottom w:val="none" w:sz="0" w:space="0" w:color="auto"/>
                <w:right w:val="none" w:sz="0" w:space="0" w:color="auto"/>
              </w:divBdr>
            </w:div>
            <w:div w:id="1900095423">
              <w:marLeft w:val="0"/>
              <w:marRight w:val="0"/>
              <w:marTop w:val="0"/>
              <w:marBottom w:val="0"/>
              <w:divBdr>
                <w:top w:val="none" w:sz="0" w:space="0" w:color="auto"/>
                <w:left w:val="none" w:sz="0" w:space="0" w:color="auto"/>
                <w:bottom w:val="none" w:sz="0" w:space="0" w:color="auto"/>
                <w:right w:val="none" w:sz="0" w:space="0" w:color="auto"/>
              </w:divBdr>
            </w:div>
            <w:div w:id="1744065426">
              <w:marLeft w:val="0"/>
              <w:marRight w:val="0"/>
              <w:marTop w:val="0"/>
              <w:marBottom w:val="0"/>
              <w:divBdr>
                <w:top w:val="none" w:sz="0" w:space="0" w:color="auto"/>
                <w:left w:val="none" w:sz="0" w:space="0" w:color="auto"/>
                <w:bottom w:val="none" w:sz="0" w:space="0" w:color="auto"/>
                <w:right w:val="none" w:sz="0" w:space="0" w:color="auto"/>
              </w:divBdr>
            </w:div>
            <w:div w:id="963773922">
              <w:marLeft w:val="0"/>
              <w:marRight w:val="0"/>
              <w:marTop w:val="0"/>
              <w:marBottom w:val="0"/>
              <w:divBdr>
                <w:top w:val="none" w:sz="0" w:space="0" w:color="auto"/>
                <w:left w:val="none" w:sz="0" w:space="0" w:color="auto"/>
                <w:bottom w:val="none" w:sz="0" w:space="0" w:color="auto"/>
                <w:right w:val="none" w:sz="0" w:space="0" w:color="auto"/>
              </w:divBdr>
            </w:div>
            <w:div w:id="782765812">
              <w:marLeft w:val="0"/>
              <w:marRight w:val="0"/>
              <w:marTop w:val="0"/>
              <w:marBottom w:val="0"/>
              <w:divBdr>
                <w:top w:val="none" w:sz="0" w:space="0" w:color="auto"/>
                <w:left w:val="none" w:sz="0" w:space="0" w:color="auto"/>
                <w:bottom w:val="none" w:sz="0" w:space="0" w:color="auto"/>
                <w:right w:val="none" w:sz="0" w:space="0" w:color="auto"/>
              </w:divBdr>
            </w:div>
            <w:div w:id="1028020477">
              <w:marLeft w:val="0"/>
              <w:marRight w:val="0"/>
              <w:marTop w:val="0"/>
              <w:marBottom w:val="0"/>
              <w:divBdr>
                <w:top w:val="none" w:sz="0" w:space="0" w:color="auto"/>
                <w:left w:val="none" w:sz="0" w:space="0" w:color="auto"/>
                <w:bottom w:val="none" w:sz="0" w:space="0" w:color="auto"/>
                <w:right w:val="none" w:sz="0" w:space="0" w:color="auto"/>
              </w:divBdr>
            </w:div>
            <w:div w:id="49349391">
              <w:marLeft w:val="0"/>
              <w:marRight w:val="0"/>
              <w:marTop w:val="0"/>
              <w:marBottom w:val="0"/>
              <w:divBdr>
                <w:top w:val="none" w:sz="0" w:space="0" w:color="auto"/>
                <w:left w:val="none" w:sz="0" w:space="0" w:color="auto"/>
                <w:bottom w:val="none" w:sz="0" w:space="0" w:color="auto"/>
                <w:right w:val="none" w:sz="0" w:space="0" w:color="auto"/>
              </w:divBdr>
            </w:div>
            <w:div w:id="1661930439">
              <w:marLeft w:val="0"/>
              <w:marRight w:val="0"/>
              <w:marTop w:val="0"/>
              <w:marBottom w:val="0"/>
              <w:divBdr>
                <w:top w:val="none" w:sz="0" w:space="0" w:color="auto"/>
                <w:left w:val="none" w:sz="0" w:space="0" w:color="auto"/>
                <w:bottom w:val="none" w:sz="0" w:space="0" w:color="auto"/>
                <w:right w:val="none" w:sz="0" w:space="0" w:color="auto"/>
              </w:divBdr>
            </w:div>
            <w:div w:id="1872646553">
              <w:marLeft w:val="0"/>
              <w:marRight w:val="0"/>
              <w:marTop w:val="0"/>
              <w:marBottom w:val="0"/>
              <w:divBdr>
                <w:top w:val="none" w:sz="0" w:space="0" w:color="auto"/>
                <w:left w:val="none" w:sz="0" w:space="0" w:color="auto"/>
                <w:bottom w:val="none" w:sz="0" w:space="0" w:color="auto"/>
                <w:right w:val="none" w:sz="0" w:space="0" w:color="auto"/>
              </w:divBdr>
            </w:div>
            <w:div w:id="94793396">
              <w:marLeft w:val="0"/>
              <w:marRight w:val="0"/>
              <w:marTop w:val="0"/>
              <w:marBottom w:val="0"/>
              <w:divBdr>
                <w:top w:val="none" w:sz="0" w:space="0" w:color="auto"/>
                <w:left w:val="none" w:sz="0" w:space="0" w:color="auto"/>
                <w:bottom w:val="none" w:sz="0" w:space="0" w:color="auto"/>
                <w:right w:val="none" w:sz="0" w:space="0" w:color="auto"/>
              </w:divBdr>
            </w:div>
            <w:div w:id="649285832">
              <w:marLeft w:val="0"/>
              <w:marRight w:val="0"/>
              <w:marTop w:val="0"/>
              <w:marBottom w:val="0"/>
              <w:divBdr>
                <w:top w:val="none" w:sz="0" w:space="0" w:color="auto"/>
                <w:left w:val="none" w:sz="0" w:space="0" w:color="auto"/>
                <w:bottom w:val="none" w:sz="0" w:space="0" w:color="auto"/>
                <w:right w:val="none" w:sz="0" w:space="0" w:color="auto"/>
              </w:divBdr>
            </w:div>
            <w:div w:id="490679563">
              <w:marLeft w:val="0"/>
              <w:marRight w:val="0"/>
              <w:marTop w:val="0"/>
              <w:marBottom w:val="0"/>
              <w:divBdr>
                <w:top w:val="none" w:sz="0" w:space="0" w:color="auto"/>
                <w:left w:val="none" w:sz="0" w:space="0" w:color="auto"/>
                <w:bottom w:val="none" w:sz="0" w:space="0" w:color="auto"/>
                <w:right w:val="none" w:sz="0" w:space="0" w:color="auto"/>
              </w:divBdr>
            </w:div>
            <w:div w:id="82803343">
              <w:marLeft w:val="0"/>
              <w:marRight w:val="0"/>
              <w:marTop w:val="0"/>
              <w:marBottom w:val="0"/>
              <w:divBdr>
                <w:top w:val="none" w:sz="0" w:space="0" w:color="auto"/>
                <w:left w:val="none" w:sz="0" w:space="0" w:color="auto"/>
                <w:bottom w:val="none" w:sz="0" w:space="0" w:color="auto"/>
                <w:right w:val="none" w:sz="0" w:space="0" w:color="auto"/>
              </w:divBdr>
            </w:div>
            <w:div w:id="1714646427">
              <w:marLeft w:val="0"/>
              <w:marRight w:val="0"/>
              <w:marTop w:val="0"/>
              <w:marBottom w:val="0"/>
              <w:divBdr>
                <w:top w:val="none" w:sz="0" w:space="0" w:color="auto"/>
                <w:left w:val="none" w:sz="0" w:space="0" w:color="auto"/>
                <w:bottom w:val="none" w:sz="0" w:space="0" w:color="auto"/>
                <w:right w:val="none" w:sz="0" w:space="0" w:color="auto"/>
              </w:divBdr>
            </w:div>
            <w:div w:id="2088913458">
              <w:marLeft w:val="0"/>
              <w:marRight w:val="0"/>
              <w:marTop w:val="0"/>
              <w:marBottom w:val="0"/>
              <w:divBdr>
                <w:top w:val="none" w:sz="0" w:space="0" w:color="auto"/>
                <w:left w:val="none" w:sz="0" w:space="0" w:color="auto"/>
                <w:bottom w:val="none" w:sz="0" w:space="0" w:color="auto"/>
                <w:right w:val="none" w:sz="0" w:space="0" w:color="auto"/>
              </w:divBdr>
            </w:div>
            <w:div w:id="169032769">
              <w:marLeft w:val="0"/>
              <w:marRight w:val="0"/>
              <w:marTop w:val="0"/>
              <w:marBottom w:val="0"/>
              <w:divBdr>
                <w:top w:val="none" w:sz="0" w:space="0" w:color="auto"/>
                <w:left w:val="none" w:sz="0" w:space="0" w:color="auto"/>
                <w:bottom w:val="none" w:sz="0" w:space="0" w:color="auto"/>
                <w:right w:val="none" w:sz="0" w:space="0" w:color="auto"/>
              </w:divBdr>
            </w:div>
            <w:div w:id="424306722">
              <w:marLeft w:val="0"/>
              <w:marRight w:val="0"/>
              <w:marTop w:val="0"/>
              <w:marBottom w:val="0"/>
              <w:divBdr>
                <w:top w:val="none" w:sz="0" w:space="0" w:color="auto"/>
                <w:left w:val="none" w:sz="0" w:space="0" w:color="auto"/>
                <w:bottom w:val="none" w:sz="0" w:space="0" w:color="auto"/>
                <w:right w:val="none" w:sz="0" w:space="0" w:color="auto"/>
              </w:divBdr>
            </w:div>
            <w:div w:id="223758447">
              <w:marLeft w:val="0"/>
              <w:marRight w:val="0"/>
              <w:marTop w:val="0"/>
              <w:marBottom w:val="0"/>
              <w:divBdr>
                <w:top w:val="none" w:sz="0" w:space="0" w:color="auto"/>
                <w:left w:val="none" w:sz="0" w:space="0" w:color="auto"/>
                <w:bottom w:val="none" w:sz="0" w:space="0" w:color="auto"/>
                <w:right w:val="none" w:sz="0" w:space="0" w:color="auto"/>
              </w:divBdr>
            </w:div>
            <w:div w:id="1570262676">
              <w:marLeft w:val="0"/>
              <w:marRight w:val="0"/>
              <w:marTop w:val="0"/>
              <w:marBottom w:val="0"/>
              <w:divBdr>
                <w:top w:val="none" w:sz="0" w:space="0" w:color="auto"/>
                <w:left w:val="none" w:sz="0" w:space="0" w:color="auto"/>
                <w:bottom w:val="none" w:sz="0" w:space="0" w:color="auto"/>
                <w:right w:val="none" w:sz="0" w:space="0" w:color="auto"/>
              </w:divBdr>
            </w:div>
            <w:div w:id="489295266">
              <w:marLeft w:val="0"/>
              <w:marRight w:val="0"/>
              <w:marTop w:val="0"/>
              <w:marBottom w:val="0"/>
              <w:divBdr>
                <w:top w:val="none" w:sz="0" w:space="0" w:color="auto"/>
                <w:left w:val="none" w:sz="0" w:space="0" w:color="auto"/>
                <w:bottom w:val="none" w:sz="0" w:space="0" w:color="auto"/>
                <w:right w:val="none" w:sz="0" w:space="0" w:color="auto"/>
              </w:divBdr>
            </w:div>
            <w:div w:id="351273116">
              <w:marLeft w:val="0"/>
              <w:marRight w:val="0"/>
              <w:marTop w:val="0"/>
              <w:marBottom w:val="0"/>
              <w:divBdr>
                <w:top w:val="none" w:sz="0" w:space="0" w:color="auto"/>
                <w:left w:val="none" w:sz="0" w:space="0" w:color="auto"/>
                <w:bottom w:val="none" w:sz="0" w:space="0" w:color="auto"/>
                <w:right w:val="none" w:sz="0" w:space="0" w:color="auto"/>
              </w:divBdr>
            </w:div>
            <w:div w:id="1786999807">
              <w:marLeft w:val="0"/>
              <w:marRight w:val="0"/>
              <w:marTop w:val="0"/>
              <w:marBottom w:val="0"/>
              <w:divBdr>
                <w:top w:val="none" w:sz="0" w:space="0" w:color="auto"/>
                <w:left w:val="none" w:sz="0" w:space="0" w:color="auto"/>
                <w:bottom w:val="none" w:sz="0" w:space="0" w:color="auto"/>
                <w:right w:val="none" w:sz="0" w:space="0" w:color="auto"/>
              </w:divBdr>
            </w:div>
            <w:div w:id="380523196">
              <w:marLeft w:val="0"/>
              <w:marRight w:val="0"/>
              <w:marTop w:val="0"/>
              <w:marBottom w:val="0"/>
              <w:divBdr>
                <w:top w:val="none" w:sz="0" w:space="0" w:color="auto"/>
                <w:left w:val="none" w:sz="0" w:space="0" w:color="auto"/>
                <w:bottom w:val="none" w:sz="0" w:space="0" w:color="auto"/>
                <w:right w:val="none" w:sz="0" w:space="0" w:color="auto"/>
              </w:divBdr>
            </w:div>
            <w:div w:id="78137789">
              <w:marLeft w:val="0"/>
              <w:marRight w:val="0"/>
              <w:marTop w:val="0"/>
              <w:marBottom w:val="0"/>
              <w:divBdr>
                <w:top w:val="none" w:sz="0" w:space="0" w:color="auto"/>
                <w:left w:val="none" w:sz="0" w:space="0" w:color="auto"/>
                <w:bottom w:val="none" w:sz="0" w:space="0" w:color="auto"/>
                <w:right w:val="none" w:sz="0" w:space="0" w:color="auto"/>
              </w:divBdr>
            </w:div>
            <w:div w:id="1848708786">
              <w:marLeft w:val="0"/>
              <w:marRight w:val="0"/>
              <w:marTop w:val="0"/>
              <w:marBottom w:val="0"/>
              <w:divBdr>
                <w:top w:val="none" w:sz="0" w:space="0" w:color="auto"/>
                <w:left w:val="none" w:sz="0" w:space="0" w:color="auto"/>
                <w:bottom w:val="none" w:sz="0" w:space="0" w:color="auto"/>
                <w:right w:val="none" w:sz="0" w:space="0" w:color="auto"/>
              </w:divBdr>
            </w:div>
            <w:div w:id="1418945312">
              <w:marLeft w:val="0"/>
              <w:marRight w:val="0"/>
              <w:marTop w:val="0"/>
              <w:marBottom w:val="0"/>
              <w:divBdr>
                <w:top w:val="none" w:sz="0" w:space="0" w:color="auto"/>
                <w:left w:val="none" w:sz="0" w:space="0" w:color="auto"/>
                <w:bottom w:val="none" w:sz="0" w:space="0" w:color="auto"/>
                <w:right w:val="none" w:sz="0" w:space="0" w:color="auto"/>
              </w:divBdr>
            </w:div>
            <w:div w:id="1708140064">
              <w:marLeft w:val="0"/>
              <w:marRight w:val="0"/>
              <w:marTop w:val="0"/>
              <w:marBottom w:val="0"/>
              <w:divBdr>
                <w:top w:val="none" w:sz="0" w:space="0" w:color="auto"/>
                <w:left w:val="none" w:sz="0" w:space="0" w:color="auto"/>
                <w:bottom w:val="none" w:sz="0" w:space="0" w:color="auto"/>
                <w:right w:val="none" w:sz="0" w:space="0" w:color="auto"/>
              </w:divBdr>
            </w:div>
            <w:div w:id="576135338">
              <w:marLeft w:val="0"/>
              <w:marRight w:val="0"/>
              <w:marTop w:val="0"/>
              <w:marBottom w:val="0"/>
              <w:divBdr>
                <w:top w:val="none" w:sz="0" w:space="0" w:color="auto"/>
                <w:left w:val="none" w:sz="0" w:space="0" w:color="auto"/>
                <w:bottom w:val="none" w:sz="0" w:space="0" w:color="auto"/>
                <w:right w:val="none" w:sz="0" w:space="0" w:color="auto"/>
              </w:divBdr>
            </w:div>
            <w:div w:id="824707227">
              <w:marLeft w:val="0"/>
              <w:marRight w:val="0"/>
              <w:marTop w:val="0"/>
              <w:marBottom w:val="0"/>
              <w:divBdr>
                <w:top w:val="none" w:sz="0" w:space="0" w:color="auto"/>
                <w:left w:val="none" w:sz="0" w:space="0" w:color="auto"/>
                <w:bottom w:val="none" w:sz="0" w:space="0" w:color="auto"/>
                <w:right w:val="none" w:sz="0" w:space="0" w:color="auto"/>
              </w:divBdr>
            </w:div>
            <w:div w:id="796265144">
              <w:marLeft w:val="0"/>
              <w:marRight w:val="0"/>
              <w:marTop w:val="0"/>
              <w:marBottom w:val="0"/>
              <w:divBdr>
                <w:top w:val="none" w:sz="0" w:space="0" w:color="auto"/>
                <w:left w:val="none" w:sz="0" w:space="0" w:color="auto"/>
                <w:bottom w:val="none" w:sz="0" w:space="0" w:color="auto"/>
                <w:right w:val="none" w:sz="0" w:space="0" w:color="auto"/>
              </w:divBdr>
            </w:div>
            <w:div w:id="789280605">
              <w:marLeft w:val="0"/>
              <w:marRight w:val="0"/>
              <w:marTop w:val="0"/>
              <w:marBottom w:val="0"/>
              <w:divBdr>
                <w:top w:val="none" w:sz="0" w:space="0" w:color="auto"/>
                <w:left w:val="none" w:sz="0" w:space="0" w:color="auto"/>
                <w:bottom w:val="none" w:sz="0" w:space="0" w:color="auto"/>
                <w:right w:val="none" w:sz="0" w:space="0" w:color="auto"/>
              </w:divBdr>
            </w:div>
            <w:div w:id="1747262800">
              <w:marLeft w:val="0"/>
              <w:marRight w:val="0"/>
              <w:marTop w:val="0"/>
              <w:marBottom w:val="0"/>
              <w:divBdr>
                <w:top w:val="none" w:sz="0" w:space="0" w:color="auto"/>
                <w:left w:val="none" w:sz="0" w:space="0" w:color="auto"/>
                <w:bottom w:val="none" w:sz="0" w:space="0" w:color="auto"/>
                <w:right w:val="none" w:sz="0" w:space="0" w:color="auto"/>
              </w:divBdr>
            </w:div>
            <w:div w:id="613295060">
              <w:marLeft w:val="0"/>
              <w:marRight w:val="0"/>
              <w:marTop w:val="0"/>
              <w:marBottom w:val="0"/>
              <w:divBdr>
                <w:top w:val="none" w:sz="0" w:space="0" w:color="auto"/>
                <w:left w:val="none" w:sz="0" w:space="0" w:color="auto"/>
                <w:bottom w:val="none" w:sz="0" w:space="0" w:color="auto"/>
                <w:right w:val="none" w:sz="0" w:space="0" w:color="auto"/>
              </w:divBdr>
            </w:div>
            <w:div w:id="453136268">
              <w:marLeft w:val="0"/>
              <w:marRight w:val="0"/>
              <w:marTop w:val="0"/>
              <w:marBottom w:val="0"/>
              <w:divBdr>
                <w:top w:val="none" w:sz="0" w:space="0" w:color="auto"/>
                <w:left w:val="none" w:sz="0" w:space="0" w:color="auto"/>
                <w:bottom w:val="none" w:sz="0" w:space="0" w:color="auto"/>
                <w:right w:val="none" w:sz="0" w:space="0" w:color="auto"/>
              </w:divBdr>
            </w:div>
            <w:div w:id="1122923296">
              <w:marLeft w:val="0"/>
              <w:marRight w:val="0"/>
              <w:marTop w:val="0"/>
              <w:marBottom w:val="0"/>
              <w:divBdr>
                <w:top w:val="none" w:sz="0" w:space="0" w:color="auto"/>
                <w:left w:val="none" w:sz="0" w:space="0" w:color="auto"/>
                <w:bottom w:val="none" w:sz="0" w:space="0" w:color="auto"/>
                <w:right w:val="none" w:sz="0" w:space="0" w:color="auto"/>
              </w:divBdr>
            </w:div>
            <w:div w:id="1033073805">
              <w:marLeft w:val="0"/>
              <w:marRight w:val="0"/>
              <w:marTop w:val="0"/>
              <w:marBottom w:val="0"/>
              <w:divBdr>
                <w:top w:val="none" w:sz="0" w:space="0" w:color="auto"/>
                <w:left w:val="none" w:sz="0" w:space="0" w:color="auto"/>
                <w:bottom w:val="none" w:sz="0" w:space="0" w:color="auto"/>
                <w:right w:val="none" w:sz="0" w:space="0" w:color="auto"/>
              </w:divBdr>
            </w:div>
            <w:div w:id="1832599199">
              <w:marLeft w:val="0"/>
              <w:marRight w:val="0"/>
              <w:marTop w:val="0"/>
              <w:marBottom w:val="0"/>
              <w:divBdr>
                <w:top w:val="none" w:sz="0" w:space="0" w:color="auto"/>
                <w:left w:val="none" w:sz="0" w:space="0" w:color="auto"/>
                <w:bottom w:val="none" w:sz="0" w:space="0" w:color="auto"/>
                <w:right w:val="none" w:sz="0" w:space="0" w:color="auto"/>
              </w:divBdr>
            </w:div>
            <w:div w:id="12650982">
              <w:marLeft w:val="0"/>
              <w:marRight w:val="0"/>
              <w:marTop w:val="0"/>
              <w:marBottom w:val="0"/>
              <w:divBdr>
                <w:top w:val="none" w:sz="0" w:space="0" w:color="auto"/>
                <w:left w:val="none" w:sz="0" w:space="0" w:color="auto"/>
                <w:bottom w:val="none" w:sz="0" w:space="0" w:color="auto"/>
                <w:right w:val="none" w:sz="0" w:space="0" w:color="auto"/>
              </w:divBdr>
            </w:div>
            <w:div w:id="1226604543">
              <w:marLeft w:val="0"/>
              <w:marRight w:val="0"/>
              <w:marTop w:val="0"/>
              <w:marBottom w:val="0"/>
              <w:divBdr>
                <w:top w:val="none" w:sz="0" w:space="0" w:color="auto"/>
                <w:left w:val="none" w:sz="0" w:space="0" w:color="auto"/>
                <w:bottom w:val="none" w:sz="0" w:space="0" w:color="auto"/>
                <w:right w:val="none" w:sz="0" w:space="0" w:color="auto"/>
              </w:divBdr>
            </w:div>
            <w:div w:id="1968585485">
              <w:marLeft w:val="0"/>
              <w:marRight w:val="0"/>
              <w:marTop w:val="0"/>
              <w:marBottom w:val="0"/>
              <w:divBdr>
                <w:top w:val="none" w:sz="0" w:space="0" w:color="auto"/>
                <w:left w:val="none" w:sz="0" w:space="0" w:color="auto"/>
                <w:bottom w:val="none" w:sz="0" w:space="0" w:color="auto"/>
                <w:right w:val="none" w:sz="0" w:space="0" w:color="auto"/>
              </w:divBdr>
            </w:div>
            <w:div w:id="2115593293">
              <w:marLeft w:val="0"/>
              <w:marRight w:val="0"/>
              <w:marTop w:val="0"/>
              <w:marBottom w:val="0"/>
              <w:divBdr>
                <w:top w:val="none" w:sz="0" w:space="0" w:color="auto"/>
                <w:left w:val="none" w:sz="0" w:space="0" w:color="auto"/>
                <w:bottom w:val="none" w:sz="0" w:space="0" w:color="auto"/>
                <w:right w:val="none" w:sz="0" w:space="0" w:color="auto"/>
              </w:divBdr>
            </w:div>
            <w:div w:id="161967186">
              <w:marLeft w:val="0"/>
              <w:marRight w:val="0"/>
              <w:marTop w:val="0"/>
              <w:marBottom w:val="0"/>
              <w:divBdr>
                <w:top w:val="none" w:sz="0" w:space="0" w:color="auto"/>
                <w:left w:val="none" w:sz="0" w:space="0" w:color="auto"/>
                <w:bottom w:val="none" w:sz="0" w:space="0" w:color="auto"/>
                <w:right w:val="none" w:sz="0" w:space="0" w:color="auto"/>
              </w:divBdr>
            </w:div>
            <w:div w:id="743188118">
              <w:marLeft w:val="0"/>
              <w:marRight w:val="0"/>
              <w:marTop w:val="0"/>
              <w:marBottom w:val="0"/>
              <w:divBdr>
                <w:top w:val="none" w:sz="0" w:space="0" w:color="auto"/>
                <w:left w:val="none" w:sz="0" w:space="0" w:color="auto"/>
                <w:bottom w:val="none" w:sz="0" w:space="0" w:color="auto"/>
                <w:right w:val="none" w:sz="0" w:space="0" w:color="auto"/>
              </w:divBdr>
            </w:div>
            <w:div w:id="1375695332">
              <w:marLeft w:val="0"/>
              <w:marRight w:val="0"/>
              <w:marTop w:val="0"/>
              <w:marBottom w:val="0"/>
              <w:divBdr>
                <w:top w:val="none" w:sz="0" w:space="0" w:color="auto"/>
                <w:left w:val="none" w:sz="0" w:space="0" w:color="auto"/>
                <w:bottom w:val="none" w:sz="0" w:space="0" w:color="auto"/>
                <w:right w:val="none" w:sz="0" w:space="0" w:color="auto"/>
              </w:divBdr>
            </w:div>
            <w:div w:id="1940717673">
              <w:marLeft w:val="0"/>
              <w:marRight w:val="0"/>
              <w:marTop w:val="0"/>
              <w:marBottom w:val="0"/>
              <w:divBdr>
                <w:top w:val="none" w:sz="0" w:space="0" w:color="auto"/>
                <w:left w:val="none" w:sz="0" w:space="0" w:color="auto"/>
                <w:bottom w:val="none" w:sz="0" w:space="0" w:color="auto"/>
                <w:right w:val="none" w:sz="0" w:space="0" w:color="auto"/>
              </w:divBdr>
            </w:div>
            <w:div w:id="854197809">
              <w:marLeft w:val="0"/>
              <w:marRight w:val="0"/>
              <w:marTop w:val="0"/>
              <w:marBottom w:val="0"/>
              <w:divBdr>
                <w:top w:val="none" w:sz="0" w:space="0" w:color="auto"/>
                <w:left w:val="none" w:sz="0" w:space="0" w:color="auto"/>
                <w:bottom w:val="none" w:sz="0" w:space="0" w:color="auto"/>
                <w:right w:val="none" w:sz="0" w:space="0" w:color="auto"/>
              </w:divBdr>
            </w:div>
            <w:div w:id="545877192">
              <w:marLeft w:val="0"/>
              <w:marRight w:val="0"/>
              <w:marTop w:val="0"/>
              <w:marBottom w:val="0"/>
              <w:divBdr>
                <w:top w:val="none" w:sz="0" w:space="0" w:color="auto"/>
                <w:left w:val="none" w:sz="0" w:space="0" w:color="auto"/>
                <w:bottom w:val="none" w:sz="0" w:space="0" w:color="auto"/>
                <w:right w:val="none" w:sz="0" w:space="0" w:color="auto"/>
              </w:divBdr>
            </w:div>
            <w:div w:id="1839540096">
              <w:marLeft w:val="0"/>
              <w:marRight w:val="0"/>
              <w:marTop w:val="0"/>
              <w:marBottom w:val="0"/>
              <w:divBdr>
                <w:top w:val="none" w:sz="0" w:space="0" w:color="auto"/>
                <w:left w:val="none" w:sz="0" w:space="0" w:color="auto"/>
                <w:bottom w:val="none" w:sz="0" w:space="0" w:color="auto"/>
                <w:right w:val="none" w:sz="0" w:space="0" w:color="auto"/>
              </w:divBdr>
            </w:div>
            <w:div w:id="1953895634">
              <w:marLeft w:val="0"/>
              <w:marRight w:val="0"/>
              <w:marTop w:val="0"/>
              <w:marBottom w:val="0"/>
              <w:divBdr>
                <w:top w:val="none" w:sz="0" w:space="0" w:color="auto"/>
                <w:left w:val="none" w:sz="0" w:space="0" w:color="auto"/>
                <w:bottom w:val="none" w:sz="0" w:space="0" w:color="auto"/>
                <w:right w:val="none" w:sz="0" w:space="0" w:color="auto"/>
              </w:divBdr>
            </w:div>
            <w:div w:id="1182471882">
              <w:marLeft w:val="0"/>
              <w:marRight w:val="0"/>
              <w:marTop w:val="0"/>
              <w:marBottom w:val="0"/>
              <w:divBdr>
                <w:top w:val="none" w:sz="0" w:space="0" w:color="auto"/>
                <w:left w:val="none" w:sz="0" w:space="0" w:color="auto"/>
                <w:bottom w:val="none" w:sz="0" w:space="0" w:color="auto"/>
                <w:right w:val="none" w:sz="0" w:space="0" w:color="auto"/>
              </w:divBdr>
            </w:div>
            <w:div w:id="1656059563">
              <w:marLeft w:val="0"/>
              <w:marRight w:val="0"/>
              <w:marTop w:val="0"/>
              <w:marBottom w:val="0"/>
              <w:divBdr>
                <w:top w:val="none" w:sz="0" w:space="0" w:color="auto"/>
                <w:left w:val="none" w:sz="0" w:space="0" w:color="auto"/>
                <w:bottom w:val="none" w:sz="0" w:space="0" w:color="auto"/>
                <w:right w:val="none" w:sz="0" w:space="0" w:color="auto"/>
              </w:divBdr>
            </w:div>
            <w:div w:id="486941592">
              <w:marLeft w:val="0"/>
              <w:marRight w:val="0"/>
              <w:marTop w:val="0"/>
              <w:marBottom w:val="0"/>
              <w:divBdr>
                <w:top w:val="none" w:sz="0" w:space="0" w:color="auto"/>
                <w:left w:val="none" w:sz="0" w:space="0" w:color="auto"/>
                <w:bottom w:val="none" w:sz="0" w:space="0" w:color="auto"/>
                <w:right w:val="none" w:sz="0" w:space="0" w:color="auto"/>
              </w:divBdr>
            </w:div>
            <w:div w:id="192696199">
              <w:marLeft w:val="0"/>
              <w:marRight w:val="0"/>
              <w:marTop w:val="0"/>
              <w:marBottom w:val="0"/>
              <w:divBdr>
                <w:top w:val="none" w:sz="0" w:space="0" w:color="auto"/>
                <w:left w:val="none" w:sz="0" w:space="0" w:color="auto"/>
                <w:bottom w:val="none" w:sz="0" w:space="0" w:color="auto"/>
                <w:right w:val="none" w:sz="0" w:space="0" w:color="auto"/>
              </w:divBdr>
            </w:div>
            <w:div w:id="356086043">
              <w:marLeft w:val="0"/>
              <w:marRight w:val="0"/>
              <w:marTop w:val="0"/>
              <w:marBottom w:val="0"/>
              <w:divBdr>
                <w:top w:val="none" w:sz="0" w:space="0" w:color="auto"/>
                <w:left w:val="none" w:sz="0" w:space="0" w:color="auto"/>
                <w:bottom w:val="none" w:sz="0" w:space="0" w:color="auto"/>
                <w:right w:val="none" w:sz="0" w:space="0" w:color="auto"/>
              </w:divBdr>
            </w:div>
            <w:div w:id="1106274151">
              <w:marLeft w:val="0"/>
              <w:marRight w:val="0"/>
              <w:marTop w:val="0"/>
              <w:marBottom w:val="0"/>
              <w:divBdr>
                <w:top w:val="none" w:sz="0" w:space="0" w:color="auto"/>
                <w:left w:val="none" w:sz="0" w:space="0" w:color="auto"/>
                <w:bottom w:val="none" w:sz="0" w:space="0" w:color="auto"/>
                <w:right w:val="none" w:sz="0" w:space="0" w:color="auto"/>
              </w:divBdr>
            </w:div>
            <w:div w:id="2115202640">
              <w:marLeft w:val="0"/>
              <w:marRight w:val="0"/>
              <w:marTop w:val="0"/>
              <w:marBottom w:val="0"/>
              <w:divBdr>
                <w:top w:val="none" w:sz="0" w:space="0" w:color="auto"/>
                <w:left w:val="none" w:sz="0" w:space="0" w:color="auto"/>
                <w:bottom w:val="none" w:sz="0" w:space="0" w:color="auto"/>
                <w:right w:val="none" w:sz="0" w:space="0" w:color="auto"/>
              </w:divBdr>
            </w:div>
            <w:div w:id="246114322">
              <w:marLeft w:val="0"/>
              <w:marRight w:val="0"/>
              <w:marTop w:val="0"/>
              <w:marBottom w:val="0"/>
              <w:divBdr>
                <w:top w:val="none" w:sz="0" w:space="0" w:color="auto"/>
                <w:left w:val="none" w:sz="0" w:space="0" w:color="auto"/>
                <w:bottom w:val="none" w:sz="0" w:space="0" w:color="auto"/>
                <w:right w:val="none" w:sz="0" w:space="0" w:color="auto"/>
              </w:divBdr>
            </w:div>
            <w:div w:id="517696507">
              <w:marLeft w:val="0"/>
              <w:marRight w:val="0"/>
              <w:marTop w:val="0"/>
              <w:marBottom w:val="0"/>
              <w:divBdr>
                <w:top w:val="none" w:sz="0" w:space="0" w:color="auto"/>
                <w:left w:val="none" w:sz="0" w:space="0" w:color="auto"/>
                <w:bottom w:val="none" w:sz="0" w:space="0" w:color="auto"/>
                <w:right w:val="none" w:sz="0" w:space="0" w:color="auto"/>
              </w:divBdr>
            </w:div>
            <w:div w:id="573513234">
              <w:marLeft w:val="0"/>
              <w:marRight w:val="0"/>
              <w:marTop w:val="0"/>
              <w:marBottom w:val="0"/>
              <w:divBdr>
                <w:top w:val="none" w:sz="0" w:space="0" w:color="auto"/>
                <w:left w:val="none" w:sz="0" w:space="0" w:color="auto"/>
                <w:bottom w:val="none" w:sz="0" w:space="0" w:color="auto"/>
                <w:right w:val="none" w:sz="0" w:space="0" w:color="auto"/>
              </w:divBdr>
            </w:div>
            <w:div w:id="818110731">
              <w:marLeft w:val="0"/>
              <w:marRight w:val="0"/>
              <w:marTop w:val="0"/>
              <w:marBottom w:val="0"/>
              <w:divBdr>
                <w:top w:val="none" w:sz="0" w:space="0" w:color="auto"/>
                <w:left w:val="none" w:sz="0" w:space="0" w:color="auto"/>
                <w:bottom w:val="none" w:sz="0" w:space="0" w:color="auto"/>
                <w:right w:val="none" w:sz="0" w:space="0" w:color="auto"/>
              </w:divBdr>
            </w:div>
            <w:div w:id="2144810640">
              <w:marLeft w:val="0"/>
              <w:marRight w:val="0"/>
              <w:marTop w:val="0"/>
              <w:marBottom w:val="0"/>
              <w:divBdr>
                <w:top w:val="none" w:sz="0" w:space="0" w:color="auto"/>
                <w:left w:val="none" w:sz="0" w:space="0" w:color="auto"/>
                <w:bottom w:val="none" w:sz="0" w:space="0" w:color="auto"/>
                <w:right w:val="none" w:sz="0" w:space="0" w:color="auto"/>
              </w:divBdr>
            </w:div>
            <w:div w:id="1528517616">
              <w:marLeft w:val="0"/>
              <w:marRight w:val="0"/>
              <w:marTop w:val="0"/>
              <w:marBottom w:val="0"/>
              <w:divBdr>
                <w:top w:val="none" w:sz="0" w:space="0" w:color="auto"/>
                <w:left w:val="none" w:sz="0" w:space="0" w:color="auto"/>
                <w:bottom w:val="none" w:sz="0" w:space="0" w:color="auto"/>
                <w:right w:val="none" w:sz="0" w:space="0" w:color="auto"/>
              </w:divBdr>
            </w:div>
            <w:div w:id="772438534">
              <w:marLeft w:val="0"/>
              <w:marRight w:val="0"/>
              <w:marTop w:val="0"/>
              <w:marBottom w:val="0"/>
              <w:divBdr>
                <w:top w:val="none" w:sz="0" w:space="0" w:color="auto"/>
                <w:left w:val="none" w:sz="0" w:space="0" w:color="auto"/>
                <w:bottom w:val="none" w:sz="0" w:space="0" w:color="auto"/>
                <w:right w:val="none" w:sz="0" w:space="0" w:color="auto"/>
              </w:divBdr>
            </w:div>
            <w:div w:id="1673994041">
              <w:marLeft w:val="0"/>
              <w:marRight w:val="0"/>
              <w:marTop w:val="0"/>
              <w:marBottom w:val="0"/>
              <w:divBdr>
                <w:top w:val="none" w:sz="0" w:space="0" w:color="auto"/>
                <w:left w:val="none" w:sz="0" w:space="0" w:color="auto"/>
                <w:bottom w:val="none" w:sz="0" w:space="0" w:color="auto"/>
                <w:right w:val="none" w:sz="0" w:space="0" w:color="auto"/>
              </w:divBdr>
            </w:div>
            <w:div w:id="1530988054">
              <w:marLeft w:val="0"/>
              <w:marRight w:val="0"/>
              <w:marTop w:val="0"/>
              <w:marBottom w:val="0"/>
              <w:divBdr>
                <w:top w:val="none" w:sz="0" w:space="0" w:color="auto"/>
                <w:left w:val="none" w:sz="0" w:space="0" w:color="auto"/>
                <w:bottom w:val="none" w:sz="0" w:space="0" w:color="auto"/>
                <w:right w:val="none" w:sz="0" w:space="0" w:color="auto"/>
              </w:divBdr>
            </w:div>
            <w:div w:id="1943800833">
              <w:marLeft w:val="0"/>
              <w:marRight w:val="0"/>
              <w:marTop w:val="0"/>
              <w:marBottom w:val="0"/>
              <w:divBdr>
                <w:top w:val="none" w:sz="0" w:space="0" w:color="auto"/>
                <w:left w:val="none" w:sz="0" w:space="0" w:color="auto"/>
                <w:bottom w:val="none" w:sz="0" w:space="0" w:color="auto"/>
                <w:right w:val="none" w:sz="0" w:space="0" w:color="auto"/>
              </w:divBdr>
            </w:div>
            <w:div w:id="214899560">
              <w:marLeft w:val="0"/>
              <w:marRight w:val="0"/>
              <w:marTop w:val="0"/>
              <w:marBottom w:val="0"/>
              <w:divBdr>
                <w:top w:val="none" w:sz="0" w:space="0" w:color="auto"/>
                <w:left w:val="none" w:sz="0" w:space="0" w:color="auto"/>
                <w:bottom w:val="none" w:sz="0" w:space="0" w:color="auto"/>
                <w:right w:val="none" w:sz="0" w:space="0" w:color="auto"/>
              </w:divBdr>
            </w:div>
            <w:div w:id="2091344180">
              <w:marLeft w:val="0"/>
              <w:marRight w:val="0"/>
              <w:marTop w:val="0"/>
              <w:marBottom w:val="0"/>
              <w:divBdr>
                <w:top w:val="none" w:sz="0" w:space="0" w:color="auto"/>
                <w:left w:val="none" w:sz="0" w:space="0" w:color="auto"/>
                <w:bottom w:val="none" w:sz="0" w:space="0" w:color="auto"/>
                <w:right w:val="none" w:sz="0" w:space="0" w:color="auto"/>
              </w:divBdr>
            </w:div>
            <w:div w:id="912278042">
              <w:marLeft w:val="0"/>
              <w:marRight w:val="0"/>
              <w:marTop w:val="0"/>
              <w:marBottom w:val="0"/>
              <w:divBdr>
                <w:top w:val="none" w:sz="0" w:space="0" w:color="auto"/>
                <w:left w:val="none" w:sz="0" w:space="0" w:color="auto"/>
                <w:bottom w:val="none" w:sz="0" w:space="0" w:color="auto"/>
                <w:right w:val="none" w:sz="0" w:space="0" w:color="auto"/>
              </w:divBdr>
            </w:div>
            <w:div w:id="2099213512">
              <w:marLeft w:val="0"/>
              <w:marRight w:val="0"/>
              <w:marTop w:val="0"/>
              <w:marBottom w:val="0"/>
              <w:divBdr>
                <w:top w:val="none" w:sz="0" w:space="0" w:color="auto"/>
                <w:left w:val="none" w:sz="0" w:space="0" w:color="auto"/>
                <w:bottom w:val="none" w:sz="0" w:space="0" w:color="auto"/>
                <w:right w:val="none" w:sz="0" w:space="0" w:color="auto"/>
              </w:divBdr>
            </w:div>
            <w:div w:id="998071302">
              <w:marLeft w:val="0"/>
              <w:marRight w:val="0"/>
              <w:marTop w:val="0"/>
              <w:marBottom w:val="0"/>
              <w:divBdr>
                <w:top w:val="none" w:sz="0" w:space="0" w:color="auto"/>
                <w:left w:val="none" w:sz="0" w:space="0" w:color="auto"/>
                <w:bottom w:val="none" w:sz="0" w:space="0" w:color="auto"/>
                <w:right w:val="none" w:sz="0" w:space="0" w:color="auto"/>
              </w:divBdr>
            </w:div>
            <w:div w:id="2047831347">
              <w:marLeft w:val="0"/>
              <w:marRight w:val="0"/>
              <w:marTop w:val="0"/>
              <w:marBottom w:val="0"/>
              <w:divBdr>
                <w:top w:val="none" w:sz="0" w:space="0" w:color="auto"/>
                <w:left w:val="none" w:sz="0" w:space="0" w:color="auto"/>
                <w:bottom w:val="none" w:sz="0" w:space="0" w:color="auto"/>
                <w:right w:val="none" w:sz="0" w:space="0" w:color="auto"/>
              </w:divBdr>
            </w:div>
            <w:div w:id="1587959857">
              <w:marLeft w:val="0"/>
              <w:marRight w:val="0"/>
              <w:marTop w:val="0"/>
              <w:marBottom w:val="0"/>
              <w:divBdr>
                <w:top w:val="none" w:sz="0" w:space="0" w:color="auto"/>
                <w:left w:val="none" w:sz="0" w:space="0" w:color="auto"/>
                <w:bottom w:val="none" w:sz="0" w:space="0" w:color="auto"/>
                <w:right w:val="none" w:sz="0" w:space="0" w:color="auto"/>
              </w:divBdr>
            </w:div>
            <w:div w:id="1920868414">
              <w:marLeft w:val="0"/>
              <w:marRight w:val="0"/>
              <w:marTop w:val="0"/>
              <w:marBottom w:val="0"/>
              <w:divBdr>
                <w:top w:val="none" w:sz="0" w:space="0" w:color="auto"/>
                <w:left w:val="none" w:sz="0" w:space="0" w:color="auto"/>
                <w:bottom w:val="none" w:sz="0" w:space="0" w:color="auto"/>
                <w:right w:val="none" w:sz="0" w:space="0" w:color="auto"/>
              </w:divBdr>
            </w:div>
            <w:div w:id="1827630478">
              <w:marLeft w:val="0"/>
              <w:marRight w:val="0"/>
              <w:marTop w:val="0"/>
              <w:marBottom w:val="0"/>
              <w:divBdr>
                <w:top w:val="none" w:sz="0" w:space="0" w:color="auto"/>
                <w:left w:val="none" w:sz="0" w:space="0" w:color="auto"/>
                <w:bottom w:val="none" w:sz="0" w:space="0" w:color="auto"/>
                <w:right w:val="none" w:sz="0" w:space="0" w:color="auto"/>
              </w:divBdr>
            </w:div>
            <w:div w:id="2110469698">
              <w:marLeft w:val="0"/>
              <w:marRight w:val="0"/>
              <w:marTop w:val="0"/>
              <w:marBottom w:val="0"/>
              <w:divBdr>
                <w:top w:val="none" w:sz="0" w:space="0" w:color="auto"/>
                <w:left w:val="none" w:sz="0" w:space="0" w:color="auto"/>
                <w:bottom w:val="none" w:sz="0" w:space="0" w:color="auto"/>
                <w:right w:val="none" w:sz="0" w:space="0" w:color="auto"/>
              </w:divBdr>
            </w:div>
            <w:div w:id="611593969">
              <w:marLeft w:val="0"/>
              <w:marRight w:val="0"/>
              <w:marTop w:val="0"/>
              <w:marBottom w:val="0"/>
              <w:divBdr>
                <w:top w:val="none" w:sz="0" w:space="0" w:color="auto"/>
                <w:left w:val="none" w:sz="0" w:space="0" w:color="auto"/>
                <w:bottom w:val="none" w:sz="0" w:space="0" w:color="auto"/>
                <w:right w:val="none" w:sz="0" w:space="0" w:color="auto"/>
              </w:divBdr>
            </w:div>
            <w:div w:id="1635018308">
              <w:marLeft w:val="0"/>
              <w:marRight w:val="0"/>
              <w:marTop w:val="0"/>
              <w:marBottom w:val="0"/>
              <w:divBdr>
                <w:top w:val="none" w:sz="0" w:space="0" w:color="auto"/>
                <w:left w:val="none" w:sz="0" w:space="0" w:color="auto"/>
                <w:bottom w:val="none" w:sz="0" w:space="0" w:color="auto"/>
                <w:right w:val="none" w:sz="0" w:space="0" w:color="auto"/>
              </w:divBdr>
            </w:div>
            <w:div w:id="18791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03542">
      <w:bodyDiv w:val="1"/>
      <w:marLeft w:val="0"/>
      <w:marRight w:val="0"/>
      <w:marTop w:val="0"/>
      <w:marBottom w:val="0"/>
      <w:divBdr>
        <w:top w:val="none" w:sz="0" w:space="0" w:color="auto"/>
        <w:left w:val="none" w:sz="0" w:space="0" w:color="auto"/>
        <w:bottom w:val="none" w:sz="0" w:space="0" w:color="auto"/>
        <w:right w:val="none" w:sz="0" w:space="0" w:color="auto"/>
      </w:divBdr>
      <w:divsChild>
        <w:div w:id="987129094">
          <w:marLeft w:val="0"/>
          <w:marRight w:val="0"/>
          <w:marTop w:val="0"/>
          <w:marBottom w:val="0"/>
          <w:divBdr>
            <w:top w:val="none" w:sz="0" w:space="0" w:color="auto"/>
            <w:left w:val="none" w:sz="0" w:space="0" w:color="auto"/>
            <w:bottom w:val="none" w:sz="0" w:space="0" w:color="auto"/>
            <w:right w:val="none" w:sz="0" w:space="0" w:color="auto"/>
          </w:divBdr>
        </w:div>
        <w:div w:id="1238444790">
          <w:marLeft w:val="0"/>
          <w:marRight w:val="0"/>
          <w:marTop w:val="0"/>
          <w:marBottom w:val="0"/>
          <w:divBdr>
            <w:top w:val="none" w:sz="0" w:space="0" w:color="auto"/>
            <w:left w:val="none" w:sz="0" w:space="0" w:color="auto"/>
            <w:bottom w:val="none" w:sz="0" w:space="0" w:color="auto"/>
            <w:right w:val="none" w:sz="0" w:space="0" w:color="auto"/>
          </w:divBdr>
        </w:div>
        <w:div w:id="571043959">
          <w:marLeft w:val="0"/>
          <w:marRight w:val="0"/>
          <w:marTop w:val="0"/>
          <w:marBottom w:val="0"/>
          <w:divBdr>
            <w:top w:val="none" w:sz="0" w:space="0" w:color="auto"/>
            <w:left w:val="none" w:sz="0" w:space="0" w:color="auto"/>
            <w:bottom w:val="none" w:sz="0" w:space="0" w:color="auto"/>
            <w:right w:val="none" w:sz="0" w:space="0" w:color="auto"/>
          </w:divBdr>
        </w:div>
        <w:div w:id="776098831">
          <w:marLeft w:val="0"/>
          <w:marRight w:val="0"/>
          <w:marTop w:val="0"/>
          <w:marBottom w:val="0"/>
          <w:divBdr>
            <w:top w:val="none" w:sz="0" w:space="0" w:color="auto"/>
            <w:left w:val="none" w:sz="0" w:space="0" w:color="auto"/>
            <w:bottom w:val="none" w:sz="0" w:space="0" w:color="auto"/>
            <w:right w:val="none" w:sz="0" w:space="0" w:color="auto"/>
          </w:divBdr>
        </w:div>
        <w:div w:id="1572882948">
          <w:marLeft w:val="0"/>
          <w:marRight w:val="0"/>
          <w:marTop w:val="0"/>
          <w:marBottom w:val="0"/>
          <w:divBdr>
            <w:top w:val="none" w:sz="0" w:space="0" w:color="auto"/>
            <w:left w:val="none" w:sz="0" w:space="0" w:color="auto"/>
            <w:bottom w:val="none" w:sz="0" w:space="0" w:color="auto"/>
            <w:right w:val="none" w:sz="0" w:space="0" w:color="auto"/>
          </w:divBdr>
        </w:div>
        <w:div w:id="171376669">
          <w:marLeft w:val="0"/>
          <w:marRight w:val="0"/>
          <w:marTop w:val="0"/>
          <w:marBottom w:val="0"/>
          <w:divBdr>
            <w:top w:val="none" w:sz="0" w:space="0" w:color="auto"/>
            <w:left w:val="none" w:sz="0" w:space="0" w:color="auto"/>
            <w:bottom w:val="none" w:sz="0" w:space="0" w:color="auto"/>
            <w:right w:val="none" w:sz="0" w:space="0" w:color="auto"/>
          </w:divBdr>
        </w:div>
        <w:div w:id="1450396333">
          <w:marLeft w:val="0"/>
          <w:marRight w:val="0"/>
          <w:marTop w:val="0"/>
          <w:marBottom w:val="0"/>
          <w:divBdr>
            <w:top w:val="none" w:sz="0" w:space="0" w:color="auto"/>
            <w:left w:val="none" w:sz="0" w:space="0" w:color="auto"/>
            <w:bottom w:val="none" w:sz="0" w:space="0" w:color="auto"/>
            <w:right w:val="none" w:sz="0" w:space="0" w:color="auto"/>
          </w:divBdr>
        </w:div>
        <w:div w:id="1785808774">
          <w:marLeft w:val="0"/>
          <w:marRight w:val="0"/>
          <w:marTop w:val="0"/>
          <w:marBottom w:val="0"/>
          <w:divBdr>
            <w:top w:val="none" w:sz="0" w:space="0" w:color="auto"/>
            <w:left w:val="none" w:sz="0" w:space="0" w:color="auto"/>
            <w:bottom w:val="none" w:sz="0" w:space="0" w:color="auto"/>
            <w:right w:val="none" w:sz="0" w:space="0" w:color="auto"/>
          </w:divBdr>
        </w:div>
        <w:div w:id="169683926">
          <w:marLeft w:val="0"/>
          <w:marRight w:val="0"/>
          <w:marTop w:val="0"/>
          <w:marBottom w:val="0"/>
          <w:divBdr>
            <w:top w:val="none" w:sz="0" w:space="0" w:color="auto"/>
            <w:left w:val="none" w:sz="0" w:space="0" w:color="auto"/>
            <w:bottom w:val="none" w:sz="0" w:space="0" w:color="auto"/>
            <w:right w:val="none" w:sz="0" w:space="0" w:color="auto"/>
          </w:divBdr>
        </w:div>
        <w:div w:id="1121802627">
          <w:marLeft w:val="0"/>
          <w:marRight w:val="0"/>
          <w:marTop w:val="0"/>
          <w:marBottom w:val="0"/>
          <w:divBdr>
            <w:top w:val="none" w:sz="0" w:space="0" w:color="auto"/>
            <w:left w:val="none" w:sz="0" w:space="0" w:color="auto"/>
            <w:bottom w:val="none" w:sz="0" w:space="0" w:color="auto"/>
            <w:right w:val="none" w:sz="0" w:space="0" w:color="auto"/>
          </w:divBdr>
        </w:div>
      </w:divsChild>
    </w:div>
    <w:div w:id="599064853">
      <w:bodyDiv w:val="1"/>
      <w:marLeft w:val="0"/>
      <w:marRight w:val="0"/>
      <w:marTop w:val="0"/>
      <w:marBottom w:val="0"/>
      <w:divBdr>
        <w:top w:val="none" w:sz="0" w:space="0" w:color="auto"/>
        <w:left w:val="none" w:sz="0" w:space="0" w:color="auto"/>
        <w:bottom w:val="none" w:sz="0" w:space="0" w:color="auto"/>
        <w:right w:val="none" w:sz="0" w:space="0" w:color="auto"/>
      </w:divBdr>
      <w:divsChild>
        <w:div w:id="2109546265">
          <w:marLeft w:val="0"/>
          <w:marRight w:val="0"/>
          <w:marTop w:val="0"/>
          <w:marBottom w:val="0"/>
          <w:divBdr>
            <w:top w:val="none" w:sz="0" w:space="0" w:color="auto"/>
            <w:left w:val="none" w:sz="0" w:space="0" w:color="auto"/>
            <w:bottom w:val="none" w:sz="0" w:space="0" w:color="auto"/>
            <w:right w:val="none" w:sz="0" w:space="0" w:color="auto"/>
          </w:divBdr>
          <w:divsChild>
            <w:div w:id="797842721">
              <w:marLeft w:val="0"/>
              <w:marRight w:val="0"/>
              <w:marTop w:val="0"/>
              <w:marBottom w:val="0"/>
              <w:divBdr>
                <w:top w:val="none" w:sz="0" w:space="0" w:color="auto"/>
                <w:left w:val="none" w:sz="0" w:space="0" w:color="auto"/>
                <w:bottom w:val="none" w:sz="0" w:space="0" w:color="auto"/>
                <w:right w:val="none" w:sz="0" w:space="0" w:color="auto"/>
              </w:divBdr>
            </w:div>
            <w:div w:id="169493149">
              <w:marLeft w:val="0"/>
              <w:marRight w:val="0"/>
              <w:marTop w:val="0"/>
              <w:marBottom w:val="0"/>
              <w:divBdr>
                <w:top w:val="none" w:sz="0" w:space="0" w:color="auto"/>
                <w:left w:val="none" w:sz="0" w:space="0" w:color="auto"/>
                <w:bottom w:val="none" w:sz="0" w:space="0" w:color="auto"/>
                <w:right w:val="none" w:sz="0" w:space="0" w:color="auto"/>
              </w:divBdr>
            </w:div>
            <w:div w:id="429086660">
              <w:marLeft w:val="0"/>
              <w:marRight w:val="0"/>
              <w:marTop w:val="0"/>
              <w:marBottom w:val="0"/>
              <w:divBdr>
                <w:top w:val="none" w:sz="0" w:space="0" w:color="auto"/>
                <w:left w:val="none" w:sz="0" w:space="0" w:color="auto"/>
                <w:bottom w:val="none" w:sz="0" w:space="0" w:color="auto"/>
                <w:right w:val="none" w:sz="0" w:space="0" w:color="auto"/>
              </w:divBdr>
            </w:div>
            <w:div w:id="259486761">
              <w:marLeft w:val="0"/>
              <w:marRight w:val="0"/>
              <w:marTop w:val="0"/>
              <w:marBottom w:val="0"/>
              <w:divBdr>
                <w:top w:val="none" w:sz="0" w:space="0" w:color="auto"/>
                <w:left w:val="none" w:sz="0" w:space="0" w:color="auto"/>
                <w:bottom w:val="none" w:sz="0" w:space="0" w:color="auto"/>
                <w:right w:val="none" w:sz="0" w:space="0" w:color="auto"/>
              </w:divBdr>
            </w:div>
            <w:div w:id="1936402910">
              <w:marLeft w:val="0"/>
              <w:marRight w:val="0"/>
              <w:marTop w:val="0"/>
              <w:marBottom w:val="0"/>
              <w:divBdr>
                <w:top w:val="none" w:sz="0" w:space="0" w:color="auto"/>
                <w:left w:val="none" w:sz="0" w:space="0" w:color="auto"/>
                <w:bottom w:val="none" w:sz="0" w:space="0" w:color="auto"/>
                <w:right w:val="none" w:sz="0" w:space="0" w:color="auto"/>
              </w:divBdr>
            </w:div>
            <w:div w:id="823358235">
              <w:marLeft w:val="0"/>
              <w:marRight w:val="0"/>
              <w:marTop w:val="0"/>
              <w:marBottom w:val="0"/>
              <w:divBdr>
                <w:top w:val="none" w:sz="0" w:space="0" w:color="auto"/>
                <w:left w:val="none" w:sz="0" w:space="0" w:color="auto"/>
                <w:bottom w:val="none" w:sz="0" w:space="0" w:color="auto"/>
                <w:right w:val="none" w:sz="0" w:space="0" w:color="auto"/>
              </w:divBdr>
            </w:div>
            <w:div w:id="182716814">
              <w:marLeft w:val="0"/>
              <w:marRight w:val="0"/>
              <w:marTop w:val="0"/>
              <w:marBottom w:val="0"/>
              <w:divBdr>
                <w:top w:val="none" w:sz="0" w:space="0" w:color="auto"/>
                <w:left w:val="none" w:sz="0" w:space="0" w:color="auto"/>
                <w:bottom w:val="none" w:sz="0" w:space="0" w:color="auto"/>
                <w:right w:val="none" w:sz="0" w:space="0" w:color="auto"/>
              </w:divBdr>
            </w:div>
            <w:div w:id="182937701">
              <w:marLeft w:val="0"/>
              <w:marRight w:val="0"/>
              <w:marTop w:val="0"/>
              <w:marBottom w:val="0"/>
              <w:divBdr>
                <w:top w:val="none" w:sz="0" w:space="0" w:color="auto"/>
                <w:left w:val="none" w:sz="0" w:space="0" w:color="auto"/>
                <w:bottom w:val="none" w:sz="0" w:space="0" w:color="auto"/>
                <w:right w:val="none" w:sz="0" w:space="0" w:color="auto"/>
              </w:divBdr>
            </w:div>
            <w:div w:id="292833898">
              <w:marLeft w:val="0"/>
              <w:marRight w:val="0"/>
              <w:marTop w:val="0"/>
              <w:marBottom w:val="0"/>
              <w:divBdr>
                <w:top w:val="none" w:sz="0" w:space="0" w:color="auto"/>
                <w:left w:val="none" w:sz="0" w:space="0" w:color="auto"/>
                <w:bottom w:val="none" w:sz="0" w:space="0" w:color="auto"/>
                <w:right w:val="none" w:sz="0" w:space="0" w:color="auto"/>
              </w:divBdr>
            </w:div>
            <w:div w:id="1766727167">
              <w:marLeft w:val="0"/>
              <w:marRight w:val="0"/>
              <w:marTop w:val="0"/>
              <w:marBottom w:val="0"/>
              <w:divBdr>
                <w:top w:val="none" w:sz="0" w:space="0" w:color="auto"/>
                <w:left w:val="none" w:sz="0" w:space="0" w:color="auto"/>
                <w:bottom w:val="none" w:sz="0" w:space="0" w:color="auto"/>
                <w:right w:val="none" w:sz="0" w:space="0" w:color="auto"/>
              </w:divBdr>
            </w:div>
            <w:div w:id="1249580729">
              <w:marLeft w:val="0"/>
              <w:marRight w:val="0"/>
              <w:marTop w:val="0"/>
              <w:marBottom w:val="0"/>
              <w:divBdr>
                <w:top w:val="none" w:sz="0" w:space="0" w:color="auto"/>
                <w:left w:val="none" w:sz="0" w:space="0" w:color="auto"/>
                <w:bottom w:val="none" w:sz="0" w:space="0" w:color="auto"/>
                <w:right w:val="none" w:sz="0" w:space="0" w:color="auto"/>
              </w:divBdr>
            </w:div>
            <w:div w:id="1353190429">
              <w:marLeft w:val="0"/>
              <w:marRight w:val="0"/>
              <w:marTop w:val="0"/>
              <w:marBottom w:val="0"/>
              <w:divBdr>
                <w:top w:val="none" w:sz="0" w:space="0" w:color="auto"/>
                <w:left w:val="none" w:sz="0" w:space="0" w:color="auto"/>
                <w:bottom w:val="none" w:sz="0" w:space="0" w:color="auto"/>
                <w:right w:val="none" w:sz="0" w:space="0" w:color="auto"/>
              </w:divBdr>
            </w:div>
            <w:div w:id="1209756005">
              <w:marLeft w:val="0"/>
              <w:marRight w:val="0"/>
              <w:marTop w:val="0"/>
              <w:marBottom w:val="0"/>
              <w:divBdr>
                <w:top w:val="none" w:sz="0" w:space="0" w:color="auto"/>
                <w:left w:val="none" w:sz="0" w:space="0" w:color="auto"/>
                <w:bottom w:val="none" w:sz="0" w:space="0" w:color="auto"/>
                <w:right w:val="none" w:sz="0" w:space="0" w:color="auto"/>
              </w:divBdr>
            </w:div>
            <w:div w:id="1865746972">
              <w:marLeft w:val="0"/>
              <w:marRight w:val="0"/>
              <w:marTop w:val="0"/>
              <w:marBottom w:val="0"/>
              <w:divBdr>
                <w:top w:val="none" w:sz="0" w:space="0" w:color="auto"/>
                <w:left w:val="none" w:sz="0" w:space="0" w:color="auto"/>
                <w:bottom w:val="none" w:sz="0" w:space="0" w:color="auto"/>
                <w:right w:val="none" w:sz="0" w:space="0" w:color="auto"/>
              </w:divBdr>
            </w:div>
            <w:div w:id="1486900571">
              <w:marLeft w:val="0"/>
              <w:marRight w:val="0"/>
              <w:marTop w:val="0"/>
              <w:marBottom w:val="0"/>
              <w:divBdr>
                <w:top w:val="none" w:sz="0" w:space="0" w:color="auto"/>
                <w:left w:val="none" w:sz="0" w:space="0" w:color="auto"/>
                <w:bottom w:val="none" w:sz="0" w:space="0" w:color="auto"/>
                <w:right w:val="none" w:sz="0" w:space="0" w:color="auto"/>
              </w:divBdr>
            </w:div>
            <w:div w:id="672491465">
              <w:marLeft w:val="0"/>
              <w:marRight w:val="0"/>
              <w:marTop w:val="0"/>
              <w:marBottom w:val="0"/>
              <w:divBdr>
                <w:top w:val="none" w:sz="0" w:space="0" w:color="auto"/>
                <w:left w:val="none" w:sz="0" w:space="0" w:color="auto"/>
                <w:bottom w:val="none" w:sz="0" w:space="0" w:color="auto"/>
                <w:right w:val="none" w:sz="0" w:space="0" w:color="auto"/>
              </w:divBdr>
            </w:div>
            <w:div w:id="536552972">
              <w:marLeft w:val="0"/>
              <w:marRight w:val="0"/>
              <w:marTop w:val="0"/>
              <w:marBottom w:val="0"/>
              <w:divBdr>
                <w:top w:val="none" w:sz="0" w:space="0" w:color="auto"/>
                <w:left w:val="none" w:sz="0" w:space="0" w:color="auto"/>
                <w:bottom w:val="none" w:sz="0" w:space="0" w:color="auto"/>
                <w:right w:val="none" w:sz="0" w:space="0" w:color="auto"/>
              </w:divBdr>
            </w:div>
            <w:div w:id="998113571">
              <w:marLeft w:val="0"/>
              <w:marRight w:val="0"/>
              <w:marTop w:val="0"/>
              <w:marBottom w:val="0"/>
              <w:divBdr>
                <w:top w:val="none" w:sz="0" w:space="0" w:color="auto"/>
                <w:left w:val="none" w:sz="0" w:space="0" w:color="auto"/>
                <w:bottom w:val="none" w:sz="0" w:space="0" w:color="auto"/>
                <w:right w:val="none" w:sz="0" w:space="0" w:color="auto"/>
              </w:divBdr>
            </w:div>
            <w:div w:id="615874435">
              <w:marLeft w:val="0"/>
              <w:marRight w:val="0"/>
              <w:marTop w:val="0"/>
              <w:marBottom w:val="0"/>
              <w:divBdr>
                <w:top w:val="none" w:sz="0" w:space="0" w:color="auto"/>
                <w:left w:val="none" w:sz="0" w:space="0" w:color="auto"/>
                <w:bottom w:val="none" w:sz="0" w:space="0" w:color="auto"/>
                <w:right w:val="none" w:sz="0" w:space="0" w:color="auto"/>
              </w:divBdr>
            </w:div>
            <w:div w:id="2053577599">
              <w:marLeft w:val="0"/>
              <w:marRight w:val="0"/>
              <w:marTop w:val="0"/>
              <w:marBottom w:val="0"/>
              <w:divBdr>
                <w:top w:val="none" w:sz="0" w:space="0" w:color="auto"/>
                <w:left w:val="none" w:sz="0" w:space="0" w:color="auto"/>
                <w:bottom w:val="none" w:sz="0" w:space="0" w:color="auto"/>
                <w:right w:val="none" w:sz="0" w:space="0" w:color="auto"/>
              </w:divBdr>
            </w:div>
            <w:div w:id="1945455822">
              <w:marLeft w:val="0"/>
              <w:marRight w:val="0"/>
              <w:marTop w:val="0"/>
              <w:marBottom w:val="0"/>
              <w:divBdr>
                <w:top w:val="none" w:sz="0" w:space="0" w:color="auto"/>
                <w:left w:val="none" w:sz="0" w:space="0" w:color="auto"/>
                <w:bottom w:val="none" w:sz="0" w:space="0" w:color="auto"/>
                <w:right w:val="none" w:sz="0" w:space="0" w:color="auto"/>
              </w:divBdr>
            </w:div>
            <w:div w:id="147593382">
              <w:marLeft w:val="0"/>
              <w:marRight w:val="0"/>
              <w:marTop w:val="0"/>
              <w:marBottom w:val="0"/>
              <w:divBdr>
                <w:top w:val="none" w:sz="0" w:space="0" w:color="auto"/>
                <w:left w:val="none" w:sz="0" w:space="0" w:color="auto"/>
                <w:bottom w:val="none" w:sz="0" w:space="0" w:color="auto"/>
                <w:right w:val="none" w:sz="0" w:space="0" w:color="auto"/>
              </w:divBdr>
            </w:div>
            <w:div w:id="389420280">
              <w:marLeft w:val="0"/>
              <w:marRight w:val="0"/>
              <w:marTop w:val="0"/>
              <w:marBottom w:val="0"/>
              <w:divBdr>
                <w:top w:val="none" w:sz="0" w:space="0" w:color="auto"/>
                <w:left w:val="none" w:sz="0" w:space="0" w:color="auto"/>
                <w:bottom w:val="none" w:sz="0" w:space="0" w:color="auto"/>
                <w:right w:val="none" w:sz="0" w:space="0" w:color="auto"/>
              </w:divBdr>
            </w:div>
            <w:div w:id="44450945">
              <w:marLeft w:val="0"/>
              <w:marRight w:val="0"/>
              <w:marTop w:val="0"/>
              <w:marBottom w:val="0"/>
              <w:divBdr>
                <w:top w:val="none" w:sz="0" w:space="0" w:color="auto"/>
                <w:left w:val="none" w:sz="0" w:space="0" w:color="auto"/>
                <w:bottom w:val="none" w:sz="0" w:space="0" w:color="auto"/>
                <w:right w:val="none" w:sz="0" w:space="0" w:color="auto"/>
              </w:divBdr>
            </w:div>
            <w:div w:id="449054880">
              <w:marLeft w:val="0"/>
              <w:marRight w:val="0"/>
              <w:marTop w:val="0"/>
              <w:marBottom w:val="0"/>
              <w:divBdr>
                <w:top w:val="none" w:sz="0" w:space="0" w:color="auto"/>
                <w:left w:val="none" w:sz="0" w:space="0" w:color="auto"/>
                <w:bottom w:val="none" w:sz="0" w:space="0" w:color="auto"/>
                <w:right w:val="none" w:sz="0" w:space="0" w:color="auto"/>
              </w:divBdr>
            </w:div>
            <w:div w:id="2072576774">
              <w:marLeft w:val="0"/>
              <w:marRight w:val="0"/>
              <w:marTop w:val="0"/>
              <w:marBottom w:val="0"/>
              <w:divBdr>
                <w:top w:val="none" w:sz="0" w:space="0" w:color="auto"/>
                <w:left w:val="none" w:sz="0" w:space="0" w:color="auto"/>
                <w:bottom w:val="none" w:sz="0" w:space="0" w:color="auto"/>
                <w:right w:val="none" w:sz="0" w:space="0" w:color="auto"/>
              </w:divBdr>
            </w:div>
            <w:div w:id="47607304">
              <w:marLeft w:val="0"/>
              <w:marRight w:val="0"/>
              <w:marTop w:val="0"/>
              <w:marBottom w:val="0"/>
              <w:divBdr>
                <w:top w:val="none" w:sz="0" w:space="0" w:color="auto"/>
                <w:left w:val="none" w:sz="0" w:space="0" w:color="auto"/>
                <w:bottom w:val="none" w:sz="0" w:space="0" w:color="auto"/>
                <w:right w:val="none" w:sz="0" w:space="0" w:color="auto"/>
              </w:divBdr>
            </w:div>
            <w:div w:id="1341856730">
              <w:marLeft w:val="0"/>
              <w:marRight w:val="0"/>
              <w:marTop w:val="0"/>
              <w:marBottom w:val="0"/>
              <w:divBdr>
                <w:top w:val="none" w:sz="0" w:space="0" w:color="auto"/>
                <w:left w:val="none" w:sz="0" w:space="0" w:color="auto"/>
                <w:bottom w:val="none" w:sz="0" w:space="0" w:color="auto"/>
                <w:right w:val="none" w:sz="0" w:space="0" w:color="auto"/>
              </w:divBdr>
            </w:div>
            <w:div w:id="200561333">
              <w:marLeft w:val="0"/>
              <w:marRight w:val="0"/>
              <w:marTop w:val="0"/>
              <w:marBottom w:val="0"/>
              <w:divBdr>
                <w:top w:val="none" w:sz="0" w:space="0" w:color="auto"/>
                <w:left w:val="none" w:sz="0" w:space="0" w:color="auto"/>
                <w:bottom w:val="none" w:sz="0" w:space="0" w:color="auto"/>
                <w:right w:val="none" w:sz="0" w:space="0" w:color="auto"/>
              </w:divBdr>
            </w:div>
            <w:div w:id="293216642">
              <w:marLeft w:val="0"/>
              <w:marRight w:val="0"/>
              <w:marTop w:val="0"/>
              <w:marBottom w:val="0"/>
              <w:divBdr>
                <w:top w:val="none" w:sz="0" w:space="0" w:color="auto"/>
                <w:left w:val="none" w:sz="0" w:space="0" w:color="auto"/>
                <w:bottom w:val="none" w:sz="0" w:space="0" w:color="auto"/>
                <w:right w:val="none" w:sz="0" w:space="0" w:color="auto"/>
              </w:divBdr>
            </w:div>
            <w:div w:id="219244526">
              <w:marLeft w:val="0"/>
              <w:marRight w:val="0"/>
              <w:marTop w:val="0"/>
              <w:marBottom w:val="0"/>
              <w:divBdr>
                <w:top w:val="none" w:sz="0" w:space="0" w:color="auto"/>
                <w:left w:val="none" w:sz="0" w:space="0" w:color="auto"/>
                <w:bottom w:val="none" w:sz="0" w:space="0" w:color="auto"/>
                <w:right w:val="none" w:sz="0" w:space="0" w:color="auto"/>
              </w:divBdr>
            </w:div>
            <w:div w:id="1118796304">
              <w:marLeft w:val="0"/>
              <w:marRight w:val="0"/>
              <w:marTop w:val="0"/>
              <w:marBottom w:val="0"/>
              <w:divBdr>
                <w:top w:val="none" w:sz="0" w:space="0" w:color="auto"/>
                <w:left w:val="none" w:sz="0" w:space="0" w:color="auto"/>
                <w:bottom w:val="none" w:sz="0" w:space="0" w:color="auto"/>
                <w:right w:val="none" w:sz="0" w:space="0" w:color="auto"/>
              </w:divBdr>
            </w:div>
            <w:div w:id="2003659503">
              <w:marLeft w:val="0"/>
              <w:marRight w:val="0"/>
              <w:marTop w:val="0"/>
              <w:marBottom w:val="0"/>
              <w:divBdr>
                <w:top w:val="none" w:sz="0" w:space="0" w:color="auto"/>
                <w:left w:val="none" w:sz="0" w:space="0" w:color="auto"/>
                <w:bottom w:val="none" w:sz="0" w:space="0" w:color="auto"/>
                <w:right w:val="none" w:sz="0" w:space="0" w:color="auto"/>
              </w:divBdr>
            </w:div>
            <w:div w:id="226458732">
              <w:marLeft w:val="0"/>
              <w:marRight w:val="0"/>
              <w:marTop w:val="0"/>
              <w:marBottom w:val="0"/>
              <w:divBdr>
                <w:top w:val="none" w:sz="0" w:space="0" w:color="auto"/>
                <w:left w:val="none" w:sz="0" w:space="0" w:color="auto"/>
                <w:bottom w:val="none" w:sz="0" w:space="0" w:color="auto"/>
                <w:right w:val="none" w:sz="0" w:space="0" w:color="auto"/>
              </w:divBdr>
            </w:div>
            <w:div w:id="1596160896">
              <w:marLeft w:val="0"/>
              <w:marRight w:val="0"/>
              <w:marTop w:val="0"/>
              <w:marBottom w:val="0"/>
              <w:divBdr>
                <w:top w:val="none" w:sz="0" w:space="0" w:color="auto"/>
                <w:left w:val="none" w:sz="0" w:space="0" w:color="auto"/>
                <w:bottom w:val="none" w:sz="0" w:space="0" w:color="auto"/>
                <w:right w:val="none" w:sz="0" w:space="0" w:color="auto"/>
              </w:divBdr>
            </w:div>
            <w:div w:id="36122401">
              <w:marLeft w:val="0"/>
              <w:marRight w:val="0"/>
              <w:marTop w:val="0"/>
              <w:marBottom w:val="0"/>
              <w:divBdr>
                <w:top w:val="none" w:sz="0" w:space="0" w:color="auto"/>
                <w:left w:val="none" w:sz="0" w:space="0" w:color="auto"/>
                <w:bottom w:val="none" w:sz="0" w:space="0" w:color="auto"/>
                <w:right w:val="none" w:sz="0" w:space="0" w:color="auto"/>
              </w:divBdr>
            </w:div>
            <w:div w:id="316153388">
              <w:marLeft w:val="0"/>
              <w:marRight w:val="0"/>
              <w:marTop w:val="0"/>
              <w:marBottom w:val="0"/>
              <w:divBdr>
                <w:top w:val="none" w:sz="0" w:space="0" w:color="auto"/>
                <w:left w:val="none" w:sz="0" w:space="0" w:color="auto"/>
                <w:bottom w:val="none" w:sz="0" w:space="0" w:color="auto"/>
                <w:right w:val="none" w:sz="0" w:space="0" w:color="auto"/>
              </w:divBdr>
            </w:div>
            <w:div w:id="446242594">
              <w:marLeft w:val="0"/>
              <w:marRight w:val="0"/>
              <w:marTop w:val="0"/>
              <w:marBottom w:val="0"/>
              <w:divBdr>
                <w:top w:val="none" w:sz="0" w:space="0" w:color="auto"/>
                <w:left w:val="none" w:sz="0" w:space="0" w:color="auto"/>
                <w:bottom w:val="none" w:sz="0" w:space="0" w:color="auto"/>
                <w:right w:val="none" w:sz="0" w:space="0" w:color="auto"/>
              </w:divBdr>
            </w:div>
            <w:div w:id="1711341654">
              <w:marLeft w:val="0"/>
              <w:marRight w:val="0"/>
              <w:marTop w:val="0"/>
              <w:marBottom w:val="0"/>
              <w:divBdr>
                <w:top w:val="none" w:sz="0" w:space="0" w:color="auto"/>
                <w:left w:val="none" w:sz="0" w:space="0" w:color="auto"/>
                <w:bottom w:val="none" w:sz="0" w:space="0" w:color="auto"/>
                <w:right w:val="none" w:sz="0" w:space="0" w:color="auto"/>
              </w:divBdr>
            </w:div>
            <w:div w:id="2048068472">
              <w:marLeft w:val="0"/>
              <w:marRight w:val="0"/>
              <w:marTop w:val="0"/>
              <w:marBottom w:val="0"/>
              <w:divBdr>
                <w:top w:val="none" w:sz="0" w:space="0" w:color="auto"/>
                <w:left w:val="none" w:sz="0" w:space="0" w:color="auto"/>
                <w:bottom w:val="none" w:sz="0" w:space="0" w:color="auto"/>
                <w:right w:val="none" w:sz="0" w:space="0" w:color="auto"/>
              </w:divBdr>
            </w:div>
            <w:div w:id="401877082">
              <w:marLeft w:val="0"/>
              <w:marRight w:val="0"/>
              <w:marTop w:val="0"/>
              <w:marBottom w:val="0"/>
              <w:divBdr>
                <w:top w:val="none" w:sz="0" w:space="0" w:color="auto"/>
                <w:left w:val="none" w:sz="0" w:space="0" w:color="auto"/>
                <w:bottom w:val="none" w:sz="0" w:space="0" w:color="auto"/>
                <w:right w:val="none" w:sz="0" w:space="0" w:color="auto"/>
              </w:divBdr>
            </w:div>
            <w:div w:id="716128408">
              <w:marLeft w:val="0"/>
              <w:marRight w:val="0"/>
              <w:marTop w:val="0"/>
              <w:marBottom w:val="0"/>
              <w:divBdr>
                <w:top w:val="none" w:sz="0" w:space="0" w:color="auto"/>
                <w:left w:val="none" w:sz="0" w:space="0" w:color="auto"/>
                <w:bottom w:val="none" w:sz="0" w:space="0" w:color="auto"/>
                <w:right w:val="none" w:sz="0" w:space="0" w:color="auto"/>
              </w:divBdr>
            </w:div>
            <w:div w:id="534922701">
              <w:marLeft w:val="0"/>
              <w:marRight w:val="0"/>
              <w:marTop w:val="0"/>
              <w:marBottom w:val="0"/>
              <w:divBdr>
                <w:top w:val="none" w:sz="0" w:space="0" w:color="auto"/>
                <w:left w:val="none" w:sz="0" w:space="0" w:color="auto"/>
                <w:bottom w:val="none" w:sz="0" w:space="0" w:color="auto"/>
                <w:right w:val="none" w:sz="0" w:space="0" w:color="auto"/>
              </w:divBdr>
            </w:div>
            <w:div w:id="2015843317">
              <w:marLeft w:val="0"/>
              <w:marRight w:val="0"/>
              <w:marTop w:val="0"/>
              <w:marBottom w:val="0"/>
              <w:divBdr>
                <w:top w:val="none" w:sz="0" w:space="0" w:color="auto"/>
                <w:left w:val="none" w:sz="0" w:space="0" w:color="auto"/>
                <w:bottom w:val="none" w:sz="0" w:space="0" w:color="auto"/>
                <w:right w:val="none" w:sz="0" w:space="0" w:color="auto"/>
              </w:divBdr>
            </w:div>
            <w:div w:id="1846747771">
              <w:marLeft w:val="0"/>
              <w:marRight w:val="0"/>
              <w:marTop w:val="0"/>
              <w:marBottom w:val="0"/>
              <w:divBdr>
                <w:top w:val="none" w:sz="0" w:space="0" w:color="auto"/>
                <w:left w:val="none" w:sz="0" w:space="0" w:color="auto"/>
                <w:bottom w:val="none" w:sz="0" w:space="0" w:color="auto"/>
                <w:right w:val="none" w:sz="0" w:space="0" w:color="auto"/>
              </w:divBdr>
            </w:div>
            <w:div w:id="1571816090">
              <w:marLeft w:val="0"/>
              <w:marRight w:val="0"/>
              <w:marTop w:val="0"/>
              <w:marBottom w:val="0"/>
              <w:divBdr>
                <w:top w:val="none" w:sz="0" w:space="0" w:color="auto"/>
                <w:left w:val="none" w:sz="0" w:space="0" w:color="auto"/>
                <w:bottom w:val="none" w:sz="0" w:space="0" w:color="auto"/>
                <w:right w:val="none" w:sz="0" w:space="0" w:color="auto"/>
              </w:divBdr>
            </w:div>
            <w:div w:id="1205872471">
              <w:marLeft w:val="0"/>
              <w:marRight w:val="0"/>
              <w:marTop w:val="0"/>
              <w:marBottom w:val="0"/>
              <w:divBdr>
                <w:top w:val="none" w:sz="0" w:space="0" w:color="auto"/>
                <w:left w:val="none" w:sz="0" w:space="0" w:color="auto"/>
                <w:bottom w:val="none" w:sz="0" w:space="0" w:color="auto"/>
                <w:right w:val="none" w:sz="0" w:space="0" w:color="auto"/>
              </w:divBdr>
            </w:div>
            <w:div w:id="964114723">
              <w:marLeft w:val="0"/>
              <w:marRight w:val="0"/>
              <w:marTop w:val="0"/>
              <w:marBottom w:val="0"/>
              <w:divBdr>
                <w:top w:val="none" w:sz="0" w:space="0" w:color="auto"/>
                <w:left w:val="none" w:sz="0" w:space="0" w:color="auto"/>
                <w:bottom w:val="none" w:sz="0" w:space="0" w:color="auto"/>
                <w:right w:val="none" w:sz="0" w:space="0" w:color="auto"/>
              </w:divBdr>
            </w:div>
            <w:div w:id="70083740">
              <w:marLeft w:val="0"/>
              <w:marRight w:val="0"/>
              <w:marTop w:val="0"/>
              <w:marBottom w:val="0"/>
              <w:divBdr>
                <w:top w:val="none" w:sz="0" w:space="0" w:color="auto"/>
                <w:left w:val="none" w:sz="0" w:space="0" w:color="auto"/>
                <w:bottom w:val="none" w:sz="0" w:space="0" w:color="auto"/>
                <w:right w:val="none" w:sz="0" w:space="0" w:color="auto"/>
              </w:divBdr>
            </w:div>
            <w:div w:id="1412698652">
              <w:marLeft w:val="0"/>
              <w:marRight w:val="0"/>
              <w:marTop w:val="0"/>
              <w:marBottom w:val="0"/>
              <w:divBdr>
                <w:top w:val="none" w:sz="0" w:space="0" w:color="auto"/>
                <w:left w:val="none" w:sz="0" w:space="0" w:color="auto"/>
                <w:bottom w:val="none" w:sz="0" w:space="0" w:color="auto"/>
                <w:right w:val="none" w:sz="0" w:space="0" w:color="auto"/>
              </w:divBdr>
            </w:div>
            <w:div w:id="957564928">
              <w:marLeft w:val="0"/>
              <w:marRight w:val="0"/>
              <w:marTop w:val="0"/>
              <w:marBottom w:val="0"/>
              <w:divBdr>
                <w:top w:val="none" w:sz="0" w:space="0" w:color="auto"/>
                <w:left w:val="none" w:sz="0" w:space="0" w:color="auto"/>
                <w:bottom w:val="none" w:sz="0" w:space="0" w:color="auto"/>
                <w:right w:val="none" w:sz="0" w:space="0" w:color="auto"/>
              </w:divBdr>
            </w:div>
            <w:div w:id="1332678858">
              <w:marLeft w:val="0"/>
              <w:marRight w:val="0"/>
              <w:marTop w:val="0"/>
              <w:marBottom w:val="0"/>
              <w:divBdr>
                <w:top w:val="none" w:sz="0" w:space="0" w:color="auto"/>
                <w:left w:val="none" w:sz="0" w:space="0" w:color="auto"/>
                <w:bottom w:val="none" w:sz="0" w:space="0" w:color="auto"/>
                <w:right w:val="none" w:sz="0" w:space="0" w:color="auto"/>
              </w:divBdr>
            </w:div>
            <w:div w:id="409936091">
              <w:marLeft w:val="0"/>
              <w:marRight w:val="0"/>
              <w:marTop w:val="0"/>
              <w:marBottom w:val="0"/>
              <w:divBdr>
                <w:top w:val="none" w:sz="0" w:space="0" w:color="auto"/>
                <w:left w:val="none" w:sz="0" w:space="0" w:color="auto"/>
                <w:bottom w:val="none" w:sz="0" w:space="0" w:color="auto"/>
                <w:right w:val="none" w:sz="0" w:space="0" w:color="auto"/>
              </w:divBdr>
            </w:div>
            <w:div w:id="2067340130">
              <w:marLeft w:val="0"/>
              <w:marRight w:val="0"/>
              <w:marTop w:val="0"/>
              <w:marBottom w:val="0"/>
              <w:divBdr>
                <w:top w:val="none" w:sz="0" w:space="0" w:color="auto"/>
                <w:left w:val="none" w:sz="0" w:space="0" w:color="auto"/>
                <w:bottom w:val="none" w:sz="0" w:space="0" w:color="auto"/>
                <w:right w:val="none" w:sz="0" w:space="0" w:color="auto"/>
              </w:divBdr>
            </w:div>
            <w:div w:id="408161572">
              <w:marLeft w:val="0"/>
              <w:marRight w:val="0"/>
              <w:marTop w:val="0"/>
              <w:marBottom w:val="0"/>
              <w:divBdr>
                <w:top w:val="none" w:sz="0" w:space="0" w:color="auto"/>
                <w:left w:val="none" w:sz="0" w:space="0" w:color="auto"/>
                <w:bottom w:val="none" w:sz="0" w:space="0" w:color="auto"/>
                <w:right w:val="none" w:sz="0" w:space="0" w:color="auto"/>
              </w:divBdr>
            </w:div>
            <w:div w:id="877855966">
              <w:marLeft w:val="0"/>
              <w:marRight w:val="0"/>
              <w:marTop w:val="0"/>
              <w:marBottom w:val="0"/>
              <w:divBdr>
                <w:top w:val="none" w:sz="0" w:space="0" w:color="auto"/>
                <w:left w:val="none" w:sz="0" w:space="0" w:color="auto"/>
                <w:bottom w:val="none" w:sz="0" w:space="0" w:color="auto"/>
                <w:right w:val="none" w:sz="0" w:space="0" w:color="auto"/>
              </w:divBdr>
            </w:div>
            <w:div w:id="833032506">
              <w:marLeft w:val="0"/>
              <w:marRight w:val="0"/>
              <w:marTop w:val="0"/>
              <w:marBottom w:val="0"/>
              <w:divBdr>
                <w:top w:val="none" w:sz="0" w:space="0" w:color="auto"/>
                <w:left w:val="none" w:sz="0" w:space="0" w:color="auto"/>
                <w:bottom w:val="none" w:sz="0" w:space="0" w:color="auto"/>
                <w:right w:val="none" w:sz="0" w:space="0" w:color="auto"/>
              </w:divBdr>
            </w:div>
            <w:div w:id="2086998667">
              <w:marLeft w:val="0"/>
              <w:marRight w:val="0"/>
              <w:marTop w:val="0"/>
              <w:marBottom w:val="0"/>
              <w:divBdr>
                <w:top w:val="none" w:sz="0" w:space="0" w:color="auto"/>
                <w:left w:val="none" w:sz="0" w:space="0" w:color="auto"/>
                <w:bottom w:val="none" w:sz="0" w:space="0" w:color="auto"/>
                <w:right w:val="none" w:sz="0" w:space="0" w:color="auto"/>
              </w:divBdr>
            </w:div>
            <w:div w:id="2009205951">
              <w:marLeft w:val="0"/>
              <w:marRight w:val="0"/>
              <w:marTop w:val="0"/>
              <w:marBottom w:val="0"/>
              <w:divBdr>
                <w:top w:val="none" w:sz="0" w:space="0" w:color="auto"/>
                <w:left w:val="none" w:sz="0" w:space="0" w:color="auto"/>
                <w:bottom w:val="none" w:sz="0" w:space="0" w:color="auto"/>
                <w:right w:val="none" w:sz="0" w:space="0" w:color="auto"/>
              </w:divBdr>
            </w:div>
            <w:div w:id="369494997">
              <w:marLeft w:val="0"/>
              <w:marRight w:val="0"/>
              <w:marTop w:val="0"/>
              <w:marBottom w:val="0"/>
              <w:divBdr>
                <w:top w:val="none" w:sz="0" w:space="0" w:color="auto"/>
                <w:left w:val="none" w:sz="0" w:space="0" w:color="auto"/>
                <w:bottom w:val="none" w:sz="0" w:space="0" w:color="auto"/>
                <w:right w:val="none" w:sz="0" w:space="0" w:color="auto"/>
              </w:divBdr>
            </w:div>
            <w:div w:id="92014539">
              <w:marLeft w:val="0"/>
              <w:marRight w:val="0"/>
              <w:marTop w:val="0"/>
              <w:marBottom w:val="0"/>
              <w:divBdr>
                <w:top w:val="none" w:sz="0" w:space="0" w:color="auto"/>
                <w:left w:val="none" w:sz="0" w:space="0" w:color="auto"/>
                <w:bottom w:val="none" w:sz="0" w:space="0" w:color="auto"/>
                <w:right w:val="none" w:sz="0" w:space="0" w:color="auto"/>
              </w:divBdr>
            </w:div>
            <w:div w:id="232742419">
              <w:marLeft w:val="0"/>
              <w:marRight w:val="0"/>
              <w:marTop w:val="0"/>
              <w:marBottom w:val="0"/>
              <w:divBdr>
                <w:top w:val="none" w:sz="0" w:space="0" w:color="auto"/>
                <w:left w:val="none" w:sz="0" w:space="0" w:color="auto"/>
                <w:bottom w:val="none" w:sz="0" w:space="0" w:color="auto"/>
                <w:right w:val="none" w:sz="0" w:space="0" w:color="auto"/>
              </w:divBdr>
            </w:div>
            <w:div w:id="656106460">
              <w:marLeft w:val="0"/>
              <w:marRight w:val="0"/>
              <w:marTop w:val="0"/>
              <w:marBottom w:val="0"/>
              <w:divBdr>
                <w:top w:val="none" w:sz="0" w:space="0" w:color="auto"/>
                <w:left w:val="none" w:sz="0" w:space="0" w:color="auto"/>
                <w:bottom w:val="none" w:sz="0" w:space="0" w:color="auto"/>
                <w:right w:val="none" w:sz="0" w:space="0" w:color="auto"/>
              </w:divBdr>
            </w:div>
            <w:div w:id="570625859">
              <w:marLeft w:val="0"/>
              <w:marRight w:val="0"/>
              <w:marTop w:val="0"/>
              <w:marBottom w:val="0"/>
              <w:divBdr>
                <w:top w:val="none" w:sz="0" w:space="0" w:color="auto"/>
                <w:left w:val="none" w:sz="0" w:space="0" w:color="auto"/>
                <w:bottom w:val="none" w:sz="0" w:space="0" w:color="auto"/>
                <w:right w:val="none" w:sz="0" w:space="0" w:color="auto"/>
              </w:divBdr>
            </w:div>
            <w:div w:id="459147829">
              <w:marLeft w:val="0"/>
              <w:marRight w:val="0"/>
              <w:marTop w:val="0"/>
              <w:marBottom w:val="0"/>
              <w:divBdr>
                <w:top w:val="none" w:sz="0" w:space="0" w:color="auto"/>
                <w:left w:val="none" w:sz="0" w:space="0" w:color="auto"/>
                <w:bottom w:val="none" w:sz="0" w:space="0" w:color="auto"/>
                <w:right w:val="none" w:sz="0" w:space="0" w:color="auto"/>
              </w:divBdr>
            </w:div>
            <w:div w:id="586497836">
              <w:marLeft w:val="0"/>
              <w:marRight w:val="0"/>
              <w:marTop w:val="0"/>
              <w:marBottom w:val="0"/>
              <w:divBdr>
                <w:top w:val="none" w:sz="0" w:space="0" w:color="auto"/>
                <w:left w:val="none" w:sz="0" w:space="0" w:color="auto"/>
                <w:bottom w:val="none" w:sz="0" w:space="0" w:color="auto"/>
                <w:right w:val="none" w:sz="0" w:space="0" w:color="auto"/>
              </w:divBdr>
            </w:div>
            <w:div w:id="542838311">
              <w:marLeft w:val="0"/>
              <w:marRight w:val="0"/>
              <w:marTop w:val="0"/>
              <w:marBottom w:val="0"/>
              <w:divBdr>
                <w:top w:val="none" w:sz="0" w:space="0" w:color="auto"/>
                <w:left w:val="none" w:sz="0" w:space="0" w:color="auto"/>
                <w:bottom w:val="none" w:sz="0" w:space="0" w:color="auto"/>
                <w:right w:val="none" w:sz="0" w:space="0" w:color="auto"/>
              </w:divBdr>
            </w:div>
            <w:div w:id="2058696687">
              <w:marLeft w:val="0"/>
              <w:marRight w:val="0"/>
              <w:marTop w:val="0"/>
              <w:marBottom w:val="0"/>
              <w:divBdr>
                <w:top w:val="none" w:sz="0" w:space="0" w:color="auto"/>
                <w:left w:val="none" w:sz="0" w:space="0" w:color="auto"/>
                <w:bottom w:val="none" w:sz="0" w:space="0" w:color="auto"/>
                <w:right w:val="none" w:sz="0" w:space="0" w:color="auto"/>
              </w:divBdr>
            </w:div>
            <w:div w:id="1561862594">
              <w:marLeft w:val="0"/>
              <w:marRight w:val="0"/>
              <w:marTop w:val="0"/>
              <w:marBottom w:val="0"/>
              <w:divBdr>
                <w:top w:val="none" w:sz="0" w:space="0" w:color="auto"/>
                <w:left w:val="none" w:sz="0" w:space="0" w:color="auto"/>
                <w:bottom w:val="none" w:sz="0" w:space="0" w:color="auto"/>
                <w:right w:val="none" w:sz="0" w:space="0" w:color="auto"/>
              </w:divBdr>
            </w:div>
            <w:div w:id="289435551">
              <w:marLeft w:val="0"/>
              <w:marRight w:val="0"/>
              <w:marTop w:val="0"/>
              <w:marBottom w:val="0"/>
              <w:divBdr>
                <w:top w:val="none" w:sz="0" w:space="0" w:color="auto"/>
                <w:left w:val="none" w:sz="0" w:space="0" w:color="auto"/>
                <w:bottom w:val="none" w:sz="0" w:space="0" w:color="auto"/>
                <w:right w:val="none" w:sz="0" w:space="0" w:color="auto"/>
              </w:divBdr>
            </w:div>
            <w:div w:id="1132600174">
              <w:marLeft w:val="0"/>
              <w:marRight w:val="0"/>
              <w:marTop w:val="0"/>
              <w:marBottom w:val="0"/>
              <w:divBdr>
                <w:top w:val="none" w:sz="0" w:space="0" w:color="auto"/>
                <w:left w:val="none" w:sz="0" w:space="0" w:color="auto"/>
                <w:bottom w:val="none" w:sz="0" w:space="0" w:color="auto"/>
                <w:right w:val="none" w:sz="0" w:space="0" w:color="auto"/>
              </w:divBdr>
            </w:div>
            <w:div w:id="1360549686">
              <w:marLeft w:val="0"/>
              <w:marRight w:val="0"/>
              <w:marTop w:val="0"/>
              <w:marBottom w:val="0"/>
              <w:divBdr>
                <w:top w:val="none" w:sz="0" w:space="0" w:color="auto"/>
                <w:left w:val="none" w:sz="0" w:space="0" w:color="auto"/>
                <w:bottom w:val="none" w:sz="0" w:space="0" w:color="auto"/>
                <w:right w:val="none" w:sz="0" w:space="0" w:color="auto"/>
              </w:divBdr>
            </w:div>
            <w:div w:id="1298796685">
              <w:marLeft w:val="0"/>
              <w:marRight w:val="0"/>
              <w:marTop w:val="0"/>
              <w:marBottom w:val="0"/>
              <w:divBdr>
                <w:top w:val="none" w:sz="0" w:space="0" w:color="auto"/>
                <w:left w:val="none" w:sz="0" w:space="0" w:color="auto"/>
                <w:bottom w:val="none" w:sz="0" w:space="0" w:color="auto"/>
                <w:right w:val="none" w:sz="0" w:space="0" w:color="auto"/>
              </w:divBdr>
            </w:div>
            <w:div w:id="2036809794">
              <w:marLeft w:val="0"/>
              <w:marRight w:val="0"/>
              <w:marTop w:val="0"/>
              <w:marBottom w:val="0"/>
              <w:divBdr>
                <w:top w:val="none" w:sz="0" w:space="0" w:color="auto"/>
                <w:left w:val="none" w:sz="0" w:space="0" w:color="auto"/>
                <w:bottom w:val="none" w:sz="0" w:space="0" w:color="auto"/>
                <w:right w:val="none" w:sz="0" w:space="0" w:color="auto"/>
              </w:divBdr>
            </w:div>
            <w:div w:id="804080741">
              <w:marLeft w:val="0"/>
              <w:marRight w:val="0"/>
              <w:marTop w:val="0"/>
              <w:marBottom w:val="0"/>
              <w:divBdr>
                <w:top w:val="none" w:sz="0" w:space="0" w:color="auto"/>
                <w:left w:val="none" w:sz="0" w:space="0" w:color="auto"/>
                <w:bottom w:val="none" w:sz="0" w:space="0" w:color="auto"/>
                <w:right w:val="none" w:sz="0" w:space="0" w:color="auto"/>
              </w:divBdr>
            </w:div>
            <w:div w:id="1750073723">
              <w:marLeft w:val="0"/>
              <w:marRight w:val="0"/>
              <w:marTop w:val="0"/>
              <w:marBottom w:val="0"/>
              <w:divBdr>
                <w:top w:val="none" w:sz="0" w:space="0" w:color="auto"/>
                <w:left w:val="none" w:sz="0" w:space="0" w:color="auto"/>
                <w:bottom w:val="none" w:sz="0" w:space="0" w:color="auto"/>
                <w:right w:val="none" w:sz="0" w:space="0" w:color="auto"/>
              </w:divBdr>
            </w:div>
            <w:div w:id="117599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29049">
      <w:bodyDiv w:val="1"/>
      <w:marLeft w:val="0"/>
      <w:marRight w:val="0"/>
      <w:marTop w:val="0"/>
      <w:marBottom w:val="0"/>
      <w:divBdr>
        <w:top w:val="none" w:sz="0" w:space="0" w:color="auto"/>
        <w:left w:val="none" w:sz="0" w:space="0" w:color="auto"/>
        <w:bottom w:val="none" w:sz="0" w:space="0" w:color="auto"/>
        <w:right w:val="none" w:sz="0" w:space="0" w:color="auto"/>
      </w:divBdr>
    </w:div>
    <w:div w:id="624387877">
      <w:bodyDiv w:val="1"/>
      <w:marLeft w:val="0"/>
      <w:marRight w:val="0"/>
      <w:marTop w:val="0"/>
      <w:marBottom w:val="0"/>
      <w:divBdr>
        <w:top w:val="none" w:sz="0" w:space="0" w:color="auto"/>
        <w:left w:val="none" w:sz="0" w:space="0" w:color="auto"/>
        <w:bottom w:val="none" w:sz="0" w:space="0" w:color="auto"/>
        <w:right w:val="none" w:sz="0" w:space="0" w:color="auto"/>
      </w:divBdr>
      <w:divsChild>
        <w:div w:id="205718925">
          <w:marLeft w:val="0"/>
          <w:marRight w:val="0"/>
          <w:marTop w:val="0"/>
          <w:marBottom w:val="0"/>
          <w:divBdr>
            <w:top w:val="none" w:sz="0" w:space="0" w:color="auto"/>
            <w:left w:val="none" w:sz="0" w:space="0" w:color="auto"/>
            <w:bottom w:val="none" w:sz="0" w:space="0" w:color="auto"/>
            <w:right w:val="none" w:sz="0" w:space="0" w:color="auto"/>
          </w:divBdr>
        </w:div>
        <w:div w:id="1968316311">
          <w:marLeft w:val="0"/>
          <w:marRight w:val="0"/>
          <w:marTop w:val="0"/>
          <w:marBottom w:val="0"/>
          <w:divBdr>
            <w:top w:val="none" w:sz="0" w:space="0" w:color="auto"/>
            <w:left w:val="none" w:sz="0" w:space="0" w:color="auto"/>
            <w:bottom w:val="none" w:sz="0" w:space="0" w:color="auto"/>
            <w:right w:val="none" w:sz="0" w:space="0" w:color="auto"/>
          </w:divBdr>
        </w:div>
        <w:div w:id="1770616378">
          <w:marLeft w:val="0"/>
          <w:marRight w:val="0"/>
          <w:marTop w:val="0"/>
          <w:marBottom w:val="0"/>
          <w:divBdr>
            <w:top w:val="none" w:sz="0" w:space="0" w:color="auto"/>
            <w:left w:val="none" w:sz="0" w:space="0" w:color="auto"/>
            <w:bottom w:val="none" w:sz="0" w:space="0" w:color="auto"/>
            <w:right w:val="none" w:sz="0" w:space="0" w:color="auto"/>
          </w:divBdr>
        </w:div>
        <w:div w:id="1154108564">
          <w:marLeft w:val="0"/>
          <w:marRight w:val="0"/>
          <w:marTop w:val="0"/>
          <w:marBottom w:val="0"/>
          <w:divBdr>
            <w:top w:val="none" w:sz="0" w:space="0" w:color="auto"/>
            <w:left w:val="none" w:sz="0" w:space="0" w:color="auto"/>
            <w:bottom w:val="none" w:sz="0" w:space="0" w:color="auto"/>
            <w:right w:val="none" w:sz="0" w:space="0" w:color="auto"/>
          </w:divBdr>
        </w:div>
        <w:div w:id="1509365035">
          <w:marLeft w:val="0"/>
          <w:marRight w:val="0"/>
          <w:marTop w:val="0"/>
          <w:marBottom w:val="0"/>
          <w:divBdr>
            <w:top w:val="none" w:sz="0" w:space="0" w:color="auto"/>
            <w:left w:val="none" w:sz="0" w:space="0" w:color="auto"/>
            <w:bottom w:val="none" w:sz="0" w:space="0" w:color="auto"/>
            <w:right w:val="none" w:sz="0" w:space="0" w:color="auto"/>
          </w:divBdr>
        </w:div>
        <w:div w:id="798914059">
          <w:marLeft w:val="0"/>
          <w:marRight w:val="0"/>
          <w:marTop w:val="0"/>
          <w:marBottom w:val="0"/>
          <w:divBdr>
            <w:top w:val="none" w:sz="0" w:space="0" w:color="auto"/>
            <w:left w:val="none" w:sz="0" w:space="0" w:color="auto"/>
            <w:bottom w:val="none" w:sz="0" w:space="0" w:color="auto"/>
            <w:right w:val="none" w:sz="0" w:space="0" w:color="auto"/>
          </w:divBdr>
        </w:div>
        <w:div w:id="1000736544">
          <w:marLeft w:val="0"/>
          <w:marRight w:val="0"/>
          <w:marTop w:val="0"/>
          <w:marBottom w:val="0"/>
          <w:divBdr>
            <w:top w:val="none" w:sz="0" w:space="0" w:color="auto"/>
            <w:left w:val="none" w:sz="0" w:space="0" w:color="auto"/>
            <w:bottom w:val="none" w:sz="0" w:space="0" w:color="auto"/>
            <w:right w:val="none" w:sz="0" w:space="0" w:color="auto"/>
          </w:divBdr>
        </w:div>
        <w:div w:id="1396397071">
          <w:marLeft w:val="0"/>
          <w:marRight w:val="0"/>
          <w:marTop w:val="0"/>
          <w:marBottom w:val="0"/>
          <w:divBdr>
            <w:top w:val="none" w:sz="0" w:space="0" w:color="auto"/>
            <w:left w:val="none" w:sz="0" w:space="0" w:color="auto"/>
            <w:bottom w:val="none" w:sz="0" w:space="0" w:color="auto"/>
            <w:right w:val="none" w:sz="0" w:space="0" w:color="auto"/>
          </w:divBdr>
        </w:div>
        <w:div w:id="1913586960">
          <w:marLeft w:val="0"/>
          <w:marRight w:val="0"/>
          <w:marTop w:val="0"/>
          <w:marBottom w:val="0"/>
          <w:divBdr>
            <w:top w:val="none" w:sz="0" w:space="0" w:color="auto"/>
            <w:left w:val="none" w:sz="0" w:space="0" w:color="auto"/>
            <w:bottom w:val="none" w:sz="0" w:space="0" w:color="auto"/>
            <w:right w:val="none" w:sz="0" w:space="0" w:color="auto"/>
          </w:divBdr>
        </w:div>
        <w:div w:id="1067459983">
          <w:marLeft w:val="0"/>
          <w:marRight w:val="0"/>
          <w:marTop w:val="0"/>
          <w:marBottom w:val="0"/>
          <w:divBdr>
            <w:top w:val="none" w:sz="0" w:space="0" w:color="auto"/>
            <w:left w:val="none" w:sz="0" w:space="0" w:color="auto"/>
            <w:bottom w:val="none" w:sz="0" w:space="0" w:color="auto"/>
            <w:right w:val="none" w:sz="0" w:space="0" w:color="auto"/>
          </w:divBdr>
        </w:div>
        <w:div w:id="1881477792">
          <w:marLeft w:val="0"/>
          <w:marRight w:val="0"/>
          <w:marTop w:val="0"/>
          <w:marBottom w:val="0"/>
          <w:divBdr>
            <w:top w:val="none" w:sz="0" w:space="0" w:color="auto"/>
            <w:left w:val="none" w:sz="0" w:space="0" w:color="auto"/>
            <w:bottom w:val="none" w:sz="0" w:space="0" w:color="auto"/>
            <w:right w:val="none" w:sz="0" w:space="0" w:color="auto"/>
          </w:divBdr>
        </w:div>
        <w:div w:id="422382732">
          <w:marLeft w:val="0"/>
          <w:marRight w:val="0"/>
          <w:marTop w:val="0"/>
          <w:marBottom w:val="0"/>
          <w:divBdr>
            <w:top w:val="none" w:sz="0" w:space="0" w:color="auto"/>
            <w:left w:val="none" w:sz="0" w:space="0" w:color="auto"/>
            <w:bottom w:val="none" w:sz="0" w:space="0" w:color="auto"/>
            <w:right w:val="none" w:sz="0" w:space="0" w:color="auto"/>
          </w:divBdr>
        </w:div>
        <w:div w:id="1515457663">
          <w:marLeft w:val="0"/>
          <w:marRight w:val="0"/>
          <w:marTop w:val="0"/>
          <w:marBottom w:val="0"/>
          <w:divBdr>
            <w:top w:val="none" w:sz="0" w:space="0" w:color="auto"/>
            <w:left w:val="none" w:sz="0" w:space="0" w:color="auto"/>
            <w:bottom w:val="none" w:sz="0" w:space="0" w:color="auto"/>
            <w:right w:val="none" w:sz="0" w:space="0" w:color="auto"/>
          </w:divBdr>
        </w:div>
        <w:div w:id="1718816733">
          <w:marLeft w:val="0"/>
          <w:marRight w:val="0"/>
          <w:marTop w:val="0"/>
          <w:marBottom w:val="0"/>
          <w:divBdr>
            <w:top w:val="none" w:sz="0" w:space="0" w:color="auto"/>
            <w:left w:val="none" w:sz="0" w:space="0" w:color="auto"/>
            <w:bottom w:val="none" w:sz="0" w:space="0" w:color="auto"/>
            <w:right w:val="none" w:sz="0" w:space="0" w:color="auto"/>
          </w:divBdr>
        </w:div>
        <w:div w:id="682705102">
          <w:marLeft w:val="0"/>
          <w:marRight w:val="0"/>
          <w:marTop w:val="0"/>
          <w:marBottom w:val="0"/>
          <w:divBdr>
            <w:top w:val="none" w:sz="0" w:space="0" w:color="auto"/>
            <w:left w:val="none" w:sz="0" w:space="0" w:color="auto"/>
            <w:bottom w:val="none" w:sz="0" w:space="0" w:color="auto"/>
            <w:right w:val="none" w:sz="0" w:space="0" w:color="auto"/>
          </w:divBdr>
        </w:div>
        <w:div w:id="1074938048">
          <w:marLeft w:val="0"/>
          <w:marRight w:val="0"/>
          <w:marTop w:val="0"/>
          <w:marBottom w:val="0"/>
          <w:divBdr>
            <w:top w:val="none" w:sz="0" w:space="0" w:color="auto"/>
            <w:left w:val="none" w:sz="0" w:space="0" w:color="auto"/>
            <w:bottom w:val="none" w:sz="0" w:space="0" w:color="auto"/>
            <w:right w:val="none" w:sz="0" w:space="0" w:color="auto"/>
          </w:divBdr>
        </w:div>
        <w:div w:id="589239541">
          <w:marLeft w:val="0"/>
          <w:marRight w:val="0"/>
          <w:marTop w:val="0"/>
          <w:marBottom w:val="0"/>
          <w:divBdr>
            <w:top w:val="none" w:sz="0" w:space="0" w:color="auto"/>
            <w:left w:val="none" w:sz="0" w:space="0" w:color="auto"/>
            <w:bottom w:val="none" w:sz="0" w:space="0" w:color="auto"/>
            <w:right w:val="none" w:sz="0" w:space="0" w:color="auto"/>
          </w:divBdr>
        </w:div>
        <w:div w:id="233515307">
          <w:marLeft w:val="0"/>
          <w:marRight w:val="0"/>
          <w:marTop w:val="0"/>
          <w:marBottom w:val="0"/>
          <w:divBdr>
            <w:top w:val="none" w:sz="0" w:space="0" w:color="auto"/>
            <w:left w:val="none" w:sz="0" w:space="0" w:color="auto"/>
            <w:bottom w:val="none" w:sz="0" w:space="0" w:color="auto"/>
            <w:right w:val="none" w:sz="0" w:space="0" w:color="auto"/>
          </w:divBdr>
        </w:div>
        <w:div w:id="1921714503">
          <w:marLeft w:val="0"/>
          <w:marRight w:val="0"/>
          <w:marTop w:val="0"/>
          <w:marBottom w:val="0"/>
          <w:divBdr>
            <w:top w:val="none" w:sz="0" w:space="0" w:color="auto"/>
            <w:left w:val="none" w:sz="0" w:space="0" w:color="auto"/>
            <w:bottom w:val="none" w:sz="0" w:space="0" w:color="auto"/>
            <w:right w:val="none" w:sz="0" w:space="0" w:color="auto"/>
          </w:divBdr>
        </w:div>
        <w:div w:id="2095087602">
          <w:marLeft w:val="0"/>
          <w:marRight w:val="0"/>
          <w:marTop w:val="0"/>
          <w:marBottom w:val="0"/>
          <w:divBdr>
            <w:top w:val="none" w:sz="0" w:space="0" w:color="auto"/>
            <w:left w:val="none" w:sz="0" w:space="0" w:color="auto"/>
            <w:bottom w:val="none" w:sz="0" w:space="0" w:color="auto"/>
            <w:right w:val="none" w:sz="0" w:space="0" w:color="auto"/>
          </w:divBdr>
        </w:div>
        <w:div w:id="400256556">
          <w:marLeft w:val="0"/>
          <w:marRight w:val="0"/>
          <w:marTop w:val="0"/>
          <w:marBottom w:val="0"/>
          <w:divBdr>
            <w:top w:val="none" w:sz="0" w:space="0" w:color="auto"/>
            <w:left w:val="none" w:sz="0" w:space="0" w:color="auto"/>
            <w:bottom w:val="none" w:sz="0" w:space="0" w:color="auto"/>
            <w:right w:val="none" w:sz="0" w:space="0" w:color="auto"/>
          </w:divBdr>
        </w:div>
      </w:divsChild>
    </w:div>
    <w:div w:id="665060359">
      <w:bodyDiv w:val="1"/>
      <w:marLeft w:val="0"/>
      <w:marRight w:val="0"/>
      <w:marTop w:val="0"/>
      <w:marBottom w:val="0"/>
      <w:divBdr>
        <w:top w:val="none" w:sz="0" w:space="0" w:color="auto"/>
        <w:left w:val="none" w:sz="0" w:space="0" w:color="auto"/>
        <w:bottom w:val="none" w:sz="0" w:space="0" w:color="auto"/>
        <w:right w:val="none" w:sz="0" w:space="0" w:color="auto"/>
      </w:divBdr>
      <w:divsChild>
        <w:div w:id="1365015260">
          <w:marLeft w:val="0"/>
          <w:marRight w:val="0"/>
          <w:marTop w:val="0"/>
          <w:marBottom w:val="0"/>
          <w:divBdr>
            <w:top w:val="none" w:sz="0" w:space="0" w:color="auto"/>
            <w:left w:val="none" w:sz="0" w:space="0" w:color="auto"/>
            <w:bottom w:val="none" w:sz="0" w:space="0" w:color="auto"/>
            <w:right w:val="none" w:sz="0" w:space="0" w:color="auto"/>
          </w:divBdr>
        </w:div>
        <w:div w:id="2122913178">
          <w:marLeft w:val="0"/>
          <w:marRight w:val="0"/>
          <w:marTop w:val="0"/>
          <w:marBottom w:val="0"/>
          <w:divBdr>
            <w:top w:val="none" w:sz="0" w:space="0" w:color="auto"/>
            <w:left w:val="none" w:sz="0" w:space="0" w:color="auto"/>
            <w:bottom w:val="none" w:sz="0" w:space="0" w:color="auto"/>
            <w:right w:val="none" w:sz="0" w:space="0" w:color="auto"/>
          </w:divBdr>
        </w:div>
        <w:div w:id="978535585">
          <w:marLeft w:val="0"/>
          <w:marRight w:val="0"/>
          <w:marTop w:val="0"/>
          <w:marBottom w:val="0"/>
          <w:divBdr>
            <w:top w:val="none" w:sz="0" w:space="0" w:color="auto"/>
            <w:left w:val="none" w:sz="0" w:space="0" w:color="auto"/>
            <w:bottom w:val="none" w:sz="0" w:space="0" w:color="auto"/>
            <w:right w:val="none" w:sz="0" w:space="0" w:color="auto"/>
          </w:divBdr>
        </w:div>
        <w:div w:id="2135756128">
          <w:marLeft w:val="0"/>
          <w:marRight w:val="0"/>
          <w:marTop w:val="0"/>
          <w:marBottom w:val="0"/>
          <w:divBdr>
            <w:top w:val="none" w:sz="0" w:space="0" w:color="auto"/>
            <w:left w:val="none" w:sz="0" w:space="0" w:color="auto"/>
            <w:bottom w:val="none" w:sz="0" w:space="0" w:color="auto"/>
            <w:right w:val="none" w:sz="0" w:space="0" w:color="auto"/>
          </w:divBdr>
        </w:div>
      </w:divsChild>
    </w:div>
    <w:div w:id="712076336">
      <w:bodyDiv w:val="1"/>
      <w:marLeft w:val="0"/>
      <w:marRight w:val="0"/>
      <w:marTop w:val="0"/>
      <w:marBottom w:val="0"/>
      <w:divBdr>
        <w:top w:val="none" w:sz="0" w:space="0" w:color="auto"/>
        <w:left w:val="none" w:sz="0" w:space="0" w:color="auto"/>
        <w:bottom w:val="none" w:sz="0" w:space="0" w:color="auto"/>
        <w:right w:val="none" w:sz="0" w:space="0" w:color="auto"/>
      </w:divBdr>
      <w:divsChild>
        <w:div w:id="1113674169">
          <w:marLeft w:val="0"/>
          <w:marRight w:val="0"/>
          <w:marTop w:val="0"/>
          <w:marBottom w:val="0"/>
          <w:divBdr>
            <w:top w:val="none" w:sz="0" w:space="0" w:color="auto"/>
            <w:left w:val="none" w:sz="0" w:space="0" w:color="auto"/>
            <w:bottom w:val="none" w:sz="0" w:space="0" w:color="auto"/>
            <w:right w:val="none" w:sz="0" w:space="0" w:color="auto"/>
          </w:divBdr>
        </w:div>
        <w:div w:id="1036387990">
          <w:marLeft w:val="0"/>
          <w:marRight w:val="0"/>
          <w:marTop w:val="0"/>
          <w:marBottom w:val="0"/>
          <w:divBdr>
            <w:top w:val="none" w:sz="0" w:space="0" w:color="auto"/>
            <w:left w:val="none" w:sz="0" w:space="0" w:color="auto"/>
            <w:bottom w:val="none" w:sz="0" w:space="0" w:color="auto"/>
            <w:right w:val="none" w:sz="0" w:space="0" w:color="auto"/>
          </w:divBdr>
        </w:div>
        <w:div w:id="1009991599">
          <w:marLeft w:val="0"/>
          <w:marRight w:val="0"/>
          <w:marTop w:val="0"/>
          <w:marBottom w:val="0"/>
          <w:divBdr>
            <w:top w:val="none" w:sz="0" w:space="0" w:color="auto"/>
            <w:left w:val="none" w:sz="0" w:space="0" w:color="auto"/>
            <w:bottom w:val="none" w:sz="0" w:space="0" w:color="auto"/>
            <w:right w:val="none" w:sz="0" w:space="0" w:color="auto"/>
          </w:divBdr>
        </w:div>
        <w:div w:id="620962206">
          <w:marLeft w:val="0"/>
          <w:marRight w:val="0"/>
          <w:marTop w:val="0"/>
          <w:marBottom w:val="0"/>
          <w:divBdr>
            <w:top w:val="none" w:sz="0" w:space="0" w:color="auto"/>
            <w:left w:val="none" w:sz="0" w:space="0" w:color="auto"/>
            <w:bottom w:val="none" w:sz="0" w:space="0" w:color="auto"/>
            <w:right w:val="none" w:sz="0" w:space="0" w:color="auto"/>
          </w:divBdr>
        </w:div>
        <w:div w:id="878397533">
          <w:marLeft w:val="0"/>
          <w:marRight w:val="0"/>
          <w:marTop w:val="0"/>
          <w:marBottom w:val="0"/>
          <w:divBdr>
            <w:top w:val="none" w:sz="0" w:space="0" w:color="auto"/>
            <w:left w:val="none" w:sz="0" w:space="0" w:color="auto"/>
            <w:bottom w:val="none" w:sz="0" w:space="0" w:color="auto"/>
            <w:right w:val="none" w:sz="0" w:space="0" w:color="auto"/>
          </w:divBdr>
        </w:div>
        <w:div w:id="674184764">
          <w:marLeft w:val="0"/>
          <w:marRight w:val="0"/>
          <w:marTop w:val="0"/>
          <w:marBottom w:val="0"/>
          <w:divBdr>
            <w:top w:val="none" w:sz="0" w:space="0" w:color="auto"/>
            <w:left w:val="none" w:sz="0" w:space="0" w:color="auto"/>
            <w:bottom w:val="none" w:sz="0" w:space="0" w:color="auto"/>
            <w:right w:val="none" w:sz="0" w:space="0" w:color="auto"/>
          </w:divBdr>
        </w:div>
      </w:divsChild>
    </w:div>
    <w:div w:id="749691434">
      <w:bodyDiv w:val="1"/>
      <w:marLeft w:val="0"/>
      <w:marRight w:val="0"/>
      <w:marTop w:val="0"/>
      <w:marBottom w:val="0"/>
      <w:divBdr>
        <w:top w:val="none" w:sz="0" w:space="0" w:color="auto"/>
        <w:left w:val="none" w:sz="0" w:space="0" w:color="auto"/>
        <w:bottom w:val="none" w:sz="0" w:space="0" w:color="auto"/>
        <w:right w:val="none" w:sz="0" w:space="0" w:color="auto"/>
      </w:divBdr>
      <w:divsChild>
        <w:div w:id="1215581213">
          <w:marLeft w:val="0"/>
          <w:marRight w:val="0"/>
          <w:marTop w:val="0"/>
          <w:marBottom w:val="0"/>
          <w:divBdr>
            <w:top w:val="none" w:sz="0" w:space="0" w:color="auto"/>
            <w:left w:val="none" w:sz="0" w:space="0" w:color="auto"/>
            <w:bottom w:val="none" w:sz="0" w:space="0" w:color="auto"/>
            <w:right w:val="none" w:sz="0" w:space="0" w:color="auto"/>
          </w:divBdr>
        </w:div>
        <w:div w:id="419327184">
          <w:marLeft w:val="0"/>
          <w:marRight w:val="0"/>
          <w:marTop w:val="0"/>
          <w:marBottom w:val="0"/>
          <w:divBdr>
            <w:top w:val="none" w:sz="0" w:space="0" w:color="auto"/>
            <w:left w:val="none" w:sz="0" w:space="0" w:color="auto"/>
            <w:bottom w:val="none" w:sz="0" w:space="0" w:color="auto"/>
            <w:right w:val="none" w:sz="0" w:space="0" w:color="auto"/>
          </w:divBdr>
        </w:div>
        <w:div w:id="36903116">
          <w:marLeft w:val="0"/>
          <w:marRight w:val="0"/>
          <w:marTop w:val="0"/>
          <w:marBottom w:val="0"/>
          <w:divBdr>
            <w:top w:val="none" w:sz="0" w:space="0" w:color="auto"/>
            <w:left w:val="none" w:sz="0" w:space="0" w:color="auto"/>
            <w:bottom w:val="none" w:sz="0" w:space="0" w:color="auto"/>
            <w:right w:val="none" w:sz="0" w:space="0" w:color="auto"/>
          </w:divBdr>
        </w:div>
        <w:div w:id="1641879346">
          <w:marLeft w:val="0"/>
          <w:marRight w:val="0"/>
          <w:marTop w:val="0"/>
          <w:marBottom w:val="0"/>
          <w:divBdr>
            <w:top w:val="none" w:sz="0" w:space="0" w:color="auto"/>
            <w:left w:val="none" w:sz="0" w:space="0" w:color="auto"/>
            <w:bottom w:val="none" w:sz="0" w:space="0" w:color="auto"/>
            <w:right w:val="none" w:sz="0" w:space="0" w:color="auto"/>
          </w:divBdr>
        </w:div>
        <w:div w:id="1846360860">
          <w:marLeft w:val="0"/>
          <w:marRight w:val="0"/>
          <w:marTop w:val="0"/>
          <w:marBottom w:val="0"/>
          <w:divBdr>
            <w:top w:val="none" w:sz="0" w:space="0" w:color="auto"/>
            <w:left w:val="none" w:sz="0" w:space="0" w:color="auto"/>
            <w:bottom w:val="none" w:sz="0" w:space="0" w:color="auto"/>
            <w:right w:val="none" w:sz="0" w:space="0" w:color="auto"/>
          </w:divBdr>
        </w:div>
        <w:div w:id="684668939">
          <w:marLeft w:val="0"/>
          <w:marRight w:val="0"/>
          <w:marTop w:val="0"/>
          <w:marBottom w:val="0"/>
          <w:divBdr>
            <w:top w:val="none" w:sz="0" w:space="0" w:color="auto"/>
            <w:left w:val="none" w:sz="0" w:space="0" w:color="auto"/>
            <w:bottom w:val="none" w:sz="0" w:space="0" w:color="auto"/>
            <w:right w:val="none" w:sz="0" w:space="0" w:color="auto"/>
          </w:divBdr>
        </w:div>
        <w:div w:id="162203910">
          <w:marLeft w:val="0"/>
          <w:marRight w:val="0"/>
          <w:marTop w:val="0"/>
          <w:marBottom w:val="0"/>
          <w:divBdr>
            <w:top w:val="none" w:sz="0" w:space="0" w:color="auto"/>
            <w:left w:val="none" w:sz="0" w:space="0" w:color="auto"/>
            <w:bottom w:val="none" w:sz="0" w:space="0" w:color="auto"/>
            <w:right w:val="none" w:sz="0" w:space="0" w:color="auto"/>
          </w:divBdr>
        </w:div>
        <w:div w:id="990446928">
          <w:marLeft w:val="0"/>
          <w:marRight w:val="0"/>
          <w:marTop w:val="0"/>
          <w:marBottom w:val="0"/>
          <w:divBdr>
            <w:top w:val="none" w:sz="0" w:space="0" w:color="auto"/>
            <w:left w:val="none" w:sz="0" w:space="0" w:color="auto"/>
            <w:bottom w:val="none" w:sz="0" w:space="0" w:color="auto"/>
            <w:right w:val="none" w:sz="0" w:space="0" w:color="auto"/>
          </w:divBdr>
        </w:div>
        <w:div w:id="1625843080">
          <w:marLeft w:val="0"/>
          <w:marRight w:val="0"/>
          <w:marTop w:val="0"/>
          <w:marBottom w:val="0"/>
          <w:divBdr>
            <w:top w:val="none" w:sz="0" w:space="0" w:color="auto"/>
            <w:left w:val="none" w:sz="0" w:space="0" w:color="auto"/>
            <w:bottom w:val="none" w:sz="0" w:space="0" w:color="auto"/>
            <w:right w:val="none" w:sz="0" w:space="0" w:color="auto"/>
          </w:divBdr>
        </w:div>
        <w:div w:id="737166915">
          <w:marLeft w:val="0"/>
          <w:marRight w:val="0"/>
          <w:marTop w:val="0"/>
          <w:marBottom w:val="0"/>
          <w:divBdr>
            <w:top w:val="none" w:sz="0" w:space="0" w:color="auto"/>
            <w:left w:val="none" w:sz="0" w:space="0" w:color="auto"/>
            <w:bottom w:val="none" w:sz="0" w:space="0" w:color="auto"/>
            <w:right w:val="none" w:sz="0" w:space="0" w:color="auto"/>
          </w:divBdr>
        </w:div>
        <w:div w:id="54546261">
          <w:marLeft w:val="0"/>
          <w:marRight w:val="0"/>
          <w:marTop w:val="0"/>
          <w:marBottom w:val="0"/>
          <w:divBdr>
            <w:top w:val="none" w:sz="0" w:space="0" w:color="auto"/>
            <w:left w:val="none" w:sz="0" w:space="0" w:color="auto"/>
            <w:bottom w:val="none" w:sz="0" w:space="0" w:color="auto"/>
            <w:right w:val="none" w:sz="0" w:space="0" w:color="auto"/>
          </w:divBdr>
        </w:div>
        <w:div w:id="443427267">
          <w:marLeft w:val="0"/>
          <w:marRight w:val="0"/>
          <w:marTop w:val="0"/>
          <w:marBottom w:val="0"/>
          <w:divBdr>
            <w:top w:val="none" w:sz="0" w:space="0" w:color="auto"/>
            <w:left w:val="none" w:sz="0" w:space="0" w:color="auto"/>
            <w:bottom w:val="none" w:sz="0" w:space="0" w:color="auto"/>
            <w:right w:val="none" w:sz="0" w:space="0" w:color="auto"/>
          </w:divBdr>
        </w:div>
        <w:div w:id="619728180">
          <w:marLeft w:val="0"/>
          <w:marRight w:val="0"/>
          <w:marTop w:val="0"/>
          <w:marBottom w:val="0"/>
          <w:divBdr>
            <w:top w:val="none" w:sz="0" w:space="0" w:color="auto"/>
            <w:left w:val="none" w:sz="0" w:space="0" w:color="auto"/>
            <w:bottom w:val="none" w:sz="0" w:space="0" w:color="auto"/>
            <w:right w:val="none" w:sz="0" w:space="0" w:color="auto"/>
          </w:divBdr>
        </w:div>
        <w:div w:id="1669289917">
          <w:marLeft w:val="0"/>
          <w:marRight w:val="0"/>
          <w:marTop w:val="0"/>
          <w:marBottom w:val="0"/>
          <w:divBdr>
            <w:top w:val="none" w:sz="0" w:space="0" w:color="auto"/>
            <w:left w:val="none" w:sz="0" w:space="0" w:color="auto"/>
            <w:bottom w:val="none" w:sz="0" w:space="0" w:color="auto"/>
            <w:right w:val="none" w:sz="0" w:space="0" w:color="auto"/>
          </w:divBdr>
        </w:div>
        <w:div w:id="119156495">
          <w:marLeft w:val="0"/>
          <w:marRight w:val="0"/>
          <w:marTop w:val="0"/>
          <w:marBottom w:val="0"/>
          <w:divBdr>
            <w:top w:val="none" w:sz="0" w:space="0" w:color="auto"/>
            <w:left w:val="none" w:sz="0" w:space="0" w:color="auto"/>
            <w:bottom w:val="none" w:sz="0" w:space="0" w:color="auto"/>
            <w:right w:val="none" w:sz="0" w:space="0" w:color="auto"/>
          </w:divBdr>
        </w:div>
        <w:div w:id="1513958257">
          <w:marLeft w:val="0"/>
          <w:marRight w:val="0"/>
          <w:marTop w:val="0"/>
          <w:marBottom w:val="0"/>
          <w:divBdr>
            <w:top w:val="none" w:sz="0" w:space="0" w:color="auto"/>
            <w:left w:val="none" w:sz="0" w:space="0" w:color="auto"/>
            <w:bottom w:val="none" w:sz="0" w:space="0" w:color="auto"/>
            <w:right w:val="none" w:sz="0" w:space="0" w:color="auto"/>
          </w:divBdr>
        </w:div>
        <w:div w:id="690180094">
          <w:marLeft w:val="0"/>
          <w:marRight w:val="0"/>
          <w:marTop w:val="0"/>
          <w:marBottom w:val="0"/>
          <w:divBdr>
            <w:top w:val="none" w:sz="0" w:space="0" w:color="auto"/>
            <w:left w:val="none" w:sz="0" w:space="0" w:color="auto"/>
            <w:bottom w:val="none" w:sz="0" w:space="0" w:color="auto"/>
            <w:right w:val="none" w:sz="0" w:space="0" w:color="auto"/>
          </w:divBdr>
        </w:div>
        <w:div w:id="1697542305">
          <w:marLeft w:val="0"/>
          <w:marRight w:val="0"/>
          <w:marTop w:val="0"/>
          <w:marBottom w:val="0"/>
          <w:divBdr>
            <w:top w:val="none" w:sz="0" w:space="0" w:color="auto"/>
            <w:left w:val="none" w:sz="0" w:space="0" w:color="auto"/>
            <w:bottom w:val="none" w:sz="0" w:space="0" w:color="auto"/>
            <w:right w:val="none" w:sz="0" w:space="0" w:color="auto"/>
          </w:divBdr>
        </w:div>
        <w:div w:id="1960329431">
          <w:marLeft w:val="0"/>
          <w:marRight w:val="0"/>
          <w:marTop w:val="0"/>
          <w:marBottom w:val="0"/>
          <w:divBdr>
            <w:top w:val="none" w:sz="0" w:space="0" w:color="auto"/>
            <w:left w:val="none" w:sz="0" w:space="0" w:color="auto"/>
            <w:bottom w:val="none" w:sz="0" w:space="0" w:color="auto"/>
            <w:right w:val="none" w:sz="0" w:space="0" w:color="auto"/>
          </w:divBdr>
        </w:div>
        <w:div w:id="371538121">
          <w:marLeft w:val="0"/>
          <w:marRight w:val="0"/>
          <w:marTop w:val="0"/>
          <w:marBottom w:val="0"/>
          <w:divBdr>
            <w:top w:val="none" w:sz="0" w:space="0" w:color="auto"/>
            <w:left w:val="none" w:sz="0" w:space="0" w:color="auto"/>
            <w:bottom w:val="none" w:sz="0" w:space="0" w:color="auto"/>
            <w:right w:val="none" w:sz="0" w:space="0" w:color="auto"/>
          </w:divBdr>
        </w:div>
        <w:div w:id="504831891">
          <w:marLeft w:val="0"/>
          <w:marRight w:val="0"/>
          <w:marTop w:val="0"/>
          <w:marBottom w:val="0"/>
          <w:divBdr>
            <w:top w:val="none" w:sz="0" w:space="0" w:color="auto"/>
            <w:left w:val="none" w:sz="0" w:space="0" w:color="auto"/>
            <w:bottom w:val="none" w:sz="0" w:space="0" w:color="auto"/>
            <w:right w:val="none" w:sz="0" w:space="0" w:color="auto"/>
          </w:divBdr>
        </w:div>
        <w:div w:id="1372652021">
          <w:marLeft w:val="0"/>
          <w:marRight w:val="0"/>
          <w:marTop w:val="0"/>
          <w:marBottom w:val="0"/>
          <w:divBdr>
            <w:top w:val="none" w:sz="0" w:space="0" w:color="auto"/>
            <w:left w:val="none" w:sz="0" w:space="0" w:color="auto"/>
            <w:bottom w:val="none" w:sz="0" w:space="0" w:color="auto"/>
            <w:right w:val="none" w:sz="0" w:space="0" w:color="auto"/>
          </w:divBdr>
        </w:div>
        <w:div w:id="720321467">
          <w:marLeft w:val="0"/>
          <w:marRight w:val="0"/>
          <w:marTop w:val="0"/>
          <w:marBottom w:val="0"/>
          <w:divBdr>
            <w:top w:val="none" w:sz="0" w:space="0" w:color="auto"/>
            <w:left w:val="none" w:sz="0" w:space="0" w:color="auto"/>
            <w:bottom w:val="none" w:sz="0" w:space="0" w:color="auto"/>
            <w:right w:val="none" w:sz="0" w:space="0" w:color="auto"/>
          </w:divBdr>
        </w:div>
        <w:div w:id="374080483">
          <w:marLeft w:val="0"/>
          <w:marRight w:val="0"/>
          <w:marTop w:val="0"/>
          <w:marBottom w:val="0"/>
          <w:divBdr>
            <w:top w:val="none" w:sz="0" w:space="0" w:color="auto"/>
            <w:left w:val="none" w:sz="0" w:space="0" w:color="auto"/>
            <w:bottom w:val="none" w:sz="0" w:space="0" w:color="auto"/>
            <w:right w:val="none" w:sz="0" w:space="0" w:color="auto"/>
          </w:divBdr>
        </w:div>
        <w:div w:id="724332551">
          <w:marLeft w:val="0"/>
          <w:marRight w:val="0"/>
          <w:marTop w:val="0"/>
          <w:marBottom w:val="0"/>
          <w:divBdr>
            <w:top w:val="none" w:sz="0" w:space="0" w:color="auto"/>
            <w:left w:val="none" w:sz="0" w:space="0" w:color="auto"/>
            <w:bottom w:val="none" w:sz="0" w:space="0" w:color="auto"/>
            <w:right w:val="none" w:sz="0" w:space="0" w:color="auto"/>
          </w:divBdr>
        </w:div>
        <w:div w:id="1423795550">
          <w:marLeft w:val="0"/>
          <w:marRight w:val="0"/>
          <w:marTop w:val="0"/>
          <w:marBottom w:val="0"/>
          <w:divBdr>
            <w:top w:val="none" w:sz="0" w:space="0" w:color="auto"/>
            <w:left w:val="none" w:sz="0" w:space="0" w:color="auto"/>
            <w:bottom w:val="none" w:sz="0" w:space="0" w:color="auto"/>
            <w:right w:val="none" w:sz="0" w:space="0" w:color="auto"/>
          </w:divBdr>
        </w:div>
        <w:div w:id="1910142489">
          <w:marLeft w:val="0"/>
          <w:marRight w:val="0"/>
          <w:marTop w:val="0"/>
          <w:marBottom w:val="0"/>
          <w:divBdr>
            <w:top w:val="none" w:sz="0" w:space="0" w:color="auto"/>
            <w:left w:val="none" w:sz="0" w:space="0" w:color="auto"/>
            <w:bottom w:val="none" w:sz="0" w:space="0" w:color="auto"/>
            <w:right w:val="none" w:sz="0" w:space="0" w:color="auto"/>
          </w:divBdr>
        </w:div>
        <w:div w:id="1332100335">
          <w:marLeft w:val="0"/>
          <w:marRight w:val="0"/>
          <w:marTop w:val="0"/>
          <w:marBottom w:val="0"/>
          <w:divBdr>
            <w:top w:val="none" w:sz="0" w:space="0" w:color="auto"/>
            <w:left w:val="none" w:sz="0" w:space="0" w:color="auto"/>
            <w:bottom w:val="none" w:sz="0" w:space="0" w:color="auto"/>
            <w:right w:val="none" w:sz="0" w:space="0" w:color="auto"/>
          </w:divBdr>
        </w:div>
        <w:div w:id="1023089418">
          <w:marLeft w:val="0"/>
          <w:marRight w:val="0"/>
          <w:marTop w:val="0"/>
          <w:marBottom w:val="0"/>
          <w:divBdr>
            <w:top w:val="none" w:sz="0" w:space="0" w:color="auto"/>
            <w:left w:val="none" w:sz="0" w:space="0" w:color="auto"/>
            <w:bottom w:val="none" w:sz="0" w:space="0" w:color="auto"/>
            <w:right w:val="none" w:sz="0" w:space="0" w:color="auto"/>
          </w:divBdr>
        </w:div>
        <w:div w:id="1828326246">
          <w:marLeft w:val="0"/>
          <w:marRight w:val="0"/>
          <w:marTop w:val="0"/>
          <w:marBottom w:val="0"/>
          <w:divBdr>
            <w:top w:val="none" w:sz="0" w:space="0" w:color="auto"/>
            <w:left w:val="none" w:sz="0" w:space="0" w:color="auto"/>
            <w:bottom w:val="none" w:sz="0" w:space="0" w:color="auto"/>
            <w:right w:val="none" w:sz="0" w:space="0" w:color="auto"/>
          </w:divBdr>
        </w:div>
        <w:div w:id="1634166189">
          <w:marLeft w:val="0"/>
          <w:marRight w:val="0"/>
          <w:marTop w:val="0"/>
          <w:marBottom w:val="0"/>
          <w:divBdr>
            <w:top w:val="none" w:sz="0" w:space="0" w:color="auto"/>
            <w:left w:val="none" w:sz="0" w:space="0" w:color="auto"/>
            <w:bottom w:val="none" w:sz="0" w:space="0" w:color="auto"/>
            <w:right w:val="none" w:sz="0" w:space="0" w:color="auto"/>
          </w:divBdr>
        </w:div>
        <w:div w:id="1300647095">
          <w:marLeft w:val="0"/>
          <w:marRight w:val="0"/>
          <w:marTop w:val="0"/>
          <w:marBottom w:val="0"/>
          <w:divBdr>
            <w:top w:val="none" w:sz="0" w:space="0" w:color="auto"/>
            <w:left w:val="none" w:sz="0" w:space="0" w:color="auto"/>
            <w:bottom w:val="none" w:sz="0" w:space="0" w:color="auto"/>
            <w:right w:val="none" w:sz="0" w:space="0" w:color="auto"/>
          </w:divBdr>
        </w:div>
      </w:divsChild>
    </w:div>
    <w:div w:id="967006287">
      <w:bodyDiv w:val="1"/>
      <w:marLeft w:val="0"/>
      <w:marRight w:val="0"/>
      <w:marTop w:val="0"/>
      <w:marBottom w:val="0"/>
      <w:divBdr>
        <w:top w:val="none" w:sz="0" w:space="0" w:color="auto"/>
        <w:left w:val="none" w:sz="0" w:space="0" w:color="auto"/>
        <w:bottom w:val="none" w:sz="0" w:space="0" w:color="auto"/>
        <w:right w:val="none" w:sz="0" w:space="0" w:color="auto"/>
      </w:divBdr>
      <w:divsChild>
        <w:div w:id="1689521915">
          <w:marLeft w:val="0"/>
          <w:marRight w:val="0"/>
          <w:marTop w:val="0"/>
          <w:marBottom w:val="0"/>
          <w:divBdr>
            <w:top w:val="none" w:sz="0" w:space="0" w:color="auto"/>
            <w:left w:val="none" w:sz="0" w:space="0" w:color="auto"/>
            <w:bottom w:val="none" w:sz="0" w:space="0" w:color="auto"/>
            <w:right w:val="none" w:sz="0" w:space="0" w:color="auto"/>
          </w:divBdr>
        </w:div>
        <w:div w:id="1384019668">
          <w:marLeft w:val="0"/>
          <w:marRight w:val="0"/>
          <w:marTop w:val="0"/>
          <w:marBottom w:val="0"/>
          <w:divBdr>
            <w:top w:val="none" w:sz="0" w:space="0" w:color="auto"/>
            <w:left w:val="none" w:sz="0" w:space="0" w:color="auto"/>
            <w:bottom w:val="none" w:sz="0" w:space="0" w:color="auto"/>
            <w:right w:val="none" w:sz="0" w:space="0" w:color="auto"/>
          </w:divBdr>
        </w:div>
        <w:div w:id="1197810454">
          <w:marLeft w:val="0"/>
          <w:marRight w:val="0"/>
          <w:marTop w:val="0"/>
          <w:marBottom w:val="0"/>
          <w:divBdr>
            <w:top w:val="none" w:sz="0" w:space="0" w:color="auto"/>
            <w:left w:val="none" w:sz="0" w:space="0" w:color="auto"/>
            <w:bottom w:val="none" w:sz="0" w:space="0" w:color="auto"/>
            <w:right w:val="none" w:sz="0" w:space="0" w:color="auto"/>
          </w:divBdr>
        </w:div>
        <w:div w:id="263264758">
          <w:marLeft w:val="0"/>
          <w:marRight w:val="0"/>
          <w:marTop w:val="0"/>
          <w:marBottom w:val="0"/>
          <w:divBdr>
            <w:top w:val="none" w:sz="0" w:space="0" w:color="auto"/>
            <w:left w:val="none" w:sz="0" w:space="0" w:color="auto"/>
            <w:bottom w:val="none" w:sz="0" w:space="0" w:color="auto"/>
            <w:right w:val="none" w:sz="0" w:space="0" w:color="auto"/>
          </w:divBdr>
        </w:div>
        <w:div w:id="1917125782">
          <w:marLeft w:val="0"/>
          <w:marRight w:val="0"/>
          <w:marTop w:val="0"/>
          <w:marBottom w:val="0"/>
          <w:divBdr>
            <w:top w:val="none" w:sz="0" w:space="0" w:color="auto"/>
            <w:left w:val="none" w:sz="0" w:space="0" w:color="auto"/>
            <w:bottom w:val="none" w:sz="0" w:space="0" w:color="auto"/>
            <w:right w:val="none" w:sz="0" w:space="0" w:color="auto"/>
          </w:divBdr>
        </w:div>
        <w:div w:id="53697003">
          <w:marLeft w:val="0"/>
          <w:marRight w:val="0"/>
          <w:marTop w:val="0"/>
          <w:marBottom w:val="0"/>
          <w:divBdr>
            <w:top w:val="none" w:sz="0" w:space="0" w:color="auto"/>
            <w:left w:val="none" w:sz="0" w:space="0" w:color="auto"/>
            <w:bottom w:val="none" w:sz="0" w:space="0" w:color="auto"/>
            <w:right w:val="none" w:sz="0" w:space="0" w:color="auto"/>
          </w:divBdr>
        </w:div>
        <w:div w:id="969627158">
          <w:marLeft w:val="0"/>
          <w:marRight w:val="0"/>
          <w:marTop w:val="0"/>
          <w:marBottom w:val="0"/>
          <w:divBdr>
            <w:top w:val="none" w:sz="0" w:space="0" w:color="auto"/>
            <w:left w:val="none" w:sz="0" w:space="0" w:color="auto"/>
            <w:bottom w:val="none" w:sz="0" w:space="0" w:color="auto"/>
            <w:right w:val="none" w:sz="0" w:space="0" w:color="auto"/>
          </w:divBdr>
        </w:div>
        <w:div w:id="566112321">
          <w:marLeft w:val="0"/>
          <w:marRight w:val="0"/>
          <w:marTop w:val="0"/>
          <w:marBottom w:val="0"/>
          <w:divBdr>
            <w:top w:val="none" w:sz="0" w:space="0" w:color="auto"/>
            <w:left w:val="none" w:sz="0" w:space="0" w:color="auto"/>
            <w:bottom w:val="none" w:sz="0" w:space="0" w:color="auto"/>
            <w:right w:val="none" w:sz="0" w:space="0" w:color="auto"/>
          </w:divBdr>
        </w:div>
        <w:div w:id="1412848399">
          <w:marLeft w:val="0"/>
          <w:marRight w:val="0"/>
          <w:marTop w:val="0"/>
          <w:marBottom w:val="0"/>
          <w:divBdr>
            <w:top w:val="none" w:sz="0" w:space="0" w:color="auto"/>
            <w:left w:val="none" w:sz="0" w:space="0" w:color="auto"/>
            <w:bottom w:val="none" w:sz="0" w:space="0" w:color="auto"/>
            <w:right w:val="none" w:sz="0" w:space="0" w:color="auto"/>
          </w:divBdr>
        </w:div>
        <w:div w:id="1968464106">
          <w:marLeft w:val="0"/>
          <w:marRight w:val="0"/>
          <w:marTop w:val="0"/>
          <w:marBottom w:val="0"/>
          <w:divBdr>
            <w:top w:val="none" w:sz="0" w:space="0" w:color="auto"/>
            <w:left w:val="none" w:sz="0" w:space="0" w:color="auto"/>
            <w:bottom w:val="none" w:sz="0" w:space="0" w:color="auto"/>
            <w:right w:val="none" w:sz="0" w:space="0" w:color="auto"/>
          </w:divBdr>
        </w:div>
        <w:div w:id="420370005">
          <w:marLeft w:val="0"/>
          <w:marRight w:val="0"/>
          <w:marTop w:val="0"/>
          <w:marBottom w:val="0"/>
          <w:divBdr>
            <w:top w:val="none" w:sz="0" w:space="0" w:color="auto"/>
            <w:left w:val="none" w:sz="0" w:space="0" w:color="auto"/>
            <w:bottom w:val="none" w:sz="0" w:space="0" w:color="auto"/>
            <w:right w:val="none" w:sz="0" w:space="0" w:color="auto"/>
          </w:divBdr>
        </w:div>
        <w:div w:id="614216404">
          <w:marLeft w:val="0"/>
          <w:marRight w:val="0"/>
          <w:marTop w:val="0"/>
          <w:marBottom w:val="0"/>
          <w:divBdr>
            <w:top w:val="none" w:sz="0" w:space="0" w:color="auto"/>
            <w:left w:val="none" w:sz="0" w:space="0" w:color="auto"/>
            <w:bottom w:val="none" w:sz="0" w:space="0" w:color="auto"/>
            <w:right w:val="none" w:sz="0" w:space="0" w:color="auto"/>
          </w:divBdr>
        </w:div>
        <w:div w:id="325285542">
          <w:marLeft w:val="0"/>
          <w:marRight w:val="0"/>
          <w:marTop w:val="0"/>
          <w:marBottom w:val="0"/>
          <w:divBdr>
            <w:top w:val="none" w:sz="0" w:space="0" w:color="auto"/>
            <w:left w:val="none" w:sz="0" w:space="0" w:color="auto"/>
            <w:bottom w:val="none" w:sz="0" w:space="0" w:color="auto"/>
            <w:right w:val="none" w:sz="0" w:space="0" w:color="auto"/>
          </w:divBdr>
        </w:div>
        <w:div w:id="1666349548">
          <w:marLeft w:val="0"/>
          <w:marRight w:val="0"/>
          <w:marTop w:val="0"/>
          <w:marBottom w:val="0"/>
          <w:divBdr>
            <w:top w:val="none" w:sz="0" w:space="0" w:color="auto"/>
            <w:left w:val="none" w:sz="0" w:space="0" w:color="auto"/>
            <w:bottom w:val="none" w:sz="0" w:space="0" w:color="auto"/>
            <w:right w:val="none" w:sz="0" w:space="0" w:color="auto"/>
          </w:divBdr>
        </w:div>
        <w:div w:id="1999922676">
          <w:marLeft w:val="0"/>
          <w:marRight w:val="0"/>
          <w:marTop w:val="0"/>
          <w:marBottom w:val="0"/>
          <w:divBdr>
            <w:top w:val="none" w:sz="0" w:space="0" w:color="auto"/>
            <w:left w:val="none" w:sz="0" w:space="0" w:color="auto"/>
            <w:bottom w:val="none" w:sz="0" w:space="0" w:color="auto"/>
            <w:right w:val="none" w:sz="0" w:space="0" w:color="auto"/>
          </w:divBdr>
        </w:div>
        <w:div w:id="1721662742">
          <w:marLeft w:val="0"/>
          <w:marRight w:val="0"/>
          <w:marTop w:val="0"/>
          <w:marBottom w:val="0"/>
          <w:divBdr>
            <w:top w:val="none" w:sz="0" w:space="0" w:color="auto"/>
            <w:left w:val="none" w:sz="0" w:space="0" w:color="auto"/>
            <w:bottom w:val="none" w:sz="0" w:space="0" w:color="auto"/>
            <w:right w:val="none" w:sz="0" w:space="0" w:color="auto"/>
          </w:divBdr>
        </w:div>
        <w:div w:id="1742167722">
          <w:marLeft w:val="0"/>
          <w:marRight w:val="0"/>
          <w:marTop w:val="0"/>
          <w:marBottom w:val="0"/>
          <w:divBdr>
            <w:top w:val="none" w:sz="0" w:space="0" w:color="auto"/>
            <w:left w:val="none" w:sz="0" w:space="0" w:color="auto"/>
            <w:bottom w:val="none" w:sz="0" w:space="0" w:color="auto"/>
            <w:right w:val="none" w:sz="0" w:space="0" w:color="auto"/>
          </w:divBdr>
        </w:div>
        <w:div w:id="1396590408">
          <w:marLeft w:val="0"/>
          <w:marRight w:val="0"/>
          <w:marTop w:val="0"/>
          <w:marBottom w:val="0"/>
          <w:divBdr>
            <w:top w:val="none" w:sz="0" w:space="0" w:color="auto"/>
            <w:left w:val="none" w:sz="0" w:space="0" w:color="auto"/>
            <w:bottom w:val="none" w:sz="0" w:space="0" w:color="auto"/>
            <w:right w:val="none" w:sz="0" w:space="0" w:color="auto"/>
          </w:divBdr>
        </w:div>
      </w:divsChild>
    </w:div>
    <w:div w:id="971788378">
      <w:bodyDiv w:val="1"/>
      <w:marLeft w:val="0"/>
      <w:marRight w:val="0"/>
      <w:marTop w:val="0"/>
      <w:marBottom w:val="0"/>
      <w:divBdr>
        <w:top w:val="none" w:sz="0" w:space="0" w:color="auto"/>
        <w:left w:val="none" w:sz="0" w:space="0" w:color="auto"/>
        <w:bottom w:val="none" w:sz="0" w:space="0" w:color="auto"/>
        <w:right w:val="none" w:sz="0" w:space="0" w:color="auto"/>
      </w:divBdr>
      <w:divsChild>
        <w:div w:id="678699448">
          <w:marLeft w:val="0"/>
          <w:marRight w:val="0"/>
          <w:marTop w:val="0"/>
          <w:marBottom w:val="0"/>
          <w:divBdr>
            <w:top w:val="none" w:sz="0" w:space="0" w:color="auto"/>
            <w:left w:val="none" w:sz="0" w:space="0" w:color="auto"/>
            <w:bottom w:val="none" w:sz="0" w:space="0" w:color="auto"/>
            <w:right w:val="none" w:sz="0" w:space="0" w:color="auto"/>
          </w:divBdr>
        </w:div>
        <w:div w:id="828207085">
          <w:marLeft w:val="0"/>
          <w:marRight w:val="0"/>
          <w:marTop w:val="0"/>
          <w:marBottom w:val="0"/>
          <w:divBdr>
            <w:top w:val="none" w:sz="0" w:space="0" w:color="auto"/>
            <w:left w:val="none" w:sz="0" w:space="0" w:color="auto"/>
            <w:bottom w:val="none" w:sz="0" w:space="0" w:color="auto"/>
            <w:right w:val="none" w:sz="0" w:space="0" w:color="auto"/>
          </w:divBdr>
        </w:div>
        <w:div w:id="2015298483">
          <w:marLeft w:val="0"/>
          <w:marRight w:val="0"/>
          <w:marTop w:val="0"/>
          <w:marBottom w:val="0"/>
          <w:divBdr>
            <w:top w:val="none" w:sz="0" w:space="0" w:color="auto"/>
            <w:left w:val="none" w:sz="0" w:space="0" w:color="auto"/>
            <w:bottom w:val="none" w:sz="0" w:space="0" w:color="auto"/>
            <w:right w:val="none" w:sz="0" w:space="0" w:color="auto"/>
          </w:divBdr>
        </w:div>
        <w:div w:id="1743261494">
          <w:marLeft w:val="0"/>
          <w:marRight w:val="0"/>
          <w:marTop w:val="0"/>
          <w:marBottom w:val="0"/>
          <w:divBdr>
            <w:top w:val="none" w:sz="0" w:space="0" w:color="auto"/>
            <w:left w:val="none" w:sz="0" w:space="0" w:color="auto"/>
            <w:bottom w:val="none" w:sz="0" w:space="0" w:color="auto"/>
            <w:right w:val="none" w:sz="0" w:space="0" w:color="auto"/>
          </w:divBdr>
        </w:div>
        <w:div w:id="147334258">
          <w:marLeft w:val="0"/>
          <w:marRight w:val="0"/>
          <w:marTop w:val="0"/>
          <w:marBottom w:val="0"/>
          <w:divBdr>
            <w:top w:val="none" w:sz="0" w:space="0" w:color="auto"/>
            <w:left w:val="none" w:sz="0" w:space="0" w:color="auto"/>
            <w:bottom w:val="none" w:sz="0" w:space="0" w:color="auto"/>
            <w:right w:val="none" w:sz="0" w:space="0" w:color="auto"/>
          </w:divBdr>
        </w:div>
        <w:div w:id="1319382983">
          <w:marLeft w:val="0"/>
          <w:marRight w:val="0"/>
          <w:marTop w:val="0"/>
          <w:marBottom w:val="0"/>
          <w:divBdr>
            <w:top w:val="none" w:sz="0" w:space="0" w:color="auto"/>
            <w:left w:val="none" w:sz="0" w:space="0" w:color="auto"/>
            <w:bottom w:val="none" w:sz="0" w:space="0" w:color="auto"/>
            <w:right w:val="none" w:sz="0" w:space="0" w:color="auto"/>
          </w:divBdr>
        </w:div>
        <w:div w:id="2123453503">
          <w:marLeft w:val="0"/>
          <w:marRight w:val="0"/>
          <w:marTop w:val="0"/>
          <w:marBottom w:val="0"/>
          <w:divBdr>
            <w:top w:val="none" w:sz="0" w:space="0" w:color="auto"/>
            <w:left w:val="none" w:sz="0" w:space="0" w:color="auto"/>
            <w:bottom w:val="none" w:sz="0" w:space="0" w:color="auto"/>
            <w:right w:val="none" w:sz="0" w:space="0" w:color="auto"/>
          </w:divBdr>
        </w:div>
        <w:div w:id="684287557">
          <w:marLeft w:val="0"/>
          <w:marRight w:val="0"/>
          <w:marTop w:val="0"/>
          <w:marBottom w:val="0"/>
          <w:divBdr>
            <w:top w:val="none" w:sz="0" w:space="0" w:color="auto"/>
            <w:left w:val="none" w:sz="0" w:space="0" w:color="auto"/>
            <w:bottom w:val="none" w:sz="0" w:space="0" w:color="auto"/>
            <w:right w:val="none" w:sz="0" w:space="0" w:color="auto"/>
          </w:divBdr>
        </w:div>
        <w:div w:id="2103065786">
          <w:marLeft w:val="0"/>
          <w:marRight w:val="0"/>
          <w:marTop w:val="0"/>
          <w:marBottom w:val="0"/>
          <w:divBdr>
            <w:top w:val="none" w:sz="0" w:space="0" w:color="auto"/>
            <w:left w:val="none" w:sz="0" w:space="0" w:color="auto"/>
            <w:bottom w:val="none" w:sz="0" w:space="0" w:color="auto"/>
            <w:right w:val="none" w:sz="0" w:space="0" w:color="auto"/>
          </w:divBdr>
        </w:div>
      </w:divsChild>
    </w:div>
    <w:div w:id="1094396392">
      <w:bodyDiv w:val="1"/>
      <w:marLeft w:val="0"/>
      <w:marRight w:val="0"/>
      <w:marTop w:val="0"/>
      <w:marBottom w:val="0"/>
      <w:divBdr>
        <w:top w:val="none" w:sz="0" w:space="0" w:color="auto"/>
        <w:left w:val="none" w:sz="0" w:space="0" w:color="auto"/>
        <w:bottom w:val="none" w:sz="0" w:space="0" w:color="auto"/>
        <w:right w:val="none" w:sz="0" w:space="0" w:color="auto"/>
      </w:divBdr>
    </w:div>
    <w:div w:id="1134757819">
      <w:bodyDiv w:val="1"/>
      <w:marLeft w:val="0"/>
      <w:marRight w:val="0"/>
      <w:marTop w:val="0"/>
      <w:marBottom w:val="0"/>
      <w:divBdr>
        <w:top w:val="none" w:sz="0" w:space="0" w:color="auto"/>
        <w:left w:val="none" w:sz="0" w:space="0" w:color="auto"/>
        <w:bottom w:val="none" w:sz="0" w:space="0" w:color="auto"/>
        <w:right w:val="none" w:sz="0" w:space="0" w:color="auto"/>
      </w:divBdr>
      <w:divsChild>
        <w:div w:id="1799185181">
          <w:marLeft w:val="0"/>
          <w:marRight w:val="0"/>
          <w:marTop w:val="0"/>
          <w:marBottom w:val="0"/>
          <w:divBdr>
            <w:top w:val="none" w:sz="0" w:space="0" w:color="auto"/>
            <w:left w:val="none" w:sz="0" w:space="0" w:color="auto"/>
            <w:bottom w:val="none" w:sz="0" w:space="0" w:color="auto"/>
            <w:right w:val="none" w:sz="0" w:space="0" w:color="auto"/>
          </w:divBdr>
        </w:div>
        <w:div w:id="1953970484">
          <w:marLeft w:val="0"/>
          <w:marRight w:val="0"/>
          <w:marTop w:val="0"/>
          <w:marBottom w:val="0"/>
          <w:divBdr>
            <w:top w:val="none" w:sz="0" w:space="0" w:color="auto"/>
            <w:left w:val="none" w:sz="0" w:space="0" w:color="auto"/>
            <w:bottom w:val="none" w:sz="0" w:space="0" w:color="auto"/>
            <w:right w:val="none" w:sz="0" w:space="0" w:color="auto"/>
          </w:divBdr>
        </w:div>
        <w:div w:id="715546829">
          <w:marLeft w:val="0"/>
          <w:marRight w:val="0"/>
          <w:marTop w:val="0"/>
          <w:marBottom w:val="0"/>
          <w:divBdr>
            <w:top w:val="none" w:sz="0" w:space="0" w:color="auto"/>
            <w:left w:val="none" w:sz="0" w:space="0" w:color="auto"/>
            <w:bottom w:val="none" w:sz="0" w:space="0" w:color="auto"/>
            <w:right w:val="none" w:sz="0" w:space="0" w:color="auto"/>
          </w:divBdr>
        </w:div>
        <w:div w:id="729887256">
          <w:marLeft w:val="0"/>
          <w:marRight w:val="0"/>
          <w:marTop w:val="0"/>
          <w:marBottom w:val="0"/>
          <w:divBdr>
            <w:top w:val="none" w:sz="0" w:space="0" w:color="auto"/>
            <w:left w:val="none" w:sz="0" w:space="0" w:color="auto"/>
            <w:bottom w:val="none" w:sz="0" w:space="0" w:color="auto"/>
            <w:right w:val="none" w:sz="0" w:space="0" w:color="auto"/>
          </w:divBdr>
        </w:div>
        <w:div w:id="1733040495">
          <w:marLeft w:val="0"/>
          <w:marRight w:val="0"/>
          <w:marTop w:val="0"/>
          <w:marBottom w:val="0"/>
          <w:divBdr>
            <w:top w:val="none" w:sz="0" w:space="0" w:color="auto"/>
            <w:left w:val="none" w:sz="0" w:space="0" w:color="auto"/>
            <w:bottom w:val="none" w:sz="0" w:space="0" w:color="auto"/>
            <w:right w:val="none" w:sz="0" w:space="0" w:color="auto"/>
          </w:divBdr>
        </w:div>
        <w:div w:id="906381585">
          <w:marLeft w:val="0"/>
          <w:marRight w:val="0"/>
          <w:marTop w:val="0"/>
          <w:marBottom w:val="0"/>
          <w:divBdr>
            <w:top w:val="none" w:sz="0" w:space="0" w:color="auto"/>
            <w:left w:val="none" w:sz="0" w:space="0" w:color="auto"/>
            <w:bottom w:val="none" w:sz="0" w:space="0" w:color="auto"/>
            <w:right w:val="none" w:sz="0" w:space="0" w:color="auto"/>
          </w:divBdr>
        </w:div>
        <w:div w:id="905839827">
          <w:marLeft w:val="0"/>
          <w:marRight w:val="0"/>
          <w:marTop w:val="0"/>
          <w:marBottom w:val="0"/>
          <w:divBdr>
            <w:top w:val="none" w:sz="0" w:space="0" w:color="auto"/>
            <w:left w:val="none" w:sz="0" w:space="0" w:color="auto"/>
            <w:bottom w:val="none" w:sz="0" w:space="0" w:color="auto"/>
            <w:right w:val="none" w:sz="0" w:space="0" w:color="auto"/>
          </w:divBdr>
        </w:div>
        <w:div w:id="459344655">
          <w:marLeft w:val="0"/>
          <w:marRight w:val="0"/>
          <w:marTop w:val="0"/>
          <w:marBottom w:val="0"/>
          <w:divBdr>
            <w:top w:val="none" w:sz="0" w:space="0" w:color="auto"/>
            <w:left w:val="none" w:sz="0" w:space="0" w:color="auto"/>
            <w:bottom w:val="none" w:sz="0" w:space="0" w:color="auto"/>
            <w:right w:val="none" w:sz="0" w:space="0" w:color="auto"/>
          </w:divBdr>
        </w:div>
        <w:div w:id="1461267299">
          <w:marLeft w:val="0"/>
          <w:marRight w:val="0"/>
          <w:marTop w:val="0"/>
          <w:marBottom w:val="0"/>
          <w:divBdr>
            <w:top w:val="none" w:sz="0" w:space="0" w:color="auto"/>
            <w:left w:val="none" w:sz="0" w:space="0" w:color="auto"/>
            <w:bottom w:val="none" w:sz="0" w:space="0" w:color="auto"/>
            <w:right w:val="none" w:sz="0" w:space="0" w:color="auto"/>
          </w:divBdr>
        </w:div>
        <w:div w:id="371006551">
          <w:marLeft w:val="0"/>
          <w:marRight w:val="0"/>
          <w:marTop w:val="0"/>
          <w:marBottom w:val="0"/>
          <w:divBdr>
            <w:top w:val="none" w:sz="0" w:space="0" w:color="auto"/>
            <w:left w:val="none" w:sz="0" w:space="0" w:color="auto"/>
            <w:bottom w:val="none" w:sz="0" w:space="0" w:color="auto"/>
            <w:right w:val="none" w:sz="0" w:space="0" w:color="auto"/>
          </w:divBdr>
        </w:div>
      </w:divsChild>
    </w:div>
    <w:div w:id="1148283916">
      <w:bodyDiv w:val="1"/>
      <w:marLeft w:val="0"/>
      <w:marRight w:val="0"/>
      <w:marTop w:val="0"/>
      <w:marBottom w:val="0"/>
      <w:divBdr>
        <w:top w:val="none" w:sz="0" w:space="0" w:color="auto"/>
        <w:left w:val="none" w:sz="0" w:space="0" w:color="auto"/>
        <w:bottom w:val="none" w:sz="0" w:space="0" w:color="auto"/>
        <w:right w:val="none" w:sz="0" w:space="0" w:color="auto"/>
      </w:divBdr>
      <w:divsChild>
        <w:div w:id="1992826011">
          <w:marLeft w:val="0"/>
          <w:marRight w:val="0"/>
          <w:marTop w:val="0"/>
          <w:marBottom w:val="0"/>
          <w:divBdr>
            <w:top w:val="none" w:sz="0" w:space="0" w:color="auto"/>
            <w:left w:val="none" w:sz="0" w:space="0" w:color="auto"/>
            <w:bottom w:val="none" w:sz="0" w:space="0" w:color="auto"/>
            <w:right w:val="none" w:sz="0" w:space="0" w:color="auto"/>
          </w:divBdr>
        </w:div>
        <w:div w:id="2103867809">
          <w:marLeft w:val="0"/>
          <w:marRight w:val="0"/>
          <w:marTop w:val="0"/>
          <w:marBottom w:val="0"/>
          <w:divBdr>
            <w:top w:val="none" w:sz="0" w:space="0" w:color="auto"/>
            <w:left w:val="none" w:sz="0" w:space="0" w:color="auto"/>
            <w:bottom w:val="none" w:sz="0" w:space="0" w:color="auto"/>
            <w:right w:val="none" w:sz="0" w:space="0" w:color="auto"/>
          </w:divBdr>
        </w:div>
      </w:divsChild>
    </w:div>
    <w:div w:id="1184053977">
      <w:bodyDiv w:val="1"/>
      <w:marLeft w:val="0"/>
      <w:marRight w:val="0"/>
      <w:marTop w:val="0"/>
      <w:marBottom w:val="0"/>
      <w:divBdr>
        <w:top w:val="none" w:sz="0" w:space="0" w:color="auto"/>
        <w:left w:val="none" w:sz="0" w:space="0" w:color="auto"/>
        <w:bottom w:val="none" w:sz="0" w:space="0" w:color="auto"/>
        <w:right w:val="none" w:sz="0" w:space="0" w:color="auto"/>
      </w:divBdr>
      <w:divsChild>
        <w:div w:id="1416049303">
          <w:marLeft w:val="0"/>
          <w:marRight w:val="0"/>
          <w:marTop w:val="0"/>
          <w:marBottom w:val="0"/>
          <w:divBdr>
            <w:top w:val="none" w:sz="0" w:space="0" w:color="auto"/>
            <w:left w:val="none" w:sz="0" w:space="0" w:color="auto"/>
            <w:bottom w:val="none" w:sz="0" w:space="0" w:color="auto"/>
            <w:right w:val="none" w:sz="0" w:space="0" w:color="auto"/>
          </w:divBdr>
        </w:div>
        <w:div w:id="1943612711">
          <w:marLeft w:val="0"/>
          <w:marRight w:val="0"/>
          <w:marTop w:val="0"/>
          <w:marBottom w:val="0"/>
          <w:divBdr>
            <w:top w:val="none" w:sz="0" w:space="0" w:color="auto"/>
            <w:left w:val="none" w:sz="0" w:space="0" w:color="auto"/>
            <w:bottom w:val="none" w:sz="0" w:space="0" w:color="auto"/>
            <w:right w:val="none" w:sz="0" w:space="0" w:color="auto"/>
          </w:divBdr>
        </w:div>
        <w:div w:id="1036780661">
          <w:marLeft w:val="0"/>
          <w:marRight w:val="0"/>
          <w:marTop w:val="0"/>
          <w:marBottom w:val="0"/>
          <w:divBdr>
            <w:top w:val="none" w:sz="0" w:space="0" w:color="auto"/>
            <w:left w:val="none" w:sz="0" w:space="0" w:color="auto"/>
            <w:bottom w:val="none" w:sz="0" w:space="0" w:color="auto"/>
            <w:right w:val="none" w:sz="0" w:space="0" w:color="auto"/>
          </w:divBdr>
        </w:div>
        <w:div w:id="333805055">
          <w:marLeft w:val="0"/>
          <w:marRight w:val="0"/>
          <w:marTop w:val="0"/>
          <w:marBottom w:val="0"/>
          <w:divBdr>
            <w:top w:val="none" w:sz="0" w:space="0" w:color="auto"/>
            <w:left w:val="none" w:sz="0" w:space="0" w:color="auto"/>
            <w:bottom w:val="none" w:sz="0" w:space="0" w:color="auto"/>
            <w:right w:val="none" w:sz="0" w:space="0" w:color="auto"/>
          </w:divBdr>
        </w:div>
        <w:div w:id="1423867625">
          <w:marLeft w:val="0"/>
          <w:marRight w:val="0"/>
          <w:marTop w:val="0"/>
          <w:marBottom w:val="0"/>
          <w:divBdr>
            <w:top w:val="none" w:sz="0" w:space="0" w:color="auto"/>
            <w:left w:val="none" w:sz="0" w:space="0" w:color="auto"/>
            <w:bottom w:val="none" w:sz="0" w:space="0" w:color="auto"/>
            <w:right w:val="none" w:sz="0" w:space="0" w:color="auto"/>
          </w:divBdr>
        </w:div>
        <w:div w:id="1774126319">
          <w:marLeft w:val="0"/>
          <w:marRight w:val="0"/>
          <w:marTop w:val="0"/>
          <w:marBottom w:val="0"/>
          <w:divBdr>
            <w:top w:val="none" w:sz="0" w:space="0" w:color="auto"/>
            <w:left w:val="none" w:sz="0" w:space="0" w:color="auto"/>
            <w:bottom w:val="none" w:sz="0" w:space="0" w:color="auto"/>
            <w:right w:val="none" w:sz="0" w:space="0" w:color="auto"/>
          </w:divBdr>
        </w:div>
        <w:div w:id="1267080381">
          <w:marLeft w:val="0"/>
          <w:marRight w:val="0"/>
          <w:marTop w:val="0"/>
          <w:marBottom w:val="0"/>
          <w:divBdr>
            <w:top w:val="none" w:sz="0" w:space="0" w:color="auto"/>
            <w:left w:val="none" w:sz="0" w:space="0" w:color="auto"/>
            <w:bottom w:val="none" w:sz="0" w:space="0" w:color="auto"/>
            <w:right w:val="none" w:sz="0" w:space="0" w:color="auto"/>
          </w:divBdr>
        </w:div>
        <w:div w:id="497965625">
          <w:marLeft w:val="0"/>
          <w:marRight w:val="0"/>
          <w:marTop w:val="0"/>
          <w:marBottom w:val="0"/>
          <w:divBdr>
            <w:top w:val="none" w:sz="0" w:space="0" w:color="auto"/>
            <w:left w:val="none" w:sz="0" w:space="0" w:color="auto"/>
            <w:bottom w:val="none" w:sz="0" w:space="0" w:color="auto"/>
            <w:right w:val="none" w:sz="0" w:space="0" w:color="auto"/>
          </w:divBdr>
        </w:div>
        <w:div w:id="1667709019">
          <w:marLeft w:val="0"/>
          <w:marRight w:val="0"/>
          <w:marTop w:val="0"/>
          <w:marBottom w:val="0"/>
          <w:divBdr>
            <w:top w:val="none" w:sz="0" w:space="0" w:color="auto"/>
            <w:left w:val="none" w:sz="0" w:space="0" w:color="auto"/>
            <w:bottom w:val="none" w:sz="0" w:space="0" w:color="auto"/>
            <w:right w:val="none" w:sz="0" w:space="0" w:color="auto"/>
          </w:divBdr>
        </w:div>
        <w:div w:id="98373495">
          <w:marLeft w:val="0"/>
          <w:marRight w:val="0"/>
          <w:marTop w:val="0"/>
          <w:marBottom w:val="0"/>
          <w:divBdr>
            <w:top w:val="none" w:sz="0" w:space="0" w:color="auto"/>
            <w:left w:val="none" w:sz="0" w:space="0" w:color="auto"/>
            <w:bottom w:val="none" w:sz="0" w:space="0" w:color="auto"/>
            <w:right w:val="none" w:sz="0" w:space="0" w:color="auto"/>
          </w:divBdr>
        </w:div>
        <w:div w:id="1132558640">
          <w:marLeft w:val="0"/>
          <w:marRight w:val="0"/>
          <w:marTop w:val="0"/>
          <w:marBottom w:val="0"/>
          <w:divBdr>
            <w:top w:val="none" w:sz="0" w:space="0" w:color="auto"/>
            <w:left w:val="none" w:sz="0" w:space="0" w:color="auto"/>
            <w:bottom w:val="none" w:sz="0" w:space="0" w:color="auto"/>
            <w:right w:val="none" w:sz="0" w:space="0" w:color="auto"/>
          </w:divBdr>
        </w:div>
        <w:div w:id="1386879363">
          <w:marLeft w:val="0"/>
          <w:marRight w:val="0"/>
          <w:marTop w:val="0"/>
          <w:marBottom w:val="0"/>
          <w:divBdr>
            <w:top w:val="none" w:sz="0" w:space="0" w:color="auto"/>
            <w:left w:val="none" w:sz="0" w:space="0" w:color="auto"/>
            <w:bottom w:val="none" w:sz="0" w:space="0" w:color="auto"/>
            <w:right w:val="none" w:sz="0" w:space="0" w:color="auto"/>
          </w:divBdr>
        </w:div>
        <w:div w:id="1141460333">
          <w:marLeft w:val="0"/>
          <w:marRight w:val="0"/>
          <w:marTop w:val="0"/>
          <w:marBottom w:val="0"/>
          <w:divBdr>
            <w:top w:val="none" w:sz="0" w:space="0" w:color="auto"/>
            <w:left w:val="none" w:sz="0" w:space="0" w:color="auto"/>
            <w:bottom w:val="none" w:sz="0" w:space="0" w:color="auto"/>
            <w:right w:val="none" w:sz="0" w:space="0" w:color="auto"/>
          </w:divBdr>
        </w:div>
        <w:div w:id="1907647839">
          <w:marLeft w:val="0"/>
          <w:marRight w:val="0"/>
          <w:marTop w:val="0"/>
          <w:marBottom w:val="0"/>
          <w:divBdr>
            <w:top w:val="none" w:sz="0" w:space="0" w:color="auto"/>
            <w:left w:val="none" w:sz="0" w:space="0" w:color="auto"/>
            <w:bottom w:val="none" w:sz="0" w:space="0" w:color="auto"/>
            <w:right w:val="none" w:sz="0" w:space="0" w:color="auto"/>
          </w:divBdr>
        </w:div>
        <w:div w:id="98180613">
          <w:marLeft w:val="0"/>
          <w:marRight w:val="0"/>
          <w:marTop w:val="0"/>
          <w:marBottom w:val="0"/>
          <w:divBdr>
            <w:top w:val="none" w:sz="0" w:space="0" w:color="auto"/>
            <w:left w:val="none" w:sz="0" w:space="0" w:color="auto"/>
            <w:bottom w:val="none" w:sz="0" w:space="0" w:color="auto"/>
            <w:right w:val="none" w:sz="0" w:space="0" w:color="auto"/>
          </w:divBdr>
        </w:div>
      </w:divsChild>
    </w:div>
    <w:div w:id="1242956374">
      <w:bodyDiv w:val="1"/>
      <w:marLeft w:val="0"/>
      <w:marRight w:val="0"/>
      <w:marTop w:val="0"/>
      <w:marBottom w:val="0"/>
      <w:divBdr>
        <w:top w:val="none" w:sz="0" w:space="0" w:color="auto"/>
        <w:left w:val="none" w:sz="0" w:space="0" w:color="auto"/>
        <w:bottom w:val="none" w:sz="0" w:space="0" w:color="auto"/>
        <w:right w:val="none" w:sz="0" w:space="0" w:color="auto"/>
      </w:divBdr>
      <w:divsChild>
        <w:div w:id="1841692955">
          <w:marLeft w:val="0"/>
          <w:marRight w:val="0"/>
          <w:marTop w:val="0"/>
          <w:marBottom w:val="0"/>
          <w:divBdr>
            <w:top w:val="none" w:sz="0" w:space="0" w:color="auto"/>
            <w:left w:val="none" w:sz="0" w:space="0" w:color="auto"/>
            <w:bottom w:val="none" w:sz="0" w:space="0" w:color="auto"/>
            <w:right w:val="none" w:sz="0" w:space="0" w:color="auto"/>
          </w:divBdr>
        </w:div>
        <w:div w:id="2141805994">
          <w:marLeft w:val="0"/>
          <w:marRight w:val="0"/>
          <w:marTop w:val="0"/>
          <w:marBottom w:val="0"/>
          <w:divBdr>
            <w:top w:val="none" w:sz="0" w:space="0" w:color="auto"/>
            <w:left w:val="none" w:sz="0" w:space="0" w:color="auto"/>
            <w:bottom w:val="none" w:sz="0" w:space="0" w:color="auto"/>
            <w:right w:val="none" w:sz="0" w:space="0" w:color="auto"/>
          </w:divBdr>
        </w:div>
        <w:div w:id="1656640037">
          <w:marLeft w:val="0"/>
          <w:marRight w:val="0"/>
          <w:marTop w:val="0"/>
          <w:marBottom w:val="0"/>
          <w:divBdr>
            <w:top w:val="none" w:sz="0" w:space="0" w:color="auto"/>
            <w:left w:val="none" w:sz="0" w:space="0" w:color="auto"/>
            <w:bottom w:val="none" w:sz="0" w:space="0" w:color="auto"/>
            <w:right w:val="none" w:sz="0" w:space="0" w:color="auto"/>
          </w:divBdr>
        </w:div>
        <w:div w:id="1924562157">
          <w:marLeft w:val="0"/>
          <w:marRight w:val="0"/>
          <w:marTop w:val="0"/>
          <w:marBottom w:val="0"/>
          <w:divBdr>
            <w:top w:val="none" w:sz="0" w:space="0" w:color="auto"/>
            <w:left w:val="none" w:sz="0" w:space="0" w:color="auto"/>
            <w:bottom w:val="none" w:sz="0" w:space="0" w:color="auto"/>
            <w:right w:val="none" w:sz="0" w:space="0" w:color="auto"/>
          </w:divBdr>
        </w:div>
        <w:div w:id="1212228891">
          <w:marLeft w:val="0"/>
          <w:marRight w:val="0"/>
          <w:marTop w:val="0"/>
          <w:marBottom w:val="0"/>
          <w:divBdr>
            <w:top w:val="none" w:sz="0" w:space="0" w:color="auto"/>
            <w:left w:val="none" w:sz="0" w:space="0" w:color="auto"/>
            <w:bottom w:val="none" w:sz="0" w:space="0" w:color="auto"/>
            <w:right w:val="none" w:sz="0" w:space="0" w:color="auto"/>
          </w:divBdr>
        </w:div>
        <w:div w:id="453405070">
          <w:marLeft w:val="0"/>
          <w:marRight w:val="0"/>
          <w:marTop w:val="0"/>
          <w:marBottom w:val="0"/>
          <w:divBdr>
            <w:top w:val="none" w:sz="0" w:space="0" w:color="auto"/>
            <w:left w:val="none" w:sz="0" w:space="0" w:color="auto"/>
            <w:bottom w:val="none" w:sz="0" w:space="0" w:color="auto"/>
            <w:right w:val="none" w:sz="0" w:space="0" w:color="auto"/>
          </w:divBdr>
        </w:div>
        <w:div w:id="155344238">
          <w:marLeft w:val="0"/>
          <w:marRight w:val="0"/>
          <w:marTop w:val="0"/>
          <w:marBottom w:val="0"/>
          <w:divBdr>
            <w:top w:val="none" w:sz="0" w:space="0" w:color="auto"/>
            <w:left w:val="none" w:sz="0" w:space="0" w:color="auto"/>
            <w:bottom w:val="none" w:sz="0" w:space="0" w:color="auto"/>
            <w:right w:val="none" w:sz="0" w:space="0" w:color="auto"/>
          </w:divBdr>
        </w:div>
        <w:div w:id="1969192726">
          <w:marLeft w:val="0"/>
          <w:marRight w:val="0"/>
          <w:marTop w:val="0"/>
          <w:marBottom w:val="0"/>
          <w:divBdr>
            <w:top w:val="none" w:sz="0" w:space="0" w:color="auto"/>
            <w:left w:val="none" w:sz="0" w:space="0" w:color="auto"/>
            <w:bottom w:val="none" w:sz="0" w:space="0" w:color="auto"/>
            <w:right w:val="none" w:sz="0" w:space="0" w:color="auto"/>
          </w:divBdr>
        </w:div>
        <w:div w:id="337272123">
          <w:marLeft w:val="0"/>
          <w:marRight w:val="0"/>
          <w:marTop w:val="0"/>
          <w:marBottom w:val="0"/>
          <w:divBdr>
            <w:top w:val="none" w:sz="0" w:space="0" w:color="auto"/>
            <w:left w:val="none" w:sz="0" w:space="0" w:color="auto"/>
            <w:bottom w:val="none" w:sz="0" w:space="0" w:color="auto"/>
            <w:right w:val="none" w:sz="0" w:space="0" w:color="auto"/>
          </w:divBdr>
        </w:div>
        <w:div w:id="877206785">
          <w:marLeft w:val="0"/>
          <w:marRight w:val="0"/>
          <w:marTop w:val="0"/>
          <w:marBottom w:val="0"/>
          <w:divBdr>
            <w:top w:val="none" w:sz="0" w:space="0" w:color="auto"/>
            <w:left w:val="none" w:sz="0" w:space="0" w:color="auto"/>
            <w:bottom w:val="none" w:sz="0" w:space="0" w:color="auto"/>
            <w:right w:val="none" w:sz="0" w:space="0" w:color="auto"/>
          </w:divBdr>
        </w:div>
        <w:div w:id="896546845">
          <w:marLeft w:val="0"/>
          <w:marRight w:val="0"/>
          <w:marTop w:val="0"/>
          <w:marBottom w:val="0"/>
          <w:divBdr>
            <w:top w:val="none" w:sz="0" w:space="0" w:color="auto"/>
            <w:left w:val="none" w:sz="0" w:space="0" w:color="auto"/>
            <w:bottom w:val="none" w:sz="0" w:space="0" w:color="auto"/>
            <w:right w:val="none" w:sz="0" w:space="0" w:color="auto"/>
          </w:divBdr>
        </w:div>
      </w:divsChild>
    </w:div>
    <w:div w:id="1384208403">
      <w:bodyDiv w:val="1"/>
      <w:marLeft w:val="0"/>
      <w:marRight w:val="0"/>
      <w:marTop w:val="0"/>
      <w:marBottom w:val="0"/>
      <w:divBdr>
        <w:top w:val="none" w:sz="0" w:space="0" w:color="auto"/>
        <w:left w:val="none" w:sz="0" w:space="0" w:color="auto"/>
        <w:bottom w:val="none" w:sz="0" w:space="0" w:color="auto"/>
        <w:right w:val="none" w:sz="0" w:space="0" w:color="auto"/>
      </w:divBdr>
      <w:divsChild>
        <w:div w:id="953563310">
          <w:marLeft w:val="0"/>
          <w:marRight w:val="0"/>
          <w:marTop w:val="0"/>
          <w:marBottom w:val="0"/>
          <w:divBdr>
            <w:top w:val="none" w:sz="0" w:space="0" w:color="auto"/>
            <w:left w:val="none" w:sz="0" w:space="0" w:color="auto"/>
            <w:bottom w:val="none" w:sz="0" w:space="0" w:color="auto"/>
            <w:right w:val="none" w:sz="0" w:space="0" w:color="auto"/>
          </w:divBdr>
        </w:div>
        <w:div w:id="29888295">
          <w:marLeft w:val="0"/>
          <w:marRight w:val="0"/>
          <w:marTop w:val="0"/>
          <w:marBottom w:val="0"/>
          <w:divBdr>
            <w:top w:val="none" w:sz="0" w:space="0" w:color="auto"/>
            <w:left w:val="none" w:sz="0" w:space="0" w:color="auto"/>
            <w:bottom w:val="none" w:sz="0" w:space="0" w:color="auto"/>
            <w:right w:val="none" w:sz="0" w:space="0" w:color="auto"/>
          </w:divBdr>
        </w:div>
        <w:div w:id="1367218756">
          <w:marLeft w:val="0"/>
          <w:marRight w:val="0"/>
          <w:marTop w:val="0"/>
          <w:marBottom w:val="0"/>
          <w:divBdr>
            <w:top w:val="none" w:sz="0" w:space="0" w:color="auto"/>
            <w:left w:val="none" w:sz="0" w:space="0" w:color="auto"/>
            <w:bottom w:val="none" w:sz="0" w:space="0" w:color="auto"/>
            <w:right w:val="none" w:sz="0" w:space="0" w:color="auto"/>
          </w:divBdr>
        </w:div>
        <w:div w:id="974530421">
          <w:marLeft w:val="0"/>
          <w:marRight w:val="0"/>
          <w:marTop w:val="0"/>
          <w:marBottom w:val="0"/>
          <w:divBdr>
            <w:top w:val="none" w:sz="0" w:space="0" w:color="auto"/>
            <w:left w:val="none" w:sz="0" w:space="0" w:color="auto"/>
            <w:bottom w:val="none" w:sz="0" w:space="0" w:color="auto"/>
            <w:right w:val="none" w:sz="0" w:space="0" w:color="auto"/>
          </w:divBdr>
        </w:div>
        <w:div w:id="905604461">
          <w:marLeft w:val="0"/>
          <w:marRight w:val="0"/>
          <w:marTop w:val="0"/>
          <w:marBottom w:val="0"/>
          <w:divBdr>
            <w:top w:val="none" w:sz="0" w:space="0" w:color="auto"/>
            <w:left w:val="none" w:sz="0" w:space="0" w:color="auto"/>
            <w:bottom w:val="none" w:sz="0" w:space="0" w:color="auto"/>
            <w:right w:val="none" w:sz="0" w:space="0" w:color="auto"/>
          </w:divBdr>
        </w:div>
        <w:div w:id="326370563">
          <w:marLeft w:val="0"/>
          <w:marRight w:val="0"/>
          <w:marTop w:val="0"/>
          <w:marBottom w:val="0"/>
          <w:divBdr>
            <w:top w:val="none" w:sz="0" w:space="0" w:color="auto"/>
            <w:left w:val="none" w:sz="0" w:space="0" w:color="auto"/>
            <w:bottom w:val="none" w:sz="0" w:space="0" w:color="auto"/>
            <w:right w:val="none" w:sz="0" w:space="0" w:color="auto"/>
          </w:divBdr>
        </w:div>
        <w:div w:id="1283150196">
          <w:marLeft w:val="0"/>
          <w:marRight w:val="0"/>
          <w:marTop w:val="0"/>
          <w:marBottom w:val="0"/>
          <w:divBdr>
            <w:top w:val="none" w:sz="0" w:space="0" w:color="auto"/>
            <w:left w:val="none" w:sz="0" w:space="0" w:color="auto"/>
            <w:bottom w:val="none" w:sz="0" w:space="0" w:color="auto"/>
            <w:right w:val="none" w:sz="0" w:space="0" w:color="auto"/>
          </w:divBdr>
        </w:div>
        <w:div w:id="1685329286">
          <w:marLeft w:val="0"/>
          <w:marRight w:val="0"/>
          <w:marTop w:val="0"/>
          <w:marBottom w:val="0"/>
          <w:divBdr>
            <w:top w:val="none" w:sz="0" w:space="0" w:color="auto"/>
            <w:left w:val="none" w:sz="0" w:space="0" w:color="auto"/>
            <w:bottom w:val="none" w:sz="0" w:space="0" w:color="auto"/>
            <w:right w:val="none" w:sz="0" w:space="0" w:color="auto"/>
          </w:divBdr>
        </w:div>
        <w:div w:id="1290474189">
          <w:marLeft w:val="0"/>
          <w:marRight w:val="0"/>
          <w:marTop w:val="0"/>
          <w:marBottom w:val="0"/>
          <w:divBdr>
            <w:top w:val="none" w:sz="0" w:space="0" w:color="auto"/>
            <w:left w:val="none" w:sz="0" w:space="0" w:color="auto"/>
            <w:bottom w:val="none" w:sz="0" w:space="0" w:color="auto"/>
            <w:right w:val="none" w:sz="0" w:space="0" w:color="auto"/>
          </w:divBdr>
        </w:div>
        <w:div w:id="1036614130">
          <w:marLeft w:val="0"/>
          <w:marRight w:val="0"/>
          <w:marTop w:val="0"/>
          <w:marBottom w:val="0"/>
          <w:divBdr>
            <w:top w:val="none" w:sz="0" w:space="0" w:color="auto"/>
            <w:left w:val="none" w:sz="0" w:space="0" w:color="auto"/>
            <w:bottom w:val="none" w:sz="0" w:space="0" w:color="auto"/>
            <w:right w:val="none" w:sz="0" w:space="0" w:color="auto"/>
          </w:divBdr>
        </w:div>
        <w:div w:id="1840195636">
          <w:marLeft w:val="0"/>
          <w:marRight w:val="0"/>
          <w:marTop w:val="0"/>
          <w:marBottom w:val="0"/>
          <w:divBdr>
            <w:top w:val="none" w:sz="0" w:space="0" w:color="auto"/>
            <w:left w:val="none" w:sz="0" w:space="0" w:color="auto"/>
            <w:bottom w:val="none" w:sz="0" w:space="0" w:color="auto"/>
            <w:right w:val="none" w:sz="0" w:space="0" w:color="auto"/>
          </w:divBdr>
        </w:div>
        <w:div w:id="1940868762">
          <w:marLeft w:val="0"/>
          <w:marRight w:val="0"/>
          <w:marTop w:val="0"/>
          <w:marBottom w:val="0"/>
          <w:divBdr>
            <w:top w:val="none" w:sz="0" w:space="0" w:color="auto"/>
            <w:left w:val="none" w:sz="0" w:space="0" w:color="auto"/>
            <w:bottom w:val="none" w:sz="0" w:space="0" w:color="auto"/>
            <w:right w:val="none" w:sz="0" w:space="0" w:color="auto"/>
          </w:divBdr>
        </w:div>
        <w:div w:id="473984945">
          <w:marLeft w:val="0"/>
          <w:marRight w:val="0"/>
          <w:marTop w:val="0"/>
          <w:marBottom w:val="0"/>
          <w:divBdr>
            <w:top w:val="none" w:sz="0" w:space="0" w:color="auto"/>
            <w:left w:val="none" w:sz="0" w:space="0" w:color="auto"/>
            <w:bottom w:val="none" w:sz="0" w:space="0" w:color="auto"/>
            <w:right w:val="none" w:sz="0" w:space="0" w:color="auto"/>
          </w:divBdr>
        </w:div>
        <w:div w:id="1939363079">
          <w:marLeft w:val="0"/>
          <w:marRight w:val="0"/>
          <w:marTop w:val="0"/>
          <w:marBottom w:val="0"/>
          <w:divBdr>
            <w:top w:val="none" w:sz="0" w:space="0" w:color="auto"/>
            <w:left w:val="none" w:sz="0" w:space="0" w:color="auto"/>
            <w:bottom w:val="none" w:sz="0" w:space="0" w:color="auto"/>
            <w:right w:val="none" w:sz="0" w:space="0" w:color="auto"/>
          </w:divBdr>
        </w:div>
        <w:div w:id="297034289">
          <w:marLeft w:val="0"/>
          <w:marRight w:val="0"/>
          <w:marTop w:val="0"/>
          <w:marBottom w:val="0"/>
          <w:divBdr>
            <w:top w:val="none" w:sz="0" w:space="0" w:color="auto"/>
            <w:left w:val="none" w:sz="0" w:space="0" w:color="auto"/>
            <w:bottom w:val="none" w:sz="0" w:space="0" w:color="auto"/>
            <w:right w:val="none" w:sz="0" w:space="0" w:color="auto"/>
          </w:divBdr>
        </w:div>
        <w:div w:id="130904209">
          <w:marLeft w:val="0"/>
          <w:marRight w:val="0"/>
          <w:marTop w:val="0"/>
          <w:marBottom w:val="0"/>
          <w:divBdr>
            <w:top w:val="none" w:sz="0" w:space="0" w:color="auto"/>
            <w:left w:val="none" w:sz="0" w:space="0" w:color="auto"/>
            <w:bottom w:val="none" w:sz="0" w:space="0" w:color="auto"/>
            <w:right w:val="none" w:sz="0" w:space="0" w:color="auto"/>
          </w:divBdr>
        </w:div>
        <w:div w:id="104466248">
          <w:marLeft w:val="0"/>
          <w:marRight w:val="0"/>
          <w:marTop w:val="0"/>
          <w:marBottom w:val="0"/>
          <w:divBdr>
            <w:top w:val="none" w:sz="0" w:space="0" w:color="auto"/>
            <w:left w:val="none" w:sz="0" w:space="0" w:color="auto"/>
            <w:bottom w:val="none" w:sz="0" w:space="0" w:color="auto"/>
            <w:right w:val="none" w:sz="0" w:space="0" w:color="auto"/>
          </w:divBdr>
        </w:div>
        <w:div w:id="1460076707">
          <w:marLeft w:val="0"/>
          <w:marRight w:val="0"/>
          <w:marTop w:val="0"/>
          <w:marBottom w:val="0"/>
          <w:divBdr>
            <w:top w:val="none" w:sz="0" w:space="0" w:color="auto"/>
            <w:left w:val="none" w:sz="0" w:space="0" w:color="auto"/>
            <w:bottom w:val="none" w:sz="0" w:space="0" w:color="auto"/>
            <w:right w:val="none" w:sz="0" w:space="0" w:color="auto"/>
          </w:divBdr>
        </w:div>
        <w:div w:id="114444491">
          <w:marLeft w:val="0"/>
          <w:marRight w:val="0"/>
          <w:marTop w:val="0"/>
          <w:marBottom w:val="0"/>
          <w:divBdr>
            <w:top w:val="none" w:sz="0" w:space="0" w:color="auto"/>
            <w:left w:val="none" w:sz="0" w:space="0" w:color="auto"/>
            <w:bottom w:val="none" w:sz="0" w:space="0" w:color="auto"/>
            <w:right w:val="none" w:sz="0" w:space="0" w:color="auto"/>
          </w:divBdr>
        </w:div>
        <w:div w:id="798494485">
          <w:marLeft w:val="0"/>
          <w:marRight w:val="0"/>
          <w:marTop w:val="0"/>
          <w:marBottom w:val="0"/>
          <w:divBdr>
            <w:top w:val="none" w:sz="0" w:space="0" w:color="auto"/>
            <w:left w:val="none" w:sz="0" w:space="0" w:color="auto"/>
            <w:bottom w:val="none" w:sz="0" w:space="0" w:color="auto"/>
            <w:right w:val="none" w:sz="0" w:space="0" w:color="auto"/>
          </w:divBdr>
        </w:div>
        <w:div w:id="568345296">
          <w:marLeft w:val="0"/>
          <w:marRight w:val="0"/>
          <w:marTop w:val="0"/>
          <w:marBottom w:val="0"/>
          <w:divBdr>
            <w:top w:val="none" w:sz="0" w:space="0" w:color="auto"/>
            <w:left w:val="none" w:sz="0" w:space="0" w:color="auto"/>
            <w:bottom w:val="none" w:sz="0" w:space="0" w:color="auto"/>
            <w:right w:val="none" w:sz="0" w:space="0" w:color="auto"/>
          </w:divBdr>
        </w:div>
        <w:div w:id="1281765037">
          <w:marLeft w:val="0"/>
          <w:marRight w:val="0"/>
          <w:marTop w:val="0"/>
          <w:marBottom w:val="0"/>
          <w:divBdr>
            <w:top w:val="none" w:sz="0" w:space="0" w:color="auto"/>
            <w:left w:val="none" w:sz="0" w:space="0" w:color="auto"/>
            <w:bottom w:val="none" w:sz="0" w:space="0" w:color="auto"/>
            <w:right w:val="none" w:sz="0" w:space="0" w:color="auto"/>
          </w:divBdr>
        </w:div>
        <w:div w:id="838812519">
          <w:marLeft w:val="0"/>
          <w:marRight w:val="0"/>
          <w:marTop w:val="0"/>
          <w:marBottom w:val="0"/>
          <w:divBdr>
            <w:top w:val="none" w:sz="0" w:space="0" w:color="auto"/>
            <w:left w:val="none" w:sz="0" w:space="0" w:color="auto"/>
            <w:bottom w:val="none" w:sz="0" w:space="0" w:color="auto"/>
            <w:right w:val="none" w:sz="0" w:space="0" w:color="auto"/>
          </w:divBdr>
        </w:div>
        <w:div w:id="1840344197">
          <w:marLeft w:val="0"/>
          <w:marRight w:val="0"/>
          <w:marTop w:val="0"/>
          <w:marBottom w:val="0"/>
          <w:divBdr>
            <w:top w:val="none" w:sz="0" w:space="0" w:color="auto"/>
            <w:left w:val="none" w:sz="0" w:space="0" w:color="auto"/>
            <w:bottom w:val="none" w:sz="0" w:space="0" w:color="auto"/>
            <w:right w:val="none" w:sz="0" w:space="0" w:color="auto"/>
          </w:divBdr>
        </w:div>
        <w:div w:id="1624768917">
          <w:marLeft w:val="0"/>
          <w:marRight w:val="0"/>
          <w:marTop w:val="0"/>
          <w:marBottom w:val="0"/>
          <w:divBdr>
            <w:top w:val="none" w:sz="0" w:space="0" w:color="auto"/>
            <w:left w:val="none" w:sz="0" w:space="0" w:color="auto"/>
            <w:bottom w:val="none" w:sz="0" w:space="0" w:color="auto"/>
            <w:right w:val="none" w:sz="0" w:space="0" w:color="auto"/>
          </w:divBdr>
        </w:div>
        <w:div w:id="1059018937">
          <w:marLeft w:val="0"/>
          <w:marRight w:val="0"/>
          <w:marTop w:val="0"/>
          <w:marBottom w:val="0"/>
          <w:divBdr>
            <w:top w:val="none" w:sz="0" w:space="0" w:color="auto"/>
            <w:left w:val="none" w:sz="0" w:space="0" w:color="auto"/>
            <w:bottom w:val="none" w:sz="0" w:space="0" w:color="auto"/>
            <w:right w:val="none" w:sz="0" w:space="0" w:color="auto"/>
          </w:divBdr>
        </w:div>
        <w:div w:id="1174612079">
          <w:marLeft w:val="0"/>
          <w:marRight w:val="0"/>
          <w:marTop w:val="0"/>
          <w:marBottom w:val="0"/>
          <w:divBdr>
            <w:top w:val="none" w:sz="0" w:space="0" w:color="auto"/>
            <w:left w:val="none" w:sz="0" w:space="0" w:color="auto"/>
            <w:bottom w:val="none" w:sz="0" w:space="0" w:color="auto"/>
            <w:right w:val="none" w:sz="0" w:space="0" w:color="auto"/>
          </w:divBdr>
        </w:div>
        <w:div w:id="994378480">
          <w:marLeft w:val="0"/>
          <w:marRight w:val="0"/>
          <w:marTop w:val="0"/>
          <w:marBottom w:val="0"/>
          <w:divBdr>
            <w:top w:val="none" w:sz="0" w:space="0" w:color="auto"/>
            <w:left w:val="none" w:sz="0" w:space="0" w:color="auto"/>
            <w:bottom w:val="none" w:sz="0" w:space="0" w:color="auto"/>
            <w:right w:val="none" w:sz="0" w:space="0" w:color="auto"/>
          </w:divBdr>
        </w:div>
        <w:div w:id="790708684">
          <w:marLeft w:val="0"/>
          <w:marRight w:val="0"/>
          <w:marTop w:val="0"/>
          <w:marBottom w:val="0"/>
          <w:divBdr>
            <w:top w:val="none" w:sz="0" w:space="0" w:color="auto"/>
            <w:left w:val="none" w:sz="0" w:space="0" w:color="auto"/>
            <w:bottom w:val="none" w:sz="0" w:space="0" w:color="auto"/>
            <w:right w:val="none" w:sz="0" w:space="0" w:color="auto"/>
          </w:divBdr>
        </w:div>
        <w:div w:id="1219169565">
          <w:marLeft w:val="0"/>
          <w:marRight w:val="0"/>
          <w:marTop w:val="0"/>
          <w:marBottom w:val="0"/>
          <w:divBdr>
            <w:top w:val="none" w:sz="0" w:space="0" w:color="auto"/>
            <w:left w:val="none" w:sz="0" w:space="0" w:color="auto"/>
            <w:bottom w:val="none" w:sz="0" w:space="0" w:color="auto"/>
            <w:right w:val="none" w:sz="0" w:space="0" w:color="auto"/>
          </w:divBdr>
        </w:div>
        <w:div w:id="221060234">
          <w:marLeft w:val="0"/>
          <w:marRight w:val="0"/>
          <w:marTop w:val="0"/>
          <w:marBottom w:val="0"/>
          <w:divBdr>
            <w:top w:val="none" w:sz="0" w:space="0" w:color="auto"/>
            <w:left w:val="none" w:sz="0" w:space="0" w:color="auto"/>
            <w:bottom w:val="none" w:sz="0" w:space="0" w:color="auto"/>
            <w:right w:val="none" w:sz="0" w:space="0" w:color="auto"/>
          </w:divBdr>
        </w:div>
        <w:div w:id="1811512841">
          <w:marLeft w:val="0"/>
          <w:marRight w:val="0"/>
          <w:marTop w:val="0"/>
          <w:marBottom w:val="0"/>
          <w:divBdr>
            <w:top w:val="none" w:sz="0" w:space="0" w:color="auto"/>
            <w:left w:val="none" w:sz="0" w:space="0" w:color="auto"/>
            <w:bottom w:val="none" w:sz="0" w:space="0" w:color="auto"/>
            <w:right w:val="none" w:sz="0" w:space="0" w:color="auto"/>
          </w:divBdr>
        </w:div>
        <w:div w:id="1503858957">
          <w:marLeft w:val="0"/>
          <w:marRight w:val="0"/>
          <w:marTop w:val="0"/>
          <w:marBottom w:val="0"/>
          <w:divBdr>
            <w:top w:val="none" w:sz="0" w:space="0" w:color="auto"/>
            <w:left w:val="none" w:sz="0" w:space="0" w:color="auto"/>
            <w:bottom w:val="none" w:sz="0" w:space="0" w:color="auto"/>
            <w:right w:val="none" w:sz="0" w:space="0" w:color="auto"/>
          </w:divBdr>
        </w:div>
        <w:div w:id="489760993">
          <w:marLeft w:val="0"/>
          <w:marRight w:val="0"/>
          <w:marTop w:val="0"/>
          <w:marBottom w:val="0"/>
          <w:divBdr>
            <w:top w:val="none" w:sz="0" w:space="0" w:color="auto"/>
            <w:left w:val="none" w:sz="0" w:space="0" w:color="auto"/>
            <w:bottom w:val="none" w:sz="0" w:space="0" w:color="auto"/>
            <w:right w:val="none" w:sz="0" w:space="0" w:color="auto"/>
          </w:divBdr>
        </w:div>
        <w:div w:id="1474634216">
          <w:marLeft w:val="0"/>
          <w:marRight w:val="0"/>
          <w:marTop w:val="0"/>
          <w:marBottom w:val="0"/>
          <w:divBdr>
            <w:top w:val="none" w:sz="0" w:space="0" w:color="auto"/>
            <w:left w:val="none" w:sz="0" w:space="0" w:color="auto"/>
            <w:bottom w:val="none" w:sz="0" w:space="0" w:color="auto"/>
            <w:right w:val="none" w:sz="0" w:space="0" w:color="auto"/>
          </w:divBdr>
        </w:div>
        <w:div w:id="1227763253">
          <w:marLeft w:val="0"/>
          <w:marRight w:val="0"/>
          <w:marTop w:val="0"/>
          <w:marBottom w:val="0"/>
          <w:divBdr>
            <w:top w:val="none" w:sz="0" w:space="0" w:color="auto"/>
            <w:left w:val="none" w:sz="0" w:space="0" w:color="auto"/>
            <w:bottom w:val="none" w:sz="0" w:space="0" w:color="auto"/>
            <w:right w:val="none" w:sz="0" w:space="0" w:color="auto"/>
          </w:divBdr>
        </w:div>
        <w:div w:id="1227036702">
          <w:marLeft w:val="0"/>
          <w:marRight w:val="0"/>
          <w:marTop w:val="0"/>
          <w:marBottom w:val="0"/>
          <w:divBdr>
            <w:top w:val="none" w:sz="0" w:space="0" w:color="auto"/>
            <w:left w:val="none" w:sz="0" w:space="0" w:color="auto"/>
            <w:bottom w:val="none" w:sz="0" w:space="0" w:color="auto"/>
            <w:right w:val="none" w:sz="0" w:space="0" w:color="auto"/>
          </w:divBdr>
        </w:div>
        <w:div w:id="1305163986">
          <w:marLeft w:val="0"/>
          <w:marRight w:val="0"/>
          <w:marTop w:val="0"/>
          <w:marBottom w:val="0"/>
          <w:divBdr>
            <w:top w:val="none" w:sz="0" w:space="0" w:color="auto"/>
            <w:left w:val="none" w:sz="0" w:space="0" w:color="auto"/>
            <w:bottom w:val="none" w:sz="0" w:space="0" w:color="auto"/>
            <w:right w:val="none" w:sz="0" w:space="0" w:color="auto"/>
          </w:divBdr>
        </w:div>
        <w:div w:id="1724479376">
          <w:marLeft w:val="0"/>
          <w:marRight w:val="0"/>
          <w:marTop w:val="0"/>
          <w:marBottom w:val="0"/>
          <w:divBdr>
            <w:top w:val="none" w:sz="0" w:space="0" w:color="auto"/>
            <w:left w:val="none" w:sz="0" w:space="0" w:color="auto"/>
            <w:bottom w:val="none" w:sz="0" w:space="0" w:color="auto"/>
            <w:right w:val="none" w:sz="0" w:space="0" w:color="auto"/>
          </w:divBdr>
        </w:div>
        <w:div w:id="1856336406">
          <w:marLeft w:val="0"/>
          <w:marRight w:val="0"/>
          <w:marTop w:val="0"/>
          <w:marBottom w:val="0"/>
          <w:divBdr>
            <w:top w:val="none" w:sz="0" w:space="0" w:color="auto"/>
            <w:left w:val="none" w:sz="0" w:space="0" w:color="auto"/>
            <w:bottom w:val="none" w:sz="0" w:space="0" w:color="auto"/>
            <w:right w:val="none" w:sz="0" w:space="0" w:color="auto"/>
          </w:divBdr>
        </w:div>
      </w:divsChild>
    </w:div>
    <w:div w:id="1694771265">
      <w:bodyDiv w:val="1"/>
      <w:marLeft w:val="0"/>
      <w:marRight w:val="0"/>
      <w:marTop w:val="0"/>
      <w:marBottom w:val="0"/>
      <w:divBdr>
        <w:top w:val="none" w:sz="0" w:space="0" w:color="auto"/>
        <w:left w:val="none" w:sz="0" w:space="0" w:color="auto"/>
        <w:bottom w:val="none" w:sz="0" w:space="0" w:color="auto"/>
        <w:right w:val="none" w:sz="0" w:space="0" w:color="auto"/>
      </w:divBdr>
      <w:divsChild>
        <w:div w:id="1218853406">
          <w:marLeft w:val="0"/>
          <w:marRight w:val="0"/>
          <w:marTop w:val="0"/>
          <w:marBottom w:val="0"/>
          <w:divBdr>
            <w:top w:val="none" w:sz="0" w:space="0" w:color="auto"/>
            <w:left w:val="none" w:sz="0" w:space="0" w:color="auto"/>
            <w:bottom w:val="none" w:sz="0" w:space="0" w:color="auto"/>
            <w:right w:val="none" w:sz="0" w:space="0" w:color="auto"/>
          </w:divBdr>
        </w:div>
        <w:div w:id="595331183">
          <w:marLeft w:val="0"/>
          <w:marRight w:val="0"/>
          <w:marTop w:val="0"/>
          <w:marBottom w:val="0"/>
          <w:divBdr>
            <w:top w:val="none" w:sz="0" w:space="0" w:color="auto"/>
            <w:left w:val="none" w:sz="0" w:space="0" w:color="auto"/>
            <w:bottom w:val="none" w:sz="0" w:space="0" w:color="auto"/>
            <w:right w:val="none" w:sz="0" w:space="0" w:color="auto"/>
          </w:divBdr>
        </w:div>
        <w:div w:id="125047879">
          <w:marLeft w:val="0"/>
          <w:marRight w:val="0"/>
          <w:marTop w:val="0"/>
          <w:marBottom w:val="0"/>
          <w:divBdr>
            <w:top w:val="none" w:sz="0" w:space="0" w:color="auto"/>
            <w:left w:val="none" w:sz="0" w:space="0" w:color="auto"/>
            <w:bottom w:val="none" w:sz="0" w:space="0" w:color="auto"/>
            <w:right w:val="none" w:sz="0" w:space="0" w:color="auto"/>
          </w:divBdr>
        </w:div>
        <w:div w:id="2078164534">
          <w:marLeft w:val="0"/>
          <w:marRight w:val="0"/>
          <w:marTop w:val="0"/>
          <w:marBottom w:val="0"/>
          <w:divBdr>
            <w:top w:val="none" w:sz="0" w:space="0" w:color="auto"/>
            <w:left w:val="none" w:sz="0" w:space="0" w:color="auto"/>
            <w:bottom w:val="none" w:sz="0" w:space="0" w:color="auto"/>
            <w:right w:val="none" w:sz="0" w:space="0" w:color="auto"/>
          </w:divBdr>
        </w:div>
        <w:div w:id="623968810">
          <w:marLeft w:val="0"/>
          <w:marRight w:val="0"/>
          <w:marTop w:val="0"/>
          <w:marBottom w:val="0"/>
          <w:divBdr>
            <w:top w:val="none" w:sz="0" w:space="0" w:color="auto"/>
            <w:left w:val="none" w:sz="0" w:space="0" w:color="auto"/>
            <w:bottom w:val="none" w:sz="0" w:space="0" w:color="auto"/>
            <w:right w:val="none" w:sz="0" w:space="0" w:color="auto"/>
          </w:divBdr>
        </w:div>
        <w:div w:id="250236274">
          <w:marLeft w:val="0"/>
          <w:marRight w:val="0"/>
          <w:marTop w:val="0"/>
          <w:marBottom w:val="0"/>
          <w:divBdr>
            <w:top w:val="none" w:sz="0" w:space="0" w:color="auto"/>
            <w:left w:val="none" w:sz="0" w:space="0" w:color="auto"/>
            <w:bottom w:val="none" w:sz="0" w:space="0" w:color="auto"/>
            <w:right w:val="none" w:sz="0" w:space="0" w:color="auto"/>
          </w:divBdr>
        </w:div>
        <w:div w:id="507595365">
          <w:marLeft w:val="0"/>
          <w:marRight w:val="0"/>
          <w:marTop w:val="0"/>
          <w:marBottom w:val="0"/>
          <w:divBdr>
            <w:top w:val="none" w:sz="0" w:space="0" w:color="auto"/>
            <w:left w:val="none" w:sz="0" w:space="0" w:color="auto"/>
            <w:bottom w:val="none" w:sz="0" w:space="0" w:color="auto"/>
            <w:right w:val="none" w:sz="0" w:space="0" w:color="auto"/>
          </w:divBdr>
        </w:div>
        <w:div w:id="414521794">
          <w:marLeft w:val="0"/>
          <w:marRight w:val="0"/>
          <w:marTop w:val="0"/>
          <w:marBottom w:val="0"/>
          <w:divBdr>
            <w:top w:val="none" w:sz="0" w:space="0" w:color="auto"/>
            <w:left w:val="none" w:sz="0" w:space="0" w:color="auto"/>
            <w:bottom w:val="none" w:sz="0" w:space="0" w:color="auto"/>
            <w:right w:val="none" w:sz="0" w:space="0" w:color="auto"/>
          </w:divBdr>
        </w:div>
        <w:div w:id="635306415">
          <w:marLeft w:val="0"/>
          <w:marRight w:val="0"/>
          <w:marTop w:val="0"/>
          <w:marBottom w:val="0"/>
          <w:divBdr>
            <w:top w:val="none" w:sz="0" w:space="0" w:color="auto"/>
            <w:left w:val="none" w:sz="0" w:space="0" w:color="auto"/>
            <w:bottom w:val="none" w:sz="0" w:space="0" w:color="auto"/>
            <w:right w:val="none" w:sz="0" w:space="0" w:color="auto"/>
          </w:divBdr>
        </w:div>
        <w:div w:id="614796808">
          <w:marLeft w:val="0"/>
          <w:marRight w:val="0"/>
          <w:marTop w:val="0"/>
          <w:marBottom w:val="0"/>
          <w:divBdr>
            <w:top w:val="none" w:sz="0" w:space="0" w:color="auto"/>
            <w:left w:val="none" w:sz="0" w:space="0" w:color="auto"/>
            <w:bottom w:val="none" w:sz="0" w:space="0" w:color="auto"/>
            <w:right w:val="none" w:sz="0" w:space="0" w:color="auto"/>
          </w:divBdr>
        </w:div>
        <w:div w:id="1550729842">
          <w:marLeft w:val="0"/>
          <w:marRight w:val="0"/>
          <w:marTop w:val="0"/>
          <w:marBottom w:val="0"/>
          <w:divBdr>
            <w:top w:val="none" w:sz="0" w:space="0" w:color="auto"/>
            <w:left w:val="none" w:sz="0" w:space="0" w:color="auto"/>
            <w:bottom w:val="none" w:sz="0" w:space="0" w:color="auto"/>
            <w:right w:val="none" w:sz="0" w:space="0" w:color="auto"/>
          </w:divBdr>
        </w:div>
        <w:div w:id="1035422403">
          <w:marLeft w:val="0"/>
          <w:marRight w:val="0"/>
          <w:marTop w:val="0"/>
          <w:marBottom w:val="0"/>
          <w:divBdr>
            <w:top w:val="none" w:sz="0" w:space="0" w:color="auto"/>
            <w:left w:val="none" w:sz="0" w:space="0" w:color="auto"/>
            <w:bottom w:val="none" w:sz="0" w:space="0" w:color="auto"/>
            <w:right w:val="none" w:sz="0" w:space="0" w:color="auto"/>
          </w:divBdr>
        </w:div>
        <w:div w:id="1050692740">
          <w:marLeft w:val="0"/>
          <w:marRight w:val="0"/>
          <w:marTop w:val="0"/>
          <w:marBottom w:val="0"/>
          <w:divBdr>
            <w:top w:val="none" w:sz="0" w:space="0" w:color="auto"/>
            <w:left w:val="none" w:sz="0" w:space="0" w:color="auto"/>
            <w:bottom w:val="none" w:sz="0" w:space="0" w:color="auto"/>
            <w:right w:val="none" w:sz="0" w:space="0" w:color="auto"/>
          </w:divBdr>
        </w:div>
        <w:div w:id="187572486">
          <w:marLeft w:val="0"/>
          <w:marRight w:val="0"/>
          <w:marTop w:val="0"/>
          <w:marBottom w:val="0"/>
          <w:divBdr>
            <w:top w:val="none" w:sz="0" w:space="0" w:color="auto"/>
            <w:left w:val="none" w:sz="0" w:space="0" w:color="auto"/>
            <w:bottom w:val="none" w:sz="0" w:space="0" w:color="auto"/>
            <w:right w:val="none" w:sz="0" w:space="0" w:color="auto"/>
          </w:divBdr>
        </w:div>
        <w:div w:id="62990611">
          <w:marLeft w:val="0"/>
          <w:marRight w:val="0"/>
          <w:marTop w:val="0"/>
          <w:marBottom w:val="0"/>
          <w:divBdr>
            <w:top w:val="none" w:sz="0" w:space="0" w:color="auto"/>
            <w:left w:val="none" w:sz="0" w:space="0" w:color="auto"/>
            <w:bottom w:val="none" w:sz="0" w:space="0" w:color="auto"/>
            <w:right w:val="none" w:sz="0" w:space="0" w:color="auto"/>
          </w:divBdr>
        </w:div>
      </w:divsChild>
    </w:div>
    <w:div w:id="1757245540">
      <w:bodyDiv w:val="1"/>
      <w:marLeft w:val="0"/>
      <w:marRight w:val="0"/>
      <w:marTop w:val="0"/>
      <w:marBottom w:val="0"/>
      <w:divBdr>
        <w:top w:val="none" w:sz="0" w:space="0" w:color="auto"/>
        <w:left w:val="none" w:sz="0" w:space="0" w:color="auto"/>
        <w:bottom w:val="none" w:sz="0" w:space="0" w:color="auto"/>
        <w:right w:val="none" w:sz="0" w:space="0" w:color="auto"/>
      </w:divBdr>
      <w:divsChild>
        <w:div w:id="167670729">
          <w:marLeft w:val="0"/>
          <w:marRight w:val="0"/>
          <w:marTop w:val="0"/>
          <w:marBottom w:val="0"/>
          <w:divBdr>
            <w:top w:val="none" w:sz="0" w:space="0" w:color="auto"/>
            <w:left w:val="none" w:sz="0" w:space="0" w:color="auto"/>
            <w:bottom w:val="none" w:sz="0" w:space="0" w:color="auto"/>
            <w:right w:val="none" w:sz="0" w:space="0" w:color="auto"/>
          </w:divBdr>
        </w:div>
        <w:div w:id="593589918">
          <w:marLeft w:val="0"/>
          <w:marRight w:val="0"/>
          <w:marTop w:val="0"/>
          <w:marBottom w:val="0"/>
          <w:divBdr>
            <w:top w:val="none" w:sz="0" w:space="0" w:color="auto"/>
            <w:left w:val="none" w:sz="0" w:space="0" w:color="auto"/>
            <w:bottom w:val="none" w:sz="0" w:space="0" w:color="auto"/>
            <w:right w:val="none" w:sz="0" w:space="0" w:color="auto"/>
          </w:divBdr>
        </w:div>
        <w:div w:id="623660672">
          <w:marLeft w:val="0"/>
          <w:marRight w:val="0"/>
          <w:marTop w:val="0"/>
          <w:marBottom w:val="0"/>
          <w:divBdr>
            <w:top w:val="none" w:sz="0" w:space="0" w:color="auto"/>
            <w:left w:val="none" w:sz="0" w:space="0" w:color="auto"/>
            <w:bottom w:val="none" w:sz="0" w:space="0" w:color="auto"/>
            <w:right w:val="none" w:sz="0" w:space="0" w:color="auto"/>
          </w:divBdr>
        </w:div>
        <w:div w:id="676273455">
          <w:marLeft w:val="0"/>
          <w:marRight w:val="0"/>
          <w:marTop w:val="0"/>
          <w:marBottom w:val="0"/>
          <w:divBdr>
            <w:top w:val="none" w:sz="0" w:space="0" w:color="auto"/>
            <w:left w:val="none" w:sz="0" w:space="0" w:color="auto"/>
            <w:bottom w:val="none" w:sz="0" w:space="0" w:color="auto"/>
            <w:right w:val="none" w:sz="0" w:space="0" w:color="auto"/>
          </w:divBdr>
        </w:div>
        <w:div w:id="766270977">
          <w:marLeft w:val="0"/>
          <w:marRight w:val="0"/>
          <w:marTop w:val="0"/>
          <w:marBottom w:val="0"/>
          <w:divBdr>
            <w:top w:val="none" w:sz="0" w:space="0" w:color="auto"/>
            <w:left w:val="none" w:sz="0" w:space="0" w:color="auto"/>
            <w:bottom w:val="none" w:sz="0" w:space="0" w:color="auto"/>
            <w:right w:val="none" w:sz="0" w:space="0" w:color="auto"/>
          </w:divBdr>
        </w:div>
        <w:div w:id="2032487552">
          <w:marLeft w:val="0"/>
          <w:marRight w:val="0"/>
          <w:marTop w:val="0"/>
          <w:marBottom w:val="0"/>
          <w:divBdr>
            <w:top w:val="none" w:sz="0" w:space="0" w:color="auto"/>
            <w:left w:val="none" w:sz="0" w:space="0" w:color="auto"/>
            <w:bottom w:val="none" w:sz="0" w:space="0" w:color="auto"/>
            <w:right w:val="none" w:sz="0" w:space="0" w:color="auto"/>
          </w:divBdr>
        </w:div>
        <w:div w:id="1858303110">
          <w:marLeft w:val="0"/>
          <w:marRight w:val="0"/>
          <w:marTop w:val="0"/>
          <w:marBottom w:val="0"/>
          <w:divBdr>
            <w:top w:val="none" w:sz="0" w:space="0" w:color="auto"/>
            <w:left w:val="none" w:sz="0" w:space="0" w:color="auto"/>
            <w:bottom w:val="none" w:sz="0" w:space="0" w:color="auto"/>
            <w:right w:val="none" w:sz="0" w:space="0" w:color="auto"/>
          </w:divBdr>
        </w:div>
      </w:divsChild>
    </w:div>
    <w:div w:id="1768043855">
      <w:bodyDiv w:val="1"/>
      <w:marLeft w:val="0"/>
      <w:marRight w:val="0"/>
      <w:marTop w:val="0"/>
      <w:marBottom w:val="0"/>
      <w:divBdr>
        <w:top w:val="none" w:sz="0" w:space="0" w:color="auto"/>
        <w:left w:val="none" w:sz="0" w:space="0" w:color="auto"/>
        <w:bottom w:val="none" w:sz="0" w:space="0" w:color="auto"/>
        <w:right w:val="none" w:sz="0" w:space="0" w:color="auto"/>
      </w:divBdr>
    </w:div>
    <w:div w:id="1792934726">
      <w:bodyDiv w:val="1"/>
      <w:marLeft w:val="0"/>
      <w:marRight w:val="0"/>
      <w:marTop w:val="0"/>
      <w:marBottom w:val="0"/>
      <w:divBdr>
        <w:top w:val="none" w:sz="0" w:space="0" w:color="auto"/>
        <w:left w:val="none" w:sz="0" w:space="0" w:color="auto"/>
        <w:bottom w:val="none" w:sz="0" w:space="0" w:color="auto"/>
        <w:right w:val="none" w:sz="0" w:space="0" w:color="auto"/>
      </w:divBdr>
      <w:divsChild>
        <w:div w:id="804588199">
          <w:marLeft w:val="0"/>
          <w:marRight w:val="0"/>
          <w:marTop w:val="0"/>
          <w:marBottom w:val="0"/>
          <w:divBdr>
            <w:top w:val="none" w:sz="0" w:space="0" w:color="auto"/>
            <w:left w:val="none" w:sz="0" w:space="0" w:color="auto"/>
            <w:bottom w:val="none" w:sz="0" w:space="0" w:color="auto"/>
            <w:right w:val="none" w:sz="0" w:space="0" w:color="auto"/>
          </w:divBdr>
        </w:div>
        <w:div w:id="999386120">
          <w:marLeft w:val="0"/>
          <w:marRight w:val="0"/>
          <w:marTop w:val="0"/>
          <w:marBottom w:val="0"/>
          <w:divBdr>
            <w:top w:val="none" w:sz="0" w:space="0" w:color="auto"/>
            <w:left w:val="none" w:sz="0" w:space="0" w:color="auto"/>
            <w:bottom w:val="none" w:sz="0" w:space="0" w:color="auto"/>
            <w:right w:val="none" w:sz="0" w:space="0" w:color="auto"/>
          </w:divBdr>
        </w:div>
        <w:div w:id="406266998">
          <w:marLeft w:val="0"/>
          <w:marRight w:val="0"/>
          <w:marTop w:val="0"/>
          <w:marBottom w:val="0"/>
          <w:divBdr>
            <w:top w:val="none" w:sz="0" w:space="0" w:color="auto"/>
            <w:left w:val="none" w:sz="0" w:space="0" w:color="auto"/>
            <w:bottom w:val="none" w:sz="0" w:space="0" w:color="auto"/>
            <w:right w:val="none" w:sz="0" w:space="0" w:color="auto"/>
          </w:divBdr>
        </w:div>
        <w:div w:id="1563640786">
          <w:marLeft w:val="0"/>
          <w:marRight w:val="0"/>
          <w:marTop w:val="0"/>
          <w:marBottom w:val="0"/>
          <w:divBdr>
            <w:top w:val="none" w:sz="0" w:space="0" w:color="auto"/>
            <w:left w:val="none" w:sz="0" w:space="0" w:color="auto"/>
            <w:bottom w:val="none" w:sz="0" w:space="0" w:color="auto"/>
            <w:right w:val="none" w:sz="0" w:space="0" w:color="auto"/>
          </w:divBdr>
        </w:div>
        <w:div w:id="1884175017">
          <w:marLeft w:val="0"/>
          <w:marRight w:val="0"/>
          <w:marTop w:val="0"/>
          <w:marBottom w:val="0"/>
          <w:divBdr>
            <w:top w:val="none" w:sz="0" w:space="0" w:color="auto"/>
            <w:left w:val="none" w:sz="0" w:space="0" w:color="auto"/>
            <w:bottom w:val="none" w:sz="0" w:space="0" w:color="auto"/>
            <w:right w:val="none" w:sz="0" w:space="0" w:color="auto"/>
          </w:divBdr>
        </w:div>
        <w:div w:id="1862933668">
          <w:marLeft w:val="0"/>
          <w:marRight w:val="0"/>
          <w:marTop w:val="0"/>
          <w:marBottom w:val="0"/>
          <w:divBdr>
            <w:top w:val="none" w:sz="0" w:space="0" w:color="auto"/>
            <w:left w:val="none" w:sz="0" w:space="0" w:color="auto"/>
            <w:bottom w:val="none" w:sz="0" w:space="0" w:color="auto"/>
            <w:right w:val="none" w:sz="0" w:space="0" w:color="auto"/>
          </w:divBdr>
        </w:div>
        <w:div w:id="1221476996">
          <w:marLeft w:val="0"/>
          <w:marRight w:val="0"/>
          <w:marTop w:val="0"/>
          <w:marBottom w:val="0"/>
          <w:divBdr>
            <w:top w:val="none" w:sz="0" w:space="0" w:color="auto"/>
            <w:left w:val="none" w:sz="0" w:space="0" w:color="auto"/>
            <w:bottom w:val="none" w:sz="0" w:space="0" w:color="auto"/>
            <w:right w:val="none" w:sz="0" w:space="0" w:color="auto"/>
          </w:divBdr>
        </w:div>
      </w:divsChild>
    </w:div>
    <w:div w:id="1803695089">
      <w:bodyDiv w:val="1"/>
      <w:marLeft w:val="0"/>
      <w:marRight w:val="0"/>
      <w:marTop w:val="0"/>
      <w:marBottom w:val="0"/>
      <w:divBdr>
        <w:top w:val="none" w:sz="0" w:space="0" w:color="auto"/>
        <w:left w:val="none" w:sz="0" w:space="0" w:color="auto"/>
        <w:bottom w:val="none" w:sz="0" w:space="0" w:color="auto"/>
        <w:right w:val="none" w:sz="0" w:space="0" w:color="auto"/>
      </w:divBdr>
      <w:divsChild>
        <w:div w:id="1064254485">
          <w:marLeft w:val="0"/>
          <w:marRight w:val="0"/>
          <w:marTop w:val="0"/>
          <w:marBottom w:val="0"/>
          <w:divBdr>
            <w:top w:val="none" w:sz="0" w:space="0" w:color="auto"/>
            <w:left w:val="none" w:sz="0" w:space="0" w:color="auto"/>
            <w:bottom w:val="none" w:sz="0" w:space="0" w:color="auto"/>
            <w:right w:val="none" w:sz="0" w:space="0" w:color="auto"/>
          </w:divBdr>
        </w:div>
        <w:div w:id="420374692">
          <w:marLeft w:val="0"/>
          <w:marRight w:val="0"/>
          <w:marTop w:val="0"/>
          <w:marBottom w:val="0"/>
          <w:divBdr>
            <w:top w:val="none" w:sz="0" w:space="0" w:color="auto"/>
            <w:left w:val="none" w:sz="0" w:space="0" w:color="auto"/>
            <w:bottom w:val="none" w:sz="0" w:space="0" w:color="auto"/>
            <w:right w:val="none" w:sz="0" w:space="0" w:color="auto"/>
          </w:divBdr>
        </w:div>
        <w:div w:id="2065712625">
          <w:marLeft w:val="0"/>
          <w:marRight w:val="0"/>
          <w:marTop w:val="0"/>
          <w:marBottom w:val="0"/>
          <w:divBdr>
            <w:top w:val="none" w:sz="0" w:space="0" w:color="auto"/>
            <w:left w:val="none" w:sz="0" w:space="0" w:color="auto"/>
            <w:bottom w:val="none" w:sz="0" w:space="0" w:color="auto"/>
            <w:right w:val="none" w:sz="0" w:space="0" w:color="auto"/>
          </w:divBdr>
        </w:div>
        <w:div w:id="1521624983">
          <w:marLeft w:val="0"/>
          <w:marRight w:val="0"/>
          <w:marTop w:val="0"/>
          <w:marBottom w:val="0"/>
          <w:divBdr>
            <w:top w:val="none" w:sz="0" w:space="0" w:color="auto"/>
            <w:left w:val="none" w:sz="0" w:space="0" w:color="auto"/>
            <w:bottom w:val="none" w:sz="0" w:space="0" w:color="auto"/>
            <w:right w:val="none" w:sz="0" w:space="0" w:color="auto"/>
          </w:divBdr>
        </w:div>
        <w:div w:id="1625623622">
          <w:marLeft w:val="0"/>
          <w:marRight w:val="0"/>
          <w:marTop w:val="0"/>
          <w:marBottom w:val="0"/>
          <w:divBdr>
            <w:top w:val="none" w:sz="0" w:space="0" w:color="auto"/>
            <w:left w:val="none" w:sz="0" w:space="0" w:color="auto"/>
            <w:bottom w:val="none" w:sz="0" w:space="0" w:color="auto"/>
            <w:right w:val="none" w:sz="0" w:space="0" w:color="auto"/>
          </w:divBdr>
        </w:div>
        <w:div w:id="1979146059">
          <w:marLeft w:val="0"/>
          <w:marRight w:val="0"/>
          <w:marTop w:val="0"/>
          <w:marBottom w:val="0"/>
          <w:divBdr>
            <w:top w:val="none" w:sz="0" w:space="0" w:color="auto"/>
            <w:left w:val="none" w:sz="0" w:space="0" w:color="auto"/>
            <w:bottom w:val="none" w:sz="0" w:space="0" w:color="auto"/>
            <w:right w:val="none" w:sz="0" w:space="0" w:color="auto"/>
          </w:divBdr>
        </w:div>
        <w:div w:id="1935278874">
          <w:marLeft w:val="0"/>
          <w:marRight w:val="0"/>
          <w:marTop w:val="0"/>
          <w:marBottom w:val="0"/>
          <w:divBdr>
            <w:top w:val="none" w:sz="0" w:space="0" w:color="auto"/>
            <w:left w:val="none" w:sz="0" w:space="0" w:color="auto"/>
            <w:bottom w:val="none" w:sz="0" w:space="0" w:color="auto"/>
            <w:right w:val="none" w:sz="0" w:space="0" w:color="auto"/>
          </w:divBdr>
        </w:div>
        <w:div w:id="264265046">
          <w:marLeft w:val="0"/>
          <w:marRight w:val="0"/>
          <w:marTop w:val="0"/>
          <w:marBottom w:val="0"/>
          <w:divBdr>
            <w:top w:val="none" w:sz="0" w:space="0" w:color="auto"/>
            <w:left w:val="none" w:sz="0" w:space="0" w:color="auto"/>
            <w:bottom w:val="none" w:sz="0" w:space="0" w:color="auto"/>
            <w:right w:val="none" w:sz="0" w:space="0" w:color="auto"/>
          </w:divBdr>
        </w:div>
        <w:div w:id="1088313290">
          <w:marLeft w:val="0"/>
          <w:marRight w:val="0"/>
          <w:marTop w:val="0"/>
          <w:marBottom w:val="0"/>
          <w:divBdr>
            <w:top w:val="none" w:sz="0" w:space="0" w:color="auto"/>
            <w:left w:val="none" w:sz="0" w:space="0" w:color="auto"/>
            <w:bottom w:val="none" w:sz="0" w:space="0" w:color="auto"/>
            <w:right w:val="none" w:sz="0" w:space="0" w:color="auto"/>
          </w:divBdr>
        </w:div>
        <w:div w:id="1894921731">
          <w:marLeft w:val="0"/>
          <w:marRight w:val="0"/>
          <w:marTop w:val="0"/>
          <w:marBottom w:val="0"/>
          <w:divBdr>
            <w:top w:val="none" w:sz="0" w:space="0" w:color="auto"/>
            <w:left w:val="none" w:sz="0" w:space="0" w:color="auto"/>
            <w:bottom w:val="none" w:sz="0" w:space="0" w:color="auto"/>
            <w:right w:val="none" w:sz="0" w:space="0" w:color="auto"/>
          </w:divBdr>
        </w:div>
        <w:div w:id="919757949">
          <w:marLeft w:val="0"/>
          <w:marRight w:val="0"/>
          <w:marTop w:val="0"/>
          <w:marBottom w:val="0"/>
          <w:divBdr>
            <w:top w:val="none" w:sz="0" w:space="0" w:color="auto"/>
            <w:left w:val="none" w:sz="0" w:space="0" w:color="auto"/>
            <w:bottom w:val="none" w:sz="0" w:space="0" w:color="auto"/>
            <w:right w:val="none" w:sz="0" w:space="0" w:color="auto"/>
          </w:divBdr>
        </w:div>
        <w:div w:id="834951560">
          <w:marLeft w:val="0"/>
          <w:marRight w:val="0"/>
          <w:marTop w:val="0"/>
          <w:marBottom w:val="0"/>
          <w:divBdr>
            <w:top w:val="none" w:sz="0" w:space="0" w:color="auto"/>
            <w:left w:val="none" w:sz="0" w:space="0" w:color="auto"/>
            <w:bottom w:val="none" w:sz="0" w:space="0" w:color="auto"/>
            <w:right w:val="none" w:sz="0" w:space="0" w:color="auto"/>
          </w:divBdr>
        </w:div>
      </w:divsChild>
    </w:div>
    <w:div w:id="2070835021">
      <w:bodyDiv w:val="1"/>
      <w:marLeft w:val="0"/>
      <w:marRight w:val="0"/>
      <w:marTop w:val="0"/>
      <w:marBottom w:val="0"/>
      <w:divBdr>
        <w:top w:val="none" w:sz="0" w:space="0" w:color="auto"/>
        <w:left w:val="none" w:sz="0" w:space="0" w:color="auto"/>
        <w:bottom w:val="none" w:sz="0" w:space="0" w:color="auto"/>
        <w:right w:val="none" w:sz="0" w:space="0" w:color="auto"/>
      </w:divBdr>
      <w:divsChild>
        <w:div w:id="1560819082">
          <w:marLeft w:val="0"/>
          <w:marRight w:val="0"/>
          <w:marTop w:val="0"/>
          <w:marBottom w:val="0"/>
          <w:divBdr>
            <w:top w:val="none" w:sz="0" w:space="0" w:color="auto"/>
            <w:left w:val="none" w:sz="0" w:space="0" w:color="auto"/>
            <w:bottom w:val="none" w:sz="0" w:space="0" w:color="auto"/>
            <w:right w:val="none" w:sz="0" w:space="0" w:color="auto"/>
          </w:divBdr>
        </w:div>
        <w:div w:id="218787141">
          <w:marLeft w:val="0"/>
          <w:marRight w:val="0"/>
          <w:marTop w:val="0"/>
          <w:marBottom w:val="0"/>
          <w:divBdr>
            <w:top w:val="none" w:sz="0" w:space="0" w:color="auto"/>
            <w:left w:val="none" w:sz="0" w:space="0" w:color="auto"/>
            <w:bottom w:val="none" w:sz="0" w:space="0" w:color="auto"/>
            <w:right w:val="none" w:sz="0" w:space="0" w:color="auto"/>
          </w:divBdr>
        </w:div>
        <w:div w:id="433744835">
          <w:marLeft w:val="0"/>
          <w:marRight w:val="0"/>
          <w:marTop w:val="0"/>
          <w:marBottom w:val="0"/>
          <w:divBdr>
            <w:top w:val="none" w:sz="0" w:space="0" w:color="auto"/>
            <w:left w:val="none" w:sz="0" w:space="0" w:color="auto"/>
            <w:bottom w:val="none" w:sz="0" w:space="0" w:color="auto"/>
            <w:right w:val="none" w:sz="0" w:space="0" w:color="auto"/>
          </w:divBdr>
        </w:div>
        <w:div w:id="1362438373">
          <w:marLeft w:val="0"/>
          <w:marRight w:val="0"/>
          <w:marTop w:val="0"/>
          <w:marBottom w:val="0"/>
          <w:divBdr>
            <w:top w:val="none" w:sz="0" w:space="0" w:color="auto"/>
            <w:left w:val="none" w:sz="0" w:space="0" w:color="auto"/>
            <w:bottom w:val="none" w:sz="0" w:space="0" w:color="auto"/>
            <w:right w:val="none" w:sz="0" w:space="0" w:color="auto"/>
          </w:divBdr>
        </w:div>
        <w:div w:id="2045209011">
          <w:marLeft w:val="0"/>
          <w:marRight w:val="0"/>
          <w:marTop w:val="0"/>
          <w:marBottom w:val="0"/>
          <w:divBdr>
            <w:top w:val="none" w:sz="0" w:space="0" w:color="auto"/>
            <w:left w:val="none" w:sz="0" w:space="0" w:color="auto"/>
            <w:bottom w:val="none" w:sz="0" w:space="0" w:color="auto"/>
            <w:right w:val="none" w:sz="0" w:space="0" w:color="auto"/>
          </w:divBdr>
        </w:div>
        <w:div w:id="695429225">
          <w:marLeft w:val="0"/>
          <w:marRight w:val="0"/>
          <w:marTop w:val="0"/>
          <w:marBottom w:val="0"/>
          <w:divBdr>
            <w:top w:val="none" w:sz="0" w:space="0" w:color="auto"/>
            <w:left w:val="none" w:sz="0" w:space="0" w:color="auto"/>
            <w:bottom w:val="none" w:sz="0" w:space="0" w:color="auto"/>
            <w:right w:val="none" w:sz="0" w:space="0" w:color="auto"/>
          </w:divBdr>
        </w:div>
        <w:div w:id="576089562">
          <w:marLeft w:val="0"/>
          <w:marRight w:val="0"/>
          <w:marTop w:val="0"/>
          <w:marBottom w:val="0"/>
          <w:divBdr>
            <w:top w:val="none" w:sz="0" w:space="0" w:color="auto"/>
            <w:left w:val="none" w:sz="0" w:space="0" w:color="auto"/>
            <w:bottom w:val="none" w:sz="0" w:space="0" w:color="auto"/>
            <w:right w:val="none" w:sz="0" w:space="0" w:color="auto"/>
          </w:divBdr>
        </w:div>
        <w:div w:id="1561019961">
          <w:marLeft w:val="0"/>
          <w:marRight w:val="0"/>
          <w:marTop w:val="0"/>
          <w:marBottom w:val="0"/>
          <w:divBdr>
            <w:top w:val="none" w:sz="0" w:space="0" w:color="auto"/>
            <w:left w:val="none" w:sz="0" w:space="0" w:color="auto"/>
            <w:bottom w:val="none" w:sz="0" w:space="0" w:color="auto"/>
            <w:right w:val="none" w:sz="0" w:space="0" w:color="auto"/>
          </w:divBdr>
        </w:div>
        <w:div w:id="406848836">
          <w:marLeft w:val="0"/>
          <w:marRight w:val="0"/>
          <w:marTop w:val="0"/>
          <w:marBottom w:val="0"/>
          <w:divBdr>
            <w:top w:val="none" w:sz="0" w:space="0" w:color="auto"/>
            <w:left w:val="none" w:sz="0" w:space="0" w:color="auto"/>
            <w:bottom w:val="none" w:sz="0" w:space="0" w:color="auto"/>
            <w:right w:val="none" w:sz="0" w:space="0" w:color="auto"/>
          </w:divBdr>
        </w:div>
        <w:div w:id="83495713">
          <w:marLeft w:val="0"/>
          <w:marRight w:val="0"/>
          <w:marTop w:val="0"/>
          <w:marBottom w:val="0"/>
          <w:divBdr>
            <w:top w:val="none" w:sz="0" w:space="0" w:color="auto"/>
            <w:left w:val="none" w:sz="0" w:space="0" w:color="auto"/>
            <w:bottom w:val="none" w:sz="0" w:space="0" w:color="auto"/>
            <w:right w:val="none" w:sz="0" w:space="0" w:color="auto"/>
          </w:divBdr>
        </w:div>
        <w:div w:id="1792631246">
          <w:marLeft w:val="0"/>
          <w:marRight w:val="0"/>
          <w:marTop w:val="0"/>
          <w:marBottom w:val="0"/>
          <w:divBdr>
            <w:top w:val="none" w:sz="0" w:space="0" w:color="auto"/>
            <w:left w:val="none" w:sz="0" w:space="0" w:color="auto"/>
            <w:bottom w:val="none" w:sz="0" w:space="0" w:color="auto"/>
            <w:right w:val="none" w:sz="0" w:space="0" w:color="auto"/>
          </w:divBdr>
        </w:div>
        <w:div w:id="852692538">
          <w:marLeft w:val="0"/>
          <w:marRight w:val="0"/>
          <w:marTop w:val="0"/>
          <w:marBottom w:val="0"/>
          <w:divBdr>
            <w:top w:val="none" w:sz="0" w:space="0" w:color="auto"/>
            <w:left w:val="none" w:sz="0" w:space="0" w:color="auto"/>
            <w:bottom w:val="none" w:sz="0" w:space="0" w:color="auto"/>
            <w:right w:val="none" w:sz="0" w:space="0" w:color="auto"/>
          </w:divBdr>
        </w:div>
        <w:div w:id="1475490793">
          <w:marLeft w:val="0"/>
          <w:marRight w:val="0"/>
          <w:marTop w:val="0"/>
          <w:marBottom w:val="0"/>
          <w:divBdr>
            <w:top w:val="none" w:sz="0" w:space="0" w:color="auto"/>
            <w:left w:val="none" w:sz="0" w:space="0" w:color="auto"/>
            <w:bottom w:val="none" w:sz="0" w:space="0" w:color="auto"/>
            <w:right w:val="none" w:sz="0" w:space="0" w:color="auto"/>
          </w:divBdr>
        </w:div>
        <w:div w:id="196045661">
          <w:marLeft w:val="0"/>
          <w:marRight w:val="0"/>
          <w:marTop w:val="0"/>
          <w:marBottom w:val="0"/>
          <w:divBdr>
            <w:top w:val="none" w:sz="0" w:space="0" w:color="auto"/>
            <w:left w:val="none" w:sz="0" w:space="0" w:color="auto"/>
            <w:bottom w:val="none" w:sz="0" w:space="0" w:color="auto"/>
            <w:right w:val="none" w:sz="0" w:space="0" w:color="auto"/>
          </w:divBdr>
        </w:div>
        <w:div w:id="1825513122">
          <w:marLeft w:val="0"/>
          <w:marRight w:val="0"/>
          <w:marTop w:val="0"/>
          <w:marBottom w:val="0"/>
          <w:divBdr>
            <w:top w:val="none" w:sz="0" w:space="0" w:color="auto"/>
            <w:left w:val="none" w:sz="0" w:space="0" w:color="auto"/>
            <w:bottom w:val="none" w:sz="0" w:space="0" w:color="auto"/>
            <w:right w:val="none" w:sz="0" w:space="0" w:color="auto"/>
          </w:divBdr>
        </w:div>
        <w:div w:id="816414422">
          <w:marLeft w:val="0"/>
          <w:marRight w:val="0"/>
          <w:marTop w:val="0"/>
          <w:marBottom w:val="0"/>
          <w:divBdr>
            <w:top w:val="none" w:sz="0" w:space="0" w:color="auto"/>
            <w:left w:val="none" w:sz="0" w:space="0" w:color="auto"/>
            <w:bottom w:val="none" w:sz="0" w:space="0" w:color="auto"/>
            <w:right w:val="none" w:sz="0" w:space="0" w:color="auto"/>
          </w:divBdr>
        </w:div>
        <w:div w:id="1975867225">
          <w:marLeft w:val="0"/>
          <w:marRight w:val="0"/>
          <w:marTop w:val="0"/>
          <w:marBottom w:val="0"/>
          <w:divBdr>
            <w:top w:val="none" w:sz="0" w:space="0" w:color="auto"/>
            <w:left w:val="none" w:sz="0" w:space="0" w:color="auto"/>
            <w:bottom w:val="none" w:sz="0" w:space="0" w:color="auto"/>
            <w:right w:val="none" w:sz="0" w:space="0" w:color="auto"/>
          </w:divBdr>
        </w:div>
        <w:div w:id="199562309">
          <w:marLeft w:val="0"/>
          <w:marRight w:val="0"/>
          <w:marTop w:val="0"/>
          <w:marBottom w:val="0"/>
          <w:divBdr>
            <w:top w:val="none" w:sz="0" w:space="0" w:color="auto"/>
            <w:left w:val="none" w:sz="0" w:space="0" w:color="auto"/>
            <w:bottom w:val="none" w:sz="0" w:space="0" w:color="auto"/>
            <w:right w:val="none" w:sz="0" w:space="0" w:color="auto"/>
          </w:divBdr>
        </w:div>
        <w:div w:id="596717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diagramData" Target="diagrams/data2.xml"/><Relationship Id="rId26" Type="http://schemas.openxmlformats.org/officeDocument/2006/relationships/diagramColors" Target="diagrams/colors3.xml"/><Relationship Id="rId39" Type="http://schemas.openxmlformats.org/officeDocument/2006/relationships/chart" Target="charts/chart12.xml"/><Relationship Id="rId21" Type="http://schemas.openxmlformats.org/officeDocument/2006/relationships/diagramColors" Target="diagrams/colors2.xml"/><Relationship Id="rId34" Type="http://schemas.openxmlformats.org/officeDocument/2006/relationships/chart" Target="charts/chart7.xml"/><Relationship Id="rId42" Type="http://schemas.openxmlformats.org/officeDocument/2006/relationships/hyperlink" Target="http://ec.europa.eu/civiljustice/bankruptcy/bankruptcy_gen_en.htm" TargetMode="External"/><Relationship Id="rId47" Type="http://schemas.openxmlformats.org/officeDocument/2006/relationships/hyperlink" Target="http://www.lb.lt/statistics/statbrowser.aspx?group=7222" TargetMode="External"/><Relationship Id="rId50" Type="http://schemas.openxmlformats.org/officeDocument/2006/relationships/hyperlink" Target="http://www3.lrs.lt/pls/inter3/dokpaieska.showdoc_l?p_id=454172" TargetMode="External"/><Relationship Id="rId55" Type="http://schemas.openxmlformats.org/officeDocument/2006/relationships/hyperlink" Target="http://www.ozon.ru/person/2823250/" TargetMode="Externa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image" Target="media/image2.png"/><Relationship Id="rId25" Type="http://schemas.openxmlformats.org/officeDocument/2006/relationships/diagramQuickStyle" Target="diagrams/quickStyle3.xml"/><Relationship Id="rId33" Type="http://schemas.openxmlformats.org/officeDocument/2006/relationships/diagramColors" Target="diagrams/colors4.xml"/><Relationship Id="rId38" Type="http://schemas.openxmlformats.org/officeDocument/2006/relationships/chart" Target="charts/chart11.xml"/><Relationship Id="rId46" Type="http://schemas.openxmlformats.org/officeDocument/2006/relationships/hyperlink" Target="http://vddb.library.lt/fedora/get/LT-eLABa-0001:E.02~2007~D_20070816_153211-47644/DS.005.0.01.ETD"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diagramQuickStyle" Target="diagrams/quickStyle2.xml"/><Relationship Id="rId29" Type="http://schemas.openxmlformats.org/officeDocument/2006/relationships/chart" Target="charts/chart6.xml"/><Relationship Id="rId41" Type="http://schemas.openxmlformats.org/officeDocument/2006/relationships/hyperlink" Target="http://www.eurofound.europa.eu/docs/erm/tn0908026s/tn0908026s.pdf" TargetMode="External"/><Relationship Id="rId54" Type="http://schemas.openxmlformats.org/officeDocument/2006/relationships/hyperlink" Target="http://www.ozon.ru/person/316950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diagramLayout" Target="diagrams/layout3.xml"/><Relationship Id="rId32" Type="http://schemas.openxmlformats.org/officeDocument/2006/relationships/diagramQuickStyle" Target="diagrams/quickStyle4.xml"/><Relationship Id="rId37" Type="http://schemas.openxmlformats.org/officeDocument/2006/relationships/chart" Target="charts/chart10.xml"/><Relationship Id="rId40" Type="http://schemas.openxmlformats.org/officeDocument/2006/relationships/hyperlink" Target="http://www.occ.gov/news-issuances/news-releases/2007/nr-occ-2007-123a.pdf" TargetMode="External"/><Relationship Id="rId45" Type="http://schemas.openxmlformats.org/officeDocument/2006/relationships/hyperlink" Target="http://vddb.laba.lt/fedora/get/LT-eLABa-0001:E.02~2009~D_20090608_155210-77655/DS.005.0.01.ETD" TargetMode="External"/><Relationship Id="rId53" Type="http://schemas.openxmlformats.org/officeDocument/2006/relationships/hyperlink" Target="http://www.vva.lt/apie_verslo_etika.pdf"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diagramData" Target="diagrams/data3.xml"/><Relationship Id="rId28" Type="http://schemas.openxmlformats.org/officeDocument/2006/relationships/chart" Target="charts/chart5.xml"/><Relationship Id="rId36" Type="http://schemas.openxmlformats.org/officeDocument/2006/relationships/chart" Target="charts/chart9.xml"/><Relationship Id="rId49" Type="http://schemas.openxmlformats.org/officeDocument/2006/relationships/hyperlink" Target="http://www3.lrs.lt/pls/inter3/dokpaieska.%20showdoc_l?p_id=416456" TargetMode="External"/><Relationship Id="rId57" Type="http://schemas.openxmlformats.org/officeDocument/2006/relationships/header" Target="header2.xml"/><Relationship Id="rId10" Type="http://schemas.openxmlformats.org/officeDocument/2006/relationships/diagramQuickStyle" Target="diagrams/quickStyle1.xml"/><Relationship Id="rId19" Type="http://schemas.openxmlformats.org/officeDocument/2006/relationships/diagramLayout" Target="diagrams/layout2.xml"/><Relationship Id="rId31" Type="http://schemas.openxmlformats.org/officeDocument/2006/relationships/diagramLayout" Target="diagrams/layout4.xml"/><Relationship Id="rId44" Type="http://schemas.openxmlformats.org/officeDocument/2006/relationships/hyperlink" Target="http://www.bankrotodep.lt/Doc/2012_00.pdf" TargetMode="External"/><Relationship Id="rId52" Type="http://schemas.openxmlformats.org/officeDocument/2006/relationships/hyperlink" Target="http://www.osp.stat.gov.lt/web/guest/rodikliai42" TargetMode="Externa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chart" Target="charts/chart2.xml"/><Relationship Id="rId22" Type="http://schemas.openxmlformats.org/officeDocument/2006/relationships/image" Target="media/image3.png"/><Relationship Id="rId27" Type="http://schemas.openxmlformats.org/officeDocument/2006/relationships/image" Target="media/image4.png"/><Relationship Id="rId30" Type="http://schemas.openxmlformats.org/officeDocument/2006/relationships/diagramData" Target="diagrams/data4.xml"/><Relationship Id="rId35" Type="http://schemas.openxmlformats.org/officeDocument/2006/relationships/chart" Target="charts/chart8.xml"/><Relationship Id="rId43" Type="http://schemas.openxmlformats.org/officeDocument/2006/relationships/hyperlink" Target="http://vddb.library.lt/fedora/get/LT-eLABa-0001:E.02~2007~D_20070816_155859-25326/DS.005.0.01.ETD" TargetMode="External"/><Relationship Id="rId48" Type="http://schemas.openxmlformats.org/officeDocument/2006/relationships/hyperlink" Target="http://www3.lrs.lt/pls/inter3/dokpaieska.showdoc_l?p_id=417236" TargetMode="External"/><Relationship Id="rId56" Type="http://schemas.openxmlformats.org/officeDocument/2006/relationships/hyperlink" Target="http://www.ozon.ru/person/2442007/" TargetMode="External"/><Relationship Id="rId8" Type="http://schemas.openxmlformats.org/officeDocument/2006/relationships/diagramData" Target="diagrams/data1.xml"/><Relationship Id="rId51" Type="http://schemas.openxmlformats.org/officeDocument/2006/relationships/hyperlink" Target="http://www.stat.gov.lt/web/guest/statistiniu-rodikliu-analize?id=2242&amp;status=A" TargetMode="Externa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Evelina\Desktop\grafika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Evelina\AppData\Local\Temp\Eksportuota_matricine_lentele.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Evelina\AppData\Local\Temp\excel.aspx.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8"/>
  <c:chart>
    <c:autoTitleDeleted val="1"/>
    <c:plotArea>
      <c:layout>
        <c:manualLayout>
          <c:layoutTarget val="inner"/>
          <c:xMode val="edge"/>
          <c:yMode val="edge"/>
          <c:x val="9.1034403527843352E-2"/>
          <c:y val="5.8743490397034179E-2"/>
          <c:w val="0.88427423844746855"/>
          <c:h val="0.58501812273465315"/>
        </c:manualLayout>
      </c:layout>
      <c:lineChart>
        <c:grouping val="standard"/>
        <c:ser>
          <c:idx val="0"/>
          <c:order val="0"/>
          <c:tx>
            <c:strRef>
              <c:f>Sheet1!$B$1</c:f>
              <c:strCache>
                <c:ptCount val="1"/>
                <c:pt idx="0">
                  <c:v>Pradėti bankroto procesai</c:v>
                </c:pt>
              </c:strCache>
            </c:strRef>
          </c:tx>
          <c:dLbls>
            <c:dLbl>
              <c:idx val="0"/>
              <c:layout>
                <c:manualLayout>
                  <c:x val="1.5712682379349044E-2"/>
                  <c:y val="-0.10582010582010599"/>
                </c:manualLayout>
              </c:layout>
              <c:showVal val="1"/>
            </c:dLbl>
            <c:dLbl>
              <c:idx val="1"/>
              <c:layout>
                <c:manualLayout>
                  <c:x val="8.9786756453423266E-3"/>
                  <c:y val="-7.936507936507943E-2"/>
                </c:manualLayout>
              </c:layout>
              <c:showVal val="1"/>
            </c:dLbl>
            <c:dLbl>
              <c:idx val="2"/>
              <c:layout>
                <c:manualLayout>
                  <c:x val="6.7340067340067823E-3"/>
                  <c:y val="-6.8783068783068779E-2"/>
                </c:manualLayout>
              </c:layout>
              <c:showVal val="1"/>
            </c:dLbl>
            <c:dLbl>
              <c:idx val="3"/>
              <c:layout>
                <c:manualLayout>
                  <c:x val="2.2446689113355812E-3"/>
                  <c:y val="-7.936507936507943E-2"/>
                </c:manualLayout>
              </c:layout>
              <c:showVal val="1"/>
            </c:dLbl>
            <c:dLbl>
              <c:idx val="4"/>
              <c:layout>
                <c:manualLayout>
                  <c:x val="0"/>
                  <c:y val="-5.8201058201058045E-2"/>
                </c:manualLayout>
              </c:layout>
              <c:showVal val="1"/>
            </c:dLbl>
            <c:dLbl>
              <c:idx val="5"/>
              <c:layout>
                <c:manualLayout>
                  <c:x val="-6.7340067340067823E-3"/>
                  <c:y val="-9.5238095238095746E-2"/>
                </c:manualLayout>
              </c:layout>
              <c:showVal val="1"/>
            </c:dLbl>
            <c:dLbl>
              <c:idx val="6"/>
              <c:layout>
                <c:manualLayout>
                  <c:x val="-2.0202020202020211E-2"/>
                  <c:y val="-0.11640211640211676"/>
                </c:manualLayout>
              </c:layout>
              <c:showVal val="1"/>
            </c:dLbl>
            <c:dLbl>
              <c:idx val="7"/>
              <c:layout>
                <c:manualLayout>
                  <c:x val="-1.7957351290684768E-2"/>
                  <c:y val="-0.11111111111111138"/>
                </c:manualLayout>
              </c:layout>
              <c:showVal val="1"/>
            </c:dLbl>
            <c:dLbl>
              <c:idx val="8"/>
              <c:layout>
                <c:manualLayout>
                  <c:x val="0"/>
                  <c:y val="-0.14285714285714463"/>
                </c:manualLayout>
              </c:layout>
              <c:showVal val="1"/>
            </c:dLbl>
            <c:dLbl>
              <c:idx val="9"/>
              <c:layout>
                <c:manualLayout>
                  <c:x val="1.1223344556677889E-2"/>
                  <c:y val="0.12169312169312248"/>
                </c:manualLayout>
              </c:layout>
              <c:showVal val="1"/>
            </c:dLbl>
            <c:dLbl>
              <c:idx val="10"/>
              <c:layout>
                <c:manualLayout>
                  <c:x val="0"/>
                  <c:y val="-0.10052910052910052"/>
                </c:manualLayout>
              </c:layout>
              <c:showVal val="1"/>
            </c:dLbl>
            <c:dLbl>
              <c:idx val="11"/>
              <c:layout>
                <c:manualLayout>
                  <c:x val="-8.2303575971041563E-17"/>
                  <c:y val="-8.4656084656085248E-2"/>
                </c:manualLayout>
              </c:layout>
              <c:showVal val="1"/>
            </c:dLbl>
            <c:dLbl>
              <c:idx val="12"/>
              <c:layout>
                <c:manualLayout>
                  <c:x val="2.2446689113355812E-3"/>
                  <c:y val="-6.8783068783068835E-2"/>
                </c:manualLayout>
              </c:layout>
              <c:showVal val="1"/>
            </c:dLbl>
            <c:dLbl>
              <c:idx val="13"/>
              <c:layout>
                <c:manualLayout>
                  <c:x val="8.9786756453423266E-3"/>
                  <c:y val="0.11111111111111145"/>
                </c:manualLayout>
              </c:layout>
              <c:showVal val="1"/>
            </c:dLbl>
            <c:dLbl>
              <c:idx val="14"/>
              <c:layout>
                <c:manualLayout>
                  <c:x val="-2.0202020202020211E-2"/>
                  <c:y val="-0.16402116402116473"/>
                </c:manualLayout>
              </c:layout>
              <c:showVal val="1"/>
            </c:dLbl>
            <c:dLbl>
              <c:idx val="16"/>
              <c:layout>
                <c:manualLayout>
                  <c:x val="-4.4893378226712188E-2"/>
                  <c:y val="-6.349206349206353E-2"/>
                </c:manualLayout>
              </c:layout>
              <c:showVal val="1"/>
            </c:dLbl>
            <c:dLbl>
              <c:idx val="17"/>
              <c:layout>
                <c:manualLayout>
                  <c:x val="-1.5712682379349044E-2"/>
                  <c:y val="-4.2328042328042333E-2"/>
                </c:manualLayout>
              </c:layout>
              <c:showVal val="1"/>
            </c:dLbl>
            <c:dLbl>
              <c:idx val="18"/>
              <c:layout>
                <c:manualLayout>
                  <c:x val="-3.3670033670033926E-2"/>
                  <c:y val="-5.2910052910052977E-2"/>
                </c:manualLayout>
              </c:layout>
              <c:showVal val="1"/>
            </c:dLbl>
            <c:dLbl>
              <c:idx val="19"/>
              <c:layout>
                <c:manualLayout>
                  <c:x val="0"/>
                  <c:y val="-5.8201058201058045E-2"/>
                </c:manualLayout>
              </c:layout>
              <c:showVal val="1"/>
            </c:dLbl>
            <c:txPr>
              <a:bodyPr/>
              <a:lstStyle/>
              <a:p>
                <a:pPr>
                  <a:defRPr>
                    <a:latin typeface="Times New Roman" pitchFamily="18" charset="0"/>
                    <a:cs typeface="Times New Roman" pitchFamily="18" charset="0"/>
                  </a:defRPr>
                </a:pPr>
                <a:endParaRPr lang="en-US"/>
              </a:p>
            </c:txPr>
            <c:showVal val="1"/>
          </c:dLbls>
          <c:cat>
            <c:numRef>
              <c:f>Sheet1!$A$2:$A$21</c:f>
              <c:numCache>
                <c:formatCode>General</c:formatCode>
                <c:ptCount val="20"/>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pt idx="18">
                  <c:v>2011</c:v>
                </c:pt>
                <c:pt idx="19">
                  <c:v>2012</c:v>
                </c:pt>
              </c:numCache>
            </c:numRef>
          </c:cat>
          <c:val>
            <c:numRef>
              <c:f>Sheet1!$B$2:$B$21</c:f>
              <c:numCache>
                <c:formatCode>General</c:formatCode>
                <c:ptCount val="20"/>
                <c:pt idx="0">
                  <c:v>6</c:v>
                </c:pt>
                <c:pt idx="1">
                  <c:v>27</c:v>
                </c:pt>
                <c:pt idx="2">
                  <c:v>37</c:v>
                </c:pt>
                <c:pt idx="3">
                  <c:v>78</c:v>
                </c:pt>
                <c:pt idx="4">
                  <c:v>107</c:v>
                </c:pt>
                <c:pt idx="5">
                  <c:v>98</c:v>
                </c:pt>
                <c:pt idx="6">
                  <c:v>247</c:v>
                </c:pt>
                <c:pt idx="7">
                  <c:v>415</c:v>
                </c:pt>
                <c:pt idx="8">
                  <c:v>590</c:v>
                </c:pt>
                <c:pt idx="9">
                  <c:v>799</c:v>
                </c:pt>
                <c:pt idx="10">
                  <c:v>621</c:v>
                </c:pt>
                <c:pt idx="11">
                  <c:v>709</c:v>
                </c:pt>
                <c:pt idx="12">
                  <c:v>773</c:v>
                </c:pt>
                <c:pt idx="13">
                  <c:v>759</c:v>
                </c:pt>
                <c:pt idx="14">
                  <c:v>606</c:v>
                </c:pt>
                <c:pt idx="15">
                  <c:v>957</c:v>
                </c:pt>
                <c:pt idx="16">
                  <c:v>1844</c:v>
                </c:pt>
                <c:pt idx="17">
                  <c:v>1637</c:v>
                </c:pt>
                <c:pt idx="18">
                  <c:v>1273</c:v>
                </c:pt>
                <c:pt idx="19">
                  <c:v>1400</c:v>
                </c:pt>
              </c:numCache>
            </c:numRef>
          </c:val>
        </c:ser>
        <c:ser>
          <c:idx val="1"/>
          <c:order val="1"/>
          <c:tx>
            <c:strRef>
              <c:f>Sheet1!$C$1</c:f>
              <c:strCache>
                <c:ptCount val="1"/>
                <c:pt idx="0">
                  <c:v>Baigti bankroto procesai</c:v>
                </c:pt>
              </c:strCache>
            </c:strRef>
          </c:tx>
          <c:dLbls>
            <c:dLbl>
              <c:idx val="9"/>
              <c:layout>
                <c:manualLayout>
                  <c:x val="2.2446689113355812E-3"/>
                  <c:y val="-6.349206349206353E-2"/>
                </c:manualLayout>
              </c:layout>
              <c:showVal val="1"/>
            </c:dLbl>
            <c:dLbl>
              <c:idx val="10"/>
              <c:layout>
                <c:manualLayout>
                  <c:x val="4.489337822671224E-3"/>
                  <c:y val="8.9947089947090747E-2"/>
                </c:manualLayout>
              </c:layout>
              <c:showVal val="1"/>
            </c:dLbl>
            <c:dLbl>
              <c:idx val="19"/>
              <c:layout>
                <c:manualLayout>
                  <c:x val="0"/>
                  <c:y val="2.1164021164021166E-2"/>
                </c:manualLayout>
              </c:layout>
              <c:showVal val="1"/>
            </c:dLbl>
            <c:txPr>
              <a:bodyPr/>
              <a:lstStyle/>
              <a:p>
                <a:pPr>
                  <a:defRPr>
                    <a:latin typeface="Times New Roman" pitchFamily="18" charset="0"/>
                    <a:cs typeface="Times New Roman" pitchFamily="18" charset="0"/>
                  </a:defRPr>
                </a:pPr>
                <a:endParaRPr lang="en-US"/>
              </a:p>
            </c:txPr>
            <c:showVal val="1"/>
          </c:dLbls>
          <c:cat>
            <c:numRef>
              <c:f>Sheet1!$A$2:$A$21</c:f>
              <c:numCache>
                <c:formatCode>General</c:formatCode>
                <c:ptCount val="20"/>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pt idx="18">
                  <c:v>2011</c:v>
                </c:pt>
                <c:pt idx="19">
                  <c:v>2012</c:v>
                </c:pt>
              </c:numCache>
            </c:numRef>
          </c:cat>
          <c:val>
            <c:numRef>
              <c:f>Sheet1!$C$2:$C$21</c:f>
              <c:numCache>
                <c:formatCode>General</c:formatCode>
                <c:ptCount val="20"/>
                <c:pt idx="0">
                  <c:v>4</c:v>
                </c:pt>
                <c:pt idx="1">
                  <c:v>0</c:v>
                </c:pt>
                <c:pt idx="2">
                  <c:v>7</c:v>
                </c:pt>
                <c:pt idx="3">
                  <c:v>6</c:v>
                </c:pt>
                <c:pt idx="4">
                  <c:v>18</c:v>
                </c:pt>
                <c:pt idx="5">
                  <c:v>32</c:v>
                </c:pt>
                <c:pt idx="6">
                  <c:v>46</c:v>
                </c:pt>
                <c:pt idx="7">
                  <c:v>106</c:v>
                </c:pt>
                <c:pt idx="8">
                  <c:v>262</c:v>
                </c:pt>
                <c:pt idx="9">
                  <c:v>542</c:v>
                </c:pt>
                <c:pt idx="10">
                  <c:v>752</c:v>
                </c:pt>
                <c:pt idx="11">
                  <c:v>646</c:v>
                </c:pt>
                <c:pt idx="12">
                  <c:v>768</c:v>
                </c:pt>
                <c:pt idx="13">
                  <c:v>764</c:v>
                </c:pt>
                <c:pt idx="14">
                  <c:v>785</c:v>
                </c:pt>
                <c:pt idx="15">
                  <c:v>672</c:v>
                </c:pt>
                <c:pt idx="16">
                  <c:v>558</c:v>
                </c:pt>
                <c:pt idx="17">
                  <c:v>691</c:v>
                </c:pt>
                <c:pt idx="18">
                  <c:v>1001</c:v>
                </c:pt>
                <c:pt idx="19">
                  <c:v>1383</c:v>
                </c:pt>
              </c:numCache>
            </c:numRef>
          </c:val>
        </c:ser>
        <c:marker val="1"/>
        <c:axId val="128987904"/>
        <c:axId val="128989440"/>
      </c:lineChart>
      <c:catAx>
        <c:axId val="128987904"/>
        <c:scaling>
          <c:orientation val="minMax"/>
        </c:scaling>
        <c:axPos val="b"/>
        <c:numFmt formatCode="General" sourceLinked="1"/>
        <c:majorTickMark val="none"/>
        <c:tickLblPos val="nextTo"/>
        <c:txPr>
          <a:bodyPr/>
          <a:lstStyle/>
          <a:p>
            <a:pPr>
              <a:defRPr>
                <a:latin typeface="Times New Roman" pitchFamily="18" charset="0"/>
                <a:cs typeface="Times New Roman" pitchFamily="18" charset="0"/>
              </a:defRPr>
            </a:pPr>
            <a:endParaRPr lang="en-US"/>
          </a:p>
        </c:txPr>
        <c:crossAx val="128989440"/>
        <c:crosses val="autoZero"/>
        <c:auto val="1"/>
        <c:lblAlgn val="ctr"/>
        <c:lblOffset val="100"/>
      </c:catAx>
      <c:valAx>
        <c:axId val="128989440"/>
        <c:scaling>
          <c:orientation val="minMax"/>
        </c:scaling>
        <c:axPos val="l"/>
        <c:numFmt formatCode="General" sourceLinked="1"/>
        <c:majorTickMark val="none"/>
        <c:tickLblPos val="nextTo"/>
        <c:txPr>
          <a:bodyPr/>
          <a:lstStyle/>
          <a:p>
            <a:pPr>
              <a:defRPr>
                <a:latin typeface="Times New Roman" pitchFamily="18" charset="0"/>
                <a:cs typeface="Times New Roman" pitchFamily="18" charset="0"/>
              </a:defRPr>
            </a:pPr>
            <a:endParaRPr lang="en-US"/>
          </a:p>
        </c:txPr>
        <c:crossAx val="128987904"/>
        <c:crosses val="autoZero"/>
        <c:crossBetween val="between"/>
      </c:valAx>
    </c:plotArea>
    <c:legend>
      <c:legendPos val="b"/>
      <c:txPr>
        <a:bodyPr/>
        <a:lstStyle/>
        <a:p>
          <a:pPr>
            <a:defRPr>
              <a:latin typeface="Times New Roman" pitchFamily="18" charset="0"/>
              <a:cs typeface="Times New Roman" pitchFamily="18" charset="0"/>
            </a:defRPr>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style val="40"/>
  <c:chart>
    <c:plotArea>
      <c:layout/>
      <c:lineChart>
        <c:grouping val="standard"/>
        <c:ser>
          <c:idx val="0"/>
          <c:order val="0"/>
          <c:tx>
            <c:strRef>
              <c:f>Sheet1!$B$3</c:f>
              <c:strCache>
                <c:ptCount val="1"/>
                <c:pt idx="0">
                  <c:v>*UAB "Achemarida"</c:v>
                </c:pt>
              </c:strCache>
            </c:strRef>
          </c:tx>
          <c:spPr>
            <a:ln>
              <a:noFill/>
            </a:ln>
          </c:spPr>
          <c:marker>
            <c:symbol val="diamond"/>
            <c:size val="10"/>
            <c:spPr>
              <a:solidFill>
                <a:srgbClr val="F79646">
                  <a:lumMod val="50000"/>
                </a:srgbClr>
              </a:solidFill>
            </c:spPr>
          </c:marker>
          <c:cat>
            <c:numRef>
              <c:f>Sheet1!$A$4:$A$6</c:f>
              <c:numCache>
                <c:formatCode>General</c:formatCode>
                <c:ptCount val="3"/>
                <c:pt idx="0">
                  <c:v>2008</c:v>
                </c:pt>
                <c:pt idx="1">
                  <c:v>2009</c:v>
                </c:pt>
                <c:pt idx="2">
                  <c:v>2010</c:v>
                </c:pt>
              </c:numCache>
            </c:numRef>
          </c:cat>
          <c:val>
            <c:numRef>
              <c:f>Sheet1!$B$4:$B$6</c:f>
              <c:numCache>
                <c:formatCode>0.000</c:formatCode>
                <c:ptCount val="3"/>
                <c:pt idx="0">
                  <c:v>2.1445246460186855E-2</c:v>
                </c:pt>
                <c:pt idx="1">
                  <c:v>3.7636428122140107E-3</c:v>
                </c:pt>
                <c:pt idx="2">
                  <c:v>-2.4974597320378746E-2</c:v>
                </c:pt>
              </c:numCache>
            </c:numRef>
          </c:val>
        </c:ser>
        <c:ser>
          <c:idx val="1"/>
          <c:order val="1"/>
          <c:tx>
            <c:strRef>
              <c:f>Sheet1!$C$3</c:f>
              <c:strCache>
                <c:ptCount val="1"/>
                <c:pt idx="0">
                  <c:v>*UAB "Romas ir Ko"</c:v>
                </c:pt>
              </c:strCache>
            </c:strRef>
          </c:tx>
          <c:spPr>
            <a:ln>
              <a:noFill/>
            </a:ln>
          </c:spPr>
          <c:marker>
            <c:symbol val="square"/>
            <c:size val="10"/>
            <c:spPr>
              <a:solidFill>
                <a:schemeClr val="accent6">
                  <a:lumMod val="50000"/>
                </a:schemeClr>
              </a:solidFill>
            </c:spPr>
          </c:marker>
          <c:cat>
            <c:numRef>
              <c:f>Sheet1!$A$4:$A$6</c:f>
              <c:numCache>
                <c:formatCode>General</c:formatCode>
                <c:ptCount val="3"/>
                <c:pt idx="0">
                  <c:v>2008</c:v>
                </c:pt>
                <c:pt idx="1">
                  <c:v>2009</c:v>
                </c:pt>
                <c:pt idx="2">
                  <c:v>2010</c:v>
                </c:pt>
              </c:numCache>
            </c:numRef>
          </c:cat>
          <c:val>
            <c:numRef>
              <c:f>Sheet1!$C$4:$C$6</c:f>
              <c:numCache>
                <c:formatCode>0.000</c:formatCode>
                <c:ptCount val="3"/>
                <c:pt idx="0">
                  <c:v>0.10304509876037428</c:v>
                </c:pt>
                <c:pt idx="1">
                  <c:v>0.140869825371531</c:v>
                </c:pt>
                <c:pt idx="2">
                  <c:v>0.10170112267490559</c:v>
                </c:pt>
              </c:numCache>
            </c:numRef>
          </c:val>
        </c:ser>
        <c:ser>
          <c:idx val="2"/>
          <c:order val="2"/>
          <c:tx>
            <c:strRef>
              <c:f>Sheet1!$D$3</c:f>
              <c:strCache>
                <c:ptCount val="1"/>
                <c:pt idx="0">
                  <c:v>UAB "Autoverslas"</c:v>
                </c:pt>
              </c:strCache>
            </c:strRef>
          </c:tx>
          <c:spPr>
            <a:ln>
              <a:noFill/>
            </a:ln>
          </c:spPr>
          <c:marker>
            <c:symbol val="triangle"/>
            <c:size val="10"/>
            <c:spPr>
              <a:solidFill>
                <a:schemeClr val="accent6">
                  <a:lumMod val="60000"/>
                  <a:lumOff val="40000"/>
                </a:schemeClr>
              </a:solidFill>
            </c:spPr>
          </c:marker>
          <c:cat>
            <c:numRef>
              <c:f>Sheet1!$A$4:$A$6</c:f>
              <c:numCache>
                <c:formatCode>General</c:formatCode>
                <c:ptCount val="3"/>
                <c:pt idx="0">
                  <c:v>2008</c:v>
                </c:pt>
                <c:pt idx="1">
                  <c:v>2009</c:v>
                </c:pt>
                <c:pt idx="2">
                  <c:v>2010</c:v>
                </c:pt>
              </c:numCache>
            </c:numRef>
          </c:cat>
          <c:val>
            <c:numRef>
              <c:f>Sheet1!$D$4:$D$6</c:f>
              <c:numCache>
                <c:formatCode>0.000</c:formatCode>
                <c:ptCount val="3"/>
                <c:pt idx="0">
                  <c:v>4.6065368518948692E-2</c:v>
                </c:pt>
                <c:pt idx="1">
                  <c:v>4.9094452441067714E-2</c:v>
                </c:pt>
                <c:pt idx="2">
                  <c:v>5.8743047311825572E-2</c:v>
                </c:pt>
              </c:numCache>
            </c:numRef>
          </c:val>
        </c:ser>
        <c:ser>
          <c:idx val="3"/>
          <c:order val="3"/>
          <c:tx>
            <c:strRef>
              <c:f>Sheet1!$E$3</c:f>
              <c:strCache>
                <c:ptCount val="1"/>
                <c:pt idx="0">
                  <c:v>UAB "Girteka"</c:v>
                </c:pt>
              </c:strCache>
            </c:strRef>
          </c:tx>
          <c:spPr>
            <a:ln>
              <a:noFill/>
            </a:ln>
          </c:spPr>
          <c:marker>
            <c:symbol val="circle"/>
            <c:size val="10"/>
            <c:spPr>
              <a:solidFill>
                <a:srgbClr val="F79646">
                  <a:lumMod val="60000"/>
                  <a:lumOff val="40000"/>
                </a:srgbClr>
              </a:solidFill>
            </c:spPr>
          </c:marker>
          <c:cat>
            <c:numRef>
              <c:f>Sheet1!$A$4:$A$6</c:f>
              <c:numCache>
                <c:formatCode>General</c:formatCode>
                <c:ptCount val="3"/>
                <c:pt idx="0">
                  <c:v>2008</c:v>
                </c:pt>
                <c:pt idx="1">
                  <c:v>2009</c:v>
                </c:pt>
                <c:pt idx="2">
                  <c:v>2010</c:v>
                </c:pt>
              </c:numCache>
            </c:numRef>
          </c:cat>
          <c:val>
            <c:numRef>
              <c:f>Sheet1!$E$4:$E$6</c:f>
              <c:numCache>
                <c:formatCode>0.000</c:formatCode>
                <c:ptCount val="3"/>
                <c:pt idx="0">
                  <c:v>2.7984683910442038E-2</c:v>
                </c:pt>
                <c:pt idx="1">
                  <c:v>3.122246940571461E-2</c:v>
                </c:pt>
                <c:pt idx="2">
                  <c:v>4.9351759056180104E-2</c:v>
                </c:pt>
              </c:numCache>
            </c:numRef>
          </c:val>
        </c:ser>
        <c:ser>
          <c:idx val="4"/>
          <c:order val="4"/>
          <c:tx>
            <c:strRef>
              <c:f>Sheet1!$F$3</c:f>
              <c:strCache>
                <c:ptCount val="1"/>
                <c:pt idx="0">
                  <c:v>Modelio kritinė reikšmė</c:v>
                </c:pt>
              </c:strCache>
            </c:strRef>
          </c:tx>
          <c:spPr>
            <a:ln>
              <a:solidFill>
                <a:schemeClr val="accent6">
                  <a:lumMod val="75000"/>
                </a:schemeClr>
              </a:solidFill>
            </a:ln>
          </c:spPr>
          <c:marker>
            <c:symbol val="none"/>
          </c:marker>
          <c:cat>
            <c:numRef>
              <c:f>Sheet1!$A$4:$A$6</c:f>
              <c:numCache>
                <c:formatCode>General</c:formatCode>
                <c:ptCount val="3"/>
                <c:pt idx="0">
                  <c:v>2008</c:v>
                </c:pt>
                <c:pt idx="1">
                  <c:v>2009</c:v>
                </c:pt>
                <c:pt idx="2">
                  <c:v>2010</c:v>
                </c:pt>
              </c:numCache>
            </c:numRef>
          </c:cat>
          <c:val>
            <c:numRef>
              <c:f>Sheet1!$F$4:$F$6</c:f>
              <c:numCache>
                <c:formatCode>0.000</c:formatCode>
                <c:ptCount val="3"/>
                <c:pt idx="0">
                  <c:v>3.6999999999999998E-2</c:v>
                </c:pt>
                <c:pt idx="1">
                  <c:v>3.6999999999999998E-2</c:v>
                </c:pt>
                <c:pt idx="2">
                  <c:v>3.6999999999999998E-2</c:v>
                </c:pt>
              </c:numCache>
            </c:numRef>
          </c:val>
        </c:ser>
        <c:marker val="1"/>
        <c:axId val="130683648"/>
        <c:axId val="130685184"/>
      </c:lineChart>
      <c:catAx>
        <c:axId val="130683648"/>
        <c:scaling>
          <c:orientation val="minMax"/>
        </c:scaling>
        <c:axPos val="b"/>
        <c:numFmt formatCode="General" sourceLinked="1"/>
        <c:tickLblPos val="nextTo"/>
        <c:txPr>
          <a:bodyPr/>
          <a:lstStyle/>
          <a:p>
            <a:pPr>
              <a:defRPr>
                <a:latin typeface="Times New Roman" pitchFamily="18" charset="0"/>
                <a:cs typeface="Times New Roman" pitchFamily="18" charset="0"/>
              </a:defRPr>
            </a:pPr>
            <a:endParaRPr lang="en-US"/>
          </a:p>
        </c:txPr>
        <c:crossAx val="130685184"/>
        <c:crosses val="autoZero"/>
        <c:auto val="1"/>
        <c:lblAlgn val="ctr"/>
        <c:lblOffset val="100"/>
      </c:catAx>
      <c:valAx>
        <c:axId val="130685184"/>
        <c:scaling>
          <c:orientation val="minMax"/>
        </c:scaling>
        <c:axPos val="l"/>
        <c:majorGridlines/>
        <c:numFmt formatCode="0.00" sourceLinked="0"/>
        <c:tickLblPos val="nextTo"/>
        <c:txPr>
          <a:bodyPr/>
          <a:lstStyle/>
          <a:p>
            <a:pPr>
              <a:defRPr>
                <a:latin typeface="Times New Roman" pitchFamily="18" charset="0"/>
                <a:cs typeface="Times New Roman" pitchFamily="18" charset="0"/>
              </a:defRPr>
            </a:pPr>
            <a:endParaRPr lang="en-US"/>
          </a:p>
        </c:txPr>
        <c:crossAx val="130683648"/>
        <c:crosses val="autoZero"/>
        <c:crossBetween val="between"/>
      </c:valAx>
    </c:plotArea>
    <c:legend>
      <c:legendPos val="r"/>
      <c:txPr>
        <a:bodyPr/>
        <a:lstStyle/>
        <a:p>
          <a:pPr>
            <a:defRPr>
              <a:latin typeface="Times New Roman" pitchFamily="18" charset="0"/>
              <a:cs typeface="Times New Roman" pitchFamily="18" charset="0"/>
            </a:defRPr>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style val="40"/>
  <c:chart>
    <c:plotArea>
      <c:layout/>
      <c:lineChart>
        <c:grouping val="standard"/>
        <c:ser>
          <c:idx val="0"/>
          <c:order val="0"/>
          <c:tx>
            <c:strRef>
              <c:f>Sheet1!$B$3</c:f>
              <c:strCache>
                <c:ptCount val="1"/>
                <c:pt idx="0">
                  <c:v>*UAB "Achemarida"</c:v>
                </c:pt>
              </c:strCache>
            </c:strRef>
          </c:tx>
          <c:spPr>
            <a:ln>
              <a:noFill/>
            </a:ln>
          </c:spPr>
          <c:marker>
            <c:symbol val="diamond"/>
            <c:size val="10"/>
            <c:spPr>
              <a:solidFill>
                <a:schemeClr val="accent6">
                  <a:lumMod val="50000"/>
                </a:schemeClr>
              </a:solidFill>
            </c:spPr>
          </c:marker>
          <c:cat>
            <c:numRef>
              <c:f>Sheet1!$A$4:$A$6</c:f>
              <c:numCache>
                <c:formatCode>General</c:formatCode>
                <c:ptCount val="3"/>
                <c:pt idx="0">
                  <c:v>2008</c:v>
                </c:pt>
                <c:pt idx="1">
                  <c:v>2009</c:v>
                </c:pt>
                <c:pt idx="2">
                  <c:v>2010</c:v>
                </c:pt>
              </c:numCache>
            </c:numRef>
          </c:cat>
          <c:val>
            <c:numRef>
              <c:f>Sheet1!$B$4:$B$6</c:f>
              <c:numCache>
                <c:formatCode>0.00%</c:formatCode>
                <c:ptCount val="3"/>
                <c:pt idx="0">
                  <c:v>0.86272187348905882</c:v>
                </c:pt>
                <c:pt idx="1">
                  <c:v>0.96695805573942362</c:v>
                </c:pt>
                <c:pt idx="2">
                  <c:v>0.99553432771980521</c:v>
                </c:pt>
              </c:numCache>
            </c:numRef>
          </c:val>
        </c:ser>
        <c:ser>
          <c:idx val="1"/>
          <c:order val="1"/>
          <c:tx>
            <c:strRef>
              <c:f>Sheet1!$C$3</c:f>
              <c:strCache>
                <c:ptCount val="1"/>
                <c:pt idx="0">
                  <c:v>*UAB "Romas ir Ko"</c:v>
                </c:pt>
              </c:strCache>
            </c:strRef>
          </c:tx>
          <c:spPr>
            <a:ln>
              <a:noFill/>
            </a:ln>
          </c:spPr>
          <c:marker>
            <c:symbol val="square"/>
            <c:size val="10"/>
            <c:spPr>
              <a:solidFill>
                <a:schemeClr val="accent6">
                  <a:lumMod val="50000"/>
                </a:schemeClr>
              </a:solidFill>
            </c:spPr>
          </c:marker>
          <c:cat>
            <c:numRef>
              <c:f>Sheet1!$A$4:$A$6</c:f>
              <c:numCache>
                <c:formatCode>General</c:formatCode>
                <c:ptCount val="3"/>
                <c:pt idx="0">
                  <c:v>2008</c:v>
                </c:pt>
                <c:pt idx="1">
                  <c:v>2009</c:v>
                </c:pt>
                <c:pt idx="2">
                  <c:v>2010</c:v>
                </c:pt>
              </c:numCache>
            </c:numRef>
          </c:cat>
          <c:val>
            <c:numRef>
              <c:f>Sheet1!$C$4:$C$6</c:f>
              <c:numCache>
                <c:formatCode>0.00%</c:formatCode>
                <c:ptCount val="3"/>
                <c:pt idx="0">
                  <c:v>0.85392369929364464</c:v>
                </c:pt>
                <c:pt idx="1">
                  <c:v>0.92491288432886742</c:v>
                </c:pt>
                <c:pt idx="2">
                  <c:v>0.99876347898551621</c:v>
                </c:pt>
              </c:numCache>
            </c:numRef>
          </c:val>
        </c:ser>
        <c:ser>
          <c:idx val="2"/>
          <c:order val="2"/>
          <c:tx>
            <c:strRef>
              <c:f>Sheet1!$D$3</c:f>
              <c:strCache>
                <c:ptCount val="1"/>
                <c:pt idx="0">
                  <c:v>UAB "Autoverslas"</c:v>
                </c:pt>
              </c:strCache>
            </c:strRef>
          </c:tx>
          <c:spPr>
            <a:ln>
              <a:noFill/>
            </a:ln>
          </c:spPr>
          <c:marker>
            <c:symbol val="triangle"/>
            <c:size val="10"/>
            <c:spPr>
              <a:solidFill>
                <a:schemeClr val="accent6">
                  <a:lumMod val="60000"/>
                  <a:lumOff val="40000"/>
                </a:schemeClr>
              </a:solidFill>
            </c:spPr>
          </c:marker>
          <c:cat>
            <c:numRef>
              <c:f>Sheet1!$A$4:$A$6</c:f>
              <c:numCache>
                <c:formatCode>General</c:formatCode>
                <c:ptCount val="3"/>
                <c:pt idx="0">
                  <c:v>2008</c:v>
                </c:pt>
                <c:pt idx="1">
                  <c:v>2009</c:v>
                </c:pt>
                <c:pt idx="2">
                  <c:v>2010</c:v>
                </c:pt>
              </c:numCache>
            </c:numRef>
          </c:cat>
          <c:val>
            <c:numRef>
              <c:f>Sheet1!$D$4:$D$6</c:f>
              <c:numCache>
                <c:formatCode>0.00%</c:formatCode>
                <c:ptCount val="3"/>
                <c:pt idx="0">
                  <c:v>0.99985229863910863</c:v>
                </c:pt>
                <c:pt idx="1">
                  <c:v>1</c:v>
                </c:pt>
                <c:pt idx="2">
                  <c:v>0.9999878603744552</c:v>
                </c:pt>
              </c:numCache>
            </c:numRef>
          </c:val>
        </c:ser>
        <c:ser>
          <c:idx val="3"/>
          <c:order val="3"/>
          <c:tx>
            <c:strRef>
              <c:f>Sheet1!$E$3</c:f>
              <c:strCache>
                <c:ptCount val="1"/>
                <c:pt idx="0">
                  <c:v>UAB "Girteka"</c:v>
                </c:pt>
              </c:strCache>
            </c:strRef>
          </c:tx>
          <c:spPr>
            <a:ln>
              <a:noFill/>
            </a:ln>
          </c:spPr>
          <c:marker>
            <c:symbol val="circle"/>
            <c:size val="10"/>
            <c:spPr>
              <a:solidFill>
                <a:schemeClr val="accent6">
                  <a:lumMod val="60000"/>
                  <a:lumOff val="40000"/>
                </a:schemeClr>
              </a:solidFill>
            </c:spPr>
          </c:marker>
          <c:cat>
            <c:numRef>
              <c:f>Sheet1!$A$4:$A$6</c:f>
              <c:numCache>
                <c:formatCode>General</c:formatCode>
                <c:ptCount val="3"/>
                <c:pt idx="0">
                  <c:v>2008</c:v>
                </c:pt>
                <c:pt idx="1">
                  <c:v>2009</c:v>
                </c:pt>
                <c:pt idx="2">
                  <c:v>2010</c:v>
                </c:pt>
              </c:numCache>
            </c:numRef>
          </c:cat>
          <c:val>
            <c:numRef>
              <c:f>Sheet1!$E$4:$E$6</c:f>
              <c:numCache>
                <c:formatCode>0.00%</c:formatCode>
                <c:ptCount val="3"/>
                <c:pt idx="0">
                  <c:v>1</c:v>
                </c:pt>
                <c:pt idx="1">
                  <c:v>1</c:v>
                </c:pt>
                <c:pt idx="2">
                  <c:v>1</c:v>
                </c:pt>
              </c:numCache>
            </c:numRef>
          </c:val>
        </c:ser>
        <c:ser>
          <c:idx val="4"/>
          <c:order val="4"/>
          <c:tx>
            <c:strRef>
              <c:f>Sheet1!$F$3</c:f>
              <c:strCache>
                <c:ptCount val="1"/>
                <c:pt idx="0">
                  <c:v>Modelio kritinė reikšmė</c:v>
                </c:pt>
              </c:strCache>
            </c:strRef>
          </c:tx>
          <c:spPr>
            <a:ln>
              <a:solidFill>
                <a:schemeClr val="accent6">
                  <a:lumMod val="75000"/>
                </a:schemeClr>
              </a:solidFill>
            </a:ln>
          </c:spPr>
          <c:marker>
            <c:symbol val="none"/>
          </c:marker>
          <c:cat>
            <c:numRef>
              <c:f>Sheet1!$A$4:$A$6</c:f>
              <c:numCache>
                <c:formatCode>General</c:formatCode>
                <c:ptCount val="3"/>
                <c:pt idx="0">
                  <c:v>2008</c:v>
                </c:pt>
                <c:pt idx="1">
                  <c:v>2009</c:v>
                </c:pt>
                <c:pt idx="2">
                  <c:v>2010</c:v>
                </c:pt>
              </c:numCache>
            </c:numRef>
          </c:cat>
          <c:val>
            <c:numRef>
              <c:f>Sheet1!$F$4:$F$6</c:f>
              <c:numCache>
                <c:formatCode>0.00%</c:formatCode>
                <c:ptCount val="3"/>
                <c:pt idx="0">
                  <c:v>0.5</c:v>
                </c:pt>
                <c:pt idx="1">
                  <c:v>0.5</c:v>
                </c:pt>
                <c:pt idx="2">
                  <c:v>0.5</c:v>
                </c:pt>
              </c:numCache>
            </c:numRef>
          </c:val>
        </c:ser>
        <c:marker val="1"/>
        <c:axId val="130728704"/>
        <c:axId val="130730240"/>
      </c:lineChart>
      <c:catAx>
        <c:axId val="130728704"/>
        <c:scaling>
          <c:orientation val="minMax"/>
        </c:scaling>
        <c:axPos val="b"/>
        <c:numFmt formatCode="General" sourceLinked="1"/>
        <c:tickLblPos val="nextTo"/>
        <c:txPr>
          <a:bodyPr/>
          <a:lstStyle/>
          <a:p>
            <a:pPr>
              <a:defRPr>
                <a:latin typeface="Times New Roman" pitchFamily="18" charset="0"/>
                <a:cs typeface="Times New Roman" pitchFamily="18" charset="0"/>
              </a:defRPr>
            </a:pPr>
            <a:endParaRPr lang="en-US"/>
          </a:p>
        </c:txPr>
        <c:crossAx val="130730240"/>
        <c:crosses val="autoZero"/>
        <c:auto val="1"/>
        <c:lblAlgn val="ctr"/>
        <c:lblOffset val="100"/>
      </c:catAx>
      <c:valAx>
        <c:axId val="130730240"/>
        <c:scaling>
          <c:orientation val="minMax"/>
        </c:scaling>
        <c:axPos val="l"/>
        <c:majorGridlines/>
        <c:numFmt formatCode="0%" sourceLinked="0"/>
        <c:tickLblPos val="nextTo"/>
        <c:txPr>
          <a:bodyPr/>
          <a:lstStyle/>
          <a:p>
            <a:pPr>
              <a:defRPr>
                <a:latin typeface="Times New Roman" pitchFamily="18" charset="0"/>
                <a:cs typeface="Times New Roman" pitchFamily="18" charset="0"/>
              </a:defRPr>
            </a:pPr>
            <a:endParaRPr lang="en-US"/>
          </a:p>
        </c:txPr>
        <c:crossAx val="130728704"/>
        <c:crosses val="autoZero"/>
        <c:crossBetween val="between"/>
      </c:valAx>
    </c:plotArea>
    <c:legend>
      <c:legendPos val="r"/>
      <c:txPr>
        <a:bodyPr/>
        <a:lstStyle/>
        <a:p>
          <a:pPr>
            <a:defRPr>
              <a:latin typeface="Times New Roman" pitchFamily="18" charset="0"/>
              <a:cs typeface="Times New Roman" pitchFamily="18" charset="0"/>
            </a:defRPr>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style val="40"/>
  <c:chart>
    <c:plotArea>
      <c:layout/>
      <c:lineChart>
        <c:grouping val="standard"/>
        <c:ser>
          <c:idx val="0"/>
          <c:order val="0"/>
          <c:tx>
            <c:strRef>
              <c:f>Sheet1!$B$4</c:f>
              <c:strCache>
                <c:ptCount val="1"/>
                <c:pt idx="0">
                  <c:v>*UAB "Achemarida"</c:v>
                </c:pt>
              </c:strCache>
            </c:strRef>
          </c:tx>
          <c:spPr>
            <a:ln>
              <a:noFill/>
            </a:ln>
          </c:spPr>
          <c:marker>
            <c:symbol val="diamond"/>
            <c:size val="10"/>
            <c:spPr>
              <a:solidFill>
                <a:srgbClr val="F79646">
                  <a:lumMod val="50000"/>
                </a:srgbClr>
              </a:solidFill>
            </c:spPr>
          </c:marker>
          <c:cat>
            <c:numRef>
              <c:f>Sheet1!$A$5:$A$7</c:f>
              <c:numCache>
                <c:formatCode>General</c:formatCode>
                <c:ptCount val="3"/>
                <c:pt idx="0">
                  <c:v>2008</c:v>
                </c:pt>
                <c:pt idx="1">
                  <c:v>2009</c:v>
                </c:pt>
                <c:pt idx="2">
                  <c:v>2010</c:v>
                </c:pt>
              </c:numCache>
            </c:numRef>
          </c:cat>
          <c:val>
            <c:numRef>
              <c:f>Sheet1!$B$5:$B$7</c:f>
              <c:numCache>
                <c:formatCode>0.00%</c:formatCode>
                <c:ptCount val="3"/>
                <c:pt idx="0">
                  <c:v>0.22685180647324216</c:v>
                </c:pt>
                <c:pt idx="1">
                  <c:v>0.58004186359333565</c:v>
                </c:pt>
                <c:pt idx="2">
                  <c:v>0.97375072245832939</c:v>
                </c:pt>
              </c:numCache>
            </c:numRef>
          </c:val>
        </c:ser>
        <c:ser>
          <c:idx val="1"/>
          <c:order val="1"/>
          <c:tx>
            <c:strRef>
              <c:f>Sheet1!$C$4</c:f>
              <c:strCache>
                <c:ptCount val="1"/>
                <c:pt idx="0">
                  <c:v>*UAB "Romas ir Ko"</c:v>
                </c:pt>
              </c:strCache>
            </c:strRef>
          </c:tx>
          <c:spPr>
            <a:ln>
              <a:noFill/>
            </a:ln>
          </c:spPr>
          <c:marker>
            <c:symbol val="square"/>
            <c:size val="10"/>
            <c:spPr>
              <a:solidFill>
                <a:schemeClr val="accent6">
                  <a:lumMod val="50000"/>
                </a:schemeClr>
              </a:solidFill>
            </c:spPr>
          </c:marker>
          <c:cat>
            <c:numRef>
              <c:f>Sheet1!$A$5:$A$7</c:f>
              <c:numCache>
                <c:formatCode>General</c:formatCode>
                <c:ptCount val="3"/>
                <c:pt idx="0">
                  <c:v>2008</c:v>
                </c:pt>
                <c:pt idx="1">
                  <c:v>2009</c:v>
                </c:pt>
                <c:pt idx="2">
                  <c:v>2010</c:v>
                </c:pt>
              </c:numCache>
            </c:numRef>
          </c:cat>
          <c:val>
            <c:numRef>
              <c:f>Sheet1!$C$5:$C$7</c:f>
              <c:numCache>
                <c:formatCode>0.00%</c:formatCode>
                <c:ptCount val="3"/>
                <c:pt idx="0">
                  <c:v>0.47078996586558736</c:v>
                </c:pt>
                <c:pt idx="1">
                  <c:v>0.47838517083855336</c:v>
                </c:pt>
                <c:pt idx="2">
                  <c:v>0.93776145552530965</c:v>
                </c:pt>
              </c:numCache>
            </c:numRef>
          </c:val>
        </c:ser>
        <c:ser>
          <c:idx val="2"/>
          <c:order val="2"/>
          <c:tx>
            <c:strRef>
              <c:f>Sheet1!$D$4</c:f>
              <c:strCache>
                <c:ptCount val="1"/>
                <c:pt idx="0">
                  <c:v>UAB "Autoverslas"</c:v>
                </c:pt>
              </c:strCache>
            </c:strRef>
          </c:tx>
          <c:spPr>
            <a:ln>
              <a:noFill/>
            </a:ln>
          </c:spPr>
          <c:marker>
            <c:symbol val="triangle"/>
            <c:size val="10"/>
            <c:spPr>
              <a:solidFill>
                <a:srgbClr val="F79646">
                  <a:lumMod val="60000"/>
                  <a:lumOff val="40000"/>
                </a:srgbClr>
              </a:solidFill>
            </c:spPr>
          </c:marker>
          <c:cat>
            <c:numRef>
              <c:f>Sheet1!$A$5:$A$7</c:f>
              <c:numCache>
                <c:formatCode>General</c:formatCode>
                <c:ptCount val="3"/>
                <c:pt idx="0">
                  <c:v>2008</c:v>
                </c:pt>
                <c:pt idx="1">
                  <c:v>2009</c:v>
                </c:pt>
                <c:pt idx="2">
                  <c:v>2010</c:v>
                </c:pt>
              </c:numCache>
            </c:numRef>
          </c:cat>
          <c:val>
            <c:numRef>
              <c:f>Sheet1!$D$5:$D$7</c:f>
              <c:numCache>
                <c:formatCode>0.00%</c:formatCode>
                <c:ptCount val="3"/>
                <c:pt idx="0">
                  <c:v>0.69398415089043997</c:v>
                </c:pt>
                <c:pt idx="1">
                  <c:v>0.63991019057168763</c:v>
                </c:pt>
                <c:pt idx="2">
                  <c:v>0.6110454223188837</c:v>
                </c:pt>
              </c:numCache>
            </c:numRef>
          </c:val>
        </c:ser>
        <c:ser>
          <c:idx val="3"/>
          <c:order val="3"/>
          <c:tx>
            <c:strRef>
              <c:f>Sheet1!$E$4</c:f>
              <c:strCache>
                <c:ptCount val="1"/>
                <c:pt idx="0">
                  <c:v>UAB "Girteka"</c:v>
                </c:pt>
              </c:strCache>
            </c:strRef>
          </c:tx>
          <c:spPr>
            <a:ln>
              <a:noFill/>
            </a:ln>
          </c:spPr>
          <c:marker>
            <c:symbol val="circle"/>
            <c:size val="10"/>
            <c:spPr>
              <a:solidFill>
                <a:schemeClr val="accent6">
                  <a:lumMod val="60000"/>
                  <a:lumOff val="40000"/>
                </a:schemeClr>
              </a:solidFill>
            </c:spPr>
          </c:marker>
          <c:cat>
            <c:numRef>
              <c:f>Sheet1!$A$5:$A$7</c:f>
              <c:numCache>
                <c:formatCode>General</c:formatCode>
                <c:ptCount val="3"/>
                <c:pt idx="0">
                  <c:v>2008</c:v>
                </c:pt>
                <c:pt idx="1">
                  <c:v>2009</c:v>
                </c:pt>
                <c:pt idx="2">
                  <c:v>2010</c:v>
                </c:pt>
              </c:numCache>
            </c:numRef>
          </c:cat>
          <c:val>
            <c:numRef>
              <c:f>Sheet1!$E$5:$E$7</c:f>
              <c:numCache>
                <c:formatCode>0.00%</c:formatCode>
                <c:ptCount val="3"/>
                <c:pt idx="0">
                  <c:v>0.98056862447035575</c:v>
                </c:pt>
                <c:pt idx="1">
                  <c:v>0.76717487476030122</c:v>
                </c:pt>
                <c:pt idx="2">
                  <c:v>0.43815821322849707</c:v>
                </c:pt>
              </c:numCache>
            </c:numRef>
          </c:val>
        </c:ser>
        <c:ser>
          <c:idx val="4"/>
          <c:order val="4"/>
          <c:tx>
            <c:strRef>
              <c:f>Sheet1!$F$4</c:f>
              <c:strCache>
                <c:ptCount val="1"/>
                <c:pt idx="0">
                  <c:v>Modelio kritinė reikšmė</c:v>
                </c:pt>
              </c:strCache>
            </c:strRef>
          </c:tx>
          <c:spPr>
            <a:ln>
              <a:solidFill>
                <a:schemeClr val="accent6">
                  <a:lumMod val="75000"/>
                </a:schemeClr>
              </a:solidFill>
            </a:ln>
          </c:spPr>
          <c:marker>
            <c:symbol val="none"/>
          </c:marker>
          <c:cat>
            <c:numRef>
              <c:f>Sheet1!$A$5:$A$7</c:f>
              <c:numCache>
                <c:formatCode>General</c:formatCode>
                <c:ptCount val="3"/>
                <c:pt idx="0">
                  <c:v>2008</c:v>
                </c:pt>
                <c:pt idx="1">
                  <c:v>2009</c:v>
                </c:pt>
                <c:pt idx="2">
                  <c:v>2010</c:v>
                </c:pt>
              </c:numCache>
            </c:numRef>
          </c:cat>
          <c:val>
            <c:numRef>
              <c:f>Sheet1!$F$5:$F$7</c:f>
              <c:numCache>
                <c:formatCode>0.00%</c:formatCode>
                <c:ptCount val="3"/>
                <c:pt idx="0">
                  <c:v>0.5</c:v>
                </c:pt>
                <c:pt idx="1">
                  <c:v>0.5</c:v>
                </c:pt>
                <c:pt idx="2">
                  <c:v>0.5</c:v>
                </c:pt>
              </c:numCache>
            </c:numRef>
          </c:val>
        </c:ser>
        <c:marker val="1"/>
        <c:axId val="130781952"/>
        <c:axId val="130783488"/>
      </c:lineChart>
      <c:catAx>
        <c:axId val="130781952"/>
        <c:scaling>
          <c:orientation val="minMax"/>
        </c:scaling>
        <c:axPos val="b"/>
        <c:numFmt formatCode="General" sourceLinked="1"/>
        <c:tickLblPos val="nextTo"/>
        <c:txPr>
          <a:bodyPr/>
          <a:lstStyle/>
          <a:p>
            <a:pPr>
              <a:defRPr>
                <a:latin typeface="Times New Roman" pitchFamily="18" charset="0"/>
                <a:cs typeface="Times New Roman" pitchFamily="18" charset="0"/>
              </a:defRPr>
            </a:pPr>
            <a:endParaRPr lang="en-US"/>
          </a:p>
        </c:txPr>
        <c:crossAx val="130783488"/>
        <c:crosses val="autoZero"/>
        <c:auto val="1"/>
        <c:lblAlgn val="ctr"/>
        <c:lblOffset val="100"/>
      </c:catAx>
      <c:valAx>
        <c:axId val="130783488"/>
        <c:scaling>
          <c:orientation val="minMax"/>
        </c:scaling>
        <c:axPos val="l"/>
        <c:majorGridlines/>
        <c:numFmt formatCode="0%" sourceLinked="0"/>
        <c:tickLblPos val="nextTo"/>
        <c:txPr>
          <a:bodyPr/>
          <a:lstStyle/>
          <a:p>
            <a:pPr>
              <a:defRPr>
                <a:latin typeface="Times New Roman" pitchFamily="18" charset="0"/>
                <a:cs typeface="Times New Roman" pitchFamily="18" charset="0"/>
              </a:defRPr>
            </a:pPr>
            <a:endParaRPr lang="en-US"/>
          </a:p>
        </c:txPr>
        <c:crossAx val="130781952"/>
        <c:crosses val="autoZero"/>
        <c:crossBetween val="between"/>
      </c:valAx>
    </c:plotArea>
    <c:legend>
      <c:legendPos val="r"/>
      <c:txPr>
        <a:bodyPr/>
        <a:lstStyle/>
        <a:p>
          <a:pPr>
            <a:defRPr>
              <a:latin typeface="Times New Roman" pitchFamily="18" charset="0"/>
              <a:cs typeface="Times New Roman" pitchFamily="18" charset="0"/>
            </a:defRPr>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6"/>
  <c:chart>
    <c:title>
      <c:tx>
        <c:rich>
          <a:bodyPr/>
          <a:lstStyle/>
          <a:p>
            <a:pPr>
              <a:defRPr/>
            </a:pPr>
            <a:r>
              <a:rPr lang="lt-LT" sz="1200">
                <a:latin typeface="Times New Roman" pitchFamily="18" charset="0"/>
                <a:cs typeface="Times New Roman" pitchFamily="18" charset="0"/>
              </a:rPr>
              <a:t>Veikiančių bei bankrutuojančių įmonių santykis</a:t>
            </a:r>
            <a:r>
              <a:rPr lang="lt-LT" sz="1200" baseline="0">
                <a:latin typeface="Times New Roman" pitchFamily="18" charset="0"/>
                <a:cs typeface="Times New Roman" pitchFamily="18" charset="0"/>
              </a:rPr>
              <a:t> pagal apskritis</a:t>
            </a:r>
            <a:endParaRPr lang="en-US" sz="1200">
              <a:latin typeface="Times New Roman" pitchFamily="18" charset="0"/>
              <a:cs typeface="Times New Roman" pitchFamily="18" charset="0"/>
            </a:endParaRPr>
          </a:p>
        </c:rich>
      </c:tx>
    </c:title>
    <c:view3D>
      <c:rAngAx val="1"/>
    </c:view3D>
    <c:plotArea>
      <c:layout/>
      <c:bar3DChart>
        <c:barDir val="col"/>
        <c:grouping val="clustered"/>
        <c:ser>
          <c:idx val="0"/>
          <c:order val="0"/>
          <c:tx>
            <c:strRef>
              <c:f>Sheet3!$B$1</c:f>
              <c:strCache>
                <c:ptCount val="1"/>
                <c:pt idx="0">
                  <c:v>2007</c:v>
                </c:pt>
              </c:strCache>
            </c:strRef>
          </c:tx>
          <c:cat>
            <c:strRef>
              <c:f>Sheet3!$A$2:$A$11</c:f>
              <c:strCache>
                <c:ptCount val="10"/>
                <c:pt idx="0">
                  <c:v>Alytaus</c:v>
                </c:pt>
                <c:pt idx="1">
                  <c:v>Kauno</c:v>
                </c:pt>
                <c:pt idx="2">
                  <c:v>Klaipėdos</c:v>
                </c:pt>
                <c:pt idx="3">
                  <c:v>Marijampolės</c:v>
                </c:pt>
                <c:pt idx="4">
                  <c:v>Panevežio</c:v>
                </c:pt>
                <c:pt idx="5">
                  <c:v>Šiaulių</c:v>
                </c:pt>
                <c:pt idx="6">
                  <c:v>Tauragės</c:v>
                </c:pt>
                <c:pt idx="7">
                  <c:v>Telšių</c:v>
                </c:pt>
                <c:pt idx="8">
                  <c:v>Utenos</c:v>
                </c:pt>
                <c:pt idx="9">
                  <c:v>Vilniaus</c:v>
                </c:pt>
              </c:strCache>
            </c:strRef>
          </c:cat>
          <c:val>
            <c:numRef>
              <c:f>Sheet3!$B$2:$B$11</c:f>
              <c:numCache>
                <c:formatCode>0.00%</c:formatCode>
                <c:ptCount val="10"/>
                <c:pt idx="0">
                  <c:v>9.0692124105012581E-3</c:v>
                </c:pt>
                <c:pt idx="1">
                  <c:v>1.0500160307790961E-2</c:v>
                </c:pt>
                <c:pt idx="2">
                  <c:v>1.2366793842915421E-2</c:v>
                </c:pt>
                <c:pt idx="3">
                  <c:v>4.2573320719016114E-3</c:v>
                </c:pt>
                <c:pt idx="4">
                  <c:v>8.9201877934273061E-3</c:v>
                </c:pt>
                <c:pt idx="5">
                  <c:v>1.7030567685589523E-2</c:v>
                </c:pt>
                <c:pt idx="6">
                  <c:v>1.549295774647888E-2</c:v>
                </c:pt>
                <c:pt idx="7">
                  <c:v>1.6156462585034014E-2</c:v>
                </c:pt>
                <c:pt idx="8">
                  <c:v>1.7885323513940031E-2</c:v>
                </c:pt>
                <c:pt idx="9">
                  <c:v>6.7151913594740821E-3</c:v>
                </c:pt>
              </c:numCache>
            </c:numRef>
          </c:val>
        </c:ser>
        <c:ser>
          <c:idx val="1"/>
          <c:order val="1"/>
          <c:tx>
            <c:strRef>
              <c:f>Sheet3!$C$1</c:f>
              <c:strCache>
                <c:ptCount val="1"/>
                <c:pt idx="0">
                  <c:v>2008</c:v>
                </c:pt>
              </c:strCache>
            </c:strRef>
          </c:tx>
          <c:cat>
            <c:strRef>
              <c:f>Sheet3!$A$2:$A$11</c:f>
              <c:strCache>
                <c:ptCount val="10"/>
                <c:pt idx="0">
                  <c:v>Alytaus</c:v>
                </c:pt>
                <c:pt idx="1">
                  <c:v>Kauno</c:v>
                </c:pt>
                <c:pt idx="2">
                  <c:v>Klaipėdos</c:v>
                </c:pt>
                <c:pt idx="3">
                  <c:v>Marijampolės</c:v>
                </c:pt>
                <c:pt idx="4">
                  <c:v>Panevežio</c:v>
                </c:pt>
                <c:pt idx="5">
                  <c:v>Šiaulių</c:v>
                </c:pt>
                <c:pt idx="6">
                  <c:v>Tauragės</c:v>
                </c:pt>
                <c:pt idx="7">
                  <c:v>Telšių</c:v>
                </c:pt>
                <c:pt idx="8">
                  <c:v>Utenos</c:v>
                </c:pt>
                <c:pt idx="9">
                  <c:v>Vilniaus</c:v>
                </c:pt>
              </c:strCache>
            </c:strRef>
          </c:cat>
          <c:val>
            <c:numRef>
              <c:f>Sheet3!$C$2:$C$11</c:f>
              <c:numCache>
                <c:formatCode>0.00%</c:formatCode>
                <c:ptCount val="10"/>
                <c:pt idx="0">
                  <c:v>1.6848816029143902E-2</c:v>
                </c:pt>
                <c:pt idx="1">
                  <c:v>1.5187911662146459E-2</c:v>
                </c:pt>
                <c:pt idx="2">
                  <c:v>1.9648778091612619E-2</c:v>
                </c:pt>
                <c:pt idx="3">
                  <c:v>7.0028011204481934E-3</c:v>
                </c:pt>
                <c:pt idx="4">
                  <c:v>1.3853613484183791E-2</c:v>
                </c:pt>
                <c:pt idx="5">
                  <c:v>2.9917250159134309E-2</c:v>
                </c:pt>
                <c:pt idx="6">
                  <c:v>1.2616201859229738E-2</c:v>
                </c:pt>
                <c:pt idx="7">
                  <c:v>2.2258195062727696E-2</c:v>
                </c:pt>
                <c:pt idx="8">
                  <c:v>2.3171987641606592E-2</c:v>
                </c:pt>
                <c:pt idx="9">
                  <c:v>9.8651617628053266E-3</c:v>
                </c:pt>
              </c:numCache>
            </c:numRef>
          </c:val>
        </c:ser>
        <c:ser>
          <c:idx val="2"/>
          <c:order val="2"/>
          <c:tx>
            <c:strRef>
              <c:f>Sheet3!$D$1</c:f>
              <c:strCache>
                <c:ptCount val="1"/>
                <c:pt idx="0">
                  <c:v>2009</c:v>
                </c:pt>
              </c:strCache>
            </c:strRef>
          </c:tx>
          <c:cat>
            <c:strRef>
              <c:f>Sheet3!$A$2:$A$11</c:f>
              <c:strCache>
                <c:ptCount val="10"/>
                <c:pt idx="0">
                  <c:v>Alytaus</c:v>
                </c:pt>
                <c:pt idx="1">
                  <c:v>Kauno</c:v>
                </c:pt>
                <c:pt idx="2">
                  <c:v>Klaipėdos</c:v>
                </c:pt>
                <c:pt idx="3">
                  <c:v>Marijampolės</c:v>
                </c:pt>
                <c:pt idx="4">
                  <c:v>Panevežio</c:v>
                </c:pt>
                <c:pt idx="5">
                  <c:v>Šiaulių</c:v>
                </c:pt>
                <c:pt idx="6">
                  <c:v>Tauragės</c:v>
                </c:pt>
                <c:pt idx="7">
                  <c:v>Telšių</c:v>
                </c:pt>
                <c:pt idx="8">
                  <c:v>Utenos</c:v>
                </c:pt>
                <c:pt idx="9">
                  <c:v>Vilniaus</c:v>
                </c:pt>
              </c:strCache>
            </c:strRef>
          </c:cat>
          <c:val>
            <c:numRef>
              <c:f>Sheet3!$D$2:$D$11</c:f>
              <c:numCache>
                <c:formatCode>0.00%</c:formatCode>
                <c:ptCount val="10"/>
                <c:pt idx="0">
                  <c:v>3.1306715063521069E-2</c:v>
                </c:pt>
                <c:pt idx="1">
                  <c:v>2.8644080472664812E-2</c:v>
                </c:pt>
                <c:pt idx="2">
                  <c:v>3.1825198907493212E-2</c:v>
                </c:pt>
                <c:pt idx="3">
                  <c:v>2.5677603423680674E-2</c:v>
                </c:pt>
                <c:pt idx="4">
                  <c:v>3.1413612565445323E-2</c:v>
                </c:pt>
                <c:pt idx="5">
                  <c:v>2.8411447532144411E-2</c:v>
                </c:pt>
                <c:pt idx="6">
                  <c:v>1.794019933554827E-2</c:v>
                </c:pt>
                <c:pt idx="7">
                  <c:v>2.9574132492113755E-2</c:v>
                </c:pt>
                <c:pt idx="8">
                  <c:v>2.8910686628807428E-2</c:v>
                </c:pt>
                <c:pt idx="9">
                  <c:v>2.6174138143567411E-2</c:v>
                </c:pt>
              </c:numCache>
            </c:numRef>
          </c:val>
        </c:ser>
        <c:ser>
          <c:idx val="3"/>
          <c:order val="3"/>
          <c:tx>
            <c:strRef>
              <c:f>Sheet3!$E$1</c:f>
              <c:strCache>
                <c:ptCount val="1"/>
                <c:pt idx="0">
                  <c:v>2010</c:v>
                </c:pt>
              </c:strCache>
            </c:strRef>
          </c:tx>
          <c:cat>
            <c:strRef>
              <c:f>Sheet3!$A$2:$A$11</c:f>
              <c:strCache>
                <c:ptCount val="10"/>
                <c:pt idx="0">
                  <c:v>Alytaus</c:v>
                </c:pt>
                <c:pt idx="1">
                  <c:v>Kauno</c:v>
                </c:pt>
                <c:pt idx="2">
                  <c:v>Klaipėdos</c:v>
                </c:pt>
                <c:pt idx="3">
                  <c:v>Marijampolės</c:v>
                </c:pt>
                <c:pt idx="4">
                  <c:v>Panevežio</c:v>
                </c:pt>
                <c:pt idx="5">
                  <c:v>Šiaulių</c:v>
                </c:pt>
                <c:pt idx="6">
                  <c:v>Tauragės</c:v>
                </c:pt>
                <c:pt idx="7">
                  <c:v>Telšių</c:v>
                </c:pt>
                <c:pt idx="8">
                  <c:v>Utenos</c:v>
                </c:pt>
                <c:pt idx="9">
                  <c:v>Vilniaus</c:v>
                </c:pt>
              </c:strCache>
            </c:strRef>
          </c:cat>
          <c:val>
            <c:numRef>
              <c:f>Sheet3!$E$2:$E$11</c:f>
              <c:numCache>
                <c:formatCode>0.00%</c:formatCode>
                <c:ptCount val="10"/>
                <c:pt idx="0">
                  <c:v>2.5322503583373252E-2</c:v>
                </c:pt>
                <c:pt idx="1">
                  <c:v>2.4763069397737522E-2</c:v>
                </c:pt>
                <c:pt idx="2">
                  <c:v>2.9848927875243868E-2</c:v>
                </c:pt>
                <c:pt idx="3">
                  <c:v>2.3141309699655391E-2</c:v>
                </c:pt>
                <c:pt idx="4">
                  <c:v>2.8251339503166266E-2</c:v>
                </c:pt>
                <c:pt idx="5">
                  <c:v>2.1635655560363759E-2</c:v>
                </c:pt>
                <c:pt idx="6">
                  <c:v>2.3093072078376697E-2</c:v>
                </c:pt>
                <c:pt idx="7">
                  <c:v>2.196908055329538E-2</c:v>
                </c:pt>
                <c:pt idx="8">
                  <c:v>2.4891774891774895E-2</c:v>
                </c:pt>
                <c:pt idx="9">
                  <c:v>2.5833646341972442E-2</c:v>
                </c:pt>
              </c:numCache>
            </c:numRef>
          </c:val>
        </c:ser>
        <c:ser>
          <c:idx val="4"/>
          <c:order val="4"/>
          <c:tx>
            <c:strRef>
              <c:f>Sheet3!$F$1</c:f>
              <c:strCache>
                <c:ptCount val="1"/>
                <c:pt idx="0">
                  <c:v>2011</c:v>
                </c:pt>
              </c:strCache>
            </c:strRef>
          </c:tx>
          <c:cat>
            <c:strRef>
              <c:f>Sheet3!$A$2:$A$11</c:f>
              <c:strCache>
                <c:ptCount val="10"/>
                <c:pt idx="0">
                  <c:v>Alytaus</c:v>
                </c:pt>
                <c:pt idx="1">
                  <c:v>Kauno</c:v>
                </c:pt>
                <c:pt idx="2">
                  <c:v>Klaipėdos</c:v>
                </c:pt>
                <c:pt idx="3">
                  <c:v>Marijampolės</c:v>
                </c:pt>
                <c:pt idx="4">
                  <c:v>Panevežio</c:v>
                </c:pt>
                <c:pt idx="5">
                  <c:v>Šiaulių</c:v>
                </c:pt>
                <c:pt idx="6">
                  <c:v>Tauragės</c:v>
                </c:pt>
                <c:pt idx="7">
                  <c:v>Telšių</c:v>
                </c:pt>
                <c:pt idx="8">
                  <c:v>Utenos</c:v>
                </c:pt>
                <c:pt idx="9">
                  <c:v>Vilniaus</c:v>
                </c:pt>
              </c:strCache>
            </c:strRef>
          </c:cat>
          <c:val>
            <c:numRef>
              <c:f>Sheet3!$F$2:$F$11</c:f>
              <c:numCache>
                <c:formatCode>0.00%</c:formatCode>
                <c:ptCount val="10"/>
                <c:pt idx="0">
                  <c:v>1.9565217391304349E-2</c:v>
                </c:pt>
                <c:pt idx="1">
                  <c:v>1.693677909183839E-2</c:v>
                </c:pt>
                <c:pt idx="2">
                  <c:v>2.2156398104265406E-2</c:v>
                </c:pt>
                <c:pt idx="3">
                  <c:v>1.5934331240946401E-2</c:v>
                </c:pt>
                <c:pt idx="4">
                  <c:v>1.5304921120791144E-2</c:v>
                </c:pt>
                <c:pt idx="5">
                  <c:v>2.1181262729124559E-2</c:v>
                </c:pt>
                <c:pt idx="6">
                  <c:v>9.2653871608206727E-3</c:v>
                </c:pt>
                <c:pt idx="7">
                  <c:v>1.4735165272799682E-2</c:v>
                </c:pt>
                <c:pt idx="8">
                  <c:v>1.5946502057613266E-2</c:v>
                </c:pt>
                <c:pt idx="9">
                  <c:v>2.0826721675658518E-2</c:v>
                </c:pt>
              </c:numCache>
            </c:numRef>
          </c:val>
        </c:ser>
        <c:ser>
          <c:idx val="5"/>
          <c:order val="5"/>
          <c:tx>
            <c:strRef>
              <c:f>Sheet3!$G$1</c:f>
              <c:strCache>
                <c:ptCount val="1"/>
                <c:pt idx="0">
                  <c:v>2012</c:v>
                </c:pt>
              </c:strCache>
            </c:strRef>
          </c:tx>
          <c:cat>
            <c:strRef>
              <c:f>Sheet3!$A$2:$A$11</c:f>
              <c:strCache>
                <c:ptCount val="10"/>
                <c:pt idx="0">
                  <c:v>Alytaus</c:v>
                </c:pt>
                <c:pt idx="1">
                  <c:v>Kauno</c:v>
                </c:pt>
                <c:pt idx="2">
                  <c:v>Klaipėdos</c:v>
                </c:pt>
                <c:pt idx="3">
                  <c:v>Marijampolės</c:v>
                </c:pt>
                <c:pt idx="4">
                  <c:v>Panevežio</c:v>
                </c:pt>
                <c:pt idx="5">
                  <c:v>Šiaulių</c:v>
                </c:pt>
                <c:pt idx="6">
                  <c:v>Tauragės</c:v>
                </c:pt>
                <c:pt idx="7">
                  <c:v>Telšių</c:v>
                </c:pt>
                <c:pt idx="8">
                  <c:v>Utenos</c:v>
                </c:pt>
                <c:pt idx="9">
                  <c:v>Vilniaus</c:v>
                </c:pt>
              </c:strCache>
            </c:strRef>
          </c:cat>
          <c:val>
            <c:numRef>
              <c:f>Sheet3!$G$2:$G$11</c:f>
              <c:numCache>
                <c:formatCode>0.00%</c:formatCode>
                <c:ptCount val="10"/>
                <c:pt idx="0">
                  <c:v>1.8251681075888575E-2</c:v>
                </c:pt>
                <c:pt idx="1">
                  <c:v>1.7831066021059102E-2</c:v>
                </c:pt>
                <c:pt idx="2">
                  <c:v>2.5454080327449481E-2</c:v>
                </c:pt>
                <c:pt idx="3">
                  <c:v>1.5831134564643797E-2</c:v>
                </c:pt>
                <c:pt idx="4">
                  <c:v>1.6031537450722735E-2</c:v>
                </c:pt>
                <c:pt idx="5">
                  <c:v>3.0091583078935891E-2</c:v>
                </c:pt>
                <c:pt idx="6">
                  <c:v>1.6899338721528288E-2</c:v>
                </c:pt>
                <c:pt idx="7">
                  <c:v>1.8204911092294666E-2</c:v>
                </c:pt>
                <c:pt idx="8">
                  <c:v>3.7802717070289781E-2</c:v>
                </c:pt>
                <c:pt idx="9">
                  <c:v>2.3562366122919759E-2</c:v>
                </c:pt>
              </c:numCache>
            </c:numRef>
          </c:val>
        </c:ser>
        <c:gapWidth val="75"/>
        <c:shape val="box"/>
        <c:axId val="129111936"/>
        <c:axId val="129113472"/>
        <c:axId val="0"/>
      </c:bar3DChart>
      <c:catAx>
        <c:axId val="129111936"/>
        <c:scaling>
          <c:orientation val="minMax"/>
        </c:scaling>
        <c:axPos val="b"/>
        <c:majorTickMark val="none"/>
        <c:tickLblPos val="nextTo"/>
        <c:txPr>
          <a:bodyPr/>
          <a:lstStyle/>
          <a:p>
            <a:pPr>
              <a:defRPr>
                <a:latin typeface="Times New Roman" pitchFamily="18" charset="0"/>
                <a:cs typeface="Times New Roman" pitchFamily="18" charset="0"/>
              </a:defRPr>
            </a:pPr>
            <a:endParaRPr lang="en-US"/>
          </a:p>
        </c:txPr>
        <c:crossAx val="129113472"/>
        <c:crosses val="autoZero"/>
        <c:auto val="1"/>
        <c:lblAlgn val="ctr"/>
        <c:lblOffset val="100"/>
      </c:catAx>
      <c:valAx>
        <c:axId val="129113472"/>
        <c:scaling>
          <c:orientation val="minMax"/>
        </c:scaling>
        <c:axPos val="l"/>
        <c:majorGridlines/>
        <c:numFmt formatCode="0.00%" sourceLinked="1"/>
        <c:majorTickMark val="none"/>
        <c:tickLblPos val="nextTo"/>
        <c:spPr>
          <a:ln w="9525">
            <a:noFill/>
          </a:ln>
        </c:spPr>
        <c:txPr>
          <a:bodyPr/>
          <a:lstStyle/>
          <a:p>
            <a:pPr>
              <a:defRPr>
                <a:latin typeface="Times New Roman" pitchFamily="18" charset="0"/>
                <a:cs typeface="Times New Roman" pitchFamily="18" charset="0"/>
              </a:defRPr>
            </a:pPr>
            <a:endParaRPr lang="en-US"/>
          </a:p>
        </c:txPr>
        <c:crossAx val="129111936"/>
        <c:crosses val="autoZero"/>
        <c:crossBetween val="between"/>
      </c:valAx>
    </c:plotArea>
    <c:legend>
      <c:legendPos val="b"/>
      <c:txPr>
        <a:bodyPr/>
        <a:lstStyle/>
        <a:p>
          <a:pPr>
            <a:defRPr>
              <a:latin typeface="Times New Roman" pitchFamily="18" charset="0"/>
              <a:cs typeface="Times New Roman" pitchFamily="18" charset="0"/>
            </a:defRPr>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32"/>
  <c:chart>
    <c:title>
      <c:tx>
        <c:rich>
          <a:bodyPr/>
          <a:lstStyle/>
          <a:p>
            <a:pPr>
              <a:defRPr>
                <a:latin typeface="Times New Roman" pitchFamily="18" charset="0"/>
                <a:cs typeface="Times New Roman" pitchFamily="18" charset="0"/>
              </a:defRPr>
            </a:pPr>
            <a:r>
              <a:rPr lang="en-US" sz="1200">
                <a:latin typeface="Times New Roman" pitchFamily="18" charset="0"/>
                <a:cs typeface="Times New Roman" pitchFamily="18" charset="0"/>
              </a:rPr>
              <a:t>Prad</a:t>
            </a:r>
            <a:r>
              <a:rPr lang="lt-LT" sz="1200">
                <a:latin typeface="Times New Roman" pitchFamily="18" charset="0"/>
                <a:cs typeface="Times New Roman" pitchFamily="18" charset="0"/>
              </a:rPr>
              <a:t>ėti</a:t>
            </a:r>
            <a:r>
              <a:rPr lang="lt-LT" sz="1200" baseline="0">
                <a:latin typeface="Times New Roman" pitchFamily="18" charset="0"/>
                <a:cs typeface="Times New Roman" pitchFamily="18" charset="0"/>
              </a:rPr>
              <a:t> bankroto procesai pagal ekonominės veiklos rūšis</a:t>
            </a:r>
            <a:endParaRPr lang="en-US" sz="1200">
              <a:latin typeface="Times New Roman" pitchFamily="18" charset="0"/>
              <a:cs typeface="Times New Roman" pitchFamily="18" charset="0"/>
            </a:endParaRPr>
          </a:p>
        </c:rich>
      </c:tx>
    </c:title>
    <c:view3D>
      <c:rAngAx val="1"/>
    </c:view3D>
    <c:plotArea>
      <c:layout/>
      <c:bar3DChart>
        <c:barDir val="col"/>
        <c:grouping val="clustered"/>
        <c:ser>
          <c:idx val="0"/>
          <c:order val="0"/>
          <c:tx>
            <c:strRef>
              <c:f>Sheet4!$B$1</c:f>
              <c:strCache>
                <c:ptCount val="1"/>
                <c:pt idx="0">
                  <c:v>2011</c:v>
                </c:pt>
              </c:strCache>
            </c:strRef>
          </c:tx>
          <c:dLbls>
            <c:dLbl>
              <c:idx val="5"/>
              <c:layout>
                <c:manualLayout>
                  <c:x val="-1.7000603913466351E-2"/>
                  <c:y val="7.640878701050703E-3"/>
                </c:manualLayout>
              </c:layout>
              <c:showVal val="1"/>
            </c:dLbl>
            <c:dLbl>
              <c:idx val="7"/>
              <c:layout>
                <c:manualLayout>
                  <c:x val="0"/>
                  <c:y val="-1.1461318051575941E-2"/>
                </c:manualLayout>
              </c:layout>
              <c:showVal val="1"/>
            </c:dLbl>
            <c:dLbl>
              <c:idx val="9"/>
              <c:layout>
                <c:manualLayout>
                  <c:x val="-7.2859731057714041E-3"/>
                  <c:y val="0"/>
                </c:manualLayout>
              </c:layout>
              <c:showVal val="1"/>
            </c:dLbl>
            <c:dLbl>
              <c:idx val="11"/>
              <c:layout>
                <c:manualLayout>
                  <c:x val="-1.4571946211542588E-2"/>
                  <c:y val="0"/>
                </c:manualLayout>
              </c:layout>
              <c:showVal val="1"/>
            </c:dLbl>
            <c:txPr>
              <a:bodyPr/>
              <a:lstStyle/>
              <a:p>
                <a:pPr>
                  <a:defRPr sz="700">
                    <a:latin typeface="Times New Roman" pitchFamily="18" charset="0"/>
                    <a:cs typeface="Times New Roman" pitchFamily="18" charset="0"/>
                  </a:defRPr>
                </a:pPr>
                <a:endParaRPr lang="en-US"/>
              </a:p>
            </c:txPr>
            <c:showVal val="1"/>
          </c:dLbls>
          <c:cat>
            <c:strRef>
              <c:f>Sheet4!$A$2:$A$22</c:f>
              <c:strCache>
                <c:ptCount val="21"/>
                <c:pt idx="0">
                  <c:v>Žemės ūkis</c:v>
                </c:pt>
                <c:pt idx="1">
                  <c:v>Kasyba</c:v>
                </c:pt>
                <c:pt idx="2">
                  <c:v>Apdirbamoji gamyba</c:v>
                </c:pt>
                <c:pt idx="3">
                  <c:v>Elektros, dujų tiekimas</c:v>
                </c:pt>
                <c:pt idx="4">
                  <c:v>Vandens tiekimas</c:v>
                </c:pt>
                <c:pt idx="5">
                  <c:v>Statyba</c:v>
                </c:pt>
                <c:pt idx="6">
                  <c:v>Didmeninė ir mažmeninė prekyba</c:v>
                </c:pt>
                <c:pt idx="7">
                  <c:v>Transportas ir saugojimas</c:v>
                </c:pt>
                <c:pt idx="8">
                  <c:v>Apgyvendinimas ir maitinimas</c:v>
                </c:pt>
                <c:pt idx="9">
                  <c:v>Informacija ir ryšiai</c:v>
                </c:pt>
                <c:pt idx="10">
                  <c:v>Finansinė ir draudimo veikla</c:v>
                </c:pt>
                <c:pt idx="11">
                  <c:v>Nekilnojamojo turto operacijos</c:v>
                </c:pt>
                <c:pt idx="12">
                  <c:v>Profesinė bei mokslinė veikla</c:v>
                </c:pt>
                <c:pt idx="13">
                  <c:v>Administracinė ir aptarnavimo veikla</c:v>
                </c:pt>
                <c:pt idx="14">
                  <c:v>Viešasis valdymas ir gynyba</c:v>
                </c:pt>
                <c:pt idx="15">
                  <c:v>Švietimas</c:v>
                </c:pt>
                <c:pt idx="16">
                  <c:v>Sveikatos priežiūra</c:v>
                </c:pt>
                <c:pt idx="17">
                  <c:v>Meninė, pramoginė bei poilsio veikla</c:v>
                </c:pt>
                <c:pt idx="18">
                  <c:v>Kita aptarnavimo veikla</c:v>
                </c:pt>
                <c:pt idx="19">
                  <c:v>Namų ūkių samdančių darbininkus veikla</c:v>
                </c:pt>
                <c:pt idx="20">
                  <c:v>Ekstrateritorinių įstaigų veikla</c:v>
                </c:pt>
              </c:strCache>
            </c:strRef>
          </c:cat>
          <c:val>
            <c:numRef>
              <c:f>Sheet4!$B$2:$B$22</c:f>
              <c:numCache>
                <c:formatCode>General</c:formatCode>
                <c:ptCount val="21"/>
                <c:pt idx="0">
                  <c:v>21</c:v>
                </c:pt>
                <c:pt idx="1">
                  <c:v>0</c:v>
                </c:pt>
                <c:pt idx="2">
                  <c:v>143</c:v>
                </c:pt>
                <c:pt idx="3">
                  <c:v>0</c:v>
                </c:pt>
                <c:pt idx="4">
                  <c:v>6</c:v>
                </c:pt>
                <c:pt idx="5">
                  <c:v>260</c:v>
                </c:pt>
                <c:pt idx="6">
                  <c:v>317</c:v>
                </c:pt>
                <c:pt idx="7">
                  <c:v>126</c:v>
                </c:pt>
                <c:pt idx="8">
                  <c:v>77</c:v>
                </c:pt>
                <c:pt idx="9">
                  <c:v>28</c:v>
                </c:pt>
                <c:pt idx="10">
                  <c:v>2</c:v>
                </c:pt>
                <c:pt idx="11">
                  <c:v>74</c:v>
                </c:pt>
                <c:pt idx="12">
                  <c:v>79</c:v>
                </c:pt>
                <c:pt idx="13">
                  <c:v>99</c:v>
                </c:pt>
                <c:pt idx="14">
                  <c:v>0</c:v>
                </c:pt>
                <c:pt idx="15">
                  <c:v>5</c:v>
                </c:pt>
                <c:pt idx="16">
                  <c:v>6</c:v>
                </c:pt>
                <c:pt idx="17">
                  <c:v>17</c:v>
                </c:pt>
                <c:pt idx="18">
                  <c:v>13</c:v>
                </c:pt>
                <c:pt idx="19">
                  <c:v>0</c:v>
                </c:pt>
                <c:pt idx="20">
                  <c:v>0</c:v>
                </c:pt>
              </c:numCache>
            </c:numRef>
          </c:val>
        </c:ser>
        <c:ser>
          <c:idx val="1"/>
          <c:order val="1"/>
          <c:tx>
            <c:strRef>
              <c:f>Sheet4!$C$1</c:f>
              <c:strCache>
                <c:ptCount val="1"/>
                <c:pt idx="0">
                  <c:v>2012</c:v>
                </c:pt>
              </c:strCache>
            </c:strRef>
          </c:tx>
          <c:dLbls>
            <c:dLbl>
              <c:idx val="0"/>
              <c:layout>
                <c:manualLayout>
                  <c:x val="7.2859731057714041E-3"/>
                  <c:y val="-1.1461318051575941E-2"/>
                </c:manualLayout>
              </c:layout>
              <c:showVal val="1"/>
            </c:dLbl>
            <c:dLbl>
              <c:idx val="5"/>
              <c:layout>
                <c:manualLayout>
                  <c:x val="2.4286577019237646E-3"/>
                  <c:y val="-1.1461318051575941E-2"/>
                </c:manualLayout>
              </c:layout>
              <c:showVal val="1"/>
            </c:dLbl>
            <c:dLbl>
              <c:idx val="7"/>
              <c:layout>
                <c:manualLayout>
                  <c:x val="1.214328850961878E-2"/>
                  <c:y val="-3.8204393505253558E-3"/>
                </c:manualLayout>
              </c:layout>
              <c:showVal val="1"/>
            </c:dLbl>
            <c:dLbl>
              <c:idx val="8"/>
              <c:layout>
                <c:manualLayout>
                  <c:x val="9.7146308076950707E-3"/>
                  <c:y val="0"/>
                </c:manualLayout>
              </c:layout>
              <c:showVal val="1"/>
            </c:dLbl>
            <c:dLbl>
              <c:idx val="9"/>
              <c:layout>
                <c:manualLayout>
                  <c:x val="7.2859731057714041E-3"/>
                  <c:y val="0"/>
                </c:manualLayout>
              </c:layout>
              <c:showVal val="1"/>
            </c:dLbl>
            <c:dLbl>
              <c:idx val="12"/>
              <c:layout>
                <c:manualLayout>
                  <c:x val="2.4286577019237646E-3"/>
                  <c:y val="1.9102196752626553E-2"/>
                </c:manualLayout>
              </c:layout>
              <c:showVal val="1"/>
            </c:dLbl>
            <c:dLbl>
              <c:idx val="17"/>
              <c:layout>
                <c:manualLayout>
                  <c:x val="7.2859731057714041E-3"/>
                  <c:y val="-1.1461318051575941E-2"/>
                </c:manualLayout>
              </c:layout>
              <c:showVal val="1"/>
            </c:dLbl>
            <c:dLbl>
              <c:idx val="18"/>
              <c:layout>
                <c:manualLayout>
                  <c:x val="7.2859731057714041E-3"/>
                  <c:y val="-1.1461318051575941E-2"/>
                </c:manualLayout>
              </c:layout>
              <c:showVal val="1"/>
            </c:dLbl>
            <c:txPr>
              <a:bodyPr/>
              <a:lstStyle/>
              <a:p>
                <a:pPr>
                  <a:defRPr sz="700">
                    <a:latin typeface="Times New Roman" pitchFamily="18" charset="0"/>
                    <a:cs typeface="Times New Roman" pitchFamily="18" charset="0"/>
                  </a:defRPr>
                </a:pPr>
                <a:endParaRPr lang="en-US"/>
              </a:p>
            </c:txPr>
            <c:showVal val="1"/>
          </c:dLbls>
          <c:cat>
            <c:strRef>
              <c:f>Sheet4!$A$2:$A$22</c:f>
              <c:strCache>
                <c:ptCount val="21"/>
                <c:pt idx="0">
                  <c:v>Žemės ūkis</c:v>
                </c:pt>
                <c:pt idx="1">
                  <c:v>Kasyba</c:v>
                </c:pt>
                <c:pt idx="2">
                  <c:v>Apdirbamoji gamyba</c:v>
                </c:pt>
                <c:pt idx="3">
                  <c:v>Elektros, dujų tiekimas</c:v>
                </c:pt>
                <c:pt idx="4">
                  <c:v>Vandens tiekimas</c:v>
                </c:pt>
                <c:pt idx="5">
                  <c:v>Statyba</c:v>
                </c:pt>
                <c:pt idx="6">
                  <c:v>Didmeninė ir mažmeninė prekyba</c:v>
                </c:pt>
                <c:pt idx="7">
                  <c:v>Transportas ir saugojimas</c:v>
                </c:pt>
                <c:pt idx="8">
                  <c:v>Apgyvendinimas ir maitinimas</c:v>
                </c:pt>
                <c:pt idx="9">
                  <c:v>Informacija ir ryšiai</c:v>
                </c:pt>
                <c:pt idx="10">
                  <c:v>Finansinė ir draudimo veikla</c:v>
                </c:pt>
                <c:pt idx="11">
                  <c:v>Nekilnojamojo turto operacijos</c:v>
                </c:pt>
                <c:pt idx="12">
                  <c:v>Profesinė bei mokslinė veikla</c:v>
                </c:pt>
                <c:pt idx="13">
                  <c:v>Administracinė ir aptarnavimo veikla</c:v>
                </c:pt>
                <c:pt idx="14">
                  <c:v>Viešasis valdymas ir gynyba</c:v>
                </c:pt>
                <c:pt idx="15">
                  <c:v>Švietimas</c:v>
                </c:pt>
                <c:pt idx="16">
                  <c:v>Sveikatos priežiūra</c:v>
                </c:pt>
                <c:pt idx="17">
                  <c:v>Meninė, pramoginė bei poilsio veikla</c:v>
                </c:pt>
                <c:pt idx="18">
                  <c:v>Kita aptarnavimo veikla</c:v>
                </c:pt>
                <c:pt idx="19">
                  <c:v>Namų ūkių samdančių darbininkus veikla</c:v>
                </c:pt>
                <c:pt idx="20">
                  <c:v>Ekstrateritorinių įstaigų veikla</c:v>
                </c:pt>
              </c:strCache>
            </c:strRef>
          </c:cat>
          <c:val>
            <c:numRef>
              <c:f>Sheet4!$C$2:$C$22</c:f>
              <c:numCache>
                <c:formatCode>General</c:formatCode>
                <c:ptCount val="21"/>
                <c:pt idx="0">
                  <c:v>25</c:v>
                </c:pt>
                <c:pt idx="1">
                  <c:v>0</c:v>
                </c:pt>
                <c:pt idx="2">
                  <c:v>171</c:v>
                </c:pt>
                <c:pt idx="3">
                  <c:v>2</c:v>
                </c:pt>
                <c:pt idx="4">
                  <c:v>8</c:v>
                </c:pt>
                <c:pt idx="5">
                  <c:v>264</c:v>
                </c:pt>
                <c:pt idx="6">
                  <c:v>380</c:v>
                </c:pt>
                <c:pt idx="7">
                  <c:v>115</c:v>
                </c:pt>
                <c:pt idx="8">
                  <c:v>92</c:v>
                </c:pt>
                <c:pt idx="9">
                  <c:v>20</c:v>
                </c:pt>
                <c:pt idx="10">
                  <c:v>8</c:v>
                </c:pt>
                <c:pt idx="11">
                  <c:v>56</c:v>
                </c:pt>
                <c:pt idx="12">
                  <c:v>74</c:v>
                </c:pt>
                <c:pt idx="13">
                  <c:v>138</c:v>
                </c:pt>
                <c:pt idx="14">
                  <c:v>0</c:v>
                </c:pt>
                <c:pt idx="15">
                  <c:v>7</c:v>
                </c:pt>
                <c:pt idx="16">
                  <c:v>5</c:v>
                </c:pt>
                <c:pt idx="17">
                  <c:v>16</c:v>
                </c:pt>
                <c:pt idx="18">
                  <c:v>19</c:v>
                </c:pt>
                <c:pt idx="19">
                  <c:v>0</c:v>
                </c:pt>
                <c:pt idx="20">
                  <c:v>0</c:v>
                </c:pt>
              </c:numCache>
            </c:numRef>
          </c:val>
        </c:ser>
        <c:shape val="box"/>
        <c:axId val="129156992"/>
        <c:axId val="129158528"/>
        <c:axId val="0"/>
      </c:bar3DChart>
      <c:catAx>
        <c:axId val="129156992"/>
        <c:scaling>
          <c:orientation val="minMax"/>
        </c:scaling>
        <c:axPos val="b"/>
        <c:majorTickMark val="none"/>
        <c:tickLblPos val="nextTo"/>
        <c:txPr>
          <a:bodyPr rot="-5400000" vert="horz"/>
          <a:lstStyle/>
          <a:p>
            <a:pPr>
              <a:defRPr sz="900">
                <a:latin typeface="Times New Roman" pitchFamily="18" charset="0"/>
                <a:cs typeface="Times New Roman" pitchFamily="18" charset="0"/>
              </a:defRPr>
            </a:pPr>
            <a:endParaRPr lang="en-US"/>
          </a:p>
        </c:txPr>
        <c:crossAx val="129158528"/>
        <c:crosses val="autoZero"/>
        <c:auto val="1"/>
        <c:lblAlgn val="ctr"/>
        <c:lblOffset val="100"/>
        <c:tickLblSkip val="1"/>
      </c:catAx>
      <c:valAx>
        <c:axId val="129158528"/>
        <c:scaling>
          <c:orientation val="minMax"/>
        </c:scaling>
        <c:axPos val="l"/>
        <c:majorGridlines/>
        <c:numFmt formatCode="General" sourceLinked="1"/>
        <c:tickLblPos val="nextTo"/>
        <c:txPr>
          <a:bodyPr/>
          <a:lstStyle/>
          <a:p>
            <a:pPr>
              <a:defRPr>
                <a:latin typeface="Times New Roman" pitchFamily="18" charset="0"/>
                <a:cs typeface="Times New Roman" pitchFamily="18" charset="0"/>
              </a:defRPr>
            </a:pPr>
            <a:endParaRPr lang="en-US"/>
          </a:p>
        </c:txPr>
        <c:crossAx val="129156992"/>
        <c:crosses val="autoZero"/>
        <c:crossBetween val="between"/>
      </c:valAx>
    </c:plotArea>
    <c:legend>
      <c:legendPos val="r"/>
      <c:txPr>
        <a:bodyPr/>
        <a:lstStyle/>
        <a:p>
          <a:pPr>
            <a:defRPr>
              <a:latin typeface="Times New Roman" pitchFamily="18" charset="0"/>
              <a:cs typeface="Times New Roman" pitchFamily="18" charset="0"/>
            </a:defRPr>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40"/>
  <c:chart>
    <c:title>
      <c:tx>
        <c:rich>
          <a:bodyPr/>
          <a:lstStyle/>
          <a:p>
            <a:pPr>
              <a:defRPr/>
            </a:pPr>
            <a:r>
              <a:rPr lang="en-US" sz="1100">
                <a:latin typeface="Times New Roman" pitchFamily="18" charset="0"/>
                <a:cs typeface="Times New Roman" pitchFamily="18" charset="0"/>
              </a:rPr>
              <a:t>Bankrutuojan</a:t>
            </a:r>
            <a:r>
              <a:rPr lang="lt-LT" sz="1100">
                <a:latin typeface="Times New Roman" pitchFamily="18" charset="0"/>
                <a:cs typeface="Times New Roman" pitchFamily="18" charset="0"/>
              </a:rPr>
              <a:t>čių</a:t>
            </a:r>
            <a:r>
              <a:rPr lang="lt-LT" sz="1100" baseline="0">
                <a:latin typeface="Times New Roman" pitchFamily="18" charset="0"/>
                <a:cs typeface="Times New Roman" pitchFamily="18" charset="0"/>
              </a:rPr>
              <a:t> bei bankrutavusių įmonių turtas ir kreditoriniai reikalavimai bankroto proceso pradžioje</a:t>
            </a:r>
            <a:endParaRPr lang="en-US" sz="1100">
              <a:latin typeface="Times New Roman" pitchFamily="18" charset="0"/>
              <a:cs typeface="Times New Roman" pitchFamily="18" charset="0"/>
            </a:endParaRPr>
          </a:p>
        </c:rich>
      </c:tx>
      <c:layout>
        <c:manualLayout>
          <c:xMode val="edge"/>
          <c:yMode val="edge"/>
          <c:x val="0.15407633420822534"/>
          <c:y val="2.7777777777778321E-2"/>
        </c:manualLayout>
      </c:layout>
    </c:title>
    <c:plotArea>
      <c:layout/>
      <c:barChart>
        <c:barDir val="col"/>
        <c:grouping val="clustered"/>
        <c:ser>
          <c:idx val="0"/>
          <c:order val="0"/>
          <c:tx>
            <c:strRef>
              <c:f>Sheet6!$B$1</c:f>
              <c:strCache>
                <c:ptCount val="1"/>
                <c:pt idx="0">
                  <c:v>Kreditoriniai reikalavimai</c:v>
                </c:pt>
              </c:strCache>
            </c:strRef>
          </c:tx>
          <c:dLbls>
            <c:txPr>
              <a:bodyPr/>
              <a:lstStyle/>
              <a:p>
                <a:pPr>
                  <a:defRPr sz="700">
                    <a:latin typeface="Times New Roman" pitchFamily="18" charset="0"/>
                    <a:cs typeface="Times New Roman" pitchFamily="18" charset="0"/>
                  </a:defRPr>
                </a:pPr>
                <a:endParaRPr lang="en-US"/>
              </a:p>
            </c:txPr>
            <c:showVal val="1"/>
          </c:dLbls>
          <c:cat>
            <c:numRef>
              <c:f>Sheet6!$A$2:$A$13</c:f>
              <c:numCache>
                <c:formatCode>General</c:formatCode>
                <c:ptCount val="12"/>
                <c:pt idx="0">
                  <c:v>2001</c:v>
                </c:pt>
                <c:pt idx="1">
                  <c:v>2002</c:v>
                </c:pt>
                <c:pt idx="2">
                  <c:v>2003</c:v>
                </c:pt>
                <c:pt idx="3">
                  <c:v>2004</c:v>
                </c:pt>
                <c:pt idx="4">
                  <c:v>2005</c:v>
                </c:pt>
                <c:pt idx="5">
                  <c:v>2006</c:v>
                </c:pt>
                <c:pt idx="6">
                  <c:v>2007</c:v>
                </c:pt>
                <c:pt idx="7">
                  <c:v>2008</c:v>
                </c:pt>
                <c:pt idx="8">
                  <c:v>2009</c:v>
                </c:pt>
                <c:pt idx="9">
                  <c:v>2010</c:v>
                </c:pt>
                <c:pt idx="10">
                  <c:v>2011</c:v>
                </c:pt>
                <c:pt idx="11">
                  <c:v>2012</c:v>
                </c:pt>
              </c:numCache>
            </c:numRef>
          </c:cat>
          <c:val>
            <c:numRef>
              <c:f>Sheet6!$B$2:$B$13</c:f>
              <c:numCache>
                <c:formatCode>General</c:formatCode>
                <c:ptCount val="12"/>
                <c:pt idx="0">
                  <c:v>1654</c:v>
                </c:pt>
                <c:pt idx="1">
                  <c:v>1299</c:v>
                </c:pt>
                <c:pt idx="2">
                  <c:v>750</c:v>
                </c:pt>
                <c:pt idx="3">
                  <c:v>619</c:v>
                </c:pt>
                <c:pt idx="4">
                  <c:v>560</c:v>
                </c:pt>
                <c:pt idx="5">
                  <c:v>722</c:v>
                </c:pt>
                <c:pt idx="6">
                  <c:v>376</c:v>
                </c:pt>
                <c:pt idx="7">
                  <c:v>1283</c:v>
                </c:pt>
                <c:pt idx="8">
                  <c:v>5851</c:v>
                </c:pt>
                <c:pt idx="9">
                  <c:v>4836</c:v>
                </c:pt>
                <c:pt idx="10">
                  <c:v>2565</c:v>
                </c:pt>
                <c:pt idx="11">
                  <c:v>1549</c:v>
                </c:pt>
              </c:numCache>
            </c:numRef>
          </c:val>
        </c:ser>
        <c:ser>
          <c:idx val="1"/>
          <c:order val="1"/>
          <c:tx>
            <c:strRef>
              <c:f>Sheet6!$C$1</c:f>
              <c:strCache>
                <c:ptCount val="1"/>
                <c:pt idx="0">
                  <c:v>Turtas</c:v>
                </c:pt>
              </c:strCache>
            </c:strRef>
          </c:tx>
          <c:dLbls>
            <c:txPr>
              <a:bodyPr/>
              <a:lstStyle/>
              <a:p>
                <a:pPr>
                  <a:defRPr sz="700">
                    <a:latin typeface="Times New Roman" pitchFamily="18" charset="0"/>
                    <a:cs typeface="Times New Roman" pitchFamily="18" charset="0"/>
                  </a:defRPr>
                </a:pPr>
                <a:endParaRPr lang="en-US"/>
              </a:p>
            </c:txPr>
            <c:showVal val="1"/>
          </c:dLbls>
          <c:cat>
            <c:numRef>
              <c:f>Sheet6!$A$2:$A$13</c:f>
              <c:numCache>
                <c:formatCode>General</c:formatCode>
                <c:ptCount val="12"/>
                <c:pt idx="0">
                  <c:v>2001</c:v>
                </c:pt>
                <c:pt idx="1">
                  <c:v>2002</c:v>
                </c:pt>
                <c:pt idx="2">
                  <c:v>2003</c:v>
                </c:pt>
                <c:pt idx="3">
                  <c:v>2004</c:v>
                </c:pt>
                <c:pt idx="4">
                  <c:v>2005</c:v>
                </c:pt>
                <c:pt idx="5">
                  <c:v>2006</c:v>
                </c:pt>
                <c:pt idx="6">
                  <c:v>2007</c:v>
                </c:pt>
                <c:pt idx="7">
                  <c:v>2008</c:v>
                </c:pt>
                <c:pt idx="8">
                  <c:v>2009</c:v>
                </c:pt>
                <c:pt idx="9">
                  <c:v>2010</c:v>
                </c:pt>
                <c:pt idx="10">
                  <c:v>2011</c:v>
                </c:pt>
                <c:pt idx="11">
                  <c:v>2012</c:v>
                </c:pt>
              </c:numCache>
            </c:numRef>
          </c:cat>
          <c:val>
            <c:numRef>
              <c:f>Sheet6!$C$2:$C$13</c:f>
              <c:numCache>
                <c:formatCode>General</c:formatCode>
                <c:ptCount val="12"/>
                <c:pt idx="0">
                  <c:v>1085</c:v>
                </c:pt>
                <c:pt idx="1">
                  <c:v>895</c:v>
                </c:pt>
                <c:pt idx="2">
                  <c:v>479</c:v>
                </c:pt>
                <c:pt idx="3">
                  <c:v>361</c:v>
                </c:pt>
                <c:pt idx="4">
                  <c:v>300</c:v>
                </c:pt>
                <c:pt idx="5">
                  <c:v>746</c:v>
                </c:pt>
                <c:pt idx="6">
                  <c:v>190</c:v>
                </c:pt>
                <c:pt idx="7">
                  <c:v>807</c:v>
                </c:pt>
                <c:pt idx="8">
                  <c:v>3743</c:v>
                </c:pt>
                <c:pt idx="9">
                  <c:v>2946</c:v>
                </c:pt>
                <c:pt idx="10">
                  <c:v>1769</c:v>
                </c:pt>
                <c:pt idx="11">
                  <c:v>1456</c:v>
                </c:pt>
              </c:numCache>
            </c:numRef>
          </c:val>
        </c:ser>
        <c:gapWidth val="75"/>
        <c:overlap val="-25"/>
        <c:axId val="129333504"/>
        <c:axId val="129351680"/>
      </c:barChart>
      <c:lineChart>
        <c:grouping val="standard"/>
        <c:ser>
          <c:idx val="2"/>
          <c:order val="2"/>
          <c:tx>
            <c:strRef>
              <c:f>Sheet6!$D$1</c:f>
              <c:strCache>
                <c:ptCount val="1"/>
                <c:pt idx="0">
                  <c:v>Kreditorinių reikalavimų ir turto santykis</c:v>
                </c:pt>
              </c:strCache>
            </c:strRef>
          </c:tx>
          <c:dLbls>
            <c:txPr>
              <a:bodyPr/>
              <a:lstStyle/>
              <a:p>
                <a:pPr>
                  <a:defRPr sz="700" b="1">
                    <a:latin typeface="Times New Roman" pitchFamily="18" charset="0"/>
                    <a:cs typeface="Times New Roman" pitchFamily="18" charset="0"/>
                  </a:defRPr>
                </a:pPr>
                <a:endParaRPr lang="en-US"/>
              </a:p>
            </c:txPr>
            <c:showVal val="1"/>
          </c:dLbls>
          <c:cat>
            <c:numRef>
              <c:f>Sheet6!$A$2:$A$13</c:f>
              <c:numCache>
                <c:formatCode>General</c:formatCode>
                <c:ptCount val="12"/>
                <c:pt idx="0">
                  <c:v>2001</c:v>
                </c:pt>
                <c:pt idx="1">
                  <c:v>2002</c:v>
                </c:pt>
                <c:pt idx="2">
                  <c:v>2003</c:v>
                </c:pt>
                <c:pt idx="3">
                  <c:v>2004</c:v>
                </c:pt>
                <c:pt idx="4">
                  <c:v>2005</c:v>
                </c:pt>
                <c:pt idx="5">
                  <c:v>2006</c:v>
                </c:pt>
                <c:pt idx="6">
                  <c:v>2007</c:v>
                </c:pt>
                <c:pt idx="7">
                  <c:v>2008</c:v>
                </c:pt>
                <c:pt idx="8">
                  <c:v>2009</c:v>
                </c:pt>
                <c:pt idx="9">
                  <c:v>2010</c:v>
                </c:pt>
                <c:pt idx="10">
                  <c:v>2011</c:v>
                </c:pt>
                <c:pt idx="11">
                  <c:v>2012</c:v>
                </c:pt>
              </c:numCache>
            </c:numRef>
          </c:cat>
          <c:val>
            <c:numRef>
              <c:f>Sheet6!$D$2:$D$13</c:f>
              <c:numCache>
                <c:formatCode>0.0</c:formatCode>
                <c:ptCount val="12"/>
                <c:pt idx="0">
                  <c:v>1.5244239631336405</c:v>
                </c:pt>
                <c:pt idx="1">
                  <c:v>1.4513966480446681</c:v>
                </c:pt>
                <c:pt idx="2">
                  <c:v>1.5657620041753653</c:v>
                </c:pt>
                <c:pt idx="3">
                  <c:v>1.714681440443214</c:v>
                </c:pt>
                <c:pt idx="4">
                  <c:v>1.8666666666666667</c:v>
                </c:pt>
                <c:pt idx="5">
                  <c:v>0.9678284182305722</c:v>
                </c:pt>
                <c:pt idx="6">
                  <c:v>1.9789473684210699</c:v>
                </c:pt>
                <c:pt idx="7">
                  <c:v>1.5898389095415213</c:v>
                </c:pt>
                <c:pt idx="8">
                  <c:v>1.5631846112743681</c:v>
                </c:pt>
                <c:pt idx="9">
                  <c:v>1.6415478615071379</c:v>
                </c:pt>
                <c:pt idx="10">
                  <c:v>1.4499717354437536</c:v>
                </c:pt>
                <c:pt idx="11">
                  <c:v>1.0638736263736264</c:v>
                </c:pt>
              </c:numCache>
            </c:numRef>
          </c:val>
        </c:ser>
        <c:marker val="1"/>
        <c:axId val="129354752"/>
        <c:axId val="129353216"/>
      </c:lineChart>
      <c:catAx>
        <c:axId val="129333504"/>
        <c:scaling>
          <c:orientation val="minMax"/>
        </c:scaling>
        <c:axPos val="b"/>
        <c:numFmt formatCode="General" sourceLinked="1"/>
        <c:majorTickMark val="none"/>
        <c:tickLblPos val="nextTo"/>
        <c:txPr>
          <a:bodyPr/>
          <a:lstStyle/>
          <a:p>
            <a:pPr>
              <a:defRPr>
                <a:latin typeface="Times New Roman" pitchFamily="18" charset="0"/>
                <a:cs typeface="Times New Roman" pitchFamily="18" charset="0"/>
              </a:defRPr>
            </a:pPr>
            <a:endParaRPr lang="en-US"/>
          </a:p>
        </c:txPr>
        <c:crossAx val="129351680"/>
        <c:crosses val="autoZero"/>
        <c:auto val="1"/>
        <c:lblAlgn val="ctr"/>
        <c:lblOffset val="100"/>
      </c:catAx>
      <c:valAx>
        <c:axId val="129351680"/>
        <c:scaling>
          <c:orientation val="minMax"/>
        </c:scaling>
        <c:axPos val="l"/>
        <c:majorGridlines/>
        <c:numFmt formatCode="General" sourceLinked="1"/>
        <c:majorTickMark val="none"/>
        <c:tickLblPos val="nextTo"/>
        <c:spPr>
          <a:ln w="9525">
            <a:noFill/>
          </a:ln>
        </c:spPr>
        <c:txPr>
          <a:bodyPr/>
          <a:lstStyle/>
          <a:p>
            <a:pPr>
              <a:defRPr>
                <a:latin typeface="Times New Roman" pitchFamily="18" charset="0"/>
                <a:cs typeface="Times New Roman" pitchFamily="18" charset="0"/>
              </a:defRPr>
            </a:pPr>
            <a:endParaRPr lang="en-US"/>
          </a:p>
        </c:txPr>
        <c:crossAx val="129333504"/>
        <c:crosses val="autoZero"/>
        <c:crossBetween val="between"/>
      </c:valAx>
      <c:valAx>
        <c:axId val="129353216"/>
        <c:scaling>
          <c:orientation val="minMax"/>
        </c:scaling>
        <c:axPos val="r"/>
        <c:numFmt formatCode="0.0" sourceLinked="1"/>
        <c:tickLblPos val="nextTo"/>
        <c:txPr>
          <a:bodyPr/>
          <a:lstStyle/>
          <a:p>
            <a:pPr>
              <a:defRPr>
                <a:latin typeface="Times New Roman" pitchFamily="18" charset="0"/>
                <a:cs typeface="Times New Roman" pitchFamily="18" charset="0"/>
              </a:defRPr>
            </a:pPr>
            <a:endParaRPr lang="en-US"/>
          </a:p>
        </c:txPr>
        <c:crossAx val="129354752"/>
        <c:crosses val="max"/>
        <c:crossBetween val="between"/>
      </c:valAx>
      <c:catAx>
        <c:axId val="129354752"/>
        <c:scaling>
          <c:orientation val="minMax"/>
        </c:scaling>
        <c:delete val="1"/>
        <c:axPos val="b"/>
        <c:numFmt formatCode="General" sourceLinked="1"/>
        <c:tickLblPos val="nextTo"/>
        <c:crossAx val="129353216"/>
        <c:crosses val="autoZero"/>
        <c:auto val="1"/>
        <c:lblAlgn val="ctr"/>
        <c:lblOffset val="100"/>
      </c:catAx>
    </c:plotArea>
    <c:legend>
      <c:legendPos val="b"/>
      <c:legendEntry>
        <c:idx val="0"/>
        <c:txPr>
          <a:bodyPr/>
          <a:lstStyle/>
          <a:p>
            <a:pPr>
              <a:defRPr>
                <a:latin typeface="Times New Roman" pitchFamily="18" charset="0"/>
                <a:cs typeface="Times New Roman" pitchFamily="18" charset="0"/>
              </a:defRPr>
            </a:pPr>
            <a:endParaRPr lang="en-US"/>
          </a:p>
        </c:txPr>
      </c:legendEntry>
      <c:legendEntry>
        <c:idx val="1"/>
        <c:txPr>
          <a:bodyPr/>
          <a:lstStyle/>
          <a:p>
            <a:pPr>
              <a:defRPr>
                <a:latin typeface="Times New Roman" pitchFamily="18" charset="0"/>
                <a:cs typeface="Times New Roman" pitchFamily="18" charset="0"/>
              </a:defRPr>
            </a:pPr>
            <a:endParaRPr lang="en-US"/>
          </a:p>
        </c:txPr>
      </c:legendEntry>
      <c:legendEntry>
        <c:idx val="2"/>
        <c:txPr>
          <a:bodyPr/>
          <a:lstStyle/>
          <a:p>
            <a:pPr>
              <a:defRPr>
                <a:latin typeface="Times New Roman" pitchFamily="18" charset="0"/>
                <a:cs typeface="Times New Roman" pitchFamily="18" charset="0"/>
              </a:defRPr>
            </a:pPr>
            <a:endParaRPr lang="en-US"/>
          </a:p>
        </c:txPr>
      </c:legendEntry>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24"/>
  <c:chart>
    <c:autoTitleDeleted val="1"/>
    <c:view3D>
      <c:rAngAx val="1"/>
    </c:view3D>
    <c:plotArea>
      <c:layout/>
      <c:bar3DChart>
        <c:barDir val="col"/>
        <c:grouping val="clustered"/>
        <c:ser>
          <c:idx val="0"/>
          <c:order val="0"/>
          <c:tx>
            <c:strRef>
              <c:f>Report!$D$2</c:f>
              <c:strCache>
                <c:ptCount val="1"/>
                <c:pt idx="0">
                  <c:v>Vartotojų kainų pokyčiai palyginus su praėjusių metų ketvirčiu, %</c:v>
                </c:pt>
              </c:strCache>
            </c:strRef>
          </c:tx>
          <c:dLbls>
            <c:dLbl>
              <c:idx val="9"/>
              <c:layout>
                <c:manualLayout>
                  <c:x val="7.2015142459560984E-3"/>
                  <c:y val="0.14604600847031751"/>
                </c:manualLayout>
              </c:layout>
              <c:showVal val="1"/>
            </c:dLbl>
            <c:dLbl>
              <c:idx val="10"/>
              <c:layout>
                <c:manualLayout>
                  <c:x val="0"/>
                  <c:y val="-3.1295485236087883E-2"/>
                </c:manualLayout>
              </c:layout>
              <c:showVal val="1"/>
            </c:dLbl>
            <c:txPr>
              <a:bodyPr/>
              <a:lstStyle/>
              <a:p>
                <a:pPr>
                  <a:defRPr>
                    <a:latin typeface="Times New Roman" pitchFamily="18" charset="0"/>
                    <a:cs typeface="Times New Roman" pitchFamily="18" charset="0"/>
                  </a:defRPr>
                </a:pPr>
                <a:endParaRPr lang="en-US"/>
              </a:p>
            </c:txPr>
            <c:showVal val="1"/>
          </c:dLbls>
          <c:cat>
            <c:strRef>
              <c:f>Report!$B$3:$C$23</c:f>
              <c:strCache>
                <c:ptCount val="21"/>
                <c:pt idx="1">
                  <c:v>2008K1</c:v>
                </c:pt>
                <c:pt idx="2">
                  <c:v>2008K2</c:v>
                </c:pt>
                <c:pt idx="3">
                  <c:v>2008K3</c:v>
                </c:pt>
                <c:pt idx="4">
                  <c:v>2008K4</c:v>
                </c:pt>
                <c:pt idx="5">
                  <c:v>2009K1</c:v>
                </c:pt>
                <c:pt idx="6">
                  <c:v>2009K2</c:v>
                </c:pt>
                <c:pt idx="7">
                  <c:v>2009K3</c:v>
                </c:pt>
                <c:pt idx="8">
                  <c:v>2009K4</c:v>
                </c:pt>
                <c:pt idx="9">
                  <c:v>2010K1</c:v>
                </c:pt>
                <c:pt idx="10">
                  <c:v>2010K2</c:v>
                </c:pt>
                <c:pt idx="11">
                  <c:v>2010K3</c:v>
                </c:pt>
                <c:pt idx="12">
                  <c:v>2010K4</c:v>
                </c:pt>
                <c:pt idx="13">
                  <c:v>2011K1</c:v>
                </c:pt>
                <c:pt idx="14">
                  <c:v>2011K2</c:v>
                </c:pt>
                <c:pt idx="15">
                  <c:v>2011K3</c:v>
                </c:pt>
                <c:pt idx="16">
                  <c:v>2011K4</c:v>
                </c:pt>
                <c:pt idx="17">
                  <c:v>2012K1</c:v>
                </c:pt>
                <c:pt idx="18">
                  <c:v>2012K2</c:v>
                </c:pt>
                <c:pt idx="19">
                  <c:v>2012K3</c:v>
                </c:pt>
                <c:pt idx="20">
                  <c:v>2012K4</c:v>
                </c:pt>
              </c:strCache>
            </c:strRef>
          </c:cat>
          <c:val>
            <c:numRef>
              <c:f>Report!$D$3:$D$24</c:f>
              <c:numCache>
                <c:formatCode>#,##0.#</c:formatCode>
                <c:ptCount val="22"/>
                <c:pt idx="1">
                  <c:v>10.6</c:v>
                </c:pt>
                <c:pt idx="2">
                  <c:v>12.1</c:v>
                </c:pt>
                <c:pt idx="3">
                  <c:v>11.7</c:v>
                </c:pt>
                <c:pt idx="4">
                  <c:v>9.3000000000000007</c:v>
                </c:pt>
                <c:pt idx="5">
                  <c:v>8.7000000000000011</c:v>
                </c:pt>
                <c:pt idx="6">
                  <c:v>5.2</c:v>
                </c:pt>
                <c:pt idx="7">
                  <c:v>2.8</c:v>
                </c:pt>
                <c:pt idx="8">
                  <c:v>1.4</c:v>
                </c:pt>
                <c:pt idx="9">
                  <c:v>-0.30000000000000032</c:v>
                </c:pt>
                <c:pt idx="10">
                  <c:v>0.70000000000000062</c:v>
                </c:pt>
                <c:pt idx="11">
                  <c:v>1.8</c:v>
                </c:pt>
                <c:pt idx="12">
                  <c:v>3.1</c:v>
                </c:pt>
                <c:pt idx="13">
                  <c:v>3.3</c:v>
                </c:pt>
                <c:pt idx="14">
                  <c:v>4.8</c:v>
                </c:pt>
                <c:pt idx="15">
                  <c:v>4.5</c:v>
                </c:pt>
                <c:pt idx="16">
                  <c:v>4</c:v>
                </c:pt>
                <c:pt idx="17">
                  <c:v>3.6</c:v>
                </c:pt>
                <c:pt idx="18">
                  <c:v>2.7</c:v>
                </c:pt>
                <c:pt idx="19">
                  <c:v>3.2</c:v>
                </c:pt>
                <c:pt idx="20">
                  <c:v>2.9</c:v>
                </c:pt>
              </c:numCache>
            </c:numRef>
          </c:val>
        </c:ser>
        <c:dLbls>
          <c:showVal val="1"/>
        </c:dLbls>
        <c:gapWidth val="75"/>
        <c:shape val="cylinder"/>
        <c:axId val="130214528"/>
        <c:axId val="130367872"/>
        <c:axId val="0"/>
      </c:bar3DChart>
      <c:catAx>
        <c:axId val="130214528"/>
        <c:scaling>
          <c:orientation val="minMax"/>
        </c:scaling>
        <c:axPos val="b"/>
        <c:majorTickMark val="none"/>
        <c:tickLblPos val="nextTo"/>
        <c:txPr>
          <a:bodyPr/>
          <a:lstStyle/>
          <a:p>
            <a:pPr>
              <a:defRPr>
                <a:latin typeface="Times New Roman" pitchFamily="18" charset="0"/>
                <a:cs typeface="Times New Roman" pitchFamily="18" charset="0"/>
              </a:defRPr>
            </a:pPr>
            <a:endParaRPr lang="en-US"/>
          </a:p>
        </c:txPr>
        <c:crossAx val="130367872"/>
        <c:crosses val="autoZero"/>
        <c:auto val="1"/>
        <c:lblAlgn val="ctr"/>
        <c:lblOffset val="100"/>
      </c:catAx>
      <c:valAx>
        <c:axId val="130367872"/>
        <c:scaling>
          <c:orientation val="minMax"/>
        </c:scaling>
        <c:axPos val="l"/>
        <c:numFmt formatCode="General" sourceLinked="1"/>
        <c:majorTickMark val="none"/>
        <c:tickLblPos val="nextTo"/>
        <c:crossAx val="130214528"/>
        <c:crosses val="autoZero"/>
        <c:crossBetween val="between"/>
      </c:valAx>
    </c:plotArea>
    <c:legend>
      <c:legendPos val="b"/>
      <c:txPr>
        <a:bodyPr/>
        <a:lstStyle/>
        <a:p>
          <a:pPr>
            <a:defRPr>
              <a:latin typeface="Times New Roman" pitchFamily="18" charset="0"/>
              <a:cs typeface="Times New Roman" pitchFamily="18" charset="0"/>
            </a:defRPr>
          </a:pPr>
          <a:endParaRPr lang="en-US"/>
        </a:p>
      </c:txP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40"/>
  <c:chart>
    <c:autoTitleDeleted val="1"/>
    <c:plotArea>
      <c:layout/>
      <c:lineChart>
        <c:grouping val="standard"/>
        <c:ser>
          <c:idx val="0"/>
          <c:order val="0"/>
          <c:tx>
            <c:strRef>
              <c:f>Sheet0!$B$9:$B$10</c:f>
              <c:strCache>
                <c:ptCount val="1"/>
                <c:pt idx="0">
                  <c:v>VILIBOR (6 mėn.), %</c:v>
                </c:pt>
              </c:strCache>
            </c:strRef>
          </c:tx>
          <c:marker>
            <c:symbol val="none"/>
          </c:marker>
          <c:cat>
            <c:numRef>
              <c:f>Sheet0!$A$11:$A$1270</c:f>
              <c:numCache>
                <c:formatCode>m/d/yyyy</c:formatCode>
                <c:ptCount val="1260"/>
                <c:pt idx="0">
                  <c:v>39449</c:v>
                </c:pt>
                <c:pt idx="1">
                  <c:v>39450</c:v>
                </c:pt>
                <c:pt idx="2">
                  <c:v>39451</c:v>
                </c:pt>
                <c:pt idx="3">
                  <c:v>39454</c:v>
                </c:pt>
                <c:pt idx="4">
                  <c:v>39455</c:v>
                </c:pt>
                <c:pt idx="5">
                  <c:v>39456</c:v>
                </c:pt>
                <c:pt idx="6">
                  <c:v>39457</c:v>
                </c:pt>
                <c:pt idx="7">
                  <c:v>39458</c:v>
                </c:pt>
                <c:pt idx="8">
                  <c:v>39461</c:v>
                </c:pt>
                <c:pt idx="9">
                  <c:v>39462</c:v>
                </c:pt>
                <c:pt idx="10">
                  <c:v>39463</c:v>
                </c:pt>
                <c:pt idx="11">
                  <c:v>39464</c:v>
                </c:pt>
                <c:pt idx="12">
                  <c:v>39465</c:v>
                </c:pt>
                <c:pt idx="13">
                  <c:v>39468</c:v>
                </c:pt>
                <c:pt idx="14">
                  <c:v>39469</c:v>
                </c:pt>
                <c:pt idx="15">
                  <c:v>39470</c:v>
                </c:pt>
                <c:pt idx="16">
                  <c:v>39471</c:v>
                </c:pt>
                <c:pt idx="17">
                  <c:v>39472</c:v>
                </c:pt>
                <c:pt idx="18">
                  <c:v>39475</c:v>
                </c:pt>
                <c:pt idx="19">
                  <c:v>39476</c:v>
                </c:pt>
                <c:pt idx="20">
                  <c:v>39477</c:v>
                </c:pt>
                <c:pt idx="21">
                  <c:v>39478</c:v>
                </c:pt>
                <c:pt idx="22">
                  <c:v>39479</c:v>
                </c:pt>
                <c:pt idx="23">
                  <c:v>39482</c:v>
                </c:pt>
                <c:pt idx="24">
                  <c:v>39483</c:v>
                </c:pt>
                <c:pt idx="25">
                  <c:v>39484</c:v>
                </c:pt>
                <c:pt idx="26">
                  <c:v>39485</c:v>
                </c:pt>
                <c:pt idx="27">
                  <c:v>39486</c:v>
                </c:pt>
                <c:pt idx="28">
                  <c:v>39489</c:v>
                </c:pt>
                <c:pt idx="29">
                  <c:v>39490</c:v>
                </c:pt>
                <c:pt idx="30">
                  <c:v>39491</c:v>
                </c:pt>
                <c:pt idx="31">
                  <c:v>39492</c:v>
                </c:pt>
                <c:pt idx="32">
                  <c:v>39493</c:v>
                </c:pt>
                <c:pt idx="33">
                  <c:v>39497</c:v>
                </c:pt>
                <c:pt idx="34">
                  <c:v>39498</c:v>
                </c:pt>
                <c:pt idx="35">
                  <c:v>39499</c:v>
                </c:pt>
                <c:pt idx="36">
                  <c:v>39500</c:v>
                </c:pt>
                <c:pt idx="37">
                  <c:v>39503</c:v>
                </c:pt>
                <c:pt idx="38">
                  <c:v>39504</c:v>
                </c:pt>
                <c:pt idx="39">
                  <c:v>39505</c:v>
                </c:pt>
                <c:pt idx="40">
                  <c:v>39506</c:v>
                </c:pt>
                <c:pt idx="41">
                  <c:v>39507</c:v>
                </c:pt>
                <c:pt idx="42">
                  <c:v>39510</c:v>
                </c:pt>
                <c:pt idx="43">
                  <c:v>39511</c:v>
                </c:pt>
                <c:pt idx="44">
                  <c:v>39512</c:v>
                </c:pt>
                <c:pt idx="45">
                  <c:v>39513</c:v>
                </c:pt>
                <c:pt idx="46">
                  <c:v>39514</c:v>
                </c:pt>
                <c:pt idx="47">
                  <c:v>39519</c:v>
                </c:pt>
                <c:pt idx="48">
                  <c:v>39520</c:v>
                </c:pt>
                <c:pt idx="49">
                  <c:v>39521</c:v>
                </c:pt>
                <c:pt idx="50">
                  <c:v>39522</c:v>
                </c:pt>
                <c:pt idx="51">
                  <c:v>39524</c:v>
                </c:pt>
                <c:pt idx="52">
                  <c:v>39525</c:v>
                </c:pt>
                <c:pt idx="53">
                  <c:v>39526</c:v>
                </c:pt>
                <c:pt idx="54">
                  <c:v>39527</c:v>
                </c:pt>
                <c:pt idx="55">
                  <c:v>39528</c:v>
                </c:pt>
                <c:pt idx="56">
                  <c:v>39533</c:v>
                </c:pt>
                <c:pt idx="57">
                  <c:v>39534</c:v>
                </c:pt>
                <c:pt idx="58">
                  <c:v>39535</c:v>
                </c:pt>
                <c:pt idx="59">
                  <c:v>39538</c:v>
                </c:pt>
                <c:pt idx="60">
                  <c:v>39539</c:v>
                </c:pt>
                <c:pt idx="61">
                  <c:v>39540</c:v>
                </c:pt>
                <c:pt idx="62">
                  <c:v>39541</c:v>
                </c:pt>
                <c:pt idx="63">
                  <c:v>39542</c:v>
                </c:pt>
                <c:pt idx="64">
                  <c:v>39545</c:v>
                </c:pt>
                <c:pt idx="65">
                  <c:v>39546</c:v>
                </c:pt>
                <c:pt idx="66">
                  <c:v>39547</c:v>
                </c:pt>
                <c:pt idx="67">
                  <c:v>39548</c:v>
                </c:pt>
                <c:pt idx="68">
                  <c:v>39549</c:v>
                </c:pt>
                <c:pt idx="69">
                  <c:v>39552</c:v>
                </c:pt>
                <c:pt idx="70">
                  <c:v>39553</c:v>
                </c:pt>
                <c:pt idx="71">
                  <c:v>39554</c:v>
                </c:pt>
                <c:pt idx="72">
                  <c:v>39555</c:v>
                </c:pt>
                <c:pt idx="73">
                  <c:v>39556</c:v>
                </c:pt>
                <c:pt idx="74">
                  <c:v>39559</c:v>
                </c:pt>
                <c:pt idx="75">
                  <c:v>39560</c:v>
                </c:pt>
                <c:pt idx="76">
                  <c:v>39561</c:v>
                </c:pt>
                <c:pt idx="77">
                  <c:v>39562</c:v>
                </c:pt>
                <c:pt idx="78">
                  <c:v>39563</c:v>
                </c:pt>
                <c:pt idx="79">
                  <c:v>39566</c:v>
                </c:pt>
                <c:pt idx="80">
                  <c:v>39567</c:v>
                </c:pt>
                <c:pt idx="81">
                  <c:v>39568</c:v>
                </c:pt>
                <c:pt idx="82">
                  <c:v>39574</c:v>
                </c:pt>
                <c:pt idx="83">
                  <c:v>39575</c:v>
                </c:pt>
                <c:pt idx="84">
                  <c:v>39576</c:v>
                </c:pt>
                <c:pt idx="85">
                  <c:v>39577</c:v>
                </c:pt>
                <c:pt idx="86">
                  <c:v>39578</c:v>
                </c:pt>
                <c:pt idx="87">
                  <c:v>39580</c:v>
                </c:pt>
                <c:pt idx="88">
                  <c:v>39581</c:v>
                </c:pt>
                <c:pt idx="89">
                  <c:v>39582</c:v>
                </c:pt>
                <c:pt idx="90">
                  <c:v>39583</c:v>
                </c:pt>
                <c:pt idx="91">
                  <c:v>39584</c:v>
                </c:pt>
                <c:pt idx="92">
                  <c:v>39587</c:v>
                </c:pt>
                <c:pt idx="93">
                  <c:v>39588</c:v>
                </c:pt>
                <c:pt idx="94">
                  <c:v>39589</c:v>
                </c:pt>
                <c:pt idx="95">
                  <c:v>39590</c:v>
                </c:pt>
                <c:pt idx="96">
                  <c:v>39591</c:v>
                </c:pt>
                <c:pt idx="97">
                  <c:v>39594</c:v>
                </c:pt>
                <c:pt idx="98">
                  <c:v>39595</c:v>
                </c:pt>
                <c:pt idx="99">
                  <c:v>39596</c:v>
                </c:pt>
                <c:pt idx="100">
                  <c:v>39597</c:v>
                </c:pt>
                <c:pt idx="101">
                  <c:v>39598</c:v>
                </c:pt>
                <c:pt idx="102">
                  <c:v>39601</c:v>
                </c:pt>
                <c:pt idx="103">
                  <c:v>39602</c:v>
                </c:pt>
                <c:pt idx="104">
                  <c:v>39603</c:v>
                </c:pt>
                <c:pt idx="105">
                  <c:v>39604</c:v>
                </c:pt>
                <c:pt idx="106">
                  <c:v>39605</c:v>
                </c:pt>
                <c:pt idx="107">
                  <c:v>39608</c:v>
                </c:pt>
                <c:pt idx="108">
                  <c:v>39609</c:v>
                </c:pt>
                <c:pt idx="109">
                  <c:v>39610</c:v>
                </c:pt>
                <c:pt idx="110">
                  <c:v>39611</c:v>
                </c:pt>
                <c:pt idx="111">
                  <c:v>39612</c:v>
                </c:pt>
                <c:pt idx="112">
                  <c:v>39615</c:v>
                </c:pt>
                <c:pt idx="113">
                  <c:v>39616</c:v>
                </c:pt>
                <c:pt idx="114">
                  <c:v>39617</c:v>
                </c:pt>
                <c:pt idx="115">
                  <c:v>39618</c:v>
                </c:pt>
                <c:pt idx="116">
                  <c:v>39619</c:v>
                </c:pt>
                <c:pt idx="117">
                  <c:v>39624</c:v>
                </c:pt>
                <c:pt idx="118">
                  <c:v>39625</c:v>
                </c:pt>
                <c:pt idx="119">
                  <c:v>39626</c:v>
                </c:pt>
                <c:pt idx="120">
                  <c:v>39627</c:v>
                </c:pt>
                <c:pt idx="121">
                  <c:v>39629</c:v>
                </c:pt>
                <c:pt idx="122">
                  <c:v>39630</c:v>
                </c:pt>
                <c:pt idx="123">
                  <c:v>39631</c:v>
                </c:pt>
                <c:pt idx="124">
                  <c:v>39632</c:v>
                </c:pt>
                <c:pt idx="125">
                  <c:v>39633</c:v>
                </c:pt>
                <c:pt idx="126">
                  <c:v>39637</c:v>
                </c:pt>
                <c:pt idx="127">
                  <c:v>39638</c:v>
                </c:pt>
                <c:pt idx="128">
                  <c:v>39639</c:v>
                </c:pt>
                <c:pt idx="129">
                  <c:v>39640</c:v>
                </c:pt>
                <c:pt idx="130">
                  <c:v>39643</c:v>
                </c:pt>
                <c:pt idx="131">
                  <c:v>39644</c:v>
                </c:pt>
                <c:pt idx="132">
                  <c:v>39645</c:v>
                </c:pt>
                <c:pt idx="133">
                  <c:v>39646</c:v>
                </c:pt>
                <c:pt idx="134">
                  <c:v>39647</c:v>
                </c:pt>
                <c:pt idx="135">
                  <c:v>39650</c:v>
                </c:pt>
                <c:pt idx="136">
                  <c:v>39651</c:v>
                </c:pt>
                <c:pt idx="137">
                  <c:v>39652</c:v>
                </c:pt>
                <c:pt idx="138">
                  <c:v>39653</c:v>
                </c:pt>
                <c:pt idx="139">
                  <c:v>39654</c:v>
                </c:pt>
                <c:pt idx="140">
                  <c:v>39657</c:v>
                </c:pt>
                <c:pt idx="141">
                  <c:v>39658</c:v>
                </c:pt>
                <c:pt idx="142">
                  <c:v>39659</c:v>
                </c:pt>
                <c:pt idx="143">
                  <c:v>39660</c:v>
                </c:pt>
                <c:pt idx="144">
                  <c:v>39661</c:v>
                </c:pt>
                <c:pt idx="145">
                  <c:v>39664</c:v>
                </c:pt>
                <c:pt idx="146">
                  <c:v>39665</c:v>
                </c:pt>
                <c:pt idx="147">
                  <c:v>39666</c:v>
                </c:pt>
                <c:pt idx="148">
                  <c:v>39667</c:v>
                </c:pt>
                <c:pt idx="149">
                  <c:v>39668</c:v>
                </c:pt>
                <c:pt idx="150">
                  <c:v>39671</c:v>
                </c:pt>
                <c:pt idx="151">
                  <c:v>39672</c:v>
                </c:pt>
                <c:pt idx="152">
                  <c:v>39673</c:v>
                </c:pt>
                <c:pt idx="153">
                  <c:v>39674</c:v>
                </c:pt>
                <c:pt idx="154">
                  <c:v>39678</c:v>
                </c:pt>
                <c:pt idx="155">
                  <c:v>39679</c:v>
                </c:pt>
                <c:pt idx="156">
                  <c:v>39680</c:v>
                </c:pt>
                <c:pt idx="157">
                  <c:v>39681</c:v>
                </c:pt>
                <c:pt idx="158">
                  <c:v>39682</c:v>
                </c:pt>
                <c:pt idx="159">
                  <c:v>39685</c:v>
                </c:pt>
                <c:pt idx="160">
                  <c:v>39686</c:v>
                </c:pt>
                <c:pt idx="161">
                  <c:v>39687</c:v>
                </c:pt>
                <c:pt idx="162">
                  <c:v>39688</c:v>
                </c:pt>
                <c:pt idx="163">
                  <c:v>39689</c:v>
                </c:pt>
                <c:pt idx="164">
                  <c:v>39692</c:v>
                </c:pt>
                <c:pt idx="165">
                  <c:v>39693</c:v>
                </c:pt>
                <c:pt idx="166">
                  <c:v>39694</c:v>
                </c:pt>
                <c:pt idx="167">
                  <c:v>39695</c:v>
                </c:pt>
                <c:pt idx="168">
                  <c:v>39696</c:v>
                </c:pt>
                <c:pt idx="169">
                  <c:v>39699</c:v>
                </c:pt>
                <c:pt idx="170">
                  <c:v>39700</c:v>
                </c:pt>
                <c:pt idx="171">
                  <c:v>39701</c:v>
                </c:pt>
                <c:pt idx="172">
                  <c:v>39702</c:v>
                </c:pt>
                <c:pt idx="173">
                  <c:v>39703</c:v>
                </c:pt>
                <c:pt idx="174">
                  <c:v>39706</c:v>
                </c:pt>
                <c:pt idx="175">
                  <c:v>39707</c:v>
                </c:pt>
                <c:pt idx="176">
                  <c:v>39708</c:v>
                </c:pt>
                <c:pt idx="177">
                  <c:v>39709</c:v>
                </c:pt>
                <c:pt idx="178">
                  <c:v>39710</c:v>
                </c:pt>
                <c:pt idx="179">
                  <c:v>39713</c:v>
                </c:pt>
                <c:pt idx="180">
                  <c:v>39714</c:v>
                </c:pt>
                <c:pt idx="181">
                  <c:v>39715</c:v>
                </c:pt>
                <c:pt idx="182">
                  <c:v>39716</c:v>
                </c:pt>
                <c:pt idx="183">
                  <c:v>39717</c:v>
                </c:pt>
                <c:pt idx="184">
                  <c:v>39720</c:v>
                </c:pt>
                <c:pt idx="185">
                  <c:v>39721</c:v>
                </c:pt>
                <c:pt idx="186">
                  <c:v>39722</c:v>
                </c:pt>
                <c:pt idx="187">
                  <c:v>39723</c:v>
                </c:pt>
                <c:pt idx="188">
                  <c:v>39724</c:v>
                </c:pt>
                <c:pt idx="189">
                  <c:v>39727</c:v>
                </c:pt>
                <c:pt idx="190">
                  <c:v>39728</c:v>
                </c:pt>
                <c:pt idx="191">
                  <c:v>39729</c:v>
                </c:pt>
                <c:pt idx="192">
                  <c:v>39730</c:v>
                </c:pt>
                <c:pt idx="193">
                  <c:v>39731</c:v>
                </c:pt>
                <c:pt idx="194">
                  <c:v>39734</c:v>
                </c:pt>
                <c:pt idx="195">
                  <c:v>39735</c:v>
                </c:pt>
                <c:pt idx="196">
                  <c:v>39736</c:v>
                </c:pt>
                <c:pt idx="197">
                  <c:v>39737</c:v>
                </c:pt>
                <c:pt idx="198">
                  <c:v>39738</c:v>
                </c:pt>
                <c:pt idx="199">
                  <c:v>39741</c:v>
                </c:pt>
                <c:pt idx="200">
                  <c:v>39742</c:v>
                </c:pt>
                <c:pt idx="201">
                  <c:v>39743</c:v>
                </c:pt>
                <c:pt idx="202">
                  <c:v>39744</c:v>
                </c:pt>
                <c:pt idx="203">
                  <c:v>39745</c:v>
                </c:pt>
                <c:pt idx="204">
                  <c:v>39748</c:v>
                </c:pt>
                <c:pt idx="205">
                  <c:v>39749</c:v>
                </c:pt>
                <c:pt idx="206">
                  <c:v>39750</c:v>
                </c:pt>
                <c:pt idx="207">
                  <c:v>39751</c:v>
                </c:pt>
                <c:pt idx="208">
                  <c:v>39752</c:v>
                </c:pt>
                <c:pt idx="209">
                  <c:v>39756</c:v>
                </c:pt>
                <c:pt idx="210">
                  <c:v>39757</c:v>
                </c:pt>
                <c:pt idx="211">
                  <c:v>39758</c:v>
                </c:pt>
                <c:pt idx="212">
                  <c:v>39759</c:v>
                </c:pt>
                <c:pt idx="213">
                  <c:v>39762</c:v>
                </c:pt>
                <c:pt idx="214">
                  <c:v>39763</c:v>
                </c:pt>
                <c:pt idx="215">
                  <c:v>39764</c:v>
                </c:pt>
                <c:pt idx="216">
                  <c:v>39765</c:v>
                </c:pt>
                <c:pt idx="217">
                  <c:v>39766</c:v>
                </c:pt>
                <c:pt idx="218">
                  <c:v>39769</c:v>
                </c:pt>
                <c:pt idx="219">
                  <c:v>39770</c:v>
                </c:pt>
                <c:pt idx="220">
                  <c:v>39771</c:v>
                </c:pt>
                <c:pt idx="221">
                  <c:v>39772</c:v>
                </c:pt>
                <c:pt idx="222">
                  <c:v>39773</c:v>
                </c:pt>
                <c:pt idx="223">
                  <c:v>39776</c:v>
                </c:pt>
                <c:pt idx="224">
                  <c:v>39777</c:v>
                </c:pt>
                <c:pt idx="225">
                  <c:v>39778</c:v>
                </c:pt>
                <c:pt idx="226">
                  <c:v>39779</c:v>
                </c:pt>
                <c:pt idx="227">
                  <c:v>39780</c:v>
                </c:pt>
                <c:pt idx="228">
                  <c:v>39783</c:v>
                </c:pt>
                <c:pt idx="229">
                  <c:v>39784</c:v>
                </c:pt>
                <c:pt idx="230">
                  <c:v>39785</c:v>
                </c:pt>
                <c:pt idx="231">
                  <c:v>39786</c:v>
                </c:pt>
                <c:pt idx="232">
                  <c:v>39787</c:v>
                </c:pt>
                <c:pt idx="233">
                  <c:v>39790</c:v>
                </c:pt>
                <c:pt idx="234">
                  <c:v>39791</c:v>
                </c:pt>
                <c:pt idx="235">
                  <c:v>39792</c:v>
                </c:pt>
                <c:pt idx="236">
                  <c:v>39793</c:v>
                </c:pt>
                <c:pt idx="237">
                  <c:v>39794</c:v>
                </c:pt>
                <c:pt idx="238">
                  <c:v>39797</c:v>
                </c:pt>
                <c:pt idx="239">
                  <c:v>39798</c:v>
                </c:pt>
                <c:pt idx="240">
                  <c:v>39799</c:v>
                </c:pt>
                <c:pt idx="241">
                  <c:v>39800</c:v>
                </c:pt>
                <c:pt idx="242">
                  <c:v>39801</c:v>
                </c:pt>
                <c:pt idx="243">
                  <c:v>39804</c:v>
                </c:pt>
                <c:pt idx="244">
                  <c:v>39805</c:v>
                </c:pt>
                <c:pt idx="245">
                  <c:v>39806</c:v>
                </c:pt>
                <c:pt idx="246">
                  <c:v>39811</c:v>
                </c:pt>
                <c:pt idx="247">
                  <c:v>39812</c:v>
                </c:pt>
                <c:pt idx="248">
                  <c:v>39813</c:v>
                </c:pt>
                <c:pt idx="249">
                  <c:v>39818</c:v>
                </c:pt>
                <c:pt idx="250">
                  <c:v>39819</c:v>
                </c:pt>
                <c:pt idx="251">
                  <c:v>39820</c:v>
                </c:pt>
                <c:pt idx="252">
                  <c:v>39821</c:v>
                </c:pt>
                <c:pt idx="253">
                  <c:v>39822</c:v>
                </c:pt>
                <c:pt idx="254">
                  <c:v>39825</c:v>
                </c:pt>
                <c:pt idx="255">
                  <c:v>39826</c:v>
                </c:pt>
                <c:pt idx="256">
                  <c:v>39827</c:v>
                </c:pt>
                <c:pt idx="257">
                  <c:v>39828</c:v>
                </c:pt>
                <c:pt idx="258">
                  <c:v>39829</c:v>
                </c:pt>
                <c:pt idx="259">
                  <c:v>39832</c:v>
                </c:pt>
                <c:pt idx="260">
                  <c:v>39833</c:v>
                </c:pt>
                <c:pt idx="261">
                  <c:v>39834</c:v>
                </c:pt>
                <c:pt idx="262">
                  <c:v>39835</c:v>
                </c:pt>
                <c:pt idx="263">
                  <c:v>39836</c:v>
                </c:pt>
                <c:pt idx="264">
                  <c:v>39839</c:v>
                </c:pt>
                <c:pt idx="265">
                  <c:v>39840</c:v>
                </c:pt>
                <c:pt idx="266">
                  <c:v>39841</c:v>
                </c:pt>
                <c:pt idx="267">
                  <c:v>39842</c:v>
                </c:pt>
                <c:pt idx="268">
                  <c:v>39843</c:v>
                </c:pt>
                <c:pt idx="269">
                  <c:v>39846</c:v>
                </c:pt>
                <c:pt idx="270">
                  <c:v>39847</c:v>
                </c:pt>
                <c:pt idx="271">
                  <c:v>39848</c:v>
                </c:pt>
                <c:pt idx="272">
                  <c:v>39849</c:v>
                </c:pt>
                <c:pt idx="273">
                  <c:v>39850</c:v>
                </c:pt>
                <c:pt idx="274">
                  <c:v>39853</c:v>
                </c:pt>
                <c:pt idx="275">
                  <c:v>39854</c:v>
                </c:pt>
                <c:pt idx="276">
                  <c:v>39855</c:v>
                </c:pt>
                <c:pt idx="277">
                  <c:v>39856</c:v>
                </c:pt>
                <c:pt idx="278">
                  <c:v>39857</c:v>
                </c:pt>
                <c:pt idx="279">
                  <c:v>39861</c:v>
                </c:pt>
                <c:pt idx="280">
                  <c:v>39862</c:v>
                </c:pt>
                <c:pt idx="281">
                  <c:v>39863</c:v>
                </c:pt>
                <c:pt idx="282">
                  <c:v>39864</c:v>
                </c:pt>
                <c:pt idx="283">
                  <c:v>39865</c:v>
                </c:pt>
                <c:pt idx="284">
                  <c:v>39867</c:v>
                </c:pt>
                <c:pt idx="285">
                  <c:v>39868</c:v>
                </c:pt>
                <c:pt idx="286">
                  <c:v>39869</c:v>
                </c:pt>
                <c:pt idx="287">
                  <c:v>39870</c:v>
                </c:pt>
                <c:pt idx="288">
                  <c:v>39871</c:v>
                </c:pt>
                <c:pt idx="289">
                  <c:v>39874</c:v>
                </c:pt>
                <c:pt idx="290">
                  <c:v>39875</c:v>
                </c:pt>
                <c:pt idx="291">
                  <c:v>39876</c:v>
                </c:pt>
                <c:pt idx="292">
                  <c:v>39877</c:v>
                </c:pt>
                <c:pt idx="293">
                  <c:v>39878</c:v>
                </c:pt>
                <c:pt idx="294">
                  <c:v>39881</c:v>
                </c:pt>
                <c:pt idx="295">
                  <c:v>39882</c:v>
                </c:pt>
                <c:pt idx="296">
                  <c:v>39884</c:v>
                </c:pt>
                <c:pt idx="297">
                  <c:v>39885</c:v>
                </c:pt>
                <c:pt idx="298">
                  <c:v>39888</c:v>
                </c:pt>
                <c:pt idx="299">
                  <c:v>39889</c:v>
                </c:pt>
                <c:pt idx="300">
                  <c:v>39890</c:v>
                </c:pt>
                <c:pt idx="301">
                  <c:v>39891</c:v>
                </c:pt>
                <c:pt idx="302">
                  <c:v>39892</c:v>
                </c:pt>
                <c:pt idx="303">
                  <c:v>39895</c:v>
                </c:pt>
                <c:pt idx="304">
                  <c:v>39896</c:v>
                </c:pt>
                <c:pt idx="305">
                  <c:v>39897</c:v>
                </c:pt>
                <c:pt idx="306">
                  <c:v>39898</c:v>
                </c:pt>
                <c:pt idx="307">
                  <c:v>39899</c:v>
                </c:pt>
                <c:pt idx="308">
                  <c:v>39902</c:v>
                </c:pt>
                <c:pt idx="309">
                  <c:v>39903</c:v>
                </c:pt>
                <c:pt idx="310">
                  <c:v>39904</c:v>
                </c:pt>
                <c:pt idx="311">
                  <c:v>39905</c:v>
                </c:pt>
                <c:pt idx="312">
                  <c:v>39906</c:v>
                </c:pt>
                <c:pt idx="313">
                  <c:v>39909</c:v>
                </c:pt>
                <c:pt idx="314">
                  <c:v>39910</c:v>
                </c:pt>
                <c:pt idx="315">
                  <c:v>39911</c:v>
                </c:pt>
                <c:pt idx="316">
                  <c:v>39912</c:v>
                </c:pt>
                <c:pt idx="317">
                  <c:v>39913</c:v>
                </c:pt>
                <c:pt idx="318">
                  <c:v>39917</c:v>
                </c:pt>
                <c:pt idx="319">
                  <c:v>39918</c:v>
                </c:pt>
                <c:pt idx="320">
                  <c:v>39919</c:v>
                </c:pt>
                <c:pt idx="321">
                  <c:v>39920</c:v>
                </c:pt>
                <c:pt idx="322">
                  <c:v>39923</c:v>
                </c:pt>
                <c:pt idx="323">
                  <c:v>39924</c:v>
                </c:pt>
                <c:pt idx="324">
                  <c:v>39925</c:v>
                </c:pt>
                <c:pt idx="325">
                  <c:v>39926</c:v>
                </c:pt>
                <c:pt idx="326">
                  <c:v>39927</c:v>
                </c:pt>
                <c:pt idx="327">
                  <c:v>39930</c:v>
                </c:pt>
                <c:pt idx="328">
                  <c:v>39931</c:v>
                </c:pt>
                <c:pt idx="329">
                  <c:v>39932</c:v>
                </c:pt>
                <c:pt idx="330">
                  <c:v>39933</c:v>
                </c:pt>
                <c:pt idx="331">
                  <c:v>39937</c:v>
                </c:pt>
                <c:pt idx="332">
                  <c:v>39938</c:v>
                </c:pt>
                <c:pt idx="333">
                  <c:v>39939</c:v>
                </c:pt>
                <c:pt idx="334">
                  <c:v>39940</c:v>
                </c:pt>
                <c:pt idx="335">
                  <c:v>39941</c:v>
                </c:pt>
                <c:pt idx="336">
                  <c:v>39944</c:v>
                </c:pt>
                <c:pt idx="337">
                  <c:v>39945</c:v>
                </c:pt>
                <c:pt idx="338">
                  <c:v>39946</c:v>
                </c:pt>
                <c:pt idx="339">
                  <c:v>39947</c:v>
                </c:pt>
                <c:pt idx="340">
                  <c:v>39948</c:v>
                </c:pt>
                <c:pt idx="341">
                  <c:v>39951</c:v>
                </c:pt>
                <c:pt idx="342">
                  <c:v>39952</c:v>
                </c:pt>
                <c:pt idx="343">
                  <c:v>39953</c:v>
                </c:pt>
                <c:pt idx="344">
                  <c:v>39954</c:v>
                </c:pt>
                <c:pt idx="345">
                  <c:v>39955</c:v>
                </c:pt>
                <c:pt idx="346">
                  <c:v>39958</c:v>
                </c:pt>
                <c:pt idx="347">
                  <c:v>39959</c:v>
                </c:pt>
                <c:pt idx="348">
                  <c:v>39960</c:v>
                </c:pt>
                <c:pt idx="349">
                  <c:v>39961</c:v>
                </c:pt>
                <c:pt idx="350">
                  <c:v>39962</c:v>
                </c:pt>
                <c:pt idx="351">
                  <c:v>39965</c:v>
                </c:pt>
                <c:pt idx="352">
                  <c:v>39966</c:v>
                </c:pt>
                <c:pt idx="353">
                  <c:v>39967</c:v>
                </c:pt>
                <c:pt idx="354">
                  <c:v>39968</c:v>
                </c:pt>
                <c:pt idx="355">
                  <c:v>39969</c:v>
                </c:pt>
                <c:pt idx="356">
                  <c:v>39972</c:v>
                </c:pt>
                <c:pt idx="357">
                  <c:v>39973</c:v>
                </c:pt>
                <c:pt idx="358">
                  <c:v>39974</c:v>
                </c:pt>
                <c:pt idx="359">
                  <c:v>39975</c:v>
                </c:pt>
                <c:pt idx="360">
                  <c:v>39976</c:v>
                </c:pt>
                <c:pt idx="361">
                  <c:v>39979</c:v>
                </c:pt>
                <c:pt idx="362">
                  <c:v>39980</c:v>
                </c:pt>
                <c:pt idx="363">
                  <c:v>39981</c:v>
                </c:pt>
                <c:pt idx="364">
                  <c:v>39982</c:v>
                </c:pt>
                <c:pt idx="365">
                  <c:v>39983</c:v>
                </c:pt>
                <c:pt idx="366">
                  <c:v>39986</c:v>
                </c:pt>
                <c:pt idx="367">
                  <c:v>39987</c:v>
                </c:pt>
                <c:pt idx="368">
                  <c:v>39989</c:v>
                </c:pt>
                <c:pt idx="369">
                  <c:v>39990</c:v>
                </c:pt>
                <c:pt idx="370">
                  <c:v>39993</c:v>
                </c:pt>
                <c:pt idx="371">
                  <c:v>39994</c:v>
                </c:pt>
                <c:pt idx="372">
                  <c:v>39995</c:v>
                </c:pt>
                <c:pt idx="373">
                  <c:v>39996</c:v>
                </c:pt>
                <c:pt idx="374">
                  <c:v>39997</c:v>
                </c:pt>
                <c:pt idx="375">
                  <c:v>40001</c:v>
                </c:pt>
                <c:pt idx="376">
                  <c:v>40002</c:v>
                </c:pt>
                <c:pt idx="377">
                  <c:v>40003</c:v>
                </c:pt>
                <c:pt idx="378">
                  <c:v>40004</c:v>
                </c:pt>
                <c:pt idx="379">
                  <c:v>40007</c:v>
                </c:pt>
                <c:pt idx="380">
                  <c:v>40008</c:v>
                </c:pt>
                <c:pt idx="381">
                  <c:v>40009</c:v>
                </c:pt>
                <c:pt idx="382">
                  <c:v>40010</c:v>
                </c:pt>
                <c:pt idx="383">
                  <c:v>40011</c:v>
                </c:pt>
                <c:pt idx="384">
                  <c:v>40014</c:v>
                </c:pt>
                <c:pt idx="385">
                  <c:v>40015</c:v>
                </c:pt>
                <c:pt idx="386">
                  <c:v>40016</c:v>
                </c:pt>
                <c:pt idx="387">
                  <c:v>40017</c:v>
                </c:pt>
                <c:pt idx="388">
                  <c:v>40018</c:v>
                </c:pt>
                <c:pt idx="389">
                  <c:v>40021</c:v>
                </c:pt>
                <c:pt idx="390">
                  <c:v>40022</c:v>
                </c:pt>
                <c:pt idx="391">
                  <c:v>40023</c:v>
                </c:pt>
                <c:pt idx="392">
                  <c:v>40024</c:v>
                </c:pt>
                <c:pt idx="393">
                  <c:v>40025</c:v>
                </c:pt>
                <c:pt idx="394">
                  <c:v>40028</c:v>
                </c:pt>
                <c:pt idx="395">
                  <c:v>40029</c:v>
                </c:pt>
                <c:pt idx="396">
                  <c:v>40030</c:v>
                </c:pt>
                <c:pt idx="397">
                  <c:v>40031</c:v>
                </c:pt>
                <c:pt idx="398">
                  <c:v>40032</c:v>
                </c:pt>
                <c:pt idx="399">
                  <c:v>40035</c:v>
                </c:pt>
                <c:pt idx="400">
                  <c:v>40036</c:v>
                </c:pt>
                <c:pt idx="401">
                  <c:v>40037</c:v>
                </c:pt>
                <c:pt idx="402">
                  <c:v>40038</c:v>
                </c:pt>
                <c:pt idx="403">
                  <c:v>40039</c:v>
                </c:pt>
                <c:pt idx="404">
                  <c:v>40042</c:v>
                </c:pt>
                <c:pt idx="405">
                  <c:v>40043</c:v>
                </c:pt>
                <c:pt idx="406">
                  <c:v>40044</c:v>
                </c:pt>
                <c:pt idx="407">
                  <c:v>40045</c:v>
                </c:pt>
                <c:pt idx="408">
                  <c:v>40046</c:v>
                </c:pt>
                <c:pt idx="409">
                  <c:v>40049</c:v>
                </c:pt>
                <c:pt idx="410">
                  <c:v>40050</c:v>
                </c:pt>
                <c:pt idx="411">
                  <c:v>40051</c:v>
                </c:pt>
                <c:pt idx="412">
                  <c:v>40052</c:v>
                </c:pt>
                <c:pt idx="413">
                  <c:v>40053</c:v>
                </c:pt>
                <c:pt idx="414">
                  <c:v>40056</c:v>
                </c:pt>
                <c:pt idx="415">
                  <c:v>40057</c:v>
                </c:pt>
                <c:pt idx="416">
                  <c:v>40058</c:v>
                </c:pt>
                <c:pt idx="417">
                  <c:v>40059</c:v>
                </c:pt>
                <c:pt idx="418">
                  <c:v>40060</c:v>
                </c:pt>
                <c:pt idx="419">
                  <c:v>40063</c:v>
                </c:pt>
                <c:pt idx="420">
                  <c:v>40064</c:v>
                </c:pt>
                <c:pt idx="421">
                  <c:v>40065</c:v>
                </c:pt>
                <c:pt idx="422">
                  <c:v>40066</c:v>
                </c:pt>
                <c:pt idx="423">
                  <c:v>40067</c:v>
                </c:pt>
                <c:pt idx="424">
                  <c:v>40070</c:v>
                </c:pt>
                <c:pt idx="425">
                  <c:v>40071</c:v>
                </c:pt>
                <c:pt idx="426">
                  <c:v>40072</c:v>
                </c:pt>
                <c:pt idx="427">
                  <c:v>40073</c:v>
                </c:pt>
                <c:pt idx="428">
                  <c:v>40074</c:v>
                </c:pt>
                <c:pt idx="429">
                  <c:v>40077</c:v>
                </c:pt>
                <c:pt idx="430">
                  <c:v>40078</c:v>
                </c:pt>
                <c:pt idx="431">
                  <c:v>40079</c:v>
                </c:pt>
                <c:pt idx="432">
                  <c:v>40080</c:v>
                </c:pt>
                <c:pt idx="433">
                  <c:v>40081</c:v>
                </c:pt>
                <c:pt idx="434">
                  <c:v>40084</c:v>
                </c:pt>
                <c:pt idx="435">
                  <c:v>40085</c:v>
                </c:pt>
                <c:pt idx="436">
                  <c:v>40086</c:v>
                </c:pt>
                <c:pt idx="437">
                  <c:v>40087</c:v>
                </c:pt>
                <c:pt idx="438">
                  <c:v>40088</c:v>
                </c:pt>
                <c:pt idx="439">
                  <c:v>40091</c:v>
                </c:pt>
                <c:pt idx="440">
                  <c:v>40092</c:v>
                </c:pt>
                <c:pt idx="441">
                  <c:v>40093</c:v>
                </c:pt>
                <c:pt idx="442">
                  <c:v>40094</c:v>
                </c:pt>
                <c:pt idx="443">
                  <c:v>40095</c:v>
                </c:pt>
                <c:pt idx="444">
                  <c:v>40098</c:v>
                </c:pt>
                <c:pt idx="445">
                  <c:v>40099</c:v>
                </c:pt>
                <c:pt idx="446">
                  <c:v>40100</c:v>
                </c:pt>
                <c:pt idx="447">
                  <c:v>40101</c:v>
                </c:pt>
                <c:pt idx="448">
                  <c:v>40102</c:v>
                </c:pt>
                <c:pt idx="449">
                  <c:v>40105</c:v>
                </c:pt>
                <c:pt idx="450">
                  <c:v>40106</c:v>
                </c:pt>
                <c:pt idx="451">
                  <c:v>40107</c:v>
                </c:pt>
                <c:pt idx="452">
                  <c:v>40108</c:v>
                </c:pt>
                <c:pt idx="453">
                  <c:v>40109</c:v>
                </c:pt>
                <c:pt idx="454">
                  <c:v>40112</c:v>
                </c:pt>
                <c:pt idx="455">
                  <c:v>40113</c:v>
                </c:pt>
                <c:pt idx="456">
                  <c:v>40114</c:v>
                </c:pt>
                <c:pt idx="457">
                  <c:v>40115</c:v>
                </c:pt>
                <c:pt idx="458">
                  <c:v>40116</c:v>
                </c:pt>
                <c:pt idx="459">
                  <c:v>40119</c:v>
                </c:pt>
                <c:pt idx="460">
                  <c:v>40120</c:v>
                </c:pt>
                <c:pt idx="461">
                  <c:v>40121</c:v>
                </c:pt>
                <c:pt idx="462">
                  <c:v>40122</c:v>
                </c:pt>
                <c:pt idx="463">
                  <c:v>40123</c:v>
                </c:pt>
                <c:pt idx="464">
                  <c:v>40126</c:v>
                </c:pt>
                <c:pt idx="465">
                  <c:v>40127</c:v>
                </c:pt>
                <c:pt idx="466">
                  <c:v>40128</c:v>
                </c:pt>
                <c:pt idx="467">
                  <c:v>40129</c:v>
                </c:pt>
                <c:pt idx="468">
                  <c:v>40130</c:v>
                </c:pt>
                <c:pt idx="469">
                  <c:v>40133</c:v>
                </c:pt>
                <c:pt idx="470">
                  <c:v>40134</c:v>
                </c:pt>
                <c:pt idx="471">
                  <c:v>40135</c:v>
                </c:pt>
                <c:pt idx="472">
                  <c:v>40136</c:v>
                </c:pt>
                <c:pt idx="473">
                  <c:v>40137</c:v>
                </c:pt>
                <c:pt idx="474">
                  <c:v>40140</c:v>
                </c:pt>
                <c:pt idx="475">
                  <c:v>40141</c:v>
                </c:pt>
                <c:pt idx="476">
                  <c:v>40142</c:v>
                </c:pt>
                <c:pt idx="477">
                  <c:v>40143</c:v>
                </c:pt>
                <c:pt idx="478">
                  <c:v>40144</c:v>
                </c:pt>
                <c:pt idx="479">
                  <c:v>40147</c:v>
                </c:pt>
                <c:pt idx="480">
                  <c:v>40148</c:v>
                </c:pt>
                <c:pt idx="481">
                  <c:v>40149</c:v>
                </c:pt>
                <c:pt idx="482">
                  <c:v>40150</c:v>
                </c:pt>
                <c:pt idx="483">
                  <c:v>40151</c:v>
                </c:pt>
                <c:pt idx="484">
                  <c:v>40154</c:v>
                </c:pt>
                <c:pt idx="485">
                  <c:v>40155</c:v>
                </c:pt>
                <c:pt idx="486">
                  <c:v>40156</c:v>
                </c:pt>
                <c:pt idx="487">
                  <c:v>40157</c:v>
                </c:pt>
                <c:pt idx="488">
                  <c:v>40158</c:v>
                </c:pt>
                <c:pt idx="489">
                  <c:v>40161</c:v>
                </c:pt>
                <c:pt idx="490">
                  <c:v>40162</c:v>
                </c:pt>
                <c:pt idx="491">
                  <c:v>40163</c:v>
                </c:pt>
                <c:pt idx="492">
                  <c:v>40164</c:v>
                </c:pt>
                <c:pt idx="493">
                  <c:v>40165</c:v>
                </c:pt>
                <c:pt idx="494">
                  <c:v>40168</c:v>
                </c:pt>
                <c:pt idx="495">
                  <c:v>40169</c:v>
                </c:pt>
                <c:pt idx="496">
                  <c:v>40170</c:v>
                </c:pt>
                <c:pt idx="497">
                  <c:v>40171</c:v>
                </c:pt>
                <c:pt idx="498">
                  <c:v>40175</c:v>
                </c:pt>
                <c:pt idx="499">
                  <c:v>40176</c:v>
                </c:pt>
                <c:pt idx="500">
                  <c:v>40177</c:v>
                </c:pt>
                <c:pt idx="501">
                  <c:v>40178</c:v>
                </c:pt>
                <c:pt idx="502">
                  <c:v>40182</c:v>
                </c:pt>
                <c:pt idx="503">
                  <c:v>40183</c:v>
                </c:pt>
                <c:pt idx="504">
                  <c:v>40184</c:v>
                </c:pt>
                <c:pt idx="505">
                  <c:v>40185</c:v>
                </c:pt>
                <c:pt idx="506">
                  <c:v>40186</c:v>
                </c:pt>
                <c:pt idx="507">
                  <c:v>40189</c:v>
                </c:pt>
                <c:pt idx="508">
                  <c:v>40190</c:v>
                </c:pt>
                <c:pt idx="509">
                  <c:v>40191</c:v>
                </c:pt>
                <c:pt idx="510">
                  <c:v>40192</c:v>
                </c:pt>
                <c:pt idx="511">
                  <c:v>40193</c:v>
                </c:pt>
                <c:pt idx="512">
                  <c:v>40196</c:v>
                </c:pt>
                <c:pt idx="513">
                  <c:v>40197</c:v>
                </c:pt>
                <c:pt idx="514">
                  <c:v>40198</c:v>
                </c:pt>
                <c:pt idx="515">
                  <c:v>40199</c:v>
                </c:pt>
                <c:pt idx="516">
                  <c:v>40200</c:v>
                </c:pt>
                <c:pt idx="517">
                  <c:v>40203</c:v>
                </c:pt>
                <c:pt idx="518">
                  <c:v>40204</c:v>
                </c:pt>
                <c:pt idx="519">
                  <c:v>40205</c:v>
                </c:pt>
                <c:pt idx="520">
                  <c:v>40206</c:v>
                </c:pt>
                <c:pt idx="521">
                  <c:v>40207</c:v>
                </c:pt>
                <c:pt idx="522">
                  <c:v>40210</c:v>
                </c:pt>
                <c:pt idx="523">
                  <c:v>40211</c:v>
                </c:pt>
                <c:pt idx="524">
                  <c:v>40212</c:v>
                </c:pt>
                <c:pt idx="525">
                  <c:v>40213</c:v>
                </c:pt>
                <c:pt idx="526">
                  <c:v>40214</c:v>
                </c:pt>
                <c:pt idx="527">
                  <c:v>40217</c:v>
                </c:pt>
                <c:pt idx="528">
                  <c:v>40218</c:v>
                </c:pt>
                <c:pt idx="529">
                  <c:v>40219</c:v>
                </c:pt>
                <c:pt idx="530">
                  <c:v>40220</c:v>
                </c:pt>
                <c:pt idx="531">
                  <c:v>40221</c:v>
                </c:pt>
                <c:pt idx="532">
                  <c:v>40226</c:v>
                </c:pt>
                <c:pt idx="533">
                  <c:v>40227</c:v>
                </c:pt>
                <c:pt idx="534">
                  <c:v>40228</c:v>
                </c:pt>
                <c:pt idx="535">
                  <c:v>40229</c:v>
                </c:pt>
                <c:pt idx="536">
                  <c:v>40231</c:v>
                </c:pt>
                <c:pt idx="537">
                  <c:v>40232</c:v>
                </c:pt>
                <c:pt idx="538">
                  <c:v>40233</c:v>
                </c:pt>
                <c:pt idx="539">
                  <c:v>40234</c:v>
                </c:pt>
                <c:pt idx="540">
                  <c:v>40235</c:v>
                </c:pt>
                <c:pt idx="541">
                  <c:v>40238</c:v>
                </c:pt>
                <c:pt idx="542">
                  <c:v>40239</c:v>
                </c:pt>
                <c:pt idx="543">
                  <c:v>40240</c:v>
                </c:pt>
                <c:pt idx="544">
                  <c:v>40241</c:v>
                </c:pt>
                <c:pt idx="545">
                  <c:v>40242</c:v>
                </c:pt>
                <c:pt idx="546">
                  <c:v>40245</c:v>
                </c:pt>
                <c:pt idx="547">
                  <c:v>40246</c:v>
                </c:pt>
                <c:pt idx="548">
                  <c:v>40247</c:v>
                </c:pt>
                <c:pt idx="549">
                  <c:v>40252</c:v>
                </c:pt>
                <c:pt idx="550">
                  <c:v>40253</c:v>
                </c:pt>
                <c:pt idx="551">
                  <c:v>40254</c:v>
                </c:pt>
                <c:pt idx="552">
                  <c:v>40255</c:v>
                </c:pt>
                <c:pt idx="553">
                  <c:v>40256</c:v>
                </c:pt>
                <c:pt idx="554">
                  <c:v>40257</c:v>
                </c:pt>
                <c:pt idx="555">
                  <c:v>40259</c:v>
                </c:pt>
                <c:pt idx="556">
                  <c:v>40260</c:v>
                </c:pt>
                <c:pt idx="557">
                  <c:v>40261</c:v>
                </c:pt>
                <c:pt idx="558">
                  <c:v>40262</c:v>
                </c:pt>
                <c:pt idx="559">
                  <c:v>40263</c:v>
                </c:pt>
                <c:pt idx="560">
                  <c:v>40266</c:v>
                </c:pt>
                <c:pt idx="561">
                  <c:v>40267</c:v>
                </c:pt>
                <c:pt idx="562">
                  <c:v>40268</c:v>
                </c:pt>
                <c:pt idx="563">
                  <c:v>40269</c:v>
                </c:pt>
                <c:pt idx="564">
                  <c:v>40270</c:v>
                </c:pt>
                <c:pt idx="565">
                  <c:v>40274</c:v>
                </c:pt>
                <c:pt idx="566">
                  <c:v>40275</c:v>
                </c:pt>
                <c:pt idx="567">
                  <c:v>40276</c:v>
                </c:pt>
                <c:pt idx="568">
                  <c:v>40277</c:v>
                </c:pt>
                <c:pt idx="569">
                  <c:v>40280</c:v>
                </c:pt>
                <c:pt idx="570">
                  <c:v>40281</c:v>
                </c:pt>
                <c:pt idx="571">
                  <c:v>40282</c:v>
                </c:pt>
                <c:pt idx="572">
                  <c:v>40283</c:v>
                </c:pt>
                <c:pt idx="573">
                  <c:v>40284</c:v>
                </c:pt>
                <c:pt idx="574">
                  <c:v>40287</c:v>
                </c:pt>
                <c:pt idx="575">
                  <c:v>40288</c:v>
                </c:pt>
                <c:pt idx="576">
                  <c:v>40289</c:v>
                </c:pt>
                <c:pt idx="577">
                  <c:v>40290</c:v>
                </c:pt>
                <c:pt idx="578">
                  <c:v>40291</c:v>
                </c:pt>
                <c:pt idx="579">
                  <c:v>40294</c:v>
                </c:pt>
                <c:pt idx="580">
                  <c:v>40295</c:v>
                </c:pt>
                <c:pt idx="581">
                  <c:v>40296</c:v>
                </c:pt>
                <c:pt idx="582">
                  <c:v>40297</c:v>
                </c:pt>
                <c:pt idx="583">
                  <c:v>40298</c:v>
                </c:pt>
                <c:pt idx="584">
                  <c:v>40301</c:v>
                </c:pt>
                <c:pt idx="585">
                  <c:v>40302</c:v>
                </c:pt>
                <c:pt idx="586">
                  <c:v>40303</c:v>
                </c:pt>
                <c:pt idx="587">
                  <c:v>40304</c:v>
                </c:pt>
                <c:pt idx="588">
                  <c:v>40305</c:v>
                </c:pt>
                <c:pt idx="589">
                  <c:v>40308</c:v>
                </c:pt>
                <c:pt idx="590">
                  <c:v>40309</c:v>
                </c:pt>
                <c:pt idx="591">
                  <c:v>40310</c:v>
                </c:pt>
                <c:pt idx="592">
                  <c:v>40311</c:v>
                </c:pt>
                <c:pt idx="593">
                  <c:v>40312</c:v>
                </c:pt>
                <c:pt idx="594">
                  <c:v>40315</c:v>
                </c:pt>
                <c:pt idx="595">
                  <c:v>40316</c:v>
                </c:pt>
                <c:pt idx="596">
                  <c:v>40317</c:v>
                </c:pt>
                <c:pt idx="597">
                  <c:v>40318</c:v>
                </c:pt>
                <c:pt idx="598">
                  <c:v>40319</c:v>
                </c:pt>
                <c:pt idx="599">
                  <c:v>40322</c:v>
                </c:pt>
                <c:pt idx="600">
                  <c:v>40323</c:v>
                </c:pt>
                <c:pt idx="601">
                  <c:v>40324</c:v>
                </c:pt>
                <c:pt idx="602">
                  <c:v>40325</c:v>
                </c:pt>
                <c:pt idx="603">
                  <c:v>40326</c:v>
                </c:pt>
                <c:pt idx="604">
                  <c:v>40329</c:v>
                </c:pt>
                <c:pt idx="605">
                  <c:v>40330</c:v>
                </c:pt>
                <c:pt idx="606">
                  <c:v>40331</c:v>
                </c:pt>
                <c:pt idx="607">
                  <c:v>40332</c:v>
                </c:pt>
                <c:pt idx="608">
                  <c:v>40333</c:v>
                </c:pt>
                <c:pt idx="609">
                  <c:v>40336</c:v>
                </c:pt>
                <c:pt idx="610">
                  <c:v>40337</c:v>
                </c:pt>
                <c:pt idx="611">
                  <c:v>40338</c:v>
                </c:pt>
                <c:pt idx="612">
                  <c:v>40339</c:v>
                </c:pt>
                <c:pt idx="613">
                  <c:v>40340</c:v>
                </c:pt>
                <c:pt idx="614">
                  <c:v>40343</c:v>
                </c:pt>
                <c:pt idx="615">
                  <c:v>40344</c:v>
                </c:pt>
                <c:pt idx="616">
                  <c:v>40345</c:v>
                </c:pt>
                <c:pt idx="617">
                  <c:v>40346</c:v>
                </c:pt>
                <c:pt idx="618">
                  <c:v>40347</c:v>
                </c:pt>
                <c:pt idx="619">
                  <c:v>40348</c:v>
                </c:pt>
                <c:pt idx="620">
                  <c:v>40350</c:v>
                </c:pt>
                <c:pt idx="621">
                  <c:v>40351</c:v>
                </c:pt>
                <c:pt idx="622">
                  <c:v>40352</c:v>
                </c:pt>
                <c:pt idx="623">
                  <c:v>40357</c:v>
                </c:pt>
                <c:pt idx="624">
                  <c:v>40358</c:v>
                </c:pt>
                <c:pt idx="625">
                  <c:v>40359</c:v>
                </c:pt>
                <c:pt idx="626">
                  <c:v>40360</c:v>
                </c:pt>
                <c:pt idx="627">
                  <c:v>40361</c:v>
                </c:pt>
                <c:pt idx="628">
                  <c:v>40366</c:v>
                </c:pt>
                <c:pt idx="629">
                  <c:v>40367</c:v>
                </c:pt>
                <c:pt idx="630">
                  <c:v>40368</c:v>
                </c:pt>
                <c:pt idx="631">
                  <c:v>40369</c:v>
                </c:pt>
                <c:pt idx="632">
                  <c:v>40371</c:v>
                </c:pt>
                <c:pt idx="633">
                  <c:v>40372</c:v>
                </c:pt>
                <c:pt idx="634">
                  <c:v>40373</c:v>
                </c:pt>
                <c:pt idx="635">
                  <c:v>40374</c:v>
                </c:pt>
                <c:pt idx="636">
                  <c:v>40375</c:v>
                </c:pt>
                <c:pt idx="637">
                  <c:v>40378</c:v>
                </c:pt>
                <c:pt idx="638">
                  <c:v>40379</c:v>
                </c:pt>
                <c:pt idx="639">
                  <c:v>40380</c:v>
                </c:pt>
                <c:pt idx="640">
                  <c:v>40381</c:v>
                </c:pt>
                <c:pt idx="641">
                  <c:v>40382</c:v>
                </c:pt>
                <c:pt idx="642">
                  <c:v>40385</c:v>
                </c:pt>
                <c:pt idx="643">
                  <c:v>40386</c:v>
                </c:pt>
                <c:pt idx="644">
                  <c:v>40387</c:v>
                </c:pt>
                <c:pt idx="645">
                  <c:v>40388</c:v>
                </c:pt>
                <c:pt idx="646">
                  <c:v>40389</c:v>
                </c:pt>
                <c:pt idx="647">
                  <c:v>40392</c:v>
                </c:pt>
                <c:pt idx="648">
                  <c:v>40393</c:v>
                </c:pt>
                <c:pt idx="649">
                  <c:v>40394</c:v>
                </c:pt>
                <c:pt idx="650">
                  <c:v>40395</c:v>
                </c:pt>
                <c:pt idx="651">
                  <c:v>40396</c:v>
                </c:pt>
                <c:pt idx="652">
                  <c:v>40399</c:v>
                </c:pt>
                <c:pt idx="653">
                  <c:v>40400</c:v>
                </c:pt>
                <c:pt idx="654">
                  <c:v>40401</c:v>
                </c:pt>
                <c:pt idx="655">
                  <c:v>40402</c:v>
                </c:pt>
                <c:pt idx="656">
                  <c:v>40403</c:v>
                </c:pt>
                <c:pt idx="657">
                  <c:v>40406</c:v>
                </c:pt>
                <c:pt idx="658">
                  <c:v>40407</c:v>
                </c:pt>
                <c:pt idx="659">
                  <c:v>40408</c:v>
                </c:pt>
                <c:pt idx="660">
                  <c:v>40409</c:v>
                </c:pt>
                <c:pt idx="661">
                  <c:v>40410</c:v>
                </c:pt>
                <c:pt idx="662">
                  <c:v>40413</c:v>
                </c:pt>
                <c:pt idx="663">
                  <c:v>40414</c:v>
                </c:pt>
                <c:pt idx="664">
                  <c:v>40415</c:v>
                </c:pt>
                <c:pt idx="665">
                  <c:v>40416</c:v>
                </c:pt>
                <c:pt idx="666">
                  <c:v>40417</c:v>
                </c:pt>
                <c:pt idx="667">
                  <c:v>40420</c:v>
                </c:pt>
                <c:pt idx="668">
                  <c:v>40421</c:v>
                </c:pt>
                <c:pt idx="669">
                  <c:v>40422</c:v>
                </c:pt>
                <c:pt idx="670">
                  <c:v>40423</c:v>
                </c:pt>
                <c:pt idx="671">
                  <c:v>40424</c:v>
                </c:pt>
                <c:pt idx="672">
                  <c:v>40427</c:v>
                </c:pt>
                <c:pt idx="673">
                  <c:v>40428</c:v>
                </c:pt>
                <c:pt idx="674">
                  <c:v>40429</c:v>
                </c:pt>
                <c:pt idx="675">
                  <c:v>40430</c:v>
                </c:pt>
                <c:pt idx="676">
                  <c:v>40431</c:v>
                </c:pt>
                <c:pt idx="677">
                  <c:v>40434</c:v>
                </c:pt>
                <c:pt idx="678">
                  <c:v>40435</c:v>
                </c:pt>
                <c:pt idx="679">
                  <c:v>40436</c:v>
                </c:pt>
                <c:pt idx="680">
                  <c:v>40437</c:v>
                </c:pt>
                <c:pt idx="681">
                  <c:v>40438</c:v>
                </c:pt>
                <c:pt idx="682">
                  <c:v>40441</c:v>
                </c:pt>
                <c:pt idx="683">
                  <c:v>40442</c:v>
                </c:pt>
                <c:pt idx="684">
                  <c:v>40443</c:v>
                </c:pt>
                <c:pt idx="685">
                  <c:v>40444</c:v>
                </c:pt>
                <c:pt idx="686">
                  <c:v>40445</c:v>
                </c:pt>
                <c:pt idx="687">
                  <c:v>40448</c:v>
                </c:pt>
                <c:pt idx="688">
                  <c:v>40449</c:v>
                </c:pt>
                <c:pt idx="689">
                  <c:v>40450</c:v>
                </c:pt>
                <c:pt idx="690">
                  <c:v>40451</c:v>
                </c:pt>
                <c:pt idx="691">
                  <c:v>40452</c:v>
                </c:pt>
                <c:pt idx="692">
                  <c:v>40455</c:v>
                </c:pt>
                <c:pt idx="693">
                  <c:v>40456</c:v>
                </c:pt>
                <c:pt idx="694">
                  <c:v>40457</c:v>
                </c:pt>
                <c:pt idx="695">
                  <c:v>40458</c:v>
                </c:pt>
                <c:pt idx="696">
                  <c:v>40459</c:v>
                </c:pt>
                <c:pt idx="697">
                  <c:v>40462</c:v>
                </c:pt>
                <c:pt idx="698">
                  <c:v>40463</c:v>
                </c:pt>
                <c:pt idx="699">
                  <c:v>40464</c:v>
                </c:pt>
                <c:pt idx="700">
                  <c:v>40465</c:v>
                </c:pt>
                <c:pt idx="701">
                  <c:v>40466</c:v>
                </c:pt>
                <c:pt idx="702">
                  <c:v>40469</c:v>
                </c:pt>
                <c:pt idx="703">
                  <c:v>40470</c:v>
                </c:pt>
                <c:pt idx="704">
                  <c:v>40471</c:v>
                </c:pt>
                <c:pt idx="705">
                  <c:v>40472</c:v>
                </c:pt>
                <c:pt idx="706">
                  <c:v>40473</c:v>
                </c:pt>
                <c:pt idx="707">
                  <c:v>40476</c:v>
                </c:pt>
                <c:pt idx="708">
                  <c:v>40477</c:v>
                </c:pt>
                <c:pt idx="709">
                  <c:v>40478</c:v>
                </c:pt>
                <c:pt idx="710">
                  <c:v>40479</c:v>
                </c:pt>
                <c:pt idx="711">
                  <c:v>40480</c:v>
                </c:pt>
                <c:pt idx="712">
                  <c:v>40484</c:v>
                </c:pt>
                <c:pt idx="713">
                  <c:v>40485</c:v>
                </c:pt>
                <c:pt idx="714">
                  <c:v>40486</c:v>
                </c:pt>
                <c:pt idx="715">
                  <c:v>40487</c:v>
                </c:pt>
                <c:pt idx="716">
                  <c:v>40490</c:v>
                </c:pt>
                <c:pt idx="717">
                  <c:v>40491</c:v>
                </c:pt>
                <c:pt idx="718">
                  <c:v>40492</c:v>
                </c:pt>
                <c:pt idx="719">
                  <c:v>40493</c:v>
                </c:pt>
                <c:pt idx="720">
                  <c:v>40494</c:v>
                </c:pt>
                <c:pt idx="721">
                  <c:v>40497</c:v>
                </c:pt>
                <c:pt idx="722">
                  <c:v>40498</c:v>
                </c:pt>
                <c:pt idx="723">
                  <c:v>40499</c:v>
                </c:pt>
                <c:pt idx="724">
                  <c:v>40500</c:v>
                </c:pt>
                <c:pt idx="725">
                  <c:v>40501</c:v>
                </c:pt>
                <c:pt idx="726">
                  <c:v>40504</c:v>
                </c:pt>
                <c:pt idx="727">
                  <c:v>40505</c:v>
                </c:pt>
                <c:pt idx="728">
                  <c:v>40506</c:v>
                </c:pt>
                <c:pt idx="729">
                  <c:v>40507</c:v>
                </c:pt>
                <c:pt idx="730">
                  <c:v>40508</c:v>
                </c:pt>
                <c:pt idx="731">
                  <c:v>40511</c:v>
                </c:pt>
                <c:pt idx="732">
                  <c:v>40512</c:v>
                </c:pt>
                <c:pt idx="733">
                  <c:v>40513</c:v>
                </c:pt>
                <c:pt idx="734">
                  <c:v>40514</c:v>
                </c:pt>
                <c:pt idx="735">
                  <c:v>40515</c:v>
                </c:pt>
                <c:pt idx="736">
                  <c:v>40518</c:v>
                </c:pt>
                <c:pt idx="737">
                  <c:v>40519</c:v>
                </c:pt>
                <c:pt idx="738">
                  <c:v>40520</c:v>
                </c:pt>
                <c:pt idx="739">
                  <c:v>40521</c:v>
                </c:pt>
                <c:pt idx="740">
                  <c:v>40522</c:v>
                </c:pt>
                <c:pt idx="741">
                  <c:v>40525</c:v>
                </c:pt>
                <c:pt idx="742">
                  <c:v>40526</c:v>
                </c:pt>
                <c:pt idx="743">
                  <c:v>40527</c:v>
                </c:pt>
                <c:pt idx="744">
                  <c:v>40528</c:v>
                </c:pt>
                <c:pt idx="745">
                  <c:v>40529</c:v>
                </c:pt>
                <c:pt idx="746">
                  <c:v>40532</c:v>
                </c:pt>
                <c:pt idx="747">
                  <c:v>40533</c:v>
                </c:pt>
                <c:pt idx="748">
                  <c:v>40534</c:v>
                </c:pt>
                <c:pt idx="749">
                  <c:v>40535</c:v>
                </c:pt>
                <c:pt idx="750">
                  <c:v>40539</c:v>
                </c:pt>
                <c:pt idx="751">
                  <c:v>40540</c:v>
                </c:pt>
                <c:pt idx="752">
                  <c:v>40541</c:v>
                </c:pt>
                <c:pt idx="753">
                  <c:v>40542</c:v>
                </c:pt>
                <c:pt idx="754">
                  <c:v>40543</c:v>
                </c:pt>
                <c:pt idx="755">
                  <c:v>40546</c:v>
                </c:pt>
                <c:pt idx="756">
                  <c:v>40547</c:v>
                </c:pt>
                <c:pt idx="757">
                  <c:v>40548</c:v>
                </c:pt>
                <c:pt idx="758">
                  <c:v>40549</c:v>
                </c:pt>
                <c:pt idx="759">
                  <c:v>40550</c:v>
                </c:pt>
                <c:pt idx="760">
                  <c:v>40553</c:v>
                </c:pt>
                <c:pt idx="761">
                  <c:v>40554</c:v>
                </c:pt>
                <c:pt idx="762">
                  <c:v>40555</c:v>
                </c:pt>
                <c:pt idx="763">
                  <c:v>40556</c:v>
                </c:pt>
                <c:pt idx="764">
                  <c:v>40557</c:v>
                </c:pt>
                <c:pt idx="765">
                  <c:v>40560</c:v>
                </c:pt>
                <c:pt idx="766">
                  <c:v>40561</c:v>
                </c:pt>
                <c:pt idx="767">
                  <c:v>40562</c:v>
                </c:pt>
                <c:pt idx="768">
                  <c:v>40563</c:v>
                </c:pt>
                <c:pt idx="769">
                  <c:v>40564</c:v>
                </c:pt>
                <c:pt idx="770">
                  <c:v>40567</c:v>
                </c:pt>
                <c:pt idx="771">
                  <c:v>40568</c:v>
                </c:pt>
                <c:pt idx="772">
                  <c:v>40569</c:v>
                </c:pt>
                <c:pt idx="773">
                  <c:v>40570</c:v>
                </c:pt>
                <c:pt idx="774">
                  <c:v>40571</c:v>
                </c:pt>
                <c:pt idx="775">
                  <c:v>40574</c:v>
                </c:pt>
                <c:pt idx="776">
                  <c:v>40575</c:v>
                </c:pt>
                <c:pt idx="777">
                  <c:v>40576</c:v>
                </c:pt>
                <c:pt idx="778">
                  <c:v>40577</c:v>
                </c:pt>
                <c:pt idx="779">
                  <c:v>40578</c:v>
                </c:pt>
                <c:pt idx="780">
                  <c:v>40581</c:v>
                </c:pt>
                <c:pt idx="781">
                  <c:v>40582</c:v>
                </c:pt>
                <c:pt idx="782">
                  <c:v>40583</c:v>
                </c:pt>
                <c:pt idx="783">
                  <c:v>40584</c:v>
                </c:pt>
                <c:pt idx="784">
                  <c:v>40585</c:v>
                </c:pt>
                <c:pt idx="785">
                  <c:v>40588</c:v>
                </c:pt>
                <c:pt idx="786">
                  <c:v>40589</c:v>
                </c:pt>
                <c:pt idx="787">
                  <c:v>40591</c:v>
                </c:pt>
                <c:pt idx="788">
                  <c:v>40592</c:v>
                </c:pt>
                <c:pt idx="789">
                  <c:v>40593</c:v>
                </c:pt>
                <c:pt idx="790">
                  <c:v>40595</c:v>
                </c:pt>
                <c:pt idx="791">
                  <c:v>40596</c:v>
                </c:pt>
                <c:pt idx="792">
                  <c:v>40597</c:v>
                </c:pt>
                <c:pt idx="793">
                  <c:v>40598</c:v>
                </c:pt>
                <c:pt idx="794">
                  <c:v>40599</c:v>
                </c:pt>
                <c:pt idx="795">
                  <c:v>40602</c:v>
                </c:pt>
                <c:pt idx="796">
                  <c:v>40603</c:v>
                </c:pt>
                <c:pt idx="797">
                  <c:v>40604</c:v>
                </c:pt>
                <c:pt idx="798">
                  <c:v>40605</c:v>
                </c:pt>
                <c:pt idx="799">
                  <c:v>40606</c:v>
                </c:pt>
                <c:pt idx="800">
                  <c:v>40609</c:v>
                </c:pt>
                <c:pt idx="801">
                  <c:v>40610</c:v>
                </c:pt>
                <c:pt idx="802">
                  <c:v>40611</c:v>
                </c:pt>
                <c:pt idx="803">
                  <c:v>40612</c:v>
                </c:pt>
                <c:pt idx="804">
                  <c:v>40616</c:v>
                </c:pt>
                <c:pt idx="805">
                  <c:v>40617</c:v>
                </c:pt>
                <c:pt idx="806">
                  <c:v>40618</c:v>
                </c:pt>
                <c:pt idx="807">
                  <c:v>40619</c:v>
                </c:pt>
                <c:pt idx="808">
                  <c:v>40620</c:v>
                </c:pt>
                <c:pt idx="809">
                  <c:v>40623</c:v>
                </c:pt>
                <c:pt idx="810">
                  <c:v>40624</c:v>
                </c:pt>
                <c:pt idx="811">
                  <c:v>40625</c:v>
                </c:pt>
                <c:pt idx="812">
                  <c:v>40626</c:v>
                </c:pt>
                <c:pt idx="813">
                  <c:v>40627</c:v>
                </c:pt>
                <c:pt idx="814">
                  <c:v>40630</c:v>
                </c:pt>
                <c:pt idx="815">
                  <c:v>40631</c:v>
                </c:pt>
                <c:pt idx="816">
                  <c:v>40632</c:v>
                </c:pt>
                <c:pt idx="817">
                  <c:v>40633</c:v>
                </c:pt>
                <c:pt idx="818">
                  <c:v>40634</c:v>
                </c:pt>
                <c:pt idx="819">
                  <c:v>40637</c:v>
                </c:pt>
                <c:pt idx="820">
                  <c:v>40638</c:v>
                </c:pt>
                <c:pt idx="821">
                  <c:v>40639</c:v>
                </c:pt>
                <c:pt idx="822">
                  <c:v>40640</c:v>
                </c:pt>
                <c:pt idx="823">
                  <c:v>40641</c:v>
                </c:pt>
                <c:pt idx="824">
                  <c:v>40644</c:v>
                </c:pt>
                <c:pt idx="825">
                  <c:v>40645</c:v>
                </c:pt>
                <c:pt idx="826">
                  <c:v>40646</c:v>
                </c:pt>
                <c:pt idx="827">
                  <c:v>40647</c:v>
                </c:pt>
                <c:pt idx="828">
                  <c:v>40648</c:v>
                </c:pt>
                <c:pt idx="829">
                  <c:v>40651</c:v>
                </c:pt>
                <c:pt idx="830">
                  <c:v>40652</c:v>
                </c:pt>
                <c:pt idx="831">
                  <c:v>40653</c:v>
                </c:pt>
                <c:pt idx="832">
                  <c:v>40654</c:v>
                </c:pt>
                <c:pt idx="833">
                  <c:v>40655</c:v>
                </c:pt>
                <c:pt idx="834">
                  <c:v>40659</c:v>
                </c:pt>
                <c:pt idx="835">
                  <c:v>40660</c:v>
                </c:pt>
                <c:pt idx="836">
                  <c:v>40661</c:v>
                </c:pt>
                <c:pt idx="837">
                  <c:v>40662</c:v>
                </c:pt>
                <c:pt idx="838">
                  <c:v>40665</c:v>
                </c:pt>
                <c:pt idx="839">
                  <c:v>40666</c:v>
                </c:pt>
                <c:pt idx="840">
                  <c:v>40667</c:v>
                </c:pt>
                <c:pt idx="841">
                  <c:v>40668</c:v>
                </c:pt>
                <c:pt idx="842">
                  <c:v>40669</c:v>
                </c:pt>
                <c:pt idx="843">
                  <c:v>40672</c:v>
                </c:pt>
                <c:pt idx="844">
                  <c:v>40673</c:v>
                </c:pt>
                <c:pt idx="845">
                  <c:v>40674</c:v>
                </c:pt>
                <c:pt idx="846">
                  <c:v>40675</c:v>
                </c:pt>
                <c:pt idx="847">
                  <c:v>40676</c:v>
                </c:pt>
                <c:pt idx="848">
                  <c:v>40679</c:v>
                </c:pt>
                <c:pt idx="849">
                  <c:v>40680</c:v>
                </c:pt>
                <c:pt idx="850">
                  <c:v>40681</c:v>
                </c:pt>
                <c:pt idx="851">
                  <c:v>40682</c:v>
                </c:pt>
                <c:pt idx="852">
                  <c:v>40683</c:v>
                </c:pt>
                <c:pt idx="853">
                  <c:v>40686</c:v>
                </c:pt>
                <c:pt idx="854">
                  <c:v>40687</c:v>
                </c:pt>
                <c:pt idx="855">
                  <c:v>40688</c:v>
                </c:pt>
                <c:pt idx="856">
                  <c:v>40689</c:v>
                </c:pt>
                <c:pt idx="857">
                  <c:v>40690</c:v>
                </c:pt>
                <c:pt idx="858">
                  <c:v>40693</c:v>
                </c:pt>
                <c:pt idx="859">
                  <c:v>40694</c:v>
                </c:pt>
                <c:pt idx="860">
                  <c:v>40695</c:v>
                </c:pt>
                <c:pt idx="861">
                  <c:v>40696</c:v>
                </c:pt>
                <c:pt idx="862">
                  <c:v>40697</c:v>
                </c:pt>
                <c:pt idx="863">
                  <c:v>40700</c:v>
                </c:pt>
                <c:pt idx="864">
                  <c:v>40701</c:v>
                </c:pt>
                <c:pt idx="865">
                  <c:v>40702</c:v>
                </c:pt>
                <c:pt idx="866">
                  <c:v>40703</c:v>
                </c:pt>
                <c:pt idx="867">
                  <c:v>40704</c:v>
                </c:pt>
                <c:pt idx="868">
                  <c:v>40707</c:v>
                </c:pt>
                <c:pt idx="869">
                  <c:v>40708</c:v>
                </c:pt>
                <c:pt idx="870">
                  <c:v>40709</c:v>
                </c:pt>
                <c:pt idx="871">
                  <c:v>40710</c:v>
                </c:pt>
                <c:pt idx="872">
                  <c:v>40711</c:v>
                </c:pt>
                <c:pt idx="873">
                  <c:v>40714</c:v>
                </c:pt>
                <c:pt idx="874">
                  <c:v>40715</c:v>
                </c:pt>
                <c:pt idx="875">
                  <c:v>40716</c:v>
                </c:pt>
                <c:pt idx="876">
                  <c:v>40717</c:v>
                </c:pt>
                <c:pt idx="877">
                  <c:v>40721</c:v>
                </c:pt>
                <c:pt idx="878">
                  <c:v>40722</c:v>
                </c:pt>
                <c:pt idx="879">
                  <c:v>40723</c:v>
                </c:pt>
                <c:pt idx="880">
                  <c:v>40724</c:v>
                </c:pt>
                <c:pt idx="881">
                  <c:v>40725</c:v>
                </c:pt>
                <c:pt idx="882">
                  <c:v>40728</c:v>
                </c:pt>
                <c:pt idx="883">
                  <c:v>40729</c:v>
                </c:pt>
                <c:pt idx="884">
                  <c:v>40731</c:v>
                </c:pt>
                <c:pt idx="885">
                  <c:v>40732</c:v>
                </c:pt>
                <c:pt idx="886">
                  <c:v>40735</c:v>
                </c:pt>
                <c:pt idx="887">
                  <c:v>40736</c:v>
                </c:pt>
                <c:pt idx="888">
                  <c:v>40737</c:v>
                </c:pt>
                <c:pt idx="889">
                  <c:v>40738</c:v>
                </c:pt>
                <c:pt idx="890">
                  <c:v>40739</c:v>
                </c:pt>
                <c:pt idx="891">
                  <c:v>40742</c:v>
                </c:pt>
                <c:pt idx="892">
                  <c:v>40743</c:v>
                </c:pt>
                <c:pt idx="893">
                  <c:v>40744</c:v>
                </c:pt>
                <c:pt idx="894">
                  <c:v>40745</c:v>
                </c:pt>
                <c:pt idx="895">
                  <c:v>40746</c:v>
                </c:pt>
                <c:pt idx="896">
                  <c:v>40749</c:v>
                </c:pt>
                <c:pt idx="897">
                  <c:v>40750</c:v>
                </c:pt>
                <c:pt idx="898">
                  <c:v>40751</c:v>
                </c:pt>
                <c:pt idx="899">
                  <c:v>40752</c:v>
                </c:pt>
                <c:pt idx="900">
                  <c:v>40753</c:v>
                </c:pt>
                <c:pt idx="901">
                  <c:v>40756</c:v>
                </c:pt>
                <c:pt idx="902">
                  <c:v>40757</c:v>
                </c:pt>
                <c:pt idx="903">
                  <c:v>40758</c:v>
                </c:pt>
                <c:pt idx="904">
                  <c:v>40759</c:v>
                </c:pt>
                <c:pt idx="905">
                  <c:v>40760</c:v>
                </c:pt>
                <c:pt idx="906">
                  <c:v>40763</c:v>
                </c:pt>
                <c:pt idx="907">
                  <c:v>40764</c:v>
                </c:pt>
                <c:pt idx="908">
                  <c:v>40765</c:v>
                </c:pt>
                <c:pt idx="909">
                  <c:v>40766</c:v>
                </c:pt>
                <c:pt idx="910">
                  <c:v>40767</c:v>
                </c:pt>
                <c:pt idx="911">
                  <c:v>40771</c:v>
                </c:pt>
                <c:pt idx="912">
                  <c:v>40772</c:v>
                </c:pt>
                <c:pt idx="913">
                  <c:v>40773</c:v>
                </c:pt>
                <c:pt idx="914">
                  <c:v>40774</c:v>
                </c:pt>
                <c:pt idx="915">
                  <c:v>40777</c:v>
                </c:pt>
                <c:pt idx="916">
                  <c:v>40778</c:v>
                </c:pt>
                <c:pt idx="917">
                  <c:v>40779</c:v>
                </c:pt>
                <c:pt idx="918">
                  <c:v>40780</c:v>
                </c:pt>
                <c:pt idx="919">
                  <c:v>40781</c:v>
                </c:pt>
                <c:pt idx="920">
                  <c:v>40784</c:v>
                </c:pt>
                <c:pt idx="921">
                  <c:v>40785</c:v>
                </c:pt>
                <c:pt idx="922">
                  <c:v>40786</c:v>
                </c:pt>
                <c:pt idx="923">
                  <c:v>40787</c:v>
                </c:pt>
                <c:pt idx="924">
                  <c:v>40788</c:v>
                </c:pt>
                <c:pt idx="925">
                  <c:v>40791</c:v>
                </c:pt>
                <c:pt idx="926">
                  <c:v>40792</c:v>
                </c:pt>
                <c:pt idx="927">
                  <c:v>40793</c:v>
                </c:pt>
                <c:pt idx="928">
                  <c:v>40794</c:v>
                </c:pt>
                <c:pt idx="929">
                  <c:v>40795</c:v>
                </c:pt>
                <c:pt idx="930">
                  <c:v>40798</c:v>
                </c:pt>
                <c:pt idx="931">
                  <c:v>40799</c:v>
                </c:pt>
                <c:pt idx="932">
                  <c:v>40800</c:v>
                </c:pt>
                <c:pt idx="933">
                  <c:v>40801</c:v>
                </c:pt>
                <c:pt idx="934">
                  <c:v>40802</c:v>
                </c:pt>
                <c:pt idx="935">
                  <c:v>40805</c:v>
                </c:pt>
                <c:pt idx="936">
                  <c:v>40806</c:v>
                </c:pt>
                <c:pt idx="937">
                  <c:v>40807</c:v>
                </c:pt>
                <c:pt idx="938">
                  <c:v>40808</c:v>
                </c:pt>
                <c:pt idx="939">
                  <c:v>40809</c:v>
                </c:pt>
                <c:pt idx="940">
                  <c:v>40812</c:v>
                </c:pt>
                <c:pt idx="941">
                  <c:v>40813</c:v>
                </c:pt>
                <c:pt idx="942">
                  <c:v>40814</c:v>
                </c:pt>
                <c:pt idx="943">
                  <c:v>40815</c:v>
                </c:pt>
                <c:pt idx="944">
                  <c:v>40816</c:v>
                </c:pt>
                <c:pt idx="945">
                  <c:v>40819</c:v>
                </c:pt>
                <c:pt idx="946">
                  <c:v>40820</c:v>
                </c:pt>
                <c:pt idx="947">
                  <c:v>40821</c:v>
                </c:pt>
                <c:pt idx="948">
                  <c:v>40822</c:v>
                </c:pt>
                <c:pt idx="949">
                  <c:v>40823</c:v>
                </c:pt>
                <c:pt idx="950">
                  <c:v>40826</c:v>
                </c:pt>
                <c:pt idx="951">
                  <c:v>40827</c:v>
                </c:pt>
                <c:pt idx="952">
                  <c:v>40828</c:v>
                </c:pt>
                <c:pt idx="953">
                  <c:v>40829</c:v>
                </c:pt>
                <c:pt idx="954">
                  <c:v>40830</c:v>
                </c:pt>
                <c:pt idx="955">
                  <c:v>40833</c:v>
                </c:pt>
                <c:pt idx="956">
                  <c:v>40834</c:v>
                </c:pt>
                <c:pt idx="957">
                  <c:v>40835</c:v>
                </c:pt>
                <c:pt idx="958">
                  <c:v>40836</c:v>
                </c:pt>
                <c:pt idx="959">
                  <c:v>40837</c:v>
                </c:pt>
                <c:pt idx="960">
                  <c:v>40840</c:v>
                </c:pt>
                <c:pt idx="961">
                  <c:v>40841</c:v>
                </c:pt>
                <c:pt idx="962">
                  <c:v>40842</c:v>
                </c:pt>
                <c:pt idx="963">
                  <c:v>40843</c:v>
                </c:pt>
                <c:pt idx="964">
                  <c:v>40844</c:v>
                </c:pt>
                <c:pt idx="965">
                  <c:v>40849</c:v>
                </c:pt>
                <c:pt idx="966">
                  <c:v>40850</c:v>
                </c:pt>
                <c:pt idx="967">
                  <c:v>40851</c:v>
                </c:pt>
                <c:pt idx="968">
                  <c:v>40852</c:v>
                </c:pt>
                <c:pt idx="969">
                  <c:v>40854</c:v>
                </c:pt>
                <c:pt idx="970">
                  <c:v>40855</c:v>
                </c:pt>
                <c:pt idx="971">
                  <c:v>40856</c:v>
                </c:pt>
                <c:pt idx="972">
                  <c:v>40857</c:v>
                </c:pt>
                <c:pt idx="973">
                  <c:v>40858</c:v>
                </c:pt>
                <c:pt idx="974">
                  <c:v>40861</c:v>
                </c:pt>
                <c:pt idx="975">
                  <c:v>40862</c:v>
                </c:pt>
                <c:pt idx="976">
                  <c:v>40863</c:v>
                </c:pt>
                <c:pt idx="977">
                  <c:v>40864</c:v>
                </c:pt>
                <c:pt idx="978">
                  <c:v>40865</c:v>
                </c:pt>
                <c:pt idx="979">
                  <c:v>40868</c:v>
                </c:pt>
                <c:pt idx="980">
                  <c:v>40869</c:v>
                </c:pt>
                <c:pt idx="981">
                  <c:v>40870</c:v>
                </c:pt>
                <c:pt idx="982">
                  <c:v>40871</c:v>
                </c:pt>
                <c:pt idx="983">
                  <c:v>40872</c:v>
                </c:pt>
                <c:pt idx="984">
                  <c:v>40875</c:v>
                </c:pt>
                <c:pt idx="985">
                  <c:v>40876</c:v>
                </c:pt>
                <c:pt idx="986">
                  <c:v>40877</c:v>
                </c:pt>
                <c:pt idx="987">
                  <c:v>40878</c:v>
                </c:pt>
                <c:pt idx="988">
                  <c:v>40879</c:v>
                </c:pt>
                <c:pt idx="989">
                  <c:v>40882</c:v>
                </c:pt>
                <c:pt idx="990">
                  <c:v>40883</c:v>
                </c:pt>
                <c:pt idx="991">
                  <c:v>40884</c:v>
                </c:pt>
                <c:pt idx="992">
                  <c:v>40885</c:v>
                </c:pt>
                <c:pt idx="993">
                  <c:v>40886</c:v>
                </c:pt>
                <c:pt idx="994">
                  <c:v>40889</c:v>
                </c:pt>
                <c:pt idx="995">
                  <c:v>40890</c:v>
                </c:pt>
                <c:pt idx="996">
                  <c:v>40891</c:v>
                </c:pt>
                <c:pt idx="997">
                  <c:v>40892</c:v>
                </c:pt>
                <c:pt idx="998">
                  <c:v>40893</c:v>
                </c:pt>
                <c:pt idx="999">
                  <c:v>40896</c:v>
                </c:pt>
                <c:pt idx="1000">
                  <c:v>40897</c:v>
                </c:pt>
                <c:pt idx="1001">
                  <c:v>40898</c:v>
                </c:pt>
                <c:pt idx="1002">
                  <c:v>40899</c:v>
                </c:pt>
                <c:pt idx="1003">
                  <c:v>40900</c:v>
                </c:pt>
                <c:pt idx="1004">
                  <c:v>40904</c:v>
                </c:pt>
                <c:pt idx="1005">
                  <c:v>40905</c:v>
                </c:pt>
                <c:pt idx="1006">
                  <c:v>40906</c:v>
                </c:pt>
                <c:pt idx="1007">
                  <c:v>40907</c:v>
                </c:pt>
                <c:pt idx="1008">
                  <c:v>40910</c:v>
                </c:pt>
                <c:pt idx="1009">
                  <c:v>40911</c:v>
                </c:pt>
                <c:pt idx="1010">
                  <c:v>40912</c:v>
                </c:pt>
                <c:pt idx="1011">
                  <c:v>40913</c:v>
                </c:pt>
                <c:pt idx="1012">
                  <c:v>40914</c:v>
                </c:pt>
                <c:pt idx="1013">
                  <c:v>40917</c:v>
                </c:pt>
                <c:pt idx="1014">
                  <c:v>40918</c:v>
                </c:pt>
                <c:pt idx="1015">
                  <c:v>40919</c:v>
                </c:pt>
                <c:pt idx="1016">
                  <c:v>40920</c:v>
                </c:pt>
                <c:pt idx="1017">
                  <c:v>40921</c:v>
                </c:pt>
                <c:pt idx="1018">
                  <c:v>40924</c:v>
                </c:pt>
                <c:pt idx="1019">
                  <c:v>40925</c:v>
                </c:pt>
                <c:pt idx="1020">
                  <c:v>40926</c:v>
                </c:pt>
                <c:pt idx="1021">
                  <c:v>40927</c:v>
                </c:pt>
                <c:pt idx="1022">
                  <c:v>40928</c:v>
                </c:pt>
                <c:pt idx="1023">
                  <c:v>40931</c:v>
                </c:pt>
                <c:pt idx="1024">
                  <c:v>40932</c:v>
                </c:pt>
                <c:pt idx="1025">
                  <c:v>40933</c:v>
                </c:pt>
                <c:pt idx="1026">
                  <c:v>40934</c:v>
                </c:pt>
                <c:pt idx="1027">
                  <c:v>40935</c:v>
                </c:pt>
                <c:pt idx="1028">
                  <c:v>40938</c:v>
                </c:pt>
                <c:pt idx="1029">
                  <c:v>40939</c:v>
                </c:pt>
                <c:pt idx="1030">
                  <c:v>40940</c:v>
                </c:pt>
                <c:pt idx="1031">
                  <c:v>40941</c:v>
                </c:pt>
                <c:pt idx="1032">
                  <c:v>40942</c:v>
                </c:pt>
                <c:pt idx="1033">
                  <c:v>40945</c:v>
                </c:pt>
                <c:pt idx="1034">
                  <c:v>40946</c:v>
                </c:pt>
                <c:pt idx="1035">
                  <c:v>40947</c:v>
                </c:pt>
                <c:pt idx="1036">
                  <c:v>40948</c:v>
                </c:pt>
                <c:pt idx="1037">
                  <c:v>40949</c:v>
                </c:pt>
                <c:pt idx="1038">
                  <c:v>40952</c:v>
                </c:pt>
                <c:pt idx="1039">
                  <c:v>40953</c:v>
                </c:pt>
                <c:pt idx="1040">
                  <c:v>40954</c:v>
                </c:pt>
                <c:pt idx="1041">
                  <c:v>40956</c:v>
                </c:pt>
                <c:pt idx="1042">
                  <c:v>40959</c:v>
                </c:pt>
                <c:pt idx="1043">
                  <c:v>40960</c:v>
                </c:pt>
                <c:pt idx="1044">
                  <c:v>40961</c:v>
                </c:pt>
                <c:pt idx="1045">
                  <c:v>40962</c:v>
                </c:pt>
                <c:pt idx="1046">
                  <c:v>40963</c:v>
                </c:pt>
                <c:pt idx="1047">
                  <c:v>40966</c:v>
                </c:pt>
                <c:pt idx="1048">
                  <c:v>40967</c:v>
                </c:pt>
                <c:pt idx="1049">
                  <c:v>40968</c:v>
                </c:pt>
                <c:pt idx="1050">
                  <c:v>40969</c:v>
                </c:pt>
                <c:pt idx="1051">
                  <c:v>40970</c:v>
                </c:pt>
                <c:pt idx="1052">
                  <c:v>40973</c:v>
                </c:pt>
                <c:pt idx="1053">
                  <c:v>40974</c:v>
                </c:pt>
                <c:pt idx="1054">
                  <c:v>40975</c:v>
                </c:pt>
                <c:pt idx="1055">
                  <c:v>40976</c:v>
                </c:pt>
                <c:pt idx="1056">
                  <c:v>40977</c:v>
                </c:pt>
                <c:pt idx="1057">
                  <c:v>40980</c:v>
                </c:pt>
                <c:pt idx="1058">
                  <c:v>40981</c:v>
                </c:pt>
                <c:pt idx="1059">
                  <c:v>40982</c:v>
                </c:pt>
                <c:pt idx="1060">
                  <c:v>40983</c:v>
                </c:pt>
                <c:pt idx="1061">
                  <c:v>40984</c:v>
                </c:pt>
                <c:pt idx="1062">
                  <c:v>40987</c:v>
                </c:pt>
                <c:pt idx="1063">
                  <c:v>40988</c:v>
                </c:pt>
                <c:pt idx="1064">
                  <c:v>40989</c:v>
                </c:pt>
                <c:pt idx="1065">
                  <c:v>40990</c:v>
                </c:pt>
                <c:pt idx="1066">
                  <c:v>40991</c:v>
                </c:pt>
                <c:pt idx="1067">
                  <c:v>40994</c:v>
                </c:pt>
                <c:pt idx="1068">
                  <c:v>40995</c:v>
                </c:pt>
                <c:pt idx="1069">
                  <c:v>40996</c:v>
                </c:pt>
                <c:pt idx="1070">
                  <c:v>40997</c:v>
                </c:pt>
                <c:pt idx="1071">
                  <c:v>40998</c:v>
                </c:pt>
                <c:pt idx="1072">
                  <c:v>41001</c:v>
                </c:pt>
                <c:pt idx="1073">
                  <c:v>41002</c:v>
                </c:pt>
                <c:pt idx="1074">
                  <c:v>41003</c:v>
                </c:pt>
                <c:pt idx="1075">
                  <c:v>41004</c:v>
                </c:pt>
                <c:pt idx="1076">
                  <c:v>41005</c:v>
                </c:pt>
                <c:pt idx="1077">
                  <c:v>41009</c:v>
                </c:pt>
                <c:pt idx="1078">
                  <c:v>41010</c:v>
                </c:pt>
                <c:pt idx="1079">
                  <c:v>41011</c:v>
                </c:pt>
                <c:pt idx="1080">
                  <c:v>41012</c:v>
                </c:pt>
                <c:pt idx="1081">
                  <c:v>41015</c:v>
                </c:pt>
                <c:pt idx="1082">
                  <c:v>41016</c:v>
                </c:pt>
                <c:pt idx="1083">
                  <c:v>41017</c:v>
                </c:pt>
                <c:pt idx="1084">
                  <c:v>41018</c:v>
                </c:pt>
                <c:pt idx="1085">
                  <c:v>41019</c:v>
                </c:pt>
                <c:pt idx="1086">
                  <c:v>41022</c:v>
                </c:pt>
                <c:pt idx="1087">
                  <c:v>41023</c:v>
                </c:pt>
                <c:pt idx="1088">
                  <c:v>41024</c:v>
                </c:pt>
                <c:pt idx="1089">
                  <c:v>41025</c:v>
                </c:pt>
                <c:pt idx="1090">
                  <c:v>41026</c:v>
                </c:pt>
                <c:pt idx="1091">
                  <c:v>41029</c:v>
                </c:pt>
                <c:pt idx="1092">
                  <c:v>41031</c:v>
                </c:pt>
                <c:pt idx="1093">
                  <c:v>41032</c:v>
                </c:pt>
                <c:pt idx="1094">
                  <c:v>41033</c:v>
                </c:pt>
                <c:pt idx="1095">
                  <c:v>41036</c:v>
                </c:pt>
                <c:pt idx="1096">
                  <c:v>41037</c:v>
                </c:pt>
                <c:pt idx="1097">
                  <c:v>41038</c:v>
                </c:pt>
                <c:pt idx="1098">
                  <c:v>41039</c:v>
                </c:pt>
                <c:pt idx="1099">
                  <c:v>41040</c:v>
                </c:pt>
                <c:pt idx="1100">
                  <c:v>41043</c:v>
                </c:pt>
                <c:pt idx="1101">
                  <c:v>41044</c:v>
                </c:pt>
                <c:pt idx="1102">
                  <c:v>41045</c:v>
                </c:pt>
                <c:pt idx="1103">
                  <c:v>41046</c:v>
                </c:pt>
                <c:pt idx="1104">
                  <c:v>41047</c:v>
                </c:pt>
                <c:pt idx="1105">
                  <c:v>41050</c:v>
                </c:pt>
                <c:pt idx="1106">
                  <c:v>41051</c:v>
                </c:pt>
                <c:pt idx="1107">
                  <c:v>41052</c:v>
                </c:pt>
                <c:pt idx="1108">
                  <c:v>41053</c:v>
                </c:pt>
                <c:pt idx="1109">
                  <c:v>41054</c:v>
                </c:pt>
                <c:pt idx="1110">
                  <c:v>41057</c:v>
                </c:pt>
                <c:pt idx="1111">
                  <c:v>41058</c:v>
                </c:pt>
                <c:pt idx="1112">
                  <c:v>41059</c:v>
                </c:pt>
                <c:pt idx="1113">
                  <c:v>41060</c:v>
                </c:pt>
                <c:pt idx="1114">
                  <c:v>41061</c:v>
                </c:pt>
                <c:pt idx="1115">
                  <c:v>41064</c:v>
                </c:pt>
                <c:pt idx="1116">
                  <c:v>41065</c:v>
                </c:pt>
                <c:pt idx="1117">
                  <c:v>41066</c:v>
                </c:pt>
                <c:pt idx="1118">
                  <c:v>41067</c:v>
                </c:pt>
                <c:pt idx="1119">
                  <c:v>41068</c:v>
                </c:pt>
                <c:pt idx="1120">
                  <c:v>41071</c:v>
                </c:pt>
                <c:pt idx="1121">
                  <c:v>41072</c:v>
                </c:pt>
                <c:pt idx="1122">
                  <c:v>41073</c:v>
                </c:pt>
                <c:pt idx="1123">
                  <c:v>41074</c:v>
                </c:pt>
                <c:pt idx="1124">
                  <c:v>41075</c:v>
                </c:pt>
                <c:pt idx="1125">
                  <c:v>41078</c:v>
                </c:pt>
                <c:pt idx="1126">
                  <c:v>41079</c:v>
                </c:pt>
                <c:pt idx="1127">
                  <c:v>41080</c:v>
                </c:pt>
                <c:pt idx="1128">
                  <c:v>41081</c:v>
                </c:pt>
                <c:pt idx="1129">
                  <c:v>41082</c:v>
                </c:pt>
                <c:pt idx="1130">
                  <c:v>41085</c:v>
                </c:pt>
                <c:pt idx="1131">
                  <c:v>41086</c:v>
                </c:pt>
                <c:pt idx="1132">
                  <c:v>41087</c:v>
                </c:pt>
                <c:pt idx="1133">
                  <c:v>41088</c:v>
                </c:pt>
                <c:pt idx="1134">
                  <c:v>41089</c:v>
                </c:pt>
                <c:pt idx="1135">
                  <c:v>41092</c:v>
                </c:pt>
                <c:pt idx="1136">
                  <c:v>41093</c:v>
                </c:pt>
                <c:pt idx="1137">
                  <c:v>41094</c:v>
                </c:pt>
                <c:pt idx="1138">
                  <c:v>41095</c:v>
                </c:pt>
                <c:pt idx="1139">
                  <c:v>41099</c:v>
                </c:pt>
                <c:pt idx="1140">
                  <c:v>41100</c:v>
                </c:pt>
                <c:pt idx="1141">
                  <c:v>41101</c:v>
                </c:pt>
                <c:pt idx="1142">
                  <c:v>41102</c:v>
                </c:pt>
                <c:pt idx="1143">
                  <c:v>41103</c:v>
                </c:pt>
                <c:pt idx="1144">
                  <c:v>41106</c:v>
                </c:pt>
                <c:pt idx="1145">
                  <c:v>41107</c:v>
                </c:pt>
                <c:pt idx="1146">
                  <c:v>41108</c:v>
                </c:pt>
                <c:pt idx="1147">
                  <c:v>41109</c:v>
                </c:pt>
                <c:pt idx="1148">
                  <c:v>41110</c:v>
                </c:pt>
                <c:pt idx="1149">
                  <c:v>41113</c:v>
                </c:pt>
                <c:pt idx="1150">
                  <c:v>41114</c:v>
                </c:pt>
                <c:pt idx="1151">
                  <c:v>41115</c:v>
                </c:pt>
                <c:pt idx="1152">
                  <c:v>41116</c:v>
                </c:pt>
                <c:pt idx="1153">
                  <c:v>41117</c:v>
                </c:pt>
                <c:pt idx="1154">
                  <c:v>41120</c:v>
                </c:pt>
                <c:pt idx="1155">
                  <c:v>41121</c:v>
                </c:pt>
                <c:pt idx="1156">
                  <c:v>41122</c:v>
                </c:pt>
                <c:pt idx="1157">
                  <c:v>41123</c:v>
                </c:pt>
                <c:pt idx="1158">
                  <c:v>41124</c:v>
                </c:pt>
                <c:pt idx="1159">
                  <c:v>41127</c:v>
                </c:pt>
                <c:pt idx="1160">
                  <c:v>41128</c:v>
                </c:pt>
                <c:pt idx="1161">
                  <c:v>41129</c:v>
                </c:pt>
                <c:pt idx="1162">
                  <c:v>41130</c:v>
                </c:pt>
                <c:pt idx="1163">
                  <c:v>41131</c:v>
                </c:pt>
                <c:pt idx="1164">
                  <c:v>41134</c:v>
                </c:pt>
                <c:pt idx="1165">
                  <c:v>41135</c:v>
                </c:pt>
                <c:pt idx="1166">
                  <c:v>41137</c:v>
                </c:pt>
                <c:pt idx="1167">
                  <c:v>41138</c:v>
                </c:pt>
                <c:pt idx="1168">
                  <c:v>41141</c:v>
                </c:pt>
                <c:pt idx="1169">
                  <c:v>41142</c:v>
                </c:pt>
                <c:pt idx="1170">
                  <c:v>41143</c:v>
                </c:pt>
                <c:pt idx="1171">
                  <c:v>41144</c:v>
                </c:pt>
                <c:pt idx="1172">
                  <c:v>41145</c:v>
                </c:pt>
                <c:pt idx="1173">
                  <c:v>41148</c:v>
                </c:pt>
                <c:pt idx="1174">
                  <c:v>41149</c:v>
                </c:pt>
                <c:pt idx="1175">
                  <c:v>41150</c:v>
                </c:pt>
                <c:pt idx="1176">
                  <c:v>41151</c:v>
                </c:pt>
                <c:pt idx="1177">
                  <c:v>41152</c:v>
                </c:pt>
                <c:pt idx="1178">
                  <c:v>41155</c:v>
                </c:pt>
                <c:pt idx="1179">
                  <c:v>41156</c:v>
                </c:pt>
                <c:pt idx="1180">
                  <c:v>41157</c:v>
                </c:pt>
                <c:pt idx="1181">
                  <c:v>41158</c:v>
                </c:pt>
                <c:pt idx="1182">
                  <c:v>41159</c:v>
                </c:pt>
                <c:pt idx="1183">
                  <c:v>41162</c:v>
                </c:pt>
                <c:pt idx="1184">
                  <c:v>41163</c:v>
                </c:pt>
                <c:pt idx="1185">
                  <c:v>41164</c:v>
                </c:pt>
                <c:pt idx="1186">
                  <c:v>41165</c:v>
                </c:pt>
                <c:pt idx="1187">
                  <c:v>41166</c:v>
                </c:pt>
                <c:pt idx="1188">
                  <c:v>41169</c:v>
                </c:pt>
                <c:pt idx="1189">
                  <c:v>41170</c:v>
                </c:pt>
                <c:pt idx="1190">
                  <c:v>41171</c:v>
                </c:pt>
                <c:pt idx="1191">
                  <c:v>41172</c:v>
                </c:pt>
                <c:pt idx="1192">
                  <c:v>41173</c:v>
                </c:pt>
                <c:pt idx="1193">
                  <c:v>41176</c:v>
                </c:pt>
                <c:pt idx="1194">
                  <c:v>41177</c:v>
                </c:pt>
                <c:pt idx="1195">
                  <c:v>41178</c:v>
                </c:pt>
                <c:pt idx="1196">
                  <c:v>41179</c:v>
                </c:pt>
                <c:pt idx="1197">
                  <c:v>41180</c:v>
                </c:pt>
                <c:pt idx="1198">
                  <c:v>41183</c:v>
                </c:pt>
                <c:pt idx="1199">
                  <c:v>41184</c:v>
                </c:pt>
                <c:pt idx="1200">
                  <c:v>41185</c:v>
                </c:pt>
                <c:pt idx="1201">
                  <c:v>41186</c:v>
                </c:pt>
                <c:pt idx="1202">
                  <c:v>41187</c:v>
                </c:pt>
                <c:pt idx="1203">
                  <c:v>41190</c:v>
                </c:pt>
                <c:pt idx="1204">
                  <c:v>41191</c:v>
                </c:pt>
                <c:pt idx="1205">
                  <c:v>41192</c:v>
                </c:pt>
                <c:pt idx="1206">
                  <c:v>41193</c:v>
                </c:pt>
                <c:pt idx="1207">
                  <c:v>41194</c:v>
                </c:pt>
                <c:pt idx="1208">
                  <c:v>41197</c:v>
                </c:pt>
                <c:pt idx="1209">
                  <c:v>41198</c:v>
                </c:pt>
                <c:pt idx="1210">
                  <c:v>41199</c:v>
                </c:pt>
                <c:pt idx="1211">
                  <c:v>41200</c:v>
                </c:pt>
                <c:pt idx="1212">
                  <c:v>41201</c:v>
                </c:pt>
                <c:pt idx="1213">
                  <c:v>41204</c:v>
                </c:pt>
                <c:pt idx="1214">
                  <c:v>41205</c:v>
                </c:pt>
                <c:pt idx="1215">
                  <c:v>41206</c:v>
                </c:pt>
                <c:pt idx="1216">
                  <c:v>41207</c:v>
                </c:pt>
                <c:pt idx="1217">
                  <c:v>41208</c:v>
                </c:pt>
                <c:pt idx="1218">
                  <c:v>41211</c:v>
                </c:pt>
                <c:pt idx="1219">
                  <c:v>41212</c:v>
                </c:pt>
                <c:pt idx="1220">
                  <c:v>41213</c:v>
                </c:pt>
                <c:pt idx="1221">
                  <c:v>41215</c:v>
                </c:pt>
                <c:pt idx="1222">
                  <c:v>41218</c:v>
                </c:pt>
                <c:pt idx="1223">
                  <c:v>41219</c:v>
                </c:pt>
                <c:pt idx="1224">
                  <c:v>41220</c:v>
                </c:pt>
                <c:pt idx="1225">
                  <c:v>41221</c:v>
                </c:pt>
                <c:pt idx="1226">
                  <c:v>41222</c:v>
                </c:pt>
                <c:pt idx="1227">
                  <c:v>41225</c:v>
                </c:pt>
                <c:pt idx="1228">
                  <c:v>41226</c:v>
                </c:pt>
                <c:pt idx="1229">
                  <c:v>41227</c:v>
                </c:pt>
                <c:pt idx="1230">
                  <c:v>41228</c:v>
                </c:pt>
                <c:pt idx="1231">
                  <c:v>41229</c:v>
                </c:pt>
                <c:pt idx="1232">
                  <c:v>41232</c:v>
                </c:pt>
                <c:pt idx="1233">
                  <c:v>41233</c:v>
                </c:pt>
                <c:pt idx="1234">
                  <c:v>41234</c:v>
                </c:pt>
                <c:pt idx="1235">
                  <c:v>41235</c:v>
                </c:pt>
                <c:pt idx="1236">
                  <c:v>41236</c:v>
                </c:pt>
                <c:pt idx="1237">
                  <c:v>41239</c:v>
                </c:pt>
                <c:pt idx="1238">
                  <c:v>41240</c:v>
                </c:pt>
                <c:pt idx="1239">
                  <c:v>41241</c:v>
                </c:pt>
                <c:pt idx="1240">
                  <c:v>41242</c:v>
                </c:pt>
                <c:pt idx="1241">
                  <c:v>41243</c:v>
                </c:pt>
                <c:pt idx="1242">
                  <c:v>41246</c:v>
                </c:pt>
                <c:pt idx="1243">
                  <c:v>41247</c:v>
                </c:pt>
                <c:pt idx="1244">
                  <c:v>41248</c:v>
                </c:pt>
                <c:pt idx="1245">
                  <c:v>41249</c:v>
                </c:pt>
                <c:pt idx="1246">
                  <c:v>41250</c:v>
                </c:pt>
                <c:pt idx="1247">
                  <c:v>41253</c:v>
                </c:pt>
                <c:pt idx="1248">
                  <c:v>41254</c:v>
                </c:pt>
                <c:pt idx="1249">
                  <c:v>41255</c:v>
                </c:pt>
                <c:pt idx="1250">
                  <c:v>41256</c:v>
                </c:pt>
                <c:pt idx="1251">
                  <c:v>41257</c:v>
                </c:pt>
                <c:pt idx="1252">
                  <c:v>41260</c:v>
                </c:pt>
                <c:pt idx="1253">
                  <c:v>41261</c:v>
                </c:pt>
                <c:pt idx="1254">
                  <c:v>41262</c:v>
                </c:pt>
                <c:pt idx="1255">
                  <c:v>41263</c:v>
                </c:pt>
                <c:pt idx="1256">
                  <c:v>41264</c:v>
                </c:pt>
                <c:pt idx="1257">
                  <c:v>41270</c:v>
                </c:pt>
                <c:pt idx="1258">
                  <c:v>41271</c:v>
                </c:pt>
                <c:pt idx="1259">
                  <c:v>41274</c:v>
                </c:pt>
              </c:numCache>
            </c:numRef>
          </c:cat>
          <c:val>
            <c:numRef>
              <c:f>Sheet0!$B$11:$B$1270</c:f>
              <c:numCache>
                <c:formatCode>General</c:formatCode>
                <c:ptCount val="1260"/>
                <c:pt idx="0">
                  <c:v>7.1</c:v>
                </c:pt>
                <c:pt idx="1">
                  <c:v>6.94</c:v>
                </c:pt>
                <c:pt idx="2">
                  <c:v>6.89</c:v>
                </c:pt>
                <c:pt idx="3">
                  <c:v>6.7700000000000014</c:v>
                </c:pt>
                <c:pt idx="4">
                  <c:v>6.73</c:v>
                </c:pt>
                <c:pt idx="5">
                  <c:v>6.7</c:v>
                </c:pt>
                <c:pt idx="6">
                  <c:v>6.74</c:v>
                </c:pt>
                <c:pt idx="7">
                  <c:v>6.6499999999999995</c:v>
                </c:pt>
                <c:pt idx="8">
                  <c:v>6.8</c:v>
                </c:pt>
                <c:pt idx="9">
                  <c:v>6.83</c:v>
                </c:pt>
                <c:pt idx="10">
                  <c:v>6.78</c:v>
                </c:pt>
                <c:pt idx="11">
                  <c:v>6.68</c:v>
                </c:pt>
                <c:pt idx="12">
                  <c:v>6.6</c:v>
                </c:pt>
                <c:pt idx="13">
                  <c:v>6.55</c:v>
                </c:pt>
                <c:pt idx="14">
                  <c:v>6.5</c:v>
                </c:pt>
                <c:pt idx="15">
                  <c:v>6.33</c:v>
                </c:pt>
                <c:pt idx="16">
                  <c:v>6.25</c:v>
                </c:pt>
                <c:pt idx="17">
                  <c:v>6.13</c:v>
                </c:pt>
                <c:pt idx="18">
                  <c:v>6.06</c:v>
                </c:pt>
                <c:pt idx="19">
                  <c:v>6.03</c:v>
                </c:pt>
                <c:pt idx="20">
                  <c:v>6</c:v>
                </c:pt>
                <c:pt idx="21">
                  <c:v>5.98</c:v>
                </c:pt>
                <c:pt idx="22">
                  <c:v>6</c:v>
                </c:pt>
                <c:pt idx="23">
                  <c:v>5.98</c:v>
                </c:pt>
                <c:pt idx="24">
                  <c:v>5.98</c:v>
                </c:pt>
                <c:pt idx="25">
                  <c:v>5.76</c:v>
                </c:pt>
                <c:pt idx="26">
                  <c:v>5.6499999999999995</c:v>
                </c:pt>
                <c:pt idx="27">
                  <c:v>5.45</c:v>
                </c:pt>
                <c:pt idx="28">
                  <c:v>5.41</c:v>
                </c:pt>
                <c:pt idx="29">
                  <c:v>5.41</c:v>
                </c:pt>
                <c:pt idx="30">
                  <c:v>5.4</c:v>
                </c:pt>
                <c:pt idx="31">
                  <c:v>5.4</c:v>
                </c:pt>
                <c:pt idx="32">
                  <c:v>5.4</c:v>
                </c:pt>
                <c:pt idx="33">
                  <c:v>5.4</c:v>
                </c:pt>
                <c:pt idx="34">
                  <c:v>5.4</c:v>
                </c:pt>
                <c:pt idx="35">
                  <c:v>5.4</c:v>
                </c:pt>
                <c:pt idx="36">
                  <c:v>5.39</c:v>
                </c:pt>
                <c:pt idx="37">
                  <c:v>5.39</c:v>
                </c:pt>
                <c:pt idx="38">
                  <c:v>5.39</c:v>
                </c:pt>
                <c:pt idx="39">
                  <c:v>5.39</c:v>
                </c:pt>
                <c:pt idx="40">
                  <c:v>5.39</c:v>
                </c:pt>
                <c:pt idx="41">
                  <c:v>5.39</c:v>
                </c:pt>
                <c:pt idx="42">
                  <c:v>5.39</c:v>
                </c:pt>
                <c:pt idx="43">
                  <c:v>5.39</c:v>
                </c:pt>
                <c:pt idx="44">
                  <c:v>5.39</c:v>
                </c:pt>
                <c:pt idx="45">
                  <c:v>5.39</c:v>
                </c:pt>
                <c:pt idx="46">
                  <c:v>5.39</c:v>
                </c:pt>
                <c:pt idx="47">
                  <c:v>5.4</c:v>
                </c:pt>
                <c:pt idx="48">
                  <c:v>5.4</c:v>
                </c:pt>
                <c:pt idx="49">
                  <c:v>5.4</c:v>
                </c:pt>
                <c:pt idx="50">
                  <c:v>5.4</c:v>
                </c:pt>
                <c:pt idx="51">
                  <c:v>5.4</c:v>
                </c:pt>
                <c:pt idx="52">
                  <c:v>5.48</c:v>
                </c:pt>
                <c:pt idx="53">
                  <c:v>5.48</c:v>
                </c:pt>
                <c:pt idx="54">
                  <c:v>5.45</c:v>
                </c:pt>
                <c:pt idx="55">
                  <c:v>5.45</c:v>
                </c:pt>
                <c:pt idx="56">
                  <c:v>5.46</c:v>
                </c:pt>
                <c:pt idx="57">
                  <c:v>5.55</c:v>
                </c:pt>
                <c:pt idx="58">
                  <c:v>5.55</c:v>
                </c:pt>
                <c:pt idx="59">
                  <c:v>5.56</c:v>
                </c:pt>
                <c:pt idx="60">
                  <c:v>5.58</c:v>
                </c:pt>
                <c:pt idx="61">
                  <c:v>5.6499999999999995</c:v>
                </c:pt>
                <c:pt idx="62">
                  <c:v>5.6499999999999995</c:v>
                </c:pt>
                <c:pt idx="63">
                  <c:v>5.6499999999999995</c:v>
                </c:pt>
                <c:pt idx="64">
                  <c:v>5.6499999999999995</c:v>
                </c:pt>
                <c:pt idx="65">
                  <c:v>5.64</c:v>
                </c:pt>
                <c:pt idx="66">
                  <c:v>5.6199999999999966</c:v>
                </c:pt>
                <c:pt idx="67">
                  <c:v>5.6199999999999966</c:v>
                </c:pt>
                <c:pt idx="68">
                  <c:v>5.6199999999999966</c:v>
                </c:pt>
                <c:pt idx="69">
                  <c:v>5.58</c:v>
                </c:pt>
                <c:pt idx="70">
                  <c:v>5.58</c:v>
                </c:pt>
                <c:pt idx="71">
                  <c:v>5.58</c:v>
                </c:pt>
                <c:pt idx="72">
                  <c:v>5.58</c:v>
                </c:pt>
                <c:pt idx="73">
                  <c:v>5.58</c:v>
                </c:pt>
                <c:pt idx="74">
                  <c:v>5.56</c:v>
                </c:pt>
                <c:pt idx="75">
                  <c:v>5.58</c:v>
                </c:pt>
                <c:pt idx="76">
                  <c:v>5.6099999999999985</c:v>
                </c:pt>
                <c:pt idx="77">
                  <c:v>5.6499999999999995</c:v>
                </c:pt>
                <c:pt idx="78">
                  <c:v>5.64</c:v>
                </c:pt>
                <c:pt idx="79">
                  <c:v>5.64</c:v>
                </c:pt>
                <c:pt idx="80">
                  <c:v>5.64</c:v>
                </c:pt>
                <c:pt idx="81">
                  <c:v>5.64</c:v>
                </c:pt>
                <c:pt idx="82">
                  <c:v>5.6499999999999995</c:v>
                </c:pt>
                <c:pt idx="83">
                  <c:v>5.64</c:v>
                </c:pt>
                <c:pt idx="84">
                  <c:v>5.64</c:v>
                </c:pt>
                <c:pt idx="85">
                  <c:v>5.64</c:v>
                </c:pt>
                <c:pt idx="86">
                  <c:v>5.64</c:v>
                </c:pt>
                <c:pt idx="87">
                  <c:v>5.6099999999999985</c:v>
                </c:pt>
                <c:pt idx="88">
                  <c:v>5.63</c:v>
                </c:pt>
                <c:pt idx="89">
                  <c:v>5.63</c:v>
                </c:pt>
                <c:pt idx="90">
                  <c:v>5.6099999999999985</c:v>
                </c:pt>
                <c:pt idx="91">
                  <c:v>5.59</c:v>
                </c:pt>
                <c:pt idx="92">
                  <c:v>5.59</c:v>
                </c:pt>
                <c:pt idx="93">
                  <c:v>5.57</c:v>
                </c:pt>
                <c:pt idx="94">
                  <c:v>5.57</c:v>
                </c:pt>
                <c:pt idx="95">
                  <c:v>5.57</c:v>
                </c:pt>
                <c:pt idx="96">
                  <c:v>5.57</c:v>
                </c:pt>
                <c:pt idx="97">
                  <c:v>5.56</c:v>
                </c:pt>
                <c:pt idx="98">
                  <c:v>5.56</c:v>
                </c:pt>
                <c:pt idx="99">
                  <c:v>5.56</c:v>
                </c:pt>
                <c:pt idx="100">
                  <c:v>5.56</c:v>
                </c:pt>
                <c:pt idx="101">
                  <c:v>5.57</c:v>
                </c:pt>
                <c:pt idx="102">
                  <c:v>5.57</c:v>
                </c:pt>
                <c:pt idx="103">
                  <c:v>5.59</c:v>
                </c:pt>
                <c:pt idx="104">
                  <c:v>5.59</c:v>
                </c:pt>
                <c:pt idx="105">
                  <c:v>5.6599999999999975</c:v>
                </c:pt>
                <c:pt idx="106">
                  <c:v>5.6899999999999995</c:v>
                </c:pt>
                <c:pt idx="107">
                  <c:v>5.73</c:v>
                </c:pt>
                <c:pt idx="108">
                  <c:v>5.78</c:v>
                </c:pt>
                <c:pt idx="109">
                  <c:v>5.83</c:v>
                </c:pt>
                <c:pt idx="110">
                  <c:v>5.9</c:v>
                </c:pt>
                <c:pt idx="111">
                  <c:v>5.92</c:v>
                </c:pt>
                <c:pt idx="112">
                  <c:v>5.94</c:v>
                </c:pt>
                <c:pt idx="113">
                  <c:v>5.95</c:v>
                </c:pt>
                <c:pt idx="114">
                  <c:v>5.95</c:v>
                </c:pt>
                <c:pt idx="115">
                  <c:v>5.95</c:v>
                </c:pt>
                <c:pt idx="116">
                  <c:v>5.95</c:v>
                </c:pt>
                <c:pt idx="117">
                  <c:v>5.95</c:v>
                </c:pt>
                <c:pt idx="118">
                  <c:v>5.9700000000000024</c:v>
                </c:pt>
                <c:pt idx="119">
                  <c:v>6.03</c:v>
                </c:pt>
                <c:pt idx="120">
                  <c:v>6.03</c:v>
                </c:pt>
                <c:pt idx="121">
                  <c:v>6.04</c:v>
                </c:pt>
                <c:pt idx="122">
                  <c:v>6.05</c:v>
                </c:pt>
                <c:pt idx="123">
                  <c:v>6.05</c:v>
                </c:pt>
                <c:pt idx="124">
                  <c:v>6.14</c:v>
                </c:pt>
                <c:pt idx="125">
                  <c:v>6.14</c:v>
                </c:pt>
                <c:pt idx="126">
                  <c:v>6.2</c:v>
                </c:pt>
                <c:pt idx="127">
                  <c:v>6.1899999999999995</c:v>
                </c:pt>
                <c:pt idx="128">
                  <c:v>6.2</c:v>
                </c:pt>
                <c:pt idx="129">
                  <c:v>6.21</c:v>
                </c:pt>
                <c:pt idx="130">
                  <c:v>6.24</c:v>
                </c:pt>
                <c:pt idx="131">
                  <c:v>6.24</c:v>
                </c:pt>
                <c:pt idx="132">
                  <c:v>6.24</c:v>
                </c:pt>
                <c:pt idx="133">
                  <c:v>6.24</c:v>
                </c:pt>
                <c:pt idx="134">
                  <c:v>6.24</c:v>
                </c:pt>
                <c:pt idx="135">
                  <c:v>6.24</c:v>
                </c:pt>
                <c:pt idx="136">
                  <c:v>6.24</c:v>
                </c:pt>
                <c:pt idx="137">
                  <c:v>6.31</c:v>
                </c:pt>
                <c:pt idx="138">
                  <c:v>6.31</c:v>
                </c:pt>
                <c:pt idx="139">
                  <c:v>6.31</c:v>
                </c:pt>
                <c:pt idx="140">
                  <c:v>6.31</c:v>
                </c:pt>
                <c:pt idx="141">
                  <c:v>6.29</c:v>
                </c:pt>
                <c:pt idx="142">
                  <c:v>6.23</c:v>
                </c:pt>
                <c:pt idx="143">
                  <c:v>6.22</c:v>
                </c:pt>
                <c:pt idx="144">
                  <c:v>6.1899999999999995</c:v>
                </c:pt>
                <c:pt idx="145">
                  <c:v>6.1599999999999975</c:v>
                </c:pt>
                <c:pt idx="146">
                  <c:v>6.07</c:v>
                </c:pt>
                <c:pt idx="147">
                  <c:v>6.08</c:v>
                </c:pt>
                <c:pt idx="148">
                  <c:v>6.06</c:v>
                </c:pt>
                <c:pt idx="149">
                  <c:v>6.06</c:v>
                </c:pt>
                <c:pt idx="150">
                  <c:v>6.09</c:v>
                </c:pt>
                <c:pt idx="151">
                  <c:v>6.09</c:v>
                </c:pt>
                <c:pt idx="152">
                  <c:v>6.09</c:v>
                </c:pt>
                <c:pt idx="153">
                  <c:v>6.09</c:v>
                </c:pt>
                <c:pt idx="154">
                  <c:v>6.08</c:v>
                </c:pt>
                <c:pt idx="155">
                  <c:v>6.08</c:v>
                </c:pt>
                <c:pt idx="156">
                  <c:v>6.08</c:v>
                </c:pt>
                <c:pt idx="157">
                  <c:v>6.08</c:v>
                </c:pt>
                <c:pt idx="158">
                  <c:v>6.08</c:v>
                </c:pt>
                <c:pt idx="159">
                  <c:v>6.08</c:v>
                </c:pt>
                <c:pt idx="160">
                  <c:v>6.08</c:v>
                </c:pt>
                <c:pt idx="161">
                  <c:v>6.08</c:v>
                </c:pt>
                <c:pt idx="162">
                  <c:v>6.1</c:v>
                </c:pt>
                <c:pt idx="163">
                  <c:v>6.1</c:v>
                </c:pt>
                <c:pt idx="164">
                  <c:v>6.1</c:v>
                </c:pt>
                <c:pt idx="165">
                  <c:v>6.1</c:v>
                </c:pt>
                <c:pt idx="166">
                  <c:v>6.08</c:v>
                </c:pt>
                <c:pt idx="167">
                  <c:v>6.1</c:v>
                </c:pt>
                <c:pt idx="168">
                  <c:v>6.1</c:v>
                </c:pt>
                <c:pt idx="169">
                  <c:v>6.1</c:v>
                </c:pt>
                <c:pt idx="170">
                  <c:v>6.1</c:v>
                </c:pt>
                <c:pt idx="171">
                  <c:v>6.1</c:v>
                </c:pt>
                <c:pt idx="172">
                  <c:v>6.1</c:v>
                </c:pt>
                <c:pt idx="173">
                  <c:v>6.1099999999999985</c:v>
                </c:pt>
                <c:pt idx="174">
                  <c:v>6.13</c:v>
                </c:pt>
                <c:pt idx="175">
                  <c:v>6.1199999999999966</c:v>
                </c:pt>
                <c:pt idx="176">
                  <c:v>6.1199999999999966</c:v>
                </c:pt>
                <c:pt idx="177">
                  <c:v>6.2</c:v>
                </c:pt>
                <c:pt idx="178">
                  <c:v>6.2</c:v>
                </c:pt>
                <c:pt idx="179">
                  <c:v>6.21</c:v>
                </c:pt>
                <c:pt idx="180">
                  <c:v>6.21</c:v>
                </c:pt>
                <c:pt idx="181">
                  <c:v>6.26</c:v>
                </c:pt>
                <c:pt idx="182">
                  <c:v>6.3</c:v>
                </c:pt>
                <c:pt idx="183">
                  <c:v>6.33</c:v>
                </c:pt>
                <c:pt idx="184">
                  <c:v>6.33</c:v>
                </c:pt>
                <c:pt idx="185">
                  <c:v>6.37</c:v>
                </c:pt>
                <c:pt idx="186">
                  <c:v>6.39</c:v>
                </c:pt>
                <c:pt idx="187">
                  <c:v>6.44</c:v>
                </c:pt>
                <c:pt idx="188">
                  <c:v>6.51</c:v>
                </c:pt>
                <c:pt idx="189">
                  <c:v>6.55</c:v>
                </c:pt>
                <c:pt idx="190">
                  <c:v>6.59</c:v>
                </c:pt>
                <c:pt idx="191">
                  <c:v>6.8599999999999985</c:v>
                </c:pt>
                <c:pt idx="192">
                  <c:v>6.9300000000000024</c:v>
                </c:pt>
                <c:pt idx="193">
                  <c:v>6.98</c:v>
                </c:pt>
                <c:pt idx="194">
                  <c:v>6.98</c:v>
                </c:pt>
                <c:pt idx="195">
                  <c:v>7</c:v>
                </c:pt>
                <c:pt idx="196">
                  <c:v>7</c:v>
                </c:pt>
                <c:pt idx="197">
                  <c:v>7</c:v>
                </c:pt>
                <c:pt idx="198">
                  <c:v>6.98</c:v>
                </c:pt>
                <c:pt idx="199">
                  <c:v>6.99</c:v>
                </c:pt>
                <c:pt idx="200">
                  <c:v>7.05</c:v>
                </c:pt>
                <c:pt idx="201">
                  <c:v>7.1499999999999995</c:v>
                </c:pt>
                <c:pt idx="202">
                  <c:v>7.45</c:v>
                </c:pt>
                <c:pt idx="203">
                  <c:v>7.83</c:v>
                </c:pt>
                <c:pt idx="204">
                  <c:v>7.9</c:v>
                </c:pt>
                <c:pt idx="205">
                  <c:v>8.129999999999999</c:v>
                </c:pt>
                <c:pt idx="206">
                  <c:v>8.2000000000000011</c:v>
                </c:pt>
                <c:pt idx="207">
                  <c:v>8.6</c:v>
                </c:pt>
                <c:pt idx="208">
                  <c:v>8.5</c:v>
                </c:pt>
                <c:pt idx="209">
                  <c:v>8.5</c:v>
                </c:pt>
                <c:pt idx="210">
                  <c:v>8.5400000000000009</c:v>
                </c:pt>
                <c:pt idx="211">
                  <c:v>9.2100000000000009</c:v>
                </c:pt>
                <c:pt idx="212">
                  <c:v>7.95</c:v>
                </c:pt>
                <c:pt idx="213">
                  <c:v>7.98</c:v>
                </c:pt>
                <c:pt idx="214">
                  <c:v>8.08</c:v>
                </c:pt>
                <c:pt idx="215">
                  <c:v>8</c:v>
                </c:pt>
                <c:pt idx="216">
                  <c:v>8.129999999999999</c:v>
                </c:pt>
                <c:pt idx="217">
                  <c:v>8.26</c:v>
                </c:pt>
                <c:pt idx="218">
                  <c:v>8.2100000000000009</c:v>
                </c:pt>
                <c:pt idx="219">
                  <c:v>8.2100000000000009</c:v>
                </c:pt>
                <c:pt idx="220">
                  <c:v>8.2100000000000009</c:v>
                </c:pt>
                <c:pt idx="221">
                  <c:v>8.3000000000000007</c:v>
                </c:pt>
                <c:pt idx="222">
                  <c:v>8.33</c:v>
                </c:pt>
                <c:pt idx="223">
                  <c:v>8.33</c:v>
                </c:pt>
                <c:pt idx="224">
                  <c:v>8.33</c:v>
                </c:pt>
                <c:pt idx="225">
                  <c:v>8.6</c:v>
                </c:pt>
                <c:pt idx="226">
                  <c:v>8.7800000000000011</c:v>
                </c:pt>
                <c:pt idx="227">
                  <c:v>8.7800000000000011</c:v>
                </c:pt>
                <c:pt idx="228">
                  <c:v>9.18</c:v>
                </c:pt>
                <c:pt idx="229">
                  <c:v>9.4</c:v>
                </c:pt>
                <c:pt idx="230">
                  <c:v>9.4</c:v>
                </c:pt>
                <c:pt idx="231">
                  <c:v>9.4</c:v>
                </c:pt>
                <c:pt idx="232">
                  <c:v>9.48</c:v>
                </c:pt>
                <c:pt idx="233">
                  <c:v>9.48</c:v>
                </c:pt>
                <c:pt idx="234">
                  <c:v>9.7100000000000009</c:v>
                </c:pt>
                <c:pt idx="235">
                  <c:v>9.49</c:v>
                </c:pt>
                <c:pt idx="236">
                  <c:v>9.49</c:v>
                </c:pt>
                <c:pt idx="237">
                  <c:v>9.49</c:v>
                </c:pt>
                <c:pt idx="238">
                  <c:v>9.61</c:v>
                </c:pt>
                <c:pt idx="239">
                  <c:v>9.61</c:v>
                </c:pt>
                <c:pt idx="240">
                  <c:v>9.61</c:v>
                </c:pt>
                <c:pt idx="241">
                  <c:v>9.59</c:v>
                </c:pt>
                <c:pt idx="242">
                  <c:v>9.59</c:v>
                </c:pt>
                <c:pt idx="243">
                  <c:v>9.59</c:v>
                </c:pt>
                <c:pt idx="244">
                  <c:v>10.44</c:v>
                </c:pt>
                <c:pt idx="245">
                  <c:v>10.31</c:v>
                </c:pt>
                <c:pt idx="246">
                  <c:v>10.19</c:v>
                </c:pt>
                <c:pt idx="247">
                  <c:v>10.15</c:v>
                </c:pt>
                <c:pt idx="248">
                  <c:v>10.15</c:v>
                </c:pt>
                <c:pt idx="249">
                  <c:v>10.15</c:v>
                </c:pt>
                <c:pt idx="250">
                  <c:v>10.030000000000001</c:v>
                </c:pt>
                <c:pt idx="251">
                  <c:v>10.030000000000001</c:v>
                </c:pt>
                <c:pt idx="252">
                  <c:v>10.030000000000001</c:v>
                </c:pt>
                <c:pt idx="253">
                  <c:v>8.7000000000000011</c:v>
                </c:pt>
                <c:pt idx="254">
                  <c:v>8.7000000000000011</c:v>
                </c:pt>
                <c:pt idx="255">
                  <c:v>8.7000000000000011</c:v>
                </c:pt>
                <c:pt idx="256">
                  <c:v>8.8000000000000007</c:v>
                </c:pt>
                <c:pt idx="257">
                  <c:v>8.8000000000000007</c:v>
                </c:pt>
                <c:pt idx="258">
                  <c:v>8.67</c:v>
                </c:pt>
                <c:pt idx="259">
                  <c:v>8.67</c:v>
                </c:pt>
                <c:pt idx="260">
                  <c:v>8.65</c:v>
                </c:pt>
                <c:pt idx="261">
                  <c:v>8.65</c:v>
                </c:pt>
                <c:pt idx="262">
                  <c:v>8.7299999999999986</c:v>
                </c:pt>
                <c:pt idx="263">
                  <c:v>8.7299999999999986</c:v>
                </c:pt>
                <c:pt idx="264">
                  <c:v>8.7299999999999986</c:v>
                </c:pt>
                <c:pt idx="265">
                  <c:v>8.620000000000001</c:v>
                </c:pt>
                <c:pt idx="266">
                  <c:v>8.620000000000001</c:v>
                </c:pt>
                <c:pt idx="267">
                  <c:v>8.620000000000001</c:v>
                </c:pt>
                <c:pt idx="268">
                  <c:v>8.4500000000000028</c:v>
                </c:pt>
                <c:pt idx="269">
                  <c:v>8.1</c:v>
                </c:pt>
                <c:pt idx="270">
                  <c:v>8.1</c:v>
                </c:pt>
                <c:pt idx="271">
                  <c:v>8.1</c:v>
                </c:pt>
                <c:pt idx="272">
                  <c:v>8.07</c:v>
                </c:pt>
                <c:pt idx="273">
                  <c:v>8.2299999999999986</c:v>
                </c:pt>
                <c:pt idx="274">
                  <c:v>8.2299999999999986</c:v>
                </c:pt>
                <c:pt idx="275">
                  <c:v>8.1</c:v>
                </c:pt>
                <c:pt idx="276">
                  <c:v>8.1</c:v>
                </c:pt>
                <c:pt idx="277">
                  <c:v>8.1</c:v>
                </c:pt>
                <c:pt idx="278">
                  <c:v>8.1</c:v>
                </c:pt>
                <c:pt idx="279">
                  <c:v>8.17</c:v>
                </c:pt>
                <c:pt idx="280">
                  <c:v>8.17</c:v>
                </c:pt>
                <c:pt idx="281">
                  <c:v>8.17</c:v>
                </c:pt>
                <c:pt idx="282">
                  <c:v>8.17</c:v>
                </c:pt>
                <c:pt idx="283">
                  <c:v>8.2299999999999986</c:v>
                </c:pt>
                <c:pt idx="284">
                  <c:v>8.2299999999999986</c:v>
                </c:pt>
                <c:pt idx="285">
                  <c:v>8.2299999999999986</c:v>
                </c:pt>
                <c:pt idx="286">
                  <c:v>8.17</c:v>
                </c:pt>
                <c:pt idx="287">
                  <c:v>8.17</c:v>
                </c:pt>
                <c:pt idx="288">
                  <c:v>8.129999999999999</c:v>
                </c:pt>
                <c:pt idx="289">
                  <c:v>8.129999999999999</c:v>
                </c:pt>
                <c:pt idx="290">
                  <c:v>8.07</c:v>
                </c:pt>
                <c:pt idx="291">
                  <c:v>8.0500000000000007</c:v>
                </c:pt>
                <c:pt idx="292">
                  <c:v>8.0500000000000007</c:v>
                </c:pt>
                <c:pt idx="293">
                  <c:v>8.0500000000000007</c:v>
                </c:pt>
                <c:pt idx="294">
                  <c:v>8.02</c:v>
                </c:pt>
                <c:pt idx="295">
                  <c:v>8.02</c:v>
                </c:pt>
                <c:pt idx="296">
                  <c:v>8.02</c:v>
                </c:pt>
                <c:pt idx="297">
                  <c:v>8.32</c:v>
                </c:pt>
                <c:pt idx="298">
                  <c:v>8.32</c:v>
                </c:pt>
                <c:pt idx="299">
                  <c:v>8.32</c:v>
                </c:pt>
                <c:pt idx="300">
                  <c:v>8.32</c:v>
                </c:pt>
                <c:pt idx="301">
                  <c:v>8.32</c:v>
                </c:pt>
                <c:pt idx="302">
                  <c:v>8.32</c:v>
                </c:pt>
                <c:pt idx="303">
                  <c:v>8.3800000000000008</c:v>
                </c:pt>
                <c:pt idx="304">
                  <c:v>8.4500000000000028</c:v>
                </c:pt>
                <c:pt idx="305">
                  <c:v>8.4500000000000028</c:v>
                </c:pt>
                <c:pt idx="306">
                  <c:v>8.4500000000000028</c:v>
                </c:pt>
                <c:pt idx="307">
                  <c:v>8.4500000000000028</c:v>
                </c:pt>
                <c:pt idx="308">
                  <c:v>8.4500000000000028</c:v>
                </c:pt>
                <c:pt idx="309">
                  <c:v>8.4500000000000028</c:v>
                </c:pt>
                <c:pt idx="310">
                  <c:v>8.4500000000000028</c:v>
                </c:pt>
                <c:pt idx="311">
                  <c:v>8.4500000000000028</c:v>
                </c:pt>
                <c:pt idx="312">
                  <c:v>8.4500000000000028</c:v>
                </c:pt>
                <c:pt idx="313">
                  <c:v>8.4500000000000028</c:v>
                </c:pt>
                <c:pt idx="314">
                  <c:v>8.4500000000000028</c:v>
                </c:pt>
                <c:pt idx="315">
                  <c:v>8.4500000000000028</c:v>
                </c:pt>
                <c:pt idx="316">
                  <c:v>8.4500000000000028</c:v>
                </c:pt>
                <c:pt idx="317">
                  <c:v>8.41</c:v>
                </c:pt>
                <c:pt idx="318">
                  <c:v>8.41</c:v>
                </c:pt>
                <c:pt idx="319">
                  <c:v>8.3800000000000008</c:v>
                </c:pt>
                <c:pt idx="320">
                  <c:v>8.39</c:v>
                </c:pt>
                <c:pt idx="321">
                  <c:v>8.39</c:v>
                </c:pt>
                <c:pt idx="322">
                  <c:v>8.39</c:v>
                </c:pt>
                <c:pt idx="323">
                  <c:v>8.3700000000000028</c:v>
                </c:pt>
                <c:pt idx="324">
                  <c:v>8.3700000000000028</c:v>
                </c:pt>
                <c:pt idx="325">
                  <c:v>8.3500000000000068</c:v>
                </c:pt>
                <c:pt idx="326">
                  <c:v>8.33</c:v>
                </c:pt>
                <c:pt idx="327">
                  <c:v>8.31</c:v>
                </c:pt>
                <c:pt idx="328">
                  <c:v>8.31</c:v>
                </c:pt>
                <c:pt idx="329">
                  <c:v>8.3000000000000007</c:v>
                </c:pt>
                <c:pt idx="330">
                  <c:v>8.2800000000000011</c:v>
                </c:pt>
                <c:pt idx="331">
                  <c:v>8.2800000000000011</c:v>
                </c:pt>
                <c:pt idx="332">
                  <c:v>8.2800000000000011</c:v>
                </c:pt>
                <c:pt idx="333">
                  <c:v>8.32</c:v>
                </c:pt>
                <c:pt idx="334">
                  <c:v>8.32</c:v>
                </c:pt>
                <c:pt idx="335">
                  <c:v>8.32</c:v>
                </c:pt>
                <c:pt idx="336">
                  <c:v>8.32</c:v>
                </c:pt>
                <c:pt idx="337">
                  <c:v>8.32</c:v>
                </c:pt>
                <c:pt idx="338">
                  <c:v>8.32</c:v>
                </c:pt>
                <c:pt idx="339">
                  <c:v>8.32</c:v>
                </c:pt>
                <c:pt idx="340">
                  <c:v>8.1399999999999988</c:v>
                </c:pt>
                <c:pt idx="341">
                  <c:v>8.16</c:v>
                </c:pt>
                <c:pt idx="342">
                  <c:v>8.18</c:v>
                </c:pt>
                <c:pt idx="343">
                  <c:v>8.2200000000000024</c:v>
                </c:pt>
                <c:pt idx="344">
                  <c:v>8.2200000000000024</c:v>
                </c:pt>
                <c:pt idx="345">
                  <c:v>8.2200000000000024</c:v>
                </c:pt>
                <c:pt idx="346">
                  <c:v>8.2200000000000024</c:v>
                </c:pt>
                <c:pt idx="347">
                  <c:v>8.2000000000000011</c:v>
                </c:pt>
                <c:pt idx="348">
                  <c:v>8.2399999999999984</c:v>
                </c:pt>
                <c:pt idx="349">
                  <c:v>8.2800000000000011</c:v>
                </c:pt>
                <c:pt idx="350">
                  <c:v>8.31</c:v>
                </c:pt>
                <c:pt idx="351">
                  <c:v>8.34</c:v>
                </c:pt>
                <c:pt idx="352">
                  <c:v>8.3800000000000008</c:v>
                </c:pt>
                <c:pt idx="353">
                  <c:v>8.49</c:v>
                </c:pt>
                <c:pt idx="354">
                  <c:v>8.91</c:v>
                </c:pt>
                <c:pt idx="355">
                  <c:v>9.0400000000000009</c:v>
                </c:pt>
                <c:pt idx="356">
                  <c:v>9.06</c:v>
                </c:pt>
                <c:pt idx="357">
                  <c:v>9.16</c:v>
                </c:pt>
                <c:pt idx="358">
                  <c:v>9.16</c:v>
                </c:pt>
                <c:pt idx="359">
                  <c:v>9.16</c:v>
                </c:pt>
                <c:pt idx="360">
                  <c:v>9.1399999999999988</c:v>
                </c:pt>
                <c:pt idx="361">
                  <c:v>9.16</c:v>
                </c:pt>
                <c:pt idx="362">
                  <c:v>9.18</c:v>
                </c:pt>
                <c:pt idx="363">
                  <c:v>9.16</c:v>
                </c:pt>
                <c:pt idx="364">
                  <c:v>9.18</c:v>
                </c:pt>
                <c:pt idx="365">
                  <c:v>9.2200000000000024</c:v>
                </c:pt>
                <c:pt idx="366">
                  <c:v>9.2800000000000011</c:v>
                </c:pt>
                <c:pt idx="367">
                  <c:v>9.3800000000000008</c:v>
                </c:pt>
                <c:pt idx="368">
                  <c:v>9.42</c:v>
                </c:pt>
                <c:pt idx="369">
                  <c:v>9.52</c:v>
                </c:pt>
                <c:pt idx="370">
                  <c:v>9.52</c:v>
                </c:pt>
                <c:pt idx="371">
                  <c:v>9.5400000000000009</c:v>
                </c:pt>
                <c:pt idx="372">
                  <c:v>9.5400000000000009</c:v>
                </c:pt>
                <c:pt idx="373">
                  <c:v>9.48</c:v>
                </c:pt>
                <c:pt idx="374">
                  <c:v>9.42</c:v>
                </c:pt>
                <c:pt idx="375">
                  <c:v>9.3800000000000008</c:v>
                </c:pt>
                <c:pt idx="376">
                  <c:v>9.4</c:v>
                </c:pt>
                <c:pt idx="377">
                  <c:v>9.4</c:v>
                </c:pt>
                <c:pt idx="378">
                  <c:v>9.5400000000000009</c:v>
                </c:pt>
                <c:pt idx="379">
                  <c:v>9.3600000000000048</c:v>
                </c:pt>
                <c:pt idx="380">
                  <c:v>9.34</c:v>
                </c:pt>
                <c:pt idx="381">
                  <c:v>9.2800000000000011</c:v>
                </c:pt>
                <c:pt idx="382">
                  <c:v>9.2399999999999984</c:v>
                </c:pt>
                <c:pt idx="383">
                  <c:v>9.1399999999999988</c:v>
                </c:pt>
                <c:pt idx="384">
                  <c:v>9.1399999999999988</c:v>
                </c:pt>
                <c:pt idx="385">
                  <c:v>9.2000000000000011</c:v>
                </c:pt>
                <c:pt idx="386">
                  <c:v>9.2000000000000011</c:v>
                </c:pt>
                <c:pt idx="387">
                  <c:v>9.16</c:v>
                </c:pt>
                <c:pt idx="388">
                  <c:v>9.120000000000001</c:v>
                </c:pt>
                <c:pt idx="389">
                  <c:v>9.1399999999999988</c:v>
                </c:pt>
                <c:pt idx="390">
                  <c:v>9.120000000000001</c:v>
                </c:pt>
                <c:pt idx="391">
                  <c:v>9.1</c:v>
                </c:pt>
                <c:pt idx="392">
                  <c:v>8.98</c:v>
                </c:pt>
                <c:pt idx="393">
                  <c:v>8.9600000000000026</c:v>
                </c:pt>
                <c:pt idx="394">
                  <c:v>8.9600000000000026</c:v>
                </c:pt>
                <c:pt idx="395">
                  <c:v>8.94</c:v>
                </c:pt>
                <c:pt idx="396">
                  <c:v>8.94</c:v>
                </c:pt>
                <c:pt idx="397">
                  <c:v>8.7000000000000011</c:v>
                </c:pt>
                <c:pt idx="398">
                  <c:v>8.66</c:v>
                </c:pt>
                <c:pt idx="399">
                  <c:v>8.65</c:v>
                </c:pt>
                <c:pt idx="400">
                  <c:v>8.620000000000001</c:v>
                </c:pt>
                <c:pt idx="401">
                  <c:v>8.59</c:v>
                </c:pt>
                <c:pt idx="402">
                  <c:v>8.57</c:v>
                </c:pt>
                <c:pt idx="403">
                  <c:v>8.57</c:v>
                </c:pt>
                <c:pt idx="404">
                  <c:v>8.59</c:v>
                </c:pt>
                <c:pt idx="405">
                  <c:v>8.69</c:v>
                </c:pt>
                <c:pt idx="406">
                  <c:v>8.69</c:v>
                </c:pt>
                <c:pt idx="407">
                  <c:v>8.629999999999999</c:v>
                </c:pt>
                <c:pt idx="408">
                  <c:v>8.629999999999999</c:v>
                </c:pt>
                <c:pt idx="409">
                  <c:v>8.629999999999999</c:v>
                </c:pt>
                <c:pt idx="410">
                  <c:v>8.629999999999999</c:v>
                </c:pt>
                <c:pt idx="411">
                  <c:v>8.52</c:v>
                </c:pt>
                <c:pt idx="412">
                  <c:v>8.52</c:v>
                </c:pt>
                <c:pt idx="413">
                  <c:v>8.5</c:v>
                </c:pt>
                <c:pt idx="414">
                  <c:v>8.48</c:v>
                </c:pt>
                <c:pt idx="415">
                  <c:v>8.52</c:v>
                </c:pt>
                <c:pt idx="416">
                  <c:v>8.5</c:v>
                </c:pt>
                <c:pt idx="417">
                  <c:v>8.48</c:v>
                </c:pt>
                <c:pt idx="418">
                  <c:v>8.44</c:v>
                </c:pt>
                <c:pt idx="419">
                  <c:v>8.44</c:v>
                </c:pt>
                <c:pt idx="420">
                  <c:v>8.3800000000000008</c:v>
                </c:pt>
                <c:pt idx="421">
                  <c:v>8.3800000000000008</c:v>
                </c:pt>
                <c:pt idx="422">
                  <c:v>8.3800000000000008</c:v>
                </c:pt>
                <c:pt idx="423">
                  <c:v>8.3800000000000008</c:v>
                </c:pt>
                <c:pt idx="424">
                  <c:v>8.3800000000000008</c:v>
                </c:pt>
                <c:pt idx="425">
                  <c:v>8.34</c:v>
                </c:pt>
                <c:pt idx="426">
                  <c:v>8.34</c:v>
                </c:pt>
                <c:pt idx="427">
                  <c:v>8.26</c:v>
                </c:pt>
                <c:pt idx="428">
                  <c:v>8.26</c:v>
                </c:pt>
                <c:pt idx="429">
                  <c:v>8.2800000000000011</c:v>
                </c:pt>
                <c:pt idx="430">
                  <c:v>8.2800000000000011</c:v>
                </c:pt>
                <c:pt idx="431">
                  <c:v>8.2800000000000011</c:v>
                </c:pt>
                <c:pt idx="432">
                  <c:v>8.2800000000000011</c:v>
                </c:pt>
                <c:pt idx="433">
                  <c:v>8.2800000000000011</c:v>
                </c:pt>
                <c:pt idx="434">
                  <c:v>8.2800000000000011</c:v>
                </c:pt>
                <c:pt idx="435">
                  <c:v>8.2399999999999984</c:v>
                </c:pt>
                <c:pt idx="436">
                  <c:v>8.2299999999999986</c:v>
                </c:pt>
                <c:pt idx="437">
                  <c:v>8.25</c:v>
                </c:pt>
                <c:pt idx="438">
                  <c:v>8.2299999999999986</c:v>
                </c:pt>
                <c:pt idx="439">
                  <c:v>8.2100000000000009</c:v>
                </c:pt>
                <c:pt idx="440">
                  <c:v>8.2100000000000009</c:v>
                </c:pt>
                <c:pt idx="441">
                  <c:v>8.18</c:v>
                </c:pt>
                <c:pt idx="442">
                  <c:v>8.2000000000000011</c:v>
                </c:pt>
                <c:pt idx="443">
                  <c:v>8.129999999999999</c:v>
                </c:pt>
                <c:pt idx="444">
                  <c:v>8.16</c:v>
                </c:pt>
                <c:pt idx="445">
                  <c:v>8.1399999999999988</c:v>
                </c:pt>
                <c:pt idx="446">
                  <c:v>8.129999999999999</c:v>
                </c:pt>
                <c:pt idx="447">
                  <c:v>8.11</c:v>
                </c:pt>
                <c:pt idx="448">
                  <c:v>8.09</c:v>
                </c:pt>
                <c:pt idx="449">
                  <c:v>8.09</c:v>
                </c:pt>
                <c:pt idx="450">
                  <c:v>8.09</c:v>
                </c:pt>
                <c:pt idx="451">
                  <c:v>8.09</c:v>
                </c:pt>
                <c:pt idx="452">
                  <c:v>8.09</c:v>
                </c:pt>
                <c:pt idx="453">
                  <c:v>8.08</c:v>
                </c:pt>
                <c:pt idx="454">
                  <c:v>8.08</c:v>
                </c:pt>
                <c:pt idx="455">
                  <c:v>8.08</c:v>
                </c:pt>
                <c:pt idx="456">
                  <c:v>8.08</c:v>
                </c:pt>
                <c:pt idx="457">
                  <c:v>8.06</c:v>
                </c:pt>
                <c:pt idx="458">
                  <c:v>8.0500000000000007</c:v>
                </c:pt>
                <c:pt idx="459">
                  <c:v>7.94</c:v>
                </c:pt>
                <c:pt idx="460">
                  <c:v>7.88</c:v>
                </c:pt>
                <c:pt idx="461">
                  <c:v>7.73</c:v>
                </c:pt>
                <c:pt idx="462">
                  <c:v>7.54</c:v>
                </c:pt>
                <c:pt idx="463">
                  <c:v>7.41</c:v>
                </c:pt>
                <c:pt idx="464">
                  <c:v>7.37</c:v>
                </c:pt>
                <c:pt idx="465">
                  <c:v>7.2700000000000014</c:v>
                </c:pt>
                <c:pt idx="466">
                  <c:v>7.17</c:v>
                </c:pt>
                <c:pt idx="467">
                  <c:v>7.13</c:v>
                </c:pt>
                <c:pt idx="468">
                  <c:v>7.08</c:v>
                </c:pt>
                <c:pt idx="469">
                  <c:v>7.04</c:v>
                </c:pt>
                <c:pt idx="470">
                  <c:v>7.02</c:v>
                </c:pt>
                <c:pt idx="471">
                  <c:v>7.01</c:v>
                </c:pt>
                <c:pt idx="472">
                  <c:v>6.99</c:v>
                </c:pt>
                <c:pt idx="473">
                  <c:v>6.9300000000000024</c:v>
                </c:pt>
                <c:pt idx="474">
                  <c:v>6.85</c:v>
                </c:pt>
                <c:pt idx="475">
                  <c:v>6.7700000000000014</c:v>
                </c:pt>
                <c:pt idx="476">
                  <c:v>6.72</c:v>
                </c:pt>
                <c:pt idx="477">
                  <c:v>6.72</c:v>
                </c:pt>
                <c:pt idx="478">
                  <c:v>6.72</c:v>
                </c:pt>
                <c:pt idx="479">
                  <c:v>6.72</c:v>
                </c:pt>
                <c:pt idx="480">
                  <c:v>6.72</c:v>
                </c:pt>
                <c:pt idx="481">
                  <c:v>6.72</c:v>
                </c:pt>
                <c:pt idx="482">
                  <c:v>6.72</c:v>
                </c:pt>
                <c:pt idx="483">
                  <c:v>6.7</c:v>
                </c:pt>
                <c:pt idx="484">
                  <c:v>6.67</c:v>
                </c:pt>
                <c:pt idx="485">
                  <c:v>6.63</c:v>
                </c:pt>
                <c:pt idx="486">
                  <c:v>6.52</c:v>
                </c:pt>
                <c:pt idx="487">
                  <c:v>6.4700000000000024</c:v>
                </c:pt>
                <c:pt idx="488">
                  <c:v>6.4700000000000024</c:v>
                </c:pt>
                <c:pt idx="489">
                  <c:v>6.3</c:v>
                </c:pt>
                <c:pt idx="490">
                  <c:v>6.22</c:v>
                </c:pt>
                <c:pt idx="491">
                  <c:v>6.2</c:v>
                </c:pt>
                <c:pt idx="492">
                  <c:v>6.1</c:v>
                </c:pt>
                <c:pt idx="493">
                  <c:v>5.9700000000000024</c:v>
                </c:pt>
                <c:pt idx="494">
                  <c:v>5.9300000000000024</c:v>
                </c:pt>
                <c:pt idx="495">
                  <c:v>5.9</c:v>
                </c:pt>
                <c:pt idx="496">
                  <c:v>5.8199999999999985</c:v>
                </c:pt>
                <c:pt idx="497">
                  <c:v>5.8</c:v>
                </c:pt>
                <c:pt idx="498">
                  <c:v>5.75</c:v>
                </c:pt>
                <c:pt idx="499">
                  <c:v>5.75</c:v>
                </c:pt>
                <c:pt idx="500">
                  <c:v>5.7</c:v>
                </c:pt>
                <c:pt idx="501">
                  <c:v>5.68</c:v>
                </c:pt>
                <c:pt idx="502">
                  <c:v>5.55</c:v>
                </c:pt>
                <c:pt idx="503">
                  <c:v>5.42</c:v>
                </c:pt>
                <c:pt idx="504">
                  <c:v>4.88</c:v>
                </c:pt>
                <c:pt idx="505">
                  <c:v>4.7699999999999996</c:v>
                </c:pt>
                <c:pt idx="506">
                  <c:v>4.63</c:v>
                </c:pt>
                <c:pt idx="507">
                  <c:v>4.5999999999999996</c:v>
                </c:pt>
                <c:pt idx="508">
                  <c:v>4.5999999999999996</c:v>
                </c:pt>
                <c:pt idx="509">
                  <c:v>4.57</c:v>
                </c:pt>
                <c:pt idx="510">
                  <c:v>4.57</c:v>
                </c:pt>
                <c:pt idx="511">
                  <c:v>4.37</c:v>
                </c:pt>
                <c:pt idx="512">
                  <c:v>4.5</c:v>
                </c:pt>
                <c:pt idx="513">
                  <c:v>4.4300000000000024</c:v>
                </c:pt>
                <c:pt idx="514">
                  <c:v>4.4300000000000024</c:v>
                </c:pt>
                <c:pt idx="515">
                  <c:v>4.37</c:v>
                </c:pt>
                <c:pt idx="516">
                  <c:v>4.37</c:v>
                </c:pt>
                <c:pt idx="517">
                  <c:v>4.33</c:v>
                </c:pt>
                <c:pt idx="518">
                  <c:v>4.2699999999999996</c:v>
                </c:pt>
                <c:pt idx="519">
                  <c:v>4.2</c:v>
                </c:pt>
                <c:pt idx="520">
                  <c:v>4.07</c:v>
                </c:pt>
                <c:pt idx="521">
                  <c:v>4.03</c:v>
                </c:pt>
                <c:pt idx="522">
                  <c:v>4.03</c:v>
                </c:pt>
                <c:pt idx="523">
                  <c:v>4</c:v>
                </c:pt>
                <c:pt idx="524">
                  <c:v>4</c:v>
                </c:pt>
                <c:pt idx="525">
                  <c:v>3.88</c:v>
                </c:pt>
                <c:pt idx="526">
                  <c:v>3.75</c:v>
                </c:pt>
                <c:pt idx="527">
                  <c:v>3.75</c:v>
                </c:pt>
                <c:pt idx="528">
                  <c:v>3.7</c:v>
                </c:pt>
                <c:pt idx="529">
                  <c:v>3.6</c:v>
                </c:pt>
                <c:pt idx="530">
                  <c:v>3.4699999999999998</c:v>
                </c:pt>
                <c:pt idx="531">
                  <c:v>3.4</c:v>
                </c:pt>
                <c:pt idx="532">
                  <c:v>3.27</c:v>
                </c:pt>
                <c:pt idx="533">
                  <c:v>3.2</c:v>
                </c:pt>
                <c:pt idx="534">
                  <c:v>3</c:v>
                </c:pt>
                <c:pt idx="535">
                  <c:v>3.03</c:v>
                </c:pt>
                <c:pt idx="536">
                  <c:v>2.9699999999999998</c:v>
                </c:pt>
                <c:pt idx="537">
                  <c:v>2.9</c:v>
                </c:pt>
                <c:pt idx="538">
                  <c:v>2.8</c:v>
                </c:pt>
                <c:pt idx="539">
                  <c:v>2.8</c:v>
                </c:pt>
                <c:pt idx="540">
                  <c:v>2.8</c:v>
                </c:pt>
                <c:pt idx="541">
                  <c:v>2.8</c:v>
                </c:pt>
                <c:pt idx="542">
                  <c:v>2.7</c:v>
                </c:pt>
                <c:pt idx="543">
                  <c:v>2.63</c:v>
                </c:pt>
                <c:pt idx="544">
                  <c:v>2.63</c:v>
                </c:pt>
                <c:pt idx="545">
                  <c:v>2.6</c:v>
                </c:pt>
                <c:pt idx="546">
                  <c:v>2.5299999999999998</c:v>
                </c:pt>
                <c:pt idx="547">
                  <c:v>2.5</c:v>
                </c:pt>
                <c:pt idx="548">
                  <c:v>2.4</c:v>
                </c:pt>
                <c:pt idx="549">
                  <c:v>2.2999999999999998</c:v>
                </c:pt>
                <c:pt idx="550">
                  <c:v>2.2200000000000002</c:v>
                </c:pt>
                <c:pt idx="551">
                  <c:v>2.2200000000000002</c:v>
                </c:pt>
                <c:pt idx="552">
                  <c:v>2.2200000000000002</c:v>
                </c:pt>
                <c:pt idx="553">
                  <c:v>2.2200000000000002</c:v>
                </c:pt>
                <c:pt idx="554">
                  <c:v>2.2200000000000002</c:v>
                </c:pt>
                <c:pt idx="555">
                  <c:v>2.2200000000000002</c:v>
                </c:pt>
                <c:pt idx="556">
                  <c:v>2.2200000000000002</c:v>
                </c:pt>
                <c:pt idx="557">
                  <c:v>2.2200000000000002</c:v>
                </c:pt>
                <c:pt idx="558">
                  <c:v>2.2200000000000002</c:v>
                </c:pt>
                <c:pt idx="559">
                  <c:v>2.2200000000000002</c:v>
                </c:pt>
                <c:pt idx="560">
                  <c:v>2.2200000000000002</c:v>
                </c:pt>
                <c:pt idx="561">
                  <c:v>2.2200000000000002</c:v>
                </c:pt>
                <c:pt idx="562">
                  <c:v>2.25</c:v>
                </c:pt>
                <c:pt idx="563">
                  <c:v>2.2200000000000002</c:v>
                </c:pt>
                <c:pt idx="564">
                  <c:v>2.2200000000000002</c:v>
                </c:pt>
                <c:pt idx="565">
                  <c:v>2.2200000000000002</c:v>
                </c:pt>
                <c:pt idx="566">
                  <c:v>2.23</c:v>
                </c:pt>
                <c:pt idx="567">
                  <c:v>2.23</c:v>
                </c:pt>
                <c:pt idx="568">
                  <c:v>2.13</c:v>
                </c:pt>
                <c:pt idx="569">
                  <c:v>2.1</c:v>
                </c:pt>
                <c:pt idx="570">
                  <c:v>2.08</c:v>
                </c:pt>
                <c:pt idx="571">
                  <c:v>2.08</c:v>
                </c:pt>
                <c:pt idx="572">
                  <c:v>2.0499999999999998</c:v>
                </c:pt>
                <c:pt idx="573">
                  <c:v>2.0299999999999998</c:v>
                </c:pt>
                <c:pt idx="574">
                  <c:v>2.0299999999999998</c:v>
                </c:pt>
                <c:pt idx="575">
                  <c:v>2.0299999999999998</c:v>
                </c:pt>
                <c:pt idx="576">
                  <c:v>1.9900000000000102</c:v>
                </c:pt>
                <c:pt idx="577">
                  <c:v>1.9900000000000102</c:v>
                </c:pt>
                <c:pt idx="578">
                  <c:v>1.9900000000000102</c:v>
                </c:pt>
                <c:pt idx="579">
                  <c:v>1.9900000000000102</c:v>
                </c:pt>
                <c:pt idx="580">
                  <c:v>1.9900000000000102</c:v>
                </c:pt>
                <c:pt idx="581">
                  <c:v>1.9800000000000102</c:v>
                </c:pt>
                <c:pt idx="582">
                  <c:v>1.9500000000000091</c:v>
                </c:pt>
                <c:pt idx="583">
                  <c:v>1.9500000000000091</c:v>
                </c:pt>
                <c:pt idx="584">
                  <c:v>1.9500000000000091</c:v>
                </c:pt>
                <c:pt idx="585">
                  <c:v>1.9400000000000091</c:v>
                </c:pt>
                <c:pt idx="586">
                  <c:v>1.9400000000000091</c:v>
                </c:pt>
                <c:pt idx="587">
                  <c:v>1.9400000000000091</c:v>
                </c:pt>
                <c:pt idx="588">
                  <c:v>1.9400000000000091</c:v>
                </c:pt>
                <c:pt idx="589">
                  <c:v>1.9400000000000091</c:v>
                </c:pt>
                <c:pt idx="590">
                  <c:v>1.9400000000000091</c:v>
                </c:pt>
                <c:pt idx="591">
                  <c:v>1.9400000000000091</c:v>
                </c:pt>
                <c:pt idx="592">
                  <c:v>1.9400000000000091</c:v>
                </c:pt>
                <c:pt idx="593">
                  <c:v>1.9400000000000091</c:v>
                </c:pt>
                <c:pt idx="594">
                  <c:v>1.9400000000000091</c:v>
                </c:pt>
                <c:pt idx="595">
                  <c:v>1.9500000000000091</c:v>
                </c:pt>
                <c:pt idx="596">
                  <c:v>2</c:v>
                </c:pt>
                <c:pt idx="597">
                  <c:v>2.0099999999999998</c:v>
                </c:pt>
                <c:pt idx="598">
                  <c:v>2.0499999999999998</c:v>
                </c:pt>
                <c:pt idx="599">
                  <c:v>2.0499999999999998</c:v>
                </c:pt>
                <c:pt idx="600">
                  <c:v>2.08</c:v>
                </c:pt>
                <c:pt idx="601">
                  <c:v>2.1</c:v>
                </c:pt>
                <c:pt idx="602">
                  <c:v>2.1</c:v>
                </c:pt>
                <c:pt idx="603">
                  <c:v>2.1</c:v>
                </c:pt>
                <c:pt idx="604">
                  <c:v>2.1</c:v>
                </c:pt>
                <c:pt idx="605">
                  <c:v>2.1</c:v>
                </c:pt>
                <c:pt idx="606">
                  <c:v>2.1</c:v>
                </c:pt>
                <c:pt idx="607">
                  <c:v>2.1</c:v>
                </c:pt>
                <c:pt idx="608">
                  <c:v>2.1</c:v>
                </c:pt>
                <c:pt idx="609">
                  <c:v>2.1</c:v>
                </c:pt>
                <c:pt idx="610">
                  <c:v>2.1</c:v>
                </c:pt>
                <c:pt idx="611">
                  <c:v>2.13</c:v>
                </c:pt>
                <c:pt idx="612">
                  <c:v>2.13</c:v>
                </c:pt>
                <c:pt idx="613">
                  <c:v>2.14</c:v>
                </c:pt>
                <c:pt idx="614">
                  <c:v>2.14</c:v>
                </c:pt>
                <c:pt idx="615">
                  <c:v>2.14</c:v>
                </c:pt>
                <c:pt idx="616">
                  <c:v>2.14</c:v>
                </c:pt>
                <c:pt idx="617">
                  <c:v>2.14</c:v>
                </c:pt>
                <c:pt idx="618">
                  <c:v>2.14</c:v>
                </c:pt>
                <c:pt idx="619">
                  <c:v>2.15</c:v>
                </c:pt>
                <c:pt idx="620">
                  <c:v>2.15</c:v>
                </c:pt>
                <c:pt idx="621">
                  <c:v>2.15</c:v>
                </c:pt>
                <c:pt idx="622">
                  <c:v>2.16</c:v>
                </c:pt>
                <c:pt idx="623">
                  <c:v>2.16</c:v>
                </c:pt>
                <c:pt idx="624">
                  <c:v>2.1800000000000002</c:v>
                </c:pt>
                <c:pt idx="625">
                  <c:v>2.19</c:v>
                </c:pt>
                <c:pt idx="626">
                  <c:v>2.19</c:v>
                </c:pt>
                <c:pt idx="627">
                  <c:v>2.19</c:v>
                </c:pt>
                <c:pt idx="628">
                  <c:v>2.19</c:v>
                </c:pt>
                <c:pt idx="629">
                  <c:v>2.19</c:v>
                </c:pt>
                <c:pt idx="630">
                  <c:v>2.19</c:v>
                </c:pt>
                <c:pt idx="631">
                  <c:v>2.2000000000000002</c:v>
                </c:pt>
                <c:pt idx="632">
                  <c:v>2.21</c:v>
                </c:pt>
                <c:pt idx="633">
                  <c:v>2.23</c:v>
                </c:pt>
                <c:pt idx="634">
                  <c:v>2.23</c:v>
                </c:pt>
                <c:pt idx="635">
                  <c:v>2.23</c:v>
                </c:pt>
                <c:pt idx="636">
                  <c:v>2.23</c:v>
                </c:pt>
                <c:pt idx="637">
                  <c:v>2.23</c:v>
                </c:pt>
                <c:pt idx="638">
                  <c:v>2.23</c:v>
                </c:pt>
                <c:pt idx="639">
                  <c:v>2.23</c:v>
                </c:pt>
                <c:pt idx="640">
                  <c:v>2.23</c:v>
                </c:pt>
                <c:pt idx="641">
                  <c:v>2.23</c:v>
                </c:pt>
                <c:pt idx="642">
                  <c:v>2.23</c:v>
                </c:pt>
                <c:pt idx="643">
                  <c:v>2.23</c:v>
                </c:pt>
                <c:pt idx="644">
                  <c:v>2.23</c:v>
                </c:pt>
                <c:pt idx="645">
                  <c:v>2.23</c:v>
                </c:pt>
                <c:pt idx="646">
                  <c:v>2.23</c:v>
                </c:pt>
                <c:pt idx="647">
                  <c:v>2.23</c:v>
                </c:pt>
                <c:pt idx="648">
                  <c:v>2.23</c:v>
                </c:pt>
                <c:pt idx="649">
                  <c:v>2.23</c:v>
                </c:pt>
                <c:pt idx="650">
                  <c:v>2.23</c:v>
                </c:pt>
                <c:pt idx="651">
                  <c:v>2.23</c:v>
                </c:pt>
                <c:pt idx="652">
                  <c:v>2.23</c:v>
                </c:pt>
                <c:pt idx="653">
                  <c:v>2.23</c:v>
                </c:pt>
                <c:pt idx="654">
                  <c:v>2.23</c:v>
                </c:pt>
                <c:pt idx="655">
                  <c:v>2.23</c:v>
                </c:pt>
                <c:pt idx="656">
                  <c:v>2.25</c:v>
                </c:pt>
                <c:pt idx="657">
                  <c:v>2.21</c:v>
                </c:pt>
                <c:pt idx="658">
                  <c:v>2.21</c:v>
                </c:pt>
                <c:pt idx="659">
                  <c:v>2.21</c:v>
                </c:pt>
                <c:pt idx="660">
                  <c:v>2.21</c:v>
                </c:pt>
                <c:pt idx="661">
                  <c:v>2.2000000000000002</c:v>
                </c:pt>
                <c:pt idx="662">
                  <c:v>2.2000000000000002</c:v>
                </c:pt>
                <c:pt idx="663">
                  <c:v>2.2000000000000002</c:v>
                </c:pt>
                <c:pt idx="664">
                  <c:v>2.16</c:v>
                </c:pt>
                <c:pt idx="665">
                  <c:v>2.16</c:v>
                </c:pt>
                <c:pt idx="666">
                  <c:v>2.16</c:v>
                </c:pt>
                <c:pt idx="667">
                  <c:v>2.14</c:v>
                </c:pt>
                <c:pt idx="668">
                  <c:v>2.14</c:v>
                </c:pt>
                <c:pt idx="669">
                  <c:v>2.14</c:v>
                </c:pt>
                <c:pt idx="670">
                  <c:v>2.11</c:v>
                </c:pt>
                <c:pt idx="671">
                  <c:v>2.11</c:v>
                </c:pt>
                <c:pt idx="672">
                  <c:v>2.1</c:v>
                </c:pt>
                <c:pt idx="673">
                  <c:v>2.09</c:v>
                </c:pt>
                <c:pt idx="674">
                  <c:v>2.04</c:v>
                </c:pt>
                <c:pt idx="675">
                  <c:v>2.04</c:v>
                </c:pt>
                <c:pt idx="676">
                  <c:v>2.04</c:v>
                </c:pt>
                <c:pt idx="677">
                  <c:v>2.04</c:v>
                </c:pt>
                <c:pt idx="678">
                  <c:v>2.0299999999999998</c:v>
                </c:pt>
                <c:pt idx="679">
                  <c:v>2.0299999999999998</c:v>
                </c:pt>
                <c:pt idx="680">
                  <c:v>2</c:v>
                </c:pt>
                <c:pt idx="681">
                  <c:v>1.9900000000000102</c:v>
                </c:pt>
                <c:pt idx="682">
                  <c:v>2</c:v>
                </c:pt>
                <c:pt idx="683">
                  <c:v>2</c:v>
                </c:pt>
                <c:pt idx="684">
                  <c:v>2.0099999999999998</c:v>
                </c:pt>
                <c:pt idx="685">
                  <c:v>2.0099999999999998</c:v>
                </c:pt>
                <c:pt idx="686">
                  <c:v>2</c:v>
                </c:pt>
                <c:pt idx="687">
                  <c:v>2</c:v>
                </c:pt>
                <c:pt idx="688">
                  <c:v>2.0099999999999998</c:v>
                </c:pt>
                <c:pt idx="689">
                  <c:v>2</c:v>
                </c:pt>
                <c:pt idx="690">
                  <c:v>2</c:v>
                </c:pt>
                <c:pt idx="691">
                  <c:v>2</c:v>
                </c:pt>
                <c:pt idx="692">
                  <c:v>2</c:v>
                </c:pt>
                <c:pt idx="693">
                  <c:v>2</c:v>
                </c:pt>
                <c:pt idx="694">
                  <c:v>2</c:v>
                </c:pt>
                <c:pt idx="695">
                  <c:v>2</c:v>
                </c:pt>
                <c:pt idx="696">
                  <c:v>2</c:v>
                </c:pt>
                <c:pt idx="697">
                  <c:v>2</c:v>
                </c:pt>
                <c:pt idx="698">
                  <c:v>1.9900000000000102</c:v>
                </c:pt>
                <c:pt idx="699">
                  <c:v>1.9900000000000102</c:v>
                </c:pt>
                <c:pt idx="700">
                  <c:v>1.9900000000000102</c:v>
                </c:pt>
                <c:pt idx="701">
                  <c:v>2</c:v>
                </c:pt>
                <c:pt idx="702">
                  <c:v>2.0099999999999998</c:v>
                </c:pt>
                <c:pt idx="703">
                  <c:v>2.0099999999999998</c:v>
                </c:pt>
                <c:pt idx="704">
                  <c:v>2.0099999999999998</c:v>
                </c:pt>
                <c:pt idx="705">
                  <c:v>2.0299999999999998</c:v>
                </c:pt>
                <c:pt idx="706">
                  <c:v>2.0299999999999998</c:v>
                </c:pt>
                <c:pt idx="707">
                  <c:v>2.06</c:v>
                </c:pt>
                <c:pt idx="708">
                  <c:v>2.06</c:v>
                </c:pt>
                <c:pt idx="709">
                  <c:v>2.06</c:v>
                </c:pt>
                <c:pt idx="710">
                  <c:v>2.06</c:v>
                </c:pt>
                <c:pt idx="711">
                  <c:v>2.06</c:v>
                </c:pt>
                <c:pt idx="712">
                  <c:v>2.06</c:v>
                </c:pt>
                <c:pt idx="713">
                  <c:v>2.06</c:v>
                </c:pt>
                <c:pt idx="714">
                  <c:v>2.08</c:v>
                </c:pt>
                <c:pt idx="715">
                  <c:v>2.09</c:v>
                </c:pt>
                <c:pt idx="716">
                  <c:v>2.09</c:v>
                </c:pt>
                <c:pt idx="717">
                  <c:v>2.09</c:v>
                </c:pt>
                <c:pt idx="718">
                  <c:v>2.09</c:v>
                </c:pt>
                <c:pt idx="719">
                  <c:v>2.09</c:v>
                </c:pt>
                <c:pt idx="720">
                  <c:v>2.09</c:v>
                </c:pt>
                <c:pt idx="721">
                  <c:v>2.09</c:v>
                </c:pt>
                <c:pt idx="722">
                  <c:v>2.09</c:v>
                </c:pt>
                <c:pt idx="723">
                  <c:v>2.09</c:v>
                </c:pt>
                <c:pt idx="724">
                  <c:v>2.09</c:v>
                </c:pt>
                <c:pt idx="725">
                  <c:v>2.09</c:v>
                </c:pt>
                <c:pt idx="726">
                  <c:v>2.09</c:v>
                </c:pt>
                <c:pt idx="727">
                  <c:v>2.09</c:v>
                </c:pt>
                <c:pt idx="728">
                  <c:v>2.06</c:v>
                </c:pt>
                <c:pt idx="729">
                  <c:v>2.06</c:v>
                </c:pt>
                <c:pt idx="730">
                  <c:v>2.06</c:v>
                </c:pt>
                <c:pt idx="731">
                  <c:v>2.06</c:v>
                </c:pt>
                <c:pt idx="732">
                  <c:v>2.06</c:v>
                </c:pt>
                <c:pt idx="733">
                  <c:v>2.0499999999999998</c:v>
                </c:pt>
                <c:pt idx="734">
                  <c:v>2.0499999999999998</c:v>
                </c:pt>
                <c:pt idx="735">
                  <c:v>2.0499999999999998</c:v>
                </c:pt>
                <c:pt idx="736">
                  <c:v>2.0499999999999998</c:v>
                </c:pt>
                <c:pt idx="737">
                  <c:v>2.0499999999999998</c:v>
                </c:pt>
                <c:pt idx="738">
                  <c:v>2.0499999999999998</c:v>
                </c:pt>
                <c:pt idx="739">
                  <c:v>2.0499999999999998</c:v>
                </c:pt>
                <c:pt idx="740">
                  <c:v>2.0499999999999998</c:v>
                </c:pt>
                <c:pt idx="741">
                  <c:v>2.0499999999999998</c:v>
                </c:pt>
                <c:pt idx="742">
                  <c:v>2.0299999999999998</c:v>
                </c:pt>
                <c:pt idx="743">
                  <c:v>2.0299999999999998</c:v>
                </c:pt>
                <c:pt idx="744">
                  <c:v>2.0299999999999998</c:v>
                </c:pt>
                <c:pt idx="745">
                  <c:v>2.0299999999999998</c:v>
                </c:pt>
                <c:pt idx="746">
                  <c:v>2.0299999999999998</c:v>
                </c:pt>
                <c:pt idx="747">
                  <c:v>2.0299999999999998</c:v>
                </c:pt>
                <c:pt idx="748">
                  <c:v>2.0299999999999998</c:v>
                </c:pt>
                <c:pt idx="749">
                  <c:v>2.0299999999999998</c:v>
                </c:pt>
                <c:pt idx="750">
                  <c:v>2.0299999999999998</c:v>
                </c:pt>
                <c:pt idx="751">
                  <c:v>2</c:v>
                </c:pt>
                <c:pt idx="752">
                  <c:v>2</c:v>
                </c:pt>
                <c:pt idx="753">
                  <c:v>1.9900000000000102</c:v>
                </c:pt>
                <c:pt idx="754">
                  <c:v>1.9900000000000102</c:v>
                </c:pt>
                <c:pt idx="755">
                  <c:v>1.9900000000000102</c:v>
                </c:pt>
                <c:pt idx="756">
                  <c:v>1.9900000000000102</c:v>
                </c:pt>
                <c:pt idx="757">
                  <c:v>1.9800000000000102</c:v>
                </c:pt>
                <c:pt idx="758">
                  <c:v>1.9600000000000091</c:v>
                </c:pt>
                <c:pt idx="759">
                  <c:v>1.9500000000000091</c:v>
                </c:pt>
                <c:pt idx="760">
                  <c:v>1.9500000000000091</c:v>
                </c:pt>
                <c:pt idx="761">
                  <c:v>1.76</c:v>
                </c:pt>
                <c:pt idx="762">
                  <c:v>1.75</c:v>
                </c:pt>
                <c:pt idx="763">
                  <c:v>1.73</c:v>
                </c:pt>
                <c:pt idx="764">
                  <c:v>1.73</c:v>
                </c:pt>
                <c:pt idx="765">
                  <c:v>1.73</c:v>
                </c:pt>
                <c:pt idx="766">
                  <c:v>1.73</c:v>
                </c:pt>
                <c:pt idx="767">
                  <c:v>1.71</c:v>
                </c:pt>
                <c:pt idx="768">
                  <c:v>1.7</c:v>
                </c:pt>
                <c:pt idx="769">
                  <c:v>1.7</c:v>
                </c:pt>
                <c:pt idx="770">
                  <c:v>1.71</c:v>
                </c:pt>
                <c:pt idx="771">
                  <c:v>1.7</c:v>
                </c:pt>
                <c:pt idx="772">
                  <c:v>1.7</c:v>
                </c:pt>
                <c:pt idx="773">
                  <c:v>1.6900000000000091</c:v>
                </c:pt>
                <c:pt idx="774">
                  <c:v>1.6900000000000091</c:v>
                </c:pt>
                <c:pt idx="775">
                  <c:v>1.6900000000000091</c:v>
                </c:pt>
                <c:pt idx="776">
                  <c:v>1.7</c:v>
                </c:pt>
                <c:pt idx="777">
                  <c:v>1.7</c:v>
                </c:pt>
                <c:pt idx="778">
                  <c:v>1.6900000000000091</c:v>
                </c:pt>
                <c:pt idx="779">
                  <c:v>1.7</c:v>
                </c:pt>
                <c:pt idx="780">
                  <c:v>1.7</c:v>
                </c:pt>
                <c:pt idx="781">
                  <c:v>1.7</c:v>
                </c:pt>
                <c:pt idx="782">
                  <c:v>1.7</c:v>
                </c:pt>
                <c:pt idx="783">
                  <c:v>1.7</c:v>
                </c:pt>
                <c:pt idx="784">
                  <c:v>1.7</c:v>
                </c:pt>
                <c:pt idx="785">
                  <c:v>1.7</c:v>
                </c:pt>
                <c:pt idx="786">
                  <c:v>1.7</c:v>
                </c:pt>
                <c:pt idx="787">
                  <c:v>1.7</c:v>
                </c:pt>
                <c:pt idx="788">
                  <c:v>1.7</c:v>
                </c:pt>
                <c:pt idx="789">
                  <c:v>1.7</c:v>
                </c:pt>
                <c:pt idx="790">
                  <c:v>1.7</c:v>
                </c:pt>
                <c:pt idx="791">
                  <c:v>1.7</c:v>
                </c:pt>
                <c:pt idx="792">
                  <c:v>1.7</c:v>
                </c:pt>
                <c:pt idx="793">
                  <c:v>1.7</c:v>
                </c:pt>
                <c:pt idx="794">
                  <c:v>1.7</c:v>
                </c:pt>
                <c:pt idx="795">
                  <c:v>1.6900000000000091</c:v>
                </c:pt>
                <c:pt idx="796">
                  <c:v>1.6900000000000091</c:v>
                </c:pt>
                <c:pt idx="797">
                  <c:v>1.7</c:v>
                </c:pt>
                <c:pt idx="798">
                  <c:v>1.7</c:v>
                </c:pt>
                <c:pt idx="799">
                  <c:v>1.6900000000000091</c:v>
                </c:pt>
                <c:pt idx="800">
                  <c:v>1.7</c:v>
                </c:pt>
                <c:pt idx="801">
                  <c:v>1.7</c:v>
                </c:pt>
                <c:pt idx="802">
                  <c:v>1.71</c:v>
                </c:pt>
                <c:pt idx="803">
                  <c:v>1.71</c:v>
                </c:pt>
                <c:pt idx="804">
                  <c:v>1.71</c:v>
                </c:pt>
                <c:pt idx="805">
                  <c:v>1.71</c:v>
                </c:pt>
                <c:pt idx="806">
                  <c:v>1.71</c:v>
                </c:pt>
                <c:pt idx="807">
                  <c:v>1.73</c:v>
                </c:pt>
                <c:pt idx="808">
                  <c:v>1.73</c:v>
                </c:pt>
                <c:pt idx="809">
                  <c:v>1.73</c:v>
                </c:pt>
                <c:pt idx="810">
                  <c:v>1.75</c:v>
                </c:pt>
                <c:pt idx="811">
                  <c:v>1.75</c:v>
                </c:pt>
                <c:pt idx="812">
                  <c:v>1.75</c:v>
                </c:pt>
                <c:pt idx="813">
                  <c:v>1.75</c:v>
                </c:pt>
                <c:pt idx="814">
                  <c:v>1.75</c:v>
                </c:pt>
                <c:pt idx="815">
                  <c:v>1.75</c:v>
                </c:pt>
                <c:pt idx="816">
                  <c:v>1.75</c:v>
                </c:pt>
                <c:pt idx="817">
                  <c:v>1.75</c:v>
                </c:pt>
                <c:pt idx="818">
                  <c:v>1.75</c:v>
                </c:pt>
                <c:pt idx="819">
                  <c:v>1.75</c:v>
                </c:pt>
                <c:pt idx="820">
                  <c:v>1.75</c:v>
                </c:pt>
                <c:pt idx="821">
                  <c:v>1.75</c:v>
                </c:pt>
                <c:pt idx="822">
                  <c:v>1.78</c:v>
                </c:pt>
                <c:pt idx="823">
                  <c:v>1.79</c:v>
                </c:pt>
                <c:pt idx="824">
                  <c:v>1.83</c:v>
                </c:pt>
                <c:pt idx="825">
                  <c:v>1.84</c:v>
                </c:pt>
                <c:pt idx="826">
                  <c:v>1.84</c:v>
                </c:pt>
                <c:pt idx="827">
                  <c:v>1.84</c:v>
                </c:pt>
                <c:pt idx="828">
                  <c:v>1.84</c:v>
                </c:pt>
                <c:pt idx="829">
                  <c:v>1.85</c:v>
                </c:pt>
                <c:pt idx="830">
                  <c:v>1.86</c:v>
                </c:pt>
                <c:pt idx="831">
                  <c:v>1.86</c:v>
                </c:pt>
                <c:pt idx="832">
                  <c:v>1.86</c:v>
                </c:pt>
                <c:pt idx="833">
                  <c:v>1.86</c:v>
                </c:pt>
                <c:pt idx="834">
                  <c:v>1.9100000000000001</c:v>
                </c:pt>
                <c:pt idx="835">
                  <c:v>1.9100000000000001</c:v>
                </c:pt>
                <c:pt idx="836">
                  <c:v>1.9100000000000001</c:v>
                </c:pt>
                <c:pt idx="837">
                  <c:v>1.930000000000009</c:v>
                </c:pt>
                <c:pt idx="838">
                  <c:v>1.930000000000009</c:v>
                </c:pt>
                <c:pt idx="839">
                  <c:v>1.9400000000000091</c:v>
                </c:pt>
                <c:pt idx="840">
                  <c:v>1.9400000000000091</c:v>
                </c:pt>
                <c:pt idx="841">
                  <c:v>1.9400000000000091</c:v>
                </c:pt>
                <c:pt idx="842">
                  <c:v>1.9600000000000091</c:v>
                </c:pt>
                <c:pt idx="843">
                  <c:v>1.9600000000000091</c:v>
                </c:pt>
                <c:pt idx="844">
                  <c:v>1.9600000000000091</c:v>
                </c:pt>
                <c:pt idx="845">
                  <c:v>1.9600000000000091</c:v>
                </c:pt>
                <c:pt idx="846">
                  <c:v>1.9600000000000091</c:v>
                </c:pt>
                <c:pt idx="847">
                  <c:v>1.9600000000000091</c:v>
                </c:pt>
                <c:pt idx="848">
                  <c:v>1.9600000000000091</c:v>
                </c:pt>
                <c:pt idx="849">
                  <c:v>1.9600000000000091</c:v>
                </c:pt>
                <c:pt idx="850">
                  <c:v>1.9600000000000091</c:v>
                </c:pt>
                <c:pt idx="851">
                  <c:v>1.9600000000000091</c:v>
                </c:pt>
                <c:pt idx="852">
                  <c:v>1.9600000000000091</c:v>
                </c:pt>
                <c:pt idx="853">
                  <c:v>1.9600000000000091</c:v>
                </c:pt>
                <c:pt idx="854">
                  <c:v>1.9600000000000091</c:v>
                </c:pt>
                <c:pt idx="855">
                  <c:v>1.9600000000000091</c:v>
                </c:pt>
                <c:pt idx="856">
                  <c:v>1.9600000000000091</c:v>
                </c:pt>
                <c:pt idx="857">
                  <c:v>1.9600000000000091</c:v>
                </c:pt>
                <c:pt idx="858">
                  <c:v>1.9600000000000091</c:v>
                </c:pt>
                <c:pt idx="859">
                  <c:v>1.9600000000000091</c:v>
                </c:pt>
                <c:pt idx="860">
                  <c:v>1.9600000000000091</c:v>
                </c:pt>
                <c:pt idx="861">
                  <c:v>1.9600000000000091</c:v>
                </c:pt>
                <c:pt idx="862">
                  <c:v>1.9600000000000091</c:v>
                </c:pt>
                <c:pt idx="863">
                  <c:v>1.9600000000000091</c:v>
                </c:pt>
                <c:pt idx="864">
                  <c:v>1.9600000000000091</c:v>
                </c:pt>
                <c:pt idx="865">
                  <c:v>1.9600000000000091</c:v>
                </c:pt>
                <c:pt idx="866">
                  <c:v>1.9600000000000091</c:v>
                </c:pt>
                <c:pt idx="867">
                  <c:v>1.9600000000000091</c:v>
                </c:pt>
                <c:pt idx="868">
                  <c:v>1.9600000000000091</c:v>
                </c:pt>
                <c:pt idx="869">
                  <c:v>1.9600000000000091</c:v>
                </c:pt>
                <c:pt idx="870">
                  <c:v>1.9600000000000091</c:v>
                </c:pt>
                <c:pt idx="871">
                  <c:v>1.9600000000000091</c:v>
                </c:pt>
                <c:pt idx="872">
                  <c:v>2.0299999999999998</c:v>
                </c:pt>
                <c:pt idx="873">
                  <c:v>2.0299999999999998</c:v>
                </c:pt>
                <c:pt idx="874">
                  <c:v>2.0299999999999998</c:v>
                </c:pt>
                <c:pt idx="875">
                  <c:v>2.04</c:v>
                </c:pt>
                <c:pt idx="876">
                  <c:v>2.0099999999999998</c:v>
                </c:pt>
                <c:pt idx="877">
                  <c:v>2.0099999999999998</c:v>
                </c:pt>
                <c:pt idx="878">
                  <c:v>2.0099999999999998</c:v>
                </c:pt>
                <c:pt idx="879">
                  <c:v>2.0099999999999998</c:v>
                </c:pt>
                <c:pt idx="880">
                  <c:v>2.0099999999999998</c:v>
                </c:pt>
                <c:pt idx="881">
                  <c:v>2.0099999999999998</c:v>
                </c:pt>
                <c:pt idx="882">
                  <c:v>2.0099999999999998</c:v>
                </c:pt>
                <c:pt idx="883">
                  <c:v>2.0099999999999998</c:v>
                </c:pt>
                <c:pt idx="884">
                  <c:v>2.0099999999999998</c:v>
                </c:pt>
                <c:pt idx="885">
                  <c:v>2.04</c:v>
                </c:pt>
                <c:pt idx="886">
                  <c:v>2.04</c:v>
                </c:pt>
                <c:pt idx="887">
                  <c:v>2.06</c:v>
                </c:pt>
                <c:pt idx="888">
                  <c:v>2.08</c:v>
                </c:pt>
                <c:pt idx="889">
                  <c:v>2.08</c:v>
                </c:pt>
                <c:pt idx="890">
                  <c:v>2.08</c:v>
                </c:pt>
                <c:pt idx="891">
                  <c:v>2.08</c:v>
                </c:pt>
                <c:pt idx="892">
                  <c:v>2.08</c:v>
                </c:pt>
                <c:pt idx="893">
                  <c:v>2.08</c:v>
                </c:pt>
                <c:pt idx="894">
                  <c:v>2.08</c:v>
                </c:pt>
                <c:pt idx="895">
                  <c:v>2.08</c:v>
                </c:pt>
                <c:pt idx="896">
                  <c:v>2.09</c:v>
                </c:pt>
                <c:pt idx="897">
                  <c:v>2.09</c:v>
                </c:pt>
                <c:pt idx="898">
                  <c:v>2.11</c:v>
                </c:pt>
                <c:pt idx="899">
                  <c:v>2.13</c:v>
                </c:pt>
                <c:pt idx="900">
                  <c:v>2.13</c:v>
                </c:pt>
                <c:pt idx="901">
                  <c:v>2.13</c:v>
                </c:pt>
                <c:pt idx="902">
                  <c:v>2.13</c:v>
                </c:pt>
                <c:pt idx="903">
                  <c:v>2.13</c:v>
                </c:pt>
                <c:pt idx="904">
                  <c:v>2.13</c:v>
                </c:pt>
                <c:pt idx="905">
                  <c:v>2.13</c:v>
                </c:pt>
                <c:pt idx="906">
                  <c:v>2.13</c:v>
                </c:pt>
                <c:pt idx="907">
                  <c:v>2.13</c:v>
                </c:pt>
                <c:pt idx="908">
                  <c:v>2.13</c:v>
                </c:pt>
                <c:pt idx="909">
                  <c:v>2.1</c:v>
                </c:pt>
                <c:pt idx="910">
                  <c:v>2.1</c:v>
                </c:pt>
                <c:pt idx="911">
                  <c:v>2.1</c:v>
                </c:pt>
                <c:pt idx="912">
                  <c:v>2.1</c:v>
                </c:pt>
                <c:pt idx="913">
                  <c:v>2.1</c:v>
                </c:pt>
                <c:pt idx="914">
                  <c:v>2.1</c:v>
                </c:pt>
                <c:pt idx="915">
                  <c:v>2.1</c:v>
                </c:pt>
                <c:pt idx="916">
                  <c:v>2.06</c:v>
                </c:pt>
                <c:pt idx="917">
                  <c:v>2.06</c:v>
                </c:pt>
                <c:pt idx="918">
                  <c:v>2.06</c:v>
                </c:pt>
                <c:pt idx="919">
                  <c:v>2.06</c:v>
                </c:pt>
                <c:pt idx="920">
                  <c:v>2.06</c:v>
                </c:pt>
                <c:pt idx="921">
                  <c:v>2.06</c:v>
                </c:pt>
                <c:pt idx="922">
                  <c:v>2.09</c:v>
                </c:pt>
                <c:pt idx="923">
                  <c:v>2.09</c:v>
                </c:pt>
                <c:pt idx="924">
                  <c:v>2.09</c:v>
                </c:pt>
                <c:pt idx="925">
                  <c:v>2.09</c:v>
                </c:pt>
                <c:pt idx="926">
                  <c:v>2.09</c:v>
                </c:pt>
                <c:pt idx="927">
                  <c:v>2.09</c:v>
                </c:pt>
                <c:pt idx="928">
                  <c:v>2.09</c:v>
                </c:pt>
                <c:pt idx="929">
                  <c:v>2.09</c:v>
                </c:pt>
                <c:pt idx="930">
                  <c:v>2.08</c:v>
                </c:pt>
                <c:pt idx="931">
                  <c:v>2.06</c:v>
                </c:pt>
                <c:pt idx="932">
                  <c:v>2.06</c:v>
                </c:pt>
                <c:pt idx="933">
                  <c:v>2.06</c:v>
                </c:pt>
                <c:pt idx="934">
                  <c:v>2.06</c:v>
                </c:pt>
                <c:pt idx="935">
                  <c:v>2.06</c:v>
                </c:pt>
                <c:pt idx="936">
                  <c:v>2.06</c:v>
                </c:pt>
                <c:pt idx="937">
                  <c:v>2.06</c:v>
                </c:pt>
                <c:pt idx="938">
                  <c:v>2.06</c:v>
                </c:pt>
                <c:pt idx="939">
                  <c:v>2.08</c:v>
                </c:pt>
                <c:pt idx="940">
                  <c:v>2.14</c:v>
                </c:pt>
                <c:pt idx="941">
                  <c:v>2.14</c:v>
                </c:pt>
                <c:pt idx="942">
                  <c:v>2.15</c:v>
                </c:pt>
                <c:pt idx="943">
                  <c:v>2.15</c:v>
                </c:pt>
                <c:pt idx="944">
                  <c:v>2.15</c:v>
                </c:pt>
                <c:pt idx="945">
                  <c:v>2.15</c:v>
                </c:pt>
                <c:pt idx="946">
                  <c:v>2.15</c:v>
                </c:pt>
                <c:pt idx="947">
                  <c:v>2.15</c:v>
                </c:pt>
                <c:pt idx="948">
                  <c:v>2.15</c:v>
                </c:pt>
                <c:pt idx="949">
                  <c:v>2.15</c:v>
                </c:pt>
                <c:pt idx="950">
                  <c:v>2.15</c:v>
                </c:pt>
                <c:pt idx="951">
                  <c:v>2.13</c:v>
                </c:pt>
                <c:pt idx="952">
                  <c:v>2.13</c:v>
                </c:pt>
                <c:pt idx="953">
                  <c:v>2.13</c:v>
                </c:pt>
                <c:pt idx="954">
                  <c:v>2.11</c:v>
                </c:pt>
                <c:pt idx="955">
                  <c:v>2.11</c:v>
                </c:pt>
                <c:pt idx="956">
                  <c:v>2.11</c:v>
                </c:pt>
                <c:pt idx="957">
                  <c:v>2.11</c:v>
                </c:pt>
                <c:pt idx="958">
                  <c:v>2.13</c:v>
                </c:pt>
                <c:pt idx="959">
                  <c:v>2.13</c:v>
                </c:pt>
                <c:pt idx="960">
                  <c:v>2.1</c:v>
                </c:pt>
                <c:pt idx="961">
                  <c:v>2.1</c:v>
                </c:pt>
                <c:pt idx="962">
                  <c:v>2.11</c:v>
                </c:pt>
                <c:pt idx="963">
                  <c:v>2.11</c:v>
                </c:pt>
                <c:pt idx="964">
                  <c:v>2.11</c:v>
                </c:pt>
                <c:pt idx="965">
                  <c:v>2.11</c:v>
                </c:pt>
                <c:pt idx="966">
                  <c:v>2.11</c:v>
                </c:pt>
                <c:pt idx="967">
                  <c:v>2.14</c:v>
                </c:pt>
                <c:pt idx="968">
                  <c:v>2.09</c:v>
                </c:pt>
                <c:pt idx="969">
                  <c:v>2.09</c:v>
                </c:pt>
                <c:pt idx="970">
                  <c:v>2.11</c:v>
                </c:pt>
                <c:pt idx="971">
                  <c:v>2.11</c:v>
                </c:pt>
                <c:pt idx="972">
                  <c:v>2.11</c:v>
                </c:pt>
                <c:pt idx="973">
                  <c:v>2.11</c:v>
                </c:pt>
                <c:pt idx="974">
                  <c:v>2.11</c:v>
                </c:pt>
                <c:pt idx="975">
                  <c:v>2.11</c:v>
                </c:pt>
                <c:pt idx="976">
                  <c:v>2.13</c:v>
                </c:pt>
                <c:pt idx="977">
                  <c:v>2.23</c:v>
                </c:pt>
                <c:pt idx="978">
                  <c:v>2.23</c:v>
                </c:pt>
                <c:pt idx="979">
                  <c:v>2.23</c:v>
                </c:pt>
                <c:pt idx="980">
                  <c:v>2.23</c:v>
                </c:pt>
                <c:pt idx="981">
                  <c:v>2.23</c:v>
                </c:pt>
                <c:pt idx="982">
                  <c:v>2.21</c:v>
                </c:pt>
                <c:pt idx="983">
                  <c:v>2.21</c:v>
                </c:pt>
                <c:pt idx="984">
                  <c:v>2.21</c:v>
                </c:pt>
                <c:pt idx="985">
                  <c:v>2.21</c:v>
                </c:pt>
                <c:pt idx="986">
                  <c:v>2.21</c:v>
                </c:pt>
                <c:pt idx="987">
                  <c:v>2.23</c:v>
                </c:pt>
                <c:pt idx="988">
                  <c:v>2.13</c:v>
                </c:pt>
                <c:pt idx="989">
                  <c:v>2.13</c:v>
                </c:pt>
                <c:pt idx="990">
                  <c:v>2.14</c:v>
                </c:pt>
                <c:pt idx="991">
                  <c:v>2.14</c:v>
                </c:pt>
                <c:pt idx="992">
                  <c:v>2.14</c:v>
                </c:pt>
                <c:pt idx="993">
                  <c:v>2.14</c:v>
                </c:pt>
                <c:pt idx="994">
                  <c:v>2.14</c:v>
                </c:pt>
                <c:pt idx="995">
                  <c:v>2.14</c:v>
                </c:pt>
                <c:pt idx="996">
                  <c:v>2.14</c:v>
                </c:pt>
                <c:pt idx="997">
                  <c:v>2.06</c:v>
                </c:pt>
                <c:pt idx="998">
                  <c:v>2.1</c:v>
                </c:pt>
                <c:pt idx="999">
                  <c:v>2.1</c:v>
                </c:pt>
                <c:pt idx="1000">
                  <c:v>2.09</c:v>
                </c:pt>
                <c:pt idx="1001">
                  <c:v>2.09</c:v>
                </c:pt>
                <c:pt idx="1002">
                  <c:v>2.09</c:v>
                </c:pt>
                <c:pt idx="1003">
                  <c:v>2.09</c:v>
                </c:pt>
                <c:pt idx="1004">
                  <c:v>2.09</c:v>
                </c:pt>
                <c:pt idx="1005">
                  <c:v>2.09</c:v>
                </c:pt>
                <c:pt idx="1006">
                  <c:v>2.06</c:v>
                </c:pt>
                <c:pt idx="1007">
                  <c:v>2.0299999999999998</c:v>
                </c:pt>
                <c:pt idx="1008">
                  <c:v>2.0299999999999998</c:v>
                </c:pt>
                <c:pt idx="1009">
                  <c:v>2.0299999999999998</c:v>
                </c:pt>
                <c:pt idx="1010">
                  <c:v>2.0299999999999998</c:v>
                </c:pt>
                <c:pt idx="1011">
                  <c:v>2.0099999999999998</c:v>
                </c:pt>
                <c:pt idx="1012">
                  <c:v>2</c:v>
                </c:pt>
                <c:pt idx="1013">
                  <c:v>1.9900000000000102</c:v>
                </c:pt>
                <c:pt idx="1014">
                  <c:v>1.9500000000000091</c:v>
                </c:pt>
                <c:pt idx="1015">
                  <c:v>1.930000000000009</c:v>
                </c:pt>
                <c:pt idx="1016">
                  <c:v>1.9000000000000001</c:v>
                </c:pt>
                <c:pt idx="1017">
                  <c:v>1.9000000000000001</c:v>
                </c:pt>
                <c:pt idx="1018">
                  <c:v>1.8900000000000001</c:v>
                </c:pt>
                <c:pt idx="1019">
                  <c:v>1.8800000000000001</c:v>
                </c:pt>
                <c:pt idx="1020">
                  <c:v>1.86</c:v>
                </c:pt>
                <c:pt idx="1021">
                  <c:v>1.85</c:v>
                </c:pt>
                <c:pt idx="1022">
                  <c:v>1.86</c:v>
                </c:pt>
                <c:pt idx="1023">
                  <c:v>1.86</c:v>
                </c:pt>
                <c:pt idx="1024">
                  <c:v>1.84</c:v>
                </c:pt>
                <c:pt idx="1025">
                  <c:v>1.83</c:v>
                </c:pt>
                <c:pt idx="1026">
                  <c:v>1.83</c:v>
                </c:pt>
                <c:pt idx="1027">
                  <c:v>1.83</c:v>
                </c:pt>
                <c:pt idx="1028">
                  <c:v>1.82</c:v>
                </c:pt>
                <c:pt idx="1029">
                  <c:v>1.82</c:v>
                </c:pt>
                <c:pt idx="1030">
                  <c:v>1.82</c:v>
                </c:pt>
                <c:pt idx="1031">
                  <c:v>1.82</c:v>
                </c:pt>
                <c:pt idx="1032">
                  <c:v>1.85</c:v>
                </c:pt>
                <c:pt idx="1033">
                  <c:v>1.86</c:v>
                </c:pt>
                <c:pt idx="1034">
                  <c:v>1.86</c:v>
                </c:pt>
                <c:pt idx="1035">
                  <c:v>1.86</c:v>
                </c:pt>
                <c:pt idx="1036">
                  <c:v>1.85</c:v>
                </c:pt>
                <c:pt idx="1037">
                  <c:v>1.86</c:v>
                </c:pt>
                <c:pt idx="1038">
                  <c:v>1.86</c:v>
                </c:pt>
                <c:pt idx="1039">
                  <c:v>1.86</c:v>
                </c:pt>
                <c:pt idx="1040">
                  <c:v>1.86</c:v>
                </c:pt>
                <c:pt idx="1041">
                  <c:v>1.86</c:v>
                </c:pt>
                <c:pt idx="1042">
                  <c:v>1.86</c:v>
                </c:pt>
                <c:pt idx="1043">
                  <c:v>1.85</c:v>
                </c:pt>
                <c:pt idx="1044">
                  <c:v>1.85</c:v>
                </c:pt>
                <c:pt idx="1045">
                  <c:v>1.85</c:v>
                </c:pt>
                <c:pt idx="1046">
                  <c:v>1.85</c:v>
                </c:pt>
                <c:pt idx="1047">
                  <c:v>1.85</c:v>
                </c:pt>
                <c:pt idx="1048">
                  <c:v>1.85</c:v>
                </c:pt>
                <c:pt idx="1049">
                  <c:v>1.85</c:v>
                </c:pt>
                <c:pt idx="1050">
                  <c:v>1.85</c:v>
                </c:pt>
                <c:pt idx="1051">
                  <c:v>1.85</c:v>
                </c:pt>
                <c:pt idx="1052">
                  <c:v>1.85</c:v>
                </c:pt>
                <c:pt idx="1053">
                  <c:v>1.81</c:v>
                </c:pt>
                <c:pt idx="1054">
                  <c:v>1.83</c:v>
                </c:pt>
                <c:pt idx="1055">
                  <c:v>1.8</c:v>
                </c:pt>
                <c:pt idx="1056">
                  <c:v>1.79</c:v>
                </c:pt>
                <c:pt idx="1057">
                  <c:v>1.78</c:v>
                </c:pt>
                <c:pt idx="1058">
                  <c:v>1.77</c:v>
                </c:pt>
                <c:pt idx="1059">
                  <c:v>1.77</c:v>
                </c:pt>
                <c:pt idx="1060">
                  <c:v>1.77</c:v>
                </c:pt>
                <c:pt idx="1061">
                  <c:v>1.76</c:v>
                </c:pt>
                <c:pt idx="1062">
                  <c:v>1.74</c:v>
                </c:pt>
                <c:pt idx="1063">
                  <c:v>1.74</c:v>
                </c:pt>
                <c:pt idx="1064">
                  <c:v>1.74</c:v>
                </c:pt>
                <c:pt idx="1065">
                  <c:v>1.73</c:v>
                </c:pt>
                <c:pt idx="1066">
                  <c:v>1.73</c:v>
                </c:pt>
                <c:pt idx="1067">
                  <c:v>1.73</c:v>
                </c:pt>
                <c:pt idx="1068">
                  <c:v>1.72</c:v>
                </c:pt>
                <c:pt idx="1069">
                  <c:v>1.72</c:v>
                </c:pt>
                <c:pt idx="1070">
                  <c:v>1.71</c:v>
                </c:pt>
                <c:pt idx="1071">
                  <c:v>1.71</c:v>
                </c:pt>
                <c:pt idx="1072">
                  <c:v>1.71</c:v>
                </c:pt>
                <c:pt idx="1073">
                  <c:v>1.71</c:v>
                </c:pt>
                <c:pt idx="1074">
                  <c:v>1.71</c:v>
                </c:pt>
                <c:pt idx="1075">
                  <c:v>1.71</c:v>
                </c:pt>
                <c:pt idx="1076">
                  <c:v>1.71</c:v>
                </c:pt>
                <c:pt idx="1077">
                  <c:v>1.71</c:v>
                </c:pt>
                <c:pt idx="1078">
                  <c:v>1.7</c:v>
                </c:pt>
                <c:pt idx="1079">
                  <c:v>1.7</c:v>
                </c:pt>
                <c:pt idx="1080">
                  <c:v>1.7</c:v>
                </c:pt>
                <c:pt idx="1081">
                  <c:v>1.6900000000000091</c:v>
                </c:pt>
                <c:pt idx="1082">
                  <c:v>1.6900000000000091</c:v>
                </c:pt>
                <c:pt idx="1083">
                  <c:v>1.680000000000009</c:v>
                </c:pt>
                <c:pt idx="1084">
                  <c:v>1.680000000000009</c:v>
                </c:pt>
                <c:pt idx="1085">
                  <c:v>1.680000000000009</c:v>
                </c:pt>
                <c:pt idx="1086">
                  <c:v>1.680000000000009</c:v>
                </c:pt>
                <c:pt idx="1087">
                  <c:v>1.680000000000009</c:v>
                </c:pt>
                <c:pt idx="1088">
                  <c:v>1.680000000000009</c:v>
                </c:pt>
                <c:pt idx="1089">
                  <c:v>1.680000000000009</c:v>
                </c:pt>
                <c:pt idx="1090">
                  <c:v>1.680000000000009</c:v>
                </c:pt>
                <c:pt idx="1091">
                  <c:v>1.680000000000009</c:v>
                </c:pt>
                <c:pt idx="1092">
                  <c:v>1.6600000000000001</c:v>
                </c:pt>
                <c:pt idx="1093">
                  <c:v>1.6600000000000001</c:v>
                </c:pt>
                <c:pt idx="1094">
                  <c:v>1.6600000000000001</c:v>
                </c:pt>
                <c:pt idx="1095">
                  <c:v>1.61</c:v>
                </c:pt>
                <c:pt idx="1096">
                  <c:v>1.6</c:v>
                </c:pt>
                <c:pt idx="1097">
                  <c:v>1.6</c:v>
                </c:pt>
                <c:pt idx="1098">
                  <c:v>1.6</c:v>
                </c:pt>
                <c:pt idx="1099">
                  <c:v>1.58</c:v>
                </c:pt>
                <c:pt idx="1100">
                  <c:v>1.58</c:v>
                </c:pt>
                <c:pt idx="1101">
                  <c:v>1.58</c:v>
                </c:pt>
                <c:pt idx="1102">
                  <c:v>1.58</c:v>
                </c:pt>
                <c:pt idx="1103">
                  <c:v>1.58</c:v>
                </c:pt>
                <c:pt idx="1104">
                  <c:v>1.58</c:v>
                </c:pt>
                <c:pt idx="1105">
                  <c:v>1.58</c:v>
                </c:pt>
                <c:pt idx="1106">
                  <c:v>1.58</c:v>
                </c:pt>
                <c:pt idx="1107">
                  <c:v>1.58</c:v>
                </c:pt>
                <c:pt idx="1108">
                  <c:v>1.58</c:v>
                </c:pt>
                <c:pt idx="1109">
                  <c:v>1.58</c:v>
                </c:pt>
                <c:pt idx="1110">
                  <c:v>1.58</c:v>
                </c:pt>
                <c:pt idx="1111">
                  <c:v>1.58</c:v>
                </c:pt>
                <c:pt idx="1112">
                  <c:v>1.58</c:v>
                </c:pt>
                <c:pt idx="1113">
                  <c:v>1.56</c:v>
                </c:pt>
                <c:pt idx="1114">
                  <c:v>1.55</c:v>
                </c:pt>
                <c:pt idx="1115">
                  <c:v>1.55</c:v>
                </c:pt>
                <c:pt idx="1116">
                  <c:v>1.55</c:v>
                </c:pt>
                <c:pt idx="1117">
                  <c:v>1.55</c:v>
                </c:pt>
                <c:pt idx="1118">
                  <c:v>1.55</c:v>
                </c:pt>
                <c:pt idx="1119">
                  <c:v>1.55</c:v>
                </c:pt>
                <c:pt idx="1120">
                  <c:v>1.55</c:v>
                </c:pt>
                <c:pt idx="1121">
                  <c:v>1.55</c:v>
                </c:pt>
                <c:pt idx="1122">
                  <c:v>1.55</c:v>
                </c:pt>
                <c:pt idx="1123">
                  <c:v>1.55</c:v>
                </c:pt>
                <c:pt idx="1124">
                  <c:v>1.55</c:v>
                </c:pt>
                <c:pt idx="1125">
                  <c:v>1.55</c:v>
                </c:pt>
                <c:pt idx="1126">
                  <c:v>1.55</c:v>
                </c:pt>
                <c:pt idx="1127">
                  <c:v>1.55</c:v>
                </c:pt>
                <c:pt idx="1128">
                  <c:v>1.54</c:v>
                </c:pt>
                <c:pt idx="1129">
                  <c:v>1.54</c:v>
                </c:pt>
                <c:pt idx="1130">
                  <c:v>1.55</c:v>
                </c:pt>
                <c:pt idx="1131">
                  <c:v>1.55</c:v>
                </c:pt>
                <c:pt idx="1132">
                  <c:v>1.55</c:v>
                </c:pt>
                <c:pt idx="1133">
                  <c:v>1.55</c:v>
                </c:pt>
                <c:pt idx="1134">
                  <c:v>1.55</c:v>
                </c:pt>
                <c:pt idx="1135">
                  <c:v>1.55</c:v>
                </c:pt>
                <c:pt idx="1136">
                  <c:v>1.53</c:v>
                </c:pt>
                <c:pt idx="1137">
                  <c:v>1.53</c:v>
                </c:pt>
                <c:pt idx="1138">
                  <c:v>1.53</c:v>
                </c:pt>
                <c:pt idx="1139">
                  <c:v>1.52</c:v>
                </c:pt>
                <c:pt idx="1140">
                  <c:v>1.52</c:v>
                </c:pt>
                <c:pt idx="1141">
                  <c:v>1.48</c:v>
                </c:pt>
                <c:pt idx="1142">
                  <c:v>1.47</c:v>
                </c:pt>
                <c:pt idx="1143">
                  <c:v>1.45</c:v>
                </c:pt>
                <c:pt idx="1144">
                  <c:v>1.45</c:v>
                </c:pt>
                <c:pt idx="1145">
                  <c:v>1.45</c:v>
                </c:pt>
                <c:pt idx="1146">
                  <c:v>1.45</c:v>
                </c:pt>
                <c:pt idx="1147">
                  <c:v>1.45</c:v>
                </c:pt>
                <c:pt idx="1148">
                  <c:v>1.45</c:v>
                </c:pt>
                <c:pt idx="1149">
                  <c:v>1.45</c:v>
                </c:pt>
                <c:pt idx="1150">
                  <c:v>1.42</c:v>
                </c:pt>
                <c:pt idx="1151">
                  <c:v>1.42</c:v>
                </c:pt>
                <c:pt idx="1152">
                  <c:v>1.4</c:v>
                </c:pt>
                <c:pt idx="1153">
                  <c:v>1.4</c:v>
                </c:pt>
                <c:pt idx="1154">
                  <c:v>1.4</c:v>
                </c:pt>
                <c:pt idx="1155">
                  <c:v>1.37</c:v>
                </c:pt>
                <c:pt idx="1156">
                  <c:v>1.37</c:v>
                </c:pt>
                <c:pt idx="1157">
                  <c:v>1.37</c:v>
                </c:pt>
                <c:pt idx="1158">
                  <c:v>1.37</c:v>
                </c:pt>
                <c:pt idx="1159">
                  <c:v>1.37</c:v>
                </c:pt>
                <c:pt idx="1160">
                  <c:v>1.37</c:v>
                </c:pt>
                <c:pt idx="1161">
                  <c:v>1.37</c:v>
                </c:pt>
                <c:pt idx="1162">
                  <c:v>1.36</c:v>
                </c:pt>
                <c:pt idx="1163">
                  <c:v>1.35</c:v>
                </c:pt>
                <c:pt idx="1164">
                  <c:v>1.35</c:v>
                </c:pt>
                <c:pt idx="1165">
                  <c:v>1.31</c:v>
                </c:pt>
                <c:pt idx="1166">
                  <c:v>1.3</c:v>
                </c:pt>
                <c:pt idx="1167">
                  <c:v>1.3</c:v>
                </c:pt>
                <c:pt idx="1168">
                  <c:v>1.3</c:v>
                </c:pt>
                <c:pt idx="1169">
                  <c:v>1.3</c:v>
                </c:pt>
                <c:pt idx="1170">
                  <c:v>1.3</c:v>
                </c:pt>
                <c:pt idx="1171">
                  <c:v>1.3</c:v>
                </c:pt>
                <c:pt idx="1172">
                  <c:v>1.28</c:v>
                </c:pt>
                <c:pt idx="1173">
                  <c:v>1.27</c:v>
                </c:pt>
                <c:pt idx="1174">
                  <c:v>1.27</c:v>
                </c:pt>
                <c:pt idx="1175">
                  <c:v>1.27</c:v>
                </c:pt>
                <c:pt idx="1176">
                  <c:v>1.27</c:v>
                </c:pt>
                <c:pt idx="1177">
                  <c:v>1.27</c:v>
                </c:pt>
                <c:pt idx="1178">
                  <c:v>1.27</c:v>
                </c:pt>
                <c:pt idx="1179">
                  <c:v>1.24</c:v>
                </c:pt>
                <c:pt idx="1180">
                  <c:v>1.1900000000000091</c:v>
                </c:pt>
                <c:pt idx="1181">
                  <c:v>1.1900000000000091</c:v>
                </c:pt>
                <c:pt idx="1182">
                  <c:v>1.1900000000000091</c:v>
                </c:pt>
                <c:pt idx="1183">
                  <c:v>1.1900000000000091</c:v>
                </c:pt>
                <c:pt idx="1184">
                  <c:v>1.1900000000000091</c:v>
                </c:pt>
                <c:pt idx="1185">
                  <c:v>1.180000000000009</c:v>
                </c:pt>
                <c:pt idx="1186">
                  <c:v>1.180000000000009</c:v>
                </c:pt>
                <c:pt idx="1187">
                  <c:v>1.1700000000000021</c:v>
                </c:pt>
                <c:pt idx="1188">
                  <c:v>1.1599999999999899</c:v>
                </c:pt>
                <c:pt idx="1189">
                  <c:v>1.1599999999999899</c:v>
                </c:pt>
                <c:pt idx="1190">
                  <c:v>1.1599999999999899</c:v>
                </c:pt>
                <c:pt idx="1191">
                  <c:v>1.1599999999999899</c:v>
                </c:pt>
                <c:pt idx="1192">
                  <c:v>1.1599999999999899</c:v>
                </c:pt>
                <c:pt idx="1193">
                  <c:v>1.1499999999999897</c:v>
                </c:pt>
                <c:pt idx="1194">
                  <c:v>1.1499999999999897</c:v>
                </c:pt>
                <c:pt idx="1195">
                  <c:v>1.1499999999999897</c:v>
                </c:pt>
                <c:pt idx="1196">
                  <c:v>1.1499999999999897</c:v>
                </c:pt>
                <c:pt idx="1197">
                  <c:v>1.1499999999999897</c:v>
                </c:pt>
                <c:pt idx="1198">
                  <c:v>1.1499999999999897</c:v>
                </c:pt>
                <c:pt idx="1199">
                  <c:v>1.1499999999999897</c:v>
                </c:pt>
                <c:pt idx="1200">
                  <c:v>1.1399999999999897</c:v>
                </c:pt>
                <c:pt idx="1201">
                  <c:v>1.1399999999999897</c:v>
                </c:pt>
                <c:pt idx="1202">
                  <c:v>1.1399999999999897</c:v>
                </c:pt>
                <c:pt idx="1203">
                  <c:v>1.1399999999999897</c:v>
                </c:pt>
                <c:pt idx="1204">
                  <c:v>1.06</c:v>
                </c:pt>
                <c:pt idx="1205">
                  <c:v>1.03</c:v>
                </c:pt>
                <c:pt idx="1206">
                  <c:v>1.02</c:v>
                </c:pt>
                <c:pt idx="1207">
                  <c:v>1.02</c:v>
                </c:pt>
                <c:pt idx="1208">
                  <c:v>1.02</c:v>
                </c:pt>
                <c:pt idx="1209">
                  <c:v>1.02</c:v>
                </c:pt>
                <c:pt idx="1210">
                  <c:v>1.02</c:v>
                </c:pt>
                <c:pt idx="1211">
                  <c:v>1</c:v>
                </c:pt>
                <c:pt idx="1212">
                  <c:v>0.99</c:v>
                </c:pt>
                <c:pt idx="1213">
                  <c:v>0.99</c:v>
                </c:pt>
                <c:pt idx="1214">
                  <c:v>0.99</c:v>
                </c:pt>
                <c:pt idx="1215">
                  <c:v>0.99</c:v>
                </c:pt>
                <c:pt idx="1216">
                  <c:v>0.99</c:v>
                </c:pt>
                <c:pt idx="1217">
                  <c:v>0.99</c:v>
                </c:pt>
                <c:pt idx="1218">
                  <c:v>0.99</c:v>
                </c:pt>
                <c:pt idx="1219">
                  <c:v>0.99</c:v>
                </c:pt>
                <c:pt idx="1220">
                  <c:v>0.99</c:v>
                </c:pt>
                <c:pt idx="1221">
                  <c:v>0.98</c:v>
                </c:pt>
                <c:pt idx="1222">
                  <c:v>0.98</c:v>
                </c:pt>
                <c:pt idx="1223">
                  <c:v>0.97000000000000064</c:v>
                </c:pt>
                <c:pt idx="1224">
                  <c:v>0.97000000000000064</c:v>
                </c:pt>
                <c:pt idx="1225">
                  <c:v>0.97000000000000064</c:v>
                </c:pt>
                <c:pt idx="1226">
                  <c:v>0.97000000000000064</c:v>
                </c:pt>
                <c:pt idx="1227">
                  <c:v>0.97000000000000064</c:v>
                </c:pt>
                <c:pt idx="1228">
                  <c:v>0.97000000000000064</c:v>
                </c:pt>
                <c:pt idx="1229">
                  <c:v>0.97000000000000064</c:v>
                </c:pt>
                <c:pt idx="1230">
                  <c:v>0.96000000000000063</c:v>
                </c:pt>
                <c:pt idx="1231">
                  <c:v>0.96000000000000063</c:v>
                </c:pt>
                <c:pt idx="1232">
                  <c:v>0.95000000000000062</c:v>
                </c:pt>
                <c:pt idx="1233">
                  <c:v>0.95000000000000062</c:v>
                </c:pt>
                <c:pt idx="1234">
                  <c:v>0.95000000000000062</c:v>
                </c:pt>
                <c:pt idx="1235">
                  <c:v>0.95000000000000062</c:v>
                </c:pt>
                <c:pt idx="1236">
                  <c:v>0.95000000000000062</c:v>
                </c:pt>
                <c:pt idx="1237">
                  <c:v>0.95000000000000062</c:v>
                </c:pt>
                <c:pt idx="1238">
                  <c:v>0.95000000000000062</c:v>
                </c:pt>
                <c:pt idx="1239">
                  <c:v>0.95000000000000062</c:v>
                </c:pt>
                <c:pt idx="1240">
                  <c:v>0.95000000000000062</c:v>
                </c:pt>
                <c:pt idx="1241">
                  <c:v>0.95000000000000062</c:v>
                </c:pt>
                <c:pt idx="1242">
                  <c:v>0.95000000000000062</c:v>
                </c:pt>
                <c:pt idx="1243">
                  <c:v>0.95000000000000062</c:v>
                </c:pt>
                <c:pt idx="1244">
                  <c:v>0.95000000000000062</c:v>
                </c:pt>
                <c:pt idx="1245">
                  <c:v>0.95000000000000062</c:v>
                </c:pt>
                <c:pt idx="1246">
                  <c:v>0.95000000000000062</c:v>
                </c:pt>
                <c:pt idx="1247">
                  <c:v>0.95000000000000062</c:v>
                </c:pt>
                <c:pt idx="1248">
                  <c:v>0.95000000000000062</c:v>
                </c:pt>
                <c:pt idx="1249">
                  <c:v>0.94000000000000061</c:v>
                </c:pt>
                <c:pt idx="1250">
                  <c:v>0.94000000000000061</c:v>
                </c:pt>
                <c:pt idx="1251">
                  <c:v>0.95000000000000062</c:v>
                </c:pt>
                <c:pt idx="1252">
                  <c:v>0.89</c:v>
                </c:pt>
                <c:pt idx="1253">
                  <c:v>0.92</c:v>
                </c:pt>
                <c:pt idx="1254">
                  <c:v>0.92</c:v>
                </c:pt>
                <c:pt idx="1255">
                  <c:v>0.91</c:v>
                </c:pt>
                <c:pt idx="1256">
                  <c:v>0.91</c:v>
                </c:pt>
                <c:pt idx="1257">
                  <c:v>0.91</c:v>
                </c:pt>
                <c:pt idx="1258">
                  <c:v>0.91</c:v>
                </c:pt>
                <c:pt idx="1259">
                  <c:v>0.91</c:v>
                </c:pt>
              </c:numCache>
            </c:numRef>
          </c:val>
        </c:ser>
        <c:marker val="1"/>
        <c:axId val="130374656"/>
        <c:axId val="130409216"/>
      </c:lineChart>
      <c:dateAx>
        <c:axId val="130374656"/>
        <c:scaling>
          <c:orientation val="minMax"/>
          <c:min val="39448"/>
        </c:scaling>
        <c:axPos val="b"/>
        <c:numFmt formatCode="m/d/yyyy" sourceLinked="1"/>
        <c:majorTickMark val="none"/>
        <c:tickLblPos val="nextTo"/>
        <c:txPr>
          <a:bodyPr/>
          <a:lstStyle/>
          <a:p>
            <a:pPr>
              <a:defRPr>
                <a:latin typeface="Times New Roman" pitchFamily="18" charset="0"/>
                <a:cs typeface="Times New Roman" pitchFamily="18" charset="0"/>
              </a:defRPr>
            </a:pPr>
            <a:endParaRPr lang="en-US"/>
          </a:p>
        </c:txPr>
        <c:crossAx val="130409216"/>
        <c:crosses val="autoZero"/>
        <c:auto val="1"/>
        <c:lblOffset val="100"/>
      </c:dateAx>
      <c:valAx>
        <c:axId val="130409216"/>
        <c:scaling>
          <c:orientation val="minMax"/>
        </c:scaling>
        <c:axPos val="l"/>
        <c:numFmt formatCode="General" sourceLinked="1"/>
        <c:majorTickMark val="none"/>
        <c:tickLblPos val="nextTo"/>
        <c:crossAx val="130374656"/>
        <c:crosses val="autoZero"/>
        <c:crossBetween val="between"/>
      </c:valAx>
    </c:plotArea>
    <c:legend>
      <c:legendPos val="b"/>
      <c:txPr>
        <a:bodyPr/>
        <a:lstStyle/>
        <a:p>
          <a:pPr>
            <a:defRPr>
              <a:latin typeface="Times New Roman" pitchFamily="18" charset="0"/>
              <a:cs typeface="Times New Roman" pitchFamily="18" charset="0"/>
            </a:defRPr>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style val="40"/>
  <c:chart>
    <c:plotArea>
      <c:layout/>
      <c:lineChart>
        <c:grouping val="standard"/>
        <c:ser>
          <c:idx val="0"/>
          <c:order val="0"/>
          <c:tx>
            <c:strRef>
              <c:f>Sheet1!$B$2</c:f>
              <c:strCache>
                <c:ptCount val="1"/>
                <c:pt idx="0">
                  <c:v>*UAB "Achemarida"</c:v>
                </c:pt>
              </c:strCache>
            </c:strRef>
          </c:tx>
          <c:spPr>
            <a:ln w="47625">
              <a:noFill/>
            </a:ln>
          </c:spPr>
          <c:marker>
            <c:symbol val="diamond"/>
            <c:size val="10"/>
            <c:spPr>
              <a:solidFill>
                <a:schemeClr val="accent6">
                  <a:lumMod val="50000"/>
                </a:schemeClr>
              </a:solidFill>
            </c:spPr>
          </c:marker>
          <c:cat>
            <c:numRef>
              <c:f>Sheet1!$A$3:$A$5</c:f>
              <c:numCache>
                <c:formatCode>General</c:formatCode>
                <c:ptCount val="3"/>
                <c:pt idx="0">
                  <c:v>2008</c:v>
                </c:pt>
                <c:pt idx="1">
                  <c:v>2009</c:v>
                </c:pt>
                <c:pt idx="2">
                  <c:v>2010</c:v>
                </c:pt>
              </c:numCache>
            </c:numRef>
          </c:cat>
          <c:val>
            <c:numRef>
              <c:f>Sheet1!$B$3:$B$5</c:f>
              <c:numCache>
                <c:formatCode>General</c:formatCode>
                <c:ptCount val="3"/>
                <c:pt idx="0">
                  <c:v>2.762</c:v>
                </c:pt>
                <c:pt idx="1">
                  <c:v>1.052</c:v>
                </c:pt>
                <c:pt idx="2">
                  <c:v>0.45700000000000002</c:v>
                </c:pt>
              </c:numCache>
            </c:numRef>
          </c:val>
        </c:ser>
        <c:ser>
          <c:idx val="1"/>
          <c:order val="1"/>
          <c:tx>
            <c:strRef>
              <c:f>Sheet1!$C$2</c:f>
              <c:strCache>
                <c:ptCount val="1"/>
                <c:pt idx="0">
                  <c:v>*UAB "Romas ir ko"</c:v>
                </c:pt>
              </c:strCache>
            </c:strRef>
          </c:tx>
          <c:spPr>
            <a:ln>
              <a:noFill/>
            </a:ln>
          </c:spPr>
          <c:marker>
            <c:symbol val="square"/>
            <c:size val="10"/>
            <c:spPr>
              <a:solidFill>
                <a:srgbClr val="F79646">
                  <a:lumMod val="50000"/>
                </a:srgbClr>
              </a:solidFill>
            </c:spPr>
          </c:marker>
          <c:cat>
            <c:numRef>
              <c:f>Sheet1!$A$3:$A$5</c:f>
              <c:numCache>
                <c:formatCode>General</c:formatCode>
                <c:ptCount val="3"/>
                <c:pt idx="0">
                  <c:v>2008</c:v>
                </c:pt>
                <c:pt idx="1">
                  <c:v>2009</c:v>
                </c:pt>
                <c:pt idx="2">
                  <c:v>2010</c:v>
                </c:pt>
              </c:numCache>
            </c:numRef>
          </c:cat>
          <c:val>
            <c:numRef>
              <c:f>Sheet1!$C$3:$C$5</c:f>
              <c:numCache>
                <c:formatCode>General</c:formatCode>
                <c:ptCount val="3"/>
                <c:pt idx="0">
                  <c:v>2.3309999999999977</c:v>
                </c:pt>
                <c:pt idx="1">
                  <c:v>2.3859999999999997</c:v>
                </c:pt>
                <c:pt idx="2">
                  <c:v>1.9139999999999913</c:v>
                </c:pt>
              </c:numCache>
            </c:numRef>
          </c:val>
        </c:ser>
        <c:ser>
          <c:idx val="2"/>
          <c:order val="2"/>
          <c:tx>
            <c:strRef>
              <c:f>Sheet1!$D$2</c:f>
              <c:strCache>
                <c:ptCount val="1"/>
                <c:pt idx="0">
                  <c:v>UAB "Autoverslas"</c:v>
                </c:pt>
              </c:strCache>
            </c:strRef>
          </c:tx>
          <c:spPr>
            <a:ln>
              <a:noFill/>
            </a:ln>
          </c:spPr>
          <c:marker>
            <c:symbol val="triangle"/>
            <c:size val="10"/>
            <c:spPr>
              <a:solidFill>
                <a:srgbClr val="F79646">
                  <a:lumMod val="60000"/>
                  <a:lumOff val="40000"/>
                </a:srgbClr>
              </a:solidFill>
            </c:spPr>
          </c:marker>
          <c:cat>
            <c:numRef>
              <c:f>Sheet1!$A$3:$A$5</c:f>
              <c:numCache>
                <c:formatCode>General</c:formatCode>
                <c:ptCount val="3"/>
                <c:pt idx="0">
                  <c:v>2008</c:v>
                </c:pt>
                <c:pt idx="1">
                  <c:v>2009</c:v>
                </c:pt>
                <c:pt idx="2">
                  <c:v>2010</c:v>
                </c:pt>
              </c:numCache>
            </c:numRef>
          </c:cat>
          <c:val>
            <c:numRef>
              <c:f>Sheet1!$D$3:$D$5</c:f>
              <c:numCache>
                <c:formatCode>General</c:formatCode>
                <c:ptCount val="3"/>
                <c:pt idx="0">
                  <c:v>1.552</c:v>
                </c:pt>
                <c:pt idx="1">
                  <c:v>1.43</c:v>
                </c:pt>
                <c:pt idx="2">
                  <c:v>1.895</c:v>
                </c:pt>
              </c:numCache>
            </c:numRef>
          </c:val>
        </c:ser>
        <c:ser>
          <c:idx val="3"/>
          <c:order val="3"/>
          <c:tx>
            <c:strRef>
              <c:f>Sheet1!$E$2</c:f>
              <c:strCache>
                <c:ptCount val="1"/>
                <c:pt idx="0">
                  <c:v>UAB "Girteka"</c:v>
                </c:pt>
              </c:strCache>
            </c:strRef>
          </c:tx>
          <c:spPr>
            <a:ln>
              <a:noFill/>
            </a:ln>
          </c:spPr>
          <c:marker>
            <c:symbol val="circle"/>
            <c:size val="10"/>
            <c:spPr>
              <a:solidFill>
                <a:schemeClr val="accent6">
                  <a:lumMod val="60000"/>
                  <a:lumOff val="40000"/>
                </a:schemeClr>
              </a:solidFill>
            </c:spPr>
          </c:marker>
          <c:cat>
            <c:numRef>
              <c:f>Sheet1!$A$3:$A$5</c:f>
              <c:numCache>
                <c:formatCode>General</c:formatCode>
                <c:ptCount val="3"/>
                <c:pt idx="0">
                  <c:v>2008</c:v>
                </c:pt>
                <c:pt idx="1">
                  <c:v>2009</c:v>
                </c:pt>
                <c:pt idx="2">
                  <c:v>2010</c:v>
                </c:pt>
              </c:numCache>
            </c:numRef>
          </c:cat>
          <c:val>
            <c:numRef>
              <c:f>Sheet1!$E$3:$E$5</c:f>
              <c:numCache>
                <c:formatCode>General</c:formatCode>
                <c:ptCount val="3"/>
                <c:pt idx="0">
                  <c:v>1.9339999999999917</c:v>
                </c:pt>
                <c:pt idx="1">
                  <c:v>1.819</c:v>
                </c:pt>
                <c:pt idx="2">
                  <c:v>2.6539999999999999</c:v>
                </c:pt>
              </c:numCache>
            </c:numRef>
          </c:val>
        </c:ser>
        <c:ser>
          <c:idx val="4"/>
          <c:order val="4"/>
          <c:tx>
            <c:strRef>
              <c:f>Sheet1!$F$2</c:f>
              <c:strCache>
                <c:ptCount val="1"/>
                <c:pt idx="0">
                  <c:v>Modelio kritinė reikšmė</c:v>
                </c:pt>
              </c:strCache>
            </c:strRef>
          </c:tx>
          <c:spPr>
            <a:ln>
              <a:solidFill>
                <a:srgbClr val="F79646">
                  <a:lumMod val="75000"/>
                </a:srgbClr>
              </a:solidFill>
            </a:ln>
          </c:spPr>
          <c:marker>
            <c:symbol val="none"/>
          </c:marker>
          <c:cat>
            <c:numRef>
              <c:f>Sheet1!$A$3:$A$5</c:f>
              <c:numCache>
                <c:formatCode>General</c:formatCode>
                <c:ptCount val="3"/>
                <c:pt idx="0">
                  <c:v>2008</c:v>
                </c:pt>
                <c:pt idx="1">
                  <c:v>2009</c:v>
                </c:pt>
                <c:pt idx="2">
                  <c:v>2010</c:v>
                </c:pt>
              </c:numCache>
            </c:numRef>
          </c:cat>
          <c:val>
            <c:numRef>
              <c:f>Sheet1!$F$3:$F$5</c:f>
              <c:numCache>
                <c:formatCode>General</c:formatCode>
                <c:ptCount val="3"/>
                <c:pt idx="0">
                  <c:v>1.23</c:v>
                </c:pt>
                <c:pt idx="1">
                  <c:v>1.23</c:v>
                </c:pt>
                <c:pt idx="2">
                  <c:v>1.23</c:v>
                </c:pt>
              </c:numCache>
            </c:numRef>
          </c:val>
        </c:ser>
        <c:ser>
          <c:idx val="5"/>
          <c:order val="5"/>
          <c:tx>
            <c:strRef>
              <c:f>Sheet1!$G$2</c:f>
              <c:strCache>
                <c:ptCount val="1"/>
                <c:pt idx="0">
                  <c:v>Modelio kritinė reikšmė</c:v>
                </c:pt>
              </c:strCache>
            </c:strRef>
          </c:tx>
          <c:spPr>
            <a:ln>
              <a:solidFill>
                <a:srgbClr val="F79646">
                  <a:lumMod val="75000"/>
                </a:srgbClr>
              </a:solidFill>
            </a:ln>
          </c:spPr>
          <c:marker>
            <c:symbol val="none"/>
          </c:marker>
          <c:cat>
            <c:numRef>
              <c:f>Sheet1!$A$3:$A$5</c:f>
              <c:numCache>
                <c:formatCode>General</c:formatCode>
                <c:ptCount val="3"/>
                <c:pt idx="0">
                  <c:v>2008</c:v>
                </c:pt>
                <c:pt idx="1">
                  <c:v>2009</c:v>
                </c:pt>
                <c:pt idx="2">
                  <c:v>2010</c:v>
                </c:pt>
              </c:numCache>
            </c:numRef>
          </c:cat>
          <c:val>
            <c:numRef>
              <c:f>Sheet1!$G$3:$G$5</c:f>
              <c:numCache>
                <c:formatCode>General</c:formatCode>
                <c:ptCount val="3"/>
                <c:pt idx="0">
                  <c:v>2.9</c:v>
                </c:pt>
                <c:pt idx="1">
                  <c:v>2.9</c:v>
                </c:pt>
                <c:pt idx="2">
                  <c:v>2.9</c:v>
                </c:pt>
              </c:numCache>
            </c:numRef>
          </c:val>
        </c:ser>
        <c:marker val="1"/>
        <c:axId val="130480000"/>
        <c:axId val="130481536"/>
      </c:lineChart>
      <c:catAx>
        <c:axId val="130480000"/>
        <c:scaling>
          <c:orientation val="minMax"/>
        </c:scaling>
        <c:axPos val="b"/>
        <c:numFmt formatCode="General" sourceLinked="1"/>
        <c:tickLblPos val="nextTo"/>
        <c:txPr>
          <a:bodyPr/>
          <a:lstStyle/>
          <a:p>
            <a:pPr>
              <a:defRPr>
                <a:latin typeface="Times New Roman" pitchFamily="18" charset="0"/>
                <a:cs typeface="Times New Roman" pitchFamily="18" charset="0"/>
              </a:defRPr>
            </a:pPr>
            <a:endParaRPr lang="en-US"/>
          </a:p>
        </c:txPr>
        <c:crossAx val="130481536"/>
        <c:crosses val="autoZero"/>
        <c:auto val="1"/>
        <c:lblAlgn val="ctr"/>
        <c:lblOffset val="100"/>
      </c:catAx>
      <c:valAx>
        <c:axId val="130481536"/>
        <c:scaling>
          <c:orientation val="minMax"/>
        </c:scaling>
        <c:axPos val="l"/>
        <c:majorGridlines/>
        <c:numFmt formatCode="#,##0.00" sourceLinked="0"/>
        <c:tickLblPos val="nextTo"/>
        <c:txPr>
          <a:bodyPr/>
          <a:lstStyle/>
          <a:p>
            <a:pPr>
              <a:defRPr>
                <a:latin typeface="Times New Roman" pitchFamily="18" charset="0"/>
                <a:cs typeface="Times New Roman" pitchFamily="18" charset="0"/>
              </a:defRPr>
            </a:pPr>
            <a:endParaRPr lang="en-US"/>
          </a:p>
        </c:txPr>
        <c:crossAx val="130480000"/>
        <c:crosses val="autoZero"/>
        <c:crossBetween val="between"/>
      </c:valAx>
    </c:plotArea>
    <c:legend>
      <c:legendPos val="r"/>
      <c:legendEntry>
        <c:idx val="5"/>
        <c:delete val="1"/>
      </c:legendEntry>
      <c:txPr>
        <a:bodyPr/>
        <a:lstStyle/>
        <a:p>
          <a:pPr>
            <a:defRPr>
              <a:latin typeface="Times New Roman" pitchFamily="18" charset="0"/>
              <a:cs typeface="Times New Roman" pitchFamily="18" charset="0"/>
            </a:defRPr>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style val="40"/>
  <c:chart>
    <c:plotArea>
      <c:layout/>
      <c:lineChart>
        <c:grouping val="standard"/>
        <c:ser>
          <c:idx val="0"/>
          <c:order val="0"/>
          <c:tx>
            <c:strRef>
              <c:f>Sheet1!$B$1</c:f>
              <c:strCache>
                <c:ptCount val="1"/>
                <c:pt idx="0">
                  <c:v>*UAB "Achemarida"</c:v>
                </c:pt>
              </c:strCache>
            </c:strRef>
          </c:tx>
          <c:spPr>
            <a:ln w="47625">
              <a:noFill/>
            </a:ln>
          </c:spPr>
          <c:marker>
            <c:symbol val="diamond"/>
            <c:size val="10"/>
            <c:spPr>
              <a:solidFill>
                <a:srgbClr val="F79646">
                  <a:lumMod val="50000"/>
                </a:srgbClr>
              </a:solidFill>
            </c:spPr>
          </c:marker>
          <c:cat>
            <c:numRef>
              <c:f>Sheet1!$A$2:$A$4</c:f>
              <c:numCache>
                <c:formatCode>General</c:formatCode>
                <c:ptCount val="3"/>
                <c:pt idx="0">
                  <c:v>2008</c:v>
                </c:pt>
                <c:pt idx="1">
                  <c:v>2009</c:v>
                </c:pt>
                <c:pt idx="2">
                  <c:v>2010</c:v>
                </c:pt>
              </c:numCache>
            </c:numRef>
          </c:cat>
          <c:val>
            <c:numRef>
              <c:f>Sheet1!$B$2:$B$4</c:f>
              <c:numCache>
                <c:formatCode>0.000</c:formatCode>
                <c:ptCount val="3"/>
                <c:pt idx="0" formatCode="0.0000">
                  <c:v>0.77222555049474928</c:v>
                </c:pt>
                <c:pt idx="1">
                  <c:v>0.14445604014718458</c:v>
                </c:pt>
                <c:pt idx="2">
                  <c:v>-0.51401181374293659</c:v>
                </c:pt>
              </c:numCache>
            </c:numRef>
          </c:val>
        </c:ser>
        <c:ser>
          <c:idx val="1"/>
          <c:order val="1"/>
          <c:tx>
            <c:strRef>
              <c:f>Sheet1!$C$1</c:f>
              <c:strCache>
                <c:ptCount val="1"/>
                <c:pt idx="0">
                  <c:v>*UAB "Romas ir Ko"</c:v>
                </c:pt>
              </c:strCache>
            </c:strRef>
          </c:tx>
          <c:spPr>
            <a:ln w="47625">
              <a:noFill/>
            </a:ln>
          </c:spPr>
          <c:marker>
            <c:symbol val="square"/>
            <c:size val="10"/>
            <c:spPr>
              <a:solidFill>
                <a:schemeClr val="accent6">
                  <a:lumMod val="50000"/>
                </a:schemeClr>
              </a:solidFill>
            </c:spPr>
          </c:marker>
          <c:cat>
            <c:numRef>
              <c:f>Sheet1!$A$2:$A$4</c:f>
              <c:numCache>
                <c:formatCode>General</c:formatCode>
                <c:ptCount val="3"/>
                <c:pt idx="0">
                  <c:v>2008</c:v>
                </c:pt>
                <c:pt idx="1">
                  <c:v>2009</c:v>
                </c:pt>
                <c:pt idx="2">
                  <c:v>2010</c:v>
                </c:pt>
              </c:numCache>
            </c:numRef>
          </c:cat>
          <c:val>
            <c:numRef>
              <c:f>Sheet1!$C$2:$C$4</c:f>
              <c:numCache>
                <c:formatCode>0.000</c:formatCode>
                <c:ptCount val="3"/>
                <c:pt idx="0" formatCode="0.0000">
                  <c:v>1.5166447524668856</c:v>
                </c:pt>
                <c:pt idx="1">
                  <c:v>0.77279666309661044</c:v>
                </c:pt>
                <c:pt idx="2">
                  <c:v>-1.3869560017333538</c:v>
                </c:pt>
              </c:numCache>
            </c:numRef>
          </c:val>
        </c:ser>
        <c:ser>
          <c:idx val="2"/>
          <c:order val="2"/>
          <c:tx>
            <c:strRef>
              <c:f>Sheet1!$D$1</c:f>
              <c:strCache>
                <c:ptCount val="1"/>
                <c:pt idx="0">
                  <c:v>UAB "Autoverslas"</c:v>
                </c:pt>
              </c:strCache>
            </c:strRef>
          </c:tx>
          <c:spPr>
            <a:ln w="47625">
              <a:noFill/>
            </a:ln>
          </c:spPr>
          <c:marker>
            <c:symbol val="triangle"/>
            <c:size val="10"/>
            <c:spPr>
              <a:solidFill>
                <a:srgbClr val="F79646">
                  <a:lumMod val="60000"/>
                  <a:lumOff val="40000"/>
                </a:srgbClr>
              </a:solidFill>
            </c:spPr>
          </c:marker>
          <c:cat>
            <c:numRef>
              <c:f>Sheet1!$A$2:$A$4</c:f>
              <c:numCache>
                <c:formatCode>General</c:formatCode>
                <c:ptCount val="3"/>
                <c:pt idx="0">
                  <c:v>2008</c:v>
                </c:pt>
                <c:pt idx="1">
                  <c:v>2009</c:v>
                </c:pt>
                <c:pt idx="2">
                  <c:v>2010</c:v>
                </c:pt>
              </c:numCache>
            </c:numRef>
          </c:cat>
          <c:val>
            <c:numRef>
              <c:f>Sheet1!$D$2:$D$4</c:f>
              <c:numCache>
                <c:formatCode>0.000</c:formatCode>
                <c:ptCount val="3"/>
                <c:pt idx="0" formatCode="0.0000">
                  <c:v>0.40750015916805782</c:v>
                </c:pt>
                <c:pt idx="1">
                  <c:v>0.64072732045383263</c:v>
                </c:pt>
                <c:pt idx="2">
                  <c:v>1.0537117095720654</c:v>
                </c:pt>
              </c:numCache>
            </c:numRef>
          </c:val>
        </c:ser>
        <c:ser>
          <c:idx val="3"/>
          <c:order val="3"/>
          <c:tx>
            <c:strRef>
              <c:f>Sheet1!$E$1</c:f>
              <c:strCache>
                <c:ptCount val="1"/>
                <c:pt idx="0">
                  <c:v>UAB "Girteka"</c:v>
                </c:pt>
              </c:strCache>
            </c:strRef>
          </c:tx>
          <c:spPr>
            <a:ln w="47625">
              <a:noFill/>
            </a:ln>
          </c:spPr>
          <c:marker>
            <c:symbol val="circle"/>
            <c:size val="10"/>
          </c:marker>
          <c:cat>
            <c:numRef>
              <c:f>Sheet1!$A$2:$A$4</c:f>
              <c:numCache>
                <c:formatCode>General</c:formatCode>
                <c:ptCount val="3"/>
                <c:pt idx="0">
                  <c:v>2008</c:v>
                </c:pt>
                <c:pt idx="1">
                  <c:v>2009</c:v>
                </c:pt>
                <c:pt idx="2">
                  <c:v>2010</c:v>
                </c:pt>
              </c:numCache>
            </c:numRef>
          </c:cat>
          <c:val>
            <c:numRef>
              <c:f>Sheet1!$E$2:$E$4</c:f>
              <c:numCache>
                <c:formatCode>0.000</c:formatCode>
                <c:ptCount val="3"/>
                <c:pt idx="0" formatCode="0.0000">
                  <c:v>0.73094718489904231</c:v>
                </c:pt>
                <c:pt idx="1">
                  <c:v>0.62697167562319966</c:v>
                </c:pt>
                <c:pt idx="2">
                  <c:v>1.3702730553381459</c:v>
                </c:pt>
              </c:numCache>
            </c:numRef>
          </c:val>
        </c:ser>
        <c:ser>
          <c:idx val="4"/>
          <c:order val="4"/>
          <c:tx>
            <c:strRef>
              <c:f>Sheet1!$F$1</c:f>
              <c:strCache>
                <c:ptCount val="1"/>
                <c:pt idx="0">
                  <c:v>Modelio kritinė reikšmė</c:v>
                </c:pt>
              </c:strCache>
            </c:strRef>
          </c:tx>
          <c:spPr>
            <a:ln w="50800">
              <a:solidFill>
                <a:schemeClr val="accent6">
                  <a:lumMod val="75000"/>
                </a:schemeClr>
              </a:solidFill>
            </a:ln>
          </c:spPr>
          <c:marker>
            <c:symbol val="none"/>
          </c:marker>
          <c:trendline>
            <c:trendlineType val="linear"/>
          </c:trendline>
          <c:cat>
            <c:numRef>
              <c:f>Sheet1!$A$2:$A$4</c:f>
              <c:numCache>
                <c:formatCode>General</c:formatCode>
                <c:ptCount val="3"/>
                <c:pt idx="0">
                  <c:v>2008</c:v>
                </c:pt>
                <c:pt idx="1">
                  <c:v>2009</c:v>
                </c:pt>
                <c:pt idx="2">
                  <c:v>2010</c:v>
                </c:pt>
              </c:numCache>
            </c:numRef>
          </c:cat>
          <c:val>
            <c:numRef>
              <c:f>Sheet1!$F$2:$F$4</c:f>
              <c:numCache>
                <c:formatCode>0.0000</c:formatCode>
                <c:ptCount val="3"/>
                <c:pt idx="0">
                  <c:v>0.86200000000000065</c:v>
                </c:pt>
                <c:pt idx="1">
                  <c:v>0.86200000000000065</c:v>
                </c:pt>
                <c:pt idx="2">
                  <c:v>0.86200000000000065</c:v>
                </c:pt>
              </c:numCache>
            </c:numRef>
          </c:val>
        </c:ser>
        <c:marker val="1"/>
        <c:axId val="130583552"/>
        <c:axId val="130589440"/>
      </c:lineChart>
      <c:catAx>
        <c:axId val="130583552"/>
        <c:scaling>
          <c:orientation val="minMax"/>
        </c:scaling>
        <c:axPos val="b"/>
        <c:numFmt formatCode="General" sourceLinked="1"/>
        <c:tickLblPos val="nextTo"/>
        <c:txPr>
          <a:bodyPr/>
          <a:lstStyle/>
          <a:p>
            <a:pPr>
              <a:defRPr>
                <a:latin typeface="Times New Roman" pitchFamily="18" charset="0"/>
                <a:cs typeface="Times New Roman" pitchFamily="18" charset="0"/>
              </a:defRPr>
            </a:pPr>
            <a:endParaRPr lang="en-US"/>
          </a:p>
        </c:txPr>
        <c:crossAx val="130589440"/>
        <c:crosses val="autoZero"/>
        <c:auto val="1"/>
        <c:lblAlgn val="ctr"/>
        <c:lblOffset val="100"/>
      </c:catAx>
      <c:valAx>
        <c:axId val="130589440"/>
        <c:scaling>
          <c:orientation val="minMax"/>
        </c:scaling>
        <c:axPos val="l"/>
        <c:majorGridlines/>
        <c:numFmt formatCode="0.00" sourceLinked="0"/>
        <c:tickLblPos val="nextTo"/>
        <c:txPr>
          <a:bodyPr/>
          <a:lstStyle/>
          <a:p>
            <a:pPr>
              <a:defRPr>
                <a:latin typeface="Times New Roman" pitchFamily="18" charset="0"/>
                <a:cs typeface="Times New Roman" pitchFamily="18" charset="0"/>
              </a:defRPr>
            </a:pPr>
            <a:endParaRPr lang="en-US"/>
          </a:p>
        </c:txPr>
        <c:crossAx val="130583552"/>
        <c:crosses val="autoZero"/>
        <c:crossBetween val="between"/>
      </c:valAx>
    </c:plotArea>
    <c:legend>
      <c:legendPos val="r"/>
      <c:legendEntry>
        <c:idx val="5"/>
        <c:delete val="1"/>
      </c:legendEntry>
      <c:txPr>
        <a:bodyPr/>
        <a:lstStyle/>
        <a:p>
          <a:pPr>
            <a:defRPr>
              <a:latin typeface="Times New Roman" pitchFamily="18" charset="0"/>
              <a:cs typeface="Times New Roman" pitchFamily="18" charset="0"/>
            </a:defRPr>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style val="40"/>
  <c:chart>
    <c:plotArea>
      <c:layout/>
      <c:lineChart>
        <c:grouping val="standard"/>
        <c:ser>
          <c:idx val="0"/>
          <c:order val="0"/>
          <c:tx>
            <c:strRef>
              <c:f>Sheet1!$B$1</c:f>
              <c:strCache>
                <c:ptCount val="1"/>
                <c:pt idx="0">
                  <c:v>*UAB "Achemarida"</c:v>
                </c:pt>
              </c:strCache>
            </c:strRef>
          </c:tx>
          <c:spPr>
            <a:ln>
              <a:noFill/>
            </a:ln>
          </c:spPr>
          <c:marker>
            <c:symbol val="diamond"/>
            <c:size val="10"/>
            <c:spPr>
              <a:solidFill>
                <a:srgbClr val="F79646">
                  <a:lumMod val="50000"/>
                </a:srgbClr>
              </a:solidFill>
            </c:spPr>
          </c:marker>
          <c:cat>
            <c:numRef>
              <c:f>Sheet1!$A$2:$A$4</c:f>
              <c:numCache>
                <c:formatCode>General</c:formatCode>
                <c:ptCount val="3"/>
                <c:pt idx="0">
                  <c:v>2008</c:v>
                </c:pt>
                <c:pt idx="1">
                  <c:v>2009</c:v>
                </c:pt>
                <c:pt idx="2">
                  <c:v>2010</c:v>
                </c:pt>
              </c:numCache>
            </c:numRef>
          </c:cat>
          <c:val>
            <c:numRef>
              <c:f>Sheet1!$B$2:$B$4</c:f>
              <c:numCache>
                <c:formatCode>0.000</c:formatCode>
                <c:ptCount val="3"/>
                <c:pt idx="0">
                  <c:v>0.42121468615959057</c:v>
                </c:pt>
                <c:pt idx="1">
                  <c:v>6.0759193483436433E-2</c:v>
                </c:pt>
                <c:pt idx="2">
                  <c:v>-0.20385566639866018</c:v>
                </c:pt>
              </c:numCache>
            </c:numRef>
          </c:val>
        </c:ser>
        <c:ser>
          <c:idx val="1"/>
          <c:order val="1"/>
          <c:tx>
            <c:strRef>
              <c:f>Sheet1!$C$1</c:f>
              <c:strCache>
                <c:ptCount val="1"/>
                <c:pt idx="0">
                  <c:v>*UAB "Romas ir Ko"</c:v>
                </c:pt>
              </c:strCache>
            </c:strRef>
          </c:tx>
          <c:spPr>
            <a:ln>
              <a:noFill/>
            </a:ln>
          </c:spPr>
          <c:marker>
            <c:symbol val="square"/>
            <c:size val="10"/>
            <c:spPr>
              <a:solidFill>
                <a:schemeClr val="accent6">
                  <a:lumMod val="50000"/>
                </a:schemeClr>
              </a:solidFill>
            </c:spPr>
          </c:marker>
          <c:cat>
            <c:numRef>
              <c:f>Sheet1!$A$2:$A$4</c:f>
              <c:numCache>
                <c:formatCode>General</c:formatCode>
                <c:ptCount val="3"/>
                <c:pt idx="0">
                  <c:v>2008</c:v>
                </c:pt>
                <c:pt idx="1">
                  <c:v>2009</c:v>
                </c:pt>
                <c:pt idx="2">
                  <c:v>2010</c:v>
                </c:pt>
              </c:numCache>
            </c:numRef>
          </c:cat>
          <c:val>
            <c:numRef>
              <c:f>Sheet1!$C$2:$C$4</c:f>
              <c:numCache>
                <c:formatCode>0.000</c:formatCode>
                <c:ptCount val="3"/>
                <c:pt idx="0">
                  <c:v>0.56818203229616715</c:v>
                </c:pt>
                <c:pt idx="1">
                  <c:v>9.7210685459877516E-2</c:v>
                </c:pt>
                <c:pt idx="2">
                  <c:v>-1.1446673163421273</c:v>
                </c:pt>
              </c:numCache>
            </c:numRef>
          </c:val>
        </c:ser>
        <c:ser>
          <c:idx val="2"/>
          <c:order val="2"/>
          <c:tx>
            <c:strRef>
              <c:f>Sheet1!$D$1</c:f>
              <c:strCache>
                <c:ptCount val="1"/>
                <c:pt idx="0">
                  <c:v>UAB "Autoverslas"</c:v>
                </c:pt>
              </c:strCache>
            </c:strRef>
          </c:tx>
          <c:spPr>
            <a:ln>
              <a:noFill/>
            </a:ln>
          </c:spPr>
          <c:marker>
            <c:symbol val="triangle"/>
            <c:size val="10"/>
            <c:spPr>
              <a:solidFill>
                <a:schemeClr val="accent6">
                  <a:lumMod val="60000"/>
                  <a:lumOff val="40000"/>
                </a:schemeClr>
              </a:solidFill>
            </c:spPr>
          </c:marker>
          <c:cat>
            <c:numRef>
              <c:f>Sheet1!$A$2:$A$4</c:f>
              <c:numCache>
                <c:formatCode>General</c:formatCode>
                <c:ptCount val="3"/>
                <c:pt idx="0">
                  <c:v>2008</c:v>
                </c:pt>
                <c:pt idx="1">
                  <c:v>2009</c:v>
                </c:pt>
                <c:pt idx="2">
                  <c:v>2010</c:v>
                </c:pt>
              </c:numCache>
            </c:numRef>
          </c:cat>
          <c:val>
            <c:numRef>
              <c:f>Sheet1!$D$2:$D$4</c:f>
              <c:numCache>
                <c:formatCode>0.000</c:formatCode>
                <c:ptCount val="3"/>
                <c:pt idx="0">
                  <c:v>9.3720360843078096E-2</c:v>
                </c:pt>
                <c:pt idx="1">
                  <c:v>0.29801888840309432</c:v>
                </c:pt>
                <c:pt idx="2">
                  <c:v>0.46145826806632112</c:v>
                </c:pt>
              </c:numCache>
            </c:numRef>
          </c:val>
        </c:ser>
        <c:ser>
          <c:idx val="3"/>
          <c:order val="3"/>
          <c:tx>
            <c:strRef>
              <c:f>Sheet1!$E$1</c:f>
              <c:strCache>
                <c:ptCount val="1"/>
                <c:pt idx="0">
                  <c:v>UAB "Girteka"</c:v>
                </c:pt>
              </c:strCache>
            </c:strRef>
          </c:tx>
          <c:spPr>
            <a:ln>
              <a:noFill/>
            </a:ln>
          </c:spPr>
          <c:marker>
            <c:symbol val="circle"/>
            <c:size val="10"/>
            <c:spPr>
              <a:solidFill>
                <a:srgbClr val="F79646">
                  <a:lumMod val="60000"/>
                  <a:lumOff val="40000"/>
                </a:srgbClr>
              </a:solidFill>
            </c:spPr>
          </c:marker>
          <c:cat>
            <c:numRef>
              <c:f>Sheet1!$A$2:$A$4</c:f>
              <c:numCache>
                <c:formatCode>General</c:formatCode>
                <c:ptCount val="3"/>
                <c:pt idx="0">
                  <c:v>2008</c:v>
                </c:pt>
                <c:pt idx="1">
                  <c:v>2009</c:v>
                </c:pt>
                <c:pt idx="2">
                  <c:v>2010</c:v>
                </c:pt>
              </c:numCache>
            </c:numRef>
          </c:cat>
          <c:val>
            <c:numRef>
              <c:f>Sheet1!$E$2:$E$4</c:f>
              <c:numCache>
                <c:formatCode>0.000</c:formatCode>
                <c:ptCount val="3"/>
                <c:pt idx="0">
                  <c:v>-4.4653995435006914E-2</c:v>
                </c:pt>
                <c:pt idx="1">
                  <c:v>0.11592822632821652</c:v>
                </c:pt>
                <c:pt idx="2">
                  <c:v>1.0012542115230458</c:v>
                </c:pt>
              </c:numCache>
            </c:numRef>
          </c:val>
        </c:ser>
        <c:ser>
          <c:idx val="4"/>
          <c:order val="4"/>
          <c:tx>
            <c:strRef>
              <c:f>Sheet1!$F$1</c:f>
              <c:strCache>
                <c:ptCount val="1"/>
                <c:pt idx="0">
                  <c:v>Modelio kritinė reikšmė</c:v>
                </c:pt>
              </c:strCache>
            </c:strRef>
          </c:tx>
          <c:spPr>
            <a:ln w="50800">
              <a:solidFill>
                <a:srgbClr val="F79646">
                  <a:lumMod val="75000"/>
                </a:srgbClr>
              </a:solidFill>
            </a:ln>
          </c:spPr>
          <c:marker>
            <c:symbol val="none"/>
          </c:marker>
          <c:cat>
            <c:numRef>
              <c:f>Sheet1!$A$2:$A$4</c:f>
              <c:numCache>
                <c:formatCode>General</c:formatCode>
                <c:ptCount val="3"/>
                <c:pt idx="0">
                  <c:v>2008</c:v>
                </c:pt>
                <c:pt idx="1">
                  <c:v>2009</c:v>
                </c:pt>
                <c:pt idx="2">
                  <c:v>2010</c:v>
                </c:pt>
              </c:numCache>
            </c:numRef>
          </c:cat>
          <c:val>
            <c:numRef>
              <c:f>Sheet1!$F$2:$F$4</c:f>
              <c:numCache>
                <c:formatCode>0.000</c:formatCode>
                <c:ptCount val="3"/>
                <c:pt idx="0">
                  <c:v>0.2</c:v>
                </c:pt>
                <c:pt idx="1">
                  <c:v>0.2</c:v>
                </c:pt>
                <c:pt idx="2">
                  <c:v>0.2</c:v>
                </c:pt>
              </c:numCache>
            </c:numRef>
          </c:val>
        </c:ser>
        <c:ser>
          <c:idx val="5"/>
          <c:order val="5"/>
          <c:tx>
            <c:strRef>
              <c:f>Sheet1!$G$1</c:f>
              <c:strCache>
                <c:ptCount val="1"/>
              </c:strCache>
            </c:strRef>
          </c:tx>
          <c:spPr>
            <a:ln w="50800">
              <a:solidFill>
                <a:schemeClr val="accent6">
                  <a:lumMod val="75000"/>
                </a:schemeClr>
              </a:solidFill>
            </a:ln>
          </c:spPr>
          <c:marker>
            <c:symbol val="none"/>
          </c:marker>
          <c:cat>
            <c:numRef>
              <c:f>Sheet1!$A$2:$A$4</c:f>
              <c:numCache>
                <c:formatCode>General</c:formatCode>
                <c:ptCount val="3"/>
                <c:pt idx="0">
                  <c:v>2008</c:v>
                </c:pt>
                <c:pt idx="1">
                  <c:v>2009</c:v>
                </c:pt>
                <c:pt idx="2">
                  <c:v>2010</c:v>
                </c:pt>
              </c:numCache>
            </c:numRef>
          </c:cat>
          <c:val>
            <c:numRef>
              <c:f>Sheet1!$G$2:$G$4</c:f>
              <c:numCache>
                <c:formatCode>General</c:formatCode>
                <c:ptCount val="3"/>
                <c:pt idx="0" formatCode="0.000">
                  <c:v>0.30000000000000032</c:v>
                </c:pt>
                <c:pt idx="1">
                  <c:v>0.30000000000000032</c:v>
                </c:pt>
                <c:pt idx="2" formatCode="0.000">
                  <c:v>0.30000000000000032</c:v>
                </c:pt>
              </c:numCache>
            </c:numRef>
          </c:val>
        </c:ser>
        <c:marker val="1"/>
        <c:axId val="130642304"/>
        <c:axId val="130643840"/>
      </c:lineChart>
      <c:catAx>
        <c:axId val="130642304"/>
        <c:scaling>
          <c:orientation val="minMax"/>
        </c:scaling>
        <c:axPos val="b"/>
        <c:numFmt formatCode="General" sourceLinked="1"/>
        <c:tickLblPos val="nextTo"/>
        <c:txPr>
          <a:bodyPr/>
          <a:lstStyle/>
          <a:p>
            <a:pPr>
              <a:defRPr>
                <a:latin typeface="Times New Roman" pitchFamily="18" charset="0"/>
                <a:cs typeface="Times New Roman" pitchFamily="18" charset="0"/>
              </a:defRPr>
            </a:pPr>
            <a:endParaRPr lang="en-US"/>
          </a:p>
        </c:txPr>
        <c:crossAx val="130643840"/>
        <c:crosses val="autoZero"/>
        <c:auto val="1"/>
        <c:lblAlgn val="ctr"/>
        <c:lblOffset val="100"/>
      </c:catAx>
      <c:valAx>
        <c:axId val="130643840"/>
        <c:scaling>
          <c:orientation val="minMax"/>
        </c:scaling>
        <c:axPos val="l"/>
        <c:majorGridlines/>
        <c:numFmt formatCode="0.00" sourceLinked="0"/>
        <c:tickLblPos val="nextTo"/>
        <c:txPr>
          <a:bodyPr/>
          <a:lstStyle/>
          <a:p>
            <a:pPr>
              <a:defRPr>
                <a:latin typeface="Times New Roman" pitchFamily="18" charset="0"/>
                <a:cs typeface="Times New Roman" pitchFamily="18" charset="0"/>
              </a:defRPr>
            </a:pPr>
            <a:endParaRPr lang="en-US"/>
          </a:p>
        </c:txPr>
        <c:crossAx val="130642304"/>
        <c:crosses val="autoZero"/>
        <c:crossBetween val="between"/>
      </c:valAx>
    </c:plotArea>
    <c:legend>
      <c:legendPos val="r"/>
      <c:legendEntry>
        <c:idx val="5"/>
        <c:delete val="1"/>
      </c:legendEntry>
      <c:layout>
        <c:manualLayout>
          <c:xMode val="edge"/>
          <c:yMode val="edge"/>
          <c:x val="0.68074744923096209"/>
          <c:y val="0.27887968842604388"/>
          <c:w val="0.28854388935171532"/>
          <c:h val="0.3888798577597205"/>
        </c:manualLayout>
      </c:layout>
      <c:txPr>
        <a:bodyPr/>
        <a:lstStyle/>
        <a:p>
          <a:pPr>
            <a:defRPr>
              <a:latin typeface="Times New Roman" pitchFamily="18" charset="0"/>
              <a:cs typeface="Times New Roman" pitchFamily="18" charset="0"/>
            </a:defRPr>
          </a:pPr>
          <a:endParaRPr lang="en-US"/>
        </a:p>
      </c:txPr>
    </c:legend>
    <c:plotVisOnly val="1"/>
  </c:chart>
  <c:externalData r:id="rId1"/>
</c:chartSpace>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6_5">
  <dgm:title val=""/>
  <dgm:desc val=""/>
  <dgm:catLst>
    <dgm:cat type="accent6" pri="11500"/>
  </dgm:catLst>
  <dgm:styleLbl name="node0">
    <dgm:fillClrLst meth="cycle">
      <a:schemeClr val="accent6">
        <a:alpha val="80000"/>
      </a:schemeClr>
    </dgm:fillClrLst>
    <dgm:linClrLst meth="repeat">
      <a:schemeClr val="lt1"/>
    </dgm:linClrLst>
    <dgm:effectClrLst/>
    <dgm:txLinClrLst/>
    <dgm:txFillClrLst/>
    <dgm:txEffectClrLst/>
  </dgm:styleLbl>
  <dgm:styleLbl name="alignNode1">
    <dgm:fillClrLst>
      <a:schemeClr val="accent6">
        <a:alpha val="90000"/>
      </a:schemeClr>
      <a:schemeClr val="accent6">
        <a:alpha val="50000"/>
      </a:schemeClr>
    </dgm:fillClrLst>
    <dgm:linClrLst>
      <a:schemeClr val="accent6">
        <a:alpha val="90000"/>
      </a:schemeClr>
      <a:schemeClr val="accent6">
        <a:alpha val="50000"/>
      </a:schemeClr>
    </dgm:linClrLst>
    <dgm:effectClrLst/>
    <dgm:txLinClrLst/>
    <dgm:txFillClrLst/>
    <dgm:txEffectClrLst/>
  </dgm:styleLbl>
  <dgm:styleLbl name="node1">
    <dgm:fillClrLst>
      <a:schemeClr val="accent6">
        <a:alpha val="90000"/>
      </a:schemeClr>
      <a:schemeClr val="accent6">
        <a:alpha val="50000"/>
      </a:schemeClr>
    </dgm:fillClrLst>
    <dgm:linClrLst meth="repeat">
      <a:schemeClr val="lt1"/>
    </dgm:linClrLst>
    <dgm:effectClrLst/>
    <dgm:txLinClrLst/>
    <dgm:txFillClrLst/>
    <dgm:txEffectClrLst/>
  </dgm:styleLbl>
  <dgm:styleLbl name="lnNode1">
    <dgm:fillClrLst>
      <a:schemeClr val="accent6">
        <a:shade val="90000"/>
      </a:schemeClr>
      <a:schemeClr val="accent6">
        <a:tint val="50000"/>
        <a:alpha val="5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alpha val="80000"/>
      </a:schemeClr>
    </dgm:fillClrLst>
    <dgm:linClrLst meth="repeat">
      <a:schemeClr val="lt1"/>
    </dgm:linClrLst>
    <dgm:effectClrLst/>
    <dgm:txLinClrLst/>
    <dgm:txFillClrLst/>
    <dgm:txEffectClrLst/>
  </dgm:styleLbl>
  <dgm:styleLbl name="node2">
    <dgm:fillClrLst>
      <a:schemeClr val="accent6">
        <a:alpha val="70000"/>
      </a:schemeClr>
    </dgm:fillClrLst>
    <dgm:linClrLst meth="repeat">
      <a:schemeClr val="lt1"/>
    </dgm:linClrLst>
    <dgm:effectClrLst/>
    <dgm:txLinClrLst/>
    <dgm:txFillClrLst/>
    <dgm:txEffectClrLst/>
  </dgm:styleLbl>
  <dgm:styleLbl name="node3">
    <dgm:fillClrLst>
      <a:schemeClr val="accent6">
        <a:alpha val="50000"/>
      </a:schemeClr>
    </dgm:fillClrLst>
    <dgm:linClrLst meth="repeat">
      <a:schemeClr val="lt1"/>
    </dgm:linClrLst>
    <dgm:effectClrLst/>
    <dgm:txLinClrLst/>
    <dgm:txFillClrLst/>
    <dgm:txEffectClrLst/>
  </dgm:styleLbl>
  <dgm:styleLbl name="node4">
    <dgm:fillClrLst>
      <a:schemeClr val="accent6">
        <a:alpha val="30000"/>
      </a:schemeClr>
    </dgm:fillClrLst>
    <dgm:linClrLst meth="repeat">
      <a:schemeClr val="lt1"/>
    </dgm:linClrLst>
    <dgm:effectClrLst/>
    <dgm:txLinClrLst/>
    <dgm:txFillClrLst/>
    <dgm:txEffectClrLst/>
  </dgm:styleLbl>
  <dgm:styleLbl name="fgImgPlace1">
    <dgm:fillClrLst>
      <a:schemeClr val="accent6">
        <a:tint val="50000"/>
        <a:alpha val="90000"/>
      </a:schemeClr>
      <a:schemeClr val="accent6">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f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b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sibTrans1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alpha val="90000"/>
      </a:schemeClr>
    </dgm:fillClrLst>
    <dgm:linClrLst meth="repeat">
      <a:schemeClr val="lt1"/>
    </dgm:linClrLst>
    <dgm:effectClrLst/>
    <dgm:txLinClrLst/>
    <dgm:txFillClrLst/>
    <dgm:txEffectClrLst/>
  </dgm:styleLbl>
  <dgm:styleLbl name="asst1">
    <dgm:fillClrLst meth="repeat">
      <a:schemeClr val="accent6">
        <a:alpha val="90000"/>
      </a:schemeClr>
    </dgm:fillClrLst>
    <dgm:linClrLst meth="repeat">
      <a:schemeClr val="lt1"/>
    </dgm:linClrLst>
    <dgm:effectClrLst/>
    <dgm:txLinClrLst/>
    <dgm:txFillClrLst/>
    <dgm:txEffectClrLst/>
  </dgm:styleLbl>
  <dgm:styleLbl name="asst2">
    <dgm:fillClrLst>
      <a:schemeClr val="accent6">
        <a:alpha val="90000"/>
      </a:schemeClr>
    </dgm:fillClrLst>
    <dgm:linClrLst meth="repeat">
      <a:schemeClr val="lt1"/>
    </dgm:linClrLst>
    <dgm:effectClrLst/>
    <dgm:txLinClrLst/>
    <dgm:txFillClrLst/>
    <dgm:txEffectClrLst/>
  </dgm:styleLbl>
  <dgm:styleLbl name="asst3">
    <dgm:fillClrLst>
      <a:schemeClr val="accent6">
        <a:alpha val="70000"/>
      </a:schemeClr>
    </dgm:fillClrLst>
    <dgm:linClrLst meth="repeat">
      <a:schemeClr val="lt1"/>
    </dgm:linClrLst>
    <dgm:effectClrLst/>
    <dgm:txLinClrLst/>
    <dgm:txFillClrLst/>
    <dgm:txEffectClrLst/>
  </dgm:styleLbl>
  <dgm:styleLbl name="asst4">
    <dgm:fillClrLst>
      <a:schemeClr val="accent6">
        <a:alpha val="50000"/>
      </a:schemeClr>
    </dgm:fillClrLst>
    <dgm:linClrLst meth="repeat">
      <a:schemeClr val="lt1"/>
    </dgm:linClrLst>
    <dgm:effectClrLst/>
    <dgm:txLinClrLst/>
    <dgm:txFillClrLst/>
    <dgm:txEffectClrLst/>
  </dgm:styleLbl>
  <dgm:styleLbl name="parChTrans2D1">
    <dgm:fillClrLst meth="repeat">
      <a:schemeClr val="accent6">
        <a:shade val="8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a:schemeClr val="accent6">
        <a:alpha val="90000"/>
        <a:tint val="40000"/>
      </a:schemeClr>
      <a:schemeClr val="accent6">
        <a:alpha val="5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B7B8E3B-F226-4F6E-8086-13FF11814CAB}" type="doc">
      <dgm:prSet loTypeId="urn:microsoft.com/office/officeart/2005/8/layout/radial6" loCatId="cycle" qsTypeId="urn:microsoft.com/office/officeart/2005/8/quickstyle/simple1" qsCatId="simple" csTypeId="urn:microsoft.com/office/officeart/2005/8/colors/accent6_1" csCatId="accent6" phldr="1"/>
      <dgm:spPr/>
      <dgm:t>
        <a:bodyPr/>
        <a:lstStyle/>
        <a:p>
          <a:endParaRPr lang="en-US"/>
        </a:p>
      </dgm:t>
    </dgm:pt>
    <dgm:pt modelId="{32B88CC4-2A23-4DFE-8A1F-E686727683EB}">
      <dgm:prSet phldrT="[Text]" custT="1"/>
      <dgm:spPr/>
      <dgm:t>
        <a:bodyPr/>
        <a:lstStyle/>
        <a:p>
          <a:r>
            <a:rPr lang="lt-LT" sz="1100" b="1">
              <a:latin typeface="Times New Roman" pitchFamily="18" charset="0"/>
              <a:cs typeface="Times New Roman" pitchFamily="18" charset="0"/>
            </a:rPr>
            <a:t>Įmonė laikoma bankrutuojančia, jei:</a:t>
          </a:r>
          <a:endParaRPr lang="en-US" sz="1100" b="1">
            <a:latin typeface="Times New Roman" pitchFamily="18" charset="0"/>
            <a:cs typeface="Times New Roman" pitchFamily="18" charset="0"/>
          </a:endParaRPr>
        </a:p>
      </dgm:t>
    </dgm:pt>
    <dgm:pt modelId="{9E3D039F-27B3-425E-AA29-28A350B935EE}" type="parTrans" cxnId="{1700966F-1E95-4125-9C45-5F56BE822015}">
      <dgm:prSet/>
      <dgm:spPr/>
      <dgm:t>
        <a:bodyPr/>
        <a:lstStyle/>
        <a:p>
          <a:endParaRPr lang="en-US"/>
        </a:p>
      </dgm:t>
    </dgm:pt>
    <dgm:pt modelId="{AE7BA011-780D-422A-A6FC-512F1F181B0E}" type="sibTrans" cxnId="{1700966F-1E95-4125-9C45-5F56BE822015}">
      <dgm:prSet/>
      <dgm:spPr/>
      <dgm:t>
        <a:bodyPr/>
        <a:lstStyle/>
        <a:p>
          <a:endParaRPr lang="en-US"/>
        </a:p>
      </dgm:t>
    </dgm:pt>
    <dgm:pt modelId="{BDEBA0DB-0DB1-4A97-BA2A-08C231280992}">
      <dgm:prSet phldrT="[Text]" custT="1"/>
      <dgm:spPr/>
      <dgm:t>
        <a:bodyPr/>
        <a:lstStyle/>
        <a:p>
          <a:r>
            <a:rPr lang="lt-LT" sz="1000">
              <a:latin typeface="Times New Roman" pitchFamily="18" charset="0"/>
              <a:cs typeface="Times New Roman" pitchFamily="18" charset="0"/>
            </a:rPr>
            <a:t>laiku nemoka atlyginimo</a:t>
          </a:r>
          <a:endParaRPr lang="en-US" sz="1000">
            <a:latin typeface="Times New Roman" pitchFamily="18" charset="0"/>
            <a:cs typeface="Times New Roman" pitchFamily="18" charset="0"/>
          </a:endParaRPr>
        </a:p>
      </dgm:t>
    </dgm:pt>
    <dgm:pt modelId="{7DF7F0CA-98D2-4AFF-B8E3-DF2B44A733F3}" type="parTrans" cxnId="{233FA135-6122-4659-B540-77D2A0246819}">
      <dgm:prSet/>
      <dgm:spPr/>
      <dgm:t>
        <a:bodyPr/>
        <a:lstStyle/>
        <a:p>
          <a:endParaRPr lang="en-US"/>
        </a:p>
      </dgm:t>
    </dgm:pt>
    <dgm:pt modelId="{BC3111A8-3934-4337-AF93-AF897FDD1C3B}" type="sibTrans" cxnId="{233FA135-6122-4659-B540-77D2A0246819}">
      <dgm:prSet/>
      <dgm:spPr/>
      <dgm:t>
        <a:bodyPr/>
        <a:lstStyle/>
        <a:p>
          <a:endParaRPr lang="en-US"/>
        </a:p>
      </dgm:t>
    </dgm:pt>
    <dgm:pt modelId="{80CAE71F-D5EE-4323-A6CD-6F9DEAEBB5C0}">
      <dgm:prSet phldrT="[Text]" custT="1"/>
      <dgm:spPr/>
      <dgm:t>
        <a:bodyPr/>
        <a:lstStyle/>
        <a:p>
          <a:r>
            <a:rPr lang="lt-LT" sz="1000">
              <a:latin typeface="Times New Roman" pitchFamily="18" charset="0"/>
              <a:cs typeface="Times New Roman" pitchFamily="18" charset="0"/>
            </a:rPr>
            <a:t>laiku nesumoka mokesčių</a:t>
          </a:r>
          <a:endParaRPr lang="en-US" sz="1000">
            <a:latin typeface="Times New Roman" pitchFamily="18" charset="0"/>
            <a:cs typeface="Times New Roman" pitchFamily="18" charset="0"/>
          </a:endParaRPr>
        </a:p>
      </dgm:t>
    </dgm:pt>
    <dgm:pt modelId="{448E829A-D6D4-4DB1-88BD-0CB92ED9DC85}" type="parTrans" cxnId="{58D8A393-9C3F-487D-9B56-CF6B9E5E1840}">
      <dgm:prSet/>
      <dgm:spPr/>
      <dgm:t>
        <a:bodyPr/>
        <a:lstStyle/>
        <a:p>
          <a:endParaRPr lang="en-US"/>
        </a:p>
      </dgm:t>
    </dgm:pt>
    <dgm:pt modelId="{4BFB722E-494B-4CCF-AE17-30CCAE85B3B1}" type="sibTrans" cxnId="{58D8A393-9C3F-487D-9B56-CF6B9E5E1840}">
      <dgm:prSet/>
      <dgm:spPr/>
      <dgm:t>
        <a:bodyPr/>
        <a:lstStyle/>
        <a:p>
          <a:endParaRPr lang="en-US"/>
        </a:p>
      </dgm:t>
    </dgm:pt>
    <dgm:pt modelId="{5814B109-DBA9-48F3-BDF5-833098760A03}">
      <dgm:prSet phldrT="[Text]" custT="1"/>
      <dgm:spPr/>
      <dgm:t>
        <a:bodyPr/>
        <a:lstStyle/>
        <a:p>
          <a:r>
            <a:rPr lang="lt-LT" sz="1000">
              <a:latin typeface="Times New Roman" pitchFamily="18" charset="0"/>
              <a:cs typeface="Times New Roman" pitchFamily="18" charset="0"/>
            </a:rPr>
            <a:t>paskelbė kreditoriams, kad nevykdys įsipareigojimų</a:t>
          </a:r>
          <a:endParaRPr lang="en-US" sz="1000">
            <a:latin typeface="Times New Roman" pitchFamily="18" charset="0"/>
            <a:cs typeface="Times New Roman" pitchFamily="18" charset="0"/>
          </a:endParaRPr>
        </a:p>
      </dgm:t>
    </dgm:pt>
    <dgm:pt modelId="{5413B5CD-2EB5-45E3-B37B-101D53E979E0}" type="parTrans" cxnId="{03A9B23B-04C9-4898-AF48-400661D1BDBB}">
      <dgm:prSet/>
      <dgm:spPr/>
      <dgm:t>
        <a:bodyPr/>
        <a:lstStyle/>
        <a:p>
          <a:endParaRPr lang="en-US"/>
        </a:p>
      </dgm:t>
    </dgm:pt>
    <dgm:pt modelId="{8074D2C6-7326-4835-B8A1-40244A587FB2}" type="sibTrans" cxnId="{03A9B23B-04C9-4898-AF48-400661D1BDBB}">
      <dgm:prSet/>
      <dgm:spPr/>
      <dgm:t>
        <a:bodyPr/>
        <a:lstStyle/>
        <a:p>
          <a:endParaRPr lang="en-US"/>
        </a:p>
      </dgm:t>
    </dgm:pt>
    <dgm:pt modelId="{ECC9D244-86BD-4077-8786-201607CCBA6E}">
      <dgm:prSet phldrT="[Text]" custT="1"/>
      <dgm:spPr/>
      <dgm:t>
        <a:bodyPr/>
        <a:lstStyle/>
        <a:p>
          <a:r>
            <a:rPr lang="lt-LT" sz="1000">
              <a:latin typeface="Times New Roman" pitchFamily="18" charset="0"/>
              <a:cs typeface="Times New Roman" pitchFamily="18" charset="0"/>
            </a:rPr>
            <a:t>laiku nesumoka už prekes ir paslaugas, gautas iš kitų įmonių</a:t>
          </a:r>
          <a:endParaRPr lang="en-US" sz="1000">
            <a:latin typeface="Times New Roman" pitchFamily="18" charset="0"/>
            <a:cs typeface="Times New Roman" pitchFamily="18" charset="0"/>
          </a:endParaRPr>
        </a:p>
      </dgm:t>
    </dgm:pt>
    <dgm:pt modelId="{B4D66DF8-163B-431C-AFAE-424BB6FA8463}" type="parTrans" cxnId="{65ECDB58-C3DE-4143-8D0D-63D1139B024B}">
      <dgm:prSet/>
      <dgm:spPr/>
      <dgm:t>
        <a:bodyPr/>
        <a:lstStyle/>
        <a:p>
          <a:endParaRPr lang="en-US"/>
        </a:p>
      </dgm:t>
    </dgm:pt>
    <dgm:pt modelId="{444A4344-33B9-471A-BD61-BB151615223B}" type="sibTrans" cxnId="{65ECDB58-C3DE-4143-8D0D-63D1139B024B}">
      <dgm:prSet/>
      <dgm:spPr/>
      <dgm:t>
        <a:bodyPr/>
        <a:lstStyle/>
        <a:p>
          <a:endParaRPr lang="en-US"/>
        </a:p>
      </dgm:t>
    </dgm:pt>
    <dgm:pt modelId="{BD20347C-90EB-4495-81F6-E4EF6829297B}">
      <dgm:prSet custT="1"/>
      <dgm:spPr/>
      <dgm:t>
        <a:bodyPr/>
        <a:lstStyle/>
        <a:p>
          <a:r>
            <a:rPr lang="lt-LT" sz="1000">
              <a:latin typeface="Times New Roman" pitchFamily="18" charset="0"/>
              <a:cs typeface="Times New Roman" pitchFamily="18" charset="0"/>
            </a:rPr>
            <a:t>neturi turto arba pajamų, kurie gali būti panaudojami sumokant įsipareigojimus</a:t>
          </a:r>
          <a:endParaRPr lang="en-US" sz="1000">
            <a:latin typeface="Times New Roman" pitchFamily="18" charset="0"/>
            <a:cs typeface="Times New Roman" pitchFamily="18" charset="0"/>
          </a:endParaRPr>
        </a:p>
      </dgm:t>
    </dgm:pt>
    <dgm:pt modelId="{E4C0C891-D489-4438-AFAC-49E78FE9D252}" type="parTrans" cxnId="{AEE19174-AD85-449A-A242-4E21D400E176}">
      <dgm:prSet/>
      <dgm:spPr/>
      <dgm:t>
        <a:bodyPr/>
        <a:lstStyle/>
        <a:p>
          <a:endParaRPr lang="en-US"/>
        </a:p>
      </dgm:t>
    </dgm:pt>
    <dgm:pt modelId="{C14866AB-5B2C-4A49-910E-4DC0A13A4B18}" type="sibTrans" cxnId="{AEE19174-AD85-449A-A242-4E21D400E176}">
      <dgm:prSet/>
      <dgm:spPr/>
      <dgm:t>
        <a:bodyPr/>
        <a:lstStyle/>
        <a:p>
          <a:endParaRPr lang="en-US"/>
        </a:p>
      </dgm:t>
    </dgm:pt>
    <dgm:pt modelId="{1744FD2A-BFA1-4F08-B985-7DC96C1BA079}" type="pres">
      <dgm:prSet presAssocID="{1B7B8E3B-F226-4F6E-8086-13FF11814CAB}" presName="Name0" presStyleCnt="0">
        <dgm:presLayoutVars>
          <dgm:chMax val="1"/>
          <dgm:dir/>
          <dgm:animLvl val="ctr"/>
          <dgm:resizeHandles val="exact"/>
        </dgm:presLayoutVars>
      </dgm:prSet>
      <dgm:spPr/>
      <dgm:t>
        <a:bodyPr/>
        <a:lstStyle/>
        <a:p>
          <a:endParaRPr lang="en-US"/>
        </a:p>
      </dgm:t>
    </dgm:pt>
    <dgm:pt modelId="{C0BE8FB8-D112-4E01-9AB4-584CE48AD67E}" type="pres">
      <dgm:prSet presAssocID="{32B88CC4-2A23-4DFE-8A1F-E686727683EB}" presName="centerShape" presStyleLbl="node0" presStyleIdx="0" presStyleCnt="1" custScaleX="129198"/>
      <dgm:spPr/>
      <dgm:t>
        <a:bodyPr/>
        <a:lstStyle/>
        <a:p>
          <a:endParaRPr lang="en-US"/>
        </a:p>
      </dgm:t>
    </dgm:pt>
    <dgm:pt modelId="{361982AA-E9A8-43BE-B3D0-806A034C13AF}" type="pres">
      <dgm:prSet presAssocID="{BDEBA0DB-0DB1-4A97-BA2A-08C231280992}" presName="node" presStyleLbl="node1" presStyleIdx="0" presStyleCnt="5" custScaleX="126762">
        <dgm:presLayoutVars>
          <dgm:bulletEnabled val="1"/>
        </dgm:presLayoutVars>
      </dgm:prSet>
      <dgm:spPr/>
      <dgm:t>
        <a:bodyPr/>
        <a:lstStyle/>
        <a:p>
          <a:endParaRPr lang="en-US"/>
        </a:p>
      </dgm:t>
    </dgm:pt>
    <dgm:pt modelId="{8E4249BE-4BFB-4066-81C3-44C8826EE1AB}" type="pres">
      <dgm:prSet presAssocID="{BDEBA0DB-0DB1-4A97-BA2A-08C231280992}" presName="dummy" presStyleCnt="0"/>
      <dgm:spPr/>
    </dgm:pt>
    <dgm:pt modelId="{0BC94794-A7DF-4774-909D-6A05925D63D6}" type="pres">
      <dgm:prSet presAssocID="{BC3111A8-3934-4337-AF93-AF897FDD1C3B}" presName="sibTrans" presStyleLbl="sibTrans2D1" presStyleIdx="0" presStyleCnt="5"/>
      <dgm:spPr/>
      <dgm:t>
        <a:bodyPr/>
        <a:lstStyle/>
        <a:p>
          <a:endParaRPr lang="en-US"/>
        </a:p>
      </dgm:t>
    </dgm:pt>
    <dgm:pt modelId="{23AAFC9E-4F13-48B9-A7B7-3CA4A14FAB31}" type="pres">
      <dgm:prSet presAssocID="{80CAE71F-D5EE-4323-A6CD-6F9DEAEBB5C0}" presName="node" presStyleLbl="node1" presStyleIdx="1" presStyleCnt="5" custScaleX="136965" custRadScaleRad="109206" custRadScaleInc="-2541">
        <dgm:presLayoutVars>
          <dgm:bulletEnabled val="1"/>
        </dgm:presLayoutVars>
      </dgm:prSet>
      <dgm:spPr/>
      <dgm:t>
        <a:bodyPr/>
        <a:lstStyle/>
        <a:p>
          <a:endParaRPr lang="en-US"/>
        </a:p>
      </dgm:t>
    </dgm:pt>
    <dgm:pt modelId="{7F484E87-577C-4E60-8482-0BE6194E593E}" type="pres">
      <dgm:prSet presAssocID="{80CAE71F-D5EE-4323-A6CD-6F9DEAEBB5C0}" presName="dummy" presStyleCnt="0"/>
      <dgm:spPr/>
    </dgm:pt>
    <dgm:pt modelId="{73A01FBD-4018-4278-A684-614B464B7A17}" type="pres">
      <dgm:prSet presAssocID="{4BFB722E-494B-4CCF-AE17-30CCAE85B3B1}" presName="sibTrans" presStyleLbl="sibTrans2D1" presStyleIdx="1" presStyleCnt="5"/>
      <dgm:spPr/>
      <dgm:t>
        <a:bodyPr/>
        <a:lstStyle/>
        <a:p>
          <a:endParaRPr lang="en-US"/>
        </a:p>
      </dgm:t>
    </dgm:pt>
    <dgm:pt modelId="{A3B55C7E-8A32-49EF-B49D-85F6DBAF79C0}" type="pres">
      <dgm:prSet presAssocID="{5814B109-DBA9-48F3-BDF5-833098760A03}" presName="node" presStyleLbl="node1" presStyleIdx="2" presStyleCnt="5" custScaleX="162010" custScaleY="109727">
        <dgm:presLayoutVars>
          <dgm:bulletEnabled val="1"/>
        </dgm:presLayoutVars>
      </dgm:prSet>
      <dgm:spPr/>
      <dgm:t>
        <a:bodyPr/>
        <a:lstStyle/>
        <a:p>
          <a:endParaRPr lang="en-US"/>
        </a:p>
      </dgm:t>
    </dgm:pt>
    <dgm:pt modelId="{8618030F-66F7-407B-8685-9A49D9C7C72C}" type="pres">
      <dgm:prSet presAssocID="{5814B109-DBA9-48F3-BDF5-833098760A03}" presName="dummy" presStyleCnt="0"/>
      <dgm:spPr/>
    </dgm:pt>
    <dgm:pt modelId="{594C26FE-6099-4AEC-8BBA-B1BB5732FFBC}" type="pres">
      <dgm:prSet presAssocID="{8074D2C6-7326-4835-B8A1-40244A587FB2}" presName="sibTrans" presStyleLbl="sibTrans2D1" presStyleIdx="2" presStyleCnt="5"/>
      <dgm:spPr/>
      <dgm:t>
        <a:bodyPr/>
        <a:lstStyle/>
        <a:p>
          <a:endParaRPr lang="en-US"/>
        </a:p>
      </dgm:t>
    </dgm:pt>
    <dgm:pt modelId="{11FDD7A3-BC39-4709-8DBF-62CF1559FDAA}" type="pres">
      <dgm:prSet presAssocID="{BD20347C-90EB-4495-81F6-E4EF6829297B}" presName="node" presStyleLbl="node1" presStyleIdx="3" presStyleCnt="5" custScaleX="157111" custScaleY="111553">
        <dgm:presLayoutVars>
          <dgm:bulletEnabled val="1"/>
        </dgm:presLayoutVars>
      </dgm:prSet>
      <dgm:spPr/>
      <dgm:t>
        <a:bodyPr/>
        <a:lstStyle/>
        <a:p>
          <a:endParaRPr lang="en-US"/>
        </a:p>
      </dgm:t>
    </dgm:pt>
    <dgm:pt modelId="{25608266-7CA2-4529-B431-8EF38686BAAB}" type="pres">
      <dgm:prSet presAssocID="{BD20347C-90EB-4495-81F6-E4EF6829297B}" presName="dummy" presStyleCnt="0"/>
      <dgm:spPr/>
    </dgm:pt>
    <dgm:pt modelId="{F9347267-F1D9-47EF-9B38-3C7949243DC4}" type="pres">
      <dgm:prSet presAssocID="{C14866AB-5B2C-4A49-910E-4DC0A13A4B18}" presName="sibTrans" presStyleLbl="sibTrans2D1" presStyleIdx="3" presStyleCnt="5"/>
      <dgm:spPr/>
      <dgm:t>
        <a:bodyPr/>
        <a:lstStyle/>
        <a:p>
          <a:endParaRPr lang="en-US"/>
        </a:p>
      </dgm:t>
    </dgm:pt>
    <dgm:pt modelId="{A64ECF9C-98EF-4A2E-8313-522D985D9146}" type="pres">
      <dgm:prSet presAssocID="{ECC9D244-86BD-4077-8786-201607CCBA6E}" presName="node" presStyleLbl="node1" presStyleIdx="4" presStyleCnt="5" custScaleX="132616" custRadScaleRad="108426" custRadScaleInc="828">
        <dgm:presLayoutVars>
          <dgm:bulletEnabled val="1"/>
        </dgm:presLayoutVars>
      </dgm:prSet>
      <dgm:spPr/>
      <dgm:t>
        <a:bodyPr/>
        <a:lstStyle/>
        <a:p>
          <a:endParaRPr lang="en-US"/>
        </a:p>
      </dgm:t>
    </dgm:pt>
    <dgm:pt modelId="{E9EEDBEB-070C-4E73-B7FB-AF16BB8A484F}" type="pres">
      <dgm:prSet presAssocID="{ECC9D244-86BD-4077-8786-201607CCBA6E}" presName="dummy" presStyleCnt="0"/>
      <dgm:spPr/>
    </dgm:pt>
    <dgm:pt modelId="{696595E0-46C3-4088-981B-CC79E8320BA6}" type="pres">
      <dgm:prSet presAssocID="{444A4344-33B9-471A-BD61-BB151615223B}" presName="sibTrans" presStyleLbl="sibTrans2D1" presStyleIdx="4" presStyleCnt="5"/>
      <dgm:spPr/>
      <dgm:t>
        <a:bodyPr/>
        <a:lstStyle/>
        <a:p>
          <a:endParaRPr lang="en-US"/>
        </a:p>
      </dgm:t>
    </dgm:pt>
  </dgm:ptLst>
  <dgm:cxnLst>
    <dgm:cxn modelId="{24056558-64F8-4BCE-B6A5-3079274D7FF9}" type="presOf" srcId="{80CAE71F-D5EE-4323-A6CD-6F9DEAEBB5C0}" destId="{23AAFC9E-4F13-48B9-A7B7-3CA4A14FAB31}" srcOrd="0" destOrd="0" presId="urn:microsoft.com/office/officeart/2005/8/layout/radial6"/>
    <dgm:cxn modelId="{C7000813-A2A0-40F0-A2DB-0C1D849F33DC}" type="presOf" srcId="{444A4344-33B9-471A-BD61-BB151615223B}" destId="{696595E0-46C3-4088-981B-CC79E8320BA6}" srcOrd="0" destOrd="0" presId="urn:microsoft.com/office/officeart/2005/8/layout/radial6"/>
    <dgm:cxn modelId="{1F462DAF-C83F-4D1B-9A63-36ECB9A5D596}" type="presOf" srcId="{1B7B8E3B-F226-4F6E-8086-13FF11814CAB}" destId="{1744FD2A-BFA1-4F08-B985-7DC96C1BA079}" srcOrd="0" destOrd="0" presId="urn:microsoft.com/office/officeart/2005/8/layout/radial6"/>
    <dgm:cxn modelId="{AC38FEBB-B8CB-4AE9-A573-F5B101584760}" type="presOf" srcId="{ECC9D244-86BD-4077-8786-201607CCBA6E}" destId="{A64ECF9C-98EF-4A2E-8313-522D985D9146}" srcOrd="0" destOrd="0" presId="urn:microsoft.com/office/officeart/2005/8/layout/radial6"/>
    <dgm:cxn modelId="{03A9B23B-04C9-4898-AF48-400661D1BDBB}" srcId="{32B88CC4-2A23-4DFE-8A1F-E686727683EB}" destId="{5814B109-DBA9-48F3-BDF5-833098760A03}" srcOrd="2" destOrd="0" parTransId="{5413B5CD-2EB5-45E3-B37B-101D53E979E0}" sibTransId="{8074D2C6-7326-4835-B8A1-40244A587FB2}"/>
    <dgm:cxn modelId="{1700966F-1E95-4125-9C45-5F56BE822015}" srcId="{1B7B8E3B-F226-4F6E-8086-13FF11814CAB}" destId="{32B88CC4-2A23-4DFE-8A1F-E686727683EB}" srcOrd="0" destOrd="0" parTransId="{9E3D039F-27B3-425E-AA29-28A350B935EE}" sibTransId="{AE7BA011-780D-422A-A6FC-512F1F181B0E}"/>
    <dgm:cxn modelId="{E1FF9109-B3DD-4C63-B129-8A2AB65B0A4D}" type="presOf" srcId="{BD20347C-90EB-4495-81F6-E4EF6829297B}" destId="{11FDD7A3-BC39-4709-8DBF-62CF1559FDAA}" srcOrd="0" destOrd="0" presId="urn:microsoft.com/office/officeart/2005/8/layout/radial6"/>
    <dgm:cxn modelId="{41A07C18-515A-42C8-BF09-CF7B95C7722E}" type="presOf" srcId="{C14866AB-5B2C-4A49-910E-4DC0A13A4B18}" destId="{F9347267-F1D9-47EF-9B38-3C7949243DC4}" srcOrd="0" destOrd="0" presId="urn:microsoft.com/office/officeart/2005/8/layout/radial6"/>
    <dgm:cxn modelId="{58D8A393-9C3F-487D-9B56-CF6B9E5E1840}" srcId="{32B88CC4-2A23-4DFE-8A1F-E686727683EB}" destId="{80CAE71F-D5EE-4323-A6CD-6F9DEAEBB5C0}" srcOrd="1" destOrd="0" parTransId="{448E829A-D6D4-4DB1-88BD-0CB92ED9DC85}" sibTransId="{4BFB722E-494B-4CCF-AE17-30CCAE85B3B1}"/>
    <dgm:cxn modelId="{AC4ACFB5-995B-4205-A47B-54D37D473CA9}" type="presOf" srcId="{BDEBA0DB-0DB1-4A97-BA2A-08C231280992}" destId="{361982AA-E9A8-43BE-B3D0-806A034C13AF}" srcOrd="0" destOrd="0" presId="urn:microsoft.com/office/officeart/2005/8/layout/radial6"/>
    <dgm:cxn modelId="{65ECDB58-C3DE-4143-8D0D-63D1139B024B}" srcId="{32B88CC4-2A23-4DFE-8A1F-E686727683EB}" destId="{ECC9D244-86BD-4077-8786-201607CCBA6E}" srcOrd="4" destOrd="0" parTransId="{B4D66DF8-163B-431C-AFAE-424BB6FA8463}" sibTransId="{444A4344-33B9-471A-BD61-BB151615223B}"/>
    <dgm:cxn modelId="{11A867D1-8AB4-4A94-AE0B-8FBF4A2560E5}" type="presOf" srcId="{5814B109-DBA9-48F3-BDF5-833098760A03}" destId="{A3B55C7E-8A32-49EF-B49D-85F6DBAF79C0}" srcOrd="0" destOrd="0" presId="urn:microsoft.com/office/officeart/2005/8/layout/radial6"/>
    <dgm:cxn modelId="{51137010-6D6C-4449-BCE5-CE6486893EBE}" type="presOf" srcId="{32B88CC4-2A23-4DFE-8A1F-E686727683EB}" destId="{C0BE8FB8-D112-4E01-9AB4-584CE48AD67E}" srcOrd="0" destOrd="0" presId="urn:microsoft.com/office/officeart/2005/8/layout/radial6"/>
    <dgm:cxn modelId="{D4B5F23F-B0CA-4BF2-B963-DF0438285083}" type="presOf" srcId="{8074D2C6-7326-4835-B8A1-40244A587FB2}" destId="{594C26FE-6099-4AEC-8BBA-B1BB5732FFBC}" srcOrd="0" destOrd="0" presId="urn:microsoft.com/office/officeart/2005/8/layout/radial6"/>
    <dgm:cxn modelId="{8A6BB669-A175-457E-A456-836B2FFA2B0A}" type="presOf" srcId="{BC3111A8-3934-4337-AF93-AF897FDD1C3B}" destId="{0BC94794-A7DF-4774-909D-6A05925D63D6}" srcOrd="0" destOrd="0" presId="urn:microsoft.com/office/officeart/2005/8/layout/radial6"/>
    <dgm:cxn modelId="{DD7BB511-7CB4-4947-A2BB-A0D424E67AF1}" type="presOf" srcId="{4BFB722E-494B-4CCF-AE17-30CCAE85B3B1}" destId="{73A01FBD-4018-4278-A684-614B464B7A17}" srcOrd="0" destOrd="0" presId="urn:microsoft.com/office/officeart/2005/8/layout/radial6"/>
    <dgm:cxn modelId="{233FA135-6122-4659-B540-77D2A0246819}" srcId="{32B88CC4-2A23-4DFE-8A1F-E686727683EB}" destId="{BDEBA0DB-0DB1-4A97-BA2A-08C231280992}" srcOrd="0" destOrd="0" parTransId="{7DF7F0CA-98D2-4AFF-B8E3-DF2B44A733F3}" sibTransId="{BC3111A8-3934-4337-AF93-AF897FDD1C3B}"/>
    <dgm:cxn modelId="{AEE19174-AD85-449A-A242-4E21D400E176}" srcId="{32B88CC4-2A23-4DFE-8A1F-E686727683EB}" destId="{BD20347C-90EB-4495-81F6-E4EF6829297B}" srcOrd="3" destOrd="0" parTransId="{E4C0C891-D489-4438-AFAC-49E78FE9D252}" sibTransId="{C14866AB-5B2C-4A49-910E-4DC0A13A4B18}"/>
    <dgm:cxn modelId="{4F3B149E-DEFF-4A5B-BD34-02CC457B84FB}" type="presParOf" srcId="{1744FD2A-BFA1-4F08-B985-7DC96C1BA079}" destId="{C0BE8FB8-D112-4E01-9AB4-584CE48AD67E}" srcOrd="0" destOrd="0" presId="urn:microsoft.com/office/officeart/2005/8/layout/radial6"/>
    <dgm:cxn modelId="{992A456A-ED4B-4C7D-BC3C-FE595AB5FA0F}" type="presParOf" srcId="{1744FD2A-BFA1-4F08-B985-7DC96C1BA079}" destId="{361982AA-E9A8-43BE-B3D0-806A034C13AF}" srcOrd="1" destOrd="0" presId="urn:microsoft.com/office/officeart/2005/8/layout/radial6"/>
    <dgm:cxn modelId="{F2E114BB-26F6-41CA-91ED-1ECEB7B8DE6B}" type="presParOf" srcId="{1744FD2A-BFA1-4F08-B985-7DC96C1BA079}" destId="{8E4249BE-4BFB-4066-81C3-44C8826EE1AB}" srcOrd="2" destOrd="0" presId="urn:microsoft.com/office/officeart/2005/8/layout/radial6"/>
    <dgm:cxn modelId="{870119E0-4D59-439D-AAAA-7E4E40F6A654}" type="presParOf" srcId="{1744FD2A-BFA1-4F08-B985-7DC96C1BA079}" destId="{0BC94794-A7DF-4774-909D-6A05925D63D6}" srcOrd="3" destOrd="0" presId="urn:microsoft.com/office/officeart/2005/8/layout/radial6"/>
    <dgm:cxn modelId="{229ACE3A-FBE6-4051-A5F1-EB121C72F0A7}" type="presParOf" srcId="{1744FD2A-BFA1-4F08-B985-7DC96C1BA079}" destId="{23AAFC9E-4F13-48B9-A7B7-3CA4A14FAB31}" srcOrd="4" destOrd="0" presId="urn:microsoft.com/office/officeart/2005/8/layout/radial6"/>
    <dgm:cxn modelId="{D8F67559-42CD-4336-B757-ADF3A8C8B710}" type="presParOf" srcId="{1744FD2A-BFA1-4F08-B985-7DC96C1BA079}" destId="{7F484E87-577C-4E60-8482-0BE6194E593E}" srcOrd="5" destOrd="0" presId="urn:microsoft.com/office/officeart/2005/8/layout/radial6"/>
    <dgm:cxn modelId="{8D492F43-6EAF-4B04-8300-B1EF237231AF}" type="presParOf" srcId="{1744FD2A-BFA1-4F08-B985-7DC96C1BA079}" destId="{73A01FBD-4018-4278-A684-614B464B7A17}" srcOrd="6" destOrd="0" presId="urn:microsoft.com/office/officeart/2005/8/layout/radial6"/>
    <dgm:cxn modelId="{88109995-23F6-4A23-AC11-0E330FE64A4E}" type="presParOf" srcId="{1744FD2A-BFA1-4F08-B985-7DC96C1BA079}" destId="{A3B55C7E-8A32-49EF-B49D-85F6DBAF79C0}" srcOrd="7" destOrd="0" presId="urn:microsoft.com/office/officeart/2005/8/layout/radial6"/>
    <dgm:cxn modelId="{D3C701F6-E470-4EDA-B8D9-4E40D092607C}" type="presParOf" srcId="{1744FD2A-BFA1-4F08-B985-7DC96C1BA079}" destId="{8618030F-66F7-407B-8685-9A49D9C7C72C}" srcOrd="8" destOrd="0" presId="urn:microsoft.com/office/officeart/2005/8/layout/radial6"/>
    <dgm:cxn modelId="{1A92C0A5-D70C-4801-A026-4A69728C2438}" type="presParOf" srcId="{1744FD2A-BFA1-4F08-B985-7DC96C1BA079}" destId="{594C26FE-6099-4AEC-8BBA-B1BB5732FFBC}" srcOrd="9" destOrd="0" presId="urn:microsoft.com/office/officeart/2005/8/layout/radial6"/>
    <dgm:cxn modelId="{80CE6668-04E5-4BB5-827A-A04453D37B56}" type="presParOf" srcId="{1744FD2A-BFA1-4F08-B985-7DC96C1BA079}" destId="{11FDD7A3-BC39-4709-8DBF-62CF1559FDAA}" srcOrd="10" destOrd="0" presId="urn:microsoft.com/office/officeart/2005/8/layout/radial6"/>
    <dgm:cxn modelId="{AE78FD12-3DA5-45E5-8740-5400BA74DD44}" type="presParOf" srcId="{1744FD2A-BFA1-4F08-B985-7DC96C1BA079}" destId="{25608266-7CA2-4529-B431-8EF38686BAAB}" srcOrd="11" destOrd="0" presId="urn:microsoft.com/office/officeart/2005/8/layout/radial6"/>
    <dgm:cxn modelId="{395A74A7-093C-4AB5-A5FA-ADA67444DB00}" type="presParOf" srcId="{1744FD2A-BFA1-4F08-B985-7DC96C1BA079}" destId="{F9347267-F1D9-47EF-9B38-3C7949243DC4}" srcOrd="12" destOrd="0" presId="urn:microsoft.com/office/officeart/2005/8/layout/radial6"/>
    <dgm:cxn modelId="{C1FE82E5-26D7-4F57-8991-3E8237AD9A45}" type="presParOf" srcId="{1744FD2A-BFA1-4F08-B985-7DC96C1BA079}" destId="{A64ECF9C-98EF-4A2E-8313-522D985D9146}" srcOrd="13" destOrd="0" presId="urn:microsoft.com/office/officeart/2005/8/layout/radial6"/>
    <dgm:cxn modelId="{B1C5E2BB-61C8-4844-A5DB-C417C72A0F62}" type="presParOf" srcId="{1744FD2A-BFA1-4F08-B985-7DC96C1BA079}" destId="{E9EEDBEB-070C-4E73-B7FB-AF16BB8A484F}" srcOrd="14" destOrd="0" presId="urn:microsoft.com/office/officeart/2005/8/layout/radial6"/>
    <dgm:cxn modelId="{516D17F3-2E37-4397-9175-7A2D370D1522}" type="presParOf" srcId="{1744FD2A-BFA1-4F08-B985-7DC96C1BA079}" destId="{696595E0-46C3-4088-981B-CC79E8320BA6}" srcOrd="15" destOrd="0" presId="urn:microsoft.com/office/officeart/2005/8/layout/radial6"/>
  </dgm:cxnLst>
  <dgm:bg/>
  <dgm:whole/>
</dgm:dataModel>
</file>

<file path=word/diagrams/data2.xml><?xml version="1.0" encoding="utf-8"?>
<dgm:dataModel xmlns:dgm="http://schemas.openxmlformats.org/drawingml/2006/diagram" xmlns:a="http://schemas.openxmlformats.org/drawingml/2006/main">
  <dgm:ptLst>
    <dgm:pt modelId="{DA412349-8EFF-4176-BA1E-2C54BF45F783}" type="doc">
      <dgm:prSet loTypeId="urn:microsoft.com/office/officeart/2005/8/layout/radial1" loCatId="cycle" qsTypeId="urn:microsoft.com/office/officeart/2005/8/quickstyle/simple1" qsCatId="simple" csTypeId="urn:microsoft.com/office/officeart/2005/8/colors/accent6_1" csCatId="accent6" phldr="1"/>
      <dgm:spPr/>
      <dgm:t>
        <a:bodyPr/>
        <a:lstStyle/>
        <a:p>
          <a:endParaRPr lang="en-US"/>
        </a:p>
      </dgm:t>
    </dgm:pt>
    <dgm:pt modelId="{5AD77EA1-C007-434A-A744-0D5B3F29E806}">
      <dgm:prSet phldrT="[Text]" custT="1"/>
      <dgm:spPr>
        <a:solidFill>
          <a:schemeClr val="accent6">
            <a:lumMod val="20000"/>
            <a:lumOff val="80000"/>
          </a:schemeClr>
        </a:solidFill>
      </dgm:spPr>
      <dgm:t>
        <a:bodyPr/>
        <a:lstStyle/>
        <a:p>
          <a:r>
            <a:rPr lang="lt-LT" sz="1200" b="1">
              <a:latin typeface="Times New Roman" pitchFamily="18" charset="0"/>
              <a:cs typeface="Times New Roman" pitchFamily="18" charset="0"/>
            </a:rPr>
            <a:t>Išorinė aplinka</a:t>
          </a:r>
          <a:endParaRPr lang="en-US" sz="1200" b="1">
            <a:latin typeface="Times New Roman" pitchFamily="18" charset="0"/>
            <a:cs typeface="Times New Roman" pitchFamily="18" charset="0"/>
          </a:endParaRPr>
        </a:p>
      </dgm:t>
    </dgm:pt>
    <dgm:pt modelId="{286E004C-16CD-4A26-B257-54336AE6A8EA}" type="parTrans" cxnId="{DE8F26FD-3CC3-47C5-9E1B-37AFA13CDC20}">
      <dgm:prSet/>
      <dgm:spPr/>
      <dgm:t>
        <a:bodyPr/>
        <a:lstStyle/>
        <a:p>
          <a:endParaRPr lang="en-US"/>
        </a:p>
      </dgm:t>
    </dgm:pt>
    <dgm:pt modelId="{E8519947-A79E-4FFA-90C4-E6A6830BF200}" type="sibTrans" cxnId="{DE8F26FD-3CC3-47C5-9E1B-37AFA13CDC20}">
      <dgm:prSet/>
      <dgm:spPr/>
      <dgm:t>
        <a:bodyPr/>
        <a:lstStyle/>
        <a:p>
          <a:endParaRPr lang="en-US"/>
        </a:p>
      </dgm:t>
    </dgm:pt>
    <dgm:pt modelId="{D2497410-E93E-46A6-B88C-CFF1F9F696C5}">
      <dgm:prSet phldrT="[Text]" custT="1"/>
      <dgm:spPr/>
      <dgm:t>
        <a:bodyPr/>
        <a:lstStyle/>
        <a:p>
          <a:r>
            <a:rPr lang="lt-LT" sz="1100">
              <a:latin typeface="Times New Roman" pitchFamily="18" charset="0"/>
              <a:cs typeface="Times New Roman" pitchFamily="18" charset="0"/>
            </a:rPr>
            <a:t>Ekonominiai veiksniai</a:t>
          </a:r>
          <a:endParaRPr lang="en-US" sz="1100">
            <a:latin typeface="Times New Roman" pitchFamily="18" charset="0"/>
            <a:cs typeface="Times New Roman" pitchFamily="18" charset="0"/>
          </a:endParaRPr>
        </a:p>
      </dgm:t>
    </dgm:pt>
    <dgm:pt modelId="{8BE018AE-DBAC-4D18-910D-CB1846D2CA1F}" type="parTrans" cxnId="{6D7B8E7C-1356-4B85-A07E-871233EB6763}">
      <dgm:prSet/>
      <dgm:spPr/>
      <dgm:t>
        <a:bodyPr/>
        <a:lstStyle/>
        <a:p>
          <a:endParaRPr lang="en-US"/>
        </a:p>
      </dgm:t>
    </dgm:pt>
    <dgm:pt modelId="{D2CF69B2-D25B-493E-9381-5596DB0E9AB4}" type="sibTrans" cxnId="{6D7B8E7C-1356-4B85-A07E-871233EB6763}">
      <dgm:prSet/>
      <dgm:spPr/>
      <dgm:t>
        <a:bodyPr/>
        <a:lstStyle/>
        <a:p>
          <a:endParaRPr lang="en-US"/>
        </a:p>
      </dgm:t>
    </dgm:pt>
    <dgm:pt modelId="{27153304-C8A4-4118-B3A0-C04DF611786F}">
      <dgm:prSet phldrT="[Text]" custT="1"/>
      <dgm:spPr/>
      <dgm:t>
        <a:bodyPr/>
        <a:lstStyle/>
        <a:p>
          <a:r>
            <a:rPr lang="lt-LT" sz="1050">
              <a:latin typeface="Times New Roman" pitchFamily="18" charset="0"/>
              <a:cs typeface="Times New Roman" pitchFamily="18" charset="0"/>
            </a:rPr>
            <a:t>Socialiniai ir kultūriniai veiksniai</a:t>
          </a:r>
          <a:endParaRPr lang="en-US" sz="1050">
            <a:latin typeface="Times New Roman" pitchFamily="18" charset="0"/>
            <a:cs typeface="Times New Roman" pitchFamily="18" charset="0"/>
          </a:endParaRPr>
        </a:p>
      </dgm:t>
    </dgm:pt>
    <dgm:pt modelId="{7FB6D5A0-C631-4BCC-B332-22513DE04B97}" type="parTrans" cxnId="{2E414907-A7B5-4314-B15F-658FF0C8E37D}">
      <dgm:prSet/>
      <dgm:spPr/>
      <dgm:t>
        <a:bodyPr/>
        <a:lstStyle/>
        <a:p>
          <a:endParaRPr lang="en-US"/>
        </a:p>
      </dgm:t>
    </dgm:pt>
    <dgm:pt modelId="{B59DE5ED-8D57-4D12-8334-C39DEB61063D}" type="sibTrans" cxnId="{2E414907-A7B5-4314-B15F-658FF0C8E37D}">
      <dgm:prSet/>
      <dgm:spPr/>
      <dgm:t>
        <a:bodyPr/>
        <a:lstStyle/>
        <a:p>
          <a:endParaRPr lang="en-US"/>
        </a:p>
      </dgm:t>
    </dgm:pt>
    <dgm:pt modelId="{90AFF72F-C9F5-435F-ABBF-9AB4E9E567EF}">
      <dgm:prSet phldrT="[Text]" custT="1"/>
      <dgm:spPr/>
      <dgm:t>
        <a:bodyPr/>
        <a:lstStyle/>
        <a:p>
          <a:r>
            <a:rPr lang="lt-LT" sz="1100">
              <a:latin typeface="Times New Roman" pitchFamily="18" charset="0"/>
              <a:cs typeface="Times New Roman" pitchFamily="18" charset="0"/>
            </a:rPr>
            <a:t>Technologiniai veiksniai</a:t>
          </a:r>
          <a:endParaRPr lang="en-US" sz="1100">
            <a:latin typeface="Times New Roman" pitchFamily="18" charset="0"/>
            <a:cs typeface="Times New Roman" pitchFamily="18" charset="0"/>
          </a:endParaRPr>
        </a:p>
      </dgm:t>
    </dgm:pt>
    <dgm:pt modelId="{6AEAEB7A-1747-4412-88F3-0B1FAE4015FE}" type="parTrans" cxnId="{819FCE2E-CC9D-40CD-9A21-BF7D72E6D9D1}">
      <dgm:prSet/>
      <dgm:spPr/>
      <dgm:t>
        <a:bodyPr/>
        <a:lstStyle/>
        <a:p>
          <a:endParaRPr lang="en-US"/>
        </a:p>
      </dgm:t>
    </dgm:pt>
    <dgm:pt modelId="{24395F35-7C2F-417A-B779-401D32122AE7}" type="sibTrans" cxnId="{819FCE2E-CC9D-40CD-9A21-BF7D72E6D9D1}">
      <dgm:prSet/>
      <dgm:spPr/>
      <dgm:t>
        <a:bodyPr/>
        <a:lstStyle/>
        <a:p>
          <a:endParaRPr lang="en-US"/>
        </a:p>
      </dgm:t>
    </dgm:pt>
    <dgm:pt modelId="{FA73B951-B453-4D9C-AB96-0D735B4D1734}">
      <dgm:prSet phldrT="[Text]" custT="1"/>
      <dgm:spPr/>
      <dgm:t>
        <a:bodyPr/>
        <a:lstStyle/>
        <a:p>
          <a:r>
            <a:rPr lang="lt-LT" sz="1100">
              <a:latin typeface="Times New Roman" pitchFamily="18" charset="0"/>
              <a:cs typeface="Times New Roman" pitchFamily="18" charset="0"/>
            </a:rPr>
            <a:t>Politiniai ir teisiniai veiksniai</a:t>
          </a:r>
          <a:endParaRPr lang="en-US" sz="1100">
            <a:latin typeface="Times New Roman" pitchFamily="18" charset="0"/>
            <a:cs typeface="Times New Roman" pitchFamily="18" charset="0"/>
          </a:endParaRPr>
        </a:p>
      </dgm:t>
    </dgm:pt>
    <dgm:pt modelId="{20741342-1B4F-4C5C-87FE-134F8F176B75}" type="parTrans" cxnId="{D3EC8F1B-6E2A-4CD5-9F1C-675F52A405FB}">
      <dgm:prSet/>
      <dgm:spPr/>
      <dgm:t>
        <a:bodyPr/>
        <a:lstStyle/>
        <a:p>
          <a:endParaRPr lang="en-US"/>
        </a:p>
      </dgm:t>
    </dgm:pt>
    <dgm:pt modelId="{7A0DCC62-1399-4C15-859A-DF482D9F15A1}" type="sibTrans" cxnId="{D3EC8F1B-6E2A-4CD5-9F1C-675F52A405FB}">
      <dgm:prSet/>
      <dgm:spPr/>
      <dgm:t>
        <a:bodyPr/>
        <a:lstStyle/>
        <a:p>
          <a:endParaRPr lang="en-US"/>
        </a:p>
      </dgm:t>
    </dgm:pt>
    <dgm:pt modelId="{3C228915-3405-4ECD-9517-121F7580CD39}">
      <dgm:prSet custT="1"/>
      <dgm:spPr/>
      <dgm:t>
        <a:bodyPr/>
        <a:lstStyle/>
        <a:p>
          <a:r>
            <a:rPr lang="lt-LT" sz="1100">
              <a:latin typeface="Times New Roman" pitchFamily="18" charset="0"/>
              <a:cs typeface="Times New Roman" pitchFamily="18" charset="0"/>
            </a:rPr>
            <a:t>Ekologiniai ir kiti veiksniai</a:t>
          </a:r>
          <a:endParaRPr lang="en-US" sz="1100">
            <a:latin typeface="Times New Roman" pitchFamily="18" charset="0"/>
            <a:cs typeface="Times New Roman" pitchFamily="18" charset="0"/>
          </a:endParaRPr>
        </a:p>
      </dgm:t>
    </dgm:pt>
    <dgm:pt modelId="{3F076CBE-A6F7-4C02-B2E0-D90DE559E709}" type="parTrans" cxnId="{081E1577-8131-4F6C-8E1B-8CE6F135AD2B}">
      <dgm:prSet/>
      <dgm:spPr/>
      <dgm:t>
        <a:bodyPr/>
        <a:lstStyle/>
        <a:p>
          <a:endParaRPr lang="en-US"/>
        </a:p>
      </dgm:t>
    </dgm:pt>
    <dgm:pt modelId="{4167C4F1-AB9F-4588-99D5-988D0FB0CC99}" type="sibTrans" cxnId="{081E1577-8131-4F6C-8E1B-8CE6F135AD2B}">
      <dgm:prSet/>
      <dgm:spPr/>
      <dgm:t>
        <a:bodyPr/>
        <a:lstStyle/>
        <a:p>
          <a:endParaRPr lang="en-US"/>
        </a:p>
      </dgm:t>
    </dgm:pt>
    <dgm:pt modelId="{EBE9FA31-AD21-4AFF-88D5-EA8C23DC891A}" type="pres">
      <dgm:prSet presAssocID="{DA412349-8EFF-4176-BA1E-2C54BF45F783}" presName="cycle" presStyleCnt="0">
        <dgm:presLayoutVars>
          <dgm:chMax val="1"/>
          <dgm:dir/>
          <dgm:animLvl val="ctr"/>
          <dgm:resizeHandles val="exact"/>
        </dgm:presLayoutVars>
      </dgm:prSet>
      <dgm:spPr/>
      <dgm:t>
        <a:bodyPr/>
        <a:lstStyle/>
        <a:p>
          <a:endParaRPr lang="en-US"/>
        </a:p>
      </dgm:t>
    </dgm:pt>
    <dgm:pt modelId="{A210DB15-F894-4B40-AC4A-012469EB5C56}" type="pres">
      <dgm:prSet presAssocID="{5AD77EA1-C007-434A-A744-0D5B3F29E806}" presName="centerShape" presStyleLbl="node0" presStyleIdx="0" presStyleCnt="1"/>
      <dgm:spPr/>
      <dgm:t>
        <a:bodyPr/>
        <a:lstStyle/>
        <a:p>
          <a:endParaRPr lang="en-US"/>
        </a:p>
      </dgm:t>
    </dgm:pt>
    <dgm:pt modelId="{3FB8F449-EF81-48C5-9CBB-08999D82DCF2}" type="pres">
      <dgm:prSet presAssocID="{8BE018AE-DBAC-4D18-910D-CB1846D2CA1F}" presName="Name9" presStyleLbl="parChTrans1D2" presStyleIdx="0" presStyleCnt="5"/>
      <dgm:spPr/>
      <dgm:t>
        <a:bodyPr/>
        <a:lstStyle/>
        <a:p>
          <a:endParaRPr lang="en-US"/>
        </a:p>
      </dgm:t>
    </dgm:pt>
    <dgm:pt modelId="{1BFE6CB9-CB55-4909-A184-7587CE3ECE0F}" type="pres">
      <dgm:prSet presAssocID="{8BE018AE-DBAC-4D18-910D-CB1846D2CA1F}" presName="connTx" presStyleLbl="parChTrans1D2" presStyleIdx="0" presStyleCnt="5"/>
      <dgm:spPr/>
      <dgm:t>
        <a:bodyPr/>
        <a:lstStyle/>
        <a:p>
          <a:endParaRPr lang="en-US"/>
        </a:p>
      </dgm:t>
    </dgm:pt>
    <dgm:pt modelId="{8E683DDD-12D0-4ADF-A623-CAD6EFED9F33}" type="pres">
      <dgm:prSet presAssocID="{D2497410-E93E-46A6-B88C-CFF1F9F696C5}" presName="node" presStyleLbl="node1" presStyleIdx="0" presStyleCnt="5" custScaleX="135969">
        <dgm:presLayoutVars>
          <dgm:bulletEnabled val="1"/>
        </dgm:presLayoutVars>
      </dgm:prSet>
      <dgm:spPr/>
      <dgm:t>
        <a:bodyPr/>
        <a:lstStyle/>
        <a:p>
          <a:endParaRPr lang="en-US"/>
        </a:p>
      </dgm:t>
    </dgm:pt>
    <dgm:pt modelId="{7B8C64CC-FC41-4C7F-A0D9-F80EF065D756}" type="pres">
      <dgm:prSet presAssocID="{7FB6D5A0-C631-4BCC-B332-22513DE04B97}" presName="Name9" presStyleLbl="parChTrans1D2" presStyleIdx="1" presStyleCnt="5"/>
      <dgm:spPr/>
      <dgm:t>
        <a:bodyPr/>
        <a:lstStyle/>
        <a:p>
          <a:endParaRPr lang="en-US"/>
        </a:p>
      </dgm:t>
    </dgm:pt>
    <dgm:pt modelId="{FCC953B7-A4EA-4533-BD11-6635D4366B4F}" type="pres">
      <dgm:prSet presAssocID="{7FB6D5A0-C631-4BCC-B332-22513DE04B97}" presName="connTx" presStyleLbl="parChTrans1D2" presStyleIdx="1" presStyleCnt="5"/>
      <dgm:spPr/>
      <dgm:t>
        <a:bodyPr/>
        <a:lstStyle/>
        <a:p>
          <a:endParaRPr lang="en-US"/>
        </a:p>
      </dgm:t>
    </dgm:pt>
    <dgm:pt modelId="{0A27DCA7-007B-4A4E-AEE4-63D0916E213F}" type="pres">
      <dgm:prSet presAssocID="{27153304-C8A4-4118-B3A0-C04DF611786F}" presName="node" presStyleLbl="node1" presStyleIdx="1" presStyleCnt="5" custScaleX="150735" custRadScaleRad="115575" custRadScaleInc="6922">
        <dgm:presLayoutVars>
          <dgm:bulletEnabled val="1"/>
        </dgm:presLayoutVars>
      </dgm:prSet>
      <dgm:spPr/>
      <dgm:t>
        <a:bodyPr/>
        <a:lstStyle/>
        <a:p>
          <a:endParaRPr lang="en-US"/>
        </a:p>
      </dgm:t>
    </dgm:pt>
    <dgm:pt modelId="{912CC1BD-A4A5-469A-B796-30BE924BCD17}" type="pres">
      <dgm:prSet presAssocID="{3F076CBE-A6F7-4C02-B2E0-D90DE559E709}" presName="Name9" presStyleLbl="parChTrans1D2" presStyleIdx="2" presStyleCnt="5"/>
      <dgm:spPr/>
      <dgm:t>
        <a:bodyPr/>
        <a:lstStyle/>
        <a:p>
          <a:endParaRPr lang="en-US"/>
        </a:p>
      </dgm:t>
    </dgm:pt>
    <dgm:pt modelId="{391F7D95-706C-44B5-A638-561BB9356EA5}" type="pres">
      <dgm:prSet presAssocID="{3F076CBE-A6F7-4C02-B2E0-D90DE559E709}" presName="connTx" presStyleLbl="parChTrans1D2" presStyleIdx="2" presStyleCnt="5"/>
      <dgm:spPr/>
      <dgm:t>
        <a:bodyPr/>
        <a:lstStyle/>
        <a:p>
          <a:endParaRPr lang="en-US"/>
        </a:p>
      </dgm:t>
    </dgm:pt>
    <dgm:pt modelId="{E5EF97E1-F73E-4E8D-AD38-7DC808E14190}" type="pres">
      <dgm:prSet presAssocID="{3C228915-3405-4ECD-9517-121F7580CD39}" presName="node" presStyleLbl="node1" presStyleIdx="2" presStyleCnt="5" custScaleX="173884" custRadScaleRad="117914" custRadScaleInc="-29226">
        <dgm:presLayoutVars>
          <dgm:bulletEnabled val="1"/>
        </dgm:presLayoutVars>
      </dgm:prSet>
      <dgm:spPr/>
      <dgm:t>
        <a:bodyPr/>
        <a:lstStyle/>
        <a:p>
          <a:endParaRPr lang="en-US"/>
        </a:p>
      </dgm:t>
    </dgm:pt>
    <dgm:pt modelId="{52DA478F-A81B-4C98-814F-1201D60DB53D}" type="pres">
      <dgm:prSet presAssocID="{6AEAEB7A-1747-4412-88F3-0B1FAE4015FE}" presName="Name9" presStyleLbl="parChTrans1D2" presStyleIdx="3" presStyleCnt="5"/>
      <dgm:spPr/>
      <dgm:t>
        <a:bodyPr/>
        <a:lstStyle/>
        <a:p>
          <a:endParaRPr lang="en-US"/>
        </a:p>
      </dgm:t>
    </dgm:pt>
    <dgm:pt modelId="{C05E5B97-5C9B-4EDA-8469-37B6C93876CD}" type="pres">
      <dgm:prSet presAssocID="{6AEAEB7A-1747-4412-88F3-0B1FAE4015FE}" presName="connTx" presStyleLbl="parChTrans1D2" presStyleIdx="3" presStyleCnt="5"/>
      <dgm:spPr/>
      <dgm:t>
        <a:bodyPr/>
        <a:lstStyle/>
        <a:p>
          <a:endParaRPr lang="en-US"/>
        </a:p>
      </dgm:t>
    </dgm:pt>
    <dgm:pt modelId="{E05C4F94-806B-4329-86F4-0A265A07CA96}" type="pres">
      <dgm:prSet presAssocID="{90AFF72F-C9F5-435F-ABBF-9AB4E9E567EF}" presName="node" presStyleLbl="node1" presStyleIdx="3" presStyleCnt="5" custScaleX="174657" custRadScaleRad="112484" custRadScaleInc="21773">
        <dgm:presLayoutVars>
          <dgm:bulletEnabled val="1"/>
        </dgm:presLayoutVars>
      </dgm:prSet>
      <dgm:spPr/>
      <dgm:t>
        <a:bodyPr/>
        <a:lstStyle/>
        <a:p>
          <a:endParaRPr lang="en-US"/>
        </a:p>
      </dgm:t>
    </dgm:pt>
    <dgm:pt modelId="{E1FCBAEC-3802-4166-BAED-06FA6268C07B}" type="pres">
      <dgm:prSet presAssocID="{20741342-1B4F-4C5C-87FE-134F8F176B75}" presName="Name9" presStyleLbl="parChTrans1D2" presStyleIdx="4" presStyleCnt="5"/>
      <dgm:spPr/>
      <dgm:t>
        <a:bodyPr/>
        <a:lstStyle/>
        <a:p>
          <a:endParaRPr lang="en-US"/>
        </a:p>
      </dgm:t>
    </dgm:pt>
    <dgm:pt modelId="{D4976A72-194B-4032-8A84-6C1244A64317}" type="pres">
      <dgm:prSet presAssocID="{20741342-1B4F-4C5C-87FE-134F8F176B75}" presName="connTx" presStyleLbl="parChTrans1D2" presStyleIdx="4" presStyleCnt="5"/>
      <dgm:spPr/>
      <dgm:t>
        <a:bodyPr/>
        <a:lstStyle/>
        <a:p>
          <a:endParaRPr lang="en-US"/>
        </a:p>
      </dgm:t>
    </dgm:pt>
    <dgm:pt modelId="{5F890C7C-37B7-449B-AB8C-FB268A93238A}" type="pres">
      <dgm:prSet presAssocID="{FA73B951-B453-4D9C-AB96-0D735B4D1734}" presName="node" presStyleLbl="node1" presStyleIdx="4" presStyleCnt="5" custScaleX="151060" custRadScaleRad="108220" custRadScaleInc="-3913">
        <dgm:presLayoutVars>
          <dgm:bulletEnabled val="1"/>
        </dgm:presLayoutVars>
      </dgm:prSet>
      <dgm:spPr/>
      <dgm:t>
        <a:bodyPr/>
        <a:lstStyle/>
        <a:p>
          <a:endParaRPr lang="en-US"/>
        </a:p>
      </dgm:t>
    </dgm:pt>
  </dgm:ptLst>
  <dgm:cxnLst>
    <dgm:cxn modelId="{5ABE7CB1-911E-41F0-9D18-B5A75C879562}" type="presOf" srcId="{6AEAEB7A-1747-4412-88F3-0B1FAE4015FE}" destId="{52DA478F-A81B-4C98-814F-1201D60DB53D}" srcOrd="0" destOrd="0" presId="urn:microsoft.com/office/officeart/2005/8/layout/radial1"/>
    <dgm:cxn modelId="{116F8373-6163-4F74-A781-E4E9BDD0CE21}" type="presOf" srcId="{7FB6D5A0-C631-4BCC-B332-22513DE04B97}" destId="{FCC953B7-A4EA-4533-BD11-6635D4366B4F}" srcOrd="1" destOrd="0" presId="urn:microsoft.com/office/officeart/2005/8/layout/radial1"/>
    <dgm:cxn modelId="{F24B2800-ED85-49A9-9884-A6B015776A00}" type="presOf" srcId="{8BE018AE-DBAC-4D18-910D-CB1846D2CA1F}" destId="{3FB8F449-EF81-48C5-9CBB-08999D82DCF2}" srcOrd="0" destOrd="0" presId="urn:microsoft.com/office/officeart/2005/8/layout/radial1"/>
    <dgm:cxn modelId="{BF929F47-C3DF-4B1B-9FFC-E4DCC2453F79}" type="presOf" srcId="{D2497410-E93E-46A6-B88C-CFF1F9F696C5}" destId="{8E683DDD-12D0-4ADF-A623-CAD6EFED9F33}" srcOrd="0" destOrd="0" presId="urn:microsoft.com/office/officeart/2005/8/layout/radial1"/>
    <dgm:cxn modelId="{1C4DAEA3-5BE0-4DCE-ACD3-CE5D6E0075D8}" type="presOf" srcId="{5AD77EA1-C007-434A-A744-0D5B3F29E806}" destId="{A210DB15-F894-4B40-AC4A-012469EB5C56}" srcOrd="0" destOrd="0" presId="urn:microsoft.com/office/officeart/2005/8/layout/radial1"/>
    <dgm:cxn modelId="{6D7B8E7C-1356-4B85-A07E-871233EB6763}" srcId="{5AD77EA1-C007-434A-A744-0D5B3F29E806}" destId="{D2497410-E93E-46A6-B88C-CFF1F9F696C5}" srcOrd="0" destOrd="0" parTransId="{8BE018AE-DBAC-4D18-910D-CB1846D2CA1F}" sibTransId="{D2CF69B2-D25B-493E-9381-5596DB0E9AB4}"/>
    <dgm:cxn modelId="{BDBA05BD-6F56-45A4-81FE-9F46E4DD1FA5}" type="presOf" srcId="{FA73B951-B453-4D9C-AB96-0D735B4D1734}" destId="{5F890C7C-37B7-449B-AB8C-FB268A93238A}" srcOrd="0" destOrd="0" presId="urn:microsoft.com/office/officeart/2005/8/layout/radial1"/>
    <dgm:cxn modelId="{0851284C-E350-4B9E-902E-E22A1433A539}" type="presOf" srcId="{3F076CBE-A6F7-4C02-B2E0-D90DE559E709}" destId="{912CC1BD-A4A5-469A-B796-30BE924BCD17}" srcOrd="0" destOrd="0" presId="urn:microsoft.com/office/officeart/2005/8/layout/radial1"/>
    <dgm:cxn modelId="{081E1577-8131-4F6C-8E1B-8CE6F135AD2B}" srcId="{5AD77EA1-C007-434A-A744-0D5B3F29E806}" destId="{3C228915-3405-4ECD-9517-121F7580CD39}" srcOrd="2" destOrd="0" parTransId="{3F076CBE-A6F7-4C02-B2E0-D90DE559E709}" sibTransId="{4167C4F1-AB9F-4588-99D5-988D0FB0CC99}"/>
    <dgm:cxn modelId="{10BD6DB9-D5A4-457F-880F-F7B69DB6FA4C}" type="presOf" srcId="{20741342-1B4F-4C5C-87FE-134F8F176B75}" destId="{D4976A72-194B-4032-8A84-6C1244A64317}" srcOrd="1" destOrd="0" presId="urn:microsoft.com/office/officeart/2005/8/layout/radial1"/>
    <dgm:cxn modelId="{904AF38C-690A-40D6-B5F3-F98FB895D50F}" type="presOf" srcId="{27153304-C8A4-4118-B3A0-C04DF611786F}" destId="{0A27DCA7-007B-4A4E-AEE4-63D0916E213F}" srcOrd="0" destOrd="0" presId="urn:microsoft.com/office/officeart/2005/8/layout/radial1"/>
    <dgm:cxn modelId="{6972EC4C-164E-42CF-80DA-46E05753486A}" type="presOf" srcId="{DA412349-8EFF-4176-BA1E-2C54BF45F783}" destId="{EBE9FA31-AD21-4AFF-88D5-EA8C23DC891A}" srcOrd="0" destOrd="0" presId="urn:microsoft.com/office/officeart/2005/8/layout/radial1"/>
    <dgm:cxn modelId="{2E414907-A7B5-4314-B15F-658FF0C8E37D}" srcId="{5AD77EA1-C007-434A-A744-0D5B3F29E806}" destId="{27153304-C8A4-4118-B3A0-C04DF611786F}" srcOrd="1" destOrd="0" parTransId="{7FB6D5A0-C631-4BCC-B332-22513DE04B97}" sibTransId="{B59DE5ED-8D57-4D12-8334-C39DEB61063D}"/>
    <dgm:cxn modelId="{86F56528-C5CA-4D49-8BBB-763670740FE4}" type="presOf" srcId="{6AEAEB7A-1747-4412-88F3-0B1FAE4015FE}" destId="{C05E5B97-5C9B-4EDA-8469-37B6C93876CD}" srcOrd="1" destOrd="0" presId="urn:microsoft.com/office/officeart/2005/8/layout/radial1"/>
    <dgm:cxn modelId="{D3EC8F1B-6E2A-4CD5-9F1C-675F52A405FB}" srcId="{5AD77EA1-C007-434A-A744-0D5B3F29E806}" destId="{FA73B951-B453-4D9C-AB96-0D735B4D1734}" srcOrd="4" destOrd="0" parTransId="{20741342-1B4F-4C5C-87FE-134F8F176B75}" sibTransId="{7A0DCC62-1399-4C15-859A-DF482D9F15A1}"/>
    <dgm:cxn modelId="{819FCE2E-CC9D-40CD-9A21-BF7D72E6D9D1}" srcId="{5AD77EA1-C007-434A-A744-0D5B3F29E806}" destId="{90AFF72F-C9F5-435F-ABBF-9AB4E9E567EF}" srcOrd="3" destOrd="0" parTransId="{6AEAEB7A-1747-4412-88F3-0B1FAE4015FE}" sibTransId="{24395F35-7C2F-417A-B779-401D32122AE7}"/>
    <dgm:cxn modelId="{22D5B96D-BEAB-4337-A4EB-347A2A6347FF}" type="presOf" srcId="{90AFF72F-C9F5-435F-ABBF-9AB4E9E567EF}" destId="{E05C4F94-806B-4329-86F4-0A265A07CA96}" srcOrd="0" destOrd="0" presId="urn:microsoft.com/office/officeart/2005/8/layout/radial1"/>
    <dgm:cxn modelId="{A1102A8F-CA60-4ECB-A3AC-94C835E2972A}" type="presOf" srcId="{20741342-1B4F-4C5C-87FE-134F8F176B75}" destId="{E1FCBAEC-3802-4166-BAED-06FA6268C07B}" srcOrd="0" destOrd="0" presId="urn:microsoft.com/office/officeart/2005/8/layout/radial1"/>
    <dgm:cxn modelId="{C9C2BCB3-360F-44A6-B6E3-9DAD850B88EE}" type="presOf" srcId="{3C228915-3405-4ECD-9517-121F7580CD39}" destId="{E5EF97E1-F73E-4E8D-AD38-7DC808E14190}" srcOrd="0" destOrd="0" presId="urn:microsoft.com/office/officeart/2005/8/layout/radial1"/>
    <dgm:cxn modelId="{C21E3F41-6921-483D-8C08-259964838110}" type="presOf" srcId="{8BE018AE-DBAC-4D18-910D-CB1846D2CA1F}" destId="{1BFE6CB9-CB55-4909-A184-7587CE3ECE0F}" srcOrd="1" destOrd="0" presId="urn:microsoft.com/office/officeart/2005/8/layout/radial1"/>
    <dgm:cxn modelId="{5727545E-0172-44FC-8FBA-7E48F4464E35}" type="presOf" srcId="{7FB6D5A0-C631-4BCC-B332-22513DE04B97}" destId="{7B8C64CC-FC41-4C7F-A0D9-F80EF065D756}" srcOrd="0" destOrd="0" presId="urn:microsoft.com/office/officeart/2005/8/layout/radial1"/>
    <dgm:cxn modelId="{1EBBE95B-A2B8-42F5-840F-B6301E27C19E}" type="presOf" srcId="{3F076CBE-A6F7-4C02-B2E0-D90DE559E709}" destId="{391F7D95-706C-44B5-A638-561BB9356EA5}" srcOrd="1" destOrd="0" presId="urn:microsoft.com/office/officeart/2005/8/layout/radial1"/>
    <dgm:cxn modelId="{DE8F26FD-3CC3-47C5-9E1B-37AFA13CDC20}" srcId="{DA412349-8EFF-4176-BA1E-2C54BF45F783}" destId="{5AD77EA1-C007-434A-A744-0D5B3F29E806}" srcOrd="0" destOrd="0" parTransId="{286E004C-16CD-4A26-B257-54336AE6A8EA}" sibTransId="{E8519947-A79E-4FFA-90C4-E6A6830BF200}"/>
    <dgm:cxn modelId="{BC20121B-52F9-4B5E-8C17-044047A0152C}" type="presParOf" srcId="{EBE9FA31-AD21-4AFF-88D5-EA8C23DC891A}" destId="{A210DB15-F894-4B40-AC4A-012469EB5C56}" srcOrd="0" destOrd="0" presId="urn:microsoft.com/office/officeart/2005/8/layout/radial1"/>
    <dgm:cxn modelId="{2F124363-B575-4155-8D62-D413A42BF2DD}" type="presParOf" srcId="{EBE9FA31-AD21-4AFF-88D5-EA8C23DC891A}" destId="{3FB8F449-EF81-48C5-9CBB-08999D82DCF2}" srcOrd="1" destOrd="0" presId="urn:microsoft.com/office/officeart/2005/8/layout/radial1"/>
    <dgm:cxn modelId="{038A3D4D-1DF4-4D6C-9858-21A7B7EB6560}" type="presParOf" srcId="{3FB8F449-EF81-48C5-9CBB-08999D82DCF2}" destId="{1BFE6CB9-CB55-4909-A184-7587CE3ECE0F}" srcOrd="0" destOrd="0" presId="urn:microsoft.com/office/officeart/2005/8/layout/radial1"/>
    <dgm:cxn modelId="{238C4AC5-B06D-493B-8DFE-41A2FB1570A9}" type="presParOf" srcId="{EBE9FA31-AD21-4AFF-88D5-EA8C23DC891A}" destId="{8E683DDD-12D0-4ADF-A623-CAD6EFED9F33}" srcOrd="2" destOrd="0" presId="urn:microsoft.com/office/officeart/2005/8/layout/radial1"/>
    <dgm:cxn modelId="{AEF647F7-C5FD-4CA7-8CC0-F804A3DC78A8}" type="presParOf" srcId="{EBE9FA31-AD21-4AFF-88D5-EA8C23DC891A}" destId="{7B8C64CC-FC41-4C7F-A0D9-F80EF065D756}" srcOrd="3" destOrd="0" presId="urn:microsoft.com/office/officeart/2005/8/layout/radial1"/>
    <dgm:cxn modelId="{7E46C2C1-4FB2-4343-B894-981483670F60}" type="presParOf" srcId="{7B8C64CC-FC41-4C7F-A0D9-F80EF065D756}" destId="{FCC953B7-A4EA-4533-BD11-6635D4366B4F}" srcOrd="0" destOrd="0" presId="urn:microsoft.com/office/officeart/2005/8/layout/radial1"/>
    <dgm:cxn modelId="{B95455A5-5ABF-456C-A612-864F14B67004}" type="presParOf" srcId="{EBE9FA31-AD21-4AFF-88D5-EA8C23DC891A}" destId="{0A27DCA7-007B-4A4E-AEE4-63D0916E213F}" srcOrd="4" destOrd="0" presId="urn:microsoft.com/office/officeart/2005/8/layout/radial1"/>
    <dgm:cxn modelId="{1CEFC74D-414B-4907-B0FE-DD282ECE365B}" type="presParOf" srcId="{EBE9FA31-AD21-4AFF-88D5-EA8C23DC891A}" destId="{912CC1BD-A4A5-469A-B796-30BE924BCD17}" srcOrd="5" destOrd="0" presId="urn:microsoft.com/office/officeart/2005/8/layout/radial1"/>
    <dgm:cxn modelId="{DB49D97C-750E-43DE-A1E0-C337190C7A2F}" type="presParOf" srcId="{912CC1BD-A4A5-469A-B796-30BE924BCD17}" destId="{391F7D95-706C-44B5-A638-561BB9356EA5}" srcOrd="0" destOrd="0" presId="urn:microsoft.com/office/officeart/2005/8/layout/radial1"/>
    <dgm:cxn modelId="{DBB5947D-C0A2-40BF-9321-D6B7F3952B4C}" type="presParOf" srcId="{EBE9FA31-AD21-4AFF-88D5-EA8C23DC891A}" destId="{E5EF97E1-F73E-4E8D-AD38-7DC808E14190}" srcOrd="6" destOrd="0" presId="urn:microsoft.com/office/officeart/2005/8/layout/radial1"/>
    <dgm:cxn modelId="{B1E6937A-50B5-49DB-A00D-650F872365CE}" type="presParOf" srcId="{EBE9FA31-AD21-4AFF-88D5-EA8C23DC891A}" destId="{52DA478F-A81B-4C98-814F-1201D60DB53D}" srcOrd="7" destOrd="0" presId="urn:microsoft.com/office/officeart/2005/8/layout/radial1"/>
    <dgm:cxn modelId="{0710C3A9-2A88-4A2D-AC64-D2745F90FE17}" type="presParOf" srcId="{52DA478F-A81B-4C98-814F-1201D60DB53D}" destId="{C05E5B97-5C9B-4EDA-8469-37B6C93876CD}" srcOrd="0" destOrd="0" presId="urn:microsoft.com/office/officeart/2005/8/layout/radial1"/>
    <dgm:cxn modelId="{6F28FD99-55CF-49D1-A9D8-F41BA4A29148}" type="presParOf" srcId="{EBE9FA31-AD21-4AFF-88D5-EA8C23DC891A}" destId="{E05C4F94-806B-4329-86F4-0A265A07CA96}" srcOrd="8" destOrd="0" presId="urn:microsoft.com/office/officeart/2005/8/layout/radial1"/>
    <dgm:cxn modelId="{2B5FEE79-3A85-4424-9BC5-C314799FEF58}" type="presParOf" srcId="{EBE9FA31-AD21-4AFF-88D5-EA8C23DC891A}" destId="{E1FCBAEC-3802-4166-BAED-06FA6268C07B}" srcOrd="9" destOrd="0" presId="urn:microsoft.com/office/officeart/2005/8/layout/radial1"/>
    <dgm:cxn modelId="{35E201D1-C16B-46B2-A284-EC6670599642}" type="presParOf" srcId="{E1FCBAEC-3802-4166-BAED-06FA6268C07B}" destId="{D4976A72-194B-4032-8A84-6C1244A64317}" srcOrd="0" destOrd="0" presId="urn:microsoft.com/office/officeart/2005/8/layout/radial1"/>
    <dgm:cxn modelId="{CEDD9CD8-7659-4028-A65A-0C14BA8816A2}" type="presParOf" srcId="{EBE9FA31-AD21-4AFF-88D5-EA8C23DC891A}" destId="{5F890C7C-37B7-449B-AB8C-FB268A93238A}" srcOrd="10" destOrd="0" presId="urn:microsoft.com/office/officeart/2005/8/layout/radial1"/>
  </dgm:cxnLst>
  <dgm:bg/>
  <dgm:whole/>
</dgm:dataModel>
</file>

<file path=word/diagrams/data3.xml><?xml version="1.0" encoding="utf-8"?>
<dgm:dataModel xmlns:dgm="http://schemas.openxmlformats.org/drawingml/2006/diagram" xmlns:a="http://schemas.openxmlformats.org/drawingml/2006/main">
  <dgm:ptLst>
    <dgm:pt modelId="{DF0FC098-863A-4867-BFB2-19DD059E330A}" type="doc">
      <dgm:prSet loTypeId="urn:microsoft.com/office/officeart/2005/8/layout/hierarchy2" loCatId="hierarchy" qsTypeId="urn:microsoft.com/office/officeart/2005/8/quickstyle/simple1" qsCatId="simple" csTypeId="urn:microsoft.com/office/officeart/2005/8/colors/accent6_1" csCatId="accent6" phldr="1"/>
      <dgm:spPr/>
      <dgm:t>
        <a:bodyPr/>
        <a:lstStyle/>
        <a:p>
          <a:endParaRPr lang="en-US"/>
        </a:p>
      </dgm:t>
    </dgm:pt>
    <dgm:pt modelId="{D1DC319E-28E2-42E0-804B-FC5B921BA699}">
      <dgm:prSet phldrT="[Text]" custT="1"/>
      <dgm:spPr>
        <a:solidFill>
          <a:schemeClr val="accent6">
            <a:lumMod val="75000"/>
          </a:schemeClr>
        </a:solidFill>
      </dgm:spPr>
      <dgm:t>
        <a:bodyPr/>
        <a:lstStyle/>
        <a:p>
          <a:pPr algn="ctr"/>
          <a:r>
            <a:rPr lang="lt-LT" sz="1000" b="1">
              <a:latin typeface="Times New Roman" pitchFamily="18" charset="0"/>
              <a:cs typeface="Times New Roman" pitchFamily="18" charset="0"/>
            </a:rPr>
            <a:t>BANKROTO PROGNOZAVIMO MODELIAI</a:t>
          </a:r>
          <a:endParaRPr lang="en-US" sz="1000" b="1">
            <a:latin typeface="Times New Roman" pitchFamily="18" charset="0"/>
            <a:cs typeface="Times New Roman" pitchFamily="18" charset="0"/>
          </a:endParaRPr>
        </a:p>
      </dgm:t>
    </dgm:pt>
    <dgm:pt modelId="{13DD86F0-DC62-47D9-BB0B-372449660C59}" type="parTrans" cxnId="{824319BB-A747-4920-BF2E-A4E90811390B}">
      <dgm:prSet/>
      <dgm:spPr/>
      <dgm:t>
        <a:bodyPr/>
        <a:lstStyle/>
        <a:p>
          <a:pPr algn="ctr"/>
          <a:endParaRPr lang="en-US"/>
        </a:p>
      </dgm:t>
    </dgm:pt>
    <dgm:pt modelId="{2C2B3CD8-0D99-4F99-9933-488C85E16489}" type="sibTrans" cxnId="{824319BB-A747-4920-BF2E-A4E90811390B}">
      <dgm:prSet/>
      <dgm:spPr/>
      <dgm:t>
        <a:bodyPr/>
        <a:lstStyle/>
        <a:p>
          <a:pPr algn="ctr"/>
          <a:endParaRPr lang="en-US"/>
        </a:p>
      </dgm:t>
    </dgm:pt>
    <dgm:pt modelId="{181D101E-4603-4476-883E-5D320950E0DA}">
      <dgm:prSet phldrT="[Text]" custT="1"/>
      <dgm:spPr>
        <a:solidFill>
          <a:schemeClr val="accent6">
            <a:lumMod val="60000"/>
            <a:lumOff val="40000"/>
          </a:schemeClr>
        </a:solidFill>
      </dgm:spPr>
      <dgm:t>
        <a:bodyPr/>
        <a:lstStyle/>
        <a:p>
          <a:pPr algn="ctr"/>
          <a:r>
            <a:rPr lang="lt-LT" sz="1000" b="1" i="0">
              <a:latin typeface="Times New Roman" pitchFamily="18" charset="0"/>
              <a:cs typeface="Times New Roman" pitchFamily="18" charset="0"/>
            </a:rPr>
            <a:t>Klasikiniai statistiniai</a:t>
          </a:r>
          <a:endParaRPr lang="en-US" sz="1000" b="1" i="0">
            <a:latin typeface="Times New Roman" pitchFamily="18" charset="0"/>
            <a:cs typeface="Times New Roman" pitchFamily="18" charset="0"/>
          </a:endParaRPr>
        </a:p>
      </dgm:t>
    </dgm:pt>
    <dgm:pt modelId="{8B50CDA0-821A-4937-8D6A-8598AE82BAFD}" type="parTrans" cxnId="{49B84F60-24B2-41DF-9CFC-FF934180673B}">
      <dgm:prSet/>
      <dgm:spPr/>
      <dgm:t>
        <a:bodyPr/>
        <a:lstStyle/>
        <a:p>
          <a:pPr algn="ctr"/>
          <a:endParaRPr lang="en-US"/>
        </a:p>
      </dgm:t>
    </dgm:pt>
    <dgm:pt modelId="{9FEA6AE2-4EFB-467F-8B5E-46215FEB3C60}" type="sibTrans" cxnId="{49B84F60-24B2-41DF-9CFC-FF934180673B}">
      <dgm:prSet/>
      <dgm:spPr/>
      <dgm:t>
        <a:bodyPr/>
        <a:lstStyle/>
        <a:p>
          <a:pPr algn="ctr"/>
          <a:endParaRPr lang="en-US"/>
        </a:p>
      </dgm:t>
    </dgm:pt>
    <dgm:pt modelId="{B15037CB-DD51-4386-8520-899DD03DF0BA}">
      <dgm:prSet phldrT="[Text]" custT="1"/>
      <dgm:spPr>
        <a:solidFill>
          <a:schemeClr val="accent6">
            <a:lumMod val="40000"/>
            <a:lumOff val="60000"/>
          </a:schemeClr>
        </a:solidFill>
      </dgm:spPr>
      <dgm:t>
        <a:bodyPr/>
        <a:lstStyle/>
        <a:p>
          <a:pPr algn="ctr"/>
          <a:r>
            <a:rPr lang="lt-LT" sz="1000">
              <a:latin typeface="Times New Roman" pitchFamily="18" charset="0"/>
              <a:cs typeface="Times New Roman" pitchFamily="18" charset="0"/>
            </a:rPr>
            <a:t>Tiesinė diskriminantinė analizė</a:t>
          </a:r>
          <a:endParaRPr lang="en-US" sz="1000">
            <a:latin typeface="Times New Roman" pitchFamily="18" charset="0"/>
            <a:cs typeface="Times New Roman" pitchFamily="18" charset="0"/>
          </a:endParaRPr>
        </a:p>
      </dgm:t>
    </dgm:pt>
    <dgm:pt modelId="{43274119-D5B7-4A4B-A8B2-F26E3E405B66}" type="parTrans" cxnId="{A661825F-3810-4CF9-8951-CFB841B1F946}">
      <dgm:prSet/>
      <dgm:spPr/>
      <dgm:t>
        <a:bodyPr/>
        <a:lstStyle/>
        <a:p>
          <a:pPr algn="ctr"/>
          <a:endParaRPr lang="en-US"/>
        </a:p>
      </dgm:t>
    </dgm:pt>
    <dgm:pt modelId="{10BE3829-9F1A-4125-8F70-B4A4143E56D4}" type="sibTrans" cxnId="{A661825F-3810-4CF9-8951-CFB841B1F946}">
      <dgm:prSet/>
      <dgm:spPr/>
      <dgm:t>
        <a:bodyPr/>
        <a:lstStyle/>
        <a:p>
          <a:pPr algn="ctr"/>
          <a:endParaRPr lang="en-US"/>
        </a:p>
      </dgm:t>
    </dgm:pt>
    <dgm:pt modelId="{B2B85339-307F-4965-8242-B4BE6E555A83}">
      <dgm:prSet phldrT="[Text]" custT="1"/>
      <dgm:spPr>
        <a:solidFill>
          <a:schemeClr val="accent6">
            <a:lumMod val="40000"/>
            <a:lumOff val="60000"/>
          </a:schemeClr>
        </a:solidFill>
      </dgm:spPr>
      <dgm:t>
        <a:bodyPr/>
        <a:lstStyle/>
        <a:p>
          <a:pPr algn="ctr"/>
          <a:r>
            <a:rPr lang="lt-LT" sz="1000">
              <a:latin typeface="Times New Roman" pitchFamily="18" charset="0"/>
              <a:cs typeface="Times New Roman" pitchFamily="18" charset="0"/>
            </a:rPr>
            <a:t>Logistinė regresija</a:t>
          </a:r>
          <a:endParaRPr lang="en-US" sz="1000">
            <a:latin typeface="Times New Roman" pitchFamily="18" charset="0"/>
            <a:cs typeface="Times New Roman" pitchFamily="18" charset="0"/>
          </a:endParaRPr>
        </a:p>
      </dgm:t>
    </dgm:pt>
    <dgm:pt modelId="{D7BDDED6-6E0C-44EC-B0F5-272C2BA675B6}" type="parTrans" cxnId="{856B80C4-1072-47B7-A21D-5D12C020AC88}">
      <dgm:prSet/>
      <dgm:spPr/>
      <dgm:t>
        <a:bodyPr/>
        <a:lstStyle/>
        <a:p>
          <a:pPr algn="ctr"/>
          <a:endParaRPr lang="en-US"/>
        </a:p>
      </dgm:t>
    </dgm:pt>
    <dgm:pt modelId="{1DA8186B-9614-496C-BCAD-9A88DF503E72}" type="sibTrans" cxnId="{856B80C4-1072-47B7-A21D-5D12C020AC88}">
      <dgm:prSet/>
      <dgm:spPr/>
      <dgm:t>
        <a:bodyPr/>
        <a:lstStyle/>
        <a:p>
          <a:pPr algn="ctr"/>
          <a:endParaRPr lang="en-US"/>
        </a:p>
      </dgm:t>
    </dgm:pt>
    <dgm:pt modelId="{68061C4C-1B22-44E0-AF2A-6B750C44676E}">
      <dgm:prSet phldrT="[Text]" custT="1"/>
      <dgm:spPr>
        <a:solidFill>
          <a:schemeClr val="accent6">
            <a:lumMod val="60000"/>
            <a:lumOff val="40000"/>
          </a:schemeClr>
        </a:solidFill>
      </dgm:spPr>
      <dgm:t>
        <a:bodyPr/>
        <a:lstStyle/>
        <a:p>
          <a:pPr algn="ctr"/>
          <a:r>
            <a:rPr lang="lt-LT" sz="1000" b="1" i="0">
              <a:latin typeface="Times New Roman" pitchFamily="18" charset="0"/>
              <a:cs typeface="Times New Roman" pitchFamily="18" charset="0"/>
            </a:rPr>
            <a:t>Alternatyvūs</a:t>
          </a:r>
          <a:endParaRPr lang="en-US" sz="1000" b="1" i="0">
            <a:latin typeface="Times New Roman" pitchFamily="18" charset="0"/>
            <a:cs typeface="Times New Roman" pitchFamily="18" charset="0"/>
          </a:endParaRPr>
        </a:p>
      </dgm:t>
    </dgm:pt>
    <dgm:pt modelId="{582669A8-F155-403F-A3DB-01C676F0E120}" type="parTrans" cxnId="{3BF763C6-D866-44F1-B6DF-5A499957BEEA}">
      <dgm:prSet/>
      <dgm:spPr/>
      <dgm:t>
        <a:bodyPr/>
        <a:lstStyle/>
        <a:p>
          <a:pPr algn="ctr"/>
          <a:endParaRPr lang="en-US"/>
        </a:p>
      </dgm:t>
    </dgm:pt>
    <dgm:pt modelId="{854E4DF1-4ECD-4812-B602-49A4191D92F9}" type="sibTrans" cxnId="{3BF763C6-D866-44F1-B6DF-5A499957BEEA}">
      <dgm:prSet/>
      <dgm:spPr/>
      <dgm:t>
        <a:bodyPr/>
        <a:lstStyle/>
        <a:p>
          <a:pPr algn="ctr"/>
          <a:endParaRPr lang="en-US"/>
        </a:p>
      </dgm:t>
    </dgm:pt>
    <dgm:pt modelId="{EF56085A-DAC3-481D-9523-C7773BD2186E}">
      <dgm:prSet phldrT="[Text]" custT="1"/>
      <dgm:spPr>
        <a:solidFill>
          <a:schemeClr val="accent6">
            <a:lumMod val="40000"/>
            <a:lumOff val="60000"/>
          </a:schemeClr>
        </a:solidFill>
      </dgm:spPr>
      <dgm:t>
        <a:bodyPr/>
        <a:lstStyle/>
        <a:p>
          <a:pPr algn="ctr"/>
          <a:r>
            <a:rPr lang="lt-LT" sz="1000">
              <a:latin typeface="Times New Roman" pitchFamily="18" charset="0"/>
              <a:cs typeface="Times New Roman" pitchFamily="18" charset="0"/>
            </a:rPr>
            <a:t>Sprendimų medis</a:t>
          </a:r>
          <a:endParaRPr lang="en-US" sz="1000">
            <a:latin typeface="Times New Roman" pitchFamily="18" charset="0"/>
            <a:cs typeface="Times New Roman" pitchFamily="18" charset="0"/>
          </a:endParaRPr>
        </a:p>
      </dgm:t>
    </dgm:pt>
    <dgm:pt modelId="{F708CF69-577A-410F-9DE3-A9EE3B52DBB3}" type="parTrans" cxnId="{668D1C61-16B1-42AA-A5AF-D2860F878F15}">
      <dgm:prSet/>
      <dgm:spPr/>
      <dgm:t>
        <a:bodyPr/>
        <a:lstStyle/>
        <a:p>
          <a:pPr algn="ctr"/>
          <a:endParaRPr lang="en-US"/>
        </a:p>
      </dgm:t>
    </dgm:pt>
    <dgm:pt modelId="{CFA56665-7B87-46AF-8303-CE84A6539E43}" type="sibTrans" cxnId="{668D1C61-16B1-42AA-A5AF-D2860F878F15}">
      <dgm:prSet/>
      <dgm:spPr/>
      <dgm:t>
        <a:bodyPr/>
        <a:lstStyle/>
        <a:p>
          <a:pPr algn="ctr"/>
          <a:endParaRPr lang="en-US"/>
        </a:p>
      </dgm:t>
    </dgm:pt>
    <dgm:pt modelId="{067AF8B9-4B33-4ABB-88C7-E3DB2C7024FE}">
      <dgm:prSet custT="1"/>
      <dgm:spPr>
        <a:solidFill>
          <a:schemeClr val="accent6">
            <a:lumMod val="40000"/>
            <a:lumOff val="60000"/>
          </a:schemeClr>
        </a:solidFill>
      </dgm:spPr>
      <dgm:t>
        <a:bodyPr/>
        <a:lstStyle/>
        <a:p>
          <a:pPr algn="ctr"/>
          <a:r>
            <a:rPr lang="lt-LT" sz="1000">
              <a:latin typeface="Times New Roman" pitchFamily="18" charset="0"/>
              <a:cs typeface="Times New Roman" pitchFamily="18" charset="0"/>
            </a:rPr>
            <a:t>Neuronų tinklai</a:t>
          </a:r>
          <a:endParaRPr lang="en-US" sz="1000">
            <a:latin typeface="Times New Roman" pitchFamily="18" charset="0"/>
            <a:cs typeface="Times New Roman" pitchFamily="18" charset="0"/>
          </a:endParaRPr>
        </a:p>
      </dgm:t>
    </dgm:pt>
    <dgm:pt modelId="{9AA0AD21-E933-4AE1-8767-1018C1F7136E}" type="parTrans" cxnId="{3A3E944F-9A47-4E96-BDB9-13DACD313F10}">
      <dgm:prSet/>
      <dgm:spPr/>
      <dgm:t>
        <a:bodyPr/>
        <a:lstStyle/>
        <a:p>
          <a:pPr algn="ctr"/>
          <a:endParaRPr lang="en-US"/>
        </a:p>
      </dgm:t>
    </dgm:pt>
    <dgm:pt modelId="{1084F1A0-8788-4B5C-B819-5922939D717E}" type="sibTrans" cxnId="{3A3E944F-9A47-4E96-BDB9-13DACD313F10}">
      <dgm:prSet/>
      <dgm:spPr/>
      <dgm:t>
        <a:bodyPr/>
        <a:lstStyle/>
        <a:p>
          <a:pPr algn="ctr"/>
          <a:endParaRPr lang="en-US"/>
        </a:p>
      </dgm:t>
    </dgm:pt>
    <dgm:pt modelId="{27D83B50-A5CD-4C76-AD30-C783BDDFE33C}">
      <dgm:prSet custT="1"/>
      <dgm:spPr>
        <a:solidFill>
          <a:schemeClr val="accent6">
            <a:lumMod val="20000"/>
            <a:lumOff val="80000"/>
          </a:schemeClr>
        </a:solidFill>
      </dgm:spPr>
      <dgm:t>
        <a:bodyPr/>
        <a:lstStyle/>
        <a:p>
          <a:pPr algn="ctr"/>
          <a:r>
            <a:rPr lang="lt-LT" sz="1000">
              <a:latin typeface="Times New Roman" pitchFamily="18" charset="0"/>
              <a:cs typeface="Times New Roman" pitchFamily="18" charset="0"/>
            </a:rPr>
            <a:t>Vienmatė diskriminantinė analizė</a:t>
          </a:r>
          <a:endParaRPr lang="en-US" sz="1000"/>
        </a:p>
      </dgm:t>
    </dgm:pt>
    <dgm:pt modelId="{D052A7AB-60D2-42F0-84D5-070968361C2A}" type="parTrans" cxnId="{C29018AA-3781-478D-8D3C-03DEB971849D}">
      <dgm:prSet/>
      <dgm:spPr/>
      <dgm:t>
        <a:bodyPr/>
        <a:lstStyle/>
        <a:p>
          <a:pPr algn="ctr"/>
          <a:endParaRPr lang="en-US"/>
        </a:p>
      </dgm:t>
    </dgm:pt>
    <dgm:pt modelId="{2E18321A-A606-492C-9B51-0C654AE85D46}" type="sibTrans" cxnId="{C29018AA-3781-478D-8D3C-03DEB971849D}">
      <dgm:prSet/>
      <dgm:spPr/>
      <dgm:t>
        <a:bodyPr/>
        <a:lstStyle/>
        <a:p>
          <a:pPr algn="ctr"/>
          <a:endParaRPr lang="en-US"/>
        </a:p>
      </dgm:t>
    </dgm:pt>
    <dgm:pt modelId="{5CB405FE-2C40-4E7E-BD97-C5F27EA487D8}">
      <dgm:prSet custT="1"/>
      <dgm:spPr>
        <a:solidFill>
          <a:schemeClr val="accent6">
            <a:lumMod val="20000"/>
            <a:lumOff val="80000"/>
          </a:schemeClr>
        </a:solidFill>
      </dgm:spPr>
      <dgm:t>
        <a:bodyPr/>
        <a:lstStyle/>
        <a:p>
          <a:pPr algn="ctr"/>
          <a:r>
            <a:rPr lang="lt-LT" sz="1000">
              <a:latin typeface="Times New Roman" pitchFamily="18" charset="0"/>
              <a:cs typeface="Times New Roman" pitchFamily="18" charset="0"/>
            </a:rPr>
            <a:t>Daugiakriterinė diskriminantinė analizė</a:t>
          </a:r>
          <a:endParaRPr lang="en-US" sz="1000"/>
        </a:p>
      </dgm:t>
    </dgm:pt>
    <dgm:pt modelId="{B80F5982-8714-45CD-9D71-0F6ECED78D6A}" type="parTrans" cxnId="{FECD72A3-B79F-4D85-BA0F-D5126FF05A94}">
      <dgm:prSet/>
      <dgm:spPr/>
      <dgm:t>
        <a:bodyPr/>
        <a:lstStyle/>
        <a:p>
          <a:pPr algn="ctr"/>
          <a:endParaRPr lang="en-US"/>
        </a:p>
      </dgm:t>
    </dgm:pt>
    <dgm:pt modelId="{C2EC2775-63CC-4736-A974-5E7EA3876CE9}" type="sibTrans" cxnId="{FECD72A3-B79F-4D85-BA0F-D5126FF05A94}">
      <dgm:prSet/>
      <dgm:spPr/>
      <dgm:t>
        <a:bodyPr/>
        <a:lstStyle/>
        <a:p>
          <a:pPr algn="ctr"/>
          <a:endParaRPr lang="en-US"/>
        </a:p>
      </dgm:t>
    </dgm:pt>
    <dgm:pt modelId="{050202C4-97F3-4F87-876E-1EFE9CC7EC64}">
      <dgm:prSet custT="1"/>
      <dgm:spPr>
        <a:solidFill>
          <a:schemeClr val="accent6">
            <a:lumMod val="40000"/>
            <a:lumOff val="60000"/>
          </a:schemeClr>
        </a:solidFill>
      </dgm:spPr>
      <dgm:t>
        <a:bodyPr/>
        <a:lstStyle/>
        <a:p>
          <a:pPr algn="ctr"/>
          <a:r>
            <a:rPr lang="lt-LT" sz="1000">
              <a:latin typeface="Times New Roman" pitchFamily="18" charset="0"/>
              <a:cs typeface="Times New Roman" pitchFamily="18" charset="0"/>
            </a:rPr>
            <a:t>Išlikimo analizė</a:t>
          </a:r>
          <a:endParaRPr lang="en-US" sz="1000"/>
        </a:p>
      </dgm:t>
    </dgm:pt>
    <dgm:pt modelId="{A8E52B02-8327-4DC8-BA56-611F07502788}" type="parTrans" cxnId="{8F658E25-1031-4812-8B90-4520706D0B5F}">
      <dgm:prSet/>
      <dgm:spPr/>
      <dgm:t>
        <a:bodyPr/>
        <a:lstStyle/>
        <a:p>
          <a:pPr algn="ctr"/>
          <a:endParaRPr lang="en-US"/>
        </a:p>
      </dgm:t>
    </dgm:pt>
    <dgm:pt modelId="{5C4B0490-03FE-4576-8695-892E9A63D068}" type="sibTrans" cxnId="{8F658E25-1031-4812-8B90-4520706D0B5F}">
      <dgm:prSet/>
      <dgm:spPr/>
      <dgm:t>
        <a:bodyPr/>
        <a:lstStyle/>
        <a:p>
          <a:pPr algn="ctr"/>
          <a:endParaRPr lang="en-US"/>
        </a:p>
      </dgm:t>
    </dgm:pt>
    <dgm:pt modelId="{BB255DD7-1B14-4B7F-9CFD-043F171701C4}" type="pres">
      <dgm:prSet presAssocID="{DF0FC098-863A-4867-BFB2-19DD059E330A}" presName="diagram" presStyleCnt="0">
        <dgm:presLayoutVars>
          <dgm:chPref val="1"/>
          <dgm:dir/>
          <dgm:animOne val="branch"/>
          <dgm:animLvl val="lvl"/>
          <dgm:resizeHandles val="exact"/>
        </dgm:presLayoutVars>
      </dgm:prSet>
      <dgm:spPr/>
      <dgm:t>
        <a:bodyPr/>
        <a:lstStyle/>
        <a:p>
          <a:endParaRPr lang="en-US"/>
        </a:p>
      </dgm:t>
    </dgm:pt>
    <dgm:pt modelId="{299FEF84-7000-4BC5-B4B8-604C16DAAA94}" type="pres">
      <dgm:prSet presAssocID="{D1DC319E-28E2-42E0-804B-FC5B921BA699}" presName="root1" presStyleCnt="0"/>
      <dgm:spPr/>
      <dgm:t>
        <a:bodyPr/>
        <a:lstStyle/>
        <a:p>
          <a:endParaRPr lang="en-US"/>
        </a:p>
      </dgm:t>
    </dgm:pt>
    <dgm:pt modelId="{DA052960-938F-45EF-9602-DB2BCC131BFF}" type="pres">
      <dgm:prSet presAssocID="{D1DC319E-28E2-42E0-804B-FC5B921BA699}" presName="LevelOneTextNode" presStyleLbl="node0" presStyleIdx="0" presStyleCnt="1" custScaleX="208989" custScaleY="171322" custLinFactX="-4192" custLinFactNeighborX="-100000" custLinFactNeighborY="-10083">
        <dgm:presLayoutVars>
          <dgm:chPref val="3"/>
        </dgm:presLayoutVars>
      </dgm:prSet>
      <dgm:spPr/>
      <dgm:t>
        <a:bodyPr/>
        <a:lstStyle/>
        <a:p>
          <a:endParaRPr lang="en-US"/>
        </a:p>
      </dgm:t>
    </dgm:pt>
    <dgm:pt modelId="{C70E6BB8-3ED1-4CD4-B147-6674EF6FB3C3}" type="pres">
      <dgm:prSet presAssocID="{D1DC319E-28E2-42E0-804B-FC5B921BA699}" presName="level2hierChild" presStyleCnt="0"/>
      <dgm:spPr/>
      <dgm:t>
        <a:bodyPr/>
        <a:lstStyle/>
        <a:p>
          <a:endParaRPr lang="en-US"/>
        </a:p>
      </dgm:t>
    </dgm:pt>
    <dgm:pt modelId="{B8D25279-3936-4DCA-9CBA-455C748FBD54}" type="pres">
      <dgm:prSet presAssocID="{8B50CDA0-821A-4937-8D6A-8598AE82BAFD}" presName="conn2-1" presStyleLbl="parChTrans1D2" presStyleIdx="0" presStyleCnt="2"/>
      <dgm:spPr/>
      <dgm:t>
        <a:bodyPr/>
        <a:lstStyle/>
        <a:p>
          <a:endParaRPr lang="en-US"/>
        </a:p>
      </dgm:t>
    </dgm:pt>
    <dgm:pt modelId="{E14C7C4D-AA35-4A1E-9022-00433C938A96}" type="pres">
      <dgm:prSet presAssocID="{8B50CDA0-821A-4937-8D6A-8598AE82BAFD}" presName="connTx" presStyleLbl="parChTrans1D2" presStyleIdx="0" presStyleCnt="2"/>
      <dgm:spPr/>
      <dgm:t>
        <a:bodyPr/>
        <a:lstStyle/>
        <a:p>
          <a:endParaRPr lang="en-US"/>
        </a:p>
      </dgm:t>
    </dgm:pt>
    <dgm:pt modelId="{F6274996-CB62-45D3-9EB0-9AFC91777956}" type="pres">
      <dgm:prSet presAssocID="{181D101E-4603-4476-883E-5D320950E0DA}" presName="root2" presStyleCnt="0"/>
      <dgm:spPr/>
      <dgm:t>
        <a:bodyPr/>
        <a:lstStyle/>
        <a:p>
          <a:endParaRPr lang="en-US"/>
        </a:p>
      </dgm:t>
    </dgm:pt>
    <dgm:pt modelId="{D6036E46-C2DD-4860-A747-72116454D9AF}" type="pres">
      <dgm:prSet presAssocID="{181D101E-4603-4476-883E-5D320950E0DA}" presName="LevelTwoTextNode" presStyleLbl="node2" presStyleIdx="0" presStyleCnt="2" custScaleX="144454" custScaleY="132571" custLinFactNeighborX="-63859" custLinFactNeighborY="-33610">
        <dgm:presLayoutVars>
          <dgm:chPref val="3"/>
        </dgm:presLayoutVars>
      </dgm:prSet>
      <dgm:spPr/>
      <dgm:t>
        <a:bodyPr/>
        <a:lstStyle/>
        <a:p>
          <a:endParaRPr lang="en-US"/>
        </a:p>
      </dgm:t>
    </dgm:pt>
    <dgm:pt modelId="{AD9AEBEB-67A5-439E-9ABD-A7D49C5CE05E}" type="pres">
      <dgm:prSet presAssocID="{181D101E-4603-4476-883E-5D320950E0DA}" presName="level3hierChild" presStyleCnt="0"/>
      <dgm:spPr/>
      <dgm:t>
        <a:bodyPr/>
        <a:lstStyle/>
        <a:p>
          <a:endParaRPr lang="en-US"/>
        </a:p>
      </dgm:t>
    </dgm:pt>
    <dgm:pt modelId="{4F24FC64-073F-4883-9568-B1FFE6956C04}" type="pres">
      <dgm:prSet presAssocID="{43274119-D5B7-4A4B-A8B2-F26E3E405B66}" presName="conn2-1" presStyleLbl="parChTrans1D3" presStyleIdx="0" presStyleCnt="5"/>
      <dgm:spPr/>
      <dgm:t>
        <a:bodyPr/>
        <a:lstStyle/>
        <a:p>
          <a:endParaRPr lang="en-US"/>
        </a:p>
      </dgm:t>
    </dgm:pt>
    <dgm:pt modelId="{870A2233-D80F-4BA6-8B75-658DC5C9CB89}" type="pres">
      <dgm:prSet presAssocID="{43274119-D5B7-4A4B-A8B2-F26E3E405B66}" presName="connTx" presStyleLbl="parChTrans1D3" presStyleIdx="0" presStyleCnt="5"/>
      <dgm:spPr/>
      <dgm:t>
        <a:bodyPr/>
        <a:lstStyle/>
        <a:p>
          <a:endParaRPr lang="en-US"/>
        </a:p>
      </dgm:t>
    </dgm:pt>
    <dgm:pt modelId="{2EFC871E-19B3-436C-8DCD-F235326A0FE9}" type="pres">
      <dgm:prSet presAssocID="{B15037CB-DD51-4386-8520-899DD03DF0BA}" presName="root2" presStyleCnt="0"/>
      <dgm:spPr/>
      <dgm:t>
        <a:bodyPr/>
        <a:lstStyle/>
        <a:p>
          <a:endParaRPr lang="en-US"/>
        </a:p>
      </dgm:t>
    </dgm:pt>
    <dgm:pt modelId="{45FEED88-EBA0-41E6-A411-64B623FDC6DD}" type="pres">
      <dgm:prSet presAssocID="{B15037CB-DD51-4386-8520-899DD03DF0BA}" presName="LevelTwoTextNode" presStyleLbl="node3" presStyleIdx="0" presStyleCnt="5" custScaleX="156220" custScaleY="139792" custLinFactNeighborY="-17258">
        <dgm:presLayoutVars>
          <dgm:chPref val="3"/>
        </dgm:presLayoutVars>
      </dgm:prSet>
      <dgm:spPr/>
      <dgm:t>
        <a:bodyPr/>
        <a:lstStyle/>
        <a:p>
          <a:endParaRPr lang="en-US"/>
        </a:p>
      </dgm:t>
    </dgm:pt>
    <dgm:pt modelId="{EBC8A407-E625-42CC-B558-0B8CFB2154FC}" type="pres">
      <dgm:prSet presAssocID="{B15037CB-DD51-4386-8520-899DD03DF0BA}" presName="level3hierChild" presStyleCnt="0"/>
      <dgm:spPr/>
      <dgm:t>
        <a:bodyPr/>
        <a:lstStyle/>
        <a:p>
          <a:endParaRPr lang="en-US"/>
        </a:p>
      </dgm:t>
    </dgm:pt>
    <dgm:pt modelId="{B199FD98-22EF-42C5-A6D6-0B77877F6CE5}" type="pres">
      <dgm:prSet presAssocID="{D052A7AB-60D2-42F0-84D5-070968361C2A}" presName="conn2-1" presStyleLbl="parChTrans1D4" presStyleIdx="0" presStyleCnt="2"/>
      <dgm:spPr/>
      <dgm:t>
        <a:bodyPr/>
        <a:lstStyle/>
        <a:p>
          <a:endParaRPr lang="en-US"/>
        </a:p>
      </dgm:t>
    </dgm:pt>
    <dgm:pt modelId="{1AD80F9A-FBE1-48EA-B427-A5CA12D72CD7}" type="pres">
      <dgm:prSet presAssocID="{D052A7AB-60D2-42F0-84D5-070968361C2A}" presName="connTx" presStyleLbl="parChTrans1D4" presStyleIdx="0" presStyleCnt="2"/>
      <dgm:spPr/>
      <dgm:t>
        <a:bodyPr/>
        <a:lstStyle/>
        <a:p>
          <a:endParaRPr lang="en-US"/>
        </a:p>
      </dgm:t>
    </dgm:pt>
    <dgm:pt modelId="{8EC05B7E-C9E5-410A-82E6-78D6498C9905}" type="pres">
      <dgm:prSet presAssocID="{27D83B50-A5CD-4C76-AD30-C783BDDFE33C}" presName="root2" presStyleCnt="0"/>
      <dgm:spPr/>
      <dgm:t>
        <a:bodyPr/>
        <a:lstStyle/>
        <a:p>
          <a:endParaRPr lang="en-US"/>
        </a:p>
      </dgm:t>
    </dgm:pt>
    <dgm:pt modelId="{564359ED-D594-4A68-AD7A-9DECD3782A3F}" type="pres">
      <dgm:prSet presAssocID="{27D83B50-A5CD-4C76-AD30-C783BDDFE33C}" presName="LevelTwoTextNode" presStyleLbl="node4" presStyleIdx="0" presStyleCnt="2" custScaleX="169578" custScaleY="120451" custLinFactNeighborX="40332" custLinFactNeighborY="16805">
        <dgm:presLayoutVars>
          <dgm:chPref val="3"/>
        </dgm:presLayoutVars>
      </dgm:prSet>
      <dgm:spPr/>
      <dgm:t>
        <a:bodyPr/>
        <a:lstStyle/>
        <a:p>
          <a:endParaRPr lang="en-US"/>
        </a:p>
      </dgm:t>
    </dgm:pt>
    <dgm:pt modelId="{923401A3-153C-448C-967B-E7BB0382A57E}" type="pres">
      <dgm:prSet presAssocID="{27D83B50-A5CD-4C76-AD30-C783BDDFE33C}" presName="level3hierChild" presStyleCnt="0"/>
      <dgm:spPr/>
      <dgm:t>
        <a:bodyPr/>
        <a:lstStyle/>
        <a:p>
          <a:endParaRPr lang="en-US"/>
        </a:p>
      </dgm:t>
    </dgm:pt>
    <dgm:pt modelId="{9F529618-195D-4E18-96BE-B513EA895773}" type="pres">
      <dgm:prSet presAssocID="{B80F5982-8714-45CD-9D71-0F6ECED78D6A}" presName="conn2-1" presStyleLbl="parChTrans1D4" presStyleIdx="1" presStyleCnt="2"/>
      <dgm:spPr/>
      <dgm:t>
        <a:bodyPr/>
        <a:lstStyle/>
        <a:p>
          <a:endParaRPr lang="en-US"/>
        </a:p>
      </dgm:t>
    </dgm:pt>
    <dgm:pt modelId="{632A6385-0DDB-4D9A-AD84-AFABC723E1DC}" type="pres">
      <dgm:prSet presAssocID="{B80F5982-8714-45CD-9D71-0F6ECED78D6A}" presName="connTx" presStyleLbl="parChTrans1D4" presStyleIdx="1" presStyleCnt="2"/>
      <dgm:spPr/>
      <dgm:t>
        <a:bodyPr/>
        <a:lstStyle/>
        <a:p>
          <a:endParaRPr lang="en-US"/>
        </a:p>
      </dgm:t>
    </dgm:pt>
    <dgm:pt modelId="{146CADC6-1C72-48D0-9150-FA9F99F40BD0}" type="pres">
      <dgm:prSet presAssocID="{5CB405FE-2C40-4E7E-BD97-C5F27EA487D8}" presName="root2" presStyleCnt="0"/>
      <dgm:spPr/>
      <dgm:t>
        <a:bodyPr/>
        <a:lstStyle/>
        <a:p>
          <a:endParaRPr lang="en-US"/>
        </a:p>
      </dgm:t>
    </dgm:pt>
    <dgm:pt modelId="{85E88268-BD46-4A2B-81FE-2CA62AA21945}" type="pres">
      <dgm:prSet presAssocID="{5CB405FE-2C40-4E7E-BD97-C5F27EA487D8}" presName="LevelTwoTextNode" presStyleLbl="node4" presStyleIdx="1" presStyleCnt="2" custScaleX="166609" custScaleY="140151" custLinFactNeighborX="40332" custLinFactNeighborY="62923">
        <dgm:presLayoutVars>
          <dgm:chPref val="3"/>
        </dgm:presLayoutVars>
      </dgm:prSet>
      <dgm:spPr/>
      <dgm:t>
        <a:bodyPr/>
        <a:lstStyle/>
        <a:p>
          <a:endParaRPr lang="en-US"/>
        </a:p>
      </dgm:t>
    </dgm:pt>
    <dgm:pt modelId="{06D95C7B-EE5B-4ED2-BADD-8F0107CB94B2}" type="pres">
      <dgm:prSet presAssocID="{5CB405FE-2C40-4E7E-BD97-C5F27EA487D8}" presName="level3hierChild" presStyleCnt="0"/>
      <dgm:spPr/>
      <dgm:t>
        <a:bodyPr/>
        <a:lstStyle/>
        <a:p>
          <a:endParaRPr lang="en-US"/>
        </a:p>
      </dgm:t>
    </dgm:pt>
    <dgm:pt modelId="{BFF0C803-EE52-4BF8-AAE0-6CCA61781945}" type="pres">
      <dgm:prSet presAssocID="{D7BDDED6-6E0C-44EC-B0F5-272C2BA675B6}" presName="conn2-1" presStyleLbl="parChTrans1D3" presStyleIdx="1" presStyleCnt="5"/>
      <dgm:spPr/>
      <dgm:t>
        <a:bodyPr/>
        <a:lstStyle/>
        <a:p>
          <a:endParaRPr lang="en-US"/>
        </a:p>
      </dgm:t>
    </dgm:pt>
    <dgm:pt modelId="{6B5AF760-F6A4-4E30-A332-D6E011C2604E}" type="pres">
      <dgm:prSet presAssocID="{D7BDDED6-6E0C-44EC-B0F5-272C2BA675B6}" presName="connTx" presStyleLbl="parChTrans1D3" presStyleIdx="1" presStyleCnt="5"/>
      <dgm:spPr/>
      <dgm:t>
        <a:bodyPr/>
        <a:lstStyle/>
        <a:p>
          <a:endParaRPr lang="en-US"/>
        </a:p>
      </dgm:t>
    </dgm:pt>
    <dgm:pt modelId="{F1A6668A-F4FD-4E20-8DFC-230F43C96EE4}" type="pres">
      <dgm:prSet presAssocID="{B2B85339-307F-4965-8242-B4BE6E555A83}" presName="root2" presStyleCnt="0"/>
      <dgm:spPr/>
      <dgm:t>
        <a:bodyPr/>
        <a:lstStyle/>
        <a:p>
          <a:endParaRPr lang="en-US"/>
        </a:p>
      </dgm:t>
    </dgm:pt>
    <dgm:pt modelId="{56A7DC1E-E1CF-46CE-B18F-A279B832A0FA}" type="pres">
      <dgm:prSet presAssocID="{B2B85339-307F-4965-8242-B4BE6E555A83}" presName="LevelTwoTextNode" presStyleLbl="node3" presStyleIdx="1" presStyleCnt="5" custScaleX="143883" custLinFactNeighborX="12819" custLinFactNeighborY="-6722">
        <dgm:presLayoutVars>
          <dgm:chPref val="3"/>
        </dgm:presLayoutVars>
      </dgm:prSet>
      <dgm:spPr/>
      <dgm:t>
        <a:bodyPr/>
        <a:lstStyle/>
        <a:p>
          <a:endParaRPr lang="en-US"/>
        </a:p>
      </dgm:t>
    </dgm:pt>
    <dgm:pt modelId="{2BC09CB0-F2F7-453B-A0A8-F27777DFA982}" type="pres">
      <dgm:prSet presAssocID="{B2B85339-307F-4965-8242-B4BE6E555A83}" presName="level3hierChild" presStyleCnt="0"/>
      <dgm:spPr/>
      <dgm:t>
        <a:bodyPr/>
        <a:lstStyle/>
        <a:p>
          <a:endParaRPr lang="en-US"/>
        </a:p>
      </dgm:t>
    </dgm:pt>
    <dgm:pt modelId="{D63D5257-9A6C-48FF-954A-CBC28306ED50}" type="pres">
      <dgm:prSet presAssocID="{582669A8-F155-403F-A3DB-01C676F0E120}" presName="conn2-1" presStyleLbl="parChTrans1D2" presStyleIdx="1" presStyleCnt="2"/>
      <dgm:spPr/>
      <dgm:t>
        <a:bodyPr/>
        <a:lstStyle/>
        <a:p>
          <a:endParaRPr lang="en-US"/>
        </a:p>
      </dgm:t>
    </dgm:pt>
    <dgm:pt modelId="{15AFDD61-777C-4144-9B5F-8FE5286CBF11}" type="pres">
      <dgm:prSet presAssocID="{582669A8-F155-403F-A3DB-01C676F0E120}" presName="connTx" presStyleLbl="parChTrans1D2" presStyleIdx="1" presStyleCnt="2"/>
      <dgm:spPr/>
      <dgm:t>
        <a:bodyPr/>
        <a:lstStyle/>
        <a:p>
          <a:endParaRPr lang="en-US"/>
        </a:p>
      </dgm:t>
    </dgm:pt>
    <dgm:pt modelId="{FC990923-07FD-4E5C-A9AC-FEAAED2D538C}" type="pres">
      <dgm:prSet presAssocID="{68061C4C-1B22-44E0-AF2A-6B750C44676E}" presName="root2" presStyleCnt="0"/>
      <dgm:spPr/>
      <dgm:t>
        <a:bodyPr/>
        <a:lstStyle/>
        <a:p>
          <a:endParaRPr lang="en-US"/>
        </a:p>
      </dgm:t>
    </dgm:pt>
    <dgm:pt modelId="{6AAAF608-D7FB-41CA-8730-46A9064DAAF0}" type="pres">
      <dgm:prSet presAssocID="{68061C4C-1B22-44E0-AF2A-6B750C44676E}" presName="LevelTwoTextNode" presStyleLbl="node2" presStyleIdx="1" presStyleCnt="2" custScaleX="153082" custScaleY="125953" custLinFactNeighborX="-73942" custLinFactNeighborY="-20166">
        <dgm:presLayoutVars>
          <dgm:chPref val="3"/>
        </dgm:presLayoutVars>
      </dgm:prSet>
      <dgm:spPr/>
      <dgm:t>
        <a:bodyPr/>
        <a:lstStyle/>
        <a:p>
          <a:endParaRPr lang="en-US"/>
        </a:p>
      </dgm:t>
    </dgm:pt>
    <dgm:pt modelId="{28D40F74-FEEE-41FA-8F4C-5FC78293EA35}" type="pres">
      <dgm:prSet presAssocID="{68061C4C-1B22-44E0-AF2A-6B750C44676E}" presName="level3hierChild" presStyleCnt="0"/>
      <dgm:spPr/>
      <dgm:t>
        <a:bodyPr/>
        <a:lstStyle/>
        <a:p>
          <a:endParaRPr lang="en-US"/>
        </a:p>
      </dgm:t>
    </dgm:pt>
    <dgm:pt modelId="{41736F83-01FE-49E5-93D6-A8657869A6DA}" type="pres">
      <dgm:prSet presAssocID="{F708CF69-577A-410F-9DE3-A9EE3B52DBB3}" presName="conn2-1" presStyleLbl="parChTrans1D3" presStyleIdx="2" presStyleCnt="5"/>
      <dgm:spPr/>
      <dgm:t>
        <a:bodyPr/>
        <a:lstStyle/>
        <a:p>
          <a:endParaRPr lang="en-US"/>
        </a:p>
      </dgm:t>
    </dgm:pt>
    <dgm:pt modelId="{79C369D6-2419-419F-BB73-DCC935722C8D}" type="pres">
      <dgm:prSet presAssocID="{F708CF69-577A-410F-9DE3-A9EE3B52DBB3}" presName="connTx" presStyleLbl="parChTrans1D3" presStyleIdx="2" presStyleCnt="5"/>
      <dgm:spPr/>
      <dgm:t>
        <a:bodyPr/>
        <a:lstStyle/>
        <a:p>
          <a:endParaRPr lang="en-US"/>
        </a:p>
      </dgm:t>
    </dgm:pt>
    <dgm:pt modelId="{3754A85A-778B-4361-B2BE-6A174FF5279E}" type="pres">
      <dgm:prSet presAssocID="{EF56085A-DAC3-481D-9523-C7773BD2186E}" presName="root2" presStyleCnt="0"/>
      <dgm:spPr/>
      <dgm:t>
        <a:bodyPr/>
        <a:lstStyle/>
        <a:p>
          <a:endParaRPr lang="en-US"/>
        </a:p>
      </dgm:t>
    </dgm:pt>
    <dgm:pt modelId="{105690D1-9388-4F48-8E0A-972DB69A69A6}" type="pres">
      <dgm:prSet presAssocID="{EF56085A-DAC3-481D-9523-C7773BD2186E}" presName="LevelTwoTextNode" presStyleLbl="node3" presStyleIdx="2" presStyleCnt="5" custScaleX="146596">
        <dgm:presLayoutVars>
          <dgm:chPref val="3"/>
        </dgm:presLayoutVars>
      </dgm:prSet>
      <dgm:spPr/>
      <dgm:t>
        <a:bodyPr/>
        <a:lstStyle/>
        <a:p>
          <a:endParaRPr lang="en-US"/>
        </a:p>
      </dgm:t>
    </dgm:pt>
    <dgm:pt modelId="{0CEC85BC-5A2B-4681-8DDD-F64E109F914E}" type="pres">
      <dgm:prSet presAssocID="{EF56085A-DAC3-481D-9523-C7773BD2186E}" presName="level3hierChild" presStyleCnt="0"/>
      <dgm:spPr/>
      <dgm:t>
        <a:bodyPr/>
        <a:lstStyle/>
        <a:p>
          <a:endParaRPr lang="en-US"/>
        </a:p>
      </dgm:t>
    </dgm:pt>
    <dgm:pt modelId="{D5A37D2B-7988-489F-900E-AF81DC2B7E5E}" type="pres">
      <dgm:prSet presAssocID="{9AA0AD21-E933-4AE1-8767-1018C1F7136E}" presName="conn2-1" presStyleLbl="parChTrans1D3" presStyleIdx="3" presStyleCnt="5"/>
      <dgm:spPr/>
      <dgm:t>
        <a:bodyPr/>
        <a:lstStyle/>
        <a:p>
          <a:endParaRPr lang="en-US"/>
        </a:p>
      </dgm:t>
    </dgm:pt>
    <dgm:pt modelId="{EFF1E7E4-50DB-4B7F-9476-691B9EF37846}" type="pres">
      <dgm:prSet presAssocID="{9AA0AD21-E933-4AE1-8767-1018C1F7136E}" presName="connTx" presStyleLbl="parChTrans1D3" presStyleIdx="3" presStyleCnt="5"/>
      <dgm:spPr/>
      <dgm:t>
        <a:bodyPr/>
        <a:lstStyle/>
        <a:p>
          <a:endParaRPr lang="en-US"/>
        </a:p>
      </dgm:t>
    </dgm:pt>
    <dgm:pt modelId="{1B34D3A9-88DA-4007-A700-AE37892F2943}" type="pres">
      <dgm:prSet presAssocID="{067AF8B9-4B33-4ABB-88C7-E3DB2C7024FE}" presName="root2" presStyleCnt="0"/>
      <dgm:spPr/>
      <dgm:t>
        <a:bodyPr/>
        <a:lstStyle/>
        <a:p>
          <a:endParaRPr lang="en-US"/>
        </a:p>
      </dgm:t>
    </dgm:pt>
    <dgm:pt modelId="{F70C263B-D1C1-45A4-8226-E49EAC3BE17A}" type="pres">
      <dgm:prSet presAssocID="{067AF8B9-4B33-4ABB-88C7-E3DB2C7024FE}" presName="LevelTwoTextNode" presStyleLbl="node3" presStyleIdx="3" presStyleCnt="5" custScaleX="146042">
        <dgm:presLayoutVars>
          <dgm:chPref val="3"/>
        </dgm:presLayoutVars>
      </dgm:prSet>
      <dgm:spPr/>
      <dgm:t>
        <a:bodyPr/>
        <a:lstStyle/>
        <a:p>
          <a:endParaRPr lang="en-US"/>
        </a:p>
      </dgm:t>
    </dgm:pt>
    <dgm:pt modelId="{93466E80-831A-4DE1-8570-5F82B02D49F2}" type="pres">
      <dgm:prSet presAssocID="{067AF8B9-4B33-4ABB-88C7-E3DB2C7024FE}" presName="level3hierChild" presStyleCnt="0"/>
      <dgm:spPr/>
      <dgm:t>
        <a:bodyPr/>
        <a:lstStyle/>
        <a:p>
          <a:endParaRPr lang="en-US"/>
        </a:p>
      </dgm:t>
    </dgm:pt>
    <dgm:pt modelId="{EF4C423B-1993-4B30-A4DB-85278172FB06}" type="pres">
      <dgm:prSet presAssocID="{A8E52B02-8327-4DC8-BA56-611F07502788}" presName="conn2-1" presStyleLbl="parChTrans1D3" presStyleIdx="4" presStyleCnt="5"/>
      <dgm:spPr/>
      <dgm:t>
        <a:bodyPr/>
        <a:lstStyle/>
        <a:p>
          <a:endParaRPr lang="en-US"/>
        </a:p>
      </dgm:t>
    </dgm:pt>
    <dgm:pt modelId="{52EB43F4-B2A3-4A5B-8644-2987CF0D1B87}" type="pres">
      <dgm:prSet presAssocID="{A8E52B02-8327-4DC8-BA56-611F07502788}" presName="connTx" presStyleLbl="parChTrans1D3" presStyleIdx="4" presStyleCnt="5"/>
      <dgm:spPr/>
      <dgm:t>
        <a:bodyPr/>
        <a:lstStyle/>
        <a:p>
          <a:endParaRPr lang="en-US"/>
        </a:p>
      </dgm:t>
    </dgm:pt>
    <dgm:pt modelId="{5FB45D88-C0BB-40FD-B166-F74FEB1A57B5}" type="pres">
      <dgm:prSet presAssocID="{050202C4-97F3-4F87-876E-1EFE9CC7EC64}" presName="root2" presStyleCnt="0"/>
      <dgm:spPr/>
      <dgm:t>
        <a:bodyPr/>
        <a:lstStyle/>
        <a:p>
          <a:endParaRPr lang="en-US"/>
        </a:p>
      </dgm:t>
    </dgm:pt>
    <dgm:pt modelId="{8966247F-213A-4456-A383-102FA02FA088}" type="pres">
      <dgm:prSet presAssocID="{050202C4-97F3-4F87-876E-1EFE9CC7EC64}" presName="LevelTwoTextNode" presStyleLbl="node3" presStyleIdx="4" presStyleCnt="5" custScaleX="142842" custLinFactNeighborX="3325" custLinFactNeighborY="4884">
        <dgm:presLayoutVars>
          <dgm:chPref val="3"/>
        </dgm:presLayoutVars>
      </dgm:prSet>
      <dgm:spPr/>
      <dgm:t>
        <a:bodyPr/>
        <a:lstStyle/>
        <a:p>
          <a:endParaRPr lang="en-US"/>
        </a:p>
      </dgm:t>
    </dgm:pt>
    <dgm:pt modelId="{296DB49E-FDB9-495C-B627-2D131EBEA4AE}" type="pres">
      <dgm:prSet presAssocID="{050202C4-97F3-4F87-876E-1EFE9CC7EC64}" presName="level3hierChild" presStyleCnt="0"/>
      <dgm:spPr/>
      <dgm:t>
        <a:bodyPr/>
        <a:lstStyle/>
        <a:p>
          <a:endParaRPr lang="en-US"/>
        </a:p>
      </dgm:t>
    </dgm:pt>
  </dgm:ptLst>
  <dgm:cxnLst>
    <dgm:cxn modelId="{6E07638F-3A1C-4EC4-94AE-2133FE2B764F}" type="presOf" srcId="{050202C4-97F3-4F87-876E-1EFE9CC7EC64}" destId="{8966247F-213A-4456-A383-102FA02FA088}" srcOrd="0" destOrd="0" presId="urn:microsoft.com/office/officeart/2005/8/layout/hierarchy2"/>
    <dgm:cxn modelId="{D10DEF19-504B-417D-B3B0-E63109432DF1}" type="presOf" srcId="{181D101E-4603-4476-883E-5D320950E0DA}" destId="{D6036E46-C2DD-4860-A747-72116454D9AF}" srcOrd="0" destOrd="0" presId="urn:microsoft.com/office/officeart/2005/8/layout/hierarchy2"/>
    <dgm:cxn modelId="{3BF763C6-D866-44F1-B6DF-5A499957BEEA}" srcId="{D1DC319E-28E2-42E0-804B-FC5B921BA699}" destId="{68061C4C-1B22-44E0-AF2A-6B750C44676E}" srcOrd="1" destOrd="0" parTransId="{582669A8-F155-403F-A3DB-01C676F0E120}" sibTransId="{854E4DF1-4ECD-4812-B602-49A4191D92F9}"/>
    <dgm:cxn modelId="{36317A57-17CF-4089-8FAC-5379B378F628}" type="presOf" srcId="{A8E52B02-8327-4DC8-BA56-611F07502788}" destId="{EF4C423B-1993-4B30-A4DB-85278172FB06}" srcOrd="0" destOrd="0" presId="urn:microsoft.com/office/officeart/2005/8/layout/hierarchy2"/>
    <dgm:cxn modelId="{D636562A-1293-442D-9D9E-26E53090EC7D}" type="presOf" srcId="{43274119-D5B7-4A4B-A8B2-F26E3E405B66}" destId="{870A2233-D80F-4BA6-8B75-658DC5C9CB89}" srcOrd="1" destOrd="0" presId="urn:microsoft.com/office/officeart/2005/8/layout/hierarchy2"/>
    <dgm:cxn modelId="{795267C2-A6A8-47E2-933B-C31B4674CE40}" type="presOf" srcId="{D1DC319E-28E2-42E0-804B-FC5B921BA699}" destId="{DA052960-938F-45EF-9602-DB2BCC131BFF}" srcOrd="0" destOrd="0" presId="urn:microsoft.com/office/officeart/2005/8/layout/hierarchy2"/>
    <dgm:cxn modelId="{2D14640F-CC09-4202-88C2-BDFBD2CDA87A}" type="presOf" srcId="{F708CF69-577A-410F-9DE3-A9EE3B52DBB3}" destId="{79C369D6-2419-419F-BB73-DCC935722C8D}" srcOrd="1" destOrd="0" presId="urn:microsoft.com/office/officeart/2005/8/layout/hierarchy2"/>
    <dgm:cxn modelId="{8F658E25-1031-4812-8B90-4520706D0B5F}" srcId="{68061C4C-1B22-44E0-AF2A-6B750C44676E}" destId="{050202C4-97F3-4F87-876E-1EFE9CC7EC64}" srcOrd="2" destOrd="0" parTransId="{A8E52B02-8327-4DC8-BA56-611F07502788}" sibTransId="{5C4B0490-03FE-4576-8695-892E9A63D068}"/>
    <dgm:cxn modelId="{E409DD40-F72B-441E-82A1-52D1436DA9AE}" type="presOf" srcId="{B2B85339-307F-4965-8242-B4BE6E555A83}" destId="{56A7DC1E-E1CF-46CE-B18F-A279B832A0FA}" srcOrd="0" destOrd="0" presId="urn:microsoft.com/office/officeart/2005/8/layout/hierarchy2"/>
    <dgm:cxn modelId="{DDFBCFEC-1CB0-400D-B6AE-8128AD6B2946}" type="presOf" srcId="{8B50CDA0-821A-4937-8D6A-8598AE82BAFD}" destId="{B8D25279-3936-4DCA-9CBA-455C748FBD54}" srcOrd="0" destOrd="0" presId="urn:microsoft.com/office/officeart/2005/8/layout/hierarchy2"/>
    <dgm:cxn modelId="{9C2117F3-8363-41D4-B1A2-1A851FA9D7FB}" type="presOf" srcId="{D052A7AB-60D2-42F0-84D5-070968361C2A}" destId="{1AD80F9A-FBE1-48EA-B427-A5CA12D72CD7}" srcOrd="1" destOrd="0" presId="urn:microsoft.com/office/officeart/2005/8/layout/hierarchy2"/>
    <dgm:cxn modelId="{A661825F-3810-4CF9-8951-CFB841B1F946}" srcId="{181D101E-4603-4476-883E-5D320950E0DA}" destId="{B15037CB-DD51-4386-8520-899DD03DF0BA}" srcOrd="0" destOrd="0" parTransId="{43274119-D5B7-4A4B-A8B2-F26E3E405B66}" sibTransId="{10BE3829-9F1A-4125-8F70-B4A4143E56D4}"/>
    <dgm:cxn modelId="{49B84F60-24B2-41DF-9CFC-FF934180673B}" srcId="{D1DC319E-28E2-42E0-804B-FC5B921BA699}" destId="{181D101E-4603-4476-883E-5D320950E0DA}" srcOrd="0" destOrd="0" parTransId="{8B50CDA0-821A-4937-8D6A-8598AE82BAFD}" sibTransId="{9FEA6AE2-4EFB-467F-8B5E-46215FEB3C60}"/>
    <dgm:cxn modelId="{78305CA4-397B-4B62-BE02-63DDBC11421E}" type="presOf" srcId="{067AF8B9-4B33-4ABB-88C7-E3DB2C7024FE}" destId="{F70C263B-D1C1-45A4-8226-E49EAC3BE17A}" srcOrd="0" destOrd="0" presId="urn:microsoft.com/office/officeart/2005/8/layout/hierarchy2"/>
    <dgm:cxn modelId="{6B989792-0D28-4E13-8B6B-6F11894092C7}" type="presOf" srcId="{B80F5982-8714-45CD-9D71-0F6ECED78D6A}" destId="{632A6385-0DDB-4D9A-AD84-AFABC723E1DC}" srcOrd="1" destOrd="0" presId="urn:microsoft.com/office/officeart/2005/8/layout/hierarchy2"/>
    <dgm:cxn modelId="{668D1C61-16B1-42AA-A5AF-D2860F878F15}" srcId="{68061C4C-1B22-44E0-AF2A-6B750C44676E}" destId="{EF56085A-DAC3-481D-9523-C7773BD2186E}" srcOrd="0" destOrd="0" parTransId="{F708CF69-577A-410F-9DE3-A9EE3B52DBB3}" sibTransId="{CFA56665-7B87-46AF-8303-CE84A6539E43}"/>
    <dgm:cxn modelId="{ACB9596A-C167-43EF-8AB5-1441BB19C42D}" type="presOf" srcId="{B80F5982-8714-45CD-9D71-0F6ECED78D6A}" destId="{9F529618-195D-4E18-96BE-B513EA895773}" srcOrd="0" destOrd="0" presId="urn:microsoft.com/office/officeart/2005/8/layout/hierarchy2"/>
    <dgm:cxn modelId="{9E8EE89C-F777-447B-8640-1A68155E2FCC}" type="presOf" srcId="{27D83B50-A5CD-4C76-AD30-C783BDDFE33C}" destId="{564359ED-D594-4A68-AD7A-9DECD3782A3F}" srcOrd="0" destOrd="0" presId="urn:microsoft.com/office/officeart/2005/8/layout/hierarchy2"/>
    <dgm:cxn modelId="{BBCDB7A4-EBDF-467B-B920-E7038F5A4A3C}" type="presOf" srcId="{DF0FC098-863A-4867-BFB2-19DD059E330A}" destId="{BB255DD7-1B14-4B7F-9CFD-043F171701C4}" srcOrd="0" destOrd="0" presId="urn:microsoft.com/office/officeart/2005/8/layout/hierarchy2"/>
    <dgm:cxn modelId="{C29018AA-3781-478D-8D3C-03DEB971849D}" srcId="{B15037CB-DD51-4386-8520-899DD03DF0BA}" destId="{27D83B50-A5CD-4C76-AD30-C783BDDFE33C}" srcOrd="0" destOrd="0" parTransId="{D052A7AB-60D2-42F0-84D5-070968361C2A}" sibTransId="{2E18321A-A606-492C-9B51-0C654AE85D46}"/>
    <dgm:cxn modelId="{75BC4AE4-740F-4791-A10C-0D8866B0007F}" type="presOf" srcId="{9AA0AD21-E933-4AE1-8767-1018C1F7136E}" destId="{D5A37D2B-7988-489F-900E-AF81DC2B7E5E}" srcOrd="0" destOrd="0" presId="urn:microsoft.com/office/officeart/2005/8/layout/hierarchy2"/>
    <dgm:cxn modelId="{824319BB-A747-4920-BF2E-A4E90811390B}" srcId="{DF0FC098-863A-4867-BFB2-19DD059E330A}" destId="{D1DC319E-28E2-42E0-804B-FC5B921BA699}" srcOrd="0" destOrd="0" parTransId="{13DD86F0-DC62-47D9-BB0B-372449660C59}" sibTransId="{2C2B3CD8-0D99-4F99-9933-488C85E16489}"/>
    <dgm:cxn modelId="{856B80C4-1072-47B7-A21D-5D12C020AC88}" srcId="{181D101E-4603-4476-883E-5D320950E0DA}" destId="{B2B85339-307F-4965-8242-B4BE6E555A83}" srcOrd="1" destOrd="0" parTransId="{D7BDDED6-6E0C-44EC-B0F5-272C2BA675B6}" sibTransId="{1DA8186B-9614-496C-BCAD-9A88DF503E72}"/>
    <dgm:cxn modelId="{4AE09F64-DE64-418F-98F2-2EFE43AC7DD3}" type="presOf" srcId="{582669A8-F155-403F-A3DB-01C676F0E120}" destId="{D63D5257-9A6C-48FF-954A-CBC28306ED50}" srcOrd="0" destOrd="0" presId="urn:microsoft.com/office/officeart/2005/8/layout/hierarchy2"/>
    <dgm:cxn modelId="{536CDC6B-06CA-4DED-8087-EE30527B2CA9}" type="presOf" srcId="{A8E52B02-8327-4DC8-BA56-611F07502788}" destId="{52EB43F4-B2A3-4A5B-8644-2987CF0D1B87}" srcOrd="1" destOrd="0" presId="urn:microsoft.com/office/officeart/2005/8/layout/hierarchy2"/>
    <dgm:cxn modelId="{CFC72B1D-96E1-45DB-A91E-02B5321D418E}" type="presOf" srcId="{B15037CB-DD51-4386-8520-899DD03DF0BA}" destId="{45FEED88-EBA0-41E6-A411-64B623FDC6DD}" srcOrd="0" destOrd="0" presId="urn:microsoft.com/office/officeart/2005/8/layout/hierarchy2"/>
    <dgm:cxn modelId="{9A0D3F5C-CEFD-45AD-B2C6-57AFD8AB7105}" type="presOf" srcId="{68061C4C-1B22-44E0-AF2A-6B750C44676E}" destId="{6AAAF608-D7FB-41CA-8730-46A9064DAAF0}" srcOrd="0" destOrd="0" presId="urn:microsoft.com/office/officeart/2005/8/layout/hierarchy2"/>
    <dgm:cxn modelId="{3A3E944F-9A47-4E96-BDB9-13DACD313F10}" srcId="{68061C4C-1B22-44E0-AF2A-6B750C44676E}" destId="{067AF8B9-4B33-4ABB-88C7-E3DB2C7024FE}" srcOrd="1" destOrd="0" parTransId="{9AA0AD21-E933-4AE1-8767-1018C1F7136E}" sibTransId="{1084F1A0-8788-4B5C-B819-5922939D717E}"/>
    <dgm:cxn modelId="{76CFD911-421B-41B2-AFA1-F6F5578476E6}" type="presOf" srcId="{D7BDDED6-6E0C-44EC-B0F5-272C2BA675B6}" destId="{BFF0C803-EE52-4BF8-AAE0-6CCA61781945}" srcOrd="0" destOrd="0" presId="urn:microsoft.com/office/officeart/2005/8/layout/hierarchy2"/>
    <dgm:cxn modelId="{FECD72A3-B79F-4D85-BA0F-D5126FF05A94}" srcId="{B15037CB-DD51-4386-8520-899DD03DF0BA}" destId="{5CB405FE-2C40-4E7E-BD97-C5F27EA487D8}" srcOrd="1" destOrd="0" parTransId="{B80F5982-8714-45CD-9D71-0F6ECED78D6A}" sibTransId="{C2EC2775-63CC-4736-A974-5E7EA3876CE9}"/>
    <dgm:cxn modelId="{9EEDB5A9-9FD9-401D-863F-83A77F812B02}" type="presOf" srcId="{43274119-D5B7-4A4B-A8B2-F26E3E405B66}" destId="{4F24FC64-073F-4883-9568-B1FFE6956C04}" srcOrd="0" destOrd="0" presId="urn:microsoft.com/office/officeart/2005/8/layout/hierarchy2"/>
    <dgm:cxn modelId="{CDA0C7D0-0E8B-48C2-AFCF-89D3A99E1D6F}" type="presOf" srcId="{8B50CDA0-821A-4937-8D6A-8598AE82BAFD}" destId="{E14C7C4D-AA35-4A1E-9022-00433C938A96}" srcOrd="1" destOrd="0" presId="urn:microsoft.com/office/officeart/2005/8/layout/hierarchy2"/>
    <dgm:cxn modelId="{A5C419E1-7745-4224-B6C5-1307EE64E831}" type="presOf" srcId="{EF56085A-DAC3-481D-9523-C7773BD2186E}" destId="{105690D1-9388-4F48-8E0A-972DB69A69A6}" srcOrd="0" destOrd="0" presId="urn:microsoft.com/office/officeart/2005/8/layout/hierarchy2"/>
    <dgm:cxn modelId="{5B1395A1-1D35-4503-818D-A0D3529B1785}" type="presOf" srcId="{F708CF69-577A-410F-9DE3-A9EE3B52DBB3}" destId="{41736F83-01FE-49E5-93D6-A8657869A6DA}" srcOrd="0" destOrd="0" presId="urn:microsoft.com/office/officeart/2005/8/layout/hierarchy2"/>
    <dgm:cxn modelId="{FFC1BC62-EEF8-43B8-853B-56E7283C20C6}" type="presOf" srcId="{D052A7AB-60D2-42F0-84D5-070968361C2A}" destId="{B199FD98-22EF-42C5-A6D6-0B77877F6CE5}" srcOrd="0" destOrd="0" presId="urn:microsoft.com/office/officeart/2005/8/layout/hierarchy2"/>
    <dgm:cxn modelId="{E04BDFF5-1456-4779-AE04-AF261B7CE557}" type="presOf" srcId="{9AA0AD21-E933-4AE1-8767-1018C1F7136E}" destId="{EFF1E7E4-50DB-4B7F-9476-691B9EF37846}" srcOrd="1" destOrd="0" presId="urn:microsoft.com/office/officeart/2005/8/layout/hierarchy2"/>
    <dgm:cxn modelId="{78D5F0B0-D571-4137-8A2B-A219DEC71108}" type="presOf" srcId="{5CB405FE-2C40-4E7E-BD97-C5F27EA487D8}" destId="{85E88268-BD46-4A2B-81FE-2CA62AA21945}" srcOrd="0" destOrd="0" presId="urn:microsoft.com/office/officeart/2005/8/layout/hierarchy2"/>
    <dgm:cxn modelId="{04750CAA-A330-4838-8813-800241DB00A0}" type="presOf" srcId="{582669A8-F155-403F-A3DB-01C676F0E120}" destId="{15AFDD61-777C-4144-9B5F-8FE5286CBF11}" srcOrd="1" destOrd="0" presId="urn:microsoft.com/office/officeart/2005/8/layout/hierarchy2"/>
    <dgm:cxn modelId="{E1EE4FCE-5E82-452E-8A9D-A0C53C3A0C70}" type="presOf" srcId="{D7BDDED6-6E0C-44EC-B0F5-272C2BA675B6}" destId="{6B5AF760-F6A4-4E30-A332-D6E011C2604E}" srcOrd="1" destOrd="0" presId="urn:microsoft.com/office/officeart/2005/8/layout/hierarchy2"/>
    <dgm:cxn modelId="{6C978CF9-D513-4CCA-992F-A091B4255325}" type="presParOf" srcId="{BB255DD7-1B14-4B7F-9CFD-043F171701C4}" destId="{299FEF84-7000-4BC5-B4B8-604C16DAAA94}" srcOrd="0" destOrd="0" presId="urn:microsoft.com/office/officeart/2005/8/layout/hierarchy2"/>
    <dgm:cxn modelId="{FD930B46-5488-4FDD-909E-15E4A74EB381}" type="presParOf" srcId="{299FEF84-7000-4BC5-B4B8-604C16DAAA94}" destId="{DA052960-938F-45EF-9602-DB2BCC131BFF}" srcOrd="0" destOrd="0" presId="urn:microsoft.com/office/officeart/2005/8/layout/hierarchy2"/>
    <dgm:cxn modelId="{F94AA1DC-05FF-43A6-930E-0BB1709247FB}" type="presParOf" srcId="{299FEF84-7000-4BC5-B4B8-604C16DAAA94}" destId="{C70E6BB8-3ED1-4CD4-B147-6674EF6FB3C3}" srcOrd="1" destOrd="0" presId="urn:microsoft.com/office/officeart/2005/8/layout/hierarchy2"/>
    <dgm:cxn modelId="{18B9AB82-4EDA-4264-BD9F-E2CAD6E09733}" type="presParOf" srcId="{C70E6BB8-3ED1-4CD4-B147-6674EF6FB3C3}" destId="{B8D25279-3936-4DCA-9CBA-455C748FBD54}" srcOrd="0" destOrd="0" presId="urn:microsoft.com/office/officeart/2005/8/layout/hierarchy2"/>
    <dgm:cxn modelId="{D25964FE-A715-41FC-A312-BC38982FCAF5}" type="presParOf" srcId="{B8D25279-3936-4DCA-9CBA-455C748FBD54}" destId="{E14C7C4D-AA35-4A1E-9022-00433C938A96}" srcOrd="0" destOrd="0" presId="urn:microsoft.com/office/officeart/2005/8/layout/hierarchy2"/>
    <dgm:cxn modelId="{F9382C05-15A8-4877-912E-CCFC0B54109C}" type="presParOf" srcId="{C70E6BB8-3ED1-4CD4-B147-6674EF6FB3C3}" destId="{F6274996-CB62-45D3-9EB0-9AFC91777956}" srcOrd="1" destOrd="0" presId="urn:microsoft.com/office/officeart/2005/8/layout/hierarchy2"/>
    <dgm:cxn modelId="{7BC94363-0B0C-4DF6-ACE7-DE76D73CF0BC}" type="presParOf" srcId="{F6274996-CB62-45D3-9EB0-9AFC91777956}" destId="{D6036E46-C2DD-4860-A747-72116454D9AF}" srcOrd="0" destOrd="0" presId="urn:microsoft.com/office/officeart/2005/8/layout/hierarchy2"/>
    <dgm:cxn modelId="{AA65A1DE-1FEC-4A2B-9B9F-4F23834043D5}" type="presParOf" srcId="{F6274996-CB62-45D3-9EB0-9AFC91777956}" destId="{AD9AEBEB-67A5-439E-9ABD-A7D49C5CE05E}" srcOrd="1" destOrd="0" presId="urn:microsoft.com/office/officeart/2005/8/layout/hierarchy2"/>
    <dgm:cxn modelId="{3951984B-3D79-4D5D-87DD-921081EC426C}" type="presParOf" srcId="{AD9AEBEB-67A5-439E-9ABD-A7D49C5CE05E}" destId="{4F24FC64-073F-4883-9568-B1FFE6956C04}" srcOrd="0" destOrd="0" presId="urn:microsoft.com/office/officeart/2005/8/layout/hierarchy2"/>
    <dgm:cxn modelId="{842D3472-8DFF-4D8B-B98E-877AB836B151}" type="presParOf" srcId="{4F24FC64-073F-4883-9568-B1FFE6956C04}" destId="{870A2233-D80F-4BA6-8B75-658DC5C9CB89}" srcOrd="0" destOrd="0" presId="urn:microsoft.com/office/officeart/2005/8/layout/hierarchy2"/>
    <dgm:cxn modelId="{277CFD20-1267-445C-AB84-29D125C00916}" type="presParOf" srcId="{AD9AEBEB-67A5-439E-9ABD-A7D49C5CE05E}" destId="{2EFC871E-19B3-436C-8DCD-F235326A0FE9}" srcOrd="1" destOrd="0" presId="urn:microsoft.com/office/officeart/2005/8/layout/hierarchy2"/>
    <dgm:cxn modelId="{ADDFC9B8-7D72-416F-B466-103F23A81E61}" type="presParOf" srcId="{2EFC871E-19B3-436C-8DCD-F235326A0FE9}" destId="{45FEED88-EBA0-41E6-A411-64B623FDC6DD}" srcOrd="0" destOrd="0" presId="urn:microsoft.com/office/officeart/2005/8/layout/hierarchy2"/>
    <dgm:cxn modelId="{AA88E2E7-FA0E-4762-BB0A-71D87C34C4E4}" type="presParOf" srcId="{2EFC871E-19B3-436C-8DCD-F235326A0FE9}" destId="{EBC8A407-E625-42CC-B558-0B8CFB2154FC}" srcOrd="1" destOrd="0" presId="urn:microsoft.com/office/officeart/2005/8/layout/hierarchy2"/>
    <dgm:cxn modelId="{5F8BE602-321B-4FB1-85A9-59F89DD31A06}" type="presParOf" srcId="{EBC8A407-E625-42CC-B558-0B8CFB2154FC}" destId="{B199FD98-22EF-42C5-A6D6-0B77877F6CE5}" srcOrd="0" destOrd="0" presId="urn:microsoft.com/office/officeart/2005/8/layout/hierarchy2"/>
    <dgm:cxn modelId="{926FF15E-63D8-4C61-B2CF-0574AC4123B5}" type="presParOf" srcId="{B199FD98-22EF-42C5-A6D6-0B77877F6CE5}" destId="{1AD80F9A-FBE1-48EA-B427-A5CA12D72CD7}" srcOrd="0" destOrd="0" presId="urn:microsoft.com/office/officeart/2005/8/layout/hierarchy2"/>
    <dgm:cxn modelId="{70130E34-FE67-4B12-868A-A5DD71DCCDCF}" type="presParOf" srcId="{EBC8A407-E625-42CC-B558-0B8CFB2154FC}" destId="{8EC05B7E-C9E5-410A-82E6-78D6498C9905}" srcOrd="1" destOrd="0" presId="urn:microsoft.com/office/officeart/2005/8/layout/hierarchy2"/>
    <dgm:cxn modelId="{FF3459A6-0DDE-4D1C-88CE-CDB74311E196}" type="presParOf" srcId="{8EC05B7E-C9E5-410A-82E6-78D6498C9905}" destId="{564359ED-D594-4A68-AD7A-9DECD3782A3F}" srcOrd="0" destOrd="0" presId="urn:microsoft.com/office/officeart/2005/8/layout/hierarchy2"/>
    <dgm:cxn modelId="{51463414-4E7C-4162-8E4A-A17CD79FF33A}" type="presParOf" srcId="{8EC05B7E-C9E5-410A-82E6-78D6498C9905}" destId="{923401A3-153C-448C-967B-E7BB0382A57E}" srcOrd="1" destOrd="0" presId="urn:microsoft.com/office/officeart/2005/8/layout/hierarchy2"/>
    <dgm:cxn modelId="{E4F3D3D0-6150-4D5A-AB88-DA278E7CA28D}" type="presParOf" srcId="{EBC8A407-E625-42CC-B558-0B8CFB2154FC}" destId="{9F529618-195D-4E18-96BE-B513EA895773}" srcOrd="2" destOrd="0" presId="urn:microsoft.com/office/officeart/2005/8/layout/hierarchy2"/>
    <dgm:cxn modelId="{537A7D40-A1EE-4C06-96D4-D87732B03BB7}" type="presParOf" srcId="{9F529618-195D-4E18-96BE-B513EA895773}" destId="{632A6385-0DDB-4D9A-AD84-AFABC723E1DC}" srcOrd="0" destOrd="0" presId="urn:microsoft.com/office/officeart/2005/8/layout/hierarchy2"/>
    <dgm:cxn modelId="{1B4DA9BD-F7CA-4147-A6A1-832F3C5E2E08}" type="presParOf" srcId="{EBC8A407-E625-42CC-B558-0B8CFB2154FC}" destId="{146CADC6-1C72-48D0-9150-FA9F99F40BD0}" srcOrd="3" destOrd="0" presId="urn:microsoft.com/office/officeart/2005/8/layout/hierarchy2"/>
    <dgm:cxn modelId="{BBDE1887-CA6E-4FB8-9F15-76417371ED82}" type="presParOf" srcId="{146CADC6-1C72-48D0-9150-FA9F99F40BD0}" destId="{85E88268-BD46-4A2B-81FE-2CA62AA21945}" srcOrd="0" destOrd="0" presId="urn:microsoft.com/office/officeart/2005/8/layout/hierarchy2"/>
    <dgm:cxn modelId="{BB77DBB9-40AC-4FE0-9E11-20F0B9111DF6}" type="presParOf" srcId="{146CADC6-1C72-48D0-9150-FA9F99F40BD0}" destId="{06D95C7B-EE5B-4ED2-BADD-8F0107CB94B2}" srcOrd="1" destOrd="0" presId="urn:microsoft.com/office/officeart/2005/8/layout/hierarchy2"/>
    <dgm:cxn modelId="{CC49840B-62F5-404A-A924-F9D9DD9B6538}" type="presParOf" srcId="{AD9AEBEB-67A5-439E-9ABD-A7D49C5CE05E}" destId="{BFF0C803-EE52-4BF8-AAE0-6CCA61781945}" srcOrd="2" destOrd="0" presId="urn:microsoft.com/office/officeart/2005/8/layout/hierarchy2"/>
    <dgm:cxn modelId="{25704706-9C43-40A9-851D-7CB9BBE19CB3}" type="presParOf" srcId="{BFF0C803-EE52-4BF8-AAE0-6CCA61781945}" destId="{6B5AF760-F6A4-4E30-A332-D6E011C2604E}" srcOrd="0" destOrd="0" presId="urn:microsoft.com/office/officeart/2005/8/layout/hierarchy2"/>
    <dgm:cxn modelId="{9F0C987E-CCF7-42EE-AFCF-039B132FD8BE}" type="presParOf" srcId="{AD9AEBEB-67A5-439E-9ABD-A7D49C5CE05E}" destId="{F1A6668A-F4FD-4E20-8DFC-230F43C96EE4}" srcOrd="3" destOrd="0" presId="urn:microsoft.com/office/officeart/2005/8/layout/hierarchy2"/>
    <dgm:cxn modelId="{BAF046A3-81DC-4F61-9D03-1E3917C522BC}" type="presParOf" srcId="{F1A6668A-F4FD-4E20-8DFC-230F43C96EE4}" destId="{56A7DC1E-E1CF-46CE-B18F-A279B832A0FA}" srcOrd="0" destOrd="0" presId="urn:microsoft.com/office/officeart/2005/8/layout/hierarchy2"/>
    <dgm:cxn modelId="{7D4362BA-E341-4868-BEB2-7596DF24D5DD}" type="presParOf" srcId="{F1A6668A-F4FD-4E20-8DFC-230F43C96EE4}" destId="{2BC09CB0-F2F7-453B-A0A8-F27777DFA982}" srcOrd="1" destOrd="0" presId="urn:microsoft.com/office/officeart/2005/8/layout/hierarchy2"/>
    <dgm:cxn modelId="{307C36A0-A875-44F5-9F80-587112F4CE1B}" type="presParOf" srcId="{C70E6BB8-3ED1-4CD4-B147-6674EF6FB3C3}" destId="{D63D5257-9A6C-48FF-954A-CBC28306ED50}" srcOrd="2" destOrd="0" presId="urn:microsoft.com/office/officeart/2005/8/layout/hierarchy2"/>
    <dgm:cxn modelId="{1F6E2B16-6B76-4CA1-AFD2-CF752C8F6403}" type="presParOf" srcId="{D63D5257-9A6C-48FF-954A-CBC28306ED50}" destId="{15AFDD61-777C-4144-9B5F-8FE5286CBF11}" srcOrd="0" destOrd="0" presId="urn:microsoft.com/office/officeart/2005/8/layout/hierarchy2"/>
    <dgm:cxn modelId="{95A747A6-E8FD-4404-8FBC-77A9B8448F1D}" type="presParOf" srcId="{C70E6BB8-3ED1-4CD4-B147-6674EF6FB3C3}" destId="{FC990923-07FD-4E5C-A9AC-FEAAED2D538C}" srcOrd="3" destOrd="0" presId="urn:microsoft.com/office/officeart/2005/8/layout/hierarchy2"/>
    <dgm:cxn modelId="{0B710773-8FD4-4057-A048-22393E33335A}" type="presParOf" srcId="{FC990923-07FD-4E5C-A9AC-FEAAED2D538C}" destId="{6AAAF608-D7FB-41CA-8730-46A9064DAAF0}" srcOrd="0" destOrd="0" presId="urn:microsoft.com/office/officeart/2005/8/layout/hierarchy2"/>
    <dgm:cxn modelId="{55C5FAC2-1415-4869-A091-FED7D49ED2B2}" type="presParOf" srcId="{FC990923-07FD-4E5C-A9AC-FEAAED2D538C}" destId="{28D40F74-FEEE-41FA-8F4C-5FC78293EA35}" srcOrd="1" destOrd="0" presId="urn:microsoft.com/office/officeart/2005/8/layout/hierarchy2"/>
    <dgm:cxn modelId="{37B9F5BE-63E9-4E85-B625-E7D410A54EA4}" type="presParOf" srcId="{28D40F74-FEEE-41FA-8F4C-5FC78293EA35}" destId="{41736F83-01FE-49E5-93D6-A8657869A6DA}" srcOrd="0" destOrd="0" presId="urn:microsoft.com/office/officeart/2005/8/layout/hierarchy2"/>
    <dgm:cxn modelId="{A2F6F519-C2DD-4167-8FFC-22007C9DD6A9}" type="presParOf" srcId="{41736F83-01FE-49E5-93D6-A8657869A6DA}" destId="{79C369D6-2419-419F-BB73-DCC935722C8D}" srcOrd="0" destOrd="0" presId="urn:microsoft.com/office/officeart/2005/8/layout/hierarchy2"/>
    <dgm:cxn modelId="{95500D54-2682-4573-915E-D70CFDBEC40B}" type="presParOf" srcId="{28D40F74-FEEE-41FA-8F4C-5FC78293EA35}" destId="{3754A85A-778B-4361-B2BE-6A174FF5279E}" srcOrd="1" destOrd="0" presId="urn:microsoft.com/office/officeart/2005/8/layout/hierarchy2"/>
    <dgm:cxn modelId="{5F10F44C-00AA-447F-959B-37DCB3275869}" type="presParOf" srcId="{3754A85A-778B-4361-B2BE-6A174FF5279E}" destId="{105690D1-9388-4F48-8E0A-972DB69A69A6}" srcOrd="0" destOrd="0" presId="urn:microsoft.com/office/officeart/2005/8/layout/hierarchy2"/>
    <dgm:cxn modelId="{9DE11C90-C50A-4D93-9E18-8CDA845FE040}" type="presParOf" srcId="{3754A85A-778B-4361-B2BE-6A174FF5279E}" destId="{0CEC85BC-5A2B-4681-8DDD-F64E109F914E}" srcOrd="1" destOrd="0" presId="urn:microsoft.com/office/officeart/2005/8/layout/hierarchy2"/>
    <dgm:cxn modelId="{CC553173-0DD6-4C9B-8888-02D030836CA2}" type="presParOf" srcId="{28D40F74-FEEE-41FA-8F4C-5FC78293EA35}" destId="{D5A37D2B-7988-489F-900E-AF81DC2B7E5E}" srcOrd="2" destOrd="0" presId="urn:microsoft.com/office/officeart/2005/8/layout/hierarchy2"/>
    <dgm:cxn modelId="{BA0DC7DA-5E11-4DC3-8838-3839E26969C6}" type="presParOf" srcId="{D5A37D2B-7988-489F-900E-AF81DC2B7E5E}" destId="{EFF1E7E4-50DB-4B7F-9476-691B9EF37846}" srcOrd="0" destOrd="0" presId="urn:microsoft.com/office/officeart/2005/8/layout/hierarchy2"/>
    <dgm:cxn modelId="{0D272D05-0FC6-40FF-811D-A274C5D3D323}" type="presParOf" srcId="{28D40F74-FEEE-41FA-8F4C-5FC78293EA35}" destId="{1B34D3A9-88DA-4007-A700-AE37892F2943}" srcOrd="3" destOrd="0" presId="urn:microsoft.com/office/officeart/2005/8/layout/hierarchy2"/>
    <dgm:cxn modelId="{B0364C10-A72B-4118-BE2D-A96E223F0E84}" type="presParOf" srcId="{1B34D3A9-88DA-4007-A700-AE37892F2943}" destId="{F70C263B-D1C1-45A4-8226-E49EAC3BE17A}" srcOrd="0" destOrd="0" presId="urn:microsoft.com/office/officeart/2005/8/layout/hierarchy2"/>
    <dgm:cxn modelId="{026E3FB9-A216-40A6-A3E6-88D7D7774F94}" type="presParOf" srcId="{1B34D3A9-88DA-4007-A700-AE37892F2943}" destId="{93466E80-831A-4DE1-8570-5F82B02D49F2}" srcOrd="1" destOrd="0" presId="urn:microsoft.com/office/officeart/2005/8/layout/hierarchy2"/>
    <dgm:cxn modelId="{39C1D84B-FF65-441F-9F80-A2B5972AFF7D}" type="presParOf" srcId="{28D40F74-FEEE-41FA-8F4C-5FC78293EA35}" destId="{EF4C423B-1993-4B30-A4DB-85278172FB06}" srcOrd="4" destOrd="0" presId="urn:microsoft.com/office/officeart/2005/8/layout/hierarchy2"/>
    <dgm:cxn modelId="{F412081D-4E00-49FF-9BF2-EBD2B588030B}" type="presParOf" srcId="{EF4C423B-1993-4B30-A4DB-85278172FB06}" destId="{52EB43F4-B2A3-4A5B-8644-2987CF0D1B87}" srcOrd="0" destOrd="0" presId="urn:microsoft.com/office/officeart/2005/8/layout/hierarchy2"/>
    <dgm:cxn modelId="{711FFCC9-5667-4509-B9B6-791D21134606}" type="presParOf" srcId="{28D40F74-FEEE-41FA-8F4C-5FC78293EA35}" destId="{5FB45D88-C0BB-40FD-B166-F74FEB1A57B5}" srcOrd="5" destOrd="0" presId="urn:microsoft.com/office/officeart/2005/8/layout/hierarchy2"/>
    <dgm:cxn modelId="{22D29F26-D71B-4546-89D3-186E0172D10A}" type="presParOf" srcId="{5FB45D88-C0BB-40FD-B166-F74FEB1A57B5}" destId="{8966247F-213A-4456-A383-102FA02FA088}" srcOrd="0" destOrd="0" presId="urn:microsoft.com/office/officeart/2005/8/layout/hierarchy2"/>
    <dgm:cxn modelId="{E29502B0-3EA0-4CE9-A102-8E786810BF12}" type="presParOf" srcId="{5FB45D88-C0BB-40FD-B166-F74FEB1A57B5}" destId="{296DB49E-FDB9-495C-B627-2D131EBEA4AE}" srcOrd="1" destOrd="0" presId="urn:microsoft.com/office/officeart/2005/8/layout/hierarchy2"/>
  </dgm:cxnLst>
  <dgm:bg/>
  <dgm:whole/>
</dgm:dataModel>
</file>

<file path=word/diagrams/data4.xml><?xml version="1.0" encoding="utf-8"?>
<dgm:dataModel xmlns:dgm="http://schemas.openxmlformats.org/drawingml/2006/diagram" xmlns:a="http://schemas.openxmlformats.org/drawingml/2006/main">
  <dgm:ptLst>
    <dgm:pt modelId="{5FDD2AA9-1D71-4789-B698-198148A80D29}" type="doc">
      <dgm:prSet loTypeId="urn:microsoft.com/office/officeart/2005/8/layout/pyramid2" loCatId="list" qsTypeId="urn:microsoft.com/office/officeart/2005/8/quickstyle/3d3" qsCatId="3D" csTypeId="urn:microsoft.com/office/officeart/2005/8/colors/accent6_5" csCatId="accent6" phldr="1"/>
      <dgm:spPr/>
    </dgm:pt>
    <dgm:pt modelId="{47090CCB-2D9F-48CA-A7DC-7FC368065333}">
      <dgm:prSet phldrT="[Text]" custT="1"/>
      <dgm:spPr/>
      <dgm:t>
        <a:bodyPr/>
        <a:lstStyle/>
        <a:p>
          <a:pPr algn="ctr"/>
          <a:r>
            <a:rPr lang="lt-LT" sz="1200" i="1">
              <a:latin typeface="Times New Roman" pitchFamily="18" charset="0"/>
              <a:cs typeface="Times New Roman" pitchFamily="18" charset="0"/>
            </a:rPr>
            <a:t>Vadovas bei jo patarėjas, </a:t>
          </a:r>
          <a:r>
            <a:rPr lang="en-US" sz="1200" i="1">
              <a:latin typeface="Times New Roman" pitchFamily="18" charset="0"/>
              <a:cs typeface="Times New Roman" pitchFamily="18" charset="0"/>
            </a:rPr>
            <a:t>              </a:t>
          </a:r>
          <a:r>
            <a:rPr lang="lt-LT" sz="1200" i="1">
              <a:latin typeface="Times New Roman" pitchFamily="18" charset="0"/>
              <a:cs typeface="Times New Roman" pitchFamily="18" charset="0"/>
            </a:rPr>
            <a:t>finansininkas</a:t>
          </a:r>
          <a:endParaRPr lang="en-US" sz="1200" i="1">
            <a:latin typeface="Times New Roman" pitchFamily="18" charset="0"/>
            <a:cs typeface="Times New Roman" pitchFamily="18" charset="0"/>
          </a:endParaRPr>
        </a:p>
      </dgm:t>
    </dgm:pt>
    <dgm:pt modelId="{FAF1CD87-6152-4F65-8746-210AE58A6686}" type="parTrans" cxnId="{339DD854-4E72-4CA2-820D-AF6C3600C0F0}">
      <dgm:prSet/>
      <dgm:spPr/>
      <dgm:t>
        <a:bodyPr/>
        <a:lstStyle/>
        <a:p>
          <a:pPr algn="ctr"/>
          <a:endParaRPr lang="en-US"/>
        </a:p>
      </dgm:t>
    </dgm:pt>
    <dgm:pt modelId="{DD22BFAD-57AC-4A2D-A804-7DBB9039F35A}" type="sibTrans" cxnId="{339DD854-4E72-4CA2-820D-AF6C3600C0F0}">
      <dgm:prSet/>
      <dgm:spPr/>
      <dgm:t>
        <a:bodyPr/>
        <a:lstStyle/>
        <a:p>
          <a:pPr algn="ctr"/>
          <a:endParaRPr lang="en-US"/>
        </a:p>
      </dgm:t>
    </dgm:pt>
    <dgm:pt modelId="{F267B6EB-7085-4222-9032-B0EA0567B718}">
      <dgm:prSet phldrT="[Text]"/>
      <dgm:spPr/>
      <dgm:t>
        <a:bodyPr/>
        <a:lstStyle/>
        <a:p>
          <a:pPr algn="ctr"/>
          <a:r>
            <a:rPr lang="lt-LT" i="1">
              <a:latin typeface="Times New Roman" pitchFamily="18" charset="0"/>
              <a:cs typeface="Times New Roman" pitchFamily="18" charset="0"/>
            </a:rPr>
            <a:t>Transporto vadybininkai</a:t>
          </a:r>
          <a:endParaRPr lang="en-US" i="1">
            <a:latin typeface="Times New Roman" pitchFamily="18" charset="0"/>
            <a:cs typeface="Times New Roman" pitchFamily="18" charset="0"/>
          </a:endParaRPr>
        </a:p>
      </dgm:t>
    </dgm:pt>
    <dgm:pt modelId="{207AE523-59F5-49FA-A0B2-2F39E0CD68CC}" type="parTrans" cxnId="{5AA7030B-9C05-48A9-9A40-963549D78C03}">
      <dgm:prSet/>
      <dgm:spPr/>
      <dgm:t>
        <a:bodyPr/>
        <a:lstStyle/>
        <a:p>
          <a:pPr algn="ctr"/>
          <a:endParaRPr lang="en-US"/>
        </a:p>
      </dgm:t>
    </dgm:pt>
    <dgm:pt modelId="{CDFBB363-45B9-4BC0-8437-FCE390F31B8F}" type="sibTrans" cxnId="{5AA7030B-9C05-48A9-9A40-963549D78C03}">
      <dgm:prSet/>
      <dgm:spPr/>
      <dgm:t>
        <a:bodyPr/>
        <a:lstStyle/>
        <a:p>
          <a:pPr algn="ctr"/>
          <a:endParaRPr lang="en-US"/>
        </a:p>
      </dgm:t>
    </dgm:pt>
    <dgm:pt modelId="{90284553-F142-4320-9786-B5AF14B67FAB}">
      <dgm:prSet phldrT="[Text]"/>
      <dgm:spPr/>
      <dgm:t>
        <a:bodyPr/>
        <a:lstStyle/>
        <a:p>
          <a:pPr algn="ctr"/>
          <a:r>
            <a:rPr lang="lt-LT" i="1">
              <a:latin typeface="Times New Roman" pitchFamily="18" charset="0"/>
              <a:cs typeface="Times New Roman" pitchFamily="18" charset="0"/>
            </a:rPr>
            <a:t>Vairuotojai</a:t>
          </a:r>
          <a:endParaRPr lang="en-US" i="1">
            <a:latin typeface="Times New Roman" pitchFamily="18" charset="0"/>
            <a:cs typeface="Times New Roman" pitchFamily="18" charset="0"/>
          </a:endParaRPr>
        </a:p>
      </dgm:t>
    </dgm:pt>
    <dgm:pt modelId="{E195AC62-8D3F-472A-9058-C8A1BA5B340B}" type="parTrans" cxnId="{3400BEA7-B835-4A8B-AD24-221C7B5CDE13}">
      <dgm:prSet/>
      <dgm:spPr/>
      <dgm:t>
        <a:bodyPr/>
        <a:lstStyle/>
        <a:p>
          <a:pPr algn="ctr"/>
          <a:endParaRPr lang="en-US"/>
        </a:p>
      </dgm:t>
    </dgm:pt>
    <dgm:pt modelId="{4D4B0EBF-8BC0-41B6-B50B-03EDC78C1C93}" type="sibTrans" cxnId="{3400BEA7-B835-4A8B-AD24-221C7B5CDE13}">
      <dgm:prSet/>
      <dgm:spPr/>
      <dgm:t>
        <a:bodyPr/>
        <a:lstStyle/>
        <a:p>
          <a:pPr algn="ctr"/>
          <a:endParaRPr lang="en-US"/>
        </a:p>
      </dgm:t>
    </dgm:pt>
    <dgm:pt modelId="{F8131BEC-9F24-46F1-8BC7-A1089D3D9EA4}" type="pres">
      <dgm:prSet presAssocID="{5FDD2AA9-1D71-4789-B698-198148A80D29}" presName="compositeShape" presStyleCnt="0">
        <dgm:presLayoutVars>
          <dgm:dir/>
          <dgm:resizeHandles/>
        </dgm:presLayoutVars>
      </dgm:prSet>
      <dgm:spPr/>
    </dgm:pt>
    <dgm:pt modelId="{750425E3-DA32-479E-A718-FB5E18E73136}" type="pres">
      <dgm:prSet presAssocID="{5FDD2AA9-1D71-4789-B698-198148A80D29}" presName="pyramid" presStyleLbl="node1" presStyleIdx="0" presStyleCnt="1"/>
      <dgm:spPr/>
    </dgm:pt>
    <dgm:pt modelId="{650CE5C5-8298-4266-BE90-E2ED3ED5C6F6}" type="pres">
      <dgm:prSet presAssocID="{5FDD2AA9-1D71-4789-B698-198148A80D29}" presName="theList" presStyleCnt="0"/>
      <dgm:spPr/>
    </dgm:pt>
    <dgm:pt modelId="{302E0CB9-26A8-4ADE-A31A-F9FF33B0755B}" type="pres">
      <dgm:prSet presAssocID="{47090CCB-2D9F-48CA-A7DC-7FC368065333}" presName="aNode" presStyleLbl="fgAcc1" presStyleIdx="0" presStyleCnt="3">
        <dgm:presLayoutVars>
          <dgm:bulletEnabled val="1"/>
        </dgm:presLayoutVars>
      </dgm:prSet>
      <dgm:spPr/>
      <dgm:t>
        <a:bodyPr/>
        <a:lstStyle/>
        <a:p>
          <a:endParaRPr lang="en-US"/>
        </a:p>
      </dgm:t>
    </dgm:pt>
    <dgm:pt modelId="{D45178F7-5F7D-4365-9238-6CA65296CD79}" type="pres">
      <dgm:prSet presAssocID="{47090CCB-2D9F-48CA-A7DC-7FC368065333}" presName="aSpace" presStyleCnt="0"/>
      <dgm:spPr/>
    </dgm:pt>
    <dgm:pt modelId="{BBFA3BC8-3D3B-4DAF-85EA-6CB8A44AEB38}" type="pres">
      <dgm:prSet presAssocID="{F267B6EB-7085-4222-9032-B0EA0567B718}" presName="aNode" presStyleLbl="fgAcc1" presStyleIdx="1" presStyleCnt="3">
        <dgm:presLayoutVars>
          <dgm:bulletEnabled val="1"/>
        </dgm:presLayoutVars>
      </dgm:prSet>
      <dgm:spPr/>
      <dgm:t>
        <a:bodyPr/>
        <a:lstStyle/>
        <a:p>
          <a:endParaRPr lang="en-US"/>
        </a:p>
      </dgm:t>
    </dgm:pt>
    <dgm:pt modelId="{18865656-5865-46CF-BDBF-2503E7F0B0F9}" type="pres">
      <dgm:prSet presAssocID="{F267B6EB-7085-4222-9032-B0EA0567B718}" presName="aSpace" presStyleCnt="0"/>
      <dgm:spPr/>
    </dgm:pt>
    <dgm:pt modelId="{186632F3-6562-46E8-8C10-8CEDCAAECBDF}" type="pres">
      <dgm:prSet presAssocID="{90284553-F142-4320-9786-B5AF14B67FAB}" presName="aNode" presStyleLbl="fgAcc1" presStyleIdx="2" presStyleCnt="3">
        <dgm:presLayoutVars>
          <dgm:bulletEnabled val="1"/>
        </dgm:presLayoutVars>
      </dgm:prSet>
      <dgm:spPr/>
      <dgm:t>
        <a:bodyPr/>
        <a:lstStyle/>
        <a:p>
          <a:endParaRPr lang="en-US"/>
        </a:p>
      </dgm:t>
    </dgm:pt>
    <dgm:pt modelId="{76BF0A40-F404-4C3B-81A7-201957F2AF83}" type="pres">
      <dgm:prSet presAssocID="{90284553-F142-4320-9786-B5AF14B67FAB}" presName="aSpace" presStyleCnt="0"/>
      <dgm:spPr/>
    </dgm:pt>
  </dgm:ptLst>
  <dgm:cxnLst>
    <dgm:cxn modelId="{75A6F933-67AB-4CA7-8D86-2B6AE8E23325}" type="presOf" srcId="{47090CCB-2D9F-48CA-A7DC-7FC368065333}" destId="{302E0CB9-26A8-4ADE-A31A-F9FF33B0755B}" srcOrd="0" destOrd="0" presId="urn:microsoft.com/office/officeart/2005/8/layout/pyramid2"/>
    <dgm:cxn modelId="{3400BEA7-B835-4A8B-AD24-221C7B5CDE13}" srcId="{5FDD2AA9-1D71-4789-B698-198148A80D29}" destId="{90284553-F142-4320-9786-B5AF14B67FAB}" srcOrd="2" destOrd="0" parTransId="{E195AC62-8D3F-472A-9058-C8A1BA5B340B}" sibTransId="{4D4B0EBF-8BC0-41B6-B50B-03EDC78C1C93}"/>
    <dgm:cxn modelId="{339DD854-4E72-4CA2-820D-AF6C3600C0F0}" srcId="{5FDD2AA9-1D71-4789-B698-198148A80D29}" destId="{47090CCB-2D9F-48CA-A7DC-7FC368065333}" srcOrd="0" destOrd="0" parTransId="{FAF1CD87-6152-4F65-8746-210AE58A6686}" sibTransId="{DD22BFAD-57AC-4A2D-A804-7DBB9039F35A}"/>
    <dgm:cxn modelId="{C7FE1173-0491-44C7-A772-634BCEFF5311}" type="presOf" srcId="{5FDD2AA9-1D71-4789-B698-198148A80D29}" destId="{F8131BEC-9F24-46F1-8BC7-A1089D3D9EA4}" srcOrd="0" destOrd="0" presId="urn:microsoft.com/office/officeart/2005/8/layout/pyramid2"/>
    <dgm:cxn modelId="{905BFB42-771F-4F1C-9FE0-56D273AE89C6}" type="presOf" srcId="{90284553-F142-4320-9786-B5AF14B67FAB}" destId="{186632F3-6562-46E8-8C10-8CEDCAAECBDF}" srcOrd="0" destOrd="0" presId="urn:microsoft.com/office/officeart/2005/8/layout/pyramid2"/>
    <dgm:cxn modelId="{5AA7030B-9C05-48A9-9A40-963549D78C03}" srcId="{5FDD2AA9-1D71-4789-B698-198148A80D29}" destId="{F267B6EB-7085-4222-9032-B0EA0567B718}" srcOrd="1" destOrd="0" parTransId="{207AE523-59F5-49FA-A0B2-2F39E0CD68CC}" sibTransId="{CDFBB363-45B9-4BC0-8437-FCE390F31B8F}"/>
    <dgm:cxn modelId="{ED0A15A1-49A4-4922-865A-68215498BFDD}" type="presOf" srcId="{F267B6EB-7085-4222-9032-B0EA0567B718}" destId="{BBFA3BC8-3D3B-4DAF-85EA-6CB8A44AEB38}" srcOrd="0" destOrd="0" presId="urn:microsoft.com/office/officeart/2005/8/layout/pyramid2"/>
    <dgm:cxn modelId="{FA084DDB-89EC-406F-A149-EF7132947751}" type="presParOf" srcId="{F8131BEC-9F24-46F1-8BC7-A1089D3D9EA4}" destId="{750425E3-DA32-479E-A718-FB5E18E73136}" srcOrd="0" destOrd="0" presId="urn:microsoft.com/office/officeart/2005/8/layout/pyramid2"/>
    <dgm:cxn modelId="{84B3152F-04A0-42D1-9D4A-0963198CBD3E}" type="presParOf" srcId="{F8131BEC-9F24-46F1-8BC7-A1089D3D9EA4}" destId="{650CE5C5-8298-4266-BE90-E2ED3ED5C6F6}" srcOrd="1" destOrd="0" presId="urn:microsoft.com/office/officeart/2005/8/layout/pyramid2"/>
    <dgm:cxn modelId="{D478212B-8699-4F00-B5DE-8F6D00822A47}" type="presParOf" srcId="{650CE5C5-8298-4266-BE90-E2ED3ED5C6F6}" destId="{302E0CB9-26A8-4ADE-A31A-F9FF33B0755B}" srcOrd="0" destOrd="0" presId="urn:microsoft.com/office/officeart/2005/8/layout/pyramid2"/>
    <dgm:cxn modelId="{9AA1FDDD-8525-40F9-8E28-EE545F0FDE72}" type="presParOf" srcId="{650CE5C5-8298-4266-BE90-E2ED3ED5C6F6}" destId="{D45178F7-5F7D-4365-9238-6CA65296CD79}" srcOrd="1" destOrd="0" presId="urn:microsoft.com/office/officeart/2005/8/layout/pyramid2"/>
    <dgm:cxn modelId="{1ACCE9E9-0A3E-4401-9D68-25D8BF1CD190}" type="presParOf" srcId="{650CE5C5-8298-4266-BE90-E2ED3ED5C6F6}" destId="{BBFA3BC8-3D3B-4DAF-85EA-6CB8A44AEB38}" srcOrd="2" destOrd="0" presId="urn:microsoft.com/office/officeart/2005/8/layout/pyramid2"/>
    <dgm:cxn modelId="{9D7318F5-66F0-4206-8467-6DA6720CA2C0}" type="presParOf" srcId="{650CE5C5-8298-4266-BE90-E2ED3ED5C6F6}" destId="{18865656-5865-46CF-BDBF-2503E7F0B0F9}" srcOrd="3" destOrd="0" presId="urn:microsoft.com/office/officeart/2005/8/layout/pyramid2"/>
    <dgm:cxn modelId="{3DF02EEB-296E-4ECF-BFED-E607092B7C1B}" type="presParOf" srcId="{650CE5C5-8298-4266-BE90-E2ED3ED5C6F6}" destId="{186632F3-6562-46E8-8C10-8CEDCAAECBDF}" srcOrd="4" destOrd="0" presId="urn:microsoft.com/office/officeart/2005/8/layout/pyramid2"/>
    <dgm:cxn modelId="{70CCB1B7-9365-44D1-8BAC-C5AF3DBF9BBE}" type="presParOf" srcId="{650CE5C5-8298-4266-BE90-E2ED3ED5C6F6}" destId="{76BF0A40-F404-4C3B-81A7-201957F2AF83}" srcOrd="5" destOrd="0" presId="urn:microsoft.com/office/officeart/2005/8/layout/pyramid2"/>
  </dgm:cxnLst>
  <dgm:bg/>
  <dgm:whole/>
</dgm:dataModel>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2288</TotalTime>
  <Pages>1</Pages>
  <Words>32298</Words>
  <Characters>184104</Characters>
  <Application>Microsoft Office Word</Application>
  <DocSecurity>0</DocSecurity>
  <Lines>1534</Lines>
  <Paragraphs>431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dc:creator>
  <cp:lastModifiedBy>Evelina</cp:lastModifiedBy>
  <cp:revision>159</cp:revision>
  <cp:lastPrinted>2013-12-12T21:56:00Z</cp:lastPrinted>
  <dcterms:created xsi:type="dcterms:W3CDTF">2013-11-11T19:25:00Z</dcterms:created>
  <dcterms:modified xsi:type="dcterms:W3CDTF">2013-12-14T18:39:00Z</dcterms:modified>
</cp:coreProperties>
</file>