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335" w:rsidRPr="007344EA" w:rsidRDefault="00196335" w:rsidP="00A27EDE">
      <w:pPr>
        <w:spacing w:after="300" w:line="360" w:lineRule="auto"/>
        <w:jc w:val="center"/>
        <w:rPr>
          <w:rFonts w:ascii="Times New Roman" w:hAnsi="Times New Roman" w:cs="Times New Roman"/>
          <w:sz w:val="24"/>
          <w:szCs w:val="24"/>
        </w:rPr>
      </w:pPr>
      <w:r w:rsidRPr="007344EA">
        <w:rPr>
          <w:rFonts w:ascii="Times New Roman" w:hAnsi="Times New Roman" w:cs="Times New Roman"/>
          <w:sz w:val="24"/>
          <w:szCs w:val="24"/>
        </w:rPr>
        <w:t>MYKOLO ROMERIO UNIVERSITETO</w:t>
      </w:r>
    </w:p>
    <w:p w:rsidR="00AC033E" w:rsidRPr="007344EA" w:rsidRDefault="00AC033E" w:rsidP="00A27EDE">
      <w:pPr>
        <w:spacing w:after="300" w:line="360" w:lineRule="auto"/>
        <w:jc w:val="center"/>
        <w:rPr>
          <w:rFonts w:ascii="Times New Roman" w:hAnsi="Times New Roman" w:cs="Times New Roman"/>
          <w:sz w:val="24"/>
          <w:szCs w:val="24"/>
        </w:rPr>
      </w:pPr>
    </w:p>
    <w:p w:rsidR="00196335" w:rsidRPr="007344EA" w:rsidRDefault="00196335" w:rsidP="00A27EDE">
      <w:pPr>
        <w:spacing w:after="300" w:line="360" w:lineRule="auto"/>
        <w:jc w:val="center"/>
        <w:rPr>
          <w:rFonts w:ascii="Times New Roman" w:hAnsi="Times New Roman" w:cs="Times New Roman"/>
          <w:sz w:val="24"/>
          <w:szCs w:val="24"/>
        </w:rPr>
      </w:pPr>
      <w:r w:rsidRPr="007344EA">
        <w:rPr>
          <w:rFonts w:ascii="Times New Roman" w:hAnsi="Times New Roman" w:cs="Times New Roman"/>
          <w:sz w:val="24"/>
          <w:szCs w:val="24"/>
        </w:rPr>
        <w:t>TEISĖS FAKULTETO</w:t>
      </w:r>
    </w:p>
    <w:p w:rsidR="00196335" w:rsidRPr="007344EA" w:rsidRDefault="00196335" w:rsidP="00A27EDE">
      <w:pPr>
        <w:spacing w:after="300" w:line="360" w:lineRule="auto"/>
        <w:jc w:val="center"/>
        <w:rPr>
          <w:rFonts w:ascii="Times New Roman" w:hAnsi="Times New Roman" w:cs="Times New Roman"/>
          <w:sz w:val="24"/>
          <w:szCs w:val="24"/>
        </w:rPr>
      </w:pPr>
      <w:r w:rsidRPr="007344EA">
        <w:rPr>
          <w:rFonts w:ascii="Times New Roman" w:hAnsi="Times New Roman" w:cs="Times New Roman"/>
          <w:sz w:val="24"/>
          <w:szCs w:val="24"/>
        </w:rPr>
        <w:t xml:space="preserve">TARPTAUTINĖS IR EUROPOS SĄJUNGOS TEISĖS </w:t>
      </w:r>
      <w:r w:rsidR="00AE028C" w:rsidRPr="007344EA">
        <w:rPr>
          <w:rFonts w:ascii="Times New Roman" w:hAnsi="Times New Roman" w:cs="Times New Roman"/>
          <w:sz w:val="24"/>
          <w:szCs w:val="24"/>
        </w:rPr>
        <w:t>INSTITUTAS</w:t>
      </w:r>
    </w:p>
    <w:p w:rsidR="00196335" w:rsidRPr="007344EA" w:rsidRDefault="00196335" w:rsidP="00A27EDE">
      <w:pPr>
        <w:spacing w:after="300" w:line="360" w:lineRule="auto"/>
        <w:jc w:val="center"/>
        <w:rPr>
          <w:rFonts w:ascii="Times New Roman" w:hAnsi="Times New Roman" w:cs="Times New Roman"/>
          <w:sz w:val="24"/>
          <w:szCs w:val="24"/>
        </w:rPr>
      </w:pPr>
    </w:p>
    <w:p w:rsidR="00E81A27" w:rsidRPr="007344EA" w:rsidRDefault="00E81A27" w:rsidP="00A27EDE">
      <w:pPr>
        <w:spacing w:after="300" w:line="360" w:lineRule="auto"/>
        <w:jc w:val="center"/>
        <w:rPr>
          <w:rFonts w:ascii="Times New Roman" w:hAnsi="Times New Roman" w:cs="Times New Roman"/>
          <w:sz w:val="24"/>
          <w:szCs w:val="24"/>
        </w:rPr>
      </w:pPr>
    </w:p>
    <w:p w:rsidR="00196335" w:rsidRPr="007344EA" w:rsidRDefault="00196335" w:rsidP="00A27EDE">
      <w:pPr>
        <w:spacing w:after="300" w:line="360" w:lineRule="auto"/>
        <w:jc w:val="center"/>
        <w:rPr>
          <w:rFonts w:ascii="Times New Roman" w:hAnsi="Times New Roman" w:cs="Times New Roman"/>
          <w:sz w:val="24"/>
          <w:szCs w:val="24"/>
        </w:rPr>
      </w:pPr>
      <w:r w:rsidRPr="007344EA">
        <w:rPr>
          <w:rFonts w:ascii="Times New Roman" w:hAnsi="Times New Roman" w:cs="Times New Roman"/>
          <w:sz w:val="24"/>
          <w:szCs w:val="24"/>
        </w:rPr>
        <w:t>PAULIUS CEMNOLONSKAS</w:t>
      </w:r>
    </w:p>
    <w:p w:rsidR="00196335" w:rsidRPr="007344EA" w:rsidRDefault="00196335" w:rsidP="00A27EDE">
      <w:pPr>
        <w:spacing w:after="300" w:line="360" w:lineRule="auto"/>
        <w:jc w:val="center"/>
        <w:rPr>
          <w:rFonts w:ascii="Times New Roman" w:hAnsi="Times New Roman" w:cs="Times New Roman"/>
          <w:sz w:val="24"/>
          <w:szCs w:val="24"/>
        </w:rPr>
      </w:pPr>
      <w:r w:rsidRPr="007344EA">
        <w:rPr>
          <w:rFonts w:ascii="Times New Roman" w:hAnsi="Times New Roman" w:cs="Times New Roman"/>
          <w:sz w:val="24"/>
          <w:szCs w:val="24"/>
        </w:rPr>
        <w:t>EUROPOS SĄJUNGOS TEISĖS PROGRAMA</w:t>
      </w:r>
    </w:p>
    <w:p w:rsidR="00196335" w:rsidRPr="007344EA" w:rsidRDefault="00196335" w:rsidP="00A27EDE">
      <w:pPr>
        <w:spacing w:after="300" w:line="360" w:lineRule="auto"/>
        <w:jc w:val="center"/>
        <w:rPr>
          <w:rFonts w:ascii="Times New Roman" w:hAnsi="Times New Roman" w:cs="Times New Roman"/>
          <w:sz w:val="24"/>
          <w:szCs w:val="24"/>
        </w:rPr>
      </w:pPr>
    </w:p>
    <w:p w:rsidR="00196335" w:rsidRPr="007344EA" w:rsidRDefault="00196335" w:rsidP="00A27EDE">
      <w:pPr>
        <w:spacing w:after="300" w:line="360" w:lineRule="auto"/>
        <w:jc w:val="center"/>
        <w:rPr>
          <w:rFonts w:ascii="Times New Roman" w:hAnsi="Times New Roman" w:cs="Times New Roman"/>
          <w:sz w:val="24"/>
          <w:szCs w:val="24"/>
        </w:rPr>
      </w:pPr>
    </w:p>
    <w:p w:rsidR="00196335" w:rsidRPr="007344EA" w:rsidRDefault="00196335" w:rsidP="00A27EDE">
      <w:pPr>
        <w:spacing w:after="300" w:line="360" w:lineRule="auto"/>
        <w:jc w:val="center"/>
        <w:rPr>
          <w:rFonts w:ascii="Times New Roman" w:hAnsi="Times New Roman" w:cs="Times New Roman"/>
          <w:sz w:val="24"/>
          <w:szCs w:val="24"/>
        </w:rPr>
      </w:pPr>
      <w:r w:rsidRPr="007344EA">
        <w:rPr>
          <w:rFonts w:ascii="Times New Roman" w:hAnsi="Times New Roman" w:cs="Times New Roman"/>
          <w:sz w:val="24"/>
          <w:szCs w:val="24"/>
        </w:rPr>
        <w:t>TEMA</w:t>
      </w:r>
    </w:p>
    <w:p w:rsidR="00196335" w:rsidRPr="007344EA" w:rsidRDefault="00196335" w:rsidP="00A27EDE">
      <w:pPr>
        <w:spacing w:after="300" w:line="360" w:lineRule="auto"/>
        <w:jc w:val="center"/>
        <w:rPr>
          <w:rFonts w:ascii="Times New Roman" w:hAnsi="Times New Roman" w:cs="Times New Roman"/>
          <w:sz w:val="24"/>
          <w:szCs w:val="24"/>
        </w:rPr>
      </w:pPr>
      <w:r w:rsidRPr="007344EA">
        <w:rPr>
          <w:rFonts w:ascii="Times New Roman" w:hAnsi="Times New Roman" w:cs="Times New Roman"/>
          <w:sz w:val="24"/>
          <w:szCs w:val="24"/>
        </w:rPr>
        <w:t>EUROPOS</w:t>
      </w:r>
      <w:r w:rsidR="0063348A">
        <w:rPr>
          <w:rFonts w:ascii="Times New Roman" w:hAnsi="Times New Roman" w:cs="Times New Roman"/>
          <w:sz w:val="24"/>
          <w:szCs w:val="24"/>
        </w:rPr>
        <w:t xml:space="preserve"> SĄJUNGOS</w:t>
      </w:r>
      <w:r w:rsidRPr="007344EA">
        <w:rPr>
          <w:rFonts w:ascii="Times New Roman" w:hAnsi="Times New Roman" w:cs="Times New Roman"/>
          <w:sz w:val="24"/>
          <w:szCs w:val="24"/>
        </w:rPr>
        <w:t xml:space="preserve"> TEISINGUMO TEISMO PRAKTIKA</w:t>
      </w:r>
    </w:p>
    <w:p w:rsidR="00196335" w:rsidRPr="007344EA" w:rsidRDefault="00196335" w:rsidP="00A27EDE">
      <w:pPr>
        <w:spacing w:after="300" w:line="360" w:lineRule="auto"/>
        <w:jc w:val="center"/>
        <w:rPr>
          <w:rFonts w:ascii="Times New Roman" w:hAnsi="Times New Roman" w:cs="Times New Roman"/>
          <w:sz w:val="24"/>
          <w:szCs w:val="24"/>
        </w:rPr>
      </w:pPr>
      <w:r w:rsidRPr="007344EA">
        <w:rPr>
          <w:rFonts w:ascii="Times New Roman" w:hAnsi="Times New Roman" w:cs="Times New Roman"/>
          <w:sz w:val="24"/>
          <w:szCs w:val="24"/>
        </w:rPr>
        <w:t>DĖL NESĄŽININGŲ SĄLYGŲ TAIKYMO VARTOJIMO SUTARTYSE</w:t>
      </w:r>
    </w:p>
    <w:p w:rsidR="00196335" w:rsidRPr="007344EA" w:rsidRDefault="00196335" w:rsidP="00A27EDE">
      <w:pPr>
        <w:spacing w:after="300" w:line="360" w:lineRule="auto"/>
        <w:jc w:val="center"/>
        <w:rPr>
          <w:rFonts w:ascii="Times New Roman" w:hAnsi="Times New Roman" w:cs="Times New Roman"/>
          <w:sz w:val="24"/>
          <w:szCs w:val="24"/>
        </w:rPr>
      </w:pPr>
      <w:r w:rsidRPr="007344EA">
        <w:rPr>
          <w:rFonts w:ascii="Times New Roman" w:hAnsi="Times New Roman" w:cs="Times New Roman"/>
          <w:sz w:val="24"/>
          <w:szCs w:val="24"/>
        </w:rPr>
        <w:t>Magistro baigiamasis darbas</w:t>
      </w:r>
    </w:p>
    <w:p w:rsidR="001B44C4" w:rsidRPr="007344EA" w:rsidRDefault="001B44C4" w:rsidP="00F07B6B">
      <w:pPr>
        <w:spacing w:after="300" w:line="360" w:lineRule="auto"/>
        <w:jc w:val="both"/>
        <w:rPr>
          <w:rFonts w:ascii="Times New Roman" w:hAnsi="Times New Roman" w:cs="Times New Roman"/>
          <w:sz w:val="24"/>
          <w:szCs w:val="24"/>
        </w:rPr>
      </w:pPr>
    </w:p>
    <w:p w:rsidR="00196335" w:rsidRPr="007344EA" w:rsidRDefault="00196335" w:rsidP="003B23D4">
      <w:pPr>
        <w:spacing w:after="0" w:line="360" w:lineRule="auto"/>
        <w:ind w:left="6480"/>
        <w:rPr>
          <w:rFonts w:ascii="Times New Roman" w:hAnsi="Times New Roman" w:cs="Times New Roman"/>
          <w:sz w:val="24"/>
          <w:szCs w:val="24"/>
        </w:rPr>
      </w:pPr>
      <w:r w:rsidRPr="007344EA">
        <w:rPr>
          <w:rFonts w:ascii="Times New Roman" w:hAnsi="Times New Roman" w:cs="Times New Roman"/>
          <w:sz w:val="24"/>
          <w:szCs w:val="24"/>
        </w:rPr>
        <w:t>Darbo vadovas</w:t>
      </w:r>
      <w:r w:rsidR="00F07B6B">
        <w:rPr>
          <w:rFonts w:ascii="Times New Roman" w:hAnsi="Times New Roman" w:cs="Times New Roman"/>
          <w:sz w:val="24"/>
          <w:szCs w:val="24"/>
        </w:rPr>
        <w:t xml:space="preserve"> −</w:t>
      </w:r>
    </w:p>
    <w:p w:rsidR="00196335" w:rsidRDefault="00196335" w:rsidP="003B23D4">
      <w:pPr>
        <w:spacing w:after="0" w:line="360" w:lineRule="auto"/>
        <w:ind w:left="5184" w:firstLine="1296"/>
        <w:rPr>
          <w:rFonts w:ascii="Times New Roman" w:hAnsi="Times New Roman" w:cs="Times New Roman"/>
          <w:sz w:val="24"/>
          <w:szCs w:val="24"/>
        </w:rPr>
      </w:pPr>
      <w:r w:rsidRPr="007344EA">
        <w:rPr>
          <w:rFonts w:ascii="Times New Roman" w:hAnsi="Times New Roman" w:cs="Times New Roman"/>
          <w:sz w:val="24"/>
          <w:szCs w:val="24"/>
        </w:rPr>
        <w:t>Lekt. Feliksas Petrauskas</w:t>
      </w:r>
    </w:p>
    <w:p w:rsidR="00F07B6B" w:rsidRDefault="00F07B6B" w:rsidP="003B23D4">
      <w:pPr>
        <w:spacing w:after="0" w:line="360" w:lineRule="auto"/>
        <w:ind w:left="5184" w:firstLine="1296"/>
        <w:rPr>
          <w:rFonts w:ascii="Times New Roman" w:hAnsi="Times New Roman" w:cs="Times New Roman"/>
          <w:sz w:val="24"/>
          <w:szCs w:val="24"/>
        </w:rPr>
      </w:pPr>
    </w:p>
    <w:p w:rsidR="00F07B6B" w:rsidRDefault="00F07B6B" w:rsidP="003B23D4">
      <w:pPr>
        <w:spacing w:after="0" w:line="360" w:lineRule="auto"/>
        <w:ind w:left="5184" w:firstLine="1296"/>
        <w:rPr>
          <w:rFonts w:ascii="Times New Roman" w:hAnsi="Times New Roman" w:cs="Times New Roman"/>
          <w:sz w:val="24"/>
          <w:szCs w:val="24"/>
        </w:rPr>
      </w:pPr>
      <w:r>
        <w:rPr>
          <w:rFonts w:ascii="Times New Roman" w:hAnsi="Times New Roman" w:cs="Times New Roman"/>
          <w:sz w:val="24"/>
          <w:szCs w:val="24"/>
        </w:rPr>
        <w:t>Konsultantas –</w:t>
      </w:r>
    </w:p>
    <w:p w:rsidR="00F07B6B" w:rsidRPr="007344EA" w:rsidRDefault="00F07B6B" w:rsidP="003B23D4">
      <w:pPr>
        <w:spacing w:after="0" w:line="360" w:lineRule="auto"/>
        <w:ind w:left="5184" w:firstLine="1296"/>
        <w:rPr>
          <w:rFonts w:ascii="Times New Roman" w:hAnsi="Times New Roman" w:cs="Times New Roman"/>
          <w:sz w:val="24"/>
          <w:szCs w:val="24"/>
        </w:rPr>
      </w:pPr>
      <w:r>
        <w:rPr>
          <w:rFonts w:ascii="Times New Roman" w:hAnsi="Times New Roman" w:cs="Times New Roman"/>
          <w:sz w:val="24"/>
          <w:szCs w:val="24"/>
        </w:rPr>
        <w:t>Prof. dr. Ignas Vėgėlė</w:t>
      </w:r>
    </w:p>
    <w:p w:rsidR="000F6662" w:rsidRPr="007344EA" w:rsidRDefault="000F6662" w:rsidP="005A557C">
      <w:pPr>
        <w:spacing w:after="300" w:line="360" w:lineRule="auto"/>
        <w:jc w:val="both"/>
        <w:rPr>
          <w:rFonts w:ascii="Times New Roman" w:hAnsi="Times New Roman" w:cs="Times New Roman"/>
          <w:sz w:val="24"/>
          <w:szCs w:val="24"/>
        </w:rPr>
      </w:pPr>
    </w:p>
    <w:p w:rsidR="000F6662" w:rsidRPr="007344EA" w:rsidRDefault="000F6662" w:rsidP="003B23D4">
      <w:pPr>
        <w:pStyle w:val="TOCHeading"/>
        <w:spacing w:before="0" w:after="300" w:line="360" w:lineRule="auto"/>
        <w:jc w:val="center"/>
        <w:rPr>
          <w:rFonts w:ascii="Times New Roman" w:hAnsi="Times New Roman"/>
          <w:b w:val="0"/>
          <w:color w:val="auto"/>
          <w:sz w:val="24"/>
          <w:szCs w:val="24"/>
        </w:rPr>
      </w:pPr>
      <w:r w:rsidRPr="007344EA">
        <w:rPr>
          <w:rFonts w:ascii="Times New Roman" w:hAnsi="Times New Roman"/>
          <w:b w:val="0"/>
          <w:color w:val="auto"/>
          <w:sz w:val="24"/>
          <w:szCs w:val="24"/>
        </w:rPr>
        <w:t>Vilnius, 2012</w:t>
      </w:r>
    </w:p>
    <w:p w:rsidR="00196335" w:rsidRPr="007344EA" w:rsidRDefault="00196335" w:rsidP="000F6662">
      <w:pPr>
        <w:tabs>
          <w:tab w:val="left" w:pos="3043"/>
        </w:tabs>
        <w:rPr>
          <w:rFonts w:ascii="Times New Roman" w:hAnsi="Times New Roman" w:cs="Times New Roman"/>
          <w:sz w:val="24"/>
          <w:szCs w:val="24"/>
        </w:rPr>
      </w:pPr>
    </w:p>
    <w:p w:rsidR="005A557C" w:rsidRPr="007344EA" w:rsidRDefault="00196335" w:rsidP="00A27EDE">
      <w:pPr>
        <w:pStyle w:val="TOCHeading"/>
        <w:spacing w:before="0" w:after="300" w:line="360" w:lineRule="auto"/>
        <w:jc w:val="both"/>
        <w:rPr>
          <w:rFonts w:ascii="Times New Roman" w:hAnsi="Times New Roman"/>
          <w:b w:val="0"/>
          <w:sz w:val="24"/>
          <w:szCs w:val="24"/>
        </w:rPr>
      </w:pPr>
      <w:r w:rsidRPr="007344EA">
        <w:rPr>
          <w:rFonts w:ascii="Times New Roman" w:hAnsi="Times New Roman"/>
          <w:sz w:val="24"/>
          <w:szCs w:val="24"/>
        </w:rPr>
        <w:lastRenderedPageBreak/>
        <w:t xml:space="preserve">             </w:t>
      </w:r>
      <w:r w:rsidRPr="007344EA">
        <w:rPr>
          <w:rFonts w:ascii="Times New Roman" w:hAnsi="Times New Roman"/>
          <w:sz w:val="24"/>
          <w:szCs w:val="24"/>
        </w:rPr>
        <w:tab/>
      </w:r>
    </w:p>
    <w:p w:rsidR="00196335" w:rsidRPr="007344EA" w:rsidRDefault="00196335" w:rsidP="000F6662">
      <w:pPr>
        <w:rPr>
          <w:rFonts w:ascii="Times New Roman" w:hAnsi="Times New Roman" w:cs="Times New Roman"/>
          <w:b/>
          <w:sz w:val="24"/>
          <w:szCs w:val="24"/>
        </w:rPr>
      </w:pPr>
      <w:r w:rsidRPr="007344EA">
        <w:rPr>
          <w:rFonts w:ascii="Times New Roman" w:hAnsi="Times New Roman" w:cs="Times New Roman"/>
          <w:b/>
          <w:sz w:val="24"/>
          <w:szCs w:val="24"/>
        </w:rPr>
        <w:t>TURINYS</w:t>
      </w:r>
    </w:p>
    <w:p w:rsidR="008B0CC7" w:rsidRDefault="00442266">
      <w:pPr>
        <w:pStyle w:val="TOC1"/>
        <w:tabs>
          <w:tab w:val="right" w:leader="dot" w:pos="9344"/>
        </w:tabs>
        <w:rPr>
          <w:rFonts w:asciiTheme="minorHAnsi" w:eastAsiaTheme="minorEastAsia" w:hAnsiTheme="minorHAnsi" w:cstheme="minorBidi"/>
          <w:noProof/>
          <w:lang w:eastAsia="lt-LT"/>
        </w:rPr>
      </w:pPr>
      <w:r w:rsidRPr="00442266">
        <w:rPr>
          <w:rFonts w:ascii="Times New Roman" w:hAnsi="Times New Roman"/>
          <w:b/>
          <w:sz w:val="24"/>
          <w:szCs w:val="24"/>
        </w:rPr>
        <w:fldChar w:fldCharType="begin"/>
      </w:r>
      <w:r w:rsidR="000F6662" w:rsidRPr="007344EA">
        <w:rPr>
          <w:rFonts w:ascii="Times New Roman" w:hAnsi="Times New Roman"/>
          <w:b/>
          <w:sz w:val="24"/>
          <w:szCs w:val="24"/>
        </w:rPr>
        <w:instrText xml:space="preserve"> TOC \o "1-3" \h \z \u </w:instrText>
      </w:r>
      <w:r w:rsidRPr="00442266">
        <w:rPr>
          <w:rFonts w:ascii="Times New Roman" w:hAnsi="Times New Roman"/>
          <w:b/>
          <w:sz w:val="24"/>
          <w:szCs w:val="24"/>
        </w:rPr>
        <w:fldChar w:fldCharType="separate"/>
      </w:r>
      <w:hyperlink w:anchor="_Toc344337151" w:history="1">
        <w:r w:rsidR="008B0CC7" w:rsidRPr="00272D39">
          <w:rPr>
            <w:rStyle w:val="Hyperlink"/>
            <w:rFonts w:ascii="Times New Roman" w:hAnsi="Times New Roman"/>
            <w:noProof/>
          </w:rPr>
          <w:t>ĮVADAS</w:t>
        </w:r>
        <w:r w:rsidR="008B0CC7">
          <w:rPr>
            <w:noProof/>
            <w:webHidden/>
          </w:rPr>
          <w:tab/>
        </w:r>
        <w:r>
          <w:rPr>
            <w:noProof/>
            <w:webHidden/>
          </w:rPr>
          <w:fldChar w:fldCharType="begin"/>
        </w:r>
        <w:r w:rsidR="008B0CC7">
          <w:rPr>
            <w:noProof/>
            <w:webHidden/>
          </w:rPr>
          <w:instrText xml:space="preserve"> PAGEREF _Toc344337151 \h </w:instrText>
        </w:r>
        <w:r>
          <w:rPr>
            <w:noProof/>
            <w:webHidden/>
          </w:rPr>
        </w:r>
        <w:r>
          <w:rPr>
            <w:noProof/>
            <w:webHidden/>
          </w:rPr>
          <w:fldChar w:fldCharType="separate"/>
        </w:r>
        <w:r w:rsidR="008B0CC7">
          <w:rPr>
            <w:noProof/>
            <w:webHidden/>
          </w:rPr>
          <w:t>4</w:t>
        </w:r>
        <w:r>
          <w:rPr>
            <w:noProof/>
            <w:webHidden/>
          </w:rPr>
          <w:fldChar w:fldCharType="end"/>
        </w:r>
      </w:hyperlink>
    </w:p>
    <w:p w:rsidR="008B0CC7" w:rsidRDefault="00442266">
      <w:pPr>
        <w:pStyle w:val="TOC1"/>
        <w:tabs>
          <w:tab w:val="right" w:leader="dot" w:pos="9344"/>
        </w:tabs>
        <w:rPr>
          <w:rFonts w:asciiTheme="minorHAnsi" w:eastAsiaTheme="minorEastAsia" w:hAnsiTheme="minorHAnsi" w:cstheme="minorBidi"/>
          <w:noProof/>
          <w:lang w:eastAsia="lt-LT"/>
        </w:rPr>
      </w:pPr>
      <w:hyperlink w:anchor="_Toc344337152" w:history="1">
        <w:r w:rsidR="008B0CC7" w:rsidRPr="00272D39">
          <w:rPr>
            <w:rStyle w:val="Hyperlink"/>
            <w:rFonts w:ascii="Times New Roman" w:hAnsi="Times New Roman"/>
            <w:noProof/>
          </w:rPr>
          <w:t>1. DIREKTYVOS 93/13 REIKŠMĖ VARTOTOJŲ TEISIŲ APSAUGOS SISTEMOJE</w:t>
        </w:r>
        <w:r w:rsidR="008B0CC7">
          <w:rPr>
            <w:noProof/>
            <w:webHidden/>
          </w:rPr>
          <w:tab/>
        </w:r>
        <w:r>
          <w:rPr>
            <w:noProof/>
            <w:webHidden/>
          </w:rPr>
          <w:fldChar w:fldCharType="begin"/>
        </w:r>
        <w:r w:rsidR="008B0CC7">
          <w:rPr>
            <w:noProof/>
            <w:webHidden/>
          </w:rPr>
          <w:instrText xml:space="preserve"> PAGEREF _Toc344337152 \h </w:instrText>
        </w:r>
        <w:r>
          <w:rPr>
            <w:noProof/>
            <w:webHidden/>
          </w:rPr>
        </w:r>
        <w:r>
          <w:rPr>
            <w:noProof/>
            <w:webHidden/>
          </w:rPr>
          <w:fldChar w:fldCharType="separate"/>
        </w:r>
        <w:r w:rsidR="008B0CC7">
          <w:rPr>
            <w:noProof/>
            <w:webHidden/>
          </w:rPr>
          <w:t>13</w:t>
        </w:r>
        <w:r>
          <w:rPr>
            <w:noProof/>
            <w:webHidden/>
          </w:rPr>
          <w:fldChar w:fldCharType="end"/>
        </w:r>
      </w:hyperlink>
    </w:p>
    <w:p w:rsidR="008B0CC7" w:rsidRDefault="00442266">
      <w:pPr>
        <w:pStyle w:val="TOC1"/>
        <w:tabs>
          <w:tab w:val="right" w:leader="dot" w:pos="9344"/>
        </w:tabs>
        <w:rPr>
          <w:rFonts w:asciiTheme="minorHAnsi" w:eastAsiaTheme="minorEastAsia" w:hAnsiTheme="minorHAnsi" w:cstheme="minorBidi"/>
          <w:noProof/>
          <w:lang w:eastAsia="lt-LT"/>
        </w:rPr>
      </w:pPr>
      <w:hyperlink w:anchor="_Toc344337153" w:history="1">
        <w:r w:rsidR="008B0CC7" w:rsidRPr="00272D39">
          <w:rPr>
            <w:rStyle w:val="Hyperlink"/>
            <w:rFonts w:ascii="Times New Roman" w:hAnsi="Times New Roman"/>
            <w:noProof/>
          </w:rPr>
          <w:t>2. BYLŲ,  SUSIJUSIŲ SU DIREKTYVOS 93/13 AIŠKINIMU AR TAIKYMU, IŠKĖLIMO PRIEŽASTYS</w:t>
        </w:r>
        <w:r w:rsidR="008B0CC7">
          <w:rPr>
            <w:noProof/>
            <w:webHidden/>
          </w:rPr>
          <w:tab/>
        </w:r>
        <w:r>
          <w:rPr>
            <w:noProof/>
            <w:webHidden/>
          </w:rPr>
          <w:fldChar w:fldCharType="begin"/>
        </w:r>
        <w:r w:rsidR="008B0CC7">
          <w:rPr>
            <w:noProof/>
            <w:webHidden/>
          </w:rPr>
          <w:instrText xml:space="preserve"> PAGEREF _Toc344337153 \h </w:instrText>
        </w:r>
        <w:r>
          <w:rPr>
            <w:noProof/>
            <w:webHidden/>
          </w:rPr>
        </w:r>
        <w:r>
          <w:rPr>
            <w:noProof/>
            <w:webHidden/>
          </w:rPr>
          <w:fldChar w:fldCharType="separate"/>
        </w:r>
        <w:r w:rsidR="008B0CC7">
          <w:rPr>
            <w:noProof/>
            <w:webHidden/>
          </w:rPr>
          <w:t>19</w:t>
        </w:r>
        <w:r>
          <w:rPr>
            <w:noProof/>
            <w:webHidden/>
          </w:rPr>
          <w:fldChar w:fldCharType="end"/>
        </w:r>
      </w:hyperlink>
    </w:p>
    <w:p w:rsidR="008B0CC7" w:rsidRDefault="00442266">
      <w:pPr>
        <w:pStyle w:val="TOC2"/>
        <w:tabs>
          <w:tab w:val="right" w:leader="dot" w:pos="9344"/>
        </w:tabs>
        <w:rPr>
          <w:rFonts w:asciiTheme="minorHAnsi" w:eastAsiaTheme="minorEastAsia" w:hAnsiTheme="minorHAnsi" w:cstheme="minorBidi"/>
          <w:noProof/>
          <w:lang w:eastAsia="lt-LT"/>
        </w:rPr>
      </w:pPr>
      <w:hyperlink w:anchor="_Toc344337154" w:history="1">
        <w:r w:rsidR="008B0CC7" w:rsidRPr="00272D39">
          <w:rPr>
            <w:rStyle w:val="Hyperlink"/>
            <w:rFonts w:ascii="Times New Roman" w:hAnsi="Times New Roman"/>
            <w:noProof/>
          </w:rPr>
          <w:t>2.1. Problemos lėmusios nacionalinių teismų kreipimusis į Teisingumo Teismą su prašymu priimti prejudicinį sprendimą</w:t>
        </w:r>
        <w:r w:rsidR="008B0CC7">
          <w:rPr>
            <w:noProof/>
            <w:webHidden/>
          </w:rPr>
          <w:tab/>
        </w:r>
        <w:r>
          <w:rPr>
            <w:noProof/>
            <w:webHidden/>
          </w:rPr>
          <w:fldChar w:fldCharType="begin"/>
        </w:r>
        <w:r w:rsidR="008B0CC7">
          <w:rPr>
            <w:noProof/>
            <w:webHidden/>
          </w:rPr>
          <w:instrText xml:space="preserve"> PAGEREF _Toc344337154 \h </w:instrText>
        </w:r>
        <w:r>
          <w:rPr>
            <w:noProof/>
            <w:webHidden/>
          </w:rPr>
        </w:r>
        <w:r>
          <w:rPr>
            <w:noProof/>
            <w:webHidden/>
          </w:rPr>
          <w:fldChar w:fldCharType="separate"/>
        </w:r>
        <w:r w:rsidR="008B0CC7">
          <w:rPr>
            <w:noProof/>
            <w:webHidden/>
          </w:rPr>
          <w:t>20</w:t>
        </w:r>
        <w:r>
          <w:rPr>
            <w:noProof/>
            <w:webHidden/>
          </w:rPr>
          <w:fldChar w:fldCharType="end"/>
        </w:r>
      </w:hyperlink>
    </w:p>
    <w:p w:rsidR="008B0CC7" w:rsidRDefault="00442266">
      <w:pPr>
        <w:pStyle w:val="TOC3"/>
        <w:tabs>
          <w:tab w:val="right" w:leader="dot" w:pos="9344"/>
        </w:tabs>
        <w:rPr>
          <w:noProof/>
        </w:rPr>
      </w:pPr>
      <w:hyperlink w:anchor="_Toc344337155" w:history="1">
        <w:r w:rsidR="008B0CC7" w:rsidRPr="00272D39">
          <w:rPr>
            <w:rStyle w:val="Hyperlink"/>
            <w:rFonts w:ascii="Times New Roman" w:hAnsi="Times New Roman" w:cs="Times New Roman"/>
            <w:noProof/>
          </w:rPr>
          <w:t>2.1.1. Nacionalinio teismo galimybė</w:t>
        </w:r>
        <w:r w:rsidR="008B0CC7" w:rsidRPr="00272D39">
          <w:rPr>
            <w:rStyle w:val="Hyperlink"/>
            <w:rFonts w:ascii="Times New Roman" w:hAnsi="Times New Roman" w:cs="Times New Roman"/>
            <w:i/>
            <w:noProof/>
          </w:rPr>
          <w:t xml:space="preserve"> ex officio</w:t>
        </w:r>
        <w:r w:rsidR="008B0CC7" w:rsidRPr="00272D39">
          <w:rPr>
            <w:rStyle w:val="Hyperlink"/>
            <w:rFonts w:ascii="Times New Roman" w:hAnsi="Times New Roman" w:cs="Times New Roman"/>
            <w:noProof/>
          </w:rPr>
          <w:t xml:space="preserve"> nustatyti nesąžiningas sąlygas bei su tuo susijusios problemos.</w:t>
        </w:r>
        <w:r w:rsidR="008B0CC7">
          <w:rPr>
            <w:noProof/>
            <w:webHidden/>
          </w:rPr>
          <w:tab/>
        </w:r>
        <w:r>
          <w:rPr>
            <w:noProof/>
            <w:webHidden/>
          </w:rPr>
          <w:fldChar w:fldCharType="begin"/>
        </w:r>
        <w:r w:rsidR="008B0CC7">
          <w:rPr>
            <w:noProof/>
            <w:webHidden/>
          </w:rPr>
          <w:instrText xml:space="preserve"> PAGEREF _Toc344337155 \h </w:instrText>
        </w:r>
        <w:r>
          <w:rPr>
            <w:noProof/>
            <w:webHidden/>
          </w:rPr>
        </w:r>
        <w:r>
          <w:rPr>
            <w:noProof/>
            <w:webHidden/>
          </w:rPr>
          <w:fldChar w:fldCharType="separate"/>
        </w:r>
        <w:r w:rsidR="008B0CC7">
          <w:rPr>
            <w:noProof/>
            <w:webHidden/>
          </w:rPr>
          <w:t>22</w:t>
        </w:r>
        <w:r>
          <w:rPr>
            <w:noProof/>
            <w:webHidden/>
          </w:rPr>
          <w:fldChar w:fldCharType="end"/>
        </w:r>
      </w:hyperlink>
    </w:p>
    <w:p w:rsidR="008B0CC7" w:rsidRDefault="00442266">
      <w:pPr>
        <w:pStyle w:val="TOC3"/>
        <w:tabs>
          <w:tab w:val="right" w:leader="dot" w:pos="9344"/>
        </w:tabs>
        <w:rPr>
          <w:noProof/>
        </w:rPr>
      </w:pPr>
      <w:hyperlink w:anchor="_Toc344337156" w:history="1">
        <w:r w:rsidR="008B0CC7" w:rsidRPr="00272D39">
          <w:rPr>
            <w:rStyle w:val="Hyperlink"/>
            <w:rFonts w:ascii="Times New Roman" w:hAnsi="Times New Roman" w:cs="Times New Roman"/>
            <w:noProof/>
          </w:rPr>
          <w:t xml:space="preserve">2.1.2.  Bylos susijusios su Direktyvos 93/13 taikymo sritimi </w:t>
        </w:r>
        <w:r w:rsidR="008B0CC7" w:rsidRPr="00272D39">
          <w:rPr>
            <w:rStyle w:val="Hyperlink"/>
            <w:rFonts w:ascii="Times New Roman" w:hAnsi="Times New Roman" w:cs="Times New Roman"/>
            <w:i/>
            <w:noProof/>
          </w:rPr>
          <w:t>ratione personae</w:t>
        </w:r>
        <w:r w:rsidR="008B0CC7" w:rsidRPr="00272D39">
          <w:rPr>
            <w:rStyle w:val="Hyperlink"/>
            <w:rFonts w:ascii="Times New Roman" w:hAnsi="Times New Roman" w:cs="Times New Roman"/>
            <w:noProof/>
          </w:rPr>
          <w:t xml:space="preserve"> ir </w:t>
        </w:r>
        <w:r w:rsidR="008B0CC7" w:rsidRPr="00272D39">
          <w:rPr>
            <w:rStyle w:val="Hyperlink"/>
            <w:rFonts w:ascii="Times New Roman" w:hAnsi="Times New Roman" w:cs="Times New Roman"/>
            <w:i/>
            <w:noProof/>
          </w:rPr>
          <w:t>ratione materiae</w:t>
        </w:r>
        <w:r w:rsidR="008B0CC7" w:rsidRPr="00272D39">
          <w:rPr>
            <w:rStyle w:val="Hyperlink"/>
            <w:rFonts w:ascii="Times New Roman" w:hAnsi="Times New Roman" w:cs="Times New Roman"/>
            <w:noProof/>
          </w:rPr>
          <w:t xml:space="preserve"> atžvilgiu.</w:t>
        </w:r>
        <w:r w:rsidR="008B0CC7">
          <w:rPr>
            <w:noProof/>
            <w:webHidden/>
          </w:rPr>
          <w:tab/>
        </w:r>
        <w:r>
          <w:rPr>
            <w:noProof/>
            <w:webHidden/>
          </w:rPr>
          <w:fldChar w:fldCharType="begin"/>
        </w:r>
        <w:r w:rsidR="008B0CC7">
          <w:rPr>
            <w:noProof/>
            <w:webHidden/>
          </w:rPr>
          <w:instrText xml:space="preserve"> PAGEREF _Toc344337156 \h </w:instrText>
        </w:r>
        <w:r>
          <w:rPr>
            <w:noProof/>
            <w:webHidden/>
          </w:rPr>
        </w:r>
        <w:r>
          <w:rPr>
            <w:noProof/>
            <w:webHidden/>
          </w:rPr>
          <w:fldChar w:fldCharType="separate"/>
        </w:r>
        <w:r w:rsidR="008B0CC7">
          <w:rPr>
            <w:noProof/>
            <w:webHidden/>
          </w:rPr>
          <w:t>29</w:t>
        </w:r>
        <w:r>
          <w:rPr>
            <w:noProof/>
            <w:webHidden/>
          </w:rPr>
          <w:fldChar w:fldCharType="end"/>
        </w:r>
      </w:hyperlink>
    </w:p>
    <w:p w:rsidR="008B0CC7" w:rsidRDefault="00442266">
      <w:pPr>
        <w:pStyle w:val="TOC3"/>
        <w:tabs>
          <w:tab w:val="right" w:leader="dot" w:pos="9344"/>
        </w:tabs>
        <w:rPr>
          <w:noProof/>
        </w:rPr>
      </w:pPr>
      <w:hyperlink w:anchor="_Toc344337157" w:history="1">
        <w:r w:rsidR="008B0CC7" w:rsidRPr="00272D39">
          <w:rPr>
            <w:rStyle w:val="Hyperlink"/>
            <w:rFonts w:ascii="Times New Roman" w:hAnsi="Times New Roman" w:cs="Times New Roman"/>
            <w:noProof/>
          </w:rPr>
          <w:t>2.1.3. Kitokio pobūdžio klausimai susiję su Direktyvos 93/13 aiškinimu</w:t>
        </w:r>
        <w:r w:rsidR="008B0CC7">
          <w:rPr>
            <w:noProof/>
            <w:webHidden/>
          </w:rPr>
          <w:tab/>
        </w:r>
        <w:r>
          <w:rPr>
            <w:noProof/>
            <w:webHidden/>
          </w:rPr>
          <w:fldChar w:fldCharType="begin"/>
        </w:r>
        <w:r w:rsidR="008B0CC7">
          <w:rPr>
            <w:noProof/>
            <w:webHidden/>
          </w:rPr>
          <w:instrText xml:space="preserve"> PAGEREF _Toc344337157 \h </w:instrText>
        </w:r>
        <w:r>
          <w:rPr>
            <w:noProof/>
            <w:webHidden/>
          </w:rPr>
        </w:r>
        <w:r>
          <w:rPr>
            <w:noProof/>
            <w:webHidden/>
          </w:rPr>
          <w:fldChar w:fldCharType="separate"/>
        </w:r>
        <w:r w:rsidR="008B0CC7">
          <w:rPr>
            <w:noProof/>
            <w:webHidden/>
          </w:rPr>
          <w:t>30</w:t>
        </w:r>
        <w:r>
          <w:rPr>
            <w:noProof/>
            <w:webHidden/>
          </w:rPr>
          <w:fldChar w:fldCharType="end"/>
        </w:r>
      </w:hyperlink>
    </w:p>
    <w:p w:rsidR="008B0CC7" w:rsidRDefault="00442266">
      <w:pPr>
        <w:pStyle w:val="TOC2"/>
        <w:tabs>
          <w:tab w:val="right" w:leader="dot" w:pos="9344"/>
        </w:tabs>
        <w:rPr>
          <w:rFonts w:asciiTheme="minorHAnsi" w:eastAsiaTheme="minorEastAsia" w:hAnsiTheme="minorHAnsi" w:cstheme="minorBidi"/>
          <w:noProof/>
          <w:lang w:eastAsia="lt-LT"/>
        </w:rPr>
      </w:pPr>
      <w:hyperlink w:anchor="_Toc344337158" w:history="1">
        <w:r w:rsidR="008B0CC7" w:rsidRPr="00272D39">
          <w:rPr>
            <w:rStyle w:val="Hyperlink"/>
            <w:rFonts w:ascii="Times New Roman" w:hAnsi="Times New Roman"/>
            <w:noProof/>
          </w:rPr>
          <w:t>2.2. Bylų analizė valstybės narės įsipareigojimų nevykdymo procese</w:t>
        </w:r>
        <w:r w:rsidR="008B0CC7">
          <w:rPr>
            <w:noProof/>
            <w:webHidden/>
          </w:rPr>
          <w:tab/>
        </w:r>
        <w:r>
          <w:rPr>
            <w:noProof/>
            <w:webHidden/>
          </w:rPr>
          <w:fldChar w:fldCharType="begin"/>
        </w:r>
        <w:r w:rsidR="008B0CC7">
          <w:rPr>
            <w:noProof/>
            <w:webHidden/>
          </w:rPr>
          <w:instrText xml:space="preserve"> PAGEREF _Toc344337158 \h </w:instrText>
        </w:r>
        <w:r>
          <w:rPr>
            <w:noProof/>
            <w:webHidden/>
          </w:rPr>
        </w:r>
        <w:r>
          <w:rPr>
            <w:noProof/>
            <w:webHidden/>
          </w:rPr>
          <w:fldChar w:fldCharType="separate"/>
        </w:r>
        <w:r w:rsidR="008B0CC7">
          <w:rPr>
            <w:noProof/>
            <w:webHidden/>
          </w:rPr>
          <w:t>33</w:t>
        </w:r>
        <w:r>
          <w:rPr>
            <w:noProof/>
            <w:webHidden/>
          </w:rPr>
          <w:fldChar w:fldCharType="end"/>
        </w:r>
      </w:hyperlink>
    </w:p>
    <w:p w:rsidR="008B0CC7" w:rsidRDefault="00442266">
      <w:pPr>
        <w:pStyle w:val="TOC1"/>
        <w:tabs>
          <w:tab w:val="right" w:leader="dot" w:pos="9344"/>
        </w:tabs>
        <w:rPr>
          <w:rFonts w:asciiTheme="minorHAnsi" w:eastAsiaTheme="minorEastAsia" w:hAnsiTheme="minorHAnsi" w:cstheme="minorBidi"/>
          <w:noProof/>
          <w:lang w:eastAsia="lt-LT"/>
        </w:rPr>
      </w:pPr>
      <w:hyperlink w:anchor="_Toc344337159" w:history="1">
        <w:r w:rsidR="008B0CC7" w:rsidRPr="00272D39">
          <w:rPr>
            <w:rStyle w:val="Hyperlink"/>
            <w:rFonts w:ascii="Times New Roman" w:hAnsi="Times New Roman"/>
            <w:noProof/>
          </w:rPr>
          <w:t>3. TEISINGUMO TEISMO JURISPRUDENCIJOJE ATSKLEISTI TEISIŠKAI REIKŠMINGI DIREKTYVOS 93/13 AIŠKINIMO ASPEKTAI</w:t>
        </w:r>
        <w:r w:rsidR="008B0CC7">
          <w:rPr>
            <w:noProof/>
            <w:webHidden/>
          </w:rPr>
          <w:tab/>
        </w:r>
        <w:r>
          <w:rPr>
            <w:noProof/>
            <w:webHidden/>
          </w:rPr>
          <w:fldChar w:fldCharType="begin"/>
        </w:r>
        <w:r w:rsidR="008B0CC7">
          <w:rPr>
            <w:noProof/>
            <w:webHidden/>
          </w:rPr>
          <w:instrText xml:space="preserve"> PAGEREF _Toc344337159 \h </w:instrText>
        </w:r>
        <w:r>
          <w:rPr>
            <w:noProof/>
            <w:webHidden/>
          </w:rPr>
        </w:r>
        <w:r>
          <w:rPr>
            <w:noProof/>
            <w:webHidden/>
          </w:rPr>
          <w:fldChar w:fldCharType="separate"/>
        </w:r>
        <w:r w:rsidR="008B0CC7">
          <w:rPr>
            <w:noProof/>
            <w:webHidden/>
          </w:rPr>
          <w:t>36</w:t>
        </w:r>
        <w:r>
          <w:rPr>
            <w:noProof/>
            <w:webHidden/>
          </w:rPr>
          <w:fldChar w:fldCharType="end"/>
        </w:r>
      </w:hyperlink>
    </w:p>
    <w:p w:rsidR="008B0CC7" w:rsidRDefault="00442266">
      <w:pPr>
        <w:pStyle w:val="TOC2"/>
        <w:tabs>
          <w:tab w:val="right" w:leader="dot" w:pos="9344"/>
        </w:tabs>
        <w:rPr>
          <w:rFonts w:asciiTheme="minorHAnsi" w:eastAsiaTheme="minorEastAsia" w:hAnsiTheme="minorHAnsi" w:cstheme="minorBidi"/>
          <w:noProof/>
          <w:lang w:eastAsia="lt-LT"/>
        </w:rPr>
      </w:pPr>
      <w:hyperlink w:anchor="_Toc344337160" w:history="1">
        <w:r w:rsidR="008B0CC7" w:rsidRPr="00272D39">
          <w:rPr>
            <w:rStyle w:val="Hyperlink"/>
            <w:rFonts w:ascii="Times New Roman" w:hAnsi="Times New Roman"/>
            <w:noProof/>
          </w:rPr>
          <w:t>3.1. ES teisinio reguliavimo tikslai</w:t>
        </w:r>
        <w:r w:rsidR="008B0CC7">
          <w:rPr>
            <w:noProof/>
            <w:webHidden/>
          </w:rPr>
          <w:tab/>
        </w:r>
        <w:r>
          <w:rPr>
            <w:noProof/>
            <w:webHidden/>
          </w:rPr>
          <w:fldChar w:fldCharType="begin"/>
        </w:r>
        <w:r w:rsidR="008B0CC7">
          <w:rPr>
            <w:noProof/>
            <w:webHidden/>
          </w:rPr>
          <w:instrText xml:space="preserve"> PAGEREF _Toc344337160 \h </w:instrText>
        </w:r>
        <w:r>
          <w:rPr>
            <w:noProof/>
            <w:webHidden/>
          </w:rPr>
        </w:r>
        <w:r>
          <w:rPr>
            <w:noProof/>
            <w:webHidden/>
          </w:rPr>
          <w:fldChar w:fldCharType="separate"/>
        </w:r>
        <w:r w:rsidR="008B0CC7">
          <w:rPr>
            <w:noProof/>
            <w:webHidden/>
          </w:rPr>
          <w:t>36</w:t>
        </w:r>
        <w:r>
          <w:rPr>
            <w:noProof/>
            <w:webHidden/>
          </w:rPr>
          <w:fldChar w:fldCharType="end"/>
        </w:r>
      </w:hyperlink>
    </w:p>
    <w:p w:rsidR="008B0CC7" w:rsidRDefault="00442266">
      <w:pPr>
        <w:pStyle w:val="TOC3"/>
        <w:tabs>
          <w:tab w:val="right" w:leader="dot" w:pos="9344"/>
        </w:tabs>
        <w:rPr>
          <w:noProof/>
        </w:rPr>
      </w:pPr>
      <w:hyperlink w:anchor="_Toc344337161" w:history="1">
        <w:r w:rsidR="008B0CC7" w:rsidRPr="00272D39">
          <w:rPr>
            <w:rStyle w:val="Hyperlink"/>
            <w:rFonts w:ascii="Times New Roman" w:hAnsi="Times New Roman" w:cs="Times New Roman"/>
            <w:noProof/>
          </w:rPr>
          <w:t>3.1.1. Vartotojo apsauga</w:t>
        </w:r>
        <w:r w:rsidR="008B0CC7">
          <w:rPr>
            <w:noProof/>
            <w:webHidden/>
          </w:rPr>
          <w:tab/>
        </w:r>
        <w:r>
          <w:rPr>
            <w:noProof/>
            <w:webHidden/>
          </w:rPr>
          <w:fldChar w:fldCharType="begin"/>
        </w:r>
        <w:r w:rsidR="008B0CC7">
          <w:rPr>
            <w:noProof/>
            <w:webHidden/>
          </w:rPr>
          <w:instrText xml:space="preserve"> PAGEREF _Toc344337161 \h </w:instrText>
        </w:r>
        <w:r>
          <w:rPr>
            <w:noProof/>
            <w:webHidden/>
          </w:rPr>
        </w:r>
        <w:r>
          <w:rPr>
            <w:noProof/>
            <w:webHidden/>
          </w:rPr>
          <w:fldChar w:fldCharType="separate"/>
        </w:r>
        <w:r w:rsidR="008B0CC7">
          <w:rPr>
            <w:noProof/>
            <w:webHidden/>
          </w:rPr>
          <w:t>36</w:t>
        </w:r>
        <w:r>
          <w:rPr>
            <w:noProof/>
            <w:webHidden/>
          </w:rPr>
          <w:fldChar w:fldCharType="end"/>
        </w:r>
      </w:hyperlink>
    </w:p>
    <w:p w:rsidR="008B0CC7" w:rsidRDefault="00442266">
      <w:pPr>
        <w:pStyle w:val="TOC3"/>
        <w:tabs>
          <w:tab w:val="right" w:leader="dot" w:pos="9344"/>
        </w:tabs>
        <w:rPr>
          <w:noProof/>
        </w:rPr>
      </w:pPr>
      <w:hyperlink w:anchor="_Toc344337162" w:history="1">
        <w:r w:rsidR="008B0CC7" w:rsidRPr="00272D39">
          <w:rPr>
            <w:rStyle w:val="Hyperlink"/>
            <w:rFonts w:ascii="Times New Roman" w:hAnsi="Times New Roman" w:cs="Times New Roman"/>
            <w:noProof/>
          </w:rPr>
          <w:t>3.1.2. Vidaus rinkos sukūrimas</w:t>
        </w:r>
        <w:r w:rsidR="008B0CC7">
          <w:rPr>
            <w:noProof/>
            <w:webHidden/>
          </w:rPr>
          <w:tab/>
        </w:r>
        <w:r>
          <w:rPr>
            <w:noProof/>
            <w:webHidden/>
          </w:rPr>
          <w:fldChar w:fldCharType="begin"/>
        </w:r>
        <w:r w:rsidR="008B0CC7">
          <w:rPr>
            <w:noProof/>
            <w:webHidden/>
          </w:rPr>
          <w:instrText xml:space="preserve"> PAGEREF _Toc344337162 \h </w:instrText>
        </w:r>
        <w:r>
          <w:rPr>
            <w:noProof/>
            <w:webHidden/>
          </w:rPr>
        </w:r>
        <w:r>
          <w:rPr>
            <w:noProof/>
            <w:webHidden/>
          </w:rPr>
          <w:fldChar w:fldCharType="separate"/>
        </w:r>
        <w:r w:rsidR="008B0CC7">
          <w:rPr>
            <w:noProof/>
            <w:webHidden/>
          </w:rPr>
          <w:t>39</w:t>
        </w:r>
        <w:r>
          <w:rPr>
            <w:noProof/>
            <w:webHidden/>
          </w:rPr>
          <w:fldChar w:fldCharType="end"/>
        </w:r>
      </w:hyperlink>
    </w:p>
    <w:p w:rsidR="008B0CC7" w:rsidRDefault="00442266">
      <w:pPr>
        <w:pStyle w:val="TOC3"/>
        <w:tabs>
          <w:tab w:val="right" w:leader="dot" w:pos="9344"/>
        </w:tabs>
        <w:rPr>
          <w:noProof/>
        </w:rPr>
      </w:pPr>
      <w:hyperlink w:anchor="_Toc344337163" w:history="1">
        <w:r w:rsidR="008B0CC7" w:rsidRPr="00272D39">
          <w:rPr>
            <w:rStyle w:val="Hyperlink"/>
            <w:rFonts w:ascii="Times New Roman" w:hAnsi="Times New Roman" w:cs="Times New Roman"/>
            <w:noProof/>
          </w:rPr>
          <w:t>3.1.3 Sąžiningo verslininko apsauga</w:t>
        </w:r>
        <w:r w:rsidR="008B0CC7">
          <w:rPr>
            <w:noProof/>
            <w:webHidden/>
          </w:rPr>
          <w:tab/>
        </w:r>
        <w:r>
          <w:rPr>
            <w:noProof/>
            <w:webHidden/>
          </w:rPr>
          <w:fldChar w:fldCharType="begin"/>
        </w:r>
        <w:r w:rsidR="008B0CC7">
          <w:rPr>
            <w:noProof/>
            <w:webHidden/>
          </w:rPr>
          <w:instrText xml:space="preserve"> PAGEREF _Toc344337163 \h </w:instrText>
        </w:r>
        <w:r>
          <w:rPr>
            <w:noProof/>
            <w:webHidden/>
          </w:rPr>
        </w:r>
        <w:r>
          <w:rPr>
            <w:noProof/>
            <w:webHidden/>
          </w:rPr>
          <w:fldChar w:fldCharType="separate"/>
        </w:r>
        <w:r w:rsidR="008B0CC7">
          <w:rPr>
            <w:noProof/>
            <w:webHidden/>
          </w:rPr>
          <w:t>40</w:t>
        </w:r>
        <w:r>
          <w:rPr>
            <w:noProof/>
            <w:webHidden/>
          </w:rPr>
          <w:fldChar w:fldCharType="end"/>
        </w:r>
      </w:hyperlink>
    </w:p>
    <w:p w:rsidR="008B0CC7" w:rsidRDefault="00442266">
      <w:pPr>
        <w:pStyle w:val="TOC2"/>
        <w:tabs>
          <w:tab w:val="right" w:leader="dot" w:pos="9344"/>
        </w:tabs>
        <w:rPr>
          <w:rFonts w:asciiTheme="minorHAnsi" w:eastAsiaTheme="minorEastAsia" w:hAnsiTheme="minorHAnsi" w:cstheme="minorBidi"/>
          <w:noProof/>
          <w:lang w:eastAsia="lt-LT"/>
        </w:rPr>
      </w:pPr>
      <w:hyperlink w:anchor="_Toc344337164" w:history="1">
        <w:r w:rsidR="008B0CC7" w:rsidRPr="00272D39">
          <w:rPr>
            <w:rStyle w:val="Hyperlink"/>
            <w:rFonts w:ascii="Times New Roman" w:hAnsi="Times New Roman"/>
            <w:noProof/>
          </w:rPr>
          <w:t>3.2. Direktyvos 93/13 taikymo sritis</w:t>
        </w:r>
        <w:r w:rsidR="008B0CC7">
          <w:rPr>
            <w:noProof/>
            <w:webHidden/>
          </w:rPr>
          <w:tab/>
        </w:r>
        <w:r>
          <w:rPr>
            <w:noProof/>
            <w:webHidden/>
          </w:rPr>
          <w:fldChar w:fldCharType="begin"/>
        </w:r>
        <w:r w:rsidR="008B0CC7">
          <w:rPr>
            <w:noProof/>
            <w:webHidden/>
          </w:rPr>
          <w:instrText xml:space="preserve"> PAGEREF _Toc344337164 \h </w:instrText>
        </w:r>
        <w:r>
          <w:rPr>
            <w:noProof/>
            <w:webHidden/>
          </w:rPr>
        </w:r>
        <w:r>
          <w:rPr>
            <w:noProof/>
            <w:webHidden/>
          </w:rPr>
          <w:fldChar w:fldCharType="separate"/>
        </w:r>
        <w:r w:rsidR="008B0CC7">
          <w:rPr>
            <w:noProof/>
            <w:webHidden/>
          </w:rPr>
          <w:t>43</w:t>
        </w:r>
        <w:r>
          <w:rPr>
            <w:noProof/>
            <w:webHidden/>
          </w:rPr>
          <w:fldChar w:fldCharType="end"/>
        </w:r>
      </w:hyperlink>
    </w:p>
    <w:p w:rsidR="008B0CC7" w:rsidRDefault="00442266">
      <w:pPr>
        <w:pStyle w:val="TOC3"/>
        <w:tabs>
          <w:tab w:val="right" w:leader="dot" w:pos="9344"/>
        </w:tabs>
        <w:rPr>
          <w:noProof/>
        </w:rPr>
      </w:pPr>
      <w:hyperlink w:anchor="_Toc344337165" w:history="1">
        <w:r w:rsidR="008B0CC7" w:rsidRPr="00272D39">
          <w:rPr>
            <w:rStyle w:val="Hyperlink"/>
            <w:rFonts w:ascii="Times New Roman" w:hAnsi="Times New Roman" w:cs="Times New Roman"/>
            <w:noProof/>
          </w:rPr>
          <w:t>3.2.1. Ratione personae</w:t>
        </w:r>
        <w:r w:rsidR="008B0CC7">
          <w:rPr>
            <w:noProof/>
            <w:webHidden/>
          </w:rPr>
          <w:tab/>
        </w:r>
        <w:r>
          <w:rPr>
            <w:noProof/>
            <w:webHidden/>
          </w:rPr>
          <w:fldChar w:fldCharType="begin"/>
        </w:r>
        <w:r w:rsidR="008B0CC7">
          <w:rPr>
            <w:noProof/>
            <w:webHidden/>
          </w:rPr>
          <w:instrText xml:space="preserve"> PAGEREF _Toc344337165 \h </w:instrText>
        </w:r>
        <w:r>
          <w:rPr>
            <w:noProof/>
            <w:webHidden/>
          </w:rPr>
        </w:r>
        <w:r>
          <w:rPr>
            <w:noProof/>
            <w:webHidden/>
          </w:rPr>
          <w:fldChar w:fldCharType="separate"/>
        </w:r>
        <w:r w:rsidR="008B0CC7">
          <w:rPr>
            <w:noProof/>
            <w:webHidden/>
          </w:rPr>
          <w:t>43</w:t>
        </w:r>
        <w:r>
          <w:rPr>
            <w:noProof/>
            <w:webHidden/>
          </w:rPr>
          <w:fldChar w:fldCharType="end"/>
        </w:r>
      </w:hyperlink>
    </w:p>
    <w:p w:rsidR="008B0CC7" w:rsidRDefault="00442266">
      <w:pPr>
        <w:pStyle w:val="TOC3"/>
        <w:tabs>
          <w:tab w:val="right" w:leader="dot" w:pos="9344"/>
        </w:tabs>
        <w:rPr>
          <w:noProof/>
        </w:rPr>
      </w:pPr>
      <w:hyperlink w:anchor="_Toc344337166" w:history="1">
        <w:r w:rsidR="008B0CC7" w:rsidRPr="00272D39">
          <w:rPr>
            <w:rStyle w:val="Hyperlink"/>
            <w:rFonts w:ascii="Times New Roman" w:hAnsi="Times New Roman" w:cs="Times New Roman"/>
            <w:noProof/>
          </w:rPr>
          <w:t>3.2.2. Ratione materiae</w:t>
        </w:r>
        <w:r w:rsidR="008B0CC7">
          <w:rPr>
            <w:noProof/>
            <w:webHidden/>
          </w:rPr>
          <w:tab/>
        </w:r>
        <w:r>
          <w:rPr>
            <w:noProof/>
            <w:webHidden/>
          </w:rPr>
          <w:fldChar w:fldCharType="begin"/>
        </w:r>
        <w:r w:rsidR="008B0CC7">
          <w:rPr>
            <w:noProof/>
            <w:webHidden/>
          </w:rPr>
          <w:instrText xml:space="preserve"> PAGEREF _Toc344337166 \h </w:instrText>
        </w:r>
        <w:r>
          <w:rPr>
            <w:noProof/>
            <w:webHidden/>
          </w:rPr>
        </w:r>
        <w:r>
          <w:rPr>
            <w:noProof/>
            <w:webHidden/>
          </w:rPr>
          <w:fldChar w:fldCharType="separate"/>
        </w:r>
        <w:r w:rsidR="008B0CC7">
          <w:rPr>
            <w:noProof/>
            <w:webHidden/>
          </w:rPr>
          <w:t>48</w:t>
        </w:r>
        <w:r>
          <w:rPr>
            <w:noProof/>
            <w:webHidden/>
          </w:rPr>
          <w:fldChar w:fldCharType="end"/>
        </w:r>
      </w:hyperlink>
    </w:p>
    <w:p w:rsidR="008B0CC7" w:rsidRDefault="00442266">
      <w:pPr>
        <w:pStyle w:val="TOC2"/>
        <w:tabs>
          <w:tab w:val="right" w:leader="dot" w:pos="9344"/>
        </w:tabs>
        <w:rPr>
          <w:rFonts w:asciiTheme="minorHAnsi" w:eastAsiaTheme="minorEastAsia" w:hAnsiTheme="minorHAnsi" w:cstheme="minorBidi"/>
          <w:noProof/>
          <w:lang w:eastAsia="lt-LT"/>
        </w:rPr>
      </w:pPr>
      <w:hyperlink w:anchor="_Toc344337167" w:history="1">
        <w:r w:rsidR="008B0CC7" w:rsidRPr="00272D39">
          <w:rPr>
            <w:rStyle w:val="Hyperlink"/>
            <w:rFonts w:ascii="Times New Roman" w:hAnsi="Times New Roman"/>
            <w:noProof/>
          </w:rPr>
          <w:t>3.3. Valstybėms narėms tenkančios pareigos</w:t>
        </w:r>
        <w:r w:rsidR="008B0CC7">
          <w:rPr>
            <w:noProof/>
            <w:webHidden/>
          </w:rPr>
          <w:tab/>
        </w:r>
        <w:r>
          <w:rPr>
            <w:noProof/>
            <w:webHidden/>
          </w:rPr>
          <w:fldChar w:fldCharType="begin"/>
        </w:r>
        <w:r w:rsidR="008B0CC7">
          <w:rPr>
            <w:noProof/>
            <w:webHidden/>
          </w:rPr>
          <w:instrText xml:space="preserve"> PAGEREF _Toc344337167 \h </w:instrText>
        </w:r>
        <w:r>
          <w:rPr>
            <w:noProof/>
            <w:webHidden/>
          </w:rPr>
        </w:r>
        <w:r>
          <w:rPr>
            <w:noProof/>
            <w:webHidden/>
          </w:rPr>
          <w:fldChar w:fldCharType="separate"/>
        </w:r>
        <w:r w:rsidR="008B0CC7">
          <w:rPr>
            <w:noProof/>
            <w:webHidden/>
          </w:rPr>
          <w:t>61</w:t>
        </w:r>
        <w:r>
          <w:rPr>
            <w:noProof/>
            <w:webHidden/>
          </w:rPr>
          <w:fldChar w:fldCharType="end"/>
        </w:r>
      </w:hyperlink>
    </w:p>
    <w:p w:rsidR="008B0CC7" w:rsidRDefault="00442266">
      <w:pPr>
        <w:pStyle w:val="TOC3"/>
        <w:tabs>
          <w:tab w:val="right" w:leader="dot" w:pos="9344"/>
        </w:tabs>
        <w:rPr>
          <w:noProof/>
        </w:rPr>
      </w:pPr>
      <w:hyperlink w:anchor="_Toc344337168" w:history="1">
        <w:r w:rsidR="008B0CC7" w:rsidRPr="00272D39">
          <w:rPr>
            <w:rStyle w:val="Hyperlink"/>
            <w:rFonts w:ascii="Times New Roman" w:hAnsi="Times New Roman" w:cs="Times New Roman"/>
            <w:noProof/>
            <w:lang w:val="en-US"/>
          </w:rPr>
          <w:t>3.3.</w:t>
        </w:r>
        <w:r w:rsidR="008B0CC7" w:rsidRPr="00272D39">
          <w:rPr>
            <w:rStyle w:val="Hyperlink"/>
            <w:rFonts w:ascii="Times New Roman" w:hAnsi="Times New Roman" w:cs="Times New Roman"/>
            <w:noProof/>
          </w:rPr>
          <w:t xml:space="preserve">1.  </w:t>
        </w:r>
        <w:r w:rsidR="008B0CC7" w:rsidRPr="00272D39">
          <w:rPr>
            <w:rStyle w:val="Hyperlink"/>
            <w:rFonts w:ascii="Times New Roman" w:hAnsi="Times New Roman" w:cs="Times New Roman"/>
            <w:i/>
            <w:noProof/>
          </w:rPr>
          <w:t>Ex officio</w:t>
        </w:r>
        <w:r w:rsidR="008B0CC7">
          <w:rPr>
            <w:noProof/>
            <w:webHidden/>
          </w:rPr>
          <w:tab/>
        </w:r>
        <w:r>
          <w:rPr>
            <w:noProof/>
            <w:webHidden/>
          </w:rPr>
          <w:fldChar w:fldCharType="begin"/>
        </w:r>
        <w:r w:rsidR="008B0CC7">
          <w:rPr>
            <w:noProof/>
            <w:webHidden/>
          </w:rPr>
          <w:instrText xml:space="preserve"> PAGEREF _Toc344337168 \h </w:instrText>
        </w:r>
        <w:r>
          <w:rPr>
            <w:noProof/>
            <w:webHidden/>
          </w:rPr>
        </w:r>
        <w:r>
          <w:rPr>
            <w:noProof/>
            <w:webHidden/>
          </w:rPr>
          <w:fldChar w:fldCharType="separate"/>
        </w:r>
        <w:r w:rsidR="008B0CC7">
          <w:rPr>
            <w:noProof/>
            <w:webHidden/>
          </w:rPr>
          <w:t>62</w:t>
        </w:r>
        <w:r>
          <w:rPr>
            <w:noProof/>
            <w:webHidden/>
          </w:rPr>
          <w:fldChar w:fldCharType="end"/>
        </w:r>
      </w:hyperlink>
    </w:p>
    <w:p w:rsidR="008B0CC7" w:rsidRDefault="00442266">
      <w:pPr>
        <w:pStyle w:val="TOC3"/>
        <w:tabs>
          <w:tab w:val="right" w:leader="dot" w:pos="9344"/>
        </w:tabs>
        <w:rPr>
          <w:noProof/>
        </w:rPr>
      </w:pPr>
      <w:hyperlink w:anchor="_Toc344337169" w:history="1">
        <w:r w:rsidR="008B0CC7" w:rsidRPr="00272D39">
          <w:rPr>
            <w:rStyle w:val="Hyperlink"/>
            <w:rFonts w:ascii="Times New Roman" w:hAnsi="Times New Roman" w:cs="Times New Roman"/>
            <w:noProof/>
          </w:rPr>
          <w:t>3.3.2. Pareigos kylančios iš valstybių narių įsipareigojimų nevykdymo procese priimtų bylų</w:t>
        </w:r>
        <w:r w:rsidR="008B0CC7">
          <w:rPr>
            <w:noProof/>
            <w:webHidden/>
          </w:rPr>
          <w:tab/>
        </w:r>
        <w:r>
          <w:rPr>
            <w:noProof/>
            <w:webHidden/>
          </w:rPr>
          <w:fldChar w:fldCharType="begin"/>
        </w:r>
        <w:r w:rsidR="008B0CC7">
          <w:rPr>
            <w:noProof/>
            <w:webHidden/>
          </w:rPr>
          <w:instrText xml:space="preserve"> PAGEREF _Toc344337169 \h </w:instrText>
        </w:r>
        <w:r>
          <w:rPr>
            <w:noProof/>
            <w:webHidden/>
          </w:rPr>
        </w:r>
        <w:r>
          <w:rPr>
            <w:noProof/>
            <w:webHidden/>
          </w:rPr>
          <w:fldChar w:fldCharType="separate"/>
        </w:r>
        <w:r w:rsidR="008B0CC7">
          <w:rPr>
            <w:noProof/>
            <w:webHidden/>
          </w:rPr>
          <w:t>73</w:t>
        </w:r>
        <w:r>
          <w:rPr>
            <w:noProof/>
            <w:webHidden/>
          </w:rPr>
          <w:fldChar w:fldCharType="end"/>
        </w:r>
      </w:hyperlink>
    </w:p>
    <w:p w:rsidR="008B0CC7" w:rsidRDefault="00442266">
      <w:pPr>
        <w:pStyle w:val="TOC1"/>
        <w:tabs>
          <w:tab w:val="right" w:leader="dot" w:pos="9344"/>
        </w:tabs>
        <w:rPr>
          <w:rFonts w:asciiTheme="minorHAnsi" w:eastAsiaTheme="minorEastAsia" w:hAnsiTheme="minorHAnsi" w:cstheme="minorBidi"/>
          <w:noProof/>
          <w:lang w:eastAsia="lt-LT"/>
        </w:rPr>
      </w:pPr>
      <w:hyperlink w:anchor="_Toc344337170" w:history="1">
        <w:r w:rsidR="008B0CC7" w:rsidRPr="00272D39">
          <w:rPr>
            <w:rStyle w:val="Hyperlink"/>
            <w:rFonts w:ascii="Times New Roman" w:hAnsi="Times New Roman"/>
            <w:noProof/>
          </w:rPr>
          <w:t>Išvados, pasiūlymai</w:t>
        </w:r>
        <w:r w:rsidR="008B0CC7">
          <w:rPr>
            <w:noProof/>
            <w:webHidden/>
          </w:rPr>
          <w:tab/>
        </w:r>
        <w:r>
          <w:rPr>
            <w:noProof/>
            <w:webHidden/>
          </w:rPr>
          <w:fldChar w:fldCharType="begin"/>
        </w:r>
        <w:r w:rsidR="008B0CC7">
          <w:rPr>
            <w:noProof/>
            <w:webHidden/>
          </w:rPr>
          <w:instrText xml:space="preserve"> PAGEREF _Toc344337170 \h </w:instrText>
        </w:r>
        <w:r>
          <w:rPr>
            <w:noProof/>
            <w:webHidden/>
          </w:rPr>
        </w:r>
        <w:r>
          <w:rPr>
            <w:noProof/>
            <w:webHidden/>
          </w:rPr>
          <w:fldChar w:fldCharType="separate"/>
        </w:r>
        <w:r w:rsidR="008B0CC7">
          <w:rPr>
            <w:noProof/>
            <w:webHidden/>
          </w:rPr>
          <w:t>79</w:t>
        </w:r>
        <w:r>
          <w:rPr>
            <w:noProof/>
            <w:webHidden/>
          </w:rPr>
          <w:fldChar w:fldCharType="end"/>
        </w:r>
      </w:hyperlink>
    </w:p>
    <w:p w:rsidR="008B0CC7" w:rsidRDefault="00442266">
      <w:pPr>
        <w:pStyle w:val="TOC1"/>
        <w:tabs>
          <w:tab w:val="right" w:leader="dot" w:pos="9344"/>
        </w:tabs>
        <w:rPr>
          <w:rFonts w:asciiTheme="minorHAnsi" w:eastAsiaTheme="minorEastAsia" w:hAnsiTheme="minorHAnsi" w:cstheme="minorBidi"/>
          <w:noProof/>
          <w:lang w:eastAsia="lt-LT"/>
        </w:rPr>
      </w:pPr>
      <w:hyperlink w:anchor="_Toc344337171" w:history="1">
        <w:r w:rsidR="008B0CC7" w:rsidRPr="00272D39">
          <w:rPr>
            <w:rStyle w:val="Hyperlink"/>
            <w:rFonts w:ascii="Times New Roman" w:hAnsi="Times New Roman"/>
            <w:noProof/>
          </w:rPr>
          <w:t>Literatūros sąrašas</w:t>
        </w:r>
        <w:r w:rsidR="008B0CC7">
          <w:rPr>
            <w:noProof/>
            <w:webHidden/>
          </w:rPr>
          <w:tab/>
        </w:r>
        <w:r>
          <w:rPr>
            <w:noProof/>
            <w:webHidden/>
          </w:rPr>
          <w:fldChar w:fldCharType="begin"/>
        </w:r>
        <w:r w:rsidR="008B0CC7">
          <w:rPr>
            <w:noProof/>
            <w:webHidden/>
          </w:rPr>
          <w:instrText xml:space="preserve"> PAGEREF _Toc344337171 \h </w:instrText>
        </w:r>
        <w:r>
          <w:rPr>
            <w:noProof/>
            <w:webHidden/>
          </w:rPr>
        </w:r>
        <w:r>
          <w:rPr>
            <w:noProof/>
            <w:webHidden/>
          </w:rPr>
          <w:fldChar w:fldCharType="separate"/>
        </w:r>
        <w:r w:rsidR="008B0CC7">
          <w:rPr>
            <w:noProof/>
            <w:webHidden/>
          </w:rPr>
          <w:t>82</w:t>
        </w:r>
        <w:r>
          <w:rPr>
            <w:noProof/>
            <w:webHidden/>
          </w:rPr>
          <w:fldChar w:fldCharType="end"/>
        </w:r>
      </w:hyperlink>
    </w:p>
    <w:p w:rsidR="008B0CC7" w:rsidRDefault="00442266">
      <w:pPr>
        <w:pStyle w:val="TOC1"/>
        <w:tabs>
          <w:tab w:val="right" w:leader="dot" w:pos="9344"/>
        </w:tabs>
        <w:rPr>
          <w:rFonts w:asciiTheme="minorHAnsi" w:eastAsiaTheme="minorEastAsia" w:hAnsiTheme="minorHAnsi" w:cstheme="minorBidi"/>
          <w:noProof/>
          <w:lang w:eastAsia="lt-LT"/>
        </w:rPr>
      </w:pPr>
      <w:hyperlink w:anchor="_Toc344337172" w:history="1">
        <w:r w:rsidR="008B0CC7" w:rsidRPr="00272D39">
          <w:rPr>
            <w:rStyle w:val="Hyperlink"/>
            <w:rFonts w:ascii="Times New Roman" w:hAnsi="Times New Roman"/>
            <w:noProof/>
          </w:rPr>
          <w:t>Santrauka</w:t>
        </w:r>
        <w:r w:rsidR="008B0CC7">
          <w:rPr>
            <w:noProof/>
            <w:webHidden/>
          </w:rPr>
          <w:tab/>
        </w:r>
        <w:r>
          <w:rPr>
            <w:noProof/>
            <w:webHidden/>
          </w:rPr>
          <w:fldChar w:fldCharType="begin"/>
        </w:r>
        <w:r w:rsidR="008B0CC7">
          <w:rPr>
            <w:noProof/>
            <w:webHidden/>
          </w:rPr>
          <w:instrText xml:space="preserve"> PAGEREF _Toc344337172 \h </w:instrText>
        </w:r>
        <w:r>
          <w:rPr>
            <w:noProof/>
            <w:webHidden/>
          </w:rPr>
        </w:r>
        <w:r>
          <w:rPr>
            <w:noProof/>
            <w:webHidden/>
          </w:rPr>
          <w:fldChar w:fldCharType="separate"/>
        </w:r>
        <w:r w:rsidR="008B0CC7">
          <w:rPr>
            <w:noProof/>
            <w:webHidden/>
          </w:rPr>
          <w:t>88</w:t>
        </w:r>
        <w:r>
          <w:rPr>
            <w:noProof/>
            <w:webHidden/>
          </w:rPr>
          <w:fldChar w:fldCharType="end"/>
        </w:r>
      </w:hyperlink>
    </w:p>
    <w:p w:rsidR="008B0CC7" w:rsidRDefault="00442266">
      <w:pPr>
        <w:pStyle w:val="TOC1"/>
        <w:tabs>
          <w:tab w:val="right" w:leader="dot" w:pos="9344"/>
        </w:tabs>
        <w:rPr>
          <w:rFonts w:asciiTheme="minorHAnsi" w:eastAsiaTheme="minorEastAsia" w:hAnsiTheme="minorHAnsi" w:cstheme="minorBidi"/>
          <w:noProof/>
          <w:lang w:eastAsia="lt-LT"/>
        </w:rPr>
      </w:pPr>
      <w:hyperlink w:anchor="_Toc344337173" w:history="1">
        <w:r w:rsidR="008B0CC7" w:rsidRPr="00272D39">
          <w:rPr>
            <w:rStyle w:val="Hyperlink"/>
            <w:rFonts w:ascii="Times New Roman" w:hAnsi="Times New Roman"/>
            <w:noProof/>
          </w:rPr>
          <w:t>Summary</w:t>
        </w:r>
        <w:r w:rsidR="008B0CC7">
          <w:rPr>
            <w:noProof/>
            <w:webHidden/>
          </w:rPr>
          <w:tab/>
        </w:r>
        <w:r>
          <w:rPr>
            <w:noProof/>
            <w:webHidden/>
          </w:rPr>
          <w:fldChar w:fldCharType="begin"/>
        </w:r>
        <w:r w:rsidR="008B0CC7">
          <w:rPr>
            <w:noProof/>
            <w:webHidden/>
          </w:rPr>
          <w:instrText xml:space="preserve"> PAGEREF _Toc344337173 \h </w:instrText>
        </w:r>
        <w:r>
          <w:rPr>
            <w:noProof/>
            <w:webHidden/>
          </w:rPr>
        </w:r>
        <w:r>
          <w:rPr>
            <w:noProof/>
            <w:webHidden/>
          </w:rPr>
          <w:fldChar w:fldCharType="separate"/>
        </w:r>
        <w:r w:rsidR="008B0CC7">
          <w:rPr>
            <w:noProof/>
            <w:webHidden/>
          </w:rPr>
          <w:t>89</w:t>
        </w:r>
        <w:r>
          <w:rPr>
            <w:noProof/>
            <w:webHidden/>
          </w:rPr>
          <w:fldChar w:fldCharType="end"/>
        </w:r>
      </w:hyperlink>
    </w:p>
    <w:p w:rsidR="00E81A27" w:rsidRPr="007344EA" w:rsidRDefault="00442266" w:rsidP="000F6662">
      <w:pPr>
        <w:rPr>
          <w:rFonts w:ascii="Times New Roman" w:hAnsi="Times New Roman" w:cs="Times New Roman"/>
          <w:b/>
          <w:sz w:val="24"/>
          <w:szCs w:val="24"/>
        </w:rPr>
      </w:pPr>
      <w:r w:rsidRPr="007344EA">
        <w:rPr>
          <w:rFonts w:ascii="Times New Roman" w:hAnsi="Times New Roman" w:cs="Times New Roman"/>
          <w:b/>
          <w:sz w:val="24"/>
          <w:szCs w:val="24"/>
        </w:rPr>
        <w:fldChar w:fldCharType="end"/>
      </w:r>
    </w:p>
    <w:p w:rsidR="001B44C4" w:rsidRPr="007344EA" w:rsidRDefault="001B44C4" w:rsidP="006E00E1">
      <w:pPr>
        <w:spacing w:after="0" w:line="360" w:lineRule="auto"/>
        <w:rPr>
          <w:rFonts w:ascii="Times New Roman" w:hAnsi="Times New Roman" w:cs="Times New Roman"/>
          <w:b/>
          <w:sz w:val="24"/>
          <w:szCs w:val="24"/>
        </w:rPr>
      </w:pPr>
    </w:p>
    <w:p w:rsidR="000F6662" w:rsidRPr="007344EA" w:rsidRDefault="000F6662">
      <w:pPr>
        <w:rPr>
          <w:rFonts w:ascii="Times New Roman" w:hAnsi="Times New Roman" w:cs="Times New Roman"/>
          <w:b/>
          <w:sz w:val="24"/>
          <w:szCs w:val="24"/>
        </w:rPr>
      </w:pPr>
      <w:r w:rsidRPr="007344EA">
        <w:rPr>
          <w:rFonts w:ascii="Times New Roman" w:hAnsi="Times New Roman" w:cs="Times New Roman"/>
          <w:b/>
          <w:sz w:val="24"/>
          <w:szCs w:val="24"/>
        </w:rPr>
        <w:br w:type="page"/>
      </w:r>
    </w:p>
    <w:p w:rsidR="00C353E8" w:rsidRPr="007344EA" w:rsidRDefault="00C353E8" w:rsidP="006E00E1">
      <w:pPr>
        <w:spacing w:after="0" w:line="360" w:lineRule="auto"/>
        <w:rPr>
          <w:rFonts w:ascii="Times New Roman" w:hAnsi="Times New Roman" w:cs="Times New Roman"/>
          <w:b/>
          <w:sz w:val="24"/>
          <w:szCs w:val="24"/>
        </w:rPr>
      </w:pPr>
      <w:r w:rsidRPr="007344EA">
        <w:rPr>
          <w:rFonts w:ascii="Times New Roman" w:hAnsi="Times New Roman" w:cs="Times New Roman"/>
          <w:b/>
          <w:sz w:val="24"/>
          <w:szCs w:val="24"/>
        </w:rPr>
        <w:lastRenderedPageBreak/>
        <w:t>Santrumpos</w:t>
      </w:r>
      <w:r w:rsidR="004A6561" w:rsidRPr="007344EA">
        <w:rPr>
          <w:rFonts w:ascii="Times New Roman" w:hAnsi="Times New Roman" w:cs="Times New Roman"/>
          <w:b/>
          <w:sz w:val="24"/>
          <w:szCs w:val="24"/>
        </w:rPr>
        <w:t xml:space="preserve"> </w:t>
      </w:r>
    </w:p>
    <w:p w:rsidR="00E44997" w:rsidRPr="007344EA" w:rsidRDefault="00DD3A4C" w:rsidP="006E00E1">
      <w:p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angl. </w:t>
      </w:r>
      <w:r w:rsidRPr="007344EA">
        <w:rPr>
          <w:sz w:val="24"/>
          <w:szCs w:val="24"/>
        </w:rPr>
        <w:t>−</w:t>
      </w:r>
      <w:r w:rsidR="00E44997" w:rsidRPr="007344EA">
        <w:rPr>
          <w:rFonts w:ascii="Times New Roman" w:hAnsi="Times New Roman" w:cs="Times New Roman"/>
          <w:sz w:val="24"/>
          <w:szCs w:val="24"/>
        </w:rPr>
        <w:t xml:space="preserve">  anglų kalba</w:t>
      </w:r>
    </w:p>
    <w:p w:rsidR="00E44997" w:rsidRPr="007344EA" w:rsidRDefault="00E44997" w:rsidP="006E00E1">
      <w:p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aut. past.</w:t>
      </w:r>
      <w:r w:rsidR="00DD3A4C" w:rsidRPr="007344EA">
        <w:rPr>
          <w:sz w:val="24"/>
          <w:szCs w:val="24"/>
        </w:rPr>
        <w:t xml:space="preserve"> − </w:t>
      </w:r>
      <w:r w:rsidRPr="007344EA">
        <w:rPr>
          <w:rFonts w:ascii="Times New Roman" w:hAnsi="Times New Roman" w:cs="Times New Roman"/>
          <w:sz w:val="24"/>
          <w:szCs w:val="24"/>
        </w:rPr>
        <w:t xml:space="preserve"> autoriaus pastaba</w:t>
      </w:r>
    </w:p>
    <w:p w:rsidR="00E44997" w:rsidRPr="007344EA" w:rsidRDefault="00A27EDE" w:rsidP="006E00E1">
      <w:p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LR </w:t>
      </w:r>
      <w:r w:rsidR="00E44997" w:rsidRPr="007344EA">
        <w:rPr>
          <w:rFonts w:ascii="Times New Roman" w:hAnsi="Times New Roman" w:cs="Times New Roman"/>
          <w:sz w:val="24"/>
          <w:szCs w:val="24"/>
        </w:rPr>
        <w:t>CK</w:t>
      </w:r>
      <w:r w:rsidR="00DD3A4C" w:rsidRPr="007344EA">
        <w:rPr>
          <w:rFonts w:ascii="Times New Roman" w:hAnsi="Times New Roman" w:cs="Times New Roman"/>
          <w:sz w:val="24"/>
          <w:szCs w:val="24"/>
        </w:rPr>
        <w:t xml:space="preserve"> </w:t>
      </w:r>
      <w:r w:rsidR="00DD3A4C" w:rsidRPr="007344EA">
        <w:rPr>
          <w:sz w:val="24"/>
          <w:szCs w:val="24"/>
        </w:rPr>
        <w:t>−</w:t>
      </w:r>
      <w:r w:rsidR="00E44997" w:rsidRPr="007344EA">
        <w:rPr>
          <w:rFonts w:ascii="Times New Roman" w:hAnsi="Times New Roman" w:cs="Times New Roman"/>
          <w:sz w:val="24"/>
          <w:szCs w:val="24"/>
        </w:rPr>
        <w:t xml:space="preserve"> </w:t>
      </w:r>
      <w:r w:rsidRPr="007344EA">
        <w:rPr>
          <w:rFonts w:ascii="Times New Roman" w:hAnsi="Times New Roman" w:cs="Times New Roman"/>
          <w:sz w:val="24"/>
          <w:szCs w:val="24"/>
        </w:rPr>
        <w:t>Lietuvos Respublikos c</w:t>
      </w:r>
      <w:r w:rsidR="00E44997" w:rsidRPr="007344EA">
        <w:rPr>
          <w:rFonts w:ascii="Times New Roman" w:hAnsi="Times New Roman" w:cs="Times New Roman"/>
          <w:sz w:val="24"/>
          <w:szCs w:val="24"/>
        </w:rPr>
        <w:t xml:space="preserve">ivilinis </w:t>
      </w:r>
      <w:r w:rsidRPr="007344EA">
        <w:rPr>
          <w:rFonts w:ascii="Times New Roman" w:hAnsi="Times New Roman" w:cs="Times New Roman"/>
          <w:sz w:val="24"/>
          <w:szCs w:val="24"/>
        </w:rPr>
        <w:t>k</w:t>
      </w:r>
      <w:r w:rsidR="00E44997" w:rsidRPr="007344EA">
        <w:rPr>
          <w:rFonts w:ascii="Times New Roman" w:hAnsi="Times New Roman" w:cs="Times New Roman"/>
          <w:sz w:val="24"/>
          <w:szCs w:val="24"/>
        </w:rPr>
        <w:t>odeksas</w:t>
      </w:r>
    </w:p>
    <w:p w:rsidR="00A526C3" w:rsidRPr="007344EA" w:rsidRDefault="00A526C3" w:rsidP="006E00E1">
      <w:p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LR CPK – Lietuvos Respublikos civilinio proceso kodeksas</w:t>
      </w:r>
    </w:p>
    <w:p w:rsidR="00E44997" w:rsidRPr="007344EA" w:rsidRDefault="00E44997" w:rsidP="006E00E1">
      <w:p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d.</w:t>
      </w:r>
      <w:r w:rsidR="00DD3A4C" w:rsidRPr="007344EA">
        <w:rPr>
          <w:sz w:val="24"/>
          <w:szCs w:val="24"/>
        </w:rPr>
        <w:t xml:space="preserve"> −</w:t>
      </w:r>
      <w:r w:rsidRPr="007344EA">
        <w:rPr>
          <w:rFonts w:ascii="Times New Roman" w:hAnsi="Times New Roman" w:cs="Times New Roman"/>
          <w:sz w:val="24"/>
          <w:szCs w:val="24"/>
        </w:rPr>
        <w:t xml:space="preserve"> diena/ dalis</w:t>
      </w:r>
    </w:p>
    <w:p w:rsidR="00E44997" w:rsidRPr="007344EA" w:rsidRDefault="00E44997" w:rsidP="006E00E1">
      <w:p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ES</w:t>
      </w:r>
      <w:r w:rsidR="00DD3A4C" w:rsidRPr="007344EA">
        <w:rPr>
          <w:rFonts w:ascii="Times New Roman" w:hAnsi="Times New Roman" w:cs="Times New Roman"/>
          <w:sz w:val="24"/>
          <w:szCs w:val="24"/>
        </w:rPr>
        <w:t xml:space="preserve"> </w:t>
      </w:r>
      <w:r w:rsidR="00DD3A4C" w:rsidRPr="007344EA">
        <w:rPr>
          <w:sz w:val="24"/>
          <w:szCs w:val="24"/>
        </w:rPr>
        <w:t xml:space="preserve">− </w:t>
      </w:r>
      <w:r w:rsidRPr="007344EA">
        <w:rPr>
          <w:rFonts w:ascii="Times New Roman" w:hAnsi="Times New Roman" w:cs="Times New Roman"/>
          <w:sz w:val="24"/>
          <w:szCs w:val="24"/>
        </w:rPr>
        <w:t>Europos Sąjunga</w:t>
      </w:r>
    </w:p>
    <w:p w:rsidR="00E44997" w:rsidRPr="007344EA" w:rsidRDefault="00E44997" w:rsidP="006E00E1">
      <w:p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EUR.</w:t>
      </w:r>
      <w:r w:rsidR="00DD3A4C" w:rsidRPr="007344EA">
        <w:rPr>
          <w:sz w:val="24"/>
          <w:szCs w:val="24"/>
        </w:rPr>
        <w:t xml:space="preserve"> −</w:t>
      </w:r>
      <w:r w:rsidR="003F5D73" w:rsidRPr="007344EA">
        <w:rPr>
          <w:sz w:val="24"/>
          <w:szCs w:val="24"/>
        </w:rPr>
        <w:t xml:space="preserve"> </w:t>
      </w:r>
      <w:r w:rsidRPr="007344EA">
        <w:rPr>
          <w:rFonts w:ascii="Times New Roman" w:hAnsi="Times New Roman" w:cs="Times New Roman"/>
          <w:sz w:val="24"/>
          <w:szCs w:val="24"/>
        </w:rPr>
        <w:t>Euras</w:t>
      </w:r>
    </w:p>
    <w:p w:rsidR="00E44997" w:rsidRPr="007344EA" w:rsidRDefault="00E44997" w:rsidP="006E00E1">
      <w:p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kt.</w:t>
      </w:r>
      <w:r w:rsidR="00DD3A4C" w:rsidRPr="007344EA">
        <w:rPr>
          <w:sz w:val="24"/>
          <w:szCs w:val="24"/>
        </w:rPr>
        <w:t xml:space="preserve"> − </w:t>
      </w:r>
      <w:r w:rsidRPr="007344EA">
        <w:rPr>
          <w:rFonts w:ascii="Times New Roman" w:hAnsi="Times New Roman" w:cs="Times New Roman"/>
          <w:sz w:val="24"/>
          <w:szCs w:val="24"/>
        </w:rPr>
        <w:t xml:space="preserve"> kita</w:t>
      </w:r>
    </w:p>
    <w:p w:rsidR="009F139F" w:rsidRPr="007344EA" w:rsidRDefault="009F139F" w:rsidP="006E00E1">
      <w:p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lot. – lotynų kalba</w:t>
      </w:r>
    </w:p>
    <w:p w:rsidR="00E44997" w:rsidRPr="007344EA" w:rsidRDefault="00E44997" w:rsidP="006E00E1">
      <w:p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mėn.</w:t>
      </w:r>
      <w:r w:rsidR="00DD3A4C" w:rsidRPr="007344EA">
        <w:rPr>
          <w:sz w:val="24"/>
          <w:szCs w:val="24"/>
        </w:rPr>
        <w:t xml:space="preserve"> −</w:t>
      </w:r>
      <w:r w:rsidRPr="007344EA">
        <w:rPr>
          <w:rFonts w:ascii="Times New Roman" w:hAnsi="Times New Roman" w:cs="Times New Roman"/>
          <w:sz w:val="24"/>
          <w:szCs w:val="24"/>
        </w:rPr>
        <w:t xml:space="preserve"> mėnuo</w:t>
      </w:r>
    </w:p>
    <w:p w:rsidR="00E44997" w:rsidRPr="007344EA" w:rsidRDefault="00E44997" w:rsidP="006E00E1">
      <w:p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pan.</w:t>
      </w:r>
      <w:r w:rsidR="00224D1C" w:rsidRPr="007344EA">
        <w:rPr>
          <w:rFonts w:ascii="Times New Roman" w:hAnsi="Times New Roman" w:cs="Times New Roman"/>
          <w:sz w:val="24"/>
          <w:szCs w:val="24"/>
        </w:rPr>
        <w:t xml:space="preserve"> − </w:t>
      </w:r>
      <w:r w:rsidRPr="007344EA">
        <w:rPr>
          <w:rFonts w:ascii="Times New Roman" w:hAnsi="Times New Roman" w:cs="Times New Roman"/>
          <w:sz w:val="24"/>
          <w:szCs w:val="24"/>
        </w:rPr>
        <w:t xml:space="preserve"> panašiai</w:t>
      </w:r>
    </w:p>
    <w:p w:rsidR="00E44997" w:rsidRPr="007344EA" w:rsidRDefault="00E44997" w:rsidP="006E00E1">
      <w:p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para.</w:t>
      </w:r>
      <w:r w:rsidR="00224D1C"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 paragrafas</w:t>
      </w:r>
    </w:p>
    <w:p w:rsidR="00E44997" w:rsidRPr="007344EA" w:rsidRDefault="00E44997" w:rsidP="006E00E1">
      <w:p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pranc.</w:t>
      </w:r>
      <w:r w:rsidR="00224D1C"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 prancūzų kalba</w:t>
      </w:r>
    </w:p>
    <w:p w:rsidR="00E44997" w:rsidRPr="007344EA" w:rsidRDefault="00E44997" w:rsidP="006E00E1">
      <w:p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SESV</w:t>
      </w:r>
      <w:r w:rsidR="00224D1C"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 Sutartis dėl Europos Sąjungos veikimo</w:t>
      </w:r>
    </w:p>
    <w:p w:rsidR="00E44997" w:rsidRPr="007344EA" w:rsidRDefault="00E44997" w:rsidP="006E00E1">
      <w:p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str.</w:t>
      </w:r>
      <w:r w:rsidR="00224D1C"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 straipsnis</w:t>
      </w:r>
    </w:p>
    <w:p w:rsidR="00B33BDB" w:rsidRPr="007344EA" w:rsidRDefault="00B33BDB" w:rsidP="006E00E1">
      <w:p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VVTAT</w:t>
      </w:r>
      <w:r w:rsidR="00224D1C"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 Valstybinė vartotojų teisių </w:t>
      </w:r>
      <w:r w:rsidR="00D41E88" w:rsidRPr="007344EA">
        <w:rPr>
          <w:rFonts w:ascii="Times New Roman" w:hAnsi="Times New Roman" w:cs="Times New Roman"/>
          <w:sz w:val="24"/>
          <w:szCs w:val="24"/>
        </w:rPr>
        <w:t>apsaugos tarnyba</w:t>
      </w:r>
    </w:p>
    <w:p w:rsidR="00A87019" w:rsidRPr="007344EA" w:rsidRDefault="00A87019" w:rsidP="006E00E1">
      <w:pPr>
        <w:spacing w:after="0" w:line="360" w:lineRule="auto"/>
        <w:rPr>
          <w:rFonts w:ascii="Times New Roman" w:hAnsi="Times New Roman" w:cs="Times New Roman"/>
          <w:sz w:val="24"/>
          <w:szCs w:val="24"/>
        </w:rPr>
      </w:pPr>
    </w:p>
    <w:p w:rsidR="00A87019" w:rsidRPr="007344EA" w:rsidRDefault="00A87019" w:rsidP="006E00E1">
      <w:pPr>
        <w:pStyle w:val="Default"/>
        <w:spacing w:line="360" w:lineRule="auto"/>
        <w:jc w:val="both"/>
        <w:rPr>
          <w:b/>
          <w:bCs/>
        </w:rPr>
      </w:pPr>
    </w:p>
    <w:p w:rsidR="001B44C4" w:rsidRPr="007344EA" w:rsidRDefault="001B44C4" w:rsidP="006E00E1">
      <w:pPr>
        <w:pStyle w:val="Default"/>
        <w:spacing w:line="360" w:lineRule="auto"/>
        <w:jc w:val="both"/>
        <w:rPr>
          <w:b/>
          <w:bCs/>
        </w:rPr>
      </w:pPr>
    </w:p>
    <w:p w:rsidR="005447E1" w:rsidRPr="007344EA" w:rsidRDefault="005447E1" w:rsidP="006E00E1">
      <w:pPr>
        <w:pStyle w:val="Default"/>
        <w:spacing w:line="360" w:lineRule="auto"/>
        <w:jc w:val="both"/>
        <w:rPr>
          <w:b/>
          <w:bCs/>
        </w:rPr>
      </w:pPr>
    </w:p>
    <w:p w:rsidR="005447E1" w:rsidRPr="007344EA" w:rsidRDefault="005447E1" w:rsidP="006E00E1">
      <w:pPr>
        <w:pStyle w:val="Default"/>
        <w:spacing w:line="360" w:lineRule="auto"/>
        <w:jc w:val="both"/>
        <w:rPr>
          <w:b/>
          <w:bCs/>
        </w:rPr>
      </w:pPr>
    </w:p>
    <w:p w:rsidR="005447E1" w:rsidRPr="007344EA" w:rsidRDefault="005447E1" w:rsidP="006E00E1">
      <w:pPr>
        <w:pStyle w:val="Default"/>
        <w:spacing w:line="360" w:lineRule="auto"/>
        <w:jc w:val="both"/>
        <w:rPr>
          <w:b/>
          <w:bCs/>
        </w:rPr>
      </w:pPr>
    </w:p>
    <w:p w:rsidR="005447E1" w:rsidRPr="007344EA" w:rsidRDefault="005447E1" w:rsidP="006E00E1">
      <w:pPr>
        <w:pStyle w:val="Default"/>
        <w:spacing w:line="360" w:lineRule="auto"/>
        <w:jc w:val="both"/>
        <w:rPr>
          <w:b/>
          <w:bCs/>
        </w:rPr>
      </w:pPr>
    </w:p>
    <w:p w:rsidR="005447E1" w:rsidRPr="007344EA" w:rsidRDefault="005447E1" w:rsidP="006E00E1">
      <w:pPr>
        <w:pStyle w:val="Default"/>
        <w:spacing w:line="360" w:lineRule="auto"/>
        <w:jc w:val="both"/>
        <w:rPr>
          <w:b/>
          <w:bCs/>
        </w:rPr>
      </w:pPr>
    </w:p>
    <w:p w:rsidR="005447E1" w:rsidRPr="007344EA" w:rsidRDefault="005447E1" w:rsidP="006E00E1">
      <w:pPr>
        <w:pStyle w:val="Default"/>
        <w:spacing w:line="360" w:lineRule="auto"/>
        <w:jc w:val="both"/>
        <w:rPr>
          <w:b/>
          <w:bCs/>
        </w:rPr>
      </w:pPr>
    </w:p>
    <w:p w:rsidR="005447E1" w:rsidRPr="007344EA" w:rsidRDefault="005447E1" w:rsidP="006E00E1">
      <w:pPr>
        <w:pStyle w:val="Default"/>
        <w:spacing w:line="360" w:lineRule="auto"/>
        <w:jc w:val="both"/>
        <w:rPr>
          <w:b/>
          <w:bCs/>
        </w:rPr>
      </w:pPr>
    </w:p>
    <w:p w:rsidR="005447E1" w:rsidRPr="007344EA" w:rsidRDefault="005447E1" w:rsidP="006E00E1">
      <w:pPr>
        <w:pStyle w:val="Default"/>
        <w:spacing w:line="360" w:lineRule="auto"/>
        <w:jc w:val="both"/>
        <w:rPr>
          <w:b/>
          <w:bCs/>
        </w:rPr>
      </w:pPr>
    </w:p>
    <w:p w:rsidR="005447E1" w:rsidRPr="007344EA" w:rsidRDefault="005447E1" w:rsidP="006E00E1">
      <w:pPr>
        <w:pStyle w:val="Default"/>
        <w:spacing w:line="360" w:lineRule="auto"/>
        <w:jc w:val="both"/>
        <w:rPr>
          <w:b/>
          <w:bCs/>
        </w:rPr>
      </w:pPr>
    </w:p>
    <w:p w:rsidR="005447E1" w:rsidRPr="007344EA" w:rsidRDefault="005447E1" w:rsidP="006E00E1">
      <w:pPr>
        <w:pStyle w:val="Default"/>
        <w:spacing w:line="360" w:lineRule="auto"/>
        <w:jc w:val="both"/>
        <w:rPr>
          <w:b/>
          <w:bCs/>
        </w:rPr>
      </w:pPr>
    </w:p>
    <w:p w:rsidR="005447E1" w:rsidRPr="007344EA" w:rsidRDefault="005447E1" w:rsidP="006E00E1">
      <w:pPr>
        <w:pStyle w:val="Default"/>
        <w:spacing w:line="360" w:lineRule="auto"/>
        <w:jc w:val="both"/>
        <w:rPr>
          <w:b/>
          <w:bCs/>
        </w:rPr>
      </w:pPr>
    </w:p>
    <w:p w:rsidR="005447E1" w:rsidRPr="007344EA" w:rsidRDefault="005447E1" w:rsidP="006E00E1">
      <w:pPr>
        <w:pStyle w:val="Default"/>
        <w:spacing w:line="360" w:lineRule="auto"/>
        <w:jc w:val="both"/>
        <w:rPr>
          <w:b/>
          <w:bCs/>
        </w:rPr>
      </w:pPr>
    </w:p>
    <w:p w:rsidR="00075FC6" w:rsidRPr="007344EA" w:rsidRDefault="00075FC6" w:rsidP="006E00E1">
      <w:pPr>
        <w:pStyle w:val="Default"/>
        <w:spacing w:line="360" w:lineRule="auto"/>
        <w:jc w:val="both"/>
        <w:rPr>
          <w:b/>
          <w:bCs/>
        </w:rPr>
      </w:pPr>
    </w:p>
    <w:p w:rsidR="00E81A27" w:rsidRPr="007344EA" w:rsidRDefault="00E81A27" w:rsidP="006E00E1">
      <w:pPr>
        <w:pStyle w:val="Default"/>
        <w:spacing w:line="360" w:lineRule="auto"/>
        <w:jc w:val="both"/>
        <w:rPr>
          <w:b/>
          <w:bCs/>
        </w:rPr>
      </w:pPr>
    </w:p>
    <w:p w:rsidR="002B5AC9" w:rsidRPr="007344EA" w:rsidRDefault="002B5AC9" w:rsidP="00CA7232">
      <w:pPr>
        <w:pStyle w:val="Heading1"/>
        <w:ind w:left="1296" w:firstLine="1296"/>
        <w:rPr>
          <w:rFonts w:ascii="Times New Roman" w:hAnsi="Times New Roman" w:cs="Times New Roman"/>
          <w:color w:val="000000" w:themeColor="text1"/>
          <w:sz w:val="24"/>
          <w:szCs w:val="24"/>
        </w:rPr>
      </w:pPr>
      <w:bookmarkStart w:id="0" w:name="_Toc344337151"/>
      <w:r w:rsidRPr="007344EA">
        <w:rPr>
          <w:rFonts w:ascii="Times New Roman" w:hAnsi="Times New Roman" w:cs="Times New Roman"/>
          <w:color w:val="000000" w:themeColor="text1"/>
          <w:sz w:val="24"/>
          <w:szCs w:val="24"/>
        </w:rPr>
        <w:lastRenderedPageBreak/>
        <w:t>ĮVADAS</w:t>
      </w:r>
      <w:bookmarkEnd w:id="0"/>
    </w:p>
    <w:p w:rsidR="005447E1" w:rsidRPr="007344EA" w:rsidRDefault="005447E1" w:rsidP="005447E1">
      <w:pPr>
        <w:pStyle w:val="Default"/>
        <w:spacing w:line="360" w:lineRule="auto"/>
        <w:jc w:val="both"/>
        <w:rPr>
          <w:b/>
          <w:bCs/>
        </w:rPr>
      </w:pPr>
    </w:p>
    <w:p w:rsidR="006E00E1" w:rsidRPr="007344EA" w:rsidRDefault="005752E4" w:rsidP="006E00E1">
      <w:pPr>
        <w:pStyle w:val="Default"/>
        <w:spacing w:line="360" w:lineRule="auto"/>
        <w:ind w:firstLine="1296"/>
        <w:jc w:val="both"/>
        <w:rPr>
          <w:bCs/>
        </w:rPr>
      </w:pPr>
      <w:r w:rsidRPr="007344EA">
        <w:rPr>
          <w:b/>
          <w:bCs/>
        </w:rPr>
        <w:t xml:space="preserve">Darbo aktualumas. </w:t>
      </w:r>
      <w:r w:rsidRPr="007344EA">
        <w:rPr>
          <w:bCs/>
        </w:rPr>
        <w:t xml:space="preserve">Kiekvienas iš mūsų yra vartotojas ir kiekvienam </w:t>
      </w:r>
      <w:r w:rsidR="009922F2" w:rsidRPr="007344EA">
        <w:rPr>
          <w:bCs/>
        </w:rPr>
        <w:t xml:space="preserve">tikriausiai </w:t>
      </w:r>
      <w:r w:rsidRPr="007344EA">
        <w:rPr>
          <w:bCs/>
        </w:rPr>
        <w:t>ne kartą teko pasirašyti standartinę</w:t>
      </w:r>
      <w:r w:rsidR="00224D1C" w:rsidRPr="007344EA">
        <w:rPr>
          <w:bCs/>
        </w:rPr>
        <w:t xml:space="preserve"> </w:t>
      </w:r>
      <w:r w:rsidR="00224D1C" w:rsidRPr="007344EA">
        <w:t>−</w:t>
      </w:r>
      <w:r w:rsidR="005A11BC" w:rsidRPr="007344EA">
        <w:rPr>
          <w:bCs/>
        </w:rPr>
        <w:t xml:space="preserve"> tipinę </w:t>
      </w:r>
      <w:r w:rsidR="00C92477" w:rsidRPr="007344EA">
        <w:rPr>
          <w:bCs/>
        </w:rPr>
        <w:t xml:space="preserve">sutartį </w:t>
      </w:r>
      <w:r w:rsidR="005A11BC" w:rsidRPr="007344EA">
        <w:rPr>
          <w:bCs/>
        </w:rPr>
        <w:t>(</w:t>
      </w:r>
      <w:r w:rsidR="007821E5" w:rsidRPr="007344EA">
        <w:rPr>
          <w:bCs/>
        </w:rPr>
        <w:t xml:space="preserve">pvz.: </w:t>
      </w:r>
      <w:r w:rsidR="00C92477" w:rsidRPr="007344EA">
        <w:rPr>
          <w:bCs/>
        </w:rPr>
        <w:t xml:space="preserve">sutartys </w:t>
      </w:r>
      <w:r w:rsidR="005A11BC" w:rsidRPr="007344EA">
        <w:rPr>
          <w:bCs/>
        </w:rPr>
        <w:t xml:space="preserve">su mobiliojo </w:t>
      </w:r>
      <w:r w:rsidR="009922F2" w:rsidRPr="007344EA">
        <w:rPr>
          <w:bCs/>
        </w:rPr>
        <w:t>ryšio tiekimo</w:t>
      </w:r>
      <w:r w:rsidR="000E35A5" w:rsidRPr="007344EA">
        <w:rPr>
          <w:rStyle w:val="FootnoteReference"/>
          <w:bCs/>
        </w:rPr>
        <w:footnoteReference w:id="1"/>
      </w:r>
      <w:r w:rsidR="009922F2" w:rsidRPr="007344EA">
        <w:rPr>
          <w:bCs/>
        </w:rPr>
        <w:t xml:space="preserve"> </w:t>
      </w:r>
      <w:r w:rsidR="00B13B3F" w:rsidRPr="007344EA">
        <w:rPr>
          <w:bCs/>
        </w:rPr>
        <w:t xml:space="preserve">operatoriumi </w:t>
      </w:r>
      <w:r w:rsidR="00EB207F" w:rsidRPr="007344EA">
        <w:rPr>
          <w:bCs/>
        </w:rPr>
        <w:t xml:space="preserve">ir/ar interneto paslaugų tiekėju, </w:t>
      </w:r>
      <w:r w:rsidR="00C92477" w:rsidRPr="007344EA">
        <w:rPr>
          <w:bCs/>
        </w:rPr>
        <w:t>keliolikoje lapų išdėstytos</w:t>
      </w:r>
      <w:r w:rsidR="00B13B3F" w:rsidRPr="007344EA">
        <w:rPr>
          <w:bCs/>
        </w:rPr>
        <w:t xml:space="preserve"> sutart</w:t>
      </w:r>
      <w:r w:rsidR="00C92477" w:rsidRPr="007344EA">
        <w:rPr>
          <w:bCs/>
        </w:rPr>
        <w:t>ys</w:t>
      </w:r>
      <w:r w:rsidR="00B13B3F" w:rsidRPr="007344EA">
        <w:rPr>
          <w:bCs/>
        </w:rPr>
        <w:t xml:space="preserve"> su kredito įstaigomis</w:t>
      </w:r>
      <w:r w:rsidR="00835CBF" w:rsidRPr="007344EA">
        <w:rPr>
          <w:bCs/>
        </w:rPr>
        <w:t xml:space="preserve"> </w:t>
      </w:r>
      <w:r w:rsidR="00B13B3F" w:rsidRPr="007344EA">
        <w:rPr>
          <w:bCs/>
        </w:rPr>
        <w:t>ar bankais</w:t>
      </w:r>
      <w:r w:rsidR="00E529F0" w:rsidRPr="007344EA">
        <w:rPr>
          <w:bCs/>
        </w:rPr>
        <w:t xml:space="preserve">, </w:t>
      </w:r>
      <w:r w:rsidR="00EB207F" w:rsidRPr="007344EA">
        <w:rPr>
          <w:bCs/>
        </w:rPr>
        <w:t>iš</w:t>
      </w:r>
      <w:r w:rsidR="00135C28" w:rsidRPr="007344EA">
        <w:rPr>
          <w:bCs/>
        </w:rPr>
        <w:t xml:space="preserve"> </w:t>
      </w:r>
      <w:r w:rsidR="00EB207F" w:rsidRPr="007344EA">
        <w:rPr>
          <w:bCs/>
        </w:rPr>
        <w:t>an</w:t>
      </w:r>
      <w:r w:rsidR="00135C28" w:rsidRPr="007344EA">
        <w:rPr>
          <w:bCs/>
        </w:rPr>
        <w:t>k</w:t>
      </w:r>
      <w:r w:rsidR="00C05867" w:rsidRPr="007344EA">
        <w:rPr>
          <w:bCs/>
        </w:rPr>
        <w:t>sto paruoš</w:t>
      </w:r>
      <w:r w:rsidR="00EB207F" w:rsidRPr="007344EA">
        <w:rPr>
          <w:bCs/>
        </w:rPr>
        <w:t>t</w:t>
      </w:r>
      <w:r w:rsidR="00C92477" w:rsidRPr="007344EA">
        <w:rPr>
          <w:bCs/>
        </w:rPr>
        <w:t>os</w:t>
      </w:r>
      <w:r w:rsidR="00734CBF" w:rsidRPr="007344EA">
        <w:rPr>
          <w:bCs/>
        </w:rPr>
        <w:t xml:space="preserve"> </w:t>
      </w:r>
      <w:r w:rsidR="00C92477" w:rsidRPr="007344EA">
        <w:rPr>
          <w:bCs/>
        </w:rPr>
        <w:t>sutarty</w:t>
      </w:r>
      <w:r w:rsidR="00EB207F" w:rsidRPr="007344EA">
        <w:rPr>
          <w:bCs/>
        </w:rPr>
        <w:t>s</w:t>
      </w:r>
      <w:r w:rsidR="00FB1A19" w:rsidRPr="007344EA">
        <w:rPr>
          <w:bCs/>
        </w:rPr>
        <w:t xml:space="preserve"> su </w:t>
      </w:r>
      <w:r w:rsidR="005E6D83" w:rsidRPr="007344EA">
        <w:rPr>
          <w:bCs/>
        </w:rPr>
        <w:t>rangovais</w:t>
      </w:r>
      <w:r w:rsidR="003B23D4" w:rsidRPr="007344EA">
        <w:rPr>
          <w:bCs/>
        </w:rPr>
        <w:t xml:space="preserve">, </w:t>
      </w:r>
      <w:r w:rsidR="00D41E88" w:rsidRPr="007344EA">
        <w:rPr>
          <w:bCs/>
        </w:rPr>
        <w:t xml:space="preserve">komunalinių paslaugų, elektros, </w:t>
      </w:r>
      <w:r w:rsidR="000E35A5" w:rsidRPr="007344EA">
        <w:rPr>
          <w:bCs/>
        </w:rPr>
        <w:t>šilumos</w:t>
      </w:r>
      <w:r w:rsidR="00D41E88" w:rsidRPr="007344EA">
        <w:rPr>
          <w:bCs/>
        </w:rPr>
        <w:t xml:space="preserve">, </w:t>
      </w:r>
      <w:r w:rsidR="00497021" w:rsidRPr="007344EA">
        <w:rPr>
          <w:bCs/>
        </w:rPr>
        <w:t>vandens tiekėjais</w:t>
      </w:r>
      <w:r w:rsidR="00C92477" w:rsidRPr="007344EA">
        <w:rPr>
          <w:bCs/>
        </w:rPr>
        <w:t xml:space="preserve"> ir pan.</w:t>
      </w:r>
      <w:r w:rsidR="005A11BC" w:rsidRPr="007344EA">
        <w:rPr>
          <w:bCs/>
        </w:rPr>
        <w:t>)</w:t>
      </w:r>
      <w:r w:rsidR="00C92477" w:rsidRPr="007344EA">
        <w:rPr>
          <w:bCs/>
        </w:rPr>
        <w:t>.</w:t>
      </w:r>
      <w:r w:rsidR="009D4846" w:rsidRPr="007344EA">
        <w:rPr>
          <w:bCs/>
        </w:rPr>
        <w:t xml:space="preserve"> </w:t>
      </w:r>
      <w:r w:rsidR="009922F2" w:rsidRPr="007344EA">
        <w:rPr>
          <w:bCs/>
        </w:rPr>
        <w:t xml:space="preserve">Visa tai </w:t>
      </w:r>
      <w:r w:rsidR="0064713F" w:rsidRPr="007344EA">
        <w:rPr>
          <w:bCs/>
        </w:rPr>
        <w:t>įprasta</w:t>
      </w:r>
      <w:r w:rsidR="009922F2" w:rsidRPr="007344EA">
        <w:rPr>
          <w:bCs/>
        </w:rPr>
        <w:t xml:space="preserve"> daugelio šiandienos </w:t>
      </w:r>
      <w:r w:rsidR="00704DDF" w:rsidRPr="007344EA">
        <w:rPr>
          <w:bCs/>
        </w:rPr>
        <w:t xml:space="preserve">vartojimo </w:t>
      </w:r>
      <w:r w:rsidR="00C92477" w:rsidRPr="007344EA">
        <w:rPr>
          <w:bCs/>
        </w:rPr>
        <w:t>sutarčių sudarymo</w:t>
      </w:r>
      <w:r w:rsidR="0099594B" w:rsidRPr="007344EA">
        <w:rPr>
          <w:bCs/>
        </w:rPr>
        <w:t xml:space="preserve"> procedūra. </w:t>
      </w:r>
      <w:r w:rsidR="00651739" w:rsidRPr="007344EA">
        <w:rPr>
          <w:bCs/>
        </w:rPr>
        <w:t>Neretai</w:t>
      </w:r>
      <w:r w:rsidR="005857BA" w:rsidRPr="007344EA">
        <w:rPr>
          <w:bCs/>
        </w:rPr>
        <w:t xml:space="preserve"> tokio tipo</w:t>
      </w:r>
      <w:r w:rsidR="009922F2" w:rsidRPr="007344EA">
        <w:rPr>
          <w:bCs/>
        </w:rPr>
        <w:t xml:space="preserve"> su</w:t>
      </w:r>
      <w:r w:rsidR="00672706" w:rsidRPr="007344EA">
        <w:rPr>
          <w:bCs/>
        </w:rPr>
        <w:t>tartis eilinis vartotojas</w:t>
      </w:r>
      <w:r w:rsidR="005E6D83" w:rsidRPr="007344EA">
        <w:rPr>
          <w:bCs/>
        </w:rPr>
        <w:t xml:space="preserve"> </w:t>
      </w:r>
      <w:r w:rsidR="00672706" w:rsidRPr="007344EA">
        <w:rPr>
          <w:bCs/>
        </w:rPr>
        <w:t xml:space="preserve">pasirašo </w:t>
      </w:r>
      <w:r w:rsidR="00B13B3F" w:rsidRPr="007344EA">
        <w:rPr>
          <w:bCs/>
        </w:rPr>
        <w:t xml:space="preserve">net </w:t>
      </w:r>
      <w:r w:rsidR="009922F2" w:rsidRPr="007344EA">
        <w:rPr>
          <w:bCs/>
        </w:rPr>
        <w:t>neskaitę</w:t>
      </w:r>
      <w:r w:rsidR="00672706" w:rsidRPr="007344EA">
        <w:rPr>
          <w:bCs/>
        </w:rPr>
        <w:t>s</w:t>
      </w:r>
      <w:r w:rsidR="001730BC" w:rsidRPr="007344EA">
        <w:rPr>
          <w:bCs/>
        </w:rPr>
        <w:t xml:space="preserve">, kadangi </w:t>
      </w:r>
      <w:r w:rsidR="00FA784A" w:rsidRPr="007344EA">
        <w:rPr>
          <w:bCs/>
        </w:rPr>
        <w:t xml:space="preserve">perskaityti </w:t>
      </w:r>
      <w:r w:rsidR="00FB1A19" w:rsidRPr="007344EA">
        <w:rPr>
          <w:bCs/>
        </w:rPr>
        <w:t xml:space="preserve">kelių ar </w:t>
      </w:r>
      <w:r w:rsidR="00FA784A" w:rsidRPr="007344EA">
        <w:rPr>
          <w:bCs/>
        </w:rPr>
        <w:t>keliolikos puslapių</w:t>
      </w:r>
      <w:r w:rsidR="00125451" w:rsidRPr="007344EA">
        <w:rPr>
          <w:bCs/>
        </w:rPr>
        <w:t xml:space="preserve"> sutartį, kurią sudarė savo srities profesionalas</w:t>
      </w:r>
      <w:r w:rsidR="00224D1C" w:rsidRPr="007344EA">
        <w:rPr>
          <w:bCs/>
        </w:rPr>
        <w:t xml:space="preserve"> </w:t>
      </w:r>
      <w:r w:rsidR="00224D1C" w:rsidRPr="007344EA">
        <w:t xml:space="preserve">− </w:t>
      </w:r>
      <w:r w:rsidR="00125451" w:rsidRPr="007344EA">
        <w:rPr>
          <w:bCs/>
        </w:rPr>
        <w:t>verslininkas</w:t>
      </w:r>
      <w:r w:rsidR="00AD2AC9" w:rsidRPr="007344EA">
        <w:rPr>
          <w:bCs/>
        </w:rPr>
        <w:t>,</w:t>
      </w:r>
      <w:r w:rsidR="00125451" w:rsidRPr="007344EA">
        <w:rPr>
          <w:bCs/>
        </w:rPr>
        <w:t xml:space="preserve"> vartodamas</w:t>
      </w:r>
      <w:r w:rsidR="00FA784A" w:rsidRPr="007344EA">
        <w:rPr>
          <w:bCs/>
        </w:rPr>
        <w:t xml:space="preserve"> tam tikrų sričių (teisės, fina</w:t>
      </w:r>
      <w:r w:rsidR="00AD2AC9" w:rsidRPr="007344EA">
        <w:rPr>
          <w:bCs/>
        </w:rPr>
        <w:t>nsų, informacinių technologijų a</w:t>
      </w:r>
      <w:r w:rsidR="00FA784A" w:rsidRPr="007344EA">
        <w:rPr>
          <w:bCs/>
        </w:rPr>
        <w:t>r kt.)</w:t>
      </w:r>
      <w:r w:rsidR="00C05867" w:rsidRPr="007344EA">
        <w:rPr>
          <w:bCs/>
        </w:rPr>
        <w:t xml:space="preserve"> </w:t>
      </w:r>
      <w:r w:rsidR="002A01D8" w:rsidRPr="007344EA">
        <w:rPr>
          <w:bCs/>
        </w:rPr>
        <w:t>specifinę kalbą</w:t>
      </w:r>
      <w:r w:rsidR="00FB1A19" w:rsidRPr="007344EA">
        <w:rPr>
          <w:bCs/>
        </w:rPr>
        <w:t>,</w:t>
      </w:r>
      <w:r w:rsidR="00FA6F1D" w:rsidRPr="007344EA">
        <w:rPr>
          <w:bCs/>
        </w:rPr>
        <w:t xml:space="preserve"> yra </w:t>
      </w:r>
      <w:r w:rsidR="00CB0514" w:rsidRPr="007344EA">
        <w:rPr>
          <w:bCs/>
        </w:rPr>
        <w:t xml:space="preserve">pakankamai </w:t>
      </w:r>
      <w:r w:rsidR="004B2F1A" w:rsidRPr="007344EA">
        <w:rPr>
          <w:bCs/>
        </w:rPr>
        <w:t xml:space="preserve">sudėtinga net ir gerai </w:t>
      </w:r>
      <w:r w:rsidR="00482854" w:rsidRPr="007344EA">
        <w:rPr>
          <w:bCs/>
        </w:rPr>
        <w:t>konkrečioje</w:t>
      </w:r>
      <w:r w:rsidR="00DA0BA6" w:rsidRPr="007344EA">
        <w:rPr>
          <w:bCs/>
        </w:rPr>
        <w:t xml:space="preserve"> </w:t>
      </w:r>
      <w:r w:rsidR="00482854" w:rsidRPr="007344EA">
        <w:rPr>
          <w:bCs/>
        </w:rPr>
        <w:t xml:space="preserve">srityje </w:t>
      </w:r>
      <w:r w:rsidR="004B2F1A" w:rsidRPr="007344EA">
        <w:rPr>
          <w:bCs/>
        </w:rPr>
        <w:t>informuotam vartotojui.</w:t>
      </w:r>
      <w:r w:rsidR="00972FEC" w:rsidRPr="007344EA">
        <w:rPr>
          <w:bCs/>
        </w:rPr>
        <w:t xml:space="preserve"> </w:t>
      </w:r>
      <w:r w:rsidR="00FB1A19" w:rsidRPr="007344EA">
        <w:rPr>
          <w:bCs/>
        </w:rPr>
        <w:t>Tokiu atveju</w:t>
      </w:r>
      <w:r w:rsidR="00FA6F1D" w:rsidRPr="007344EA">
        <w:rPr>
          <w:bCs/>
        </w:rPr>
        <w:t xml:space="preserve"> </w:t>
      </w:r>
      <w:r w:rsidR="00125451" w:rsidRPr="007344EA">
        <w:rPr>
          <w:bCs/>
        </w:rPr>
        <w:t>tenka</w:t>
      </w:r>
      <w:r w:rsidR="00FA6F1D" w:rsidRPr="007344EA">
        <w:rPr>
          <w:bCs/>
        </w:rPr>
        <w:t xml:space="preserve"> pasitikėti</w:t>
      </w:r>
      <w:r w:rsidR="00117D85" w:rsidRPr="007344EA">
        <w:rPr>
          <w:bCs/>
        </w:rPr>
        <w:t xml:space="preserve"> verslininku, </w:t>
      </w:r>
      <w:r w:rsidR="00FA6F1D" w:rsidRPr="007344EA">
        <w:rPr>
          <w:bCs/>
        </w:rPr>
        <w:t xml:space="preserve">remiantis </w:t>
      </w:r>
      <w:r w:rsidR="00C936D3" w:rsidRPr="007344EA">
        <w:rPr>
          <w:bCs/>
        </w:rPr>
        <w:t>tuo,</w:t>
      </w:r>
      <w:r w:rsidR="00AD2AC9" w:rsidRPr="007344EA">
        <w:rPr>
          <w:bCs/>
        </w:rPr>
        <w:t xml:space="preserve"> ka</w:t>
      </w:r>
      <w:r w:rsidR="00FA6F1D" w:rsidRPr="007344EA">
        <w:rPr>
          <w:bCs/>
        </w:rPr>
        <w:t>d analogiškas sutartis</w:t>
      </w:r>
      <w:r w:rsidR="00AD2AC9" w:rsidRPr="007344EA">
        <w:rPr>
          <w:bCs/>
        </w:rPr>
        <w:t xml:space="preserve"> jau yra pasirašę šimtai, </w:t>
      </w:r>
      <w:r w:rsidR="00C936D3" w:rsidRPr="007344EA">
        <w:rPr>
          <w:bCs/>
        </w:rPr>
        <w:t>o gal ir tūkstančiai</w:t>
      </w:r>
      <w:r w:rsidR="002A01D8" w:rsidRPr="007344EA">
        <w:rPr>
          <w:bCs/>
        </w:rPr>
        <w:t xml:space="preserve"> kitų </w:t>
      </w:r>
      <w:r w:rsidR="00C936D3" w:rsidRPr="007344EA">
        <w:rPr>
          <w:bCs/>
        </w:rPr>
        <w:t xml:space="preserve">vartotojų. Bet ar visuomet verta </w:t>
      </w:r>
      <w:r w:rsidR="00CB0514" w:rsidRPr="007344EA">
        <w:rPr>
          <w:bCs/>
        </w:rPr>
        <w:t xml:space="preserve">pasikliauti </w:t>
      </w:r>
      <w:r w:rsidR="005E6D83" w:rsidRPr="007344EA">
        <w:rPr>
          <w:bCs/>
        </w:rPr>
        <w:t>pardavėjo ar paslaugos t</w:t>
      </w:r>
      <w:r w:rsidR="00C936D3" w:rsidRPr="007344EA">
        <w:rPr>
          <w:bCs/>
        </w:rPr>
        <w:t>i</w:t>
      </w:r>
      <w:r w:rsidR="005E6D83" w:rsidRPr="007344EA">
        <w:rPr>
          <w:bCs/>
        </w:rPr>
        <w:t>e</w:t>
      </w:r>
      <w:r w:rsidR="00AA08C2" w:rsidRPr="007344EA">
        <w:rPr>
          <w:bCs/>
        </w:rPr>
        <w:t>kėjo sąžiningumu? P</w:t>
      </w:r>
      <w:r w:rsidR="00FA6F1D" w:rsidRPr="007344EA">
        <w:rPr>
          <w:bCs/>
        </w:rPr>
        <w:t>asirašyda</w:t>
      </w:r>
      <w:r w:rsidR="00B009A9" w:rsidRPr="007344EA">
        <w:rPr>
          <w:bCs/>
        </w:rPr>
        <w:t>ma</w:t>
      </w:r>
      <w:r w:rsidR="00FA6F1D" w:rsidRPr="007344EA">
        <w:rPr>
          <w:bCs/>
        </w:rPr>
        <w:t>s</w:t>
      </w:r>
      <w:r w:rsidR="009922F2" w:rsidRPr="007344EA">
        <w:rPr>
          <w:bCs/>
        </w:rPr>
        <w:t xml:space="preserve"> šias iš anksto paruoštas sutartis</w:t>
      </w:r>
      <w:r w:rsidR="00B009A9" w:rsidRPr="007344EA">
        <w:rPr>
          <w:bCs/>
        </w:rPr>
        <w:t xml:space="preserve"> </w:t>
      </w:r>
      <w:r w:rsidR="0035535F" w:rsidRPr="007344EA">
        <w:rPr>
          <w:bCs/>
        </w:rPr>
        <w:t xml:space="preserve">eilinis </w:t>
      </w:r>
      <w:r w:rsidR="00B009A9" w:rsidRPr="007344EA">
        <w:rPr>
          <w:bCs/>
        </w:rPr>
        <w:t>varto</w:t>
      </w:r>
      <w:r w:rsidR="00FA6F1D" w:rsidRPr="007344EA">
        <w:rPr>
          <w:bCs/>
        </w:rPr>
        <w:t>tojas</w:t>
      </w:r>
      <w:r w:rsidR="00CB0514" w:rsidRPr="007344EA">
        <w:rPr>
          <w:bCs/>
        </w:rPr>
        <w:t xml:space="preserve"> dažniausiai</w:t>
      </w:r>
      <w:r w:rsidR="00AD2AC9" w:rsidRPr="007344EA">
        <w:rPr>
          <w:bCs/>
        </w:rPr>
        <w:t xml:space="preserve"> net ne</w:t>
      </w:r>
      <w:r w:rsidR="00FA6F1D" w:rsidRPr="007344EA">
        <w:rPr>
          <w:bCs/>
        </w:rPr>
        <w:t>pagalvoja</w:t>
      </w:r>
      <w:r w:rsidR="00B009A9" w:rsidRPr="007344EA">
        <w:rPr>
          <w:bCs/>
        </w:rPr>
        <w:t xml:space="preserve"> apie tai, kad sutartyje gali būti</w:t>
      </w:r>
      <w:r w:rsidR="009922F2" w:rsidRPr="007344EA">
        <w:rPr>
          <w:bCs/>
        </w:rPr>
        <w:t xml:space="preserve"> nepalank</w:t>
      </w:r>
      <w:r w:rsidR="00AD2AC9" w:rsidRPr="007344EA">
        <w:rPr>
          <w:bCs/>
        </w:rPr>
        <w:t>ių nuostatų</w:t>
      </w:r>
      <w:r w:rsidR="00224D1C" w:rsidRPr="007344EA">
        <w:rPr>
          <w:bCs/>
        </w:rPr>
        <w:t xml:space="preserve"> </w:t>
      </w:r>
      <w:r w:rsidR="00224D1C" w:rsidRPr="007344EA">
        <w:t>−</w:t>
      </w:r>
      <w:r w:rsidR="00AD2AC9" w:rsidRPr="007344EA">
        <w:rPr>
          <w:bCs/>
        </w:rPr>
        <w:t xml:space="preserve"> nesąžiningų sąlygų.</w:t>
      </w:r>
      <w:r w:rsidR="00CA5279" w:rsidRPr="007344EA">
        <w:rPr>
          <w:bCs/>
        </w:rPr>
        <w:t xml:space="preserve"> </w:t>
      </w:r>
      <w:r w:rsidR="00B3750F" w:rsidRPr="007344EA">
        <w:rPr>
          <w:bCs/>
        </w:rPr>
        <w:t>„</w:t>
      </w:r>
      <w:r w:rsidR="00B3750F" w:rsidRPr="007344EA">
        <w:t>Tokioje visuomenėje kaip Europos, kur plečiasi paslaugų sfera bei didėja vartojimas, tipinių sutarčių, kuriose dėl atskirų sąlygų nėra atskirai deramasi, naudojimas neišvengiamai paplito. Naudojant iš anksto vienos šalies parengtas sutarties sąlygas iškyla pavojus, kad tokioje sutartyje nebus arba bus nepakankamai atsižvelgta į sutartį parengusios šalies kontrahento interesus.”</w:t>
      </w:r>
      <w:r w:rsidR="00B3750F" w:rsidRPr="007344EA">
        <w:rPr>
          <w:rStyle w:val="FootnoteReference"/>
        </w:rPr>
        <w:footnoteReference w:id="2"/>
      </w:r>
      <w:r w:rsidR="00206D7D" w:rsidRPr="007344EA">
        <w:rPr>
          <w:bCs/>
        </w:rPr>
        <w:t xml:space="preserve"> Taigi didėjant vartojimo santykių apimčiai bei augant vartotojų sąmoningumo lygiui neišvengiamai daugėja ir ginčų tarp vartotojo ir pardavėjo ar tiekėjo, dėl standartinėje sutartyje galimai esančių nesąžiningų sąlygų.</w:t>
      </w:r>
    </w:p>
    <w:p w:rsidR="00004EE6" w:rsidRPr="007344EA" w:rsidRDefault="00125451" w:rsidP="006E00E1">
      <w:pPr>
        <w:pStyle w:val="Default"/>
        <w:spacing w:line="360" w:lineRule="auto"/>
        <w:ind w:firstLine="1296"/>
        <w:jc w:val="both"/>
        <w:rPr>
          <w:bCs/>
        </w:rPr>
      </w:pPr>
      <w:r w:rsidRPr="007344EA">
        <w:rPr>
          <w:bCs/>
        </w:rPr>
        <w:t>Vartotojų teisių apsauga</w:t>
      </w:r>
      <w:r w:rsidR="00224D1C" w:rsidRPr="007344EA">
        <w:rPr>
          <w:bCs/>
        </w:rPr>
        <w:t xml:space="preserve"> </w:t>
      </w:r>
      <w:r w:rsidR="00224D1C" w:rsidRPr="007344EA">
        <w:t>−</w:t>
      </w:r>
      <w:r w:rsidRPr="007344EA">
        <w:rPr>
          <w:bCs/>
        </w:rPr>
        <w:t xml:space="preserve"> ne vien tik nacionalinės, bet ir Europos Sąjungos teisės reguliuojama s</w:t>
      </w:r>
      <w:r w:rsidR="00537916" w:rsidRPr="007344EA">
        <w:rPr>
          <w:bCs/>
        </w:rPr>
        <w:t xml:space="preserve">ritis. </w:t>
      </w:r>
      <w:r w:rsidR="00FD4567" w:rsidRPr="007344EA">
        <w:rPr>
          <w:bCs/>
        </w:rPr>
        <w:t>Pagal SESV 4 s</w:t>
      </w:r>
      <w:r w:rsidR="005447E1" w:rsidRPr="007344EA">
        <w:rPr>
          <w:bCs/>
        </w:rPr>
        <w:t>traipsnį</w:t>
      </w:r>
      <w:r w:rsidR="00FD4567" w:rsidRPr="007344EA">
        <w:rPr>
          <w:bCs/>
        </w:rPr>
        <w:t xml:space="preserve"> vartotojų teisių apsauga priskiriama pasidalijamajai Sąjungos ir valstybių narių kompetencijai, o tai</w:t>
      </w:r>
      <w:r w:rsidR="00835CBF" w:rsidRPr="007344EA">
        <w:rPr>
          <w:bCs/>
        </w:rPr>
        <w:t xml:space="preserve"> savo ruoštu</w:t>
      </w:r>
      <w:r w:rsidR="00FD4567" w:rsidRPr="007344EA">
        <w:rPr>
          <w:bCs/>
        </w:rPr>
        <w:t xml:space="preserve"> reiškia, kad valstybės narės naudojasi savo kompetencija tiek</w:t>
      </w:r>
      <w:r w:rsidR="006615E4" w:rsidRPr="007344EA">
        <w:rPr>
          <w:bCs/>
        </w:rPr>
        <w:t xml:space="preserve">, kiek Sąjunga ja nepasinaudojo </w:t>
      </w:r>
      <w:r w:rsidR="00FD4567" w:rsidRPr="007344EA">
        <w:rPr>
          <w:bCs/>
        </w:rPr>
        <w:t>ar nu</w:t>
      </w:r>
      <w:r w:rsidR="003C32D6" w:rsidRPr="007344EA">
        <w:rPr>
          <w:bCs/>
        </w:rPr>
        <w:t>sprendė ne</w:t>
      </w:r>
      <w:r w:rsidR="00FD4567" w:rsidRPr="007344EA">
        <w:rPr>
          <w:bCs/>
        </w:rPr>
        <w:t xml:space="preserve">sinaudoti. </w:t>
      </w:r>
      <w:r w:rsidR="003C32D6" w:rsidRPr="007344EA">
        <w:rPr>
          <w:bCs/>
        </w:rPr>
        <w:t xml:space="preserve">Pirminėje ES teisėje vartotojų teisių apsaugai reguliuoti yra skirtas </w:t>
      </w:r>
      <w:r w:rsidR="006615E4" w:rsidRPr="007344EA">
        <w:rPr>
          <w:bCs/>
        </w:rPr>
        <w:t xml:space="preserve">SESV </w:t>
      </w:r>
      <w:r w:rsidR="003C32D6" w:rsidRPr="007344EA">
        <w:rPr>
          <w:bCs/>
        </w:rPr>
        <w:t>169 str</w:t>
      </w:r>
      <w:r w:rsidR="005447E1" w:rsidRPr="007344EA">
        <w:rPr>
          <w:bCs/>
        </w:rPr>
        <w:t>aipsnis</w:t>
      </w:r>
      <w:r w:rsidR="003C32D6" w:rsidRPr="007344EA">
        <w:rPr>
          <w:bCs/>
        </w:rPr>
        <w:t>,</w:t>
      </w:r>
      <w:r w:rsidR="0035535F" w:rsidRPr="007344EA">
        <w:rPr>
          <w:bCs/>
        </w:rPr>
        <w:t xml:space="preserve"> </w:t>
      </w:r>
      <w:r w:rsidR="003C32D6" w:rsidRPr="007344EA">
        <w:rPr>
          <w:bCs/>
        </w:rPr>
        <w:t xml:space="preserve">kuriame </w:t>
      </w:r>
      <w:r w:rsidR="006D2222" w:rsidRPr="007344EA">
        <w:rPr>
          <w:bCs/>
        </w:rPr>
        <w:t xml:space="preserve">pažymima, jog „siekdama remti vartotojų interesus ir užtikrinti vartotojų aukšto lygio apsaugą, Sąjunga padeda užtikrinti vartotojų sveikatą, saugą ir ekonominius interesus, taip pat skatinti jų </w:t>
      </w:r>
      <w:r w:rsidR="006D2222" w:rsidRPr="007344EA">
        <w:rPr>
          <w:bCs/>
        </w:rPr>
        <w:lastRenderedPageBreak/>
        <w:t>teisę į informaciją, šviečiamąją veiklą ir burtis į organizacijas savo interesams ginti“. Tinkama</w:t>
      </w:r>
      <w:r w:rsidR="00FB269F" w:rsidRPr="007344EA">
        <w:rPr>
          <w:bCs/>
        </w:rPr>
        <w:t>s</w:t>
      </w:r>
      <w:r w:rsidR="006D2222" w:rsidRPr="007344EA">
        <w:rPr>
          <w:bCs/>
        </w:rPr>
        <w:t xml:space="preserve"> vartotojo </w:t>
      </w:r>
      <w:r w:rsidR="005447E1" w:rsidRPr="007344EA">
        <w:rPr>
          <w:bCs/>
        </w:rPr>
        <w:t>teisių</w:t>
      </w:r>
      <w:r w:rsidR="006D2222" w:rsidRPr="007344EA">
        <w:rPr>
          <w:bCs/>
        </w:rPr>
        <w:t xml:space="preserve"> </w:t>
      </w:r>
      <w:r w:rsidR="00387AEB" w:rsidRPr="007344EA">
        <w:rPr>
          <w:bCs/>
        </w:rPr>
        <w:t>užtikrinimas</w:t>
      </w:r>
      <w:r w:rsidR="00FB269F" w:rsidRPr="007344EA">
        <w:rPr>
          <w:bCs/>
        </w:rPr>
        <w:t xml:space="preserve"> </w:t>
      </w:r>
      <w:r w:rsidR="0055397E" w:rsidRPr="007344EA">
        <w:rPr>
          <w:bCs/>
        </w:rPr>
        <w:t>be</w:t>
      </w:r>
      <w:r w:rsidR="00013EC2" w:rsidRPr="007344EA">
        <w:rPr>
          <w:bCs/>
        </w:rPr>
        <w:t>i</w:t>
      </w:r>
      <w:r w:rsidR="0055397E" w:rsidRPr="007344EA">
        <w:rPr>
          <w:bCs/>
        </w:rPr>
        <w:t xml:space="preserve"> </w:t>
      </w:r>
      <w:r w:rsidR="00013EC2" w:rsidRPr="007344EA">
        <w:rPr>
          <w:bCs/>
        </w:rPr>
        <w:t xml:space="preserve">vartotojo </w:t>
      </w:r>
      <w:r w:rsidR="0055397E" w:rsidRPr="007344EA">
        <w:rPr>
          <w:bCs/>
        </w:rPr>
        <w:t>interes</w:t>
      </w:r>
      <w:r w:rsidR="00013EC2" w:rsidRPr="007344EA">
        <w:rPr>
          <w:bCs/>
        </w:rPr>
        <w:t>ų</w:t>
      </w:r>
      <w:r w:rsidR="0055397E" w:rsidRPr="007344EA">
        <w:rPr>
          <w:bCs/>
        </w:rPr>
        <w:t xml:space="preserve"> prioritetas</w:t>
      </w:r>
      <w:r w:rsidR="00013EC2" w:rsidRPr="007344EA">
        <w:rPr>
          <w:bCs/>
        </w:rPr>
        <w:t xml:space="preserve"> Sąjungos pirminėje </w:t>
      </w:r>
      <w:r w:rsidR="00FB269F" w:rsidRPr="007344EA">
        <w:rPr>
          <w:bCs/>
        </w:rPr>
        <w:t>teisėje yra minimas i</w:t>
      </w:r>
      <w:r w:rsidR="00387AEB" w:rsidRPr="007344EA">
        <w:rPr>
          <w:bCs/>
        </w:rPr>
        <w:t xml:space="preserve">r žemės ūkio politikos </w:t>
      </w:r>
      <w:r w:rsidR="0055397E" w:rsidRPr="007344EA">
        <w:rPr>
          <w:bCs/>
        </w:rPr>
        <w:t>(</w:t>
      </w:r>
      <w:r w:rsidR="00013EC2" w:rsidRPr="007344EA">
        <w:rPr>
          <w:bCs/>
        </w:rPr>
        <w:t xml:space="preserve">SESV </w:t>
      </w:r>
      <w:r w:rsidR="0055397E" w:rsidRPr="007344EA">
        <w:rPr>
          <w:bCs/>
        </w:rPr>
        <w:t xml:space="preserve">39 ir 40 </w:t>
      </w:r>
      <w:r w:rsidR="005447E1" w:rsidRPr="007344EA">
        <w:rPr>
          <w:bCs/>
        </w:rPr>
        <w:t>straipsniai</w:t>
      </w:r>
      <w:r w:rsidR="0055397E" w:rsidRPr="007344EA">
        <w:rPr>
          <w:bCs/>
        </w:rPr>
        <w:t>)</w:t>
      </w:r>
      <w:r w:rsidR="00FB269F" w:rsidRPr="007344EA">
        <w:rPr>
          <w:bCs/>
        </w:rPr>
        <w:t>,</w:t>
      </w:r>
      <w:r w:rsidR="0055397E" w:rsidRPr="007344EA">
        <w:rPr>
          <w:bCs/>
        </w:rPr>
        <w:t xml:space="preserve"> transporto</w:t>
      </w:r>
      <w:r w:rsidR="00013EC2" w:rsidRPr="007344EA">
        <w:rPr>
          <w:bCs/>
        </w:rPr>
        <w:t xml:space="preserve"> </w:t>
      </w:r>
      <w:r w:rsidR="0055397E" w:rsidRPr="007344EA">
        <w:rPr>
          <w:bCs/>
        </w:rPr>
        <w:t>(</w:t>
      </w:r>
      <w:r w:rsidR="004B2F1A" w:rsidRPr="007344EA">
        <w:rPr>
          <w:bCs/>
        </w:rPr>
        <w:t xml:space="preserve">SESV </w:t>
      </w:r>
      <w:r w:rsidR="005447E1" w:rsidRPr="007344EA">
        <w:rPr>
          <w:bCs/>
        </w:rPr>
        <w:t>95 straipsnis</w:t>
      </w:r>
      <w:r w:rsidR="0055397E" w:rsidRPr="007344EA">
        <w:rPr>
          <w:bCs/>
        </w:rPr>
        <w:t>), konkurencijos</w:t>
      </w:r>
      <w:r w:rsidR="004B2F1A" w:rsidRPr="007344EA">
        <w:rPr>
          <w:bCs/>
        </w:rPr>
        <w:t xml:space="preserve"> </w:t>
      </w:r>
      <w:r w:rsidR="0055397E" w:rsidRPr="007344EA">
        <w:rPr>
          <w:bCs/>
        </w:rPr>
        <w:t>(</w:t>
      </w:r>
      <w:r w:rsidR="004B2F1A" w:rsidRPr="007344EA">
        <w:rPr>
          <w:bCs/>
        </w:rPr>
        <w:t xml:space="preserve">SESV </w:t>
      </w:r>
      <w:r w:rsidR="0055397E" w:rsidRPr="007344EA">
        <w:rPr>
          <w:bCs/>
        </w:rPr>
        <w:t>101</w:t>
      </w:r>
      <w:r w:rsidR="004B2F1A" w:rsidRPr="007344EA">
        <w:rPr>
          <w:bCs/>
        </w:rPr>
        <w:t xml:space="preserve"> ir </w:t>
      </w:r>
      <w:r w:rsidR="005447E1" w:rsidRPr="007344EA">
        <w:rPr>
          <w:bCs/>
        </w:rPr>
        <w:t>102 straipsniai</w:t>
      </w:r>
      <w:r w:rsidR="0055397E" w:rsidRPr="007344EA">
        <w:rPr>
          <w:bCs/>
        </w:rPr>
        <w:t>), valstybės pagalbos</w:t>
      </w:r>
      <w:r w:rsidR="00013EC2" w:rsidRPr="007344EA">
        <w:rPr>
          <w:bCs/>
        </w:rPr>
        <w:t xml:space="preserve"> </w:t>
      </w:r>
      <w:r w:rsidR="005447E1" w:rsidRPr="007344EA">
        <w:rPr>
          <w:bCs/>
        </w:rPr>
        <w:t>(SESV 107 straipsnis</w:t>
      </w:r>
      <w:r w:rsidR="001C733B" w:rsidRPr="007344EA">
        <w:rPr>
          <w:bCs/>
        </w:rPr>
        <w:t xml:space="preserve">) </w:t>
      </w:r>
      <w:r w:rsidR="00013EC2" w:rsidRPr="007344EA">
        <w:rPr>
          <w:bCs/>
        </w:rPr>
        <w:t>s</w:t>
      </w:r>
      <w:r w:rsidR="004B2F1A" w:rsidRPr="007344EA">
        <w:rPr>
          <w:bCs/>
        </w:rPr>
        <w:t>r</w:t>
      </w:r>
      <w:r w:rsidR="00013EC2" w:rsidRPr="007344EA">
        <w:rPr>
          <w:bCs/>
        </w:rPr>
        <w:t>ityse</w:t>
      </w:r>
      <w:r w:rsidR="004B2F1A" w:rsidRPr="007344EA">
        <w:rPr>
          <w:bCs/>
        </w:rPr>
        <w:t>, taip pat Sąjunga yra įp</w:t>
      </w:r>
      <w:r w:rsidR="00482854" w:rsidRPr="007344EA">
        <w:rPr>
          <w:bCs/>
        </w:rPr>
        <w:t>areigota atsižvelgti į vartotojų</w:t>
      </w:r>
      <w:r w:rsidR="004B2F1A" w:rsidRPr="007344EA">
        <w:rPr>
          <w:bCs/>
        </w:rPr>
        <w:t xml:space="preserve"> apsaugos reikalavimus nustatant bei įgyvendinant kitas Sąjungos politikos ir veiklos kryptis </w:t>
      </w:r>
      <w:r w:rsidR="00013EC2" w:rsidRPr="007344EA">
        <w:rPr>
          <w:bCs/>
        </w:rPr>
        <w:t>(</w:t>
      </w:r>
      <w:r w:rsidR="00F07649" w:rsidRPr="007344EA">
        <w:rPr>
          <w:bCs/>
        </w:rPr>
        <w:t xml:space="preserve">SESV </w:t>
      </w:r>
      <w:r w:rsidR="005447E1" w:rsidRPr="007344EA">
        <w:rPr>
          <w:bCs/>
        </w:rPr>
        <w:t>12 straipsnis</w:t>
      </w:r>
      <w:r w:rsidR="00013EC2" w:rsidRPr="007344EA">
        <w:rPr>
          <w:bCs/>
        </w:rPr>
        <w:t>)</w:t>
      </w:r>
      <w:r w:rsidR="004B2F1A" w:rsidRPr="007344EA">
        <w:rPr>
          <w:bCs/>
        </w:rPr>
        <w:t>.</w:t>
      </w:r>
      <w:r w:rsidR="009138BA" w:rsidRPr="007344EA">
        <w:rPr>
          <w:bCs/>
        </w:rPr>
        <w:t xml:space="preserve"> </w:t>
      </w:r>
      <w:r w:rsidR="0035535F" w:rsidRPr="007344EA">
        <w:rPr>
          <w:bCs/>
        </w:rPr>
        <w:t xml:space="preserve">Vartotojo interesų apsaugos reglamentavimas pirminėje teisėje neapsiriboja vien tik </w:t>
      </w:r>
      <w:r w:rsidR="006D5D85" w:rsidRPr="007344EA">
        <w:rPr>
          <w:bCs/>
        </w:rPr>
        <w:t>SESV esančiose nuostatose</w:t>
      </w:r>
      <w:r w:rsidR="00537916" w:rsidRPr="007344EA">
        <w:rPr>
          <w:bCs/>
        </w:rPr>
        <w:t>.</w:t>
      </w:r>
      <w:r w:rsidR="00E25BC0" w:rsidRPr="007344EA">
        <w:rPr>
          <w:bCs/>
        </w:rPr>
        <w:t xml:space="preserve"> Vartotojų teisių apsaugos prioritetas įtvirtintas ir </w:t>
      </w:r>
      <w:r w:rsidR="006D5D85" w:rsidRPr="007344EA">
        <w:rPr>
          <w:bCs/>
        </w:rPr>
        <w:t xml:space="preserve"> Protokole (Nr. 26) dėl bendrus interesus tenkinančių paslaugų (1 s</w:t>
      </w:r>
      <w:r w:rsidR="00543D91" w:rsidRPr="007344EA">
        <w:rPr>
          <w:bCs/>
        </w:rPr>
        <w:t>traipsnis</w:t>
      </w:r>
      <w:r w:rsidR="006D5D85" w:rsidRPr="007344EA">
        <w:rPr>
          <w:bCs/>
        </w:rPr>
        <w:t xml:space="preserve">) bei </w:t>
      </w:r>
      <w:r w:rsidR="0035535F" w:rsidRPr="007344EA">
        <w:rPr>
          <w:bCs/>
        </w:rPr>
        <w:t xml:space="preserve"> </w:t>
      </w:r>
      <w:r w:rsidR="006D5D85" w:rsidRPr="007344EA">
        <w:rPr>
          <w:bCs/>
        </w:rPr>
        <w:t>Europos Sąjungos pagrindinių teisių chartijos 38 st</w:t>
      </w:r>
      <w:r w:rsidR="009A5D65" w:rsidRPr="007344EA">
        <w:rPr>
          <w:bCs/>
        </w:rPr>
        <w:t>r</w:t>
      </w:r>
      <w:r w:rsidR="00543D91" w:rsidRPr="007344EA">
        <w:rPr>
          <w:bCs/>
        </w:rPr>
        <w:t>aipsnyje</w:t>
      </w:r>
      <w:r w:rsidR="009A5D65" w:rsidRPr="007344EA">
        <w:rPr>
          <w:bCs/>
        </w:rPr>
        <w:t xml:space="preserve">, kuriame </w:t>
      </w:r>
      <w:r w:rsidR="00004EE6" w:rsidRPr="007344EA">
        <w:rPr>
          <w:bCs/>
        </w:rPr>
        <w:t>išreiški</w:t>
      </w:r>
      <w:r w:rsidR="00C125F1" w:rsidRPr="007344EA">
        <w:rPr>
          <w:bCs/>
        </w:rPr>
        <w:t>a</w:t>
      </w:r>
      <w:r w:rsidR="00004EE6" w:rsidRPr="007344EA">
        <w:rPr>
          <w:bCs/>
        </w:rPr>
        <w:t>ma</w:t>
      </w:r>
      <w:r w:rsidR="007275B8" w:rsidRPr="007344EA">
        <w:rPr>
          <w:bCs/>
        </w:rPr>
        <w:t xml:space="preserve"> deklaracija:</w:t>
      </w:r>
      <w:r w:rsidR="009A5D65" w:rsidRPr="007344EA">
        <w:rPr>
          <w:bCs/>
        </w:rPr>
        <w:t xml:space="preserve"> „</w:t>
      </w:r>
      <w:r w:rsidR="006D5D85" w:rsidRPr="007344EA">
        <w:rPr>
          <w:bCs/>
        </w:rPr>
        <w:t>Sąjungos politika užtikrina a</w:t>
      </w:r>
      <w:r w:rsidR="007B4933" w:rsidRPr="007344EA">
        <w:rPr>
          <w:bCs/>
        </w:rPr>
        <w:t>ukštą vartotojų apsaugos lygį“.</w:t>
      </w:r>
      <w:r w:rsidR="00482854" w:rsidRPr="007344EA">
        <w:rPr>
          <w:bCs/>
        </w:rPr>
        <w:t xml:space="preserve"> </w:t>
      </w:r>
      <w:r w:rsidR="00DA0BA6" w:rsidRPr="007344EA">
        <w:rPr>
          <w:bCs/>
        </w:rPr>
        <w:t>Iš pateiktų pirminės teisės nuostatų matyti, kad n</w:t>
      </w:r>
      <w:r w:rsidR="007B4933" w:rsidRPr="007344EA">
        <w:rPr>
          <w:bCs/>
        </w:rPr>
        <w:t xml:space="preserve">ors ir fragmentiškai, </w:t>
      </w:r>
      <w:r w:rsidR="00DA0BA6" w:rsidRPr="007344EA">
        <w:rPr>
          <w:bCs/>
        </w:rPr>
        <w:t xml:space="preserve">tačiau </w:t>
      </w:r>
      <w:r w:rsidR="007B4933" w:rsidRPr="007344EA">
        <w:rPr>
          <w:bCs/>
        </w:rPr>
        <w:t>vartotojų teisių apsaugos principas</w:t>
      </w:r>
      <w:r w:rsidR="00C83617" w:rsidRPr="007344EA">
        <w:rPr>
          <w:bCs/>
        </w:rPr>
        <w:t xml:space="preserve"> </w:t>
      </w:r>
      <w:r w:rsidR="007B4933" w:rsidRPr="007344EA">
        <w:rPr>
          <w:bCs/>
        </w:rPr>
        <w:t>pirminėje ES teisėje prasiskverb</w:t>
      </w:r>
      <w:r w:rsidR="0072529F" w:rsidRPr="007344EA">
        <w:rPr>
          <w:bCs/>
        </w:rPr>
        <w:t>ęs</w:t>
      </w:r>
      <w:r w:rsidR="007B4933" w:rsidRPr="007344EA">
        <w:rPr>
          <w:bCs/>
        </w:rPr>
        <w:t xml:space="preserve"> </w:t>
      </w:r>
      <w:r w:rsidR="00004EE6" w:rsidRPr="007344EA">
        <w:rPr>
          <w:bCs/>
        </w:rPr>
        <w:t>į daugelį Sąjungos reguliuojamų</w:t>
      </w:r>
      <w:r w:rsidR="007B4933" w:rsidRPr="007344EA">
        <w:rPr>
          <w:bCs/>
        </w:rPr>
        <w:t xml:space="preserve"> sričių. </w:t>
      </w:r>
    </w:p>
    <w:p w:rsidR="00E25BC0" w:rsidRPr="007344EA" w:rsidRDefault="00E25BC0" w:rsidP="006E00E1">
      <w:pPr>
        <w:pStyle w:val="Default"/>
        <w:spacing w:line="360" w:lineRule="auto"/>
        <w:ind w:firstLine="1296"/>
        <w:jc w:val="both"/>
        <w:rPr>
          <w:bCs/>
        </w:rPr>
      </w:pPr>
      <w:r w:rsidRPr="007344EA">
        <w:rPr>
          <w:bCs/>
        </w:rPr>
        <w:t xml:space="preserve">Europos </w:t>
      </w:r>
      <w:r w:rsidR="007C409F" w:rsidRPr="007344EA">
        <w:rPr>
          <w:bCs/>
        </w:rPr>
        <w:t>Bendrijos</w:t>
      </w:r>
      <w:r w:rsidRPr="007344EA">
        <w:rPr>
          <w:bCs/>
        </w:rPr>
        <w:t xml:space="preserve"> Taryboje 1993 m.  balandžio 4 d. buvo priimta Direktyva 93/13/</w:t>
      </w:r>
      <w:r w:rsidRPr="007344EA">
        <w:rPr>
          <w:b/>
          <w:bCs/>
        </w:rPr>
        <w:t xml:space="preserve"> </w:t>
      </w:r>
      <w:r w:rsidRPr="007344EA">
        <w:rPr>
          <w:bCs/>
        </w:rPr>
        <w:t>EEB dėl nesąžiningų sąlygų sutartyse s</w:t>
      </w:r>
      <w:r w:rsidR="00427D09" w:rsidRPr="007344EA">
        <w:rPr>
          <w:bCs/>
        </w:rPr>
        <w:t>u vartotojais</w:t>
      </w:r>
      <w:r w:rsidR="008205F7" w:rsidRPr="007344EA">
        <w:rPr>
          <w:rStyle w:val="FootnoteReference"/>
          <w:bCs/>
        </w:rPr>
        <w:footnoteReference w:id="3"/>
      </w:r>
      <w:r w:rsidR="00972FEC" w:rsidRPr="007344EA">
        <w:rPr>
          <w:bCs/>
        </w:rPr>
        <w:t xml:space="preserve"> </w:t>
      </w:r>
      <w:r w:rsidR="00427D09" w:rsidRPr="007344EA">
        <w:rPr>
          <w:bCs/>
        </w:rPr>
        <w:t>(toliau</w:t>
      </w:r>
      <w:r w:rsidR="00224D1C" w:rsidRPr="007344EA">
        <w:rPr>
          <w:bCs/>
        </w:rPr>
        <w:t xml:space="preserve"> </w:t>
      </w:r>
      <w:r w:rsidR="00224D1C" w:rsidRPr="007344EA">
        <w:t>−</w:t>
      </w:r>
      <w:r w:rsidR="00427D09" w:rsidRPr="007344EA">
        <w:rPr>
          <w:bCs/>
        </w:rPr>
        <w:t xml:space="preserve"> Direktyva 93/13). </w:t>
      </w:r>
      <w:r w:rsidR="007275B8" w:rsidRPr="007344EA">
        <w:rPr>
          <w:bCs/>
        </w:rPr>
        <w:t xml:space="preserve">Tai viena iš pirmųjų direktyvų priimtų vartotojų teisių apsaugos srityje. </w:t>
      </w:r>
      <w:r w:rsidR="00ED12A3" w:rsidRPr="007344EA">
        <w:rPr>
          <w:bCs/>
        </w:rPr>
        <w:t xml:space="preserve">Iki Direktyvos 93/13 buvo priimtos </w:t>
      </w:r>
      <w:r w:rsidR="003C51F5" w:rsidRPr="007344EA">
        <w:rPr>
          <w:bCs/>
        </w:rPr>
        <w:t>direktyvos</w:t>
      </w:r>
      <w:r w:rsidR="00FF658E" w:rsidRPr="007344EA">
        <w:rPr>
          <w:bCs/>
        </w:rPr>
        <w:t xml:space="preserve"> </w:t>
      </w:r>
      <w:r w:rsidR="00027D8D" w:rsidRPr="007344EA">
        <w:rPr>
          <w:bCs/>
        </w:rPr>
        <w:t>derinančios</w:t>
      </w:r>
      <w:r w:rsidR="008E2829" w:rsidRPr="007344EA">
        <w:rPr>
          <w:bCs/>
        </w:rPr>
        <w:t xml:space="preserve"> −</w:t>
      </w:r>
      <w:r w:rsidR="003C51F5" w:rsidRPr="007344EA">
        <w:rPr>
          <w:bCs/>
        </w:rPr>
        <w:t xml:space="preserve"> klaidinančios reklamos</w:t>
      </w:r>
      <w:r w:rsidR="00027D8D" w:rsidRPr="007344EA">
        <w:rPr>
          <w:rStyle w:val="FootnoteReference"/>
          <w:bCs/>
        </w:rPr>
        <w:footnoteReference w:id="4"/>
      </w:r>
      <w:r w:rsidR="003C51F5" w:rsidRPr="007344EA">
        <w:rPr>
          <w:bCs/>
        </w:rPr>
        <w:t>, sutarčių,</w:t>
      </w:r>
      <w:r w:rsidR="009B2915" w:rsidRPr="007344EA">
        <w:rPr>
          <w:bCs/>
        </w:rPr>
        <w:t xml:space="preserve"> </w:t>
      </w:r>
      <w:r w:rsidR="003C51F5" w:rsidRPr="007344EA">
        <w:rPr>
          <w:bCs/>
        </w:rPr>
        <w:t xml:space="preserve">sudarytų ne prekybai skirtose </w:t>
      </w:r>
      <w:r w:rsidR="00027D8D" w:rsidRPr="007344EA">
        <w:rPr>
          <w:bCs/>
        </w:rPr>
        <w:t>patalpos</w:t>
      </w:r>
      <w:r w:rsidR="003C51F5" w:rsidRPr="007344EA">
        <w:rPr>
          <w:bCs/>
        </w:rPr>
        <w:t>e</w:t>
      </w:r>
      <w:r w:rsidR="00027D8D" w:rsidRPr="007344EA">
        <w:rPr>
          <w:rStyle w:val="FootnoteReference"/>
          <w:bCs/>
        </w:rPr>
        <w:footnoteReference w:id="5"/>
      </w:r>
      <w:r w:rsidR="003C51F5" w:rsidRPr="007344EA">
        <w:rPr>
          <w:bCs/>
        </w:rPr>
        <w:t xml:space="preserve">, </w:t>
      </w:r>
      <w:r w:rsidR="009B2915" w:rsidRPr="007344EA">
        <w:rPr>
          <w:bCs/>
        </w:rPr>
        <w:t>atsakomybės už gaminius su trūkumais</w:t>
      </w:r>
      <w:r w:rsidR="00027D8D" w:rsidRPr="007344EA">
        <w:rPr>
          <w:rStyle w:val="FootnoteReference"/>
          <w:bCs/>
        </w:rPr>
        <w:footnoteReference w:id="6"/>
      </w:r>
      <w:r w:rsidR="009B2915" w:rsidRPr="007344EA">
        <w:rPr>
          <w:bCs/>
        </w:rPr>
        <w:t>, vartojimo kreditų</w:t>
      </w:r>
      <w:r w:rsidR="00027D8D" w:rsidRPr="007344EA">
        <w:rPr>
          <w:rStyle w:val="FootnoteReference"/>
          <w:bCs/>
        </w:rPr>
        <w:footnoteReference w:id="7"/>
      </w:r>
      <w:r w:rsidR="009B2915" w:rsidRPr="007344EA">
        <w:rPr>
          <w:bCs/>
        </w:rPr>
        <w:t>, bendros gaminių saugos</w:t>
      </w:r>
      <w:r w:rsidR="00027D8D" w:rsidRPr="007344EA">
        <w:rPr>
          <w:rStyle w:val="FootnoteReference"/>
          <w:bCs/>
        </w:rPr>
        <w:footnoteReference w:id="8"/>
      </w:r>
      <w:r w:rsidR="009B2915" w:rsidRPr="007344EA">
        <w:rPr>
          <w:bCs/>
        </w:rPr>
        <w:t>, kelionių ir organizuotų išvykų paketų</w:t>
      </w:r>
      <w:r w:rsidR="00027D8D" w:rsidRPr="007344EA">
        <w:rPr>
          <w:rStyle w:val="FootnoteReference"/>
          <w:bCs/>
        </w:rPr>
        <w:footnoteReference w:id="9"/>
      </w:r>
      <w:r w:rsidR="00D579B5" w:rsidRPr="007344EA">
        <w:rPr>
          <w:bCs/>
        </w:rPr>
        <w:t xml:space="preserve"> </w:t>
      </w:r>
      <w:r w:rsidR="008E2829" w:rsidRPr="007344EA">
        <w:rPr>
          <w:bCs/>
        </w:rPr>
        <w:t xml:space="preserve">− </w:t>
      </w:r>
      <w:r w:rsidR="00543D91" w:rsidRPr="007344EA">
        <w:rPr>
          <w:bCs/>
        </w:rPr>
        <w:t xml:space="preserve">valstybių narių teisės </w:t>
      </w:r>
      <w:r w:rsidR="00D579B5" w:rsidRPr="007344EA">
        <w:rPr>
          <w:bCs/>
        </w:rPr>
        <w:t>normas</w:t>
      </w:r>
      <w:r w:rsidR="00027D8D" w:rsidRPr="007344EA">
        <w:rPr>
          <w:bCs/>
        </w:rPr>
        <w:t xml:space="preserve"> Sąjungos mastu.</w:t>
      </w:r>
      <w:r w:rsidR="00FF658E" w:rsidRPr="007344EA">
        <w:rPr>
          <w:bCs/>
        </w:rPr>
        <w:t xml:space="preserve"> Šiuo metu vartotojų </w:t>
      </w:r>
      <w:r w:rsidR="00FF658E" w:rsidRPr="007344EA">
        <w:rPr>
          <w:bCs/>
          <w:i/>
        </w:rPr>
        <w:t>acquis</w:t>
      </w:r>
      <w:r w:rsidR="00FF658E" w:rsidRPr="007344EA">
        <w:rPr>
          <w:bCs/>
        </w:rPr>
        <w:t xml:space="preserve"> sudaro </w:t>
      </w:r>
      <w:r w:rsidR="008205F7" w:rsidRPr="007344EA">
        <w:rPr>
          <w:bCs/>
        </w:rPr>
        <w:t xml:space="preserve"> </w:t>
      </w:r>
      <w:r w:rsidR="00FF658E" w:rsidRPr="007344EA">
        <w:rPr>
          <w:bCs/>
        </w:rPr>
        <w:t xml:space="preserve">16 </w:t>
      </w:r>
      <w:r w:rsidR="00D579B5" w:rsidRPr="007344EA">
        <w:rPr>
          <w:bCs/>
        </w:rPr>
        <w:t xml:space="preserve">direktyvų bei reglamentų. </w:t>
      </w:r>
    </w:p>
    <w:p w:rsidR="00F90F89" w:rsidRPr="007344EA" w:rsidRDefault="009F43B2" w:rsidP="006E00E1">
      <w:pPr>
        <w:pStyle w:val="Default"/>
        <w:spacing w:line="360" w:lineRule="auto"/>
        <w:ind w:firstLine="1296"/>
        <w:jc w:val="both"/>
      </w:pPr>
      <w:r w:rsidRPr="007344EA">
        <w:rPr>
          <w:bCs/>
        </w:rPr>
        <w:t>Magistro baigiamojo darbo tema „Europos Teisingumo Teism</w:t>
      </w:r>
      <w:r w:rsidR="005E6D83" w:rsidRPr="007344EA">
        <w:rPr>
          <w:bCs/>
        </w:rPr>
        <w:t>o</w:t>
      </w:r>
      <w:r w:rsidRPr="007344EA">
        <w:rPr>
          <w:rStyle w:val="FootnoteReference"/>
          <w:bCs/>
        </w:rPr>
        <w:footnoteReference w:id="10"/>
      </w:r>
      <w:r w:rsidRPr="007344EA">
        <w:rPr>
          <w:bCs/>
        </w:rPr>
        <w:t xml:space="preserve"> praktika </w:t>
      </w:r>
      <w:r w:rsidR="000C33FA" w:rsidRPr="007344EA">
        <w:rPr>
          <w:bCs/>
        </w:rPr>
        <w:t xml:space="preserve">dėl nesąžiningų </w:t>
      </w:r>
      <w:r w:rsidRPr="007344EA">
        <w:rPr>
          <w:bCs/>
        </w:rPr>
        <w:t xml:space="preserve">sąlygų taikymo vartojimo sutartyse“ </w:t>
      </w:r>
      <w:r w:rsidR="00887FFC" w:rsidRPr="007344EA">
        <w:rPr>
          <w:bCs/>
        </w:rPr>
        <w:t xml:space="preserve">aktuali </w:t>
      </w:r>
      <w:r w:rsidR="00C05867" w:rsidRPr="007344EA">
        <w:rPr>
          <w:bCs/>
        </w:rPr>
        <w:t xml:space="preserve">tiek teisės praktikai, tiek doktrinai. </w:t>
      </w:r>
      <w:r w:rsidR="00887FFC" w:rsidRPr="007344EA">
        <w:lastRenderedPageBreak/>
        <w:t xml:space="preserve">Europos Komisijos </w:t>
      </w:r>
      <w:r w:rsidRPr="007344EA">
        <w:t>pa</w:t>
      </w:r>
      <w:r w:rsidR="00887FFC" w:rsidRPr="007344EA">
        <w:t xml:space="preserve">teiktoje Žaliojoje Knygoje dėl Vartotojų </w:t>
      </w:r>
      <w:r w:rsidR="00887FFC" w:rsidRPr="007344EA">
        <w:rPr>
          <w:i/>
        </w:rPr>
        <w:t>acquis</w:t>
      </w:r>
      <w:r w:rsidR="00887FFC" w:rsidRPr="007344EA">
        <w:t xml:space="preserve"> persvarstymo</w:t>
      </w:r>
      <w:r w:rsidR="001E12FF" w:rsidRPr="007344EA">
        <w:t xml:space="preserve">, </w:t>
      </w:r>
      <w:r w:rsidR="0091556B" w:rsidRPr="007344EA">
        <w:t xml:space="preserve">analizuojant </w:t>
      </w:r>
      <w:r w:rsidR="008205F7" w:rsidRPr="007344EA">
        <w:rPr>
          <w:bCs/>
        </w:rPr>
        <w:t>Direktyvą 93/13</w:t>
      </w:r>
      <w:r w:rsidR="001E12FF" w:rsidRPr="007344EA">
        <w:rPr>
          <w:bCs/>
        </w:rPr>
        <w:t xml:space="preserve"> dėl nesąžiningų sąlygų </w:t>
      </w:r>
      <w:r w:rsidR="00B24898" w:rsidRPr="007344EA">
        <w:rPr>
          <w:bCs/>
        </w:rPr>
        <w:t>sutartyse su vartotojais</w:t>
      </w:r>
      <w:r w:rsidR="00DA0BA6" w:rsidRPr="007344EA">
        <w:rPr>
          <w:bCs/>
        </w:rPr>
        <w:t>,</w:t>
      </w:r>
      <w:r w:rsidR="00F2391B" w:rsidRPr="007344EA">
        <w:t xml:space="preserve"> </w:t>
      </w:r>
      <w:r w:rsidR="00702149" w:rsidRPr="007344EA">
        <w:t>pažymima</w:t>
      </w:r>
      <w:r w:rsidR="00F2391B" w:rsidRPr="007344EA">
        <w:t>, kad „</w:t>
      </w:r>
      <w:r w:rsidR="00E42132" w:rsidRPr="007344EA">
        <w:t>praktinė problemų</w:t>
      </w:r>
      <w:r w:rsidR="00F2391B" w:rsidRPr="007344EA">
        <w:t xml:space="preserve"> reikšmė yra akivaizdi, kadangi didelė Europos vartotojų centrams adresuotų skundų dalis</w:t>
      </w:r>
      <w:r w:rsidR="00F2391B" w:rsidRPr="007344EA">
        <w:rPr>
          <w:rStyle w:val="FootnoteReference"/>
        </w:rPr>
        <w:footnoteReference w:id="11"/>
      </w:r>
      <w:r w:rsidR="00F2391B" w:rsidRPr="007344EA">
        <w:t xml:space="preserve"> yra susijusi su sutarčių sąlygomis“</w:t>
      </w:r>
      <w:r w:rsidR="00F2391B" w:rsidRPr="007344EA">
        <w:rPr>
          <w:rStyle w:val="FootnoteReference"/>
        </w:rPr>
        <w:footnoteReference w:id="12"/>
      </w:r>
      <w:r w:rsidR="00F2391B" w:rsidRPr="007344EA">
        <w:t>.</w:t>
      </w:r>
      <w:r w:rsidR="00B566A5" w:rsidRPr="007344EA">
        <w:t xml:space="preserve"> </w:t>
      </w:r>
      <w:r w:rsidR="00887FFC" w:rsidRPr="007344EA">
        <w:rPr>
          <w:bCs/>
        </w:rPr>
        <w:t xml:space="preserve"> </w:t>
      </w:r>
      <w:r w:rsidR="0091556B" w:rsidRPr="007344EA">
        <w:rPr>
          <w:bCs/>
        </w:rPr>
        <w:t>Šiai</w:t>
      </w:r>
      <w:r w:rsidR="001E12FF" w:rsidRPr="007344EA">
        <w:rPr>
          <w:bCs/>
        </w:rPr>
        <w:t xml:space="preserve"> pozicij</w:t>
      </w:r>
      <w:r w:rsidR="0091556B" w:rsidRPr="007344EA">
        <w:rPr>
          <w:bCs/>
        </w:rPr>
        <w:t>ai</w:t>
      </w:r>
      <w:r w:rsidR="001E12FF" w:rsidRPr="007344EA">
        <w:rPr>
          <w:bCs/>
        </w:rPr>
        <w:t xml:space="preserve"> p</w:t>
      </w:r>
      <w:r w:rsidR="001E56CC" w:rsidRPr="007344EA">
        <w:rPr>
          <w:bCs/>
        </w:rPr>
        <w:t>ritaria</w:t>
      </w:r>
      <w:r w:rsidR="001E12FF" w:rsidRPr="007344EA">
        <w:rPr>
          <w:bCs/>
        </w:rPr>
        <w:t xml:space="preserve"> ir doktrinos atsto</w:t>
      </w:r>
      <w:r w:rsidR="00702149" w:rsidRPr="007344EA">
        <w:rPr>
          <w:bCs/>
        </w:rPr>
        <w:t>vai, teigdami, kad</w:t>
      </w:r>
      <w:r w:rsidR="001E12FF" w:rsidRPr="007344EA">
        <w:rPr>
          <w:bCs/>
        </w:rPr>
        <w:t xml:space="preserve"> „n</w:t>
      </w:r>
      <w:r w:rsidR="002B5AC9" w:rsidRPr="007344EA">
        <w:t>esąžiningų sutarčių sąlygos yra vienos iš dažniausiai pasitaikančių ir problemiškiausių vartojimo sutarčių teisės aspektų</w:t>
      </w:r>
      <w:r w:rsidR="001E12FF" w:rsidRPr="007344EA">
        <w:t>“</w:t>
      </w:r>
      <w:r w:rsidR="002B5AC9" w:rsidRPr="007344EA">
        <w:rPr>
          <w:rStyle w:val="FootnoteReference"/>
        </w:rPr>
        <w:footnoteReference w:id="13"/>
      </w:r>
      <w:r w:rsidR="001E12FF" w:rsidRPr="007344EA">
        <w:t>.</w:t>
      </w:r>
      <w:r w:rsidR="00702149" w:rsidRPr="007344EA">
        <w:t xml:space="preserve"> </w:t>
      </w:r>
      <w:r w:rsidR="000C7B37" w:rsidRPr="007344EA">
        <w:t>Ir n</w:t>
      </w:r>
      <w:r w:rsidR="00EA2557" w:rsidRPr="007344EA">
        <w:t xml:space="preserve">ors Direktyva 93/13 buvo priimta beveik prieš </w:t>
      </w:r>
      <w:r w:rsidR="00B24898" w:rsidRPr="007344EA">
        <w:t xml:space="preserve">20 </w:t>
      </w:r>
      <w:r w:rsidR="00EA2557" w:rsidRPr="007344EA">
        <w:t>metų ir „nuo pat priėmimo ši direktyva iš principo nebuvo keista, tačiau, kaip rodo didelis prašymų priimti prejudicinį sprendimą skaičius, dėl jos vis dar kyla tiek materialinės, tiek proceso teisės pobūdžio klausimų“</w:t>
      </w:r>
      <w:r w:rsidR="00EA2557" w:rsidRPr="007344EA">
        <w:rPr>
          <w:rStyle w:val="FootnoteReference"/>
        </w:rPr>
        <w:footnoteReference w:id="14"/>
      </w:r>
      <w:r w:rsidR="00B24898" w:rsidRPr="007344EA">
        <w:t>.</w:t>
      </w:r>
      <w:r w:rsidR="00EA2557" w:rsidRPr="007344EA">
        <w:t xml:space="preserve"> </w:t>
      </w:r>
      <w:r w:rsidR="000D1258" w:rsidRPr="007344EA">
        <w:t>„</w:t>
      </w:r>
      <w:r w:rsidR="0075176B" w:rsidRPr="007344EA">
        <w:t>J</w:t>
      </w:r>
      <w:r w:rsidR="00FA1C52" w:rsidRPr="007344EA">
        <w:t xml:space="preserve">a </w:t>
      </w:r>
      <w:r w:rsidR="002B5AC9" w:rsidRPr="007344EA">
        <w:t>siekiama ginti ne tik sutarties šalių interesus, bet ir visą teisinę ir ekonominę tvarką, nes nesąžiningų sąlygų naudojimas pažeidžia ne tik pačių šal</w:t>
      </w:r>
      <w:r w:rsidR="000D1258" w:rsidRPr="007344EA">
        <w:t>ių, bet ir visuome</w:t>
      </w:r>
      <w:r w:rsidR="002A02F0" w:rsidRPr="007344EA">
        <w:t>nės interesus</w:t>
      </w:r>
      <w:r w:rsidR="000D1258" w:rsidRPr="007344EA">
        <w:t>“</w:t>
      </w:r>
      <w:r w:rsidR="002B5AC9" w:rsidRPr="007344EA">
        <w:rPr>
          <w:rStyle w:val="FootnoteReference"/>
        </w:rPr>
        <w:footnoteReference w:id="15"/>
      </w:r>
      <w:r w:rsidR="002A02F0" w:rsidRPr="007344EA">
        <w:t xml:space="preserve">, todėl </w:t>
      </w:r>
      <w:r w:rsidR="00B24898" w:rsidRPr="007344EA">
        <w:t>tinkamas Direktyvos</w:t>
      </w:r>
      <w:r w:rsidR="00DE2673" w:rsidRPr="007344EA">
        <w:t xml:space="preserve"> 93/13</w:t>
      </w:r>
      <w:r w:rsidR="00B24898" w:rsidRPr="007344EA">
        <w:t xml:space="preserve"> nuostatų taikymas neapsiriboja vien</w:t>
      </w:r>
      <w:r w:rsidR="00A87019" w:rsidRPr="007344EA">
        <w:t xml:space="preserve"> </w:t>
      </w:r>
      <w:r w:rsidR="00B24898" w:rsidRPr="007344EA">
        <w:t>vartotojo interes</w:t>
      </w:r>
      <w:r w:rsidR="00190BCF" w:rsidRPr="007344EA">
        <w:t>ų</w:t>
      </w:r>
      <w:r w:rsidR="00B24898" w:rsidRPr="007344EA">
        <w:t xml:space="preserve"> apsauga.</w:t>
      </w:r>
    </w:p>
    <w:p w:rsidR="00184659" w:rsidRPr="007344EA" w:rsidRDefault="00B24898" w:rsidP="006E00E1">
      <w:pPr>
        <w:pStyle w:val="Default"/>
        <w:spacing w:line="360" w:lineRule="auto"/>
        <w:ind w:firstLine="1296"/>
        <w:jc w:val="both"/>
      </w:pPr>
      <w:r w:rsidRPr="007344EA">
        <w:t xml:space="preserve"> </w:t>
      </w:r>
      <w:r w:rsidR="00F90F89" w:rsidRPr="007344EA">
        <w:t xml:space="preserve">Lietuvos Respublikai įstojus į Europos Sąjungą, Lietuvos teismai tapo Europos Sąjungos </w:t>
      </w:r>
      <w:r w:rsidR="007C409F" w:rsidRPr="007344EA">
        <w:t>teisę taikančiais teismais</w:t>
      </w:r>
      <w:r w:rsidR="00F90F89" w:rsidRPr="007344EA">
        <w:t>, o Europos Sąjungos teisė – nacionalinių teismų kasdienės analizės objektu.</w:t>
      </w:r>
      <w:r w:rsidR="00F90F89" w:rsidRPr="007344EA">
        <w:rPr>
          <w:rStyle w:val="FootnoteReference"/>
        </w:rPr>
        <w:footnoteReference w:id="16"/>
      </w:r>
      <w:r w:rsidR="00F90F89" w:rsidRPr="007344EA">
        <w:rPr>
          <w:rFonts w:eastAsiaTheme="minorEastAsia"/>
          <w:color w:val="auto"/>
        </w:rPr>
        <w:t xml:space="preserve"> </w:t>
      </w:r>
      <w:r w:rsidR="002B5AC9" w:rsidRPr="007344EA">
        <w:t>Nagrinėdami ginčus</w:t>
      </w:r>
      <w:r w:rsidR="00FA1C52" w:rsidRPr="007344EA">
        <w:t>,</w:t>
      </w:r>
      <w:r w:rsidR="002B5AC9" w:rsidRPr="007344EA">
        <w:t xml:space="preserve"> </w:t>
      </w:r>
      <w:r w:rsidR="008E2829" w:rsidRPr="007344EA">
        <w:t>susijusius su vartotojų teisių apsauga</w:t>
      </w:r>
      <w:r w:rsidR="00FA1C52" w:rsidRPr="007344EA">
        <w:t>,</w:t>
      </w:r>
      <w:r w:rsidR="002B5AC9" w:rsidRPr="007344EA">
        <w:t xml:space="preserve"> nacionaliniai teismai priv</w:t>
      </w:r>
      <w:r w:rsidR="00D419ED" w:rsidRPr="007344EA">
        <w:t xml:space="preserve">alo atsižvelgti į </w:t>
      </w:r>
      <w:r w:rsidR="002B5AC9" w:rsidRPr="007344EA">
        <w:t xml:space="preserve">Teisingumo Teismo priimtus sprendimus. Ši praktika </w:t>
      </w:r>
      <w:r w:rsidR="00DC4711" w:rsidRPr="007344EA">
        <w:t>Sąjungos</w:t>
      </w:r>
      <w:r w:rsidR="002B5AC9" w:rsidRPr="007344EA">
        <w:t xml:space="preserve"> valstybių narių teisinėje sistemoje įgauna prejudicinę reikšmę.</w:t>
      </w:r>
      <w:r w:rsidR="002B5AC9" w:rsidRPr="007344EA">
        <w:rPr>
          <w:rStyle w:val="FootnoteReference"/>
        </w:rPr>
        <w:footnoteReference w:id="17"/>
      </w:r>
      <w:r w:rsidR="00532F59" w:rsidRPr="007344EA">
        <w:t xml:space="preserve"> </w:t>
      </w:r>
      <w:r w:rsidR="002B5AC9" w:rsidRPr="007344EA">
        <w:t>Teisingumo Teismo jurisprudencija yra itin svarbi tiek nacionaliniams teismams,</w:t>
      </w:r>
      <w:r w:rsidR="007C409F" w:rsidRPr="007344EA">
        <w:t xml:space="preserve"> tiek</w:t>
      </w:r>
      <w:r w:rsidR="002B5AC9" w:rsidRPr="007344EA">
        <w:t xml:space="preserve"> kitoms valstybės</w:t>
      </w:r>
      <w:r w:rsidR="003B70BB" w:rsidRPr="007344EA">
        <w:t xml:space="preserve"> įgaliotoms</w:t>
      </w:r>
      <w:r w:rsidR="002B5AC9" w:rsidRPr="007344EA">
        <w:t xml:space="preserve"> in</w:t>
      </w:r>
      <w:r w:rsidR="004E377D" w:rsidRPr="007344EA">
        <w:t>stitucijoms</w:t>
      </w:r>
      <w:r w:rsidR="00A87019" w:rsidRPr="007344EA">
        <w:t>,</w:t>
      </w:r>
      <w:r w:rsidR="004E377D" w:rsidRPr="007344EA">
        <w:t xml:space="preserve"> taikančioms</w:t>
      </w:r>
      <w:r w:rsidR="002B5AC9" w:rsidRPr="007344EA">
        <w:t xml:space="preserve"> </w:t>
      </w:r>
      <w:r w:rsidR="004E377D" w:rsidRPr="007344EA">
        <w:t>į nacionalinę teisę perkeltas Direktyvos</w:t>
      </w:r>
      <w:r w:rsidR="00853F0F" w:rsidRPr="007344EA">
        <w:t xml:space="preserve"> 93/13</w:t>
      </w:r>
      <w:r w:rsidR="004E377D" w:rsidRPr="007344EA">
        <w:t xml:space="preserve"> nuostatas</w:t>
      </w:r>
      <w:r w:rsidR="00B33BDB" w:rsidRPr="007344EA">
        <w:t xml:space="preserve"> (pvz. VVTAT)</w:t>
      </w:r>
      <w:r w:rsidR="007C409F" w:rsidRPr="007344EA">
        <w:t xml:space="preserve">, taip pat </w:t>
      </w:r>
      <w:r w:rsidR="003B70BB" w:rsidRPr="007344EA">
        <w:t xml:space="preserve"> ir</w:t>
      </w:r>
      <w:r w:rsidR="00F731F5" w:rsidRPr="007344EA">
        <w:t xml:space="preserve"> </w:t>
      </w:r>
      <w:r w:rsidR="00B566A5" w:rsidRPr="007344EA">
        <w:t xml:space="preserve">sąžiningiems </w:t>
      </w:r>
      <w:r w:rsidR="00F731F5" w:rsidRPr="007344EA">
        <w:t xml:space="preserve">verslininkams, kurie yra </w:t>
      </w:r>
      <w:r w:rsidR="002B5AC9" w:rsidRPr="007344EA">
        <w:t xml:space="preserve">suinteresuoti tinkamai suformuluoti sutarties </w:t>
      </w:r>
      <w:r w:rsidR="003B70BB" w:rsidRPr="007344EA">
        <w:t xml:space="preserve">sąlygas, </w:t>
      </w:r>
      <w:r w:rsidR="00A91483" w:rsidRPr="007344EA">
        <w:t xml:space="preserve">siekiant, kad </w:t>
      </w:r>
      <w:r w:rsidR="002B5AC9" w:rsidRPr="007344EA">
        <w:t xml:space="preserve">jos nebūtų </w:t>
      </w:r>
      <w:r w:rsidR="00C936D3" w:rsidRPr="007344EA">
        <w:t>p</w:t>
      </w:r>
      <w:r w:rsidR="00A91483" w:rsidRPr="007344EA">
        <w:t>ripažintos negaliojančiomis</w:t>
      </w:r>
      <w:r w:rsidR="008205F7" w:rsidRPr="007344EA">
        <w:t xml:space="preserve"> ir</w:t>
      </w:r>
      <w:r w:rsidR="00A91483" w:rsidRPr="007344EA">
        <w:t xml:space="preserve">, </w:t>
      </w:r>
      <w:r w:rsidR="002B5AC9" w:rsidRPr="007344EA">
        <w:t>žinoma, vartotojams,</w:t>
      </w:r>
      <w:r w:rsidR="007C409F" w:rsidRPr="007344EA">
        <w:t xml:space="preserve"> s</w:t>
      </w:r>
      <w:r w:rsidR="00972FEC" w:rsidRPr="007344EA">
        <w:t>augant savo</w:t>
      </w:r>
      <w:r w:rsidR="00380949" w:rsidRPr="007344EA">
        <w:t xml:space="preserve"> teisėtus</w:t>
      </w:r>
      <w:r w:rsidR="00972FEC" w:rsidRPr="007344EA">
        <w:t xml:space="preserve"> </w:t>
      </w:r>
      <w:r w:rsidR="007C409F" w:rsidRPr="007344EA">
        <w:t>interesus</w:t>
      </w:r>
      <w:r w:rsidR="002B5AC9" w:rsidRPr="007344EA">
        <w:t xml:space="preserve">. </w:t>
      </w:r>
      <w:r w:rsidR="00F90F89" w:rsidRPr="007344EA">
        <w:t xml:space="preserve">Lietuvai tapus Europos Sąjungos nare nacionalinių teisės aktų nuostatos derinamos su Sąjungos vartotojų teisių apsaugos </w:t>
      </w:r>
      <w:r w:rsidR="00F90F89" w:rsidRPr="007344EA">
        <w:rPr>
          <w:i/>
        </w:rPr>
        <w:t>acquis</w:t>
      </w:r>
      <w:r w:rsidR="00F90F89" w:rsidRPr="007344EA">
        <w:t xml:space="preserve"> nuostatomis, o nacionalinė teisė turi būti aiškinama taip, kad neprieštarautų Europos Sąjungos teisei ir Teisingumo Teismo </w:t>
      </w:r>
      <w:r w:rsidR="00F90F89" w:rsidRPr="007344EA">
        <w:lastRenderedPageBreak/>
        <w:t>formuojamai praktikai.</w:t>
      </w:r>
      <w:r w:rsidR="00F90F89" w:rsidRPr="007344EA">
        <w:rPr>
          <w:vertAlign w:val="superscript"/>
        </w:rPr>
        <w:footnoteReference w:id="18"/>
      </w:r>
      <w:r w:rsidR="00011FF5" w:rsidRPr="007344EA">
        <w:t xml:space="preserve"> </w:t>
      </w:r>
      <w:r w:rsidR="00011FF5" w:rsidRPr="007344EA">
        <w:rPr>
          <w:i/>
        </w:rPr>
        <w:t>Inter alia</w:t>
      </w:r>
      <w:r w:rsidR="00011FF5" w:rsidRPr="007344EA">
        <w:t xml:space="preserve"> „Lietuvos vartotojų teisės pagrindą sudaro perkelta Europos Sąjungos vartotojų teisė“</w:t>
      </w:r>
      <w:r w:rsidR="00011FF5" w:rsidRPr="007344EA">
        <w:rPr>
          <w:rStyle w:val="FootnoteReference"/>
        </w:rPr>
        <w:footnoteReference w:id="19"/>
      </w:r>
      <w:r w:rsidR="00004A24" w:rsidRPr="007344EA">
        <w:t xml:space="preserve">. </w:t>
      </w:r>
      <w:r w:rsidR="00E54A67" w:rsidRPr="007344EA">
        <w:t xml:space="preserve">Todėl Teisingumo Teismo  praktikos analizė, aiškinant Direktyvos 93/13 nuostatas, nėra vien tik savitikslis šio magistro baigiamojo darbo </w:t>
      </w:r>
      <w:r w:rsidR="00B33BDB" w:rsidRPr="007344EA">
        <w:t>objektas</w:t>
      </w:r>
      <w:r w:rsidR="00004EE6" w:rsidRPr="007344EA">
        <w:t>, tačiau</w:t>
      </w:r>
      <w:r w:rsidR="00E54A67" w:rsidRPr="007344EA">
        <w:t xml:space="preserve"> </w:t>
      </w:r>
      <w:r w:rsidR="00B33BDB" w:rsidRPr="007344EA">
        <w:t xml:space="preserve">šiame darbe apibendrinta Teisingumo Teismo jurisprudencija </w:t>
      </w:r>
      <w:r w:rsidR="00C63D7F" w:rsidRPr="007344EA">
        <w:t>yra itin reikšminga</w:t>
      </w:r>
      <w:r w:rsidR="00004A24" w:rsidRPr="007344EA">
        <w:t xml:space="preserve"> ir</w:t>
      </w:r>
      <w:r w:rsidR="00C63D7F" w:rsidRPr="007344EA">
        <w:t xml:space="preserve"> </w:t>
      </w:r>
      <w:r w:rsidR="00A91483" w:rsidRPr="007344EA">
        <w:t>siekiant tinkamo nacionalinės teisės, re</w:t>
      </w:r>
      <w:r w:rsidR="00414BE2" w:rsidRPr="007344EA">
        <w:t>guliuojančios nesąžiningas sąlygas vartojimo sutartyse,</w:t>
      </w:r>
      <w:r w:rsidR="00A91483" w:rsidRPr="007344EA">
        <w:t xml:space="preserve"> taikymo</w:t>
      </w:r>
      <w:r w:rsidR="00C63D7F" w:rsidRPr="007344EA">
        <w:t xml:space="preserve">. </w:t>
      </w:r>
      <w:r w:rsidR="0005120E" w:rsidRPr="007344EA">
        <w:t xml:space="preserve"> Be kita ko, tam tikrais aspektais šiame darbe bus paliesta ir Direktyvos 9</w:t>
      </w:r>
      <w:r w:rsidR="0005120E" w:rsidRPr="007344EA">
        <w:rPr>
          <w:lang w:val="en-US"/>
        </w:rPr>
        <w:t>3/13 reikšmė valstybių narių pri</w:t>
      </w:r>
      <w:r w:rsidR="0005120E" w:rsidRPr="007344EA">
        <w:t xml:space="preserve">vatinei teisei. </w:t>
      </w:r>
    </w:p>
    <w:p w:rsidR="00E81A27" w:rsidRPr="007344EA" w:rsidRDefault="003F6BBE" w:rsidP="006E00E1">
      <w:pPr>
        <w:pStyle w:val="Default"/>
        <w:spacing w:line="360" w:lineRule="auto"/>
        <w:jc w:val="both"/>
        <w:rPr>
          <w:b/>
          <w:bCs/>
        </w:rPr>
      </w:pPr>
      <w:r w:rsidRPr="007344EA">
        <w:tab/>
      </w:r>
      <w:r w:rsidR="002B5AC9" w:rsidRPr="007344EA">
        <w:t xml:space="preserve">Generalinė advokatė V. Trstenjak išvadoje, </w:t>
      </w:r>
      <w:r w:rsidR="00DD3A4C" w:rsidRPr="007344EA">
        <w:t xml:space="preserve">pateiktoje </w:t>
      </w:r>
      <w:r w:rsidR="00C829AF" w:rsidRPr="007344EA">
        <w:t>nagrinėjant bylą</w:t>
      </w:r>
      <w:r w:rsidR="002B5AC9" w:rsidRPr="007344EA">
        <w:t xml:space="preserve"> </w:t>
      </w:r>
      <w:r w:rsidR="00C829AF" w:rsidRPr="007344EA">
        <w:rPr>
          <w:bCs/>
          <w:i/>
          <w:lang w:val="pt-PT"/>
        </w:rPr>
        <w:t>Pereničová</w:t>
      </w:r>
      <w:r w:rsidR="002B5AC9" w:rsidRPr="007344EA">
        <w:rPr>
          <w:rStyle w:val="FootnoteReference"/>
          <w:i/>
        </w:rPr>
        <w:footnoteReference w:id="20"/>
      </w:r>
      <w:r w:rsidR="002B5AC9" w:rsidRPr="007344EA">
        <w:rPr>
          <w:i/>
        </w:rPr>
        <w:t>,</w:t>
      </w:r>
      <w:r w:rsidR="003B70BB" w:rsidRPr="007344EA">
        <w:t xml:space="preserve"> </w:t>
      </w:r>
      <w:r w:rsidR="002B5AC9" w:rsidRPr="007344EA">
        <w:t>vertindama Direktyvos 93/13 įtaką valstybių narių privatinei teisei</w:t>
      </w:r>
      <w:r w:rsidR="00190BCF" w:rsidRPr="007344EA">
        <w:t>,</w:t>
      </w:r>
      <w:r w:rsidR="00503CC7" w:rsidRPr="007344EA">
        <w:t xml:space="preserve"> bei remdamasi gausia teisės doktrina pažymi,</w:t>
      </w:r>
      <w:r w:rsidR="002B5AC9" w:rsidRPr="007344EA">
        <w:t xml:space="preserve"> kad „privatinės teisės aktų suderinimo Sąjungoje aspektu iš visų Sąjungos vartotojų apsaugos direktyvų Direktyvai 93/13 tenka ypač svarbus vaidmuo, nes ji susijusi su sutarčių teise, taigi su centrine privatinės teisės sritimi. Direktyvos įgyvendinimas labai pakeitė valstybių narių nacionalinę sutarčių teisę. Direktyva laipsniškai suderinamos skirtingos sutarčių teisės sistemos ir taip sudaromos Sąjungos privatinės teisės sukūrimo sąlygos“</w:t>
      </w:r>
      <w:r w:rsidR="002B5AC9" w:rsidRPr="007344EA">
        <w:rPr>
          <w:rStyle w:val="FootnoteReference"/>
        </w:rPr>
        <w:t xml:space="preserve"> </w:t>
      </w:r>
      <w:r w:rsidR="002B5AC9" w:rsidRPr="007344EA">
        <w:rPr>
          <w:rStyle w:val="FootnoteReference"/>
        </w:rPr>
        <w:footnoteReference w:id="21"/>
      </w:r>
      <w:r w:rsidR="00DF244C" w:rsidRPr="007344EA">
        <w:t xml:space="preserve"> . </w:t>
      </w:r>
      <w:r w:rsidR="00805A4F" w:rsidRPr="007344EA">
        <w:t>Analogiškai Direktyva</w:t>
      </w:r>
      <w:r w:rsidR="002F531D" w:rsidRPr="007344EA">
        <w:t xml:space="preserve"> 93/13 </w:t>
      </w:r>
      <w:r w:rsidR="00805A4F" w:rsidRPr="007344EA">
        <w:t xml:space="preserve">vertinama ir </w:t>
      </w:r>
      <w:r w:rsidR="001C754A" w:rsidRPr="007344EA">
        <w:t xml:space="preserve">teisės mokslo </w:t>
      </w:r>
      <w:r w:rsidR="00805A4F" w:rsidRPr="007344EA">
        <w:t xml:space="preserve">doktrinoje: </w:t>
      </w:r>
      <w:r w:rsidR="000A0799" w:rsidRPr="007344EA">
        <w:t xml:space="preserve">„nei vienai sutarčių teisės sričiai Europos Sąjungos teisė neturėjo tiek įtakos kaip vartojimo sutarčių teisei. Daugelis autorių pripažįsta, kad naujai gimusi vartojimo sutarčių teisė </w:t>
      </w:r>
      <w:r w:rsidR="00BB6AE4" w:rsidRPr="007344EA">
        <w:t xml:space="preserve">galėtų tarnauti kaip branduolys </w:t>
      </w:r>
      <w:r w:rsidR="000A0799" w:rsidRPr="007344EA">
        <w:t xml:space="preserve"> Europos Sąjungos sutarčių teisės kodifikacijai“</w:t>
      </w:r>
      <w:r w:rsidR="000A0799" w:rsidRPr="007344EA">
        <w:rPr>
          <w:rStyle w:val="FootnoteReference"/>
        </w:rPr>
        <w:footnoteReference w:id="22"/>
      </w:r>
      <w:r w:rsidR="000A0799" w:rsidRPr="007344EA">
        <w:t>.</w:t>
      </w:r>
      <w:r w:rsidR="00C63D7F" w:rsidRPr="007344EA">
        <w:t xml:space="preserve"> </w:t>
      </w:r>
    </w:p>
    <w:p w:rsidR="00AA14D1" w:rsidRPr="007344EA" w:rsidRDefault="002B5AC9" w:rsidP="006E00E1">
      <w:pPr>
        <w:pStyle w:val="Default"/>
        <w:spacing w:line="360" w:lineRule="auto"/>
        <w:ind w:firstLine="1296"/>
        <w:jc w:val="both"/>
      </w:pPr>
      <w:r w:rsidRPr="007344EA">
        <w:rPr>
          <w:b/>
          <w:bCs/>
        </w:rPr>
        <w:t>Darbo naujumas</w:t>
      </w:r>
      <w:r w:rsidRPr="007344EA">
        <w:rPr>
          <w:bCs/>
        </w:rPr>
        <w:t xml:space="preserve">. </w:t>
      </w:r>
      <w:r w:rsidR="00805A4F" w:rsidRPr="007344EA">
        <w:rPr>
          <w:bCs/>
        </w:rPr>
        <w:t>Lietuvos teisės doktrinoje</w:t>
      </w:r>
      <w:r w:rsidR="00587109" w:rsidRPr="007344EA">
        <w:rPr>
          <w:bCs/>
        </w:rPr>
        <w:t xml:space="preserve"> kol kas</w:t>
      </w:r>
      <w:r w:rsidR="00805A4F" w:rsidRPr="007344EA">
        <w:rPr>
          <w:bCs/>
        </w:rPr>
        <w:t xml:space="preserve"> nėra </w:t>
      </w:r>
      <w:r w:rsidR="004A5236" w:rsidRPr="007344EA">
        <w:rPr>
          <w:bCs/>
        </w:rPr>
        <w:t>išsamaus tyrimo,</w:t>
      </w:r>
      <w:r w:rsidR="00F731F5" w:rsidRPr="007344EA">
        <w:rPr>
          <w:bCs/>
        </w:rPr>
        <w:t xml:space="preserve"> analizuojančio Teisingumo Teismo</w:t>
      </w:r>
      <w:r w:rsidRPr="007344EA">
        <w:rPr>
          <w:bCs/>
        </w:rPr>
        <w:t xml:space="preserve"> praktiką</w:t>
      </w:r>
      <w:r w:rsidR="00532F59" w:rsidRPr="007344EA">
        <w:rPr>
          <w:bCs/>
        </w:rPr>
        <w:t>, dėl nesąžiningų sąlygų sutartyse su vartotojais</w:t>
      </w:r>
      <w:r w:rsidRPr="007344EA">
        <w:rPr>
          <w:bCs/>
        </w:rPr>
        <w:t>. D. Bublienės monografija „</w:t>
      </w:r>
      <w:r w:rsidRPr="007344EA">
        <w:t>Vartojimo sutarčių nesąžiningų sąlygų kontrolė“</w:t>
      </w:r>
      <w:r w:rsidRPr="007344EA">
        <w:rPr>
          <w:rStyle w:val="FootnoteReference"/>
        </w:rPr>
        <w:footnoteReference w:id="23"/>
      </w:r>
      <w:r w:rsidR="00587109" w:rsidRPr="007344EA">
        <w:t xml:space="preserve">orientuota </w:t>
      </w:r>
      <w:r w:rsidRPr="007344EA">
        <w:t xml:space="preserve">į nesąžiningų sąlygų vartojimo sutartyse kontrolę, didelis dėmesys skiriamas </w:t>
      </w:r>
      <w:r w:rsidR="00434162" w:rsidRPr="007344EA">
        <w:t xml:space="preserve">VVTAT </w:t>
      </w:r>
      <w:r w:rsidRPr="007344EA">
        <w:t>veiklai. Minėtoje monografijoje Teisingumo Teismo praktika remi</w:t>
      </w:r>
      <w:r w:rsidR="00CF5413" w:rsidRPr="007344EA">
        <w:t xml:space="preserve">asi </w:t>
      </w:r>
      <w:r w:rsidR="00A04719" w:rsidRPr="007344EA">
        <w:t>negausiai</w:t>
      </w:r>
      <w:r w:rsidR="00587109" w:rsidRPr="007344EA">
        <w:t xml:space="preserve"> (viso cituojama </w:t>
      </w:r>
      <w:r w:rsidR="00CF5413" w:rsidRPr="007344EA">
        <w:t>30</w:t>
      </w:r>
      <w:r w:rsidRPr="007344EA">
        <w:t xml:space="preserve"> bylų, kuri</w:t>
      </w:r>
      <w:r w:rsidR="00587109" w:rsidRPr="007344EA">
        <w:t xml:space="preserve">ų vėliausia 2006 m. spalio mėn.),  iš jų </w:t>
      </w:r>
      <w:r w:rsidRPr="007344EA">
        <w:t>tik 8</w:t>
      </w:r>
      <w:r w:rsidR="00587109" w:rsidRPr="007344EA">
        <w:t xml:space="preserve"> </w:t>
      </w:r>
      <w:r w:rsidRPr="007344EA">
        <w:t xml:space="preserve"> bylos, kuriose iš esmės buvo sprendžia</w:t>
      </w:r>
      <w:r w:rsidR="006B0169" w:rsidRPr="007344EA">
        <w:t>mi klausimai susiję su Direktyvos</w:t>
      </w:r>
      <w:r w:rsidRPr="007344EA">
        <w:t xml:space="preserve"> 93/13 nuostatų aiškinimu. R. Zasčiurinskaitės straipsnyje „Nesąžiningos sąlygos vartojimo sutartyse: teoriniai ir praktiniai aspektai“</w:t>
      </w:r>
      <w:r w:rsidRPr="007344EA">
        <w:rPr>
          <w:rStyle w:val="FootnoteReference"/>
        </w:rPr>
        <w:footnoteReference w:id="24"/>
      </w:r>
      <w:r w:rsidRPr="007344EA">
        <w:t xml:space="preserve"> </w:t>
      </w:r>
      <w:r w:rsidR="00662C7B" w:rsidRPr="007344EA">
        <w:t xml:space="preserve">pakankamai bendrai aptariama Direktyvos 93/13 reguliavimo sritis bei </w:t>
      </w:r>
      <w:r w:rsidR="00004A24" w:rsidRPr="007344EA">
        <w:t>jos</w:t>
      </w:r>
      <w:r w:rsidR="00662C7B" w:rsidRPr="007344EA">
        <w:t xml:space="preserve"> priede esantis orientacinis sąlygų, kurias </w:t>
      </w:r>
      <w:r w:rsidR="00662C7B" w:rsidRPr="007344EA">
        <w:lastRenderedPageBreak/>
        <w:t>galima laikyti nesąžiningomis, sąrašas. K</w:t>
      </w:r>
      <w:r w:rsidR="00AE3F58" w:rsidRPr="007344EA">
        <w:t>ole</w:t>
      </w:r>
      <w:r w:rsidR="00DD3A4C" w:rsidRPr="007344EA">
        <w:t xml:space="preserve">ktyvinėje monografijoje </w:t>
      </w:r>
      <w:r w:rsidR="00AE3F58" w:rsidRPr="007344EA">
        <w:t>„Vartotojų teisių apsauga Lietuvoje ir Europos Sąjungoje“ esančiame skyriuje „Nesąžiningos sutarčių sąlygos“</w:t>
      </w:r>
      <w:r w:rsidR="00A07F82" w:rsidRPr="007344EA">
        <w:rPr>
          <w:rStyle w:val="FootnoteReference"/>
        </w:rPr>
        <w:footnoteReference w:id="25"/>
      </w:r>
      <w:r w:rsidR="00AE3F58" w:rsidRPr="007344EA">
        <w:t xml:space="preserve"> (autorius</w:t>
      </w:r>
      <w:r w:rsidR="00A07F82" w:rsidRPr="007344EA">
        <w:t xml:space="preserve"> </w:t>
      </w:r>
      <w:r w:rsidR="009F139F" w:rsidRPr="007344EA">
        <w:t xml:space="preserve">prof. </w:t>
      </w:r>
      <w:r w:rsidRPr="007344EA">
        <w:t>I</w:t>
      </w:r>
      <w:r w:rsidR="00DF244C" w:rsidRPr="007344EA">
        <w:t>.</w:t>
      </w:r>
      <w:r w:rsidR="00A07F82" w:rsidRPr="007344EA">
        <w:t xml:space="preserve"> Vėgė</w:t>
      </w:r>
      <w:r w:rsidR="00AE3F58" w:rsidRPr="007344EA">
        <w:t>lė)</w:t>
      </w:r>
      <w:r w:rsidR="006C5517" w:rsidRPr="007344EA">
        <w:t xml:space="preserve"> remiamasi Teisingumo Teismo jurisprudencija</w:t>
      </w:r>
      <w:r w:rsidR="009F139F" w:rsidRPr="007344EA">
        <w:t>,</w:t>
      </w:r>
      <w:r w:rsidR="006C5517" w:rsidRPr="007344EA">
        <w:t xml:space="preserve"> priimta iki 2004 metų</w:t>
      </w:r>
      <w:r w:rsidR="009F139F" w:rsidRPr="007344EA">
        <w:t>,</w:t>
      </w:r>
      <w:r w:rsidR="00224D1C" w:rsidRPr="007344EA">
        <w:t xml:space="preserve"> −</w:t>
      </w:r>
      <w:r w:rsidR="006C5517" w:rsidRPr="007344EA">
        <w:t xml:space="preserve"> </w:t>
      </w:r>
      <w:r w:rsidR="0005120E" w:rsidRPr="007344EA">
        <w:t>viso 6 Teisingumo Teismo bylos.</w:t>
      </w:r>
      <w:r w:rsidR="00AE3F58" w:rsidRPr="007344EA">
        <w:t xml:space="preserve"> </w:t>
      </w:r>
      <w:r w:rsidRPr="007344EA">
        <w:t>Daugiau darbų</w:t>
      </w:r>
      <w:r w:rsidR="00176A30" w:rsidRPr="007344EA">
        <w:t>,</w:t>
      </w:r>
      <w:r w:rsidRPr="007344EA">
        <w:t xml:space="preserve"> koncentruotų vien tik į nesąžiningų sąlygų vartojimo sutartyse regl</w:t>
      </w:r>
      <w:r w:rsidR="0072448A" w:rsidRPr="007344EA">
        <w:t xml:space="preserve">amentavimą ir/ar </w:t>
      </w:r>
      <w:r w:rsidR="00434162" w:rsidRPr="007344EA">
        <w:t>teismų praktikos analizę</w:t>
      </w:r>
      <w:r w:rsidR="00176A30" w:rsidRPr="007344EA">
        <w:t>,</w:t>
      </w:r>
      <w:r w:rsidRPr="007344EA">
        <w:t xml:space="preserve"> lietuvių kalba nėra.</w:t>
      </w:r>
      <w:r w:rsidR="00056FB0" w:rsidRPr="007344EA">
        <w:t xml:space="preserve"> </w:t>
      </w:r>
      <w:r w:rsidRPr="007344EA">
        <w:t>Tam tikri aspektai</w:t>
      </w:r>
      <w:r w:rsidR="00DF244C" w:rsidRPr="007344EA">
        <w:t>,</w:t>
      </w:r>
      <w:r w:rsidRPr="007344EA">
        <w:t xml:space="preserve"> susiję su nesąžiningų sąlygų </w:t>
      </w:r>
      <w:r w:rsidR="00DF244C" w:rsidRPr="007344EA">
        <w:t>vartojimo sutartyse reguliavimu,</w:t>
      </w:r>
      <w:r w:rsidRPr="007344EA">
        <w:t xml:space="preserve"> fra</w:t>
      </w:r>
      <w:r w:rsidR="00DF244C" w:rsidRPr="007344EA">
        <w:t xml:space="preserve">gmentiškai aptariami mokslinėse </w:t>
      </w:r>
      <w:r w:rsidR="002E4F10" w:rsidRPr="007344EA">
        <w:t>publikacijos</w:t>
      </w:r>
      <w:r w:rsidR="00DF244C" w:rsidRPr="007344EA">
        <w:t>e</w:t>
      </w:r>
      <w:r w:rsidR="00414BE2" w:rsidRPr="007344EA">
        <w:t>,</w:t>
      </w:r>
      <w:r w:rsidRPr="007344EA">
        <w:t xml:space="preserve"> pvz.</w:t>
      </w:r>
      <w:r w:rsidR="00DF244C" w:rsidRPr="007344EA">
        <w:t>:</w:t>
      </w:r>
      <w:r w:rsidR="00446963" w:rsidRPr="007344EA">
        <w:t xml:space="preserve"> P. Ravluše</w:t>
      </w:r>
      <w:r w:rsidRPr="007344EA">
        <w:t>viči</w:t>
      </w:r>
      <w:r w:rsidR="00532F59" w:rsidRPr="007344EA">
        <w:t>a</w:t>
      </w:r>
      <w:r w:rsidRPr="007344EA">
        <w:t>us „Europos Sąjungos vartotojų apsauga ir Lietuvos teisė“</w:t>
      </w:r>
      <w:r w:rsidRPr="007344EA">
        <w:rPr>
          <w:rStyle w:val="FootnoteReference"/>
        </w:rPr>
        <w:footnoteReference w:id="26"/>
      </w:r>
      <w:r w:rsidRPr="007344EA">
        <w:t xml:space="preserve"> bei </w:t>
      </w:r>
      <w:r w:rsidR="00DF244C" w:rsidRPr="007344EA">
        <w:t xml:space="preserve">to paties autoriaus </w:t>
      </w:r>
      <w:r w:rsidRPr="007344EA">
        <w:t>straipsnyje „Vartotojų teisių apsaugos ypatumai Europos Sąjungoje ir Lietuvos teisėje“</w:t>
      </w:r>
      <w:r w:rsidRPr="007344EA">
        <w:rPr>
          <w:rStyle w:val="FootnoteReference"/>
        </w:rPr>
        <w:footnoteReference w:id="27"/>
      </w:r>
      <w:r w:rsidR="00532F59" w:rsidRPr="007344EA">
        <w:t>;</w:t>
      </w:r>
      <w:r w:rsidRPr="007344EA">
        <w:t xml:space="preserve"> D. Bublienės</w:t>
      </w:r>
      <w:r w:rsidR="00184659" w:rsidRPr="007344EA">
        <w:t xml:space="preserve"> publikacijose</w:t>
      </w:r>
      <w:r w:rsidRPr="007344EA">
        <w:t xml:space="preserve"> „Skaidrumo principas ir nesąžiningų sąlygų direktyva“</w:t>
      </w:r>
      <w:r w:rsidRPr="007344EA">
        <w:rPr>
          <w:rStyle w:val="FootnoteReference"/>
        </w:rPr>
        <w:footnoteReference w:id="28"/>
      </w:r>
      <w:r w:rsidRPr="007344EA">
        <w:t>, „Tarptautinės privatinės teisės normos ir nesąžiningų sąlygų direktyva</w:t>
      </w:r>
      <w:r w:rsidRPr="007344EA">
        <w:rPr>
          <w:rStyle w:val="FootnoteReference"/>
        </w:rPr>
        <w:footnoteReference w:id="29"/>
      </w:r>
      <w:r w:rsidRPr="007344EA">
        <w:t>, „Silpnesnės šalies apsaugos principo įgyvendinimas kontroliuojant nesąžiningas sąlygas“</w:t>
      </w:r>
      <w:r w:rsidRPr="007344EA">
        <w:rPr>
          <w:rStyle w:val="FootnoteReference"/>
        </w:rPr>
        <w:footnoteReference w:id="30"/>
      </w:r>
      <w:r w:rsidRPr="007344EA">
        <w:t xml:space="preserve"> bei „Vartotojų teisė į informaciją pagal naująjį vartotojų teisių direktyvos pasiūlymą: žingsnis pirmyn?“</w:t>
      </w:r>
      <w:r w:rsidRPr="007344EA">
        <w:rPr>
          <w:rStyle w:val="FootnoteReference"/>
        </w:rPr>
        <w:footnoteReference w:id="31"/>
      </w:r>
      <w:r w:rsidRPr="007344EA">
        <w:t>.</w:t>
      </w:r>
      <w:r w:rsidR="00BC6728" w:rsidRPr="007344EA">
        <w:t xml:space="preserve"> Magistro baigiamajame darbe </w:t>
      </w:r>
      <w:r w:rsidR="00615ADB" w:rsidRPr="007344EA">
        <w:t>remiamasi ne</w:t>
      </w:r>
      <w:r w:rsidR="00BC6728" w:rsidRPr="007344EA">
        <w:t xml:space="preserve"> </w:t>
      </w:r>
      <w:r w:rsidR="00184659" w:rsidRPr="007344EA">
        <w:t>vien tik lietuvių autorių darbais</w:t>
      </w:r>
      <w:r w:rsidRPr="007344EA">
        <w:t xml:space="preserve"> </w:t>
      </w:r>
      <w:r w:rsidR="00184659" w:rsidRPr="007344EA">
        <w:t>(</w:t>
      </w:r>
      <w:r w:rsidR="00E44997" w:rsidRPr="007344EA">
        <w:t xml:space="preserve">plačiau apie užsienio autorių </w:t>
      </w:r>
      <w:r w:rsidR="00532F59" w:rsidRPr="007344EA">
        <w:t>publikacijas</w:t>
      </w:r>
      <w:r w:rsidR="00E44997" w:rsidRPr="007344EA">
        <w:t xml:space="preserve"> įvado dalyje </w:t>
      </w:r>
      <w:r w:rsidR="009C4A2F" w:rsidRPr="007344EA">
        <w:t xml:space="preserve"> „Darbo šaltiniai“</w:t>
      </w:r>
      <w:r w:rsidR="00184659" w:rsidRPr="007344EA">
        <w:t>)</w:t>
      </w:r>
      <w:r w:rsidR="009C4A2F" w:rsidRPr="007344EA">
        <w:t>.</w:t>
      </w:r>
    </w:p>
    <w:p w:rsidR="007153B1" w:rsidRPr="007344EA" w:rsidRDefault="001D6ED4" w:rsidP="006E00E1">
      <w:pPr>
        <w:pStyle w:val="Default"/>
        <w:spacing w:line="360" w:lineRule="auto"/>
        <w:ind w:firstLine="1296"/>
        <w:jc w:val="both"/>
        <w:rPr>
          <w:bCs/>
        </w:rPr>
      </w:pPr>
      <w:r w:rsidRPr="007344EA">
        <w:t>Dėl</w:t>
      </w:r>
      <w:r w:rsidR="00434162" w:rsidRPr="007344EA">
        <w:t xml:space="preserve"> itin</w:t>
      </w:r>
      <w:r w:rsidRPr="007344EA">
        <w:t xml:space="preserve"> s</w:t>
      </w:r>
      <w:r w:rsidR="007874FE" w:rsidRPr="007344EA">
        <w:rPr>
          <w:bCs/>
        </w:rPr>
        <w:t xml:space="preserve">parčiai </w:t>
      </w:r>
      <w:r w:rsidRPr="007344EA">
        <w:rPr>
          <w:bCs/>
        </w:rPr>
        <w:t>besiplėtojančios Teisingumo Teismo praktikos</w:t>
      </w:r>
      <w:r w:rsidR="006B0169" w:rsidRPr="007344EA">
        <w:rPr>
          <w:bCs/>
        </w:rPr>
        <w:t>,</w:t>
      </w:r>
      <w:r w:rsidR="002B5AC9" w:rsidRPr="007344EA">
        <w:rPr>
          <w:bCs/>
        </w:rPr>
        <w:t xml:space="preserve"> aiški</w:t>
      </w:r>
      <w:r w:rsidR="00503CC7" w:rsidRPr="007344EA">
        <w:rPr>
          <w:bCs/>
        </w:rPr>
        <w:t>nant Direktyvo</w:t>
      </w:r>
      <w:r w:rsidR="006B0169" w:rsidRPr="007344EA">
        <w:rPr>
          <w:bCs/>
        </w:rPr>
        <w:t xml:space="preserve">s 93/13 nuostatas, </w:t>
      </w:r>
      <w:r w:rsidRPr="007344EA">
        <w:rPr>
          <w:bCs/>
        </w:rPr>
        <w:t>kyla p</w:t>
      </w:r>
      <w:r w:rsidR="006D500C" w:rsidRPr="007344EA">
        <w:rPr>
          <w:bCs/>
        </w:rPr>
        <w:t>oreikis</w:t>
      </w:r>
      <w:r w:rsidR="006B0169" w:rsidRPr="007344EA">
        <w:rPr>
          <w:bCs/>
        </w:rPr>
        <w:t xml:space="preserve"> pateikti pakankamai išsamų Teisingumo Teismo jurisprudencijos apibendrinimą</w:t>
      </w:r>
      <w:r w:rsidR="007153B1" w:rsidRPr="007344EA">
        <w:rPr>
          <w:bCs/>
        </w:rPr>
        <w:t xml:space="preserve">, išskiriant esminius praktikos aspektus. </w:t>
      </w:r>
      <w:r w:rsidR="002B5AC9" w:rsidRPr="007344EA">
        <w:rPr>
          <w:bCs/>
        </w:rPr>
        <w:t>2008 metais publikuotame straipsnyje M. Schilling</w:t>
      </w:r>
      <w:r w:rsidR="00DF2E28" w:rsidRPr="00DF2E28">
        <w:rPr>
          <w:bCs/>
          <w:vertAlign w:val="superscript"/>
        </w:rPr>
        <w:footnoteReference w:id="32"/>
      </w:r>
      <w:r w:rsidR="002B5AC9" w:rsidRPr="007344EA">
        <w:rPr>
          <w:bCs/>
        </w:rPr>
        <w:t xml:space="preserve"> nurodė, tuo metu buvo</w:t>
      </w:r>
      <w:r w:rsidR="00153788" w:rsidRPr="007344EA">
        <w:rPr>
          <w:bCs/>
        </w:rPr>
        <w:t xml:space="preserve"> priimta 10 Teisingumo Teismo sprendimų</w:t>
      </w:r>
      <w:r w:rsidR="002B5AC9" w:rsidRPr="007344EA">
        <w:rPr>
          <w:bCs/>
        </w:rPr>
        <w:t xml:space="preserve">, kuriose buvo aiškinamos Direktyvos 93/13 nuostatos. </w:t>
      </w:r>
      <w:r w:rsidR="002E4F10" w:rsidRPr="007344EA">
        <w:rPr>
          <w:bCs/>
        </w:rPr>
        <w:t xml:space="preserve">Po 4 </w:t>
      </w:r>
      <w:r w:rsidR="00056FB0" w:rsidRPr="007344EA">
        <w:rPr>
          <w:bCs/>
        </w:rPr>
        <w:t>metų rašant</w:t>
      </w:r>
      <w:r w:rsidR="002E4F10" w:rsidRPr="007344EA">
        <w:rPr>
          <w:bCs/>
        </w:rPr>
        <w:t xml:space="preserve"> magistro baigiamąjį darbą jau galima remtis </w:t>
      </w:r>
      <w:r w:rsidR="00C41D63" w:rsidRPr="007344EA">
        <w:rPr>
          <w:bCs/>
        </w:rPr>
        <w:t>19</w:t>
      </w:r>
      <w:r w:rsidR="002B5AC9" w:rsidRPr="007344EA">
        <w:rPr>
          <w:bCs/>
        </w:rPr>
        <w:t xml:space="preserve"> </w:t>
      </w:r>
      <w:r w:rsidR="00532F59" w:rsidRPr="007344EA">
        <w:rPr>
          <w:bCs/>
        </w:rPr>
        <w:t xml:space="preserve">Teisingumo Teismo </w:t>
      </w:r>
      <w:r w:rsidR="002B5AC9" w:rsidRPr="007344EA">
        <w:rPr>
          <w:bCs/>
        </w:rPr>
        <w:t xml:space="preserve">bylų, ir net </w:t>
      </w:r>
      <w:r w:rsidR="00C41D63" w:rsidRPr="007344EA">
        <w:rPr>
          <w:bCs/>
        </w:rPr>
        <w:t>9</w:t>
      </w:r>
      <w:r w:rsidR="002B5AC9" w:rsidRPr="007344EA">
        <w:rPr>
          <w:bCs/>
        </w:rPr>
        <w:t xml:space="preserve"> byl</w:t>
      </w:r>
      <w:r w:rsidR="00240CCB" w:rsidRPr="007344EA">
        <w:rPr>
          <w:bCs/>
        </w:rPr>
        <w:t>os</w:t>
      </w:r>
      <w:r w:rsidR="002B5AC9" w:rsidRPr="007344EA">
        <w:rPr>
          <w:bCs/>
        </w:rPr>
        <w:t xml:space="preserve"> „laukia“ nagrinėjimo iš </w:t>
      </w:r>
      <w:r w:rsidR="00532F59" w:rsidRPr="007344EA">
        <w:rPr>
          <w:bCs/>
        </w:rPr>
        <w:t>esmės stadijos</w:t>
      </w:r>
      <w:r w:rsidR="00A36852" w:rsidRPr="007344EA">
        <w:rPr>
          <w:bCs/>
        </w:rPr>
        <w:t xml:space="preserve">. </w:t>
      </w:r>
      <w:r w:rsidR="00056FB0" w:rsidRPr="007344EA">
        <w:rPr>
          <w:bCs/>
        </w:rPr>
        <w:t>Tiek bylų skaičius, tiek juose keliami klausimai</w:t>
      </w:r>
      <w:r w:rsidR="002B5AC9" w:rsidRPr="007344EA">
        <w:rPr>
          <w:bCs/>
        </w:rPr>
        <w:t xml:space="preserve"> parodo, kad Direktyvos</w:t>
      </w:r>
      <w:r w:rsidR="00067F07" w:rsidRPr="007344EA">
        <w:rPr>
          <w:bCs/>
        </w:rPr>
        <w:t xml:space="preserve"> 93/13</w:t>
      </w:r>
      <w:r w:rsidR="002B5AC9" w:rsidRPr="007344EA">
        <w:rPr>
          <w:bCs/>
        </w:rPr>
        <w:t xml:space="preserve"> pagrindu priimtų nacionalinių įstatymų taikymas teismam</w:t>
      </w:r>
      <w:r w:rsidR="00825CE1" w:rsidRPr="007344EA">
        <w:rPr>
          <w:bCs/>
        </w:rPr>
        <w:t>s yra pakankamai komplikuotas,</w:t>
      </w:r>
      <w:r w:rsidRPr="007344EA">
        <w:rPr>
          <w:bCs/>
        </w:rPr>
        <w:t xml:space="preserve"> o</w:t>
      </w:r>
      <w:r w:rsidR="002B5AC9" w:rsidRPr="007344EA">
        <w:rPr>
          <w:bCs/>
        </w:rPr>
        <w:t xml:space="preserve"> tam tikros </w:t>
      </w:r>
      <w:r w:rsidR="007874FE" w:rsidRPr="007344EA">
        <w:rPr>
          <w:bCs/>
        </w:rPr>
        <w:t>Direktyvos 9</w:t>
      </w:r>
      <w:r w:rsidR="00825CE1" w:rsidRPr="007344EA">
        <w:rPr>
          <w:bCs/>
        </w:rPr>
        <w:t>3/13</w:t>
      </w:r>
      <w:r w:rsidR="002B5AC9" w:rsidRPr="007344EA">
        <w:rPr>
          <w:bCs/>
        </w:rPr>
        <w:t xml:space="preserve"> nuostatos kel</w:t>
      </w:r>
      <w:r w:rsidR="00C463FD" w:rsidRPr="007344EA">
        <w:rPr>
          <w:bCs/>
        </w:rPr>
        <w:t>ia nea</w:t>
      </w:r>
      <w:r w:rsidR="00A04719" w:rsidRPr="007344EA">
        <w:rPr>
          <w:bCs/>
        </w:rPr>
        <w:t>iškumų,</w:t>
      </w:r>
      <w:r w:rsidR="00387AEB" w:rsidRPr="007344EA">
        <w:rPr>
          <w:bCs/>
        </w:rPr>
        <w:t xml:space="preserve"> </w:t>
      </w:r>
      <w:r w:rsidR="00825CE1" w:rsidRPr="007344EA">
        <w:rPr>
          <w:bCs/>
        </w:rPr>
        <w:t xml:space="preserve">net praėjus </w:t>
      </w:r>
      <w:r w:rsidR="0058183B" w:rsidRPr="007344EA">
        <w:rPr>
          <w:bCs/>
        </w:rPr>
        <w:t>20 metų</w:t>
      </w:r>
      <w:r w:rsidR="00BB6AE4" w:rsidRPr="007344EA">
        <w:rPr>
          <w:bCs/>
        </w:rPr>
        <w:t xml:space="preserve"> po</w:t>
      </w:r>
      <w:r w:rsidR="0058183B" w:rsidRPr="007344EA">
        <w:rPr>
          <w:bCs/>
        </w:rPr>
        <w:t xml:space="preserve"> </w:t>
      </w:r>
      <w:r w:rsidR="00067F07" w:rsidRPr="007344EA">
        <w:rPr>
          <w:bCs/>
        </w:rPr>
        <w:t>jos</w:t>
      </w:r>
      <w:r w:rsidR="0058183B" w:rsidRPr="007344EA">
        <w:rPr>
          <w:bCs/>
        </w:rPr>
        <w:t xml:space="preserve"> </w:t>
      </w:r>
      <w:r w:rsidR="00A04719" w:rsidRPr="007344EA">
        <w:rPr>
          <w:bCs/>
        </w:rPr>
        <w:t xml:space="preserve">priėmimo. </w:t>
      </w:r>
    </w:p>
    <w:p w:rsidR="006B0169" w:rsidRPr="007344EA" w:rsidRDefault="007874FE" w:rsidP="006E00E1">
      <w:pPr>
        <w:pStyle w:val="Default"/>
        <w:spacing w:line="360" w:lineRule="auto"/>
        <w:ind w:firstLine="1296"/>
        <w:jc w:val="both"/>
        <w:rPr>
          <w:bCs/>
        </w:rPr>
      </w:pPr>
      <w:r w:rsidRPr="007344EA">
        <w:rPr>
          <w:bCs/>
        </w:rPr>
        <w:t xml:space="preserve">Vartotojų apsaugos teisė </w:t>
      </w:r>
      <w:r w:rsidR="00446963" w:rsidRPr="007344EA">
        <w:rPr>
          <w:bCs/>
        </w:rPr>
        <w:t>yra itin</w:t>
      </w:r>
      <w:r w:rsidRPr="007344EA">
        <w:rPr>
          <w:bCs/>
        </w:rPr>
        <w:t xml:space="preserve"> dinamiška teisės sritis</w:t>
      </w:r>
      <w:r w:rsidR="00BB6AE4" w:rsidRPr="007344EA">
        <w:rPr>
          <w:bCs/>
        </w:rPr>
        <w:t>. Dide</w:t>
      </w:r>
      <w:r w:rsidR="0074604D" w:rsidRPr="007344EA">
        <w:rPr>
          <w:bCs/>
        </w:rPr>
        <w:t>lę įtaką šios teisės srities raidai daro rinkos pokyčiai, vis naujai atsirandančios vartojimo sutarčių rūšys.</w:t>
      </w:r>
      <w:r w:rsidR="00C41D63" w:rsidRPr="007344EA">
        <w:rPr>
          <w:bCs/>
        </w:rPr>
        <w:t xml:space="preserve"> </w:t>
      </w:r>
      <w:r w:rsidR="00D6770C" w:rsidRPr="007344EA">
        <w:rPr>
          <w:bCs/>
        </w:rPr>
        <w:t>Šiame</w:t>
      </w:r>
      <w:r w:rsidR="00BB6AE4" w:rsidRPr="007344EA">
        <w:rPr>
          <w:bCs/>
        </w:rPr>
        <w:t xml:space="preserve"> </w:t>
      </w:r>
      <w:r w:rsidR="00BB6AE4" w:rsidRPr="007344EA">
        <w:rPr>
          <w:bCs/>
        </w:rPr>
        <w:lastRenderedPageBreak/>
        <w:t>m</w:t>
      </w:r>
      <w:r w:rsidR="00D6770C" w:rsidRPr="007344EA">
        <w:rPr>
          <w:bCs/>
        </w:rPr>
        <w:t>agistro baigiamajame darbe k</w:t>
      </w:r>
      <w:r w:rsidR="00352279" w:rsidRPr="007344EA">
        <w:rPr>
          <w:bCs/>
        </w:rPr>
        <w:t>eliama hipotezė</w:t>
      </w:r>
      <w:r w:rsidR="00446963" w:rsidRPr="007344EA">
        <w:rPr>
          <w:bCs/>
        </w:rPr>
        <w:t>, kad</w:t>
      </w:r>
      <w:r w:rsidRPr="007344EA">
        <w:rPr>
          <w:bCs/>
        </w:rPr>
        <w:t xml:space="preserve"> naujausioje Teisingumo Teismo </w:t>
      </w:r>
      <w:r w:rsidR="00446963" w:rsidRPr="007344EA">
        <w:rPr>
          <w:bCs/>
        </w:rPr>
        <w:t xml:space="preserve">jurisprudencijoje atskleisti tam tikri aspektai keičia iki tol suformuotą praktiką, pvz.: </w:t>
      </w:r>
      <w:r w:rsidR="002B5AC9" w:rsidRPr="007344EA">
        <w:rPr>
          <w:bCs/>
        </w:rPr>
        <w:t>sprendimu</w:t>
      </w:r>
      <w:r w:rsidR="002B5AC9" w:rsidRPr="007344EA">
        <w:t xml:space="preserve"> </w:t>
      </w:r>
      <w:r w:rsidR="002B5AC9" w:rsidRPr="007344EA">
        <w:rPr>
          <w:i/>
        </w:rPr>
        <w:t>Caja de Madrid</w:t>
      </w:r>
      <w:r w:rsidR="002B5AC9" w:rsidRPr="007344EA">
        <w:rPr>
          <w:rStyle w:val="FootnoteReference"/>
          <w:i/>
        </w:rPr>
        <w:footnoteReference w:id="33"/>
      </w:r>
      <w:r w:rsidR="002B5AC9" w:rsidRPr="007344EA">
        <w:t xml:space="preserve">, </w:t>
      </w:r>
      <w:r w:rsidR="00446963" w:rsidRPr="007344EA">
        <w:t xml:space="preserve">Teisingumo Teismas </w:t>
      </w:r>
      <w:r w:rsidR="002B5AC9" w:rsidRPr="007344EA">
        <w:t>galimai išplėtė vartotojų teisių apsaugos apimtį</w:t>
      </w:r>
      <w:r w:rsidR="00352279" w:rsidRPr="007344EA">
        <w:t>.</w:t>
      </w:r>
    </w:p>
    <w:p w:rsidR="00E81A27" w:rsidRPr="007344EA" w:rsidRDefault="002B5AC9" w:rsidP="006E00E1">
      <w:pPr>
        <w:pStyle w:val="Default"/>
        <w:spacing w:line="360" w:lineRule="auto"/>
        <w:ind w:firstLine="1296"/>
        <w:jc w:val="both"/>
        <w:rPr>
          <w:bCs/>
        </w:rPr>
      </w:pPr>
      <w:r w:rsidRPr="007344EA">
        <w:rPr>
          <w:b/>
          <w:bCs/>
        </w:rPr>
        <w:t xml:space="preserve">Darbo objektas </w:t>
      </w:r>
      <w:r w:rsidR="00224D1C" w:rsidRPr="007344EA">
        <w:t>−</w:t>
      </w:r>
      <w:r w:rsidRPr="007344EA">
        <w:rPr>
          <w:bCs/>
        </w:rPr>
        <w:t xml:space="preserve">  Teisingumo Teismo jurisprudencija aiškinanti Direktyvos 93/13 dėl nesąžiningų sąlygų vartojimo sutartyse nuostatas. </w:t>
      </w:r>
    </w:p>
    <w:p w:rsidR="002B5AC9" w:rsidRPr="007344EA" w:rsidRDefault="002B5AC9" w:rsidP="006E00E1">
      <w:pPr>
        <w:pStyle w:val="Default"/>
        <w:spacing w:line="360" w:lineRule="auto"/>
        <w:ind w:firstLine="1296"/>
        <w:jc w:val="both"/>
        <w:rPr>
          <w:bCs/>
        </w:rPr>
      </w:pPr>
      <w:r w:rsidRPr="007344EA">
        <w:rPr>
          <w:b/>
          <w:bCs/>
        </w:rPr>
        <w:t>Darbo tikslas</w:t>
      </w:r>
      <w:r w:rsidRPr="007344EA">
        <w:rPr>
          <w:bCs/>
        </w:rPr>
        <w:t xml:space="preserve">. Analizuojant Teisingumo </w:t>
      </w:r>
      <w:r w:rsidR="00532F59" w:rsidRPr="007344EA">
        <w:rPr>
          <w:bCs/>
        </w:rPr>
        <w:t>Teismo praktiką dėl nesąžiningų</w:t>
      </w:r>
      <w:r w:rsidRPr="007344EA">
        <w:rPr>
          <w:bCs/>
        </w:rPr>
        <w:t xml:space="preserve"> sąlygų vartojimo sutartyse</w:t>
      </w:r>
      <w:r w:rsidR="00F80215" w:rsidRPr="007344EA">
        <w:rPr>
          <w:bCs/>
        </w:rPr>
        <w:t xml:space="preserve"> </w:t>
      </w:r>
      <w:r w:rsidR="0074604D" w:rsidRPr="007344EA">
        <w:rPr>
          <w:bCs/>
        </w:rPr>
        <w:t>išskirti bei išnagrinėti</w:t>
      </w:r>
      <w:r w:rsidR="00F80215" w:rsidRPr="007344EA">
        <w:rPr>
          <w:bCs/>
        </w:rPr>
        <w:t xml:space="preserve"> joje atskleistus</w:t>
      </w:r>
      <w:r w:rsidRPr="007344EA">
        <w:rPr>
          <w:bCs/>
        </w:rPr>
        <w:t xml:space="preserve"> esminius aspektus, susijusius su Direktyvos 93/13 reguliavimo sritimi, problemas, su kuriomis susiduria valstybės narės, perkeldamos Direktyvą</w:t>
      </w:r>
      <w:r w:rsidR="0005120E" w:rsidRPr="007344EA">
        <w:rPr>
          <w:bCs/>
        </w:rPr>
        <w:t xml:space="preserve"> 9</w:t>
      </w:r>
      <w:r w:rsidR="0005120E" w:rsidRPr="007344EA">
        <w:rPr>
          <w:bCs/>
          <w:lang w:val="en-US"/>
        </w:rPr>
        <w:t>3/13</w:t>
      </w:r>
      <w:r w:rsidRPr="007344EA">
        <w:rPr>
          <w:bCs/>
        </w:rPr>
        <w:t xml:space="preserve"> į nacionalinė teisę, tai</w:t>
      </w:r>
      <w:r w:rsidR="0074604D" w:rsidRPr="007344EA">
        <w:rPr>
          <w:bCs/>
        </w:rPr>
        <w:t>p</w:t>
      </w:r>
      <w:r w:rsidRPr="007344EA">
        <w:rPr>
          <w:bCs/>
        </w:rPr>
        <w:t xml:space="preserve"> pat nacionalinių teisės aktų, priimtų direktyvos pagrindu, taikymo problemas.</w:t>
      </w:r>
    </w:p>
    <w:p w:rsidR="002B5AC9" w:rsidRPr="007344EA" w:rsidRDefault="002B5AC9" w:rsidP="006E00E1">
      <w:pPr>
        <w:pStyle w:val="Default"/>
        <w:spacing w:line="360" w:lineRule="auto"/>
        <w:ind w:firstLine="1296"/>
        <w:jc w:val="both"/>
        <w:rPr>
          <w:bCs/>
        </w:rPr>
      </w:pPr>
      <w:r w:rsidRPr="007344EA">
        <w:rPr>
          <w:b/>
          <w:bCs/>
        </w:rPr>
        <w:t>Darbo uždaviniai:</w:t>
      </w:r>
    </w:p>
    <w:p w:rsidR="001D6ED4" w:rsidRPr="007344EA" w:rsidRDefault="00E41890" w:rsidP="006E00E1">
      <w:pPr>
        <w:pStyle w:val="Default"/>
        <w:numPr>
          <w:ilvl w:val="0"/>
          <w:numId w:val="2"/>
        </w:numPr>
        <w:spacing w:line="360" w:lineRule="auto"/>
        <w:ind w:left="0"/>
        <w:jc w:val="both"/>
        <w:rPr>
          <w:bCs/>
        </w:rPr>
      </w:pPr>
      <w:r w:rsidRPr="007344EA">
        <w:rPr>
          <w:bCs/>
        </w:rPr>
        <w:t xml:space="preserve">Atskleisti Direktyvoje </w:t>
      </w:r>
      <w:r w:rsidR="00BD5BCE" w:rsidRPr="007344EA">
        <w:rPr>
          <w:bCs/>
        </w:rPr>
        <w:t>93/13 įtvirtintus</w:t>
      </w:r>
      <w:r w:rsidRPr="007344EA">
        <w:rPr>
          <w:bCs/>
        </w:rPr>
        <w:t xml:space="preserve"> ir Teisingumo Teismo</w:t>
      </w:r>
      <w:r w:rsidR="00F80215" w:rsidRPr="007344EA">
        <w:rPr>
          <w:bCs/>
        </w:rPr>
        <w:t xml:space="preserve"> sprendimuose </w:t>
      </w:r>
      <w:r w:rsidR="00BD5BCE" w:rsidRPr="007344EA">
        <w:rPr>
          <w:bCs/>
        </w:rPr>
        <w:t>išaiškintus</w:t>
      </w:r>
      <w:r w:rsidR="004D43D4" w:rsidRPr="007344EA">
        <w:rPr>
          <w:bCs/>
        </w:rPr>
        <w:t xml:space="preserve"> teisinio reguliavimo </w:t>
      </w:r>
      <w:r w:rsidR="00BD5BCE" w:rsidRPr="007344EA">
        <w:rPr>
          <w:bCs/>
        </w:rPr>
        <w:t>tikslus</w:t>
      </w:r>
      <w:r w:rsidR="003309FB" w:rsidRPr="007344EA">
        <w:rPr>
          <w:bCs/>
        </w:rPr>
        <w:t>, pagrindinių sąvokų turinį</w:t>
      </w:r>
      <w:r w:rsidR="00D6770C" w:rsidRPr="007344EA">
        <w:rPr>
          <w:bCs/>
        </w:rPr>
        <w:t xml:space="preserve">, </w:t>
      </w:r>
      <w:r w:rsidR="007153B1" w:rsidRPr="007344EA">
        <w:rPr>
          <w:bCs/>
        </w:rPr>
        <w:t>Teisingumo Teismo</w:t>
      </w:r>
      <w:r w:rsidR="004D43D4" w:rsidRPr="007344EA">
        <w:rPr>
          <w:bCs/>
        </w:rPr>
        <w:t xml:space="preserve"> praktikoje</w:t>
      </w:r>
      <w:r w:rsidR="007153B1" w:rsidRPr="007344EA">
        <w:rPr>
          <w:bCs/>
        </w:rPr>
        <w:t xml:space="preserve"> taikomą</w:t>
      </w:r>
      <w:r w:rsidR="00195139" w:rsidRPr="007344EA">
        <w:rPr>
          <w:bCs/>
        </w:rPr>
        <w:t xml:space="preserve"> </w:t>
      </w:r>
      <w:r w:rsidR="001D6ED4" w:rsidRPr="007344EA">
        <w:rPr>
          <w:bCs/>
        </w:rPr>
        <w:t>vartotojų apsaugos</w:t>
      </w:r>
      <w:r w:rsidR="00195139" w:rsidRPr="007344EA">
        <w:rPr>
          <w:bCs/>
        </w:rPr>
        <w:t xml:space="preserve"> schemą</w:t>
      </w:r>
      <w:r w:rsidR="001D6ED4" w:rsidRPr="007344EA">
        <w:rPr>
          <w:bCs/>
        </w:rPr>
        <w:t xml:space="preserve"> nuo nesąžiningų sąlygų naudojimo</w:t>
      </w:r>
      <w:r w:rsidR="00D6770C" w:rsidRPr="007344EA">
        <w:rPr>
          <w:bCs/>
        </w:rPr>
        <w:t xml:space="preserve"> bei </w:t>
      </w:r>
      <w:r w:rsidR="00B64635" w:rsidRPr="007344EA">
        <w:rPr>
          <w:bCs/>
        </w:rPr>
        <w:t xml:space="preserve">iš Teisingumo Teismo jurisprudencijos kylančias pareigas valstybėms narėms. </w:t>
      </w:r>
    </w:p>
    <w:p w:rsidR="00E41890" w:rsidRPr="007344EA" w:rsidRDefault="00E41890" w:rsidP="006E00E1">
      <w:pPr>
        <w:pStyle w:val="Default"/>
        <w:numPr>
          <w:ilvl w:val="0"/>
          <w:numId w:val="2"/>
        </w:numPr>
        <w:spacing w:line="360" w:lineRule="auto"/>
        <w:ind w:left="0"/>
        <w:jc w:val="both"/>
        <w:rPr>
          <w:bCs/>
        </w:rPr>
      </w:pPr>
      <w:r w:rsidRPr="007344EA">
        <w:rPr>
          <w:bCs/>
        </w:rPr>
        <w:t>Apibrėžti Direktyvos</w:t>
      </w:r>
      <w:r w:rsidR="00D6770C" w:rsidRPr="007344EA">
        <w:rPr>
          <w:bCs/>
        </w:rPr>
        <w:t xml:space="preserve"> 93/13 taikymo sritį</w:t>
      </w:r>
      <w:r w:rsidRPr="007344EA">
        <w:rPr>
          <w:bCs/>
          <w:i/>
        </w:rPr>
        <w:t xml:space="preserve"> </w:t>
      </w:r>
      <w:r w:rsidR="00050395" w:rsidRPr="007344EA">
        <w:rPr>
          <w:bCs/>
          <w:i/>
        </w:rPr>
        <w:t xml:space="preserve">ratione </w:t>
      </w:r>
      <w:r w:rsidR="004D43D4" w:rsidRPr="007344EA">
        <w:rPr>
          <w:bCs/>
          <w:i/>
        </w:rPr>
        <w:t>materia</w:t>
      </w:r>
      <w:r w:rsidR="00D27170" w:rsidRPr="007344EA">
        <w:rPr>
          <w:bCs/>
          <w:i/>
        </w:rPr>
        <w:t>e</w:t>
      </w:r>
      <w:r w:rsidR="00D27170" w:rsidRPr="007344EA">
        <w:rPr>
          <w:bCs/>
        </w:rPr>
        <w:t xml:space="preserve"> bei</w:t>
      </w:r>
      <w:r w:rsidR="00D27170" w:rsidRPr="007344EA">
        <w:rPr>
          <w:bCs/>
          <w:i/>
        </w:rPr>
        <w:t xml:space="preserve"> ratione personae</w:t>
      </w:r>
      <w:r w:rsidR="00050395" w:rsidRPr="007344EA">
        <w:rPr>
          <w:bCs/>
        </w:rPr>
        <w:t xml:space="preserve"> </w:t>
      </w:r>
      <w:r w:rsidR="00D6770C" w:rsidRPr="007344EA">
        <w:rPr>
          <w:bCs/>
        </w:rPr>
        <w:t>atžvilgiu</w:t>
      </w:r>
      <w:r w:rsidR="004D43D4" w:rsidRPr="007344EA">
        <w:rPr>
          <w:bCs/>
        </w:rPr>
        <w:t xml:space="preserve"> </w:t>
      </w:r>
      <w:r w:rsidR="00352279" w:rsidRPr="007344EA">
        <w:rPr>
          <w:bCs/>
        </w:rPr>
        <w:t>atižvelgiant</w:t>
      </w:r>
      <w:r w:rsidRPr="007344EA">
        <w:rPr>
          <w:bCs/>
        </w:rPr>
        <w:t xml:space="preserve"> </w:t>
      </w:r>
      <w:r w:rsidR="003309FB" w:rsidRPr="007344EA">
        <w:rPr>
          <w:bCs/>
        </w:rPr>
        <w:t>Teisingumo Teismo praktiką bylose</w:t>
      </w:r>
      <w:r w:rsidRPr="007344EA">
        <w:rPr>
          <w:i/>
        </w:rPr>
        <w:t xml:space="preserve"> Caja de Madrid</w:t>
      </w:r>
      <w:r w:rsidR="00067F07" w:rsidRPr="007344EA">
        <w:rPr>
          <w:rStyle w:val="FootnoteReference"/>
          <w:i/>
        </w:rPr>
        <w:footnoteReference w:id="34"/>
      </w:r>
      <w:r w:rsidR="00D27170" w:rsidRPr="007344EA">
        <w:t xml:space="preserve"> </w:t>
      </w:r>
      <w:r w:rsidR="003309FB" w:rsidRPr="007344EA">
        <w:t xml:space="preserve"> </w:t>
      </w:r>
      <w:r w:rsidR="00D27170" w:rsidRPr="007344EA">
        <w:t>bei</w:t>
      </w:r>
      <w:r w:rsidR="00D27170" w:rsidRPr="007344EA">
        <w:rPr>
          <w:i/>
        </w:rPr>
        <w:t xml:space="preserve"> Cape</w:t>
      </w:r>
      <w:r w:rsidR="00067F07" w:rsidRPr="007344EA">
        <w:rPr>
          <w:rStyle w:val="FootnoteReference"/>
          <w:i/>
        </w:rPr>
        <w:footnoteReference w:id="35"/>
      </w:r>
      <w:r w:rsidR="00A36852" w:rsidRPr="007344EA">
        <w:rPr>
          <w:i/>
        </w:rPr>
        <w:t>.</w:t>
      </w:r>
    </w:p>
    <w:p w:rsidR="002B5AC9" w:rsidRPr="007344EA" w:rsidRDefault="003309FB" w:rsidP="006E00E1">
      <w:pPr>
        <w:pStyle w:val="Default"/>
        <w:numPr>
          <w:ilvl w:val="0"/>
          <w:numId w:val="2"/>
        </w:numPr>
        <w:spacing w:line="360" w:lineRule="auto"/>
        <w:ind w:left="0"/>
        <w:jc w:val="both"/>
        <w:rPr>
          <w:bCs/>
        </w:rPr>
      </w:pPr>
      <w:r w:rsidRPr="007344EA">
        <w:rPr>
          <w:bCs/>
        </w:rPr>
        <w:t>Pateikti bylų analizę, apžvelgiant</w:t>
      </w:r>
      <w:r w:rsidR="00F80215" w:rsidRPr="007344EA">
        <w:rPr>
          <w:bCs/>
        </w:rPr>
        <w:t xml:space="preserve"> priežastis ir</w:t>
      </w:r>
      <w:r w:rsidR="00301369" w:rsidRPr="007344EA">
        <w:rPr>
          <w:bCs/>
        </w:rPr>
        <w:t xml:space="preserve"> problemas</w:t>
      </w:r>
      <w:r w:rsidR="00F80215" w:rsidRPr="007344EA">
        <w:rPr>
          <w:bCs/>
        </w:rPr>
        <w:t>, su kuriomis</w:t>
      </w:r>
      <w:r w:rsidR="002B5AC9" w:rsidRPr="007344EA">
        <w:rPr>
          <w:bCs/>
        </w:rPr>
        <w:t xml:space="preserve"> susiduria</w:t>
      </w:r>
      <w:r w:rsidR="00301369" w:rsidRPr="007344EA">
        <w:rPr>
          <w:bCs/>
        </w:rPr>
        <w:t xml:space="preserve"> nacionaliniai teismai taikydami nacionalinius teisės a</w:t>
      </w:r>
      <w:r w:rsidR="0005120E" w:rsidRPr="007344EA">
        <w:rPr>
          <w:bCs/>
        </w:rPr>
        <w:t>ktus, priimtus Direktyvos 93/13</w:t>
      </w:r>
      <w:r w:rsidR="00301369" w:rsidRPr="007344EA">
        <w:rPr>
          <w:bCs/>
        </w:rPr>
        <w:t xml:space="preserve"> pagrindu</w:t>
      </w:r>
      <w:r w:rsidR="00F80215" w:rsidRPr="007344EA">
        <w:rPr>
          <w:bCs/>
        </w:rPr>
        <w:t>,</w:t>
      </w:r>
      <w:r w:rsidR="00301369" w:rsidRPr="007344EA">
        <w:rPr>
          <w:bCs/>
        </w:rPr>
        <w:t xml:space="preserve"> </w:t>
      </w:r>
      <w:r w:rsidR="002B5AC9" w:rsidRPr="007344EA">
        <w:rPr>
          <w:bCs/>
        </w:rPr>
        <w:t>bei kokių įsipareigojimų neįvykdo valstybės narės, perkeliant Direktyvą</w:t>
      </w:r>
      <w:r w:rsidR="00825CE1" w:rsidRPr="007344EA">
        <w:rPr>
          <w:bCs/>
        </w:rPr>
        <w:t xml:space="preserve"> 93/13</w:t>
      </w:r>
      <w:r w:rsidR="002B5AC9" w:rsidRPr="007344EA">
        <w:rPr>
          <w:bCs/>
        </w:rPr>
        <w:t xml:space="preserve"> į nacionalinę teisę.</w:t>
      </w:r>
    </w:p>
    <w:p w:rsidR="00184659" w:rsidRPr="007344EA" w:rsidRDefault="002B5AC9" w:rsidP="006E00E1">
      <w:pPr>
        <w:pStyle w:val="Default"/>
        <w:spacing w:line="360" w:lineRule="auto"/>
        <w:ind w:firstLine="1296"/>
        <w:jc w:val="both"/>
      </w:pPr>
      <w:r w:rsidRPr="007344EA">
        <w:rPr>
          <w:b/>
        </w:rPr>
        <w:t>Darbe taikomi metodai.</w:t>
      </w:r>
      <w:r w:rsidR="00A4038B" w:rsidRPr="007344EA">
        <w:rPr>
          <w:b/>
        </w:rPr>
        <w:t xml:space="preserve"> </w:t>
      </w:r>
      <w:r w:rsidR="00A4038B" w:rsidRPr="007344EA">
        <w:t>Darbe naudojami įvairūs bendrieji moksliniai</w:t>
      </w:r>
      <w:r w:rsidR="00224D1C" w:rsidRPr="007344EA">
        <w:t xml:space="preserve"> −</w:t>
      </w:r>
      <w:r w:rsidR="00A4038B" w:rsidRPr="007344EA">
        <w:t xml:space="preserve"> teisiniai metodai:</w:t>
      </w:r>
      <w:r w:rsidR="00092165" w:rsidRPr="007344EA">
        <w:t xml:space="preserve"> sisteminės</w:t>
      </w:r>
      <w:r w:rsidR="0052223F" w:rsidRPr="007344EA">
        <w:t xml:space="preserve"> ir</w:t>
      </w:r>
      <w:r w:rsidR="00422378" w:rsidRPr="007344EA">
        <w:t xml:space="preserve"> </w:t>
      </w:r>
      <w:r w:rsidR="008C22F0" w:rsidRPr="007344EA">
        <w:t>istorinės analizės</w:t>
      </w:r>
      <w:r w:rsidR="00092165" w:rsidRPr="007344EA">
        <w:t>, loginis,</w:t>
      </w:r>
      <w:r w:rsidR="00900051" w:rsidRPr="007344EA">
        <w:t xml:space="preserve"> teleologinis,</w:t>
      </w:r>
      <w:r w:rsidR="00092165" w:rsidRPr="007344EA">
        <w:t xml:space="preserve"> lyginamasis.</w:t>
      </w:r>
      <w:r w:rsidR="0072529F" w:rsidRPr="007344EA">
        <w:t xml:space="preserve"> Taip pat</w:t>
      </w:r>
      <w:r w:rsidR="008C22F0" w:rsidRPr="007344EA">
        <w:t xml:space="preserve"> tam tikri metodai, </w:t>
      </w:r>
      <w:r w:rsidR="00900051" w:rsidRPr="007344EA">
        <w:t xml:space="preserve">dažnai pasitelkiami </w:t>
      </w:r>
      <w:r w:rsidR="005752E4" w:rsidRPr="007344EA">
        <w:t>analizuojant vartotojų apsaugo</w:t>
      </w:r>
      <w:r w:rsidR="00422378" w:rsidRPr="007344EA">
        <w:t>s</w:t>
      </w:r>
      <w:r w:rsidR="00AB6A38" w:rsidRPr="007344EA">
        <w:t xml:space="preserve"> teisėje iškylančias problemas ar klausimus susijusius su Europos Sąjungos teisės taikymu ir aiškinimu: </w:t>
      </w:r>
      <w:r w:rsidR="00422378" w:rsidRPr="007344EA">
        <w:t>teisės ekonominės analizės</w:t>
      </w:r>
      <w:r w:rsidR="005E1C94" w:rsidRPr="007344EA">
        <w:rPr>
          <w:rStyle w:val="FootnoteReference"/>
        </w:rPr>
        <w:footnoteReference w:id="36"/>
      </w:r>
      <w:r w:rsidR="008C22F0" w:rsidRPr="007344EA">
        <w:t xml:space="preserve"> </w:t>
      </w:r>
      <w:r w:rsidR="00900051" w:rsidRPr="007344EA">
        <w:t xml:space="preserve">bei </w:t>
      </w:r>
      <w:r w:rsidR="008C22F0" w:rsidRPr="007344EA">
        <w:t>lingvistinis</w:t>
      </w:r>
      <w:r w:rsidR="00224D1C" w:rsidRPr="007344EA">
        <w:t xml:space="preserve"> −</w:t>
      </w:r>
      <w:r w:rsidR="008C22F0" w:rsidRPr="007344EA">
        <w:t xml:space="preserve"> kalbinis metodas</w:t>
      </w:r>
      <w:r w:rsidR="00900051" w:rsidRPr="007344EA">
        <w:t xml:space="preserve">. </w:t>
      </w:r>
    </w:p>
    <w:p w:rsidR="009C4672" w:rsidRPr="007344EA" w:rsidRDefault="002B5AC9" w:rsidP="006E00E1">
      <w:pPr>
        <w:pStyle w:val="Default"/>
        <w:spacing w:line="360" w:lineRule="auto"/>
        <w:ind w:firstLine="1296"/>
        <w:jc w:val="both"/>
      </w:pPr>
      <w:r w:rsidRPr="007344EA">
        <w:t>Pagrindinis magistro baigiamajame darbe taikomas metodas</w:t>
      </w:r>
      <w:r w:rsidR="00224D1C" w:rsidRPr="007344EA">
        <w:t xml:space="preserve"> −</w:t>
      </w:r>
      <w:r w:rsidRPr="007344EA">
        <w:t xml:space="preserve"> sisteminės analizės, </w:t>
      </w:r>
      <w:r w:rsidR="005E1C94" w:rsidRPr="007344EA">
        <w:t xml:space="preserve">naudojamas </w:t>
      </w:r>
      <w:r w:rsidR="00D27170" w:rsidRPr="007344EA">
        <w:t>tiriant</w:t>
      </w:r>
      <w:r w:rsidR="00AB6A38" w:rsidRPr="007344EA">
        <w:t xml:space="preserve"> </w:t>
      </w:r>
      <w:r w:rsidR="00521873" w:rsidRPr="007344EA">
        <w:t>ir apibendrin</w:t>
      </w:r>
      <w:r w:rsidR="00BB1C0C" w:rsidRPr="007344EA">
        <w:t>ant</w:t>
      </w:r>
      <w:r w:rsidR="00521873" w:rsidRPr="007344EA">
        <w:t xml:space="preserve"> </w:t>
      </w:r>
      <w:r w:rsidR="00AB6A38" w:rsidRPr="007344EA">
        <w:t>Teisingumo Teismo ju</w:t>
      </w:r>
      <w:r w:rsidR="005E1C94" w:rsidRPr="007344EA">
        <w:t>risprudenciją.</w:t>
      </w:r>
      <w:r w:rsidR="00CF5413" w:rsidRPr="007344EA">
        <w:t xml:space="preserve"> </w:t>
      </w:r>
      <w:r w:rsidRPr="007344EA">
        <w:rPr>
          <w:bCs/>
        </w:rPr>
        <w:t xml:space="preserve">Istorinės analizės metodas pasitelkiamas siekiant atskleisti </w:t>
      </w:r>
      <w:r w:rsidRPr="007344EA">
        <w:t>Direktyvos</w:t>
      </w:r>
      <w:r w:rsidR="0052223F" w:rsidRPr="007344EA">
        <w:t xml:space="preserve"> 93/13</w:t>
      </w:r>
      <w:r w:rsidRPr="007344EA">
        <w:t xml:space="preserve"> reikšmę vartotojų teisių apsaugos sistemoje</w:t>
      </w:r>
      <w:r w:rsidRPr="007344EA">
        <w:rPr>
          <w:b/>
        </w:rPr>
        <w:t xml:space="preserve"> </w:t>
      </w:r>
      <w:r w:rsidRPr="007344EA">
        <w:t>bei problemų, dėl kurių nacionaliniai teismai kreipiasi į T</w:t>
      </w:r>
      <w:r w:rsidR="0079145D" w:rsidRPr="007344EA">
        <w:t xml:space="preserve">eisingumo </w:t>
      </w:r>
      <w:r w:rsidRPr="007344EA">
        <w:t>T</w:t>
      </w:r>
      <w:r w:rsidR="0079145D" w:rsidRPr="007344EA">
        <w:t>eismą</w:t>
      </w:r>
      <w:r w:rsidRPr="007344EA">
        <w:t>, tendencijas. Direktyvos</w:t>
      </w:r>
      <w:r w:rsidR="0055087A" w:rsidRPr="007344EA">
        <w:t xml:space="preserve"> 93/13</w:t>
      </w:r>
      <w:r w:rsidRPr="007344EA">
        <w:t xml:space="preserve"> nuostatų</w:t>
      </w:r>
      <w:r w:rsidR="00AB6A38" w:rsidRPr="007344EA">
        <w:t xml:space="preserve"> turiniui atskleisti naudojami </w:t>
      </w:r>
      <w:r w:rsidRPr="007344EA">
        <w:t>lingvistinis</w:t>
      </w:r>
      <w:r w:rsidR="00997E0A" w:rsidRPr="007344EA">
        <w:t>, teleologinis</w:t>
      </w:r>
      <w:r w:rsidRPr="007344EA">
        <w:t xml:space="preserve"> ir </w:t>
      </w:r>
      <w:r w:rsidRPr="007344EA">
        <w:lastRenderedPageBreak/>
        <w:t>loginis metodai</w:t>
      </w:r>
      <w:r w:rsidR="0055087A" w:rsidRPr="007344EA">
        <w:t>. T</w:t>
      </w:r>
      <w:r w:rsidR="005E1C94" w:rsidRPr="007344EA">
        <w:t xml:space="preserve">aip pat lingvistinis metodas naudojamas </w:t>
      </w:r>
      <w:r w:rsidR="00605D01" w:rsidRPr="007344EA">
        <w:t>lyginat</w:t>
      </w:r>
      <w:r w:rsidR="00900051" w:rsidRPr="007344EA">
        <w:t xml:space="preserve"> </w:t>
      </w:r>
      <w:r w:rsidR="00BB1C0C" w:rsidRPr="007344EA">
        <w:t>konkrečias</w:t>
      </w:r>
      <w:r w:rsidR="0055087A" w:rsidRPr="007344EA">
        <w:t xml:space="preserve"> minėtos direktyvos </w:t>
      </w:r>
      <w:r w:rsidR="00BB1C0C" w:rsidRPr="007344EA">
        <w:t>nuostatas</w:t>
      </w:r>
      <w:r w:rsidR="0052223F" w:rsidRPr="007344EA">
        <w:t xml:space="preserve"> </w:t>
      </w:r>
      <w:r w:rsidR="00BB1C0C" w:rsidRPr="007344EA">
        <w:t xml:space="preserve">bei </w:t>
      </w:r>
      <w:r w:rsidR="0055087A" w:rsidRPr="007344EA">
        <w:t xml:space="preserve">tam tikrus </w:t>
      </w:r>
      <w:r w:rsidR="00BB1C0C" w:rsidRPr="007344EA">
        <w:t>Teisingumo Teismo byl</w:t>
      </w:r>
      <w:r w:rsidR="0055087A" w:rsidRPr="007344EA">
        <w:t>ų paragrafus</w:t>
      </w:r>
      <w:r w:rsidR="00605D01" w:rsidRPr="007344EA">
        <w:t xml:space="preserve"> </w:t>
      </w:r>
      <w:r w:rsidR="00B14BFC" w:rsidRPr="007344EA">
        <w:t>įva</w:t>
      </w:r>
      <w:r w:rsidR="0055087A" w:rsidRPr="007344EA">
        <w:t>iriomis kalbinėmis redakcijomis.</w:t>
      </w:r>
      <w:r w:rsidR="002D79B1" w:rsidRPr="007344EA">
        <w:t xml:space="preserve"> Minėtų metodų tinkamumą, aiškinat </w:t>
      </w:r>
      <w:r w:rsidR="00246E09" w:rsidRPr="007344EA">
        <w:t>nesąžiningų sąlygų vartojimo sutartyse reglamentavimą</w:t>
      </w:r>
      <w:r w:rsidR="005D2A8F" w:rsidRPr="007344EA">
        <w:t>,</w:t>
      </w:r>
      <w:r w:rsidR="00825CE1" w:rsidRPr="007344EA">
        <w:t xml:space="preserve"> </w:t>
      </w:r>
      <w:r w:rsidR="00067F07" w:rsidRPr="007344EA">
        <w:t xml:space="preserve">parodo </w:t>
      </w:r>
      <w:r w:rsidR="00825CE1" w:rsidRPr="007344EA">
        <w:t>ir tai, kad Generalinė a</w:t>
      </w:r>
      <w:r w:rsidR="006521A5" w:rsidRPr="007344EA">
        <w:t>dvokatė</w:t>
      </w:r>
      <w:r w:rsidR="00246E09" w:rsidRPr="007344EA">
        <w:t xml:space="preserve"> </w:t>
      </w:r>
      <w:r w:rsidR="005E2889" w:rsidRPr="007344EA">
        <w:t xml:space="preserve">V. Trstenjak išvadoje </w:t>
      </w:r>
      <w:r w:rsidR="005D2A8F" w:rsidRPr="007344EA">
        <w:t xml:space="preserve">pateiktoje nagrinėjant bylą </w:t>
      </w:r>
      <w:r w:rsidR="005D2A8F" w:rsidRPr="007344EA">
        <w:rPr>
          <w:i/>
        </w:rPr>
        <w:t>Caja</w:t>
      </w:r>
      <w:r w:rsidR="005E2889" w:rsidRPr="007344EA">
        <w:rPr>
          <w:i/>
        </w:rPr>
        <w:t xml:space="preserve"> de Madrid</w:t>
      </w:r>
      <w:r w:rsidR="005E2889" w:rsidRPr="007344EA">
        <w:t xml:space="preserve"> tiesiogiai rėmėsi istoriniu ir teleologiniu</w:t>
      </w:r>
      <w:r w:rsidR="005E2889" w:rsidRPr="007344EA">
        <w:rPr>
          <w:rStyle w:val="FootnoteReference"/>
        </w:rPr>
        <w:footnoteReference w:id="37"/>
      </w:r>
      <w:r w:rsidR="005E2889" w:rsidRPr="007344EA">
        <w:t xml:space="preserve">  bei gramatiniu ir  sisteminiu</w:t>
      </w:r>
      <w:r w:rsidR="005E2889" w:rsidRPr="007344EA">
        <w:rPr>
          <w:rStyle w:val="FootnoteReference"/>
        </w:rPr>
        <w:footnoteReference w:id="38"/>
      </w:r>
      <w:r w:rsidR="005E2889" w:rsidRPr="007344EA">
        <w:t xml:space="preserve"> aiškinimo metodais.  </w:t>
      </w:r>
    </w:p>
    <w:p w:rsidR="002B5AC9" w:rsidRPr="007344EA" w:rsidRDefault="00AB6A38" w:rsidP="006E00E1">
      <w:pPr>
        <w:pStyle w:val="Default"/>
        <w:spacing w:line="360" w:lineRule="auto"/>
        <w:ind w:firstLine="1296"/>
        <w:jc w:val="both"/>
      </w:pPr>
      <w:r w:rsidRPr="007344EA">
        <w:t xml:space="preserve"> Teisės ekonominės analizės metodas </w:t>
      </w:r>
      <w:r w:rsidR="00DB3C10" w:rsidRPr="007344EA">
        <w:t>atskleidžia</w:t>
      </w:r>
      <w:r w:rsidR="001C732B" w:rsidRPr="007344EA">
        <w:t xml:space="preserve"> </w:t>
      </w:r>
      <w:r w:rsidRPr="007344EA">
        <w:t>teisinio reglamentavimo priklaus</w:t>
      </w:r>
      <w:r w:rsidR="00CD1850" w:rsidRPr="007344EA">
        <w:t xml:space="preserve">omybę </w:t>
      </w:r>
      <w:r w:rsidRPr="007344EA">
        <w:t>nuo ekonominės situacijos rinkoje. Šis metodas</w:t>
      </w:r>
      <w:r w:rsidR="000C44D7" w:rsidRPr="007344EA">
        <w:t>,</w:t>
      </w:r>
      <w:r w:rsidRPr="007344EA">
        <w:t xml:space="preserve"> naudojamas ka</w:t>
      </w:r>
      <w:r w:rsidR="000C44D7" w:rsidRPr="007344EA">
        <w:t>rtu su istorinės analizės</w:t>
      </w:r>
      <w:r w:rsidRPr="007344EA">
        <w:t xml:space="preserve"> </w:t>
      </w:r>
      <w:r w:rsidR="000C44D7" w:rsidRPr="007344EA">
        <w:t xml:space="preserve">bei teleologiniu metodais, </w:t>
      </w:r>
      <w:r w:rsidR="00CD1850" w:rsidRPr="007344EA">
        <w:t xml:space="preserve">atskleidžia nesąžiningų </w:t>
      </w:r>
      <w:r w:rsidR="000B5229" w:rsidRPr="007344EA">
        <w:t xml:space="preserve">sąlygų vartojimo sutartyse </w:t>
      </w:r>
      <w:r w:rsidR="00CD1850" w:rsidRPr="007344EA">
        <w:t xml:space="preserve">reglamentavimo būtinybę </w:t>
      </w:r>
      <w:r w:rsidR="000B5229" w:rsidRPr="007344EA">
        <w:t>Sąjungos mastu</w:t>
      </w:r>
      <w:r w:rsidR="00CD1850" w:rsidRPr="007344EA">
        <w:t>, taip pat Direktyvos</w:t>
      </w:r>
      <w:r w:rsidR="000C44D7" w:rsidRPr="007344EA">
        <w:t xml:space="preserve"> 93/13</w:t>
      </w:r>
      <w:r w:rsidR="00CD1850" w:rsidRPr="007344EA">
        <w:t xml:space="preserve"> taikymo srities </w:t>
      </w:r>
      <w:r w:rsidR="00CD1850" w:rsidRPr="007344EA">
        <w:rPr>
          <w:i/>
        </w:rPr>
        <w:t>ratione materiae</w:t>
      </w:r>
      <w:r w:rsidR="0005120E" w:rsidRPr="007344EA">
        <w:t xml:space="preserve"> </w:t>
      </w:r>
      <w:r w:rsidR="00CD1850" w:rsidRPr="007344EA">
        <w:t xml:space="preserve">apribojimo pagrindą bei </w:t>
      </w:r>
      <w:r w:rsidR="005F72B9" w:rsidRPr="007344EA">
        <w:t>Direktyvos</w:t>
      </w:r>
      <w:r w:rsidR="005D2A8F" w:rsidRPr="007344EA">
        <w:t xml:space="preserve"> 93/13</w:t>
      </w:r>
      <w:r w:rsidR="005F72B9" w:rsidRPr="007344EA">
        <w:t xml:space="preserve"> nuostatų pritaikymą šiandienos ekonominėm</w:t>
      </w:r>
      <w:r w:rsidR="005D2A8F" w:rsidRPr="007344EA">
        <w:t>s</w:t>
      </w:r>
      <w:r w:rsidR="00224D1C" w:rsidRPr="007344EA">
        <w:t xml:space="preserve"> −</w:t>
      </w:r>
      <w:r w:rsidR="005D2A8F" w:rsidRPr="007344EA">
        <w:t xml:space="preserve"> teisinėms aktualijoms (pvz.:</w:t>
      </w:r>
      <w:r w:rsidR="00A36852" w:rsidRPr="007344EA">
        <w:t xml:space="preserve"> </w:t>
      </w:r>
      <w:r w:rsidR="005F72B9" w:rsidRPr="007344EA">
        <w:t>grei</w:t>
      </w:r>
      <w:r w:rsidR="00605D01" w:rsidRPr="007344EA">
        <w:t xml:space="preserve">tųjų vartojimo kreditų sutarčių </w:t>
      </w:r>
      <w:r w:rsidR="005F72B9" w:rsidRPr="007344EA">
        <w:t>sąlygų nesąžiningumo vertinimas)</w:t>
      </w:r>
      <w:r w:rsidR="000B5229" w:rsidRPr="007344EA">
        <w:t xml:space="preserve"> </w:t>
      </w:r>
      <w:r w:rsidR="00CD1850" w:rsidRPr="007344EA">
        <w:t xml:space="preserve">praėjus </w:t>
      </w:r>
      <w:r w:rsidR="0052223F" w:rsidRPr="007344EA">
        <w:t>beveik</w:t>
      </w:r>
      <w:r w:rsidR="00CD1850" w:rsidRPr="007344EA">
        <w:t xml:space="preserve"> 20 </w:t>
      </w:r>
      <w:r w:rsidR="0052223F" w:rsidRPr="007344EA">
        <w:t>metų nuo Direktyvos</w:t>
      </w:r>
      <w:r w:rsidR="005D2A8F" w:rsidRPr="007344EA">
        <w:t xml:space="preserve"> 93/13</w:t>
      </w:r>
      <w:r w:rsidR="0052223F" w:rsidRPr="007344EA">
        <w:t xml:space="preserve"> priėmimo</w:t>
      </w:r>
      <w:r w:rsidR="005F72B9" w:rsidRPr="007344EA">
        <w:t xml:space="preserve">. </w:t>
      </w:r>
    </w:p>
    <w:p w:rsidR="00184659" w:rsidRPr="007344EA" w:rsidRDefault="002B5AC9" w:rsidP="006E00E1">
      <w:pPr>
        <w:pStyle w:val="Default"/>
        <w:spacing w:line="360" w:lineRule="auto"/>
        <w:ind w:firstLine="1296"/>
        <w:jc w:val="both"/>
        <w:rPr>
          <w:bCs/>
        </w:rPr>
      </w:pPr>
      <w:r w:rsidRPr="007344EA">
        <w:rPr>
          <w:b/>
          <w:bCs/>
        </w:rPr>
        <w:t>Darbo šaltiniai.</w:t>
      </w:r>
      <w:r w:rsidR="0048355C" w:rsidRPr="007344EA">
        <w:rPr>
          <w:bCs/>
        </w:rPr>
        <w:t xml:space="preserve"> </w:t>
      </w:r>
      <w:r w:rsidR="00933823" w:rsidRPr="007344EA">
        <w:rPr>
          <w:bCs/>
        </w:rPr>
        <w:t xml:space="preserve">Magistro baigiamajame </w:t>
      </w:r>
      <w:r w:rsidR="004A3F5E" w:rsidRPr="007344EA">
        <w:rPr>
          <w:bCs/>
        </w:rPr>
        <w:t>darbe naudojami trijų rūšių šaltiniai</w:t>
      </w:r>
      <w:r w:rsidR="00B14BFC" w:rsidRPr="007344EA">
        <w:rPr>
          <w:bCs/>
        </w:rPr>
        <w:t>:</w:t>
      </w:r>
      <w:r w:rsidR="00C70E33" w:rsidRPr="007344EA">
        <w:rPr>
          <w:bCs/>
        </w:rPr>
        <w:t xml:space="preserve"> norminiai teisės aktai, teismų</w:t>
      </w:r>
      <w:r w:rsidR="0079145D" w:rsidRPr="007344EA">
        <w:rPr>
          <w:bCs/>
        </w:rPr>
        <w:t xml:space="preserve"> </w:t>
      </w:r>
      <w:r w:rsidR="007555DA" w:rsidRPr="007344EA">
        <w:rPr>
          <w:bCs/>
        </w:rPr>
        <w:t xml:space="preserve"> </w:t>
      </w:r>
      <w:r w:rsidR="0079145D" w:rsidRPr="007344EA">
        <w:rPr>
          <w:bCs/>
        </w:rPr>
        <w:t xml:space="preserve">praktika </w:t>
      </w:r>
      <w:r w:rsidR="007555DA" w:rsidRPr="007344EA">
        <w:rPr>
          <w:bCs/>
        </w:rPr>
        <w:t>i</w:t>
      </w:r>
      <w:r w:rsidR="0079145D" w:rsidRPr="007344EA">
        <w:rPr>
          <w:bCs/>
        </w:rPr>
        <w:t>r</w:t>
      </w:r>
      <w:r w:rsidR="000C3D9F" w:rsidRPr="007344EA">
        <w:rPr>
          <w:bCs/>
        </w:rPr>
        <w:t xml:space="preserve"> </w:t>
      </w:r>
      <w:r w:rsidR="007555DA" w:rsidRPr="007344EA">
        <w:rPr>
          <w:bCs/>
        </w:rPr>
        <w:t>teisės doktrina</w:t>
      </w:r>
      <w:r w:rsidR="005D2A8F" w:rsidRPr="007344EA">
        <w:rPr>
          <w:bCs/>
        </w:rPr>
        <w:t>.</w:t>
      </w:r>
    </w:p>
    <w:p w:rsidR="00184659" w:rsidRPr="007344EA" w:rsidRDefault="0079145D" w:rsidP="006E00E1">
      <w:pPr>
        <w:pStyle w:val="Default"/>
        <w:spacing w:line="360" w:lineRule="auto"/>
        <w:ind w:firstLine="1296"/>
        <w:jc w:val="both"/>
      </w:pPr>
      <w:r w:rsidRPr="007344EA">
        <w:rPr>
          <w:bCs/>
        </w:rPr>
        <w:t xml:space="preserve">Darbe naudojami norminiai teisės aktai apima tiek Sąjungos, tiek nacionalinius teisės aktus, taip pat ir </w:t>
      </w:r>
      <w:r w:rsidR="00392953">
        <w:rPr>
          <w:bCs/>
        </w:rPr>
        <w:t xml:space="preserve">ES </w:t>
      </w:r>
      <w:r w:rsidRPr="007344EA">
        <w:rPr>
          <w:bCs/>
        </w:rPr>
        <w:t xml:space="preserve">teisės aktus, neturinčius privalomojo pobūdžio. </w:t>
      </w:r>
      <w:r w:rsidR="0000302D" w:rsidRPr="007344EA">
        <w:rPr>
          <w:bCs/>
        </w:rPr>
        <w:t>N</w:t>
      </w:r>
      <w:r w:rsidR="00B14BFC" w:rsidRPr="007344EA">
        <w:rPr>
          <w:bCs/>
        </w:rPr>
        <w:t xml:space="preserve">orminiai ES teisės aktai, turintys įstatymo galią: </w:t>
      </w:r>
      <w:r w:rsidR="00C16FDE" w:rsidRPr="007344EA">
        <w:rPr>
          <w:bCs/>
        </w:rPr>
        <w:t xml:space="preserve">Sutartis dėl Europos Sąjungos veikimo, </w:t>
      </w:r>
      <w:r w:rsidR="00EF5001" w:rsidRPr="007344EA">
        <w:rPr>
          <w:bCs/>
        </w:rPr>
        <w:t>Europos Sąjungos Pagrindinių Teisių Chartija,</w:t>
      </w:r>
      <w:r w:rsidR="000C3D9F" w:rsidRPr="007344EA">
        <w:rPr>
          <w:bCs/>
        </w:rPr>
        <w:t xml:space="preserve"> Direktyva 93/13, taip pat ir kitos vartotojų teises reglamentuojančios direktyvos.</w:t>
      </w:r>
      <w:r w:rsidR="004A3F5E" w:rsidRPr="007344EA">
        <w:rPr>
          <w:bCs/>
        </w:rPr>
        <w:t xml:space="preserve"> Nacionaliniai teisės aktai</w:t>
      </w:r>
      <w:r w:rsidR="00352279" w:rsidRPr="007344EA">
        <w:rPr>
          <w:bCs/>
        </w:rPr>
        <w:t xml:space="preserve">: </w:t>
      </w:r>
      <w:r w:rsidR="000C3D9F" w:rsidRPr="007344EA">
        <w:rPr>
          <w:bCs/>
        </w:rPr>
        <w:t>LR Civilinis k</w:t>
      </w:r>
      <w:r w:rsidR="0052223F" w:rsidRPr="007344EA">
        <w:rPr>
          <w:bCs/>
        </w:rPr>
        <w:t>odeksas,</w:t>
      </w:r>
      <w:r w:rsidR="009E6C35" w:rsidRPr="007344EA">
        <w:rPr>
          <w:bCs/>
        </w:rPr>
        <w:t xml:space="preserve"> LR Civilio proceso kodeksas,</w:t>
      </w:r>
      <w:r w:rsidR="0052223F" w:rsidRPr="007344EA">
        <w:rPr>
          <w:bCs/>
        </w:rPr>
        <w:t xml:space="preserve"> </w:t>
      </w:r>
      <w:r w:rsidR="00EF5001" w:rsidRPr="007344EA">
        <w:rPr>
          <w:bCs/>
        </w:rPr>
        <w:t>LR Varto</w:t>
      </w:r>
      <w:r w:rsidR="00F7395F" w:rsidRPr="007344EA">
        <w:rPr>
          <w:bCs/>
        </w:rPr>
        <w:t>tojų teisių apsaugos įstatymas.</w:t>
      </w:r>
      <w:r w:rsidR="00B14BFC" w:rsidRPr="007344EA">
        <w:rPr>
          <w:bCs/>
        </w:rPr>
        <w:t xml:space="preserve"> </w:t>
      </w:r>
      <w:r w:rsidR="004A3F5E" w:rsidRPr="007344EA">
        <w:rPr>
          <w:bCs/>
        </w:rPr>
        <w:t>Sąjungos teisės aktai, neturintys privalomosios galios:</w:t>
      </w:r>
      <w:r w:rsidR="00EF5001" w:rsidRPr="007344EA">
        <w:rPr>
          <w:bCs/>
        </w:rPr>
        <w:t xml:space="preserve"> </w:t>
      </w:r>
      <w:r w:rsidR="00EF5001" w:rsidRPr="007344EA">
        <w:t xml:space="preserve">Europos Komisijos pateikta Žalioji Knyga dėl Vartotojų </w:t>
      </w:r>
      <w:r w:rsidR="00EF5001" w:rsidRPr="007344EA">
        <w:rPr>
          <w:i/>
        </w:rPr>
        <w:t>acquis</w:t>
      </w:r>
      <w:r w:rsidR="00EF5001" w:rsidRPr="007344EA">
        <w:t xml:space="preserve"> persvarstymo</w:t>
      </w:r>
      <w:r w:rsidR="00FC2AD9" w:rsidRPr="007344EA">
        <w:t>, 1990 ir 1992 m. Komisijos pasiūlymai dėl nesąžiningų sąlygų sutartyse su vartotojais, 1992 m. rugsėjo 22 d. bendroji pozicija, dėl nesąžiningų sąlygų sutartyse su vartotojais,</w:t>
      </w:r>
      <w:r w:rsidR="00056125" w:rsidRPr="007344EA">
        <w:t xml:space="preserve"> </w:t>
      </w:r>
      <w:r w:rsidR="006A09B3" w:rsidRPr="007344EA">
        <w:t xml:space="preserve">Vartotojų teisių apsaugos kompendiumas „Lyginamoji Analizė“, parengtas Komisijos prašymu, </w:t>
      </w:r>
      <w:r w:rsidR="00CE2472" w:rsidRPr="007344EA">
        <w:t xml:space="preserve"> </w:t>
      </w:r>
      <w:r w:rsidR="006A09B3" w:rsidRPr="007344EA">
        <w:t xml:space="preserve">Komisijos ataskaita, dėl Direktyvos 93/13 įgyvendinimo. </w:t>
      </w:r>
    </w:p>
    <w:p w:rsidR="006A09B3" w:rsidRPr="007344EA" w:rsidRDefault="004A3F5E" w:rsidP="006E00E1">
      <w:pPr>
        <w:pStyle w:val="Default"/>
        <w:spacing w:line="360" w:lineRule="auto"/>
        <w:ind w:firstLine="1296"/>
        <w:jc w:val="both"/>
      </w:pPr>
      <w:r w:rsidRPr="007344EA">
        <w:t>Antrajai</w:t>
      </w:r>
      <w:r w:rsidR="0079145D" w:rsidRPr="007344EA">
        <w:t xml:space="preserve"> šaltinių</w:t>
      </w:r>
      <w:r w:rsidRPr="007344EA">
        <w:t xml:space="preserve"> grupei</w:t>
      </w:r>
      <w:r w:rsidR="00EF5001" w:rsidRPr="007344EA">
        <w:t xml:space="preserve"> priskirtini Teisingumo Teismo sprendimai/nutartys </w:t>
      </w:r>
      <w:r w:rsidR="003B3A95" w:rsidRPr="007344EA">
        <w:t xml:space="preserve">pagal </w:t>
      </w:r>
      <w:r w:rsidR="00EF5001" w:rsidRPr="007344EA">
        <w:t>prašym</w:t>
      </w:r>
      <w:r w:rsidR="003B3A95" w:rsidRPr="007344EA">
        <w:t xml:space="preserve">us </w:t>
      </w:r>
      <w:r w:rsidR="00EF5001" w:rsidRPr="007344EA">
        <w:t>priimti</w:t>
      </w:r>
      <w:r w:rsidR="00056125" w:rsidRPr="007344EA">
        <w:t xml:space="preserve"> prejudicinį sprendimą ir</w:t>
      </w:r>
      <w:r w:rsidR="00C71043" w:rsidRPr="007344EA">
        <w:t xml:space="preserve"> sprendimai</w:t>
      </w:r>
      <w:r w:rsidR="006C6391" w:rsidRPr="007344EA">
        <w:t xml:space="preserve"> </w:t>
      </w:r>
      <w:r w:rsidR="00C71043" w:rsidRPr="007344EA">
        <w:t>dėl valstybių narių įsipareigojimo nevykdymo b</w:t>
      </w:r>
      <w:r w:rsidR="00CE2472" w:rsidRPr="007344EA">
        <w:t>ei Generalinio a</w:t>
      </w:r>
      <w:r w:rsidR="00FF3865" w:rsidRPr="007344EA">
        <w:t>dvok</w:t>
      </w:r>
      <w:r w:rsidR="00CE79AA" w:rsidRPr="007344EA">
        <w:t xml:space="preserve">ato išvados. </w:t>
      </w:r>
      <w:r w:rsidR="00DB3C10" w:rsidRPr="007344EA">
        <w:t xml:space="preserve">Taip pat Lietuvos Aukščiausiojo teismo </w:t>
      </w:r>
      <w:r w:rsidR="0099207E" w:rsidRPr="007344EA">
        <w:t>nutartys</w:t>
      </w:r>
      <w:r w:rsidR="00DB3C10" w:rsidRPr="007344EA">
        <w:t xml:space="preserve">. </w:t>
      </w:r>
      <w:r w:rsidR="00A25F48" w:rsidRPr="007344EA">
        <w:t>Teisingumo Teismo</w:t>
      </w:r>
      <w:r w:rsidR="007C5DED" w:rsidRPr="007344EA">
        <w:t xml:space="preserve"> praktika yra pagrindinis</w:t>
      </w:r>
      <w:r w:rsidR="00CE79AA" w:rsidRPr="007344EA">
        <w:t xml:space="preserve"> šio magistro baigiamojo darbo šaltinis.</w:t>
      </w:r>
      <w:r w:rsidR="007C5DED" w:rsidRPr="007344EA">
        <w:t xml:space="preserve"> A</w:t>
      </w:r>
      <w:r w:rsidR="00FC2AD9" w:rsidRPr="007344EA">
        <w:t xml:space="preserve">nalizuojamos šios Teisingumo Teismo bylos: </w:t>
      </w:r>
      <w:r w:rsidR="00FC2AD9" w:rsidRPr="007344EA">
        <w:rPr>
          <w:i/>
        </w:rPr>
        <w:t>Ocea</w:t>
      </w:r>
      <w:r w:rsidR="00E13ECA" w:rsidRPr="007344EA">
        <w:rPr>
          <w:i/>
        </w:rPr>
        <w:t>no</w:t>
      </w:r>
      <w:r w:rsidR="00E13ECA" w:rsidRPr="007344EA">
        <w:rPr>
          <w:rStyle w:val="FootnoteReference"/>
          <w:i/>
        </w:rPr>
        <w:footnoteReference w:id="39"/>
      </w:r>
      <w:r w:rsidR="00E13ECA" w:rsidRPr="007344EA">
        <w:rPr>
          <w:i/>
        </w:rPr>
        <w:t>, Komisija prieš Nyderlandus</w:t>
      </w:r>
      <w:r w:rsidR="00302BBD" w:rsidRPr="007344EA">
        <w:rPr>
          <w:rStyle w:val="FootnoteReference"/>
          <w:i/>
        </w:rPr>
        <w:footnoteReference w:id="40"/>
      </w:r>
      <w:r w:rsidR="00E13ECA" w:rsidRPr="007344EA">
        <w:rPr>
          <w:i/>
        </w:rPr>
        <w:t xml:space="preserve">, </w:t>
      </w:r>
      <w:r w:rsidR="00FC2AD9" w:rsidRPr="007344EA">
        <w:rPr>
          <w:i/>
        </w:rPr>
        <w:t>Cape</w:t>
      </w:r>
      <w:r w:rsidR="00302BBD" w:rsidRPr="007344EA">
        <w:rPr>
          <w:rStyle w:val="FootnoteReference"/>
          <w:i/>
        </w:rPr>
        <w:footnoteReference w:id="41"/>
      </w:r>
      <w:r w:rsidR="00FC2AD9" w:rsidRPr="007344EA">
        <w:rPr>
          <w:i/>
        </w:rPr>
        <w:t xml:space="preserve">, </w:t>
      </w:r>
      <w:r w:rsidR="00FC2AD9" w:rsidRPr="007344EA">
        <w:rPr>
          <w:i/>
        </w:rPr>
        <w:lastRenderedPageBreak/>
        <w:t>Komisija prieš Švediją</w:t>
      </w:r>
      <w:r w:rsidR="00302BBD" w:rsidRPr="007344EA">
        <w:rPr>
          <w:rStyle w:val="FootnoteReference"/>
          <w:i/>
        </w:rPr>
        <w:footnoteReference w:id="42"/>
      </w:r>
      <w:r w:rsidR="00FC2AD9" w:rsidRPr="007344EA">
        <w:rPr>
          <w:i/>
        </w:rPr>
        <w:t xml:space="preserve">, </w:t>
      </w:r>
      <w:r w:rsidR="00E13ECA" w:rsidRPr="007344EA">
        <w:rPr>
          <w:i/>
        </w:rPr>
        <w:t>Komisija prieš Italiją</w:t>
      </w:r>
      <w:r w:rsidR="002E2D62" w:rsidRPr="007344EA">
        <w:rPr>
          <w:rStyle w:val="FootnoteReference"/>
          <w:i/>
        </w:rPr>
        <w:footnoteReference w:id="43"/>
      </w:r>
      <w:r w:rsidR="00E13ECA" w:rsidRPr="007344EA">
        <w:rPr>
          <w:i/>
        </w:rPr>
        <w:t xml:space="preserve">, </w:t>
      </w:r>
      <w:r w:rsidR="00DC379D" w:rsidRPr="007344EA">
        <w:rPr>
          <w:i/>
        </w:rPr>
        <w:t>Cofidis</w:t>
      </w:r>
      <w:r w:rsidR="002E2D62" w:rsidRPr="007344EA">
        <w:rPr>
          <w:rStyle w:val="FootnoteReference"/>
          <w:i/>
        </w:rPr>
        <w:footnoteReference w:id="44"/>
      </w:r>
      <w:r w:rsidR="00DC379D" w:rsidRPr="007344EA">
        <w:rPr>
          <w:i/>
        </w:rPr>
        <w:t>, Freiburger</w:t>
      </w:r>
      <w:r w:rsidR="002E2D62" w:rsidRPr="007344EA">
        <w:rPr>
          <w:rStyle w:val="FootnoteReference"/>
          <w:i/>
        </w:rPr>
        <w:footnoteReference w:id="45"/>
      </w:r>
      <w:r w:rsidR="00DC379D" w:rsidRPr="007344EA">
        <w:rPr>
          <w:i/>
        </w:rPr>
        <w:t>, Komisija prieš Ispaniją</w:t>
      </w:r>
      <w:r w:rsidR="002E2D62" w:rsidRPr="007344EA">
        <w:rPr>
          <w:rStyle w:val="FootnoteReference"/>
          <w:i/>
        </w:rPr>
        <w:footnoteReference w:id="46"/>
      </w:r>
      <w:r w:rsidR="00DC379D" w:rsidRPr="007344EA">
        <w:rPr>
          <w:i/>
        </w:rPr>
        <w:t>, Ynos</w:t>
      </w:r>
      <w:r w:rsidR="00922D95" w:rsidRPr="007344EA">
        <w:rPr>
          <w:rStyle w:val="FootnoteReference"/>
          <w:i/>
        </w:rPr>
        <w:footnoteReference w:id="47"/>
      </w:r>
      <w:r w:rsidR="00DC379D" w:rsidRPr="007344EA">
        <w:rPr>
          <w:i/>
        </w:rPr>
        <w:t>, Claro</w:t>
      </w:r>
      <w:r w:rsidR="00922D95" w:rsidRPr="007344EA">
        <w:rPr>
          <w:rStyle w:val="FootnoteReference"/>
          <w:i/>
        </w:rPr>
        <w:footnoteReference w:id="48"/>
      </w:r>
      <w:r w:rsidR="00DC379D" w:rsidRPr="007344EA">
        <w:rPr>
          <w:i/>
        </w:rPr>
        <w:t>, Pannon</w:t>
      </w:r>
      <w:r w:rsidR="00922D95" w:rsidRPr="007344EA">
        <w:rPr>
          <w:rStyle w:val="FootnoteReference"/>
          <w:i/>
        </w:rPr>
        <w:footnoteReference w:id="49"/>
      </w:r>
      <w:r w:rsidR="00DC379D" w:rsidRPr="007344EA">
        <w:rPr>
          <w:i/>
        </w:rPr>
        <w:t xml:space="preserve">, </w:t>
      </w:r>
      <w:r w:rsidR="00E13ECA" w:rsidRPr="007344EA">
        <w:rPr>
          <w:i/>
        </w:rPr>
        <w:t>Asturcom</w:t>
      </w:r>
      <w:r w:rsidR="00922D95" w:rsidRPr="007344EA">
        <w:rPr>
          <w:rStyle w:val="FootnoteReference"/>
          <w:i/>
        </w:rPr>
        <w:footnoteReference w:id="50"/>
      </w:r>
      <w:r w:rsidR="00E13ECA" w:rsidRPr="007344EA">
        <w:rPr>
          <w:i/>
        </w:rPr>
        <w:t xml:space="preserve">, </w:t>
      </w:r>
      <w:r w:rsidR="00DC379D" w:rsidRPr="007344EA">
        <w:rPr>
          <w:i/>
        </w:rPr>
        <w:t>Caja de Madrid</w:t>
      </w:r>
      <w:r w:rsidR="00EC51FC" w:rsidRPr="007344EA">
        <w:rPr>
          <w:rStyle w:val="FootnoteReference"/>
          <w:i/>
        </w:rPr>
        <w:footnoteReference w:id="51"/>
      </w:r>
      <w:r w:rsidR="00DC379D" w:rsidRPr="007344EA">
        <w:rPr>
          <w:i/>
        </w:rPr>
        <w:t>, Pohotovost</w:t>
      </w:r>
      <w:r w:rsidR="00A850D2" w:rsidRPr="007344EA">
        <w:rPr>
          <w:rStyle w:val="FootnoteReference"/>
          <w:i/>
        </w:rPr>
        <w:footnoteReference w:id="52"/>
      </w:r>
      <w:r w:rsidR="00DC379D" w:rsidRPr="007344EA">
        <w:rPr>
          <w:i/>
        </w:rPr>
        <w:t>, Penzug</w:t>
      </w:r>
      <w:r w:rsidR="00F56784" w:rsidRPr="007344EA">
        <w:rPr>
          <w:i/>
        </w:rPr>
        <w:t>y</w:t>
      </w:r>
      <w:r w:rsidR="00DC379D" w:rsidRPr="007344EA">
        <w:rPr>
          <w:i/>
        </w:rPr>
        <w:t>i Lizing</w:t>
      </w:r>
      <w:r w:rsidR="006C6391" w:rsidRPr="007344EA">
        <w:rPr>
          <w:rStyle w:val="FootnoteReference"/>
          <w:i/>
        </w:rPr>
        <w:footnoteReference w:id="53"/>
      </w:r>
      <w:r w:rsidR="00DC379D" w:rsidRPr="007344EA">
        <w:rPr>
          <w:i/>
        </w:rPr>
        <w:t>, Hypotečni banka</w:t>
      </w:r>
      <w:r w:rsidR="006C6391" w:rsidRPr="007344EA">
        <w:rPr>
          <w:rStyle w:val="FootnoteReference"/>
          <w:i/>
        </w:rPr>
        <w:footnoteReference w:id="54"/>
      </w:r>
      <w:r w:rsidR="00DC379D" w:rsidRPr="007344EA">
        <w:rPr>
          <w:i/>
        </w:rPr>
        <w:t xml:space="preserve">, </w:t>
      </w:r>
      <w:r w:rsidR="00C829AF" w:rsidRPr="007344EA">
        <w:rPr>
          <w:bCs/>
          <w:i/>
          <w:lang w:val="pt-PT"/>
        </w:rPr>
        <w:t>Pereničová</w:t>
      </w:r>
      <w:r w:rsidR="006C6391" w:rsidRPr="007344EA">
        <w:rPr>
          <w:rStyle w:val="FootnoteReference"/>
          <w:i/>
        </w:rPr>
        <w:footnoteReference w:id="55"/>
      </w:r>
      <w:r w:rsidR="00DC379D" w:rsidRPr="007344EA">
        <w:rPr>
          <w:i/>
        </w:rPr>
        <w:t>,</w:t>
      </w:r>
      <w:r w:rsidR="006C6391" w:rsidRPr="007344EA">
        <w:rPr>
          <w:i/>
        </w:rPr>
        <w:t xml:space="preserve"> </w:t>
      </w:r>
      <w:r w:rsidR="00DC379D" w:rsidRPr="007344EA">
        <w:rPr>
          <w:i/>
        </w:rPr>
        <w:t xml:space="preserve"> </w:t>
      </w:r>
      <w:r w:rsidR="00392953" w:rsidRPr="007344EA">
        <w:rPr>
          <w:bCs/>
          <w:i/>
          <w:lang w:val="pt-PT"/>
        </w:rPr>
        <w:t>Nemzeti</w:t>
      </w:r>
      <w:r w:rsidR="006C6391" w:rsidRPr="007344EA">
        <w:rPr>
          <w:rStyle w:val="FootnoteReference"/>
          <w:i/>
        </w:rPr>
        <w:footnoteReference w:id="56"/>
      </w:r>
      <w:r w:rsidR="005D2A8F" w:rsidRPr="007344EA">
        <w:t xml:space="preserve">, </w:t>
      </w:r>
      <w:r w:rsidR="005D2A8F" w:rsidRPr="007344EA">
        <w:rPr>
          <w:i/>
        </w:rPr>
        <w:t>Banco Espan</w:t>
      </w:r>
      <w:r w:rsidR="007D126C" w:rsidRPr="007344EA">
        <w:rPr>
          <w:i/>
        </w:rPr>
        <w:t>ol</w:t>
      </w:r>
      <w:r w:rsidR="005D2A8F" w:rsidRPr="007344EA">
        <w:rPr>
          <w:rStyle w:val="FootnoteReference"/>
          <w:i/>
        </w:rPr>
        <w:footnoteReference w:id="57"/>
      </w:r>
      <w:r w:rsidR="005D2A8F" w:rsidRPr="007344EA">
        <w:t xml:space="preserve">. </w:t>
      </w:r>
      <w:r w:rsidR="00DC379D" w:rsidRPr="007344EA">
        <w:t xml:space="preserve"> </w:t>
      </w:r>
    </w:p>
    <w:p w:rsidR="00F626C6" w:rsidRPr="007344EA" w:rsidRDefault="00ED2569" w:rsidP="006E00E1">
      <w:pPr>
        <w:pStyle w:val="Default"/>
        <w:spacing w:line="360" w:lineRule="auto"/>
        <w:ind w:firstLine="1296"/>
        <w:jc w:val="both"/>
      </w:pPr>
      <w:r w:rsidRPr="007344EA">
        <w:t xml:space="preserve">Analizuojant teisės doktriną,  susijusią su Direktyva </w:t>
      </w:r>
      <w:r w:rsidRPr="007344EA">
        <w:rPr>
          <w:lang w:val="en-US"/>
        </w:rPr>
        <w:t>93/13, pasteb</w:t>
      </w:r>
      <w:r w:rsidR="00DC2ABF" w:rsidRPr="007344EA">
        <w:t>ima</w:t>
      </w:r>
      <w:r w:rsidRPr="007344EA">
        <w:t xml:space="preserve">, kad </w:t>
      </w:r>
      <w:r w:rsidR="00360FE7" w:rsidRPr="007344EA">
        <w:rPr>
          <w:bCs/>
        </w:rPr>
        <w:t>galima išskirti tam tikras mokslinėse publikacijose nagrinėjamų klausimų tendencijas, pagal konkretų laikotarpį.</w:t>
      </w:r>
      <w:r w:rsidR="0025497E" w:rsidRPr="007344EA">
        <w:rPr>
          <w:bCs/>
        </w:rPr>
        <w:t xml:space="preserve"> </w:t>
      </w:r>
      <w:r w:rsidR="00056125" w:rsidRPr="007344EA">
        <w:rPr>
          <w:bCs/>
        </w:rPr>
        <w:t xml:space="preserve">Išskiriamos </w:t>
      </w:r>
      <w:r w:rsidR="005618CB" w:rsidRPr="007344EA">
        <w:rPr>
          <w:bCs/>
        </w:rPr>
        <w:t>dvi ryškios mokslinių publikacijų „bangos“</w:t>
      </w:r>
      <w:r w:rsidR="0025497E" w:rsidRPr="007344EA">
        <w:rPr>
          <w:bCs/>
        </w:rPr>
        <w:t xml:space="preserve">. </w:t>
      </w:r>
      <w:r w:rsidR="0025497E" w:rsidRPr="007344EA">
        <w:t>Pirmoji mokslinių publikacijų „banga“, bendruoju požiūriu nagrinėjanti Direktyvos 93/13 reikšmę, jos perkėlimo problemas, kilo 1994 − 1996 metais t.y. iškart po Direktyvos 93/13 priėmimo ir/ar įsigaliojimo. Verta pažymėti šias publikacijas:</w:t>
      </w:r>
      <w:r w:rsidR="008D0FAC" w:rsidRPr="007344EA">
        <w:t xml:space="preserve"> F. P. Davidson </w:t>
      </w:r>
      <w:r w:rsidR="008D0FAC" w:rsidRPr="007344EA">
        <w:rPr>
          <w:i/>
        </w:rPr>
        <w:t>Unfair terms in consumer contracts</w:t>
      </w:r>
      <w:r w:rsidR="008D0FAC" w:rsidRPr="007344EA">
        <w:rPr>
          <w:rStyle w:val="FootnoteReference"/>
          <w:i/>
        </w:rPr>
        <w:footnoteReference w:id="58"/>
      </w:r>
      <w:r w:rsidR="008D0FAC" w:rsidRPr="007344EA">
        <w:rPr>
          <w:i/>
        </w:rPr>
        <w:t>,</w:t>
      </w:r>
      <w:r w:rsidR="008D0FAC" w:rsidRPr="007344EA">
        <w:t xml:space="preserve"> G. Howells T. ir Wilhelmsson </w:t>
      </w:r>
      <w:r w:rsidR="008D0FAC" w:rsidRPr="007344EA">
        <w:rPr>
          <w:i/>
        </w:rPr>
        <w:t>EC Consumer Law</w:t>
      </w:r>
      <w:r w:rsidR="008D0FAC" w:rsidRPr="007344EA">
        <w:rPr>
          <w:rStyle w:val="FootnoteReference"/>
          <w:i/>
        </w:rPr>
        <w:footnoteReference w:id="59"/>
      </w:r>
      <w:r w:rsidR="008D0FAC" w:rsidRPr="007344EA">
        <w:rPr>
          <w:i/>
        </w:rPr>
        <w:t xml:space="preserve">, </w:t>
      </w:r>
      <w:r w:rsidR="008D0FAC" w:rsidRPr="007344EA">
        <w:t xml:space="preserve">M. Terneiro </w:t>
      </w:r>
      <w:r w:rsidR="008D0FAC" w:rsidRPr="007344EA">
        <w:rPr>
          <w:i/>
        </w:rPr>
        <w:t>The Community Directive on unfair terms and national legal systems: the principle of good faith and remedies for unfair terms</w:t>
      </w:r>
      <w:r w:rsidR="008D0FAC" w:rsidRPr="007344EA">
        <w:rPr>
          <w:rStyle w:val="FootnoteReference"/>
          <w:i/>
        </w:rPr>
        <w:footnoteReference w:id="60"/>
      </w:r>
      <w:r w:rsidR="008D0FAC" w:rsidRPr="007344EA">
        <w:rPr>
          <w:i/>
        </w:rPr>
        <w:t>,</w:t>
      </w:r>
      <w:r w:rsidR="008D0FAC" w:rsidRPr="007344EA">
        <w:t xml:space="preserve"> K. Uff </w:t>
      </w:r>
      <w:r w:rsidR="008D0FAC" w:rsidRPr="007344EA">
        <w:rPr>
          <w:bCs/>
          <w:i/>
        </w:rPr>
        <w:t>The incorporation of the Unfair Terms in consumer contracts directive into English law</w:t>
      </w:r>
      <w:r w:rsidR="008D0FAC" w:rsidRPr="007344EA">
        <w:t xml:space="preserve"> </w:t>
      </w:r>
      <w:r w:rsidR="008D0FAC" w:rsidRPr="007344EA">
        <w:rPr>
          <w:rStyle w:val="FootnoteReference"/>
        </w:rPr>
        <w:footnoteReference w:id="61"/>
      </w:r>
      <w:r w:rsidR="008D0FAC" w:rsidRPr="007344EA">
        <w:t>.</w:t>
      </w:r>
    </w:p>
    <w:p w:rsidR="0025497E" w:rsidRPr="007344EA" w:rsidRDefault="0025497E" w:rsidP="006E00E1">
      <w:pPr>
        <w:pStyle w:val="Default"/>
        <w:spacing w:line="360" w:lineRule="auto"/>
        <w:ind w:firstLine="1296"/>
        <w:jc w:val="both"/>
      </w:pPr>
      <w:r w:rsidRPr="007344EA">
        <w:t>Antroji mokslinių publikacijų „banga“</w:t>
      </w:r>
      <w:r w:rsidR="00D8368B" w:rsidRPr="007344EA">
        <w:t>, sukėlusi dideles teisės mokslininkų</w:t>
      </w:r>
      <w:r w:rsidR="0099207E" w:rsidRPr="007344EA">
        <w:t xml:space="preserve"> diskusijas</w:t>
      </w:r>
      <w:r w:rsidR="00D8368B" w:rsidRPr="007344EA">
        <w:t>,</w:t>
      </w:r>
      <w:r w:rsidRPr="007344EA">
        <w:t xml:space="preserve"> buvo susijusi su 2008 metais pateiktu Europos parlamento ir Tarybos direktyvos pasiūlymu dėl vartotojų teisių</w:t>
      </w:r>
      <w:r w:rsidR="00DC2ABF" w:rsidRPr="007344EA">
        <w:rPr>
          <w:rStyle w:val="FootnoteReference"/>
        </w:rPr>
        <w:footnoteReference w:id="62"/>
      </w:r>
      <w:r w:rsidR="00D8368B" w:rsidRPr="007344EA">
        <w:t xml:space="preserve">. Šiame pasiūlyme buvo numatyta panaikinti Direktyvą 93/13 ir nesąžiningų sąlygų </w:t>
      </w:r>
      <w:r w:rsidR="00DF356A">
        <w:t>taikymą</w:t>
      </w:r>
      <w:r w:rsidR="00D8368B" w:rsidRPr="007344EA">
        <w:t xml:space="preserve"> vartojimo sutartyse harmonizuoti visiško suderinamumo metodu. </w:t>
      </w:r>
      <w:r w:rsidR="0099207E" w:rsidRPr="007344EA">
        <w:lastRenderedPageBreak/>
        <w:t>Tačiau, priėmus Direktyvą 2011/83/ES dėl vartotojų teisių</w:t>
      </w:r>
      <w:r w:rsidR="00834850" w:rsidRPr="007344EA">
        <w:rPr>
          <w:rStyle w:val="FootnoteReference"/>
        </w:rPr>
        <w:footnoteReference w:id="63"/>
      </w:r>
      <w:r w:rsidR="00834850" w:rsidRPr="007344EA">
        <w:t>, buvo apsiribota tik procedūriniu Direktyvos 9</w:t>
      </w:r>
      <w:r w:rsidR="00834850" w:rsidRPr="007344EA">
        <w:rPr>
          <w:lang w:val="en-US"/>
        </w:rPr>
        <w:t xml:space="preserve">3/13 pakeitimu </w:t>
      </w:r>
      <w:r w:rsidR="00834850" w:rsidRPr="007344EA">
        <w:t xml:space="preserve">įtraukiant </w:t>
      </w:r>
      <w:r w:rsidR="00834850" w:rsidRPr="007344EA">
        <w:rPr>
          <w:lang w:val="en-US"/>
        </w:rPr>
        <w:t xml:space="preserve">8ᵃ </w:t>
      </w:r>
      <w:r w:rsidR="008D0FAC" w:rsidRPr="007344EA">
        <w:rPr>
          <w:lang w:val="en-US"/>
        </w:rPr>
        <w:t>straipsnį.</w:t>
      </w:r>
      <w:r w:rsidR="00834850" w:rsidRPr="007344EA">
        <w:t xml:space="preserve"> </w:t>
      </w:r>
    </w:p>
    <w:p w:rsidR="0025497E" w:rsidRPr="007344EA" w:rsidRDefault="0025497E" w:rsidP="0025497E">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 xml:space="preserve">Kaip atskira mokslinių publikacijų grupė išskirtini veikalai, analizuojantys ir interpretuojantys  išskirtinai tik Teisingumo Teismo sprendimus: J. Stuyck Case </w:t>
      </w:r>
      <w:r w:rsidRPr="007344EA">
        <w:rPr>
          <w:rFonts w:ascii="Times New Roman" w:hAnsi="Times New Roman" w:cs="Times New Roman"/>
          <w:i/>
          <w:sz w:val="24"/>
          <w:szCs w:val="24"/>
        </w:rPr>
        <w:t>C-484/08 Caje de Ahorros y Monte de Piedad de Madrid v Asociation de Usuarios de Servicios Bancarios (Ausbanc</w:t>
      </w:r>
      <w:r w:rsidR="00E367AD" w:rsidRPr="007344EA">
        <w:rPr>
          <w:rFonts w:ascii="Times New Roman" w:hAnsi="Times New Roman" w:cs="Times New Roman"/>
          <w:i/>
          <w:sz w:val="24"/>
          <w:szCs w:val="24"/>
        </w:rPr>
        <w:t>)</w:t>
      </w:r>
      <w:r w:rsidRPr="007344EA">
        <w:rPr>
          <w:rStyle w:val="FootnoteReference"/>
          <w:rFonts w:ascii="Times New Roman" w:hAnsi="Times New Roman"/>
          <w:i/>
          <w:sz w:val="24"/>
          <w:szCs w:val="24"/>
        </w:rPr>
        <w:footnoteReference w:id="64"/>
      </w:r>
      <w:r w:rsidRPr="007344EA">
        <w:rPr>
          <w:rFonts w:ascii="Times New Roman" w:hAnsi="Times New Roman" w:cs="Times New Roman"/>
          <w:sz w:val="24"/>
          <w:szCs w:val="24"/>
        </w:rPr>
        <w:t xml:space="preserve">, C. Mak </w:t>
      </w:r>
      <w:r w:rsidRPr="007344EA">
        <w:rPr>
          <w:rFonts w:ascii="Times New Roman" w:hAnsi="Times New Roman" w:cs="Times New Roman"/>
          <w:i/>
          <w:sz w:val="24"/>
          <w:szCs w:val="24"/>
        </w:rPr>
        <w:t>Judgment of  the Court  (First Chamber) of October 2009, Asturcom Telecomunicaciones SL v Cristina Rodriguez Nogueira, Case C-40/08</w:t>
      </w:r>
      <w:r w:rsidRPr="007344EA">
        <w:rPr>
          <w:rStyle w:val="FootnoteReference"/>
          <w:rFonts w:ascii="Times New Roman" w:hAnsi="Times New Roman"/>
          <w:i/>
          <w:sz w:val="24"/>
          <w:szCs w:val="24"/>
        </w:rPr>
        <w:footnoteReference w:id="65"/>
      </w:r>
      <w:r w:rsidRPr="007344EA">
        <w:rPr>
          <w:rFonts w:ascii="Times New Roman" w:hAnsi="Times New Roman" w:cs="Times New Roman"/>
          <w:sz w:val="24"/>
          <w:szCs w:val="24"/>
        </w:rPr>
        <w:t xml:space="preserve">. </w:t>
      </w:r>
    </w:p>
    <w:p w:rsidR="0025497E" w:rsidRPr="007344EA" w:rsidRDefault="0025497E" w:rsidP="006E00E1">
      <w:pPr>
        <w:pStyle w:val="Default"/>
        <w:spacing w:line="360" w:lineRule="auto"/>
        <w:ind w:firstLine="1296"/>
        <w:jc w:val="both"/>
      </w:pPr>
    </w:p>
    <w:p w:rsidR="00F626C6" w:rsidRPr="007344EA" w:rsidRDefault="00F626C6" w:rsidP="006E00E1">
      <w:pPr>
        <w:pStyle w:val="Default"/>
        <w:spacing w:line="360" w:lineRule="auto"/>
        <w:ind w:firstLine="1296"/>
        <w:jc w:val="both"/>
      </w:pPr>
    </w:p>
    <w:p w:rsidR="0096113C" w:rsidRPr="007344EA" w:rsidRDefault="0096113C" w:rsidP="006E00E1">
      <w:pPr>
        <w:pStyle w:val="Default"/>
        <w:spacing w:line="360" w:lineRule="auto"/>
        <w:jc w:val="both"/>
        <w:rPr>
          <w:bCs/>
        </w:rPr>
      </w:pPr>
    </w:p>
    <w:p w:rsidR="003610EC" w:rsidRPr="007344EA" w:rsidRDefault="003610EC" w:rsidP="006E00E1">
      <w:pPr>
        <w:pStyle w:val="Default"/>
        <w:spacing w:line="360" w:lineRule="auto"/>
        <w:jc w:val="both"/>
        <w:rPr>
          <w:bCs/>
        </w:rPr>
      </w:pPr>
    </w:p>
    <w:p w:rsidR="003610EC" w:rsidRPr="007344EA" w:rsidRDefault="003610EC" w:rsidP="006E00E1">
      <w:pPr>
        <w:pStyle w:val="Default"/>
        <w:spacing w:line="360" w:lineRule="auto"/>
        <w:jc w:val="both"/>
        <w:rPr>
          <w:bCs/>
        </w:rPr>
      </w:pPr>
    </w:p>
    <w:p w:rsidR="003610EC" w:rsidRPr="007344EA" w:rsidRDefault="003610EC" w:rsidP="006E00E1">
      <w:pPr>
        <w:pStyle w:val="Default"/>
        <w:spacing w:line="360" w:lineRule="auto"/>
        <w:jc w:val="both"/>
        <w:rPr>
          <w:bCs/>
        </w:rPr>
      </w:pPr>
    </w:p>
    <w:p w:rsidR="00E367AD" w:rsidRPr="007344EA" w:rsidRDefault="00E367AD" w:rsidP="006E00E1">
      <w:pPr>
        <w:pStyle w:val="Default"/>
        <w:spacing w:line="360" w:lineRule="auto"/>
        <w:jc w:val="both"/>
        <w:rPr>
          <w:bCs/>
        </w:rPr>
      </w:pPr>
    </w:p>
    <w:p w:rsidR="00E367AD" w:rsidRPr="007344EA" w:rsidRDefault="00E367AD" w:rsidP="006E00E1">
      <w:pPr>
        <w:pStyle w:val="Default"/>
        <w:spacing w:line="360" w:lineRule="auto"/>
        <w:jc w:val="both"/>
        <w:rPr>
          <w:bCs/>
        </w:rPr>
      </w:pPr>
    </w:p>
    <w:p w:rsidR="00E367AD" w:rsidRPr="007344EA" w:rsidRDefault="00E367AD" w:rsidP="006E00E1">
      <w:pPr>
        <w:pStyle w:val="Default"/>
        <w:spacing w:line="360" w:lineRule="auto"/>
        <w:jc w:val="both"/>
        <w:rPr>
          <w:bCs/>
        </w:rPr>
      </w:pPr>
    </w:p>
    <w:p w:rsidR="00E367AD" w:rsidRPr="007344EA" w:rsidRDefault="00E367AD" w:rsidP="006E00E1">
      <w:pPr>
        <w:pStyle w:val="Default"/>
        <w:spacing w:line="360" w:lineRule="auto"/>
        <w:jc w:val="both"/>
        <w:rPr>
          <w:bCs/>
        </w:rPr>
      </w:pPr>
    </w:p>
    <w:p w:rsidR="00E367AD" w:rsidRPr="007344EA" w:rsidRDefault="00E367AD" w:rsidP="006E00E1">
      <w:pPr>
        <w:pStyle w:val="Default"/>
        <w:spacing w:line="360" w:lineRule="auto"/>
        <w:jc w:val="both"/>
        <w:rPr>
          <w:bCs/>
        </w:rPr>
      </w:pPr>
    </w:p>
    <w:p w:rsidR="00E367AD" w:rsidRPr="007344EA" w:rsidRDefault="00E367AD" w:rsidP="006E00E1">
      <w:pPr>
        <w:pStyle w:val="Default"/>
        <w:spacing w:line="360" w:lineRule="auto"/>
        <w:jc w:val="both"/>
        <w:rPr>
          <w:bCs/>
        </w:rPr>
      </w:pPr>
    </w:p>
    <w:p w:rsidR="00E367AD" w:rsidRPr="007344EA" w:rsidRDefault="00E367AD" w:rsidP="006E00E1">
      <w:pPr>
        <w:pStyle w:val="Default"/>
        <w:spacing w:line="360" w:lineRule="auto"/>
        <w:jc w:val="both"/>
        <w:rPr>
          <w:bCs/>
        </w:rPr>
      </w:pPr>
    </w:p>
    <w:p w:rsidR="00E367AD" w:rsidRPr="007344EA" w:rsidRDefault="00E367AD" w:rsidP="006E00E1">
      <w:pPr>
        <w:pStyle w:val="Default"/>
        <w:spacing w:line="360" w:lineRule="auto"/>
        <w:jc w:val="both"/>
        <w:rPr>
          <w:bCs/>
        </w:rPr>
      </w:pPr>
    </w:p>
    <w:p w:rsidR="00E367AD" w:rsidRPr="007344EA" w:rsidRDefault="00E367AD" w:rsidP="006E00E1">
      <w:pPr>
        <w:pStyle w:val="Default"/>
        <w:spacing w:line="360" w:lineRule="auto"/>
        <w:jc w:val="both"/>
        <w:rPr>
          <w:bCs/>
        </w:rPr>
      </w:pPr>
    </w:p>
    <w:p w:rsidR="00E367AD" w:rsidRPr="007344EA" w:rsidRDefault="00E367AD" w:rsidP="006E00E1">
      <w:pPr>
        <w:pStyle w:val="Default"/>
        <w:spacing w:line="360" w:lineRule="auto"/>
        <w:jc w:val="both"/>
        <w:rPr>
          <w:bCs/>
        </w:rPr>
      </w:pPr>
    </w:p>
    <w:p w:rsidR="00E367AD" w:rsidRPr="007344EA" w:rsidRDefault="00E367AD" w:rsidP="006E00E1">
      <w:pPr>
        <w:pStyle w:val="Default"/>
        <w:spacing w:line="360" w:lineRule="auto"/>
        <w:jc w:val="both"/>
        <w:rPr>
          <w:bCs/>
        </w:rPr>
      </w:pPr>
    </w:p>
    <w:p w:rsidR="00E367AD" w:rsidRPr="007344EA" w:rsidRDefault="00E367AD" w:rsidP="006E00E1">
      <w:pPr>
        <w:pStyle w:val="Default"/>
        <w:spacing w:line="360" w:lineRule="auto"/>
        <w:jc w:val="both"/>
        <w:rPr>
          <w:bCs/>
        </w:rPr>
      </w:pPr>
    </w:p>
    <w:p w:rsidR="00E367AD" w:rsidRPr="007344EA" w:rsidRDefault="00E367AD" w:rsidP="006E00E1">
      <w:pPr>
        <w:pStyle w:val="Default"/>
        <w:spacing w:line="360" w:lineRule="auto"/>
        <w:jc w:val="both"/>
        <w:rPr>
          <w:bCs/>
        </w:rPr>
      </w:pPr>
    </w:p>
    <w:p w:rsidR="00E367AD" w:rsidRPr="007344EA" w:rsidRDefault="00E367AD" w:rsidP="006E00E1">
      <w:pPr>
        <w:pStyle w:val="Default"/>
        <w:spacing w:line="360" w:lineRule="auto"/>
        <w:jc w:val="both"/>
        <w:rPr>
          <w:bCs/>
        </w:rPr>
      </w:pPr>
    </w:p>
    <w:p w:rsidR="00E367AD" w:rsidRPr="007344EA" w:rsidRDefault="00E367AD" w:rsidP="006E00E1">
      <w:pPr>
        <w:pStyle w:val="Default"/>
        <w:spacing w:line="360" w:lineRule="auto"/>
        <w:jc w:val="both"/>
        <w:rPr>
          <w:bCs/>
        </w:rPr>
      </w:pPr>
    </w:p>
    <w:p w:rsidR="0096113C" w:rsidRPr="007344EA" w:rsidRDefault="000F6662" w:rsidP="00737F0F">
      <w:pPr>
        <w:pStyle w:val="Heading1"/>
        <w:ind w:left="1296" w:firstLine="1296"/>
        <w:rPr>
          <w:rFonts w:ascii="Times New Roman" w:hAnsi="Times New Roman" w:cs="Times New Roman"/>
          <w:color w:val="000000" w:themeColor="text1"/>
          <w:sz w:val="24"/>
          <w:szCs w:val="24"/>
        </w:rPr>
      </w:pPr>
      <w:bookmarkStart w:id="2" w:name="_Toc344337152"/>
      <w:r w:rsidRPr="007344EA">
        <w:rPr>
          <w:rFonts w:ascii="Times New Roman" w:hAnsi="Times New Roman" w:cs="Times New Roman"/>
          <w:color w:val="000000" w:themeColor="text1"/>
          <w:sz w:val="24"/>
          <w:szCs w:val="24"/>
        </w:rPr>
        <w:lastRenderedPageBreak/>
        <w:t xml:space="preserve">1. </w:t>
      </w:r>
      <w:r w:rsidR="002B5AC9" w:rsidRPr="007344EA">
        <w:rPr>
          <w:rFonts w:ascii="Times New Roman" w:hAnsi="Times New Roman" w:cs="Times New Roman"/>
          <w:color w:val="000000" w:themeColor="text1"/>
          <w:sz w:val="24"/>
          <w:szCs w:val="24"/>
        </w:rPr>
        <w:t>DIREKTYVOS 93/13 REIKŠMĖ VARTOTOJŲ TEISIŲ APSAUGOS SISTEMOJE</w:t>
      </w:r>
      <w:bookmarkEnd w:id="2"/>
    </w:p>
    <w:p w:rsidR="00CE2472" w:rsidRPr="007344EA" w:rsidRDefault="00CE2472" w:rsidP="006E00E1">
      <w:pPr>
        <w:spacing w:after="0" w:line="360" w:lineRule="auto"/>
        <w:ind w:firstLine="1296"/>
        <w:jc w:val="both"/>
        <w:rPr>
          <w:rFonts w:ascii="Times New Roman" w:hAnsi="Times New Roman" w:cs="Times New Roman"/>
          <w:sz w:val="24"/>
          <w:szCs w:val="24"/>
        </w:rPr>
      </w:pPr>
    </w:p>
    <w:p w:rsidR="00842EE4" w:rsidRPr="007344EA" w:rsidRDefault="006A30E5"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Siekiant atskleisti D</w:t>
      </w:r>
      <w:r w:rsidR="0048355C" w:rsidRPr="007344EA">
        <w:rPr>
          <w:rFonts w:ascii="Times New Roman" w:hAnsi="Times New Roman" w:cs="Times New Roman"/>
          <w:sz w:val="24"/>
          <w:szCs w:val="24"/>
        </w:rPr>
        <w:t xml:space="preserve">irektyvos </w:t>
      </w:r>
      <w:r w:rsidRPr="007344EA">
        <w:rPr>
          <w:rFonts w:ascii="Times New Roman" w:hAnsi="Times New Roman" w:cs="Times New Roman"/>
          <w:sz w:val="24"/>
          <w:szCs w:val="24"/>
        </w:rPr>
        <w:t xml:space="preserve">93/13 </w:t>
      </w:r>
      <w:r w:rsidR="0048355C" w:rsidRPr="007344EA">
        <w:rPr>
          <w:rFonts w:ascii="Times New Roman" w:hAnsi="Times New Roman" w:cs="Times New Roman"/>
          <w:sz w:val="24"/>
          <w:szCs w:val="24"/>
        </w:rPr>
        <w:t>reikšmę</w:t>
      </w:r>
      <w:r w:rsidR="00CE79AA" w:rsidRPr="007344EA">
        <w:rPr>
          <w:rFonts w:ascii="Times New Roman" w:hAnsi="Times New Roman" w:cs="Times New Roman"/>
          <w:sz w:val="24"/>
          <w:szCs w:val="24"/>
        </w:rPr>
        <w:t xml:space="preserve"> tiek vartotojų teisių apsaugos sistemoje, tiek visoje valstybių narių privatinėje </w:t>
      </w:r>
      <w:r w:rsidR="00CF28D0" w:rsidRPr="007344EA">
        <w:rPr>
          <w:rFonts w:ascii="Times New Roman" w:hAnsi="Times New Roman" w:cs="Times New Roman"/>
          <w:sz w:val="24"/>
          <w:szCs w:val="24"/>
        </w:rPr>
        <w:t>teisėje</w:t>
      </w:r>
      <w:r w:rsidR="00D7002F" w:rsidRPr="007344EA">
        <w:rPr>
          <w:rFonts w:ascii="Times New Roman" w:hAnsi="Times New Roman" w:cs="Times New Roman"/>
          <w:sz w:val="24"/>
          <w:szCs w:val="24"/>
        </w:rPr>
        <w:t>,</w:t>
      </w:r>
      <w:r w:rsidR="00CF28D0" w:rsidRPr="007344EA">
        <w:rPr>
          <w:rFonts w:ascii="Times New Roman" w:hAnsi="Times New Roman" w:cs="Times New Roman"/>
          <w:sz w:val="24"/>
          <w:szCs w:val="24"/>
        </w:rPr>
        <w:t xml:space="preserve"> </w:t>
      </w:r>
      <w:r w:rsidR="00E64238" w:rsidRPr="007344EA">
        <w:rPr>
          <w:rFonts w:ascii="Times New Roman" w:hAnsi="Times New Roman" w:cs="Times New Roman"/>
          <w:sz w:val="24"/>
          <w:szCs w:val="24"/>
        </w:rPr>
        <w:t xml:space="preserve">būtina </w:t>
      </w:r>
      <w:r w:rsidR="00242BD8" w:rsidRPr="007344EA">
        <w:rPr>
          <w:rFonts w:ascii="Times New Roman" w:hAnsi="Times New Roman" w:cs="Times New Roman"/>
          <w:sz w:val="24"/>
          <w:szCs w:val="24"/>
        </w:rPr>
        <w:t xml:space="preserve">bent trumpai </w:t>
      </w:r>
      <w:r w:rsidR="00E64238" w:rsidRPr="007344EA">
        <w:rPr>
          <w:rFonts w:ascii="Times New Roman" w:hAnsi="Times New Roman" w:cs="Times New Roman"/>
          <w:sz w:val="24"/>
          <w:szCs w:val="24"/>
        </w:rPr>
        <w:t>aptarti</w:t>
      </w:r>
      <w:r w:rsidR="0048355C" w:rsidRPr="007344EA">
        <w:rPr>
          <w:rFonts w:ascii="Times New Roman" w:hAnsi="Times New Roman" w:cs="Times New Roman"/>
          <w:sz w:val="24"/>
          <w:szCs w:val="24"/>
        </w:rPr>
        <w:t xml:space="preserve"> Direk</w:t>
      </w:r>
      <w:r w:rsidR="00CE79AA" w:rsidRPr="007344EA">
        <w:rPr>
          <w:rFonts w:ascii="Times New Roman" w:hAnsi="Times New Roman" w:cs="Times New Roman"/>
          <w:sz w:val="24"/>
          <w:szCs w:val="24"/>
        </w:rPr>
        <w:t>tyvos</w:t>
      </w:r>
      <w:r w:rsidR="00835CBF" w:rsidRPr="007344EA">
        <w:rPr>
          <w:rFonts w:ascii="Times New Roman" w:hAnsi="Times New Roman" w:cs="Times New Roman"/>
          <w:sz w:val="24"/>
          <w:szCs w:val="24"/>
        </w:rPr>
        <w:t xml:space="preserve"> 93/13</w:t>
      </w:r>
      <w:r w:rsidR="00CE79AA" w:rsidRPr="007344EA">
        <w:rPr>
          <w:rFonts w:ascii="Times New Roman" w:hAnsi="Times New Roman" w:cs="Times New Roman"/>
          <w:sz w:val="24"/>
          <w:szCs w:val="24"/>
        </w:rPr>
        <w:t xml:space="preserve"> priėmimo aplinkybes bei prielaidas</w:t>
      </w:r>
      <w:r w:rsidR="006F2F18" w:rsidRPr="007344EA">
        <w:rPr>
          <w:rFonts w:ascii="Times New Roman" w:hAnsi="Times New Roman" w:cs="Times New Roman"/>
          <w:sz w:val="24"/>
          <w:szCs w:val="24"/>
        </w:rPr>
        <w:t>,</w:t>
      </w:r>
      <w:r w:rsidR="00CE79AA" w:rsidRPr="007344EA">
        <w:rPr>
          <w:rFonts w:ascii="Times New Roman" w:hAnsi="Times New Roman" w:cs="Times New Roman"/>
          <w:sz w:val="24"/>
          <w:szCs w:val="24"/>
        </w:rPr>
        <w:t xml:space="preserve"> paskatinusias nesąžiningas sutarčių</w:t>
      </w:r>
      <w:r w:rsidR="00574766" w:rsidRPr="007344EA">
        <w:rPr>
          <w:rFonts w:ascii="Times New Roman" w:hAnsi="Times New Roman" w:cs="Times New Roman"/>
          <w:sz w:val="24"/>
          <w:szCs w:val="24"/>
        </w:rPr>
        <w:t>, sudarytų su vartotojais,</w:t>
      </w:r>
      <w:r w:rsidR="00CE79AA" w:rsidRPr="007344EA">
        <w:rPr>
          <w:rFonts w:ascii="Times New Roman" w:hAnsi="Times New Roman" w:cs="Times New Roman"/>
          <w:sz w:val="24"/>
          <w:szCs w:val="24"/>
        </w:rPr>
        <w:t xml:space="preserve"> sąlygas reglamentuoti Sąjungos mastu. </w:t>
      </w:r>
    </w:p>
    <w:p w:rsidR="0048355C" w:rsidRPr="007344EA" w:rsidRDefault="0048355C"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 xml:space="preserve"> </w:t>
      </w:r>
      <w:r w:rsidR="00B24898" w:rsidRPr="007344EA">
        <w:rPr>
          <w:rFonts w:ascii="Times New Roman" w:hAnsi="Times New Roman" w:cs="Times New Roman"/>
          <w:sz w:val="24"/>
          <w:szCs w:val="24"/>
        </w:rPr>
        <w:t>N</w:t>
      </w:r>
      <w:r w:rsidR="00387AEB" w:rsidRPr="007344EA">
        <w:rPr>
          <w:rFonts w:ascii="Times New Roman" w:hAnsi="Times New Roman" w:cs="Times New Roman"/>
          <w:sz w:val="24"/>
          <w:szCs w:val="24"/>
        </w:rPr>
        <w:t>acionaliniam n</w:t>
      </w:r>
      <w:r w:rsidR="00D512ED" w:rsidRPr="007344EA">
        <w:rPr>
          <w:rFonts w:ascii="Times New Roman" w:hAnsi="Times New Roman" w:cs="Times New Roman"/>
          <w:sz w:val="24"/>
          <w:szCs w:val="24"/>
        </w:rPr>
        <w:t>esąžiningų sąlygų sutartyse</w:t>
      </w:r>
      <w:r w:rsidR="00574766" w:rsidRPr="007344EA">
        <w:rPr>
          <w:rFonts w:ascii="Times New Roman" w:hAnsi="Times New Roman" w:cs="Times New Roman"/>
          <w:sz w:val="24"/>
          <w:szCs w:val="24"/>
        </w:rPr>
        <w:t xml:space="preserve"> </w:t>
      </w:r>
      <w:r w:rsidR="00D512ED" w:rsidRPr="007344EA">
        <w:rPr>
          <w:rFonts w:ascii="Times New Roman" w:hAnsi="Times New Roman" w:cs="Times New Roman"/>
          <w:sz w:val="24"/>
          <w:szCs w:val="24"/>
        </w:rPr>
        <w:t>su vartotojais reglamentavimui Europoje jau daugiau nei 40 metų</w:t>
      </w:r>
      <w:r w:rsidR="00B24898" w:rsidRPr="007344EA">
        <w:rPr>
          <w:rFonts w:ascii="Times New Roman" w:hAnsi="Times New Roman" w:cs="Times New Roman"/>
          <w:sz w:val="24"/>
          <w:szCs w:val="24"/>
        </w:rPr>
        <w:t>.</w:t>
      </w:r>
      <w:r w:rsidR="00D512ED" w:rsidRPr="007344EA">
        <w:rPr>
          <w:rStyle w:val="FootnoteReference"/>
          <w:rFonts w:ascii="Times New Roman" w:hAnsi="Times New Roman"/>
          <w:sz w:val="24"/>
          <w:szCs w:val="24"/>
        </w:rPr>
        <w:footnoteReference w:id="66"/>
      </w:r>
      <w:r w:rsidR="00D74A14" w:rsidRPr="007344EA">
        <w:rPr>
          <w:rFonts w:ascii="Times New Roman" w:hAnsi="Times New Roman" w:cs="Times New Roman"/>
          <w:sz w:val="24"/>
          <w:szCs w:val="24"/>
        </w:rPr>
        <w:t xml:space="preserve"> </w:t>
      </w:r>
      <w:r w:rsidR="00D512ED" w:rsidRPr="007344EA">
        <w:rPr>
          <w:rFonts w:ascii="Times New Roman" w:hAnsi="Times New Roman" w:cs="Times New Roman"/>
          <w:sz w:val="24"/>
          <w:szCs w:val="24"/>
        </w:rPr>
        <w:t>Kelių va</w:t>
      </w:r>
      <w:r w:rsidR="00D74A14" w:rsidRPr="007344EA">
        <w:rPr>
          <w:rFonts w:ascii="Times New Roman" w:hAnsi="Times New Roman" w:cs="Times New Roman"/>
          <w:sz w:val="24"/>
          <w:szCs w:val="24"/>
        </w:rPr>
        <w:t xml:space="preserve">lstybių narių sutarčių teisėje, dar gerokai iki įsigaliojant Direktyvai 93/13, </w:t>
      </w:r>
      <w:r w:rsidR="00D512ED" w:rsidRPr="007344EA">
        <w:rPr>
          <w:rFonts w:ascii="Times New Roman" w:hAnsi="Times New Roman" w:cs="Times New Roman"/>
          <w:sz w:val="24"/>
          <w:szCs w:val="24"/>
        </w:rPr>
        <w:t>buvo priimti</w:t>
      </w:r>
      <w:r w:rsidR="00B24898" w:rsidRPr="007344EA">
        <w:rPr>
          <w:rFonts w:ascii="Times New Roman" w:hAnsi="Times New Roman" w:cs="Times New Roman"/>
          <w:sz w:val="24"/>
          <w:szCs w:val="24"/>
        </w:rPr>
        <w:t xml:space="preserve"> specialūs teisės aktai</w:t>
      </w:r>
      <w:r w:rsidR="00D512ED" w:rsidRPr="007344EA">
        <w:rPr>
          <w:rFonts w:ascii="Times New Roman" w:hAnsi="Times New Roman" w:cs="Times New Roman"/>
          <w:sz w:val="24"/>
          <w:szCs w:val="24"/>
        </w:rPr>
        <w:t xml:space="preserve"> </w:t>
      </w:r>
      <w:r w:rsidR="00B24898" w:rsidRPr="007344EA">
        <w:rPr>
          <w:rFonts w:ascii="Times New Roman" w:hAnsi="Times New Roman" w:cs="Times New Roman"/>
          <w:sz w:val="24"/>
          <w:szCs w:val="24"/>
        </w:rPr>
        <w:t xml:space="preserve">reglamentuojantys nesąžiningų sąlygų taikymą. </w:t>
      </w:r>
      <w:r w:rsidR="00D512ED" w:rsidRPr="007344EA">
        <w:rPr>
          <w:rFonts w:ascii="Times New Roman" w:hAnsi="Times New Roman" w:cs="Times New Roman"/>
          <w:sz w:val="24"/>
          <w:szCs w:val="24"/>
        </w:rPr>
        <w:t>Vokietijoje 1976 m. priimtas Pagrindinių sutarčių sąlygų įstatymas (</w:t>
      </w:r>
      <w:r w:rsidR="00D512ED" w:rsidRPr="007344EA">
        <w:rPr>
          <w:rFonts w:ascii="Times New Roman" w:hAnsi="Times New Roman" w:cs="Times New Roman"/>
          <w:i/>
          <w:sz w:val="24"/>
          <w:szCs w:val="24"/>
        </w:rPr>
        <w:t>Act on General Conditions of Contract</w:t>
      </w:r>
      <w:r w:rsidR="00D512ED" w:rsidRPr="007344EA">
        <w:rPr>
          <w:rFonts w:ascii="Times New Roman" w:hAnsi="Times New Roman" w:cs="Times New Roman"/>
          <w:sz w:val="24"/>
          <w:szCs w:val="24"/>
          <w:vertAlign w:val="superscript"/>
        </w:rPr>
        <w:footnoteReference w:id="67"/>
      </w:r>
      <w:r w:rsidR="00D512ED" w:rsidRPr="007344EA">
        <w:rPr>
          <w:rFonts w:ascii="Times New Roman" w:hAnsi="Times New Roman" w:cs="Times New Roman"/>
          <w:sz w:val="24"/>
          <w:szCs w:val="24"/>
        </w:rPr>
        <w:t>), Jungtinėje Karalystėje 1977 m. priimtas Nesąžiningų sutarties sąlygų aktas (</w:t>
      </w:r>
      <w:r w:rsidR="00D512ED" w:rsidRPr="007344EA">
        <w:rPr>
          <w:rFonts w:ascii="Times New Roman" w:hAnsi="Times New Roman" w:cs="Times New Roman"/>
          <w:i/>
          <w:sz w:val="24"/>
          <w:szCs w:val="24"/>
        </w:rPr>
        <w:t>Unfair Contract  Terms Act</w:t>
      </w:r>
      <w:r w:rsidR="00D512ED" w:rsidRPr="007344EA">
        <w:rPr>
          <w:rFonts w:ascii="Times New Roman" w:hAnsi="Times New Roman" w:cs="Times New Roman"/>
          <w:sz w:val="24"/>
          <w:szCs w:val="24"/>
          <w:vertAlign w:val="superscript"/>
        </w:rPr>
        <w:footnoteReference w:id="68"/>
      </w:r>
      <w:r w:rsidR="00D512ED" w:rsidRPr="007344EA">
        <w:rPr>
          <w:rFonts w:ascii="Times New Roman" w:hAnsi="Times New Roman" w:cs="Times New Roman"/>
          <w:sz w:val="24"/>
          <w:szCs w:val="24"/>
        </w:rPr>
        <w:t>), Prancūzijoje 19</w:t>
      </w:r>
      <w:r w:rsidR="00242BD8" w:rsidRPr="007344EA">
        <w:rPr>
          <w:rFonts w:ascii="Times New Roman" w:hAnsi="Times New Roman" w:cs="Times New Roman"/>
          <w:sz w:val="24"/>
          <w:szCs w:val="24"/>
        </w:rPr>
        <w:t>78 m.</w:t>
      </w:r>
      <w:r w:rsidR="00D512ED" w:rsidRPr="007344EA">
        <w:rPr>
          <w:rFonts w:ascii="Times New Roman" w:hAnsi="Times New Roman" w:cs="Times New Roman"/>
          <w:sz w:val="24"/>
          <w:szCs w:val="24"/>
        </w:rPr>
        <w:t xml:space="preserve"> priimtas </w:t>
      </w:r>
      <w:r w:rsidR="00557B5A" w:rsidRPr="007344EA">
        <w:rPr>
          <w:rFonts w:ascii="Times New Roman" w:hAnsi="Times New Roman" w:cs="Times New Roman"/>
          <w:sz w:val="24"/>
          <w:szCs w:val="24"/>
        </w:rPr>
        <w:t xml:space="preserve">Vartotojų </w:t>
      </w:r>
      <w:r w:rsidR="005D2B04" w:rsidRPr="007344EA">
        <w:rPr>
          <w:rFonts w:ascii="Times New Roman" w:hAnsi="Times New Roman" w:cs="Times New Roman"/>
          <w:sz w:val="24"/>
          <w:szCs w:val="24"/>
        </w:rPr>
        <w:t>a</w:t>
      </w:r>
      <w:r w:rsidR="00557B5A" w:rsidRPr="007344EA">
        <w:rPr>
          <w:rFonts w:ascii="Times New Roman" w:hAnsi="Times New Roman" w:cs="Times New Roman"/>
          <w:sz w:val="24"/>
          <w:szCs w:val="24"/>
        </w:rPr>
        <w:t xml:space="preserve">psaugos ir </w:t>
      </w:r>
      <w:r w:rsidR="00F40555" w:rsidRPr="007344EA">
        <w:rPr>
          <w:rFonts w:ascii="Times New Roman" w:hAnsi="Times New Roman" w:cs="Times New Roman"/>
          <w:sz w:val="24"/>
          <w:szCs w:val="24"/>
        </w:rPr>
        <w:t>informavimo prekių ir paslaugų s</w:t>
      </w:r>
      <w:r w:rsidR="00557B5A" w:rsidRPr="007344EA">
        <w:rPr>
          <w:rFonts w:ascii="Times New Roman" w:hAnsi="Times New Roman" w:cs="Times New Roman"/>
          <w:sz w:val="24"/>
          <w:szCs w:val="24"/>
        </w:rPr>
        <w:t>rityje</w:t>
      </w:r>
      <w:r w:rsidR="00D512ED" w:rsidRPr="007344EA">
        <w:rPr>
          <w:rFonts w:ascii="Times New Roman" w:hAnsi="Times New Roman" w:cs="Times New Roman"/>
          <w:sz w:val="24"/>
          <w:szCs w:val="24"/>
        </w:rPr>
        <w:t xml:space="preserve"> (</w:t>
      </w:r>
      <w:r w:rsidR="00D512ED" w:rsidRPr="007344EA">
        <w:rPr>
          <w:rFonts w:ascii="Times New Roman" w:hAnsi="Times New Roman" w:cs="Times New Roman"/>
          <w:i/>
          <w:sz w:val="24"/>
          <w:szCs w:val="24"/>
        </w:rPr>
        <w:t>Loi Scrivener</w:t>
      </w:r>
      <w:r w:rsidR="00D512ED" w:rsidRPr="007344EA">
        <w:rPr>
          <w:rFonts w:ascii="Times New Roman" w:hAnsi="Times New Roman" w:cs="Times New Roman"/>
          <w:sz w:val="24"/>
          <w:szCs w:val="24"/>
          <w:vertAlign w:val="superscript"/>
        </w:rPr>
        <w:footnoteReference w:id="69"/>
      </w:r>
      <w:r w:rsidR="00F40555" w:rsidRPr="007344EA">
        <w:rPr>
          <w:rFonts w:ascii="Times New Roman" w:hAnsi="Times New Roman" w:cs="Times New Roman"/>
          <w:sz w:val="24"/>
          <w:szCs w:val="24"/>
        </w:rPr>
        <w:t>), nesąžiningų</w:t>
      </w:r>
      <w:r w:rsidR="006F62AB" w:rsidRPr="007344EA">
        <w:rPr>
          <w:rFonts w:ascii="Times New Roman" w:hAnsi="Times New Roman" w:cs="Times New Roman"/>
          <w:sz w:val="24"/>
          <w:szCs w:val="24"/>
        </w:rPr>
        <w:t xml:space="preserve"> sąlygų taikymas</w:t>
      </w:r>
      <w:r w:rsidR="00D512ED" w:rsidRPr="007344EA">
        <w:rPr>
          <w:rFonts w:ascii="Times New Roman" w:hAnsi="Times New Roman" w:cs="Times New Roman"/>
          <w:sz w:val="24"/>
          <w:szCs w:val="24"/>
        </w:rPr>
        <w:t xml:space="preserve"> buvo reglamentuotos ir</w:t>
      </w:r>
      <w:r w:rsidR="00933823" w:rsidRPr="007344EA">
        <w:rPr>
          <w:rFonts w:ascii="Times New Roman" w:hAnsi="Times New Roman" w:cs="Times New Roman"/>
          <w:sz w:val="24"/>
          <w:szCs w:val="24"/>
        </w:rPr>
        <w:t xml:space="preserve"> </w:t>
      </w:r>
      <w:r w:rsidR="00D512ED" w:rsidRPr="007344EA">
        <w:rPr>
          <w:rFonts w:ascii="Times New Roman" w:hAnsi="Times New Roman" w:cs="Times New Roman"/>
          <w:sz w:val="24"/>
          <w:szCs w:val="24"/>
        </w:rPr>
        <w:t xml:space="preserve"> Skandinavijos valstybėse. </w:t>
      </w:r>
    </w:p>
    <w:p w:rsidR="007821A0" w:rsidRPr="007344EA" w:rsidRDefault="00D74A14"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Taisyklių, reguliuojančių</w:t>
      </w:r>
      <w:r w:rsidR="002B5AC9" w:rsidRPr="007344EA">
        <w:rPr>
          <w:rFonts w:ascii="Times New Roman" w:hAnsi="Times New Roman" w:cs="Times New Roman"/>
          <w:sz w:val="24"/>
          <w:szCs w:val="24"/>
        </w:rPr>
        <w:t xml:space="preserve"> nesąžiningas sąlygas vartoj</w:t>
      </w:r>
      <w:r w:rsidR="00D17729" w:rsidRPr="007344EA">
        <w:rPr>
          <w:rFonts w:ascii="Times New Roman" w:hAnsi="Times New Roman" w:cs="Times New Roman"/>
          <w:sz w:val="24"/>
          <w:szCs w:val="24"/>
        </w:rPr>
        <w:t xml:space="preserve">imo sutartyse, derimas Sąjungoje </w:t>
      </w:r>
      <w:r w:rsidR="002B5AC9" w:rsidRPr="007344EA">
        <w:rPr>
          <w:rFonts w:ascii="Times New Roman" w:hAnsi="Times New Roman" w:cs="Times New Roman"/>
          <w:sz w:val="24"/>
          <w:szCs w:val="24"/>
        </w:rPr>
        <w:t>buvo pradėtas</w:t>
      </w:r>
      <w:r w:rsidR="00FC0BD6" w:rsidRPr="007344EA">
        <w:rPr>
          <w:rFonts w:ascii="Times New Roman" w:hAnsi="Times New Roman" w:cs="Times New Roman"/>
          <w:sz w:val="24"/>
          <w:szCs w:val="24"/>
        </w:rPr>
        <w:t xml:space="preserve"> praeito</w:t>
      </w:r>
      <w:r w:rsidR="007D126C" w:rsidRPr="007344EA">
        <w:rPr>
          <w:rFonts w:ascii="Times New Roman" w:hAnsi="Times New Roman" w:cs="Times New Roman"/>
          <w:sz w:val="24"/>
          <w:szCs w:val="24"/>
        </w:rPr>
        <w:t xml:space="preserve"> amžiaus</w:t>
      </w:r>
      <w:r w:rsidR="002956A8" w:rsidRPr="007344EA">
        <w:rPr>
          <w:rFonts w:ascii="Times New Roman" w:hAnsi="Times New Roman" w:cs="Times New Roman"/>
          <w:sz w:val="24"/>
          <w:szCs w:val="24"/>
        </w:rPr>
        <w:t xml:space="preserve"> </w:t>
      </w:r>
      <w:r w:rsidR="00F40555" w:rsidRPr="007344EA">
        <w:rPr>
          <w:rFonts w:ascii="Times New Roman" w:hAnsi="Times New Roman" w:cs="Times New Roman"/>
          <w:sz w:val="24"/>
          <w:szCs w:val="24"/>
          <w:lang w:val="en-US"/>
        </w:rPr>
        <w:t>8−tame</w:t>
      </w:r>
      <w:r w:rsidR="002B5AC9" w:rsidRPr="007344EA">
        <w:rPr>
          <w:rFonts w:ascii="Times New Roman" w:hAnsi="Times New Roman" w:cs="Times New Roman"/>
          <w:sz w:val="24"/>
          <w:szCs w:val="24"/>
        </w:rPr>
        <w:t xml:space="preserve"> dešimtmetyje</w:t>
      </w:r>
      <w:r w:rsidR="003866F7" w:rsidRPr="007344EA">
        <w:rPr>
          <w:rFonts w:ascii="Times New Roman" w:hAnsi="Times New Roman" w:cs="Times New Roman"/>
          <w:sz w:val="24"/>
          <w:szCs w:val="24"/>
        </w:rPr>
        <w:t>.</w:t>
      </w:r>
      <w:r w:rsidR="00933823" w:rsidRPr="007344EA">
        <w:rPr>
          <w:rStyle w:val="FootnoteReference"/>
          <w:rFonts w:ascii="Times New Roman" w:hAnsi="Times New Roman"/>
          <w:sz w:val="24"/>
          <w:szCs w:val="24"/>
        </w:rPr>
        <w:footnoteReference w:id="70"/>
      </w:r>
      <w:r w:rsidR="002B5AC9" w:rsidRPr="007344EA">
        <w:rPr>
          <w:rFonts w:ascii="Times New Roman" w:hAnsi="Times New Roman" w:cs="Times New Roman"/>
          <w:sz w:val="24"/>
          <w:szCs w:val="24"/>
        </w:rPr>
        <w:t xml:space="preserve"> </w:t>
      </w:r>
      <w:r w:rsidR="00387AEB" w:rsidRPr="007344EA">
        <w:rPr>
          <w:rFonts w:ascii="Times New Roman" w:hAnsi="Times New Roman" w:cs="Times New Roman"/>
          <w:sz w:val="24"/>
          <w:szCs w:val="24"/>
        </w:rPr>
        <w:t>Glazgo</w:t>
      </w:r>
      <w:r w:rsidR="00CF28D0" w:rsidRPr="007344EA">
        <w:rPr>
          <w:rFonts w:ascii="Times New Roman" w:hAnsi="Times New Roman" w:cs="Times New Roman"/>
          <w:sz w:val="24"/>
          <w:szCs w:val="24"/>
        </w:rPr>
        <w:t xml:space="preserve"> Universiteto profesorius F.</w:t>
      </w:r>
      <w:r w:rsidR="002C04F1" w:rsidRPr="007344EA">
        <w:rPr>
          <w:rFonts w:ascii="Times New Roman" w:hAnsi="Times New Roman" w:cs="Times New Roman"/>
          <w:sz w:val="24"/>
          <w:szCs w:val="24"/>
        </w:rPr>
        <w:t xml:space="preserve"> </w:t>
      </w:r>
      <w:r w:rsidR="00CF28D0" w:rsidRPr="007344EA">
        <w:rPr>
          <w:rFonts w:ascii="Times New Roman" w:hAnsi="Times New Roman" w:cs="Times New Roman"/>
          <w:sz w:val="24"/>
          <w:szCs w:val="24"/>
        </w:rPr>
        <w:t>P. Davidson aptardamas Direktyvos 93</w:t>
      </w:r>
      <w:r w:rsidR="008E2B09" w:rsidRPr="007344EA">
        <w:rPr>
          <w:rFonts w:ascii="Times New Roman" w:hAnsi="Times New Roman" w:cs="Times New Roman"/>
          <w:sz w:val="24"/>
          <w:szCs w:val="24"/>
        </w:rPr>
        <w:t xml:space="preserve">/13 priėmimo aplinkybes pažymi, </w:t>
      </w:r>
      <w:r w:rsidR="00CF28D0" w:rsidRPr="007344EA">
        <w:rPr>
          <w:rFonts w:ascii="Times New Roman" w:hAnsi="Times New Roman" w:cs="Times New Roman"/>
          <w:sz w:val="24"/>
          <w:szCs w:val="24"/>
        </w:rPr>
        <w:t>kad pirmoji iniciatyva išleisti direktyvą, reguliuojančią nesąžiningas sąlygas sutartyse su vartotoja</w:t>
      </w:r>
      <w:r w:rsidR="00E1296D" w:rsidRPr="007344EA">
        <w:rPr>
          <w:rFonts w:ascii="Times New Roman" w:hAnsi="Times New Roman" w:cs="Times New Roman"/>
          <w:sz w:val="24"/>
          <w:szCs w:val="24"/>
        </w:rPr>
        <w:t xml:space="preserve">is, pareikšta dar 1975 metais. </w:t>
      </w:r>
      <w:r w:rsidR="00CF28D0" w:rsidRPr="007344EA">
        <w:rPr>
          <w:rFonts w:ascii="Times New Roman" w:hAnsi="Times New Roman" w:cs="Times New Roman"/>
          <w:sz w:val="24"/>
          <w:szCs w:val="24"/>
        </w:rPr>
        <w:t>Tačiau šis pasiūlymas iškart buvo palydėtas nacionalinių teisės aktų, reglamentuojančių nesąžiningas sąlygas, proveržiu Vokietijoje, Jungtinėje Karalystėje, Prancūzijoje. Nesąžiningų sąlygų reglamentavimas šiose šalyse skyrėsi iš esmės.</w:t>
      </w:r>
      <w:r w:rsidR="00CF28D0" w:rsidRPr="007344EA">
        <w:rPr>
          <w:rFonts w:ascii="Times New Roman" w:hAnsi="Times New Roman" w:cs="Times New Roman"/>
          <w:sz w:val="24"/>
          <w:szCs w:val="24"/>
          <w:vertAlign w:val="superscript"/>
        </w:rPr>
        <w:footnoteReference w:id="71"/>
      </w:r>
      <w:r w:rsidR="002B4D8C" w:rsidRPr="007344EA">
        <w:rPr>
          <w:rFonts w:ascii="Times New Roman" w:hAnsi="Times New Roman" w:cs="Times New Roman"/>
          <w:sz w:val="24"/>
          <w:szCs w:val="24"/>
        </w:rPr>
        <w:t xml:space="preserve"> N</w:t>
      </w:r>
      <w:r w:rsidR="00CF28D0" w:rsidRPr="007344EA">
        <w:rPr>
          <w:rFonts w:ascii="Times New Roman" w:hAnsi="Times New Roman" w:cs="Times New Roman"/>
          <w:sz w:val="24"/>
          <w:szCs w:val="24"/>
        </w:rPr>
        <w:t xml:space="preserve">uspręsta, kad nėra tinkamas metas plėtoti bendro Sąjungos teisinio reguliavimo nesąžiningų sąlygų sutartyse su vartotojais idėją. </w:t>
      </w:r>
      <w:r w:rsidR="005F15C2" w:rsidRPr="007344EA">
        <w:rPr>
          <w:rFonts w:ascii="Times New Roman" w:hAnsi="Times New Roman" w:cs="Times New Roman"/>
          <w:sz w:val="24"/>
          <w:szCs w:val="24"/>
        </w:rPr>
        <w:t xml:space="preserve">Šis klausimas buvo paliktas ramybėje iki 1984 metų, kuomet Komisija parengė Žaliąją knygą, </w:t>
      </w:r>
      <w:r w:rsidR="00D7002F" w:rsidRPr="007344EA">
        <w:rPr>
          <w:rFonts w:ascii="Times New Roman" w:hAnsi="Times New Roman" w:cs="Times New Roman"/>
          <w:sz w:val="24"/>
          <w:szCs w:val="24"/>
        </w:rPr>
        <w:t xml:space="preserve">o pirmasis </w:t>
      </w:r>
      <w:r w:rsidR="00DB3C10" w:rsidRPr="007344EA">
        <w:rPr>
          <w:rFonts w:ascii="Times New Roman" w:hAnsi="Times New Roman" w:cs="Times New Roman"/>
          <w:sz w:val="24"/>
          <w:szCs w:val="24"/>
        </w:rPr>
        <w:t>d</w:t>
      </w:r>
      <w:r w:rsidR="0005120E" w:rsidRPr="007344EA">
        <w:rPr>
          <w:rFonts w:ascii="Times New Roman" w:hAnsi="Times New Roman" w:cs="Times New Roman"/>
          <w:sz w:val="24"/>
          <w:szCs w:val="24"/>
        </w:rPr>
        <w:t>irektyvos projektas</w:t>
      </w:r>
      <w:r w:rsidR="005F15C2" w:rsidRPr="007344EA">
        <w:rPr>
          <w:rFonts w:ascii="Times New Roman" w:hAnsi="Times New Roman" w:cs="Times New Roman"/>
          <w:sz w:val="24"/>
          <w:szCs w:val="24"/>
        </w:rPr>
        <w:t xml:space="preserve"> pasirodė tik 1990 m</w:t>
      </w:r>
      <w:r w:rsidR="009E6C35" w:rsidRPr="007344EA">
        <w:rPr>
          <w:rFonts w:ascii="Times New Roman" w:hAnsi="Times New Roman" w:cs="Times New Roman"/>
          <w:sz w:val="24"/>
          <w:szCs w:val="24"/>
        </w:rPr>
        <w:t xml:space="preserve">etais. </w:t>
      </w:r>
      <w:r w:rsidR="005F15C2" w:rsidRPr="007344EA">
        <w:rPr>
          <w:rFonts w:ascii="Times New Roman" w:hAnsi="Times New Roman" w:cs="Times New Roman"/>
          <w:sz w:val="24"/>
          <w:szCs w:val="24"/>
          <w:vertAlign w:val="superscript"/>
        </w:rPr>
        <w:footnoteReference w:id="72"/>
      </w:r>
      <w:r w:rsidR="0033728C" w:rsidRPr="007344EA">
        <w:rPr>
          <w:rFonts w:ascii="Times New Roman" w:hAnsi="Times New Roman" w:cs="Times New Roman"/>
          <w:sz w:val="24"/>
          <w:szCs w:val="24"/>
        </w:rPr>
        <w:t xml:space="preserve"> </w:t>
      </w:r>
    </w:p>
    <w:p w:rsidR="00CF28D0" w:rsidRPr="007344EA" w:rsidRDefault="007D0B23"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w:t>
      </w:r>
      <w:r w:rsidR="002B5AC9" w:rsidRPr="007344EA">
        <w:rPr>
          <w:rFonts w:ascii="Times New Roman" w:hAnsi="Times New Roman" w:cs="Times New Roman"/>
          <w:sz w:val="24"/>
          <w:szCs w:val="24"/>
        </w:rPr>
        <w:t>Per ilgą Direktyvos</w:t>
      </w:r>
      <w:r w:rsidR="005F15C2" w:rsidRPr="007344EA">
        <w:rPr>
          <w:rFonts w:ascii="Times New Roman" w:hAnsi="Times New Roman" w:cs="Times New Roman"/>
          <w:sz w:val="24"/>
          <w:szCs w:val="24"/>
        </w:rPr>
        <w:t xml:space="preserve"> 93/13</w:t>
      </w:r>
      <w:r w:rsidR="002B5AC9" w:rsidRPr="007344EA">
        <w:rPr>
          <w:rFonts w:ascii="Times New Roman" w:hAnsi="Times New Roman" w:cs="Times New Roman"/>
          <w:sz w:val="24"/>
          <w:szCs w:val="24"/>
        </w:rPr>
        <w:t xml:space="preserve"> re</w:t>
      </w:r>
      <w:r w:rsidR="003921C5" w:rsidRPr="007344EA">
        <w:rPr>
          <w:rFonts w:ascii="Times New Roman" w:hAnsi="Times New Roman" w:cs="Times New Roman"/>
          <w:sz w:val="24"/>
          <w:szCs w:val="24"/>
        </w:rPr>
        <w:t>n</w:t>
      </w:r>
      <w:r w:rsidR="002B5AC9" w:rsidRPr="007344EA">
        <w:rPr>
          <w:rFonts w:ascii="Times New Roman" w:hAnsi="Times New Roman" w:cs="Times New Roman"/>
          <w:sz w:val="24"/>
          <w:szCs w:val="24"/>
        </w:rPr>
        <w:t>gimo laiką teko apriboti ambicingus planus, kaip tai dažnai nutinka ES teisės aktų leidybos srity</w:t>
      </w:r>
      <w:r w:rsidR="003A28D9" w:rsidRPr="007344EA">
        <w:rPr>
          <w:rFonts w:ascii="Times New Roman" w:hAnsi="Times New Roman" w:cs="Times New Roman"/>
          <w:sz w:val="24"/>
          <w:szCs w:val="24"/>
        </w:rPr>
        <w:t>je. Tinkamas to pavyzdys</w:t>
      </w:r>
      <w:r w:rsidR="00224D1C" w:rsidRPr="007344EA">
        <w:rPr>
          <w:rFonts w:ascii="Times New Roman" w:hAnsi="Times New Roman" w:cs="Times New Roman"/>
          <w:sz w:val="24"/>
          <w:szCs w:val="24"/>
        </w:rPr>
        <w:t xml:space="preserve"> −</w:t>
      </w:r>
      <w:r w:rsidR="003A28D9" w:rsidRPr="007344EA">
        <w:rPr>
          <w:rFonts w:ascii="Times New Roman" w:hAnsi="Times New Roman" w:cs="Times New Roman"/>
          <w:sz w:val="24"/>
          <w:szCs w:val="24"/>
        </w:rPr>
        <w:t xml:space="preserve"> šios d</w:t>
      </w:r>
      <w:r w:rsidR="002B5AC9" w:rsidRPr="007344EA">
        <w:rPr>
          <w:rFonts w:ascii="Times New Roman" w:hAnsi="Times New Roman" w:cs="Times New Roman"/>
          <w:sz w:val="24"/>
          <w:szCs w:val="24"/>
        </w:rPr>
        <w:t xml:space="preserve">irektyvos taikymo </w:t>
      </w:r>
      <w:r w:rsidR="002B5AC9" w:rsidRPr="007344EA">
        <w:rPr>
          <w:rFonts w:ascii="Times New Roman" w:hAnsi="Times New Roman" w:cs="Times New Roman"/>
          <w:sz w:val="24"/>
          <w:szCs w:val="24"/>
        </w:rPr>
        <w:lastRenderedPageBreak/>
        <w:t>sritis. 199</w:t>
      </w:r>
      <w:r w:rsidR="004849E9" w:rsidRPr="007344EA">
        <w:rPr>
          <w:rFonts w:ascii="Times New Roman" w:hAnsi="Times New Roman" w:cs="Times New Roman"/>
          <w:sz w:val="24"/>
          <w:szCs w:val="24"/>
        </w:rPr>
        <w:t>0</w:t>
      </w:r>
      <w:r w:rsidR="0099594B" w:rsidRPr="007344EA">
        <w:rPr>
          <w:rStyle w:val="FootnoteReference"/>
          <w:rFonts w:ascii="Times New Roman" w:hAnsi="Times New Roman"/>
          <w:sz w:val="24"/>
          <w:szCs w:val="24"/>
        </w:rPr>
        <w:footnoteReference w:id="73"/>
      </w:r>
      <w:r w:rsidR="002B5AC9" w:rsidRPr="007344EA">
        <w:rPr>
          <w:rFonts w:ascii="Times New Roman" w:hAnsi="Times New Roman" w:cs="Times New Roman"/>
          <w:sz w:val="24"/>
          <w:szCs w:val="24"/>
        </w:rPr>
        <w:t xml:space="preserve"> ir 1992</w:t>
      </w:r>
      <w:r w:rsidR="004849E9" w:rsidRPr="007344EA">
        <w:rPr>
          <w:rStyle w:val="FootnoteReference"/>
          <w:rFonts w:ascii="Times New Roman" w:hAnsi="Times New Roman"/>
          <w:sz w:val="24"/>
          <w:szCs w:val="24"/>
        </w:rPr>
        <w:footnoteReference w:id="74"/>
      </w:r>
      <w:r w:rsidR="002B5AC9" w:rsidRPr="007344EA">
        <w:rPr>
          <w:rFonts w:ascii="Times New Roman" w:hAnsi="Times New Roman" w:cs="Times New Roman"/>
          <w:sz w:val="24"/>
          <w:szCs w:val="24"/>
        </w:rPr>
        <w:t xml:space="preserve"> metais pateiktuose Komisijos pasiūlymuose buvo numatyta, kad </w:t>
      </w:r>
      <w:r w:rsidR="000E3588" w:rsidRPr="007344EA">
        <w:rPr>
          <w:rFonts w:ascii="Times New Roman" w:hAnsi="Times New Roman" w:cs="Times New Roman"/>
          <w:sz w:val="24"/>
          <w:szCs w:val="24"/>
        </w:rPr>
        <w:t>d</w:t>
      </w:r>
      <w:r w:rsidR="002B5AC9" w:rsidRPr="007344EA">
        <w:rPr>
          <w:rFonts w:ascii="Times New Roman" w:hAnsi="Times New Roman" w:cs="Times New Roman"/>
          <w:sz w:val="24"/>
          <w:szCs w:val="24"/>
        </w:rPr>
        <w:t>irektyva apims tiek individualiai aptartas, tiek iš anksto paruoštas sutarties sąlygas, tačiau 1992 m</w:t>
      </w:r>
      <w:r w:rsidR="000E3588" w:rsidRPr="007344EA">
        <w:rPr>
          <w:rFonts w:ascii="Times New Roman" w:hAnsi="Times New Roman" w:cs="Times New Roman"/>
          <w:sz w:val="24"/>
          <w:szCs w:val="24"/>
        </w:rPr>
        <w:t>. rugsėjo mėn. Taryba apribojo d</w:t>
      </w:r>
      <w:r w:rsidR="002B5AC9" w:rsidRPr="007344EA">
        <w:rPr>
          <w:rFonts w:ascii="Times New Roman" w:hAnsi="Times New Roman" w:cs="Times New Roman"/>
          <w:sz w:val="24"/>
          <w:szCs w:val="24"/>
        </w:rPr>
        <w:t>irektyvos taikymo sritį, pasirinkdama sąvoką</w:t>
      </w:r>
      <w:r w:rsidR="00C353E8" w:rsidRPr="007344EA">
        <w:rPr>
          <w:rFonts w:ascii="Times New Roman" w:hAnsi="Times New Roman" w:cs="Times New Roman"/>
          <w:sz w:val="24"/>
          <w:szCs w:val="24"/>
        </w:rPr>
        <w:t>: „</w:t>
      </w:r>
      <w:r w:rsidR="002B5AC9" w:rsidRPr="007344EA">
        <w:rPr>
          <w:rFonts w:ascii="Times New Roman" w:hAnsi="Times New Roman" w:cs="Times New Roman"/>
          <w:sz w:val="24"/>
          <w:szCs w:val="24"/>
        </w:rPr>
        <w:t>sutarties sąlyga, dėl kurios nebuvo atskirai derėtasi“. Šis apribojimas įtvirtintas Direktyvos 93/13</w:t>
      </w:r>
      <w:r w:rsidR="00C353E8" w:rsidRPr="007344EA">
        <w:rPr>
          <w:rFonts w:ascii="Times New Roman" w:hAnsi="Times New Roman" w:cs="Times New Roman"/>
          <w:sz w:val="24"/>
          <w:szCs w:val="24"/>
        </w:rPr>
        <w:t xml:space="preserve"> 3 str</w:t>
      </w:r>
      <w:r w:rsidR="00AD6A79" w:rsidRPr="007344EA">
        <w:rPr>
          <w:rFonts w:ascii="Times New Roman" w:hAnsi="Times New Roman" w:cs="Times New Roman"/>
          <w:sz w:val="24"/>
          <w:szCs w:val="24"/>
        </w:rPr>
        <w:t>aipsnyje</w:t>
      </w:r>
      <w:r w:rsidR="00C353E8" w:rsidRPr="007344EA">
        <w:rPr>
          <w:rFonts w:ascii="Times New Roman" w:hAnsi="Times New Roman" w:cs="Times New Roman"/>
          <w:sz w:val="24"/>
          <w:szCs w:val="24"/>
        </w:rPr>
        <w:t>.</w:t>
      </w:r>
      <w:r w:rsidR="002B5AC9" w:rsidRPr="007344EA">
        <w:rPr>
          <w:rFonts w:ascii="Times New Roman" w:hAnsi="Times New Roman" w:cs="Times New Roman"/>
          <w:sz w:val="24"/>
          <w:szCs w:val="24"/>
        </w:rPr>
        <w:t>”</w:t>
      </w:r>
      <w:r w:rsidR="002B5AC9" w:rsidRPr="007344EA">
        <w:rPr>
          <w:rFonts w:ascii="Times New Roman" w:hAnsi="Times New Roman" w:cs="Times New Roman"/>
          <w:sz w:val="24"/>
          <w:szCs w:val="24"/>
          <w:vertAlign w:val="superscript"/>
        </w:rPr>
        <w:footnoteReference w:id="75"/>
      </w:r>
      <w:r w:rsidR="00943B0E" w:rsidRPr="007344EA">
        <w:rPr>
          <w:rFonts w:ascii="Times New Roman" w:hAnsi="Times New Roman" w:cs="Times New Roman"/>
          <w:sz w:val="24"/>
          <w:szCs w:val="24"/>
        </w:rPr>
        <w:t xml:space="preserve">. Direktyvos </w:t>
      </w:r>
      <w:r w:rsidR="00586E82" w:rsidRPr="007344EA">
        <w:rPr>
          <w:rFonts w:ascii="Times New Roman" w:hAnsi="Times New Roman" w:cs="Times New Roman"/>
          <w:sz w:val="24"/>
          <w:szCs w:val="24"/>
        </w:rPr>
        <w:t xml:space="preserve">93/13 </w:t>
      </w:r>
      <w:r w:rsidR="009A2D1C" w:rsidRPr="007344EA">
        <w:rPr>
          <w:rFonts w:ascii="Times New Roman" w:hAnsi="Times New Roman" w:cs="Times New Roman"/>
          <w:sz w:val="24"/>
          <w:szCs w:val="24"/>
        </w:rPr>
        <w:t xml:space="preserve">projektuose pateikiama jos taikymo sritis buvo apribota ne tik </w:t>
      </w:r>
      <w:r w:rsidR="00943B0E" w:rsidRPr="007344EA">
        <w:rPr>
          <w:rFonts w:ascii="Times New Roman" w:hAnsi="Times New Roman" w:cs="Times New Roman"/>
          <w:i/>
          <w:sz w:val="24"/>
          <w:szCs w:val="24"/>
        </w:rPr>
        <w:t>ratione materiae</w:t>
      </w:r>
      <w:r w:rsidR="00943B0E" w:rsidRPr="007344EA">
        <w:rPr>
          <w:rFonts w:ascii="Times New Roman" w:hAnsi="Times New Roman" w:cs="Times New Roman"/>
          <w:sz w:val="24"/>
          <w:szCs w:val="24"/>
        </w:rPr>
        <w:t xml:space="preserve">, bet ir </w:t>
      </w:r>
      <w:r w:rsidR="00943B0E" w:rsidRPr="007344EA">
        <w:rPr>
          <w:rFonts w:ascii="Times New Roman" w:hAnsi="Times New Roman" w:cs="Times New Roman"/>
          <w:i/>
          <w:sz w:val="24"/>
          <w:szCs w:val="24"/>
        </w:rPr>
        <w:t>ratione personae</w:t>
      </w:r>
      <w:r w:rsidR="00943B0E" w:rsidRPr="007344EA">
        <w:rPr>
          <w:rFonts w:ascii="Times New Roman" w:hAnsi="Times New Roman" w:cs="Times New Roman"/>
          <w:sz w:val="24"/>
          <w:szCs w:val="24"/>
        </w:rPr>
        <w:t xml:space="preserve"> atžvilgiu. </w:t>
      </w:r>
      <w:r w:rsidR="00316ADC" w:rsidRPr="007344EA">
        <w:rPr>
          <w:rFonts w:ascii="Times New Roman" w:hAnsi="Times New Roman" w:cs="Times New Roman"/>
          <w:sz w:val="24"/>
          <w:szCs w:val="24"/>
        </w:rPr>
        <w:t>1990</w:t>
      </w:r>
      <w:r w:rsidR="00943B0E" w:rsidRPr="007344EA">
        <w:rPr>
          <w:rFonts w:ascii="Times New Roman" w:hAnsi="Times New Roman" w:cs="Times New Roman"/>
          <w:sz w:val="24"/>
          <w:szCs w:val="24"/>
        </w:rPr>
        <w:t xml:space="preserve"> m</w:t>
      </w:r>
      <w:r w:rsidR="003A28D9" w:rsidRPr="007344EA">
        <w:rPr>
          <w:rFonts w:ascii="Times New Roman" w:hAnsi="Times New Roman" w:cs="Times New Roman"/>
          <w:sz w:val="24"/>
          <w:szCs w:val="24"/>
        </w:rPr>
        <w:t>etų</w:t>
      </w:r>
      <w:r w:rsidR="00316ADC" w:rsidRPr="007344EA">
        <w:rPr>
          <w:rStyle w:val="FootnoteReference"/>
          <w:rFonts w:ascii="Times New Roman" w:hAnsi="Times New Roman"/>
          <w:sz w:val="24"/>
          <w:szCs w:val="24"/>
        </w:rPr>
        <w:footnoteReference w:id="76"/>
      </w:r>
      <w:r w:rsidR="00943B0E" w:rsidRPr="007344EA">
        <w:rPr>
          <w:rFonts w:ascii="Times New Roman" w:hAnsi="Times New Roman" w:cs="Times New Roman"/>
          <w:sz w:val="24"/>
          <w:szCs w:val="24"/>
        </w:rPr>
        <w:t xml:space="preserve"> pasiūlyme numatyta, kad v</w:t>
      </w:r>
      <w:r w:rsidR="00316ADC" w:rsidRPr="007344EA">
        <w:rPr>
          <w:rFonts w:ascii="Times New Roman" w:hAnsi="Times New Roman" w:cs="Times New Roman"/>
          <w:sz w:val="24"/>
          <w:szCs w:val="24"/>
        </w:rPr>
        <w:t>artotojas yra tik fizinis asmuo,</w:t>
      </w:r>
      <w:r w:rsidR="005D029A" w:rsidRPr="007344EA">
        <w:rPr>
          <w:rFonts w:ascii="Times New Roman" w:hAnsi="Times New Roman" w:cs="Times New Roman"/>
          <w:sz w:val="24"/>
          <w:szCs w:val="24"/>
        </w:rPr>
        <w:t xml:space="preserve"> o</w:t>
      </w:r>
      <w:r w:rsidR="00316ADC" w:rsidRPr="007344EA">
        <w:rPr>
          <w:rFonts w:ascii="Times New Roman" w:hAnsi="Times New Roman" w:cs="Times New Roman"/>
          <w:sz w:val="24"/>
          <w:szCs w:val="24"/>
        </w:rPr>
        <w:t xml:space="preserve"> </w:t>
      </w:r>
      <w:r w:rsidRPr="007344EA">
        <w:rPr>
          <w:rFonts w:ascii="Times New Roman" w:hAnsi="Times New Roman" w:cs="Times New Roman"/>
          <w:sz w:val="24"/>
          <w:szCs w:val="24"/>
        </w:rPr>
        <w:t>į</w:t>
      </w:r>
      <w:r w:rsidR="00943B0E" w:rsidRPr="007344EA">
        <w:rPr>
          <w:rFonts w:ascii="Times New Roman" w:hAnsi="Times New Roman" w:cs="Times New Roman"/>
          <w:sz w:val="24"/>
          <w:szCs w:val="24"/>
        </w:rPr>
        <w:t xml:space="preserve"> 1992 m</w:t>
      </w:r>
      <w:r w:rsidR="003A28D9" w:rsidRPr="007344EA">
        <w:rPr>
          <w:rFonts w:ascii="Times New Roman" w:hAnsi="Times New Roman" w:cs="Times New Roman"/>
          <w:sz w:val="24"/>
          <w:szCs w:val="24"/>
        </w:rPr>
        <w:t>etų</w:t>
      </w:r>
      <w:r w:rsidR="00316ADC" w:rsidRPr="007344EA">
        <w:rPr>
          <w:rStyle w:val="FootnoteReference"/>
          <w:rFonts w:ascii="Times New Roman" w:hAnsi="Times New Roman"/>
          <w:sz w:val="24"/>
          <w:szCs w:val="24"/>
        </w:rPr>
        <w:footnoteReference w:id="77"/>
      </w:r>
      <w:r w:rsidR="00943B0E" w:rsidRPr="007344EA">
        <w:rPr>
          <w:rFonts w:ascii="Times New Roman" w:hAnsi="Times New Roman" w:cs="Times New Roman"/>
          <w:sz w:val="24"/>
          <w:szCs w:val="24"/>
        </w:rPr>
        <w:t xml:space="preserve"> pasiūlyme</w:t>
      </w:r>
      <w:r w:rsidRPr="007344EA">
        <w:rPr>
          <w:rFonts w:ascii="Times New Roman" w:hAnsi="Times New Roman" w:cs="Times New Roman"/>
          <w:sz w:val="24"/>
          <w:szCs w:val="24"/>
        </w:rPr>
        <w:t xml:space="preserve"> esančia vartotojo sąvoką buvo įtraukta ir juridinio </w:t>
      </w:r>
      <w:r w:rsidR="00943B0E" w:rsidRPr="007344EA">
        <w:rPr>
          <w:rFonts w:ascii="Times New Roman" w:hAnsi="Times New Roman" w:cs="Times New Roman"/>
          <w:sz w:val="24"/>
          <w:szCs w:val="24"/>
        </w:rPr>
        <w:t xml:space="preserve">asmens kategorija. </w:t>
      </w:r>
      <w:r w:rsidR="009A2D1C" w:rsidRPr="007344EA">
        <w:rPr>
          <w:rFonts w:ascii="Times New Roman" w:hAnsi="Times New Roman" w:cs="Times New Roman"/>
          <w:sz w:val="24"/>
          <w:szCs w:val="24"/>
        </w:rPr>
        <w:t>T</w:t>
      </w:r>
      <w:r w:rsidR="00370305" w:rsidRPr="007344EA">
        <w:rPr>
          <w:rFonts w:ascii="Times New Roman" w:hAnsi="Times New Roman" w:cs="Times New Roman"/>
          <w:sz w:val="24"/>
          <w:szCs w:val="24"/>
        </w:rPr>
        <w:t>ačiau T</w:t>
      </w:r>
      <w:r w:rsidR="009A2D1C" w:rsidRPr="007344EA">
        <w:rPr>
          <w:rFonts w:ascii="Times New Roman" w:hAnsi="Times New Roman" w:cs="Times New Roman"/>
          <w:sz w:val="24"/>
          <w:szCs w:val="24"/>
        </w:rPr>
        <w:t>aryba</w:t>
      </w:r>
      <w:r w:rsidR="00175628" w:rsidRPr="007344EA">
        <w:rPr>
          <w:rFonts w:ascii="Times New Roman" w:hAnsi="Times New Roman" w:cs="Times New Roman"/>
          <w:sz w:val="24"/>
          <w:szCs w:val="24"/>
        </w:rPr>
        <w:t>,</w:t>
      </w:r>
      <w:r w:rsidR="009A2D1C" w:rsidRPr="007344EA">
        <w:rPr>
          <w:rFonts w:ascii="Times New Roman" w:hAnsi="Times New Roman" w:cs="Times New Roman"/>
          <w:sz w:val="24"/>
          <w:szCs w:val="24"/>
        </w:rPr>
        <w:t xml:space="preserve"> priimdama Direktyvą 93/13</w:t>
      </w:r>
      <w:r w:rsidR="00175628" w:rsidRPr="007344EA">
        <w:rPr>
          <w:rFonts w:ascii="Times New Roman" w:hAnsi="Times New Roman" w:cs="Times New Roman"/>
          <w:sz w:val="24"/>
          <w:szCs w:val="24"/>
        </w:rPr>
        <w:t>,</w:t>
      </w:r>
      <w:r w:rsidR="009A2D1C" w:rsidRPr="007344EA">
        <w:rPr>
          <w:rFonts w:ascii="Times New Roman" w:hAnsi="Times New Roman" w:cs="Times New Roman"/>
          <w:sz w:val="24"/>
          <w:szCs w:val="24"/>
        </w:rPr>
        <w:t xml:space="preserve"> </w:t>
      </w:r>
      <w:r w:rsidR="003A28D9" w:rsidRPr="007344EA">
        <w:rPr>
          <w:rFonts w:ascii="Times New Roman" w:hAnsi="Times New Roman" w:cs="Times New Roman"/>
          <w:sz w:val="24"/>
          <w:szCs w:val="24"/>
        </w:rPr>
        <w:t>pasiliko prie 1990 metų</w:t>
      </w:r>
      <w:r w:rsidR="00C929D3" w:rsidRPr="007344EA">
        <w:rPr>
          <w:rFonts w:ascii="Times New Roman" w:hAnsi="Times New Roman" w:cs="Times New Roman"/>
          <w:sz w:val="24"/>
          <w:szCs w:val="24"/>
        </w:rPr>
        <w:t xml:space="preserve"> variante pasiūlyto vartotojo sąvokos apibrėžimo. </w:t>
      </w:r>
    </w:p>
    <w:p w:rsidR="00740076" w:rsidRPr="007344EA" w:rsidRDefault="002956A8"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Pasak D. Bublienės</w:t>
      </w:r>
      <w:r w:rsidR="004E1F05" w:rsidRPr="007344EA">
        <w:rPr>
          <w:rFonts w:ascii="Times New Roman" w:hAnsi="Times New Roman" w:cs="Times New Roman"/>
          <w:sz w:val="24"/>
          <w:szCs w:val="24"/>
        </w:rPr>
        <w:t xml:space="preserve"> „nesąžiningų sąlygų regul</w:t>
      </w:r>
      <w:r w:rsidR="002B4D8C" w:rsidRPr="007344EA">
        <w:rPr>
          <w:rFonts w:ascii="Times New Roman" w:hAnsi="Times New Roman" w:cs="Times New Roman"/>
          <w:sz w:val="24"/>
          <w:szCs w:val="24"/>
        </w:rPr>
        <w:t>iavimas yra skiri</w:t>
      </w:r>
      <w:r w:rsidRPr="007344EA">
        <w:rPr>
          <w:rFonts w:ascii="Times New Roman" w:hAnsi="Times New Roman" w:cs="Times New Roman"/>
          <w:sz w:val="24"/>
          <w:szCs w:val="24"/>
        </w:rPr>
        <w:t>a</w:t>
      </w:r>
      <w:r w:rsidR="002B4D8C" w:rsidRPr="007344EA">
        <w:rPr>
          <w:rFonts w:ascii="Times New Roman" w:hAnsi="Times New Roman" w:cs="Times New Roman"/>
          <w:sz w:val="24"/>
          <w:szCs w:val="24"/>
        </w:rPr>
        <w:t>mas</w:t>
      </w:r>
      <w:r w:rsidR="004E1F05" w:rsidRPr="007344EA">
        <w:rPr>
          <w:rFonts w:ascii="Times New Roman" w:hAnsi="Times New Roman" w:cs="Times New Roman"/>
          <w:sz w:val="24"/>
          <w:szCs w:val="24"/>
        </w:rPr>
        <w:t xml:space="preserve"> į prancūziškąją bei vokiškąją doktrinas</w:t>
      </w:r>
      <w:r w:rsidR="0049180E" w:rsidRPr="007344EA">
        <w:rPr>
          <w:rStyle w:val="FootnoteReference"/>
          <w:rFonts w:ascii="Times New Roman" w:hAnsi="Times New Roman"/>
          <w:sz w:val="24"/>
          <w:szCs w:val="24"/>
        </w:rPr>
        <w:footnoteReference w:id="78"/>
      </w:r>
      <w:r w:rsidR="004E1F05" w:rsidRPr="007344EA">
        <w:rPr>
          <w:rFonts w:ascii="Times New Roman" w:hAnsi="Times New Roman" w:cs="Times New Roman"/>
          <w:sz w:val="24"/>
          <w:szCs w:val="24"/>
        </w:rPr>
        <w:t>“</w:t>
      </w:r>
      <w:r w:rsidR="004E1F05" w:rsidRPr="007344EA">
        <w:rPr>
          <w:rStyle w:val="FootnoteReference"/>
          <w:rFonts w:ascii="Times New Roman" w:hAnsi="Times New Roman"/>
          <w:sz w:val="24"/>
          <w:szCs w:val="24"/>
        </w:rPr>
        <w:footnoteReference w:id="79"/>
      </w:r>
      <w:r w:rsidR="00943B0E" w:rsidRPr="007344EA">
        <w:rPr>
          <w:rFonts w:ascii="Times New Roman" w:hAnsi="Times New Roman" w:cs="Times New Roman"/>
          <w:sz w:val="24"/>
          <w:szCs w:val="24"/>
        </w:rPr>
        <w:t xml:space="preserve">. </w:t>
      </w:r>
      <w:r w:rsidR="00D7002F" w:rsidRPr="007344EA">
        <w:rPr>
          <w:rFonts w:ascii="Times New Roman" w:hAnsi="Times New Roman" w:cs="Times New Roman"/>
          <w:sz w:val="24"/>
          <w:szCs w:val="24"/>
        </w:rPr>
        <w:t>Prancūziškasis modelis pasižymi</w:t>
      </w:r>
      <w:r w:rsidR="00FD4FED" w:rsidRPr="007344EA">
        <w:rPr>
          <w:rFonts w:ascii="Times New Roman" w:hAnsi="Times New Roman" w:cs="Times New Roman"/>
          <w:sz w:val="24"/>
          <w:szCs w:val="24"/>
        </w:rPr>
        <w:t xml:space="preserve"> vartotojo, kaip sil</w:t>
      </w:r>
      <w:r w:rsidR="00D7002F" w:rsidRPr="007344EA">
        <w:rPr>
          <w:rFonts w:ascii="Times New Roman" w:hAnsi="Times New Roman" w:cs="Times New Roman"/>
          <w:sz w:val="24"/>
          <w:szCs w:val="24"/>
        </w:rPr>
        <w:t>pnesnės sutarties šalies, gynimu, o vokiškasis</w:t>
      </w:r>
      <w:r w:rsidR="00224D1C" w:rsidRPr="007344EA">
        <w:rPr>
          <w:rFonts w:ascii="Times New Roman" w:hAnsi="Times New Roman" w:cs="Times New Roman"/>
          <w:sz w:val="24"/>
          <w:szCs w:val="24"/>
        </w:rPr>
        <w:t xml:space="preserve"> −</w:t>
      </w:r>
      <w:r w:rsidR="00507436" w:rsidRPr="007344EA">
        <w:rPr>
          <w:rFonts w:ascii="Times New Roman" w:hAnsi="Times New Roman" w:cs="Times New Roman"/>
          <w:sz w:val="24"/>
          <w:szCs w:val="24"/>
        </w:rPr>
        <w:t xml:space="preserve"> visų standartinių sąlygų, nepriklausomai nuo sutarties š</w:t>
      </w:r>
      <w:r w:rsidR="00D7002F" w:rsidRPr="007344EA">
        <w:rPr>
          <w:rFonts w:ascii="Times New Roman" w:hAnsi="Times New Roman" w:cs="Times New Roman"/>
          <w:sz w:val="24"/>
          <w:szCs w:val="24"/>
        </w:rPr>
        <w:t>alių, nesąžiningumo tikrinimu</w:t>
      </w:r>
      <w:r w:rsidR="003560FF" w:rsidRPr="007344EA">
        <w:rPr>
          <w:rFonts w:ascii="Times New Roman" w:hAnsi="Times New Roman" w:cs="Times New Roman"/>
          <w:sz w:val="24"/>
          <w:szCs w:val="24"/>
        </w:rPr>
        <w:t>.</w:t>
      </w:r>
      <w:r w:rsidR="00FD4FED" w:rsidRPr="007344EA">
        <w:rPr>
          <w:rFonts w:ascii="Times New Roman" w:hAnsi="Times New Roman" w:cs="Times New Roman"/>
          <w:sz w:val="24"/>
          <w:szCs w:val="24"/>
        </w:rPr>
        <w:t xml:space="preserve"> </w:t>
      </w:r>
      <w:r w:rsidR="005F15C2" w:rsidRPr="007344EA">
        <w:rPr>
          <w:rFonts w:ascii="Times New Roman" w:hAnsi="Times New Roman" w:cs="Times New Roman"/>
          <w:sz w:val="24"/>
          <w:szCs w:val="24"/>
        </w:rPr>
        <w:t>Ir išties p</w:t>
      </w:r>
      <w:r w:rsidR="00740076" w:rsidRPr="007344EA">
        <w:rPr>
          <w:rFonts w:ascii="Times New Roman" w:hAnsi="Times New Roman" w:cs="Times New Roman"/>
          <w:sz w:val="24"/>
          <w:szCs w:val="24"/>
        </w:rPr>
        <w:t>irmasis</w:t>
      </w:r>
      <w:r w:rsidR="00740076" w:rsidRPr="007344EA">
        <w:rPr>
          <w:rStyle w:val="FootnoteReference"/>
          <w:rFonts w:ascii="Times New Roman" w:hAnsi="Times New Roman"/>
          <w:sz w:val="24"/>
          <w:szCs w:val="24"/>
        </w:rPr>
        <w:footnoteReference w:id="80"/>
      </w:r>
      <w:r w:rsidR="00CF28D0" w:rsidRPr="007344EA">
        <w:rPr>
          <w:rFonts w:ascii="Times New Roman" w:hAnsi="Times New Roman" w:cs="Times New Roman"/>
          <w:sz w:val="24"/>
          <w:szCs w:val="24"/>
        </w:rPr>
        <w:t xml:space="preserve"> </w:t>
      </w:r>
      <w:r w:rsidR="00740076" w:rsidRPr="007344EA">
        <w:rPr>
          <w:rFonts w:ascii="Times New Roman" w:hAnsi="Times New Roman" w:cs="Times New Roman"/>
          <w:sz w:val="24"/>
          <w:szCs w:val="24"/>
        </w:rPr>
        <w:t>Komisijos pasiūlymas</w:t>
      </w:r>
      <w:r w:rsidR="00D21EDD" w:rsidRPr="007344EA">
        <w:rPr>
          <w:rFonts w:ascii="Times New Roman" w:hAnsi="Times New Roman" w:cs="Times New Roman"/>
          <w:sz w:val="24"/>
          <w:szCs w:val="24"/>
        </w:rPr>
        <w:t>,</w:t>
      </w:r>
      <w:r w:rsidR="00740076" w:rsidRPr="007344EA">
        <w:rPr>
          <w:rFonts w:ascii="Times New Roman" w:hAnsi="Times New Roman" w:cs="Times New Roman"/>
          <w:sz w:val="24"/>
          <w:szCs w:val="24"/>
        </w:rPr>
        <w:t xml:space="preserve"> dėl nesąžiningų sąlygų reglamentavimo Sąjungos mastu</w:t>
      </w:r>
      <w:r w:rsidR="00D21EDD" w:rsidRPr="007344EA">
        <w:rPr>
          <w:rFonts w:ascii="Times New Roman" w:hAnsi="Times New Roman" w:cs="Times New Roman"/>
          <w:sz w:val="24"/>
          <w:szCs w:val="24"/>
        </w:rPr>
        <w:t>,</w:t>
      </w:r>
      <w:r w:rsidR="00740076" w:rsidRPr="007344EA">
        <w:rPr>
          <w:rFonts w:ascii="Times New Roman" w:hAnsi="Times New Roman" w:cs="Times New Roman"/>
          <w:sz w:val="24"/>
          <w:szCs w:val="24"/>
        </w:rPr>
        <w:t xml:space="preserve"> buvo paremtas Prancūzijos teisėje įtvirtintu modeliu, kuriam yra būdinga „ne tik standartinių sąlygų, bet ir </w:t>
      </w:r>
      <w:r w:rsidR="00740076" w:rsidRPr="007344EA">
        <w:rPr>
          <w:rFonts w:ascii="Times New Roman" w:hAnsi="Times New Roman" w:cs="Times New Roman"/>
          <w:i/>
          <w:sz w:val="24"/>
          <w:szCs w:val="24"/>
        </w:rPr>
        <w:t>visų vartojimo</w:t>
      </w:r>
      <w:r w:rsidR="00740076" w:rsidRPr="007344EA">
        <w:rPr>
          <w:rFonts w:ascii="Times New Roman" w:hAnsi="Times New Roman" w:cs="Times New Roman"/>
          <w:sz w:val="24"/>
          <w:szCs w:val="24"/>
        </w:rPr>
        <w:t xml:space="preserve"> sutarčių nesąžiningų sąlygų reguliavimas“</w:t>
      </w:r>
      <w:r w:rsidR="00740076" w:rsidRPr="007344EA">
        <w:rPr>
          <w:rStyle w:val="FootnoteReference"/>
          <w:rFonts w:ascii="Times New Roman" w:hAnsi="Times New Roman"/>
          <w:sz w:val="24"/>
          <w:szCs w:val="24"/>
        </w:rPr>
        <w:footnoteReference w:id="81"/>
      </w:r>
      <w:r w:rsidR="003A28D9" w:rsidRPr="007344EA">
        <w:rPr>
          <w:rFonts w:ascii="Times New Roman" w:hAnsi="Times New Roman" w:cs="Times New Roman"/>
          <w:sz w:val="24"/>
          <w:szCs w:val="24"/>
        </w:rPr>
        <w:t xml:space="preserve">. </w:t>
      </w:r>
      <w:r w:rsidR="00740076" w:rsidRPr="007344EA">
        <w:rPr>
          <w:rFonts w:ascii="Times New Roman" w:hAnsi="Times New Roman" w:cs="Times New Roman"/>
          <w:sz w:val="24"/>
          <w:szCs w:val="24"/>
        </w:rPr>
        <w:t>T</w:t>
      </w:r>
      <w:r w:rsidR="00C70E33" w:rsidRPr="007344EA">
        <w:rPr>
          <w:rFonts w:ascii="Times New Roman" w:hAnsi="Times New Roman" w:cs="Times New Roman"/>
          <w:sz w:val="24"/>
          <w:szCs w:val="24"/>
        </w:rPr>
        <w:t xml:space="preserve">ačiau toks reguliavimas sulaukė </w:t>
      </w:r>
      <w:r w:rsidR="00D74A14" w:rsidRPr="007344EA">
        <w:rPr>
          <w:rFonts w:ascii="Times New Roman" w:hAnsi="Times New Roman" w:cs="Times New Roman"/>
          <w:sz w:val="24"/>
          <w:szCs w:val="24"/>
        </w:rPr>
        <w:t>Vokietijos pasipriešinimo</w:t>
      </w:r>
      <w:r w:rsidR="00C70E33" w:rsidRPr="007344EA">
        <w:rPr>
          <w:rFonts w:ascii="Times New Roman" w:hAnsi="Times New Roman" w:cs="Times New Roman"/>
          <w:sz w:val="24"/>
          <w:szCs w:val="24"/>
        </w:rPr>
        <w:t xml:space="preserve">, kurioje jau </w:t>
      </w:r>
      <w:r w:rsidR="0051442B" w:rsidRPr="007344EA">
        <w:rPr>
          <w:rFonts w:ascii="Times New Roman" w:hAnsi="Times New Roman" w:cs="Times New Roman"/>
          <w:sz w:val="24"/>
          <w:szCs w:val="24"/>
        </w:rPr>
        <w:t>daugiau, kaip 15 metų galiojo įstatymas</w:t>
      </w:r>
      <w:r w:rsidR="004F7480" w:rsidRPr="007344EA">
        <w:rPr>
          <w:rFonts w:ascii="Times New Roman" w:hAnsi="Times New Roman" w:cs="Times New Roman"/>
          <w:sz w:val="24"/>
          <w:szCs w:val="24"/>
        </w:rPr>
        <w:t>,</w:t>
      </w:r>
      <w:r w:rsidR="0051442B" w:rsidRPr="007344EA">
        <w:rPr>
          <w:rFonts w:ascii="Times New Roman" w:hAnsi="Times New Roman" w:cs="Times New Roman"/>
          <w:sz w:val="24"/>
          <w:szCs w:val="24"/>
        </w:rPr>
        <w:t xml:space="preserve"> reguliuojantis</w:t>
      </w:r>
      <w:r w:rsidR="00507436" w:rsidRPr="007344EA">
        <w:rPr>
          <w:rFonts w:ascii="Times New Roman" w:hAnsi="Times New Roman" w:cs="Times New Roman"/>
          <w:i/>
          <w:sz w:val="24"/>
          <w:szCs w:val="24"/>
        </w:rPr>
        <w:t xml:space="preserve"> individualiai neaptartų </w:t>
      </w:r>
      <w:r w:rsidR="00C568DF" w:rsidRPr="007344EA">
        <w:rPr>
          <w:rFonts w:ascii="Times New Roman" w:hAnsi="Times New Roman" w:cs="Times New Roman"/>
          <w:sz w:val="24"/>
          <w:szCs w:val="24"/>
        </w:rPr>
        <w:t xml:space="preserve">(standartinių) </w:t>
      </w:r>
      <w:r w:rsidR="0051442B" w:rsidRPr="007344EA">
        <w:rPr>
          <w:rFonts w:ascii="Times New Roman" w:hAnsi="Times New Roman" w:cs="Times New Roman"/>
          <w:sz w:val="24"/>
          <w:szCs w:val="24"/>
        </w:rPr>
        <w:t>sutarčių sąlygų</w:t>
      </w:r>
      <w:r w:rsidR="00AB5039" w:rsidRPr="007344EA">
        <w:rPr>
          <w:rFonts w:ascii="Times New Roman" w:hAnsi="Times New Roman" w:cs="Times New Roman"/>
          <w:sz w:val="24"/>
          <w:szCs w:val="24"/>
        </w:rPr>
        <w:t xml:space="preserve"> </w:t>
      </w:r>
      <w:r w:rsidR="0051442B" w:rsidRPr="007344EA">
        <w:rPr>
          <w:rFonts w:ascii="Times New Roman" w:hAnsi="Times New Roman" w:cs="Times New Roman"/>
          <w:sz w:val="24"/>
          <w:szCs w:val="24"/>
        </w:rPr>
        <w:t>nesą</w:t>
      </w:r>
      <w:r w:rsidR="00AD6A79" w:rsidRPr="007344EA">
        <w:rPr>
          <w:rFonts w:ascii="Times New Roman" w:hAnsi="Times New Roman" w:cs="Times New Roman"/>
          <w:sz w:val="24"/>
          <w:szCs w:val="24"/>
        </w:rPr>
        <w:t>žiningumo kontrol</w:t>
      </w:r>
      <w:r w:rsidR="004F7480" w:rsidRPr="007344EA">
        <w:rPr>
          <w:rFonts w:ascii="Times New Roman" w:hAnsi="Times New Roman" w:cs="Times New Roman"/>
          <w:sz w:val="24"/>
          <w:szCs w:val="24"/>
        </w:rPr>
        <w:t>ę</w:t>
      </w:r>
      <w:r w:rsidR="003866F7" w:rsidRPr="007344EA">
        <w:rPr>
          <w:rFonts w:ascii="Times New Roman" w:hAnsi="Times New Roman" w:cs="Times New Roman"/>
          <w:sz w:val="24"/>
          <w:szCs w:val="24"/>
        </w:rPr>
        <w:t xml:space="preserve">. </w:t>
      </w:r>
      <w:r w:rsidR="0021124E" w:rsidRPr="007344EA">
        <w:rPr>
          <w:rFonts w:ascii="Times New Roman" w:hAnsi="Times New Roman" w:cs="Times New Roman"/>
          <w:sz w:val="24"/>
          <w:szCs w:val="24"/>
        </w:rPr>
        <w:t>Šių dviejų minėtų doktrinų santykis yra tiesiogiai įtvirtintas Direktyvos</w:t>
      </w:r>
      <w:r w:rsidR="003921C5" w:rsidRPr="007344EA">
        <w:rPr>
          <w:rFonts w:ascii="Times New Roman" w:hAnsi="Times New Roman" w:cs="Times New Roman"/>
          <w:sz w:val="24"/>
          <w:szCs w:val="24"/>
        </w:rPr>
        <w:t xml:space="preserve"> 93/13</w:t>
      </w:r>
      <w:r w:rsidR="0021124E" w:rsidRPr="007344EA">
        <w:rPr>
          <w:rFonts w:ascii="Times New Roman" w:hAnsi="Times New Roman" w:cs="Times New Roman"/>
          <w:sz w:val="24"/>
          <w:szCs w:val="24"/>
        </w:rPr>
        <w:t xml:space="preserve"> preambulės 9 pastraipoje, kurioje teigiama, kad asmenys, įsigyjant</w:t>
      </w:r>
      <w:r w:rsidR="004F7480" w:rsidRPr="007344EA">
        <w:rPr>
          <w:rFonts w:ascii="Times New Roman" w:hAnsi="Times New Roman" w:cs="Times New Roman"/>
          <w:sz w:val="24"/>
          <w:szCs w:val="24"/>
        </w:rPr>
        <w:t>y</w:t>
      </w:r>
      <w:r w:rsidR="0021124E" w:rsidRPr="007344EA">
        <w:rPr>
          <w:rFonts w:ascii="Times New Roman" w:hAnsi="Times New Roman" w:cs="Times New Roman"/>
          <w:sz w:val="24"/>
          <w:szCs w:val="24"/>
        </w:rPr>
        <w:t xml:space="preserve">s prekes ir paslaugas, turi būti apsaugoti nuo pardavėjo ar tiekėjo piktnaudžiavimo galia </w:t>
      </w:r>
      <w:r w:rsidR="0021124E" w:rsidRPr="007344EA">
        <w:rPr>
          <w:rFonts w:ascii="Times New Roman" w:hAnsi="Times New Roman" w:cs="Times New Roman"/>
          <w:sz w:val="24"/>
          <w:szCs w:val="24"/>
        </w:rPr>
        <w:lastRenderedPageBreak/>
        <w:t xml:space="preserve">(Prancūzijos modelis), ypač nuo vienašalių tipinių sutarčių ir nuo esminių teisių nesąžiningo neįtraukimo į sutartis (Vokietijos modelis). </w:t>
      </w:r>
      <w:r w:rsidR="0021124E" w:rsidRPr="007344EA">
        <w:rPr>
          <w:rStyle w:val="FootnoteReference"/>
          <w:rFonts w:ascii="Times New Roman" w:hAnsi="Times New Roman"/>
          <w:sz w:val="24"/>
          <w:szCs w:val="24"/>
        </w:rPr>
        <w:footnoteReference w:id="82"/>
      </w:r>
    </w:p>
    <w:p w:rsidR="001F531C" w:rsidRPr="007344EA" w:rsidRDefault="001F531C"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 xml:space="preserve">Europos Komisijos </w:t>
      </w:r>
      <w:r w:rsidR="00D41C67" w:rsidRPr="007344EA">
        <w:rPr>
          <w:rFonts w:ascii="Times New Roman" w:hAnsi="Times New Roman" w:cs="Times New Roman"/>
          <w:sz w:val="24"/>
          <w:szCs w:val="24"/>
        </w:rPr>
        <w:t>pa</w:t>
      </w:r>
      <w:r w:rsidRPr="007344EA">
        <w:rPr>
          <w:rFonts w:ascii="Times New Roman" w:hAnsi="Times New Roman" w:cs="Times New Roman"/>
          <w:sz w:val="24"/>
          <w:szCs w:val="24"/>
        </w:rPr>
        <w:t>teiktoje Žaliojoje Knygoje</w:t>
      </w:r>
      <w:r w:rsidR="00722E14" w:rsidRPr="007344EA">
        <w:rPr>
          <w:rFonts w:ascii="Times New Roman" w:hAnsi="Times New Roman" w:cs="Times New Roman"/>
          <w:sz w:val="24"/>
          <w:szCs w:val="24"/>
        </w:rPr>
        <w:t xml:space="preserve"> dėl Vartotojų </w:t>
      </w:r>
      <w:r w:rsidR="00722E14" w:rsidRPr="007344EA">
        <w:rPr>
          <w:rFonts w:ascii="Times New Roman" w:hAnsi="Times New Roman" w:cs="Times New Roman"/>
          <w:i/>
          <w:sz w:val="24"/>
          <w:szCs w:val="24"/>
        </w:rPr>
        <w:t>acquis</w:t>
      </w:r>
      <w:r w:rsidR="00722E14" w:rsidRPr="007344EA">
        <w:rPr>
          <w:rFonts w:ascii="Times New Roman" w:hAnsi="Times New Roman" w:cs="Times New Roman"/>
          <w:sz w:val="24"/>
          <w:szCs w:val="24"/>
        </w:rPr>
        <w:t xml:space="preserve"> persvarstymo pabrėžiamas Direktyvos 93/13 išskir</w:t>
      </w:r>
      <w:r w:rsidR="0021124E" w:rsidRPr="007344EA">
        <w:rPr>
          <w:rFonts w:ascii="Times New Roman" w:hAnsi="Times New Roman" w:cs="Times New Roman"/>
          <w:sz w:val="24"/>
          <w:szCs w:val="24"/>
        </w:rPr>
        <w:t>tinumas, teigiant, kad „n</w:t>
      </w:r>
      <w:r w:rsidR="00722E14" w:rsidRPr="007344EA">
        <w:rPr>
          <w:rFonts w:ascii="Times New Roman" w:hAnsi="Times New Roman" w:cs="Times New Roman"/>
          <w:sz w:val="24"/>
          <w:szCs w:val="24"/>
        </w:rPr>
        <w:t>esąžiningų sąlygų sutartyse direktyva yra vienintelė direktyva taikoma visoms vartotojų sutarčių rūšims</w:t>
      </w:r>
      <w:r w:rsidR="00887FFC" w:rsidRPr="007344EA">
        <w:rPr>
          <w:rFonts w:ascii="Times New Roman" w:hAnsi="Times New Roman" w:cs="Times New Roman"/>
          <w:sz w:val="24"/>
          <w:szCs w:val="24"/>
        </w:rPr>
        <w:t>, kurios taikomos prekėms ir paslaugos“</w:t>
      </w:r>
      <w:r w:rsidR="00722E14" w:rsidRPr="007344EA">
        <w:rPr>
          <w:rFonts w:ascii="Times New Roman" w:hAnsi="Times New Roman" w:cs="Times New Roman"/>
          <w:sz w:val="24"/>
          <w:szCs w:val="24"/>
        </w:rPr>
        <w:t xml:space="preserve"> </w:t>
      </w:r>
      <w:r w:rsidR="00887FFC" w:rsidRPr="007344EA">
        <w:rPr>
          <w:rStyle w:val="FootnoteReference"/>
          <w:rFonts w:ascii="Times New Roman" w:hAnsi="Times New Roman"/>
          <w:sz w:val="24"/>
          <w:szCs w:val="24"/>
        </w:rPr>
        <w:footnoteReference w:id="83"/>
      </w:r>
      <w:r w:rsidR="00887FFC" w:rsidRPr="007344EA">
        <w:rPr>
          <w:rFonts w:ascii="Times New Roman" w:hAnsi="Times New Roman" w:cs="Times New Roman"/>
          <w:sz w:val="24"/>
          <w:szCs w:val="24"/>
        </w:rPr>
        <w:t xml:space="preserve">. </w:t>
      </w:r>
      <w:r w:rsidR="00604677" w:rsidRPr="007344EA">
        <w:rPr>
          <w:rFonts w:ascii="Times New Roman" w:hAnsi="Times New Roman" w:cs="Times New Roman"/>
          <w:sz w:val="24"/>
          <w:szCs w:val="24"/>
        </w:rPr>
        <w:t xml:space="preserve">Šią Direktyvos </w:t>
      </w:r>
      <w:r w:rsidR="00586E82" w:rsidRPr="007344EA">
        <w:rPr>
          <w:rFonts w:ascii="Times New Roman" w:hAnsi="Times New Roman" w:cs="Times New Roman"/>
          <w:sz w:val="24"/>
          <w:szCs w:val="24"/>
        </w:rPr>
        <w:t xml:space="preserve">93/13 </w:t>
      </w:r>
      <w:r w:rsidR="00604677" w:rsidRPr="007344EA">
        <w:rPr>
          <w:rFonts w:ascii="Times New Roman" w:hAnsi="Times New Roman" w:cs="Times New Roman"/>
          <w:sz w:val="24"/>
          <w:szCs w:val="24"/>
        </w:rPr>
        <w:t>savybę išskiria ir doktrinos atsto</w:t>
      </w:r>
      <w:r w:rsidR="001253A3" w:rsidRPr="007344EA">
        <w:rPr>
          <w:rFonts w:ascii="Times New Roman" w:hAnsi="Times New Roman" w:cs="Times New Roman"/>
          <w:sz w:val="24"/>
          <w:szCs w:val="24"/>
        </w:rPr>
        <w:t>vai:</w:t>
      </w:r>
      <w:r w:rsidR="004C1D45" w:rsidRPr="007344EA">
        <w:rPr>
          <w:rFonts w:ascii="Times New Roman" w:hAnsi="Times New Roman" w:cs="Times New Roman"/>
          <w:sz w:val="24"/>
          <w:szCs w:val="24"/>
        </w:rPr>
        <w:t xml:space="preserve"> </w:t>
      </w:r>
      <w:r w:rsidR="0021124E" w:rsidRPr="007344EA">
        <w:rPr>
          <w:rFonts w:ascii="Times New Roman" w:hAnsi="Times New Roman" w:cs="Times New Roman"/>
          <w:sz w:val="24"/>
          <w:szCs w:val="24"/>
        </w:rPr>
        <w:t>„</w:t>
      </w:r>
      <w:r w:rsidR="004C1D45" w:rsidRPr="007344EA">
        <w:rPr>
          <w:rFonts w:ascii="Times New Roman" w:hAnsi="Times New Roman" w:cs="Times New Roman"/>
          <w:sz w:val="24"/>
          <w:szCs w:val="24"/>
        </w:rPr>
        <w:t>reikia pažymėti, kad Direktyva išlaikė savo pirminį pobūdį, kuris buvo apibrėžtas Komisijos pasiūlymuose</w:t>
      </w:r>
      <w:r w:rsidR="00224D1C" w:rsidRPr="007344EA">
        <w:rPr>
          <w:rFonts w:ascii="Times New Roman" w:hAnsi="Times New Roman" w:cs="Times New Roman"/>
          <w:sz w:val="24"/>
          <w:szCs w:val="24"/>
        </w:rPr>
        <w:t xml:space="preserve"> −</w:t>
      </w:r>
      <w:r w:rsidR="004C1D45" w:rsidRPr="007344EA">
        <w:rPr>
          <w:rFonts w:ascii="Times New Roman" w:hAnsi="Times New Roman" w:cs="Times New Roman"/>
          <w:sz w:val="24"/>
          <w:szCs w:val="24"/>
        </w:rPr>
        <w:t xml:space="preserve"> jos taikymo sritis nėra apribota konkrečiomis sutarčių rūšimis</w:t>
      </w:r>
      <w:r w:rsidR="0021124E" w:rsidRPr="007344EA">
        <w:rPr>
          <w:rFonts w:ascii="Times New Roman" w:hAnsi="Times New Roman" w:cs="Times New Roman"/>
          <w:sz w:val="24"/>
          <w:szCs w:val="24"/>
        </w:rPr>
        <w:t>“</w:t>
      </w:r>
      <w:r w:rsidR="0021124E" w:rsidRPr="007344EA">
        <w:rPr>
          <w:rStyle w:val="FootnoteReference"/>
          <w:rFonts w:ascii="Times New Roman" w:hAnsi="Times New Roman"/>
          <w:sz w:val="24"/>
          <w:szCs w:val="24"/>
        </w:rPr>
        <w:footnoteReference w:id="84"/>
      </w:r>
      <w:r w:rsidR="004C1D45" w:rsidRPr="007344EA">
        <w:rPr>
          <w:rFonts w:ascii="Times New Roman" w:hAnsi="Times New Roman" w:cs="Times New Roman"/>
          <w:sz w:val="24"/>
          <w:szCs w:val="24"/>
        </w:rPr>
        <w:t xml:space="preserve">  t.y. taikoma visoms</w:t>
      </w:r>
      <w:r w:rsidR="004C1D45" w:rsidRPr="007344EA">
        <w:rPr>
          <w:rFonts w:ascii="Times New Roman" w:hAnsi="Times New Roman" w:cs="Times New Roman"/>
          <w:sz w:val="24"/>
          <w:szCs w:val="24"/>
          <w:vertAlign w:val="superscript"/>
        </w:rPr>
        <w:footnoteReference w:id="85"/>
      </w:r>
      <w:r w:rsidR="004C1D45" w:rsidRPr="007344EA">
        <w:rPr>
          <w:rFonts w:ascii="Times New Roman" w:hAnsi="Times New Roman" w:cs="Times New Roman"/>
          <w:sz w:val="24"/>
          <w:szCs w:val="24"/>
        </w:rPr>
        <w:t xml:space="preserve"> vartojimo sutar</w:t>
      </w:r>
      <w:r w:rsidR="004F7480" w:rsidRPr="007344EA">
        <w:rPr>
          <w:rFonts w:ascii="Times New Roman" w:hAnsi="Times New Roman" w:cs="Times New Roman"/>
          <w:sz w:val="24"/>
          <w:szCs w:val="24"/>
        </w:rPr>
        <w:t>čių</w:t>
      </w:r>
      <w:r w:rsidR="001F1970" w:rsidRPr="007344EA">
        <w:rPr>
          <w:rFonts w:ascii="Times New Roman" w:hAnsi="Times New Roman" w:cs="Times New Roman"/>
          <w:sz w:val="24"/>
          <w:szCs w:val="24"/>
        </w:rPr>
        <w:t xml:space="preserve"> rūšims</w:t>
      </w:r>
      <w:r w:rsidR="004C1D45" w:rsidRPr="007344EA">
        <w:rPr>
          <w:rFonts w:ascii="Times New Roman" w:hAnsi="Times New Roman" w:cs="Times New Roman"/>
          <w:sz w:val="24"/>
          <w:szCs w:val="24"/>
        </w:rPr>
        <w:t>.</w:t>
      </w:r>
    </w:p>
    <w:p w:rsidR="002B5AC9" w:rsidRPr="007344EA" w:rsidRDefault="002B5AC9"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 xml:space="preserve">Direktyvos </w:t>
      </w:r>
      <w:r w:rsidR="00586E82" w:rsidRPr="007344EA">
        <w:rPr>
          <w:rFonts w:ascii="Times New Roman" w:hAnsi="Times New Roman" w:cs="Times New Roman"/>
          <w:sz w:val="24"/>
          <w:szCs w:val="24"/>
        </w:rPr>
        <w:t xml:space="preserve">93/13 </w:t>
      </w:r>
      <w:r w:rsidRPr="007344EA">
        <w:rPr>
          <w:rFonts w:ascii="Times New Roman" w:hAnsi="Times New Roman" w:cs="Times New Roman"/>
          <w:sz w:val="24"/>
          <w:szCs w:val="24"/>
        </w:rPr>
        <w:t xml:space="preserve">priėmimo pagrindas Europos </w:t>
      </w:r>
      <w:r w:rsidR="00586E82" w:rsidRPr="007344EA">
        <w:rPr>
          <w:rFonts w:ascii="Times New Roman" w:hAnsi="Times New Roman" w:cs="Times New Roman"/>
          <w:sz w:val="24"/>
          <w:szCs w:val="24"/>
        </w:rPr>
        <w:t>Ekonominės B</w:t>
      </w:r>
      <w:r w:rsidRPr="007344EA">
        <w:rPr>
          <w:rFonts w:ascii="Times New Roman" w:hAnsi="Times New Roman" w:cs="Times New Roman"/>
          <w:sz w:val="24"/>
          <w:szCs w:val="24"/>
        </w:rPr>
        <w:t>endrijos sutarties 100A straipsnis, kuriuo siekiama sukurti vieningą vidaus rinką.</w:t>
      </w:r>
      <w:r w:rsidR="00D21EDD" w:rsidRPr="007344EA">
        <w:rPr>
          <w:rFonts w:ascii="Times New Roman" w:hAnsi="Times New Roman" w:cs="Times New Roman"/>
          <w:sz w:val="24"/>
          <w:szCs w:val="24"/>
        </w:rPr>
        <w:t xml:space="preserve"> </w:t>
      </w:r>
      <w:r w:rsidRPr="007344EA">
        <w:rPr>
          <w:rFonts w:ascii="Times New Roman" w:hAnsi="Times New Roman" w:cs="Times New Roman"/>
          <w:sz w:val="24"/>
          <w:szCs w:val="24"/>
        </w:rPr>
        <w:t>Ekonominių Sąjungos tikslų siekis, priimant Direktyvą</w:t>
      </w:r>
      <w:r w:rsidR="00E22BBF" w:rsidRPr="007344EA">
        <w:rPr>
          <w:rFonts w:ascii="Times New Roman" w:hAnsi="Times New Roman" w:cs="Times New Roman"/>
          <w:sz w:val="24"/>
          <w:szCs w:val="24"/>
        </w:rPr>
        <w:t xml:space="preserve"> 93/13</w:t>
      </w:r>
      <w:r w:rsidRPr="007344EA">
        <w:rPr>
          <w:rFonts w:ascii="Times New Roman" w:hAnsi="Times New Roman" w:cs="Times New Roman"/>
          <w:sz w:val="24"/>
          <w:szCs w:val="24"/>
        </w:rPr>
        <w:t xml:space="preserve">, </w:t>
      </w:r>
      <w:r w:rsidR="00D7002F" w:rsidRPr="007344EA">
        <w:rPr>
          <w:rFonts w:ascii="Times New Roman" w:hAnsi="Times New Roman" w:cs="Times New Roman"/>
          <w:sz w:val="24"/>
          <w:szCs w:val="24"/>
        </w:rPr>
        <w:t>įžvelgimas</w:t>
      </w:r>
      <w:r w:rsidR="00AD6A79" w:rsidRPr="007344EA">
        <w:rPr>
          <w:rFonts w:ascii="Times New Roman" w:hAnsi="Times New Roman" w:cs="Times New Roman"/>
          <w:sz w:val="24"/>
          <w:szCs w:val="24"/>
        </w:rPr>
        <w:t xml:space="preserve"> ir </w:t>
      </w:r>
      <w:r w:rsidRPr="007344EA">
        <w:rPr>
          <w:rFonts w:ascii="Times New Roman" w:hAnsi="Times New Roman" w:cs="Times New Roman"/>
          <w:sz w:val="24"/>
          <w:szCs w:val="24"/>
        </w:rPr>
        <w:t>preambulės 1</w:t>
      </w:r>
      <w:r w:rsidR="00224D1C" w:rsidRPr="007344EA">
        <w:rPr>
          <w:rFonts w:ascii="Times New Roman" w:hAnsi="Times New Roman" w:cs="Times New Roman"/>
          <w:sz w:val="24"/>
          <w:szCs w:val="24"/>
        </w:rPr>
        <w:t>−</w:t>
      </w:r>
      <w:r w:rsidRPr="007344EA">
        <w:rPr>
          <w:rFonts w:ascii="Times New Roman" w:hAnsi="Times New Roman" w:cs="Times New Roman"/>
          <w:sz w:val="24"/>
          <w:szCs w:val="24"/>
        </w:rPr>
        <w:t xml:space="preserve">6 </w:t>
      </w:r>
      <w:r w:rsidR="00AD6A79" w:rsidRPr="007344EA">
        <w:rPr>
          <w:rFonts w:ascii="Times New Roman" w:hAnsi="Times New Roman" w:cs="Times New Roman"/>
          <w:sz w:val="24"/>
          <w:szCs w:val="24"/>
        </w:rPr>
        <w:t>pastraipose.</w:t>
      </w:r>
      <w:r w:rsidR="003610EC" w:rsidRPr="007344EA">
        <w:rPr>
          <w:rFonts w:ascii="Times New Roman" w:hAnsi="Times New Roman" w:cs="Times New Roman"/>
          <w:sz w:val="24"/>
          <w:szCs w:val="24"/>
        </w:rPr>
        <w:t xml:space="preserve"> </w:t>
      </w:r>
      <w:r w:rsidRPr="007344EA">
        <w:rPr>
          <w:rFonts w:ascii="Times New Roman" w:hAnsi="Times New Roman" w:cs="Times New Roman"/>
          <w:sz w:val="24"/>
          <w:szCs w:val="24"/>
        </w:rPr>
        <w:t>Analizuojant Direktyvos</w:t>
      </w:r>
      <w:r w:rsidR="00E22BBF" w:rsidRPr="007344EA">
        <w:rPr>
          <w:rFonts w:ascii="Times New Roman" w:hAnsi="Times New Roman" w:cs="Times New Roman"/>
          <w:sz w:val="24"/>
          <w:szCs w:val="24"/>
        </w:rPr>
        <w:t xml:space="preserve"> 93/13 </w:t>
      </w:r>
      <w:r w:rsidRPr="007344EA">
        <w:rPr>
          <w:rFonts w:ascii="Times New Roman" w:hAnsi="Times New Roman" w:cs="Times New Roman"/>
          <w:sz w:val="24"/>
          <w:szCs w:val="24"/>
        </w:rPr>
        <w:t xml:space="preserve">preambulę </w:t>
      </w:r>
      <w:r w:rsidR="00E22BBF" w:rsidRPr="007344EA">
        <w:rPr>
          <w:rFonts w:ascii="Times New Roman" w:hAnsi="Times New Roman" w:cs="Times New Roman"/>
          <w:sz w:val="24"/>
          <w:szCs w:val="24"/>
        </w:rPr>
        <w:t>prieinama prie išvados</w:t>
      </w:r>
      <w:r w:rsidRPr="007344EA">
        <w:rPr>
          <w:rFonts w:ascii="Times New Roman" w:hAnsi="Times New Roman" w:cs="Times New Roman"/>
          <w:sz w:val="24"/>
          <w:szCs w:val="24"/>
        </w:rPr>
        <w:t>, kad Sąjunga pirmiausia siekė paskatinti „atvirkštinį“ laisvą prekių ir paslaugų judėjimą, kuriuo ne prekės ar paslaugos „juda“ pas vartotojus, o patys vartotojai „juda“, siekdami įgyti tam tikras prekes ir paslaugas kitose valstybėse narės</w:t>
      </w:r>
      <w:r w:rsidR="00D21EDD" w:rsidRPr="007344EA">
        <w:rPr>
          <w:rFonts w:ascii="Times New Roman" w:hAnsi="Times New Roman" w:cs="Times New Roman"/>
          <w:sz w:val="24"/>
          <w:szCs w:val="24"/>
        </w:rPr>
        <w:t>e</w:t>
      </w:r>
      <w:r w:rsidR="00615F05" w:rsidRPr="007344EA">
        <w:rPr>
          <w:rFonts w:ascii="Times New Roman" w:hAnsi="Times New Roman" w:cs="Times New Roman"/>
          <w:sz w:val="24"/>
          <w:szCs w:val="24"/>
        </w:rPr>
        <w:t>.</w:t>
      </w:r>
      <w:r w:rsidR="00D21EDD"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Vartotoją nuo prekių ar paslaugų įsigijimo kitoje valstybė narėje gali sulaikyti, vien ta aplinkybė, kad jis nežino tos valstybės narės teisės normų, reglamentuojančių vartojimo sutarčių sudarymą. </w:t>
      </w:r>
      <w:r w:rsidR="008226E3" w:rsidRPr="007344EA">
        <w:rPr>
          <w:rFonts w:ascii="Times New Roman" w:hAnsi="Times New Roman" w:cs="Times New Roman"/>
          <w:sz w:val="24"/>
          <w:szCs w:val="24"/>
        </w:rPr>
        <w:t>Priėmus direktyvą ir bent jau iš dalies harmonizuojant sutarčių su vartotojais sudarymą tokios vartotoj</w:t>
      </w:r>
      <w:r w:rsidR="00C46DB7" w:rsidRPr="007344EA">
        <w:rPr>
          <w:rFonts w:ascii="Times New Roman" w:hAnsi="Times New Roman" w:cs="Times New Roman"/>
          <w:sz w:val="24"/>
          <w:szCs w:val="24"/>
        </w:rPr>
        <w:t xml:space="preserve">o baimės tampa mažiau </w:t>
      </w:r>
      <w:r w:rsidR="003A36A3" w:rsidRPr="007344EA">
        <w:rPr>
          <w:rFonts w:ascii="Times New Roman" w:hAnsi="Times New Roman" w:cs="Times New Roman"/>
          <w:sz w:val="24"/>
          <w:szCs w:val="24"/>
        </w:rPr>
        <w:t>pagrįstos</w:t>
      </w:r>
      <w:r w:rsidR="008226E3" w:rsidRPr="007344EA">
        <w:rPr>
          <w:rFonts w:ascii="Times New Roman" w:hAnsi="Times New Roman" w:cs="Times New Roman"/>
          <w:sz w:val="24"/>
          <w:szCs w:val="24"/>
        </w:rPr>
        <w:t>, kadangi visoje Sąjungoje nustatomi minimalūs reikalavimai</w:t>
      </w:r>
      <w:r w:rsidR="00AD6A79" w:rsidRPr="007344EA">
        <w:rPr>
          <w:rFonts w:ascii="Times New Roman" w:hAnsi="Times New Roman" w:cs="Times New Roman"/>
          <w:sz w:val="24"/>
          <w:szCs w:val="24"/>
        </w:rPr>
        <w:t xml:space="preserve"> (standartai)</w:t>
      </w:r>
      <w:r w:rsidR="008226E3" w:rsidRPr="007344EA">
        <w:rPr>
          <w:rFonts w:ascii="Times New Roman" w:hAnsi="Times New Roman" w:cs="Times New Roman"/>
          <w:sz w:val="24"/>
          <w:szCs w:val="24"/>
        </w:rPr>
        <w:t xml:space="preserve"> </w:t>
      </w:r>
      <w:r w:rsidR="00290CA3" w:rsidRPr="007344EA">
        <w:rPr>
          <w:rFonts w:ascii="Times New Roman" w:hAnsi="Times New Roman" w:cs="Times New Roman"/>
          <w:sz w:val="24"/>
          <w:szCs w:val="24"/>
        </w:rPr>
        <w:t>siekiant išvengti nesąžiningų</w:t>
      </w:r>
      <w:r w:rsidR="003A36A3" w:rsidRPr="007344EA">
        <w:rPr>
          <w:rFonts w:ascii="Times New Roman" w:hAnsi="Times New Roman" w:cs="Times New Roman"/>
          <w:sz w:val="24"/>
          <w:szCs w:val="24"/>
        </w:rPr>
        <w:t xml:space="preserve"> </w:t>
      </w:r>
      <w:r w:rsidR="00290CA3" w:rsidRPr="007344EA">
        <w:rPr>
          <w:rFonts w:ascii="Times New Roman" w:hAnsi="Times New Roman" w:cs="Times New Roman"/>
          <w:sz w:val="24"/>
          <w:szCs w:val="24"/>
        </w:rPr>
        <w:t>s</w:t>
      </w:r>
      <w:r w:rsidR="003A29FB" w:rsidRPr="007344EA">
        <w:rPr>
          <w:rFonts w:ascii="Times New Roman" w:hAnsi="Times New Roman" w:cs="Times New Roman"/>
          <w:sz w:val="24"/>
          <w:szCs w:val="24"/>
        </w:rPr>
        <w:t>ą</w:t>
      </w:r>
      <w:r w:rsidR="00290CA3" w:rsidRPr="007344EA">
        <w:rPr>
          <w:rFonts w:ascii="Times New Roman" w:hAnsi="Times New Roman" w:cs="Times New Roman"/>
          <w:sz w:val="24"/>
          <w:szCs w:val="24"/>
        </w:rPr>
        <w:t>lygų naudojimo sutartyse su vartotojais.</w:t>
      </w:r>
      <w:r w:rsidR="001E7FED" w:rsidRPr="007344EA">
        <w:rPr>
          <w:rFonts w:ascii="Times New Roman" w:hAnsi="Times New Roman" w:cs="Times New Roman"/>
          <w:sz w:val="24"/>
          <w:szCs w:val="24"/>
        </w:rPr>
        <w:t xml:space="preserve"> Vertėtų priminti, kad Direktyva 93/13 yra minimalaus suderinamumo, todėl tam tikri vartotojų nuogąstavimai išlieka. Šis aspektas pastebimas ir Europos Komisijos pateiktoje Žaliojoje knygoje, dėl vartotojų </w:t>
      </w:r>
      <w:r w:rsidR="001E7FED" w:rsidRPr="007344EA">
        <w:rPr>
          <w:rFonts w:ascii="Times New Roman" w:hAnsi="Times New Roman" w:cs="Times New Roman"/>
          <w:i/>
          <w:sz w:val="24"/>
          <w:szCs w:val="24"/>
        </w:rPr>
        <w:t>aquis</w:t>
      </w:r>
      <w:r w:rsidR="001E7FED" w:rsidRPr="007344EA">
        <w:rPr>
          <w:rFonts w:ascii="Times New Roman" w:hAnsi="Times New Roman" w:cs="Times New Roman"/>
          <w:sz w:val="24"/>
          <w:szCs w:val="24"/>
        </w:rPr>
        <w:t xml:space="preserve"> persvarstymo: „skirtingos taisyklės, atsiradusios </w:t>
      </w:r>
      <w:r w:rsidR="00E5552D" w:rsidRPr="007344EA">
        <w:rPr>
          <w:rFonts w:ascii="Times New Roman" w:hAnsi="Times New Roman" w:cs="Times New Roman"/>
          <w:sz w:val="24"/>
          <w:szCs w:val="24"/>
        </w:rPr>
        <w:t>dėl minimalaus derinimo, gali turėti neigiamos įtakos vidaus rinkai. Viena iš priežasčių, kodėl vartotojai nenoriai per</w:t>
      </w:r>
      <w:r w:rsidR="004F7480" w:rsidRPr="007344EA">
        <w:rPr>
          <w:rFonts w:ascii="Times New Roman" w:hAnsi="Times New Roman" w:cs="Times New Roman"/>
          <w:sz w:val="24"/>
          <w:szCs w:val="24"/>
        </w:rPr>
        <w:t>k</w:t>
      </w:r>
      <w:r w:rsidR="00E5552D" w:rsidRPr="007344EA">
        <w:rPr>
          <w:rFonts w:ascii="Times New Roman" w:hAnsi="Times New Roman" w:cs="Times New Roman"/>
          <w:sz w:val="24"/>
          <w:szCs w:val="24"/>
        </w:rPr>
        <w:t>a tarptautinės prekybos rinkoje yra ta, kad jie negali būti užtikrinti, jog jiems perkant kitoje šalyje galios toks pat apsaugos lygis, kaip ir jų valstybėje“</w:t>
      </w:r>
      <w:r w:rsidR="00E5552D" w:rsidRPr="007344EA">
        <w:rPr>
          <w:rStyle w:val="FootnoteReference"/>
          <w:rFonts w:ascii="Times New Roman" w:hAnsi="Times New Roman"/>
          <w:sz w:val="24"/>
          <w:szCs w:val="24"/>
        </w:rPr>
        <w:footnoteReference w:id="86"/>
      </w:r>
      <w:r w:rsidR="00CC762D" w:rsidRPr="007344EA">
        <w:rPr>
          <w:rFonts w:ascii="Times New Roman" w:hAnsi="Times New Roman" w:cs="Times New Roman"/>
          <w:sz w:val="24"/>
          <w:szCs w:val="24"/>
        </w:rPr>
        <w:t>.</w:t>
      </w:r>
      <w:r w:rsidR="001E7FED" w:rsidRPr="007344EA">
        <w:rPr>
          <w:rFonts w:ascii="Times New Roman" w:hAnsi="Times New Roman" w:cs="Times New Roman"/>
          <w:sz w:val="24"/>
          <w:szCs w:val="24"/>
        </w:rPr>
        <w:t xml:space="preserve"> </w:t>
      </w:r>
      <w:r w:rsidR="008226E3" w:rsidRPr="007344EA">
        <w:rPr>
          <w:rFonts w:ascii="Times New Roman" w:hAnsi="Times New Roman" w:cs="Times New Roman"/>
          <w:sz w:val="24"/>
          <w:szCs w:val="24"/>
        </w:rPr>
        <w:t xml:space="preserve"> Nereikia pamiršti to, kad Europos Sąjunga kūrėsi, pirmiausia, kaip ekonominė sąj</w:t>
      </w:r>
      <w:r w:rsidR="003A28D9" w:rsidRPr="007344EA">
        <w:rPr>
          <w:rFonts w:ascii="Times New Roman" w:hAnsi="Times New Roman" w:cs="Times New Roman"/>
          <w:sz w:val="24"/>
          <w:szCs w:val="24"/>
        </w:rPr>
        <w:t>unga</w:t>
      </w:r>
      <w:r w:rsidR="008226E3" w:rsidRPr="007344EA">
        <w:rPr>
          <w:rFonts w:ascii="Times New Roman" w:hAnsi="Times New Roman" w:cs="Times New Roman"/>
          <w:sz w:val="24"/>
          <w:szCs w:val="24"/>
        </w:rPr>
        <w:t xml:space="preserve"> </w:t>
      </w:r>
      <w:r w:rsidR="003A28D9" w:rsidRPr="007344EA">
        <w:rPr>
          <w:rFonts w:ascii="Times New Roman" w:hAnsi="Times New Roman" w:cs="Times New Roman"/>
          <w:sz w:val="24"/>
          <w:szCs w:val="24"/>
        </w:rPr>
        <w:t xml:space="preserve">siekiant pašalinti </w:t>
      </w:r>
      <w:r w:rsidR="003A28D9" w:rsidRPr="007344EA">
        <w:rPr>
          <w:rFonts w:ascii="Times New Roman" w:hAnsi="Times New Roman" w:cs="Times New Roman"/>
          <w:sz w:val="24"/>
          <w:szCs w:val="24"/>
        </w:rPr>
        <w:lastRenderedPageBreak/>
        <w:t xml:space="preserve">bet </w:t>
      </w:r>
      <w:r w:rsidR="009952D8" w:rsidRPr="007344EA">
        <w:rPr>
          <w:rFonts w:ascii="Times New Roman" w:hAnsi="Times New Roman" w:cs="Times New Roman"/>
          <w:sz w:val="24"/>
          <w:szCs w:val="24"/>
        </w:rPr>
        <w:t>kokius trikdžius laisvam prekių</w:t>
      </w:r>
      <w:r w:rsidR="004F7480" w:rsidRPr="007344EA">
        <w:rPr>
          <w:rFonts w:ascii="Times New Roman" w:hAnsi="Times New Roman" w:cs="Times New Roman"/>
          <w:sz w:val="24"/>
          <w:szCs w:val="24"/>
        </w:rPr>
        <w:t xml:space="preserve"> ir </w:t>
      </w:r>
      <w:r w:rsidR="003A36A3" w:rsidRPr="007344EA">
        <w:rPr>
          <w:rFonts w:ascii="Times New Roman" w:hAnsi="Times New Roman" w:cs="Times New Roman"/>
          <w:sz w:val="24"/>
          <w:szCs w:val="24"/>
        </w:rPr>
        <w:t>paslaugų</w:t>
      </w:r>
      <w:r w:rsidR="009952D8" w:rsidRPr="007344EA">
        <w:rPr>
          <w:rFonts w:ascii="Times New Roman" w:hAnsi="Times New Roman" w:cs="Times New Roman"/>
          <w:sz w:val="24"/>
          <w:szCs w:val="24"/>
        </w:rPr>
        <w:t xml:space="preserve"> judėjimui. </w:t>
      </w:r>
      <w:r w:rsidRPr="007344EA">
        <w:rPr>
          <w:rFonts w:ascii="Times New Roman" w:hAnsi="Times New Roman" w:cs="Times New Roman"/>
          <w:sz w:val="24"/>
          <w:szCs w:val="24"/>
        </w:rPr>
        <w:t>Ant</w:t>
      </w:r>
      <w:r w:rsidR="003A28D9" w:rsidRPr="007344EA">
        <w:rPr>
          <w:rFonts w:ascii="Times New Roman" w:hAnsi="Times New Roman" w:cs="Times New Roman"/>
          <w:sz w:val="24"/>
          <w:szCs w:val="24"/>
        </w:rPr>
        <w:t>rasis</w:t>
      </w:r>
      <w:r w:rsidR="004F7480" w:rsidRPr="007344EA">
        <w:rPr>
          <w:rFonts w:ascii="Times New Roman" w:hAnsi="Times New Roman" w:cs="Times New Roman"/>
          <w:sz w:val="24"/>
          <w:szCs w:val="24"/>
        </w:rPr>
        <w:t>,</w:t>
      </w:r>
      <w:r w:rsidR="003A28D9" w:rsidRPr="007344EA">
        <w:rPr>
          <w:rFonts w:ascii="Times New Roman" w:hAnsi="Times New Roman" w:cs="Times New Roman"/>
          <w:sz w:val="24"/>
          <w:szCs w:val="24"/>
        </w:rPr>
        <w:t xml:space="preserve"> ir</w:t>
      </w:r>
      <w:r w:rsidR="00D21EDD" w:rsidRPr="007344EA">
        <w:rPr>
          <w:rFonts w:ascii="Times New Roman" w:hAnsi="Times New Roman" w:cs="Times New Roman"/>
          <w:sz w:val="24"/>
          <w:szCs w:val="24"/>
        </w:rPr>
        <w:t xml:space="preserve"> </w:t>
      </w:r>
      <w:r w:rsidR="003A28D9" w:rsidRPr="007344EA">
        <w:rPr>
          <w:rFonts w:ascii="Times New Roman" w:hAnsi="Times New Roman" w:cs="Times New Roman"/>
          <w:sz w:val="24"/>
          <w:szCs w:val="24"/>
        </w:rPr>
        <w:t>neabejotinai</w:t>
      </w:r>
      <w:r w:rsidRPr="007344EA">
        <w:rPr>
          <w:rFonts w:ascii="Times New Roman" w:hAnsi="Times New Roman" w:cs="Times New Roman"/>
          <w:sz w:val="24"/>
          <w:szCs w:val="24"/>
        </w:rPr>
        <w:t xml:space="preserve"> pagrindinis</w:t>
      </w:r>
      <w:r w:rsidR="004F7480" w:rsidRPr="007344EA">
        <w:rPr>
          <w:rFonts w:ascii="Times New Roman" w:hAnsi="Times New Roman" w:cs="Times New Roman"/>
          <w:sz w:val="24"/>
          <w:szCs w:val="24"/>
        </w:rPr>
        <w:t>,</w:t>
      </w:r>
      <w:r w:rsidRPr="007344EA">
        <w:rPr>
          <w:rFonts w:ascii="Times New Roman" w:hAnsi="Times New Roman" w:cs="Times New Roman"/>
          <w:sz w:val="24"/>
          <w:szCs w:val="24"/>
        </w:rPr>
        <w:t xml:space="preserve"> šios Direktyvos tikslas</w:t>
      </w:r>
      <w:r w:rsidR="00224D1C"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 apsaugoti vartotojus, nuo nesąžiningų sutarčių sąlygų, nes perkėlus Direktyvą</w:t>
      </w:r>
      <w:r w:rsidR="00C4219B" w:rsidRPr="007344EA">
        <w:rPr>
          <w:rFonts w:ascii="Times New Roman" w:hAnsi="Times New Roman" w:cs="Times New Roman"/>
          <w:sz w:val="24"/>
          <w:szCs w:val="24"/>
        </w:rPr>
        <w:t xml:space="preserve"> 93/13</w:t>
      </w:r>
      <w:r w:rsidRPr="007344EA">
        <w:rPr>
          <w:rFonts w:ascii="Times New Roman" w:hAnsi="Times New Roman" w:cs="Times New Roman"/>
          <w:sz w:val="24"/>
          <w:szCs w:val="24"/>
        </w:rPr>
        <w:t xml:space="preserve"> į nacionalinę teisę, jos nuostatos taikomos ir vartotojui, kuris įsigijo prekes ar paslaugas savo valstybės narės viduje. Ir trečiasis</w:t>
      </w:r>
      <w:r w:rsidR="00224D1C"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 apsaugoti sąžiningo verslininko interesus. </w:t>
      </w:r>
      <w:r w:rsidR="00F24EEF" w:rsidRPr="007344EA">
        <w:rPr>
          <w:rFonts w:ascii="Times New Roman" w:hAnsi="Times New Roman" w:cs="Times New Roman"/>
          <w:sz w:val="24"/>
          <w:szCs w:val="24"/>
        </w:rPr>
        <w:t>Negalima sutikti</w:t>
      </w:r>
      <w:r w:rsidR="007D126C" w:rsidRPr="007344EA">
        <w:rPr>
          <w:rFonts w:ascii="Times New Roman" w:hAnsi="Times New Roman" w:cs="Times New Roman"/>
          <w:sz w:val="24"/>
          <w:szCs w:val="24"/>
        </w:rPr>
        <w:t xml:space="preserve"> su D. Bublienės teigi</w:t>
      </w:r>
      <w:r w:rsidR="00D75AF7" w:rsidRPr="007344EA">
        <w:rPr>
          <w:rFonts w:ascii="Times New Roman" w:hAnsi="Times New Roman" w:cs="Times New Roman"/>
          <w:sz w:val="24"/>
          <w:szCs w:val="24"/>
        </w:rPr>
        <w:t>ni</w:t>
      </w:r>
      <w:r w:rsidR="00C4219B" w:rsidRPr="007344EA">
        <w:rPr>
          <w:rFonts w:ascii="Times New Roman" w:hAnsi="Times New Roman" w:cs="Times New Roman"/>
          <w:sz w:val="24"/>
          <w:szCs w:val="24"/>
        </w:rPr>
        <w:t>u</w:t>
      </w:r>
      <w:r w:rsidRPr="007344EA">
        <w:rPr>
          <w:rFonts w:ascii="Times New Roman" w:hAnsi="Times New Roman" w:cs="Times New Roman"/>
          <w:sz w:val="24"/>
          <w:szCs w:val="24"/>
          <w:vertAlign w:val="superscript"/>
        </w:rPr>
        <w:footnoteReference w:id="87"/>
      </w:r>
      <w:r w:rsidRPr="007344EA">
        <w:rPr>
          <w:rFonts w:ascii="Times New Roman" w:hAnsi="Times New Roman" w:cs="Times New Roman"/>
          <w:sz w:val="24"/>
          <w:szCs w:val="24"/>
        </w:rPr>
        <w:t>, kad verslininko interesų apsauga yra tik netiesioginis Direktyvos</w:t>
      </w:r>
      <w:r w:rsidR="00C4219B" w:rsidRPr="007344EA">
        <w:rPr>
          <w:rFonts w:ascii="Times New Roman" w:hAnsi="Times New Roman" w:cs="Times New Roman"/>
          <w:sz w:val="24"/>
          <w:szCs w:val="24"/>
        </w:rPr>
        <w:t xml:space="preserve"> 93/13</w:t>
      </w:r>
      <w:r w:rsidRPr="007344EA">
        <w:rPr>
          <w:rFonts w:ascii="Times New Roman" w:hAnsi="Times New Roman" w:cs="Times New Roman"/>
          <w:sz w:val="24"/>
          <w:szCs w:val="24"/>
        </w:rPr>
        <w:t xml:space="preserve"> tikslas. Many</w:t>
      </w:r>
      <w:r w:rsidR="000E45EF" w:rsidRPr="007344EA">
        <w:rPr>
          <w:rFonts w:ascii="Times New Roman" w:hAnsi="Times New Roman" w:cs="Times New Roman"/>
          <w:sz w:val="24"/>
          <w:szCs w:val="24"/>
        </w:rPr>
        <w:t>tina</w:t>
      </w:r>
      <w:r w:rsidRPr="007344EA">
        <w:rPr>
          <w:rFonts w:ascii="Times New Roman" w:hAnsi="Times New Roman" w:cs="Times New Roman"/>
          <w:sz w:val="24"/>
          <w:szCs w:val="24"/>
        </w:rPr>
        <w:t>, kad verslininko apsauga yra savarankiškas šios Direktyvos tikslas. Kadangi</w:t>
      </w:r>
      <w:r w:rsidR="008E3E46" w:rsidRPr="007344EA">
        <w:rPr>
          <w:rFonts w:ascii="Times New Roman" w:hAnsi="Times New Roman" w:cs="Times New Roman"/>
          <w:sz w:val="24"/>
          <w:szCs w:val="24"/>
        </w:rPr>
        <w:t>, pirma,</w:t>
      </w:r>
      <w:r w:rsidRPr="007344EA">
        <w:rPr>
          <w:rFonts w:ascii="Times New Roman" w:hAnsi="Times New Roman" w:cs="Times New Roman"/>
          <w:sz w:val="24"/>
          <w:szCs w:val="24"/>
        </w:rPr>
        <w:t xml:space="preserve"> verslininko apsauga, kaip atskiras Direktyvos</w:t>
      </w:r>
      <w:r w:rsidR="00C4219B" w:rsidRPr="007344EA">
        <w:rPr>
          <w:rFonts w:ascii="Times New Roman" w:hAnsi="Times New Roman" w:cs="Times New Roman"/>
          <w:sz w:val="24"/>
          <w:szCs w:val="24"/>
        </w:rPr>
        <w:t xml:space="preserve"> 93/13</w:t>
      </w:r>
      <w:r w:rsidRPr="007344EA">
        <w:rPr>
          <w:rFonts w:ascii="Times New Roman" w:hAnsi="Times New Roman" w:cs="Times New Roman"/>
          <w:sz w:val="24"/>
          <w:szCs w:val="24"/>
        </w:rPr>
        <w:t xml:space="preserve"> siekis yra įtvirtintas preambules 2 pastraipoje, kurioje nurodoma, kad Direktyva</w:t>
      </w:r>
      <w:r w:rsidR="00CC762D" w:rsidRPr="007344EA">
        <w:rPr>
          <w:rFonts w:ascii="Times New Roman" w:hAnsi="Times New Roman" w:cs="Times New Roman"/>
          <w:sz w:val="24"/>
          <w:szCs w:val="24"/>
        </w:rPr>
        <w:t xml:space="preserve"> 93/13</w:t>
      </w:r>
      <w:r w:rsidRPr="007344EA">
        <w:rPr>
          <w:rFonts w:ascii="Times New Roman" w:hAnsi="Times New Roman" w:cs="Times New Roman"/>
          <w:sz w:val="24"/>
          <w:szCs w:val="24"/>
        </w:rPr>
        <w:t xml:space="preserve"> yra siekiama išvengti konkurencijos išk</w:t>
      </w:r>
      <w:r w:rsidR="009374C3" w:rsidRPr="007344EA">
        <w:rPr>
          <w:rFonts w:ascii="Times New Roman" w:hAnsi="Times New Roman" w:cs="Times New Roman"/>
          <w:sz w:val="24"/>
          <w:szCs w:val="24"/>
        </w:rPr>
        <w:t>raipymų tarp pardavėjų</w:t>
      </w:r>
      <w:r w:rsidR="000E45EF" w:rsidRPr="007344EA">
        <w:rPr>
          <w:rFonts w:ascii="Times New Roman" w:hAnsi="Times New Roman" w:cs="Times New Roman"/>
          <w:sz w:val="24"/>
          <w:szCs w:val="24"/>
        </w:rPr>
        <w:t xml:space="preserve"> ar</w:t>
      </w:r>
      <w:r w:rsidR="009374C3" w:rsidRPr="007344EA">
        <w:rPr>
          <w:rFonts w:ascii="Times New Roman" w:hAnsi="Times New Roman" w:cs="Times New Roman"/>
          <w:sz w:val="24"/>
          <w:szCs w:val="24"/>
        </w:rPr>
        <w:t xml:space="preserve"> tiekėjų.</w:t>
      </w:r>
      <w:r w:rsidRPr="007344EA">
        <w:rPr>
          <w:rFonts w:ascii="Times New Roman" w:hAnsi="Times New Roman" w:cs="Times New Roman"/>
          <w:sz w:val="24"/>
          <w:szCs w:val="24"/>
        </w:rPr>
        <w:t xml:space="preserve"> </w:t>
      </w:r>
      <w:r w:rsidR="008E3E46" w:rsidRPr="007344EA">
        <w:rPr>
          <w:rFonts w:ascii="Times New Roman" w:hAnsi="Times New Roman" w:cs="Times New Roman"/>
          <w:sz w:val="24"/>
          <w:szCs w:val="24"/>
        </w:rPr>
        <w:t xml:space="preserve">Antra, </w:t>
      </w:r>
      <w:r w:rsidR="008E3E46" w:rsidRPr="007344EA">
        <w:rPr>
          <w:rFonts w:ascii="Times New Roman" w:hAnsi="Times New Roman" w:cs="Times New Roman"/>
          <w:i/>
          <w:sz w:val="24"/>
          <w:szCs w:val="24"/>
        </w:rPr>
        <w:t>i</w:t>
      </w:r>
      <w:r w:rsidRPr="007344EA">
        <w:rPr>
          <w:rFonts w:ascii="Times New Roman" w:hAnsi="Times New Roman" w:cs="Times New Roman"/>
          <w:i/>
          <w:sz w:val="24"/>
          <w:szCs w:val="24"/>
        </w:rPr>
        <w:t>nter alia</w:t>
      </w:r>
      <w:r w:rsidRPr="007344EA">
        <w:rPr>
          <w:rFonts w:ascii="Times New Roman" w:hAnsi="Times New Roman" w:cs="Times New Roman"/>
          <w:sz w:val="24"/>
          <w:szCs w:val="24"/>
        </w:rPr>
        <w:t xml:space="preserve">  </w:t>
      </w:r>
      <w:r w:rsidR="00C4219B" w:rsidRPr="007344EA">
        <w:rPr>
          <w:rFonts w:ascii="Times New Roman" w:hAnsi="Times New Roman" w:cs="Times New Roman"/>
          <w:sz w:val="24"/>
          <w:szCs w:val="24"/>
        </w:rPr>
        <w:t xml:space="preserve">Direktyvos 93/13 </w:t>
      </w:r>
      <w:r w:rsidRPr="007344EA">
        <w:rPr>
          <w:rFonts w:ascii="Times New Roman" w:hAnsi="Times New Roman" w:cs="Times New Roman"/>
          <w:sz w:val="24"/>
          <w:szCs w:val="24"/>
        </w:rPr>
        <w:t>7 str</w:t>
      </w:r>
      <w:r w:rsidR="00CC762D" w:rsidRPr="007344EA">
        <w:rPr>
          <w:rFonts w:ascii="Times New Roman" w:hAnsi="Times New Roman" w:cs="Times New Roman"/>
          <w:sz w:val="24"/>
          <w:szCs w:val="24"/>
        </w:rPr>
        <w:t>aipsnio 1dalis</w:t>
      </w:r>
      <w:r w:rsidRPr="007344EA">
        <w:rPr>
          <w:rFonts w:ascii="Times New Roman" w:hAnsi="Times New Roman" w:cs="Times New Roman"/>
          <w:sz w:val="24"/>
          <w:szCs w:val="24"/>
        </w:rPr>
        <w:t xml:space="preserve"> įpareigoja valstybes nares ne tik vartotojų, bet </w:t>
      </w:r>
      <w:r w:rsidRPr="007344EA">
        <w:rPr>
          <w:rFonts w:ascii="Times New Roman" w:hAnsi="Times New Roman" w:cs="Times New Roman"/>
          <w:i/>
          <w:sz w:val="24"/>
          <w:szCs w:val="24"/>
        </w:rPr>
        <w:t>ir konkurentų</w:t>
      </w:r>
      <w:r w:rsidR="009374C3" w:rsidRPr="007344EA">
        <w:rPr>
          <w:rFonts w:ascii="Times New Roman" w:hAnsi="Times New Roman" w:cs="Times New Roman"/>
          <w:sz w:val="24"/>
          <w:szCs w:val="24"/>
        </w:rPr>
        <w:t xml:space="preserve"> (verslininkų)</w:t>
      </w:r>
      <w:r w:rsidRPr="007344EA">
        <w:rPr>
          <w:rFonts w:ascii="Times New Roman" w:hAnsi="Times New Roman" w:cs="Times New Roman"/>
          <w:sz w:val="24"/>
          <w:szCs w:val="24"/>
        </w:rPr>
        <w:t xml:space="preserve">  naudai imtis pakankamų ir veiksmingų priemonių, užkertančių kelią nuolatiniam nesąžiningų sąlygų naudojimui. Apibendrinant </w:t>
      </w:r>
      <w:r w:rsidR="000E45EF" w:rsidRPr="007344EA">
        <w:rPr>
          <w:rFonts w:ascii="Times New Roman" w:hAnsi="Times New Roman" w:cs="Times New Roman"/>
          <w:sz w:val="24"/>
          <w:szCs w:val="24"/>
        </w:rPr>
        <w:t xml:space="preserve">galima išskirti tris </w:t>
      </w:r>
      <w:r w:rsidRPr="007344EA">
        <w:rPr>
          <w:rFonts w:ascii="Times New Roman" w:hAnsi="Times New Roman" w:cs="Times New Roman"/>
          <w:sz w:val="24"/>
          <w:szCs w:val="24"/>
        </w:rPr>
        <w:t>Direktyvos 93/13 tikslus</w:t>
      </w:r>
      <w:r w:rsidR="00A60AF2" w:rsidRPr="007344EA">
        <w:rPr>
          <w:rFonts w:ascii="Times New Roman" w:hAnsi="Times New Roman" w:cs="Times New Roman"/>
          <w:sz w:val="24"/>
          <w:szCs w:val="24"/>
        </w:rPr>
        <w:t>, kurių siekė Sąjungos teisės aktų leidėjas, reglamentuodamas nesąžiningų sąlygų sutartyse su vartotojais taikymą:</w:t>
      </w:r>
      <w:r w:rsidR="000E45EF"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vieningos rinkos sukūrimas, vartotojų teisių apsauga ir sąžiningo verslininko apsauga. </w:t>
      </w:r>
      <w:r w:rsidR="00920023" w:rsidRPr="007344EA">
        <w:rPr>
          <w:rFonts w:ascii="Times New Roman" w:hAnsi="Times New Roman" w:cs="Times New Roman"/>
          <w:sz w:val="24"/>
          <w:szCs w:val="24"/>
        </w:rPr>
        <w:t xml:space="preserve"> </w:t>
      </w:r>
    </w:p>
    <w:p w:rsidR="001E7987" w:rsidRPr="007344EA" w:rsidRDefault="00F24EEF" w:rsidP="001E7987">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 xml:space="preserve">Minėta, kad Direktyva </w:t>
      </w:r>
      <w:r w:rsidR="00704C12" w:rsidRPr="007344EA">
        <w:rPr>
          <w:rFonts w:ascii="Times New Roman" w:hAnsi="Times New Roman" w:cs="Times New Roman"/>
          <w:sz w:val="24"/>
          <w:szCs w:val="24"/>
        </w:rPr>
        <w:t>93/13 yra visa</w:t>
      </w:r>
      <w:r w:rsidRPr="007344EA">
        <w:rPr>
          <w:rFonts w:ascii="Times New Roman" w:hAnsi="Times New Roman" w:cs="Times New Roman"/>
          <w:sz w:val="24"/>
          <w:szCs w:val="24"/>
        </w:rPr>
        <w:t>apimančio pobūdžio, t.y. taikoma iš esmės visoms vartojimo sutartims (plačiau apie tai skyriuje analizuojančiame Direktyvos 93/13 taikymo sritį).</w:t>
      </w:r>
      <w:r w:rsidR="00FE31DD" w:rsidRPr="007344EA">
        <w:rPr>
          <w:rFonts w:ascii="Times New Roman" w:hAnsi="Times New Roman" w:cs="Times New Roman"/>
          <w:sz w:val="24"/>
          <w:szCs w:val="24"/>
        </w:rPr>
        <w:t xml:space="preserve"> Kitos vartotojų teises reglamentuojančios direktyvos</w:t>
      </w:r>
      <w:r w:rsidR="00754E62" w:rsidRPr="007344EA">
        <w:rPr>
          <w:rFonts w:ascii="Times New Roman" w:hAnsi="Times New Roman" w:cs="Times New Roman"/>
          <w:sz w:val="24"/>
          <w:szCs w:val="24"/>
        </w:rPr>
        <w:t>,</w:t>
      </w:r>
      <w:r w:rsidR="007B3EB3" w:rsidRPr="007344EA">
        <w:rPr>
          <w:rFonts w:ascii="Times New Roman" w:hAnsi="Times New Roman" w:cs="Times New Roman"/>
          <w:sz w:val="24"/>
          <w:szCs w:val="24"/>
        </w:rPr>
        <w:t xml:space="preserve"> </w:t>
      </w:r>
      <w:r w:rsidR="00754E62" w:rsidRPr="007344EA">
        <w:rPr>
          <w:rFonts w:ascii="Times New Roman" w:hAnsi="Times New Roman" w:cs="Times New Roman"/>
          <w:sz w:val="24"/>
          <w:szCs w:val="24"/>
        </w:rPr>
        <w:t>susijusios su vartotojo ir pardavėjo ar tiekėjo sutartiniais santykiais,</w:t>
      </w:r>
      <w:r w:rsidR="00FE31DD" w:rsidRPr="007344EA">
        <w:rPr>
          <w:rFonts w:ascii="Times New Roman" w:hAnsi="Times New Roman" w:cs="Times New Roman"/>
          <w:sz w:val="24"/>
          <w:szCs w:val="24"/>
        </w:rPr>
        <w:t xml:space="preserve"> pasižymi sektoriniu pobūdžiu t.y. taikomos tik</w:t>
      </w:r>
      <w:r w:rsidR="000465F0" w:rsidRPr="007344EA">
        <w:rPr>
          <w:rFonts w:ascii="Times New Roman" w:hAnsi="Times New Roman" w:cs="Times New Roman"/>
          <w:sz w:val="24"/>
          <w:szCs w:val="24"/>
        </w:rPr>
        <w:t xml:space="preserve"> tam tikrai apibrėžtai sričiai</w:t>
      </w:r>
      <w:r w:rsidR="00737F0F">
        <w:rPr>
          <w:rFonts w:ascii="Times New Roman" w:hAnsi="Times New Roman" w:cs="Times New Roman"/>
          <w:sz w:val="24"/>
          <w:szCs w:val="24"/>
        </w:rPr>
        <w:t xml:space="preserve"> ar konkrečioms sutarčių rūšims</w:t>
      </w:r>
      <w:r w:rsidR="00704C12" w:rsidRPr="007344EA">
        <w:rPr>
          <w:rFonts w:ascii="Times New Roman" w:hAnsi="Times New Roman" w:cs="Times New Roman"/>
          <w:sz w:val="24"/>
          <w:szCs w:val="24"/>
        </w:rPr>
        <w:t>,</w:t>
      </w:r>
      <w:r w:rsidR="000465F0" w:rsidRPr="007344EA">
        <w:rPr>
          <w:rFonts w:ascii="Times New Roman" w:hAnsi="Times New Roman" w:cs="Times New Roman"/>
          <w:sz w:val="24"/>
          <w:szCs w:val="24"/>
        </w:rPr>
        <w:t xml:space="preserve"> pavyzdžiui</w:t>
      </w:r>
      <w:r w:rsidR="00704C12" w:rsidRPr="007344EA">
        <w:rPr>
          <w:rFonts w:ascii="Times New Roman" w:hAnsi="Times New Roman" w:cs="Times New Roman"/>
          <w:sz w:val="24"/>
          <w:szCs w:val="24"/>
        </w:rPr>
        <w:t>:</w:t>
      </w:r>
      <w:r w:rsidR="000465F0" w:rsidRPr="007344EA">
        <w:rPr>
          <w:rFonts w:ascii="Times New Roman" w:hAnsi="Times New Roman" w:cs="Times New Roman"/>
          <w:sz w:val="24"/>
          <w:szCs w:val="24"/>
        </w:rPr>
        <w:t xml:space="preserve"> </w:t>
      </w:r>
      <w:r w:rsidR="000B7D0D" w:rsidRPr="007344EA">
        <w:rPr>
          <w:rFonts w:ascii="Times New Roman" w:hAnsi="Times New Roman" w:cs="Times New Roman"/>
          <w:sz w:val="24"/>
          <w:szCs w:val="24"/>
        </w:rPr>
        <w:t>Direktyva</w:t>
      </w:r>
      <w:r w:rsidR="00DF6060" w:rsidRPr="007344EA">
        <w:rPr>
          <w:rFonts w:ascii="Times New Roman" w:hAnsi="Times New Roman" w:cs="Times New Roman"/>
          <w:sz w:val="24"/>
          <w:szCs w:val="24"/>
        </w:rPr>
        <w:t xml:space="preserve"> 85/577/EEB</w:t>
      </w:r>
      <w:r w:rsidR="000B7D0D" w:rsidRPr="007344EA">
        <w:rPr>
          <w:rFonts w:ascii="Times New Roman" w:hAnsi="Times New Roman" w:cs="Times New Roman"/>
          <w:sz w:val="24"/>
          <w:szCs w:val="24"/>
        </w:rPr>
        <w:t xml:space="preserve"> dėl vartotojų apsaugos, susijusios su sutartimis, sudarytomis ne prekybai skirtose vietose</w:t>
      </w:r>
      <w:r w:rsidR="000B7D0D" w:rsidRPr="007344EA">
        <w:rPr>
          <w:rStyle w:val="FootnoteReference"/>
          <w:rFonts w:ascii="Times New Roman" w:hAnsi="Times New Roman"/>
          <w:sz w:val="24"/>
          <w:szCs w:val="24"/>
        </w:rPr>
        <w:footnoteReference w:id="88"/>
      </w:r>
      <w:r w:rsidR="000B7D0D" w:rsidRPr="007344EA">
        <w:rPr>
          <w:rFonts w:ascii="Times New Roman" w:hAnsi="Times New Roman" w:cs="Times New Roman"/>
          <w:sz w:val="24"/>
          <w:szCs w:val="24"/>
        </w:rPr>
        <w:t>, Direktyva</w:t>
      </w:r>
      <w:r w:rsidR="00DF6060" w:rsidRPr="007344EA">
        <w:rPr>
          <w:rFonts w:ascii="Times New Roman" w:hAnsi="Times New Roman" w:cs="Times New Roman"/>
          <w:sz w:val="24"/>
          <w:szCs w:val="24"/>
        </w:rPr>
        <w:t xml:space="preserve"> 97/7/EB</w:t>
      </w:r>
      <w:r w:rsidR="000B7D0D" w:rsidRPr="007344EA">
        <w:rPr>
          <w:rFonts w:ascii="Times New Roman" w:hAnsi="Times New Roman" w:cs="Times New Roman"/>
          <w:sz w:val="24"/>
          <w:szCs w:val="24"/>
        </w:rPr>
        <w:t xml:space="preserve"> dėl vartotojų apsaugos susijusios su nuotolinės prekybos sutartimis</w:t>
      </w:r>
      <w:r w:rsidR="000B7D0D" w:rsidRPr="007344EA">
        <w:rPr>
          <w:rStyle w:val="FootnoteReference"/>
          <w:rFonts w:ascii="Times New Roman" w:hAnsi="Times New Roman"/>
          <w:sz w:val="24"/>
          <w:szCs w:val="24"/>
        </w:rPr>
        <w:footnoteReference w:id="89"/>
      </w:r>
      <w:r w:rsidR="00DF6060" w:rsidRPr="007344EA">
        <w:rPr>
          <w:rFonts w:ascii="Times New Roman" w:hAnsi="Times New Roman" w:cs="Times New Roman"/>
          <w:sz w:val="24"/>
          <w:szCs w:val="24"/>
        </w:rPr>
        <w:t xml:space="preserve"> ir kt</w:t>
      </w:r>
      <w:r w:rsidR="00704C12" w:rsidRPr="007344EA">
        <w:rPr>
          <w:rFonts w:ascii="Times New Roman" w:hAnsi="Times New Roman" w:cs="Times New Roman"/>
          <w:sz w:val="24"/>
          <w:szCs w:val="24"/>
        </w:rPr>
        <w:t>.</w:t>
      </w:r>
      <w:r w:rsidR="00FE31DD" w:rsidRPr="007344EA">
        <w:rPr>
          <w:rFonts w:ascii="Times New Roman" w:hAnsi="Times New Roman" w:cs="Times New Roman"/>
          <w:sz w:val="24"/>
          <w:szCs w:val="24"/>
        </w:rPr>
        <w:t xml:space="preserve"> Todėl neabejotinai</w:t>
      </w:r>
      <w:r w:rsidR="00704C12" w:rsidRPr="007344EA">
        <w:rPr>
          <w:rFonts w:ascii="Times New Roman" w:hAnsi="Times New Roman" w:cs="Times New Roman"/>
          <w:sz w:val="24"/>
          <w:szCs w:val="24"/>
        </w:rPr>
        <w:t>, dėl visaapimančio  Direktyvos</w:t>
      </w:r>
      <w:r w:rsidR="00FE31DD" w:rsidRPr="007344EA">
        <w:rPr>
          <w:rFonts w:ascii="Times New Roman" w:hAnsi="Times New Roman" w:cs="Times New Roman"/>
          <w:sz w:val="24"/>
          <w:szCs w:val="24"/>
        </w:rPr>
        <w:t xml:space="preserve"> 93/13</w:t>
      </w:r>
      <w:r w:rsidR="00704C12" w:rsidRPr="007344EA">
        <w:rPr>
          <w:rFonts w:ascii="Times New Roman" w:hAnsi="Times New Roman" w:cs="Times New Roman"/>
          <w:sz w:val="24"/>
          <w:szCs w:val="24"/>
        </w:rPr>
        <w:t xml:space="preserve"> pobūdžio, ja </w:t>
      </w:r>
      <w:r w:rsidR="003610EC" w:rsidRPr="007344EA">
        <w:rPr>
          <w:rFonts w:ascii="Times New Roman" w:hAnsi="Times New Roman" w:cs="Times New Roman"/>
          <w:sz w:val="24"/>
          <w:szCs w:val="24"/>
        </w:rPr>
        <w:t>su</w:t>
      </w:r>
      <w:r w:rsidR="00704C12" w:rsidRPr="007344EA">
        <w:rPr>
          <w:rFonts w:ascii="Times New Roman" w:hAnsi="Times New Roman" w:cs="Times New Roman"/>
          <w:sz w:val="24"/>
          <w:szCs w:val="24"/>
        </w:rPr>
        <w:t>kurta teisinio reguliavimo sistema yra persismelkusi ne tik į nacionalinę vartotojų teisių apsaugos teisę, tačiau ir į visą valstybių narių privatinę teisę, o ypač į sutarčių teisę.</w:t>
      </w:r>
      <w:r w:rsidRPr="007344EA">
        <w:rPr>
          <w:rFonts w:ascii="Times New Roman" w:hAnsi="Times New Roman" w:cs="Times New Roman"/>
          <w:sz w:val="24"/>
          <w:szCs w:val="24"/>
        </w:rPr>
        <w:t xml:space="preserve"> </w:t>
      </w:r>
      <w:r w:rsidR="001E7987" w:rsidRPr="007344EA">
        <w:rPr>
          <w:rFonts w:ascii="Times New Roman" w:hAnsi="Times New Roman" w:cs="Times New Roman"/>
          <w:sz w:val="24"/>
          <w:szCs w:val="24"/>
        </w:rPr>
        <w:t xml:space="preserve">Dar 1997 teigta, kad „Direktyva 93/13 gali suvaidinti žymų vaidmenį vystant Europos privatinės teisės harmonizavimą. Neabejotinai jos nuostatos verčia harmonizuoti sutarčių teisę, Europos Sąjungos mastu. Bet toks sutarčių sąlygų nesąžiningumo tikrinimas, visada susijęs su nacionaline materialine sutarčių teise. Direktyvos 93/13 perkėlimas į nacionalinę teisę neišvengimai veda link materialinės sutarčių teisės harmonizavimo. Direktyva 93/13 taip pat įveda ir naują „žaidėją“ į harmonizavimo „žaidimą“, tai Teisingumo Teismas, kuriam prejudicinių sprendimų pagalba bus </w:t>
      </w:r>
      <w:r w:rsidR="001E7987" w:rsidRPr="007344EA">
        <w:rPr>
          <w:rFonts w:ascii="Times New Roman" w:hAnsi="Times New Roman" w:cs="Times New Roman"/>
          <w:sz w:val="24"/>
          <w:szCs w:val="24"/>
        </w:rPr>
        <w:lastRenderedPageBreak/>
        <w:t>suteikta teisė spręsti klausimus susijusius su nesąžiningumo vertinimu. O tai reiškia, kad Teisingumo Teismas gali įgyti didelę įtaką Europos sutarčių teisės vystymuisi.“</w:t>
      </w:r>
      <w:r w:rsidR="001E7987" w:rsidRPr="007344EA">
        <w:rPr>
          <w:rStyle w:val="FootnoteReference"/>
          <w:rFonts w:ascii="Times New Roman" w:hAnsi="Times New Roman"/>
          <w:sz w:val="24"/>
          <w:szCs w:val="24"/>
        </w:rPr>
        <w:footnoteReference w:id="90"/>
      </w:r>
      <w:r w:rsidR="001E7987" w:rsidRPr="007344EA">
        <w:rPr>
          <w:rFonts w:ascii="Times New Roman" w:hAnsi="Times New Roman" w:cs="Times New Roman"/>
          <w:sz w:val="24"/>
          <w:szCs w:val="24"/>
        </w:rPr>
        <w:t xml:space="preserve"> Panašias prognozes dėl Direktyvos 93/13  įtakos Europos privatinei teisei pateikia ir kiti autoriai: „bus žengtas didelis žingsnis pirmyn, vystant bendrąją Europos sutarčių teisę“</w:t>
      </w:r>
      <w:r w:rsidR="001E7987" w:rsidRPr="007344EA">
        <w:rPr>
          <w:rStyle w:val="FootnoteReference"/>
          <w:rFonts w:ascii="Times New Roman" w:hAnsi="Times New Roman"/>
          <w:sz w:val="24"/>
          <w:szCs w:val="24"/>
        </w:rPr>
        <w:footnoteReference w:id="91"/>
      </w:r>
      <w:r w:rsidR="001E7987" w:rsidRPr="007344EA">
        <w:rPr>
          <w:rFonts w:ascii="Times New Roman" w:hAnsi="Times New Roman" w:cs="Times New Roman"/>
          <w:sz w:val="24"/>
          <w:szCs w:val="24"/>
        </w:rPr>
        <w:t xml:space="preserve">. </w:t>
      </w:r>
    </w:p>
    <w:p w:rsidR="00F24EEF" w:rsidRPr="007344EA" w:rsidRDefault="001E7987" w:rsidP="001E7987">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Ir išties, prognozės pateiktos vos tik įsigaliojus Direktyvai 93/13, pasitvirtino. Dir</w:t>
      </w:r>
      <w:r w:rsidR="00F24EEF" w:rsidRPr="007344EA">
        <w:rPr>
          <w:rFonts w:ascii="Times New Roman" w:hAnsi="Times New Roman" w:cs="Times New Roman"/>
          <w:sz w:val="24"/>
          <w:szCs w:val="24"/>
        </w:rPr>
        <w:t>ektyvoje 93/13 įtvirtintą vartotojų apsaugos sistem</w:t>
      </w:r>
      <w:r w:rsidR="002671C3" w:rsidRPr="007344EA">
        <w:rPr>
          <w:rFonts w:ascii="Times New Roman" w:hAnsi="Times New Roman" w:cs="Times New Roman"/>
          <w:sz w:val="24"/>
          <w:szCs w:val="24"/>
        </w:rPr>
        <w:t>a</w:t>
      </w:r>
      <w:r w:rsidR="00F24EEF" w:rsidRPr="007344EA">
        <w:rPr>
          <w:rFonts w:ascii="Times New Roman" w:hAnsi="Times New Roman" w:cs="Times New Roman"/>
          <w:sz w:val="24"/>
          <w:szCs w:val="24"/>
        </w:rPr>
        <w:t xml:space="preserve"> perkelta ne tik </w:t>
      </w:r>
      <w:r w:rsidR="002671C3" w:rsidRPr="007344EA">
        <w:rPr>
          <w:rFonts w:ascii="Times New Roman" w:hAnsi="Times New Roman" w:cs="Times New Roman"/>
          <w:sz w:val="24"/>
          <w:szCs w:val="24"/>
        </w:rPr>
        <w:t xml:space="preserve">į </w:t>
      </w:r>
      <w:r w:rsidR="00F24EEF" w:rsidRPr="007344EA">
        <w:rPr>
          <w:rFonts w:ascii="Times New Roman" w:hAnsi="Times New Roman" w:cs="Times New Roman"/>
          <w:sz w:val="24"/>
          <w:szCs w:val="24"/>
        </w:rPr>
        <w:t>Sąjungos valstybės narių teisin</w:t>
      </w:r>
      <w:r w:rsidR="002671C3" w:rsidRPr="007344EA">
        <w:rPr>
          <w:rFonts w:ascii="Times New Roman" w:hAnsi="Times New Roman" w:cs="Times New Roman"/>
          <w:sz w:val="24"/>
          <w:szCs w:val="24"/>
        </w:rPr>
        <w:t>ę</w:t>
      </w:r>
      <w:r w:rsidR="00F24EEF" w:rsidRPr="007344EA">
        <w:rPr>
          <w:rFonts w:ascii="Times New Roman" w:hAnsi="Times New Roman" w:cs="Times New Roman"/>
          <w:sz w:val="24"/>
          <w:szCs w:val="24"/>
        </w:rPr>
        <w:t xml:space="preserve"> sistemą, bet </w:t>
      </w:r>
      <w:r w:rsidR="00704C12" w:rsidRPr="007344EA">
        <w:rPr>
          <w:rFonts w:ascii="Times New Roman" w:hAnsi="Times New Roman" w:cs="Times New Roman"/>
          <w:sz w:val="24"/>
          <w:szCs w:val="24"/>
        </w:rPr>
        <w:t>jos idėjomis pasiremta ir</w:t>
      </w:r>
      <w:r w:rsidR="00F24EEF" w:rsidRPr="007344EA">
        <w:rPr>
          <w:rFonts w:ascii="Times New Roman" w:hAnsi="Times New Roman" w:cs="Times New Roman"/>
          <w:sz w:val="24"/>
          <w:szCs w:val="24"/>
        </w:rPr>
        <w:t xml:space="preserve"> tarptauti</w:t>
      </w:r>
      <w:r w:rsidR="002671C3" w:rsidRPr="007344EA">
        <w:rPr>
          <w:rFonts w:ascii="Times New Roman" w:hAnsi="Times New Roman" w:cs="Times New Roman"/>
          <w:sz w:val="24"/>
          <w:szCs w:val="24"/>
        </w:rPr>
        <w:t>nėje teisėj</w:t>
      </w:r>
      <w:r w:rsidR="001B424A" w:rsidRPr="007344EA">
        <w:rPr>
          <w:rFonts w:ascii="Times New Roman" w:hAnsi="Times New Roman" w:cs="Times New Roman"/>
          <w:sz w:val="24"/>
          <w:szCs w:val="24"/>
        </w:rPr>
        <w:t>e</w:t>
      </w:r>
      <w:r w:rsidR="002671C3" w:rsidRPr="007344EA">
        <w:rPr>
          <w:rFonts w:ascii="Times New Roman" w:hAnsi="Times New Roman" w:cs="Times New Roman"/>
          <w:sz w:val="24"/>
          <w:szCs w:val="24"/>
        </w:rPr>
        <w:t>, tam tikra dal</w:t>
      </w:r>
      <w:r w:rsidR="005D2B04" w:rsidRPr="007344EA">
        <w:rPr>
          <w:rFonts w:ascii="Times New Roman" w:hAnsi="Times New Roman" w:cs="Times New Roman"/>
          <w:sz w:val="24"/>
          <w:szCs w:val="24"/>
        </w:rPr>
        <w:t>imi Direktyvos 93/13 normos yra</w:t>
      </w:r>
      <w:r w:rsidR="002671C3" w:rsidRPr="007344EA">
        <w:rPr>
          <w:rFonts w:ascii="Times New Roman" w:hAnsi="Times New Roman" w:cs="Times New Roman"/>
          <w:sz w:val="24"/>
          <w:szCs w:val="24"/>
        </w:rPr>
        <w:t xml:space="preserve"> </w:t>
      </w:r>
      <w:r w:rsidR="00AB74E9" w:rsidRPr="007344EA">
        <w:rPr>
          <w:rFonts w:ascii="Times New Roman" w:hAnsi="Times New Roman" w:cs="Times New Roman"/>
          <w:sz w:val="24"/>
          <w:szCs w:val="24"/>
        </w:rPr>
        <w:t xml:space="preserve">perkeltos </w:t>
      </w:r>
      <w:r w:rsidR="002671C3" w:rsidRPr="007344EA">
        <w:rPr>
          <w:rFonts w:ascii="Times New Roman" w:hAnsi="Times New Roman" w:cs="Times New Roman"/>
          <w:sz w:val="24"/>
          <w:szCs w:val="24"/>
        </w:rPr>
        <w:t>į</w:t>
      </w:r>
      <w:r w:rsidR="00887125" w:rsidRPr="007344EA">
        <w:rPr>
          <w:rFonts w:ascii="Times New Roman" w:hAnsi="Times New Roman" w:cs="Times New Roman"/>
          <w:sz w:val="24"/>
          <w:szCs w:val="24"/>
        </w:rPr>
        <w:t xml:space="preserve"> šiuos aktus:</w:t>
      </w:r>
      <w:r w:rsidR="002671C3" w:rsidRPr="007344EA">
        <w:rPr>
          <w:rFonts w:ascii="Times New Roman" w:hAnsi="Times New Roman" w:cs="Times New Roman"/>
          <w:sz w:val="24"/>
          <w:szCs w:val="24"/>
        </w:rPr>
        <w:t xml:space="preserve"> Europos sutarčių teisės princip</w:t>
      </w:r>
      <w:r w:rsidR="00887125" w:rsidRPr="007344EA">
        <w:rPr>
          <w:rFonts w:ascii="Times New Roman" w:hAnsi="Times New Roman" w:cs="Times New Roman"/>
          <w:sz w:val="24"/>
          <w:szCs w:val="24"/>
        </w:rPr>
        <w:t>ai</w:t>
      </w:r>
      <w:r w:rsidR="00C665C2" w:rsidRPr="007344EA">
        <w:rPr>
          <w:rFonts w:ascii="Times New Roman" w:hAnsi="Times New Roman" w:cs="Times New Roman"/>
          <w:sz w:val="24"/>
          <w:szCs w:val="24"/>
        </w:rPr>
        <w:t xml:space="preserve"> (</w:t>
      </w:r>
      <w:r w:rsidR="002671C3" w:rsidRPr="007344EA">
        <w:rPr>
          <w:rFonts w:ascii="Times New Roman" w:hAnsi="Times New Roman" w:cs="Times New Roman"/>
          <w:sz w:val="24"/>
          <w:szCs w:val="24"/>
        </w:rPr>
        <w:t xml:space="preserve">PECL), </w:t>
      </w:r>
      <w:r w:rsidR="000F29F3" w:rsidRPr="007344EA">
        <w:rPr>
          <w:rFonts w:ascii="Times New Roman" w:hAnsi="Times New Roman" w:cs="Times New Roman"/>
          <w:sz w:val="24"/>
          <w:szCs w:val="24"/>
        </w:rPr>
        <w:t xml:space="preserve"> Bendrosios pagrindų sistemos projektas </w:t>
      </w:r>
      <w:r w:rsidR="002671C3" w:rsidRPr="007344EA">
        <w:rPr>
          <w:rFonts w:ascii="Times New Roman" w:hAnsi="Times New Roman" w:cs="Times New Roman"/>
          <w:sz w:val="24"/>
          <w:szCs w:val="24"/>
        </w:rPr>
        <w:t>(</w:t>
      </w:r>
      <w:r w:rsidR="00887125" w:rsidRPr="007344EA">
        <w:rPr>
          <w:rFonts w:ascii="Times New Roman" w:hAnsi="Times New Roman" w:cs="Times New Roman"/>
          <w:sz w:val="24"/>
          <w:szCs w:val="24"/>
        </w:rPr>
        <w:t>DCFR), Komisijos pasiūlymas</w:t>
      </w:r>
      <w:r w:rsidR="006A732B" w:rsidRPr="007344EA">
        <w:rPr>
          <w:rFonts w:ascii="Times New Roman" w:hAnsi="Times New Roman" w:cs="Times New Roman"/>
          <w:sz w:val="24"/>
          <w:szCs w:val="24"/>
        </w:rPr>
        <w:t xml:space="preserve"> dėl</w:t>
      </w:r>
      <w:r w:rsidR="000F29F3" w:rsidRPr="007344EA">
        <w:rPr>
          <w:rFonts w:ascii="Times New Roman" w:hAnsi="Times New Roman" w:cs="Times New Roman"/>
          <w:sz w:val="24"/>
          <w:szCs w:val="24"/>
        </w:rPr>
        <w:t xml:space="preserve"> </w:t>
      </w:r>
      <w:r w:rsidR="006A732B" w:rsidRPr="007344EA">
        <w:rPr>
          <w:rFonts w:ascii="Times New Roman" w:hAnsi="Times New Roman" w:cs="Times New Roman"/>
          <w:sz w:val="24"/>
          <w:szCs w:val="24"/>
        </w:rPr>
        <w:t>bendrosios Europos pirkimo</w:t>
      </w:r>
      <w:r w:rsidR="00224D1C" w:rsidRPr="007344EA">
        <w:rPr>
          <w:rFonts w:ascii="Times New Roman" w:hAnsi="Times New Roman" w:cs="Times New Roman"/>
          <w:sz w:val="24"/>
          <w:szCs w:val="24"/>
        </w:rPr>
        <w:t xml:space="preserve"> − </w:t>
      </w:r>
      <w:r w:rsidR="006A732B" w:rsidRPr="007344EA">
        <w:rPr>
          <w:rFonts w:ascii="Times New Roman" w:hAnsi="Times New Roman" w:cs="Times New Roman"/>
          <w:sz w:val="24"/>
          <w:szCs w:val="24"/>
        </w:rPr>
        <w:t>pa</w:t>
      </w:r>
      <w:r w:rsidR="005D2B04" w:rsidRPr="007344EA">
        <w:rPr>
          <w:rFonts w:ascii="Times New Roman" w:hAnsi="Times New Roman" w:cs="Times New Roman"/>
          <w:sz w:val="24"/>
          <w:szCs w:val="24"/>
        </w:rPr>
        <w:t>rdavimo sutarčių teisė</w:t>
      </w:r>
      <w:r w:rsidR="00887125" w:rsidRPr="007344EA">
        <w:rPr>
          <w:rFonts w:ascii="Times New Roman" w:hAnsi="Times New Roman" w:cs="Times New Roman"/>
          <w:sz w:val="24"/>
          <w:szCs w:val="24"/>
        </w:rPr>
        <w:t>s (CESL), UNIDROIT tarptautinės</w:t>
      </w:r>
      <w:r w:rsidR="005D2B04" w:rsidRPr="007344EA">
        <w:rPr>
          <w:rFonts w:ascii="Times New Roman" w:hAnsi="Times New Roman" w:cs="Times New Roman"/>
          <w:sz w:val="24"/>
          <w:szCs w:val="24"/>
        </w:rPr>
        <w:t xml:space="preserve"> sutarčių teisės principus (UNIDROIT)</w:t>
      </w:r>
      <w:r w:rsidR="003610EC" w:rsidRPr="007344EA">
        <w:rPr>
          <w:rFonts w:ascii="Times New Roman" w:hAnsi="Times New Roman" w:cs="Times New Roman"/>
          <w:sz w:val="24"/>
          <w:szCs w:val="24"/>
        </w:rPr>
        <w:t>.</w:t>
      </w:r>
    </w:p>
    <w:p w:rsidR="00AB74E9" w:rsidRPr="007344EA" w:rsidRDefault="000F29F3" w:rsidP="002671C3">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 xml:space="preserve">DCFR individualiai neaptartoms sąlygoms iš esmės yra skiriamas </w:t>
      </w:r>
      <w:r w:rsidR="00522E05" w:rsidRPr="007344EA">
        <w:rPr>
          <w:rFonts w:ascii="Times New Roman" w:hAnsi="Times New Roman" w:cs="Times New Roman"/>
          <w:sz w:val="24"/>
          <w:szCs w:val="24"/>
        </w:rPr>
        <w:t>b</w:t>
      </w:r>
      <w:r w:rsidRPr="007344EA">
        <w:rPr>
          <w:rFonts w:ascii="Times New Roman" w:hAnsi="Times New Roman" w:cs="Times New Roman"/>
          <w:sz w:val="24"/>
          <w:szCs w:val="24"/>
        </w:rPr>
        <w:t>eveik visas II knygos 9 skyrius</w:t>
      </w:r>
      <w:r w:rsidRPr="007344EA">
        <w:rPr>
          <w:rStyle w:val="FootnoteReference"/>
          <w:rFonts w:ascii="Times New Roman" w:hAnsi="Times New Roman"/>
          <w:sz w:val="24"/>
          <w:szCs w:val="24"/>
        </w:rPr>
        <w:footnoteReference w:id="92"/>
      </w:r>
      <w:r w:rsidR="00BB0121" w:rsidRPr="007344EA">
        <w:rPr>
          <w:rFonts w:ascii="Times New Roman" w:hAnsi="Times New Roman" w:cs="Times New Roman"/>
          <w:sz w:val="24"/>
          <w:szCs w:val="24"/>
        </w:rPr>
        <w:t xml:space="preserve">. </w:t>
      </w:r>
      <w:r w:rsidR="00522E05" w:rsidRPr="007344EA">
        <w:rPr>
          <w:rFonts w:ascii="Times New Roman" w:hAnsi="Times New Roman" w:cs="Times New Roman"/>
          <w:sz w:val="24"/>
          <w:szCs w:val="24"/>
        </w:rPr>
        <w:t>A</w:t>
      </w:r>
      <w:r w:rsidR="00BB0121" w:rsidRPr="007344EA">
        <w:rPr>
          <w:rFonts w:ascii="Times New Roman" w:hAnsi="Times New Roman" w:cs="Times New Roman"/>
          <w:sz w:val="24"/>
          <w:szCs w:val="24"/>
        </w:rPr>
        <w:t>nalogiškai Direktyvos 93/13</w:t>
      </w:r>
      <w:r w:rsidR="00E243EA" w:rsidRPr="007344EA">
        <w:rPr>
          <w:rFonts w:ascii="Times New Roman" w:hAnsi="Times New Roman" w:cs="Times New Roman"/>
          <w:sz w:val="24"/>
          <w:szCs w:val="24"/>
        </w:rPr>
        <w:t xml:space="preserve"> nustatytam reguliavimai</w:t>
      </w:r>
      <w:r w:rsidR="00522E05" w:rsidRPr="007344EA">
        <w:rPr>
          <w:rFonts w:ascii="Times New Roman" w:hAnsi="Times New Roman" w:cs="Times New Roman"/>
          <w:sz w:val="24"/>
          <w:szCs w:val="24"/>
        </w:rPr>
        <w:t>,</w:t>
      </w:r>
      <w:r w:rsidR="00E243EA" w:rsidRPr="007344EA">
        <w:rPr>
          <w:rFonts w:ascii="Times New Roman" w:hAnsi="Times New Roman" w:cs="Times New Roman"/>
          <w:sz w:val="24"/>
          <w:szCs w:val="24"/>
        </w:rPr>
        <w:t xml:space="preserve"> sąlygas pasiūliusi šalis negali remtis nesąžiningomis</w:t>
      </w:r>
      <w:r w:rsidR="000C3638" w:rsidRPr="007344EA">
        <w:rPr>
          <w:rFonts w:ascii="Times New Roman" w:hAnsi="Times New Roman" w:cs="Times New Roman"/>
          <w:sz w:val="24"/>
          <w:szCs w:val="24"/>
        </w:rPr>
        <w:t xml:space="preserve"> </w:t>
      </w:r>
      <w:r w:rsidR="00E243EA" w:rsidRPr="007344EA">
        <w:rPr>
          <w:rFonts w:ascii="Times New Roman" w:hAnsi="Times New Roman" w:cs="Times New Roman"/>
          <w:sz w:val="24"/>
          <w:szCs w:val="24"/>
        </w:rPr>
        <w:t>individualiai neaptartomis sąlygomis.</w:t>
      </w:r>
      <w:r w:rsidR="000C3638" w:rsidRPr="007344EA">
        <w:rPr>
          <w:rFonts w:ascii="Times New Roman" w:hAnsi="Times New Roman" w:cs="Times New Roman"/>
          <w:sz w:val="24"/>
          <w:szCs w:val="24"/>
        </w:rPr>
        <w:t xml:space="preserve"> DCFR įtvirtinti s</w:t>
      </w:r>
      <w:r w:rsidR="00E243EA" w:rsidRPr="007344EA">
        <w:rPr>
          <w:rFonts w:ascii="Times New Roman" w:hAnsi="Times New Roman" w:cs="Times New Roman"/>
          <w:sz w:val="24"/>
          <w:szCs w:val="24"/>
        </w:rPr>
        <w:t>kaidrumo</w:t>
      </w:r>
      <w:r w:rsidR="000C3638" w:rsidRPr="007344EA">
        <w:rPr>
          <w:rFonts w:ascii="Times New Roman" w:hAnsi="Times New Roman" w:cs="Times New Roman"/>
          <w:sz w:val="24"/>
          <w:szCs w:val="24"/>
        </w:rPr>
        <w:t xml:space="preserve"> ir sąžiningumo principai taip pat atitinka Direktyvos 93/13 reguliavimą. T</w:t>
      </w:r>
      <w:r w:rsidR="001B424A" w:rsidRPr="007344EA">
        <w:rPr>
          <w:rFonts w:ascii="Times New Roman" w:hAnsi="Times New Roman" w:cs="Times New Roman"/>
          <w:sz w:val="24"/>
          <w:szCs w:val="24"/>
        </w:rPr>
        <w:t xml:space="preserve">ačiau dalis šiame akte įtvirtintų normų yra taikomos </w:t>
      </w:r>
      <w:r w:rsidR="001B424A" w:rsidRPr="007344EA">
        <w:rPr>
          <w:rFonts w:ascii="Times New Roman" w:hAnsi="Times New Roman" w:cs="Times New Roman"/>
          <w:i/>
          <w:sz w:val="24"/>
          <w:szCs w:val="24"/>
        </w:rPr>
        <w:t>C2B</w:t>
      </w:r>
      <w:r w:rsidR="001B424A" w:rsidRPr="007344EA">
        <w:rPr>
          <w:rFonts w:ascii="Times New Roman" w:hAnsi="Times New Roman" w:cs="Times New Roman"/>
          <w:sz w:val="24"/>
          <w:szCs w:val="24"/>
        </w:rPr>
        <w:t xml:space="preserve"> principu, kita dalis taikoma ir </w:t>
      </w:r>
      <w:r w:rsidR="001B424A" w:rsidRPr="007344EA">
        <w:rPr>
          <w:rFonts w:ascii="Times New Roman" w:hAnsi="Times New Roman" w:cs="Times New Roman"/>
          <w:i/>
          <w:sz w:val="24"/>
          <w:szCs w:val="24"/>
        </w:rPr>
        <w:t>B2B</w:t>
      </w:r>
      <w:r w:rsidR="00BB0121" w:rsidRPr="007344EA">
        <w:rPr>
          <w:rFonts w:ascii="Times New Roman" w:hAnsi="Times New Roman" w:cs="Times New Roman"/>
          <w:sz w:val="24"/>
          <w:szCs w:val="24"/>
        </w:rPr>
        <w:t xml:space="preserve"> principu </w:t>
      </w:r>
      <w:r w:rsidR="000C3638" w:rsidRPr="007344EA">
        <w:rPr>
          <w:rFonts w:ascii="Times New Roman" w:hAnsi="Times New Roman" w:cs="Times New Roman"/>
          <w:sz w:val="24"/>
          <w:szCs w:val="24"/>
        </w:rPr>
        <w:t>išskiriama ir trečioji grupė – sutartys tarp ne verslininkų (angl.−</w:t>
      </w:r>
      <w:r w:rsidR="00423D88" w:rsidRPr="007344EA">
        <w:rPr>
          <w:rFonts w:ascii="Times New Roman" w:hAnsi="Times New Roman" w:cs="Times New Roman"/>
          <w:sz w:val="24"/>
          <w:szCs w:val="24"/>
        </w:rPr>
        <w:t xml:space="preserve"> </w:t>
      </w:r>
      <w:r w:rsidR="00423D88" w:rsidRPr="007344EA">
        <w:rPr>
          <w:rFonts w:ascii="Times New Roman" w:hAnsi="Times New Roman" w:cs="Times New Roman"/>
          <w:i/>
          <w:sz w:val="24"/>
          <w:szCs w:val="24"/>
        </w:rPr>
        <w:t>contracts between non−business parties</w:t>
      </w:r>
      <w:r w:rsidR="00423D88" w:rsidRPr="007344EA">
        <w:rPr>
          <w:rFonts w:ascii="Times New Roman" w:hAnsi="Times New Roman" w:cs="Times New Roman"/>
          <w:sz w:val="24"/>
          <w:szCs w:val="24"/>
        </w:rPr>
        <w:t>).</w:t>
      </w:r>
    </w:p>
    <w:p w:rsidR="006A732B" w:rsidRPr="007344EA" w:rsidRDefault="00C665C2" w:rsidP="002671C3">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PECL</w:t>
      </w:r>
      <w:r w:rsidR="006A732B" w:rsidRPr="007344EA">
        <w:rPr>
          <w:rStyle w:val="FootnoteReference"/>
          <w:rFonts w:ascii="Times New Roman" w:hAnsi="Times New Roman"/>
          <w:sz w:val="24"/>
          <w:szCs w:val="24"/>
        </w:rPr>
        <w:footnoteReference w:id="93"/>
      </w:r>
      <w:r w:rsidR="00251AA8" w:rsidRPr="007344EA">
        <w:rPr>
          <w:rFonts w:ascii="Times New Roman" w:hAnsi="Times New Roman" w:cs="Times New Roman"/>
          <w:sz w:val="24"/>
          <w:szCs w:val="24"/>
        </w:rPr>
        <w:t xml:space="preserve"> </w:t>
      </w:r>
      <w:r w:rsidR="001049D1" w:rsidRPr="007344EA">
        <w:rPr>
          <w:rFonts w:ascii="Times New Roman" w:hAnsi="Times New Roman" w:cs="Times New Roman"/>
          <w:sz w:val="24"/>
          <w:szCs w:val="24"/>
        </w:rPr>
        <w:t xml:space="preserve">4:110 straipsnyje, </w:t>
      </w:r>
      <w:r w:rsidRPr="007344EA">
        <w:rPr>
          <w:rFonts w:ascii="Times New Roman" w:hAnsi="Times New Roman" w:cs="Times New Roman"/>
          <w:sz w:val="24"/>
          <w:szCs w:val="24"/>
        </w:rPr>
        <w:t>pateikimas reg</w:t>
      </w:r>
      <w:r w:rsidR="00251AA8" w:rsidRPr="007344EA">
        <w:rPr>
          <w:rFonts w:ascii="Times New Roman" w:hAnsi="Times New Roman" w:cs="Times New Roman"/>
          <w:sz w:val="24"/>
          <w:szCs w:val="24"/>
        </w:rPr>
        <w:t>lamentavimas</w:t>
      </w:r>
      <w:r w:rsidR="006A732B" w:rsidRPr="007344EA">
        <w:rPr>
          <w:rFonts w:ascii="Times New Roman" w:hAnsi="Times New Roman" w:cs="Times New Roman"/>
          <w:sz w:val="24"/>
          <w:szCs w:val="24"/>
        </w:rPr>
        <w:t xml:space="preserve"> iš esmės</w:t>
      </w:r>
      <w:r w:rsidRPr="007344EA">
        <w:rPr>
          <w:rFonts w:ascii="Times New Roman" w:hAnsi="Times New Roman" w:cs="Times New Roman"/>
          <w:sz w:val="24"/>
          <w:szCs w:val="24"/>
        </w:rPr>
        <w:t xml:space="preserve"> </w:t>
      </w:r>
      <w:r w:rsidR="00251AA8" w:rsidRPr="007344EA">
        <w:rPr>
          <w:rFonts w:ascii="Times New Roman" w:hAnsi="Times New Roman" w:cs="Times New Roman"/>
          <w:sz w:val="24"/>
          <w:szCs w:val="24"/>
        </w:rPr>
        <w:t>identiškas</w:t>
      </w:r>
      <w:r w:rsidRPr="007344EA">
        <w:rPr>
          <w:rFonts w:ascii="Times New Roman" w:hAnsi="Times New Roman" w:cs="Times New Roman"/>
          <w:sz w:val="24"/>
          <w:szCs w:val="24"/>
        </w:rPr>
        <w:t xml:space="preserve"> Direktyvai 93/13 t.y. </w:t>
      </w:r>
      <w:r w:rsidR="00251AA8" w:rsidRPr="007344EA">
        <w:rPr>
          <w:rFonts w:ascii="Times New Roman" w:hAnsi="Times New Roman" w:cs="Times New Roman"/>
          <w:sz w:val="24"/>
          <w:szCs w:val="24"/>
        </w:rPr>
        <w:t xml:space="preserve"> išskiriami tie patys</w:t>
      </w:r>
      <w:r w:rsidR="006A732B" w:rsidRPr="007344EA">
        <w:rPr>
          <w:rFonts w:ascii="Times New Roman" w:hAnsi="Times New Roman" w:cs="Times New Roman"/>
          <w:sz w:val="24"/>
          <w:szCs w:val="24"/>
        </w:rPr>
        <w:t xml:space="preserve"> nesąžiningumo vertinimo elementai</w:t>
      </w:r>
      <w:r w:rsidR="00251AA8" w:rsidRPr="007344EA">
        <w:rPr>
          <w:rFonts w:ascii="Times New Roman" w:hAnsi="Times New Roman" w:cs="Times New Roman"/>
          <w:sz w:val="24"/>
          <w:szCs w:val="24"/>
        </w:rPr>
        <w:t xml:space="preserve">: 1) dėl </w:t>
      </w:r>
      <w:r w:rsidR="00423D88" w:rsidRPr="007344EA">
        <w:rPr>
          <w:rFonts w:ascii="Times New Roman" w:hAnsi="Times New Roman" w:cs="Times New Roman"/>
          <w:sz w:val="24"/>
          <w:szCs w:val="24"/>
        </w:rPr>
        <w:t>sąlygos nebuvo atskirai derėtas</w:t>
      </w:r>
      <w:r w:rsidR="007B3EB3" w:rsidRPr="007344EA">
        <w:rPr>
          <w:rFonts w:ascii="Times New Roman" w:hAnsi="Times New Roman" w:cs="Times New Roman"/>
          <w:sz w:val="24"/>
          <w:szCs w:val="24"/>
        </w:rPr>
        <w:t>i</w:t>
      </w:r>
      <w:r w:rsidR="00423D88" w:rsidRPr="007344EA">
        <w:rPr>
          <w:rFonts w:ascii="Times New Roman" w:hAnsi="Times New Roman" w:cs="Times New Roman"/>
          <w:sz w:val="24"/>
          <w:szCs w:val="24"/>
        </w:rPr>
        <w:t>,</w:t>
      </w:r>
      <w:r w:rsidR="00251AA8" w:rsidRPr="007344EA">
        <w:rPr>
          <w:rFonts w:ascii="Times New Roman" w:hAnsi="Times New Roman" w:cs="Times New Roman"/>
          <w:sz w:val="24"/>
          <w:szCs w:val="24"/>
        </w:rPr>
        <w:t xml:space="preserve"> 2) paž</w:t>
      </w:r>
      <w:r w:rsidR="00423D88" w:rsidRPr="007344EA">
        <w:rPr>
          <w:rFonts w:ascii="Times New Roman" w:hAnsi="Times New Roman" w:cs="Times New Roman"/>
          <w:sz w:val="24"/>
          <w:szCs w:val="24"/>
        </w:rPr>
        <w:t>eidžiamas sąžiningumo principas,</w:t>
      </w:r>
      <w:r w:rsidR="00251AA8" w:rsidRPr="007344EA">
        <w:rPr>
          <w:rFonts w:ascii="Times New Roman" w:hAnsi="Times New Roman" w:cs="Times New Roman"/>
          <w:sz w:val="24"/>
          <w:szCs w:val="24"/>
        </w:rPr>
        <w:t xml:space="preserve"> 3) sukuria</w:t>
      </w:r>
      <w:r w:rsidR="006A732B" w:rsidRPr="007344EA">
        <w:rPr>
          <w:rFonts w:ascii="Times New Roman" w:hAnsi="Times New Roman" w:cs="Times New Roman"/>
          <w:sz w:val="24"/>
          <w:szCs w:val="24"/>
        </w:rPr>
        <w:t>mas</w:t>
      </w:r>
      <w:r w:rsidR="00251AA8" w:rsidRPr="007344EA">
        <w:rPr>
          <w:rFonts w:ascii="Times New Roman" w:hAnsi="Times New Roman" w:cs="Times New Roman"/>
          <w:sz w:val="24"/>
          <w:szCs w:val="24"/>
        </w:rPr>
        <w:t xml:space="preserve"> žym</w:t>
      </w:r>
      <w:r w:rsidR="006A732B" w:rsidRPr="007344EA">
        <w:rPr>
          <w:rFonts w:ascii="Times New Roman" w:hAnsi="Times New Roman" w:cs="Times New Roman"/>
          <w:sz w:val="24"/>
          <w:szCs w:val="24"/>
        </w:rPr>
        <w:t>us</w:t>
      </w:r>
      <w:r w:rsidR="00251AA8" w:rsidRPr="007344EA">
        <w:rPr>
          <w:rFonts w:ascii="Times New Roman" w:hAnsi="Times New Roman" w:cs="Times New Roman"/>
          <w:sz w:val="24"/>
          <w:szCs w:val="24"/>
        </w:rPr>
        <w:t xml:space="preserve"> disbalans</w:t>
      </w:r>
      <w:r w:rsidR="006A732B" w:rsidRPr="007344EA">
        <w:rPr>
          <w:rFonts w:ascii="Times New Roman" w:hAnsi="Times New Roman" w:cs="Times New Roman"/>
          <w:sz w:val="24"/>
          <w:szCs w:val="24"/>
        </w:rPr>
        <w:t>as</w:t>
      </w:r>
      <w:r w:rsidR="00251AA8" w:rsidRPr="007344EA">
        <w:rPr>
          <w:rFonts w:ascii="Times New Roman" w:hAnsi="Times New Roman" w:cs="Times New Roman"/>
          <w:sz w:val="24"/>
          <w:szCs w:val="24"/>
        </w:rPr>
        <w:t xml:space="preserve"> tarp šalių. Taip pat</w:t>
      </w:r>
      <w:r w:rsidR="00423D88" w:rsidRPr="007344EA">
        <w:rPr>
          <w:rFonts w:ascii="Times New Roman" w:hAnsi="Times New Roman" w:cs="Times New Roman"/>
          <w:sz w:val="24"/>
          <w:szCs w:val="24"/>
        </w:rPr>
        <w:t xml:space="preserve"> analogiškas yra</w:t>
      </w:r>
      <w:r w:rsidR="00251AA8" w:rsidRPr="007344EA">
        <w:rPr>
          <w:rFonts w:ascii="Times New Roman" w:hAnsi="Times New Roman" w:cs="Times New Roman"/>
          <w:sz w:val="24"/>
          <w:szCs w:val="24"/>
        </w:rPr>
        <w:t xml:space="preserve"> ir taikymo srities apribojimas </w:t>
      </w:r>
      <w:r w:rsidR="00251AA8" w:rsidRPr="007344EA">
        <w:rPr>
          <w:rFonts w:ascii="Times New Roman" w:hAnsi="Times New Roman" w:cs="Times New Roman"/>
          <w:i/>
          <w:sz w:val="24"/>
          <w:szCs w:val="24"/>
        </w:rPr>
        <w:t>ratione materiae</w:t>
      </w:r>
      <w:r w:rsidR="00251AA8" w:rsidRPr="007344EA">
        <w:rPr>
          <w:rFonts w:ascii="Times New Roman" w:hAnsi="Times New Roman" w:cs="Times New Roman"/>
          <w:sz w:val="24"/>
          <w:szCs w:val="24"/>
        </w:rPr>
        <w:t xml:space="preserve"> atžvilgiu: 1) netaikoma sutarties pagrindinio dalyko sąžiningumo vertinimui, jei ši sąlyga išrei</w:t>
      </w:r>
      <w:r w:rsidR="00423D88" w:rsidRPr="007344EA">
        <w:rPr>
          <w:rFonts w:ascii="Times New Roman" w:hAnsi="Times New Roman" w:cs="Times New Roman"/>
          <w:sz w:val="24"/>
          <w:szCs w:val="24"/>
        </w:rPr>
        <w:t>kšta aiškia ir suprantama kalba,</w:t>
      </w:r>
      <w:r w:rsidR="00251AA8" w:rsidRPr="007344EA">
        <w:rPr>
          <w:rFonts w:ascii="Times New Roman" w:hAnsi="Times New Roman" w:cs="Times New Roman"/>
          <w:sz w:val="24"/>
          <w:szCs w:val="24"/>
        </w:rPr>
        <w:t xml:space="preserve"> 2) </w:t>
      </w:r>
      <w:r w:rsidR="006A732B" w:rsidRPr="007344EA">
        <w:rPr>
          <w:rFonts w:ascii="Times New Roman" w:hAnsi="Times New Roman" w:cs="Times New Roman"/>
          <w:sz w:val="24"/>
          <w:szCs w:val="24"/>
        </w:rPr>
        <w:t xml:space="preserve">netaikoma </w:t>
      </w:r>
      <w:r w:rsidR="00761477" w:rsidRPr="007344EA">
        <w:rPr>
          <w:rFonts w:ascii="Times New Roman" w:hAnsi="Times New Roman" w:cs="Times New Roman"/>
          <w:sz w:val="24"/>
          <w:szCs w:val="24"/>
        </w:rPr>
        <w:t>kainos adekvatui, t</w:t>
      </w:r>
      <w:r w:rsidR="00251AA8" w:rsidRPr="007344EA">
        <w:rPr>
          <w:rFonts w:ascii="Times New Roman" w:hAnsi="Times New Roman" w:cs="Times New Roman"/>
          <w:sz w:val="24"/>
          <w:szCs w:val="24"/>
        </w:rPr>
        <w:t xml:space="preserve">ačiau </w:t>
      </w:r>
      <w:r w:rsidR="00761477" w:rsidRPr="007344EA">
        <w:rPr>
          <w:rFonts w:ascii="Times New Roman" w:hAnsi="Times New Roman" w:cs="Times New Roman"/>
          <w:sz w:val="24"/>
          <w:szCs w:val="24"/>
        </w:rPr>
        <w:t>šiuo</w:t>
      </w:r>
      <w:r w:rsidR="00251AA8" w:rsidRPr="007344EA">
        <w:rPr>
          <w:rFonts w:ascii="Times New Roman" w:hAnsi="Times New Roman" w:cs="Times New Roman"/>
          <w:sz w:val="24"/>
          <w:szCs w:val="24"/>
        </w:rPr>
        <w:t xml:space="preserve"> atveju nebelieka skaidrumo principo reikalavimo</w:t>
      </w:r>
      <w:r w:rsidR="00224D1C" w:rsidRPr="007344EA">
        <w:rPr>
          <w:rFonts w:ascii="Times New Roman" w:hAnsi="Times New Roman" w:cs="Times New Roman"/>
          <w:sz w:val="24"/>
          <w:szCs w:val="24"/>
        </w:rPr>
        <w:t xml:space="preserve"> −</w:t>
      </w:r>
      <w:r w:rsidR="00251AA8" w:rsidRPr="007344EA">
        <w:rPr>
          <w:rFonts w:ascii="Times New Roman" w:hAnsi="Times New Roman" w:cs="Times New Roman"/>
          <w:sz w:val="24"/>
          <w:szCs w:val="24"/>
        </w:rPr>
        <w:t xml:space="preserve"> aiškios ir suprantamos kalbos</w:t>
      </w:r>
      <w:r w:rsidR="00761477" w:rsidRPr="007344EA">
        <w:rPr>
          <w:rFonts w:ascii="Times New Roman" w:hAnsi="Times New Roman" w:cs="Times New Roman"/>
          <w:sz w:val="24"/>
          <w:szCs w:val="24"/>
        </w:rPr>
        <w:t>.</w:t>
      </w:r>
      <w:r w:rsidR="00251AA8" w:rsidRPr="007344EA">
        <w:rPr>
          <w:rFonts w:ascii="Times New Roman" w:hAnsi="Times New Roman" w:cs="Times New Roman"/>
          <w:sz w:val="24"/>
          <w:szCs w:val="24"/>
        </w:rPr>
        <w:t xml:space="preserve"> </w:t>
      </w:r>
      <w:r w:rsidR="00761477" w:rsidRPr="007344EA">
        <w:rPr>
          <w:rFonts w:ascii="Times New Roman" w:hAnsi="Times New Roman" w:cs="Times New Roman"/>
          <w:i/>
          <w:sz w:val="24"/>
          <w:szCs w:val="24"/>
        </w:rPr>
        <w:t>I</w:t>
      </w:r>
      <w:r w:rsidR="00251AA8" w:rsidRPr="007344EA">
        <w:rPr>
          <w:rFonts w:ascii="Times New Roman" w:hAnsi="Times New Roman" w:cs="Times New Roman"/>
          <w:i/>
          <w:sz w:val="24"/>
          <w:szCs w:val="24"/>
        </w:rPr>
        <w:t>nter alia</w:t>
      </w:r>
      <w:r w:rsidR="006A732B" w:rsidRPr="007344EA">
        <w:rPr>
          <w:rFonts w:ascii="Times New Roman" w:hAnsi="Times New Roman" w:cs="Times New Roman"/>
          <w:sz w:val="24"/>
          <w:szCs w:val="24"/>
        </w:rPr>
        <w:t>, viso ši</w:t>
      </w:r>
      <w:r w:rsidR="00761477" w:rsidRPr="007344EA">
        <w:rPr>
          <w:rFonts w:ascii="Times New Roman" w:hAnsi="Times New Roman" w:cs="Times New Roman"/>
          <w:sz w:val="24"/>
          <w:szCs w:val="24"/>
        </w:rPr>
        <w:t>o straipsnio taikymas nėra apribojamas</w:t>
      </w:r>
      <w:r w:rsidR="006A732B" w:rsidRPr="007344EA">
        <w:rPr>
          <w:rFonts w:ascii="Times New Roman" w:hAnsi="Times New Roman" w:cs="Times New Roman"/>
          <w:sz w:val="24"/>
          <w:szCs w:val="24"/>
        </w:rPr>
        <w:t xml:space="preserve"> vien tik sutartims sudarytoms tarp vartotojo ir verslininko</w:t>
      </w:r>
      <w:r w:rsidR="00423D88" w:rsidRPr="007344EA">
        <w:rPr>
          <w:rFonts w:ascii="Times New Roman" w:hAnsi="Times New Roman" w:cs="Times New Roman"/>
          <w:sz w:val="24"/>
          <w:szCs w:val="24"/>
        </w:rPr>
        <w:t xml:space="preserve"> (</w:t>
      </w:r>
      <w:r w:rsidR="00423D88" w:rsidRPr="007344EA">
        <w:rPr>
          <w:rFonts w:ascii="Times New Roman" w:hAnsi="Times New Roman" w:cs="Times New Roman"/>
          <w:i/>
          <w:sz w:val="24"/>
          <w:szCs w:val="24"/>
        </w:rPr>
        <w:t>B</w:t>
      </w:r>
      <w:r w:rsidR="00423D88" w:rsidRPr="007344EA">
        <w:rPr>
          <w:rFonts w:ascii="Times New Roman" w:hAnsi="Times New Roman" w:cs="Times New Roman"/>
          <w:i/>
          <w:sz w:val="24"/>
          <w:szCs w:val="24"/>
          <w:lang w:val="en-US"/>
        </w:rPr>
        <w:t>2C</w:t>
      </w:r>
      <w:r w:rsidR="00423D88" w:rsidRPr="007344EA">
        <w:rPr>
          <w:rFonts w:ascii="Times New Roman" w:hAnsi="Times New Roman" w:cs="Times New Roman"/>
          <w:sz w:val="24"/>
          <w:szCs w:val="24"/>
          <w:lang w:val="en-US"/>
        </w:rPr>
        <w:t>)</w:t>
      </w:r>
      <w:r w:rsidR="006A732B" w:rsidRPr="007344EA">
        <w:rPr>
          <w:rFonts w:ascii="Times New Roman" w:hAnsi="Times New Roman" w:cs="Times New Roman"/>
          <w:sz w:val="24"/>
          <w:szCs w:val="24"/>
        </w:rPr>
        <w:t xml:space="preserve">. </w:t>
      </w:r>
    </w:p>
    <w:p w:rsidR="006A732B" w:rsidRPr="007344EA" w:rsidRDefault="006A732B" w:rsidP="002671C3">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CESL</w:t>
      </w:r>
      <w:r w:rsidR="002F2BA6" w:rsidRPr="007344EA">
        <w:rPr>
          <w:rStyle w:val="FootnoteReference"/>
          <w:rFonts w:ascii="Times New Roman" w:hAnsi="Times New Roman"/>
          <w:sz w:val="24"/>
          <w:szCs w:val="24"/>
        </w:rPr>
        <w:footnoteReference w:id="94"/>
      </w:r>
      <w:r w:rsidRPr="007344EA">
        <w:rPr>
          <w:rFonts w:ascii="Times New Roman" w:hAnsi="Times New Roman" w:cs="Times New Roman"/>
          <w:sz w:val="24"/>
          <w:szCs w:val="24"/>
        </w:rPr>
        <w:t xml:space="preserve"> nesąžiningų sąlygų reguliavimui skiri</w:t>
      </w:r>
      <w:r w:rsidR="002F2BA6" w:rsidRPr="007344EA">
        <w:rPr>
          <w:rFonts w:ascii="Times New Roman" w:hAnsi="Times New Roman" w:cs="Times New Roman"/>
          <w:sz w:val="24"/>
          <w:szCs w:val="24"/>
        </w:rPr>
        <w:t>a</w:t>
      </w:r>
      <w:r w:rsidRPr="007344EA">
        <w:rPr>
          <w:rFonts w:ascii="Times New Roman" w:hAnsi="Times New Roman" w:cs="Times New Roman"/>
          <w:sz w:val="24"/>
          <w:szCs w:val="24"/>
        </w:rPr>
        <w:t xml:space="preserve">mas </w:t>
      </w:r>
      <w:r w:rsidR="002F2BA6" w:rsidRPr="007344EA">
        <w:rPr>
          <w:rFonts w:ascii="Times New Roman" w:hAnsi="Times New Roman" w:cs="Times New Roman"/>
          <w:sz w:val="24"/>
          <w:szCs w:val="24"/>
        </w:rPr>
        <w:t>visas 8 skyrius 79</w:t>
      </w:r>
      <w:r w:rsidR="00224D1C" w:rsidRPr="007344EA">
        <w:rPr>
          <w:rFonts w:ascii="Times New Roman" w:hAnsi="Times New Roman" w:cs="Times New Roman"/>
          <w:sz w:val="24"/>
          <w:szCs w:val="24"/>
        </w:rPr>
        <w:t>−</w:t>
      </w:r>
      <w:r w:rsidR="002F2BA6" w:rsidRPr="007344EA">
        <w:rPr>
          <w:rFonts w:ascii="Times New Roman" w:hAnsi="Times New Roman" w:cs="Times New Roman"/>
          <w:sz w:val="24"/>
          <w:szCs w:val="24"/>
        </w:rPr>
        <w:t>8</w:t>
      </w:r>
      <w:r w:rsidR="00466137" w:rsidRPr="007344EA">
        <w:rPr>
          <w:rFonts w:ascii="Times New Roman" w:hAnsi="Times New Roman" w:cs="Times New Roman"/>
          <w:sz w:val="24"/>
          <w:szCs w:val="24"/>
        </w:rPr>
        <w:t>6</w:t>
      </w:r>
      <w:r w:rsidR="002F2BA6" w:rsidRPr="007344EA">
        <w:rPr>
          <w:rFonts w:ascii="Times New Roman" w:hAnsi="Times New Roman" w:cs="Times New Roman"/>
          <w:sz w:val="24"/>
          <w:szCs w:val="24"/>
        </w:rPr>
        <w:t xml:space="preserve"> straipsniai. </w:t>
      </w:r>
      <w:r w:rsidR="00466137" w:rsidRPr="007344EA">
        <w:rPr>
          <w:rFonts w:ascii="Times New Roman" w:hAnsi="Times New Roman" w:cs="Times New Roman"/>
          <w:sz w:val="24"/>
          <w:szCs w:val="24"/>
        </w:rPr>
        <w:t xml:space="preserve"> Iš esmės į  79</w:t>
      </w:r>
      <w:r w:rsidR="00224D1C" w:rsidRPr="007344EA">
        <w:rPr>
          <w:rFonts w:ascii="Times New Roman" w:hAnsi="Times New Roman" w:cs="Times New Roman"/>
          <w:sz w:val="24"/>
          <w:szCs w:val="24"/>
        </w:rPr>
        <w:t>−</w:t>
      </w:r>
      <w:r w:rsidR="00466137" w:rsidRPr="007344EA">
        <w:rPr>
          <w:rFonts w:ascii="Times New Roman" w:hAnsi="Times New Roman" w:cs="Times New Roman"/>
          <w:sz w:val="24"/>
          <w:szCs w:val="24"/>
        </w:rPr>
        <w:t>85</w:t>
      </w:r>
      <w:r w:rsidR="00761477" w:rsidRPr="007344EA">
        <w:rPr>
          <w:rFonts w:ascii="Times New Roman" w:hAnsi="Times New Roman" w:cs="Times New Roman"/>
          <w:sz w:val="24"/>
          <w:szCs w:val="24"/>
        </w:rPr>
        <w:t xml:space="preserve"> straipsnius</w:t>
      </w:r>
      <w:r w:rsidR="00466137" w:rsidRPr="007344EA">
        <w:rPr>
          <w:rFonts w:ascii="Times New Roman" w:hAnsi="Times New Roman" w:cs="Times New Roman"/>
          <w:sz w:val="24"/>
          <w:szCs w:val="24"/>
        </w:rPr>
        <w:t xml:space="preserve"> praktiškai perkelta visa Direktyva 93/13, įskaitant ir nesąžiningų sąlygų sąrašą</w:t>
      </w:r>
      <w:r w:rsidR="00737F0F">
        <w:rPr>
          <w:rFonts w:ascii="Times New Roman" w:hAnsi="Times New Roman" w:cs="Times New Roman"/>
          <w:sz w:val="24"/>
          <w:szCs w:val="24"/>
        </w:rPr>
        <w:t>,</w:t>
      </w:r>
      <w:r w:rsidR="00466137" w:rsidRPr="007344EA">
        <w:rPr>
          <w:rFonts w:ascii="Times New Roman" w:hAnsi="Times New Roman" w:cs="Times New Roman"/>
          <w:sz w:val="24"/>
          <w:szCs w:val="24"/>
        </w:rPr>
        <w:t xml:space="preserve"> esantį </w:t>
      </w:r>
      <w:r w:rsidR="00761477" w:rsidRPr="007344EA">
        <w:rPr>
          <w:rFonts w:ascii="Times New Roman" w:hAnsi="Times New Roman" w:cs="Times New Roman"/>
          <w:sz w:val="24"/>
          <w:szCs w:val="24"/>
        </w:rPr>
        <w:t>šios direktyvos</w:t>
      </w:r>
      <w:r w:rsidR="00466137" w:rsidRPr="007344EA">
        <w:rPr>
          <w:rFonts w:ascii="Times New Roman" w:hAnsi="Times New Roman" w:cs="Times New Roman"/>
          <w:sz w:val="24"/>
          <w:szCs w:val="24"/>
        </w:rPr>
        <w:t xml:space="preserve"> priede. Taikymo sritis </w:t>
      </w:r>
      <w:r w:rsidR="00466137" w:rsidRPr="007344EA">
        <w:rPr>
          <w:rFonts w:ascii="Times New Roman" w:hAnsi="Times New Roman" w:cs="Times New Roman"/>
          <w:i/>
          <w:sz w:val="24"/>
          <w:szCs w:val="24"/>
        </w:rPr>
        <w:t>ratione materiae</w:t>
      </w:r>
      <w:r w:rsidR="00466137" w:rsidRPr="007344EA">
        <w:rPr>
          <w:rFonts w:ascii="Times New Roman" w:hAnsi="Times New Roman" w:cs="Times New Roman"/>
          <w:sz w:val="24"/>
          <w:szCs w:val="24"/>
        </w:rPr>
        <w:t xml:space="preserve"> ir </w:t>
      </w:r>
      <w:r w:rsidR="00466137" w:rsidRPr="007344EA">
        <w:rPr>
          <w:rFonts w:ascii="Times New Roman" w:hAnsi="Times New Roman" w:cs="Times New Roman"/>
          <w:i/>
          <w:sz w:val="24"/>
          <w:szCs w:val="24"/>
        </w:rPr>
        <w:lastRenderedPageBreak/>
        <w:t xml:space="preserve">ratione personae </w:t>
      </w:r>
      <w:r w:rsidR="00466137" w:rsidRPr="007344EA">
        <w:rPr>
          <w:rFonts w:ascii="Times New Roman" w:hAnsi="Times New Roman" w:cs="Times New Roman"/>
          <w:sz w:val="24"/>
          <w:szCs w:val="24"/>
        </w:rPr>
        <w:t>atžvilgiais yra tapati Direktyvai 93/13 siekiamam reguliavimui. Tačiau 86 straipsnyje numatytas nesąžiningų sąlygų reguliavimas taikomas ir</w:t>
      </w:r>
      <w:r w:rsidR="00466137" w:rsidRPr="007344EA">
        <w:rPr>
          <w:rFonts w:ascii="Times New Roman" w:hAnsi="Times New Roman" w:cs="Times New Roman"/>
          <w:i/>
          <w:sz w:val="24"/>
          <w:szCs w:val="24"/>
        </w:rPr>
        <w:t xml:space="preserve"> B2B</w:t>
      </w:r>
      <w:r w:rsidR="00466137" w:rsidRPr="007344EA">
        <w:rPr>
          <w:rFonts w:ascii="Times New Roman" w:hAnsi="Times New Roman" w:cs="Times New Roman"/>
          <w:sz w:val="24"/>
          <w:szCs w:val="24"/>
        </w:rPr>
        <w:t xml:space="preserve"> principu</w:t>
      </w:r>
      <w:r w:rsidR="00224D1C" w:rsidRPr="007344EA">
        <w:rPr>
          <w:rFonts w:ascii="Times New Roman" w:hAnsi="Times New Roman" w:cs="Times New Roman"/>
          <w:sz w:val="24"/>
          <w:szCs w:val="24"/>
        </w:rPr>
        <w:t xml:space="preserve"> −</w:t>
      </w:r>
      <w:r w:rsidR="00466137" w:rsidRPr="007344EA">
        <w:rPr>
          <w:rFonts w:ascii="Times New Roman" w:hAnsi="Times New Roman" w:cs="Times New Roman"/>
          <w:sz w:val="24"/>
          <w:szCs w:val="24"/>
        </w:rPr>
        <w:t xml:space="preserve"> t.y. tarp verslininkų (prekiautojų) sudary</w:t>
      </w:r>
      <w:r w:rsidR="006F62AB" w:rsidRPr="007344EA">
        <w:rPr>
          <w:rFonts w:ascii="Times New Roman" w:hAnsi="Times New Roman" w:cs="Times New Roman"/>
          <w:sz w:val="24"/>
          <w:szCs w:val="24"/>
        </w:rPr>
        <w:t xml:space="preserve">toms sutartims (susitarimams). </w:t>
      </w:r>
      <w:r w:rsidR="00466137" w:rsidRPr="007344EA">
        <w:rPr>
          <w:rFonts w:ascii="Times New Roman" w:hAnsi="Times New Roman" w:cs="Times New Roman"/>
          <w:sz w:val="24"/>
          <w:szCs w:val="24"/>
        </w:rPr>
        <w:t>Sąlygų nesąžiningumas pagal minėtąjį str</w:t>
      </w:r>
      <w:r w:rsidR="006F62AB" w:rsidRPr="007344EA">
        <w:rPr>
          <w:rFonts w:ascii="Times New Roman" w:hAnsi="Times New Roman" w:cs="Times New Roman"/>
          <w:sz w:val="24"/>
          <w:szCs w:val="24"/>
        </w:rPr>
        <w:t xml:space="preserve">aipsnį taikomas tuo atveju, kai dėl sąlygos nebuvo atskirai derėtasi, ja žymiai nukrypstama nuo sąžiningumo ir geros komercinės praktikos reikalavimų . </w:t>
      </w:r>
    </w:p>
    <w:p w:rsidR="00C665C2" w:rsidRPr="007344EA" w:rsidRDefault="00CC762D" w:rsidP="002671C3">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Kiek kitokia situacija su UNIDROIT</w:t>
      </w:r>
      <w:r w:rsidR="005D2B04" w:rsidRPr="007344EA">
        <w:rPr>
          <w:rStyle w:val="FootnoteReference"/>
          <w:rFonts w:ascii="Times New Roman" w:hAnsi="Times New Roman"/>
          <w:sz w:val="24"/>
          <w:szCs w:val="24"/>
        </w:rPr>
        <w:footnoteReference w:id="95"/>
      </w:r>
      <w:r w:rsidR="00892A85" w:rsidRPr="007344EA">
        <w:rPr>
          <w:rFonts w:ascii="Times New Roman" w:hAnsi="Times New Roman" w:cs="Times New Roman"/>
          <w:sz w:val="24"/>
          <w:szCs w:val="24"/>
        </w:rPr>
        <w:t>.</w:t>
      </w:r>
      <w:r w:rsidRPr="007344EA">
        <w:rPr>
          <w:rFonts w:ascii="Times New Roman" w:hAnsi="Times New Roman" w:cs="Times New Roman"/>
          <w:sz w:val="24"/>
          <w:szCs w:val="24"/>
        </w:rPr>
        <w:t xml:space="preserve"> </w:t>
      </w:r>
      <w:r w:rsidR="00892A85" w:rsidRPr="007344EA">
        <w:rPr>
          <w:rFonts w:ascii="Times New Roman" w:hAnsi="Times New Roman" w:cs="Times New Roman"/>
          <w:sz w:val="24"/>
          <w:szCs w:val="24"/>
        </w:rPr>
        <w:t>Š</w:t>
      </w:r>
      <w:r w:rsidRPr="007344EA">
        <w:rPr>
          <w:rFonts w:ascii="Times New Roman" w:hAnsi="Times New Roman" w:cs="Times New Roman"/>
          <w:sz w:val="24"/>
          <w:szCs w:val="24"/>
        </w:rPr>
        <w:t>iame dokumente nesąžiningų sąlygų reglamentavimas nėra išskiriamas atskirai</w:t>
      </w:r>
      <w:r w:rsidR="005A0EB5" w:rsidRPr="007344EA">
        <w:rPr>
          <w:rFonts w:ascii="Times New Roman" w:hAnsi="Times New Roman" w:cs="Times New Roman"/>
          <w:sz w:val="24"/>
          <w:szCs w:val="24"/>
        </w:rPr>
        <w:t>, tačiau išplaukia iš bendrojo reguliavimo</w:t>
      </w:r>
      <w:r w:rsidR="00892A85" w:rsidRPr="007344EA">
        <w:rPr>
          <w:rFonts w:ascii="Times New Roman" w:hAnsi="Times New Roman" w:cs="Times New Roman"/>
          <w:sz w:val="24"/>
          <w:szCs w:val="24"/>
        </w:rPr>
        <w:t>:</w:t>
      </w:r>
      <w:r w:rsidR="001E7987" w:rsidRPr="007344EA">
        <w:rPr>
          <w:rFonts w:ascii="Times New Roman" w:hAnsi="Times New Roman" w:cs="Times New Roman"/>
          <w:sz w:val="24"/>
          <w:szCs w:val="24"/>
        </w:rPr>
        <w:t xml:space="preserve"> pavyzdžiui iš 1.7, 1.8 ir kitų straipsnių. </w:t>
      </w:r>
    </w:p>
    <w:p w:rsidR="005D2B04" w:rsidRPr="007344EA" w:rsidRDefault="005D2B04" w:rsidP="002671C3">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Direktyvos 93/13  priėmimo procesas buvo pakankamai sudėtingas ir ilgas, kadangi valstybės narės ne</w:t>
      </w:r>
      <w:r w:rsidR="002C043F" w:rsidRPr="007344EA">
        <w:rPr>
          <w:rFonts w:ascii="Times New Roman" w:hAnsi="Times New Roman" w:cs="Times New Roman"/>
          <w:sz w:val="24"/>
          <w:szCs w:val="24"/>
        </w:rPr>
        <w:t>buvo suinteresuotos</w:t>
      </w:r>
      <w:r w:rsidRPr="007344EA">
        <w:rPr>
          <w:rFonts w:ascii="Times New Roman" w:hAnsi="Times New Roman" w:cs="Times New Roman"/>
          <w:sz w:val="24"/>
          <w:szCs w:val="24"/>
        </w:rPr>
        <w:t xml:space="preserve"> keisti neseniai priimtų savo nacionalinių teisės aktų, reguliuojančių tą pačią sritį, taip pat bendrasis sutarimas buvo pasiektas tik suderinus prancūziškąjį ir vokiškąjį nesąžiningų sąlygų kontrolės modelius. Siekiant nepažeisti vieno iš esminių šiuolaikinės teisės principų</w:t>
      </w:r>
      <w:r w:rsidR="00224D1C"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 sutarčių laisvės principo, buvo įtvirtintas taikymo srities apribojimas</w:t>
      </w:r>
      <w:r w:rsidR="002C043F" w:rsidRPr="007344EA">
        <w:rPr>
          <w:rFonts w:ascii="Times New Roman" w:hAnsi="Times New Roman" w:cs="Times New Roman"/>
          <w:sz w:val="24"/>
          <w:szCs w:val="24"/>
        </w:rPr>
        <w:t>, neleidžiantis tikrinti individuliai suderėtų sąlygų sąžiningumo, taip pat tų sąlygų sąžiningum</w:t>
      </w:r>
      <w:r w:rsidR="00D30632" w:rsidRPr="007344EA">
        <w:rPr>
          <w:rFonts w:ascii="Times New Roman" w:hAnsi="Times New Roman" w:cs="Times New Roman"/>
          <w:sz w:val="24"/>
          <w:szCs w:val="24"/>
        </w:rPr>
        <w:t>o</w:t>
      </w:r>
      <w:r w:rsidR="002C043F" w:rsidRPr="007344EA">
        <w:rPr>
          <w:rFonts w:ascii="Times New Roman" w:hAnsi="Times New Roman" w:cs="Times New Roman"/>
          <w:sz w:val="24"/>
          <w:szCs w:val="24"/>
        </w:rPr>
        <w:t>, kurios</w:t>
      </w:r>
      <w:r w:rsidR="00B177E6" w:rsidRPr="007344EA">
        <w:rPr>
          <w:rFonts w:ascii="Times New Roman" w:hAnsi="Times New Roman" w:cs="Times New Roman"/>
          <w:sz w:val="24"/>
          <w:szCs w:val="24"/>
        </w:rPr>
        <w:t xml:space="preserve"> susijusios su pagrindiniu sutarties dalyku ir kaina</w:t>
      </w:r>
      <w:r w:rsidR="00D30632" w:rsidRPr="007344EA">
        <w:rPr>
          <w:rFonts w:ascii="Times New Roman" w:hAnsi="Times New Roman" w:cs="Times New Roman"/>
          <w:sz w:val="24"/>
          <w:szCs w:val="24"/>
        </w:rPr>
        <w:t>, jei jos išreikštos aiškia ir s</w:t>
      </w:r>
      <w:r w:rsidR="00517FCC" w:rsidRPr="007344EA">
        <w:rPr>
          <w:rFonts w:ascii="Times New Roman" w:hAnsi="Times New Roman" w:cs="Times New Roman"/>
          <w:sz w:val="24"/>
          <w:szCs w:val="24"/>
        </w:rPr>
        <w:t xml:space="preserve">upranta kalba. </w:t>
      </w:r>
      <w:r w:rsidR="00D30632" w:rsidRPr="007344EA">
        <w:rPr>
          <w:rFonts w:ascii="Times New Roman" w:hAnsi="Times New Roman" w:cs="Times New Roman"/>
          <w:sz w:val="24"/>
          <w:szCs w:val="24"/>
        </w:rPr>
        <w:t>Galima teigti, kad ES</w:t>
      </w:r>
      <w:r w:rsidR="00517FCC" w:rsidRPr="007344EA">
        <w:rPr>
          <w:rFonts w:ascii="Times New Roman" w:hAnsi="Times New Roman" w:cs="Times New Roman"/>
          <w:sz w:val="24"/>
          <w:szCs w:val="24"/>
        </w:rPr>
        <w:t xml:space="preserve"> vartotojų teisė yra</w:t>
      </w:r>
      <w:r w:rsidR="00D30632" w:rsidRPr="007344EA">
        <w:rPr>
          <w:rFonts w:ascii="Times New Roman" w:hAnsi="Times New Roman" w:cs="Times New Roman"/>
          <w:sz w:val="24"/>
          <w:szCs w:val="24"/>
        </w:rPr>
        <w:t xml:space="preserve"> </w:t>
      </w:r>
      <w:r w:rsidR="00517FCC" w:rsidRPr="007344EA">
        <w:rPr>
          <w:rFonts w:ascii="Times New Roman" w:hAnsi="Times New Roman" w:cs="Times New Roman"/>
          <w:sz w:val="24"/>
          <w:szCs w:val="24"/>
        </w:rPr>
        <w:t>„pamatas“ bendrosios Sąjung</w:t>
      </w:r>
      <w:r w:rsidR="001049D1" w:rsidRPr="007344EA">
        <w:rPr>
          <w:rFonts w:ascii="Times New Roman" w:hAnsi="Times New Roman" w:cs="Times New Roman"/>
          <w:sz w:val="24"/>
          <w:szCs w:val="24"/>
        </w:rPr>
        <w:t xml:space="preserve">os privatinės teisės </w:t>
      </w:r>
      <w:r w:rsidR="001E7987" w:rsidRPr="007344EA">
        <w:rPr>
          <w:rFonts w:ascii="Times New Roman" w:hAnsi="Times New Roman" w:cs="Times New Roman"/>
          <w:sz w:val="24"/>
          <w:szCs w:val="24"/>
        </w:rPr>
        <w:t xml:space="preserve">harmonizavimui ar net </w:t>
      </w:r>
      <w:r w:rsidR="001049D1" w:rsidRPr="007344EA">
        <w:rPr>
          <w:rFonts w:ascii="Times New Roman" w:hAnsi="Times New Roman" w:cs="Times New Roman"/>
          <w:sz w:val="24"/>
          <w:szCs w:val="24"/>
        </w:rPr>
        <w:t>unifikavimui</w:t>
      </w:r>
      <w:r w:rsidR="00D30632" w:rsidRPr="007344EA">
        <w:rPr>
          <w:rFonts w:ascii="Times New Roman" w:hAnsi="Times New Roman" w:cs="Times New Roman"/>
          <w:sz w:val="24"/>
          <w:szCs w:val="24"/>
        </w:rPr>
        <w:t xml:space="preserve">, o Direktyva </w:t>
      </w:r>
      <w:r w:rsidR="00517FCC" w:rsidRPr="007344EA">
        <w:rPr>
          <w:rFonts w:ascii="Times New Roman" w:hAnsi="Times New Roman" w:cs="Times New Roman"/>
          <w:sz w:val="24"/>
          <w:szCs w:val="24"/>
        </w:rPr>
        <w:t>93/13 dėl savo visaapimančio</w:t>
      </w:r>
      <w:r w:rsidR="00B177E6" w:rsidRPr="007344EA">
        <w:rPr>
          <w:rFonts w:ascii="Times New Roman" w:hAnsi="Times New Roman" w:cs="Times New Roman"/>
          <w:sz w:val="24"/>
          <w:szCs w:val="24"/>
        </w:rPr>
        <w:t xml:space="preserve"> pobūdžio</w:t>
      </w:r>
      <w:r w:rsidR="00517FCC" w:rsidRPr="007344EA">
        <w:rPr>
          <w:rFonts w:ascii="Times New Roman" w:hAnsi="Times New Roman" w:cs="Times New Roman"/>
          <w:sz w:val="24"/>
          <w:szCs w:val="24"/>
        </w:rPr>
        <w:t xml:space="preserve"> bei neabejotinos įtakos valstybių narių sutarčių teisei – „kertinis šio pamato akmuo“. </w:t>
      </w:r>
    </w:p>
    <w:p w:rsidR="00F24EEF" w:rsidRPr="007344EA" w:rsidRDefault="00F24EEF" w:rsidP="006E00E1">
      <w:pPr>
        <w:spacing w:after="0" w:line="360" w:lineRule="auto"/>
        <w:ind w:firstLine="1296"/>
        <w:jc w:val="both"/>
        <w:rPr>
          <w:rFonts w:ascii="Times New Roman" w:hAnsi="Times New Roman" w:cs="Times New Roman"/>
          <w:sz w:val="24"/>
          <w:szCs w:val="24"/>
        </w:rPr>
      </w:pPr>
    </w:p>
    <w:p w:rsidR="001049D1" w:rsidRPr="007344EA" w:rsidRDefault="001049D1" w:rsidP="006E00E1">
      <w:pPr>
        <w:spacing w:after="0" w:line="360" w:lineRule="auto"/>
        <w:ind w:firstLine="1296"/>
        <w:jc w:val="both"/>
        <w:rPr>
          <w:rFonts w:ascii="Times New Roman" w:hAnsi="Times New Roman" w:cs="Times New Roman"/>
          <w:sz w:val="24"/>
          <w:szCs w:val="24"/>
        </w:rPr>
      </w:pPr>
    </w:p>
    <w:p w:rsidR="001049D1" w:rsidRPr="007344EA" w:rsidRDefault="001049D1" w:rsidP="006E00E1">
      <w:pPr>
        <w:spacing w:after="0" w:line="360" w:lineRule="auto"/>
        <w:ind w:firstLine="1296"/>
        <w:jc w:val="both"/>
        <w:rPr>
          <w:rFonts w:ascii="Times New Roman" w:hAnsi="Times New Roman" w:cs="Times New Roman"/>
          <w:sz w:val="24"/>
          <w:szCs w:val="24"/>
        </w:rPr>
      </w:pPr>
    </w:p>
    <w:p w:rsidR="001049D1" w:rsidRPr="007344EA" w:rsidRDefault="001049D1" w:rsidP="006E00E1">
      <w:pPr>
        <w:spacing w:after="0" w:line="360" w:lineRule="auto"/>
        <w:ind w:firstLine="1296"/>
        <w:jc w:val="both"/>
        <w:rPr>
          <w:rFonts w:ascii="Times New Roman" w:hAnsi="Times New Roman" w:cs="Times New Roman"/>
          <w:sz w:val="24"/>
          <w:szCs w:val="24"/>
        </w:rPr>
      </w:pPr>
    </w:p>
    <w:p w:rsidR="001049D1" w:rsidRPr="007344EA" w:rsidRDefault="001049D1" w:rsidP="006E00E1">
      <w:pPr>
        <w:spacing w:after="0" w:line="360" w:lineRule="auto"/>
        <w:ind w:firstLine="1296"/>
        <w:jc w:val="both"/>
        <w:rPr>
          <w:rFonts w:ascii="Times New Roman" w:hAnsi="Times New Roman" w:cs="Times New Roman"/>
          <w:sz w:val="24"/>
          <w:szCs w:val="24"/>
        </w:rPr>
      </w:pPr>
    </w:p>
    <w:p w:rsidR="0005120E" w:rsidRPr="007344EA" w:rsidRDefault="0005120E" w:rsidP="006E00E1">
      <w:pPr>
        <w:spacing w:after="0" w:line="360" w:lineRule="auto"/>
        <w:ind w:firstLine="1296"/>
        <w:jc w:val="both"/>
        <w:rPr>
          <w:rFonts w:ascii="Times New Roman" w:hAnsi="Times New Roman" w:cs="Times New Roman"/>
          <w:sz w:val="24"/>
          <w:szCs w:val="24"/>
        </w:rPr>
      </w:pPr>
    </w:p>
    <w:p w:rsidR="0005120E" w:rsidRPr="007344EA" w:rsidRDefault="0005120E" w:rsidP="006E00E1">
      <w:pPr>
        <w:spacing w:after="0" w:line="360" w:lineRule="auto"/>
        <w:ind w:firstLine="1296"/>
        <w:jc w:val="both"/>
        <w:rPr>
          <w:rFonts w:ascii="Times New Roman" w:hAnsi="Times New Roman" w:cs="Times New Roman"/>
          <w:sz w:val="24"/>
          <w:szCs w:val="24"/>
        </w:rPr>
      </w:pPr>
    </w:p>
    <w:p w:rsidR="0005120E" w:rsidRPr="007344EA" w:rsidRDefault="0005120E" w:rsidP="006E00E1">
      <w:pPr>
        <w:spacing w:after="0" w:line="360" w:lineRule="auto"/>
        <w:ind w:firstLine="1296"/>
        <w:jc w:val="both"/>
        <w:rPr>
          <w:rFonts w:ascii="Times New Roman" w:hAnsi="Times New Roman" w:cs="Times New Roman"/>
          <w:sz w:val="24"/>
          <w:szCs w:val="24"/>
        </w:rPr>
      </w:pPr>
    </w:p>
    <w:p w:rsidR="001049D1" w:rsidRDefault="001049D1" w:rsidP="00E367AD">
      <w:pPr>
        <w:spacing w:after="0" w:line="360" w:lineRule="auto"/>
        <w:jc w:val="both"/>
        <w:rPr>
          <w:rFonts w:ascii="Times New Roman" w:hAnsi="Times New Roman" w:cs="Times New Roman"/>
          <w:sz w:val="24"/>
          <w:szCs w:val="24"/>
        </w:rPr>
      </w:pPr>
    </w:p>
    <w:p w:rsidR="00737F0F" w:rsidRDefault="00737F0F" w:rsidP="00E367AD">
      <w:pPr>
        <w:spacing w:after="0" w:line="360" w:lineRule="auto"/>
        <w:jc w:val="both"/>
        <w:rPr>
          <w:rFonts w:ascii="Times New Roman" w:hAnsi="Times New Roman" w:cs="Times New Roman"/>
          <w:sz w:val="24"/>
          <w:szCs w:val="24"/>
        </w:rPr>
      </w:pPr>
    </w:p>
    <w:p w:rsidR="00737F0F" w:rsidRPr="007344EA" w:rsidRDefault="00737F0F" w:rsidP="00E367AD">
      <w:pPr>
        <w:spacing w:after="0" w:line="360" w:lineRule="auto"/>
        <w:jc w:val="both"/>
        <w:rPr>
          <w:rFonts w:ascii="Times New Roman" w:hAnsi="Times New Roman" w:cs="Times New Roman"/>
          <w:sz w:val="24"/>
          <w:szCs w:val="24"/>
        </w:rPr>
      </w:pPr>
    </w:p>
    <w:p w:rsidR="00D42736" w:rsidRPr="007344EA" w:rsidRDefault="00D42736" w:rsidP="006E00E1">
      <w:pPr>
        <w:spacing w:after="0" w:line="360" w:lineRule="auto"/>
        <w:jc w:val="both"/>
        <w:rPr>
          <w:rFonts w:ascii="Times New Roman" w:hAnsi="Times New Roman" w:cs="Times New Roman"/>
          <w:sz w:val="24"/>
          <w:szCs w:val="24"/>
        </w:rPr>
      </w:pPr>
    </w:p>
    <w:p w:rsidR="0096113C" w:rsidRPr="007344EA" w:rsidRDefault="0096113C" w:rsidP="006E00E1">
      <w:pPr>
        <w:spacing w:after="0" w:line="360" w:lineRule="auto"/>
        <w:jc w:val="both"/>
        <w:rPr>
          <w:rFonts w:ascii="Times New Roman" w:hAnsi="Times New Roman" w:cs="Times New Roman"/>
          <w:sz w:val="24"/>
          <w:szCs w:val="24"/>
        </w:rPr>
      </w:pPr>
    </w:p>
    <w:p w:rsidR="00A32244" w:rsidRPr="007344EA" w:rsidRDefault="00DF6FD4" w:rsidP="00DF356A">
      <w:pPr>
        <w:pStyle w:val="Heading1"/>
        <w:ind w:firstLine="1296"/>
        <w:jc w:val="center"/>
        <w:rPr>
          <w:rFonts w:ascii="Times New Roman" w:hAnsi="Times New Roman" w:cs="Times New Roman"/>
          <w:color w:val="000000" w:themeColor="text1"/>
          <w:sz w:val="24"/>
          <w:szCs w:val="24"/>
        </w:rPr>
      </w:pPr>
      <w:bookmarkStart w:id="3" w:name="_Toc344337153"/>
      <w:r w:rsidRPr="007344EA">
        <w:rPr>
          <w:rFonts w:ascii="Times New Roman" w:hAnsi="Times New Roman" w:cs="Times New Roman"/>
          <w:color w:val="000000" w:themeColor="text1"/>
          <w:sz w:val="24"/>
          <w:szCs w:val="24"/>
        </w:rPr>
        <w:lastRenderedPageBreak/>
        <w:t xml:space="preserve">2. </w:t>
      </w:r>
      <w:r w:rsidR="00075FC6" w:rsidRPr="007344EA">
        <w:rPr>
          <w:rFonts w:ascii="Times New Roman" w:hAnsi="Times New Roman" w:cs="Times New Roman"/>
          <w:color w:val="000000" w:themeColor="text1"/>
          <w:sz w:val="24"/>
          <w:szCs w:val="24"/>
        </w:rPr>
        <w:t>BYLŲ</w:t>
      </w:r>
      <w:r w:rsidR="00FC0BD6" w:rsidRPr="007344EA">
        <w:rPr>
          <w:rFonts w:ascii="Times New Roman" w:hAnsi="Times New Roman" w:cs="Times New Roman"/>
          <w:color w:val="000000" w:themeColor="text1"/>
          <w:sz w:val="24"/>
          <w:szCs w:val="24"/>
        </w:rPr>
        <w:t>,</w:t>
      </w:r>
      <w:r w:rsidR="00075FC6" w:rsidRPr="007344EA">
        <w:rPr>
          <w:rFonts w:ascii="Times New Roman" w:hAnsi="Times New Roman" w:cs="Times New Roman"/>
          <w:color w:val="000000" w:themeColor="text1"/>
          <w:sz w:val="24"/>
          <w:szCs w:val="24"/>
        </w:rPr>
        <w:t xml:space="preserve">  SUSIJUSIŲ SU DIREKTYVOS 93/13 AIŠKINIMU AR TAIKYMU, IŠK</w:t>
      </w:r>
      <w:r w:rsidR="003F5D73" w:rsidRPr="007344EA">
        <w:rPr>
          <w:rFonts w:ascii="Times New Roman" w:hAnsi="Times New Roman" w:cs="Times New Roman"/>
          <w:color w:val="000000" w:themeColor="text1"/>
          <w:sz w:val="24"/>
          <w:szCs w:val="24"/>
        </w:rPr>
        <w:t>Ė</w:t>
      </w:r>
      <w:r w:rsidR="00075FC6" w:rsidRPr="007344EA">
        <w:rPr>
          <w:rFonts w:ascii="Times New Roman" w:hAnsi="Times New Roman" w:cs="Times New Roman"/>
          <w:color w:val="000000" w:themeColor="text1"/>
          <w:sz w:val="24"/>
          <w:szCs w:val="24"/>
        </w:rPr>
        <w:t>LIMO PRIEŽASTYS</w:t>
      </w:r>
      <w:bookmarkEnd w:id="3"/>
    </w:p>
    <w:p w:rsidR="001049D1" w:rsidRPr="007344EA" w:rsidRDefault="001049D1" w:rsidP="001049D1">
      <w:pPr>
        <w:pStyle w:val="ListParagraph"/>
        <w:spacing w:after="0" w:line="360" w:lineRule="auto"/>
        <w:ind w:left="0"/>
        <w:jc w:val="both"/>
        <w:rPr>
          <w:rFonts w:ascii="Times New Roman" w:hAnsi="Times New Roman" w:cs="Times New Roman"/>
          <w:b/>
          <w:sz w:val="24"/>
          <w:szCs w:val="24"/>
        </w:rPr>
      </w:pPr>
    </w:p>
    <w:p w:rsidR="009F3BDA" w:rsidRPr="007344EA" w:rsidRDefault="00D75AF7"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Skirti</w:t>
      </w:r>
      <w:r w:rsidR="006730FF" w:rsidRPr="007344EA">
        <w:rPr>
          <w:rFonts w:ascii="Times New Roman" w:hAnsi="Times New Roman" w:cs="Times New Roman"/>
          <w:sz w:val="24"/>
          <w:szCs w:val="24"/>
        </w:rPr>
        <w:t xml:space="preserve"> faktinių</w:t>
      </w:r>
      <w:r w:rsidR="001B79B7" w:rsidRPr="007344EA">
        <w:rPr>
          <w:rFonts w:ascii="Times New Roman" w:hAnsi="Times New Roman" w:cs="Times New Roman"/>
          <w:sz w:val="24"/>
          <w:szCs w:val="24"/>
        </w:rPr>
        <w:t xml:space="preserve"> ir teisinių</w:t>
      </w:r>
      <w:r w:rsidRPr="007344EA">
        <w:rPr>
          <w:rFonts w:ascii="Times New Roman" w:hAnsi="Times New Roman" w:cs="Times New Roman"/>
          <w:sz w:val="24"/>
          <w:szCs w:val="24"/>
        </w:rPr>
        <w:t xml:space="preserve"> </w:t>
      </w:r>
      <w:r w:rsidR="00A0420E" w:rsidRPr="007344EA">
        <w:rPr>
          <w:rFonts w:ascii="Times New Roman" w:hAnsi="Times New Roman" w:cs="Times New Roman"/>
          <w:sz w:val="24"/>
          <w:szCs w:val="24"/>
        </w:rPr>
        <w:t xml:space="preserve">aplinkybių </w:t>
      </w:r>
      <w:r w:rsidR="0071330C" w:rsidRPr="007344EA">
        <w:rPr>
          <w:rFonts w:ascii="Times New Roman" w:hAnsi="Times New Roman" w:cs="Times New Roman"/>
          <w:sz w:val="24"/>
          <w:szCs w:val="24"/>
        </w:rPr>
        <w:t xml:space="preserve">aptarimui </w:t>
      </w:r>
      <w:r w:rsidR="009C4089" w:rsidRPr="007344EA">
        <w:rPr>
          <w:rFonts w:ascii="Times New Roman" w:hAnsi="Times New Roman" w:cs="Times New Roman"/>
          <w:sz w:val="24"/>
          <w:szCs w:val="24"/>
        </w:rPr>
        <w:t xml:space="preserve">atskirą magistro </w:t>
      </w:r>
      <w:r w:rsidRPr="007344EA">
        <w:rPr>
          <w:rFonts w:ascii="Times New Roman" w:hAnsi="Times New Roman" w:cs="Times New Roman"/>
          <w:sz w:val="24"/>
          <w:szCs w:val="24"/>
        </w:rPr>
        <w:t>baigiamojo darbo skyrių lėmė</w:t>
      </w:r>
      <w:r w:rsidR="009C4089" w:rsidRPr="007344EA">
        <w:rPr>
          <w:rFonts w:ascii="Times New Roman" w:hAnsi="Times New Roman" w:cs="Times New Roman"/>
          <w:sz w:val="24"/>
          <w:szCs w:val="24"/>
        </w:rPr>
        <w:t xml:space="preserve"> kelios priežastys</w:t>
      </w:r>
      <w:r w:rsidR="0040298B" w:rsidRPr="007344EA">
        <w:rPr>
          <w:rFonts w:ascii="Times New Roman" w:hAnsi="Times New Roman" w:cs="Times New Roman"/>
          <w:sz w:val="24"/>
          <w:szCs w:val="24"/>
        </w:rPr>
        <w:t>. Pirmoji −</w:t>
      </w:r>
      <w:r w:rsidR="006730FF" w:rsidRPr="007344EA">
        <w:rPr>
          <w:rFonts w:ascii="Times New Roman" w:hAnsi="Times New Roman" w:cs="Times New Roman"/>
          <w:sz w:val="24"/>
          <w:szCs w:val="24"/>
        </w:rPr>
        <w:t xml:space="preserve"> k</w:t>
      </w:r>
      <w:r w:rsidR="006A511E" w:rsidRPr="007344EA">
        <w:rPr>
          <w:rFonts w:ascii="Times New Roman" w:hAnsi="Times New Roman" w:cs="Times New Roman"/>
          <w:sz w:val="24"/>
          <w:szCs w:val="24"/>
        </w:rPr>
        <w:t xml:space="preserve">iekvienas </w:t>
      </w:r>
      <w:r w:rsidR="006730FF" w:rsidRPr="007344EA">
        <w:rPr>
          <w:rFonts w:ascii="Times New Roman" w:hAnsi="Times New Roman" w:cs="Times New Roman"/>
          <w:sz w:val="24"/>
          <w:szCs w:val="24"/>
        </w:rPr>
        <w:t>tiriamasis mokslinis darbas</w:t>
      </w:r>
      <w:r w:rsidR="00961ACD" w:rsidRPr="007344EA">
        <w:rPr>
          <w:rFonts w:ascii="Times New Roman" w:hAnsi="Times New Roman" w:cs="Times New Roman"/>
          <w:sz w:val="24"/>
          <w:szCs w:val="24"/>
        </w:rPr>
        <w:t>, kurio pagrindas yra teismų praktikos analizė ir jos vertinimas, reikalauja bent trumpai aptarti moksliniam tyrimui reikš</w:t>
      </w:r>
      <w:r w:rsidR="0014674D" w:rsidRPr="007344EA">
        <w:rPr>
          <w:rFonts w:ascii="Times New Roman" w:hAnsi="Times New Roman" w:cs="Times New Roman"/>
          <w:sz w:val="24"/>
          <w:szCs w:val="24"/>
        </w:rPr>
        <w:t>mingas faktines</w:t>
      </w:r>
      <w:r w:rsidR="00AC033E" w:rsidRPr="007344EA">
        <w:rPr>
          <w:rFonts w:ascii="Times New Roman" w:hAnsi="Times New Roman" w:cs="Times New Roman"/>
          <w:sz w:val="24"/>
          <w:szCs w:val="24"/>
        </w:rPr>
        <w:t xml:space="preserve"> ir teisines</w:t>
      </w:r>
      <w:r w:rsidR="0014674D" w:rsidRPr="007344EA">
        <w:rPr>
          <w:rFonts w:ascii="Times New Roman" w:hAnsi="Times New Roman" w:cs="Times New Roman"/>
          <w:sz w:val="24"/>
          <w:szCs w:val="24"/>
        </w:rPr>
        <w:t xml:space="preserve"> bylų aplinkybes. B</w:t>
      </w:r>
      <w:r w:rsidR="00961ACD" w:rsidRPr="007344EA">
        <w:rPr>
          <w:rFonts w:ascii="Times New Roman" w:hAnsi="Times New Roman" w:cs="Times New Roman"/>
          <w:sz w:val="24"/>
          <w:szCs w:val="24"/>
        </w:rPr>
        <w:t>e šio struktūrinio elemento darbas taptų nepilnavertis</w:t>
      </w:r>
      <w:r w:rsidR="00224D1C" w:rsidRPr="007344EA">
        <w:rPr>
          <w:rFonts w:ascii="Times New Roman" w:hAnsi="Times New Roman" w:cs="Times New Roman"/>
          <w:sz w:val="24"/>
          <w:szCs w:val="24"/>
        </w:rPr>
        <w:t xml:space="preserve"> −</w:t>
      </w:r>
      <w:r w:rsidR="00961ACD" w:rsidRPr="007344EA">
        <w:rPr>
          <w:rFonts w:ascii="Times New Roman" w:hAnsi="Times New Roman" w:cs="Times New Roman"/>
          <w:sz w:val="24"/>
          <w:szCs w:val="24"/>
        </w:rPr>
        <w:t xml:space="preserve"> atsietas nuo praktikos</w:t>
      </w:r>
      <w:r w:rsidR="006730FF" w:rsidRPr="007344EA">
        <w:rPr>
          <w:rFonts w:ascii="Times New Roman" w:hAnsi="Times New Roman" w:cs="Times New Roman"/>
          <w:sz w:val="24"/>
          <w:szCs w:val="24"/>
        </w:rPr>
        <w:t>,</w:t>
      </w:r>
      <w:r w:rsidR="0028392A" w:rsidRPr="007344EA">
        <w:rPr>
          <w:rFonts w:ascii="Times New Roman" w:hAnsi="Times New Roman" w:cs="Times New Roman"/>
          <w:sz w:val="24"/>
          <w:szCs w:val="24"/>
        </w:rPr>
        <w:t xml:space="preserve"> liktų</w:t>
      </w:r>
      <w:r w:rsidR="006730FF" w:rsidRPr="007344EA">
        <w:rPr>
          <w:rFonts w:ascii="Times New Roman" w:hAnsi="Times New Roman" w:cs="Times New Roman"/>
          <w:sz w:val="24"/>
          <w:szCs w:val="24"/>
        </w:rPr>
        <w:t xml:space="preserve"> neaišku kokiomis aplinkybėmis yra taikomi konkretūs Teisingumo Teismo išaiškinimai. </w:t>
      </w:r>
      <w:r w:rsidR="00062FA7" w:rsidRPr="007344EA">
        <w:rPr>
          <w:rFonts w:ascii="Times New Roman" w:hAnsi="Times New Roman" w:cs="Times New Roman"/>
          <w:sz w:val="24"/>
          <w:szCs w:val="24"/>
        </w:rPr>
        <w:t>Antroji</w:t>
      </w:r>
      <w:r w:rsidR="0040298B" w:rsidRPr="007344EA">
        <w:rPr>
          <w:rFonts w:ascii="Times New Roman" w:hAnsi="Times New Roman" w:cs="Times New Roman"/>
          <w:sz w:val="24"/>
          <w:szCs w:val="24"/>
        </w:rPr>
        <w:t xml:space="preserve"> −</w:t>
      </w:r>
      <w:r w:rsidR="00062FA7" w:rsidRPr="007344EA">
        <w:rPr>
          <w:rFonts w:ascii="Times New Roman" w:hAnsi="Times New Roman" w:cs="Times New Roman"/>
          <w:sz w:val="24"/>
          <w:szCs w:val="24"/>
        </w:rPr>
        <w:t xml:space="preserve"> siekis neapkrauti magistro baigiamojo darbo teorinės</w:t>
      </w:r>
      <w:r w:rsidR="00224D1C" w:rsidRPr="007344EA">
        <w:rPr>
          <w:rFonts w:ascii="Times New Roman" w:hAnsi="Times New Roman" w:cs="Times New Roman"/>
          <w:sz w:val="24"/>
          <w:szCs w:val="24"/>
        </w:rPr>
        <w:t xml:space="preserve"> −</w:t>
      </w:r>
      <w:r w:rsidR="00062FA7" w:rsidRPr="007344EA">
        <w:rPr>
          <w:rFonts w:ascii="Times New Roman" w:hAnsi="Times New Roman" w:cs="Times New Roman"/>
          <w:sz w:val="24"/>
          <w:szCs w:val="24"/>
        </w:rPr>
        <w:t xml:space="preserve"> analitinės dalies </w:t>
      </w:r>
      <w:r w:rsidR="00C66953" w:rsidRPr="007344EA">
        <w:rPr>
          <w:rFonts w:ascii="Times New Roman" w:hAnsi="Times New Roman" w:cs="Times New Roman"/>
          <w:sz w:val="24"/>
          <w:szCs w:val="24"/>
        </w:rPr>
        <w:t>pagri</w:t>
      </w:r>
      <w:r w:rsidR="00177B84" w:rsidRPr="007344EA">
        <w:rPr>
          <w:rFonts w:ascii="Times New Roman" w:hAnsi="Times New Roman" w:cs="Times New Roman"/>
          <w:sz w:val="24"/>
          <w:szCs w:val="24"/>
        </w:rPr>
        <w:t>ndinio proce</w:t>
      </w:r>
      <w:r w:rsidR="008A7E08" w:rsidRPr="007344EA">
        <w:rPr>
          <w:rFonts w:ascii="Times New Roman" w:hAnsi="Times New Roman" w:cs="Times New Roman"/>
          <w:sz w:val="24"/>
          <w:szCs w:val="24"/>
        </w:rPr>
        <w:t xml:space="preserve">so bylų faktais. </w:t>
      </w:r>
      <w:r w:rsidR="00C66953" w:rsidRPr="007344EA">
        <w:rPr>
          <w:rFonts w:ascii="Times New Roman" w:hAnsi="Times New Roman" w:cs="Times New Roman"/>
          <w:sz w:val="24"/>
          <w:szCs w:val="24"/>
        </w:rPr>
        <w:t xml:space="preserve">Tokios struktūrinės tendencijos vyrauja šiandienos tiek </w:t>
      </w:r>
      <w:r w:rsidR="0036148F" w:rsidRPr="007344EA">
        <w:rPr>
          <w:rFonts w:ascii="Times New Roman" w:hAnsi="Times New Roman" w:cs="Times New Roman"/>
          <w:sz w:val="24"/>
          <w:szCs w:val="24"/>
        </w:rPr>
        <w:t>užsienio</w:t>
      </w:r>
      <w:r w:rsidR="0036148F" w:rsidRPr="007344EA">
        <w:rPr>
          <w:rStyle w:val="FootnoteReference"/>
          <w:rFonts w:ascii="Times New Roman" w:hAnsi="Times New Roman"/>
          <w:sz w:val="24"/>
          <w:szCs w:val="24"/>
        </w:rPr>
        <w:footnoteReference w:id="96"/>
      </w:r>
      <w:r w:rsidR="0036148F" w:rsidRPr="007344EA">
        <w:rPr>
          <w:rFonts w:ascii="Times New Roman" w:hAnsi="Times New Roman" w:cs="Times New Roman"/>
          <w:sz w:val="24"/>
          <w:szCs w:val="24"/>
        </w:rPr>
        <w:t xml:space="preserve">, tiek ir  </w:t>
      </w:r>
      <w:r w:rsidR="00C66953" w:rsidRPr="007344EA">
        <w:rPr>
          <w:rFonts w:ascii="Times New Roman" w:hAnsi="Times New Roman" w:cs="Times New Roman"/>
          <w:sz w:val="24"/>
          <w:szCs w:val="24"/>
        </w:rPr>
        <w:t>Lietuvos</w:t>
      </w:r>
      <w:r w:rsidR="00C66953" w:rsidRPr="007344EA">
        <w:rPr>
          <w:rStyle w:val="FootnoteReference"/>
          <w:rFonts w:ascii="Times New Roman" w:hAnsi="Times New Roman"/>
          <w:sz w:val="24"/>
          <w:szCs w:val="24"/>
        </w:rPr>
        <w:footnoteReference w:id="97"/>
      </w:r>
      <w:r w:rsidR="0036148F" w:rsidRPr="007344EA">
        <w:rPr>
          <w:rFonts w:ascii="Times New Roman" w:hAnsi="Times New Roman" w:cs="Times New Roman"/>
          <w:sz w:val="24"/>
          <w:szCs w:val="24"/>
        </w:rPr>
        <w:t xml:space="preserve"> </w:t>
      </w:r>
      <w:r w:rsidR="00C66953" w:rsidRPr="007344EA">
        <w:rPr>
          <w:rFonts w:ascii="Times New Roman" w:hAnsi="Times New Roman" w:cs="Times New Roman"/>
          <w:sz w:val="24"/>
          <w:szCs w:val="24"/>
        </w:rPr>
        <w:t>teisės doktrinoje. Trečioji priežastis</w:t>
      </w:r>
      <w:r w:rsidR="00224D1C" w:rsidRPr="007344EA">
        <w:rPr>
          <w:rFonts w:ascii="Times New Roman" w:hAnsi="Times New Roman" w:cs="Times New Roman"/>
          <w:sz w:val="24"/>
          <w:szCs w:val="24"/>
        </w:rPr>
        <w:t xml:space="preserve"> −</w:t>
      </w:r>
      <w:r w:rsidR="00C66953" w:rsidRPr="007344EA">
        <w:rPr>
          <w:rFonts w:ascii="Times New Roman" w:hAnsi="Times New Roman" w:cs="Times New Roman"/>
          <w:sz w:val="24"/>
          <w:szCs w:val="24"/>
        </w:rPr>
        <w:t xml:space="preserve"> siekis</w:t>
      </w:r>
      <w:r w:rsidR="007035E1" w:rsidRPr="007344EA">
        <w:rPr>
          <w:rFonts w:ascii="Times New Roman" w:hAnsi="Times New Roman" w:cs="Times New Roman"/>
          <w:sz w:val="24"/>
          <w:szCs w:val="24"/>
        </w:rPr>
        <w:t>,</w:t>
      </w:r>
      <w:r w:rsidR="00C66953" w:rsidRPr="007344EA">
        <w:rPr>
          <w:rFonts w:ascii="Times New Roman" w:hAnsi="Times New Roman" w:cs="Times New Roman"/>
          <w:sz w:val="24"/>
          <w:szCs w:val="24"/>
        </w:rPr>
        <w:t xml:space="preserve"> prieš pradedant bylų analizę iš esmės</w:t>
      </w:r>
      <w:r w:rsidR="007035E1" w:rsidRPr="007344EA">
        <w:rPr>
          <w:rFonts w:ascii="Times New Roman" w:hAnsi="Times New Roman" w:cs="Times New Roman"/>
          <w:sz w:val="24"/>
          <w:szCs w:val="24"/>
        </w:rPr>
        <w:t>,</w:t>
      </w:r>
      <w:r w:rsidR="00C66953" w:rsidRPr="007344EA">
        <w:rPr>
          <w:rFonts w:ascii="Times New Roman" w:hAnsi="Times New Roman" w:cs="Times New Roman"/>
          <w:sz w:val="24"/>
          <w:szCs w:val="24"/>
        </w:rPr>
        <w:t xml:space="preserve"> supažindinti skaitytoją su šiame darbe analizuotinomis bylomis, leisti susidaryti </w:t>
      </w:r>
      <w:r w:rsidR="00D27789" w:rsidRPr="007344EA">
        <w:rPr>
          <w:rFonts w:ascii="Times New Roman" w:hAnsi="Times New Roman" w:cs="Times New Roman"/>
          <w:sz w:val="24"/>
          <w:szCs w:val="24"/>
        </w:rPr>
        <w:t>apibendrintą nuomon</w:t>
      </w:r>
      <w:r w:rsidR="006730FF" w:rsidRPr="007344EA">
        <w:rPr>
          <w:rFonts w:ascii="Times New Roman" w:hAnsi="Times New Roman" w:cs="Times New Roman"/>
          <w:sz w:val="24"/>
          <w:szCs w:val="24"/>
        </w:rPr>
        <w:t>ę</w:t>
      </w:r>
      <w:r w:rsidR="00D7002F" w:rsidRPr="007344EA">
        <w:rPr>
          <w:rFonts w:ascii="Times New Roman" w:hAnsi="Times New Roman" w:cs="Times New Roman"/>
          <w:sz w:val="24"/>
          <w:szCs w:val="24"/>
        </w:rPr>
        <w:t xml:space="preserve"> apie tai</w:t>
      </w:r>
      <w:r w:rsidR="006730FF" w:rsidRPr="007344EA">
        <w:rPr>
          <w:rFonts w:ascii="Times New Roman" w:hAnsi="Times New Roman" w:cs="Times New Roman"/>
          <w:sz w:val="24"/>
          <w:szCs w:val="24"/>
        </w:rPr>
        <w:t xml:space="preserve"> kokio pobūdžio klausimai, susiję su Direktyvos 93/13 nuostatų aiškinimu</w:t>
      </w:r>
      <w:r w:rsidR="006C26DD" w:rsidRPr="007344EA">
        <w:rPr>
          <w:rFonts w:ascii="Times New Roman" w:hAnsi="Times New Roman" w:cs="Times New Roman"/>
          <w:sz w:val="24"/>
          <w:szCs w:val="24"/>
        </w:rPr>
        <w:t>, yra sprendžiami Teisingumo Teisme</w:t>
      </w:r>
      <w:r w:rsidR="0028392A" w:rsidRPr="007344EA">
        <w:rPr>
          <w:rFonts w:ascii="Times New Roman" w:hAnsi="Times New Roman" w:cs="Times New Roman"/>
          <w:sz w:val="24"/>
          <w:szCs w:val="24"/>
        </w:rPr>
        <w:t>, kokios ES valstybės narės dažniausiai kreipiasi dėl Direktyvos 93/13 išaiškinimo</w:t>
      </w:r>
      <w:r w:rsidR="009F3BDA" w:rsidRPr="007344EA">
        <w:rPr>
          <w:rFonts w:ascii="Times New Roman" w:hAnsi="Times New Roman" w:cs="Times New Roman"/>
          <w:sz w:val="24"/>
          <w:szCs w:val="24"/>
        </w:rPr>
        <w:t xml:space="preserve"> ar prieš kurias valstybes buvo pradėtos įsipa</w:t>
      </w:r>
      <w:r w:rsidR="00EC510D" w:rsidRPr="007344EA">
        <w:rPr>
          <w:rFonts w:ascii="Times New Roman" w:hAnsi="Times New Roman" w:cs="Times New Roman"/>
          <w:sz w:val="24"/>
          <w:szCs w:val="24"/>
        </w:rPr>
        <w:t>reigojimų nevykdymo procedūros.</w:t>
      </w:r>
      <w:r w:rsidR="0028392A" w:rsidRPr="007344EA">
        <w:rPr>
          <w:rFonts w:ascii="Times New Roman" w:hAnsi="Times New Roman" w:cs="Times New Roman"/>
          <w:sz w:val="24"/>
          <w:szCs w:val="24"/>
        </w:rPr>
        <w:t xml:space="preserve"> </w:t>
      </w:r>
      <w:r w:rsidR="006730FF" w:rsidRPr="007344EA">
        <w:rPr>
          <w:rFonts w:ascii="Times New Roman" w:hAnsi="Times New Roman" w:cs="Times New Roman"/>
          <w:sz w:val="24"/>
          <w:szCs w:val="24"/>
        </w:rPr>
        <w:t>Ketvi</w:t>
      </w:r>
      <w:r w:rsidR="0014674D" w:rsidRPr="007344EA">
        <w:rPr>
          <w:rFonts w:ascii="Times New Roman" w:hAnsi="Times New Roman" w:cs="Times New Roman"/>
          <w:sz w:val="24"/>
          <w:szCs w:val="24"/>
        </w:rPr>
        <w:t>rtoji,</w:t>
      </w:r>
      <w:r w:rsidR="006C26DD" w:rsidRPr="007344EA">
        <w:rPr>
          <w:rFonts w:ascii="Times New Roman" w:hAnsi="Times New Roman" w:cs="Times New Roman"/>
          <w:sz w:val="24"/>
          <w:szCs w:val="24"/>
        </w:rPr>
        <w:t xml:space="preserve"> Teisingumo Teismo bylos, priimtos iki Lietuvos įstojimo į  Europos Sąjungą, nebuvo skelbiamos l</w:t>
      </w:r>
      <w:r w:rsidR="0036148F" w:rsidRPr="007344EA">
        <w:rPr>
          <w:rFonts w:ascii="Times New Roman" w:hAnsi="Times New Roman" w:cs="Times New Roman"/>
          <w:sz w:val="24"/>
          <w:szCs w:val="24"/>
        </w:rPr>
        <w:t>ietuvių kalba. Šių bylų faktinės</w:t>
      </w:r>
      <w:r w:rsidR="00634305">
        <w:rPr>
          <w:rFonts w:ascii="Times New Roman" w:hAnsi="Times New Roman" w:cs="Times New Roman"/>
          <w:sz w:val="24"/>
          <w:szCs w:val="24"/>
        </w:rPr>
        <w:t xml:space="preserve"> ir teisinės</w:t>
      </w:r>
      <w:r w:rsidR="0036148F" w:rsidRPr="007344EA">
        <w:rPr>
          <w:rFonts w:ascii="Times New Roman" w:hAnsi="Times New Roman" w:cs="Times New Roman"/>
          <w:sz w:val="24"/>
          <w:szCs w:val="24"/>
        </w:rPr>
        <w:t xml:space="preserve"> aplinkybės</w:t>
      </w:r>
      <w:r w:rsidR="0014674D" w:rsidRPr="007344EA">
        <w:rPr>
          <w:rFonts w:ascii="Times New Roman" w:hAnsi="Times New Roman" w:cs="Times New Roman"/>
          <w:sz w:val="24"/>
          <w:szCs w:val="24"/>
        </w:rPr>
        <w:t>, išve</w:t>
      </w:r>
      <w:r w:rsidR="000A6760" w:rsidRPr="007344EA">
        <w:rPr>
          <w:rFonts w:ascii="Times New Roman" w:hAnsi="Times New Roman" w:cs="Times New Roman"/>
          <w:sz w:val="24"/>
          <w:szCs w:val="24"/>
        </w:rPr>
        <w:t>r</w:t>
      </w:r>
      <w:r w:rsidR="0014674D" w:rsidRPr="007344EA">
        <w:rPr>
          <w:rFonts w:ascii="Times New Roman" w:hAnsi="Times New Roman" w:cs="Times New Roman"/>
          <w:sz w:val="24"/>
          <w:szCs w:val="24"/>
        </w:rPr>
        <w:t>stos į l</w:t>
      </w:r>
      <w:r w:rsidR="0036148F" w:rsidRPr="007344EA">
        <w:rPr>
          <w:rFonts w:ascii="Times New Roman" w:hAnsi="Times New Roman" w:cs="Times New Roman"/>
          <w:sz w:val="24"/>
          <w:szCs w:val="24"/>
        </w:rPr>
        <w:t xml:space="preserve">ietuvių kalbą, </w:t>
      </w:r>
      <w:r w:rsidR="0014674D" w:rsidRPr="007344EA">
        <w:rPr>
          <w:rFonts w:ascii="Times New Roman" w:hAnsi="Times New Roman" w:cs="Times New Roman"/>
          <w:sz w:val="24"/>
          <w:szCs w:val="24"/>
        </w:rPr>
        <w:t>galė</w:t>
      </w:r>
      <w:r w:rsidR="00816E31" w:rsidRPr="007344EA">
        <w:rPr>
          <w:rFonts w:ascii="Times New Roman" w:hAnsi="Times New Roman" w:cs="Times New Roman"/>
          <w:sz w:val="24"/>
          <w:szCs w:val="24"/>
        </w:rPr>
        <w:t xml:space="preserve">tų būti naudingos institucijos, </w:t>
      </w:r>
      <w:r w:rsidR="0014674D" w:rsidRPr="007344EA">
        <w:rPr>
          <w:rFonts w:ascii="Times New Roman" w:hAnsi="Times New Roman" w:cs="Times New Roman"/>
          <w:sz w:val="24"/>
          <w:szCs w:val="24"/>
        </w:rPr>
        <w:t>taikan</w:t>
      </w:r>
      <w:r w:rsidR="00A32244" w:rsidRPr="007344EA">
        <w:rPr>
          <w:rFonts w:ascii="Times New Roman" w:hAnsi="Times New Roman" w:cs="Times New Roman"/>
          <w:sz w:val="24"/>
          <w:szCs w:val="24"/>
        </w:rPr>
        <w:t>čioms Direktyvos 93/13 pagrindu</w:t>
      </w:r>
      <w:r w:rsidR="007B07F0" w:rsidRPr="007344EA">
        <w:rPr>
          <w:rFonts w:ascii="Times New Roman" w:hAnsi="Times New Roman" w:cs="Times New Roman"/>
          <w:sz w:val="24"/>
          <w:szCs w:val="24"/>
        </w:rPr>
        <w:t xml:space="preserve"> priimtus nacionalinius įstatymus (pvz.: VVTAT, teismams)</w:t>
      </w:r>
      <w:r w:rsidR="00AF33F1" w:rsidRPr="007344EA">
        <w:rPr>
          <w:rFonts w:ascii="Times New Roman" w:hAnsi="Times New Roman" w:cs="Times New Roman"/>
          <w:sz w:val="24"/>
          <w:szCs w:val="24"/>
        </w:rPr>
        <w:t xml:space="preserve"> bei teisininkams ar </w:t>
      </w:r>
      <w:r w:rsidR="009F3BDA" w:rsidRPr="007344EA">
        <w:rPr>
          <w:rFonts w:ascii="Times New Roman" w:hAnsi="Times New Roman" w:cs="Times New Roman"/>
          <w:sz w:val="24"/>
          <w:szCs w:val="24"/>
        </w:rPr>
        <w:t>studentams.</w:t>
      </w:r>
    </w:p>
    <w:p w:rsidR="00BE2F34" w:rsidRPr="007344EA" w:rsidRDefault="008A7E08"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Teisingumo Teismo jurisprudencija, ai</w:t>
      </w:r>
      <w:r w:rsidR="006A511E" w:rsidRPr="007344EA">
        <w:rPr>
          <w:rFonts w:ascii="Times New Roman" w:hAnsi="Times New Roman" w:cs="Times New Roman"/>
          <w:sz w:val="24"/>
          <w:szCs w:val="24"/>
        </w:rPr>
        <w:t>škinanti Direktyvos</w:t>
      </w:r>
      <w:r w:rsidR="00BE2F34" w:rsidRPr="007344EA">
        <w:rPr>
          <w:rFonts w:ascii="Times New Roman" w:hAnsi="Times New Roman" w:cs="Times New Roman"/>
          <w:sz w:val="24"/>
          <w:szCs w:val="24"/>
        </w:rPr>
        <w:t xml:space="preserve"> 93/13</w:t>
      </w:r>
      <w:r w:rsidR="006A511E" w:rsidRPr="007344EA">
        <w:rPr>
          <w:rFonts w:ascii="Times New Roman" w:hAnsi="Times New Roman" w:cs="Times New Roman"/>
          <w:sz w:val="24"/>
          <w:szCs w:val="24"/>
        </w:rPr>
        <w:t xml:space="preserve"> nuostatas</w:t>
      </w:r>
      <w:r w:rsidRPr="007344EA">
        <w:rPr>
          <w:rFonts w:ascii="Times New Roman" w:hAnsi="Times New Roman" w:cs="Times New Roman"/>
          <w:sz w:val="24"/>
          <w:szCs w:val="24"/>
        </w:rPr>
        <w:t>,</w:t>
      </w:r>
      <w:r w:rsidR="006A511E" w:rsidRPr="007344EA">
        <w:rPr>
          <w:rFonts w:ascii="Times New Roman" w:hAnsi="Times New Roman" w:cs="Times New Roman"/>
          <w:sz w:val="24"/>
          <w:szCs w:val="24"/>
        </w:rPr>
        <w:t xml:space="preserve"> yra pakankamai gausi</w:t>
      </w:r>
      <w:r w:rsidR="00A0420E" w:rsidRPr="007344EA">
        <w:rPr>
          <w:rFonts w:ascii="Times New Roman" w:hAnsi="Times New Roman" w:cs="Times New Roman"/>
          <w:sz w:val="24"/>
          <w:szCs w:val="24"/>
        </w:rPr>
        <w:t xml:space="preserve"> bei </w:t>
      </w:r>
      <w:r w:rsidRPr="007344EA">
        <w:rPr>
          <w:rFonts w:ascii="Times New Roman" w:hAnsi="Times New Roman" w:cs="Times New Roman"/>
          <w:sz w:val="24"/>
          <w:szCs w:val="24"/>
        </w:rPr>
        <w:t xml:space="preserve">sparčiai </w:t>
      </w:r>
      <w:r w:rsidR="00B157B7" w:rsidRPr="007344EA">
        <w:rPr>
          <w:rFonts w:ascii="Times New Roman" w:hAnsi="Times New Roman" w:cs="Times New Roman"/>
          <w:sz w:val="24"/>
          <w:szCs w:val="24"/>
        </w:rPr>
        <w:t>besiplėtojanti</w:t>
      </w:r>
      <w:r w:rsidRPr="007344EA">
        <w:rPr>
          <w:rFonts w:ascii="Times New Roman" w:hAnsi="Times New Roman" w:cs="Times New Roman"/>
          <w:sz w:val="24"/>
          <w:szCs w:val="24"/>
        </w:rPr>
        <w:t>. Tam tikrais aspektais praktika</w:t>
      </w:r>
      <w:r w:rsidR="00A0420E" w:rsidRPr="007344EA">
        <w:rPr>
          <w:rFonts w:ascii="Times New Roman" w:hAnsi="Times New Roman" w:cs="Times New Roman"/>
          <w:sz w:val="24"/>
          <w:szCs w:val="24"/>
        </w:rPr>
        <w:t xml:space="preserve"> yra </w:t>
      </w:r>
      <w:r w:rsidR="00BE2F34" w:rsidRPr="007344EA">
        <w:rPr>
          <w:rFonts w:ascii="Times New Roman" w:hAnsi="Times New Roman" w:cs="Times New Roman"/>
          <w:sz w:val="24"/>
          <w:szCs w:val="24"/>
        </w:rPr>
        <w:t>nusisto</w:t>
      </w:r>
      <w:r w:rsidR="00A0420E" w:rsidRPr="007344EA">
        <w:rPr>
          <w:rFonts w:ascii="Times New Roman" w:hAnsi="Times New Roman" w:cs="Times New Roman"/>
          <w:sz w:val="24"/>
          <w:szCs w:val="24"/>
        </w:rPr>
        <w:t>vėjusi. Kaip ir</w:t>
      </w:r>
      <w:r w:rsidR="00BE2F34" w:rsidRPr="007344EA">
        <w:rPr>
          <w:rFonts w:ascii="Times New Roman" w:hAnsi="Times New Roman" w:cs="Times New Roman"/>
          <w:sz w:val="24"/>
          <w:szCs w:val="24"/>
        </w:rPr>
        <w:t xml:space="preserve"> minėta, magistro baigiamo darb</w:t>
      </w:r>
      <w:r w:rsidR="001B79B7" w:rsidRPr="007344EA">
        <w:rPr>
          <w:rFonts w:ascii="Times New Roman" w:hAnsi="Times New Roman" w:cs="Times New Roman"/>
          <w:sz w:val="24"/>
          <w:szCs w:val="24"/>
        </w:rPr>
        <w:t>o rašymo metu yra išnagrinėta 19</w:t>
      </w:r>
      <w:r w:rsidR="00BE2F34" w:rsidRPr="007344EA">
        <w:rPr>
          <w:rFonts w:ascii="Times New Roman" w:hAnsi="Times New Roman" w:cs="Times New Roman"/>
          <w:sz w:val="24"/>
          <w:szCs w:val="24"/>
        </w:rPr>
        <w:t xml:space="preserve"> bylų, kuriose Teismas aiškino </w:t>
      </w:r>
      <w:r w:rsidR="001B79B7" w:rsidRPr="007344EA">
        <w:rPr>
          <w:rFonts w:ascii="Times New Roman" w:hAnsi="Times New Roman" w:cs="Times New Roman"/>
          <w:sz w:val="24"/>
          <w:szCs w:val="24"/>
        </w:rPr>
        <w:t xml:space="preserve">Direktyvos </w:t>
      </w:r>
      <w:r w:rsidR="000A6760" w:rsidRPr="007344EA">
        <w:rPr>
          <w:rFonts w:ascii="Times New Roman" w:hAnsi="Times New Roman" w:cs="Times New Roman"/>
          <w:sz w:val="24"/>
          <w:szCs w:val="24"/>
        </w:rPr>
        <w:t xml:space="preserve">93/13 </w:t>
      </w:r>
      <w:r w:rsidR="001B79B7" w:rsidRPr="007344EA">
        <w:rPr>
          <w:rFonts w:ascii="Times New Roman" w:hAnsi="Times New Roman" w:cs="Times New Roman"/>
          <w:sz w:val="24"/>
          <w:szCs w:val="24"/>
        </w:rPr>
        <w:t>nuostatas bei dar 9 prašymai</w:t>
      </w:r>
      <w:r w:rsidR="00D7002F" w:rsidRPr="007344EA">
        <w:rPr>
          <w:rFonts w:ascii="Times New Roman" w:hAnsi="Times New Roman" w:cs="Times New Roman"/>
          <w:sz w:val="24"/>
          <w:szCs w:val="24"/>
        </w:rPr>
        <w:t>,</w:t>
      </w:r>
      <w:r w:rsidR="00BE2F34" w:rsidRPr="007344EA">
        <w:rPr>
          <w:rFonts w:ascii="Times New Roman" w:hAnsi="Times New Roman" w:cs="Times New Roman"/>
          <w:sz w:val="24"/>
          <w:szCs w:val="24"/>
        </w:rPr>
        <w:t xml:space="preserve"> priimti prejudicinį sprendimą</w:t>
      </w:r>
      <w:r w:rsidR="00D7002F" w:rsidRPr="007344EA">
        <w:rPr>
          <w:rFonts w:ascii="Times New Roman" w:hAnsi="Times New Roman" w:cs="Times New Roman"/>
          <w:sz w:val="24"/>
          <w:szCs w:val="24"/>
        </w:rPr>
        <w:t>,</w:t>
      </w:r>
      <w:r w:rsidR="00BE2F34" w:rsidRPr="007344EA">
        <w:rPr>
          <w:rFonts w:ascii="Times New Roman" w:hAnsi="Times New Roman" w:cs="Times New Roman"/>
          <w:sz w:val="24"/>
          <w:szCs w:val="24"/>
        </w:rPr>
        <w:t xml:space="preserve"> </w:t>
      </w:r>
      <w:r w:rsidR="001049D1" w:rsidRPr="007344EA">
        <w:rPr>
          <w:rFonts w:ascii="Times New Roman" w:hAnsi="Times New Roman" w:cs="Times New Roman"/>
          <w:sz w:val="24"/>
          <w:szCs w:val="24"/>
        </w:rPr>
        <w:t>„</w:t>
      </w:r>
      <w:r w:rsidR="00BE2F34" w:rsidRPr="007344EA">
        <w:rPr>
          <w:rFonts w:ascii="Times New Roman" w:hAnsi="Times New Roman" w:cs="Times New Roman"/>
          <w:sz w:val="24"/>
          <w:szCs w:val="24"/>
        </w:rPr>
        <w:t>laukia</w:t>
      </w:r>
      <w:r w:rsidR="001049D1" w:rsidRPr="007344EA">
        <w:rPr>
          <w:rFonts w:ascii="Times New Roman" w:hAnsi="Times New Roman" w:cs="Times New Roman"/>
          <w:sz w:val="24"/>
          <w:szCs w:val="24"/>
        </w:rPr>
        <w:t>“</w:t>
      </w:r>
      <w:r w:rsidR="00BE2F34" w:rsidRPr="007344EA">
        <w:rPr>
          <w:rFonts w:ascii="Times New Roman" w:hAnsi="Times New Roman" w:cs="Times New Roman"/>
          <w:sz w:val="24"/>
          <w:szCs w:val="24"/>
        </w:rPr>
        <w:t xml:space="preserve"> bylos nagrinėji</w:t>
      </w:r>
      <w:r w:rsidR="007B07F0" w:rsidRPr="007344EA">
        <w:rPr>
          <w:rFonts w:ascii="Times New Roman" w:hAnsi="Times New Roman" w:cs="Times New Roman"/>
          <w:sz w:val="24"/>
          <w:szCs w:val="24"/>
        </w:rPr>
        <w:t>mo</w:t>
      </w:r>
      <w:r w:rsidR="00BE2F34" w:rsidRPr="007344EA">
        <w:rPr>
          <w:rFonts w:ascii="Times New Roman" w:hAnsi="Times New Roman" w:cs="Times New Roman"/>
          <w:sz w:val="24"/>
          <w:szCs w:val="24"/>
        </w:rPr>
        <w:t xml:space="preserve"> iš esmės</w:t>
      </w:r>
      <w:r w:rsidR="001049D1" w:rsidRPr="007344EA">
        <w:rPr>
          <w:rFonts w:ascii="Times New Roman" w:hAnsi="Times New Roman" w:cs="Times New Roman"/>
          <w:sz w:val="24"/>
          <w:szCs w:val="24"/>
        </w:rPr>
        <w:t xml:space="preserve"> stadijos</w:t>
      </w:r>
      <w:r w:rsidR="00BE2F34" w:rsidRPr="007344EA">
        <w:rPr>
          <w:rFonts w:ascii="Times New Roman" w:hAnsi="Times New Roman" w:cs="Times New Roman"/>
          <w:sz w:val="24"/>
          <w:szCs w:val="24"/>
        </w:rPr>
        <w:t>.</w:t>
      </w:r>
      <w:r w:rsidR="006A300C" w:rsidRPr="007344EA">
        <w:rPr>
          <w:rFonts w:ascii="Times New Roman" w:hAnsi="Times New Roman" w:cs="Times New Roman"/>
          <w:sz w:val="24"/>
          <w:szCs w:val="24"/>
        </w:rPr>
        <w:t xml:space="preserve"> Esant to</w:t>
      </w:r>
      <w:r w:rsidR="002F67C6" w:rsidRPr="007344EA">
        <w:rPr>
          <w:rFonts w:ascii="Times New Roman" w:hAnsi="Times New Roman" w:cs="Times New Roman"/>
          <w:sz w:val="24"/>
          <w:szCs w:val="24"/>
        </w:rPr>
        <w:t xml:space="preserve">kiam skaičiui bylų, tam tikrais </w:t>
      </w:r>
      <w:r w:rsidR="006A300C" w:rsidRPr="007344EA">
        <w:rPr>
          <w:rFonts w:ascii="Times New Roman" w:hAnsi="Times New Roman" w:cs="Times New Roman"/>
          <w:sz w:val="24"/>
          <w:szCs w:val="24"/>
        </w:rPr>
        <w:t xml:space="preserve">klausimais </w:t>
      </w:r>
      <w:r w:rsidR="003A5711" w:rsidRPr="007344EA">
        <w:rPr>
          <w:rFonts w:ascii="Times New Roman" w:hAnsi="Times New Roman" w:cs="Times New Roman"/>
          <w:sz w:val="24"/>
          <w:szCs w:val="24"/>
        </w:rPr>
        <w:t>jau galima daryti apibendrinančias</w:t>
      </w:r>
      <w:r w:rsidR="006A300C" w:rsidRPr="007344EA">
        <w:rPr>
          <w:rFonts w:ascii="Times New Roman" w:hAnsi="Times New Roman" w:cs="Times New Roman"/>
          <w:sz w:val="24"/>
          <w:szCs w:val="24"/>
        </w:rPr>
        <w:t xml:space="preserve"> išv</w:t>
      </w:r>
      <w:r w:rsidR="00A0420E" w:rsidRPr="007344EA">
        <w:rPr>
          <w:rFonts w:ascii="Times New Roman" w:hAnsi="Times New Roman" w:cs="Times New Roman"/>
          <w:sz w:val="24"/>
          <w:szCs w:val="24"/>
        </w:rPr>
        <w:t xml:space="preserve">adas, </w:t>
      </w:r>
      <w:r w:rsidR="002F67C6" w:rsidRPr="007344EA">
        <w:rPr>
          <w:rFonts w:ascii="Times New Roman" w:hAnsi="Times New Roman" w:cs="Times New Roman"/>
          <w:sz w:val="24"/>
          <w:szCs w:val="24"/>
        </w:rPr>
        <w:t>kitais</w:t>
      </w:r>
      <w:r w:rsidR="00224D1C" w:rsidRPr="007344EA">
        <w:rPr>
          <w:rFonts w:ascii="Times New Roman" w:hAnsi="Times New Roman" w:cs="Times New Roman"/>
          <w:sz w:val="24"/>
          <w:szCs w:val="24"/>
        </w:rPr>
        <w:t xml:space="preserve"> −</w:t>
      </w:r>
      <w:r w:rsidR="00B157B7" w:rsidRPr="007344EA">
        <w:rPr>
          <w:rFonts w:ascii="Times New Roman" w:hAnsi="Times New Roman" w:cs="Times New Roman"/>
          <w:sz w:val="24"/>
          <w:szCs w:val="24"/>
        </w:rPr>
        <w:t xml:space="preserve"> bandyti</w:t>
      </w:r>
      <w:r w:rsidR="006E00E1" w:rsidRPr="007344EA">
        <w:rPr>
          <w:rFonts w:ascii="Times New Roman" w:hAnsi="Times New Roman" w:cs="Times New Roman"/>
          <w:sz w:val="24"/>
          <w:szCs w:val="24"/>
        </w:rPr>
        <w:t xml:space="preserve"> prognozuoti Teisingumo </w:t>
      </w:r>
      <w:r w:rsidR="002F67C6" w:rsidRPr="007344EA">
        <w:rPr>
          <w:rFonts w:ascii="Times New Roman" w:hAnsi="Times New Roman" w:cs="Times New Roman"/>
          <w:sz w:val="24"/>
          <w:szCs w:val="24"/>
        </w:rPr>
        <w:t xml:space="preserve">Teismo jurisprudencijos tendencijas. </w:t>
      </w:r>
    </w:p>
    <w:p w:rsidR="00F7395F" w:rsidRPr="007344EA" w:rsidRDefault="00BE2F34"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 xml:space="preserve"> </w:t>
      </w:r>
      <w:r w:rsidR="0022167F" w:rsidRPr="007344EA">
        <w:rPr>
          <w:rFonts w:ascii="Times New Roman" w:hAnsi="Times New Roman" w:cs="Times New Roman"/>
          <w:sz w:val="24"/>
          <w:szCs w:val="24"/>
        </w:rPr>
        <w:t xml:space="preserve">Šiame skyriuje bylos pagal proceso Teisingumo </w:t>
      </w:r>
      <w:r w:rsidR="006E00E1" w:rsidRPr="007344EA">
        <w:rPr>
          <w:rFonts w:ascii="Times New Roman" w:hAnsi="Times New Roman" w:cs="Times New Roman"/>
          <w:sz w:val="24"/>
          <w:szCs w:val="24"/>
        </w:rPr>
        <w:t>T</w:t>
      </w:r>
      <w:r w:rsidR="0022167F" w:rsidRPr="007344EA">
        <w:rPr>
          <w:rFonts w:ascii="Times New Roman" w:hAnsi="Times New Roman" w:cs="Times New Roman"/>
          <w:sz w:val="24"/>
          <w:szCs w:val="24"/>
        </w:rPr>
        <w:t>eisme</w:t>
      </w:r>
      <w:r w:rsidR="00ED1641" w:rsidRPr="007344EA">
        <w:rPr>
          <w:rFonts w:ascii="Times New Roman" w:hAnsi="Times New Roman" w:cs="Times New Roman"/>
          <w:sz w:val="24"/>
          <w:szCs w:val="24"/>
        </w:rPr>
        <w:t xml:space="preserve"> rūšis</w:t>
      </w:r>
      <w:r w:rsidR="0022167F" w:rsidRPr="007344EA">
        <w:rPr>
          <w:rFonts w:ascii="Times New Roman" w:hAnsi="Times New Roman" w:cs="Times New Roman"/>
          <w:sz w:val="24"/>
          <w:szCs w:val="24"/>
        </w:rPr>
        <w:t xml:space="preserve"> </w:t>
      </w:r>
      <w:r w:rsidR="00497021" w:rsidRPr="007344EA">
        <w:rPr>
          <w:rFonts w:ascii="Times New Roman" w:hAnsi="Times New Roman" w:cs="Times New Roman"/>
          <w:sz w:val="24"/>
          <w:szCs w:val="24"/>
        </w:rPr>
        <w:t>išskiriamos į du poskyrius</w:t>
      </w:r>
      <w:r w:rsidRPr="007344EA">
        <w:rPr>
          <w:rFonts w:ascii="Times New Roman" w:hAnsi="Times New Roman" w:cs="Times New Roman"/>
          <w:sz w:val="24"/>
          <w:szCs w:val="24"/>
        </w:rPr>
        <w:t>: bylų ana</w:t>
      </w:r>
      <w:r w:rsidR="00ED1641" w:rsidRPr="007344EA">
        <w:rPr>
          <w:rFonts w:ascii="Times New Roman" w:hAnsi="Times New Roman" w:cs="Times New Roman"/>
          <w:sz w:val="24"/>
          <w:szCs w:val="24"/>
        </w:rPr>
        <w:t>liz</w:t>
      </w:r>
      <w:r w:rsidRPr="007344EA">
        <w:rPr>
          <w:rFonts w:ascii="Times New Roman" w:hAnsi="Times New Roman" w:cs="Times New Roman"/>
          <w:sz w:val="24"/>
          <w:szCs w:val="24"/>
        </w:rPr>
        <w:t>ė prašymą priimti prejudicinį sprendimą</w:t>
      </w:r>
      <w:r w:rsidR="000241EA" w:rsidRPr="007344EA">
        <w:rPr>
          <w:rFonts w:ascii="Times New Roman" w:hAnsi="Times New Roman" w:cs="Times New Roman"/>
          <w:sz w:val="24"/>
          <w:szCs w:val="24"/>
        </w:rPr>
        <w:t xml:space="preserve"> procese ir valstybės</w:t>
      </w:r>
      <w:r w:rsidR="00ED1641" w:rsidRPr="007344EA">
        <w:rPr>
          <w:rFonts w:ascii="Times New Roman" w:hAnsi="Times New Roman" w:cs="Times New Roman"/>
          <w:sz w:val="24"/>
          <w:szCs w:val="24"/>
        </w:rPr>
        <w:t xml:space="preserve"> narės</w:t>
      </w:r>
      <w:r w:rsidR="000241EA" w:rsidRPr="007344EA">
        <w:rPr>
          <w:rFonts w:ascii="Times New Roman" w:hAnsi="Times New Roman" w:cs="Times New Roman"/>
          <w:sz w:val="24"/>
          <w:szCs w:val="24"/>
        </w:rPr>
        <w:t xml:space="preserve"> </w:t>
      </w:r>
      <w:r w:rsidR="00ED1641" w:rsidRPr="007344EA">
        <w:rPr>
          <w:rFonts w:ascii="Times New Roman" w:hAnsi="Times New Roman" w:cs="Times New Roman"/>
          <w:sz w:val="24"/>
          <w:szCs w:val="24"/>
        </w:rPr>
        <w:t>įsipareigojimų nevykdymo procese</w:t>
      </w:r>
      <w:r w:rsidR="00040C02" w:rsidRPr="007344EA">
        <w:rPr>
          <w:rFonts w:ascii="Times New Roman" w:hAnsi="Times New Roman" w:cs="Times New Roman"/>
          <w:sz w:val="24"/>
          <w:szCs w:val="24"/>
        </w:rPr>
        <w:t>.</w:t>
      </w:r>
      <w:r w:rsidR="00CD53BD" w:rsidRPr="007344EA">
        <w:rPr>
          <w:rFonts w:ascii="Times New Roman" w:hAnsi="Times New Roman" w:cs="Times New Roman"/>
          <w:sz w:val="24"/>
          <w:szCs w:val="24"/>
        </w:rPr>
        <w:t xml:space="preserve"> Kiekvienam</w:t>
      </w:r>
      <w:r w:rsidR="00ED1641" w:rsidRPr="007344EA">
        <w:rPr>
          <w:rFonts w:ascii="Times New Roman" w:hAnsi="Times New Roman" w:cs="Times New Roman"/>
          <w:sz w:val="24"/>
          <w:szCs w:val="24"/>
        </w:rPr>
        <w:t xml:space="preserve"> iš šių</w:t>
      </w:r>
      <w:r w:rsidR="007B07F0" w:rsidRPr="007344EA">
        <w:rPr>
          <w:rFonts w:ascii="Times New Roman" w:hAnsi="Times New Roman" w:cs="Times New Roman"/>
          <w:sz w:val="24"/>
          <w:szCs w:val="24"/>
        </w:rPr>
        <w:t xml:space="preserve"> poskyrių</w:t>
      </w:r>
      <w:r w:rsidR="006A300C" w:rsidRPr="007344EA">
        <w:rPr>
          <w:rFonts w:ascii="Times New Roman" w:hAnsi="Times New Roman" w:cs="Times New Roman"/>
          <w:sz w:val="24"/>
          <w:szCs w:val="24"/>
        </w:rPr>
        <w:t xml:space="preserve"> yra</w:t>
      </w:r>
      <w:r w:rsidR="000241EA" w:rsidRPr="007344EA">
        <w:rPr>
          <w:rFonts w:ascii="Times New Roman" w:hAnsi="Times New Roman" w:cs="Times New Roman"/>
          <w:sz w:val="24"/>
          <w:szCs w:val="24"/>
        </w:rPr>
        <w:t xml:space="preserve"> keliami skirtingi uždaviniai</w:t>
      </w:r>
      <w:r w:rsidR="00C2446C" w:rsidRPr="007344EA">
        <w:rPr>
          <w:rFonts w:ascii="Times New Roman" w:hAnsi="Times New Roman" w:cs="Times New Roman"/>
          <w:sz w:val="24"/>
          <w:szCs w:val="24"/>
        </w:rPr>
        <w:t xml:space="preserve">. </w:t>
      </w:r>
      <w:r w:rsidR="00ED1641" w:rsidRPr="007344EA">
        <w:rPr>
          <w:rFonts w:ascii="Times New Roman" w:hAnsi="Times New Roman" w:cs="Times New Roman"/>
          <w:sz w:val="24"/>
          <w:szCs w:val="24"/>
        </w:rPr>
        <w:lastRenderedPageBreak/>
        <w:t>Pirmuoju atveju sieki</w:t>
      </w:r>
      <w:r w:rsidR="006A300C" w:rsidRPr="007344EA">
        <w:rPr>
          <w:rFonts w:ascii="Times New Roman" w:hAnsi="Times New Roman" w:cs="Times New Roman"/>
          <w:sz w:val="24"/>
          <w:szCs w:val="24"/>
        </w:rPr>
        <w:t xml:space="preserve">ama </w:t>
      </w:r>
      <w:r w:rsidR="002828E5" w:rsidRPr="007344EA">
        <w:rPr>
          <w:rFonts w:ascii="Times New Roman" w:hAnsi="Times New Roman" w:cs="Times New Roman"/>
          <w:sz w:val="24"/>
          <w:szCs w:val="24"/>
        </w:rPr>
        <w:t>išsiaiškinti</w:t>
      </w:r>
      <w:r w:rsidR="006A300C" w:rsidRPr="007344EA">
        <w:rPr>
          <w:rFonts w:ascii="Times New Roman" w:hAnsi="Times New Roman" w:cs="Times New Roman"/>
          <w:sz w:val="24"/>
          <w:szCs w:val="24"/>
        </w:rPr>
        <w:t xml:space="preserve"> </w:t>
      </w:r>
      <w:r w:rsidR="00ED1641" w:rsidRPr="007344EA">
        <w:rPr>
          <w:rFonts w:ascii="Times New Roman" w:hAnsi="Times New Roman" w:cs="Times New Roman"/>
          <w:sz w:val="24"/>
          <w:szCs w:val="24"/>
        </w:rPr>
        <w:t xml:space="preserve">kokios yra dažniausiai nacionaliniam </w:t>
      </w:r>
      <w:r w:rsidR="00C2446C" w:rsidRPr="007344EA">
        <w:rPr>
          <w:rFonts w:ascii="Times New Roman" w:hAnsi="Times New Roman" w:cs="Times New Roman"/>
          <w:sz w:val="24"/>
          <w:szCs w:val="24"/>
        </w:rPr>
        <w:t>tei</w:t>
      </w:r>
      <w:r w:rsidR="00ED1641" w:rsidRPr="007344EA">
        <w:rPr>
          <w:rFonts w:ascii="Times New Roman" w:hAnsi="Times New Roman" w:cs="Times New Roman"/>
          <w:sz w:val="24"/>
          <w:szCs w:val="24"/>
        </w:rPr>
        <w:t>s</w:t>
      </w:r>
      <w:r w:rsidR="00C2446C" w:rsidRPr="007344EA">
        <w:rPr>
          <w:rFonts w:ascii="Times New Roman" w:hAnsi="Times New Roman" w:cs="Times New Roman"/>
          <w:sz w:val="24"/>
          <w:szCs w:val="24"/>
        </w:rPr>
        <w:t>mui kylan</w:t>
      </w:r>
      <w:r w:rsidR="001E7987" w:rsidRPr="007344EA">
        <w:rPr>
          <w:rFonts w:ascii="Times New Roman" w:hAnsi="Times New Roman" w:cs="Times New Roman"/>
          <w:sz w:val="24"/>
          <w:szCs w:val="24"/>
        </w:rPr>
        <w:t>čios</w:t>
      </w:r>
      <w:r w:rsidR="002828E5" w:rsidRPr="007344EA">
        <w:rPr>
          <w:rFonts w:ascii="Times New Roman" w:hAnsi="Times New Roman" w:cs="Times New Roman"/>
          <w:sz w:val="24"/>
          <w:szCs w:val="24"/>
        </w:rPr>
        <w:t xml:space="preserve"> problemo</w:t>
      </w:r>
      <w:r w:rsidR="003A5711" w:rsidRPr="007344EA">
        <w:rPr>
          <w:rFonts w:ascii="Times New Roman" w:hAnsi="Times New Roman" w:cs="Times New Roman"/>
          <w:sz w:val="24"/>
          <w:szCs w:val="24"/>
        </w:rPr>
        <w:t>s</w:t>
      </w:r>
      <w:r w:rsidR="001E7987" w:rsidRPr="007344EA">
        <w:rPr>
          <w:rFonts w:ascii="Times New Roman" w:hAnsi="Times New Roman" w:cs="Times New Roman"/>
          <w:sz w:val="24"/>
          <w:szCs w:val="24"/>
        </w:rPr>
        <w:t>, ar Direktyvos 93/13 pagrindu priimtų nacionalinių įstatymų taikymo neaiškumai</w:t>
      </w:r>
      <w:r w:rsidR="003A5711" w:rsidRPr="007344EA">
        <w:rPr>
          <w:rFonts w:ascii="Times New Roman" w:hAnsi="Times New Roman" w:cs="Times New Roman"/>
          <w:sz w:val="24"/>
          <w:szCs w:val="24"/>
        </w:rPr>
        <w:t xml:space="preserve"> bei </w:t>
      </w:r>
      <w:r w:rsidR="001E7987" w:rsidRPr="007344EA">
        <w:rPr>
          <w:rFonts w:ascii="Times New Roman" w:hAnsi="Times New Roman" w:cs="Times New Roman"/>
          <w:sz w:val="24"/>
          <w:szCs w:val="24"/>
        </w:rPr>
        <w:t>k</w:t>
      </w:r>
      <w:r w:rsidR="003A5711" w:rsidRPr="007344EA">
        <w:rPr>
          <w:rFonts w:ascii="Times New Roman" w:hAnsi="Times New Roman" w:cs="Times New Roman"/>
          <w:sz w:val="24"/>
          <w:szCs w:val="24"/>
        </w:rPr>
        <w:t>oki</w:t>
      </w:r>
      <w:r w:rsidR="001E7987" w:rsidRPr="007344EA">
        <w:rPr>
          <w:rFonts w:ascii="Times New Roman" w:hAnsi="Times New Roman" w:cs="Times New Roman"/>
          <w:sz w:val="24"/>
          <w:szCs w:val="24"/>
        </w:rPr>
        <w:t>ose vartojimo sutarčių rūšyse jie</w:t>
      </w:r>
      <w:r w:rsidR="0005120E" w:rsidRPr="007344EA">
        <w:rPr>
          <w:rFonts w:ascii="Times New Roman" w:hAnsi="Times New Roman" w:cs="Times New Roman"/>
          <w:sz w:val="24"/>
          <w:szCs w:val="24"/>
        </w:rPr>
        <w:t xml:space="preserve"> kyla. </w:t>
      </w:r>
      <w:r w:rsidR="003A5711" w:rsidRPr="007344EA">
        <w:rPr>
          <w:rFonts w:ascii="Times New Roman" w:hAnsi="Times New Roman" w:cs="Times New Roman"/>
          <w:sz w:val="24"/>
          <w:szCs w:val="24"/>
        </w:rPr>
        <w:t>Antruoju atveju, nagrinėjant valstybių narių įsipareigojimų nevykdymo byla</w:t>
      </w:r>
      <w:r w:rsidR="007B07F0" w:rsidRPr="007344EA">
        <w:rPr>
          <w:rFonts w:ascii="Times New Roman" w:hAnsi="Times New Roman" w:cs="Times New Roman"/>
          <w:sz w:val="24"/>
          <w:szCs w:val="24"/>
        </w:rPr>
        <w:t>s,</w:t>
      </w:r>
      <w:r w:rsidR="001821CF" w:rsidRPr="007344EA">
        <w:rPr>
          <w:rFonts w:ascii="Times New Roman" w:hAnsi="Times New Roman" w:cs="Times New Roman"/>
          <w:sz w:val="24"/>
          <w:szCs w:val="24"/>
        </w:rPr>
        <w:t xml:space="preserve"> siekiama išsiaiškini su kokiomis problemomis susiduria Sąjungos valstybės narės perkeldamos Direktyvą 93/13 į nacionalinę teisę. </w:t>
      </w:r>
    </w:p>
    <w:p w:rsidR="00FF6127" w:rsidRPr="007344EA" w:rsidRDefault="00DF6FD4" w:rsidP="00175933">
      <w:pPr>
        <w:pStyle w:val="Heading2"/>
        <w:rPr>
          <w:rFonts w:ascii="Times New Roman" w:hAnsi="Times New Roman" w:cs="Times New Roman"/>
          <w:color w:val="000000" w:themeColor="text1"/>
          <w:sz w:val="24"/>
          <w:szCs w:val="24"/>
        </w:rPr>
      </w:pPr>
      <w:bookmarkStart w:id="4" w:name="_Toc344337154"/>
      <w:r w:rsidRPr="007344EA">
        <w:rPr>
          <w:rFonts w:ascii="Times New Roman" w:hAnsi="Times New Roman" w:cs="Times New Roman"/>
          <w:color w:val="000000" w:themeColor="text1"/>
          <w:sz w:val="24"/>
          <w:szCs w:val="24"/>
        </w:rPr>
        <w:t xml:space="preserve">2.1. </w:t>
      </w:r>
      <w:r w:rsidR="009D1139" w:rsidRPr="007344EA">
        <w:rPr>
          <w:rFonts w:ascii="Times New Roman" w:hAnsi="Times New Roman" w:cs="Times New Roman"/>
          <w:color w:val="000000" w:themeColor="text1"/>
          <w:sz w:val="24"/>
          <w:szCs w:val="24"/>
        </w:rPr>
        <w:t>Problemos lėmusios nacionalinių teismų kreipimusis į Teisingumo Teismą su prašymu priimti prejudicinį sprendimą</w:t>
      </w:r>
      <w:bookmarkEnd w:id="4"/>
    </w:p>
    <w:p w:rsidR="00120E8A" w:rsidRPr="007344EA" w:rsidRDefault="00120E8A" w:rsidP="00120E8A">
      <w:pPr>
        <w:pStyle w:val="ListParagraph"/>
        <w:spacing w:after="0" w:line="360" w:lineRule="auto"/>
        <w:ind w:left="360"/>
        <w:jc w:val="both"/>
        <w:rPr>
          <w:rFonts w:ascii="Times New Roman" w:hAnsi="Times New Roman" w:cs="Times New Roman"/>
          <w:sz w:val="24"/>
          <w:szCs w:val="24"/>
        </w:rPr>
      </w:pPr>
    </w:p>
    <w:p w:rsidR="00F7395F" w:rsidRPr="007344EA" w:rsidRDefault="0070668A"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Prašymas priimti prejudicinį sprendimą yra nacionalinio teismo kreipimasis į Teisingumo Teismą siekiant gauti patikimą Sąjungos teisės akto išaiškinimą ar sprendimą dėl tokio teisės akto galiojimo.</w:t>
      </w:r>
      <w:r w:rsidRPr="007344EA">
        <w:rPr>
          <w:rStyle w:val="FootnoteReference"/>
          <w:rFonts w:ascii="Times New Roman" w:hAnsi="Times New Roman"/>
          <w:sz w:val="24"/>
          <w:szCs w:val="24"/>
        </w:rPr>
        <w:footnoteReference w:id="98"/>
      </w:r>
      <w:r w:rsidRPr="007344EA">
        <w:rPr>
          <w:rFonts w:ascii="Times New Roman" w:hAnsi="Times New Roman" w:cs="Times New Roman"/>
          <w:sz w:val="24"/>
          <w:szCs w:val="24"/>
        </w:rPr>
        <w:t xml:space="preserve"> </w:t>
      </w:r>
      <w:r w:rsidR="00BF139B" w:rsidRPr="007344EA">
        <w:rPr>
          <w:rFonts w:ascii="Times New Roman" w:hAnsi="Times New Roman" w:cs="Times New Roman"/>
          <w:sz w:val="24"/>
          <w:szCs w:val="24"/>
        </w:rPr>
        <w:t>Prejudicinio sprendimo institutas egzistuoja dėl nacionaliniams teismams suteiktos kompetencijos taikyti Sąjungos teisę, o Teisingumo Teismas priimdamas prejudicinį sprendimą gali padėti išspręsti nacional</w:t>
      </w:r>
      <w:r w:rsidR="00A166F6" w:rsidRPr="007344EA">
        <w:rPr>
          <w:rFonts w:ascii="Times New Roman" w:hAnsi="Times New Roman" w:cs="Times New Roman"/>
          <w:sz w:val="24"/>
          <w:szCs w:val="24"/>
        </w:rPr>
        <w:t>iniame teisme nagrinėjamą bylą.</w:t>
      </w:r>
      <w:r w:rsidR="00A166F6" w:rsidRPr="007344EA">
        <w:rPr>
          <w:rStyle w:val="FootnoteReference"/>
          <w:rFonts w:ascii="Times New Roman" w:hAnsi="Times New Roman"/>
          <w:sz w:val="24"/>
          <w:szCs w:val="24"/>
        </w:rPr>
        <w:footnoteReference w:id="99"/>
      </w:r>
      <w:r w:rsidR="00DA66B8" w:rsidRPr="007344EA">
        <w:rPr>
          <w:rFonts w:ascii="Times New Roman" w:hAnsi="Times New Roman" w:cs="Times New Roman"/>
          <w:sz w:val="24"/>
          <w:szCs w:val="24"/>
        </w:rPr>
        <w:t xml:space="preserve"> </w:t>
      </w:r>
    </w:p>
    <w:p w:rsidR="001D5459" w:rsidRPr="007344EA" w:rsidRDefault="001D5459"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 xml:space="preserve">Generalinė advokatė V. Trstenjak išvadoje, pateiktoje nagrinėjant bylą </w:t>
      </w:r>
      <w:r w:rsidRPr="007344EA">
        <w:rPr>
          <w:rFonts w:ascii="Times New Roman" w:hAnsi="Times New Roman" w:cs="Times New Roman"/>
          <w:i/>
          <w:sz w:val="24"/>
          <w:szCs w:val="24"/>
        </w:rPr>
        <w:t xml:space="preserve">Penzugyi Lizing, </w:t>
      </w:r>
      <w:r w:rsidR="00B62B8F" w:rsidRPr="007344EA">
        <w:rPr>
          <w:rFonts w:ascii="Times New Roman" w:hAnsi="Times New Roman" w:cs="Times New Roman"/>
          <w:sz w:val="24"/>
          <w:szCs w:val="24"/>
        </w:rPr>
        <w:t xml:space="preserve">aptardama prejudicinio sprendimo paskirtį, </w:t>
      </w:r>
      <w:r w:rsidRPr="007344EA">
        <w:rPr>
          <w:rFonts w:ascii="Times New Roman" w:hAnsi="Times New Roman" w:cs="Times New Roman"/>
          <w:sz w:val="24"/>
          <w:szCs w:val="24"/>
        </w:rPr>
        <w:t>besiremdama gausia Teisingumo Teismo praktika, bei teisės doktrina</w:t>
      </w:r>
      <w:r w:rsidR="000A6760" w:rsidRPr="007344EA">
        <w:rPr>
          <w:rFonts w:ascii="Times New Roman" w:hAnsi="Times New Roman" w:cs="Times New Roman"/>
          <w:sz w:val="24"/>
          <w:szCs w:val="24"/>
        </w:rPr>
        <w:t xml:space="preserve"> teigia:</w:t>
      </w:r>
      <w:r w:rsidR="0005120E" w:rsidRPr="007344EA">
        <w:rPr>
          <w:rFonts w:ascii="Times New Roman" w:hAnsi="Times New Roman" w:cs="Times New Roman"/>
          <w:sz w:val="24"/>
          <w:szCs w:val="24"/>
        </w:rPr>
        <w:t xml:space="preserve"> </w:t>
      </w:r>
      <w:r w:rsidRPr="007344EA">
        <w:rPr>
          <w:rFonts w:ascii="Times New Roman" w:hAnsi="Times New Roman" w:cs="Times New Roman"/>
          <w:sz w:val="24"/>
          <w:szCs w:val="24"/>
        </w:rPr>
        <w:t>„Teisingumo Teismas yra ne kartą pabrėžęs, kad EB 234 straipsnyje (SESV 267 str.</w:t>
      </w:r>
      <w:r w:rsidR="00224D1C" w:rsidRPr="007344EA">
        <w:rPr>
          <w:rFonts w:ascii="Times New Roman" w:hAnsi="Times New Roman" w:cs="Times New Roman"/>
          <w:sz w:val="24"/>
          <w:szCs w:val="24"/>
        </w:rPr>
        <w:t xml:space="preserve"> −</w:t>
      </w:r>
      <w:r w:rsidR="00580C79" w:rsidRPr="007344EA">
        <w:rPr>
          <w:rFonts w:ascii="Times New Roman" w:hAnsi="Times New Roman" w:cs="Times New Roman"/>
          <w:sz w:val="24"/>
          <w:szCs w:val="24"/>
        </w:rPr>
        <w:t xml:space="preserve"> aut. past.</w:t>
      </w:r>
      <w:r w:rsidRPr="007344EA">
        <w:rPr>
          <w:rFonts w:ascii="Times New Roman" w:hAnsi="Times New Roman" w:cs="Times New Roman"/>
          <w:sz w:val="24"/>
          <w:szCs w:val="24"/>
        </w:rPr>
        <w:t>) numatyta sistema</w:t>
      </w:r>
      <w:r w:rsidR="00B4136E" w:rsidRPr="007344EA">
        <w:rPr>
          <w:rFonts w:ascii="Times New Roman" w:hAnsi="Times New Roman" w:cs="Times New Roman"/>
          <w:sz w:val="24"/>
          <w:szCs w:val="24"/>
        </w:rPr>
        <w:t xml:space="preserve"> yra skirta vienodam Bendrijos </w:t>
      </w:r>
      <w:r w:rsidRPr="007344EA">
        <w:rPr>
          <w:rFonts w:ascii="Times New Roman" w:hAnsi="Times New Roman" w:cs="Times New Roman"/>
          <w:sz w:val="24"/>
          <w:szCs w:val="24"/>
        </w:rPr>
        <w:t xml:space="preserve">teisės aiškinimui valstybėse narėse užtikrinti ir numato tiesioginį Teisingumo Teismo ir nacionalinių teismų bendradarbiavimą, kuris nepriklauso nuo šalių valios </w:t>
      </w:r>
      <w:r w:rsidR="00B62B8F" w:rsidRPr="007344EA">
        <w:rPr>
          <w:rFonts w:ascii="Times New Roman" w:hAnsi="Times New Roman" w:cs="Times New Roman"/>
          <w:sz w:val="24"/>
          <w:szCs w:val="24"/>
        </w:rPr>
        <w:t>&lt;...&gt;</w:t>
      </w:r>
      <w:r w:rsidR="00256747" w:rsidRPr="007344EA">
        <w:rPr>
          <w:rFonts w:ascii="Times New Roman" w:hAnsi="Times New Roman" w:cs="Times New Roman"/>
          <w:sz w:val="24"/>
          <w:szCs w:val="24"/>
        </w:rPr>
        <w:t>“</w:t>
      </w:r>
      <w:r w:rsidR="00B62B8F" w:rsidRPr="007344EA">
        <w:rPr>
          <w:rFonts w:ascii="Times New Roman" w:hAnsi="Times New Roman" w:cs="Times New Roman"/>
          <w:sz w:val="24"/>
          <w:szCs w:val="24"/>
        </w:rPr>
        <w:t xml:space="preserve">. U. Everling </w:t>
      </w:r>
      <w:r w:rsidR="00580C79" w:rsidRPr="007344EA">
        <w:rPr>
          <w:rFonts w:ascii="Times New Roman" w:hAnsi="Times New Roman" w:cs="Times New Roman"/>
          <w:sz w:val="24"/>
          <w:szCs w:val="24"/>
        </w:rPr>
        <w:t>pabrėždamas</w:t>
      </w:r>
      <w:r w:rsidR="0071330C" w:rsidRPr="007344EA">
        <w:rPr>
          <w:rFonts w:ascii="Times New Roman" w:hAnsi="Times New Roman" w:cs="Times New Roman"/>
          <w:sz w:val="24"/>
          <w:szCs w:val="24"/>
        </w:rPr>
        <w:t xml:space="preserve"> prejudicinio sprendimo svarbą užtikrinant Sąjungos teisės taikymo vienodumą, teigia</w:t>
      </w:r>
      <w:r w:rsidRPr="007344EA">
        <w:rPr>
          <w:rFonts w:ascii="Times New Roman" w:hAnsi="Times New Roman" w:cs="Times New Roman"/>
          <w:sz w:val="24"/>
          <w:szCs w:val="24"/>
        </w:rPr>
        <w:t xml:space="preserve">, jog </w:t>
      </w:r>
      <w:r w:rsidR="0071330C" w:rsidRPr="007344EA">
        <w:rPr>
          <w:rFonts w:ascii="Times New Roman" w:hAnsi="Times New Roman" w:cs="Times New Roman"/>
          <w:sz w:val="24"/>
          <w:szCs w:val="24"/>
        </w:rPr>
        <w:t>„</w:t>
      </w:r>
      <w:r w:rsidRPr="007344EA">
        <w:rPr>
          <w:rFonts w:ascii="Times New Roman" w:hAnsi="Times New Roman" w:cs="Times New Roman"/>
          <w:sz w:val="24"/>
          <w:szCs w:val="24"/>
        </w:rPr>
        <w:t>visiškai akivaizdu, kad jei neb</w:t>
      </w:r>
      <w:r w:rsidR="00580C79" w:rsidRPr="007344EA">
        <w:rPr>
          <w:rFonts w:ascii="Times New Roman" w:hAnsi="Times New Roman" w:cs="Times New Roman"/>
          <w:sz w:val="24"/>
          <w:szCs w:val="24"/>
        </w:rPr>
        <w:t>ūtų rūpinamasi vienodu Sąjungos</w:t>
      </w:r>
      <w:r w:rsidRPr="007344EA">
        <w:rPr>
          <w:rFonts w:ascii="Times New Roman" w:hAnsi="Times New Roman" w:cs="Times New Roman"/>
          <w:sz w:val="24"/>
          <w:szCs w:val="24"/>
        </w:rPr>
        <w:t xml:space="preserve"> teisės aiškinimu, įvairių valstybių narių institucijos ir teismai priimtų visiškai skirtingus sprendimus. Šią užduotį, taikydamas prejudicinę procedūrą, atlieka Teisingumo Teismas. Teisingumo Teismas nuo pat pradžių pabrėždavo, kad vienodas </w:t>
      </w:r>
      <w:r w:rsidR="00580C79" w:rsidRPr="007344EA">
        <w:rPr>
          <w:rFonts w:ascii="Times New Roman" w:hAnsi="Times New Roman" w:cs="Times New Roman"/>
          <w:sz w:val="24"/>
          <w:szCs w:val="24"/>
        </w:rPr>
        <w:t xml:space="preserve">Sąjungos </w:t>
      </w:r>
      <w:r w:rsidRPr="007344EA">
        <w:rPr>
          <w:rFonts w:ascii="Times New Roman" w:hAnsi="Times New Roman" w:cs="Times New Roman"/>
          <w:sz w:val="24"/>
          <w:szCs w:val="24"/>
        </w:rPr>
        <w:t>teisės aiškinimas ir taikymas yra</w:t>
      </w:r>
      <w:r w:rsidR="00580C79" w:rsidRPr="007344EA">
        <w:rPr>
          <w:rFonts w:ascii="Times New Roman" w:hAnsi="Times New Roman" w:cs="Times New Roman"/>
          <w:sz w:val="24"/>
          <w:szCs w:val="24"/>
        </w:rPr>
        <w:t xml:space="preserve"> vienas iš pagrindinių Sąjungos</w:t>
      </w:r>
      <w:r w:rsidRPr="007344EA">
        <w:rPr>
          <w:rFonts w:ascii="Times New Roman" w:hAnsi="Times New Roman" w:cs="Times New Roman"/>
          <w:sz w:val="24"/>
          <w:szCs w:val="24"/>
        </w:rPr>
        <w:t xml:space="preserve"> teisės principų ir kad į jį kėsintis negalima jokiu nacionalinės teisės aktu.</w:t>
      </w:r>
      <w:r w:rsidR="00B62B8F" w:rsidRPr="007344EA">
        <w:rPr>
          <w:rFonts w:ascii="Times New Roman" w:hAnsi="Times New Roman" w:cs="Times New Roman"/>
          <w:sz w:val="24"/>
          <w:szCs w:val="24"/>
        </w:rPr>
        <w:t>“</w:t>
      </w:r>
      <w:r w:rsidRPr="007344EA">
        <w:rPr>
          <w:rStyle w:val="FootnoteReference"/>
          <w:rFonts w:ascii="Times New Roman" w:hAnsi="Times New Roman"/>
          <w:sz w:val="24"/>
          <w:szCs w:val="24"/>
        </w:rPr>
        <w:footnoteReference w:id="100"/>
      </w:r>
    </w:p>
    <w:p w:rsidR="009F3BDA" w:rsidRPr="007344EA" w:rsidRDefault="005026F4"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 xml:space="preserve">Doktrinoje išskiriama dviguba prejudicinių </w:t>
      </w:r>
      <w:r w:rsidR="00E651FC" w:rsidRPr="007344EA">
        <w:rPr>
          <w:rFonts w:ascii="Times New Roman" w:hAnsi="Times New Roman" w:cs="Times New Roman"/>
          <w:sz w:val="24"/>
          <w:szCs w:val="24"/>
        </w:rPr>
        <w:t xml:space="preserve">sprendimų paskirtis: pirma, siekis garantuoti vienodą </w:t>
      </w:r>
      <w:r w:rsidR="000E68D8" w:rsidRPr="007344EA">
        <w:rPr>
          <w:rFonts w:ascii="Times New Roman" w:hAnsi="Times New Roman" w:cs="Times New Roman"/>
          <w:sz w:val="24"/>
          <w:szCs w:val="24"/>
        </w:rPr>
        <w:t xml:space="preserve">Sąjungos </w:t>
      </w:r>
      <w:r w:rsidR="00E651FC" w:rsidRPr="007344EA">
        <w:rPr>
          <w:rFonts w:ascii="Times New Roman" w:hAnsi="Times New Roman" w:cs="Times New Roman"/>
          <w:sz w:val="24"/>
          <w:szCs w:val="24"/>
        </w:rPr>
        <w:t>teisės aiškinimą ir taikymą, antra, apsaugo</w:t>
      </w:r>
      <w:r w:rsidR="007035E1" w:rsidRPr="007344EA">
        <w:rPr>
          <w:rFonts w:ascii="Times New Roman" w:hAnsi="Times New Roman" w:cs="Times New Roman"/>
          <w:sz w:val="24"/>
          <w:szCs w:val="24"/>
        </w:rPr>
        <w:t xml:space="preserve">ti individo subjektines teises. </w:t>
      </w:r>
      <w:r w:rsidR="009F3BDA" w:rsidRPr="007344EA">
        <w:rPr>
          <w:rFonts w:ascii="Times New Roman" w:hAnsi="Times New Roman" w:cs="Times New Roman"/>
          <w:sz w:val="24"/>
          <w:szCs w:val="24"/>
        </w:rPr>
        <w:t>P</w:t>
      </w:r>
      <w:r w:rsidR="005D6235" w:rsidRPr="007344EA">
        <w:rPr>
          <w:rFonts w:ascii="Times New Roman" w:hAnsi="Times New Roman" w:cs="Times New Roman"/>
          <w:sz w:val="24"/>
          <w:szCs w:val="24"/>
        </w:rPr>
        <w:t>rimintina</w:t>
      </w:r>
      <w:r w:rsidR="009F3BDA" w:rsidRPr="007344EA">
        <w:rPr>
          <w:rFonts w:ascii="Times New Roman" w:hAnsi="Times New Roman" w:cs="Times New Roman"/>
          <w:sz w:val="24"/>
          <w:szCs w:val="24"/>
        </w:rPr>
        <w:t>, kad „s</w:t>
      </w:r>
      <w:r w:rsidR="00E62D83" w:rsidRPr="007344EA">
        <w:rPr>
          <w:rFonts w:ascii="Times New Roman" w:hAnsi="Times New Roman" w:cs="Times New Roman"/>
          <w:sz w:val="24"/>
          <w:szCs w:val="24"/>
        </w:rPr>
        <w:t>kirtingai nuo tiesioginių ieškinių, prašymų dėl prejudicinių sprendimų</w:t>
      </w:r>
      <w:r w:rsidR="00D21D20" w:rsidRPr="007344EA">
        <w:rPr>
          <w:rStyle w:val="FootnoteReference"/>
          <w:rFonts w:ascii="Times New Roman" w:hAnsi="Times New Roman"/>
          <w:sz w:val="24"/>
          <w:szCs w:val="24"/>
        </w:rPr>
        <w:footnoteReference w:id="101"/>
      </w:r>
      <w:r w:rsidR="00E62D83" w:rsidRPr="007344EA">
        <w:rPr>
          <w:rFonts w:ascii="Times New Roman" w:hAnsi="Times New Roman" w:cs="Times New Roman"/>
          <w:sz w:val="24"/>
          <w:szCs w:val="24"/>
        </w:rPr>
        <w:t xml:space="preserve"> priėmimo nagrinėjimas nesudaro savarankiško proceso, o tai reiškia tik tarpinį procesą </w:t>
      </w:r>
      <w:r w:rsidR="00E62D83" w:rsidRPr="007344EA">
        <w:rPr>
          <w:rFonts w:ascii="Times New Roman" w:hAnsi="Times New Roman" w:cs="Times New Roman"/>
          <w:sz w:val="24"/>
          <w:szCs w:val="24"/>
        </w:rPr>
        <w:lastRenderedPageBreak/>
        <w:t>nacionaliniame teisme vykstančio bylos nagrinėjimo požiūriu</w:t>
      </w:r>
      <w:r w:rsidR="009F3BDA" w:rsidRPr="007344EA">
        <w:rPr>
          <w:rFonts w:ascii="Times New Roman" w:hAnsi="Times New Roman" w:cs="Times New Roman"/>
          <w:sz w:val="24"/>
          <w:szCs w:val="24"/>
        </w:rPr>
        <w:t>“</w:t>
      </w:r>
      <w:r w:rsidR="00E62D83" w:rsidRPr="007344EA">
        <w:rPr>
          <w:rStyle w:val="FootnoteReference"/>
          <w:rFonts w:ascii="Times New Roman" w:hAnsi="Times New Roman"/>
          <w:sz w:val="24"/>
          <w:szCs w:val="24"/>
        </w:rPr>
        <w:footnoteReference w:id="102"/>
      </w:r>
      <w:r w:rsidR="009F3BDA" w:rsidRPr="007344EA">
        <w:rPr>
          <w:rFonts w:ascii="Times New Roman" w:hAnsi="Times New Roman" w:cs="Times New Roman"/>
          <w:sz w:val="24"/>
          <w:szCs w:val="24"/>
        </w:rPr>
        <w:t>.</w:t>
      </w:r>
      <w:r w:rsidR="0005120E" w:rsidRPr="007344EA">
        <w:rPr>
          <w:rFonts w:ascii="Times New Roman" w:hAnsi="Times New Roman" w:cs="Times New Roman"/>
          <w:sz w:val="24"/>
          <w:szCs w:val="24"/>
        </w:rPr>
        <w:t xml:space="preserve"> </w:t>
      </w:r>
      <w:r w:rsidR="000C1E46" w:rsidRPr="007344EA">
        <w:rPr>
          <w:rFonts w:ascii="Times New Roman" w:hAnsi="Times New Roman" w:cs="Times New Roman"/>
          <w:sz w:val="24"/>
          <w:szCs w:val="24"/>
        </w:rPr>
        <w:t xml:space="preserve">Teisės akto taikymas paliekamas nacionalinio teismo kompetencijai, kadangi </w:t>
      </w:r>
      <w:r w:rsidR="00965E67" w:rsidRPr="007344EA">
        <w:rPr>
          <w:rFonts w:ascii="Times New Roman" w:hAnsi="Times New Roman" w:cs="Times New Roman"/>
          <w:sz w:val="24"/>
          <w:szCs w:val="24"/>
        </w:rPr>
        <w:t xml:space="preserve">prejudicinio sprendimo proceso metu </w:t>
      </w:r>
      <w:r w:rsidR="000C1E46" w:rsidRPr="007344EA">
        <w:rPr>
          <w:rFonts w:ascii="Times New Roman" w:hAnsi="Times New Roman" w:cs="Times New Roman"/>
          <w:sz w:val="24"/>
          <w:szCs w:val="24"/>
        </w:rPr>
        <w:t xml:space="preserve">Teisingumo </w:t>
      </w:r>
      <w:r w:rsidR="00A32244" w:rsidRPr="007344EA">
        <w:rPr>
          <w:rFonts w:ascii="Times New Roman" w:hAnsi="Times New Roman" w:cs="Times New Roman"/>
          <w:sz w:val="24"/>
          <w:szCs w:val="24"/>
        </w:rPr>
        <w:t xml:space="preserve">Teismo jurisdikcija apsiriboja tik </w:t>
      </w:r>
      <w:r w:rsidR="00965E67" w:rsidRPr="007344EA">
        <w:rPr>
          <w:rFonts w:ascii="Times New Roman" w:hAnsi="Times New Roman" w:cs="Times New Roman"/>
          <w:sz w:val="24"/>
          <w:szCs w:val="24"/>
        </w:rPr>
        <w:t>ES teisės akto nuostat</w:t>
      </w:r>
      <w:r w:rsidR="00A32244" w:rsidRPr="007344EA">
        <w:rPr>
          <w:rFonts w:ascii="Times New Roman" w:hAnsi="Times New Roman" w:cs="Times New Roman"/>
          <w:sz w:val="24"/>
          <w:szCs w:val="24"/>
        </w:rPr>
        <w:t>ų aiškinimu.</w:t>
      </w:r>
      <w:r w:rsidR="00965E67" w:rsidRPr="007344EA">
        <w:rPr>
          <w:rFonts w:ascii="Times New Roman" w:hAnsi="Times New Roman" w:cs="Times New Roman"/>
          <w:sz w:val="24"/>
          <w:szCs w:val="24"/>
        </w:rPr>
        <w:t xml:space="preserve"> </w:t>
      </w:r>
      <w:r w:rsidR="00E730C7" w:rsidRPr="007344EA">
        <w:rPr>
          <w:rFonts w:ascii="Times New Roman" w:hAnsi="Times New Roman" w:cs="Times New Roman"/>
          <w:sz w:val="24"/>
          <w:szCs w:val="24"/>
        </w:rPr>
        <w:t>Šį aspektą ne kartą yra pabrėžęs Teisingumo Teismas</w:t>
      </w:r>
      <w:r w:rsidR="009B5BF6" w:rsidRPr="007344EA">
        <w:rPr>
          <w:rFonts w:ascii="Times New Roman" w:hAnsi="Times New Roman" w:cs="Times New Roman"/>
          <w:sz w:val="24"/>
          <w:szCs w:val="24"/>
        </w:rPr>
        <w:t xml:space="preserve">: </w:t>
      </w:r>
      <w:r w:rsidR="00284BEF" w:rsidRPr="007344EA">
        <w:rPr>
          <w:rFonts w:ascii="Times New Roman" w:hAnsi="Times New Roman" w:cs="Times New Roman"/>
          <w:sz w:val="24"/>
          <w:szCs w:val="24"/>
        </w:rPr>
        <w:t>„p</w:t>
      </w:r>
      <w:r w:rsidR="00264E4C" w:rsidRPr="007344EA">
        <w:rPr>
          <w:rFonts w:ascii="Times New Roman" w:hAnsi="Times New Roman" w:cs="Times New Roman"/>
          <w:sz w:val="24"/>
          <w:szCs w:val="24"/>
        </w:rPr>
        <w:t>agal nusistovėjusią T</w:t>
      </w:r>
      <w:r w:rsidR="00284BEF" w:rsidRPr="007344EA">
        <w:rPr>
          <w:rFonts w:ascii="Times New Roman" w:hAnsi="Times New Roman" w:cs="Times New Roman"/>
          <w:sz w:val="24"/>
          <w:szCs w:val="24"/>
        </w:rPr>
        <w:t>eismo praktiką vykstant SESV 267 straipsnyje numatytam procesui, grindžiamam aiškiu nacionalinių teismų ir Teisingumo Teismo kompetencijos atskyrimu, bet koks pagrindinėje byloje nagrinėjamų faktinių aplinkybių vertinimas bei nacionalinės teisės aiškinimas ir taikymas priklauso tik nacionalinio teismo kompetencijai”</w:t>
      </w:r>
      <w:r w:rsidR="00284BEF" w:rsidRPr="007344EA">
        <w:rPr>
          <w:rStyle w:val="FootnoteReference"/>
          <w:rFonts w:ascii="Times New Roman" w:hAnsi="Times New Roman"/>
          <w:sz w:val="24"/>
          <w:szCs w:val="24"/>
        </w:rPr>
        <w:footnoteReference w:id="103"/>
      </w:r>
      <w:r w:rsidR="00264E4C" w:rsidRPr="007344EA">
        <w:rPr>
          <w:rFonts w:ascii="Times New Roman" w:hAnsi="Times New Roman" w:cs="Times New Roman"/>
          <w:sz w:val="24"/>
          <w:szCs w:val="24"/>
        </w:rPr>
        <w:t>.</w:t>
      </w:r>
    </w:p>
    <w:p w:rsidR="00DA7A76" w:rsidRPr="007344EA" w:rsidRDefault="00E62D83" w:rsidP="006E00E1">
      <w:pPr>
        <w:spacing w:after="0" w:line="360" w:lineRule="auto"/>
        <w:ind w:firstLine="720"/>
        <w:jc w:val="both"/>
        <w:rPr>
          <w:rFonts w:ascii="Times New Roman" w:hAnsi="Times New Roman" w:cs="Times New Roman"/>
          <w:sz w:val="24"/>
          <w:szCs w:val="24"/>
        </w:rPr>
      </w:pPr>
      <w:r w:rsidRPr="007344EA">
        <w:rPr>
          <w:rFonts w:ascii="Times New Roman" w:hAnsi="Times New Roman" w:cs="Times New Roman"/>
          <w:sz w:val="24"/>
          <w:szCs w:val="24"/>
        </w:rPr>
        <w:t xml:space="preserve"> </w:t>
      </w:r>
      <w:r w:rsidR="009F3BDA" w:rsidRPr="007344EA">
        <w:rPr>
          <w:rFonts w:ascii="Times New Roman" w:hAnsi="Times New Roman" w:cs="Times New Roman"/>
          <w:sz w:val="24"/>
          <w:szCs w:val="24"/>
        </w:rPr>
        <w:t xml:space="preserve"> </w:t>
      </w:r>
      <w:r w:rsidR="00B32FE1" w:rsidRPr="007344EA">
        <w:rPr>
          <w:rFonts w:ascii="Times New Roman" w:hAnsi="Times New Roman" w:cs="Times New Roman"/>
          <w:sz w:val="24"/>
          <w:szCs w:val="24"/>
        </w:rPr>
        <w:tab/>
      </w:r>
      <w:r w:rsidR="009F3BDA" w:rsidRPr="007344EA">
        <w:rPr>
          <w:rFonts w:ascii="Times New Roman" w:hAnsi="Times New Roman" w:cs="Times New Roman"/>
          <w:sz w:val="24"/>
          <w:szCs w:val="24"/>
        </w:rPr>
        <w:t>Kaip jau buvo išskirta anksčiau, pirmoji ir pagrindinė p</w:t>
      </w:r>
      <w:r w:rsidR="005026F4" w:rsidRPr="007344EA">
        <w:rPr>
          <w:rFonts w:ascii="Times New Roman" w:hAnsi="Times New Roman" w:cs="Times New Roman"/>
          <w:sz w:val="24"/>
          <w:szCs w:val="24"/>
        </w:rPr>
        <w:t>rejudicinių sprendimų paskirtis</w:t>
      </w:r>
      <w:r w:rsidR="00224D1C" w:rsidRPr="007344EA">
        <w:rPr>
          <w:rFonts w:ascii="Times New Roman" w:hAnsi="Times New Roman" w:cs="Times New Roman"/>
          <w:sz w:val="24"/>
          <w:szCs w:val="24"/>
        </w:rPr>
        <w:t xml:space="preserve"> −</w:t>
      </w:r>
      <w:r w:rsidR="005026F4" w:rsidRPr="007344EA">
        <w:rPr>
          <w:rFonts w:ascii="Times New Roman" w:hAnsi="Times New Roman" w:cs="Times New Roman"/>
          <w:sz w:val="24"/>
          <w:szCs w:val="24"/>
        </w:rPr>
        <w:t xml:space="preserve"> užtikri</w:t>
      </w:r>
      <w:r w:rsidR="002F6FE8" w:rsidRPr="007344EA">
        <w:rPr>
          <w:rFonts w:ascii="Times New Roman" w:hAnsi="Times New Roman" w:cs="Times New Roman"/>
          <w:sz w:val="24"/>
          <w:szCs w:val="24"/>
        </w:rPr>
        <w:t xml:space="preserve">nti, kad visi </w:t>
      </w:r>
      <w:r w:rsidR="005026F4" w:rsidRPr="007344EA">
        <w:rPr>
          <w:rFonts w:ascii="Times New Roman" w:hAnsi="Times New Roman" w:cs="Times New Roman"/>
          <w:sz w:val="24"/>
          <w:szCs w:val="24"/>
        </w:rPr>
        <w:t xml:space="preserve">valstybių narių teismai vienodai aiškintų ir taikytų </w:t>
      </w:r>
      <w:r w:rsidR="00C73B3D" w:rsidRPr="007344EA">
        <w:rPr>
          <w:rFonts w:ascii="Times New Roman" w:hAnsi="Times New Roman" w:cs="Times New Roman"/>
          <w:sz w:val="24"/>
          <w:szCs w:val="24"/>
        </w:rPr>
        <w:t>Sąjungos</w:t>
      </w:r>
      <w:r w:rsidR="002F6FE8" w:rsidRPr="007344EA">
        <w:rPr>
          <w:rFonts w:ascii="Times New Roman" w:hAnsi="Times New Roman" w:cs="Times New Roman"/>
          <w:sz w:val="24"/>
          <w:szCs w:val="24"/>
        </w:rPr>
        <w:t xml:space="preserve"> </w:t>
      </w:r>
      <w:r w:rsidR="005026F4" w:rsidRPr="007344EA">
        <w:rPr>
          <w:rFonts w:ascii="Times New Roman" w:hAnsi="Times New Roman" w:cs="Times New Roman"/>
          <w:sz w:val="24"/>
          <w:szCs w:val="24"/>
        </w:rPr>
        <w:t>teisę.</w:t>
      </w:r>
      <w:r w:rsidR="00DB672C" w:rsidRPr="007344EA">
        <w:rPr>
          <w:rFonts w:ascii="Times New Roman" w:hAnsi="Times New Roman" w:cs="Times New Roman"/>
          <w:sz w:val="24"/>
          <w:szCs w:val="24"/>
        </w:rPr>
        <w:t xml:space="preserve"> Teisingumo </w:t>
      </w:r>
      <w:r w:rsidR="00001242" w:rsidRPr="007344EA">
        <w:rPr>
          <w:rFonts w:ascii="Times New Roman" w:hAnsi="Times New Roman" w:cs="Times New Roman"/>
          <w:sz w:val="24"/>
          <w:szCs w:val="24"/>
        </w:rPr>
        <w:t>T</w:t>
      </w:r>
      <w:r w:rsidR="00DB672C" w:rsidRPr="007344EA">
        <w:rPr>
          <w:rFonts w:ascii="Times New Roman" w:hAnsi="Times New Roman" w:cs="Times New Roman"/>
          <w:sz w:val="24"/>
          <w:szCs w:val="24"/>
        </w:rPr>
        <w:t xml:space="preserve">eismas </w:t>
      </w:r>
      <w:r w:rsidR="00D7002F" w:rsidRPr="007344EA">
        <w:rPr>
          <w:rFonts w:ascii="Times New Roman" w:hAnsi="Times New Roman" w:cs="Times New Roman"/>
          <w:sz w:val="24"/>
          <w:szCs w:val="24"/>
        </w:rPr>
        <w:t>savo jurisprudencijoje dažnai</w:t>
      </w:r>
      <w:r w:rsidR="000E68D8" w:rsidRPr="007344EA">
        <w:rPr>
          <w:rFonts w:ascii="Times New Roman" w:hAnsi="Times New Roman" w:cs="Times New Roman"/>
          <w:sz w:val="24"/>
          <w:szCs w:val="24"/>
        </w:rPr>
        <w:t xml:space="preserve"> pabrėžia</w:t>
      </w:r>
      <w:r w:rsidR="00D7002F" w:rsidRPr="007344EA">
        <w:rPr>
          <w:rFonts w:ascii="Times New Roman" w:hAnsi="Times New Roman" w:cs="Times New Roman"/>
          <w:sz w:val="24"/>
          <w:szCs w:val="24"/>
        </w:rPr>
        <w:t xml:space="preserve">, </w:t>
      </w:r>
      <w:r w:rsidR="00DB672C" w:rsidRPr="007344EA">
        <w:rPr>
          <w:rFonts w:ascii="Times New Roman" w:hAnsi="Times New Roman" w:cs="Times New Roman"/>
          <w:sz w:val="24"/>
          <w:szCs w:val="24"/>
        </w:rPr>
        <w:t>kad „</w:t>
      </w:r>
      <w:r w:rsidR="00DA7A76" w:rsidRPr="007344EA">
        <w:rPr>
          <w:rFonts w:ascii="Times New Roman" w:eastAsia="Times New Roman" w:hAnsi="Times New Roman" w:cs="Times New Roman"/>
          <w:sz w:val="24"/>
          <w:szCs w:val="24"/>
        </w:rPr>
        <w:t>SESV 267 straipsnyje įtvirtinta procedūra yra Teisingumo Teismo ir nacionalinių teismų bendradarbiavimo priemonė, kuria naudodamasis Teisingumo Teismas pateikia nacionaliniams teismams Sąjungos teisės aiškinimą, kurio jiems reikia bylai išspręsti</w:t>
      </w:r>
      <w:r w:rsidR="00DB672C" w:rsidRPr="007344EA">
        <w:rPr>
          <w:rFonts w:ascii="Times New Roman" w:hAnsi="Times New Roman" w:cs="Times New Roman"/>
          <w:sz w:val="24"/>
          <w:szCs w:val="24"/>
        </w:rPr>
        <w:t>“</w:t>
      </w:r>
      <w:r w:rsidR="00DA7A76" w:rsidRPr="007344EA">
        <w:rPr>
          <w:rStyle w:val="FootnoteReference"/>
          <w:rFonts w:ascii="Times New Roman" w:hAnsi="Times New Roman"/>
          <w:sz w:val="24"/>
          <w:szCs w:val="24"/>
        </w:rPr>
        <w:footnoteReference w:id="104"/>
      </w:r>
      <w:r w:rsidR="00DB672C" w:rsidRPr="007344EA">
        <w:rPr>
          <w:rFonts w:ascii="Times New Roman" w:hAnsi="Times New Roman" w:cs="Times New Roman"/>
          <w:sz w:val="24"/>
          <w:szCs w:val="24"/>
        </w:rPr>
        <w:t>.</w:t>
      </w:r>
      <w:r w:rsidR="000148DC" w:rsidRPr="007344EA">
        <w:rPr>
          <w:rFonts w:ascii="Times New Roman" w:hAnsi="Times New Roman" w:cs="Times New Roman"/>
          <w:sz w:val="24"/>
          <w:szCs w:val="24"/>
        </w:rPr>
        <w:t xml:space="preserve"> Tokiu būdu siekiama</w:t>
      </w:r>
      <w:r w:rsidR="00264E4C" w:rsidRPr="007344EA">
        <w:rPr>
          <w:rFonts w:ascii="Times New Roman" w:hAnsi="Times New Roman" w:cs="Times New Roman"/>
          <w:sz w:val="24"/>
          <w:szCs w:val="24"/>
        </w:rPr>
        <w:t xml:space="preserve"> </w:t>
      </w:r>
      <w:r w:rsidR="007907BE" w:rsidRPr="007344EA">
        <w:rPr>
          <w:rFonts w:ascii="Times New Roman" w:hAnsi="Times New Roman" w:cs="Times New Roman"/>
          <w:sz w:val="24"/>
          <w:szCs w:val="24"/>
        </w:rPr>
        <w:t xml:space="preserve">„užkirsti kelią </w:t>
      </w:r>
      <w:r w:rsidR="002F6FE8" w:rsidRPr="007344EA">
        <w:rPr>
          <w:rFonts w:ascii="Times New Roman" w:hAnsi="Times New Roman" w:cs="Times New Roman"/>
          <w:sz w:val="24"/>
          <w:szCs w:val="24"/>
        </w:rPr>
        <w:t>priimti vienas</w:t>
      </w:r>
      <w:r w:rsidR="007907BE" w:rsidRPr="007344EA">
        <w:rPr>
          <w:rFonts w:ascii="Times New Roman" w:hAnsi="Times New Roman" w:cs="Times New Roman"/>
          <w:sz w:val="24"/>
          <w:szCs w:val="24"/>
        </w:rPr>
        <w:t xml:space="preserve"> kitam prieštarauj</w:t>
      </w:r>
      <w:r w:rsidR="00DB672C" w:rsidRPr="007344EA">
        <w:rPr>
          <w:rFonts w:ascii="Times New Roman" w:hAnsi="Times New Roman" w:cs="Times New Roman"/>
          <w:sz w:val="24"/>
          <w:szCs w:val="24"/>
        </w:rPr>
        <w:t>ančius teismų sprendimus bei su</w:t>
      </w:r>
      <w:r w:rsidR="007907BE" w:rsidRPr="007344EA">
        <w:rPr>
          <w:rFonts w:ascii="Times New Roman" w:hAnsi="Times New Roman" w:cs="Times New Roman"/>
          <w:sz w:val="24"/>
          <w:szCs w:val="24"/>
        </w:rPr>
        <w:t>kliudyti, kad valstybėje narėje susiformuotų nacionalinė teismų praktika, neatitinkant ES teisės normų turinio ir paskirties“</w:t>
      </w:r>
      <w:r w:rsidR="007907BE" w:rsidRPr="007344EA">
        <w:rPr>
          <w:rStyle w:val="FootnoteReference"/>
          <w:rFonts w:ascii="Times New Roman" w:hAnsi="Times New Roman"/>
          <w:sz w:val="24"/>
          <w:szCs w:val="24"/>
        </w:rPr>
        <w:footnoteReference w:id="105"/>
      </w:r>
      <w:r w:rsidR="008B6C0B" w:rsidRPr="007344EA">
        <w:rPr>
          <w:rFonts w:ascii="Times New Roman" w:hAnsi="Times New Roman" w:cs="Times New Roman"/>
          <w:sz w:val="24"/>
          <w:szCs w:val="24"/>
        </w:rPr>
        <w:t>. Pabrėžtina, kad Teisingumo Teismo konkret</w:t>
      </w:r>
      <w:r w:rsidR="0005120E" w:rsidRPr="007344EA">
        <w:rPr>
          <w:rFonts w:ascii="Times New Roman" w:hAnsi="Times New Roman" w:cs="Times New Roman"/>
          <w:sz w:val="24"/>
          <w:szCs w:val="24"/>
        </w:rPr>
        <w:t>a</w:t>
      </w:r>
      <w:r w:rsidR="008B6C0B" w:rsidRPr="007344EA">
        <w:rPr>
          <w:rFonts w:ascii="Times New Roman" w:hAnsi="Times New Roman" w:cs="Times New Roman"/>
          <w:sz w:val="24"/>
          <w:szCs w:val="24"/>
        </w:rPr>
        <w:t>us teisės akto nuostatos išaiškinimas sai</w:t>
      </w:r>
      <w:r w:rsidR="007636E9" w:rsidRPr="007344EA">
        <w:rPr>
          <w:rFonts w:ascii="Times New Roman" w:hAnsi="Times New Roman" w:cs="Times New Roman"/>
          <w:sz w:val="24"/>
          <w:szCs w:val="24"/>
        </w:rPr>
        <w:t>s</w:t>
      </w:r>
      <w:r w:rsidR="008B6C0B" w:rsidRPr="007344EA">
        <w:rPr>
          <w:rFonts w:ascii="Times New Roman" w:hAnsi="Times New Roman" w:cs="Times New Roman"/>
          <w:sz w:val="24"/>
          <w:szCs w:val="24"/>
        </w:rPr>
        <w:t>to ne tik dėl prejudicinio sprendimo besikreipus</w:t>
      </w:r>
      <w:r w:rsidR="00B34260" w:rsidRPr="007344EA">
        <w:rPr>
          <w:rFonts w:ascii="Times New Roman" w:hAnsi="Times New Roman" w:cs="Times New Roman"/>
          <w:sz w:val="24"/>
          <w:szCs w:val="24"/>
        </w:rPr>
        <w:t>į</w:t>
      </w:r>
      <w:r w:rsidR="008B6C0B" w:rsidRPr="007344EA">
        <w:rPr>
          <w:rFonts w:ascii="Times New Roman" w:hAnsi="Times New Roman" w:cs="Times New Roman"/>
          <w:sz w:val="24"/>
          <w:szCs w:val="24"/>
        </w:rPr>
        <w:t xml:space="preserve"> teismą, bet ir visus kitus valstybių narių teismus </w:t>
      </w:r>
      <w:r w:rsidR="000B09CC" w:rsidRPr="007344EA">
        <w:rPr>
          <w:rFonts w:ascii="Times New Roman" w:hAnsi="Times New Roman" w:cs="Times New Roman"/>
          <w:sz w:val="24"/>
          <w:szCs w:val="24"/>
        </w:rPr>
        <w:t xml:space="preserve">ar šias nuostatas taikančias </w:t>
      </w:r>
      <w:r w:rsidR="008B6C0B" w:rsidRPr="007344EA">
        <w:rPr>
          <w:rFonts w:ascii="Times New Roman" w:hAnsi="Times New Roman" w:cs="Times New Roman"/>
          <w:sz w:val="24"/>
          <w:szCs w:val="24"/>
        </w:rPr>
        <w:t xml:space="preserve"> institucijas. </w:t>
      </w:r>
    </w:p>
    <w:p w:rsidR="008B6C0B" w:rsidRPr="007344EA" w:rsidRDefault="008B6C0B"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Antroji prejudicinio sprendimo paskirtis</w:t>
      </w:r>
      <w:r w:rsidR="00224D1C"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 </w:t>
      </w:r>
      <w:r w:rsidR="00CF1614" w:rsidRPr="007344EA">
        <w:rPr>
          <w:rFonts w:ascii="Times New Roman" w:hAnsi="Times New Roman" w:cs="Times New Roman"/>
          <w:sz w:val="24"/>
          <w:szCs w:val="24"/>
        </w:rPr>
        <w:t xml:space="preserve">individo subjektinių teisių apsauga, savo ruoštu doktrinoje ji išskiriama į du aspektus: </w:t>
      </w:r>
      <w:r w:rsidR="000148DC" w:rsidRPr="007344EA">
        <w:rPr>
          <w:rFonts w:ascii="Times New Roman" w:hAnsi="Times New Roman" w:cs="Times New Roman"/>
          <w:sz w:val="24"/>
          <w:szCs w:val="24"/>
        </w:rPr>
        <w:t>Sąjungos</w:t>
      </w:r>
      <w:r w:rsidR="00CF1614" w:rsidRPr="007344EA">
        <w:rPr>
          <w:rFonts w:ascii="Times New Roman" w:hAnsi="Times New Roman" w:cs="Times New Roman"/>
          <w:sz w:val="24"/>
          <w:szCs w:val="24"/>
        </w:rPr>
        <w:t xml:space="preserve"> normini</w:t>
      </w:r>
      <w:r w:rsidR="00DB672C" w:rsidRPr="007344EA">
        <w:rPr>
          <w:rFonts w:ascii="Times New Roman" w:hAnsi="Times New Roman" w:cs="Times New Roman"/>
          <w:sz w:val="24"/>
          <w:szCs w:val="24"/>
        </w:rPr>
        <w:t>ų teisės aktų teisėtumo klausimas</w:t>
      </w:r>
      <w:r w:rsidR="00CF1614" w:rsidRPr="007344EA">
        <w:rPr>
          <w:rFonts w:ascii="Times New Roman" w:hAnsi="Times New Roman" w:cs="Times New Roman"/>
          <w:sz w:val="24"/>
          <w:szCs w:val="24"/>
        </w:rPr>
        <w:t xml:space="preserve"> bei ES teisės aktų suderinamumo su nacionaline teise klausimas.</w:t>
      </w:r>
      <w:r w:rsidR="00DB672C" w:rsidRPr="007344EA">
        <w:rPr>
          <w:rFonts w:ascii="Times New Roman" w:hAnsi="Times New Roman" w:cs="Times New Roman"/>
          <w:sz w:val="24"/>
          <w:szCs w:val="24"/>
        </w:rPr>
        <w:t xml:space="preserve"> </w:t>
      </w:r>
      <w:r w:rsidR="005C3097" w:rsidRPr="007344EA">
        <w:rPr>
          <w:rFonts w:ascii="Times New Roman" w:hAnsi="Times New Roman" w:cs="Times New Roman"/>
          <w:sz w:val="24"/>
          <w:szCs w:val="24"/>
        </w:rPr>
        <w:t xml:space="preserve">Norminių teisės aktų teisėtumo kontrolę fiziniai ir juridiniai asmenys gali pasiekti tik netiesiogiai prejudicinio sprendimo pagalba, kas iš dalies kompensuoja teisės ginčyti norminius ES teisės aktus nebuvimą. </w:t>
      </w:r>
      <w:r w:rsidR="005C3097" w:rsidRPr="007344EA">
        <w:rPr>
          <w:rStyle w:val="FootnoteReference"/>
          <w:rFonts w:ascii="Times New Roman" w:hAnsi="Times New Roman"/>
          <w:sz w:val="24"/>
          <w:szCs w:val="24"/>
        </w:rPr>
        <w:footnoteReference w:id="106"/>
      </w:r>
      <w:r w:rsidR="000B09CC" w:rsidRPr="007344EA">
        <w:rPr>
          <w:rFonts w:ascii="Times New Roman" w:hAnsi="Times New Roman" w:cs="Times New Roman"/>
          <w:sz w:val="24"/>
          <w:szCs w:val="24"/>
        </w:rPr>
        <w:t xml:space="preserve"> </w:t>
      </w:r>
      <w:r w:rsidR="00DB672C" w:rsidRPr="007344EA">
        <w:rPr>
          <w:rFonts w:ascii="Times New Roman" w:hAnsi="Times New Roman" w:cs="Times New Roman"/>
          <w:sz w:val="24"/>
          <w:szCs w:val="24"/>
        </w:rPr>
        <w:t xml:space="preserve">Šis modelis yra taikomas tuomet, kai teisės aktas nėra tiesiogiai </w:t>
      </w:r>
      <w:r w:rsidR="00394293" w:rsidRPr="007344EA">
        <w:rPr>
          <w:rFonts w:ascii="Times New Roman" w:hAnsi="Times New Roman" w:cs="Times New Roman"/>
          <w:sz w:val="24"/>
          <w:szCs w:val="24"/>
        </w:rPr>
        <w:t>ir konkrečiai l</w:t>
      </w:r>
      <w:r w:rsidR="000148DC" w:rsidRPr="007344EA">
        <w:rPr>
          <w:rFonts w:ascii="Times New Roman" w:hAnsi="Times New Roman" w:cs="Times New Roman"/>
          <w:sz w:val="24"/>
          <w:szCs w:val="24"/>
        </w:rPr>
        <w:t xml:space="preserve">iečiantis privačius asmenis. </w:t>
      </w:r>
      <w:r w:rsidR="00965E67" w:rsidRPr="007344EA">
        <w:rPr>
          <w:rFonts w:ascii="Times New Roman" w:hAnsi="Times New Roman" w:cs="Times New Roman"/>
          <w:sz w:val="24"/>
          <w:szCs w:val="24"/>
        </w:rPr>
        <w:t>Nors Teisingumo Teismas nėra įpareigotas spręsti nacionalinės teisės suderinamumo su ES teise klausimo, vis dėlto praktikoje dauguma paklausimų nacionali</w:t>
      </w:r>
      <w:r w:rsidR="00A77B5A" w:rsidRPr="007344EA">
        <w:rPr>
          <w:rFonts w:ascii="Times New Roman" w:hAnsi="Times New Roman" w:cs="Times New Roman"/>
          <w:sz w:val="24"/>
          <w:szCs w:val="24"/>
        </w:rPr>
        <w:t>ni</w:t>
      </w:r>
      <w:r w:rsidR="00965E67" w:rsidRPr="007344EA">
        <w:rPr>
          <w:rFonts w:ascii="Times New Roman" w:hAnsi="Times New Roman" w:cs="Times New Roman"/>
          <w:sz w:val="24"/>
          <w:szCs w:val="24"/>
        </w:rPr>
        <w:t xml:space="preserve">ai teismai vienokiu ar </w:t>
      </w:r>
      <w:r w:rsidR="00965E67" w:rsidRPr="007344EA">
        <w:rPr>
          <w:rFonts w:ascii="Times New Roman" w:hAnsi="Times New Roman" w:cs="Times New Roman"/>
          <w:sz w:val="24"/>
          <w:szCs w:val="24"/>
        </w:rPr>
        <w:lastRenderedPageBreak/>
        <w:t>kitokiu būdu siekia išsiaiškinti, ar nacionalinė norma neprieštarauja Sąjungos teisei.</w:t>
      </w:r>
      <w:r w:rsidR="00965E67" w:rsidRPr="007344EA">
        <w:rPr>
          <w:rStyle w:val="FootnoteReference"/>
          <w:rFonts w:ascii="Times New Roman" w:hAnsi="Times New Roman"/>
          <w:sz w:val="24"/>
          <w:szCs w:val="24"/>
        </w:rPr>
        <w:footnoteReference w:id="107"/>
      </w:r>
      <w:r w:rsidR="000148DC" w:rsidRPr="007344EA">
        <w:rPr>
          <w:rFonts w:ascii="Times New Roman" w:hAnsi="Times New Roman" w:cs="Times New Roman"/>
          <w:sz w:val="24"/>
          <w:szCs w:val="24"/>
        </w:rPr>
        <w:t xml:space="preserve"> Tokio pobūdžio</w:t>
      </w:r>
      <w:r w:rsidR="00E730C7" w:rsidRPr="007344EA">
        <w:rPr>
          <w:rFonts w:ascii="Times New Roman" w:hAnsi="Times New Roman" w:cs="Times New Roman"/>
          <w:sz w:val="24"/>
          <w:szCs w:val="24"/>
        </w:rPr>
        <w:t xml:space="preserve"> klausima</w:t>
      </w:r>
      <w:r w:rsidR="000148DC" w:rsidRPr="007344EA">
        <w:rPr>
          <w:rFonts w:ascii="Times New Roman" w:hAnsi="Times New Roman" w:cs="Times New Roman"/>
          <w:sz w:val="24"/>
          <w:szCs w:val="24"/>
        </w:rPr>
        <w:t>i</w:t>
      </w:r>
      <w:r w:rsidR="00E730C7" w:rsidRPr="007344EA">
        <w:rPr>
          <w:rFonts w:ascii="Times New Roman" w:hAnsi="Times New Roman" w:cs="Times New Roman"/>
          <w:sz w:val="24"/>
          <w:szCs w:val="24"/>
        </w:rPr>
        <w:t xml:space="preserve"> neretai kyla ir aiškinat Direktyvos 93/13 nuostatas. </w:t>
      </w:r>
    </w:p>
    <w:p w:rsidR="00140F25" w:rsidRPr="007344EA" w:rsidRDefault="00140F25"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 xml:space="preserve"> Generalinė advokatė V. Trstenjak </w:t>
      </w:r>
      <w:r w:rsidR="00C73B3D" w:rsidRPr="007344EA">
        <w:rPr>
          <w:rFonts w:ascii="Times New Roman" w:hAnsi="Times New Roman" w:cs="Times New Roman"/>
          <w:sz w:val="24"/>
          <w:szCs w:val="24"/>
        </w:rPr>
        <w:t xml:space="preserve"> jau minėtoje išvadoje</w:t>
      </w:r>
      <w:r w:rsidRPr="007344EA">
        <w:rPr>
          <w:rFonts w:ascii="Times New Roman" w:hAnsi="Times New Roman" w:cs="Times New Roman"/>
          <w:sz w:val="24"/>
          <w:szCs w:val="24"/>
        </w:rPr>
        <w:t xml:space="preserve"> </w:t>
      </w:r>
      <w:r w:rsidRPr="007344EA">
        <w:rPr>
          <w:rFonts w:ascii="Times New Roman" w:hAnsi="Times New Roman" w:cs="Times New Roman"/>
          <w:i/>
          <w:sz w:val="24"/>
          <w:szCs w:val="24"/>
        </w:rPr>
        <w:t>Penzugyi Lizing</w:t>
      </w:r>
      <w:r w:rsidRPr="007344EA">
        <w:rPr>
          <w:rFonts w:ascii="Times New Roman" w:hAnsi="Times New Roman" w:cs="Times New Roman"/>
          <w:sz w:val="24"/>
          <w:szCs w:val="24"/>
        </w:rPr>
        <w:t xml:space="preserve"> taip pat </w:t>
      </w:r>
      <w:r w:rsidR="00221D46" w:rsidRPr="007344EA">
        <w:rPr>
          <w:rFonts w:ascii="Times New Roman" w:hAnsi="Times New Roman" w:cs="Times New Roman"/>
          <w:sz w:val="24"/>
          <w:szCs w:val="24"/>
        </w:rPr>
        <w:t>yra pabrėžusi</w:t>
      </w:r>
      <w:r w:rsidRPr="007344EA">
        <w:rPr>
          <w:rFonts w:ascii="Times New Roman" w:hAnsi="Times New Roman" w:cs="Times New Roman"/>
          <w:sz w:val="24"/>
          <w:szCs w:val="24"/>
        </w:rPr>
        <w:t xml:space="preserve"> prejudicinio sprendimo svarbą </w:t>
      </w:r>
      <w:r w:rsidR="00DC5C3F" w:rsidRPr="007344EA">
        <w:rPr>
          <w:rFonts w:ascii="Times New Roman" w:hAnsi="Times New Roman" w:cs="Times New Roman"/>
          <w:sz w:val="24"/>
          <w:szCs w:val="24"/>
        </w:rPr>
        <w:t>užtikrinant subjektinių teisių apsaugą. „Čia reikia atsižvelgti į tai, kad prejudicinio sprendimo priėmimo procedūra ne tik atlieka objektyvią funkciją – užtikrinti vienodą Bendrijos teisės taikymą valstybėse narėse, – bet yra taip pat svarbi užtikrinant individualią teisminę apsaugą. Juk fiziniai ir juridiniai asmenys, kuriems EB 230 straipsnio 4 dalimi</w:t>
      </w:r>
      <w:r w:rsidR="00552F5B" w:rsidRPr="007344EA">
        <w:rPr>
          <w:rFonts w:ascii="Times New Roman" w:hAnsi="Times New Roman" w:cs="Times New Roman"/>
          <w:sz w:val="24"/>
          <w:szCs w:val="24"/>
        </w:rPr>
        <w:t xml:space="preserve"> (SESV 263 str. 4 d.</w:t>
      </w:r>
      <w:r w:rsidR="00224D1C" w:rsidRPr="007344EA">
        <w:rPr>
          <w:rFonts w:ascii="Times New Roman" w:hAnsi="Times New Roman" w:cs="Times New Roman"/>
          <w:sz w:val="24"/>
          <w:szCs w:val="24"/>
        </w:rPr>
        <w:t xml:space="preserve"> −</w:t>
      </w:r>
      <w:r w:rsidR="004B5440" w:rsidRPr="007344EA">
        <w:rPr>
          <w:rFonts w:ascii="Times New Roman" w:hAnsi="Times New Roman" w:cs="Times New Roman"/>
          <w:sz w:val="24"/>
          <w:szCs w:val="24"/>
        </w:rPr>
        <w:t xml:space="preserve"> aut. past.</w:t>
      </w:r>
      <w:r w:rsidR="00552F5B" w:rsidRPr="007344EA">
        <w:rPr>
          <w:rFonts w:ascii="Times New Roman" w:hAnsi="Times New Roman" w:cs="Times New Roman"/>
          <w:sz w:val="24"/>
          <w:szCs w:val="24"/>
        </w:rPr>
        <w:t>)</w:t>
      </w:r>
      <w:r w:rsidR="00DC5C3F" w:rsidRPr="007344EA">
        <w:rPr>
          <w:rFonts w:ascii="Times New Roman" w:hAnsi="Times New Roman" w:cs="Times New Roman"/>
          <w:sz w:val="24"/>
          <w:szCs w:val="24"/>
        </w:rPr>
        <w:t xml:space="preserve"> suteikiama tik ribota teisė pareikšti ieškinį dėl Bendrijos</w:t>
      </w:r>
      <w:r w:rsidR="000E68D8" w:rsidRPr="007344EA">
        <w:rPr>
          <w:rFonts w:ascii="Times New Roman" w:hAnsi="Times New Roman" w:cs="Times New Roman"/>
          <w:sz w:val="24"/>
          <w:szCs w:val="24"/>
        </w:rPr>
        <w:t xml:space="preserve"> </w:t>
      </w:r>
      <w:r w:rsidR="00DC5C3F" w:rsidRPr="007344EA">
        <w:rPr>
          <w:rFonts w:ascii="Times New Roman" w:hAnsi="Times New Roman" w:cs="Times New Roman"/>
          <w:sz w:val="24"/>
          <w:szCs w:val="24"/>
        </w:rPr>
        <w:t>teisės akto, būdami šalimis valstybės narės teismo procese turi galimybę nacionaliniame teisme užginčyti su byla susijusio teisės akto galiojimą arba pasinaudoti prejudicinio sprendimo priėmimo procedūra Teisingumo Teisme ir pasiekti sau palankų Bendrijos</w:t>
      </w:r>
      <w:r w:rsidR="00B4136E" w:rsidRPr="007344EA">
        <w:rPr>
          <w:rFonts w:ascii="Times New Roman" w:hAnsi="Times New Roman" w:cs="Times New Roman"/>
          <w:sz w:val="24"/>
          <w:szCs w:val="24"/>
        </w:rPr>
        <w:t xml:space="preserve"> </w:t>
      </w:r>
      <w:r w:rsidR="00DC5C3F" w:rsidRPr="007344EA">
        <w:rPr>
          <w:rFonts w:ascii="Times New Roman" w:hAnsi="Times New Roman" w:cs="Times New Roman"/>
          <w:sz w:val="24"/>
          <w:szCs w:val="24"/>
        </w:rPr>
        <w:t>teisės akto aiškinimą</w:t>
      </w:r>
      <w:r w:rsidR="00AC033E" w:rsidRPr="007344EA">
        <w:rPr>
          <w:rFonts w:ascii="Times New Roman" w:hAnsi="Times New Roman" w:cs="Times New Roman"/>
          <w:sz w:val="24"/>
          <w:szCs w:val="24"/>
        </w:rPr>
        <w:t>.</w:t>
      </w:r>
      <w:r w:rsidR="00DC5C3F" w:rsidRPr="007344EA">
        <w:rPr>
          <w:rFonts w:ascii="Times New Roman" w:hAnsi="Times New Roman" w:cs="Times New Roman"/>
          <w:sz w:val="24"/>
          <w:szCs w:val="24"/>
        </w:rPr>
        <w:t>“</w:t>
      </w:r>
      <w:r w:rsidR="00DC5C3F" w:rsidRPr="007344EA">
        <w:rPr>
          <w:rStyle w:val="FootnoteReference"/>
          <w:rFonts w:ascii="Times New Roman" w:hAnsi="Times New Roman"/>
          <w:sz w:val="24"/>
          <w:szCs w:val="24"/>
        </w:rPr>
        <w:footnoteReference w:id="108"/>
      </w:r>
    </w:p>
    <w:p w:rsidR="00FF6127" w:rsidRPr="007344EA" w:rsidRDefault="001821CF"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Šiame poskyryje Teisingumo Teismo bylų</w:t>
      </w:r>
      <w:r w:rsidR="0005120E" w:rsidRPr="007344EA">
        <w:rPr>
          <w:rFonts w:ascii="Times New Roman" w:hAnsi="Times New Roman" w:cs="Times New Roman"/>
          <w:sz w:val="24"/>
          <w:szCs w:val="24"/>
        </w:rPr>
        <w:t xml:space="preserve"> faktinės bei teisinės </w:t>
      </w:r>
      <w:r w:rsidR="00144930" w:rsidRPr="007344EA">
        <w:rPr>
          <w:rFonts w:ascii="Times New Roman" w:hAnsi="Times New Roman" w:cs="Times New Roman"/>
          <w:sz w:val="24"/>
          <w:szCs w:val="24"/>
        </w:rPr>
        <w:t>aplinkybės</w:t>
      </w:r>
      <w:r w:rsidR="008B5C21" w:rsidRPr="007344EA">
        <w:rPr>
          <w:rFonts w:ascii="Times New Roman" w:hAnsi="Times New Roman" w:cs="Times New Roman"/>
          <w:sz w:val="24"/>
          <w:szCs w:val="24"/>
        </w:rPr>
        <w:t>, susijusių su D</w:t>
      </w:r>
      <w:r w:rsidRPr="007344EA">
        <w:rPr>
          <w:rFonts w:ascii="Times New Roman" w:hAnsi="Times New Roman" w:cs="Times New Roman"/>
          <w:sz w:val="24"/>
          <w:szCs w:val="24"/>
        </w:rPr>
        <w:t>irektyvos 93/13 ai</w:t>
      </w:r>
      <w:r w:rsidR="00144930" w:rsidRPr="007344EA">
        <w:rPr>
          <w:rFonts w:ascii="Times New Roman" w:hAnsi="Times New Roman" w:cs="Times New Roman"/>
          <w:sz w:val="24"/>
          <w:szCs w:val="24"/>
        </w:rPr>
        <w:t xml:space="preserve">škinimu, </w:t>
      </w:r>
      <w:r w:rsidR="00497021" w:rsidRPr="007344EA">
        <w:rPr>
          <w:rFonts w:ascii="Times New Roman" w:hAnsi="Times New Roman" w:cs="Times New Roman"/>
          <w:sz w:val="24"/>
          <w:szCs w:val="24"/>
        </w:rPr>
        <w:t xml:space="preserve">pateikiamos </w:t>
      </w:r>
      <w:r w:rsidR="00FF6127" w:rsidRPr="007344EA">
        <w:rPr>
          <w:rFonts w:ascii="Times New Roman" w:hAnsi="Times New Roman" w:cs="Times New Roman"/>
          <w:sz w:val="24"/>
          <w:szCs w:val="24"/>
        </w:rPr>
        <w:t>ne chronologine tvarka, tačiau pag</w:t>
      </w:r>
      <w:r w:rsidR="00037405" w:rsidRPr="007344EA">
        <w:rPr>
          <w:rFonts w:ascii="Times New Roman" w:hAnsi="Times New Roman" w:cs="Times New Roman"/>
          <w:sz w:val="24"/>
          <w:szCs w:val="24"/>
        </w:rPr>
        <w:t>al nacionalinio teismo pateikt</w:t>
      </w:r>
      <w:r w:rsidR="00074210" w:rsidRPr="007344EA">
        <w:rPr>
          <w:rFonts w:ascii="Times New Roman" w:hAnsi="Times New Roman" w:cs="Times New Roman"/>
          <w:sz w:val="24"/>
          <w:szCs w:val="24"/>
        </w:rPr>
        <w:t>ų prejudicinių klausimų pobūdį.</w:t>
      </w:r>
      <w:r w:rsidR="00497021" w:rsidRPr="007344EA">
        <w:rPr>
          <w:rFonts w:ascii="Times New Roman" w:hAnsi="Times New Roman" w:cs="Times New Roman"/>
          <w:sz w:val="24"/>
          <w:szCs w:val="24"/>
        </w:rPr>
        <w:t xml:space="preserve"> </w:t>
      </w:r>
      <w:r w:rsidR="007B07F0" w:rsidRPr="007344EA">
        <w:rPr>
          <w:rFonts w:ascii="Times New Roman" w:hAnsi="Times New Roman" w:cs="Times New Roman"/>
          <w:sz w:val="24"/>
          <w:szCs w:val="24"/>
        </w:rPr>
        <w:t xml:space="preserve">Toks </w:t>
      </w:r>
      <w:r w:rsidR="008D3F6D" w:rsidRPr="007344EA">
        <w:rPr>
          <w:rFonts w:ascii="Times New Roman" w:hAnsi="Times New Roman" w:cs="Times New Roman"/>
          <w:sz w:val="24"/>
          <w:szCs w:val="24"/>
        </w:rPr>
        <w:t>skirstymas pa</w:t>
      </w:r>
      <w:r w:rsidR="001E7987" w:rsidRPr="007344EA">
        <w:rPr>
          <w:rFonts w:ascii="Times New Roman" w:hAnsi="Times New Roman" w:cs="Times New Roman"/>
          <w:sz w:val="24"/>
          <w:szCs w:val="24"/>
        </w:rPr>
        <w:t>lengvins bylų analizę kituose šio magistro baigiamojo darbo skyriuose.</w:t>
      </w:r>
      <w:r w:rsidR="008D3F6D" w:rsidRPr="007344EA">
        <w:rPr>
          <w:rFonts w:ascii="Times New Roman" w:hAnsi="Times New Roman" w:cs="Times New Roman"/>
          <w:sz w:val="24"/>
          <w:szCs w:val="24"/>
        </w:rPr>
        <w:t xml:space="preserve"> </w:t>
      </w:r>
      <w:r w:rsidR="007B07F0" w:rsidRPr="007344EA">
        <w:rPr>
          <w:rFonts w:ascii="Times New Roman" w:hAnsi="Times New Roman" w:cs="Times New Roman"/>
          <w:sz w:val="24"/>
          <w:szCs w:val="24"/>
        </w:rPr>
        <w:t xml:space="preserve">Bylas </w:t>
      </w:r>
      <w:r w:rsidR="00B157B7" w:rsidRPr="007344EA">
        <w:rPr>
          <w:rFonts w:ascii="Times New Roman" w:hAnsi="Times New Roman" w:cs="Times New Roman"/>
          <w:sz w:val="24"/>
          <w:szCs w:val="24"/>
        </w:rPr>
        <w:t xml:space="preserve">pagal nacionaliniams teismams iškilusių klausimų pobūdį </w:t>
      </w:r>
      <w:r w:rsidR="007B07F0" w:rsidRPr="007344EA">
        <w:rPr>
          <w:rFonts w:ascii="Times New Roman" w:hAnsi="Times New Roman" w:cs="Times New Roman"/>
          <w:sz w:val="24"/>
          <w:szCs w:val="24"/>
        </w:rPr>
        <w:t>galima išskirti į šias grupes</w:t>
      </w:r>
      <w:r w:rsidR="00497021" w:rsidRPr="007344EA">
        <w:rPr>
          <w:rFonts w:ascii="Times New Roman" w:hAnsi="Times New Roman" w:cs="Times New Roman"/>
          <w:sz w:val="24"/>
          <w:szCs w:val="24"/>
        </w:rPr>
        <w:t xml:space="preserve">: </w:t>
      </w:r>
      <w:r w:rsidR="00074210" w:rsidRPr="007344EA">
        <w:rPr>
          <w:rFonts w:ascii="Times New Roman" w:hAnsi="Times New Roman" w:cs="Times New Roman"/>
          <w:sz w:val="24"/>
          <w:szCs w:val="24"/>
        </w:rPr>
        <w:t xml:space="preserve">nacionalinio teismo </w:t>
      </w:r>
      <w:r w:rsidR="008A7E08" w:rsidRPr="007344EA">
        <w:rPr>
          <w:rFonts w:ascii="Times New Roman" w:hAnsi="Times New Roman" w:cs="Times New Roman"/>
          <w:sz w:val="24"/>
          <w:szCs w:val="24"/>
        </w:rPr>
        <w:t>galimybė</w:t>
      </w:r>
      <w:r w:rsidR="00047AA7" w:rsidRPr="007344EA">
        <w:rPr>
          <w:rFonts w:ascii="Times New Roman" w:hAnsi="Times New Roman" w:cs="Times New Roman"/>
          <w:i/>
          <w:sz w:val="24"/>
          <w:szCs w:val="24"/>
        </w:rPr>
        <w:t xml:space="preserve"> ex officio</w:t>
      </w:r>
      <w:r w:rsidR="00047AA7" w:rsidRPr="007344EA">
        <w:rPr>
          <w:rFonts w:ascii="Times New Roman" w:hAnsi="Times New Roman" w:cs="Times New Roman"/>
          <w:sz w:val="24"/>
          <w:szCs w:val="24"/>
        </w:rPr>
        <w:t xml:space="preserve"> nustatyti nesąžiningas sąl</w:t>
      </w:r>
      <w:r w:rsidR="007B07F0" w:rsidRPr="007344EA">
        <w:rPr>
          <w:rFonts w:ascii="Times New Roman" w:hAnsi="Times New Roman" w:cs="Times New Roman"/>
          <w:sz w:val="24"/>
          <w:szCs w:val="24"/>
        </w:rPr>
        <w:t xml:space="preserve">ygas sutartyse su vartotojais, </w:t>
      </w:r>
      <w:r w:rsidR="009B5BF6" w:rsidRPr="007344EA">
        <w:rPr>
          <w:rFonts w:ascii="Times New Roman" w:hAnsi="Times New Roman" w:cs="Times New Roman"/>
          <w:sz w:val="24"/>
          <w:szCs w:val="24"/>
        </w:rPr>
        <w:t>D</w:t>
      </w:r>
      <w:r w:rsidR="008D3F6D" w:rsidRPr="007344EA">
        <w:rPr>
          <w:rFonts w:ascii="Times New Roman" w:hAnsi="Times New Roman" w:cs="Times New Roman"/>
          <w:sz w:val="24"/>
          <w:szCs w:val="24"/>
        </w:rPr>
        <w:t>irektyvos</w:t>
      </w:r>
      <w:r w:rsidR="004B5440" w:rsidRPr="007344EA">
        <w:rPr>
          <w:rFonts w:ascii="Times New Roman" w:hAnsi="Times New Roman" w:cs="Times New Roman"/>
          <w:sz w:val="24"/>
          <w:szCs w:val="24"/>
        </w:rPr>
        <w:t xml:space="preserve"> 93/13</w:t>
      </w:r>
      <w:r w:rsidR="008D3F6D" w:rsidRPr="007344EA">
        <w:rPr>
          <w:rFonts w:ascii="Times New Roman" w:hAnsi="Times New Roman" w:cs="Times New Roman"/>
          <w:sz w:val="24"/>
          <w:szCs w:val="24"/>
        </w:rPr>
        <w:t xml:space="preserve"> taikymo </w:t>
      </w:r>
      <w:r w:rsidR="009B5BF6" w:rsidRPr="007344EA">
        <w:rPr>
          <w:rFonts w:ascii="Times New Roman" w:hAnsi="Times New Roman" w:cs="Times New Roman"/>
          <w:sz w:val="24"/>
          <w:szCs w:val="24"/>
        </w:rPr>
        <w:t xml:space="preserve">sritis tiek </w:t>
      </w:r>
      <w:r w:rsidR="009B5BF6" w:rsidRPr="007344EA">
        <w:rPr>
          <w:rFonts w:ascii="Times New Roman" w:hAnsi="Times New Roman" w:cs="Times New Roman"/>
          <w:i/>
          <w:sz w:val="24"/>
          <w:szCs w:val="24"/>
        </w:rPr>
        <w:t>ratione personae</w:t>
      </w:r>
      <w:r w:rsidR="009B5BF6" w:rsidRPr="007344EA">
        <w:rPr>
          <w:rFonts w:ascii="Times New Roman" w:hAnsi="Times New Roman" w:cs="Times New Roman"/>
          <w:sz w:val="24"/>
          <w:szCs w:val="24"/>
        </w:rPr>
        <w:t xml:space="preserve">, tiek </w:t>
      </w:r>
      <w:r w:rsidR="009B5BF6" w:rsidRPr="007344EA">
        <w:rPr>
          <w:rFonts w:ascii="Times New Roman" w:hAnsi="Times New Roman" w:cs="Times New Roman"/>
          <w:i/>
          <w:sz w:val="24"/>
          <w:szCs w:val="24"/>
        </w:rPr>
        <w:t>ratione materiale</w:t>
      </w:r>
      <w:r w:rsidR="003553CC" w:rsidRPr="007344EA">
        <w:rPr>
          <w:rFonts w:ascii="Times New Roman" w:hAnsi="Times New Roman" w:cs="Times New Roman"/>
          <w:sz w:val="24"/>
          <w:szCs w:val="24"/>
        </w:rPr>
        <w:t xml:space="preserve"> </w:t>
      </w:r>
      <w:r w:rsidR="00D7002F" w:rsidRPr="007344EA">
        <w:rPr>
          <w:rFonts w:ascii="Times New Roman" w:hAnsi="Times New Roman" w:cs="Times New Roman"/>
          <w:sz w:val="24"/>
          <w:szCs w:val="24"/>
        </w:rPr>
        <w:t xml:space="preserve">atžvilgiu </w:t>
      </w:r>
      <w:r w:rsidR="003553CC" w:rsidRPr="007344EA">
        <w:rPr>
          <w:rFonts w:ascii="Times New Roman" w:hAnsi="Times New Roman" w:cs="Times New Roman"/>
          <w:sz w:val="24"/>
          <w:szCs w:val="24"/>
        </w:rPr>
        <w:t>bei</w:t>
      </w:r>
      <w:r w:rsidR="008B5C21" w:rsidRPr="007344EA">
        <w:rPr>
          <w:rFonts w:ascii="Times New Roman" w:hAnsi="Times New Roman" w:cs="Times New Roman"/>
          <w:sz w:val="24"/>
          <w:szCs w:val="24"/>
        </w:rPr>
        <w:t xml:space="preserve"> kitokio pobūdžio klausimai, kilę nacionaliniams teismams. </w:t>
      </w:r>
      <w:r w:rsidR="00CD733E" w:rsidRPr="007344EA">
        <w:rPr>
          <w:rFonts w:ascii="Times New Roman" w:hAnsi="Times New Roman" w:cs="Times New Roman"/>
          <w:sz w:val="24"/>
          <w:szCs w:val="24"/>
        </w:rPr>
        <w:t xml:space="preserve">Neretai nacionalinis teismas Teisingumo Teismui pateikia kelis prejudicinius klausimus, todėl šis skirstymas nėra griežtas ir tam tikrą bylą galima priskirti prie kelių sričių. </w:t>
      </w:r>
    </w:p>
    <w:p w:rsidR="00EF1FEB" w:rsidRPr="007344EA" w:rsidRDefault="00EF1FEB" w:rsidP="006E00E1">
      <w:pPr>
        <w:spacing w:after="0" w:line="360" w:lineRule="auto"/>
        <w:ind w:firstLine="1296"/>
        <w:jc w:val="both"/>
        <w:rPr>
          <w:rFonts w:ascii="Times New Roman" w:hAnsi="Times New Roman" w:cs="Times New Roman"/>
          <w:sz w:val="24"/>
          <w:szCs w:val="24"/>
        </w:rPr>
      </w:pPr>
    </w:p>
    <w:p w:rsidR="00327467" w:rsidRPr="007344EA" w:rsidRDefault="00DF6FD4" w:rsidP="00175933">
      <w:pPr>
        <w:pStyle w:val="Heading3"/>
        <w:rPr>
          <w:rFonts w:ascii="Times New Roman" w:hAnsi="Times New Roman" w:cs="Times New Roman"/>
          <w:color w:val="000000" w:themeColor="text1"/>
          <w:sz w:val="24"/>
          <w:szCs w:val="24"/>
        </w:rPr>
      </w:pPr>
      <w:bookmarkStart w:id="5" w:name="_Toc344337155"/>
      <w:r w:rsidRPr="007344EA">
        <w:rPr>
          <w:rFonts w:ascii="Times New Roman" w:hAnsi="Times New Roman" w:cs="Times New Roman"/>
          <w:color w:val="000000" w:themeColor="text1"/>
          <w:sz w:val="24"/>
          <w:szCs w:val="24"/>
        </w:rPr>
        <w:t>2</w:t>
      </w:r>
      <w:r w:rsidR="00327467" w:rsidRPr="007344EA">
        <w:rPr>
          <w:rFonts w:ascii="Times New Roman" w:hAnsi="Times New Roman" w:cs="Times New Roman"/>
          <w:color w:val="000000" w:themeColor="text1"/>
          <w:sz w:val="24"/>
          <w:szCs w:val="24"/>
        </w:rPr>
        <w:t>.1.1</w:t>
      </w:r>
      <w:r w:rsidRPr="007344EA">
        <w:rPr>
          <w:rFonts w:ascii="Times New Roman" w:hAnsi="Times New Roman" w:cs="Times New Roman"/>
          <w:color w:val="000000" w:themeColor="text1"/>
          <w:sz w:val="24"/>
          <w:szCs w:val="24"/>
        </w:rPr>
        <w:t>.</w:t>
      </w:r>
      <w:r w:rsidR="00327467" w:rsidRPr="007344EA">
        <w:rPr>
          <w:rFonts w:ascii="Times New Roman" w:hAnsi="Times New Roman" w:cs="Times New Roman"/>
          <w:color w:val="000000" w:themeColor="text1"/>
          <w:sz w:val="24"/>
          <w:szCs w:val="24"/>
        </w:rPr>
        <w:t xml:space="preserve"> Nacionalinio teismo galimybė</w:t>
      </w:r>
      <w:r w:rsidR="00327467" w:rsidRPr="007344EA">
        <w:rPr>
          <w:rFonts w:ascii="Times New Roman" w:hAnsi="Times New Roman" w:cs="Times New Roman"/>
          <w:i/>
          <w:color w:val="000000" w:themeColor="text1"/>
          <w:sz w:val="24"/>
          <w:szCs w:val="24"/>
        </w:rPr>
        <w:t xml:space="preserve"> ex officio</w:t>
      </w:r>
      <w:r w:rsidR="00327467" w:rsidRPr="007344EA">
        <w:rPr>
          <w:rFonts w:ascii="Times New Roman" w:hAnsi="Times New Roman" w:cs="Times New Roman"/>
          <w:color w:val="000000" w:themeColor="text1"/>
          <w:sz w:val="24"/>
          <w:szCs w:val="24"/>
        </w:rPr>
        <w:t xml:space="preserve"> nustatyti nesąžiningas sąlygas bei su tuo susijusios problemos.</w:t>
      </w:r>
      <w:bookmarkEnd w:id="5"/>
    </w:p>
    <w:p w:rsidR="00EF1FEB" w:rsidRPr="007344EA" w:rsidRDefault="00EF1FEB" w:rsidP="006E00E1">
      <w:pPr>
        <w:spacing w:after="0" w:line="360" w:lineRule="auto"/>
        <w:ind w:firstLine="720"/>
        <w:jc w:val="both"/>
        <w:rPr>
          <w:rFonts w:ascii="Times New Roman" w:hAnsi="Times New Roman" w:cs="Times New Roman"/>
          <w:b/>
          <w:sz w:val="24"/>
          <w:szCs w:val="24"/>
        </w:rPr>
      </w:pPr>
    </w:p>
    <w:p w:rsidR="006B0169" w:rsidRPr="007344EA" w:rsidRDefault="00B157B7" w:rsidP="006E00E1">
      <w:pPr>
        <w:spacing w:after="0" w:line="360" w:lineRule="auto"/>
        <w:ind w:firstLine="720"/>
        <w:jc w:val="both"/>
        <w:rPr>
          <w:rFonts w:ascii="Times New Roman" w:hAnsi="Times New Roman" w:cs="Times New Roman"/>
          <w:sz w:val="24"/>
          <w:szCs w:val="24"/>
        </w:rPr>
      </w:pPr>
      <w:r w:rsidRPr="007344EA">
        <w:rPr>
          <w:rFonts w:ascii="Times New Roman" w:hAnsi="Times New Roman" w:cs="Times New Roman"/>
          <w:sz w:val="24"/>
          <w:szCs w:val="24"/>
        </w:rPr>
        <w:tab/>
        <w:t xml:space="preserve">Pirmoji </w:t>
      </w:r>
      <w:r w:rsidR="000F0DD7" w:rsidRPr="007344EA">
        <w:rPr>
          <w:rFonts w:ascii="Times New Roman" w:hAnsi="Times New Roman" w:cs="Times New Roman"/>
          <w:sz w:val="24"/>
          <w:szCs w:val="24"/>
        </w:rPr>
        <w:t xml:space="preserve">bylų </w:t>
      </w:r>
      <w:r w:rsidRPr="007344EA">
        <w:rPr>
          <w:rFonts w:ascii="Times New Roman" w:hAnsi="Times New Roman" w:cs="Times New Roman"/>
          <w:sz w:val="24"/>
          <w:szCs w:val="24"/>
        </w:rPr>
        <w:t>grupė susijusi su  nacionalinio t</w:t>
      </w:r>
      <w:r w:rsidR="00CD733E" w:rsidRPr="007344EA">
        <w:rPr>
          <w:rFonts w:ascii="Times New Roman" w:hAnsi="Times New Roman" w:cs="Times New Roman"/>
          <w:sz w:val="24"/>
          <w:szCs w:val="24"/>
        </w:rPr>
        <w:t>eismo teis</w:t>
      </w:r>
      <w:r w:rsidRPr="007344EA">
        <w:rPr>
          <w:rFonts w:ascii="Times New Roman" w:hAnsi="Times New Roman" w:cs="Times New Roman"/>
          <w:sz w:val="24"/>
          <w:szCs w:val="24"/>
        </w:rPr>
        <w:t xml:space="preserve">e </w:t>
      </w:r>
      <w:r w:rsidR="00CD733E" w:rsidRPr="007344EA">
        <w:rPr>
          <w:rFonts w:ascii="Times New Roman" w:hAnsi="Times New Roman" w:cs="Times New Roman"/>
          <w:i/>
          <w:sz w:val="24"/>
          <w:szCs w:val="24"/>
        </w:rPr>
        <w:t>ex officio</w:t>
      </w:r>
      <w:r w:rsidR="00CD733E" w:rsidRPr="007344EA">
        <w:rPr>
          <w:rFonts w:ascii="Times New Roman" w:hAnsi="Times New Roman" w:cs="Times New Roman"/>
          <w:sz w:val="24"/>
          <w:szCs w:val="24"/>
        </w:rPr>
        <w:t xml:space="preserve"> nustatyti ar tam tikra </w:t>
      </w:r>
      <w:r w:rsidR="000F0DD7" w:rsidRPr="007344EA">
        <w:rPr>
          <w:rFonts w:ascii="Times New Roman" w:hAnsi="Times New Roman" w:cs="Times New Roman"/>
          <w:sz w:val="24"/>
          <w:szCs w:val="24"/>
        </w:rPr>
        <w:t>sutarties sąlyga yra nesąžininga</w:t>
      </w:r>
      <w:r w:rsidR="00CD733E" w:rsidRPr="007344EA">
        <w:rPr>
          <w:rFonts w:ascii="Times New Roman" w:hAnsi="Times New Roman" w:cs="Times New Roman"/>
          <w:sz w:val="24"/>
          <w:szCs w:val="24"/>
        </w:rPr>
        <w:t xml:space="preserve"> buvo</w:t>
      </w:r>
      <w:r w:rsidR="000F0DD7" w:rsidRPr="007344EA">
        <w:rPr>
          <w:rFonts w:ascii="Times New Roman" w:hAnsi="Times New Roman" w:cs="Times New Roman"/>
          <w:sz w:val="24"/>
          <w:szCs w:val="24"/>
        </w:rPr>
        <w:t xml:space="preserve"> sprendžiama bylose</w:t>
      </w:r>
      <w:r w:rsidR="00CD733E" w:rsidRPr="007344EA">
        <w:rPr>
          <w:rFonts w:ascii="Times New Roman" w:hAnsi="Times New Roman" w:cs="Times New Roman"/>
          <w:sz w:val="24"/>
          <w:szCs w:val="24"/>
        </w:rPr>
        <w:t xml:space="preserve">: </w:t>
      </w:r>
      <w:r w:rsidR="00CD733E" w:rsidRPr="007344EA">
        <w:rPr>
          <w:rFonts w:ascii="Times New Roman" w:hAnsi="Times New Roman" w:cs="Times New Roman"/>
          <w:i/>
          <w:sz w:val="24"/>
          <w:szCs w:val="24"/>
        </w:rPr>
        <w:t>Oceano,</w:t>
      </w:r>
      <w:r w:rsidR="007E2C71" w:rsidRPr="007344EA">
        <w:rPr>
          <w:rFonts w:ascii="Times New Roman" w:hAnsi="Times New Roman" w:cs="Times New Roman"/>
          <w:i/>
          <w:sz w:val="24"/>
          <w:szCs w:val="24"/>
        </w:rPr>
        <w:t xml:space="preserve"> Cofidis,</w:t>
      </w:r>
      <w:r w:rsidR="00CD733E" w:rsidRPr="007344EA">
        <w:rPr>
          <w:rFonts w:ascii="Times New Roman" w:hAnsi="Times New Roman" w:cs="Times New Roman"/>
          <w:i/>
          <w:sz w:val="24"/>
          <w:szCs w:val="24"/>
        </w:rPr>
        <w:t xml:space="preserve"> </w:t>
      </w:r>
      <w:r w:rsidR="00144930" w:rsidRPr="007344EA">
        <w:rPr>
          <w:rFonts w:ascii="Times New Roman" w:hAnsi="Times New Roman" w:cs="Times New Roman"/>
          <w:i/>
          <w:sz w:val="24"/>
          <w:szCs w:val="24"/>
        </w:rPr>
        <w:t>Pannon,</w:t>
      </w:r>
      <w:r w:rsidR="007B07F0" w:rsidRPr="007344EA">
        <w:rPr>
          <w:rFonts w:ascii="Times New Roman" w:hAnsi="Times New Roman" w:cs="Times New Roman"/>
          <w:i/>
          <w:sz w:val="24"/>
          <w:szCs w:val="24"/>
        </w:rPr>
        <w:t xml:space="preserve"> </w:t>
      </w:r>
      <w:r w:rsidR="00493333" w:rsidRPr="007344EA">
        <w:rPr>
          <w:rFonts w:ascii="Times New Roman" w:hAnsi="Times New Roman" w:cs="Times New Roman"/>
          <w:i/>
          <w:sz w:val="24"/>
          <w:szCs w:val="24"/>
        </w:rPr>
        <w:t>Asturcom,</w:t>
      </w:r>
      <w:r w:rsidR="00B32FE1" w:rsidRPr="007344EA">
        <w:rPr>
          <w:rFonts w:ascii="Times New Roman" w:hAnsi="Times New Roman" w:cs="Times New Roman"/>
          <w:i/>
          <w:sz w:val="24"/>
          <w:szCs w:val="24"/>
        </w:rPr>
        <w:t xml:space="preserve"> Claro,</w:t>
      </w:r>
      <w:r w:rsidR="00225B8C" w:rsidRPr="007344EA">
        <w:rPr>
          <w:rFonts w:ascii="Times New Roman" w:hAnsi="Times New Roman" w:cs="Times New Roman"/>
          <w:i/>
          <w:sz w:val="24"/>
          <w:szCs w:val="24"/>
        </w:rPr>
        <w:t xml:space="preserve"> Pohotovost, Penzugyi Lizing</w:t>
      </w:r>
      <w:r w:rsidR="00D0159F" w:rsidRPr="007344EA">
        <w:rPr>
          <w:rFonts w:ascii="Times New Roman" w:hAnsi="Times New Roman" w:cs="Times New Roman"/>
          <w:i/>
          <w:sz w:val="24"/>
          <w:szCs w:val="24"/>
        </w:rPr>
        <w:t>, Banco Espanol</w:t>
      </w:r>
      <w:r w:rsidR="00FF776D" w:rsidRPr="007344EA">
        <w:rPr>
          <w:rFonts w:ascii="Times New Roman" w:hAnsi="Times New Roman" w:cs="Times New Roman"/>
          <w:i/>
          <w:sz w:val="24"/>
          <w:szCs w:val="24"/>
        </w:rPr>
        <w:t xml:space="preserve">. </w:t>
      </w:r>
    </w:p>
    <w:p w:rsidR="000B390C" w:rsidRPr="007344EA" w:rsidRDefault="000B390C"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lastRenderedPageBreak/>
        <w:t xml:space="preserve">Pats pirmasis prejudicinis sprendimas, aiškinantis Direktyvos 93/13 nuostatas, priimtas byloje </w:t>
      </w:r>
      <w:r w:rsidRPr="007344EA">
        <w:rPr>
          <w:rFonts w:ascii="Times New Roman" w:hAnsi="Times New Roman" w:cs="Times New Roman"/>
          <w:i/>
          <w:sz w:val="24"/>
          <w:szCs w:val="24"/>
        </w:rPr>
        <w:t>Oceano</w:t>
      </w:r>
      <w:r w:rsidRPr="007344EA">
        <w:rPr>
          <w:rStyle w:val="FootnoteReference"/>
          <w:rFonts w:ascii="Times New Roman" w:hAnsi="Times New Roman"/>
          <w:sz w:val="24"/>
          <w:szCs w:val="24"/>
        </w:rPr>
        <w:footnoteReference w:id="109"/>
      </w:r>
      <w:r w:rsidR="00224D1C" w:rsidRPr="007344EA">
        <w:rPr>
          <w:rFonts w:ascii="Times New Roman" w:hAnsi="Times New Roman" w:cs="Times New Roman"/>
          <w:i/>
          <w:sz w:val="24"/>
          <w:szCs w:val="24"/>
        </w:rPr>
        <w:t xml:space="preserve"> </w:t>
      </w:r>
      <w:r w:rsidR="00224D1C" w:rsidRPr="007344EA">
        <w:rPr>
          <w:rFonts w:ascii="Times New Roman" w:hAnsi="Times New Roman" w:cs="Times New Roman"/>
          <w:sz w:val="24"/>
          <w:szCs w:val="24"/>
        </w:rPr>
        <w:t>−</w:t>
      </w:r>
      <w:r w:rsidR="00124818" w:rsidRPr="007344EA">
        <w:rPr>
          <w:rFonts w:ascii="Times New Roman" w:hAnsi="Times New Roman" w:cs="Times New Roman"/>
          <w:sz w:val="24"/>
          <w:szCs w:val="24"/>
        </w:rPr>
        <w:t xml:space="preserve"> į Teisingumo Teismą kreipėsi Ispanijos teismas. </w:t>
      </w:r>
      <w:r w:rsidR="00000A7F" w:rsidRPr="007344EA">
        <w:rPr>
          <w:rFonts w:ascii="Times New Roman" w:hAnsi="Times New Roman" w:cs="Times New Roman"/>
          <w:sz w:val="24"/>
          <w:szCs w:val="24"/>
        </w:rPr>
        <w:t>Vartotojai su verslininku</w:t>
      </w:r>
      <w:r w:rsidR="006065A7" w:rsidRPr="007344EA">
        <w:rPr>
          <w:rFonts w:ascii="Times New Roman" w:hAnsi="Times New Roman" w:cs="Times New Roman"/>
          <w:sz w:val="24"/>
          <w:szCs w:val="24"/>
        </w:rPr>
        <w:t xml:space="preserve"> susitarė pagal iš anksto paruoš</w:t>
      </w:r>
      <w:r w:rsidR="00000A7F" w:rsidRPr="007344EA">
        <w:rPr>
          <w:rFonts w:ascii="Times New Roman" w:hAnsi="Times New Roman" w:cs="Times New Roman"/>
          <w:sz w:val="24"/>
          <w:szCs w:val="24"/>
        </w:rPr>
        <w:t>tas sutart</w:t>
      </w:r>
      <w:r w:rsidR="00124818" w:rsidRPr="007344EA">
        <w:rPr>
          <w:rFonts w:ascii="Times New Roman" w:hAnsi="Times New Roman" w:cs="Times New Roman"/>
          <w:sz w:val="24"/>
          <w:szCs w:val="24"/>
        </w:rPr>
        <w:t>is dėl enciklopedijų rinkinių p</w:t>
      </w:r>
      <w:r w:rsidR="00000A7F" w:rsidRPr="007344EA">
        <w:rPr>
          <w:rFonts w:ascii="Times New Roman" w:hAnsi="Times New Roman" w:cs="Times New Roman"/>
          <w:sz w:val="24"/>
          <w:szCs w:val="24"/>
        </w:rPr>
        <w:t>i</w:t>
      </w:r>
      <w:r w:rsidR="00124818" w:rsidRPr="007344EA">
        <w:rPr>
          <w:rFonts w:ascii="Times New Roman" w:hAnsi="Times New Roman" w:cs="Times New Roman"/>
          <w:sz w:val="24"/>
          <w:szCs w:val="24"/>
        </w:rPr>
        <w:t>r</w:t>
      </w:r>
      <w:r w:rsidR="00000A7F" w:rsidRPr="007344EA">
        <w:rPr>
          <w:rFonts w:ascii="Times New Roman" w:hAnsi="Times New Roman" w:cs="Times New Roman"/>
          <w:sz w:val="24"/>
          <w:szCs w:val="24"/>
        </w:rPr>
        <w:t xml:space="preserve">kimo. </w:t>
      </w:r>
      <w:r w:rsidR="005C123F" w:rsidRPr="007344EA">
        <w:rPr>
          <w:rFonts w:ascii="Times New Roman" w:hAnsi="Times New Roman" w:cs="Times New Roman"/>
          <w:sz w:val="24"/>
          <w:szCs w:val="24"/>
        </w:rPr>
        <w:t>Pirkėjai</w:t>
      </w:r>
      <w:r w:rsidR="00000A7F" w:rsidRPr="007344EA">
        <w:rPr>
          <w:rFonts w:ascii="Times New Roman" w:hAnsi="Times New Roman" w:cs="Times New Roman"/>
          <w:sz w:val="24"/>
          <w:szCs w:val="24"/>
        </w:rPr>
        <w:t xml:space="preserve"> iki sutartos datos nesumok</w:t>
      </w:r>
      <w:r w:rsidR="0009159A" w:rsidRPr="007344EA">
        <w:rPr>
          <w:rFonts w:ascii="Times New Roman" w:hAnsi="Times New Roman" w:cs="Times New Roman"/>
          <w:sz w:val="24"/>
          <w:szCs w:val="24"/>
        </w:rPr>
        <w:t>ėjo įmokų už knygas. Ieškovas (pardavėjas</w:t>
      </w:r>
      <w:r w:rsidR="00000A7F" w:rsidRPr="007344EA">
        <w:rPr>
          <w:rFonts w:ascii="Times New Roman" w:hAnsi="Times New Roman" w:cs="Times New Roman"/>
          <w:sz w:val="24"/>
          <w:szCs w:val="24"/>
        </w:rPr>
        <w:t>) kreipėsi į Barselonos teismą sumarinio proceso tvarka, siekiant pradėti</w:t>
      </w:r>
      <w:r w:rsidR="005C123F" w:rsidRPr="007344EA">
        <w:rPr>
          <w:rFonts w:ascii="Times New Roman" w:hAnsi="Times New Roman" w:cs="Times New Roman"/>
          <w:sz w:val="24"/>
          <w:szCs w:val="24"/>
        </w:rPr>
        <w:t xml:space="preserve"> skolos</w:t>
      </w:r>
      <w:r w:rsidR="00EF1FEB" w:rsidRPr="007344EA">
        <w:rPr>
          <w:rFonts w:ascii="Times New Roman" w:hAnsi="Times New Roman" w:cs="Times New Roman"/>
          <w:sz w:val="24"/>
          <w:szCs w:val="24"/>
        </w:rPr>
        <w:t xml:space="preserve"> išieškojimo procesą, kadangi t</w:t>
      </w:r>
      <w:r w:rsidRPr="007344EA">
        <w:rPr>
          <w:rFonts w:ascii="Times New Roman" w:hAnsi="Times New Roman" w:cs="Times New Roman"/>
          <w:sz w:val="24"/>
          <w:szCs w:val="24"/>
        </w:rPr>
        <w:t xml:space="preserve">ipinėje sutartyje buvo įtvirtinta nuostata, </w:t>
      </w:r>
      <w:r w:rsidR="00EF1FEB" w:rsidRPr="007344EA">
        <w:rPr>
          <w:rFonts w:ascii="Times New Roman" w:hAnsi="Times New Roman" w:cs="Times New Roman"/>
          <w:sz w:val="24"/>
          <w:szCs w:val="24"/>
        </w:rPr>
        <w:t xml:space="preserve">pagal kurią </w:t>
      </w:r>
      <w:r w:rsidRPr="007344EA">
        <w:rPr>
          <w:rFonts w:ascii="Times New Roman" w:hAnsi="Times New Roman" w:cs="Times New Roman"/>
          <w:sz w:val="24"/>
          <w:szCs w:val="24"/>
        </w:rPr>
        <w:t>visi teisminiai ginčiai yra priskiriami</w:t>
      </w:r>
      <w:r w:rsidR="005C123F" w:rsidRPr="007344EA">
        <w:rPr>
          <w:rFonts w:ascii="Times New Roman" w:hAnsi="Times New Roman" w:cs="Times New Roman"/>
          <w:sz w:val="24"/>
          <w:szCs w:val="24"/>
        </w:rPr>
        <w:t xml:space="preserve"> išskirtinai tik</w:t>
      </w:r>
      <w:r w:rsidRPr="007344EA">
        <w:rPr>
          <w:rFonts w:ascii="Times New Roman" w:hAnsi="Times New Roman" w:cs="Times New Roman"/>
          <w:sz w:val="24"/>
          <w:szCs w:val="24"/>
        </w:rPr>
        <w:t xml:space="preserve"> verslininko įsisteigimo vietos teisme</w:t>
      </w:r>
      <w:r w:rsidR="00224D1C"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 Barselonoje, tačiau nei vienas iš vartotojų negyveno minėto teismo</w:t>
      </w:r>
      <w:r w:rsidR="0009159A" w:rsidRPr="007344EA">
        <w:rPr>
          <w:rFonts w:ascii="Times New Roman" w:hAnsi="Times New Roman" w:cs="Times New Roman"/>
          <w:sz w:val="24"/>
          <w:szCs w:val="24"/>
        </w:rPr>
        <w:t xml:space="preserve"> jurisdikcijai priklausančioje </w:t>
      </w:r>
      <w:r w:rsidR="00EC65DF" w:rsidRPr="007344EA">
        <w:rPr>
          <w:rFonts w:ascii="Times New Roman" w:hAnsi="Times New Roman" w:cs="Times New Roman"/>
          <w:sz w:val="24"/>
          <w:szCs w:val="24"/>
        </w:rPr>
        <w:t>teritorijoje</w:t>
      </w:r>
      <w:r w:rsidR="00934D59"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Barselonos pirmosios instancijos teismui kilo abejonė ar pagal Direktyvą 93/13 nacionalinis teismas </w:t>
      </w:r>
      <w:r w:rsidR="0009159A" w:rsidRPr="007344EA">
        <w:rPr>
          <w:rFonts w:ascii="Times New Roman" w:hAnsi="Times New Roman" w:cs="Times New Roman"/>
          <w:sz w:val="24"/>
          <w:szCs w:val="24"/>
        </w:rPr>
        <w:t xml:space="preserve">gali </w:t>
      </w:r>
      <w:r w:rsidRPr="007344EA">
        <w:rPr>
          <w:rFonts w:ascii="Times New Roman" w:hAnsi="Times New Roman" w:cs="Times New Roman"/>
          <w:i/>
          <w:sz w:val="24"/>
          <w:szCs w:val="24"/>
        </w:rPr>
        <w:t>ex officio</w:t>
      </w:r>
      <w:r w:rsidR="0009159A"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 nustatyti, kad tam tikra vartojimo sutarties sąlyga yra nesąžininga, pirmini</w:t>
      </w:r>
      <w:r w:rsidR="005C123F" w:rsidRPr="007344EA">
        <w:rPr>
          <w:rFonts w:ascii="Times New Roman" w:hAnsi="Times New Roman" w:cs="Times New Roman"/>
          <w:sz w:val="24"/>
          <w:szCs w:val="24"/>
        </w:rPr>
        <w:t xml:space="preserve">o bylos įvertinimo metu ar tik </w:t>
      </w:r>
      <w:r w:rsidRPr="007344EA">
        <w:rPr>
          <w:rFonts w:ascii="Times New Roman" w:hAnsi="Times New Roman" w:cs="Times New Roman"/>
          <w:sz w:val="24"/>
          <w:szCs w:val="24"/>
        </w:rPr>
        <w:t>nagrinėjant bylą iš esmės</w:t>
      </w:r>
      <w:r w:rsidR="00385DB7" w:rsidRPr="007344EA">
        <w:rPr>
          <w:rFonts w:ascii="Times New Roman" w:hAnsi="Times New Roman" w:cs="Times New Roman"/>
          <w:sz w:val="24"/>
          <w:szCs w:val="24"/>
        </w:rPr>
        <w:t xml:space="preserve">. </w:t>
      </w:r>
    </w:p>
    <w:p w:rsidR="007E2C71" w:rsidRPr="007344EA" w:rsidRDefault="007E2C71" w:rsidP="007E2C7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 xml:space="preserve">Sprendimas byloje </w:t>
      </w:r>
      <w:r w:rsidRPr="007344EA">
        <w:rPr>
          <w:rFonts w:ascii="Times New Roman" w:hAnsi="Times New Roman" w:cs="Times New Roman"/>
          <w:i/>
          <w:sz w:val="24"/>
          <w:szCs w:val="24"/>
        </w:rPr>
        <w:t>Cofidis</w:t>
      </w:r>
      <w:r w:rsidRPr="007344EA">
        <w:rPr>
          <w:rStyle w:val="FootnoteReference"/>
          <w:rFonts w:ascii="Times New Roman" w:hAnsi="Times New Roman"/>
          <w:sz w:val="24"/>
          <w:szCs w:val="24"/>
        </w:rPr>
        <w:footnoteReference w:id="110"/>
      </w:r>
      <w:r w:rsidRPr="007344EA">
        <w:rPr>
          <w:rFonts w:ascii="Times New Roman" w:hAnsi="Times New Roman" w:cs="Times New Roman"/>
          <w:sz w:val="24"/>
          <w:szCs w:val="24"/>
        </w:rPr>
        <w:t xml:space="preserve"> priimtas į Teisingumo Teismą kreipusis Prancūzijos teismui. Ginčas pagrindinėje byloje kilo dėl kredito sutartyje esančių nesąžiningų sąlygų. Vartotojas su kredito įstaiga</w:t>
      </w:r>
      <w:r w:rsidRPr="007344EA">
        <w:rPr>
          <w:rFonts w:ascii="Times New Roman" w:hAnsi="Times New Roman" w:cs="Times New Roman"/>
          <w:i/>
          <w:sz w:val="24"/>
          <w:szCs w:val="24"/>
        </w:rPr>
        <w:t xml:space="preserve"> Cofidis</w:t>
      </w:r>
      <w:r w:rsidRPr="007344EA">
        <w:rPr>
          <w:rFonts w:ascii="Times New Roman" w:hAnsi="Times New Roman" w:cs="Times New Roman"/>
          <w:sz w:val="24"/>
          <w:szCs w:val="24"/>
        </w:rPr>
        <w:t xml:space="preserve"> sudarė paskolos sutartį. Sutartis buvo pasirašyta ant informacinio lapelio, kurio vienoje pusėje didelėmis raidėmis buvo užrašyta „Nemokamas prašymas gauti pinigų“, o kitoje pusėje smulkiomis raidėmis surašytos kredito sutarties sąlygos. Nacionalinis teismas mano, kad būtent ši aplinkybė suklaidino vartotoją ir todėl tokios finansinės sąlygos turi būti pripažintos nesąžiningomis. Tačiau bylą nagrinėjantis teismas nustatė, kad pagal nacionalinę proceso teisę jau yra suėjęs dviejų metų senaties terminas ir nesąžiningos sąlygos anuliuoti negalima. Nacionalinis teismas pateikdamas prašymą priimti prejudicinį sprendimą Teisingumo Teismo iš esmės klausia ar toks nacionalinis reguliavimas, kai vartojimo sutarties sąlygos negalima pripažinti nesąžininga nei </w:t>
      </w:r>
      <w:r w:rsidRPr="007344EA">
        <w:rPr>
          <w:rFonts w:ascii="Times New Roman" w:hAnsi="Times New Roman" w:cs="Times New Roman"/>
          <w:i/>
          <w:sz w:val="24"/>
          <w:szCs w:val="24"/>
        </w:rPr>
        <w:t>ex officio</w:t>
      </w:r>
      <w:r w:rsidRPr="007344EA">
        <w:rPr>
          <w:rFonts w:ascii="Times New Roman" w:hAnsi="Times New Roman" w:cs="Times New Roman"/>
          <w:sz w:val="24"/>
          <w:szCs w:val="24"/>
        </w:rPr>
        <w:t>, nei vartotojo prašymu, kadangi yra suėjęs dviejų metų senaties terminas</w:t>
      </w:r>
      <w:r w:rsidR="00BB03BB" w:rsidRPr="007344EA">
        <w:rPr>
          <w:rFonts w:ascii="Times New Roman" w:hAnsi="Times New Roman" w:cs="Times New Roman"/>
          <w:sz w:val="24"/>
          <w:szCs w:val="24"/>
        </w:rPr>
        <w:t>,</w:t>
      </w:r>
      <w:r w:rsidRPr="007344EA">
        <w:rPr>
          <w:rFonts w:ascii="Times New Roman" w:hAnsi="Times New Roman" w:cs="Times New Roman"/>
          <w:sz w:val="24"/>
          <w:szCs w:val="24"/>
        </w:rPr>
        <w:t xml:space="preserve"> yra suderinamas su Direktyvos 93/13 nuostatomis? </w:t>
      </w:r>
    </w:p>
    <w:p w:rsidR="005A3D3F" w:rsidRPr="007344EA" w:rsidRDefault="000F0DD7" w:rsidP="006E00E1">
      <w:pPr>
        <w:pStyle w:val="Default"/>
        <w:spacing w:line="360" w:lineRule="auto"/>
        <w:ind w:firstLine="1296"/>
        <w:jc w:val="both"/>
      </w:pPr>
      <w:r w:rsidRPr="007344EA">
        <w:t xml:space="preserve">Kita </w:t>
      </w:r>
      <w:r w:rsidR="00144930" w:rsidRPr="007344EA">
        <w:t>byla, kurioje nacionaliniam teismui kilo abe</w:t>
      </w:r>
      <w:r w:rsidR="008D44D8" w:rsidRPr="007344EA">
        <w:t>jonių</w:t>
      </w:r>
      <w:r w:rsidR="00D7002F" w:rsidRPr="007344EA">
        <w:t xml:space="preserve"> dėl</w:t>
      </w:r>
      <w:r w:rsidR="008D44D8" w:rsidRPr="007344EA">
        <w:t xml:space="preserve">, teismo teisės </w:t>
      </w:r>
      <w:r w:rsidR="008D44D8" w:rsidRPr="007344EA">
        <w:rPr>
          <w:i/>
        </w:rPr>
        <w:t>ex officio</w:t>
      </w:r>
      <w:r w:rsidR="008D44D8" w:rsidRPr="007344EA">
        <w:t xml:space="preserve"> nustatyti</w:t>
      </w:r>
      <w:r w:rsidR="00155629" w:rsidRPr="007344EA">
        <w:t>, ar</w:t>
      </w:r>
      <w:r w:rsidR="008D44D8" w:rsidRPr="007344EA">
        <w:t xml:space="preserve"> tam tikra sąlyga sutartyse su vartotojais yra nesąžining</w:t>
      </w:r>
      <w:r w:rsidR="00BB03BB" w:rsidRPr="007344EA">
        <w:t>a</w:t>
      </w:r>
      <w:r w:rsidR="008D44D8" w:rsidRPr="007344EA">
        <w:t xml:space="preserve">, yra </w:t>
      </w:r>
      <w:r w:rsidR="008D44D8" w:rsidRPr="007344EA">
        <w:rPr>
          <w:i/>
        </w:rPr>
        <w:t>Asturcom</w:t>
      </w:r>
      <w:r w:rsidR="008D44D8" w:rsidRPr="007344EA">
        <w:rPr>
          <w:rStyle w:val="FootnoteReference"/>
          <w:i/>
        </w:rPr>
        <w:footnoteReference w:id="111"/>
      </w:r>
      <w:r w:rsidR="00D7002F" w:rsidRPr="007344EA">
        <w:t xml:space="preserve">. Į </w:t>
      </w:r>
      <w:r w:rsidR="00124818" w:rsidRPr="007344EA">
        <w:t>Teisin</w:t>
      </w:r>
      <w:r w:rsidR="005C3400" w:rsidRPr="007344EA">
        <w:t>gumo Teismą</w:t>
      </w:r>
      <w:r w:rsidR="00EF1FEB" w:rsidRPr="007344EA">
        <w:t xml:space="preserve">, kaip ir </w:t>
      </w:r>
      <w:r w:rsidR="00EF1FEB" w:rsidRPr="007344EA">
        <w:rPr>
          <w:i/>
        </w:rPr>
        <w:t>Oceano</w:t>
      </w:r>
      <w:r w:rsidR="00EF1FEB" w:rsidRPr="007344EA">
        <w:t xml:space="preserve"> bylos atveju,</w:t>
      </w:r>
      <w:r w:rsidR="005C3400" w:rsidRPr="007344EA">
        <w:t xml:space="preserve"> kreipėsi Ispanijos t</w:t>
      </w:r>
      <w:r w:rsidR="00124818" w:rsidRPr="007344EA">
        <w:t xml:space="preserve">eismas. </w:t>
      </w:r>
      <w:r w:rsidR="00155629" w:rsidRPr="007344EA">
        <w:t xml:space="preserve">Mobiliojo ryšio tiekėjas </w:t>
      </w:r>
      <w:r w:rsidR="00155629" w:rsidRPr="007344EA">
        <w:rPr>
          <w:i/>
          <w:iCs/>
        </w:rPr>
        <w:t xml:space="preserve">Asturcom </w:t>
      </w:r>
      <w:r w:rsidR="00C35A4E" w:rsidRPr="007344EA">
        <w:t>ir vartotoja</w:t>
      </w:r>
      <w:r w:rsidR="00155629" w:rsidRPr="007344EA">
        <w:t xml:space="preserve"> sudarė mobiliojo ryšio abonentinę sutartį. Šioje sutartyje buvo numatyta arbitražinė išlyga, pagal kurią bet kokį su šios sutarties vykdymu susijusį ginčą arbitražo tvarka sprendžia</w:t>
      </w:r>
      <w:r w:rsidR="00516F89" w:rsidRPr="007344EA">
        <w:t xml:space="preserve"> konkreti arbitražo asociacija</w:t>
      </w:r>
      <w:r w:rsidR="00155629" w:rsidRPr="007344EA">
        <w:t xml:space="preserve">. </w:t>
      </w:r>
      <w:r w:rsidR="00EF1FEB" w:rsidRPr="007344EA">
        <w:t xml:space="preserve">Vartotoja </w:t>
      </w:r>
      <w:r w:rsidR="00155629" w:rsidRPr="007344EA">
        <w:t xml:space="preserve"> </w:t>
      </w:r>
      <w:r w:rsidR="009F6F45" w:rsidRPr="007344EA">
        <w:t xml:space="preserve">neapmokėjo </w:t>
      </w:r>
      <w:r w:rsidR="0009159A" w:rsidRPr="007344EA">
        <w:t>kelių</w:t>
      </w:r>
      <w:r w:rsidR="009F6F45" w:rsidRPr="007344EA">
        <w:t xml:space="preserve"> sąskaitų bei nutraukė mobiliojo ryšio paslaugų sutartį</w:t>
      </w:r>
      <w:r w:rsidR="0009159A" w:rsidRPr="007344EA">
        <w:t>,</w:t>
      </w:r>
      <w:r w:rsidR="009F6F45" w:rsidRPr="007344EA">
        <w:t xml:space="preserve"> prieš pasibaigiant minimaliam </w:t>
      </w:r>
      <w:r w:rsidR="00EF1FEB" w:rsidRPr="007344EA">
        <w:t>sutarto abonemento laikotarpiui. M</w:t>
      </w:r>
      <w:r w:rsidR="009F6F45" w:rsidRPr="007344EA">
        <w:t>obiliojo ryšio operatorius pradėjo arbitražinį pr</w:t>
      </w:r>
      <w:r w:rsidR="00403BCF" w:rsidRPr="007344EA">
        <w:t>ocesą</w:t>
      </w:r>
      <w:r w:rsidR="001533C6" w:rsidRPr="007344EA">
        <w:t xml:space="preserve">. </w:t>
      </w:r>
      <w:r w:rsidR="009F6F45" w:rsidRPr="007344EA">
        <w:t xml:space="preserve">Arbitražo sprendimu atsakovei nurodyta sumokėti </w:t>
      </w:r>
      <w:r w:rsidR="00934D59" w:rsidRPr="007344EA">
        <w:t>beveik 700</w:t>
      </w:r>
      <w:r w:rsidR="009F6F45" w:rsidRPr="007344EA">
        <w:t xml:space="preserve"> eur</w:t>
      </w:r>
      <w:r w:rsidR="00EF1FEB" w:rsidRPr="007344EA">
        <w:t>ų. N</w:t>
      </w:r>
      <w:r w:rsidR="00397328" w:rsidRPr="007344EA">
        <w:t>epareiškus</w:t>
      </w:r>
      <w:r w:rsidR="009F6F45" w:rsidRPr="007344EA">
        <w:t xml:space="preserve"> ieškinio dėl arbitražo panaikinimo šis </w:t>
      </w:r>
      <w:r w:rsidR="009F6F45" w:rsidRPr="007344EA">
        <w:lastRenderedPageBreak/>
        <w:t>sprendima</w:t>
      </w:r>
      <w:r w:rsidR="00516F89" w:rsidRPr="007344EA">
        <w:t>s įsigaliojo ir tapo galutinis.</w:t>
      </w:r>
      <w:r w:rsidR="009F6F45" w:rsidRPr="007344EA">
        <w:t xml:space="preserve"> </w:t>
      </w:r>
      <w:r w:rsidR="001533C6" w:rsidRPr="007344EA">
        <w:t xml:space="preserve">Įmonė </w:t>
      </w:r>
      <w:r w:rsidR="00516F89" w:rsidRPr="007344EA">
        <w:rPr>
          <w:i/>
          <w:iCs/>
        </w:rPr>
        <w:t>Asturcom</w:t>
      </w:r>
      <w:r w:rsidR="00516F89" w:rsidRPr="007344EA">
        <w:t xml:space="preserve"> pateikė ieškinį dėl priverstinio šio arbitražo sprendimo vykdymo.</w:t>
      </w:r>
      <w:r w:rsidR="00397328" w:rsidRPr="007344EA">
        <w:t xml:space="preserve"> Gavęs ieškinį </w:t>
      </w:r>
      <w:r w:rsidR="00403BCF" w:rsidRPr="007344EA">
        <w:t>nacionalinis teismas</w:t>
      </w:r>
      <w:r w:rsidR="00C41BDA" w:rsidRPr="007344EA">
        <w:t xml:space="preserve"> pastebėjo, kad mobiliojo</w:t>
      </w:r>
      <w:r w:rsidR="00397328" w:rsidRPr="007344EA">
        <w:t xml:space="preserve"> ryšio sutarty</w:t>
      </w:r>
      <w:r w:rsidR="003778CD" w:rsidRPr="007344EA">
        <w:t>je esanti arbi</w:t>
      </w:r>
      <w:r w:rsidR="005A3D3F" w:rsidRPr="007344EA">
        <w:t>tražinė išlyga yra nesąžining</w:t>
      </w:r>
      <w:r w:rsidR="004E555B" w:rsidRPr="007344EA">
        <w:t>a</w:t>
      </w:r>
      <w:r w:rsidR="005A3D3F" w:rsidRPr="007344EA">
        <w:t xml:space="preserve">. </w:t>
      </w:r>
      <w:r w:rsidR="003778CD" w:rsidRPr="007344EA">
        <w:t xml:space="preserve">Be kita ko, </w:t>
      </w:r>
      <w:r w:rsidR="00307C50" w:rsidRPr="007344EA">
        <w:t xml:space="preserve">nacionalinis teismas </w:t>
      </w:r>
      <w:r w:rsidR="003778CD" w:rsidRPr="007344EA">
        <w:t>nurodo, kad arbitražo paslaugas teikianti asociacija pati rengia mobiliojo ryšio abonentines sutartis, kad arbitražiniame susitarime nenurodoma nei arbitražo buveinė, nei suteikiama galimybė pasirinkti ją iš esančių skirtinguose miestuose, ir kad vartotojo kelionės į arbitražo buveinę išlaidos yra didesnės už sumą, kuri yra pagrindinės bylos dalykas.</w:t>
      </w:r>
      <w:r w:rsidR="003778CD" w:rsidRPr="007344EA">
        <w:rPr>
          <w:rStyle w:val="FootnoteReference"/>
        </w:rPr>
        <w:footnoteReference w:id="112"/>
      </w:r>
      <w:r w:rsidR="005A3D3F" w:rsidRPr="007344EA">
        <w:t xml:space="preserve"> </w:t>
      </w:r>
      <w:r w:rsidR="003778CD" w:rsidRPr="007344EA">
        <w:t>Esant tokioms aplinkybėms nacionalinis teismas kreipėsi į Teisingumo Teismą klausdamas „ar Direktyva 93/13 turi būti aiškinama taip, kad nacionalinis teismas, į kurį kreiptasi dėl galutinio arbitražo sprendimo, priimto vartotojui nedalyvaujant, priverstinio vykdymo, savo iniciatyva turi nustatyti nesąžiningą arbitražinės išlygos, numatytos pardavėjo ar tiekėjo ir šio vartotojo sudarytoje sutartyje, pobūdį ir šį sprendimą panaikinti”</w:t>
      </w:r>
      <w:r w:rsidR="003778CD" w:rsidRPr="007344EA">
        <w:rPr>
          <w:rStyle w:val="FootnoteReference"/>
        </w:rPr>
        <w:footnoteReference w:id="113"/>
      </w:r>
      <w:r w:rsidR="003778CD" w:rsidRPr="007344EA">
        <w:t>?</w:t>
      </w:r>
    </w:p>
    <w:p w:rsidR="00F7395F" w:rsidRPr="007344EA" w:rsidRDefault="005A3D3F" w:rsidP="006E00E1">
      <w:pPr>
        <w:pStyle w:val="Default"/>
        <w:spacing w:line="360" w:lineRule="auto"/>
        <w:ind w:firstLine="1296"/>
        <w:jc w:val="both"/>
        <w:rPr>
          <w:iCs/>
        </w:rPr>
      </w:pPr>
      <w:r w:rsidRPr="007344EA">
        <w:t>By</w:t>
      </w:r>
      <w:r w:rsidR="008869F1" w:rsidRPr="007344EA">
        <w:t xml:space="preserve">loje </w:t>
      </w:r>
      <w:r w:rsidR="008869F1" w:rsidRPr="007344EA">
        <w:rPr>
          <w:i/>
        </w:rPr>
        <w:t>C</w:t>
      </w:r>
      <w:r w:rsidRPr="007344EA">
        <w:rPr>
          <w:i/>
        </w:rPr>
        <w:t>laro</w:t>
      </w:r>
      <w:r w:rsidRPr="007344EA">
        <w:rPr>
          <w:rStyle w:val="FootnoteReference"/>
          <w:i/>
        </w:rPr>
        <w:footnoteReference w:id="114"/>
      </w:r>
      <w:r w:rsidRPr="007344EA">
        <w:t xml:space="preserve">, kurioje į Teisingumo Teismą </w:t>
      </w:r>
      <w:r w:rsidR="00403BCF" w:rsidRPr="007344EA">
        <w:t xml:space="preserve">vėl gi </w:t>
      </w:r>
      <w:r w:rsidRPr="007344EA">
        <w:t xml:space="preserve">kreipėsi Ispanijos teismas, faktinės aplinkybės yra itin pašios į jau minėtą bylą </w:t>
      </w:r>
      <w:r w:rsidRPr="007344EA">
        <w:rPr>
          <w:i/>
        </w:rPr>
        <w:t>Asturcom.</w:t>
      </w:r>
      <w:r w:rsidRPr="007344EA">
        <w:t xml:space="preserve"> </w:t>
      </w:r>
      <w:r w:rsidR="00934D59" w:rsidRPr="007344EA">
        <w:t>Vartotoja</w:t>
      </w:r>
      <w:r w:rsidRPr="007344EA">
        <w:t xml:space="preserve"> su mobiliojo ryšio operatoriumi sudarė sutartį. Šioje sutartyje buvo numatyta arbitražinė išlyga, kuri su šia sutartimi susijusius ginčus patikėjo spręsti </w:t>
      </w:r>
      <w:r w:rsidRPr="007344EA">
        <w:rPr>
          <w:iCs/>
        </w:rPr>
        <w:t>arbitražinių teismų asociacijai. Kadangi vartotoja nesilaikė trumpiausio abonemento termino, mobiliojo ryšio operatorius pradėjo arbitražinį procesą. Vartotoja buvo informuota, kad per 10 d. ji gali atsisakyti arbitražinio ginčų spre</w:t>
      </w:r>
      <w:r w:rsidR="00307C50" w:rsidRPr="007344EA">
        <w:rPr>
          <w:iCs/>
        </w:rPr>
        <w:t>ndimo procedūros ir tuomet galėtų</w:t>
      </w:r>
      <w:r w:rsidR="008A176F" w:rsidRPr="007344EA">
        <w:rPr>
          <w:iCs/>
        </w:rPr>
        <w:t xml:space="preserve"> kreiptis į teismą. </w:t>
      </w:r>
      <w:r w:rsidRPr="007344EA">
        <w:rPr>
          <w:iCs/>
        </w:rPr>
        <w:t>Vartotoja per nustatytą</w:t>
      </w:r>
      <w:r w:rsidR="00BB03BB" w:rsidRPr="007344EA">
        <w:rPr>
          <w:iCs/>
        </w:rPr>
        <w:t xml:space="preserve"> terminą</w:t>
      </w:r>
      <w:r w:rsidRPr="007344EA">
        <w:rPr>
          <w:iCs/>
        </w:rPr>
        <w:t xml:space="preserve"> pateikė arbitražui argumentus dėl esmės, tačiau neatsisakė arbitražinės procedūros ir nepateikė prieštaravimo dėl arbitražinės išlygos galiojimo. </w:t>
      </w:r>
      <w:r w:rsidR="00403BCF" w:rsidRPr="007344EA">
        <w:rPr>
          <w:iCs/>
        </w:rPr>
        <w:t>Kadangi arbitražas priėmė vartotojai nepalankų sprendimą</w:t>
      </w:r>
      <w:r w:rsidR="00BB03BB" w:rsidRPr="007344EA">
        <w:rPr>
          <w:iCs/>
        </w:rPr>
        <w:t>,</w:t>
      </w:r>
      <w:r w:rsidR="00704F77" w:rsidRPr="007344EA">
        <w:rPr>
          <w:iCs/>
        </w:rPr>
        <w:t xml:space="preserve"> vartotoja </w:t>
      </w:r>
      <w:r w:rsidRPr="007344EA">
        <w:rPr>
          <w:iCs/>
        </w:rPr>
        <w:t>apskundė „prii</w:t>
      </w:r>
      <w:r w:rsidR="004F4814" w:rsidRPr="007344EA">
        <w:rPr>
          <w:iCs/>
        </w:rPr>
        <w:t>mtą arbitražinį sprendimą, prašydama</w:t>
      </w:r>
      <w:r w:rsidRPr="007344EA">
        <w:rPr>
          <w:iCs/>
        </w:rPr>
        <w:t xml:space="preserve"> priimti prejudicinį sprendimą pateikusiam teismui, tvirtindama, kad dėl arbitražinės išlygos nesąžiningo pobūdžio arbitražinis susitarimas negalioja”</w:t>
      </w:r>
      <w:r w:rsidRPr="007344EA">
        <w:rPr>
          <w:rStyle w:val="FootnoteReference"/>
          <w:iCs/>
        </w:rPr>
        <w:footnoteReference w:id="115"/>
      </w:r>
      <w:r w:rsidR="00307C50" w:rsidRPr="007344EA">
        <w:rPr>
          <w:iCs/>
        </w:rPr>
        <w:t xml:space="preserve">. Ispanijos teismas </w:t>
      </w:r>
      <w:r w:rsidRPr="007344EA">
        <w:rPr>
          <w:iCs/>
        </w:rPr>
        <w:t>„pripažino neturįs jokių abejonių, kad arbitražiniame susitarime yra nesąžininga sąlyga ir dėl to jis negalioja”</w:t>
      </w:r>
      <w:r w:rsidRPr="007344EA">
        <w:rPr>
          <w:rStyle w:val="FootnoteReference"/>
          <w:iCs/>
        </w:rPr>
        <w:footnoteReference w:id="116"/>
      </w:r>
      <w:r w:rsidRPr="007344EA">
        <w:rPr>
          <w:iCs/>
        </w:rPr>
        <w:t>. Tačiau vykstant arbitražiniam procesui</w:t>
      </w:r>
      <w:r w:rsidR="004F4814" w:rsidRPr="007344EA">
        <w:rPr>
          <w:iCs/>
        </w:rPr>
        <w:t>,</w:t>
      </w:r>
      <w:r w:rsidRPr="007344EA">
        <w:rPr>
          <w:iCs/>
        </w:rPr>
        <w:t xml:space="preserve"> vartotojai nepateikus konkretaus prieštaravimo, teismas dvejojo, ar savo iniciatyva gali paskelbti ją negaliojančia.</w:t>
      </w:r>
      <w:r w:rsidRPr="007344EA">
        <w:rPr>
          <w:rStyle w:val="FootnoteReference"/>
          <w:iCs/>
        </w:rPr>
        <w:footnoteReference w:id="117"/>
      </w:r>
      <w:r w:rsidRPr="007344EA">
        <w:rPr>
          <w:iCs/>
        </w:rPr>
        <w:t xml:space="preserve"> Esant tokioms aplinkybėms nacionalinis teismas pateikė prašymą priimti prejudicinį sprendimą klausdamas: „</w:t>
      </w:r>
      <w:r w:rsidR="00307C50" w:rsidRPr="007344EA">
        <w:rPr>
          <w:iCs/>
        </w:rPr>
        <w:t>a</w:t>
      </w:r>
      <w:r w:rsidRPr="007344EA">
        <w:rPr>
          <w:iCs/>
        </w:rPr>
        <w:t>r vartotojų apsauga, kur</w:t>
      </w:r>
      <w:r w:rsidR="00DC25B1" w:rsidRPr="007344EA">
        <w:rPr>
          <w:iCs/>
        </w:rPr>
        <w:t>ią užtikrina Direktyva 93/13</w:t>
      </w:r>
      <w:r w:rsidRPr="007344EA">
        <w:rPr>
          <w:iCs/>
        </w:rPr>
        <w:t xml:space="preserve"> &lt;...&gt;, reiškia, kad teismas, kuriam pateiktas ieškinys dėl arbitražinio teismo sprendimo panaikinimo, vertina, ar arbitražinis susitarimas negalioja, ir panaikina arbitražinio teismo </w:t>
      </w:r>
      <w:r w:rsidRPr="007344EA">
        <w:rPr>
          <w:iCs/>
        </w:rPr>
        <w:lastRenderedPageBreak/>
        <w:t>sprendimą, motyvuodamas tuo, jog šiame arbitražiniame susitarime yra nesąžininga sąlyga, kai vartotojas šį klausimą iškėlė ne vykstant arbitražiniam procesui, o pateikdamas ieškinį dėl panaikinimo?“</w:t>
      </w:r>
      <w:r w:rsidRPr="007344EA">
        <w:rPr>
          <w:rStyle w:val="FootnoteReference"/>
          <w:iCs/>
        </w:rPr>
        <w:footnoteReference w:id="118"/>
      </w:r>
      <w:r w:rsidRPr="007344EA">
        <w:rPr>
          <w:iCs/>
        </w:rPr>
        <w:t>.</w:t>
      </w:r>
    </w:p>
    <w:p w:rsidR="001F739F" w:rsidRPr="007344EA" w:rsidRDefault="007C3F2F" w:rsidP="006E00E1">
      <w:pPr>
        <w:pStyle w:val="Default"/>
        <w:spacing w:line="360" w:lineRule="auto"/>
        <w:ind w:firstLine="1296"/>
        <w:jc w:val="both"/>
      </w:pPr>
      <w:r w:rsidRPr="007344EA">
        <w:t xml:space="preserve">Byloje </w:t>
      </w:r>
      <w:r w:rsidRPr="007344EA">
        <w:rPr>
          <w:i/>
        </w:rPr>
        <w:t>Pengzugyi Lizing</w:t>
      </w:r>
      <w:r w:rsidR="00F56784" w:rsidRPr="007344EA">
        <w:rPr>
          <w:rStyle w:val="FootnoteReference"/>
          <w:i/>
        </w:rPr>
        <w:footnoteReference w:id="119"/>
      </w:r>
      <w:r w:rsidRPr="007344EA">
        <w:t xml:space="preserve">  n</w:t>
      </w:r>
      <w:r w:rsidR="00F129B9" w:rsidRPr="007344EA">
        <w:t>acionalini</w:t>
      </w:r>
      <w:r w:rsidR="00641D55" w:rsidRPr="007344EA">
        <w:t>am teismui taip</w:t>
      </w:r>
      <w:r w:rsidR="00F129B9" w:rsidRPr="007344EA">
        <w:t xml:space="preserve"> pat </w:t>
      </w:r>
      <w:r w:rsidRPr="007344EA">
        <w:t xml:space="preserve">kilo klausimas dėl jo teisės </w:t>
      </w:r>
      <w:r w:rsidRPr="007344EA">
        <w:rPr>
          <w:i/>
        </w:rPr>
        <w:t>ex officio</w:t>
      </w:r>
      <w:r w:rsidRPr="007344EA">
        <w:t xml:space="preserve"> nustatyti </w:t>
      </w:r>
      <w:r w:rsidR="00EC7557" w:rsidRPr="007344EA">
        <w:t xml:space="preserve">sutarties </w:t>
      </w:r>
      <w:r w:rsidR="00641B8C" w:rsidRPr="007344EA">
        <w:t xml:space="preserve">sąlygos nesąžiningumą bei tam </w:t>
      </w:r>
      <w:r w:rsidR="00307C50" w:rsidRPr="007344EA">
        <w:t xml:space="preserve">tokiam sprendimui </w:t>
      </w:r>
      <w:r w:rsidR="00641B8C" w:rsidRPr="007344EA">
        <w:t>reikalingas faktines ir teisines aplinkybes.</w:t>
      </w:r>
      <w:r w:rsidR="00641D55" w:rsidRPr="007344EA">
        <w:t xml:space="preserve"> Atkreiptinas dėmesys, kad sprendimas šioje byloje buvo priimtas Teisingumo Teismo Didžiosios kolegijos, o tai</w:t>
      </w:r>
      <w:r w:rsidR="001533C6" w:rsidRPr="007344EA">
        <w:t xml:space="preserve"> savo ruoštu</w:t>
      </w:r>
      <w:r w:rsidR="00641D55" w:rsidRPr="007344EA">
        <w:t xml:space="preserve"> </w:t>
      </w:r>
      <w:r w:rsidR="001F739F" w:rsidRPr="007344EA">
        <w:t>gali reikšti</w:t>
      </w:r>
      <w:r w:rsidR="0005120E" w:rsidRPr="007344EA">
        <w:t xml:space="preserve"> Teisingumo Teismo</w:t>
      </w:r>
      <w:r w:rsidR="001F739F" w:rsidRPr="007344EA">
        <w:t xml:space="preserve"> praktikos</w:t>
      </w:r>
      <w:r w:rsidR="00B52B8C" w:rsidRPr="007344EA">
        <w:t xml:space="preserve"> pokyčius.</w:t>
      </w:r>
      <w:r w:rsidR="00641B8C" w:rsidRPr="007344EA">
        <w:t xml:space="preserve"> </w:t>
      </w:r>
      <w:r w:rsidR="00307C50" w:rsidRPr="007344EA">
        <w:t xml:space="preserve">Į Teisingumo Teismą kreipėsi Vengrijos teismas. </w:t>
      </w:r>
      <w:r w:rsidR="00610496" w:rsidRPr="007344EA">
        <w:t>Pagrindinė byla buvo pradėta kilus ginčui dėl paskolos, kurią atsakovas pagrindinėje byloje paėmė ketindamas įsigyti motorinę transporto priemonę, grąžinimo.</w:t>
      </w:r>
      <w:r w:rsidR="00610496" w:rsidRPr="007344EA">
        <w:rPr>
          <w:rStyle w:val="FootnoteReference"/>
        </w:rPr>
        <w:footnoteReference w:id="120"/>
      </w:r>
      <w:r w:rsidR="00610496" w:rsidRPr="007344EA">
        <w:t xml:space="preserve"> Vartotojui nustojus vykdyti piniginius įsipareigojimus, ieškovas nutraukė sutartį ir pareikalavo likusią sumą grąžinti. </w:t>
      </w:r>
      <w:r w:rsidR="00D7002F" w:rsidRPr="007344EA">
        <w:t xml:space="preserve">Tačiau ieškovas </w:t>
      </w:r>
      <w:r w:rsidR="00EC7557" w:rsidRPr="007344EA">
        <w:t>dėl mokėjimo įsakymo priėmimo kreipėsi ne į atsakovo (vartotojo) nuolatinės gyvenamosios vietos te</w:t>
      </w:r>
      <w:r w:rsidR="00641B8C" w:rsidRPr="007344EA">
        <w:t xml:space="preserve">ismą, </w:t>
      </w:r>
      <w:r w:rsidR="00EC7557" w:rsidRPr="007344EA">
        <w:t>tačia</w:t>
      </w:r>
      <w:r w:rsidR="00641B8C" w:rsidRPr="007344EA">
        <w:t xml:space="preserve">u pasinaudojo sutarties sąlyga, </w:t>
      </w:r>
      <w:r w:rsidR="00EC7557" w:rsidRPr="007344EA">
        <w:t>kuri numat</w:t>
      </w:r>
      <w:r w:rsidR="001F739F" w:rsidRPr="007344EA">
        <w:t>ė</w:t>
      </w:r>
      <w:r w:rsidR="00EC7557" w:rsidRPr="007344EA">
        <w:t xml:space="preserve"> kito teismo išimtinę jurisdikciją.</w:t>
      </w:r>
      <w:r w:rsidR="00CA166A" w:rsidRPr="007344EA">
        <w:t xml:space="preserve"> Pažymėtina, kad nei ieškovo buveinė</w:t>
      </w:r>
      <w:r w:rsidR="00CA166A" w:rsidRPr="007344EA">
        <w:rPr>
          <w:rStyle w:val="FootnoteReference"/>
        </w:rPr>
        <w:footnoteReference w:id="121"/>
      </w:r>
      <w:r w:rsidR="00CA166A" w:rsidRPr="007344EA">
        <w:t>, nei vartotojo nuolatinė gyvenamoji</w:t>
      </w:r>
      <w:r w:rsidR="00CA166A" w:rsidRPr="007344EA">
        <w:rPr>
          <w:rStyle w:val="FootnoteReference"/>
        </w:rPr>
        <w:footnoteReference w:id="122"/>
      </w:r>
      <w:r w:rsidR="00CA166A" w:rsidRPr="007344EA">
        <w:t xml:space="preserve"> vieta nepriklauso šio teismo teritorinei jurisdikcijai, tačiau tiek susisiekimo, tiek geografiniu požiūriu šis teismas yra netoli nuo bylos šalių rezidavimo vietos.</w:t>
      </w:r>
      <w:r w:rsidR="00641B8C" w:rsidRPr="007344EA">
        <w:t xml:space="preserve"> „Minėtas įsakymas buvo priimtas per vadinamąją „ne ginčo“ procedūrą, kai atitinkamas teismas neprivalo rengti posėdžio arba išklausyti kitą bylos šalį. Priimdamas šį įsakymą prašymą priimti prejudicinį sprendimą pateikęs teismas nekėlė klausimo dėl teritorinės jurisdikcijos ir dėl jurisdikciją nustatančios paskolos sutarties sąlygos.”</w:t>
      </w:r>
      <w:r w:rsidR="00641B8C" w:rsidRPr="007344EA">
        <w:rPr>
          <w:rStyle w:val="FootnoteReference"/>
        </w:rPr>
        <w:footnoteReference w:id="123"/>
      </w:r>
      <w:r w:rsidR="00641B8C" w:rsidRPr="007344EA">
        <w:t xml:space="preserve"> Tuomet vartotojas pareiškė prieštaravimą, dėl šio į</w:t>
      </w:r>
      <w:r w:rsidR="00CA166A" w:rsidRPr="007344EA">
        <w:t>sakymo priėmimo, tačiau nenurodydamas</w:t>
      </w:r>
      <w:r w:rsidR="00641B8C" w:rsidRPr="007344EA">
        <w:t xml:space="preserve"> jokių motyvų. Esant pateiktam prieštaravimui teismas, remdamasis nacionaline proceso teise, pradėjo ginčo procedūrą tarp šalių. </w:t>
      </w:r>
      <w:r w:rsidR="00CA166A" w:rsidRPr="007344EA">
        <w:t xml:space="preserve">Nacionaliniam teismui pateikus prejudicinius klausimus procesas Teisingumo Teismo buvo sustabdytas, kol </w:t>
      </w:r>
      <w:r w:rsidR="00124818" w:rsidRPr="007344EA">
        <w:t xml:space="preserve">bus priimtas sprendimas </w:t>
      </w:r>
      <w:r w:rsidR="00641D55" w:rsidRPr="007344EA">
        <w:t xml:space="preserve">byloje </w:t>
      </w:r>
      <w:r w:rsidR="00641D55" w:rsidRPr="007344EA">
        <w:rPr>
          <w:i/>
        </w:rPr>
        <w:t>Pannon</w:t>
      </w:r>
      <w:r w:rsidR="00641D55" w:rsidRPr="007344EA">
        <w:rPr>
          <w:rStyle w:val="FootnoteReference"/>
          <w:i/>
        </w:rPr>
        <w:footnoteReference w:id="124"/>
      </w:r>
      <w:r w:rsidR="00641D55" w:rsidRPr="007344EA">
        <w:t xml:space="preserve">. Po </w:t>
      </w:r>
      <w:r w:rsidR="00124818" w:rsidRPr="007344EA">
        <w:t>minėtojo sprendimo</w:t>
      </w:r>
      <w:r w:rsidR="00641D55" w:rsidRPr="007344EA">
        <w:t xml:space="preserve"> priėmimo nacionalinis teismas nurodė, </w:t>
      </w:r>
      <w:r w:rsidR="009E2C50" w:rsidRPr="007344EA">
        <w:t xml:space="preserve">kad nebereikia atsakyti į kelis ankstesnius </w:t>
      </w:r>
      <w:r w:rsidR="00641D55" w:rsidRPr="007344EA">
        <w:t xml:space="preserve">prejudicinius klausimus, tačiau pateikė </w:t>
      </w:r>
      <w:r w:rsidR="009E2C50" w:rsidRPr="007344EA">
        <w:t>papildomų prejudicinių klausim</w:t>
      </w:r>
      <w:r w:rsidR="00307C50" w:rsidRPr="007344EA">
        <w:t>ų. Nacionalinio t</w:t>
      </w:r>
      <w:r w:rsidR="009E2C50" w:rsidRPr="007344EA">
        <w:t xml:space="preserve">eismo teisei </w:t>
      </w:r>
      <w:r w:rsidR="009E2C50" w:rsidRPr="007344EA">
        <w:rPr>
          <w:i/>
        </w:rPr>
        <w:t>ex officio</w:t>
      </w:r>
      <w:r w:rsidR="009E2C50" w:rsidRPr="007344EA">
        <w:t xml:space="preserve"> nustatyti sutarties sąlygos nesąžiningumą yra aktualus trečiasis papildomas prejudicinis klausimas, kuriuo nacionalinis teismas siekia sužinoti „ko</w:t>
      </w:r>
      <w:r w:rsidR="00D7002F" w:rsidRPr="007344EA">
        <w:t>kie įgaliojimai suteikiami jam D</w:t>
      </w:r>
      <w:r w:rsidR="009E2C50" w:rsidRPr="007344EA">
        <w:t>irektyvos nuostatomis nuo momento, kai jis pateikia klausimą dėl galimo išimtinę teritorinę jurisdikciją suteikiančios sutarties sąlygos nesąžiningumo. Šis teismas, be kita ko, nori sužinoti, ar tokioje situacijoje nacionalinis</w:t>
      </w:r>
      <w:r w:rsidR="00B85C8D" w:rsidRPr="007344EA">
        <w:t xml:space="preserve"> </w:t>
      </w:r>
      <w:r w:rsidR="009E2C50" w:rsidRPr="007344EA">
        <w:t xml:space="preserve">teismas </w:t>
      </w:r>
      <w:r w:rsidR="009E2C50" w:rsidRPr="007344EA">
        <w:lastRenderedPageBreak/>
        <w:t>privalo savo iniciatyva nustatyti tokiai išvadai apie nesąžiningą sąlygą padaryti reikalingas faktines ir teisines aplinkybes, jei pagal nacionalinę proceso teisę tokį patikrinimą leidžiama atlikti tik bylos šalių prašymu“</w:t>
      </w:r>
      <w:r w:rsidR="009E2C50" w:rsidRPr="007344EA">
        <w:rPr>
          <w:rStyle w:val="FootnoteReference"/>
        </w:rPr>
        <w:footnoteReference w:id="125"/>
      </w:r>
      <w:r w:rsidR="009E2C50" w:rsidRPr="007344EA">
        <w:t xml:space="preserve">. </w:t>
      </w:r>
    </w:p>
    <w:p w:rsidR="009B238A" w:rsidRPr="007344EA" w:rsidRDefault="00124818" w:rsidP="006E00E1">
      <w:pPr>
        <w:pStyle w:val="Default"/>
        <w:spacing w:line="360" w:lineRule="auto"/>
        <w:ind w:firstLine="1296"/>
        <w:jc w:val="both"/>
      </w:pPr>
      <w:r w:rsidRPr="007344EA">
        <w:t xml:space="preserve">Byloje </w:t>
      </w:r>
      <w:r w:rsidRPr="007344EA">
        <w:rPr>
          <w:i/>
        </w:rPr>
        <w:t>Pannon</w:t>
      </w:r>
      <w:r w:rsidR="0028392A" w:rsidRPr="007344EA">
        <w:rPr>
          <w:rStyle w:val="FootnoteReference"/>
          <w:i/>
        </w:rPr>
        <w:footnoteReference w:id="126"/>
      </w:r>
      <w:r w:rsidRPr="007344EA">
        <w:t xml:space="preserve"> į Teisingumo Teismą, kaip ir </w:t>
      </w:r>
      <w:r w:rsidRPr="007344EA">
        <w:rPr>
          <w:i/>
        </w:rPr>
        <w:t xml:space="preserve">Penzugyi Lizing </w:t>
      </w:r>
      <w:r w:rsidRPr="007344EA">
        <w:t>atveju, kreipėsi Vengrijos teismas.</w:t>
      </w:r>
      <w:r w:rsidR="00E91869" w:rsidRPr="007344EA">
        <w:t xml:space="preserve"> Vartotoja su </w:t>
      </w:r>
      <w:r w:rsidR="00E91869" w:rsidRPr="007344EA">
        <w:rPr>
          <w:i/>
        </w:rPr>
        <w:t>Pannon</w:t>
      </w:r>
      <w:r w:rsidR="00E91869" w:rsidRPr="007344EA">
        <w:t xml:space="preserve"> sudarė abonementinę sutartį dėl mobiliojo ryšio paslaugų tiekimo. </w:t>
      </w:r>
      <w:r w:rsidR="00127F0E" w:rsidRPr="007344EA">
        <w:t xml:space="preserve">Sutartis buvo sudaryta naudojant </w:t>
      </w:r>
      <w:r w:rsidR="00127F0E" w:rsidRPr="007344EA">
        <w:rPr>
          <w:i/>
          <w:iCs/>
        </w:rPr>
        <w:t>Pannon</w:t>
      </w:r>
      <w:r w:rsidR="00127F0E" w:rsidRPr="007344EA">
        <w:t xml:space="preserve"> pateiktą formuliarą, kuriame numatyta, kad pasirašydama sutartį </w:t>
      </w:r>
      <w:r w:rsidR="00934D59" w:rsidRPr="007344EA">
        <w:t xml:space="preserve">vartotoja </w:t>
      </w:r>
      <w:r w:rsidR="00127F0E" w:rsidRPr="007344EA">
        <w:t>susipažino su naudojimosi taisyklėmis, kuriose įtvirtintos bendrosios sutarties sąlygos ir kurios yra neatsiejama sutarties dalis, ir su jomis sutiko.</w:t>
      </w:r>
      <w:r w:rsidR="00127F0E" w:rsidRPr="007344EA">
        <w:rPr>
          <w:rStyle w:val="FootnoteReference"/>
        </w:rPr>
        <w:footnoteReference w:id="127"/>
      </w:r>
      <w:r w:rsidR="00127F0E" w:rsidRPr="007344EA">
        <w:t xml:space="preserve">  Šiose taisyklės</w:t>
      </w:r>
      <w:r w:rsidR="004F4814" w:rsidRPr="007344EA">
        <w:t>e</w:t>
      </w:r>
      <w:r w:rsidR="00127F0E" w:rsidRPr="007344EA">
        <w:t xml:space="preserve"> buvo įtvirtinta sąlyga, pagal kurią visi ginčai kylantys iš šios sutarties yra sprendžiami</w:t>
      </w:r>
      <w:r w:rsidR="00127F0E" w:rsidRPr="007344EA">
        <w:rPr>
          <w:i/>
        </w:rPr>
        <w:t xml:space="preserve"> Pannon</w:t>
      </w:r>
      <w:r w:rsidR="00127F0E" w:rsidRPr="007344EA">
        <w:t xml:space="preserve"> buveinės teritorijoje jurisdikciją turinčiame t</w:t>
      </w:r>
      <w:r w:rsidR="00B85C8D" w:rsidRPr="007344EA">
        <w:t xml:space="preserve">eisme. Mobiliojo ryšio tiekėjas </w:t>
      </w:r>
      <w:r w:rsidR="00127F0E" w:rsidRPr="007344EA">
        <w:t>ma</w:t>
      </w:r>
      <w:r w:rsidR="00D50AE3" w:rsidRPr="007344EA">
        <w:t>nydamas, kad vartotojas nevykdo pagal sutartį prisiimtų įsipareigojimų ir pasinaudodamas sutartyje esančia jurisdikcijos išlyga kreipėsi į te</w:t>
      </w:r>
      <w:r w:rsidR="00252910" w:rsidRPr="007344EA">
        <w:t>ismą dėl įpareigojimo sumokėti</w:t>
      </w:r>
      <w:r w:rsidR="00EB1B01" w:rsidRPr="007344EA">
        <w:t xml:space="preserve"> (ne ginčo procedūra)</w:t>
      </w:r>
      <w:r w:rsidR="00934D59" w:rsidRPr="007344EA">
        <w:t xml:space="preserve">. </w:t>
      </w:r>
      <w:r w:rsidR="00B85C8D" w:rsidRPr="007344EA">
        <w:t>Vartotojui pareiškus prieštaravimą nacionalinis teismas</w:t>
      </w:r>
      <w:r w:rsidR="00D50AE3" w:rsidRPr="007344EA">
        <w:t xml:space="preserve"> pradėjo ginčo procedūrą tarp šalių. </w:t>
      </w:r>
      <w:r w:rsidR="00EB1B01" w:rsidRPr="007344EA">
        <w:t>V</w:t>
      </w:r>
      <w:r w:rsidR="00BB316B" w:rsidRPr="007344EA">
        <w:t xml:space="preserve">artotojo </w:t>
      </w:r>
      <w:r w:rsidR="00315722" w:rsidRPr="007344EA">
        <w:t>gyvenamoji vieta yra toli nuo prejudicinius klausimus pateikusio teismo</w:t>
      </w:r>
      <w:r w:rsidR="00BB316B" w:rsidRPr="007344EA">
        <w:t xml:space="preserve"> jurisdikc</w:t>
      </w:r>
      <w:r w:rsidR="00315722" w:rsidRPr="007344EA">
        <w:t xml:space="preserve">ijai priklausančios teritorijos. </w:t>
      </w:r>
      <w:r w:rsidR="00BB316B" w:rsidRPr="007344EA">
        <w:rPr>
          <w:i/>
        </w:rPr>
        <w:t>Inter alia</w:t>
      </w:r>
      <w:r w:rsidR="00BB316B" w:rsidRPr="007344EA">
        <w:t xml:space="preserve"> nacionalinis teismas paaiškino, kad pagal civilinio proceso teisę vartotojas nebeturi galimybės iškelti klausimo,</w:t>
      </w:r>
      <w:r w:rsidR="00A974A8" w:rsidRPr="007344EA">
        <w:t xml:space="preserve"> dėl išimtinės jurisdikcijos, kadangi šio klausimo jis nebuvo pateikęs pirmajame atsiliepime į ieškinį. Esant tokioms aplinkybėms</w:t>
      </w:r>
      <w:r w:rsidR="004F4814" w:rsidRPr="007344EA">
        <w:t>,</w:t>
      </w:r>
      <w:r w:rsidR="00A974A8" w:rsidRPr="007344EA">
        <w:t xml:space="preserve"> Vengrijos teismas, pateikdamas tris prejudicinius klausimus, kuriais siekia išsiaiškinti ar pagal Direktyvoje 93/13 nu</w:t>
      </w:r>
      <w:r w:rsidR="00EE227B" w:rsidRPr="007344EA">
        <w:t>statytą reguliavimą</w:t>
      </w:r>
      <w:r w:rsidR="004F4814" w:rsidRPr="007344EA">
        <w:t xml:space="preserve"> konkreti nesąžininga</w:t>
      </w:r>
      <w:r w:rsidR="00A974A8" w:rsidRPr="007344EA">
        <w:t xml:space="preserve"> </w:t>
      </w:r>
      <w:r w:rsidR="00EE227B" w:rsidRPr="007344EA">
        <w:t>sąlyga</w:t>
      </w:r>
      <w:r w:rsidR="00A974A8" w:rsidRPr="007344EA">
        <w:t xml:space="preserve"> yra neprivaloma</w:t>
      </w:r>
      <w:r w:rsidR="00EE227B" w:rsidRPr="007344EA">
        <w:t xml:space="preserve"> vartotojui (6 str</w:t>
      </w:r>
      <w:r w:rsidR="0005120E" w:rsidRPr="007344EA">
        <w:t>aipsnio 1 dalis</w:t>
      </w:r>
      <w:r w:rsidR="00EE227B" w:rsidRPr="007344EA">
        <w:t xml:space="preserve">) tik tokiu atveju, jei jis pagal nacionalinę proceso teisę, sėkmingai šią sąlygą užginčijo ir ar Direktyvoje </w:t>
      </w:r>
      <w:r w:rsidR="00252910" w:rsidRPr="007344EA">
        <w:t xml:space="preserve">93/13 </w:t>
      </w:r>
      <w:r w:rsidR="00EE227B" w:rsidRPr="007344EA">
        <w:t xml:space="preserve">nustatytas reguliavimas reikalauja, kad nepriklausomai nuo procedūros tipo (ginčo procedūra ar ne) teismas turi </w:t>
      </w:r>
      <w:r w:rsidR="00EE227B" w:rsidRPr="007344EA">
        <w:rPr>
          <w:i/>
        </w:rPr>
        <w:t>ex officio</w:t>
      </w:r>
      <w:r w:rsidR="00EE227B" w:rsidRPr="007344EA">
        <w:t xml:space="preserve"> priimti sprendimą dėl konkrečios sutarties sąlygos nesąžiningumo</w:t>
      </w:r>
      <w:r w:rsidR="009B238A" w:rsidRPr="007344EA">
        <w:t>. Trečiuoju prejudiciniu klausimu nacionalinis teismas prašė pateikti tam tikras gaires dėl aplinkybių, „kurias nacionalinis teismas turi išnagrinėti tam, kad įvertintų galimą sutarties sąlygos nesąžiningumą”</w:t>
      </w:r>
      <w:r w:rsidR="009B238A" w:rsidRPr="007344EA">
        <w:rPr>
          <w:rStyle w:val="FootnoteReference"/>
        </w:rPr>
        <w:footnoteReference w:id="128"/>
      </w:r>
      <w:r w:rsidR="009B238A" w:rsidRPr="007344EA">
        <w:t>.</w:t>
      </w:r>
    </w:p>
    <w:p w:rsidR="006E6CD3" w:rsidRPr="007344EA" w:rsidRDefault="00AB0148" w:rsidP="006E00E1">
      <w:pPr>
        <w:pStyle w:val="Default"/>
        <w:spacing w:line="360" w:lineRule="auto"/>
        <w:ind w:firstLine="1296"/>
        <w:jc w:val="both"/>
      </w:pPr>
      <w:r w:rsidRPr="007344EA">
        <w:t xml:space="preserve">Byloje </w:t>
      </w:r>
      <w:r w:rsidRPr="007344EA">
        <w:rPr>
          <w:i/>
        </w:rPr>
        <w:t>Pohotovost</w:t>
      </w:r>
      <w:r w:rsidR="00C547EF" w:rsidRPr="007344EA">
        <w:rPr>
          <w:rStyle w:val="FootnoteReference"/>
          <w:i/>
        </w:rPr>
        <w:footnoteReference w:id="129"/>
      </w:r>
      <w:r w:rsidRPr="007344EA">
        <w:t xml:space="preserve"> </w:t>
      </w:r>
      <w:r w:rsidR="00C547EF" w:rsidRPr="007344EA">
        <w:t xml:space="preserve">į Teisingumo Teismą kreipėsi </w:t>
      </w:r>
      <w:r w:rsidR="00353069" w:rsidRPr="007344EA">
        <w:t>Slovakijos teismas.</w:t>
      </w:r>
      <w:r w:rsidR="00C547EF" w:rsidRPr="007344EA">
        <w:t xml:space="preserve"> Įdomi detalė, kad šioje byloje Teisingumo Teismas priėmė nutartį, o ne sprendimą, kadangi „pagal Procedūros reglamento 104 straipsnio 3 dalies pirmą pastraipą, jei atsakymą į pateiktą prejudicinį klausimą galima aiškiai nustatyti iš Teisingumo Teismo praktikos, Teismas, susipažinęs su generalinio advokato nuomone, bet kada gali spręsti klausimą motyvuota nutartimi“</w:t>
      </w:r>
      <w:r w:rsidR="00C547EF" w:rsidRPr="007344EA">
        <w:rPr>
          <w:rStyle w:val="FootnoteReference"/>
        </w:rPr>
        <w:footnoteReference w:id="130"/>
      </w:r>
      <w:r w:rsidR="00C547EF" w:rsidRPr="007344EA">
        <w:t>.</w:t>
      </w:r>
      <w:r w:rsidR="00353069" w:rsidRPr="007344EA">
        <w:t xml:space="preserve"> Varto</w:t>
      </w:r>
      <w:r w:rsidR="00A31352" w:rsidRPr="007344EA">
        <w:t>to</w:t>
      </w:r>
      <w:r w:rsidR="00353069" w:rsidRPr="007344EA">
        <w:t xml:space="preserve">ja turinti negalią ir gaunanti apie </w:t>
      </w:r>
      <w:r w:rsidR="005600FD" w:rsidRPr="007344EA">
        <w:t xml:space="preserve">370 EUR </w:t>
      </w:r>
      <w:r w:rsidR="00353069" w:rsidRPr="007344EA">
        <w:t xml:space="preserve">prarasto nedarbingumo pensiją su </w:t>
      </w:r>
      <w:r w:rsidR="00353069" w:rsidRPr="007344EA">
        <w:rPr>
          <w:i/>
        </w:rPr>
        <w:t xml:space="preserve">Pohotovost </w:t>
      </w:r>
      <w:r w:rsidR="00353069" w:rsidRPr="007344EA">
        <w:t xml:space="preserve">sudarė </w:t>
      </w:r>
      <w:r w:rsidR="00353069" w:rsidRPr="007344EA">
        <w:lastRenderedPageBreak/>
        <w:t xml:space="preserve">kredito sutartį. </w:t>
      </w:r>
      <w:r w:rsidR="005600FD" w:rsidRPr="007344EA">
        <w:t xml:space="preserve">Jai buvo suteiktas 660 EUR kreditas už 630 EUR kredito mokestį (kreditinė metinė norma </w:t>
      </w:r>
      <w:r w:rsidR="00D7002F" w:rsidRPr="007344EA">
        <w:t xml:space="preserve">nebuvo nurodyta sutartyje ir </w:t>
      </w:r>
      <w:r w:rsidR="005600FD" w:rsidRPr="007344EA">
        <w:t>siekė 95 %</w:t>
      </w:r>
      <w:r w:rsidR="00D7002F" w:rsidRPr="007344EA">
        <w:t xml:space="preserve"> </w:t>
      </w:r>
      <w:r w:rsidR="006B4C7C" w:rsidRPr="007344EA">
        <w:t>)</w:t>
      </w:r>
      <w:r w:rsidR="0072160E" w:rsidRPr="007344EA">
        <w:t xml:space="preserve">. Taip pat </w:t>
      </w:r>
      <w:r w:rsidR="00C73CF9" w:rsidRPr="007344EA">
        <w:t>sutartyje buvo įtvirtinta sąlyga</w:t>
      </w:r>
      <w:r w:rsidR="0072160E" w:rsidRPr="007344EA">
        <w:t>, pagal kurią</w:t>
      </w:r>
      <w:r w:rsidR="006B4C7C" w:rsidRPr="007344EA">
        <w:t xml:space="preserve"> už kiekvieną uždelstą mokėjimo dieną vartotoj</w:t>
      </w:r>
      <w:r w:rsidR="007739E4" w:rsidRPr="007344EA">
        <w:t>as turi sumokėti 0,25%  palūkanų</w:t>
      </w:r>
      <w:r w:rsidR="006B4C7C" w:rsidRPr="007344EA">
        <w:t xml:space="preserve"> nuo mokėtinos sumos</w:t>
      </w:r>
      <w:r w:rsidR="00224D1C" w:rsidRPr="007344EA">
        <w:t xml:space="preserve"> −</w:t>
      </w:r>
      <w:r w:rsidR="006B4C7C" w:rsidRPr="007344EA">
        <w:t xml:space="preserve"> tai sudaro apie 90% metinių palūkanų. Viso vartotojai reikėjo sumokėti  apie 3470 EUR</w:t>
      </w:r>
      <w:r w:rsidR="00224D1C" w:rsidRPr="007344EA">
        <w:t xml:space="preserve"> −</w:t>
      </w:r>
      <w:r w:rsidR="006B4C7C" w:rsidRPr="007344EA">
        <w:t xml:space="preserve"> </w:t>
      </w:r>
      <w:r w:rsidR="0072160E" w:rsidRPr="007344EA">
        <w:t xml:space="preserve">t.y. </w:t>
      </w:r>
      <w:r w:rsidR="006B4C7C" w:rsidRPr="007344EA">
        <w:t>daugiau nei 5 kartus didesn</w:t>
      </w:r>
      <w:r w:rsidR="00782CB1" w:rsidRPr="007344EA">
        <w:t>ę sumą, nei buvo pasiskolinusi.</w:t>
      </w:r>
      <w:r w:rsidR="006B4C7C" w:rsidRPr="007344EA">
        <w:t xml:space="preserve"> Kredito sutartyje buvo </w:t>
      </w:r>
      <w:r w:rsidR="00332E3E" w:rsidRPr="007344EA">
        <w:t>numatyta sąlyga, kad visus iš s</w:t>
      </w:r>
      <w:r w:rsidR="006B4C7C" w:rsidRPr="007344EA">
        <w:t>uta</w:t>
      </w:r>
      <w:r w:rsidR="00332E3E" w:rsidRPr="007344EA">
        <w:t>r</w:t>
      </w:r>
      <w:r w:rsidR="006B4C7C" w:rsidRPr="007344EA">
        <w:t>ti</w:t>
      </w:r>
      <w:r w:rsidR="00332E3E" w:rsidRPr="007344EA">
        <w:t>e</w:t>
      </w:r>
      <w:r w:rsidR="006B4C7C" w:rsidRPr="007344EA">
        <w:t>s kylančius ginčus s</w:t>
      </w:r>
      <w:r w:rsidR="00332E3E" w:rsidRPr="007344EA">
        <w:t xml:space="preserve">prendžia Nuolatinis arbitražinis teismas arba kompetentingas nacionalinis teismas, kurį pasirenka </w:t>
      </w:r>
      <w:r w:rsidR="00332E3E" w:rsidRPr="007344EA">
        <w:rPr>
          <w:i/>
        </w:rPr>
        <w:t>skundą pateikianti</w:t>
      </w:r>
      <w:r w:rsidR="00332E3E" w:rsidRPr="007344EA">
        <w:t xml:space="preserve"> šalis. </w:t>
      </w:r>
      <w:r w:rsidR="00B85C8D" w:rsidRPr="007344EA">
        <w:t xml:space="preserve">Įmonė </w:t>
      </w:r>
      <w:r w:rsidR="00332E3E" w:rsidRPr="007344EA">
        <w:rPr>
          <w:i/>
        </w:rPr>
        <w:t>Pohotov</w:t>
      </w:r>
      <w:r w:rsidR="006B02C6" w:rsidRPr="007344EA">
        <w:rPr>
          <w:i/>
        </w:rPr>
        <w:t>ost</w:t>
      </w:r>
      <w:r w:rsidR="006B02C6" w:rsidRPr="007344EA">
        <w:t xml:space="preserve"> kreipėsi į arbitražą, kurio sprendimas tapo galutinis ir vykdytinas. Tuomet teismo antstolis kreipėsi į </w:t>
      </w:r>
      <w:r w:rsidR="00B85C8D" w:rsidRPr="007344EA">
        <w:t>nacionalinį</w:t>
      </w:r>
      <w:r w:rsidR="006B02C6" w:rsidRPr="007344EA">
        <w:t xml:space="preserve"> teismą, dėl vykdomojo rašto išdavimo minėtai 3470 EUR sumai. Teismas su</w:t>
      </w:r>
      <w:r w:rsidR="00595BD2" w:rsidRPr="007344EA">
        <w:t>s</w:t>
      </w:r>
      <w:r w:rsidR="006B02C6" w:rsidRPr="007344EA">
        <w:t>tabdė vykdomąją bylą</w:t>
      </w:r>
      <w:r w:rsidR="00595BD2" w:rsidRPr="007344EA">
        <w:t>,</w:t>
      </w:r>
      <w:r w:rsidR="00B0580F" w:rsidRPr="007344EA">
        <w:t xml:space="preserve"> </w:t>
      </w:r>
      <w:r w:rsidR="00595BD2" w:rsidRPr="007344EA">
        <w:t>remdamasis nacionalinėj</w:t>
      </w:r>
      <w:r w:rsidR="000126BF" w:rsidRPr="007344EA">
        <w:t>e teisėje įtvirtinta sąžiningos</w:t>
      </w:r>
      <w:r w:rsidR="00595BD2" w:rsidRPr="007344EA">
        <w:t xml:space="preserve"> praktikos taisykle.</w:t>
      </w:r>
      <w:r w:rsidR="006E6CD3" w:rsidRPr="007344EA">
        <w:t xml:space="preserve"> Esant tokioms </w:t>
      </w:r>
      <w:r w:rsidR="006B02C6" w:rsidRPr="007344EA">
        <w:t>aplinkybėms</w:t>
      </w:r>
      <w:r w:rsidR="006E6CD3" w:rsidRPr="007344EA">
        <w:t xml:space="preserve"> bei matydamas, kad Slovakijos vartotojų asociacijos </w:t>
      </w:r>
      <w:r w:rsidR="00EC4572" w:rsidRPr="007344EA">
        <w:t xml:space="preserve">„pateiktame rašte </w:t>
      </w:r>
      <w:r w:rsidR="006E6CD3" w:rsidRPr="007344EA">
        <w:t xml:space="preserve">nurodyta daug faktinių aplinkybių, į kurias jis turi atsižvelgti </w:t>
      </w:r>
      <w:r w:rsidR="006E6CD3" w:rsidRPr="007344EA">
        <w:rPr>
          <w:i/>
          <w:iCs/>
        </w:rPr>
        <w:t>ex officio</w:t>
      </w:r>
      <w:r w:rsidR="006E6CD3" w:rsidRPr="007344EA">
        <w:t xml:space="preserve">, </w:t>
      </w:r>
      <w:r w:rsidR="006E6CD3" w:rsidRPr="007344EA">
        <w:rPr>
          <w:i/>
          <w:iCs/>
        </w:rPr>
        <w:t xml:space="preserve">Krajský súd v Prešove </w:t>
      </w:r>
      <w:r w:rsidR="00EC4572" w:rsidRPr="007344EA">
        <w:rPr>
          <w:iCs/>
        </w:rPr>
        <w:t>(nacionalinis teismas</w:t>
      </w:r>
      <w:r w:rsidR="00224D1C" w:rsidRPr="007344EA">
        <w:rPr>
          <w:iCs/>
        </w:rPr>
        <w:t xml:space="preserve"> </w:t>
      </w:r>
      <w:r w:rsidR="00224D1C" w:rsidRPr="007344EA">
        <w:t>−</w:t>
      </w:r>
      <w:r w:rsidR="00EC4572" w:rsidRPr="007344EA">
        <w:rPr>
          <w:iCs/>
        </w:rPr>
        <w:t xml:space="preserve"> aut. past.) </w:t>
      </w:r>
      <w:r w:rsidR="006E6CD3" w:rsidRPr="007344EA">
        <w:t>nusprendė sustabdyti bylos nagrinėjimą</w:t>
      </w:r>
      <w:r w:rsidR="00EC4572" w:rsidRPr="007344EA">
        <w:t>“</w:t>
      </w:r>
      <w:r w:rsidR="00EC4572" w:rsidRPr="007344EA">
        <w:rPr>
          <w:rStyle w:val="FootnoteReference"/>
        </w:rPr>
        <w:footnoteReference w:id="131"/>
      </w:r>
      <w:r w:rsidR="006E6CD3" w:rsidRPr="007344EA">
        <w:t xml:space="preserve"> ir </w:t>
      </w:r>
      <w:r w:rsidR="000132D6" w:rsidRPr="007344EA">
        <w:t>kreiptis į Teisingumo T</w:t>
      </w:r>
      <w:r w:rsidR="00EC4572" w:rsidRPr="007344EA">
        <w:t xml:space="preserve">eismą prašant prejudicinio išaiškinimo. </w:t>
      </w:r>
      <w:r w:rsidR="000132D6" w:rsidRPr="007344EA">
        <w:t xml:space="preserve">Prejudiciniai klausimai buvo susiję su nacionalinio </w:t>
      </w:r>
      <w:r w:rsidR="006E0E50" w:rsidRPr="007344EA">
        <w:t xml:space="preserve">teise </w:t>
      </w:r>
      <w:r w:rsidR="00915DC3" w:rsidRPr="007344EA">
        <w:rPr>
          <w:i/>
        </w:rPr>
        <w:t xml:space="preserve">ex </w:t>
      </w:r>
      <w:r w:rsidR="006E0E50" w:rsidRPr="007344EA">
        <w:rPr>
          <w:i/>
        </w:rPr>
        <w:t>officio</w:t>
      </w:r>
      <w:r w:rsidR="006E0E50" w:rsidRPr="007344EA">
        <w:t xml:space="preserve">  nustatyti </w:t>
      </w:r>
      <w:r w:rsidR="0078290C" w:rsidRPr="007344EA">
        <w:t>ar tam tikra sutar</w:t>
      </w:r>
      <w:r w:rsidR="00915DC3" w:rsidRPr="007344EA">
        <w:t xml:space="preserve">ties sąlyga yra nesąžininga arbitražo sprendimo vykdymo procese, kuriame vartotojas nedalyvavo bei </w:t>
      </w:r>
      <w:r w:rsidR="0072160E" w:rsidRPr="007344EA">
        <w:t xml:space="preserve">su </w:t>
      </w:r>
      <w:r w:rsidR="00915DC3" w:rsidRPr="007344EA">
        <w:t xml:space="preserve">sutarties sąlygų skaidrumu. </w:t>
      </w:r>
    </w:p>
    <w:p w:rsidR="008B6110" w:rsidRPr="007344EA" w:rsidRDefault="009B70EF" w:rsidP="006E00E1">
      <w:pPr>
        <w:pStyle w:val="Default"/>
        <w:spacing w:line="360" w:lineRule="auto"/>
        <w:ind w:firstLine="1296"/>
        <w:jc w:val="both"/>
      </w:pPr>
      <w:r w:rsidRPr="007344EA">
        <w:t xml:space="preserve">Byloje </w:t>
      </w:r>
      <w:r w:rsidRPr="007344EA">
        <w:rPr>
          <w:i/>
        </w:rPr>
        <w:t xml:space="preserve">Banco </w:t>
      </w:r>
      <w:r w:rsidR="009C554C" w:rsidRPr="007344EA">
        <w:rPr>
          <w:i/>
        </w:rPr>
        <w:t>Espano</w:t>
      </w:r>
      <w:r w:rsidR="00C73CF9" w:rsidRPr="007344EA">
        <w:rPr>
          <w:i/>
        </w:rPr>
        <w:t>l</w:t>
      </w:r>
      <w:r w:rsidR="00D1671F" w:rsidRPr="007344EA">
        <w:rPr>
          <w:rStyle w:val="FootnoteReference"/>
          <w:i/>
        </w:rPr>
        <w:footnoteReference w:id="132"/>
      </w:r>
      <w:r w:rsidR="009C554C" w:rsidRPr="007344EA">
        <w:t xml:space="preserve"> į Teisingumo Teismą kreipėsi Ispanijos</w:t>
      </w:r>
      <w:r w:rsidR="004B309C" w:rsidRPr="007344EA">
        <w:t xml:space="preserve"> teismas. Vartotojas sudarė kredit</w:t>
      </w:r>
      <w:r w:rsidR="00EA2B36" w:rsidRPr="007344EA">
        <w:t>o sutartį siekdamas namų ūkio po</w:t>
      </w:r>
      <w:r w:rsidR="004B309C" w:rsidRPr="007344EA">
        <w:t>reikiams įsigyti automobilį. Pagal šią sutartį</w:t>
      </w:r>
      <w:r w:rsidR="00EA2B36" w:rsidRPr="007344EA">
        <w:t xml:space="preserve"> buvo numatyta 29 % palūkanų norma už vėluojančias palūkanas. Vartotojui laiku nesumokėjus įmokų verslininkas </w:t>
      </w:r>
      <w:r w:rsidR="008B6110" w:rsidRPr="007344EA">
        <w:t xml:space="preserve">pirmosios instancijos teismui pateikė prašymą dėl įsakymo sumokėti </w:t>
      </w:r>
      <w:r w:rsidR="0095128E" w:rsidRPr="007344EA">
        <w:t xml:space="preserve"> tam tikrą sumą, „atitinkančią nesumokėtas įmokas kartu su sutartyje numatytomis palūkanomis ir išlaidomis“</w:t>
      </w:r>
      <w:r w:rsidR="0095128E" w:rsidRPr="007344EA">
        <w:rPr>
          <w:rStyle w:val="FootnoteReference"/>
        </w:rPr>
        <w:footnoteReference w:id="133"/>
      </w:r>
      <w:r w:rsidR="0095128E" w:rsidRPr="007344EA">
        <w:t>. Pirmosios instancijos teismas pripažino, kad tarp vartotojo ir verslininko sudarytoje tipinėje sutartyje esanti sąlyga dėl palūkanų už pavėluotas įmokas yra nesąžininga ir</w:t>
      </w:r>
      <w:r w:rsidR="007739E4" w:rsidRPr="007344EA">
        <w:t xml:space="preserve">, </w:t>
      </w:r>
      <w:r w:rsidR="0095128E" w:rsidRPr="007344EA">
        <w:t xml:space="preserve">atsižvelgdamas į </w:t>
      </w:r>
      <w:r w:rsidR="0095128E" w:rsidRPr="007344EA">
        <w:rPr>
          <w:i/>
        </w:rPr>
        <w:t>Euribor</w:t>
      </w:r>
      <w:r w:rsidR="0095128E" w:rsidRPr="007344EA">
        <w:t xml:space="preserve"> ir Europos Centrinio banko dydžius</w:t>
      </w:r>
      <w:r w:rsidR="007739E4" w:rsidRPr="007344EA">
        <w:t>,</w:t>
      </w:r>
      <w:r w:rsidR="0095128E" w:rsidRPr="007344EA">
        <w:t xml:space="preserve"> palūkanas už pavėluotas įm</w:t>
      </w:r>
      <w:r w:rsidR="00056C0E" w:rsidRPr="007344EA">
        <w:t>okas sumažino nuo 29% iki 19 %.</w:t>
      </w:r>
      <w:r w:rsidR="0095128E" w:rsidRPr="007344EA">
        <w:t xml:space="preserve"> Verslininkas pat</w:t>
      </w:r>
      <w:r w:rsidR="0090434B" w:rsidRPr="007344EA">
        <w:t xml:space="preserve">eikė apeliacinį skundą </w:t>
      </w:r>
      <w:r w:rsidR="0095128E" w:rsidRPr="007344EA">
        <w:t>tvirtindama</w:t>
      </w:r>
      <w:r w:rsidR="0090434B" w:rsidRPr="007344EA">
        <w:t>s</w:t>
      </w:r>
      <w:r w:rsidR="0095128E" w:rsidRPr="007344EA">
        <w:t xml:space="preserve">, kad </w:t>
      </w:r>
      <w:r w:rsidR="0090434B" w:rsidRPr="007344EA">
        <w:rPr>
          <w:iCs/>
        </w:rPr>
        <w:t>pirmosios instancijos teismas</w:t>
      </w:r>
      <w:r w:rsidR="0095128E" w:rsidRPr="007344EA">
        <w:rPr>
          <w:i/>
          <w:iCs/>
        </w:rPr>
        <w:t xml:space="preserve"> </w:t>
      </w:r>
      <w:r w:rsidR="0095128E" w:rsidRPr="007344EA">
        <w:t xml:space="preserve">šiame proceso etape negalėjo nei </w:t>
      </w:r>
      <w:r w:rsidR="0095128E" w:rsidRPr="007344EA">
        <w:rPr>
          <w:i/>
          <w:iCs/>
        </w:rPr>
        <w:t xml:space="preserve">ex officio </w:t>
      </w:r>
      <w:r w:rsidR="0095128E" w:rsidRPr="007344EA">
        <w:t xml:space="preserve">pripažinti sutarties sąlygos dėl palūkanų už pavėluotas įmokas, </w:t>
      </w:r>
      <w:r w:rsidR="0090434B" w:rsidRPr="007344EA">
        <w:t xml:space="preserve">pripažinti nesąžininga ir </w:t>
      </w:r>
      <w:r w:rsidR="0095128E" w:rsidRPr="007344EA">
        <w:t>negaliojančia</w:t>
      </w:r>
      <w:r w:rsidR="0090434B" w:rsidRPr="007344EA">
        <w:t>, nei jos pakeisti. Apeliacinės instancijos teisma</w:t>
      </w:r>
      <w:r w:rsidR="00DB7D1A" w:rsidRPr="007344EA">
        <w:t>s nustatė</w:t>
      </w:r>
      <w:r w:rsidR="0090434B" w:rsidRPr="007344EA">
        <w:t>, kad pagal Ispanijos teisę teismams</w:t>
      </w:r>
      <w:r w:rsidR="007739E4" w:rsidRPr="007344EA">
        <w:t>,</w:t>
      </w:r>
      <w:r w:rsidR="0090434B" w:rsidRPr="007344EA">
        <w:t xml:space="preserve"> nagrinėjantiems prašymą dėl mokėjimo įsakymo</w:t>
      </w:r>
      <w:r w:rsidR="007739E4" w:rsidRPr="007344EA">
        <w:t>,</w:t>
      </w:r>
      <w:r w:rsidR="0090434B" w:rsidRPr="007344EA">
        <w:t xml:space="preserve"> nesuteikiama </w:t>
      </w:r>
      <w:r w:rsidR="00DB2847" w:rsidRPr="007344EA">
        <w:t>teisė „</w:t>
      </w:r>
      <w:r w:rsidR="00DB7D1A" w:rsidRPr="007344EA">
        <w:rPr>
          <w:i/>
        </w:rPr>
        <w:t>ex officio</w:t>
      </w:r>
      <w:r w:rsidR="00DB7D1A" w:rsidRPr="007344EA">
        <w:t xml:space="preserve"> ir </w:t>
      </w:r>
      <w:r w:rsidR="00DB7D1A" w:rsidRPr="007344EA">
        <w:rPr>
          <w:i/>
        </w:rPr>
        <w:t>in limine litis</w:t>
      </w:r>
      <w:r w:rsidR="002B5471" w:rsidRPr="007344EA">
        <w:rPr>
          <w:rStyle w:val="FootnoteReference"/>
          <w:i/>
        </w:rPr>
        <w:footnoteReference w:id="134"/>
      </w:r>
      <w:r w:rsidR="00DB7D1A" w:rsidRPr="007344EA">
        <w:t xml:space="preserve"> pripažinti nesąžiningas sąlygas negaliojančiomis, nes jų teisėtumo analizei taiko</w:t>
      </w:r>
      <w:r w:rsidR="00056C0E" w:rsidRPr="007344EA">
        <w:t xml:space="preserve">ma </w:t>
      </w:r>
      <w:r w:rsidR="00056C0E" w:rsidRPr="007344EA">
        <w:lastRenderedPageBreak/>
        <w:t xml:space="preserve">bendrosios teisės procedūra, </w:t>
      </w:r>
      <w:r w:rsidR="00DB7D1A" w:rsidRPr="007344EA">
        <w:t>kuri gali būti pradėta tik pagal skolininko pateiktą prieštaravimą“</w:t>
      </w:r>
      <w:r w:rsidR="00DB7D1A" w:rsidRPr="007344EA">
        <w:rPr>
          <w:rStyle w:val="FootnoteReference"/>
        </w:rPr>
        <w:footnoteReference w:id="135"/>
      </w:r>
      <w:r w:rsidR="00DB7D1A" w:rsidRPr="007344EA">
        <w:t xml:space="preserve">. Tačiau </w:t>
      </w:r>
      <w:r w:rsidR="00E33944" w:rsidRPr="007344EA">
        <w:t>paminėjo, kad pagal Teisingumo Teismo praktiką, aiškina</w:t>
      </w:r>
      <w:r w:rsidR="007739E4" w:rsidRPr="007344EA">
        <w:t>n</w:t>
      </w:r>
      <w:r w:rsidR="00E33944" w:rsidRPr="007344EA">
        <w:t>t Direktyvos 93/13 nuostatas</w:t>
      </w:r>
      <w:r w:rsidR="007739E4" w:rsidRPr="007344EA">
        <w:t xml:space="preserve">, </w:t>
      </w:r>
      <w:r w:rsidR="00E33944" w:rsidRPr="007344EA">
        <w:t xml:space="preserve">„nacionaliniai teismai privalo </w:t>
      </w:r>
      <w:r w:rsidR="00E33944" w:rsidRPr="007344EA">
        <w:rPr>
          <w:i/>
          <w:iCs/>
        </w:rPr>
        <w:t xml:space="preserve">ex officio </w:t>
      </w:r>
      <w:r w:rsidR="00E33944" w:rsidRPr="007344EA">
        <w:t>nesąžiningą sąlygą pripažinti negaliojančia ir netaikytina, net nesant jokio sutarties šalių prašymo šiuo klausimu“</w:t>
      </w:r>
      <w:r w:rsidR="00E33944" w:rsidRPr="007344EA">
        <w:rPr>
          <w:rStyle w:val="FootnoteReference"/>
        </w:rPr>
        <w:footnoteReference w:id="136"/>
      </w:r>
      <w:r w:rsidR="00C73CF9" w:rsidRPr="007344EA">
        <w:t xml:space="preserve">. </w:t>
      </w:r>
      <w:r w:rsidR="00E33944" w:rsidRPr="007344EA">
        <w:t xml:space="preserve">Esant tokioms aplinkybėms nacionalinis teismas  kreipėsi į Teisingumo Teismą su prašymu priimti prejudicinį sprendimą iš esmės klausdamas </w:t>
      </w:r>
      <w:r w:rsidR="00367485" w:rsidRPr="007344EA">
        <w:t xml:space="preserve">ar „Direktyvą 93/13 reikia aiškinti taip, kad ja draudžiamos valstybės narės teisės nuostatos, &lt;...&gt; pagal kurias teismui, nagrinėjančiam prašymą dėl mokėjimo įsakymo, neleidžiama </w:t>
      </w:r>
      <w:r w:rsidR="00367485" w:rsidRPr="007344EA">
        <w:rPr>
          <w:i/>
          <w:iCs/>
        </w:rPr>
        <w:t xml:space="preserve">ex officio </w:t>
      </w:r>
      <w:r w:rsidR="00367485" w:rsidRPr="007344EA">
        <w:t xml:space="preserve">ir </w:t>
      </w:r>
      <w:r w:rsidR="00367485" w:rsidRPr="007344EA">
        <w:rPr>
          <w:i/>
          <w:iCs/>
        </w:rPr>
        <w:t xml:space="preserve">in limine litis </w:t>
      </w:r>
      <w:r w:rsidR="00367485" w:rsidRPr="007344EA">
        <w:t>nei jokiu kitu proceso metu įvertinti sąlygos dėl palūkanų už pavėluotas įmokas &lt;...&gt; nesąžiningumo, nesant vartotojo pateikto prieštaravimo”</w:t>
      </w:r>
      <w:r w:rsidR="00367485" w:rsidRPr="007344EA">
        <w:rPr>
          <w:rStyle w:val="FootnoteReference"/>
        </w:rPr>
        <w:footnoteReference w:id="137"/>
      </w:r>
      <w:r w:rsidR="00367485" w:rsidRPr="007344EA">
        <w:t xml:space="preserve"> bei ar nacionalinis teismas, konstatavęs, kad sutartyje sudarytoje tarp verslininko ir vartotojo tam tikra sąlyga yra nesąžininga gali pakeisti šios sutarties turinį</w:t>
      </w:r>
      <w:r w:rsidR="00E56DF3" w:rsidRPr="007344EA">
        <w:t xml:space="preserve">. Kiti nacionalinio teismo užduoti klausimai nebuvo susiję su Direktyvos 93/13 aiškinimu ar </w:t>
      </w:r>
      <w:r w:rsidR="002B64BF" w:rsidRPr="007344EA">
        <w:t xml:space="preserve"> Teisingumo Teismas pripažino juos</w:t>
      </w:r>
      <w:r w:rsidR="00E56DF3" w:rsidRPr="007344EA">
        <w:t xml:space="preserve"> hipotetiniais. </w:t>
      </w:r>
    </w:p>
    <w:p w:rsidR="00B0580F" w:rsidRPr="007344EA" w:rsidRDefault="009D6C50" w:rsidP="006E00E1">
      <w:pPr>
        <w:pStyle w:val="Default"/>
        <w:spacing w:line="360" w:lineRule="auto"/>
        <w:ind w:firstLine="1296"/>
        <w:jc w:val="both"/>
      </w:pPr>
      <w:r w:rsidRPr="007344EA">
        <w:t xml:space="preserve">Kaip </w:t>
      </w:r>
      <w:r w:rsidR="00082C83" w:rsidRPr="007344EA">
        <w:t>matyti iš pateiktų bylų</w:t>
      </w:r>
      <w:r w:rsidR="008E3DDE" w:rsidRPr="007344EA">
        <w:t>, klausimai</w:t>
      </w:r>
      <w:r w:rsidR="009C7F89" w:rsidRPr="007344EA">
        <w:t xml:space="preserve"> dėl </w:t>
      </w:r>
      <w:r w:rsidR="002B64BF" w:rsidRPr="007344EA">
        <w:t xml:space="preserve">nacionalinio </w:t>
      </w:r>
      <w:r w:rsidR="009C7F89" w:rsidRPr="007344EA">
        <w:t>teismo galimybės</w:t>
      </w:r>
      <w:r w:rsidR="008E3DDE" w:rsidRPr="007344EA">
        <w:t xml:space="preserve"> tam tikrų vartojimo sutarčių</w:t>
      </w:r>
      <w:r w:rsidR="009C7F89" w:rsidRPr="007344EA">
        <w:t xml:space="preserve"> sąlygų nesąžiningumą vertinti </w:t>
      </w:r>
      <w:r w:rsidR="009C7F89" w:rsidRPr="007344EA">
        <w:rPr>
          <w:i/>
        </w:rPr>
        <w:t>ex officio</w:t>
      </w:r>
      <w:r w:rsidR="009C7F89" w:rsidRPr="007344EA">
        <w:t xml:space="preserve"> </w:t>
      </w:r>
      <w:r w:rsidR="008E3DDE" w:rsidRPr="007344EA">
        <w:t xml:space="preserve">ar savo iniciatyva rinkti </w:t>
      </w:r>
      <w:r w:rsidR="00BC60E7" w:rsidRPr="007344EA">
        <w:t xml:space="preserve">faktinę ir </w:t>
      </w:r>
      <w:r w:rsidR="00082C83" w:rsidRPr="007344EA">
        <w:t>teisinę</w:t>
      </w:r>
      <w:r w:rsidR="008E3DDE" w:rsidRPr="007344EA">
        <w:t xml:space="preserve"> </w:t>
      </w:r>
      <w:r w:rsidR="00BC60E7" w:rsidRPr="007344EA">
        <w:t>medžiagą</w:t>
      </w:r>
      <w:r w:rsidR="00B0580F" w:rsidRPr="007344EA">
        <w:t>,</w:t>
      </w:r>
      <w:r w:rsidR="008E3DDE" w:rsidRPr="007344EA">
        <w:t xml:space="preserve"> </w:t>
      </w:r>
      <w:r w:rsidR="009C7F89" w:rsidRPr="007344EA">
        <w:t>kyla tiek ginčo, tiek ne ginčo teiseno</w:t>
      </w:r>
      <w:r w:rsidR="00BC60E7" w:rsidRPr="007344EA">
        <w:t>s bylose. D</w:t>
      </w:r>
      <w:r w:rsidR="009C7F89" w:rsidRPr="007344EA">
        <w:t xml:space="preserve">ažnai </w:t>
      </w:r>
      <w:r w:rsidR="00611E16" w:rsidRPr="007344EA">
        <w:t xml:space="preserve">norima </w:t>
      </w:r>
      <w:r w:rsidR="00611E16" w:rsidRPr="007344EA">
        <w:rPr>
          <w:i/>
        </w:rPr>
        <w:t>ex officio</w:t>
      </w:r>
      <w:r w:rsidR="00611E16" w:rsidRPr="007344EA">
        <w:t xml:space="preserve"> kvestionuoti</w:t>
      </w:r>
      <w:r w:rsidR="009C7F89" w:rsidRPr="007344EA">
        <w:t xml:space="preserve"> </w:t>
      </w:r>
      <w:r w:rsidR="00611E16" w:rsidRPr="007344EA">
        <w:t>arbitražinės išlygos sąžiningumą,</w:t>
      </w:r>
      <w:r w:rsidR="0072160E" w:rsidRPr="007344EA">
        <w:t xml:space="preserve"> ginčų sprendimų jurisdikciją nustatančias taisykles bei </w:t>
      </w:r>
      <w:r w:rsidR="00611E16" w:rsidRPr="007344EA">
        <w:t>susiduriama su nacionalinės teisės netobulumu, trukdančiu teismams pasiekti Direktyvoje</w:t>
      </w:r>
      <w:r w:rsidR="00252910" w:rsidRPr="007344EA">
        <w:t xml:space="preserve"> 93/13 numatytus tikslus.</w:t>
      </w:r>
      <w:r w:rsidR="008A176F" w:rsidRPr="007344EA">
        <w:t xml:space="preserve"> </w:t>
      </w:r>
      <w:r w:rsidR="00082C83" w:rsidRPr="007344EA">
        <w:t>Taip pat</w:t>
      </w:r>
      <w:r w:rsidR="008A176F" w:rsidRPr="007344EA">
        <w:t xml:space="preserve"> kyla nacionalinės proceso teisės ir Direktyvoje 93/13 įtvirtintos vartotojų apsaugos sistemos kolizija, kuomet dėl tam tikrų nacio</w:t>
      </w:r>
      <w:r w:rsidR="00A618AE" w:rsidRPr="007344EA">
        <w:t xml:space="preserve">nalinės proceso teisės nuostatų </w:t>
      </w:r>
      <w:r w:rsidR="008A176F" w:rsidRPr="007344EA">
        <w:t>Direktyvoje</w:t>
      </w:r>
      <w:r w:rsidR="00252910" w:rsidRPr="007344EA">
        <w:t xml:space="preserve"> 93/13</w:t>
      </w:r>
      <w:r w:rsidR="008A176F" w:rsidRPr="007344EA">
        <w:t xml:space="preserve"> įtvirtinta vart</w:t>
      </w:r>
      <w:r w:rsidR="00252910" w:rsidRPr="007344EA">
        <w:t>otojų apsaugos</w:t>
      </w:r>
      <w:r w:rsidR="008E3DDE" w:rsidRPr="007344EA">
        <w:t xml:space="preserve"> sistem</w:t>
      </w:r>
      <w:r w:rsidR="00BC60E7" w:rsidRPr="007344EA">
        <w:t>a</w:t>
      </w:r>
      <w:r w:rsidR="00252910" w:rsidRPr="007344EA">
        <w:t xml:space="preserve"> </w:t>
      </w:r>
      <w:r w:rsidR="002B64BF" w:rsidRPr="007344EA">
        <w:t xml:space="preserve">tampa </w:t>
      </w:r>
      <w:r w:rsidR="008E3DDE" w:rsidRPr="007344EA">
        <w:t>neveiksminga</w:t>
      </w:r>
      <w:r w:rsidR="00252910" w:rsidRPr="007344EA">
        <w:t xml:space="preserve">. </w:t>
      </w:r>
      <w:r w:rsidR="00BD3B7E" w:rsidRPr="007344EA">
        <w:t>Teisės teorijoje teigiama, kad „m</w:t>
      </w:r>
      <w:r w:rsidR="00A618AE" w:rsidRPr="007344EA">
        <w:t>aterialinės teisės normos sąveikauja su proceso normomis, kaip tikslas su savo priemonėmis</w:t>
      </w:r>
      <w:r w:rsidR="00BD3B7E" w:rsidRPr="007344EA">
        <w:t>“</w:t>
      </w:r>
      <w:r w:rsidR="00A618AE" w:rsidRPr="007344EA">
        <w:rPr>
          <w:rStyle w:val="FootnoteReference"/>
        </w:rPr>
        <w:footnoteReference w:id="138"/>
      </w:r>
      <w:r w:rsidR="00BD3B7E" w:rsidRPr="007344EA">
        <w:t>. Kitais žodžiais tariant</w:t>
      </w:r>
      <w:r w:rsidR="00E704B9" w:rsidRPr="007344EA">
        <w:t>,</w:t>
      </w:r>
      <w:r w:rsidR="00BD3B7E" w:rsidRPr="007344EA">
        <w:t xml:space="preserve"> proceso teisės normos nustato taisykles, kaip pasinaudoti materialinės teisės normomis suteiktomis teisėmis</w:t>
      </w:r>
      <w:r w:rsidR="00C73CF9" w:rsidRPr="007344EA">
        <w:t>,</w:t>
      </w:r>
      <w:r w:rsidR="00BD3B7E" w:rsidRPr="007344EA">
        <w:t xml:space="preserve"> t.y. materialinės teisės normos be proceso normų yra </w:t>
      </w:r>
      <w:r w:rsidR="008D26F3" w:rsidRPr="007344EA">
        <w:t>neveikiančios. Taigi</w:t>
      </w:r>
      <w:r w:rsidR="00E704B9" w:rsidRPr="007344EA">
        <w:t xml:space="preserve">, </w:t>
      </w:r>
      <w:r w:rsidR="00993D7C" w:rsidRPr="007344EA">
        <w:t xml:space="preserve">nesant </w:t>
      </w:r>
      <w:r w:rsidR="008D26F3" w:rsidRPr="007344EA">
        <w:t>tinkamų</w:t>
      </w:r>
      <w:r w:rsidR="00993D7C" w:rsidRPr="007344EA">
        <w:t xml:space="preserve"> įgyve</w:t>
      </w:r>
      <w:r w:rsidR="00252910" w:rsidRPr="007344EA">
        <w:t>ndinimo priemonių</w:t>
      </w:r>
      <w:r w:rsidR="00E704B9" w:rsidRPr="007344EA">
        <w:t>,</w:t>
      </w:r>
      <w:r w:rsidR="00252910" w:rsidRPr="007344EA">
        <w:t xml:space="preserve"> materialinis D</w:t>
      </w:r>
      <w:r w:rsidR="00993D7C" w:rsidRPr="007344EA">
        <w:t>irektyvos</w:t>
      </w:r>
      <w:r w:rsidR="00B0580F" w:rsidRPr="007344EA">
        <w:t xml:space="preserve"> 93/13</w:t>
      </w:r>
      <w:r w:rsidR="00993D7C" w:rsidRPr="007344EA">
        <w:t xml:space="preserve"> tikslas negali būti</w:t>
      </w:r>
      <w:r w:rsidR="008D26F3" w:rsidRPr="007344EA">
        <w:t xml:space="preserve"> pasiektas. Iš pirmo žvilgsnio nacionalinės proceso teisės ir Direktyvos 93/13 suteikiamos apsaugos sistemos kolizij</w:t>
      </w:r>
      <w:r w:rsidR="00F83047" w:rsidRPr="007344EA">
        <w:t>a</w:t>
      </w:r>
      <w:r w:rsidR="00993D7C" w:rsidRPr="007344EA">
        <w:t xml:space="preserve"> gali būti nesunkiai išsprendži</w:t>
      </w:r>
      <w:r w:rsidR="00252910" w:rsidRPr="007344EA">
        <w:t>a</w:t>
      </w:r>
      <w:r w:rsidR="008D26F3" w:rsidRPr="007344EA">
        <w:t>ma kartu su materialinėmis normomis harmonizuojant ir</w:t>
      </w:r>
      <w:r w:rsidR="00993D7C" w:rsidRPr="007344EA">
        <w:t xml:space="preserve"> tam tikras proceso normas</w:t>
      </w:r>
      <w:r w:rsidR="008D26F3" w:rsidRPr="007344EA">
        <w:t>. T</w:t>
      </w:r>
      <w:r w:rsidR="00993D7C" w:rsidRPr="007344EA">
        <w:t>ačiau Teisingumo Teismas ne viename savo sprendime</w:t>
      </w:r>
      <w:r w:rsidR="00F83047" w:rsidRPr="007344EA">
        <w:rPr>
          <w:rStyle w:val="FootnoteReference"/>
        </w:rPr>
        <w:footnoteReference w:id="139"/>
      </w:r>
      <w:r w:rsidR="00F83047" w:rsidRPr="007344EA">
        <w:t xml:space="preserve"> yra pabrėžęs neginčijamą</w:t>
      </w:r>
      <w:r w:rsidR="00993D7C" w:rsidRPr="007344EA">
        <w:t xml:space="preserve"> valstybės na</w:t>
      </w:r>
      <w:r w:rsidR="00F83047" w:rsidRPr="007344EA">
        <w:t>rės procesinės teisės autonomiją</w:t>
      </w:r>
      <w:r w:rsidR="00993D7C" w:rsidRPr="007344EA">
        <w:t xml:space="preserve"> ir pagarbą jai, be kita ko Europos Sąjungos teisei nėra </w:t>
      </w:r>
      <w:r w:rsidR="00993D7C" w:rsidRPr="007344EA">
        <w:lastRenderedPageBreak/>
        <w:t>priskirta kompetencija reguliuoti</w:t>
      </w:r>
      <w:r w:rsidR="00D1671F" w:rsidRPr="007344EA">
        <w:t xml:space="preserve"> valstybių narių proceso</w:t>
      </w:r>
      <w:r w:rsidR="00993D7C" w:rsidRPr="007344EA">
        <w:t xml:space="preserve"> teisės.</w:t>
      </w:r>
      <w:r w:rsidR="00486548" w:rsidRPr="007344EA">
        <w:t xml:space="preserve"> Taigi, Teisingumo Teismui vienai iš šių vertybių tenka suteikti prioritetą</w:t>
      </w:r>
      <w:r w:rsidR="00AD6E40" w:rsidRPr="007344EA">
        <w:t>.</w:t>
      </w:r>
    </w:p>
    <w:p w:rsidR="00FF776D" w:rsidRPr="007344EA" w:rsidRDefault="00DF6FD4" w:rsidP="000F6662">
      <w:pPr>
        <w:pStyle w:val="Heading3"/>
        <w:rPr>
          <w:rFonts w:ascii="Times New Roman" w:hAnsi="Times New Roman" w:cs="Times New Roman"/>
          <w:color w:val="auto"/>
          <w:sz w:val="24"/>
          <w:szCs w:val="24"/>
        </w:rPr>
      </w:pPr>
      <w:bookmarkStart w:id="6" w:name="_Toc344337156"/>
      <w:r w:rsidRPr="007344EA">
        <w:rPr>
          <w:rFonts w:ascii="Times New Roman" w:hAnsi="Times New Roman" w:cs="Times New Roman"/>
          <w:color w:val="auto"/>
          <w:sz w:val="24"/>
          <w:szCs w:val="24"/>
        </w:rPr>
        <w:t>2</w:t>
      </w:r>
      <w:r w:rsidR="00486548" w:rsidRPr="007344EA">
        <w:rPr>
          <w:rFonts w:ascii="Times New Roman" w:hAnsi="Times New Roman" w:cs="Times New Roman"/>
          <w:color w:val="auto"/>
          <w:sz w:val="24"/>
          <w:szCs w:val="24"/>
        </w:rPr>
        <w:t>.1.2</w:t>
      </w:r>
      <w:r w:rsidR="00532BB0" w:rsidRPr="007344EA">
        <w:rPr>
          <w:rFonts w:ascii="Times New Roman" w:hAnsi="Times New Roman" w:cs="Times New Roman"/>
          <w:color w:val="auto"/>
          <w:sz w:val="24"/>
          <w:szCs w:val="24"/>
        </w:rPr>
        <w:t>.</w:t>
      </w:r>
      <w:r w:rsidR="00486548" w:rsidRPr="007344EA">
        <w:rPr>
          <w:rFonts w:ascii="Times New Roman" w:hAnsi="Times New Roman" w:cs="Times New Roman"/>
          <w:color w:val="auto"/>
          <w:sz w:val="24"/>
          <w:szCs w:val="24"/>
        </w:rPr>
        <w:t xml:space="preserve">  Bylos susijusios su Direktyvos 93/13 taikymo sritimi </w:t>
      </w:r>
      <w:r w:rsidR="00486548" w:rsidRPr="007344EA">
        <w:rPr>
          <w:rFonts w:ascii="Times New Roman" w:hAnsi="Times New Roman" w:cs="Times New Roman"/>
          <w:i/>
          <w:color w:val="auto"/>
          <w:sz w:val="24"/>
          <w:szCs w:val="24"/>
        </w:rPr>
        <w:t>ratione personae</w:t>
      </w:r>
      <w:r w:rsidR="00486548" w:rsidRPr="007344EA">
        <w:rPr>
          <w:rFonts w:ascii="Times New Roman" w:hAnsi="Times New Roman" w:cs="Times New Roman"/>
          <w:color w:val="auto"/>
          <w:sz w:val="24"/>
          <w:szCs w:val="24"/>
        </w:rPr>
        <w:t xml:space="preserve"> ir </w:t>
      </w:r>
      <w:r w:rsidR="00486548" w:rsidRPr="007344EA">
        <w:rPr>
          <w:rFonts w:ascii="Times New Roman" w:hAnsi="Times New Roman" w:cs="Times New Roman"/>
          <w:i/>
          <w:color w:val="auto"/>
          <w:sz w:val="24"/>
          <w:szCs w:val="24"/>
        </w:rPr>
        <w:t>ratione materiae</w:t>
      </w:r>
      <w:r w:rsidR="00486548" w:rsidRPr="007344EA">
        <w:rPr>
          <w:rFonts w:ascii="Times New Roman" w:hAnsi="Times New Roman" w:cs="Times New Roman"/>
          <w:color w:val="auto"/>
          <w:sz w:val="24"/>
          <w:szCs w:val="24"/>
        </w:rPr>
        <w:t xml:space="preserve"> atžvilgiu.</w:t>
      </w:r>
      <w:bookmarkEnd w:id="6"/>
    </w:p>
    <w:p w:rsidR="00D42736" w:rsidRPr="007344EA" w:rsidRDefault="00D42736" w:rsidP="006E00E1">
      <w:pPr>
        <w:pStyle w:val="Default"/>
        <w:spacing w:line="360" w:lineRule="auto"/>
        <w:ind w:firstLine="1296"/>
        <w:jc w:val="both"/>
      </w:pPr>
    </w:p>
    <w:p w:rsidR="009D6C50" w:rsidRPr="007344EA" w:rsidRDefault="00486548" w:rsidP="006E00E1">
      <w:pPr>
        <w:pStyle w:val="Default"/>
        <w:spacing w:line="360" w:lineRule="auto"/>
        <w:ind w:firstLine="1296"/>
        <w:jc w:val="both"/>
      </w:pPr>
      <w:r w:rsidRPr="007344EA">
        <w:t>Klausimai dėl</w:t>
      </w:r>
      <w:r w:rsidR="009B5BF6" w:rsidRPr="007344EA">
        <w:t xml:space="preserve"> Direktyvos 93/13  taikymo srities, tiek </w:t>
      </w:r>
      <w:r w:rsidR="009B5BF6" w:rsidRPr="007344EA">
        <w:rPr>
          <w:i/>
        </w:rPr>
        <w:t>ratione personae</w:t>
      </w:r>
      <w:r w:rsidR="009B5BF6" w:rsidRPr="007344EA">
        <w:t xml:space="preserve">, tiek </w:t>
      </w:r>
      <w:r w:rsidR="009B5BF6" w:rsidRPr="007344EA">
        <w:rPr>
          <w:i/>
        </w:rPr>
        <w:t>ratione materiae</w:t>
      </w:r>
      <w:r w:rsidR="00C4228C" w:rsidRPr="007344EA">
        <w:rPr>
          <w:i/>
        </w:rPr>
        <w:t xml:space="preserve"> </w:t>
      </w:r>
      <w:r w:rsidR="00C4228C" w:rsidRPr="007344EA">
        <w:t>atžvilgiu, buvo sprendžiami</w:t>
      </w:r>
      <w:r w:rsidR="009B5BF6" w:rsidRPr="007344EA">
        <w:t xml:space="preserve"> bylose: </w:t>
      </w:r>
      <w:r w:rsidR="009B5BF6" w:rsidRPr="007344EA">
        <w:rPr>
          <w:i/>
        </w:rPr>
        <w:t>Cape</w:t>
      </w:r>
      <w:r w:rsidR="00A42CBC" w:rsidRPr="007344EA">
        <w:t>,</w:t>
      </w:r>
      <w:r w:rsidR="009B5BF6" w:rsidRPr="007344EA">
        <w:t xml:space="preserve"> </w:t>
      </w:r>
      <w:r w:rsidR="009B5BF6" w:rsidRPr="007344EA">
        <w:rPr>
          <w:i/>
          <w:iCs/>
        </w:rPr>
        <w:t>Caja de Madrid</w:t>
      </w:r>
      <w:r w:rsidR="00A42CBC" w:rsidRPr="007344EA">
        <w:rPr>
          <w:iCs/>
        </w:rPr>
        <w:t xml:space="preserve">. </w:t>
      </w:r>
      <w:r w:rsidR="00D1671F" w:rsidRPr="007344EA">
        <w:rPr>
          <w:iCs/>
        </w:rPr>
        <w:t xml:space="preserve">Tam tikru požiūriu, yra reikšminga ir byla </w:t>
      </w:r>
      <w:r w:rsidR="00D1671F" w:rsidRPr="007344EA">
        <w:rPr>
          <w:i/>
          <w:iCs/>
        </w:rPr>
        <w:t>Ynos</w:t>
      </w:r>
      <w:r w:rsidR="00547C2D" w:rsidRPr="007344EA">
        <w:rPr>
          <w:iCs/>
        </w:rPr>
        <w:t>, tačiau š</w:t>
      </w:r>
      <w:r w:rsidR="00531AB6" w:rsidRPr="007344EA">
        <w:rPr>
          <w:iCs/>
        </w:rPr>
        <w:t xml:space="preserve">iame poskyryje ji nebus aptarta, kadangi Teisingumo Teismas tiesiogiai </w:t>
      </w:r>
      <w:r w:rsidR="00D163A5" w:rsidRPr="007344EA">
        <w:rPr>
          <w:iCs/>
        </w:rPr>
        <w:t xml:space="preserve">nesprendė </w:t>
      </w:r>
      <w:r w:rsidR="00780CC8" w:rsidRPr="007344EA">
        <w:rPr>
          <w:iCs/>
        </w:rPr>
        <w:t>šio klausimo</w:t>
      </w:r>
      <w:r w:rsidR="00D163A5" w:rsidRPr="007344EA">
        <w:rPr>
          <w:iCs/>
        </w:rPr>
        <w:t xml:space="preserve">. </w:t>
      </w:r>
    </w:p>
    <w:p w:rsidR="00E730C7" w:rsidRPr="007344EA" w:rsidRDefault="00E730C7"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 xml:space="preserve">Byloje </w:t>
      </w:r>
      <w:r w:rsidRPr="007344EA">
        <w:rPr>
          <w:rFonts w:ascii="Times New Roman" w:hAnsi="Times New Roman" w:cs="Times New Roman"/>
          <w:i/>
          <w:sz w:val="24"/>
          <w:szCs w:val="24"/>
        </w:rPr>
        <w:t>Cape</w:t>
      </w:r>
      <w:r w:rsidRPr="007344EA">
        <w:rPr>
          <w:rStyle w:val="FootnoteReference"/>
          <w:rFonts w:ascii="Times New Roman" w:hAnsi="Times New Roman"/>
          <w:sz w:val="24"/>
          <w:szCs w:val="24"/>
        </w:rPr>
        <w:footnoteReference w:id="140"/>
      </w:r>
      <w:r w:rsidR="00F77955" w:rsidRPr="007344EA">
        <w:rPr>
          <w:rFonts w:ascii="Times New Roman" w:hAnsi="Times New Roman" w:cs="Times New Roman"/>
          <w:sz w:val="24"/>
          <w:szCs w:val="24"/>
        </w:rPr>
        <w:t xml:space="preserve"> Italijos teismas kreipėsi į Teisingumo Teismą su prašymu</w:t>
      </w:r>
      <w:r w:rsidR="003B06DE" w:rsidRPr="007344EA">
        <w:rPr>
          <w:rFonts w:ascii="Times New Roman" w:hAnsi="Times New Roman" w:cs="Times New Roman"/>
          <w:sz w:val="24"/>
          <w:szCs w:val="24"/>
        </w:rPr>
        <w:t xml:space="preserve"> priimti prejudicinį sprendimą.</w:t>
      </w:r>
      <w:r w:rsidR="00854697" w:rsidRPr="007344EA">
        <w:rPr>
          <w:rFonts w:ascii="Times New Roman" w:hAnsi="Times New Roman" w:cs="Times New Roman"/>
          <w:sz w:val="24"/>
          <w:szCs w:val="24"/>
        </w:rPr>
        <w:t xml:space="preserve"> </w:t>
      </w:r>
      <w:r w:rsidR="00F77955" w:rsidRPr="007344EA">
        <w:rPr>
          <w:rFonts w:ascii="Times New Roman" w:hAnsi="Times New Roman" w:cs="Times New Roman"/>
          <w:sz w:val="24"/>
          <w:szCs w:val="24"/>
        </w:rPr>
        <w:t xml:space="preserve">Ginčas pagrindinėje byloje kilo </w:t>
      </w:r>
      <w:r w:rsidRPr="007344EA">
        <w:rPr>
          <w:rFonts w:ascii="Times New Roman" w:hAnsi="Times New Roman" w:cs="Times New Roman"/>
          <w:sz w:val="24"/>
          <w:szCs w:val="24"/>
        </w:rPr>
        <w:t xml:space="preserve">tarp automatinius gėrimų aparatus diegiančios </w:t>
      </w:r>
      <w:r w:rsidR="00A053DE" w:rsidRPr="007344EA">
        <w:rPr>
          <w:rFonts w:ascii="Times New Roman" w:hAnsi="Times New Roman" w:cs="Times New Roman"/>
          <w:sz w:val="24"/>
          <w:szCs w:val="24"/>
        </w:rPr>
        <w:t>bendrovės</w:t>
      </w:r>
      <w:r w:rsidRPr="007344EA">
        <w:rPr>
          <w:rFonts w:ascii="Times New Roman" w:hAnsi="Times New Roman" w:cs="Times New Roman"/>
          <w:sz w:val="24"/>
          <w:szCs w:val="24"/>
        </w:rPr>
        <w:t xml:space="preserve"> </w:t>
      </w:r>
      <w:r w:rsidR="00F77955" w:rsidRPr="007344EA">
        <w:rPr>
          <w:rFonts w:ascii="Times New Roman" w:hAnsi="Times New Roman" w:cs="Times New Roman"/>
          <w:sz w:val="24"/>
          <w:szCs w:val="24"/>
        </w:rPr>
        <w:t>ir dviejų įmonių</w:t>
      </w:r>
      <w:r w:rsidRPr="007344EA">
        <w:rPr>
          <w:rFonts w:ascii="Times New Roman" w:hAnsi="Times New Roman" w:cs="Times New Roman"/>
          <w:sz w:val="24"/>
          <w:szCs w:val="24"/>
        </w:rPr>
        <w:t>, kurios buvo užsakiusios įrengti minėtus aparatus</w:t>
      </w:r>
      <w:r w:rsidR="00F77955" w:rsidRPr="007344EA">
        <w:rPr>
          <w:rFonts w:ascii="Times New Roman" w:hAnsi="Times New Roman" w:cs="Times New Roman"/>
          <w:sz w:val="24"/>
          <w:szCs w:val="24"/>
        </w:rPr>
        <w:t>.</w:t>
      </w:r>
      <w:r w:rsidR="003B06DE" w:rsidRPr="007344EA">
        <w:rPr>
          <w:rFonts w:ascii="Times New Roman" w:hAnsi="Times New Roman" w:cs="Times New Roman"/>
          <w:sz w:val="24"/>
          <w:szCs w:val="24"/>
        </w:rPr>
        <w:t xml:space="preserve"> Pažymėtina, kad šie aparatai buvo įdiegti išskirtinai tik įmonių darbuotojų interesams patenkinti</w:t>
      </w:r>
      <w:r w:rsidR="004D52F2" w:rsidRPr="007344EA">
        <w:rPr>
          <w:rFonts w:ascii="Times New Roman" w:hAnsi="Times New Roman" w:cs="Times New Roman"/>
          <w:sz w:val="24"/>
          <w:szCs w:val="24"/>
        </w:rPr>
        <w:t xml:space="preserve"> ir visiš</w:t>
      </w:r>
      <w:r w:rsidR="00DC01BA" w:rsidRPr="007344EA">
        <w:rPr>
          <w:rFonts w:ascii="Times New Roman" w:hAnsi="Times New Roman" w:cs="Times New Roman"/>
          <w:sz w:val="24"/>
          <w:szCs w:val="24"/>
        </w:rPr>
        <w:t xml:space="preserve">kai nesusiję su užsakovų verslu. </w:t>
      </w:r>
      <w:r w:rsidRPr="007344EA">
        <w:rPr>
          <w:rFonts w:ascii="Times New Roman" w:hAnsi="Times New Roman" w:cs="Times New Roman"/>
          <w:sz w:val="24"/>
          <w:szCs w:val="24"/>
        </w:rPr>
        <w:t xml:space="preserve">Kilus ginčui, kad tam tikros </w:t>
      </w:r>
      <w:r w:rsidR="004D52F2" w:rsidRPr="007344EA">
        <w:rPr>
          <w:rFonts w:ascii="Times New Roman" w:hAnsi="Times New Roman" w:cs="Times New Roman"/>
          <w:sz w:val="24"/>
          <w:szCs w:val="24"/>
        </w:rPr>
        <w:t>sutarties sąlygos, reguliuojančios ginčų</w:t>
      </w:r>
      <w:r w:rsidRPr="007344EA">
        <w:rPr>
          <w:rFonts w:ascii="Times New Roman" w:hAnsi="Times New Roman" w:cs="Times New Roman"/>
          <w:sz w:val="24"/>
          <w:szCs w:val="24"/>
        </w:rPr>
        <w:t xml:space="preserve"> </w:t>
      </w:r>
      <w:r w:rsidR="004D52F2" w:rsidRPr="007344EA">
        <w:rPr>
          <w:rFonts w:ascii="Times New Roman" w:hAnsi="Times New Roman" w:cs="Times New Roman"/>
          <w:sz w:val="24"/>
          <w:szCs w:val="24"/>
        </w:rPr>
        <w:t>sprendimų jurisdikcijos klausimus,</w:t>
      </w:r>
      <w:r w:rsidRPr="007344EA">
        <w:rPr>
          <w:rFonts w:ascii="Times New Roman" w:hAnsi="Times New Roman" w:cs="Times New Roman"/>
          <w:sz w:val="24"/>
          <w:szCs w:val="24"/>
        </w:rPr>
        <w:t xml:space="preserve"> gali būti nesąžiningos, nacionalinis teismas kreipė</w:t>
      </w:r>
      <w:r w:rsidR="004E6422" w:rsidRPr="007344EA">
        <w:rPr>
          <w:rFonts w:ascii="Times New Roman" w:hAnsi="Times New Roman" w:cs="Times New Roman"/>
          <w:sz w:val="24"/>
          <w:szCs w:val="24"/>
        </w:rPr>
        <w:t>si į Teisingumo Teismą iš esmės siekdamas</w:t>
      </w:r>
      <w:r w:rsidRPr="007344EA">
        <w:rPr>
          <w:rFonts w:ascii="Times New Roman" w:hAnsi="Times New Roman" w:cs="Times New Roman"/>
          <w:sz w:val="24"/>
          <w:szCs w:val="24"/>
        </w:rPr>
        <w:t xml:space="preserve"> sužinoti ar įmonė</w:t>
      </w:r>
      <w:r w:rsidR="00017480" w:rsidRPr="007344EA">
        <w:rPr>
          <w:rFonts w:ascii="Times New Roman" w:hAnsi="Times New Roman" w:cs="Times New Roman"/>
          <w:sz w:val="24"/>
          <w:szCs w:val="24"/>
        </w:rPr>
        <w:t>,</w:t>
      </w:r>
      <w:r w:rsidRPr="007344EA">
        <w:rPr>
          <w:rFonts w:ascii="Times New Roman" w:hAnsi="Times New Roman" w:cs="Times New Roman"/>
          <w:sz w:val="24"/>
          <w:szCs w:val="24"/>
        </w:rPr>
        <w:t xml:space="preserve"> pirkdama paslaugas nesusij</w:t>
      </w:r>
      <w:r w:rsidR="004E6422" w:rsidRPr="007344EA">
        <w:rPr>
          <w:rFonts w:ascii="Times New Roman" w:hAnsi="Times New Roman" w:cs="Times New Roman"/>
          <w:sz w:val="24"/>
          <w:szCs w:val="24"/>
        </w:rPr>
        <w:t>usias su jos veikla ir veikdama</w:t>
      </w:r>
      <w:r w:rsidRPr="007344EA">
        <w:rPr>
          <w:rFonts w:ascii="Times New Roman" w:hAnsi="Times New Roman" w:cs="Times New Roman"/>
          <w:sz w:val="24"/>
          <w:szCs w:val="24"/>
        </w:rPr>
        <w:t xml:space="preserve"> išskirtinai savo darbuotojų interesų labui</w:t>
      </w:r>
      <w:r w:rsidR="00017480" w:rsidRPr="007344EA">
        <w:rPr>
          <w:rFonts w:ascii="Times New Roman" w:hAnsi="Times New Roman" w:cs="Times New Roman"/>
          <w:sz w:val="24"/>
          <w:szCs w:val="24"/>
        </w:rPr>
        <w:t>,</w:t>
      </w:r>
      <w:r w:rsidRPr="007344EA">
        <w:rPr>
          <w:rFonts w:ascii="Times New Roman" w:hAnsi="Times New Roman" w:cs="Times New Roman"/>
          <w:sz w:val="24"/>
          <w:szCs w:val="24"/>
        </w:rPr>
        <w:t xml:space="preserve"> gali būti pripažinta vartotoju, kaip tai yra suprantama pagal Direktyvos 2 str. </w:t>
      </w:r>
      <w:r w:rsidR="004E6422" w:rsidRPr="007344EA">
        <w:rPr>
          <w:rFonts w:ascii="Times New Roman" w:hAnsi="Times New Roman" w:cs="Times New Roman"/>
          <w:sz w:val="24"/>
          <w:szCs w:val="24"/>
        </w:rPr>
        <w:t>b dalį</w:t>
      </w:r>
      <w:r w:rsidR="00E704B9" w:rsidRPr="007344EA">
        <w:rPr>
          <w:rFonts w:ascii="Times New Roman" w:hAnsi="Times New Roman" w:cs="Times New Roman"/>
          <w:sz w:val="24"/>
          <w:szCs w:val="24"/>
        </w:rPr>
        <w:t>.</w:t>
      </w:r>
      <w:r w:rsidRPr="007344EA">
        <w:rPr>
          <w:rFonts w:ascii="Times New Roman" w:hAnsi="Times New Roman" w:cs="Times New Roman"/>
          <w:sz w:val="24"/>
          <w:szCs w:val="24"/>
        </w:rPr>
        <w:t xml:space="preserve"> </w:t>
      </w:r>
      <w:r w:rsidR="00594F34" w:rsidRPr="007344EA">
        <w:rPr>
          <w:rFonts w:ascii="Times New Roman" w:hAnsi="Times New Roman" w:cs="Times New Roman"/>
          <w:sz w:val="24"/>
          <w:szCs w:val="24"/>
        </w:rPr>
        <w:t xml:space="preserve"> Taigi, klausimas kilo dėl Direktyvos taikymo </w:t>
      </w:r>
      <w:r w:rsidR="00594F34" w:rsidRPr="007344EA">
        <w:rPr>
          <w:rFonts w:ascii="Times New Roman" w:hAnsi="Times New Roman" w:cs="Times New Roman"/>
          <w:i/>
          <w:sz w:val="24"/>
          <w:szCs w:val="24"/>
        </w:rPr>
        <w:t>ratione personae</w:t>
      </w:r>
      <w:r w:rsidR="00594F34" w:rsidRPr="007344EA">
        <w:rPr>
          <w:rFonts w:ascii="Times New Roman" w:hAnsi="Times New Roman" w:cs="Times New Roman"/>
          <w:sz w:val="24"/>
          <w:szCs w:val="24"/>
        </w:rPr>
        <w:t xml:space="preserve"> atžvilgiu.</w:t>
      </w:r>
    </w:p>
    <w:p w:rsidR="00F7395F" w:rsidRPr="007344EA" w:rsidRDefault="00DA5074" w:rsidP="006E00E1">
      <w:pPr>
        <w:pStyle w:val="Default"/>
        <w:spacing w:line="360" w:lineRule="auto"/>
        <w:ind w:firstLine="1296"/>
        <w:jc w:val="both"/>
      </w:pPr>
      <w:r w:rsidRPr="007344EA">
        <w:rPr>
          <w:iCs/>
        </w:rPr>
        <w:t xml:space="preserve">Byloje </w:t>
      </w:r>
      <w:r w:rsidRPr="007344EA">
        <w:rPr>
          <w:i/>
          <w:iCs/>
        </w:rPr>
        <w:t>Caja de Madrid</w:t>
      </w:r>
      <w:r w:rsidRPr="007344EA">
        <w:rPr>
          <w:rStyle w:val="FootnoteReference"/>
          <w:i/>
          <w:iCs/>
        </w:rPr>
        <w:footnoteReference w:id="141"/>
      </w:r>
      <w:r w:rsidRPr="007344EA">
        <w:rPr>
          <w:iCs/>
        </w:rPr>
        <w:t xml:space="preserve"> į Teisingumo Teismą kreipėsi Ispanijos Aukščiausiasis Teismas. Ginčas pagrindinėje byloje kilo tarp paskolas teikiančios įstaigos </w:t>
      </w:r>
      <w:r w:rsidRPr="007344EA">
        <w:rPr>
          <w:i/>
          <w:iCs/>
        </w:rPr>
        <w:t>Caja de Madrid</w:t>
      </w:r>
      <w:r w:rsidRPr="007344EA">
        <w:rPr>
          <w:iCs/>
        </w:rPr>
        <w:t xml:space="preserve"> ir Ispanijos bankų paslaugų naudotojų asociacijos, dėl galimai esančių nesąžiningų sąlygų sutartyse sudaromose su vartotojais. </w:t>
      </w:r>
      <w:r w:rsidRPr="007344EA">
        <w:rPr>
          <w:i/>
          <w:iCs/>
        </w:rPr>
        <w:t xml:space="preserve">Caja de Madrid </w:t>
      </w:r>
      <w:r w:rsidRPr="007344EA">
        <w:t>į su savo klientais sudaromų paskolų su kintama palūkanų norma sutartis būstui įsigyti įtraukia iš anksto į tipinę sutartį įrašytą sąlygą, pagal kurią sutartyje nustatyta nominali palūkanų norma, kuri periodiškai kinta atsižvelgiant į sutartą bazinę palūkanų normą, nuo pirmo peržiūrėjimo turi būti suapvalinta iki kito procentinio punkto ketvirčio (toliau – apvalinimo sąlyga).</w:t>
      </w:r>
      <w:r w:rsidRPr="007344EA">
        <w:rPr>
          <w:rStyle w:val="FootnoteReference"/>
        </w:rPr>
        <w:footnoteReference w:id="142"/>
      </w:r>
      <w:r w:rsidRPr="007344EA">
        <w:t xml:space="preserve"> </w:t>
      </w:r>
      <w:r w:rsidR="00310118" w:rsidRPr="007344EA">
        <w:t xml:space="preserve">Tiek pirmos, tiek apeliacinės instancijos teismai pripažino, kad ši sąlyga yra nesąžininga. </w:t>
      </w:r>
      <w:r w:rsidRPr="007344EA">
        <w:t xml:space="preserve">Tuomet </w:t>
      </w:r>
      <w:r w:rsidRPr="007344EA">
        <w:rPr>
          <w:i/>
        </w:rPr>
        <w:t>Caja de Madrid</w:t>
      </w:r>
      <w:r w:rsidRPr="007344EA">
        <w:t xml:space="preserve"> pateikė kasacinį skundą. Kasacinis teismas pareiškė, kad „apvalinimo sąlyga gali būti pagrindinė tokios banko paskolos sutarties, kokia nagrinėjama pagrindinėje byloje, sąlyga. Vadinasi, turint omeny, kad pagal Direktyvos 4 straipsnio 2 dalį nenumatyta galimybė vertinti sąlygos, visų pirma susijusios su sutarties dalyku, nesąžiningumo, tokios sąlygos, kokia nagrinėjama pagrindinėje byloje, </w:t>
      </w:r>
      <w:r w:rsidRPr="007344EA">
        <w:lastRenderedPageBreak/>
        <w:t>nesąžiningumas iš esmės negali būti vertinamas“</w:t>
      </w:r>
      <w:r w:rsidRPr="007344EA">
        <w:rPr>
          <w:rStyle w:val="FootnoteReference"/>
        </w:rPr>
        <w:footnoteReference w:id="143"/>
      </w:r>
      <w:r w:rsidR="00A053DE" w:rsidRPr="007344EA">
        <w:t xml:space="preserve">. </w:t>
      </w:r>
      <w:r w:rsidRPr="007344EA">
        <w:t xml:space="preserve">Tačiau nacionalinis teismas </w:t>
      </w:r>
      <w:r w:rsidR="0072160E" w:rsidRPr="007344EA">
        <w:t>atsižvelgę</w:t>
      </w:r>
      <w:r w:rsidRPr="007344EA">
        <w:t>s</w:t>
      </w:r>
      <w:r w:rsidR="00E704B9" w:rsidRPr="007344EA">
        <w:t xml:space="preserve"> į</w:t>
      </w:r>
      <w:r w:rsidRPr="007344EA">
        <w:t xml:space="preserve"> tai, kad Ispanija nebuvo perkėlusi Direktyvos 4 str. 2d</w:t>
      </w:r>
      <w:r w:rsidR="00A053DE" w:rsidRPr="007344EA">
        <w:t>., kuri numato, kad sąžiningumo</w:t>
      </w:r>
      <w:r w:rsidRPr="007344EA">
        <w:t xml:space="preserve"> vertinimas nėra susijęs nei su pagrindiniu sutarties dalyko apibrėžimu, nei su kainos ir atlygio adekvatumu, jei sąlygos yra išreikšt</w:t>
      </w:r>
      <w:r w:rsidR="00A053DE" w:rsidRPr="007344EA">
        <w:t>os aiškia ir suprantama kalba bei</w:t>
      </w:r>
      <w:r w:rsidRPr="007344EA">
        <w:t xml:space="preserve"> tai, kad pagal Ispanijos teisę visa sutartis gali būti vertinama nesąžiningumo aspektu, kreipėsi į Teisingumo Teismą, prašydamas priimti prejudicinį sprendimą. Nacionalinis teism</w:t>
      </w:r>
      <w:r w:rsidR="00892CF6" w:rsidRPr="007344EA">
        <w:t>as siekė sužinoti „ar pagal D</w:t>
      </w:r>
      <w:r w:rsidRPr="007344EA">
        <w:t>irektyvos 4 straipsnio 2 dalį ir 8 straipsnį draudžiama, kad valstybė narė savo teisės sistemoje vartotojų naudai numatytų sutarties sąlygų nesąžiningumo vertinimą, susijusį su pagrindinio sutarties dalyko apibrėžimu arba su kainos ir atlygio adekvatumu mainais suteiktoms paslaugoms ar prekėms, net jei šios sąlygos pateikiamos aiškia, suprantama kalba“</w:t>
      </w:r>
      <w:r w:rsidRPr="007344EA">
        <w:rPr>
          <w:rStyle w:val="FootnoteReference"/>
        </w:rPr>
        <w:footnoteReference w:id="144"/>
      </w:r>
      <w:r w:rsidRPr="007344EA">
        <w:t>.</w:t>
      </w:r>
      <w:r w:rsidR="007F6D91" w:rsidRPr="007344EA">
        <w:t xml:space="preserve"> Kaip matome, nacionalinio t</w:t>
      </w:r>
      <w:r w:rsidR="00F06571" w:rsidRPr="007344EA">
        <w:t>eismo pateiktas prejudicinis klausimas yra susijęs su Direktyvos</w:t>
      </w:r>
      <w:r w:rsidR="007F6D91" w:rsidRPr="007344EA">
        <w:t xml:space="preserve"> 9</w:t>
      </w:r>
      <w:r w:rsidR="007F6D91" w:rsidRPr="007344EA">
        <w:rPr>
          <w:lang w:val="en-US"/>
        </w:rPr>
        <w:t>3/13</w:t>
      </w:r>
      <w:r w:rsidR="00F06571" w:rsidRPr="007344EA">
        <w:t xml:space="preserve"> taikymu </w:t>
      </w:r>
      <w:r w:rsidR="00F06571" w:rsidRPr="007344EA">
        <w:rPr>
          <w:i/>
        </w:rPr>
        <w:t>ratione materiale</w:t>
      </w:r>
      <w:r w:rsidR="00F06571" w:rsidRPr="007344EA">
        <w:t xml:space="preserve"> atžvilgiu.</w:t>
      </w:r>
    </w:p>
    <w:p w:rsidR="00C4228C" w:rsidRPr="007344EA" w:rsidRDefault="00310118" w:rsidP="006E00E1">
      <w:pPr>
        <w:pStyle w:val="Default"/>
        <w:spacing w:line="360" w:lineRule="auto"/>
        <w:ind w:firstLine="1296"/>
        <w:jc w:val="both"/>
      </w:pPr>
      <w:r w:rsidRPr="007344EA">
        <w:t xml:space="preserve">Nacionaliniams teismams neaiškumų </w:t>
      </w:r>
      <w:r w:rsidR="00892CF6" w:rsidRPr="007344EA">
        <w:t xml:space="preserve">susijusių su </w:t>
      </w:r>
      <w:r w:rsidR="00065174" w:rsidRPr="007344EA">
        <w:t>Direktyvos 9</w:t>
      </w:r>
      <w:r w:rsidR="00892CF6" w:rsidRPr="007344EA">
        <w:t>3/13 taikymo sritimi</w:t>
      </w:r>
      <w:r w:rsidR="00065174" w:rsidRPr="007344EA">
        <w:t xml:space="preserve"> </w:t>
      </w:r>
      <w:r w:rsidR="00065174" w:rsidRPr="007344EA">
        <w:rPr>
          <w:i/>
        </w:rPr>
        <w:t>ratione materiale</w:t>
      </w:r>
      <w:r w:rsidR="00065174" w:rsidRPr="007344EA">
        <w:t xml:space="preserve"> ir </w:t>
      </w:r>
      <w:r w:rsidR="00065174" w:rsidRPr="007344EA">
        <w:rPr>
          <w:i/>
        </w:rPr>
        <w:t>ratione personae</w:t>
      </w:r>
      <w:r w:rsidR="00065174" w:rsidRPr="007344EA">
        <w:t xml:space="preserve"> </w:t>
      </w:r>
      <w:r w:rsidR="00892CF6" w:rsidRPr="007344EA">
        <w:t xml:space="preserve">atžvilgiu </w:t>
      </w:r>
      <w:r w:rsidRPr="007344EA">
        <w:t xml:space="preserve">kyla </w:t>
      </w:r>
      <w:r w:rsidR="000153F3" w:rsidRPr="007344EA">
        <w:t xml:space="preserve">mažiau nei klausimų dėl teismo teisės </w:t>
      </w:r>
      <w:r w:rsidR="000153F3" w:rsidRPr="007344EA">
        <w:rPr>
          <w:i/>
        </w:rPr>
        <w:t>ex officio</w:t>
      </w:r>
      <w:r w:rsidR="000153F3" w:rsidRPr="007344EA">
        <w:t xml:space="preserve"> nustatyti sutarties sąlygos nesąžiningumą. Tai </w:t>
      </w:r>
      <w:r w:rsidR="00A63EE3" w:rsidRPr="007344EA">
        <w:t xml:space="preserve">viena vertus </w:t>
      </w:r>
      <w:r w:rsidR="000153F3" w:rsidRPr="007344EA">
        <w:t xml:space="preserve">galima paaiškinti tuo, kad </w:t>
      </w:r>
      <w:r w:rsidR="000153F3" w:rsidRPr="007344EA">
        <w:rPr>
          <w:i/>
        </w:rPr>
        <w:t>ex officio</w:t>
      </w:r>
      <w:r w:rsidR="00780CC8" w:rsidRPr="007344EA">
        <w:t xml:space="preserve"> teisė </w:t>
      </w:r>
      <w:r w:rsidR="00066758" w:rsidRPr="007344EA">
        <w:t xml:space="preserve">pripažinti sutarties sąlygas nesąžiningomis </w:t>
      </w:r>
      <w:r w:rsidR="00A63EE3" w:rsidRPr="007344EA">
        <w:t>nėra</w:t>
      </w:r>
      <w:r w:rsidR="000153F3" w:rsidRPr="007344EA">
        <w:t xml:space="preserve"> tiesiogiai</w:t>
      </w:r>
      <w:r w:rsidR="00A63EE3" w:rsidRPr="007344EA">
        <w:t xml:space="preserve"> įtvi</w:t>
      </w:r>
      <w:r w:rsidRPr="007344EA">
        <w:t>rtinta Direktyvos 93/13 tekste,</w:t>
      </w:r>
      <w:r w:rsidR="00A63EE3" w:rsidRPr="007344EA">
        <w:t xml:space="preserve"> iš kitos pusės </w:t>
      </w:r>
      <w:r w:rsidR="00A63EE3" w:rsidRPr="007344EA">
        <w:rPr>
          <w:i/>
        </w:rPr>
        <w:t>ex officio</w:t>
      </w:r>
      <w:r w:rsidR="000153F3" w:rsidRPr="007344EA">
        <w:t xml:space="preserve"> </w:t>
      </w:r>
      <w:r w:rsidRPr="007344EA">
        <w:t>tiesiogiai įtakoja</w:t>
      </w:r>
      <w:r w:rsidR="00702A30" w:rsidRPr="007344EA">
        <w:t xml:space="preserve"> nacionalini</w:t>
      </w:r>
      <w:r w:rsidR="00E704B9" w:rsidRPr="007344EA">
        <w:t>ų</w:t>
      </w:r>
      <w:r w:rsidR="00702A30" w:rsidRPr="007344EA">
        <w:t xml:space="preserve"> teismų aktyvumą</w:t>
      </w:r>
      <w:r w:rsidR="000153F3" w:rsidRPr="007344EA">
        <w:t>, t.y. teismams</w:t>
      </w:r>
      <w:r w:rsidR="00547C2D" w:rsidRPr="007344EA">
        <w:t xml:space="preserve"> </w:t>
      </w:r>
      <w:r w:rsidR="000153F3" w:rsidRPr="007344EA">
        <w:t xml:space="preserve">rūpi išsiaiškinti kokias </w:t>
      </w:r>
      <w:r w:rsidR="00531AB6" w:rsidRPr="007344EA">
        <w:t xml:space="preserve">konkrečiai </w:t>
      </w:r>
      <w:r w:rsidR="000153F3" w:rsidRPr="007344EA">
        <w:t>pareigas ar teises jiems nustato Sąjungos teisės aktai</w:t>
      </w:r>
      <w:r w:rsidR="00547C2D" w:rsidRPr="007344EA">
        <w:t xml:space="preserve">. </w:t>
      </w:r>
      <w:r w:rsidR="00702A30" w:rsidRPr="007344EA">
        <w:t xml:space="preserve"> </w:t>
      </w:r>
    </w:p>
    <w:p w:rsidR="00065174" w:rsidRPr="007344EA" w:rsidRDefault="00DF6FD4" w:rsidP="000F6662">
      <w:pPr>
        <w:pStyle w:val="Heading3"/>
        <w:rPr>
          <w:rFonts w:ascii="Times New Roman" w:hAnsi="Times New Roman" w:cs="Times New Roman"/>
          <w:color w:val="000000" w:themeColor="text1"/>
          <w:sz w:val="24"/>
          <w:szCs w:val="24"/>
        </w:rPr>
      </w:pPr>
      <w:bookmarkStart w:id="7" w:name="_Toc344337157"/>
      <w:r w:rsidRPr="007344EA">
        <w:rPr>
          <w:rFonts w:ascii="Times New Roman" w:hAnsi="Times New Roman" w:cs="Times New Roman"/>
          <w:color w:val="000000" w:themeColor="text1"/>
          <w:sz w:val="24"/>
          <w:szCs w:val="24"/>
        </w:rPr>
        <w:t>2</w:t>
      </w:r>
      <w:r w:rsidR="00065174" w:rsidRPr="007344EA">
        <w:rPr>
          <w:rFonts w:ascii="Times New Roman" w:hAnsi="Times New Roman" w:cs="Times New Roman"/>
          <w:color w:val="000000" w:themeColor="text1"/>
          <w:sz w:val="24"/>
          <w:szCs w:val="24"/>
        </w:rPr>
        <w:t>.1.3. Kitokio pobūdžio klausimai susiję su Direktyvos 93/13 aiškinimu</w:t>
      </w:r>
      <w:bookmarkEnd w:id="7"/>
    </w:p>
    <w:p w:rsidR="00ED1109" w:rsidRPr="007344EA" w:rsidRDefault="00ED1109" w:rsidP="006E00E1">
      <w:pPr>
        <w:pStyle w:val="Default"/>
        <w:spacing w:line="360" w:lineRule="auto"/>
        <w:jc w:val="both"/>
        <w:rPr>
          <w:b/>
        </w:rPr>
      </w:pPr>
    </w:p>
    <w:p w:rsidR="00A053DE" w:rsidRPr="007344EA" w:rsidRDefault="00A053DE" w:rsidP="006E00E1">
      <w:pPr>
        <w:pStyle w:val="Default"/>
        <w:spacing w:line="360" w:lineRule="auto"/>
        <w:ind w:firstLine="1296"/>
        <w:jc w:val="both"/>
      </w:pPr>
      <w:r w:rsidRPr="007344EA">
        <w:t>Toliau pateikiamos bylos, kuriuose prejudiciniai klausimai nebuvo susiję nei su Direktyvos 93/13 taikymo sritimi, nei su nacionalinio teismo teise</w:t>
      </w:r>
      <w:r w:rsidR="00065174" w:rsidRPr="007344EA">
        <w:t xml:space="preserve"> </w:t>
      </w:r>
      <w:r w:rsidR="00065174" w:rsidRPr="007344EA">
        <w:rPr>
          <w:i/>
        </w:rPr>
        <w:t>ex officio</w:t>
      </w:r>
      <w:r w:rsidRPr="007344EA">
        <w:t xml:space="preserve"> nustatyti sąlygos nesąžiningumą. </w:t>
      </w:r>
    </w:p>
    <w:p w:rsidR="000718D6" w:rsidRPr="007344EA" w:rsidRDefault="00545A80" w:rsidP="006E00E1">
      <w:pPr>
        <w:spacing w:after="0" w:line="360" w:lineRule="auto"/>
        <w:jc w:val="both"/>
        <w:rPr>
          <w:rFonts w:ascii="Times New Roman" w:hAnsi="Times New Roman" w:cs="Times New Roman"/>
          <w:iCs/>
          <w:sz w:val="24"/>
          <w:szCs w:val="24"/>
        </w:rPr>
      </w:pPr>
      <w:r w:rsidRPr="007344EA">
        <w:rPr>
          <w:rFonts w:ascii="Times New Roman" w:hAnsi="Times New Roman" w:cs="Times New Roman"/>
          <w:sz w:val="24"/>
          <w:szCs w:val="24"/>
        </w:rPr>
        <w:tab/>
      </w:r>
      <w:r w:rsidR="00D341E3" w:rsidRPr="007344EA">
        <w:rPr>
          <w:rFonts w:ascii="Times New Roman" w:hAnsi="Times New Roman" w:cs="Times New Roman"/>
          <w:sz w:val="24"/>
          <w:szCs w:val="24"/>
        </w:rPr>
        <w:t xml:space="preserve">Byloje </w:t>
      </w:r>
      <w:r w:rsidR="00D341E3" w:rsidRPr="007344EA">
        <w:rPr>
          <w:rFonts w:ascii="Times New Roman" w:hAnsi="Times New Roman" w:cs="Times New Roman"/>
          <w:i/>
          <w:sz w:val="24"/>
          <w:szCs w:val="24"/>
        </w:rPr>
        <w:t>Freiburger</w:t>
      </w:r>
      <w:r w:rsidR="00D0589F" w:rsidRPr="007344EA">
        <w:rPr>
          <w:rStyle w:val="FootnoteReference"/>
          <w:rFonts w:ascii="Times New Roman" w:hAnsi="Times New Roman"/>
          <w:i/>
          <w:sz w:val="24"/>
          <w:szCs w:val="24"/>
        </w:rPr>
        <w:footnoteReference w:id="145"/>
      </w:r>
      <w:r w:rsidR="00D341E3" w:rsidRPr="007344EA">
        <w:rPr>
          <w:rFonts w:ascii="Times New Roman" w:hAnsi="Times New Roman" w:cs="Times New Roman"/>
          <w:sz w:val="24"/>
          <w:szCs w:val="24"/>
        </w:rPr>
        <w:t xml:space="preserve"> į Teisingumo Teismą su prašymu priimti prejudicinį sprendim</w:t>
      </w:r>
      <w:r w:rsidR="001048E5" w:rsidRPr="007344EA">
        <w:rPr>
          <w:rFonts w:ascii="Times New Roman" w:hAnsi="Times New Roman" w:cs="Times New Roman"/>
          <w:sz w:val="24"/>
          <w:szCs w:val="24"/>
        </w:rPr>
        <w:t xml:space="preserve">ą kreipėsi Vokietijos teismas. </w:t>
      </w:r>
      <w:r w:rsidR="00D341E3" w:rsidRPr="007344EA">
        <w:rPr>
          <w:rFonts w:ascii="Times New Roman" w:hAnsi="Times New Roman" w:cs="Times New Roman"/>
          <w:sz w:val="24"/>
          <w:szCs w:val="24"/>
        </w:rPr>
        <w:t xml:space="preserve">Ginčas pagrindinėje byloje kilo </w:t>
      </w:r>
      <w:r w:rsidR="005C743B" w:rsidRPr="007344EA">
        <w:rPr>
          <w:rFonts w:ascii="Times New Roman" w:hAnsi="Times New Roman" w:cs="Times New Roman"/>
          <w:sz w:val="24"/>
          <w:szCs w:val="24"/>
        </w:rPr>
        <w:t xml:space="preserve">tarp </w:t>
      </w:r>
      <w:r w:rsidR="007775C1" w:rsidRPr="007344EA">
        <w:rPr>
          <w:rFonts w:ascii="Times New Roman" w:hAnsi="Times New Roman" w:cs="Times New Roman"/>
          <w:sz w:val="24"/>
          <w:szCs w:val="24"/>
        </w:rPr>
        <w:t>sutuoktinių poros (</w:t>
      </w:r>
      <w:r w:rsidR="005C743B" w:rsidRPr="007344EA">
        <w:rPr>
          <w:rFonts w:ascii="Times New Roman" w:hAnsi="Times New Roman" w:cs="Times New Roman"/>
          <w:sz w:val="24"/>
          <w:szCs w:val="24"/>
        </w:rPr>
        <w:t>vartotojų</w:t>
      </w:r>
      <w:r w:rsidR="007775C1" w:rsidRPr="007344EA">
        <w:rPr>
          <w:rFonts w:ascii="Times New Roman" w:hAnsi="Times New Roman" w:cs="Times New Roman"/>
          <w:sz w:val="24"/>
          <w:szCs w:val="24"/>
        </w:rPr>
        <w:t>)</w:t>
      </w:r>
      <w:r w:rsidR="005C743B" w:rsidRPr="007344EA">
        <w:rPr>
          <w:rFonts w:ascii="Times New Roman" w:hAnsi="Times New Roman" w:cs="Times New Roman"/>
          <w:sz w:val="24"/>
          <w:szCs w:val="24"/>
        </w:rPr>
        <w:t xml:space="preserve"> ir statybos bendrovės dėl automo</w:t>
      </w:r>
      <w:r w:rsidR="007775C1" w:rsidRPr="007344EA">
        <w:rPr>
          <w:rFonts w:ascii="Times New Roman" w:hAnsi="Times New Roman" w:cs="Times New Roman"/>
          <w:sz w:val="24"/>
          <w:szCs w:val="24"/>
        </w:rPr>
        <w:t>bilio stovėjimo vietos įsigijimo. Savivaldybės įmonė, veikdama savo verslo srityje</w:t>
      </w:r>
      <w:r w:rsidR="00E358D2" w:rsidRPr="007344EA">
        <w:rPr>
          <w:rFonts w:ascii="Times New Roman" w:hAnsi="Times New Roman" w:cs="Times New Roman"/>
          <w:sz w:val="24"/>
          <w:szCs w:val="24"/>
        </w:rPr>
        <w:t>,</w:t>
      </w:r>
      <w:r w:rsidR="007775C1" w:rsidRPr="007344EA">
        <w:rPr>
          <w:rFonts w:ascii="Times New Roman" w:hAnsi="Times New Roman" w:cs="Times New Roman"/>
          <w:sz w:val="24"/>
          <w:szCs w:val="24"/>
        </w:rPr>
        <w:t xml:space="preserve"> pardavė vartotojams automobilio stovėjimo vietą daugiaaukščiame garaže, kur</w:t>
      </w:r>
      <w:r w:rsidR="00547C2D" w:rsidRPr="007344EA">
        <w:rPr>
          <w:rFonts w:ascii="Times New Roman" w:hAnsi="Times New Roman" w:cs="Times New Roman"/>
          <w:sz w:val="24"/>
          <w:szCs w:val="24"/>
        </w:rPr>
        <w:t>ią</w:t>
      </w:r>
      <w:r w:rsidR="007775C1" w:rsidRPr="007344EA">
        <w:rPr>
          <w:rFonts w:ascii="Times New Roman" w:hAnsi="Times New Roman" w:cs="Times New Roman"/>
          <w:sz w:val="24"/>
          <w:szCs w:val="24"/>
        </w:rPr>
        <w:t xml:space="preserve"> įsipareigojo pastatyti</w:t>
      </w:r>
      <w:r w:rsidR="001048E5" w:rsidRPr="007344EA">
        <w:rPr>
          <w:rFonts w:ascii="Times New Roman" w:hAnsi="Times New Roman" w:cs="Times New Roman"/>
          <w:sz w:val="24"/>
          <w:szCs w:val="24"/>
        </w:rPr>
        <w:t>. Pagal sudarytą sutartį vartotojai turėjo sumo</w:t>
      </w:r>
      <w:r w:rsidR="00702A30" w:rsidRPr="007344EA">
        <w:rPr>
          <w:rFonts w:ascii="Times New Roman" w:hAnsi="Times New Roman" w:cs="Times New Roman"/>
          <w:sz w:val="24"/>
          <w:szCs w:val="24"/>
        </w:rPr>
        <w:t>kėti visą sumą dar iki pastatant pastatą</w:t>
      </w:r>
      <w:r w:rsidR="00E358D2" w:rsidRPr="007344EA">
        <w:rPr>
          <w:rFonts w:ascii="Times New Roman" w:hAnsi="Times New Roman" w:cs="Times New Roman"/>
          <w:sz w:val="24"/>
          <w:szCs w:val="24"/>
        </w:rPr>
        <w:t>.</w:t>
      </w:r>
      <w:r w:rsidR="001048E5" w:rsidRPr="007344EA">
        <w:rPr>
          <w:rFonts w:ascii="Times New Roman" w:hAnsi="Times New Roman" w:cs="Times New Roman"/>
          <w:sz w:val="24"/>
          <w:szCs w:val="24"/>
        </w:rPr>
        <w:t xml:space="preserve"> Tačiau sutuoktini</w:t>
      </w:r>
      <w:r w:rsidR="00E358D2" w:rsidRPr="007344EA">
        <w:rPr>
          <w:rFonts w:ascii="Times New Roman" w:hAnsi="Times New Roman" w:cs="Times New Roman"/>
          <w:sz w:val="24"/>
          <w:szCs w:val="24"/>
        </w:rPr>
        <w:t>ai už automobilio vietą sumokėjo</w:t>
      </w:r>
      <w:r w:rsidR="001048E5" w:rsidRPr="007344EA">
        <w:rPr>
          <w:rFonts w:ascii="Times New Roman" w:hAnsi="Times New Roman" w:cs="Times New Roman"/>
          <w:sz w:val="24"/>
          <w:szCs w:val="24"/>
        </w:rPr>
        <w:t xml:space="preserve"> tik </w:t>
      </w:r>
      <w:r w:rsidR="00702A30" w:rsidRPr="007344EA">
        <w:rPr>
          <w:rFonts w:ascii="Times New Roman" w:hAnsi="Times New Roman" w:cs="Times New Roman"/>
          <w:sz w:val="24"/>
          <w:szCs w:val="24"/>
        </w:rPr>
        <w:t>tuomet</w:t>
      </w:r>
      <w:r w:rsidR="007F2A27" w:rsidRPr="007344EA">
        <w:rPr>
          <w:rFonts w:ascii="Times New Roman" w:hAnsi="Times New Roman" w:cs="Times New Roman"/>
          <w:sz w:val="24"/>
          <w:szCs w:val="24"/>
        </w:rPr>
        <w:t>,</w:t>
      </w:r>
      <w:r w:rsidR="00702A30" w:rsidRPr="007344EA">
        <w:rPr>
          <w:rFonts w:ascii="Times New Roman" w:hAnsi="Times New Roman" w:cs="Times New Roman"/>
          <w:sz w:val="24"/>
          <w:szCs w:val="24"/>
        </w:rPr>
        <w:t xml:space="preserve"> kai</w:t>
      </w:r>
      <w:r w:rsidR="00E358D2" w:rsidRPr="007344EA">
        <w:rPr>
          <w:rFonts w:ascii="Times New Roman" w:hAnsi="Times New Roman" w:cs="Times New Roman"/>
          <w:sz w:val="24"/>
          <w:szCs w:val="24"/>
        </w:rPr>
        <w:t xml:space="preserve"> stovėjimo vieta jau buvo pastatyta ir pa</w:t>
      </w:r>
      <w:r w:rsidR="00702A30" w:rsidRPr="007344EA">
        <w:rPr>
          <w:rFonts w:ascii="Times New Roman" w:hAnsi="Times New Roman" w:cs="Times New Roman"/>
          <w:sz w:val="24"/>
          <w:szCs w:val="24"/>
        </w:rPr>
        <w:t>tikrinta ar nėra defektų, motyvuodami tuo, kad išankstinio apmokėjimo sąlyga yra nesąžininga. S</w:t>
      </w:r>
      <w:r w:rsidR="002C54F7" w:rsidRPr="007344EA">
        <w:rPr>
          <w:rFonts w:ascii="Times New Roman" w:hAnsi="Times New Roman" w:cs="Times New Roman"/>
          <w:sz w:val="24"/>
          <w:szCs w:val="24"/>
        </w:rPr>
        <w:t xml:space="preserve">utartyje </w:t>
      </w:r>
      <w:r w:rsidR="00702A30" w:rsidRPr="007344EA">
        <w:rPr>
          <w:rFonts w:ascii="Times New Roman" w:hAnsi="Times New Roman" w:cs="Times New Roman"/>
          <w:sz w:val="24"/>
          <w:szCs w:val="24"/>
        </w:rPr>
        <w:t>numatyta, kad</w:t>
      </w:r>
      <w:r w:rsidR="003F7F06" w:rsidRPr="007344EA">
        <w:rPr>
          <w:rFonts w:ascii="Times New Roman" w:hAnsi="Times New Roman" w:cs="Times New Roman"/>
          <w:sz w:val="24"/>
          <w:szCs w:val="24"/>
        </w:rPr>
        <w:t xml:space="preserve"> pavėluoto </w:t>
      </w:r>
      <w:r w:rsidR="003F7F06" w:rsidRPr="007344EA">
        <w:rPr>
          <w:rFonts w:ascii="Times New Roman" w:hAnsi="Times New Roman" w:cs="Times New Roman"/>
          <w:sz w:val="24"/>
          <w:szCs w:val="24"/>
        </w:rPr>
        <w:lastRenderedPageBreak/>
        <w:t>atsiskaitymo atv</w:t>
      </w:r>
      <w:r w:rsidR="002C54F7" w:rsidRPr="007344EA">
        <w:rPr>
          <w:rFonts w:ascii="Times New Roman" w:hAnsi="Times New Roman" w:cs="Times New Roman"/>
          <w:sz w:val="24"/>
          <w:szCs w:val="24"/>
        </w:rPr>
        <w:t xml:space="preserve">eju, vartotojai turės </w:t>
      </w:r>
      <w:r w:rsidR="003F7F06" w:rsidRPr="007344EA">
        <w:rPr>
          <w:rFonts w:ascii="Times New Roman" w:hAnsi="Times New Roman" w:cs="Times New Roman"/>
          <w:sz w:val="24"/>
          <w:szCs w:val="24"/>
        </w:rPr>
        <w:t>su</w:t>
      </w:r>
      <w:r w:rsidR="003733AD" w:rsidRPr="007344EA">
        <w:rPr>
          <w:rFonts w:ascii="Times New Roman" w:hAnsi="Times New Roman" w:cs="Times New Roman"/>
          <w:sz w:val="24"/>
          <w:szCs w:val="24"/>
        </w:rPr>
        <w:t xml:space="preserve">mokėti delspinigius. </w:t>
      </w:r>
      <w:r w:rsidR="00702A30" w:rsidRPr="007344EA">
        <w:rPr>
          <w:rFonts w:ascii="Times New Roman" w:hAnsi="Times New Roman" w:cs="Times New Roman"/>
          <w:sz w:val="24"/>
          <w:szCs w:val="24"/>
        </w:rPr>
        <w:t>Taip pat vartotojų naudai</w:t>
      </w:r>
      <w:r w:rsidR="002C54F7" w:rsidRPr="007344EA">
        <w:rPr>
          <w:rFonts w:ascii="Times New Roman" w:hAnsi="Times New Roman" w:cs="Times New Roman"/>
          <w:sz w:val="24"/>
          <w:szCs w:val="24"/>
        </w:rPr>
        <w:t xml:space="preserve"> </w:t>
      </w:r>
      <w:r w:rsidR="00702A30" w:rsidRPr="007344EA">
        <w:rPr>
          <w:rFonts w:ascii="Times New Roman" w:hAnsi="Times New Roman" w:cs="Times New Roman"/>
          <w:sz w:val="24"/>
          <w:szCs w:val="24"/>
        </w:rPr>
        <w:t>sutartyje įtvirtinta</w:t>
      </w:r>
      <w:r w:rsidR="00BF5FF2" w:rsidRPr="007344EA">
        <w:rPr>
          <w:rFonts w:ascii="Times New Roman" w:hAnsi="Times New Roman" w:cs="Times New Roman"/>
          <w:sz w:val="24"/>
          <w:szCs w:val="24"/>
        </w:rPr>
        <w:t xml:space="preserve"> sąlyga, nustatanti</w:t>
      </w:r>
      <w:r w:rsidR="00EC0F6D" w:rsidRPr="007344EA">
        <w:rPr>
          <w:rFonts w:ascii="Times New Roman" w:hAnsi="Times New Roman" w:cs="Times New Roman"/>
          <w:sz w:val="24"/>
          <w:szCs w:val="24"/>
        </w:rPr>
        <w:t>, kad visus statybų</w:t>
      </w:r>
      <w:r w:rsidR="008D3FCC" w:rsidRPr="007344EA">
        <w:rPr>
          <w:rFonts w:ascii="Times New Roman" w:hAnsi="Times New Roman" w:cs="Times New Roman"/>
          <w:sz w:val="24"/>
          <w:szCs w:val="24"/>
        </w:rPr>
        <w:t xml:space="preserve"> bendrovei pateiktus pin</w:t>
      </w:r>
      <w:r w:rsidR="00C45A0F" w:rsidRPr="007344EA">
        <w:rPr>
          <w:rFonts w:ascii="Times New Roman" w:hAnsi="Times New Roman" w:cs="Times New Roman"/>
          <w:sz w:val="24"/>
          <w:szCs w:val="24"/>
        </w:rPr>
        <w:t>i</w:t>
      </w:r>
      <w:r w:rsidR="00EC0F6D" w:rsidRPr="007344EA">
        <w:rPr>
          <w:rFonts w:ascii="Times New Roman" w:hAnsi="Times New Roman" w:cs="Times New Roman"/>
          <w:sz w:val="24"/>
          <w:szCs w:val="24"/>
        </w:rPr>
        <w:t>ginius reikalavimus į</w:t>
      </w:r>
      <w:r w:rsidR="007F6D91" w:rsidRPr="007344EA">
        <w:rPr>
          <w:rFonts w:ascii="Times New Roman" w:hAnsi="Times New Roman" w:cs="Times New Roman"/>
          <w:sz w:val="24"/>
          <w:szCs w:val="24"/>
        </w:rPr>
        <w:t>sipareigoja padengti (garantuoja</w:t>
      </w:r>
      <w:r w:rsidR="00EC0F6D" w:rsidRPr="007344EA">
        <w:rPr>
          <w:rFonts w:ascii="Times New Roman" w:hAnsi="Times New Roman" w:cs="Times New Roman"/>
          <w:sz w:val="24"/>
          <w:szCs w:val="24"/>
        </w:rPr>
        <w:t>) konkretus bankas. Iš šių sąlygų matyti, kad vartotojas nebūtų patyręs jokios potencialios finansinės žalos, jei su statybų bendrove b</w:t>
      </w:r>
      <w:r w:rsidR="007F2A27" w:rsidRPr="007344EA">
        <w:rPr>
          <w:rFonts w:ascii="Times New Roman" w:hAnsi="Times New Roman" w:cs="Times New Roman"/>
          <w:sz w:val="24"/>
          <w:szCs w:val="24"/>
        </w:rPr>
        <w:t>ū</w:t>
      </w:r>
      <w:r w:rsidR="00EC0F6D" w:rsidRPr="007344EA">
        <w:rPr>
          <w:rFonts w:ascii="Times New Roman" w:hAnsi="Times New Roman" w:cs="Times New Roman"/>
          <w:sz w:val="24"/>
          <w:szCs w:val="24"/>
        </w:rPr>
        <w:t>tų atsiskaitęs, pa</w:t>
      </w:r>
      <w:r w:rsidR="00702A30" w:rsidRPr="007344EA">
        <w:rPr>
          <w:rFonts w:ascii="Times New Roman" w:hAnsi="Times New Roman" w:cs="Times New Roman"/>
          <w:sz w:val="24"/>
          <w:szCs w:val="24"/>
        </w:rPr>
        <w:t xml:space="preserve">gal sutartyje numatytas </w:t>
      </w:r>
      <w:r w:rsidR="009940B7" w:rsidRPr="007344EA">
        <w:rPr>
          <w:rFonts w:ascii="Times New Roman" w:hAnsi="Times New Roman" w:cs="Times New Roman"/>
          <w:sz w:val="24"/>
          <w:szCs w:val="24"/>
        </w:rPr>
        <w:t>sąlygas, kadangi nustačius pastato defektus, žalą iškart atlygintų bankas.</w:t>
      </w:r>
      <w:r w:rsidR="00EC0F6D" w:rsidRPr="007344EA">
        <w:rPr>
          <w:rFonts w:ascii="Times New Roman" w:hAnsi="Times New Roman" w:cs="Times New Roman"/>
          <w:sz w:val="24"/>
          <w:szCs w:val="24"/>
        </w:rPr>
        <w:t xml:space="preserve"> </w:t>
      </w:r>
      <w:r w:rsidR="0072160E" w:rsidRPr="007344EA">
        <w:rPr>
          <w:rFonts w:ascii="Times New Roman" w:hAnsi="Times New Roman" w:cs="Times New Roman"/>
          <w:sz w:val="24"/>
          <w:szCs w:val="24"/>
        </w:rPr>
        <w:t>Įmonė</w:t>
      </w:r>
      <w:r w:rsidR="00E358D2" w:rsidRPr="007344EA">
        <w:rPr>
          <w:rFonts w:ascii="Times New Roman" w:hAnsi="Times New Roman" w:cs="Times New Roman"/>
          <w:sz w:val="24"/>
          <w:szCs w:val="24"/>
        </w:rPr>
        <w:t xml:space="preserve"> </w:t>
      </w:r>
      <w:r w:rsidR="00EC0F6D" w:rsidRPr="007344EA">
        <w:rPr>
          <w:rFonts w:ascii="Times New Roman" w:hAnsi="Times New Roman" w:cs="Times New Roman"/>
          <w:sz w:val="24"/>
          <w:szCs w:val="24"/>
        </w:rPr>
        <w:t xml:space="preserve">pareiškė ieškinį teisme, dėl </w:t>
      </w:r>
      <w:r w:rsidR="00547C2D" w:rsidRPr="007344EA">
        <w:rPr>
          <w:rFonts w:ascii="Times New Roman" w:hAnsi="Times New Roman" w:cs="Times New Roman"/>
          <w:sz w:val="24"/>
          <w:szCs w:val="24"/>
        </w:rPr>
        <w:t>sutartinių įsipareigojimų</w:t>
      </w:r>
      <w:r w:rsidR="00E358D2" w:rsidRPr="007344EA">
        <w:rPr>
          <w:rFonts w:ascii="Times New Roman" w:hAnsi="Times New Roman" w:cs="Times New Roman"/>
          <w:sz w:val="24"/>
          <w:szCs w:val="24"/>
        </w:rPr>
        <w:t xml:space="preserve"> </w:t>
      </w:r>
      <w:r w:rsidR="00EC0F6D" w:rsidRPr="007344EA">
        <w:rPr>
          <w:rFonts w:ascii="Times New Roman" w:hAnsi="Times New Roman" w:cs="Times New Roman"/>
          <w:sz w:val="24"/>
          <w:szCs w:val="24"/>
        </w:rPr>
        <w:t>neįvykdymo.</w:t>
      </w:r>
      <w:r w:rsidR="00056C0E" w:rsidRPr="007344EA">
        <w:rPr>
          <w:rFonts w:ascii="Times New Roman" w:hAnsi="Times New Roman" w:cs="Times New Roman"/>
          <w:sz w:val="24"/>
          <w:szCs w:val="24"/>
        </w:rPr>
        <w:t xml:space="preserve"> </w:t>
      </w:r>
      <w:r w:rsidR="00E358D2" w:rsidRPr="007344EA">
        <w:rPr>
          <w:rFonts w:ascii="Times New Roman" w:hAnsi="Times New Roman" w:cs="Times New Roman"/>
          <w:sz w:val="24"/>
          <w:szCs w:val="24"/>
        </w:rPr>
        <w:t>Nagrinėjant šį ginčą</w:t>
      </w:r>
      <w:r w:rsidR="00BF0235" w:rsidRPr="007344EA">
        <w:rPr>
          <w:rFonts w:ascii="Times New Roman" w:hAnsi="Times New Roman" w:cs="Times New Roman"/>
          <w:sz w:val="24"/>
          <w:szCs w:val="24"/>
        </w:rPr>
        <w:t xml:space="preserve"> nacionalinis teismas sustabdė bylos nagrinėjimo</w:t>
      </w:r>
      <w:r w:rsidR="00E358D2" w:rsidRPr="007344EA">
        <w:rPr>
          <w:rFonts w:ascii="Times New Roman" w:hAnsi="Times New Roman" w:cs="Times New Roman"/>
          <w:sz w:val="24"/>
          <w:szCs w:val="24"/>
        </w:rPr>
        <w:t xml:space="preserve"> procesą ir kreipėsi į Teisingumo Teismą </w:t>
      </w:r>
      <w:r w:rsidR="00BF0235" w:rsidRPr="007344EA">
        <w:rPr>
          <w:rFonts w:ascii="Times New Roman" w:hAnsi="Times New Roman" w:cs="Times New Roman"/>
          <w:sz w:val="24"/>
          <w:szCs w:val="24"/>
        </w:rPr>
        <w:t xml:space="preserve">dėl </w:t>
      </w:r>
      <w:r w:rsidR="00E358D2" w:rsidRPr="007344EA">
        <w:rPr>
          <w:rFonts w:ascii="Times New Roman" w:hAnsi="Times New Roman" w:cs="Times New Roman"/>
          <w:sz w:val="24"/>
          <w:szCs w:val="24"/>
        </w:rPr>
        <w:t>prejudicinio sprendimo iš esmės klausdamas ar</w:t>
      </w:r>
      <w:r w:rsidR="00B401AD" w:rsidRPr="007344EA">
        <w:rPr>
          <w:rFonts w:ascii="Times New Roman" w:hAnsi="Times New Roman" w:cs="Times New Roman"/>
          <w:sz w:val="24"/>
          <w:szCs w:val="24"/>
        </w:rPr>
        <w:t xml:space="preserve"> standa</w:t>
      </w:r>
      <w:r w:rsidR="00BF0235" w:rsidRPr="007344EA">
        <w:rPr>
          <w:rFonts w:ascii="Times New Roman" w:hAnsi="Times New Roman" w:cs="Times New Roman"/>
          <w:sz w:val="24"/>
          <w:szCs w:val="24"/>
        </w:rPr>
        <w:t xml:space="preserve">rtinėje sutartyje esanti </w:t>
      </w:r>
      <w:r w:rsidR="008D3FCC" w:rsidRPr="007344EA">
        <w:rPr>
          <w:rFonts w:ascii="Times New Roman" w:hAnsi="Times New Roman" w:cs="Times New Roman"/>
          <w:sz w:val="24"/>
          <w:szCs w:val="24"/>
        </w:rPr>
        <w:t>sąlyga</w:t>
      </w:r>
      <w:r w:rsidR="00B41869" w:rsidRPr="007344EA">
        <w:rPr>
          <w:rFonts w:ascii="Times New Roman" w:hAnsi="Times New Roman" w:cs="Times New Roman"/>
          <w:sz w:val="24"/>
          <w:szCs w:val="24"/>
        </w:rPr>
        <w:t xml:space="preserve"> yra nesąžininga, jei pagal ją</w:t>
      </w:r>
      <w:r w:rsidR="008D3FCC" w:rsidRPr="007344EA">
        <w:rPr>
          <w:rFonts w:ascii="Times New Roman" w:hAnsi="Times New Roman" w:cs="Times New Roman"/>
          <w:sz w:val="24"/>
          <w:szCs w:val="24"/>
        </w:rPr>
        <w:t xml:space="preserve"> vartotojas,</w:t>
      </w:r>
      <w:r w:rsidR="00BF0235" w:rsidRPr="007344EA">
        <w:rPr>
          <w:rFonts w:ascii="Times New Roman" w:hAnsi="Times New Roman" w:cs="Times New Roman"/>
          <w:sz w:val="24"/>
          <w:szCs w:val="24"/>
        </w:rPr>
        <w:t xml:space="preserve"> pirkdamas automobilio stovėjimo vietą, yra įpareigojamas sumokėti visą sumą dar iki pastatant pastatą, nepriklausomai nuo kiek statybų progresas yra pažengęs,</w:t>
      </w:r>
      <w:r w:rsidR="00B41869" w:rsidRPr="007344EA">
        <w:rPr>
          <w:rFonts w:ascii="Times New Roman" w:hAnsi="Times New Roman" w:cs="Times New Roman"/>
          <w:sz w:val="24"/>
          <w:szCs w:val="24"/>
        </w:rPr>
        <w:t xml:space="preserve"> </w:t>
      </w:r>
      <w:r w:rsidR="008D3FCC" w:rsidRPr="007344EA">
        <w:rPr>
          <w:rFonts w:ascii="Times New Roman" w:hAnsi="Times New Roman" w:cs="Times New Roman"/>
          <w:sz w:val="24"/>
          <w:szCs w:val="24"/>
        </w:rPr>
        <w:t xml:space="preserve">atsižvelgiant į tai, </w:t>
      </w:r>
      <w:r w:rsidR="00B41869" w:rsidRPr="007344EA">
        <w:rPr>
          <w:rFonts w:ascii="Times New Roman" w:hAnsi="Times New Roman" w:cs="Times New Roman"/>
          <w:sz w:val="24"/>
          <w:szCs w:val="24"/>
        </w:rPr>
        <w:t>kad visa</w:t>
      </w:r>
      <w:r w:rsidR="008D3FCC" w:rsidRPr="007344EA">
        <w:rPr>
          <w:rFonts w:ascii="Times New Roman" w:hAnsi="Times New Roman" w:cs="Times New Roman"/>
          <w:sz w:val="24"/>
          <w:szCs w:val="24"/>
        </w:rPr>
        <w:t>s verslininkui iš šios sutarties kylančias pinigines prievoles įsipareigoja padengti bankas. Taigi šiuo prejudiciniu klausimu siekiama sužinoti konkrečios  sutarties sąlygos atitikimą Direktyvoje</w:t>
      </w:r>
      <w:r w:rsidR="00B41869" w:rsidRPr="007344EA">
        <w:rPr>
          <w:rFonts w:ascii="Times New Roman" w:hAnsi="Times New Roman" w:cs="Times New Roman"/>
          <w:sz w:val="24"/>
          <w:szCs w:val="24"/>
        </w:rPr>
        <w:t xml:space="preserve"> 9</w:t>
      </w:r>
      <w:r w:rsidR="00B41869" w:rsidRPr="007344EA">
        <w:rPr>
          <w:rFonts w:ascii="Times New Roman" w:hAnsi="Times New Roman" w:cs="Times New Roman"/>
          <w:sz w:val="24"/>
          <w:szCs w:val="24"/>
          <w:lang w:val="en-US"/>
        </w:rPr>
        <w:t>3/13</w:t>
      </w:r>
      <w:r w:rsidR="008D3FCC" w:rsidRPr="007344EA">
        <w:rPr>
          <w:rFonts w:ascii="Times New Roman" w:hAnsi="Times New Roman" w:cs="Times New Roman"/>
          <w:sz w:val="24"/>
          <w:szCs w:val="24"/>
        </w:rPr>
        <w:t xml:space="preserve"> nustatytam sąžiningumo reikalavimui. </w:t>
      </w:r>
    </w:p>
    <w:p w:rsidR="00F7395F" w:rsidRPr="007344EA" w:rsidRDefault="00AB3DDF" w:rsidP="006E00E1">
      <w:pPr>
        <w:pStyle w:val="Default"/>
        <w:spacing w:line="360" w:lineRule="auto"/>
        <w:ind w:firstLine="1296"/>
        <w:jc w:val="both"/>
      </w:pPr>
      <w:r w:rsidRPr="007344EA">
        <w:t xml:space="preserve">Byloje </w:t>
      </w:r>
      <w:r w:rsidR="00C829AF" w:rsidRPr="007344EA">
        <w:rPr>
          <w:bCs/>
          <w:i/>
          <w:lang w:val="pt-PT"/>
        </w:rPr>
        <w:t>Pereničová</w:t>
      </w:r>
      <w:r w:rsidRPr="007344EA">
        <w:rPr>
          <w:rStyle w:val="FootnoteReference"/>
        </w:rPr>
        <w:footnoteReference w:id="146"/>
      </w:r>
      <w:r w:rsidR="005C34CF" w:rsidRPr="007344EA">
        <w:t xml:space="preserve"> į </w:t>
      </w:r>
      <w:r w:rsidRPr="007344EA">
        <w:t>Teisingumo Teismą kreipėsi Slovakijos</w:t>
      </w:r>
      <w:r w:rsidR="005C34CF" w:rsidRPr="007344EA">
        <w:t xml:space="preserve"> </w:t>
      </w:r>
      <w:r w:rsidRPr="007344EA">
        <w:t>Teismas. Ieškovai pagrindinėje byloje prašymą priimti prejudicinį sprendimą pateikusio teismo prašo kredito sutartį, sudarytą su S</w:t>
      </w:r>
      <w:r w:rsidR="00B41869" w:rsidRPr="007344EA">
        <w:t>.</w:t>
      </w:r>
      <w:r w:rsidRPr="007344EA">
        <w:t>O</w:t>
      </w:r>
      <w:r w:rsidR="00B41869" w:rsidRPr="007344EA">
        <w:t>.</w:t>
      </w:r>
      <w:r w:rsidRPr="007344EA">
        <w:t>S, ne banko įstaiga, suteikiančia vartojimo kreditus pagal tipines sutartis, pripažinti niekine.</w:t>
      </w:r>
      <w:r w:rsidRPr="007344EA">
        <w:rPr>
          <w:rStyle w:val="FootnoteReference"/>
        </w:rPr>
        <w:footnoteReference w:id="147"/>
      </w:r>
      <w:r w:rsidR="005C34CF" w:rsidRPr="007344EA">
        <w:t xml:space="preserve"> Ieškovams buvo suteiktas beveik 5000 EUR kreditas, o po 32 mėn. reikėjo gražinti daugiau nei 11000 EUR. Be</w:t>
      </w:r>
      <w:r w:rsidR="008F4476" w:rsidRPr="007344EA">
        <w:t xml:space="preserve"> </w:t>
      </w:r>
      <w:r w:rsidR="005C34CF" w:rsidRPr="007344EA">
        <w:t>to sutartyje</w:t>
      </w:r>
      <w:r w:rsidR="008F4476" w:rsidRPr="007344EA">
        <w:t xml:space="preserve"> nurodyta</w:t>
      </w:r>
      <w:r w:rsidR="005C34CF" w:rsidRPr="007344EA">
        <w:t xml:space="preserve"> metinė kredito norma buvo 10 % </w:t>
      </w:r>
      <w:r w:rsidR="008F4476" w:rsidRPr="007344EA">
        <w:t xml:space="preserve">mažesnė, nei ji </w:t>
      </w:r>
      <w:r w:rsidR="005C34CF" w:rsidRPr="007344EA">
        <w:t xml:space="preserve"> yra iš tiesų.</w:t>
      </w:r>
      <w:r w:rsidR="008F4476" w:rsidRPr="007344EA">
        <w:t xml:space="preserve"> Esant tokioms aplinkybėms nacionalinis teismas kla</w:t>
      </w:r>
      <w:r w:rsidR="00056C0E" w:rsidRPr="007344EA">
        <w:t>usia ar pagal Direktyvoje 93/13</w:t>
      </w:r>
      <w:r w:rsidR="008F4476" w:rsidRPr="007344EA">
        <w:t xml:space="preserve"> įtvirtintą reguliavimą galima nuspręsti, kad visa sutartis, o ne tik tam tikros jos sąlygos, yra negaliojanti, jei toks sprendimas vartotojui butų palankesnis. </w:t>
      </w:r>
      <w:r w:rsidR="009940B7" w:rsidRPr="007344EA">
        <w:t xml:space="preserve">Šiam magistro baigiamajam darbui aktualus antrasis prejudicinis klausimas, kuriuo </w:t>
      </w:r>
      <w:r w:rsidR="00430805" w:rsidRPr="007344EA">
        <w:t xml:space="preserve">norima sužinoti </w:t>
      </w:r>
      <w:r w:rsidR="00F0085C" w:rsidRPr="007344EA">
        <w:t>kokią įtaką Direktyvos 9</w:t>
      </w:r>
      <w:r w:rsidR="00CD0746" w:rsidRPr="007344EA">
        <w:t>3/13</w:t>
      </w:r>
      <w:r w:rsidR="00F0085C" w:rsidRPr="007344EA">
        <w:t xml:space="preserve"> nuostatų taikymui turi nesąžiningos komercinės veiklos konstatavimas. </w:t>
      </w:r>
    </w:p>
    <w:p w:rsidR="00A42CBC" w:rsidRPr="007344EA" w:rsidRDefault="007316D5" w:rsidP="00A42CBC">
      <w:pPr>
        <w:pStyle w:val="Default"/>
        <w:spacing w:line="360" w:lineRule="auto"/>
        <w:ind w:firstLine="1296"/>
        <w:jc w:val="both"/>
      </w:pPr>
      <w:r w:rsidRPr="007344EA">
        <w:rPr>
          <w:iCs/>
        </w:rPr>
        <w:t xml:space="preserve">Byloje </w:t>
      </w:r>
      <w:r w:rsidRPr="007344EA">
        <w:rPr>
          <w:i/>
          <w:iCs/>
        </w:rPr>
        <w:t>Ynos</w:t>
      </w:r>
      <w:r w:rsidRPr="007344EA">
        <w:rPr>
          <w:rStyle w:val="FootnoteReference"/>
          <w:i/>
          <w:iCs/>
        </w:rPr>
        <w:footnoteReference w:id="148"/>
      </w:r>
      <w:r w:rsidRPr="007344EA">
        <w:rPr>
          <w:iCs/>
        </w:rPr>
        <w:t xml:space="preserve"> , kuri buvo sprendžiama Didžiosios Kolegijos, Teisingumo Teismas nustatė, </w:t>
      </w:r>
      <w:r w:rsidR="002B33B8" w:rsidRPr="007344EA">
        <w:rPr>
          <w:iCs/>
        </w:rPr>
        <w:t xml:space="preserve">jog </w:t>
      </w:r>
      <w:r w:rsidRPr="007344EA">
        <w:rPr>
          <w:iCs/>
        </w:rPr>
        <w:t>jis neturi jurisdikcijos atsakyti į nacionalinio teismo užduotus klausimus, kadangi teisiniai santykiai pagrindinėje byloje susiklostė iki Vengrijai įstojant į Europos Sąjungą. Tačiau</w:t>
      </w:r>
      <w:r w:rsidR="00E52040" w:rsidRPr="007344EA">
        <w:rPr>
          <w:iCs/>
        </w:rPr>
        <w:t xml:space="preserve"> ši</w:t>
      </w:r>
      <w:r w:rsidR="009940B7" w:rsidRPr="007344EA">
        <w:rPr>
          <w:iCs/>
        </w:rPr>
        <w:t>am</w:t>
      </w:r>
      <w:r w:rsidRPr="007344EA">
        <w:rPr>
          <w:iCs/>
        </w:rPr>
        <w:t xml:space="preserve"> m</w:t>
      </w:r>
      <w:r w:rsidR="00E52040" w:rsidRPr="007344EA">
        <w:rPr>
          <w:iCs/>
        </w:rPr>
        <w:t>agistro baigiamajam darbui yra</w:t>
      </w:r>
      <w:r w:rsidRPr="007344EA">
        <w:rPr>
          <w:iCs/>
        </w:rPr>
        <w:t xml:space="preserve"> svarbi generalinio advokato A. Tizzano išvada, kurioje </w:t>
      </w:r>
      <w:r w:rsidR="001A1BA8" w:rsidRPr="007344EA">
        <w:rPr>
          <w:iCs/>
        </w:rPr>
        <w:t xml:space="preserve">buvo </w:t>
      </w:r>
      <w:r w:rsidRPr="007344EA">
        <w:rPr>
          <w:iCs/>
        </w:rPr>
        <w:t>plačiai atsakyta į nacionalinio teismo užduotus klausimus.</w:t>
      </w:r>
      <w:r w:rsidR="00430805" w:rsidRPr="007344EA">
        <w:rPr>
          <w:iCs/>
        </w:rPr>
        <w:t xml:space="preserve"> </w:t>
      </w:r>
      <w:r w:rsidR="00332B8B" w:rsidRPr="007344EA">
        <w:t xml:space="preserve">Pagrindinėje byloje ginčas kilo tarp nekilnojamojo turto agentūros </w:t>
      </w:r>
      <w:r w:rsidR="00332B8B" w:rsidRPr="007344EA">
        <w:rPr>
          <w:i/>
          <w:iCs/>
        </w:rPr>
        <w:t>Ynos Kft</w:t>
      </w:r>
      <w:r w:rsidR="00332B8B" w:rsidRPr="007344EA">
        <w:t xml:space="preserve"> (toliau – </w:t>
      </w:r>
      <w:r w:rsidR="00332B8B" w:rsidRPr="007344EA">
        <w:rPr>
          <w:i/>
          <w:iCs/>
        </w:rPr>
        <w:t>Ynos</w:t>
      </w:r>
      <w:r w:rsidR="00332B8B" w:rsidRPr="007344EA">
        <w:t>) ir statybininko János Varga.</w:t>
      </w:r>
      <w:r w:rsidR="00332B8B" w:rsidRPr="007344EA">
        <w:rPr>
          <w:rStyle w:val="FootnoteReference"/>
        </w:rPr>
        <w:footnoteReference w:id="149"/>
      </w:r>
      <w:r w:rsidR="00332B8B" w:rsidRPr="007344EA">
        <w:t xml:space="preserve"> Kli</w:t>
      </w:r>
      <w:r w:rsidR="00F12BC0" w:rsidRPr="007344EA">
        <w:t>e</w:t>
      </w:r>
      <w:r w:rsidR="00332B8B" w:rsidRPr="007344EA">
        <w:t xml:space="preserve">ntas su nekilnojamo turto agentūra </w:t>
      </w:r>
      <w:r w:rsidR="00332B8B" w:rsidRPr="007344EA">
        <w:rPr>
          <w:i/>
        </w:rPr>
        <w:t>Ynos</w:t>
      </w:r>
      <w:r w:rsidR="00332B8B" w:rsidRPr="007344EA">
        <w:t xml:space="preserve"> pasirašė </w:t>
      </w:r>
      <w:r w:rsidR="00F12BC0" w:rsidRPr="007344EA">
        <w:t>tarp</w:t>
      </w:r>
      <w:r w:rsidR="00332B8B" w:rsidRPr="007344EA">
        <w:t>ininkavimo sutartį, dėl n</w:t>
      </w:r>
      <w:r w:rsidR="00F12BC0" w:rsidRPr="007344EA">
        <w:t>es</w:t>
      </w:r>
      <w:r w:rsidR="00332B8B" w:rsidRPr="007344EA">
        <w:t>eniai į komercinių įstaigų centrą perstatyto pastato</w:t>
      </w:r>
      <w:r w:rsidR="002B33B8" w:rsidRPr="007344EA">
        <w:t xml:space="preserve"> pardavimo.</w:t>
      </w:r>
      <w:r w:rsidR="00332B8B" w:rsidRPr="007344EA">
        <w:t xml:space="preserve"> </w:t>
      </w:r>
      <w:r w:rsidR="00F12BC0" w:rsidRPr="007344EA">
        <w:t>Pagal sutartį nekilnojamo tur</w:t>
      </w:r>
      <w:r w:rsidR="0040066F" w:rsidRPr="007344EA">
        <w:t>t</w:t>
      </w:r>
      <w:r w:rsidR="00F12BC0" w:rsidRPr="007344EA">
        <w:t xml:space="preserve">o agentūrai </w:t>
      </w:r>
      <w:r w:rsidR="00F12BC0" w:rsidRPr="007344EA">
        <w:lastRenderedPageBreak/>
        <w:t xml:space="preserve">priklausė tam tikras komisinis procentas nuo parduoto pastato sumos. </w:t>
      </w:r>
      <w:r w:rsidR="00E52040" w:rsidRPr="007344EA">
        <w:t>Vienas iš</w:t>
      </w:r>
      <w:r w:rsidR="009D303A" w:rsidRPr="007344EA">
        <w:t xml:space="preserve"> tarp </w:t>
      </w:r>
      <w:r w:rsidR="002B33B8" w:rsidRPr="007344EA">
        <w:t>kliento ir agentūros sudaryt</w:t>
      </w:r>
      <w:r w:rsidR="009D303A" w:rsidRPr="007344EA">
        <w:t>os</w:t>
      </w:r>
      <w:r w:rsidR="002B33B8" w:rsidRPr="007344EA">
        <w:t xml:space="preserve"> sutarti</w:t>
      </w:r>
      <w:r w:rsidR="009D303A" w:rsidRPr="007344EA">
        <w:t xml:space="preserve">es punktų </w:t>
      </w:r>
      <w:r w:rsidR="002B33B8" w:rsidRPr="007344EA">
        <w:t xml:space="preserve">numatė, </w:t>
      </w:r>
      <w:r w:rsidR="00E52040" w:rsidRPr="007344EA">
        <w:t>„</w:t>
      </w:r>
      <w:r w:rsidR="002B33B8" w:rsidRPr="007344EA">
        <w:t xml:space="preserve">kad </w:t>
      </w:r>
      <w:r w:rsidR="00E52040" w:rsidRPr="007344EA">
        <w:t>tarpininkavimas laikomas sėkmingu, kai sudaroma sutartis tarp dviejų šalių, suvestų per tarpi</w:t>
      </w:r>
      <w:r w:rsidR="009D303A" w:rsidRPr="007344EA">
        <w:t>ninką, be to, antrame šio punkto</w:t>
      </w:r>
      <w:r w:rsidR="00E52040" w:rsidRPr="007344EA">
        <w:t xml:space="preserve"> sakinyje buvo pridurta, kad tarpininkas turėjo teisę gauti komisinius net ir tuo atveju, jei savininkas atsisakytų raštiško pastato pirkimo ar nuomos pasiūlymo už tokią pačią ar didesnę nei nurodyta tarpininkavimo sutartyje kainą“</w:t>
      </w:r>
      <w:r w:rsidR="00E52040" w:rsidRPr="007344EA">
        <w:rPr>
          <w:rStyle w:val="FootnoteReference"/>
        </w:rPr>
        <w:footnoteReference w:id="150"/>
      </w:r>
      <w:r w:rsidR="00E52040" w:rsidRPr="007344EA">
        <w:t>.</w:t>
      </w:r>
      <w:r w:rsidR="00B04853" w:rsidRPr="007344EA">
        <w:t xml:space="preserve"> Agentūra, klientas ir būsimas pirkėjas pasirašė susitarimą, kad praėjus tam tikram laikui bus sudaryta pastato pirkimo, pardavimo sutartis arba preliminarioji sutartis. Nei pirkimo</w:t>
      </w:r>
      <w:r w:rsidR="00224D1C" w:rsidRPr="007344EA">
        <w:t xml:space="preserve"> −</w:t>
      </w:r>
      <w:r w:rsidR="00B04853" w:rsidRPr="007344EA">
        <w:t xml:space="preserve"> pardavimo, nei preliminarioji sutartis nebuvo pasirašyta ir pastatas buvo parduotas kitam asmeniui, nei buvo numatyta susitarime. </w:t>
      </w:r>
      <w:r w:rsidR="006C57B8" w:rsidRPr="007344EA">
        <w:t xml:space="preserve">Agentūra </w:t>
      </w:r>
      <w:r w:rsidR="006C57B8" w:rsidRPr="007344EA">
        <w:rPr>
          <w:i/>
        </w:rPr>
        <w:t>Ynos</w:t>
      </w:r>
      <w:r w:rsidR="006C57B8" w:rsidRPr="007344EA">
        <w:t xml:space="preserve"> kreipėsi į teismą  siekdama, kad būtų sumokėti komisiniai, nuostoliai ir bylinėjimosi išlaidos, kadangi </w:t>
      </w:r>
      <w:r w:rsidR="007F2A27" w:rsidRPr="007344EA">
        <w:t xml:space="preserve">pagal </w:t>
      </w:r>
      <w:r w:rsidR="00E60211" w:rsidRPr="007344EA">
        <w:t>sutartį</w:t>
      </w:r>
      <w:r w:rsidR="007F2A27" w:rsidRPr="007344EA">
        <w:t>,</w:t>
      </w:r>
      <w:r w:rsidR="00E60211" w:rsidRPr="007344EA">
        <w:t xml:space="preserve"> sudaryt</w:t>
      </w:r>
      <w:r w:rsidR="007F2A27" w:rsidRPr="007344EA">
        <w:t>ą</w:t>
      </w:r>
      <w:r w:rsidR="00E60211" w:rsidRPr="007344EA">
        <w:t xml:space="preserve"> tarp kliento ir </w:t>
      </w:r>
      <w:r w:rsidR="00E60211" w:rsidRPr="007344EA">
        <w:rPr>
          <w:i/>
        </w:rPr>
        <w:t>Ynos</w:t>
      </w:r>
      <w:r w:rsidR="007F2A27" w:rsidRPr="007344EA">
        <w:rPr>
          <w:i/>
        </w:rPr>
        <w:t>,</w:t>
      </w:r>
      <w:r w:rsidR="00E60211" w:rsidRPr="007344EA">
        <w:t xml:space="preserve"> principinis susitarimas yra laikomas sėkmingu tarpininkavimu. Atsiliepime J. Varga prašė atmesti ieškinį, kadangi minėto</w:t>
      </w:r>
      <w:r w:rsidR="007F2A27" w:rsidRPr="007344EA">
        <w:t>s</w:t>
      </w:r>
      <w:r w:rsidR="00E60211" w:rsidRPr="007344EA">
        <w:t xml:space="preserve"> sutarties punkto antrasis sakinys yra nesąžininga </w:t>
      </w:r>
      <w:r w:rsidR="007628F5" w:rsidRPr="007344EA">
        <w:t xml:space="preserve"> sąlyga. Nacionalinis teismas Teisingumo Teismo klausia ar </w:t>
      </w:r>
      <w:r w:rsidR="00E60211" w:rsidRPr="007344EA">
        <w:t xml:space="preserve">nacionalinio teisės akto reikalavimas, pagal kurį nesąžiningos sąlygos yra neprivalomos ne </w:t>
      </w:r>
      <w:r w:rsidR="00E60211" w:rsidRPr="007344EA">
        <w:rPr>
          <w:i/>
        </w:rPr>
        <w:t>ipso jure</w:t>
      </w:r>
      <w:r w:rsidR="00E60211" w:rsidRPr="007344EA">
        <w:t xml:space="preserve">, o tik tuomet, kai vartotojas tai apskundžia teisme </w:t>
      </w:r>
      <w:r w:rsidR="007628F5" w:rsidRPr="007344EA">
        <w:t xml:space="preserve">yra suderinamas su Direktyva 93/13.  Ir ar sutartis toliau yra privaloma šalims, jei vartotojas žinodamas, kad sutartyje yra tokia nesąžininga sąlyga, jos būtų nesudaręs? </w:t>
      </w:r>
    </w:p>
    <w:p w:rsidR="006E4831" w:rsidRPr="007344EA" w:rsidRDefault="00A42CBC" w:rsidP="006E00E1">
      <w:pPr>
        <w:pStyle w:val="Default"/>
        <w:spacing w:line="360" w:lineRule="auto"/>
        <w:ind w:firstLine="1296"/>
        <w:jc w:val="both"/>
      </w:pPr>
      <w:r w:rsidRPr="007344EA">
        <w:rPr>
          <w:iCs/>
        </w:rPr>
        <w:t xml:space="preserve">Byloje </w:t>
      </w:r>
      <w:r w:rsidR="00392953" w:rsidRPr="007344EA">
        <w:rPr>
          <w:bCs/>
          <w:i/>
          <w:lang w:val="pt-PT"/>
        </w:rPr>
        <w:t>Nemzeti</w:t>
      </w:r>
      <w:r w:rsidRPr="007344EA">
        <w:rPr>
          <w:rStyle w:val="FootnoteReference"/>
          <w:i/>
          <w:iCs/>
        </w:rPr>
        <w:footnoteReference w:id="151"/>
      </w:r>
      <w:r w:rsidRPr="007344EA">
        <w:rPr>
          <w:iCs/>
        </w:rPr>
        <w:t xml:space="preserve"> į Teisingumo Teismą kreipėsi Vengrijos teismas prašydamas priimti prejudicinį sprendimą. Ginčas pagrindinėje byloje kilo tarp Nacionalinės vartotojų teisių apsaugos tarnybos ir fiksuotojo ryšio paslaugas teikiančios įmonės, dėl bendrosiose sutarčių sąlygose galimai esančių nesąžiningų sąlygų. Pagal sutartyje esanči</w:t>
      </w:r>
      <w:r w:rsidR="00497364" w:rsidRPr="007344EA">
        <w:rPr>
          <w:iCs/>
        </w:rPr>
        <w:t>ą</w:t>
      </w:r>
      <w:r w:rsidRPr="007344EA">
        <w:rPr>
          <w:iCs/>
        </w:rPr>
        <w:t xml:space="preserve"> nuostatą iš vartotojų buvo reikalaujama padengti iš anksto sutartyje nenumatytas sumas: „</w:t>
      </w:r>
      <w:r w:rsidRPr="007344EA">
        <w:t xml:space="preserve">jeigu abonentas apmoka sąskaitą pinigine pašto perlaida, paslaugų teikėjas turi teisę pareikalauti apmokėti su tuo susijusias papildomas išlaidas (pavyzdžiui, pašto išlaidas). Be to, sutartyje nebuvo numatyta jokių nuostatų, kuriose būtų numatytas metodas, kaip šios perlaidos išlaidos turi būti apskaičiuojamos“ </w:t>
      </w:r>
      <w:r w:rsidRPr="007344EA">
        <w:rPr>
          <w:rStyle w:val="FootnoteReference"/>
        </w:rPr>
        <w:footnoteReference w:id="152"/>
      </w:r>
      <w:r w:rsidRPr="007344EA">
        <w:t xml:space="preserve">. Esant tokioms aplinkybėms nacionalinis teismas pateikė du prejudicinius klausimus. Pirmuoju klausimu iš esmės siekė sužinoti ar pagal Direktyvoje 93/13 numatytą teisinį reguliavimą „nedraudžiama sprendimą dėl nesąžiningos su vartotojais sudarytų sutarčių nuostatos negaliojimo, priimtą išnagrinėjus ieškinį viešajam interesui ginti &lt;...&gt; taikyti </w:t>
      </w:r>
      <w:r w:rsidRPr="007344EA">
        <w:rPr>
          <w:i/>
        </w:rPr>
        <w:t xml:space="preserve">visiems </w:t>
      </w:r>
      <w:r w:rsidRPr="007344EA">
        <w:t>vartotojams, sudariusiems sutartis, kuri</w:t>
      </w:r>
      <w:r w:rsidR="00497364" w:rsidRPr="007344EA">
        <w:t>e</w:t>
      </w:r>
      <w:r w:rsidRPr="007344EA">
        <w:t xml:space="preserve">ms taikomos tos pačios sutartys, taip pat ir tiems, kurie nedalyvavo nagrinėjant bylą dėl šios nuostatos uždraudimo, ir ar nacionaliniai teismai privalo ateityje savo iniciatyva taikyti iš to kylančias nacionalinėje teisėje numatytas teisines </w:t>
      </w:r>
      <w:r w:rsidRPr="007344EA">
        <w:lastRenderedPageBreak/>
        <w:t>pasekmes“</w:t>
      </w:r>
      <w:r w:rsidRPr="007344EA">
        <w:rPr>
          <w:rStyle w:val="FootnoteReference"/>
        </w:rPr>
        <w:footnoteReference w:id="153"/>
      </w:r>
      <w:r w:rsidRPr="007344EA">
        <w:t>. Antruoju klausimu teismas norėjo sužinoti „ar sąlyga yra nesąžininga, kai pardavėjas ar tiekėjas su vartotojais sudaromų sutarčių nuostatose vienašališkai numato su paslaugos teikimu susijusių išlaidų pakeitimą ir aiškiai nenurodo šių išlaidų apskaičiavimo metodo ir rimtų šio pakeitimo priežasčių“</w:t>
      </w:r>
      <w:r w:rsidRPr="007344EA">
        <w:rPr>
          <w:rStyle w:val="FootnoteReference"/>
        </w:rPr>
        <w:footnoteReference w:id="154"/>
      </w:r>
      <w:r w:rsidRPr="007344EA">
        <w:t xml:space="preserve">. </w:t>
      </w:r>
      <w:r w:rsidR="00170EFB" w:rsidRPr="007344EA">
        <w:t>Kaip matyti pirmasis</w:t>
      </w:r>
      <w:r w:rsidRPr="007344EA">
        <w:t xml:space="preserve"> iš užduotų</w:t>
      </w:r>
      <w:r w:rsidR="00170EFB" w:rsidRPr="007344EA">
        <w:t xml:space="preserve"> prejudicinių klausimų yra susijęs su </w:t>
      </w:r>
      <w:r w:rsidR="00170EFB" w:rsidRPr="007344EA">
        <w:rPr>
          <w:i/>
        </w:rPr>
        <w:t>actio popularis</w:t>
      </w:r>
      <w:r w:rsidR="00170EFB" w:rsidRPr="007344EA">
        <w:t xml:space="preserve"> ieškinio pateikimo pasekmėmis, o antrasis su konkrečios sąlygos galimu nesąžiningumu. </w:t>
      </w:r>
    </w:p>
    <w:p w:rsidR="00AC3AB1" w:rsidRPr="007344EA" w:rsidRDefault="00F7395F" w:rsidP="00D42736">
      <w:pPr>
        <w:pStyle w:val="Default"/>
        <w:spacing w:line="360" w:lineRule="auto"/>
        <w:ind w:firstLine="1296"/>
        <w:jc w:val="both"/>
        <w:rPr>
          <w:b/>
        </w:rPr>
      </w:pPr>
      <w:r w:rsidRPr="007344EA">
        <w:t>Apibendrinant visus minėtus nacionalinių teismų kreipimusis į Teisingumo Teismą</w:t>
      </w:r>
      <w:r w:rsidR="00C45A0F" w:rsidRPr="007344EA">
        <w:t xml:space="preserve"> su prašymu išaiškinti tam tikras Direktyvos 93/13 nuostatas</w:t>
      </w:r>
      <w:r w:rsidRPr="007344EA">
        <w:t xml:space="preserve">, galima teigti, kad </w:t>
      </w:r>
      <w:r w:rsidR="00A70434" w:rsidRPr="007344EA">
        <w:t>nesąžiningumo klausimas sprendžiamas</w:t>
      </w:r>
      <w:r w:rsidR="00744350" w:rsidRPr="007344EA">
        <w:t xml:space="preserve"> </w:t>
      </w:r>
      <w:r w:rsidR="00A70434" w:rsidRPr="007344EA">
        <w:t xml:space="preserve">itin </w:t>
      </w:r>
      <w:r w:rsidR="00744350" w:rsidRPr="007344EA">
        <w:t>įvairi</w:t>
      </w:r>
      <w:r w:rsidR="00BF5FF2" w:rsidRPr="007344EA">
        <w:t>ose vartojimo sutarčių srityse</w:t>
      </w:r>
      <w:r w:rsidR="00A70434" w:rsidRPr="007344EA">
        <w:t>. Reikia pastebėti ir tai, kad neretai klausimai kyla nagrinėjant tuos vartojimo santykius, kurių subjektų ratas yra itin platus (pvz. mobiliojo ryšio paslaugų sutartys), tai reiškia, kad galimai yra pažeidžiami daugelio vartotojų interesai. Taip pat ir tose sutartyse, kurių apimtis įprastai yra itin didelė bei surašyta vartojant specifinę terminologiją (pvz. vartojimo kredito sutartys)</w:t>
      </w:r>
      <w:r w:rsidR="008512AA" w:rsidRPr="007344EA">
        <w:t xml:space="preserve">. </w:t>
      </w:r>
      <w:r w:rsidR="00AD5551" w:rsidRPr="007344EA">
        <w:t>Didžioji dalis prejudicinių sprendimų priimti bylose,</w:t>
      </w:r>
      <w:r w:rsidR="0039011B" w:rsidRPr="007344EA">
        <w:t xml:space="preserve"> </w:t>
      </w:r>
      <w:r w:rsidR="006D5F8A" w:rsidRPr="007344EA">
        <w:t xml:space="preserve">kuriose aiškinamos </w:t>
      </w:r>
      <w:r w:rsidR="00AD5551" w:rsidRPr="007344EA">
        <w:t>Direktyvos 93/13</w:t>
      </w:r>
      <w:r w:rsidR="000804A6" w:rsidRPr="007344EA">
        <w:t xml:space="preserve"> </w:t>
      </w:r>
      <w:r w:rsidR="006D5F8A" w:rsidRPr="007344EA">
        <w:t xml:space="preserve">nuostatos susijusios </w:t>
      </w:r>
      <w:r w:rsidR="000804A6" w:rsidRPr="007344EA">
        <w:t>su</w:t>
      </w:r>
      <w:r w:rsidR="006D5F8A" w:rsidRPr="007344EA">
        <w:t xml:space="preserve"> nacionalinio</w:t>
      </w:r>
      <w:r w:rsidR="000804A6" w:rsidRPr="007344EA">
        <w:t xml:space="preserve"> teismo teise </w:t>
      </w:r>
      <w:r w:rsidR="000804A6" w:rsidRPr="007344EA">
        <w:rPr>
          <w:i/>
        </w:rPr>
        <w:t>ex officio</w:t>
      </w:r>
      <w:r w:rsidR="000804A6" w:rsidRPr="007344EA">
        <w:t xml:space="preserve"> nustatyti </w:t>
      </w:r>
      <w:r w:rsidR="006D5F8A" w:rsidRPr="007344EA">
        <w:t xml:space="preserve">sąlygos nesąžiningumą, tai galima paaiškinti tuo, kad </w:t>
      </w:r>
      <w:r w:rsidR="006D5F8A" w:rsidRPr="007344EA">
        <w:rPr>
          <w:i/>
        </w:rPr>
        <w:t>ex officio</w:t>
      </w:r>
      <w:r w:rsidR="006D5F8A" w:rsidRPr="007344EA">
        <w:t xml:space="preserve"> teisė</w:t>
      </w:r>
      <w:r w:rsidR="00AD5551" w:rsidRPr="007344EA">
        <w:t xml:space="preserve"> nėra</w:t>
      </w:r>
      <w:r w:rsidR="006D5F8A" w:rsidRPr="007344EA">
        <w:t xml:space="preserve"> tiesiogiai įtvirt</w:t>
      </w:r>
      <w:r w:rsidR="00AD5551" w:rsidRPr="007344EA">
        <w:t>inta Direktyvos 93/13 tekste, o</w:t>
      </w:r>
      <w:r w:rsidR="00516C98" w:rsidRPr="007344EA">
        <w:t xml:space="preserve"> įvesta paties Teisingumo Teismo nuo </w:t>
      </w:r>
      <w:r w:rsidR="00AD5551" w:rsidRPr="007344EA">
        <w:t xml:space="preserve">pat </w:t>
      </w:r>
      <w:r w:rsidR="00516C98" w:rsidRPr="007344EA">
        <w:t>ankstyvosios praktikos</w:t>
      </w:r>
      <w:r w:rsidR="009940B7" w:rsidRPr="007344EA">
        <w:t xml:space="preserve">, aiškinant </w:t>
      </w:r>
      <w:r w:rsidR="00821E36" w:rsidRPr="007344EA">
        <w:t>Direktyv</w:t>
      </w:r>
      <w:r w:rsidR="00497364" w:rsidRPr="007344EA">
        <w:t>ą</w:t>
      </w:r>
      <w:r w:rsidR="00821E36" w:rsidRPr="007344EA">
        <w:t xml:space="preserve"> </w:t>
      </w:r>
      <w:r w:rsidR="00821E36" w:rsidRPr="007344EA">
        <w:rPr>
          <w:lang w:val="en-US"/>
        </w:rPr>
        <w:t>93/13</w:t>
      </w:r>
      <w:r w:rsidR="009940B7" w:rsidRPr="007344EA">
        <w:t>.</w:t>
      </w:r>
      <w:r w:rsidR="00516C98" w:rsidRPr="007344EA">
        <w:t xml:space="preserve"> </w:t>
      </w:r>
      <w:r w:rsidR="00821E36" w:rsidRPr="007344EA">
        <w:t xml:space="preserve">Kadangi Teisingumo Teismo </w:t>
      </w:r>
      <w:r w:rsidR="00AD5551" w:rsidRPr="007344EA">
        <w:t>praktikoje suformuluotos taisyklės dažniaus</w:t>
      </w:r>
      <w:r w:rsidR="009940B7" w:rsidRPr="007344EA">
        <w:t>iai yra kazuistinio pobūdžio</w:t>
      </w:r>
      <w:r w:rsidR="00821E36" w:rsidRPr="007344EA">
        <w:t xml:space="preserve"> t.y. susietos su konkrečios nacionalinės bylos faktais, yra</w:t>
      </w:r>
      <w:r w:rsidR="009940B7" w:rsidRPr="007344EA">
        <w:t xml:space="preserve"> </w:t>
      </w:r>
      <w:r w:rsidR="00AD5551" w:rsidRPr="007344EA">
        <w:t xml:space="preserve">reikalinga plati </w:t>
      </w:r>
      <w:r w:rsidR="00925B19" w:rsidRPr="007344EA">
        <w:t>Teisingumo Teismo</w:t>
      </w:r>
      <w:r w:rsidR="00AD5551" w:rsidRPr="007344EA">
        <w:t xml:space="preserve"> juris</w:t>
      </w:r>
      <w:r w:rsidR="009940B7" w:rsidRPr="007344EA">
        <w:t>prudencija, pagal kurią</w:t>
      </w:r>
      <w:r w:rsidR="00AD5551" w:rsidRPr="007344EA">
        <w:t xml:space="preserve"> jau butų galima kildinti ne kazuistinio, bet ir apibendrinamojo pobūdžio taisykles. </w:t>
      </w:r>
      <w:r w:rsidR="00516C98" w:rsidRPr="007344EA">
        <w:t>Iš Teisingumo Teismui užduotų klausimų pobūdžio galima spręsti, kad nacionalinis teismas</w:t>
      </w:r>
      <w:r w:rsidR="00497364" w:rsidRPr="007344EA">
        <w:t>,</w:t>
      </w:r>
      <w:r w:rsidR="00516C98" w:rsidRPr="007344EA">
        <w:t xml:space="preserve"> besikreipdamas į Teisingumo Teismą</w:t>
      </w:r>
      <w:r w:rsidR="00497364" w:rsidRPr="007344EA">
        <w:t>,</w:t>
      </w:r>
      <w:r w:rsidR="00516C98" w:rsidRPr="007344EA">
        <w:t xml:space="preserve"> </w:t>
      </w:r>
      <w:r w:rsidR="00AC3AB1" w:rsidRPr="007344EA">
        <w:t>neretai</w:t>
      </w:r>
      <w:r w:rsidR="00516C98" w:rsidRPr="007344EA">
        <w:t xml:space="preserve"> siekia sužinoti ar tam tikros nacionalinės teisės nuostatos neprieštarauja Sąjungos teisei, t.y. Direktyvai 93/13. Tuo pasiekiamas vienas iš</w:t>
      </w:r>
      <w:r w:rsidR="004A1376" w:rsidRPr="007344EA">
        <w:t xml:space="preserve"> prejudicinio sprendim</w:t>
      </w:r>
      <w:r w:rsidR="00497364" w:rsidRPr="007344EA">
        <w:t>o</w:t>
      </w:r>
      <w:r w:rsidR="004A1376" w:rsidRPr="007344EA">
        <w:t xml:space="preserve"> tikslų</w:t>
      </w:r>
      <w:r w:rsidR="00224D1C" w:rsidRPr="007344EA">
        <w:t xml:space="preserve"> −</w:t>
      </w:r>
      <w:r w:rsidR="004A1376" w:rsidRPr="007344EA">
        <w:t xml:space="preserve"> nacionalinių teisės aktų suderinamumas su Sąjungos teise,</w:t>
      </w:r>
      <w:r w:rsidR="00497364" w:rsidRPr="007344EA">
        <w:t xml:space="preserve"> </w:t>
      </w:r>
      <w:r w:rsidR="004A1376" w:rsidRPr="007344EA">
        <w:t>o tuo pačiu ir konkretaus asmens subjektinių teisių apsauga, jei valstybė narė netinkamai</w:t>
      </w:r>
      <w:r w:rsidR="00497364" w:rsidRPr="007344EA">
        <w:t xml:space="preserve"> ar </w:t>
      </w:r>
      <w:r w:rsidR="004A1376" w:rsidRPr="007344EA">
        <w:t xml:space="preserve">nepilnai perkėlė Direktyvos 93/13  nuostatas. </w:t>
      </w:r>
    </w:p>
    <w:p w:rsidR="00C10797" w:rsidRPr="007344EA" w:rsidRDefault="00DF6FD4" w:rsidP="000F6662">
      <w:pPr>
        <w:pStyle w:val="Heading2"/>
        <w:rPr>
          <w:rFonts w:ascii="Times New Roman" w:hAnsi="Times New Roman" w:cs="Times New Roman"/>
          <w:color w:val="000000" w:themeColor="text1"/>
          <w:sz w:val="24"/>
          <w:szCs w:val="24"/>
        </w:rPr>
      </w:pPr>
      <w:bookmarkStart w:id="8" w:name="_Toc344337158"/>
      <w:r w:rsidRPr="007344EA">
        <w:rPr>
          <w:rFonts w:ascii="Times New Roman" w:hAnsi="Times New Roman" w:cs="Times New Roman"/>
          <w:color w:val="000000" w:themeColor="text1"/>
          <w:sz w:val="24"/>
          <w:szCs w:val="24"/>
        </w:rPr>
        <w:t>2</w:t>
      </w:r>
      <w:r w:rsidR="00B32FE1" w:rsidRPr="007344EA">
        <w:rPr>
          <w:rFonts w:ascii="Times New Roman" w:hAnsi="Times New Roman" w:cs="Times New Roman"/>
          <w:color w:val="000000" w:themeColor="text1"/>
          <w:sz w:val="24"/>
          <w:szCs w:val="24"/>
        </w:rPr>
        <w:t>.</w:t>
      </w:r>
      <w:r w:rsidR="003F5D73" w:rsidRPr="007344EA">
        <w:rPr>
          <w:rFonts w:ascii="Times New Roman" w:hAnsi="Times New Roman" w:cs="Times New Roman"/>
          <w:color w:val="000000" w:themeColor="text1"/>
          <w:sz w:val="24"/>
          <w:szCs w:val="24"/>
        </w:rPr>
        <w:t>2</w:t>
      </w:r>
      <w:r w:rsidR="00532BB0" w:rsidRPr="007344EA">
        <w:rPr>
          <w:rFonts w:ascii="Times New Roman" w:hAnsi="Times New Roman" w:cs="Times New Roman"/>
          <w:color w:val="000000" w:themeColor="text1"/>
          <w:sz w:val="24"/>
          <w:szCs w:val="24"/>
        </w:rPr>
        <w:t>.</w:t>
      </w:r>
      <w:r w:rsidR="003F5D73" w:rsidRPr="007344EA">
        <w:rPr>
          <w:rFonts w:ascii="Times New Roman" w:hAnsi="Times New Roman" w:cs="Times New Roman"/>
          <w:color w:val="000000" w:themeColor="text1"/>
          <w:sz w:val="24"/>
          <w:szCs w:val="24"/>
        </w:rPr>
        <w:t xml:space="preserve"> Bylų</w:t>
      </w:r>
      <w:r w:rsidR="00B32FE1" w:rsidRPr="007344EA">
        <w:rPr>
          <w:rFonts w:ascii="Times New Roman" w:hAnsi="Times New Roman" w:cs="Times New Roman"/>
          <w:color w:val="000000" w:themeColor="text1"/>
          <w:sz w:val="24"/>
          <w:szCs w:val="24"/>
        </w:rPr>
        <w:t xml:space="preserve"> analizė valstybės narės įsipareigojim</w:t>
      </w:r>
      <w:r w:rsidR="0071583B">
        <w:rPr>
          <w:rFonts w:ascii="Times New Roman" w:hAnsi="Times New Roman" w:cs="Times New Roman"/>
          <w:color w:val="000000" w:themeColor="text1"/>
          <w:sz w:val="24"/>
          <w:szCs w:val="24"/>
        </w:rPr>
        <w:t>ų</w:t>
      </w:r>
      <w:r w:rsidR="00B32FE1" w:rsidRPr="007344EA">
        <w:rPr>
          <w:rFonts w:ascii="Times New Roman" w:hAnsi="Times New Roman" w:cs="Times New Roman"/>
          <w:color w:val="000000" w:themeColor="text1"/>
          <w:sz w:val="24"/>
          <w:szCs w:val="24"/>
        </w:rPr>
        <w:t xml:space="preserve"> nevykdymo procese</w:t>
      </w:r>
      <w:bookmarkEnd w:id="8"/>
    </w:p>
    <w:p w:rsidR="00ED1109" w:rsidRPr="007344EA" w:rsidRDefault="00ED1109" w:rsidP="006E00E1">
      <w:pPr>
        <w:pStyle w:val="Default"/>
        <w:spacing w:line="360" w:lineRule="auto"/>
        <w:jc w:val="both"/>
        <w:rPr>
          <w:b/>
        </w:rPr>
      </w:pPr>
    </w:p>
    <w:p w:rsidR="00D654F2" w:rsidRPr="007344EA" w:rsidRDefault="002246F8" w:rsidP="006E00E1">
      <w:pPr>
        <w:pStyle w:val="Default"/>
        <w:spacing w:line="360" w:lineRule="auto"/>
        <w:ind w:firstLine="1296"/>
        <w:jc w:val="both"/>
      </w:pPr>
      <w:r w:rsidRPr="007344EA">
        <w:t>Ieškinys dėl valstybės narės įsipare</w:t>
      </w:r>
      <w:r w:rsidR="00ED1109" w:rsidRPr="007344EA">
        <w:t>igojimų nevykdymo (SESV 258 straipsnis</w:t>
      </w:r>
      <w:r w:rsidRPr="007344EA">
        <w:t xml:space="preserve">)  suteikia galimybę Teisingumo Teismui kontroliuoti, ar valstybės narės vykdo įsipareigojimus pagal </w:t>
      </w:r>
      <w:r w:rsidR="00DC1F7B" w:rsidRPr="007344EA">
        <w:t>Sąjungos</w:t>
      </w:r>
      <w:r w:rsidRPr="007344EA">
        <w:t xml:space="preserve"> teisę</w:t>
      </w:r>
      <w:r w:rsidR="00DC1F7B" w:rsidRPr="007344EA">
        <w:t>.</w:t>
      </w:r>
      <w:r w:rsidR="00D9795F" w:rsidRPr="007344EA">
        <w:t xml:space="preserve"> Komisija manydama, kad valstybė narė </w:t>
      </w:r>
      <w:r w:rsidR="00C578A2" w:rsidRPr="007344EA">
        <w:t>neįvykdė tam tikros pareigos pagal Sutartis (praktikoje tai dažniausiai būna n</w:t>
      </w:r>
      <w:r w:rsidR="00ED1109" w:rsidRPr="007344EA">
        <w:t>eperkelt</w:t>
      </w:r>
      <w:r w:rsidR="00CC315E" w:rsidRPr="007344EA">
        <w:t>os</w:t>
      </w:r>
      <w:r w:rsidR="00ED1109" w:rsidRPr="007344EA">
        <w:t xml:space="preserve"> ar netinkamai perkeltos direktyvų nuostatos</w:t>
      </w:r>
      <w:r w:rsidR="00C578A2" w:rsidRPr="007344EA">
        <w:t xml:space="preserve">) </w:t>
      </w:r>
      <w:r w:rsidR="00D9795F" w:rsidRPr="007344EA">
        <w:t xml:space="preserve">„šiuo reikalu pareiškia savo pagrįstą nuomonę, pirma suteikusi atitinkamai valstybei narei </w:t>
      </w:r>
      <w:r w:rsidR="00D9795F" w:rsidRPr="007344EA">
        <w:lastRenderedPageBreak/>
        <w:t>galimybę išdėstyti savo pastabas. Jei atitinkama valstybė narė per Komisijos nustatytą laiką neatsižvelgia į tą nuomonę, Komisija gali perduoti šį reikalą svarstyti Teisingumo Teismui“</w:t>
      </w:r>
      <w:r w:rsidR="00C578A2" w:rsidRPr="007344EA">
        <w:rPr>
          <w:rStyle w:val="FootnoteReference"/>
        </w:rPr>
        <w:footnoteReference w:id="155"/>
      </w:r>
      <w:r w:rsidR="00C578A2" w:rsidRPr="007344EA">
        <w:t>.  Pripažinus valstyb</w:t>
      </w:r>
      <w:r w:rsidR="00CC315E" w:rsidRPr="007344EA">
        <w:t>ę</w:t>
      </w:r>
      <w:r w:rsidR="00C578A2" w:rsidRPr="007344EA">
        <w:t xml:space="preserve"> narę neįvykdžius tam tikros pareigos pagal sutartis, jai suteikiamas laikas Teisingumo teismo sprendimui įvykdyti. Komisija vėl gali kreiptis į Teisingumo Teismą jei mano, kad valstybė narė nesiėmė reikalingų priemonių Teisingumo Teismo sprendimui įvykdyti. Teismui pripažinus, kad valstybė narė neįvykdė jo sprendimo, skiriama vienkartinė arba periodinė bauda. </w:t>
      </w:r>
    </w:p>
    <w:p w:rsidR="008512AA" w:rsidRPr="007344EA" w:rsidRDefault="007639EF" w:rsidP="006E00E1">
      <w:pPr>
        <w:pStyle w:val="Default"/>
        <w:spacing w:line="360" w:lineRule="auto"/>
        <w:ind w:firstLine="1296"/>
        <w:jc w:val="both"/>
      </w:pPr>
      <w:r w:rsidRPr="007344EA">
        <w:t xml:space="preserve">Byloje </w:t>
      </w:r>
      <w:r w:rsidRPr="007344EA">
        <w:rPr>
          <w:i/>
        </w:rPr>
        <w:t>Komisija prieš Nyderlandus</w:t>
      </w:r>
      <w:r w:rsidRPr="007344EA">
        <w:t xml:space="preserve"> </w:t>
      </w:r>
      <w:r w:rsidRPr="007344EA">
        <w:rPr>
          <w:rStyle w:val="FootnoteReference"/>
        </w:rPr>
        <w:footnoteReference w:id="156"/>
      </w:r>
      <w:r w:rsidRPr="007344EA">
        <w:t xml:space="preserve"> </w:t>
      </w:r>
      <w:r w:rsidR="004A1376" w:rsidRPr="007344EA">
        <w:t>Komisija kaltino valstybę narę</w:t>
      </w:r>
      <w:r w:rsidRPr="007344EA">
        <w:t xml:space="preserve"> tuo, kad į nacionalinę teisę </w:t>
      </w:r>
      <w:r w:rsidR="00E44997" w:rsidRPr="007344EA">
        <w:t xml:space="preserve">netinkamai perkėlė </w:t>
      </w:r>
      <w:r w:rsidR="007059CC" w:rsidRPr="007344EA">
        <w:t>Direktyvos 93/13 4 straipsnio</w:t>
      </w:r>
      <w:r w:rsidRPr="007344EA">
        <w:t xml:space="preserve"> 2</w:t>
      </w:r>
      <w:r w:rsidR="007059CC" w:rsidRPr="007344EA">
        <w:t xml:space="preserve"> dalį ir 5 straipsnį.</w:t>
      </w:r>
      <w:r w:rsidR="00697188" w:rsidRPr="007344EA">
        <w:t xml:space="preserve"> </w:t>
      </w:r>
      <w:r w:rsidR="00E44997" w:rsidRPr="007344EA">
        <w:t>Direktyvos 4 str</w:t>
      </w:r>
      <w:r w:rsidR="007059CC" w:rsidRPr="007344EA">
        <w:t>aipsnio</w:t>
      </w:r>
      <w:r w:rsidR="00E44997" w:rsidRPr="007344EA">
        <w:t xml:space="preserve"> 2 d</w:t>
      </w:r>
      <w:r w:rsidR="007059CC" w:rsidRPr="007344EA">
        <w:t>alyje</w:t>
      </w:r>
      <w:r w:rsidR="00E44997" w:rsidRPr="007344EA">
        <w:t xml:space="preserve"> numatyta</w:t>
      </w:r>
      <w:r w:rsidR="004A1376" w:rsidRPr="007344EA">
        <w:t>, jog</w:t>
      </w:r>
      <w:r w:rsidR="009C3FB1" w:rsidRPr="007344EA">
        <w:t xml:space="preserve"> sąlygų sąžiningumo vertinimas nėra susijęs nei su pagrindinio sutarties dalyko apibrėžimu, nei su kainos ir atl</w:t>
      </w:r>
      <w:r w:rsidR="00E44997" w:rsidRPr="007344EA">
        <w:t xml:space="preserve">ygio </w:t>
      </w:r>
      <w:r w:rsidR="009C3FB1" w:rsidRPr="007344EA">
        <w:t>adekvatumu mainais suteiktoms paslaugoms ar prekėms, jei šios sąlygos pateikiam</w:t>
      </w:r>
      <w:r w:rsidR="00E44997" w:rsidRPr="007344EA">
        <w:t>os ai</w:t>
      </w:r>
      <w:r w:rsidR="007059CC" w:rsidRPr="007344EA">
        <w:t xml:space="preserve">škia ir suprantama kalba. 5 straipsnis − </w:t>
      </w:r>
      <w:r w:rsidR="00E44997" w:rsidRPr="007344EA">
        <w:t xml:space="preserve"> </w:t>
      </w:r>
      <w:r w:rsidR="009C3FB1" w:rsidRPr="007344EA">
        <w:t>sąlygos pateikiamos raštu visada turi būti išdėst</w:t>
      </w:r>
      <w:r w:rsidR="007D1B35" w:rsidRPr="007344EA">
        <w:t>ytos aiškia, suprantama kalba, a</w:t>
      </w:r>
      <w:r w:rsidR="009C3FB1" w:rsidRPr="007344EA">
        <w:t>tsiradus abejonių dėl sąlygos reikšmės jos interpretuojamos vartotojo na</w:t>
      </w:r>
      <w:r w:rsidR="00A374CE" w:rsidRPr="007344EA">
        <w:t>udai</w:t>
      </w:r>
      <w:r w:rsidR="007059CC" w:rsidRPr="007344EA">
        <w:t xml:space="preserve"> bei šios </w:t>
      </w:r>
      <w:r w:rsidR="007059CC" w:rsidRPr="007344EA">
        <w:rPr>
          <w:i/>
        </w:rPr>
        <w:t>contra proferentum</w:t>
      </w:r>
      <w:r w:rsidR="007059CC" w:rsidRPr="007344EA">
        <w:t xml:space="preserve"> taisyklės išimtis, kai yra pareiškiami </w:t>
      </w:r>
      <w:r w:rsidR="007059CC" w:rsidRPr="007344EA">
        <w:rPr>
          <w:i/>
        </w:rPr>
        <w:t>actio popularis</w:t>
      </w:r>
      <w:r w:rsidR="007059CC" w:rsidRPr="007344EA">
        <w:t xml:space="preserve"> ieškiniai.</w:t>
      </w:r>
      <w:r w:rsidR="00A374CE" w:rsidRPr="007344EA">
        <w:t xml:space="preserve"> </w:t>
      </w:r>
      <w:r w:rsidR="009C3FB1" w:rsidRPr="007344EA">
        <w:t>Taigi pirmasis kaltinamas y</w:t>
      </w:r>
      <w:r w:rsidR="00E44997" w:rsidRPr="007344EA">
        <w:t>ra susijęs su Direktyvos</w:t>
      </w:r>
      <w:r w:rsidR="00925B19" w:rsidRPr="007344EA">
        <w:t xml:space="preserve"> </w:t>
      </w:r>
      <w:r w:rsidR="00925B19" w:rsidRPr="007344EA">
        <w:rPr>
          <w:lang w:val="en-US"/>
        </w:rPr>
        <w:t>93/13</w:t>
      </w:r>
      <w:r w:rsidR="009C3FB1" w:rsidRPr="007344EA">
        <w:t xml:space="preserve"> </w:t>
      </w:r>
      <w:r w:rsidR="009C3FB1" w:rsidRPr="007344EA">
        <w:rPr>
          <w:i/>
        </w:rPr>
        <w:t>ratione materiale</w:t>
      </w:r>
      <w:r w:rsidR="009C3FB1" w:rsidRPr="007344EA">
        <w:t xml:space="preserve"> taikymo sritimi,</w:t>
      </w:r>
      <w:r w:rsidR="00A374CE" w:rsidRPr="007344EA">
        <w:t xml:space="preserve"> bei skaidrumo principu</w:t>
      </w:r>
      <w:r w:rsidR="00A374CE" w:rsidRPr="007344EA">
        <w:rPr>
          <w:rStyle w:val="FootnoteReference"/>
        </w:rPr>
        <w:footnoteReference w:id="157"/>
      </w:r>
      <w:r w:rsidR="00A374CE" w:rsidRPr="007344EA">
        <w:t>,</w:t>
      </w:r>
      <w:r w:rsidR="00E44997" w:rsidRPr="007344EA">
        <w:t xml:space="preserve"> </w:t>
      </w:r>
      <w:r w:rsidR="00A374CE" w:rsidRPr="007344EA">
        <w:t xml:space="preserve"> o antrasis išskirtinai su s</w:t>
      </w:r>
      <w:r w:rsidR="009C3FB1" w:rsidRPr="007344EA">
        <w:t>k</w:t>
      </w:r>
      <w:r w:rsidR="00A374CE" w:rsidRPr="007344EA">
        <w:t xml:space="preserve">aidrumo principo užtikrinimu.  </w:t>
      </w:r>
    </w:p>
    <w:p w:rsidR="001F7667" w:rsidRPr="007344EA" w:rsidRDefault="007738D3" w:rsidP="006E00E1">
      <w:pPr>
        <w:pStyle w:val="Default"/>
        <w:spacing w:line="360" w:lineRule="auto"/>
        <w:ind w:firstLine="1296"/>
        <w:jc w:val="both"/>
      </w:pPr>
      <w:r w:rsidRPr="007344EA">
        <w:t xml:space="preserve">Byloje </w:t>
      </w:r>
      <w:r w:rsidRPr="007344EA">
        <w:rPr>
          <w:i/>
        </w:rPr>
        <w:t>Komisija prieš Italiją</w:t>
      </w:r>
      <w:r w:rsidR="00FC0BD6" w:rsidRPr="007344EA">
        <w:rPr>
          <w:rStyle w:val="FootnoteReference"/>
          <w:i/>
        </w:rPr>
        <w:footnoteReference w:id="158"/>
      </w:r>
      <w:r w:rsidRPr="007344EA">
        <w:t xml:space="preserve"> </w:t>
      </w:r>
      <w:r w:rsidR="00483073" w:rsidRPr="007344EA">
        <w:t>Italija</w:t>
      </w:r>
      <w:r w:rsidRPr="007344EA">
        <w:t xml:space="preserve"> kaltinama </w:t>
      </w:r>
      <w:r w:rsidR="00483073" w:rsidRPr="007344EA">
        <w:t>neperkėlus</w:t>
      </w:r>
      <w:r w:rsidRPr="007344EA">
        <w:t xml:space="preserve"> į nacionali</w:t>
      </w:r>
      <w:r w:rsidR="00483073" w:rsidRPr="007344EA">
        <w:t xml:space="preserve">nę teisę </w:t>
      </w:r>
      <w:r w:rsidRPr="007344EA">
        <w:t>Direktyvos 93/13 7 str</w:t>
      </w:r>
      <w:r w:rsidR="007059CC" w:rsidRPr="007344EA">
        <w:t>aipsnio</w:t>
      </w:r>
      <w:r w:rsidRPr="007344EA">
        <w:t xml:space="preserve"> </w:t>
      </w:r>
      <w:r w:rsidR="007059CC" w:rsidRPr="007344EA">
        <w:t>3 dalies.</w:t>
      </w:r>
      <w:r w:rsidR="00DA1EC8" w:rsidRPr="007344EA">
        <w:t xml:space="preserve">  Šioje dalyje</w:t>
      </w:r>
      <w:r w:rsidR="00BE0683" w:rsidRPr="007344EA">
        <w:t>, skaitant kartu su visu 7 str</w:t>
      </w:r>
      <w:r w:rsidR="007059CC" w:rsidRPr="007344EA">
        <w:t>aipsniu</w:t>
      </w:r>
      <w:r w:rsidR="00BE0683" w:rsidRPr="007344EA">
        <w:t xml:space="preserve">, </w:t>
      </w:r>
      <w:r w:rsidR="007059CC" w:rsidRPr="007344EA">
        <w:t>numatyta, kad</w:t>
      </w:r>
      <w:r w:rsidR="00DA1EC8" w:rsidRPr="007344EA">
        <w:t xml:space="preserve"> asmenys arba organizacijos, pagal nacionalinės teisės aktus turinčios teisėtą interesą apsaugoti vartotojus, gali iškelti bylas teismuose arba administracinėse institucijose</w:t>
      </w:r>
      <w:r w:rsidR="00BE0683" w:rsidRPr="007344EA">
        <w:t>, dėl nesąžiningų sąlygų sutartyse su vartotojais naudojimo,</w:t>
      </w:r>
      <w:r w:rsidR="00DA1EC8" w:rsidRPr="007344EA">
        <w:t xml:space="preserve"> prieš kelis pa</w:t>
      </w:r>
      <w:r w:rsidR="00BE0683" w:rsidRPr="007344EA">
        <w:t>rdavėjus ar tiekėjus iš to paties</w:t>
      </w:r>
      <w:r w:rsidR="00DA1EC8" w:rsidRPr="007344EA">
        <w:t xml:space="preserve"> ekonominio sektoriaus arba prieš jų asociacija</w:t>
      </w:r>
      <w:r w:rsidR="00BE0683" w:rsidRPr="007344EA">
        <w:t>s</w:t>
      </w:r>
      <w:r w:rsidR="00DA1EC8" w:rsidRPr="007344EA">
        <w:t xml:space="preserve">, kurios naudoja arba </w:t>
      </w:r>
      <w:r w:rsidR="00DA1EC8" w:rsidRPr="007344EA">
        <w:rPr>
          <w:i/>
        </w:rPr>
        <w:t>rekomenduoja</w:t>
      </w:r>
      <w:r w:rsidR="00DA1EC8" w:rsidRPr="007344EA">
        <w:t xml:space="preserve"> naudoti tas pačias bendrąsias sąlygas</w:t>
      </w:r>
      <w:r w:rsidR="00BE0683" w:rsidRPr="007344EA">
        <w:t>. Italijos teisės aktuose buvo numatyta galimybė pradėti teisminį nagrinėjimą, tik tuo atveju, kai galimai nesąžiningos sąlygos yra naudojamos</w:t>
      </w:r>
      <w:r w:rsidR="001F7667" w:rsidRPr="007344EA">
        <w:t xml:space="preserve"> praktikoje. </w:t>
      </w:r>
    </w:p>
    <w:p w:rsidR="00B73D76" w:rsidRPr="007344EA" w:rsidRDefault="00BE0683" w:rsidP="006E00E1">
      <w:pPr>
        <w:pStyle w:val="Default"/>
        <w:spacing w:line="360" w:lineRule="auto"/>
        <w:ind w:firstLine="1296"/>
        <w:jc w:val="both"/>
      </w:pPr>
      <w:r w:rsidRPr="007344EA">
        <w:t xml:space="preserve">Byloje </w:t>
      </w:r>
      <w:r w:rsidR="00AB54AF" w:rsidRPr="007344EA">
        <w:rPr>
          <w:i/>
        </w:rPr>
        <w:t>Komisija prieš Švediją</w:t>
      </w:r>
      <w:r w:rsidR="00B73D76" w:rsidRPr="007344EA">
        <w:rPr>
          <w:rStyle w:val="FootnoteReference"/>
          <w:i/>
        </w:rPr>
        <w:footnoteReference w:id="159"/>
      </w:r>
      <w:r w:rsidR="00AB54AF" w:rsidRPr="007344EA">
        <w:t xml:space="preserve"> valstybė narė kaltinama tuo, kad </w:t>
      </w:r>
      <w:r w:rsidR="00B73D76" w:rsidRPr="007344EA">
        <w:t>tinkamai į nacionalinę teisę neperkėlė pavyzd</w:t>
      </w:r>
      <w:r w:rsidR="001F7667" w:rsidRPr="007344EA">
        <w:t>inio nesąžiningų sąlygų sąrašo, esančio Direktyvos</w:t>
      </w:r>
      <w:r w:rsidR="00AC0527" w:rsidRPr="007344EA">
        <w:t xml:space="preserve"> 93/13</w:t>
      </w:r>
      <w:r w:rsidR="001F7667" w:rsidRPr="007344EA">
        <w:t xml:space="preserve"> priede.</w:t>
      </w:r>
      <w:r w:rsidR="0054675C" w:rsidRPr="007344EA">
        <w:t xml:space="preserve"> Švediją šioje byloje taip pat palaikė Danija ir Suomija.</w:t>
      </w:r>
      <w:r w:rsidR="001F7667" w:rsidRPr="007344EA">
        <w:t xml:space="preserve"> </w:t>
      </w:r>
      <w:r w:rsidR="00AC0527" w:rsidRPr="007344EA">
        <w:t xml:space="preserve"> Švedija Direktyvos</w:t>
      </w:r>
      <w:r w:rsidR="00B45663" w:rsidRPr="007344EA">
        <w:t xml:space="preserve"> 93/13</w:t>
      </w:r>
      <w:r w:rsidR="00AC0527" w:rsidRPr="007344EA">
        <w:t xml:space="preserve"> nuostatas perkėlė į du nacionalinius įstatymus: „Sutarčių sąlygų, susijusių su vartotojais įstatymą“ bei į „Sandorių dėl nuosavybės teisės įstatymą“. Nei į vieną iš minėtų įstatymų nebuvo </w:t>
      </w:r>
      <w:r w:rsidR="00AC0527" w:rsidRPr="007344EA">
        <w:lastRenderedPageBreak/>
        <w:t>perkel</w:t>
      </w:r>
      <w:r w:rsidR="007346B9" w:rsidRPr="007344EA">
        <w:t>tas Direktyvos</w:t>
      </w:r>
      <w:r w:rsidR="00B45663" w:rsidRPr="007344EA">
        <w:t xml:space="preserve"> 93/13</w:t>
      </w:r>
      <w:r w:rsidR="007346B9" w:rsidRPr="007344EA">
        <w:t xml:space="preserve"> priede esantis pavyzdinis nesąžiningų sąlygų sąrašas. Šis sąrašas</w:t>
      </w:r>
      <w:r w:rsidR="00824547" w:rsidRPr="007344EA">
        <w:t xml:space="preserve"> yra</w:t>
      </w:r>
      <w:r w:rsidR="007346B9" w:rsidRPr="007344EA">
        <w:t xml:space="preserve"> minimas tik įstatymo dėl sutarčių sąlygų, susijusių  su vartotojais,  projekto komentare.  </w:t>
      </w:r>
    </w:p>
    <w:p w:rsidR="008D44D8" w:rsidRPr="007344EA" w:rsidRDefault="00B73D76" w:rsidP="006E00E1">
      <w:pPr>
        <w:pStyle w:val="Default"/>
        <w:spacing w:line="360" w:lineRule="auto"/>
        <w:ind w:firstLine="1296"/>
        <w:jc w:val="both"/>
      </w:pPr>
      <w:r w:rsidRPr="007344EA">
        <w:t xml:space="preserve">Byloje </w:t>
      </w:r>
      <w:r w:rsidRPr="007344EA">
        <w:rPr>
          <w:i/>
        </w:rPr>
        <w:t>Komisija prieš Ispaniją</w:t>
      </w:r>
      <w:r w:rsidRPr="007344EA">
        <w:t xml:space="preserve"> </w:t>
      </w:r>
      <w:r w:rsidR="00D22410" w:rsidRPr="007344EA">
        <w:rPr>
          <w:rStyle w:val="FootnoteReference"/>
        </w:rPr>
        <w:footnoteReference w:id="160"/>
      </w:r>
      <w:r w:rsidR="00B45663" w:rsidRPr="007344EA">
        <w:t xml:space="preserve"> </w:t>
      </w:r>
      <w:r w:rsidRPr="007344EA">
        <w:t>valstybė</w:t>
      </w:r>
      <w:r w:rsidR="00CC315E" w:rsidRPr="007344EA">
        <w:t>s</w:t>
      </w:r>
      <w:r w:rsidRPr="007344EA">
        <w:t xml:space="preserve"> narė</w:t>
      </w:r>
      <w:r w:rsidR="00D22410" w:rsidRPr="007344EA">
        <w:t>s kaltinimas yra susijęs su dviem aspektais. Pirmasis yra dėl to, kad Ispanijos Karalystė netinkamai perkėlė į savo teisę direktyvos 5 straipsnio trečiajame sakinyje nustatytą aiškinimo taisyklę. Antrasis – dėl direktyvos 6 straipsnio 2 dalies, susijusios su taikytina teise, netinkamu perkėlimu.</w:t>
      </w:r>
      <w:r w:rsidR="00D22410" w:rsidRPr="007344EA">
        <w:rPr>
          <w:rStyle w:val="FootnoteReference"/>
        </w:rPr>
        <w:footnoteReference w:id="161"/>
      </w:r>
      <w:r w:rsidR="00C64A62" w:rsidRPr="007344EA">
        <w:t xml:space="preserve"> 5 str</w:t>
      </w:r>
      <w:r w:rsidR="00B45663" w:rsidRPr="007344EA">
        <w:t>aipsnyje</w:t>
      </w:r>
      <w:r w:rsidR="00C64A62" w:rsidRPr="007344EA">
        <w:t xml:space="preserve"> trečiame sakinyje numatyta ta</w:t>
      </w:r>
      <w:r w:rsidR="00B45663" w:rsidRPr="007344EA">
        <w:t>isyklė, skaitoma kartu su 7 straipsnio 2 dalimi</w:t>
      </w:r>
      <w:r w:rsidR="00C64A62" w:rsidRPr="007344EA">
        <w:t xml:space="preserve"> teigia, kad </w:t>
      </w:r>
      <w:r w:rsidR="00824547" w:rsidRPr="007344EA">
        <w:t xml:space="preserve">tuo atveju, </w:t>
      </w:r>
      <w:r w:rsidR="00C64A62" w:rsidRPr="007344EA">
        <w:t>kai asmenys ar organizacijos, p</w:t>
      </w:r>
      <w:r w:rsidR="006E408F" w:rsidRPr="007344EA">
        <w:t xml:space="preserve">agal nacionalinės teisės aktus, </w:t>
      </w:r>
      <w:r w:rsidR="00C64A62" w:rsidRPr="007344EA">
        <w:t xml:space="preserve">turinčios </w:t>
      </w:r>
      <w:r w:rsidR="006E408F" w:rsidRPr="007344EA">
        <w:t>teisėtą interesą apsaugoti vartotojus, iškelia bylas teismuose ar administracinėse institucijose, dėl gal</w:t>
      </w:r>
      <w:r w:rsidR="00816E31" w:rsidRPr="007344EA">
        <w:t xml:space="preserve">imai sutartyse esančių </w:t>
      </w:r>
      <w:r w:rsidR="00CC315E" w:rsidRPr="007344EA">
        <w:t xml:space="preserve">nesąžiningų </w:t>
      </w:r>
      <w:r w:rsidR="00816E31" w:rsidRPr="007344EA">
        <w:t xml:space="preserve">sąlygų, </w:t>
      </w:r>
      <w:r w:rsidR="00A526C3" w:rsidRPr="007344EA">
        <w:rPr>
          <w:i/>
        </w:rPr>
        <w:t>contra proferente</w:t>
      </w:r>
      <w:r w:rsidR="00816E31" w:rsidRPr="007344EA">
        <w:rPr>
          <w:i/>
        </w:rPr>
        <w:t>m</w:t>
      </w:r>
      <w:r w:rsidR="00816E31" w:rsidRPr="007344EA">
        <w:t xml:space="preserve"> </w:t>
      </w:r>
      <w:r w:rsidR="0072160E" w:rsidRPr="007344EA">
        <w:t xml:space="preserve">sutarties aiškinimo </w:t>
      </w:r>
      <w:r w:rsidR="00017480" w:rsidRPr="007344EA">
        <w:t>taisyklė ne</w:t>
      </w:r>
      <w:r w:rsidR="0072160E" w:rsidRPr="007344EA">
        <w:t>taikoma. Tuo tarpu</w:t>
      </w:r>
      <w:r w:rsidR="00B45663" w:rsidRPr="007344EA">
        <w:t xml:space="preserve"> 6 straipsnio 2 dalis</w:t>
      </w:r>
      <w:r w:rsidR="006E408F" w:rsidRPr="007344EA">
        <w:t xml:space="preserve"> įpareigoja valstybes nares imtis r</w:t>
      </w:r>
      <w:r w:rsidR="00824547" w:rsidRPr="007344EA">
        <w:t>eikiamų priemonių, kad vartotoj</w:t>
      </w:r>
      <w:r w:rsidR="006E408F" w:rsidRPr="007344EA">
        <w:t>as neprarastų Direktyva</w:t>
      </w:r>
      <w:r w:rsidR="00B45663" w:rsidRPr="007344EA">
        <w:t xml:space="preserve"> 93/13</w:t>
      </w:r>
      <w:r w:rsidR="006E408F" w:rsidRPr="007344EA">
        <w:t xml:space="preserve"> jam suteikiamos</w:t>
      </w:r>
      <w:r w:rsidR="00CC315E" w:rsidRPr="007344EA">
        <w:t xml:space="preserve"> apsaugos, kai sutarčiai taikytina teise pasirenkama</w:t>
      </w:r>
      <w:r w:rsidR="006E408F" w:rsidRPr="007344EA">
        <w:t xml:space="preserve"> ES nepriklausančios va</w:t>
      </w:r>
      <w:r w:rsidR="00824547" w:rsidRPr="007344EA">
        <w:t>lstybės teis</w:t>
      </w:r>
      <w:r w:rsidR="00CC315E" w:rsidRPr="007344EA">
        <w:t>ė</w:t>
      </w:r>
      <w:r w:rsidR="00824547" w:rsidRPr="007344EA">
        <w:t>. Komisija Ispanijos Karalystę kaltina tuo, kad nacionalinės teisės aktų leidėjas nepatikslino, jog vartotojui palankaus aiškinimo taisyklė nėra taikoma direktyvos 7 straipsnio 2 dalyje nurodytiems grupiniams ieškiniams dėl nutraukimo. Šis nenurodymas gali pakenkti tų ieškinių veiksmingumui, nes pardavėjas ar tiekėjas, remdamasis vartotojui palankesnio aiškinimo taisykle, galėtų pasiekti, jog neaiški sąlyga, kuri gali būti aiškinama kaip nesąžininga, nebūtų uždrausta.</w:t>
      </w:r>
      <w:r w:rsidR="00824547" w:rsidRPr="007344EA">
        <w:rPr>
          <w:rStyle w:val="FootnoteReference"/>
        </w:rPr>
        <w:footnoteReference w:id="162"/>
      </w:r>
    </w:p>
    <w:p w:rsidR="008D44D8" w:rsidRPr="007344EA" w:rsidRDefault="008512AA" w:rsidP="006E00E1">
      <w:pPr>
        <w:pStyle w:val="Default"/>
        <w:spacing w:line="360" w:lineRule="auto"/>
        <w:ind w:firstLine="1296"/>
        <w:jc w:val="both"/>
      </w:pPr>
      <w:r w:rsidRPr="007344EA">
        <w:t>Iš pateiktų bylų</w:t>
      </w:r>
      <w:r w:rsidR="00377CDC" w:rsidRPr="007344EA">
        <w:t>,</w:t>
      </w:r>
      <w:r w:rsidR="00DA0BA6" w:rsidRPr="007344EA">
        <w:t xml:space="preserve"> </w:t>
      </w:r>
      <w:r w:rsidRPr="007344EA">
        <w:t>dėl valstybės narės įsipareigojimų nevykdymo</w:t>
      </w:r>
      <w:r w:rsidR="00377CDC" w:rsidRPr="007344EA">
        <w:t>,</w:t>
      </w:r>
      <w:r w:rsidRPr="007344EA">
        <w:t xml:space="preserve"> matyti, kad yra susiduriama su problemomis perkeliant Direk</w:t>
      </w:r>
      <w:r w:rsidR="00B45663" w:rsidRPr="007344EA">
        <w:t>tyvos 5 straipsnį</w:t>
      </w:r>
      <w:r w:rsidRPr="007344EA">
        <w:t xml:space="preserve">, kuriame esančios nuostatos reguliuoja skaidrumo principo taikymą. Taip pat </w:t>
      </w:r>
      <w:r w:rsidR="00377CDC" w:rsidRPr="007344EA">
        <w:t xml:space="preserve">perkeliant </w:t>
      </w:r>
      <w:r w:rsidR="00B45663" w:rsidRPr="007344EA">
        <w:t>4 straipsnio</w:t>
      </w:r>
      <w:r w:rsidRPr="007344EA">
        <w:t xml:space="preserve"> 2 d</w:t>
      </w:r>
      <w:r w:rsidR="00B45663" w:rsidRPr="007344EA">
        <w:t>alyje</w:t>
      </w:r>
      <w:r w:rsidRPr="007344EA">
        <w:t xml:space="preserve"> įtvirtintą Direktyvos</w:t>
      </w:r>
      <w:r w:rsidR="00B45663" w:rsidRPr="007344EA">
        <w:t xml:space="preserve"> 93/13</w:t>
      </w:r>
      <w:r w:rsidRPr="007344EA">
        <w:t xml:space="preserve"> taikymo išimtį </w:t>
      </w:r>
      <w:r w:rsidRPr="007344EA">
        <w:rPr>
          <w:i/>
        </w:rPr>
        <w:t>ratione materiae</w:t>
      </w:r>
      <w:r w:rsidRPr="007344EA">
        <w:t xml:space="preserve"> aspektu. </w:t>
      </w:r>
      <w:r w:rsidR="00377CDC" w:rsidRPr="007344EA">
        <w:t>Išskirtinis Švedijos atvejis, kai valstybė narė buvo kaltinama neperkėlusi Direktyvos</w:t>
      </w:r>
      <w:r w:rsidR="000F384B" w:rsidRPr="007344EA">
        <w:t xml:space="preserve"> </w:t>
      </w:r>
      <w:r w:rsidR="000F384B" w:rsidRPr="007344EA">
        <w:rPr>
          <w:lang w:val="en-US"/>
        </w:rPr>
        <w:t>93/13</w:t>
      </w:r>
      <w:r w:rsidR="00377CDC" w:rsidRPr="007344EA">
        <w:t xml:space="preserve"> priede esančio pavyzdinio nesąžiningų sąlygų sąrašo. </w:t>
      </w:r>
    </w:p>
    <w:p w:rsidR="006306F5" w:rsidRPr="007344EA" w:rsidRDefault="006306F5" w:rsidP="006E00E1">
      <w:pPr>
        <w:spacing w:after="0" w:line="360" w:lineRule="auto"/>
        <w:ind w:firstLine="1296"/>
        <w:jc w:val="both"/>
        <w:rPr>
          <w:rFonts w:ascii="Times New Roman" w:hAnsi="Times New Roman" w:cs="Times New Roman"/>
          <w:sz w:val="24"/>
          <w:szCs w:val="24"/>
        </w:rPr>
      </w:pPr>
    </w:p>
    <w:p w:rsidR="00925B19" w:rsidRPr="007344EA" w:rsidRDefault="00925B19" w:rsidP="006E00E1">
      <w:pPr>
        <w:spacing w:after="0" w:line="360" w:lineRule="auto"/>
        <w:ind w:firstLine="1296"/>
        <w:jc w:val="both"/>
        <w:rPr>
          <w:rFonts w:ascii="Times New Roman" w:hAnsi="Times New Roman" w:cs="Times New Roman"/>
          <w:sz w:val="24"/>
          <w:szCs w:val="24"/>
        </w:rPr>
      </w:pPr>
    </w:p>
    <w:p w:rsidR="00B50AEA" w:rsidRPr="007344EA" w:rsidRDefault="00B50AEA" w:rsidP="006E00E1">
      <w:pPr>
        <w:spacing w:after="0" w:line="360" w:lineRule="auto"/>
        <w:ind w:firstLine="1296"/>
        <w:jc w:val="both"/>
        <w:rPr>
          <w:rFonts w:ascii="Times New Roman" w:hAnsi="Times New Roman" w:cs="Times New Roman"/>
          <w:sz w:val="24"/>
          <w:szCs w:val="24"/>
        </w:rPr>
      </w:pPr>
    </w:p>
    <w:p w:rsidR="00B50AEA" w:rsidRPr="007344EA" w:rsidRDefault="00B50AEA" w:rsidP="006E00E1">
      <w:pPr>
        <w:spacing w:after="0" w:line="360" w:lineRule="auto"/>
        <w:ind w:firstLine="1296"/>
        <w:jc w:val="both"/>
        <w:rPr>
          <w:rFonts w:ascii="Times New Roman" w:hAnsi="Times New Roman" w:cs="Times New Roman"/>
          <w:sz w:val="24"/>
          <w:szCs w:val="24"/>
        </w:rPr>
      </w:pPr>
    </w:p>
    <w:p w:rsidR="00B50AEA" w:rsidRPr="007344EA" w:rsidRDefault="00B50AEA" w:rsidP="006E00E1">
      <w:pPr>
        <w:spacing w:after="0" w:line="360" w:lineRule="auto"/>
        <w:ind w:firstLine="1296"/>
        <w:jc w:val="both"/>
        <w:rPr>
          <w:rFonts w:ascii="Times New Roman" w:hAnsi="Times New Roman" w:cs="Times New Roman"/>
          <w:sz w:val="24"/>
          <w:szCs w:val="24"/>
        </w:rPr>
      </w:pPr>
    </w:p>
    <w:p w:rsidR="006306F5" w:rsidRPr="007344EA" w:rsidRDefault="00DF6FD4" w:rsidP="004A3A9A">
      <w:pPr>
        <w:pStyle w:val="Heading1"/>
        <w:ind w:left="1296" w:firstLine="1296"/>
        <w:jc w:val="center"/>
        <w:rPr>
          <w:rFonts w:ascii="Times New Roman" w:hAnsi="Times New Roman" w:cs="Times New Roman"/>
          <w:color w:val="000000" w:themeColor="text1"/>
          <w:sz w:val="24"/>
          <w:szCs w:val="24"/>
        </w:rPr>
      </w:pPr>
      <w:bookmarkStart w:id="9" w:name="_Toc344337159"/>
      <w:r w:rsidRPr="007344EA">
        <w:rPr>
          <w:rFonts w:ascii="Times New Roman" w:hAnsi="Times New Roman" w:cs="Times New Roman"/>
          <w:color w:val="000000" w:themeColor="text1"/>
          <w:sz w:val="24"/>
          <w:szCs w:val="24"/>
        </w:rPr>
        <w:lastRenderedPageBreak/>
        <w:t xml:space="preserve">3. </w:t>
      </w:r>
      <w:r w:rsidR="006306F5" w:rsidRPr="007344EA">
        <w:rPr>
          <w:rFonts w:ascii="Times New Roman" w:hAnsi="Times New Roman" w:cs="Times New Roman"/>
          <w:color w:val="000000" w:themeColor="text1"/>
          <w:sz w:val="24"/>
          <w:szCs w:val="24"/>
        </w:rPr>
        <w:t>TEISINGUMO TEISMO JURISPRUDENCIJOJE ATSKLEISTI TEISIŠKAI REIKŠMINGI DIREKTYVOS 93/13 AIŠKINIMO ASPEKTAI</w:t>
      </w:r>
      <w:bookmarkEnd w:id="9"/>
    </w:p>
    <w:p w:rsidR="006306F5" w:rsidRPr="007344EA" w:rsidRDefault="00DF6FD4" w:rsidP="000F6662">
      <w:pPr>
        <w:pStyle w:val="Heading2"/>
        <w:rPr>
          <w:rFonts w:ascii="Times New Roman" w:hAnsi="Times New Roman" w:cs="Times New Roman"/>
          <w:color w:val="000000" w:themeColor="text1"/>
          <w:sz w:val="24"/>
          <w:szCs w:val="24"/>
        </w:rPr>
      </w:pPr>
      <w:bookmarkStart w:id="10" w:name="_Toc344337160"/>
      <w:r w:rsidRPr="007344EA">
        <w:rPr>
          <w:rFonts w:ascii="Times New Roman" w:hAnsi="Times New Roman" w:cs="Times New Roman"/>
          <w:color w:val="000000" w:themeColor="text1"/>
          <w:sz w:val="24"/>
          <w:szCs w:val="24"/>
        </w:rPr>
        <w:t>3</w:t>
      </w:r>
      <w:r w:rsidR="006306F5" w:rsidRPr="007344EA">
        <w:rPr>
          <w:rFonts w:ascii="Times New Roman" w:hAnsi="Times New Roman" w:cs="Times New Roman"/>
          <w:color w:val="000000" w:themeColor="text1"/>
          <w:sz w:val="24"/>
          <w:szCs w:val="24"/>
        </w:rPr>
        <w:t>.1. ES teisinio reguliavimo tikslai</w:t>
      </w:r>
      <w:bookmarkEnd w:id="10"/>
    </w:p>
    <w:p w:rsidR="00B50AEA" w:rsidRPr="007344EA" w:rsidRDefault="00B50AEA" w:rsidP="006E00E1">
      <w:pPr>
        <w:spacing w:after="0" w:line="360" w:lineRule="auto"/>
        <w:ind w:firstLine="1296"/>
        <w:jc w:val="both"/>
        <w:rPr>
          <w:rFonts w:ascii="Times New Roman" w:hAnsi="Times New Roman" w:cs="Times New Roman"/>
          <w:sz w:val="24"/>
          <w:szCs w:val="24"/>
        </w:rPr>
      </w:pPr>
    </w:p>
    <w:p w:rsidR="006306F5" w:rsidRPr="007344EA" w:rsidRDefault="006306F5"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 xml:space="preserve">Kaip jau buvo minėta šio magistro baigiamojo darbo įvade, </w:t>
      </w:r>
      <w:r w:rsidR="00221D46" w:rsidRPr="007344EA">
        <w:rPr>
          <w:rFonts w:ascii="Times New Roman" w:hAnsi="Times New Roman" w:cs="Times New Roman"/>
          <w:sz w:val="24"/>
          <w:szCs w:val="24"/>
        </w:rPr>
        <w:t>išskiriami trys</w:t>
      </w:r>
      <w:r w:rsidRPr="007344EA">
        <w:rPr>
          <w:rFonts w:ascii="Times New Roman" w:hAnsi="Times New Roman" w:cs="Times New Roman"/>
          <w:sz w:val="24"/>
          <w:szCs w:val="24"/>
        </w:rPr>
        <w:t xml:space="preserve"> savarank</w:t>
      </w:r>
      <w:r w:rsidR="00221D46" w:rsidRPr="007344EA">
        <w:rPr>
          <w:rFonts w:ascii="Times New Roman" w:hAnsi="Times New Roman" w:cs="Times New Roman"/>
          <w:sz w:val="24"/>
          <w:szCs w:val="24"/>
        </w:rPr>
        <w:t>iški</w:t>
      </w:r>
      <w:r w:rsidR="00E75119" w:rsidRPr="007344EA">
        <w:rPr>
          <w:rFonts w:ascii="Times New Roman" w:hAnsi="Times New Roman" w:cs="Times New Roman"/>
          <w:sz w:val="24"/>
          <w:szCs w:val="24"/>
        </w:rPr>
        <w:t xml:space="preserve"> Direktyvos 93/13</w:t>
      </w:r>
      <w:r w:rsidR="00091021" w:rsidRPr="007344EA">
        <w:rPr>
          <w:rFonts w:ascii="Times New Roman" w:hAnsi="Times New Roman" w:cs="Times New Roman"/>
          <w:sz w:val="24"/>
          <w:szCs w:val="24"/>
        </w:rPr>
        <w:t xml:space="preserve"> </w:t>
      </w:r>
      <w:r w:rsidR="00E75119" w:rsidRPr="007344EA">
        <w:rPr>
          <w:rFonts w:ascii="Times New Roman" w:hAnsi="Times New Roman" w:cs="Times New Roman"/>
          <w:sz w:val="24"/>
          <w:szCs w:val="24"/>
        </w:rPr>
        <w:t>tikslai</w:t>
      </w:r>
      <w:r w:rsidRPr="007344EA">
        <w:rPr>
          <w:rFonts w:ascii="Times New Roman" w:hAnsi="Times New Roman" w:cs="Times New Roman"/>
          <w:sz w:val="24"/>
          <w:szCs w:val="24"/>
        </w:rPr>
        <w:t xml:space="preserve">: vidaus rinkos sukūrimas, vartotojo apsauga ir verslininko apsauga. </w:t>
      </w:r>
      <w:r w:rsidR="00853F0F" w:rsidRPr="007344EA">
        <w:rPr>
          <w:rFonts w:ascii="Times New Roman" w:hAnsi="Times New Roman" w:cs="Times New Roman"/>
          <w:sz w:val="24"/>
          <w:szCs w:val="24"/>
        </w:rPr>
        <w:t>Ir nors</w:t>
      </w:r>
      <w:r w:rsidRPr="007344EA">
        <w:rPr>
          <w:rFonts w:ascii="Times New Roman" w:hAnsi="Times New Roman" w:cs="Times New Roman"/>
          <w:sz w:val="24"/>
          <w:szCs w:val="24"/>
        </w:rPr>
        <w:t xml:space="preserve"> Direktyvos </w:t>
      </w:r>
      <w:r w:rsidR="00E75119" w:rsidRPr="007344EA">
        <w:rPr>
          <w:rFonts w:ascii="Times New Roman" w:hAnsi="Times New Roman" w:cs="Times New Roman"/>
          <w:sz w:val="24"/>
          <w:szCs w:val="24"/>
        </w:rPr>
        <w:t>93/13 tekste (lietuvių kalbinė redakcija)</w:t>
      </w:r>
      <w:r w:rsidRPr="007344EA">
        <w:rPr>
          <w:rFonts w:ascii="Times New Roman" w:hAnsi="Times New Roman" w:cs="Times New Roman"/>
          <w:sz w:val="24"/>
          <w:szCs w:val="24"/>
        </w:rPr>
        <w:t xml:space="preserve"> nėra </w:t>
      </w:r>
      <w:r w:rsidRPr="007344EA">
        <w:rPr>
          <w:rFonts w:ascii="Times New Roman" w:hAnsi="Times New Roman" w:cs="Times New Roman"/>
          <w:i/>
          <w:sz w:val="24"/>
          <w:szCs w:val="24"/>
        </w:rPr>
        <w:t>expressis verbis</w:t>
      </w:r>
      <w:r w:rsidRPr="007344EA">
        <w:rPr>
          <w:rFonts w:ascii="Times New Roman" w:hAnsi="Times New Roman" w:cs="Times New Roman"/>
          <w:sz w:val="24"/>
          <w:szCs w:val="24"/>
        </w:rPr>
        <w:t xml:space="preserve"> įvardinti </w:t>
      </w:r>
      <w:r w:rsidR="00853F0F" w:rsidRPr="007344EA">
        <w:rPr>
          <w:rFonts w:ascii="Times New Roman" w:hAnsi="Times New Roman" w:cs="Times New Roman"/>
          <w:sz w:val="24"/>
          <w:szCs w:val="24"/>
        </w:rPr>
        <w:t>teisinio reguliavimo</w:t>
      </w:r>
      <w:r w:rsidRPr="007344EA">
        <w:rPr>
          <w:rFonts w:ascii="Times New Roman" w:hAnsi="Times New Roman" w:cs="Times New Roman"/>
          <w:sz w:val="24"/>
          <w:szCs w:val="24"/>
        </w:rPr>
        <w:t xml:space="preserve"> tikslai, tačiau juos galima išvesti tiek iš pačios Direktyvos 93/13 teksto, tiek iš Teisingumo Teismo praktikos. Palyginus Direktyvos 93/13 kalbines </w:t>
      </w:r>
      <w:r w:rsidR="00D758BC" w:rsidRPr="007344EA">
        <w:rPr>
          <w:rFonts w:ascii="Times New Roman" w:hAnsi="Times New Roman" w:cs="Times New Roman"/>
          <w:sz w:val="24"/>
          <w:szCs w:val="24"/>
        </w:rPr>
        <w:t>redakcijas</w:t>
      </w:r>
      <w:r w:rsidRPr="007344EA">
        <w:rPr>
          <w:rFonts w:ascii="Times New Roman" w:hAnsi="Times New Roman" w:cs="Times New Roman"/>
          <w:sz w:val="24"/>
          <w:szCs w:val="24"/>
        </w:rPr>
        <w:t xml:space="preserve"> įvairiomis kalbomis</w:t>
      </w:r>
      <w:r w:rsidR="008B5B44" w:rsidRPr="007344EA">
        <w:rPr>
          <w:rFonts w:ascii="Times New Roman" w:hAnsi="Times New Roman" w:cs="Times New Roman"/>
          <w:sz w:val="24"/>
          <w:szCs w:val="24"/>
        </w:rPr>
        <w:t xml:space="preserve"> </w:t>
      </w:r>
      <w:r w:rsidR="00AA7F2F" w:rsidRPr="007344EA">
        <w:rPr>
          <w:rFonts w:ascii="Times New Roman" w:hAnsi="Times New Roman" w:cs="Times New Roman"/>
          <w:sz w:val="24"/>
          <w:szCs w:val="24"/>
        </w:rPr>
        <w:t>darytina išvada</w:t>
      </w:r>
      <w:r w:rsidRPr="007344EA">
        <w:rPr>
          <w:rFonts w:ascii="Times New Roman" w:hAnsi="Times New Roman" w:cs="Times New Roman"/>
          <w:sz w:val="24"/>
          <w:szCs w:val="24"/>
        </w:rPr>
        <w:t xml:space="preserve">, kad </w:t>
      </w:r>
      <w:r w:rsidR="00615ADB" w:rsidRPr="007344EA">
        <w:rPr>
          <w:rFonts w:ascii="Times New Roman" w:hAnsi="Times New Roman" w:cs="Times New Roman"/>
          <w:sz w:val="24"/>
          <w:szCs w:val="24"/>
        </w:rPr>
        <w:t>lietuvių kalbinėje redakcijoje</w:t>
      </w:r>
      <w:r w:rsidRPr="007344EA">
        <w:rPr>
          <w:rFonts w:ascii="Times New Roman" w:hAnsi="Times New Roman" w:cs="Times New Roman"/>
          <w:sz w:val="24"/>
          <w:szCs w:val="24"/>
        </w:rPr>
        <w:t xml:space="preserve"> įtvirtintas terminas „siekis“ yra tapatus teisės doktrinoje ir praktikoje dažniau vartojamam terminui „tikslas“, todėl siekiant terminų vienareikšmiškumo vartosime teisės moksle labiau paplitusią sąvoką</w:t>
      </w:r>
      <w:r w:rsidR="00224D1C"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 </w:t>
      </w:r>
      <w:r w:rsidR="00615ADB" w:rsidRPr="007344EA">
        <w:rPr>
          <w:rFonts w:ascii="Times New Roman" w:hAnsi="Times New Roman" w:cs="Times New Roman"/>
          <w:sz w:val="24"/>
          <w:szCs w:val="24"/>
        </w:rPr>
        <w:t>„</w:t>
      </w:r>
      <w:r w:rsidRPr="007344EA">
        <w:rPr>
          <w:rFonts w:ascii="Times New Roman" w:hAnsi="Times New Roman" w:cs="Times New Roman"/>
          <w:sz w:val="24"/>
          <w:szCs w:val="24"/>
        </w:rPr>
        <w:t>tikslas</w:t>
      </w:r>
      <w:r w:rsidR="00615ADB" w:rsidRPr="007344EA">
        <w:rPr>
          <w:rFonts w:ascii="Times New Roman" w:hAnsi="Times New Roman" w:cs="Times New Roman"/>
          <w:sz w:val="24"/>
          <w:szCs w:val="24"/>
        </w:rPr>
        <w:t>“</w:t>
      </w:r>
      <w:r w:rsidRPr="007344EA">
        <w:rPr>
          <w:rFonts w:ascii="Times New Roman" w:hAnsi="Times New Roman" w:cs="Times New Roman"/>
          <w:sz w:val="24"/>
          <w:szCs w:val="24"/>
        </w:rPr>
        <w:t xml:space="preserve">. </w:t>
      </w:r>
      <w:r w:rsidR="00F42CDF" w:rsidRPr="007344EA">
        <w:rPr>
          <w:rFonts w:ascii="Times New Roman" w:hAnsi="Times New Roman" w:cs="Times New Roman"/>
          <w:sz w:val="24"/>
          <w:szCs w:val="24"/>
        </w:rPr>
        <w:t xml:space="preserve">Šio magistro baigiamojo darbo skyriuje: „Direktyvos 93/13 reikšmė vartotojų teisių apsaugos sistemoje“ buvo </w:t>
      </w:r>
      <w:r w:rsidR="00402632" w:rsidRPr="007344EA">
        <w:rPr>
          <w:rFonts w:ascii="Times New Roman" w:hAnsi="Times New Roman" w:cs="Times New Roman"/>
          <w:sz w:val="24"/>
          <w:szCs w:val="24"/>
        </w:rPr>
        <w:t>atsklei</w:t>
      </w:r>
      <w:r w:rsidR="00F42CDF" w:rsidRPr="007344EA">
        <w:rPr>
          <w:rFonts w:ascii="Times New Roman" w:hAnsi="Times New Roman" w:cs="Times New Roman"/>
          <w:sz w:val="24"/>
          <w:szCs w:val="24"/>
        </w:rPr>
        <w:t xml:space="preserve">sti tam tikri </w:t>
      </w:r>
      <w:r w:rsidR="006E0ABC" w:rsidRPr="007344EA">
        <w:rPr>
          <w:rFonts w:ascii="Times New Roman" w:hAnsi="Times New Roman" w:cs="Times New Roman"/>
          <w:sz w:val="24"/>
          <w:szCs w:val="24"/>
        </w:rPr>
        <w:t xml:space="preserve">Direktyvoje 93/13 </w:t>
      </w:r>
      <w:r w:rsidR="00F42CDF" w:rsidRPr="007344EA">
        <w:rPr>
          <w:rFonts w:ascii="Times New Roman" w:hAnsi="Times New Roman" w:cs="Times New Roman"/>
          <w:i/>
          <w:sz w:val="24"/>
          <w:szCs w:val="24"/>
        </w:rPr>
        <w:t>expressis verbis</w:t>
      </w:r>
      <w:r w:rsidR="00F42CDF" w:rsidRPr="007344EA">
        <w:rPr>
          <w:rFonts w:ascii="Times New Roman" w:hAnsi="Times New Roman" w:cs="Times New Roman"/>
          <w:sz w:val="24"/>
          <w:szCs w:val="24"/>
        </w:rPr>
        <w:t xml:space="preserve"> </w:t>
      </w:r>
      <w:r w:rsidR="006E0ABC" w:rsidRPr="007344EA">
        <w:rPr>
          <w:rFonts w:ascii="Times New Roman" w:hAnsi="Times New Roman" w:cs="Times New Roman"/>
          <w:sz w:val="24"/>
          <w:szCs w:val="24"/>
        </w:rPr>
        <w:t>įtvirtinti teisinio reguliavimo tikslai</w:t>
      </w:r>
      <w:r w:rsidR="00B45663" w:rsidRPr="007344EA">
        <w:rPr>
          <w:rFonts w:ascii="Times New Roman" w:hAnsi="Times New Roman" w:cs="Times New Roman"/>
          <w:sz w:val="24"/>
          <w:szCs w:val="24"/>
        </w:rPr>
        <w:t>.</w:t>
      </w:r>
      <w:r w:rsidR="00F42CDF" w:rsidRPr="007344EA">
        <w:rPr>
          <w:rFonts w:ascii="Times New Roman" w:hAnsi="Times New Roman" w:cs="Times New Roman"/>
          <w:sz w:val="24"/>
          <w:szCs w:val="24"/>
        </w:rPr>
        <w:t xml:space="preserve"> Todėl š</w:t>
      </w:r>
      <w:r w:rsidRPr="007344EA">
        <w:rPr>
          <w:rFonts w:ascii="Times New Roman" w:hAnsi="Times New Roman" w:cs="Times New Roman"/>
          <w:sz w:val="24"/>
          <w:szCs w:val="24"/>
        </w:rPr>
        <w:t>iame skyriuje pagrindinis dėmesys skiriamas Teisingumo Teismo jurisprudencijoje atskleisti</w:t>
      </w:r>
      <w:r w:rsidR="008F5902" w:rsidRPr="007344EA">
        <w:rPr>
          <w:rFonts w:ascii="Times New Roman" w:hAnsi="Times New Roman" w:cs="Times New Roman"/>
          <w:sz w:val="24"/>
          <w:szCs w:val="24"/>
        </w:rPr>
        <w:t>ems ir išaiškintiems Direktyvos</w:t>
      </w:r>
      <w:r w:rsidRPr="007344EA">
        <w:rPr>
          <w:rFonts w:ascii="Times New Roman" w:hAnsi="Times New Roman" w:cs="Times New Roman"/>
          <w:sz w:val="24"/>
          <w:szCs w:val="24"/>
        </w:rPr>
        <w:t xml:space="preserve"> 93/13 tikslams. </w:t>
      </w:r>
    </w:p>
    <w:p w:rsidR="00CD7A1E" w:rsidRPr="007344EA" w:rsidRDefault="00DF6FD4" w:rsidP="000F6662">
      <w:pPr>
        <w:pStyle w:val="Heading3"/>
        <w:rPr>
          <w:rFonts w:ascii="Times New Roman" w:hAnsi="Times New Roman" w:cs="Times New Roman"/>
          <w:color w:val="000000" w:themeColor="text1"/>
          <w:sz w:val="24"/>
          <w:szCs w:val="24"/>
        </w:rPr>
      </w:pPr>
      <w:bookmarkStart w:id="11" w:name="_Toc344337161"/>
      <w:r w:rsidRPr="007344EA">
        <w:rPr>
          <w:rFonts w:ascii="Times New Roman" w:hAnsi="Times New Roman" w:cs="Times New Roman"/>
          <w:color w:val="000000" w:themeColor="text1"/>
          <w:sz w:val="24"/>
          <w:szCs w:val="24"/>
        </w:rPr>
        <w:t>3</w:t>
      </w:r>
      <w:r w:rsidR="00E75119" w:rsidRPr="007344EA">
        <w:rPr>
          <w:rFonts w:ascii="Times New Roman" w:hAnsi="Times New Roman" w:cs="Times New Roman"/>
          <w:color w:val="000000" w:themeColor="text1"/>
          <w:sz w:val="24"/>
          <w:szCs w:val="24"/>
        </w:rPr>
        <w:t>.1.1</w:t>
      </w:r>
      <w:r w:rsidR="00532BB0" w:rsidRPr="007344EA">
        <w:rPr>
          <w:rFonts w:ascii="Times New Roman" w:hAnsi="Times New Roman" w:cs="Times New Roman"/>
          <w:color w:val="000000" w:themeColor="text1"/>
          <w:sz w:val="24"/>
          <w:szCs w:val="24"/>
        </w:rPr>
        <w:t>.</w:t>
      </w:r>
      <w:r w:rsidR="00E75119" w:rsidRPr="007344EA">
        <w:rPr>
          <w:rFonts w:ascii="Times New Roman" w:hAnsi="Times New Roman" w:cs="Times New Roman"/>
          <w:color w:val="000000" w:themeColor="text1"/>
          <w:sz w:val="24"/>
          <w:szCs w:val="24"/>
        </w:rPr>
        <w:t xml:space="preserve"> Vartotojo apsauga</w:t>
      </w:r>
      <w:bookmarkEnd w:id="11"/>
    </w:p>
    <w:p w:rsidR="00B50AEA" w:rsidRPr="007344EA" w:rsidRDefault="00B50AEA" w:rsidP="006E00E1">
      <w:pPr>
        <w:spacing w:after="0" w:line="360" w:lineRule="auto"/>
        <w:ind w:firstLine="1296"/>
        <w:jc w:val="both"/>
        <w:rPr>
          <w:rFonts w:ascii="Times New Roman" w:hAnsi="Times New Roman" w:cs="Times New Roman"/>
          <w:sz w:val="24"/>
          <w:szCs w:val="24"/>
        </w:rPr>
      </w:pPr>
    </w:p>
    <w:p w:rsidR="006E00E1" w:rsidRPr="007344EA" w:rsidRDefault="006306F5"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 xml:space="preserve">Pagrindinis ir Teisingumo Teismo jurisprudencijoje plačiausiai </w:t>
      </w:r>
      <w:r w:rsidR="00483073" w:rsidRPr="007344EA">
        <w:rPr>
          <w:rFonts w:ascii="Times New Roman" w:hAnsi="Times New Roman" w:cs="Times New Roman"/>
          <w:sz w:val="24"/>
          <w:szCs w:val="24"/>
        </w:rPr>
        <w:t>nagrinėtas</w:t>
      </w:r>
      <w:r w:rsidRPr="007344EA">
        <w:rPr>
          <w:rFonts w:ascii="Times New Roman" w:hAnsi="Times New Roman" w:cs="Times New Roman"/>
          <w:sz w:val="24"/>
          <w:szCs w:val="24"/>
        </w:rPr>
        <w:t xml:space="preserve"> Direktyvos 93/13 tikslas</w:t>
      </w:r>
      <w:r w:rsidR="00224D1C"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 vartotojo apsauga. Šis Direktyvos 93/13 tikslas yra </w:t>
      </w:r>
      <w:r w:rsidR="00CD7A1E" w:rsidRPr="007344EA">
        <w:rPr>
          <w:rFonts w:ascii="Times New Roman" w:hAnsi="Times New Roman" w:cs="Times New Roman"/>
          <w:sz w:val="24"/>
          <w:szCs w:val="24"/>
        </w:rPr>
        <w:t xml:space="preserve">tiesiogiai </w:t>
      </w:r>
      <w:r w:rsidRPr="007344EA">
        <w:rPr>
          <w:rFonts w:ascii="Times New Roman" w:hAnsi="Times New Roman" w:cs="Times New Roman"/>
          <w:sz w:val="24"/>
          <w:szCs w:val="24"/>
        </w:rPr>
        <w:t>minimas tiek preambulėje, tiek ir Direktyvos straipsniuose (pvz.: preambulės 7, 8, 9, 10, 11, 12 ir k.t. pastraipos</w:t>
      </w:r>
      <w:r w:rsidR="006C4CC0" w:rsidRPr="007344EA">
        <w:rPr>
          <w:rFonts w:ascii="Times New Roman" w:hAnsi="Times New Roman" w:cs="Times New Roman"/>
          <w:sz w:val="24"/>
          <w:szCs w:val="24"/>
        </w:rPr>
        <w:t xml:space="preserve">e bei 5, 6, 7 8 straipsniuose). </w:t>
      </w:r>
      <w:r w:rsidR="00C41B0B" w:rsidRPr="007344EA">
        <w:rPr>
          <w:rFonts w:ascii="Times New Roman" w:hAnsi="Times New Roman" w:cs="Times New Roman"/>
          <w:sz w:val="24"/>
          <w:szCs w:val="24"/>
        </w:rPr>
        <w:t xml:space="preserve">Vartotojo apsaugos tikslas </w:t>
      </w:r>
      <w:r w:rsidRPr="007344EA">
        <w:rPr>
          <w:rFonts w:ascii="Times New Roman" w:hAnsi="Times New Roman" w:cs="Times New Roman"/>
          <w:sz w:val="24"/>
          <w:szCs w:val="24"/>
        </w:rPr>
        <w:t>Teisingumo Teismo jurisprud</w:t>
      </w:r>
      <w:r w:rsidR="006C4CC0" w:rsidRPr="007344EA">
        <w:rPr>
          <w:rFonts w:ascii="Times New Roman" w:hAnsi="Times New Roman" w:cs="Times New Roman"/>
          <w:sz w:val="24"/>
          <w:szCs w:val="24"/>
        </w:rPr>
        <w:t>encijoje buvo aiškinimas palaipsniui</w:t>
      </w:r>
      <w:r w:rsidR="00224D1C" w:rsidRPr="007344EA">
        <w:rPr>
          <w:rFonts w:ascii="Times New Roman" w:hAnsi="Times New Roman" w:cs="Times New Roman"/>
          <w:sz w:val="24"/>
          <w:szCs w:val="24"/>
        </w:rPr>
        <w:t xml:space="preserve"> −</w:t>
      </w:r>
      <w:r w:rsidR="006C4CC0" w:rsidRPr="007344EA">
        <w:rPr>
          <w:rFonts w:ascii="Times New Roman" w:hAnsi="Times New Roman" w:cs="Times New Roman"/>
          <w:sz w:val="24"/>
          <w:szCs w:val="24"/>
        </w:rPr>
        <w:t xml:space="preserve"> kiekvienoje byloje atskleidžiant</w:t>
      </w:r>
      <w:r w:rsidR="00007388" w:rsidRPr="007344EA">
        <w:rPr>
          <w:rFonts w:ascii="Times New Roman" w:hAnsi="Times New Roman" w:cs="Times New Roman"/>
          <w:sz w:val="24"/>
          <w:szCs w:val="24"/>
        </w:rPr>
        <w:t xml:space="preserve"> vis</w:t>
      </w:r>
      <w:r w:rsidR="006C4CC0" w:rsidRPr="007344EA">
        <w:rPr>
          <w:rFonts w:ascii="Times New Roman" w:hAnsi="Times New Roman" w:cs="Times New Roman"/>
          <w:sz w:val="24"/>
          <w:szCs w:val="24"/>
        </w:rPr>
        <w:t xml:space="preserve"> naujus </w:t>
      </w:r>
      <w:r w:rsidR="00007388" w:rsidRPr="007344EA">
        <w:rPr>
          <w:rFonts w:ascii="Times New Roman" w:hAnsi="Times New Roman" w:cs="Times New Roman"/>
          <w:sz w:val="24"/>
          <w:szCs w:val="24"/>
        </w:rPr>
        <w:t xml:space="preserve">šio tikslo </w:t>
      </w:r>
      <w:r w:rsidR="006C4CC0" w:rsidRPr="007344EA">
        <w:rPr>
          <w:rFonts w:ascii="Times New Roman" w:hAnsi="Times New Roman" w:cs="Times New Roman"/>
          <w:sz w:val="24"/>
          <w:szCs w:val="24"/>
        </w:rPr>
        <w:t>aspektus. K</w:t>
      </w:r>
      <w:r w:rsidR="00226B55" w:rsidRPr="007344EA">
        <w:rPr>
          <w:rFonts w:ascii="Times New Roman" w:hAnsi="Times New Roman" w:cs="Times New Roman"/>
          <w:sz w:val="24"/>
          <w:szCs w:val="24"/>
        </w:rPr>
        <w:t>itais žodžiais tariant</w:t>
      </w:r>
      <w:r w:rsidR="000C2455" w:rsidRPr="007344EA">
        <w:rPr>
          <w:rFonts w:ascii="Times New Roman" w:hAnsi="Times New Roman" w:cs="Times New Roman"/>
          <w:sz w:val="24"/>
          <w:szCs w:val="24"/>
        </w:rPr>
        <w:t>,</w:t>
      </w:r>
      <w:r w:rsidR="00226B55" w:rsidRPr="007344EA">
        <w:rPr>
          <w:rFonts w:ascii="Times New Roman" w:hAnsi="Times New Roman" w:cs="Times New Roman"/>
          <w:sz w:val="24"/>
          <w:szCs w:val="24"/>
        </w:rPr>
        <w:t xml:space="preserve"> Teisingumo Teismo praktikoje išvystyta vartotojų ap</w:t>
      </w:r>
      <w:r w:rsidR="004E3E00" w:rsidRPr="007344EA">
        <w:rPr>
          <w:rFonts w:ascii="Times New Roman" w:hAnsi="Times New Roman" w:cs="Times New Roman"/>
          <w:sz w:val="24"/>
          <w:szCs w:val="24"/>
        </w:rPr>
        <w:t>saugos sistema susideda iš atskirų</w:t>
      </w:r>
      <w:r w:rsidR="00F37577" w:rsidRPr="007344EA">
        <w:rPr>
          <w:rFonts w:ascii="Times New Roman" w:hAnsi="Times New Roman" w:cs="Times New Roman"/>
          <w:sz w:val="24"/>
          <w:szCs w:val="24"/>
        </w:rPr>
        <w:t xml:space="preserve"> elementų, </w:t>
      </w:r>
      <w:r w:rsidR="000C2455" w:rsidRPr="007344EA">
        <w:rPr>
          <w:rFonts w:ascii="Times New Roman" w:hAnsi="Times New Roman" w:cs="Times New Roman"/>
          <w:sz w:val="24"/>
          <w:szCs w:val="24"/>
        </w:rPr>
        <w:t xml:space="preserve">kuriuos </w:t>
      </w:r>
      <w:r w:rsidR="00F37577" w:rsidRPr="007344EA">
        <w:rPr>
          <w:rFonts w:ascii="Times New Roman" w:hAnsi="Times New Roman" w:cs="Times New Roman"/>
          <w:sz w:val="24"/>
          <w:szCs w:val="24"/>
        </w:rPr>
        <w:t xml:space="preserve">ir analizuosime šiame darbe. </w:t>
      </w:r>
    </w:p>
    <w:p w:rsidR="006306F5" w:rsidRPr="007344EA" w:rsidRDefault="006306F5"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i/>
          <w:sz w:val="24"/>
          <w:szCs w:val="24"/>
        </w:rPr>
        <w:t>Mažiau palanki vartotojo situacija.</w:t>
      </w:r>
      <w:r w:rsidRPr="007344EA">
        <w:rPr>
          <w:rFonts w:ascii="Times New Roman" w:hAnsi="Times New Roman" w:cs="Times New Roman"/>
          <w:sz w:val="24"/>
          <w:szCs w:val="24"/>
        </w:rPr>
        <w:t xml:space="preserve"> Teisingumo Teismas daugelyje bylų, susijusių su Direktyvos 93/13 aiškinimu, </w:t>
      </w:r>
      <w:r w:rsidR="00226B55" w:rsidRPr="007344EA">
        <w:rPr>
          <w:rFonts w:ascii="Times New Roman" w:hAnsi="Times New Roman" w:cs="Times New Roman"/>
          <w:sz w:val="24"/>
          <w:szCs w:val="24"/>
        </w:rPr>
        <w:t>teigi</w:t>
      </w:r>
      <w:r w:rsidR="000A6AF8" w:rsidRPr="007344EA">
        <w:rPr>
          <w:rFonts w:ascii="Times New Roman" w:hAnsi="Times New Roman" w:cs="Times New Roman"/>
          <w:sz w:val="24"/>
          <w:szCs w:val="24"/>
        </w:rPr>
        <w:t>a</w:t>
      </w:r>
      <w:r w:rsidRPr="007344EA">
        <w:rPr>
          <w:rFonts w:ascii="Times New Roman" w:hAnsi="Times New Roman" w:cs="Times New Roman"/>
          <w:sz w:val="24"/>
          <w:szCs w:val="24"/>
        </w:rPr>
        <w:t>, kad „Direktyvoje nustatyta apsaugos sistema pagrįsta idėja, jog vartotojo padėtis yra mažiau palanki nei pardavėjo ar tiekėjo tiek dėl galimybių derėtis, tiek dėl informacijos lygio, dėl to jis priverstas sutikti su pardavėjo ar tiekėjo iš anksto nustatytomis sąlygomis ir negali daryti įtakos jų turiniui“</w:t>
      </w:r>
      <w:r w:rsidRPr="007344EA">
        <w:rPr>
          <w:rStyle w:val="FootnoteReference"/>
          <w:rFonts w:ascii="Times New Roman" w:hAnsi="Times New Roman"/>
          <w:sz w:val="24"/>
          <w:szCs w:val="24"/>
        </w:rPr>
        <w:footnoteReference w:id="163"/>
      </w:r>
      <w:r w:rsidRPr="007344EA">
        <w:rPr>
          <w:rFonts w:ascii="Times New Roman" w:hAnsi="Times New Roman" w:cs="Times New Roman"/>
          <w:sz w:val="24"/>
          <w:szCs w:val="24"/>
        </w:rPr>
        <w:t>. Taigi,</w:t>
      </w:r>
      <w:r w:rsidR="000062CC" w:rsidRPr="007344EA">
        <w:rPr>
          <w:rFonts w:ascii="Times New Roman" w:hAnsi="Times New Roman" w:cs="Times New Roman"/>
          <w:sz w:val="24"/>
          <w:szCs w:val="24"/>
        </w:rPr>
        <w:t xml:space="preserve"> pirmiausia yra pabrėžiama</w:t>
      </w:r>
      <w:r w:rsidRPr="007344EA">
        <w:rPr>
          <w:rFonts w:ascii="Times New Roman" w:hAnsi="Times New Roman" w:cs="Times New Roman"/>
          <w:sz w:val="24"/>
          <w:szCs w:val="24"/>
        </w:rPr>
        <w:t xml:space="preserve"> </w:t>
      </w:r>
      <w:r w:rsidRPr="007344EA">
        <w:rPr>
          <w:rFonts w:ascii="Times New Roman" w:hAnsi="Times New Roman" w:cs="Times New Roman"/>
          <w:sz w:val="24"/>
          <w:szCs w:val="24"/>
        </w:rPr>
        <w:lastRenderedPageBreak/>
        <w:t xml:space="preserve">vartotojo ir verslininko skirtinga padėtis, sąlygojama derybinės galios nelygybe ir informacijos trukumu, </w:t>
      </w:r>
      <w:r w:rsidR="00853F0F" w:rsidRPr="007344EA">
        <w:rPr>
          <w:rFonts w:ascii="Times New Roman" w:hAnsi="Times New Roman" w:cs="Times New Roman"/>
          <w:sz w:val="24"/>
          <w:szCs w:val="24"/>
        </w:rPr>
        <w:t>o tai</w:t>
      </w:r>
      <w:r w:rsidR="000A6AF8" w:rsidRPr="007344EA">
        <w:rPr>
          <w:rFonts w:ascii="Times New Roman" w:hAnsi="Times New Roman" w:cs="Times New Roman"/>
          <w:sz w:val="24"/>
          <w:szCs w:val="24"/>
        </w:rPr>
        <w:t xml:space="preserve"> </w:t>
      </w:r>
      <w:r w:rsidR="00226B55" w:rsidRPr="007344EA">
        <w:rPr>
          <w:rFonts w:ascii="Times New Roman" w:hAnsi="Times New Roman" w:cs="Times New Roman"/>
          <w:sz w:val="24"/>
          <w:szCs w:val="24"/>
        </w:rPr>
        <w:t xml:space="preserve">atspindi </w:t>
      </w:r>
      <w:r w:rsidR="000A6AF8" w:rsidRPr="007344EA">
        <w:rPr>
          <w:rFonts w:ascii="Times New Roman" w:hAnsi="Times New Roman" w:cs="Times New Roman"/>
          <w:sz w:val="24"/>
          <w:szCs w:val="24"/>
        </w:rPr>
        <w:t>jau minėtąjį prancūziškąjį modelį</w:t>
      </w:r>
      <w:r w:rsidR="00224D1C" w:rsidRPr="007344EA">
        <w:rPr>
          <w:rFonts w:ascii="Times New Roman" w:hAnsi="Times New Roman" w:cs="Times New Roman"/>
          <w:sz w:val="24"/>
          <w:szCs w:val="24"/>
        </w:rPr>
        <w:t xml:space="preserve"> −</w:t>
      </w:r>
      <w:r w:rsidR="00226B55" w:rsidRPr="007344EA">
        <w:rPr>
          <w:rFonts w:ascii="Times New Roman" w:hAnsi="Times New Roman" w:cs="Times New Roman"/>
          <w:sz w:val="24"/>
          <w:szCs w:val="24"/>
        </w:rPr>
        <w:t xml:space="preserve"> „</w:t>
      </w:r>
      <w:r w:rsidRPr="007344EA">
        <w:rPr>
          <w:rFonts w:ascii="Times New Roman" w:hAnsi="Times New Roman" w:cs="Times New Roman"/>
          <w:sz w:val="24"/>
          <w:szCs w:val="24"/>
        </w:rPr>
        <w:t>piktnaudžiavimo galia teoriją ir tikslą apsaugoti vartotoją kaip silpnesnę sutarties šalį“</w:t>
      </w:r>
      <w:r w:rsidRPr="007344EA">
        <w:rPr>
          <w:rStyle w:val="FootnoteReference"/>
          <w:rFonts w:ascii="Times New Roman" w:hAnsi="Times New Roman"/>
          <w:sz w:val="24"/>
          <w:szCs w:val="24"/>
        </w:rPr>
        <w:footnoteReference w:id="164"/>
      </w:r>
      <w:r w:rsidR="000062CC" w:rsidRPr="007344EA">
        <w:rPr>
          <w:rFonts w:ascii="Times New Roman" w:hAnsi="Times New Roman" w:cs="Times New Roman"/>
          <w:sz w:val="24"/>
          <w:szCs w:val="24"/>
        </w:rPr>
        <w:t>.</w:t>
      </w:r>
      <w:r w:rsidR="00091021" w:rsidRPr="007344EA">
        <w:rPr>
          <w:rFonts w:ascii="Times New Roman" w:hAnsi="Times New Roman" w:cs="Times New Roman"/>
          <w:sz w:val="24"/>
          <w:szCs w:val="24"/>
        </w:rPr>
        <w:t xml:space="preserve"> </w:t>
      </w:r>
      <w:r w:rsidRPr="007344EA">
        <w:rPr>
          <w:rFonts w:ascii="Times New Roman" w:hAnsi="Times New Roman" w:cs="Times New Roman"/>
          <w:sz w:val="24"/>
          <w:szCs w:val="24"/>
        </w:rPr>
        <w:t>Vartotojo apsaugos tikslas</w:t>
      </w:r>
      <w:r w:rsidR="000062CC" w:rsidRPr="007344EA">
        <w:rPr>
          <w:rFonts w:ascii="Times New Roman" w:hAnsi="Times New Roman" w:cs="Times New Roman"/>
          <w:sz w:val="24"/>
          <w:szCs w:val="24"/>
        </w:rPr>
        <w:t>, dėl mažiau palankios situacijos,</w:t>
      </w:r>
      <w:r w:rsidRPr="007344EA">
        <w:rPr>
          <w:rFonts w:ascii="Times New Roman" w:hAnsi="Times New Roman" w:cs="Times New Roman"/>
          <w:sz w:val="24"/>
          <w:szCs w:val="24"/>
        </w:rPr>
        <w:t xml:space="preserve"> Teisingumo Teismo</w:t>
      </w:r>
      <w:r w:rsidR="00AA7F2F" w:rsidRPr="007344EA">
        <w:rPr>
          <w:rFonts w:ascii="Times New Roman" w:hAnsi="Times New Roman" w:cs="Times New Roman"/>
          <w:sz w:val="24"/>
          <w:szCs w:val="24"/>
        </w:rPr>
        <w:t xml:space="preserve"> jurisprudencijoje</w:t>
      </w:r>
      <w:r w:rsidRPr="007344EA">
        <w:rPr>
          <w:rFonts w:ascii="Times New Roman" w:hAnsi="Times New Roman" w:cs="Times New Roman"/>
          <w:sz w:val="24"/>
          <w:szCs w:val="24"/>
        </w:rPr>
        <w:t xml:space="preserve"> pabrėžiamas kone kiekvienoje byloje, susisijusiose su Direktyvos 93/13 aiškinimu ir tai yra nusistovėjusi</w:t>
      </w:r>
      <w:r w:rsidR="00845218" w:rsidRPr="007344EA">
        <w:rPr>
          <w:rStyle w:val="FootnoteReference"/>
          <w:rFonts w:ascii="Times New Roman" w:hAnsi="Times New Roman"/>
          <w:sz w:val="24"/>
          <w:szCs w:val="24"/>
        </w:rPr>
        <w:footnoteReference w:id="165"/>
      </w:r>
      <w:r w:rsidR="00396767"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praktika. </w:t>
      </w:r>
    </w:p>
    <w:p w:rsidR="00B73D92" w:rsidRPr="007344EA" w:rsidRDefault="006306F5"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i/>
          <w:sz w:val="24"/>
          <w:szCs w:val="24"/>
        </w:rPr>
        <w:t xml:space="preserve">Kompensuoti nelygybę. </w:t>
      </w:r>
      <w:r w:rsidRPr="007344EA">
        <w:rPr>
          <w:rFonts w:ascii="Times New Roman" w:hAnsi="Times New Roman" w:cs="Times New Roman"/>
          <w:sz w:val="24"/>
          <w:szCs w:val="24"/>
        </w:rPr>
        <w:t>„Siekdamas užtikrinti Direktyva </w:t>
      </w:r>
      <w:bookmarkStart w:id="12" w:name="ctx11"/>
      <w:r w:rsidRPr="007344EA">
        <w:rPr>
          <w:rFonts w:ascii="Times New Roman" w:hAnsi="Times New Roman" w:cs="Times New Roman"/>
          <w:sz w:val="24"/>
          <w:szCs w:val="24"/>
        </w:rPr>
        <w:t>93/13</w:t>
      </w:r>
      <w:bookmarkEnd w:id="12"/>
      <w:r w:rsidRPr="007344EA">
        <w:rPr>
          <w:rFonts w:ascii="Times New Roman" w:hAnsi="Times New Roman" w:cs="Times New Roman"/>
          <w:sz w:val="24"/>
          <w:szCs w:val="24"/>
        </w:rPr>
        <w:t xml:space="preserve"> nustatytą apsaugą, Teisingumo Teismas ne kartą yra pažymėjęs, kad tarp vartotojo ir prekybininko egzistuojanti nelygybė gali būti kompensuota tik pozityviais su sutartiniais santykiais nesusijusių subjektų veiksmais“</w:t>
      </w:r>
      <w:r w:rsidRPr="007344EA">
        <w:rPr>
          <w:rStyle w:val="FootnoteReference"/>
          <w:rFonts w:ascii="Times New Roman" w:hAnsi="Times New Roman"/>
          <w:sz w:val="24"/>
          <w:szCs w:val="24"/>
        </w:rPr>
        <w:footnoteReference w:id="166"/>
      </w:r>
      <w:r w:rsidR="00853F0F" w:rsidRPr="007344EA">
        <w:rPr>
          <w:rFonts w:ascii="Times New Roman" w:hAnsi="Times New Roman" w:cs="Times New Roman"/>
          <w:sz w:val="24"/>
          <w:szCs w:val="24"/>
        </w:rPr>
        <w:t>. Ši sąvoka</w:t>
      </w:r>
      <w:r w:rsidRPr="007344EA">
        <w:rPr>
          <w:rFonts w:ascii="Times New Roman" w:hAnsi="Times New Roman" w:cs="Times New Roman"/>
          <w:sz w:val="24"/>
          <w:szCs w:val="24"/>
        </w:rPr>
        <w:t>, kurią Teisingumo Teismas „pasis</w:t>
      </w:r>
      <w:r w:rsidR="00853F0F" w:rsidRPr="007344EA">
        <w:rPr>
          <w:rFonts w:ascii="Times New Roman" w:hAnsi="Times New Roman" w:cs="Times New Roman"/>
          <w:sz w:val="24"/>
          <w:szCs w:val="24"/>
        </w:rPr>
        <w:t>kolino</w:t>
      </w:r>
      <w:r w:rsidR="00A34AD2" w:rsidRPr="007344EA">
        <w:rPr>
          <w:rFonts w:ascii="Times New Roman" w:hAnsi="Times New Roman" w:cs="Times New Roman"/>
          <w:sz w:val="24"/>
          <w:szCs w:val="24"/>
        </w:rPr>
        <w:t>“ iš Generalinio a</w:t>
      </w:r>
      <w:r w:rsidRPr="007344EA">
        <w:rPr>
          <w:rFonts w:ascii="Times New Roman" w:hAnsi="Times New Roman" w:cs="Times New Roman"/>
          <w:sz w:val="24"/>
          <w:szCs w:val="24"/>
        </w:rPr>
        <w:t>dvokato A. Saggio nuomonės, pavartota jau pačiame pirmajame Teisingumo Teismo sprendime susijusiame su Direktyvos 93/13 aiškinimu</w:t>
      </w:r>
      <w:r w:rsidR="00224D1C"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 </w:t>
      </w:r>
      <w:r w:rsidRPr="007344EA">
        <w:rPr>
          <w:rFonts w:ascii="Times New Roman" w:hAnsi="Times New Roman" w:cs="Times New Roman"/>
          <w:i/>
          <w:sz w:val="24"/>
          <w:szCs w:val="24"/>
        </w:rPr>
        <w:t>Oceano</w:t>
      </w:r>
      <w:r w:rsidRPr="007344EA">
        <w:rPr>
          <w:rStyle w:val="FootnoteReference"/>
          <w:rFonts w:ascii="Times New Roman" w:hAnsi="Times New Roman"/>
          <w:i/>
          <w:sz w:val="24"/>
          <w:szCs w:val="24"/>
        </w:rPr>
        <w:footnoteReference w:id="167"/>
      </w:r>
      <w:r w:rsidRPr="007344EA">
        <w:rPr>
          <w:rFonts w:ascii="Times New Roman" w:hAnsi="Times New Roman" w:cs="Times New Roman"/>
          <w:sz w:val="24"/>
          <w:szCs w:val="24"/>
        </w:rPr>
        <w:t xml:space="preserve">. Koks yra frazės „pozityvūs su sutartiniais santykiais nesusijusių subjektų veiksmai“ turinys Teisingumo Teismas nedetalizuoja, tačiau pasitelkiant loginį ir sisteminį </w:t>
      </w:r>
      <w:r w:rsidR="00F21350" w:rsidRPr="007344EA">
        <w:rPr>
          <w:rFonts w:ascii="Times New Roman" w:hAnsi="Times New Roman" w:cs="Times New Roman"/>
          <w:sz w:val="24"/>
          <w:szCs w:val="24"/>
        </w:rPr>
        <w:t xml:space="preserve">aiškinimo </w:t>
      </w:r>
      <w:r w:rsidRPr="007344EA">
        <w:rPr>
          <w:rFonts w:ascii="Times New Roman" w:hAnsi="Times New Roman" w:cs="Times New Roman"/>
          <w:sz w:val="24"/>
          <w:szCs w:val="24"/>
        </w:rPr>
        <w:t xml:space="preserve">metodus, šios sąvokos turinį </w:t>
      </w:r>
      <w:r w:rsidR="00F21350" w:rsidRPr="007344EA">
        <w:rPr>
          <w:rFonts w:ascii="Times New Roman" w:hAnsi="Times New Roman" w:cs="Times New Roman"/>
          <w:sz w:val="24"/>
          <w:szCs w:val="24"/>
        </w:rPr>
        <w:t>atskleisti</w:t>
      </w:r>
      <w:r w:rsidRPr="007344EA">
        <w:rPr>
          <w:rFonts w:ascii="Times New Roman" w:hAnsi="Times New Roman" w:cs="Times New Roman"/>
          <w:sz w:val="24"/>
          <w:szCs w:val="24"/>
        </w:rPr>
        <w:t xml:space="preserve"> nėra sunku. Iš šio apibrėžimo aišku viena, kad tam tikrų veiksmų turi imtis ne sutarties šalys</w:t>
      </w:r>
      <w:r w:rsidR="00240916" w:rsidRPr="007344EA">
        <w:rPr>
          <w:rFonts w:ascii="Times New Roman" w:hAnsi="Times New Roman" w:cs="Times New Roman"/>
          <w:sz w:val="24"/>
          <w:szCs w:val="24"/>
        </w:rPr>
        <w:t xml:space="preserve"> (ne vartotojas ir ne verslininkas)</w:t>
      </w:r>
      <w:r w:rsidRPr="007344EA">
        <w:rPr>
          <w:rFonts w:ascii="Times New Roman" w:hAnsi="Times New Roman" w:cs="Times New Roman"/>
          <w:sz w:val="24"/>
          <w:szCs w:val="24"/>
        </w:rPr>
        <w:t>, o ir šie veiksmai turi būti pozityvūs</w:t>
      </w:r>
      <w:r w:rsidR="00117FE6" w:rsidRPr="007344EA">
        <w:rPr>
          <w:rFonts w:ascii="Times New Roman" w:hAnsi="Times New Roman" w:cs="Times New Roman"/>
          <w:sz w:val="24"/>
          <w:szCs w:val="24"/>
        </w:rPr>
        <w:t xml:space="preserve"> t.y. reikalaujant</w:t>
      </w:r>
      <w:r w:rsidR="000C2455" w:rsidRPr="007344EA">
        <w:rPr>
          <w:rFonts w:ascii="Times New Roman" w:hAnsi="Times New Roman" w:cs="Times New Roman"/>
          <w:sz w:val="24"/>
          <w:szCs w:val="24"/>
        </w:rPr>
        <w:t>y</w:t>
      </w:r>
      <w:r w:rsidR="00117FE6" w:rsidRPr="007344EA">
        <w:rPr>
          <w:rFonts w:ascii="Times New Roman" w:hAnsi="Times New Roman" w:cs="Times New Roman"/>
          <w:sz w:val="24"/>
          <w:szCs w:val="24"/>
        </w:rPr>
        <w:t>s tam tikro subjekto veikimo, kuris yra  nukreiptas</w:t>
      </w:r>
      <w:r w:rsidRPr="007344EA">
        <w:rPr>
          <w:rFonts w:ascii="Times New Roman" w:hAnsi="Times New Roman" w:cs="Times New Roman"/>
          <w:sz w:val="24"/>
          <w:szCs w:val="24"/>
        </w:rPr>
        <w:t xml:space="preserve"> į sutarti</w:t>
      </w:r>
      <w:r w:rsidR="00240916" w:rsidRPr="007344EA">
        <w:rPr>
          <w:rFonts w:ascii="Times New Roman" w:hAnsi="Times New Roman" w:cs="Times New Roman"/>
          <w:sz w:val="24"/>
          <w:szCs w:val="24"/>
        </w:rPr>
        <w:t>e</w:t>
      </w:r>
      <w:r w:rsidRPr="007344EA">
        <w:rPr>
          <w:rFonts w:ascii="Times New Roman" w:hAnsi="Times New Roman" w:cs="Times New Roman"/>
          <w:sz w:val="24"/>
          <w:szCs w:val="24"/>
        </w:rPr>
        <w:t>s šalių teisių ir pareigų balanso atstatymą.</w:t>
      </w:r>
      <w:r w:rsidR="00240916" w:rsidRPr="007344EA">
        <w:rPr>
          <w:rFonts w:ascii="Times New Roman" w:hAnsi="Times New Roman" w:cs="Times New Roman"/>
          <w:sz w:val="24"/>
          <w:szCs w:val="24"/>
        </w:rPr>
        <w:t xml:space="preserve"> Kadangi šalys negali imtis pozityvių veiksmų, tai vienintelis subjektas, galintis pakeisti sutartimi nustatytą teisių ir pareigų balansą tarp vartotojo ir verslininko, yra nacionalinis teismas.</w:t>
      </w:r>
      <w:r w:rsidR="00240D78" w:rsidRPr="007344EA">
        <w:rPr>
          <w:rFonts w:ascii="Times New Roman" w:hAnsi="Times New Roman" w:cs="Times New Roman"/>
          <w:sz w:val="24"/>
          <w:szCs w:val="24"/>
        </w:rPr>
        <w:t xml:space="preserve"> </w:t>
      </w:r>
      <w:r w:rsidR="00853F0F" w:rsidRPr="007344EA">
        <w:rPr>
          <w:rFonts w:ascii="Times New Roman" w:hAnsi="Times New Roman" w:cs="Times New Roman"/>
          <w:sz w:val="24"/>
          <w:szCs w:val="24"/>
        </w:rPr>
        <w:t>Šiais „</w:t>
      </w:r>
      <w:r w:rsidR="0084539E" w:rsidRPr="007344EA">
        <w:rPr>
          <w:rFonts w:ascii="Times New Roman" w:hAnsi="Times New Roman" w:cs="Times New Roman"/>
          <w:sz w:val="24"/>
          <w:szCs w:val="24"/>
        </w:rPr>
        <w:t xml:space="preserve">pozityviais veiksmais“ </w:t>
      </w:r>
      <w:r w:rsidR="000100A4" w:rsidRPr="007344EA">
        <w:rPr>
          <w:rFonts w:ascii="Times New Roman" w:hAnsi="Times New Roman" w:cs="Times New Roman"/>
          <w:sz w:val="24"/>
          <w:szCs w:val="24"/>
        </w:rPr>
        <w:t>siekiamas Direktyvos 93/13</w:t>
      </w:r>
      <w:r w:rsidRPr="007344EA">
        <w:rPr>
          <w:rFonts w:ascii="Times New Roman" w:hAnsi="Times New Roman" w:cs="Times New Roman"/>
          <w:sz w:val="24"/>
          <w:szCs w:val="24"/>
        </w:rPr>
        <w:t xml:space="preserve"> </w:t>
      </w:r>
      <w:r w:rsidR="00B45663" w:rsidRPr="007344EA">
        <w:rPr>
          <w:rFonts w:ascii="Times New Roman" w:hAnsi="Times New Roman" w:cs="Times New Roman"/>
          <w:sz w:val="24"/>
          <w:szCs w:val="24"/>
        </w:rPr>
        <w:t>6 straipsnio 1 dalies</w:t>
      </w:r>
      <w:r w:rsidRPr="007344EA">
        <w:rPr>
          <w:rFonts w:ascii="Times New Roman" w:hAnsi="Times New Roman" w:cs="Times New Roman"/>
          <w:sz w:val="24"/>
          <w:szCs w:val="24"/>
        </w:rPr>
        <w:t xml:space="preserve"> tikslas</w:t>
      </w:r>
      <w:r w:rsidR="00224D1C"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 nesąžiningų sąlygų neprivalomumas vartotojui.</w:t>
      </w:r>
      <w:r w:rsidR="0084539E"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Kaip aiškėja iš Teismo praktikos, tai yra imperatyvi nuostata, kuria siekiama formalią sutarties šalių teisių ir pareigų pusiausvyrą pakeisti realia pusiausvyra ir taip atkurti jų lygybę. </w:t>
      </w:r>
      <w:r w:rsidRPr="007344EA">
        <w:rPr>
          <w:rStyle w:val="FootnoteReference"/>
          <w:rFonts w:ascii="Times New Roman" w:hAnsi="Times New Roman"/>
          <w:sz w:val="24"/>
          <w:szCs w:val="24"/>
        </w:rPr>
        <w:footnoteReference w:id="168"/>
      </w:r>
      <w:r w:rsidR="003957A5" w:rsidRPr="007344EA">
        <w:rPr>
          <w:rFonts w:ascii="Times New Roman" w:hAnsi="Times New Roman" w:cs="Times New Roman"/>
          <w:sz w:val="24"/>
          <w:szCs w:val="24"/>
        </w:rPr>
        <w:t xml:space="preserve"> </w:t>
      </w:r>
    </w:p>
    <w:p w:rsidR="00BF6971" w:rsidRPr="007344EA" w:rsidRDefault="001D0B7C"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Kyla klausimas, kaip turi pasielgti nacionalinis teismas vartojimo sutartyje aptikęs nesąžiningą sąlygą ir siekdamas atkurti pusiausvyra tarp sutarties šalių? Direktyvo</w:t>
      </w:r>
      <w:r w:rsidR="006362CD" w:rsidRPr="007344EA">
        <w:rPr>
          <w:rFonts w:ascii="Times New Roman" w:hAnsi="Times New Roman" w:cs="Times New Roman"/>
          <w:sz w:val="24"/>
          <w:szCs w:val="24"/>
        </w:rPr>
        <w:t>s 6 str</w:t>
      </w:r>
      <w:r w:rsidR="00B45663" w:rsidRPr="007344EA">
        <w:rPr>
          <w:rFonts w:ascii="Times New Roman" w:hAnsi="Times New Roman" w:cs="Times New Roman"/>
          <w:sz w:val="24"/>
          <w:szCs w:val="24"/>
        </w:rPr>
        <w:t>aipsnio 1 dalyje</w:t>
      </w:r>
      <w:r w:rsidRPr="007344EA">
        <w:rPr>
          <w:rFonts w:ascii="Times New Roman" w:hAnsi="Times New Roman" w:cs="Times New Roman"/>
          <w:sz w:val="24"/>
          <w:szCs w:val="24"/>
        </w:rPr>
        <w:t xml:space="preserve"> yra įtvirtintas tik vienas reikalavimas</w:t>
      </w:r>
      <w:r w:rsidR="00117FE6" w:rsidRPr="007344EA">
        <w:rPr>
          <w:rFonts w:ascii="Times New Roman" w:hAnsi="Times New Roman" w:cs="Times New Roman"/>
          <w:sz w:val="24"/>
          <w:szCs w:val="24"/>
        </w:rPr>
        <w:t>, kad</w:t>
      </w:r>
      <w:r w:rsidR="007C600C" w:rsidRPr="007344EA">
        <w:rPr>
          <w:rFonts w:ascii="Times New Roman" w:hAnsi="Times New Roman" w:cs="Times New Roman"/>
          <w:sz w:val="24"/>
          <w:szCs w:val="24"/>
        </w:rPr>
        <w:t xml:space="preserve"> nesąž</w:t>
      </w:r>
      <w:r w:rsidR="00117FE6" w:rsidRPr="007344EA">
        <w:rPr>
          <w:rFonts w:ascii="Times New Roman" w:hAnsi="Times New Roman" w:cs="Times New Roman"/>
          <w:sz w:val="24"/>
          <w:szCs w:val="24"/>
        </w:rPr>
        <w:t>iningos</w:t>
      </w:r>
      <w:r w:rsidRPr="007344EA">
        <w:rPr>
          <w:rFonts w:ascii="Times New Roman" w:hAnsi="Times New Roman" w:cs="Times New Roman"/>
          <w:sz w:val="24"/>
          <w:szCs w:val="24"/>
        </w:rPr>
        <w:t xml:space="preserve"> są</w:t>
      </w:r>
      <w:r w:rsidR="007A6486" w:rsidRPr="007344EA">
        <w:rPr>
          <w:rFonts w:ascii="Times New Roman" w:hAnsi="Times New Roman" w:cs="Times New Roman"/>
          <w:sz w:val="24"/>
          <w:szCs w:val="24"/>
        </w:rPr>
        <w:t>lyg</w:t>
      </w:r>
      <w:r w:rsidR="00117FE6" w:rsidRPr="007344EA">
        <w:rPr>
          <w:rFonts w:ascii="Times New Roman" w:hAnsi="Times New Roman" w:cs="Times New Roman"/>
          <w:sz w:val="24"/>
          <w:szCs w:val="24"/>
        </w:rPr>
        <w:t>os</w:t>
      </w:r>
      <w:r w:rsidR="00E35D0D" w:rsidRPr="007344EA">
        <w:rPr>
          <w:rFonts w:ascii="Times New Roman" w:hAnsi="Times New Roman" w:cs="Times New Roman"/>
          <w:sz w:val="24"/>
          <w:szCs w:val="24"/>
        </w:rPr>
        <w:t xml:space="preserve"> nebūtų privalomos </w:t>
      </w:r>
      <w:r w:rsidR="00E35D0D" w:rsidRPr="007344EA">
        <w:rPr>
          <w:rFonts w:ascii="Times New Roman" w:hAnsi="Times New Roman" w:cs="Times New Roman"/>
          <w:sz w:val="24"/>
          <w:szCs w:val="24"/>
        </w:rPr>
        <w:lastRenderedPageBreak/>
        <w:t>vartotojui.</w:t>
      </w:r>
      <w:r w:rsidR="007A6486" w:rsidRPr="007344EA">
        <w:rPr>
          <w:rFonts w:ascii="Times New Roman" w:hAnsi="Times New Roman" w:cs="Times New Roman"/>
          <w:sz w:val="24"/>
          <w:szCs w:val="24"/>
        </w:rPr>
        <w:t xml:space="preserve"> Tai ar nacionalinis</w:t>
      </w:r>
      <w:r w:rsidR="000C2455" w:rsidRPr="007344EA">
        <w:rPr>
          <w:rFonts w:ascii="Times New Roman" w:hAnsi="Times New Roman" w:cs="Times New Roman"/>
          <w:sz w:val="24"/>
          <w:szCs w:val="24"/>
        </w:rPr>
        <w:t xml:space="preserve"> teismas</w:t>
      </w:r>
      <w:r w:rsidR="007A6486" w:rsidRPr="007344EA">
        <w:rPr>
          <w:rFonts w:ascii="Times New Roman" w:hAnsi="Times New Roman" w:cs="Times New Roman"/>
          <w:sz w:val="24"/>
          <w:szCs w:val="24"/>
        </w:rPr>
        <w:t xml:space="preserve"> gali šią sąlygą tiesiog pripažinti negaliojančia </w:t>
      </w:r>
      <w:r w:rsidR="00FC1F5B" w:rsidRPr="007344EA">
        <w:rPr>
          <w:rFonts w:ascii="Times New Roman" w:hAnsi="Times New Roman" w:cs="Times New Roman"/>
          <w:sz w:val="24"/>
          <w:szCs w:val="24"/>
        </w:rPr>
        <w:t xml:space="preserve">ir palikti </w:t>
      </w:r>
      <w:r w:rsidR="00117FE6" w:rsidRPr="007344EA">
        <w:rPr>
          <w:rFonts w:ascii="Times New Roman" w:hAnsi="Times New Roman" w:cs="Times New Roman"/>
          <w:sz w:val="24"/>
          <w:szCs w:val="24"/>
        </w:rPr>
        <w:t>sutartį galioti</w:t>
      </w:r>
      <w:r w:rsidR="00FC1F5B" w:rsidRPr="007344EA">
        <w:rPr>
          <w:rFonts w:ascii="Times New Roman" w:hAnsi="Times New Roman" w:cs="Times New Roman"/>
          <w:sz w:val="24"/>
          <w:szCs w:val="24"/>
        </w:rPr>
        <w:t xml:space="preserve"> be šios konkrečios sąlygos, ar</w:t>
      </w:r>
      <w:r w:rsidR="000C2455" w:rsidRPr="007344EA">
        <w:rPr>
          <w:rFonts w:ascii="Times New Roman" w:hAnsi="Times New Roman" w:cs="Times New Roman"/>
          <w:sz w:val="24"/>
          <w:szCs w:val="24"/>
        </w:rPr>
        <w:t>,</w:t>
      </w:r>
      <w:r w:rsidR="00FC1F5B" w:rsidRPr="007344EA">
        <w:rPr>
          <w:rFonts w:ascii="Times New Roman" w:hAnsi="Times New Roman" w:cs="Times New Roman"/>
          <w:sz w:val="24"/>
          <w:szCs w:val="24"/>
        </w:rPr>
        <w:t xml:space="preserve"> galbūt</w:t>
      </w:r>
      <w:r w:rsidR="000C2455" w:rsidRPr="007344EA">
        <w:rPr>
          <w:rFonts w:ascii="Times New Roman" w:hAnsi="Times New Roman" w:cs="Times New Roman"/>
          <w:sz w:val="24"/>
          <w:szCs w:val="24"/>
        </w:rPr>
        <w:t>,</w:t>
      </w:r>
      <w:r w:rsidR="00FC1F5B" w:rsidRPr="007344EA">
        <w:rPr>
          <w:rFonts w:ascii="Times New Roman" w:hAnsi="Times New Roman" w:cs="Times New Roman"/>
          <w:sz w:val="24"/>
          <w:szCs w:val="24"/>
        </w:rPr>
        <w:t xml:space="preserve"> teismas gali pakeisti nesąžiningos sąlygos tam tikras </w:t>
      </w:r>
      <w:r w:rsidR="000E04AA" w:rsidRPr="007344EA">
        <w:rPr>
          <w:rFonts w:ascii="Times New Roman" w:hAnsi="Times New Roman" w:cs="Times New Roman"/>
          <w:sz w:val="24"/>
          <w:szCs w:val="24"/>
        </w:rPr>
        <w:t>nuosta</w:t>
      </w:r>
      <w:r w:rsidR="00FC1F5B" w:rsidRPr="007344EA">
        <w:rPr>
          <w:rFonts w:ascii="Times New Roman" w:hAnsi="Times New Roman" w:cs="Times New Roman"/>
          <w:sz w:val="24"/>
          <w:szCs w:val="24"/>
        </w:rPr>
        <w:t>tas ir tokiu būdu atkurti lygybę tarp sutarties šalių. Į šį klausimą atsakė Teisingumo Teismas naujausioje byloje, aiškina</w:t>
      </w:r>
      <w:r w:rsidR="00D755A0" w:rsidRPr="007344EA">
        <w:rPr>
          <w:rFonts w:ascii="Times New Roman" w:hAnsi="Times New Roman" w:cs="Times New Roman"/>
          <w:sz w:val="24"/>
          <w:szCs w:val="24"/>
        </w:rPr>
        <w:t>n</w:t>
      </w:r>
      <w:r w:rsidR="00FC1F5B" w:rsidRPr="007344EA">
        <w:rPr>
          <w:rFonts w:ascii="Times New Roman" w:hAnsi="Times New Roman" w:cs="Times New Roman"/>
          <w:sz w:val="24"/>
          <w:szCs w:val="24"/>
        </w:rPr>
        <w:t>čioje Direktyvos 93/13 nuostatas</w:t>
      </w:r>
      <w:r w:rsidR="00224D1C" w:rsidRPr="007344EA">
        <w:rPr>
          <w:rFonts w:ascii="Times New Roman" w:hAnsi="Times New Roman" w:cs="Times New Roman"/>
          <w:sz w:val="24"/>
          <w:szCs w:val="24"/>
        </w:rPr>
        <w:t xml:space="preserve"> −</w:t>
      </w:r>
      <w:r w:rsidR="00FC1F5B" w:rsidRPr="007344EA">
        <w:rPr>
          <w:rFonts w:ascii="Times New Roman" w:hAnsi="Times New Roman" w:cs="Times New Roman"/>
          <w:sz w:val="24"/>
          <w:szCs w:val="24"/>
        </w:rPr>
        <w:t xml:space="preserve"> </w:t>
      </w:r>
      <w:r w:rsidR="00FC1F5B" w:rsidRPr="007344EA">
        <w:rPr>
          <w:rFonts w:ascii="Times New Roman" w:hAnsi="Times New Roman" w:cs="Times New Roman"/>
          <w:i/>
          <w:sz w:val="24"/>
          <w:szCs w:val="24"/>
        </w:rPr>
        <w:t>Banco Espanol</w:t>
      </w:r>
      <w:r w:rsidR="00FC1F5B" w:rsidRPr="007344EA">
        <w:rPr>
          <w:rStyle w:val="FootnoteReference"/>
          <w:rFonts w:ascii="Times New Roman" w:hAnsi="Times New Roman"/>
          <w:sz w:val="24"/>
          <w:szCs w:val="24"/>
        </w:rPr>
        <w:footnoteReference w:id="169"/>
      </w:r>
      <w:r w:rsidR="00FC1F5B" w:rsidRPr="007344EA">
        <w:rPr>
          <w:rFonts w:ascii="Times New Roman" w:hAnsi="Times New Roman" w:cs="Times New Roman"/>
          <w:sz w:val="24"/>
          <w:szCs w:val="24"/>
        </w:rPr>
        <w:t xml:space="preserve">. Jau  minėta, kad </w:t>
      </w:r>
      <w:r w:rsidR="00D755A0" w:rsidRPr="007344EA">
        <w:rPr>
          <w:rFonts w:ascii="Times New Roman" w:hAnsi="Times New Roman" w:cs="Times New Roman"/>
          <w:sz w:val="24"/>
          <w:szCs w:val="24"/>
        </w:rPr>
        <w:t xml:space="preserve">vienu iš prejudicinių klausimų Teisingumo Teismui, nacionalinis teismas siekė sužinoti ar nacionalinis teismas, konstatavęs, kad tarp vartotojo ir verslininko sudarytoje sutartyje </w:t>
      </w:r>
      <w:r w:rsidR="00D27ABA" w:rsidRPr="007344EA">
        <w:rPr>
          <w:rFonts w:ascii="Times New Roman" w:hAnsi="Times New Roman" w:cs="Times New Roman"/>
          <w:sz w:val="24"/>
          <w:szCs w:val="24"/>
        </w:rPr>
        <w:t xml:space="preserve">esanti </w:t>
      </w:r>
      <w:r w:rsidR="00D755A0" w:rsidRPr="007344EA">
        <w:rPr>
          <w:rFonts w:ascii="Times New Roman" w:hAnsi="Times New Roman" w:cs="Times New Roman"/>
          <w:sz w:val="24"/>
          <w:szCs w:val="24"/>
        </w:rPr>
        <w:t xml:space="preserve"> nesąžininga sąlyga yra negaliojanti</w:t>
      </w:r>
      <w:r w:rsidR="000C2455" w:rsidRPr="007344EA">
        <w:rPr>
          <w:rFonts w:ascii="Times New Roman" w:hAnsi="Times New Roman" w:cs="Times New Roman"/>
          <w:sz w:val="24"/>
          <w:szCs w:val="24"/>
        </w:rPr>
        <w:t>,</w:t>
      </w:r>
      <w:r w:rsidR="00D755A0" w:rsidRPr="007344EA">
        <w:rPr>
          <w:rFonts w:ascii="Times New Roman" w:hAnsi="Times New Roman" w:cs="Times New Roman"/>
          <w:sz w:val="24"/>
          <w:szCs w:val="24"/>
        </w:rPr>
        <w:t xml:space="preserve"> gali šią sutartį papildyti</w:t>
      </w:r>
      <w:r w:rsidR="00D27ABA" w:rsidRPr="007344EA">
        <w:rPr>
          <w:rFonts w:ascii="Times New Roman" w:hAnsi="Times New Roman" w:cs="Times New Roman"/>
          <w:sz w:val="24"/>
          <w:szCs w:val="24"/>
        </w:rPr>
        <w:t xml:space="preserve"> taip </w:t>
      </w:r>
      <w:r w:rsidR="00D755A0" w:rsidRPr="007344EA">
        <w:rPr>
          <w:rFonts w:ascii="Times New Roman" w:hAnsi="Times New Roman" w:cs="Times New Roman"/>
          <w:sz w:val="24"/>
          <w:szCs w:val="24"/>
        </w:rPr>
        <w:t>pak</w:t>
      </w:r>
      <w:r w:rsidR="00D27ABA" w:rsidRPr="007344EA">
        <w:rPr>
          <w:rFonts w:ascii="Times New Roman" w:hAnsi="Times New Roman" w:cs="Times New Roman"/>
          <w:sz w:val="24"/>
          <w:szCs w:val="24"/>
        </w:rPr>
        <w:t>e</w:t>
      </w:r>
      <w:r w:rsidR="00D755A0" w:rsidRPr="007344EA">
        <w:rPr>
          <w:rFonts w:ascii="Times New Roman" w:hAnsi="Times New Roman" w:cs="Times New Roman"/>
          <w:sz w:val="24"/>
          <w:szCs w:val="24"/>
        </w:rPr>
        <w:t xml:space="preserve">isdamas </w:t>
      </w:r>
      <w:r w:rsidR="00D27ABA" w:rsidRPr="007344EA">
        <w:rPr>
          <w:rFonts w:ascii="Times New Roman" w:hAnsi="Times New Roman" w:cs="Times New Roman"/>
          <w:sz w:val="24"/>
          <w:szCs w:val="24"/>
        </w:rPr>
        <w:t xml:space="preserve">šios </w:t>
      </w:r>
      <w:r w:rsidR="00D755A0" w:rsidRPr="007344EA">
        <w:rPr>
          <w:rFonts w:ascii="Times New Roman" w:hAnsi="Times New Roman" w:cs="Times New Roman"/>
          <w:sz w:val="24"/>
          <w:szCs w:val="24"/>
        </w:rPr>
        <w:t xml:space="preserve">sąlygos turinį. </w:t>
      </w:r>
      <w:r w:rsidR="004975E6" w:rsidRPr="007344EA">
        <w:rPr>
          <w:rFonts w:ascii="Times New Roman" w:hAnsi="Times New Roman" w:cs="Times New Roman"/>
          <w:sz w:val="24"/>
          <w:szCs w:val="24"/>
        </w:rPr>
        <w:t xml:space="preserve">Teisingumo Teismas atsakydamas į šį prejudicinį klausimą pirmiausia atkreipė dėmesį į tai, kad siekiant nustatyti iš nesąžiningumo kylančias </w:t>
      </w:r>
      <w:r w:rsidR="009013C5" w:rsidRPr="007344EA">
        <w:rPr>
          <w:rFonts w:ascii="Times New Roman" w:hAnsi="Times New Roman" w:cs="Times New Roman"/>
          <w:sz w:val="24"/>
          <w:szCs w:val="24"/>
        </w:rPr>
        <w:t>pase</w:t>
      </w:r>
      <w:r w:rsidR="004975E6" w:rsidRPr="007344EA">
        <w:rPr>
          <w:rFonts w:ascii="Times New Roman" w:hAnsi="Times New Roman" w:cs="Times New Roman"/>
          <w:sz w:val="24"/>
          <w:szCs w:val="24"/>
        </w:rPr>
        <w:t>kmes reikia remtis ne</w:t>
      </w:r>
      <w:r w:rsidR="004E3E00" w:rsidRPr="007344EA">
        <w:rPr>
          <w:rFonts w:ascii="Times New Roman" w:hAnsi="Times New Roman" w:cs="Times New Roman"/>
          <w:sz w:val="24"/>
          <w:szCs w:val="24"/>
        </w:rPr>
        <w:t xml:space="preserve"> vien</w:t>
      </w:r>
      <w:r w:rsidR="004975E6" w:rsidRPr="007344EA">
        <w:rPr>
          <w:rFonts w:ascii="Times New Roman" w:hAnsi="Times New Roman" w:cs="Times New Roman"/>
          <w:sz w:val="24"/>
          <w:szCs w:val="24"/>
        </w:rPr>
        <w:t xml:space="preserve"> tik Direktyvos 93/13 6 str</w:t>
      </w:r>
      <w:r w:rsidR="00B45663" w:rsidRPr="007344EA">
        <w:rPr>
          <w:rFonts w:ascii="Times New Roman" w:hAnsi="Times New Roman" w:cs="Times New Roman"/>
          <w:sz w:val="24"/>
          <w:szCs w:val="24"/>
        </w:rPr>
        <w:t>aipsnio 1 dalyje</w:t>
      </w:r>
      <w:r w:rsidR="009013C5" w:rsidRPr="007344EA">
        <w:rPr>
          <w:rFonts w:ascii="Times New Roman" w:hAnsi="Times New Roman" w:cs="Times New Roman"/>
          <w:sz w:val="24"/>
          <w:szCs w:val="24"/>
        </w:rPr>
        <w:t xml:space="preserve"> </w:t>
      </w:r>
      <w:r w:rsidR="009013C5" w:rsidRPr="007344EA">
        <w:rPr>
          <w:rFonts w:ascii="Times New Roman" w:hAnsi="Times New Roman" w:cs="Times New Roman"/>
          <w:i/>
          <w:sz w:val="24"/>
          <w:szCs w:val="24"/>
        </w:rPr>
        <w:t>expressis verbis</w:t>
      </w:r>
      <w:r w:rsidR="009013C5" w:rsidRPr="007344EA">
        <w:rPr>
          <w:rFonts w:ascii="Times New Roman" w:hAnsi="Times New Roman" w:cs="Times New Roman"/>
          <w:sz w:val="24"/>
          <w:szCs w:val="24"/>
        </w:rPr>
        <w:t xml:space="preserve"> įtvirtintu įpareigojimu</w:t>
      </w:r>
      <w:r w:rsidR="004975E6" w:rsidRPr="007344EA">
        <w:rPr>
          <w:rFonts w:ascii="Times New Roman" w:hAnsi="Times New Roman" w:cs="Times New Roman"/>
          <w:sz w:val="24"/>
          <w:szCs w:val="24"/>
        </w:rPr>
        <w:t>, bet ir šios direktyvos tikslais ir bendra struktūra</w:t>
      </w:r>
      <w:r w:rsidR="00DB32D6" w:rsidRPr="007344EA">
        <w:rPr>
          <w:rFonts w:ascii="Times New Roman" w:hAnsi="Times New Roman" w:cs="Times New Roman"/>
          <w:sz w:val="24"/>
          <w:szCs w:val="24"/>
        </w:rPr>
        <w:t>. Sąjungos teisės aktų leidėjas Direktyvos 93/13 6 straipsnio 1 dalies sakinio antroje dalyje bei šios direktyvos 21 konstatuojamojoje dalyje aiškiai numatė, kad pardavėjo ar tiekėjo ir vartotojo sudaryta sutartis ir toliau lieka privaloma šalims „tomis sąlygomis“, jeigu ji gali išlikti „be nesąžiningų nuostatų“.</w:t>
      </w:r>
      <w:r w:rsidR="00DB32D6" w:rsidRPr="007344EA">
        <w:rPr>
          <w:rStyle w:val="FootnoteReference"/>
          <w:rFonts w:ascii="Times New Roman" w:hAnsi="Times New Roman"/>
          <w:sz w:val="24"/>
          <w:szCs w:val="24"/>
        </w:rPr>
        <w:footnoteReference w:id="170"/>
      </w:r>
      <w:r w:rsidR="00710058" w:rsidRPr="007344EA">
        <w:rPr>
          <w:rFonts w:ascii="Times New Roman" w:hAnsi="Times New Roman" w:cs="Times New Roman"/>
          <w:sz w:val="24"/>
          <w:szCs w:val="24"/>
        </w:rPr>
        <w:t xml:space="preserve"> Taigi nacionalinio teismo pareiga kompensuoti tarp šalių esančią nelygybę gali būti </w:t>
      </w:r>
      <w:r w:rsidR="0081771C" w:rsidRPr="007344EA">
        <w:rPr>
          <w:rFonts w:ascii="Times New Roman" w:hAnsi="Times New Roman" w:cs="Times New Roman"/>
          <w:sz w:val="24"/>
          <w:szCs w:val="24"/>
        </w:rPr>
        <w:t>pasiekta tik</w:t>
      </w:r>
      <w:r w:rsidR="00E35D0D" w:rsidRPr="007344EA">
        <w:rPr>
          <w:rFonts w:ascii="Times New Roman" w:hAnsi="Times New Roman" w:cs="Times New Roman"/>
          <w:sz w:val="24"/>
          <w:szCs w:val="24"/>
        </w:rPr>
        <w:t xml:space="preserve"> vienu būdu −</w:t>
      </w:r>
      <w:r w:rsidR="0081771C" w:rsidRPr="007344EA">
        <w:rPr>
          <w:rFonts w:ascii="Times New Roman" w:hAnsi="Times New Roman" w:cs="Times New Roman"/>
          <w:sz w:val="24"/>
          <w:szCs w:val="24"/>
        </w:rPr>
        <w:t xml:space="preserve"> pašalinant sutartyje esančias nesąžiningas sąlygas. </w:t>
      </w:r>
    </w:p>
    <w:p w:rsidR="006306F5" w:rsidRPr="007344EA" w:rsidRDefault="006306F5"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i/>
          <w:sz w:val="24"/>
          <w:szCs w:val="24"/>
        </w:rPr>
        <w:t>Atgrasantis poveikis</w:t>
      </w:r>
      <w:r w:rsidR="0084539E" w:rsidRPr="007344EA">
        <w:rPr>
          <w:rStyle w:val="FootnoteReference"/>
          <w:rFonts w:ascii="Times New Roman" w:hAnsi="Times New Roman"/>
          <w:i/>
          <w:sz w:val="24"/>
          <w:szCs w:val="24"/>
        </w:rPr>
        <w:footnoteReference w:id="171"/>
      </w:r>
      <w:r w:rsidRPr="007344EA">
        <w:rPr>
          <w:rFonts w:ascii="Times New Roman" w:hAnsi="Times New Roman" w:cs="Times New Roman"/>
          <w:i/>
          <w:sz w:val="24"/>
          <w:szCs w:val="24"/>
        </w:rPr>
        <w:t xml:space="preserve">. </w:t>
      </w:r>
      <w:r w:rsidRPr="007344EA">
        <w:rPr>
          <w:rFonts w:ascii="Times New Roman" w:hAnsi="Times New Roman" w:cs="Times New Roman"/>
          <w:sz w:val="24"/>
          <w:szCs w:val="24"/>
        </w:rPr>
        <w:t xml:space="preserve">Šis aspektas taip </w:t>
      </w:r>
      <w:r w:rsidR="00853F0F" w:rsidRPr="007344EA">
        <w:rPr>
          <w:rFonts w:ascii="Times New Roman" w:hAnsi="Times New Roman" w:cs="Times New Roman"/>
          <w:sz w:val="24"/>
          <w:szCs w:val="24"/>
        </w:rPr>
        <w:t>pat nėra tiesiogiai įtvirtintas</w:t>
      </w:r>
      <w:r w:rsidRPr="007344EA">
        <w:rPr>
          <w:rFonts w:ascii="Times New Roman" w:hAnsi="Times New Roman" w:cs="Times New Roman"/>
          <w:sz w:val="24"/>
          <w:szCs w:val="24"/>
        </w:rPr>
        <w:t xml:space="preserve"> Direktyvoje 93/13. Jis atskleistas Teisingumo Teismo jurisprudencijoje, aiškinant Direktyvos 7 str</w:t>
      </w:r>
      <w:r w:rsidR="00B45663" w:rsidRPr="007344EA">
        <w:rPr>
          <w:rFonts w:ascii="Times New Roman" w:hAnsi="Times New Roman" w:cs="Times New Roman"/>
          <w:sz w:val="24"/>
          <w:szCs w:val="24"/>
        </w:rPr>
        <w:t>aipsnį</w:t>
      </w:r>
      <w:r w:rsidR="00E35D0D" w:rsidRPr="007344EA">
        <w:rPr>
          <w:rFonts w:ascii="Times New Roman" w:hAnsi="Times New Roman" w:cs="Times New Roman"/>
          <w:sz w:val="24"/>
          <w:szCs w:val="24"/>
        </w:rPr>
        <w:t xml:space="preserve">, kuriame įtvirtinta pareiga </w:t>
      </w:r>
      <w:r w:rsidRPr="007344EA">
        <w:rPr>
          <w:rFonts w:ascii="Times New Roman" w:hAnsi="Times New Roman" w:cs="Times New Roman"/>
          <w:sz w:val="24"/>
          <w:szCs w:val="24"/>
        </w:rPr>
        <w:t>valstybėms narėms imtis „pakankamų ir veiksmingų priemonių, užkertančių kelią nuolatiniam nesąžiningų sąlygų naudojimui sutartyse pardavėjų ar tiek</w:t>
      </w:r>
      <w:r w:rsidR="002B7641" w:rsidRPr="007344EA">
        <w:rPr>
          <w:rFonts w:ascii="Times New Roman" w:hAnsi="Times New Roman" w:cs="Times New Roman"/>
          <w:sz w:val="24"/>
          <w:szCs w:val="24"/>
        </w:rPr>
        <w:t>ėjų sudaromose su vartotojais“.</w:t>
      </w:r>
      <w:r w:rsidR="0084539E" w:rsidRPr="007344EA">
        <w:rPr>
          <w:rFonts w:ascii="Times New Roman" w:hAnsi="Times New Roman" w:cs="Times New Roman"/>
          <w:sz w:val="24"/>
          <w:szCs w:val="24"/>
        </w:rPr>
        <w:t xml:space="preserve"> Atgrasančiu poveikiu yra siekiama preve</w:t>
      </w:r>
      <w:r w:rsidR="00CF4B71" w:rsidRPr="007344EA">
        <w:rPr>
          <w:rFonts w:ascii="Times New Roman" w:hAnsi="Times New Roman" w:cs="Times New Roman"/>
          <w:sz w:val="24"/>
          <w:szCs w:val="24"/>
        </w:rPr>
        <w:t xml:space="preserve">ncinio </w:t>
      </w:r>
      <w:r w:rsidR="0084539E" w:rsidRPr="007344EA">
        <w:rPr>
          <w:rFonts w:ascii="Times New Roman" w:hAnsi="Times New Roman" w:cs="Times New Roman"/>
          <w:sz w:val="24"/>
          <w:szCs w:val="24"/>
        </w:rPr>
        <w:t>pobūdžio tikslų</w:t>
      </w:r>
      <w:r w:rsidR="00CF4B71" w:rsidRPr="007344EA">
        <w:rPr>
          <w:rFonts w:ascii="Times New Roman" w:hAnsi="Times New Roman" w:cs="Times New Roman"/>
          <w:sz w:val="24"/>
          <w:szCs w:val="24"/>
        </w:rPr>
        <w:t>. Kaip tinkamiausią</w:t>
      </w:r>
      <w:r w:rsidR="002B7641" w:rsidRPr="007344EA">
        <w:rPr>
          <w:rFonts w:ascii="Times New Roman" w:hAnsi="Times New Roman" w:cs="Times New Roman"/>
          <w:sz w:val="24"/>
          <w:szCs w:val="24"/>
        </w:rPr>
        <w:t xml:space="preserve"> prevencinio pobūdžio priemon</w:t>
      </w:r>
      <w:r w:rsidR="008F5902" w:rsidRPr="007344EA">
        <w:rPr>
          <w:rFonts w:ascii="Times New Roman" w:hAnsi="Times New Roman" w:cs="Times New Roman"/>
          <w:sz w:val="24"/>
          <w:szCs w:val="24"/>
        </w:rPr>
        <w:t>ę, siekiant užkir</w:t>
      </w:r>
      <w:r w:rsidR="009703F6" w:rsidRPr="007344EA">
        <w:rPr>
          <w:rFonts w:ascii="Times New Roman" w:hAnsi="Times New Roman" w:cs="Times New Roman"/>
          <w:sz w:val="24"/>
          <w:szCs w:val="24"/>
        </w:rPr>
        <w:t>s</w:t>
      </w:r>
      <w:r w:rsidR="008F5902" w:rsidRPr="007344EA">
        <w:rPr>
          <w:rFonts w:ascii="Times New Roman" w:hAnsi="Times New Roman" w:cs="Times New Roman"/>
          <w:sz w:val="24"/>
          <w:szCs w:val="24"/>
        </w:rPr>
        <w:t xml:space="preserve">ti kelią </w:t>
      </w:r>
      <w:r w:rsidR="002B7641" w:rsidRPr="007344EA">
        <w:rPr>
          <w:rFonts w:ascii="Times New Roman" w:hAnsi="Times New Roman" w:cs="Times New Roman"/>
          <w:sz w:val="24"/>
          <w:szCs w:val="24"/>
        </w:rPr>
        <w:t>nesąžiningų sąlygų sutartyse su vartotojais</w:t>
      </w:r>
      <w:r w:rsidR="008F5902" w:rsidRPr="007344EA">
        <w:rPr>
          <w:rFonts w:ascii="Times New Roman" w:hAnsi="Times New Roman" w:cs="Times New Roman"/>
          <w:sz w:val="24"/>
          <w:szCs w:val="24"/>
        </w:rPr>
        <w:t xml:space="preserve"> naudojimui</w:t>
      </w:r>
      <w:r w:rsidR="002B7641" w:rsidRPr="007344EA">
        <w:rPr>
          <w:rFonts w:ascii="Times New Roman" w:hAnsi="Times New Roman" w:cs="Times New Roman"/>
          <w:sz w:val="24"/>
          <w:szCs w:val="24"/>
        </w:rPr>
        <w:t xml:space="preserve">, Teisingumo Teismas išskiria nacionalinio teismo teisę </w:t>
      </w:r>
      <w:r w:rsidR="002B7641" w:rsidRPr="007344EA">
        <w:rPr>
          <w:rFonts w:ascii="Times New Roman" w:hAnsi="Times New Roman" w:cs="Times New Roman"/>
          <w:i/>
          <w:sz w:val="24"/>
          <w:szCs w:val="24"/>
        </w:rPr>
        <w:t>ex officio</w:t>
      </w:r>
      <w:r w:rsidR="002B7641" w:rsidRPr="007344EA">
        <w:rPr>
          <w:rFonts w:ascii="Times New Roman" w:hAnsi="Times New Roman" w:cs="Times New Roman"/>
          <w:sz w:val="24"/>
          <w:szCs w:val="24"/>
        </w:rPr>
        <w:t xml:space="preserve"> nustatyti t</w:t>
      </w:r>
      <w:r w:rsidR="00BF6971" w:rsidRPr="007344EA">
        <w:rPr>
          <w:rFonts w:ascii="Times New Roman" w:hAnsi="Times New Roman" w:cs="Times New Roman"/>
          <w:sz w:val="24"/>
          <w:szCs w:val="24"/>
        </w:rPr>
        <w:t xml:space="preserve">am tikros sąlygos nesąžiningumą ir galimybę tokią sąlygą pripažinti negaliojančia. </w:t>
      </w:r>
      <w:r w:rsidR="00BF6971" w:rsidRPr="007344EA">
        <w:rPr>
          <w:rFonts w:ascii="Times New Roman" w:hAnsi="Times New Roman" w:cs="Times New Roman"/>
          <w:i/>
          <w:sz w:val="24"/>
          <w:szCs w:val="24"/>
        </w:rPr>
        <w:t>Inter alia</w:t>
      </w:r>
      <w:r w:rsidR="00BF6971" w:rsidRPr="007344EA">
        <w:rPr>
          <w:rFonts w:ascii="Times New Roman" w:hAnsi="Times New Roman" w:cs="Times New Roman"/>
          <w:sz w:val="24"/>
          <w:szCs w:val="24"/>
        </w:rPr>
        <w:t xml:space="preserve">, jau minėtoje byloje </w:t>
      </w:r>
      <w:r w:rsidR="00BF6971" w:rsidRPr="007344EA">
        <w:rPr>
          <w:rFonts w:ascii="Times New Roman" w:hAnsi="Times New Roman" w:cs="Times New Roman"/>
          <w:i/>
          <w:sz w:val="24"/>
          <w:szCs w:val="24"/>
        </w:rPr>
        <w:t>Banco Espanol</w:t>
      </w:r>
      <w:r w:rsidR="00BF6971" w:rsidRPr="007344EA">
        <w:rPr>
          <w:rFonts w:ascii="Times New Roman" w:hAnsi="Times New Roman" w:cs="Times New Roman"/>
          <w:sz w:val="24"/>
          <w:szCs w:val="24"/>
        </w:rPr>
        <w:t xml:space="preserve"> Teisingumo Teismas, remdamasis Generalinės advokatės</w:t>
      </w:r>
      <w:r w:rsidR="000E69D5" w:rsidRPr="007344EA">
        <w:rPr>
          <w:rFonts w:ascii="Times New Roman" w:hAnsi="Times New Roman" w:cs="Times New Roman"/>
          <w:sz w:val="24"/>
          <w:szCs w:val="24"/>
        </w:rPr>
        <w:t xml:space="preserve"> </w:t>
      </w:r>
      <w:r w:rsidR="00943C62" w:rsidRPr="007344EA">
        <w:rPr>
          <w:rFonts w:ascii="Times New Roman" w:hAnsi="Times New Roman" w:cs="Times New Roman"/>
          <w:sz w:val="24"/>
          <w:szCs w:val="24"/>
        </w:rPr>
        <w:t xml:space="preserve">V. Trstenjak </w:t>
      </w:r>
      <w:r w:rsidR="00E35D0D" w:rsidRPr="007344EA">
        <w:rPr>
          <w:rFonts w:ascii="Times New Roman" w:hAnsi="Times New Roman" w:cs="Times New Roman"/>
          <w:sz w:val="24"/>
          <w:szCs w:val="24"/>
        </w:rPr>
        <w:t>išvado</w:t>
      </w:r>
      <w:r w:rsidR="000E69D5" w:rsidRPr="007344EA">
        <w:rPr>
          <w:rFonts w:ascii="Times New Roman" w:hAnsi="Times New Roman" w:cs="Times New Roman"/>
          <w:sz w:val="24"/>
          <w:szCs w:val="24"/>
        </w:rPr>
        <w:t>je suformuluota mintimi pastebi, kad „jei nacionaliniams teismams</w:t>
      </w:r>
      <w:r w:rsidR="00BF6971" w:rsidRPr="007344EA">
        <w:rPr>
          <w:rFonts w:ascii="Times New Roman" w:hAnsi="Times New Roman" w:cs="Times New Roman"/>
          <w:sz w:val="24"/>
          <w:szCs w:val="24"/>
        </w:rPr>
        <w:t xml:space="preserve"> </w:t>
      </w:r>
      <w:r w:rsidR="000E69D5" w:rsidRPr="007344EA">
        <w:rPr>
          <w:rFonts w:ascii="Times New Roman" w:hAnsi="Times New Roman" w:cs="Times New Roman"/>
          <w:sz w:val="24"/>
          <w:szCs w:val="24"/>
        </w:rPr>
        <w:t>būtų leidžiama pakeisti nesąžiningų sąlygų, esančių tokiose sutartyse, turinį, tokia galimybė galėtų pakenkti pasiekti Direktyvos 93/13 7 straipsnyje nurodytą ilgalaikį tikslą &lt;...&gt; padėtų panaikinti atgrasom</w:t>
      </w:r>
      <w:r w:rsidR="00943C62" w:rsidRPr="007344EA">
        <w:rPr>
          <w:rFonts w:ascii="Times New Roman" w:hAnsi="Times New Roman" w:cs="Times New Roman"/>
          <w:sz w:val="24"/>
          <w:szCs w:val="24"/>
        </w:rPr>
        <w:t>ą</w:t>
      </w:r>
      <w:r w:rsidR="000E69D5" w:rsidRPr="007344EA">
        <w:rPr>
          <w:rFonts w:ascii="Times New Roman" w:hAnsi="Times New Roman" w:cs="Times New Roman"/>
          <w:sz w:val="24"/>
          <w:szCs w:val="24"/>
        </w:rPr>
        <w:t>jį poveikį pardavėjams ar tiekėjams netaikyti tokių nesąžiningų sąlygų vartotojo atžvilgiu“</w:t>
      </w:r>
      <w:r w:rsidR="000E69D5" w:rsidRPr="007344EA">
        <w:rPr>
          <w:rStyle w:val="FootnoteReference"/>
          <w:rFonts w:ascii="Times New Roman" w:hAnsi="Times New Roman"/>
          <w:sz w:val="24"/>
          <w:szCs w:val="24"/>
        </w:rPr>
        <w:footnoteReference w:id="172"/>
      </w:r>
      <w:r w:rsidR="000E69D5" w:rsidRPr="007344EA">
        <w:rPr>
          <w:rFonts w:ascii="Times New Roman" w:hAnsi="Times New Roman" w:cs="Times New Roman"/>
          <w:sz w:val="24"/>
          <w:szCs w:val="24"/>
        </w:rPr>
        <w:t xml:space="preserve"> </w:t>
      </w:r>
      <w:r w:rsidR="002B7641" w:rsidRPr="007344EA">
        <w:rPr>
          <w:rFonts w:ascii="Times New Roman" w:hAnsi="Times New Roman" w:cs="Times New Roman"/>
          <w:sz w:val="24"/>
          <w:szCs w:val="24"/>
        </w:rPr>
        <w:t xml:space="preserve"> Plačiau apie nacionalinio teismo </w:t>
      </w:r>
      <w:r w:rsidR="002B7641" w:rsidRPr="007344EA">
        <w:rPr>
          <w:rFonts w:ascii="Times New Roman" w:hAnsi="Times New Roman" w:cs="Times New Roman"/>
          <w:i/>
          <w:sz w:val="24"/>
          <w:szCs w:val="24"/>
        </w:rPr>
        <w:t>ex officio</w:t>
      </w:r>
      <w:r w:rsidR="00AC3AB1" w:rsidRPr="007344EA">
        <w:rPr>
          <w:rFonts w:ascii="Times New Roman" w:hAnsi="Times New Roman" w:cs="Times New Roman"/>
          <w:sz w:val="24"/>
          <w:szCs w:val="24"/>
        </w:rPr>
        <w:t xml:space="preserve"> teisę, šio darbo </w:t>
      </w:r>
      <w:r w:rsidR="00710058" w:rsidRPr="007344EA">
        <w:rPr>
          <w:rFonts w:ascii="Times New Roman" w:hAnsi="Times New Roman" w:cs="Times New Roman"/>
          <w:sz w:val="24"/>
          <w:szCs w:val="24"/>
        </w:rPr>
        <w:t>skyriu</w:t>
      </w:r>
      <w:r w:rsidR="002B7641" w:rsidRPr="007344EA">
        <w:rPr>
          <w:rFonts w:ascii="Times New Roman" w:hAnsi="Times New Roman" w:cs="Times New Roman"/>
          <w:sz w:val="24"/>
          <w:szCs w:val="24"/>
        </w:rPr>
        <w:t xml:space="preserve">je „Valstybėms narėms tenkančios pareigos“. </w:t>
      </w:r>
    </w:p>
    <w:p w:rsidR="006306F5" w:rsidRPr="007344EA" w:rsidRDefault="006306F5" w:rsidP="006E00E1">
      <w:pPr>
        <w:spacing w:after="0" w:line="360" w:lineRule="auto"/>
        <w:ind w:firstLine="1296"/>
        <w:jc w:val="both"/>
        <w:rPr>
          <w:rFonts w:ascii="Times New Roman" w:hAnsi="Times New Roman" w:cs="Times New Roman"/>
          <w:i/>
          <w:sz w:val="24"/>
          <w:szCs w:val="24"/>
        </w:rPr>
      </w:pPr>
      <w:r w:rsidRPr="007344EA">
        <w:rPr>
          <w:rFonts w:ascii="Times New Roman" w:hAnsi="Times New Roman" w:cs="Times New Roman"/>
          <w:i/>
          <w:sz w:val="24"/>
          <w:szCs w:val="24"/>
        </w:rPr>
        <w:lastRenderedPageBreak/>
        <w:t>Gyvenimo kokybės kėlimas</w:t>
      </w:r>
      <w:r w:rsidRPr="007344EA">
        <w:rPr>
          <w:rFonts w:ascii="Times New Roman" w:hAnsi="Times New Roman" w:cs="Times New Roman"/>
          <w:sz w:val="24"/>
          <w:szCs w:val="24"/>
        </w:rPr>
        <w:t>.</w:t>
      </w:r>
      <w:r w:rsidR="00E35D0D" w:rsidRPr="007344EA">
        <w:rPr>
          <w:rFonts w:ascii="Times New Roman" w:hAnsi="Times New Roman" w:cs="Times New Roman"/>
          <w:sz w:val="24"/>
          <w:szCs w:val="24"/>
        </w:rPr>
        <w:t xml:space="preserve"> </w:t>
      </w:r>
      <w:r w:rsidRPr="007344EA">
        <w:rPr>
          <w:rFonts w:ascii="Times New Roman" w:hAnsi="Times New Roman" w:cs="Times New Roman"/>
          <w:sz w:val="24"/>
          <w:szCs w:val="24"/>
        </w:rPr>
        <w:t>„Teisingumo Teismo nuomone, direktyva, kuria siekiama sustiprinti vartotojų apsaugą, pagal EB 3 straipsnio 1 dalies t punktą</w:t>
      </w:r>
      <w:r w:rsidRPr="007344EA">
        <w:rPr>
          <w:rStyle w:val="FootnoteReference"/>
          <w:rFonts w:ascii="Times New Roman" w:hAnsi="Times New Roman"/>
          <w:sz w:val="24"/>
          <w:szCs w:val="24"/>
        </w:rPr>
        <w:footnoteReference w:id="173"/>
      </w:r>
      <w:r w:rsidRPr="007344EA">
        <w:rPr>
          <w:rFonts w:ascii="Times New Roman" w:hAnsi="Times New Roman" w:cs="Times New Roman"/>
          <w:sz w:val="24"/>
          <w:szCs w:val="24"/>
        </w:rPr>
        <w:t xml:space="preserve"> yra būtina priemonė Bendrijai nustatytoms užduotims vykdyti ir būtent gyvenimo lygiui ir kokybei kelti visoje Bendrijoje</w:t>
      </w:r>
      <w:r w:rsidR="00AC3AB1" w:rsidRPr="007344EA">
        <w:rPr>
          <w:rFonts w:ascii="Times New Roman" w:hAnsi="Times New Roman" w:cs="Times New Roman"/>
          <w:sz w:val="24"/>
          <w:szCs w:val="24"/>
        </w:rPr>
        <w:t>.</w:t>
      </w:r>
      <w:r w:rsidRPr="007344EA">
        <w:rPr>
          <w:rFonts w:ascii="Times New Roman" w:hAnsi="Times New Roman" w:cs="Times New Roman"/>
          <w:sz w:val="24"/>
          <w:szCs w:val="24"/>
        </w:rPr>
        <w:t>“</w:t>
      </w:r>
      <w:r w:rsidRPr="007344EA">
        <w:rPr>
          <w:rStyle w:val="FootnoteReference"/>
          <w:rFonts w:ascii="Times New Roman" w:hAnsi="Times New Roman"/>
          <w:sz w:val="24"/>
          <w:szCs w:val="24"/>
        </w:rPr>
        <w:footnoteReference w:id="174"/>
      </w:r>
      <w:r w:rsidR="008925EF" w:rsidRPr="007344EA">
        <w:rPr>
          <w:rFonts w:ascii="Times New Roman" w:hAnsi="Times New Roman" w:cs="Times New Roman"/>
          <w:sz w:val="24"/>
          <w:szCs w:val="24"/>
        </w:rPr>
        <w:t xml:space="preserve"> Taigi, Teisingumo Teismas </w:t>
      </w:r>
      <w:r w:rsidR="00FD0F61" w:rsidRPr="007344EA">
        <w:rPr>
          <w:rFonts w:ascii="Times New Roman" w:hAnsi="Times New Roman" w:cs="Times New Roman"/>
          <w:sz w:val="24"/>
          <w:szCs w:val="24"/>
        </w:rPr>
        <w:t>D</w:t>
      </w:r>
      <w:r w:rsidR="008925EF" w:rsidRPr="007344EA">
        <w:rPr>
          <w:rFonts w:ascii="Times New Roman" w:hAnsi="Times New Roman" w:cs="Times New Roman"/>
          <w:sz w:val="24"/>
          <w:szCs w:val="24"/>
        </w:rPr>
        <w:t xml:space="preserve">irektyvai </w:t>
      </w:r>
      <w:r w:rsidR="00FD0F61" w:rsidRPr="007344EA">
        <w:rPr>
          <w:rFonts w:ascii="Times New Roman" w:hAnsi="Times New Roman" w:cs="Times New Roman"/>
          <w:sz w:val="24"/>
          <w:szCs w:val="24"/>
        </w:rPr>
        <w:t xml:space="preserve">93/13 </w:t>
      </w:r>
      <w:r w:rsidR="008925EF" w:rsidRPr="007344EA">
        <w:rPr>
          <w:rFonts w:ascii="Times New Roman" w:hAnsi="Times New Roman" w:cs="Times New Roman"/>
          <w:sz w:val="24"/>
          <w:szCs w:val="24"/>
        </w:rPr>
        <w:t>suteikia daug platesnius tiksl</w:t>
      </w:r>
      <w:r w:rsidR="00FD0F61" w:rsidRPr="007344EA">
        <w:rPr>
          <w:rFonts w:ascii="Times New Roman" w:hAnsi="Times New Roman" w:cs="Times New Roman"/>
          <w:sz w:val="24"/>
          <w:szCs w:val="24"/>
        </w:rPr>
        <w:t xml:space="preserve">us, išeinančius iš ekonominio pobūdžio siekių ribų. </w:t>
      </w:r>
    </w:p>
    <w:p w:rsidR="00235983" w:rsidRPr="007344EA" w:rsidRDefault="006306F5"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Iš Teisingumo Teismo praktikos išplaukianti vartotojo apsaugos schema yra pakankamai paprasta</w:t>
      </w:r>
      <w:r w:rsidR="00FD0F61" w:rsidRPr="007344EA">
        <w:rPr>
          <w:rFonts w:ascii="Times New Roman" w:hAnsi="Times New Roman" w:cs="Times New Roman"/>
          <w:sz w:val="24"/>
          <w:szCs w:val="24"/>
        </w:rPr>
        <w:t>, sudaryta iš tam tikrų elementų</w:t>
      </w:r>
      <w:r w:rsidRPr="007344EA">
        <w:rPr>
          <w:rFonts w:ascii="Times New Roman" w:hAnsi="Times New Roman" w:cs="Times New Roman"/>
          <w:sz w:val="24"/>
          <w:szCs w:val="24"/>
        </w:rPr>
        <w:t>: dėl „</w:t>
      </w:r>
      <w:r w:rsidR="00B25C00" w:rsidRPr="007344EA">
        <w:rPr>
          <w:rFonts w:ascii="Times New Roman" w:hAnsi="Times New Roman" w:cs="Times New Roman"/>
          <w:i/>
          <w:sz w:val="24"/>
          <w:szCs w:val="24"/>
        </w:rPr>
        <w:t>mažiau palankios vartotojo</w:t>
      </w:r>
      <w:r w:rsidRPr="007344EA">
        <w:rPr>
          <w:rFonts w:ascii="Times New Roman" w:hAnsi="Times New Roman" w:cs="Times New Roman"/>
          <w:i/>
          <w:sz w:val="24"/>
          <w:szCs w:val="24"/>
        </w:rPr>
        <w:t xml:space="preserve"> situacijos</w:t>
      </w:r>
      <w:r w:rsidRPr="007344EA">
        <w:rPr>
          <w:rFonts w:ascii="Times New Roman" w:hAnsi="Times New Roman" w:cs="Times New Roman"/>
          <w:sz w:val="24"/>
          <w:szCs w:val="24"/>
        </w:rPr>
        <w:t>“</w:t>
      </w:r>
      <w:r w:rsidR="00CF4B71" w:rsidRPr="007344EA">
        <w:rPr>
          <w:rFonts w:ascii="Times New Roman" w:hAnsi="Times New Roman" w:cs="Times New Roman"/>
          <w:sz w:val="24"/>
          <w:szCs w:val="24"/>
        </w:rPr>
        <w:t xml:space="preserve">, kuri yra sąlygota informacijos stoka, galimybės derėtis nebuvimu, </w:t>
      </w:r>
      <w:r w:rsidRPr="007344EA">
        <w:rPr>
          <w:rFonts w:ascii="Times New Roman" w:hAnsi="Times New Roman" w:cs="Times New Roman"/>
          <w:sz w:val="24"/>
          <w:szCs w:val="24"/>
        </w:rPr>
        <w:t xml:space="preserve"> būtina „</w:t>
      </w:r>
      <w:r w:rsidRPr="007344EA">
        <w:rPr>
          <w:rFonts w:ascii="Times New Roman" w:hAnsi="Times New Roman" w:cs="Times New Roman"/>
          <w:i/>
          <w:sz w:val="24"/>
          <w:szCs w:val="24"/>
        </w:rPr>
        <w:t>atkurti šalių lygybę</w:t>
      </w:r>
      <w:r w:rsidR="00AC2131" w:rsidRPr="007344EA">
        <w:rPr>
          <w:rFonts w:ascii="Times New Roman" w:hAnsi="Times New Roman" w:cs="Times New Roman"/>
          <w:sz w:val="24"/>
          <w:szCs w:val="24"/>
        </w:rPr>
        <w:t>“,</w:t>
      </w:r>
      <w:r w:rsidRPr="007344EA">
        <w:rPr>
          <w:rFonts w:ascii="Times New Roman" w:hAnsi="Times New Roman" w:cs="Times New Roman"/>
          <w:sz w:val="24"/>
          <w:szCs w:val="24"/>
        </w:rPr>
        <w:t xml:space="preserve"> tai pasiekti galima tik „</w:t>
      </w:r>
      <w:r w:rsidRPr="007344EA">
        <w:rPr>
          <w:rFonts w:ascii="Times New Roman" w:hAnsi="Times New Roman" w:cs="Times New Roman"/>
          <w:i/>
          <w:sz w:val="24"/>
          <w:szCs w:val="24"/>
        </w:rPr>
        <w:t>tik pozityviais su sutartiniais santykiais nesusijusių subjektų veiksmais</w:t>
      </w:r>
      <w:r w:rsidRPr="007344EA">
        <w:rPr>
          <w:rFonts w:ascii="Times New Roman" w:hAnsi="Times New Roman" w:cs="Times New Roman"/>
          <w:sz w:val="24"/>
          <w:szCs w:val="24"/>
        </w:rPr>
        <w:t>“, minėtieji veiksmai turi pasižymėti „</w:t>
      </w:r>
      <w:r w:rsidRPr="007344EA">
        <w:rPr>
          <w:rFonts w:ascii="Times New Roman" w:hAnsi="Times New Roman" w:cs="Times New Roman"/>
          <w:i/>
          <w:sz w:val="24"/>
          <w:szCs w:val="24"/>
        </w:rPr>
        <w:t>atgrasomuoju poveikiu</w:t>
      </w:r>
      <w:r w:rsidRPr="007344EA">
        <w:rPr>
          <w:rFonts w:ascii="Times New Roman" w:hAnsi="Times New Roman" w:cs="Times New Roman"/>
          <w:sz w:val="24"/>
          <w:szCs w:val="24"/>
        </w:rPr>
        <w:t xml:space="preserve">“ nesąžiningų </w:t>
      </w:r>
      <w:r w:rsidR="00AC2131" w:rsidRPr="007344EA">
        <w:rPr>
          <w:rFonts w:ascii="Times New Roman" w:hAnsi="Times New Roman" w:cs="Times New Roman"/>
          <w:sz w:val="24"/>
          <w:szCs w:val="24"/>
        </w:rPr>
        <w:t>sąlygų prevencijai užtikrinti, o tai sąlygoja  „</w:t>
      </w:r>
      <w:r w:rsidR="00AC2131" w:rsidRPr="007344EA">
        <w:rPr>
          <w:rFonts w:ascii="Times New Roman" w:hAnsi="Times New Roman" w:cs="Times New Roman"/>
          <w:i/>
          <w:sz w:val="24"/>
          <w:szCs w:val="24"/>
        </w:rPr>
        <w:t>gyvenimo kokybės kėlimą</w:t>
      </w:r>
      <w:r w:rsidR="00AC2131" w:rsidRPr="007344EA">
        <w:rPr>
          <w:rFonts w:ascii="Times New Roman" w:hAnsi="Times New Roman" w:cs="Times New Roman"/>
          <w:sz w:val="24"/>
          <w:szCs w:val="24"/>
        </w:rPr>
        <w:t xml:space="preserve">“ Sąjungoje. </w:t>
      </w:r>
    </w:p>
    <w:p w:rsidR="00E75119" w:rsidRPr="007344EA" w:rsidRDefault="00DF6FD4" w:rsidP="000F6662">
      <w:pPr>
        <w:pStyle w:val="Heading3"/>
        <w:rPr>
          <w:rFonts w:ascii="Times New Roman" w:hAnsi="Times New Roman" w:cs="Times New Roman"/>
          <w:color w:val="000000" w:themeColor="text1"/>
          <w:sz w:val="24"/>
          <w:szCs w:val="24"/>
        </w:rPr>
      </w:pPr>
      <w:bookmarkStart w:id="13" w:name="_Toc344337162"/>
      <w:r w:rsidRPr="007344EA">
        <w:rPr>
          <w:rFonts w:ascii="Times New Roman" w:hAnsi="Times New Roman" w:cs="Times New Roman"/>
          <w:color w:val="000000" w:themeColor="text1"/>
          <w:sz w:val="24"/>
          <w:szCs w:val="24"/>
        </w:rPr>
        <w:t>3</w:t>
      </w:r>
      <w:r w:rsidR="00E75119" w:rsidRPr="007344EA">
        <w:rPr>
          <w:rFonts w:ascii="Times New Roman" w:hAnsi="Times New Roman" w:cs="Times New Roman"/>
          <w:color w:val="000000" w:themeColor="text1"/>
          <w:sz w:val="24"/>
          <w:szCs w:val="24"/>
        </w:rPr>
        <w:t>.1.2</w:t>
      </w:r>
      <w:r w:rsidR="00532BB0" w:rsidRPr="007344EA">
        <w:rPr>
          <w:rFonts w:ascii="Times New Roman" w:hAnsi="Times New Roman" w:cs="Times New Roman"/>
          <w:color w:val="000000" w:themeColor="text1"/>
          <w:sz w:val="24"/>
          <w:szCs w:val="24"/>
        </w:rPr>
        <w:t>.</w:t>
      </w:r>
      <w:r w:rsidR="00E75119" w:rsidRPr="007344EA">
        <w:rPr>
          <w:rFonts w:ascii="Times New Roman" w:hAnsi="Times New Roman" w:cs="Times New Roman"/>
          <w:color w:val="000000" w:themeColor="text1"/>
          <w:sz w:val="24"/>
          <w:szCs w:val="24"/>
        </w:rPr>
        <w:t xml:space="preserve"> Vidaus rinkos sukūrimas</w:t>
      </w:r>
      <w:bookmarkEnd w:id="13"/>
    </w:p>
    <w:p w:rsidR="00235983" w:rsidRPr="007344EA" w:rsidRDefault="00235983" w:rsidP="006E00E1">
      <w:pPr>
        <w:spacing w:after="0" w:line="360" w:lineRule="auto"/>
        <w:ind w:firstLine="1296"/>
        <w:jc w:val="both"/>
        <w:rPr>
          <w:rFonts w:ascii="Times New Roman" w:hAnsi="Times New Roman" w:cs="Times New Roman"/>
          <w:sz w:val="24"/>
          <w:szCs w:val="24"/>
        </w:rPr>
      </w:pPr>
    </w:p>
    <w:p w:rsidR="006306F5" w:rsidRPr="007344EA" w:rsidRDefault="00F21350"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Kitas</w:t>
      </w:r>
      <w:r w:rsidR="006306F5" w:rsidRPr="007344EA">
        <w:rPr>
          <w:rFonts w:ascii="Times New Roman" w:hAnsi="Times New Roman" w:cs="Times New Roman"/>
          <w:sz w:val="24"/>
          <w:szCs w:val="24"/>
        </w:rPr>
        <w:t xml:space="preserve"> Direktyva 93/13 siekiamas tikslas</w:t>
      </w:r>
      <w:r w:rsidR="00224D1C" w:rsidRPr="007344EA">
        <w:rPr>
          <w:rFonts w:ascii="Times New Roman" w:hAnsi="Times New Roman" w:cs="Times New Roman"/>
          <w:sz w:val="24"/>
          <w:szCs w:val="24"/>
        </w:rPr>
        <w:t xml:space="preserve"> −</w:t>
      </w:r>
      <w:r w:rsidR="006306F5" w:rsidRPr="007344EA">
        <w:rPr>
          <w:rFonts w:ascii="Times New Roman" w:hAnsi="Times New Roman" w:cs="Times New Roman"/>
          <w:sz w:val="24"/>
          <w:szCs w:val="24"/>
        </w:rPr>
        <w:t xml:space="preserve"> vidaus rinkos sukūrimas. Šis tikslas yra įtvirtintas Direktyvos 93/13 preambulės pirmojoje, šeštojoje ir septintojoje dalyse. Istoriškai svarbiausias Sąjungos elementas yra vidaus rinka, kurioje pagrindinę vietą užima laisvas prekių judėjimas, kurio atžvilgiu Teisingumo Teismo suformuluoti principai ir jų aiškinimas </w:t>
      </w:r>
      <w:r w:rsidR="00DF4A08" w:rsidRPr="007344EA">
        <w:rPr>
          <w:rFonts w:ascii="Times New Roman" w:hAnsi="Times New Roman" w:cs="Times New Roman"/>
          <w:sz w:val="24"/>
          <w:szCs w:val="24"/>
        </w:rPr>
        <w:t xml:space="preserve">buvo pritaikyti kitose laisvėse </w:t>
      </w:r>
      <w:r w:rsidR="006306F5" w:rsidRPr="007344EA">
        <w:rPr>
          <w:rFonts w:ascii="Times New Roman" w:hAnsi="Times New Roman" w:cs="Times New Roman"/>
          <w:sz w:val="24"/>
          <w:szCs w:val="24"/>
        </w:rPr>
        <w:t>(pvz.: abipusio pripažinimo principas, proporcingumo principo aiškinamas ir pan).</w:t>
      </w:r>
      <w:r w:rsidR="006306F5" w:rsidRPr="007344EA">
        <w:rPr>
          <w:rStyle w:val="FootnoteReference"/>
          <w:rFonts w:ascii="Times New Roman" w:hAnsi="Times New Roman"/>
          <w:sz w:val="24"/>
          <w:szCs w:val="24"/>
        </w:rPr>
        <w:footnoteReference w:id="175"/>
      </w:r>
      <w:r w:rsidR="006306F5" w:rsidRPr="007344EA">
        <w:rPr>
          <w:rFonts w:ascii="Times New Roman" w:hAnsi="Times New Roman" w:cs="Times New Roman"/>
          <w:sz w:val="24"/>
          <w:szCs w:val="24"/>
        </w:rPr>
        <w:t xml:space="preserve"> Vidaus rinka tai viena iš keturių</w:t>
      </w:r>
      <w:r w:rsidR="006306F5" w:rsidRPr="007344EA">
        <w:rPr>
          <w:rStyle w:val="FootnoteReference"/>
          <w:rFonts w:ascii="Times New Roman" w:hAnsi="Times New Roman"/>
          <w:sz w:val="24"/>
          <w:szCs w:val="24"/>
        </w:rPr>
        <w:footnoteReference w:id="176"/>
      </w:r>
      <w:r w:rsidR="006306F5" w:rsidRPr="007344EA">
        <w:rPr>
          <w:rFonts w:ascii="Times New Roman" w:hAnsi="Times New Roman" w:cs="Times New Roman"/>
          <w:sz w:val="24"/>
          <w:szCs w:val="24"/>
        </w:rPr>
        <w:t xml:space="preserve"> regioninės integracijos formų. Pirminėje Sąjungos teisėje (SESV 26 str</w:t>
      </w:r>
      <w:r w:rsidR="00235983" w:rsidRPr="007344EA">
        <w:rPr>
          <w:rFonts w:ascii="Times New Roman" w:hAnsi="Times New Roman" w:cs="Times New Roman"/>
          <w:sz w:val="24"/>
          <w:szCs w:val="24"/>
        </w:rPr>
        <w:t>aipsnio 2 dalis</w:t>
      </w:r>
      <w:r w:rsidR="006306F5" w:rsidRPr="007344EA">
        <w:rPr>
          <w:rFonts w:ascii="Times New Roman" w:hAnsi="Times New Roman" w:cs="Times New Roman"/>
          <w:sz w:val="24"/>
          <w:szCs w:val="24"/>
        </w:rPr>
        <w:t>) yra įtvirtintas vidaus rinkos apibrėžimas</w:t>
      </w:r>
      <w:r w:rsidR="00224D1C" w:rsidRPr="007344EA">
        <w:rPr>
          <w:rFonts w:ascii="Times New Roman" w:hAnsi="Times New Roman" w:cs="Times New Roman"/>
          <w:sz w:val="24"/>
          <w:szCs w:val="24"/>
        </w:rPr>
        <w:t xml:space="preserve"> −</w:t>
      </w:r>
      <w:r w:rsidR="006306F5" w:rsidRPr="007344EA">
        <w:rPr>
          <w:rFonts w:ascii="Times New Roman" w:hAnsi="Times New Roman" w:cs="Times New Roman"/>
          <w:sz w:val="24"/>
          <w:szCs w:val="24"/>
        </w:rPr>
        <w:t xml:space="preserve"> „vidaus rinką sudaro vidaus sienų neturinti erdvė, kurioje pagal sutarčių nuostatas užtikrinamas laisvas prekių, asmenų, paslaugų ir kapitalo judėjimas“. Doktrinoje teigiama, kad vidaus rinka apima du aspektus: vidinį ir išorinį. Vidinis aspektas siejasi su minėtomis keturiomis laisvėmis, kurios taikomos tarp vidaus rinkos valstybių narių, o išorinis aspektas apima bendros ekonominės politikos su trečiosiomis valstybėmis taikymą.</w:t>
      </w:r>
      <w:r w:rsidR="006306F5" w:rsidRPr="007344EA">
        <w:rPr>
          <w:rStyle w:val="FootnoteReference"/>
          <w:rFonts w:ascii="Times New Roman" w:hAnsi="Times New Roman"/>
          <w:sz w:val="24"/>
          <w:szCs w:val="24"/>
        </w:rPr>
        <w:footnoteReference w:id="177"/>
      </w:r>
      <w:r w:rsidR="006306F5" w:rsidRPr="007344EA">
        <w:rPr>
          <w:rFonts w:ascii="Times New Roman" w:hAnsi="Times New Roman" w:cs="Times New Roman"/>
          <w:sz w:val="24"/>
          <w:szCs w:val="24"/>
        </w:rPr>
        <w:t xml:space="preserve"> Kalbant apie vartotojų apsaugą </w:t>
      </w:r>
      <w:r w:rsidR="006306F5" w:rsidRPr="007344EA">
        <w:rPr>
          <w:rFonts w:ascii="Times New Roman" w:hAnsi="Times New Roman" w:cs="Times New Roman"/>
          <w:sz w:val="24"/>
          <w:szCs w:val="24"/>
        </w:rPr>
        <w:lastRenderedPageBreak/>
        <w:t>nuo nesąžiningų sąlygų naudojimo yra svarbus vidinis aspektas, o konkrečiai dvi iš keturių laisvių, sudarančių jo turinį, tai laisvas prekių ir paslaugų judėjimas bei laisvas asmenų judėjimas. Kaip jau minėta šio magistro baigiamojo darbo įvade Sąjungos teisės aktų leid</w:t>
      </w:r>
      <w:r w:rsidR="00704493" w:rsidRPr="007344EA">
        <w:rPr>
          <w:rFonts w:ascii="Times New Roman" w:hAnsi="Times New Roman" w:cs="Times New Roman"/>
          <w:sz w:val="24"/>
          <w:szCs w:val="24"/>
        </w:rPr>
        <w:t>ėjas priimdamas Direktyvą 93/13</w:t>
      </w:r>
      <w:r w:rsidR="006306F5" w:rsidRPr="007344EA">
        <w:rPr>
          <w:rFonts w:ascii="Times New Roman" w:hAnsi="Times New Roman" w:cs="Times New Roman"/>
          <w:sz w:val="24"/>
          <w:szCs w:val="24"/>
        </w:rPr>
        <w:t xml:space="preserve"> siekė paskatinti „atvirkštinį“ laisvą prekių ir paslaugų judėjimą, kuomet ne prekės ar paslaugos </w:t>
      </w:r>
      <w:r w:rsidR="00AC2131" w:rsidRPr="007344EA">
        <w:rPr>
          <w:rFonts w:ascii="Times New Roman" w:hAnsi="Times New Roman" w:cs="Times New Roman"/>
          <w:sz w:val="24"/>
          <w:szCs w:val="24"/>
        </w:rPr>
        <w:t>„</w:t>
      </w:r>
      <w:r w:rsidR="006306F5" w:rsidRPr="007344EA">
        <w:rPr>
          <w:rFonts w:ascii="Times New Roman" w:hAnsi="Times New Roman" w:cs="Times New Roman"/>
          <w:sz w:val="24"/>
          <w:szCs w:val="24"/>
        </w:rPr>
        <w:t>juda</w:t>
      </w:r>
      <w:r w:rsidR="00AC2131" w:rsidRPr="007344EA">
        <w:rPr>
          <w:rFonts w:ascii="Times New Roman" w:hAnsi="Times New Roman" w:cs="Times New Roman"/>
          <w:sz w:val="24"/>
          <w:szCs w:val="24"/>
        </w:rPr>
        <w:t>“</w:t>
      </w:r>
      <w:r w:rsidR="006306F5" w:rsidRPr="007344EA">
        <w:rPr>
          <w:rFonts w:ascii="Times New Roman" w:hAnsi="Times New Roman" w:cs="Times New Roman"/>
          <w:sz w:val="24"/>
          <w:szCs w:val="24"/>
        </w:rPr>
        <w:t xml:space="preserve"> pas vartotoją, bet pats vartotojas </w:t>
      </w:r>
      <w:r w:rsidR="00AC2131" w:rsidRPr="007344EA">
        <w:rPr>
          <w:rFonts w:ascii="Times New Roman" w:hAnsi="Times New Roman" w:cs="Times New Roman"/>
          <w:sz w:val="24"/>
          <w:szCs w:val="24"/>
        </w:rPr>
        <w:t>„</w:t>
      </w:r>
      <w:r w:rsidR="006306F5" w:rsidRPr="007344EA">
        <w:rPr>
          <w:rFonts w:ascii="Times New Roman" w:hAnsi="Times New Roman" w:cs="Times New Roman"/>
          <w:sz w:val="24"/>
          <w:szCs w:val="24"/>
        </w:rPr>
        <w:t>juda</w:t>
      </w:r>
      <w:r w:rsidR="00AC2131" w:rsidRPr="007344EA">
        <w:rPr>
          <w:rFonts w:ascii="Times New Roman" w:hAnsi="Times New Roman" w:cs="Times New Roman"/>
          <w:sz w:val="24"/>
          <w:szCs w:val="24"/>
        </w:rPr>
        <w:t>“</w:t>
      </w:r>
      <w:r w:rsidR="006306F5" w:rsidRPr="007344EA">
        <w:rPr>
          <w:rFonts w:ascii="Times New Roman" w:hAnsi="Times New Roman" w:cs="Times New Roman"/>
          <w:sz w:val="24"/>
          <w:szCs w:val="24"/>
        </w:rPr>
        <w:t xml:space="preserve"> į kitas Sąjungos valstybes nares, siekdamas įsigyti tam tikrų prekių ar paslaugų. Vartotoją nuo prekių ar paslaugų įsigijimo kitoje valstybėje narėje gali sulaikyti tai, kad jis nežino kitos valstybės narės teisės normų, kurios reglamentuoja prekių ar paslaugų pardavimo sutartis. O nustatant vienodą minimalų standartą visoms Sąjungos valstybėms </w:t>
      </w:r>
      <w:r w:rsidR="00AC2131" w:rsidRPr="007344EA">
        <w:rPr>
          <w:rFonts w:ascii="Times New Roman" w:hAnsi="Times New Roman" w:cs="Times New Roman"/>
          <w:sz w:val="24"/>
          <w:szCs w:val="24"/>
        </w:rPr>
        <w:t xml:space="preserve">narėms </w:t>
      </w:r>
      <w:r w:rsidR="00BE4B3D" w:rsidRPr="007344EA">
        <w:rPr>
          <w:rFonts w:ascii="Times New Roman" w:hAnsi="Times New Roman" w:cs="Times New Roman"/>
          <w:sz w:val="24"/>
          <w:szCs w:val="24"/>
        </w:rPr>
        <w:t xml:space="preserve">šios vartotojo baimės tampa mažiau </w:t>
      </w:r>
      <w:r w:rsidR="006306F5" w:rsidRPr="007344EA">
        <w:rPr>
          <w:rFonts w:ascii="Times New Roman" w:hAnsi="Times New Roman" w:cs="Times New Roman"/>
          <w:sz w:val="24"/>
          <w:szCs w:val="24"/>
        </w:rPr>
        <w:t>pagrįstos, tokiu būdu yra vartotojas yra skatinamas tam tikras prekes ar paslaugas įsigyti kitose valstybėse narėse, jei ja</w:t>
      </w:r>
      <w:r w:rsidR="003A5F93" w:rsidRPr="007344EA">
        <w:rPr>
          <w:rFonts w:ascii="Times New Roman" w:hAnsi="Times New Roman" w:cs="Times New Roman"/>
          <w:sz w:val="24"/>
          <w:szCs w:val="24"/>
        </w:rPr>
        <w:t>m tai yra finansiškai palankiau ar konkrečių prekių pasirinkimas yra didesnis.</w:t>
      </w:r>
      <w:r w:rsidR="006306F5" w:rsidRPr="007344EA">
        <w:rPr>
          <w:rFonts w:ascii="Times New Roman" w:hAnsi="Times New Roman" w:cs="Times New Roman"/>
          <w:sz w:val="24"/>
          <w:szCs w:val="24"/>
        </w:rPr>
        <w:t xml:space="preserve"> Tai, kad vienas iš Direktyvos 93/13 tikslų yra vidaus rinkos sukūr</w:t>
      </w:r>
      <w:r w:rsidR="003A5F93" w:rsidRPr="007344EA">
        <w:rPr>
          <w:rFonts w:ascii="Times New Roman" w:hAnsi="Times New Roman" w:cs="Times New Roman"/>
          <w:sz w:val="24"/>
          <w:szCs w:val="24"/>
        </w:rPr>
        <w:t>imas patvirtina ir</w:t>
      </w:r>
      <w:r w:rsidR="00704493" w:rsidRPr="007344EA">
        <w:rPr>
          <w:rFonts w:ascii="Times New Roman" w:hAnsi="Times New Roman" w:cs="Times New Roman"/>
          <w:sz w:val="24"/>
          <w:szCs w:val="24"/>
        </w:rPr>
        <w:t xml:space="preserve"> Generalinė a</w:t>
      </w:r>
      <w:r w:rsidR="006306F5" w:rsidRPr="007344EA">
        <w:rPr>
          <w:rFonts w:ascii="Times New Roman" w:hAnsi="Times New Roman" w:cs="Times New Roman"/>
          <w:sz w:val="24"/>
          <w:szCs w:val="24"/>
        </w:rPr>
        <w:t xml:space="preserve">dvokatė V.Trstenjak pateiktoje išvadoje nagrinėjant bylą </w:t>
      </w:r>
      <w:r w:rsidR="00056125" w:rsidRPr="007344EA">
        <w:rPr>
          <w:rFonts w:ascii="Times New Roman" w:hAnsi="Times New Roman" w:cs="Times New Roman"/>
          <w:bCs/>
          <w:i/>
          <w:sz w:val="24"/>
          <w:szCs w:val="24"/>
          <w:lang w:val="pt-PT"/>
        </w:rPr>
        <w:t>Pereničová</w:t>
      </w:r>
      <w:r w:rsidR="006306F5" w:rsidRPr="007344EA">
        <w:rPr>
          <w:rStyle w:val="FootnoteReference"/>
          <w:rFonts w:ascii="Times New Roman" w:hAnsi="Times New Roman"/>
          <w:sz w:val="24"/>
          <w:szCs w:val="24"/>
        </w:rPr>
        <w:footnoteReference w:id="178"/>
      </w:r>
      <w:r w:rsidR="006306F5" w:rsidRPr="007344EA">
        <w:rPr>
          <w:rFonts w:ascii="Times New Roman" w:hAnsi="Times New Roman" w:cs="Times New Roman"/>
          <w:sz w:val="24"/>
          <w:szCs w:val="24"/>
        </w:rPr>
        <w:t xml:space="preserve"> Skirtingas sutarčių su varto</w:t>
      </w:r>
      <w:r w:rsidR="008E4BA9" w:rsidRPr="007344EA">
        <w:rPr>
          <w:rFonts w:ascii="Times New Roman" w:hAnsi="Times New Roman" w:cs="Times New Roman"/>
          <w:sz w:val="24"/>
          <w:szCs w:val="24"/>
        </w:rPr>
        <w:t xml:space="preserve">tojais reglamentavimas </w:t>
      </w:r>
      <w:r w:rsidR="006306F5" w:rsidRPr="007344EA">
        <w:rPr>
          <w:rFonts w:ascii="Times New Roman" w:hAnsi="Times New Roman" w:cs="Times New Roman"/>
          <w:sz w:val="24"/>
          <w:szCs w:val="24"/>
        </w:rPr>
        <w:t>Sąjungos valstybėse narėse neabejotinai iškreiptų konkurenciją, o konkurencijos iškraipymai yra nesuderina</w:t>
      </w:r>
      <w:r w:rsidR="00BE4B3D" w:rsidRPr="007344EA">
        <w:rPr>
          <w:rFonts w:ascii="Times New Roman" w:hAnsi="Times New Roman" w:cs="Times New Roman"/>
          <w:sz w:val="24"/>
          <w:szCs w:val="24"/>
        </w:rPr>
        <w:t xml:space="preserve">mi su vidaus rinkos principais. </w:t>
      </w:r>
      <w:r w:rsidR="00E31B21" w:rsidRPr="007344EA">
        <w:rPr>
          <w:rFonts w:ascii="Times New Roman" w:hAnsi="Times New Roman" w:cs="Times New Roman"/>
          <w:i/>
          <w:sz w:val="24"/>
          <w:szCs w:val="24"/>
        </w:rPr>
        <w:t>Inter alia</w:t>
      </w:r>
      <w:r w:rsidR="000A65A4" w:rsidRPr="007344EA">
        <w:rPr>
          <w:rFonts w:ascii="Times New Roman" w:hAnsi="Times New Roman" w:cs="Times New Roman"/>
          <w:sz w:val="24"/>
          <w:szCs w:val="24"/>
        </w:rPr>
        <w:t>, Generalinė a</w:t>
      </w:r>
      <w:r w:rsidR="00E31B21" w:rsidRPr="007344EA">
        <w:rPr>
          <w:rFonts w:ascii="Times New Roman" w:hAnsi="Times New Roman" w:cs="Times New Roman"/>
          <w:sz w:val="24"/>
          <w:szCs w:val="24"/>
        </w:rPr>
        <w:t>dvokatė savo teiginį papildo teigdama, „kad</w:t>
      </w:r>
      <w:r w:rsidR="00E31B21" w:rsidRPr="007344EA">
        <w:rPr>
          <w:rFonts w:ascii="Times New Roman" w:eastAsia="Times New Roman" w:hAnsi="Times New Roman" w:cs="Times New Roman"/>
          <w:sz w:val="24"/>
          <w:szCs w:val="24"/>
          <w:lang w:eastAsia="en-GB"/>
        </w:rPr>
        <w:t xml:space="preserve"> </w:t>
      </w:r>
      <w:r w:rsidR="00E31B21" w:rsidRPr="007344EA">
        <w:rPr>
          <w:rFonts w:ascii="Times New Roman" w:eastAsia="Times New Roman" w:hAnsi="Times New Roman" w:cs="Times New Roman"/>
          <w:sz w:val="24"/>
          <w:szCs w:val="24"/>
        </w:rPr>
        <w:t>nustatydamas vidaus rinkos tikslą Sąjungos teisės aktų leidėjas kartu reikalauja laikytis šalių valios autonomijos principo, kurio išraiška yra minėta sutarties šalių laisvės. Šalių valios autonomija, rinkos ekonomika ir konkurencija yra tarpusavyje susijusios</w:t>
      </w:r>
      <w:r w:rsidR="00E31B21" w:rsidRPr="007344EA">
        <w:rPr>
          <w:rFonts w:ascii="Times New Roman" w:hAnsi="Times New Roman" w:cs="Times New Roman"/>
          <w:sz w:val="24"/>
          <w:szCs w:val="24"/>
        </w:rPr>
        <w:t>”</w:t>
      </w:r>
      <w:r w:rsidR="00E31B21" w:rsidRPr="007344EA">
        <w:rPr>
          <w:rStyle w:val="FootnoteReference"/>
          <w:rFonts w:ascii="Times New Roman" w:hAnsi="Times New Roman"/>
          <w:sz w:val="24"/>
          <w:szCs w:val="24"/>
        </w:rPr>
        <w:footnoteReference w:id="179"/>
      </w:r>
      <w:r w:rsidR="000A65A4" w:rsidRPr="007344EA">
        <w:rPr>
          <w:rFonts w:ascii="Times New Roman" w:hAnsi="Times New Roman" w:cs="Times New Roman"/>
          <w:sz w:val="24"/>
          <w:szCs w:val="24"/>
        </w:rPr>
        <w:t>.</w:t>
      </w:r>
      <w:r w:rsidR="00E31B21" w:rsidRPr="007344EA">
        <w:rPr>
          <w:rFonts w:ascii="Times New Roman" w:hAnsi="Times New Roman" w:cs="Times New Roman"/>
          <w:sz w:val="24"/>
          <w:szCs w:val="24"/>
        </w:rPr>
        <w:t xml:space="preserve"> </w:t>
      </w:r>
      <w:r w:rsidR="00BE4B3D" w:rsidRPr="007344EA">
        <w:rPr>
          <w:rFonts w:ascii="Times New Roman" w:hAnsi="Times New Roman" w:cs="Times New Roman"/>
          <w:sz w:val="24"/>
          <w:szCs w:val="24"/>
        </w:rPr>
        <w:t xml:space="preserve">Ir nors vidaus rinkos sukūrimo tikslas </w:t>
      </w:r>
      <w:r w:rsidR="00BE4B3D" w:rsidRPr="007344EA">
        <w:rPr>
          <w:rFonts w:ascii="Times New Roman" w:hAnsi="Times New Roman" w:cs="Times New Roman"/>
          <w:i/>
          <w:sz w:val="24"/>
          <w:szCs w:val="24"/>
        </w:rPr>
        <w:t>expressis verbis</w:t>
      </w:r>
      <w:r w:rsidR="00BE4B3D" w:rsidRPr="007344EA">
        <w:rPr>
          <w:rFonts w:ascii="Times New Roman" w:hAnsi="Times New Roman" w:cs="Times New Roman"/>
          <w:sz w:val="24"/>
          <w:szCs w:val="24"/>
        </w:rPr>
        <w:t xml:space="preserve"> įtvirtintas Direktyvoje 93/13, Teisingumo Teismas plačiau neaiškino šio tikslo, ma</w:t>
      </w:r>
      <w:r w:rsidR="008E4BA9" w:rsidRPr="007344EA">
        <w:rPr>
          <w:rFonts w:ascii="Times New Roman" w:hAnsi="Times New Roman" w:cs="Times New Roman"/>
          <w:sz w:val="24"/>
          <w:szCs w:val="24"/>
        </w:rPr>
        <w:t>nytina dėl to, kad platesnio šio tikslo atskleidimo nereikalavo konkreči</w:t>
      </w:r>
      <w:r w:rsidR="00281542" w:rsidRPr="007344EA">
        <w:rPr>
          <w:rFonts w:ascii="Times New Roman" w:hAnsi="Times New Roman" w:cs="Times New Roman"/>
          <w:sz w:val="24"/>
          <w:szCs w:val="24"/>
        </w:rPr>
        <w:t xml:space="preserve">os nagrinėjamų bylų aplinkybės t.y. nebuvo kilusi grėsmė vidaus rinkos principams. </w:t>
      </w:r>
    </w:p>
    <w:p w:rsidR="00CD7A1E" w:rsidRPr="007344EA" w:rsidRDefault="00DF6FD4" w:rsidP="000F6662">
      <w:pPr>
        <w:pStyle w:val="Heading3"/>
        <w:rPr>
          <w:rFonts w:ascii="Times New Roman" w:hAnsi="Times New Roman" w:cs="Times New Roman"/>
          <w:color w:val="000000" w:themeColor="text1"/>
          <w:sz w:val="24"/>
          <w:szCs w:val="24"/>
        </w:rPr>
      </w:pPr>
      <w:bookmarkStart w:id="14" w:name="_Toc344337163"/>
      <w:r w:rsidRPr="007344EA">
        <w:rPr>
          <w:rFonts w:ascii="Times New Roman" w:hAnsi="Times New Roman" w:cs="Times New Roman"/>
          <w:color w:val="000000" w:themeColor="text1"/>
          <w:sz w:val="24"/>
          <w:szCs w:val="24"/>
        </w:rPr>
        <w:t>3</w:t>
      </w:r>
      <w:r w:rsidR="00E75119" w:rsidRPr="007344EA">
        <w:rPr>
          <w:rFonts w:ascii="Times New Roman" w:hAnsi="Times New Roman" w:cs="Times New Roman"/>
          <w:color w:val="000000" w:themeColor="text1"/>
          <w:sz w:val="24"/>
          <w:szCs w:val="24"/>
        </w:rPr>
        <w:t>.1.3 Sąžiningo verslininko apsauga</w:t>
      </w:r>
      <w:bookmarkEnd w:id="14"/>
    </w:p>
    <w:p w:rsidR="00235983" w:rsidRPr="007344EA" w:rsidRDefault="00235983" w:rsidP="006E00E1">
      <w:pPr>
        <w:spacing w:after="0" w:line="360" w:lineRule="auto"/>
        <w:ind w:firstLine="1296"/>
        <w:jc w:val="both"/>
        <w:rPr>
          <w:rFonts w:ascii="Times New Roman" w:hAnsi="Times New Roman" w:cs="Times New Roman"/>
          <w:sz w:val="24"/>
          <w:szCs w:val="24"/>
        </w:rPr>
      </w:pPr>
    </w:p>
    <w:p w:rsidR="00704493" w:rsidRPr="007344EA" w:rsidRDefault="006306F5" w:rsidP="00D65690">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Kai</w:t>
      </w:r>
      <w:r w:rsidR="00A34AD2" w:rsidRPr="007344EA">
        <w:rPr>
          <w:rFonts w:ascii="Times New Roman" w:hAnsi="Times New Roman" w:cs="Times New Roman"/>
          <w:sz w:val="24"/>
          <w:szCs w:val="24"/>
        </w:rPr>
        <w:t>p savarankišką Direktyvos 93/13</w:t>
      </w:r>
      <w:r w:rsidRPr="007344EA">
        <w:rPr>
          <w:rFonts w:ascii="Times New Roman" w:hAnsi="Times New Roman" w:cs="Times New Roman"/>
          <w:sz w:val="24"/>
          <w:szCs w:val="24"/>
        </w:rPr>
        <w:t xml:space="preserve"> tikslą reikia išskirti pardavėjo ar tiekėjo apsaugą nuo nesąžiningas sąlygas vartojimo sutartyse naudojančių konkurentų.  Šis Direktyvos 93/13 tikslas yra </w:t>
      </w:r>
      <w:r w:rsidRPr="007344EA">
        <w:rPr>
          <w:rFonts w:ascii="Times New Roman" w:hAnsi="Times New Roman" w:cs="Times New Roman"/>
          <w:i/>
          <w:sz w:val="24"/>
          <w:szCs w:val="24"/>
        </w:rPr>
        <w:t xml:space="preserve">expressis verbis </w:t>
      </w:r>
      <w:r w:rsidRPr="007344EA">
        <w:rPr>
          <w:rFonts w:ascii="Times New Roman" w:hAnsi="Times New Roman" w:cs="Times New Roman"/>
          <w:sz w:val="24"/>
          <w:szCs w:val="24"/>
        </w:rPr>
        <w:t>įtvirtintas Direktyvos 7 str</w:t>
      </w:r>
      <w:r w:rsidR="00235983" w:rsidRPr="007344EA">
        <w:rPr>
          <w:rFonts w:ascii="Times New Roman" w:hAnsi="Times New Roman" w:cs="Times New Roman"/>
          <w:sz w:val="24"/>
          <w:szCs w:val="24"/>
        </w:rPr>
        <w:t>aipsnio 1 dalyje</w:t>
      </w:r>
      <w:r w:rsidRPr="007344EA">
        <w:rPr>
          <w:rFonts w:ascii="Times New Roman" w:hAnsi="Times New Roman" w:cs="Times New Roman"/>
          <w:sz w:val="24"/>
          <w:szCs w:val="24"/>
        </w:rPr>
        <w:t xml:space="preserve">, kurioje Sąjungos valstybėms narėms nustatyta pareiga „užtikrinti, kad vartotojų </w:t>
      </w:r>
      <w:r w:rsidRPr="007344EA">
        <w:rPr>
          <w:rFonts w:ascii="Times New Roman" w:hAnsi="Times New Roman" w:cs="Times New Roman"/>
          <w:i/>
          <w:sz w:val="24"/>
          <w:szCs w:val="24"/>
        </w:rPr>
        <w:t>ir konkurentų naudai</w:t>
      </w:r>
      <w:r w:rsidRPr="007344EA">
        <w:rPr>
          <w:rFonts w:ascii="Times New Roman" w:hAnsi="Times New Roman" w:cs="Times New Roman"/>
          <w:sz w:val="24"/>
          <w:szCs w:val="24"/>
        </w:rPr>
        <w:t xml:space="preserve"> egzistuotų pakankamos ir veiksmingos priemonės, užkertančios kelią nesąžiningų sąlygų naudojimui sutartyse</w:t>
      </w:r>
      <w:r w:rsidR="00A34AD2" w:rsidRPr="007344EA">
        <w:rPr>
          <w:rFonts w:ascii="Times New Roman" w:hAnsi="Times New Roman" w:cs="Times New Roman"/>
          <w:sz w:val="24"/>
          <w:szCs w:val="24"/>
        </w:rPr>
        <w:t>“. Taip pat ir Direktyvos 93/13</w:t>
      </w:r>
      <w:r w:rsidRPr="007344EA">
        <w:rPr>
          <w:rFonts w:ascii="Times New Roman" w:hAnsi="Times New Roman" w:cs="Times New Roman"/>
          <w:sz w:val="24"/>
          <w:szCs w:val="24"/>
        </w:rPr>
        <w:t xml:space="preserve"> preambulės </w:t>
      </w:r>
      <w:r w:rsidR="001035AC" w:rsidRPr="007344EA">
        <w:rPr>
          <w:rFonts w:ascii="Times New Roman" w:hAnsi="Times New Roman" w:cs="Times New Roman"/>
          <w:sz w:val="24"/>
          <w:szCs w:val="24"/>
        </w:rPr>
        <w:t>2 bei 7</w:t>
      </w:r>
      <w:r w:rsidRPr="007344EA">
        <w:rPr>
          <w:rFonts w:ascii="Times New Roman" w:hAnsi="Times New Roman" w:cs="Times New Roman"/>
          <w:sz w:val="24"/>
          <w:szCs w:val="24"/>
        </w:rPr>
        <w:t xml:space="preserve"> pastraipose, kurios</w:t>
      </w:r>
      <w:r w:rsidR="001035AC" w:rsidRPr="007344EA">
        <w:rPr>
          <w:rFonts w:ascii="Times New Roman" w:hAnsi="Times New Roman" w:cs="Times New Roman"/>
          <w:sz w:val="24"/>
          <w:szCs w:val="24"/>
        </w:rPr>
        <w:t xml:space="preserve">e </w:t>
      </w:r>
      <w:r w:rsidR="00704493" w:rsidRPr="007344EA">
        <w:rPr>
          <w:rFonts w:ascii="Times New Roman" w:hAnsi="Times New Roman" w:cs="Times New Roman"/>
          <w:sz w:val="24"/>
          <w:szCs w:val="24"/>
        </w:rPr>
        <w:t xml:space="preserve">nurodoma, kad Direktyva 93/13 </w:t>
      </w:r>
      <w:r w:rsidR="001035AC" w:rsidRPr="007344EA">
        <w:rPr>
          <w:rFonts w:ascii="Times New Roman" w:hAnsi="Times New Roman" w:cs="Times New Roman"/>
          <w:sz w:val="24"/>
          <w:szCs w:val="24"/>
        </w:rPr>
        <w:t xml:space="preserve">siekiama išvengti konkurencijos iškraipymų ir palengvinti prekių ir paslaugų pardavimą tiek valstybės </w:t>
      </w:r>
      <w:r w:rsidR="003A0BA8" w:rsidRPr="007344EA">
        <w:rPr>
          <w:rFonts w:ascii="Times New Roman" w:hAnsi="Times New Roman" w:cs="Times New Roman"/>
          <w:sz w:val="24"/>
          <w:szCs w:val="24"/>
        </w:rPr>
        <w:t>narės viduje, tiek ir visoje vidaus rinkoje.</w:t>
      </w:r>
      <w:r w:rsidRPr="007344EA">
        <w:rPr>
          <w:rFonts w:ascii="Times New Roman" w:hAnsi="Times New Roman" w:cs="Times New Roman"/>
          <w:sz w:val="24"/>
          <w:szCs w:val="24"/>
        </w:rPr>
        <w:t xml:space="preserve"> Jau minėta, kad D. Bublienė </w:t>
      </w:r>
      <w:r w:rsidRPr="007344EA">
        <w:rPr>
          <w:rFonts w:ascii="Times New Roman" w:hAnsi="Times New Roman" w:cs="Times New Roman"/>
          <w:sz w:val="24"/>
          <w:szCs w:val="24"/>
        </w:rPr>
        <w:lastRenderedPageBreak/>
        <w:t xml:space="preserve">verslininko apsaugą laiko ne savarankišku, o tik išvestiniu Direktyvos 93/13 tikslu, motyvuodama tuo, kad „tiek, tiek bus pašalintos nesąžiningos sutarčių sąlygos iš rinkos, siekiant apsaugoti vartotoją, daugiau ar mažiau bus apsaugotas ir verslininkas“. </w:t>
      </w:r>
      <w:r w:rsidR="00AC2131" w:rsidRPr="007344EA">
        <w:rPr>
          <w:rFonts w:ascii="Times New Roman" w:hAnsi="Times New Roman" w:cs="Times New Roman"/>
          <w:sz w:val="24"/>
          <w:szCs w:val="24"/>
        </w:rPr>
        <w:t>M</w:t>
      </w:r>
      <w:r w:rsidR="00D65690" w:rsidRPr="007344EA">
        <w:rPr>
          <w:rFonts w:ascii="Times New Roman" w:hAnsi="Times New Roman" w:cs="Times New Roman"/>
          <w:sz w:val="24"/>
          <w:szCs w:val="24"/>
        </w:rPr>
        <w:t xml:space="preserve">anytina, kad toks požiūris yra atėjęs iš ES konkurencijos teisės, kurioje verslininko apsauga </w:t>
      </w:r>
      <w:r w:rsidR="00D65690" w:rsidRPr="007344EA">
        <w:rPr>
          <w:rFonts w:ascii="Times New Roman" w:hAnsi="Times New Roman" w:cs="Times New Roman"/>
          <w:i/>
          <w:sz w:val="24"/>
          <w:szCs w:val="24"/>
        </w:rPr>
        <w:t>per se</w:t>
      </w:r>
      <w:r w:rsidR="00D65690" w:rsidRPr="007344EA">
        <w:rPr>
          <w:rFonts w:ascii="Times New Roman" w:hAnsi="Times New Roman" w:cs="Times New Roman"/>
          <w:sz w:val="24"/>
          <w:szCs w:val="24"/>
        </w:rPr>
        <w:t xml:space="preserve"> nėra konkurencijos teisės tikslas, o saugomos yra tik tam tikros verslo grup</w:t>
      </w:r>
      <w:r w:rsidR="00F454E8" w:rsidRPr="007344EA">
        <w:rPr>
          <w:rFonts w:ascii="Times New Roman" w:hAnsi="Times New Roman" w:cs="Times New Roman"/>
          <w:sz w:val="24"/>
          <w:szCs w:val="24"/>
        </w:rPr>
        <w:t>ė</w:t>
      </w:r>
      <w:r w:rsidR="00D65690" w:rsidRPr="007344EA">
        <w:rPr>
          <w:rFonts w:ascii="Times New Roman" w:hAnsi="Times New Roman" w:cs="Times New Roman"/>
          <w:sz w:val="24"/>
          <w:szCs w:val="24"/>
        </w:rPr>
        <w:t>s, pvz.: smulkiosios ir vidutinės įmonės.  Taigi, šis vienintelis D. Bublienės</w:t>
      </w:r>
      <w:r w:rsidRPr="007344EA">
        <w:rPr>
          <w:rFonts w:ascii="Times New Roman" w:hAnsi="Times New Roman" w:cs="Times New Roman"/>
          <w:sz w:val="24"/>
          <w:szCs w:val="24"/>
        </w:rPr>
        <w:t xml:space="preserve"> argumentas neįtikina, kad verslininko apsauga nėra tiesioginis Direktyvos </w:t>
      </w:r>
      <w:r w:rsidR="000A65A4" w:rsidRPr="007344EA">
        <w:rPr>
          <w:rFonts w:ascii="Times New Roman" w:hAnsi="Times New Roman" w:cs="Times New Roman"/>
          <w:sz w:val="24"/>
          <w:szCs w:val="24"/>
        </w:rPr>
        <w:t xml:space="preserve">93/13 </w:t>
      </w:r>
      <w:r w:rsidRPr="007344EA">
        <w:rPr>
          <w:rFonts w:ascii="Times New Roman" w:hAnsi="Times New Roman" w:cs="Times New Roman"/>
          <w:sz w:val="24"/>
          <w:szCs w:val="24"/>
        </w:rPr>
        <w:t>tikslas. Remiantis tokia logika pašalinus nesąžiningas sąlygas iš sutarčių sudarytų su vartotojais bus pas</w:t>
      </w:r>
      <w:r w:rsidR="00D65690" w:rsidRPr="007344EA">
        <w:rPr>
          <w:rFonts w:ascii="Times New Roman" w:hAnsi="Times New Roman" w:cs="Times New Roman"/>
          <w:sz w:val="24"/>
          <w:szCs w:val="24"/>
        </w:rPr>
        <w:t>iekti ir kiti Direktyvoje 93/13</w:t>
      </w:r>
      <w:r w:rsidRPr="007344EA">
        <w:rPr>
          <w:rFonts w:ascii="Times New Roman" w:hAnsi="Times New Roman" w:cs="Times New Roman"/>
          <w:sz w:val="24"/>
          <w:szCs w:val="24"/>
        </w:rPr>
        <w:t xml:space="preserve"> </w:t>
      </w:r>
      <w:r w:rsidRPr="007344EA">
        <w:rPr>
          <w:rFonts w:ascii="Times New Roman" w:hAnsi="Times New Roman" w:cs="Times New Roman"/>
          <w:i/>
          <w:sz w:val="24"/>
          <w:szCs w:val="24"/>
        </w:rPr>
        <w:t>expressis verbis</w:t>
      </w:r>
      <w:r w:rsidR="00704493" w:rsidRPr="007344EA">
        <w:rPr>
          <w:rFonts w:ascii="Times New Roman" w:hAnsi="Times New Roman" w:cs="Times New Roman"/>
          <w:sz w:val="24"/>
          <w:szCs w:val="24"/>
        </w:rPr>
        <w:t xml:space="preserve"> </w:t>
      </w:r>
      <w:r w:rsidRPr="007344EA">
        <w:rPr>
          <w:rFonts w:ascii="Times New Roman" w:hAnsi="Times New Roman" w:cs="Times New Roman"/>
          <w:sz w:val="24"/>
          <w:szCs w:val="24"/>
        </w:rPr>
        <w:t>įtvirtinti tikslai</w:t>
      </w:r>
      <w:r w:rsidR="000A65A4" w:rsidRPr="007344EA">
        <w:rPr>
          <w:rFonts w:ascii="Times New Roman" w:hAnsi="Times New Roman" w:cs="Times New Roman"/>
          <w:sz w:val="24"/>
          <w:szCs w:val="24"/>
        </w:rPr>
        <w:t xml:space="preserve"> t</w:t>
      </w:r>
      <w:r w:rsidR="00704493" w:rsidRPr="007344EA">
        <w:rPr>
          <w:rFonts w:ascii="Times New Roman" w:hAnsi="Times New Roman" w:cs="Times New Roman"/>
          <w:sz w:val="24"/>
          <w:szCs w:val="24"/>
        </w:rPr>
        <w:t>i</w:t>
      </w:r>
      <w:r w:rsidR="000A65A4" w:rsidRPr="007344EA">
        <w:rPr>
          <w:rFonts w:ascii="Times New Roman" w:hAnsi="Times New Roman" w:cs="Times New Roman"/>
          <w:sz w:val="24"/>
          <w:szCs w:val="24"/>
        </w:rPr>
        <w:t>e</w:t>
      </w:r>
      <w:r w:rsidR="00704493" w:rsidRPr="007344EA">
        <w:rPr>
          <w:rFonts w:ascii="Times New Roman" w:hAnsi="Times New Roman" w:cs="Times New Roman"/>
          <w:sz w:val="24"/>
          <w:szCs w:val="24"/>
        </w:rPr>
        <w:t>k vartotojo apsauga, tiek ir</w:t>
      </w:r>
      <w:r w:rsidRPr="007344EA">
        <w:rPr>
          <w:rFonts w:ascii="Times New Roman" w:hAnsi="Times New Roman" w:cs="Times New Roman"/>
          <w:sz w:val="24"/>
          <w:szCs w:val="24"/>
        </w:rPr>
        <w:t xml:space="preserve"> vidaus rinkos sukūrimas. </w:t>
      </w:r>
      <w:r w:rsidR="00281542" w:rsidRPr="007344EA">
        <w:rPr>
          <w:rFonts w:ascii="Times New Roman" w:hAnsi="Times New Roman" w:cs="Times New Roman"/>
          <w:sz w:val="24"/>
          <w:szCs w:val="24"/>
        </w:rPr>
        <w:t>Teisingumo Teismas, kaip ir vidaus rinkos sukūrimo tikslo atveju</w:t>
      </w:r>
      <w:r w:rsidR="00F454E8" w:rsidRPr="007344EA">
        <w:rPr>
          <w:rFonts w:ascii="Times New Roman" w:hAnsi="Times New Roman" w:cs="Times New Roman"/>
          <w:sz w:val="24"/>
          <w:szCs w:val="24"/>
        </w:rPr>
        <w:t>,</w:t>
      </w:r>
      <w:r w:rsidR="00281542" w:rsidRPr="007344EA">
        <w:rPr>
          <w:rFonts w:ascii="Times New Roman" w:hAnsi="Times New Roman" w:cs="Times New Roman"/>
          <w:sz w:val="24"/>
          <w:szCs w:val="24"/>
        </w:rPr>
        <w:t xml:space="preserve"> plačiau neaiškino ir sąžiningo verslininko apsaugos, </w:t>
      </w:r>
      <w:r w:rsidR="004A1869" w:rsidRPr="007344EA">
        <w:rPr>
          <w:rFonts w:ascii="Times New Roman" w:hAnsi="Times New Roman" w:cs="Times New Roman"/>
          <w:sz w:val="24"/>
          <w:szCs w:val="24"/>
        </w:rPr>
        <w:t xml:space="preserve">bet </w:t>
      </w:r>
      <w:r w:rsidR="00281542" w:rsidRPr="007344EA">
        <w:rPr>
          <w:rFonts w:ascii="Times New Roman" w:hAnsi="Times New Roman" w:cs="Times New Roman"/>
          <w:sz w:val="24"/>
          <w:szCs w:val="24"/>
        </w:rPr>
        <w:t>tokį princi</w:t>
      </w:r>
      <w:r w:rsidR="000A65A4" w:rsidRPr="007344EA">
        <w:rPr>
          <w:rFonts w:ascii="Times New Roman" w:hAnsi="Times New Roman" w:cs="Times New Roman"/>
          <w:sz w:val="24"/>
          <w:szCs w:val="24"/>
        </w:rPr>
        <w:t xml:space="preserve">pą išskiria Generalinė advokatė: </w:t>
      </w:r>
      <w:r w:rsidR="000D0AC1" w:rsidRPr="007344EA">
        <w:rPr>
          <w:rFonts w:ascii="Times New Roman" w:hAnsi="Times New Roman" w:cs="Times New Roman"/>
          <w:sz w:val="24"/>
          <w:szCs w:val="24"/>
        </w:rPr>
        <w:t>„tačiau negalima pamiršti, kad Direktyvos </w:t>
      </w:r>
      <w:bookmarkStart w:id="15" w:name="ctx30"/>
      <w:r w:rsidR="000D0AC1" w:rsidRPr="007344EA">
        <w:rPr>
          <w:rFonts w:ascii="Times New Roman" w:hAnsi="Times New Roman" w:cs="Times New Roman"/>
          <w:sz w:val="24"/>
          <w:szCs w:val="24"/>
        </w:rPr>
        <w:t>93/13</w:t>
      </w:r>
      <w:bookmarkEnd w:id="15"/>
      <w:r w:rsidR="000D0AC1" w:rsidRPr="007344EA">
        <w:rPr>
          <w:rFonts w:ascii="Times New Roman" w:hAnsi="Times New Roman" w:cs="Times New Roman"/>
          <w:sz w:val="24"/>
          <w:szCs w:val="24"/>
        </w:rPr>
        <w:t xml:space="preserve"> 7 straipsnio 1 dalyje aiškiai reikalaujama nustatyti pakankamas ir veiksmingas priemones „&lt;...&gt; konkurentų naudai &lt;...&gt;“. Kitais žodžiais tariant, turi būti sukurtos procedūros, kurios leistų vienodai atsižvelgti į </w:t>
      </w:r>
      <w:r w:rsidR="000D0AC1" w:rsidRPr="007344EA">
        <w:rPr>
          <w:rFonts w:ascii="Times New Roman" w:hAnsi="Times New Roman" w:cs="Times New Roman"/>
          <w:i/>
          <w:iCs/>
          <w:sz w:val="24"/>
          <w:szCs w:val="24"/>
        </w:rPr>
        <w:t>abiejų sutarties šalių</w:t>
      </w:r>
      <w:r w:rsidR="000D0AC1" w:rsidRPr="007344EA">
        <w:rPr>
          <w:rFonts w:ascii="Times New Roman" w:hAnsi="Times New Roman" w:cs="Times New Roman"/>
          <w:sz w:val="24"/>
          <w:szCs w:val="24"/>
        </w:rPr>
        <w:t xml:space="preserve"> </w:t>
      </w:r>
      <w:r w:rsidR="000A65A4" w:rsidRPr="007344EA">
        <w:rPr>
          <w:rFonts w:ascii="Times New Roman" w:hAnsi="Times New Roman" w:cs="Times New Roman"/>
          <w:sz w:val="24"/>
          <w:szCs w:val="24"/>
        </w:rPr>
        <w:t xml:space="preserve">(išskirta autoriaus) </w:t>
      </w:r>
      <w:r w:rsidR="000D0AC1" w:rsidRPr="007344EA">
        <w:rPr>
          <w:rFonts w:ascii="Times New Roman" w:hAnsi="Times New Roman" w:cs="Times New Roman"/>
          <w:sz w:val="24"/>
          <w:szCs w:val="24"/>
        </w:rPr>
        <w:t>interesus.”</w:t>
      </w:r>
      <w:r w:rsidR="000D0AC1" w:rsidRPr="007344EA">
        <w:rPr>
          <w:rStyle w:val="FootnoteReference"/>
          <w:rFonts w:ascii="Times New Roman" w:hAnsi="Times New Roman"/>
          <w:sz w:val="24"/>
          <w:szCs w:val="24"/>
        </w:rPr>
        <w:footnoteReference w:id="180"/>
      </w:r>
    </w:p>
    <w:p w:rsidR="006306F5" w:rsidRPr="007344EA" w:rsidRDefault="006306F5"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 xml:space="preserve">Galima įžvelgti </w:t>
      </w:r>
      <w:r w:rsidR="003A0BA8" w:rsidRPr="007344EA">
        <w:rPr>
          <w:rFonts w:ascii="Times New Roman" w:hAnsi="Times New Roman" w:cs="Times New Roman"/>
          <w:sz w:val="24"/>
          <w:szCs w:val="24"/>
        </w:rPr>
        <w:t>dvejopo</w:t>
      </w:r>
      <w:r w:rsidRPr="007344EA">
        <w:rPr>
          <w:rFonts w:ascii="Times New Roman" w:hAnsi="Times New Roman" w:cs="Times New Roman"/>
          <w:sz w:val="24"/>
          <w:szCs w:val="24"/>
        </w:rPr>
        <w:t xml:space="preserve"> pobūdžio verslininko interesų apsaugą. Pirma, apsauga nuo nesąžiningas </w:t>
      </w:r>
      <w:r w:rsidR="003A0BA8" w:rsidRPr="007344EA">
        <w:rPr>
          <w:rFonts w:ascii="Times New Roman" w:hAnsi="Times New Roman" w:cs="Times New Roman"/>
          <w:sz w:val="24"/>
          <w:szCs w:val="24"/>
        </w:rPr>
        <w:t xml:space="preserve">sąlygas naudojančio konkurento ir, </w:t>
      </w:r>
      <w:r w:rsidRPr="007344EA">
        <w:rPr>
          <w:rFonts w:ascii="Times New Roman" w:hAnsi="Times New Roman" w:cs="Times New Roman"/>
          <w:sz w:val="24"/>
          <w:szCs w:val="24"/>
        </w:rPr>
        <w:t>antra, verslininko apsauga nuo konkurencijos iškraipymų</w:t>
      </w:r>
      <w:r w:rsidR="008B292A" w:rsidRPr="007344EA">
        <w:rPr>
          <w:rFonts w:ascii="Times New Roman" w:hAnsi="Times New Roman" w:cs="Times New Roman"/>
          <w:sz w:val="24"/>
          <w:szCs w:val="24"/>
        </w:rPr>
        <w:t xml:space="preserve"> tarp valstybių narių, kuriuos</w:t>
      </w:r>
      <w:r w:rsidRPr="007344EA">
        <w:rPr>
          <w:rFonts w:ascii="Times New Roman" w:hAnsi="Times New Roman" w:cs="Times New Roman"/>
          <w:sz w:val="24"/>
          <w:szCs w:val="24"/>
        </w:rPr>
        <w:t xml:space="preserve"> gali sukelti skirtingas nesąžiningų sąlygų</w:t>
      </w:r>
      <w:r w:rsidR="003A0BA8" w:rsidRPr="007344EA">
        <w:rPr>
          <w:rFonts w:ascii="Times New Roman" w:hAnsi="Times New Roman" w:cs="Times New Roman"/>
          <w:sz w:val="24"/>
          <w:szCs w:val="24"/>
        </w:rPr>
        <w:t xml:space="preserve"> reguliavimas valstybėse narėse.</w:t>
      </w:r>
    </w:p>
    <w:p w:rsidR="006306F5" w:rsidRPr="007344EA" w:rsidRDefault="006306F5"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Verslininko apsauga, nuo nesąžiningas sąlygas sutartyse naudojančio konkurento tiesiogiai išreikšta Direktyvos 93/13 7</w:t>
      </w:r>
      <w:r w:rsidR="00235983" w:rsidRPr="007344EA">
        <w:rPr>
          <w:rFonts w:ascii="Times New Roman" w:hAnsi="Times New Roman" w:cs="Times New Roman"/>
          <w:sz w:val="24"/>
          <w:szCs w:val="24"/>
        </w:rPr>
        <w:t xml:space="preserve"> straipsnio 1 dalyje.</w:t>
      </w:r>
      <w:r w:rsidRPr="007344EA">
        <w:rPr>
          <w:rFonts w:ascii="Times New Roman" w:hAnsi="Times New Roman" w:cs="Times New Roman"/>
          <w:sz w:val="24"/>
          <w:szCs w:val="24"/>
        </w:rPr>
        <w:t xml:space="preserve"> Jokios abejonės nekelia tai, kad verslininkas, kuris vykdo savo veiklą sąžiningai, pagal galiojančius teisės aktus, atsiduria nelygiavertėje konkurencinėje padėtyje prieš nesąžiningas sąlygas naudojantį verslininką, kuris prisiimdamas mažesnę ar visiškai panaikindamas savo finansinę</w:t>
      </w:r>
      <w:r w:rsidR="00224D1C"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 teisinę atsakomybę prieš vartotoją, vienašališkai pakeisdamas sutarties sąlygas, nustatydamas tokias ginčų sprendimo jurisdikcijos sąlygas, dėl kurių jis sumažina galimas išlaidas ar kitais nesąžiningais būdais siekdamas patirti mažesnes finansines sąnaudas, gali pasiūlyti vartotojui pigesnes prekes ar paslaugas. Kad tokių situacijų, kurios suponuoja nelygią sąžiningo ir nesąžiningo verslininko konkurencinę padėtį, būtų išvengta</w:t>
      </w:r>
      <w:r w:rsidR="00A34AD2" w:rsidRPr="007344EA">
        <w:rPr>
          <w:rFonts w:ascii="Times New Roman" w:hAnsi="Times New Roman" w:cs="Times New Roman"/>
          <w:sz w:val="24"/>
          <w:szCs w:val="24"/>
        </w:rPr>
        <w:t>,</w:t>
      </w:r>
      <w:r w:rsidRPr="007344EA">
        <w:rPr>
          <w:rFonts w:ascii="Times New Roman" w:hAnsi="Times New Roman" w:cs="Times New Roman"/>
          <w:sz w:val="24"/>
          <w:szCs w:val="24"/>
        </w:rPr>
        <w:t xml:space="preserve"> Direktyvoje  93/13 įtvirtintas teisinis reguliavimas įpareigoja valstybes nares imtis vartotojų ir </w:t>
      </w:r>
      <w:r w:rsidRPr="007344EA">
        <w:rPr>
          <w:rFonts w:ascii="Times New Roman" w:hAnsi="Times New Roman" w:cs="Times New Roman"/>
          <w:i/>
          <w:sz w:val="24"/>
          <w:szCs w:val="24"/>
        </w:rPr>
        <w:t>konkurentų naudai</w:t>
      </w:r>
      <w:r w:rsidRPr="007344EA">
        <w:rPr>
          <w:rFonts w:ascii="Times New Roman" w:hAnsi="Times New Roman" w:cs="Times New Roman"/>
          <w:sz w:val="24"/>
          <w:szCs w:val="24"/>
        </w:rPr>
        <w:t xml:space="preserve"> „pakankamų ir veiksmingų priemonių, užkertančių kelią nuolatiniam nesąžiningų sąlygų naudojimui sutartyse“</w:t>
      </w:r>
      <w:r w:rsidRPr="007344EA">
        <w:rPr>
          <w:rStyle w:val="FootnoteReference"/>
          <w:rFonts w:ascii="Times New Roman" w:hAnsi="Times New Roman"/>
          <w:sz w:val="24"/>
          <w:szCs w:val="24"/>
        </w:rPr>
        <w:footnoteReference w:id="181"/>
      </w:r>
      <w:r w:rsidRPr="007344EA">
        <w:rPr>
          <w:rFonts w:ascii="Times New Roman" w:hAnsi="Times New Roman" w:cs="Times New Roman"/>
          <w:sz w:val="24"/>
          <w:szCs w:val="24"/>
        </w:rPr>
        <w:t>.</w:t>
      </w:r>
    </w:p>
    <w:p w:rsidR="00E8587B" w:rsidRPr="007344EA" w:rsidRDefault="006306F5"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 xml:space="preserve">Direktyvoje 93/13 taip pat yra įtvirtinta apsauga nuo konkurencijos iškraipymų, kai skirtingose Sąjungos valstybėse narėse įsisteigę verslininkai atsiduria nelygiavertėje padėtyje dėl Sąjungos valstybėse narėse esančio skirtingo teisinio reguliavimo nesąžiningų sąlygų naudojimo </w:t>
      </w:r>
      <w:r w:rsidRPr="007344EA">
        <w:rPr>
          <w:rFonts w:ascii="Times New Roman" w:hAnsi="Times New Roman" w:cs="Times New Roman"/>
          <w:sz w:val="24"/>
          <w:szCs w:val="24"/>
        </w:rPr>
        <w:lastRenderedPageBreak/>
        <w:t>srityje. Verslininko apsaugos siekis, nuo toki</w:t>
      </w:r>
      <w:r w:rsidR="00A34AD2" w:rsidRPr="007344EA">
        <w:rPr>
          <w:rFonts w:ascii="Times New Roman" w:hAnsi="Times New Roman" w:cs="Times New Roman"/>
          <w:sz w:val="24"/>
          <w:szCs w:val="24"/>
        </w:rPr>
        <w:t>ų</w:t>
      </w:r>
      <w:r w:rsidRPr="007344EA">
        <w:rPr>
          <w:rFonts w:ascii="Times New Roman" w:hAnsi="Times New Roman" w:cs="Times New Roman"/>
          <w:sz w:val="24"/>
          <w:szCs w:val="24"/>
        </w:rPr>
        <w:t xml:space="preserve"> situacijų</w:t>
      </w:r>
      <w:r w:rsidR="00A34AD2" w:rsidRPr="007344EA">
        <w:rPr>
          <w:rFonts w:ascii="Times New Roman" w:hAnsi="Times New Roman" w:cs="Times New Roman"/>
          <w:sz w:val="24"/>
          <w:szCs w:val="24"/>
        </w:rPr>
        <w:t>,</w:t>
      </w:r>
      <w:r w:rsidRPr="007344EA">
        <w:rPr>
          <w:rFonts w:ascii="Times New Roman" w:hAnsi="Times New Roman" w:cs="Times New Roman"/>
          <w:sz w:val="24"/>
          <w:szCs w:val="24"/>
        </w:rPr>
        <w:t xml:space="preserve"> </w:t>
      </w:r>
      <w:r w:rsidRPr="007344EA">
        <w:rPr>
          <w:rFonts w:ascii="Times New Roman" w:hAnsi="Times New Roman" w:cs="Times New Roman"/>
          <w:i/>
          <w:sz w:val="24"/>
          <w:szCs w:val="24"/>
        </w:rPr>
        <w:t>expressis verbis</w:t>
      </w:r>
      <w:r w:rsidRPr="007344EA">
        <w:rPr>
          <w:rFonts w:ascii="Times New Roman" w:hAnsi="Times New Roman" w:cs="Times New Roman"/>
          <w:sz w:val="24"/>
          <w:szCs w:val="24"/>
        </w:rPr>
        <w:t xml:space="preserve"> įtvirtintas Direktyvos 93/13 preambulės antrojoje pastraipoje: „kadangi sutarčių, sudaromų prekių pardavėjų ar paslaugų tiekėjų, iš vienos pusės, ir vartotojų, iš kitos, sąlygas reglamentuojantys valstybių narių įstatymai ženkliai skiriasi, ir dėl to skiriasi prekių ir paslaugų pardavimo vartotojams nacionalinės rinkos, o tarp pardavėjų ir tiekėjų gali atsirasti konkurencijos iškraipymai, ypač kai jie parduoda ir tiekia kitose valstybėse narėse“. Galima panaši situacija, į tau aptartą anksčiau, tačiau šiuo atveju verslininkui sumažinti savo sąnaudas, o tuo pačiu ir tiekti vartotojams pigesnes prekes ar paslaugas, leidžia ne nesąžiningų sąlygų naudojimas, o žemesnis lygio vartotojų apsaugos lygis. Skirtingas vartotojų apsaugos lygis suponuoja ir skirtingą vartotojo bei verslininko tarpusavio teisių ir pareigų santykį. Kuo mažesnius įsipareigojimus vartotojui turi verslininkas, t</w:t>
      </w:r>
      <w:r w:rsidR="000A65A4" w:rsidRPr="007344EA">
        <w:rPr>
          <w:rFonts w:ascii="Times New Roman" w:hAnsi="Times New Roman" w:cs="Times New Roman"/>
          <w:sz w:val="24"/>
          <w:szCs w:val="24"/>
        </w:rPr>
        <w:t xml:space="preserve">uo mažiau sąnaudų jis patiria. </w:t>
      </w:r>
      <w:r w:rsidRPr="007344EA">
        <w:rPr>
          <w:rFonts w:ascii="Times New Roman" w:hAnsi="Times New Roman" w:cs="Times New Roman"/>
          <w:sz w:val="24"/>
          <w:szCs w:val="24"/>
        </w:rPr>
        <w:t>Todėl verslininkas įsisteigęs toje valstybėje narėje, kurioje vartotojų apsaugos lygis yra aukštesnis lyginant su kita ar kitomis valstybėmis narėmis ats</w:t>
      </w:r>
      <w:r w:rsidR="00A34AD2" w:rsidRPr="007344EA">
        <w:rPr>
          <w:rFonts w:ascii="Times New Roman" w:hAnsi="Times New Roman" w:cs="Times New Roman"/>
          <w:sz w:val="24"/>
          <w:szCs w:val="24"/>
        </w:rPr>
        <w:t xml:space="preserve">iduria </w:t>
      </w:r>
      <w:r w:rsidR="00D16618" w:rsidRPr="007344EA">
        <w:rPr>
          <w:rFonts w:ascii="Times New Roman" w:hAnsi="Times New Roman" w:cs="Times New Roman"/>
          <w:sz w:val="24"/>
          <w:szCs w:val="24"/>
        </w:rPr>
        <w:t>prastesnėje</w:t>
      </w:r>
      <w:r w:rsidR="00A34AD2" w:rsidRPr="007344EA">
        <w:rPr>
          <w:rFonts w:ascii="Times New Roman" w:hAnsi="Times New Roman" w:cs="Times New Roman"/>
          <w:sz w:val="24"/>
          <w:szCs w:val="24"/>
        </w:rPr>
        <w:t xml:space="preserve"> padėtyje. </w:t>
      </w:r>
      <w:r w:rsidRPr="007344EA">
        <w:rPr>
          <w:rFonts w:ascii="Times New Roman" w:hAnsi="Times New Roman" w:cs="Times New Roman"/>
          <w:sz w:val="24"/>
          <w:szCs w:val="24"/>
        </w:rPr>
        <w:t>Reikia priminti, kad Direktyva 93/13 yra minimalaus suderinimo, tai reiškia, kad valstybės narės yra laisvos nustatyti aukštesnį vartotojų apsaugos lygi. Todėl ši problema yra išsprendžiama tik iš dalies. Kaip matyti iš M. Erbes atlikto tyrimo nesąžiningų sąlygų naudojimo sutartys</w:t>
      </w:r>
      <w:r w:rsidR="00E75119" w:rsidRPr="007344EA">
        <w:rPr>
          <w:rFonts w:ascii="Times New Roman" w:hAnsi="Times New Roman" w:cs="Times New Roman"/>
          <w:sz w:val="24"/>
          <w:szCs w:val="24"/>
        </w:rPr>
        <w:t>e su vartotojai</w:t>
      </w:r>
      <w:r w:rsidRPr="007344EA">
        <w:rPr>
          <w:rFonts w:ascii="Times New Roman" w:hAnsi="Times New Roman" w:cs="Times New Roman"/>
          <w:sz w:val="24"/>
          <w:szCs w:val="24"/>
        </w:rPr>
        <w:t>s reguliavimas Sąjungos valstybėse narėse skiriasi. Valstybės narės dažnai nacionaliniuose įstatymuose įtvirtina aukštesnio lygio vartotojų apsaugą, nei ją suteikia Direktyva 93/13. Dėl skirtingo vartotojų teisių apsaugos lygio verslininkai atsiduria nelygiav</w:t>
      </w:r>
      <w:r w:rsidR="00A874D6" w:rsidRPr="007344EA">
        <w:rPr>
          <w:rFonts w:ascii="Times New Roman" w:hAnsi="Times New Roman" w:cs="Times New Roman"/>
          <w:sz w:val="24"/>
          <w:szCs w:val="24"/>
        </w:rPr>
        <w:t xml:space="preserve">ertėje konkurencinėje padėtyje. </w:t>
      </w:r>
      <w:r w:rsidRPr="007344EA">
        <w:rPr>
          <w:rFonts w:ascii="Times New Roman" w:hAnsi="Times New Roman" w:cs="Times New Roman"/>
          <w:sz w:val="24"/>
          <w:szCs w:val="24"/>
        </w:rPr>
        <w:t>Tačiau su vidaus rinkos principais yra suderinama tokia situacija, kai valstybė narė savo ūkio subjektams taiko griežtesnes sąlygas</w:t>
      </w:r>
      <w:r w:rsidR="00224D1C"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 atvirkštinė diskriminacija. </w:t>
      </w:r>
    </w:p>
    <w:p w:rsidR="00F97523" w:rsidRPr="007344EA" w:rsidRDefault="00F97523"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Nagrinėjant Teisingumo Teismo praktiką, kurioje atskleidžiami Direktyvos 93/13</w:t>
      </w:r>
      <w:r w:rsidR="00A23473" w:rsidRPr="007344EA">
        <w:rPr>
          <w:rFonts w:ascii="Times New Roman" w:hAnsi="Times New Roman" w:cs="Times New Roman"/>
          <w:sz w:val="24"/>
          <w:szCs w:val="24"/>
        </w:rPr>
        <w:t xml:space="preserve"> teisinio reguliavimo</w:t>
      </w:r>
      <w:r w:rsidRPr="007344EA">
        <w:rPr>
          <w:rFonts w:ascii="Times New Roman" w:hAnsi="Times New Roman" w:cs="Times New Roman"/>
          <w:sz w:val="24"/>
          <w:szCs w:val="24"/>
        </w:rPr>
        <w:t xml:space="preserve"> tikslai ar tam tikru aspektu jie paliečiami</w:t>
      </w:r>
      <w:r w:rsidR="00D10883" w:rsidRPr="007344EA">
        <w:rPr>
          <w:rFonts w:ascii="Times New Roman" w:hAnsi="Times New Roman" w:cs="Times New Roman"/>
          <w:sz w:val="24"/>
          <w:szCs w:val="24"/>
        </w:rPr>
        <w:t>,</w:t>
      </w:r>
      <w:r w:rsidRPr="007344EA">
        <w:rPr>
          <w:rFonts w:ascii="Times New Roman" w:hAnsi="Times New Roman" w:cs="Times New Roman"/>
          <w:sz w:val="24"/>
          <w:szCs w:val="24"/>
        </w:rPr>
        <w:t xml:space="preserve"> </w:t>
      </w:r>
      <w:r w:rsidR="00D10883" w:rsidRPr="007344EA">
        <w:rPr>
          <w:rFonts w:ascii="Times New Roman" w:hAnsi="Times New Roman" w:cs="Times New Roman"/>
          <w:sz w:val="24"/>
          <w:szCs w:val="24"/>
        </w:rPr>
        <w:t>darytina išvada</w:t>
      </w:r>
      <w:r w:rsidRPr="007344EA">
        <w:rPr>
          <w:rFonts w:ascii="Times New Roman" w:hAnsi="Times New Roman" w:cs="Times New Roman"/>
          <w:sz w:val="24"/>
          <w:szCs w:val="24"/>
        </w:rPr>
        <w:t xml:space="preserve">, kad pagrindinis Direktyva 93/13 siekiamas tikslas yra vartotojo apsauga. </w:t>
      </w:r>
      <w:r w:rsidR="00A23473" w:rsidRPr="007344EA">
        <w:rPr>
          <w:rFonts w:ascii="Times New Roman" w:hAnsi="Times New Roman" w:cs="Times New Roman"/>
          <w:sz w:val="24"/>
          <w:szCs w:val="24"/>
        </w:rPr>
        <w:t xml:space="preserve">Šiam tikslui pasiekti Teisingumo Teismas naudoja tam </w:t>
      </w:r>
      <w:r w:rsidR="00FB6B1B" w:rsidRPr="007344EA">
        <w:rPr>
          <w:rFonts w:ascii="Times New Roman" w:hAnsi="Times New Roman" w:cs="Times New Roman"/>
          <w:sz w:val="24"/>
          <w:szCs w:val="24"/>
        </w:rPr>
        <w:t>tikrą schemą, kuri yra kildintina</w:t>
      </w:r>
      <w:r w:rsidR="00A23473" w:rsidRPr="007344EA">
        <w:rPr>
          <w:rFonts w:ascii="Times New Roman" w:hAnsi="Times New Roman" w:cs="Times New Roman"/>
          <w:sz w:val="24"/>
          <w:szCs w:val="24"/>
        </w:rPr>
        <w:t xml:space="preserve"> tik iš pateis Teisingumo Teismo </w:t>
      </w:r>
      <w:r w:rsidR="00744F3A" w:rsidRPr="007344EA">
        <w:rPr>
          <w:rFonts w:ascii="Times New Roman" w:hAnsi="Times New Roman" w:cs="Times New Roman"/>
          <w:sz w:val="24"/>
          <w:szCs w:val="24"/>
        </w:rPr>
        <w:t>jurisprudencijos</w:t>
      </w:r>
      <w:r w:rsidR="00A23473" w:rsidRPr="007344EA">
        <w:rPr>
          <w:rFonts w:ascii="Times New Roman" w:hAnsi="Times New Roman" w:cs="Times New Roman"/>
          <w:sz w:val="24"/>
          <w:szCs w:val="24"/>
        </w:rPr>
        <w:t xml:space="preserve"> t.y. nėra </w:t>
      </w:r>
      <w:r w:rsidR="00A23473" w:rsidRPr="007344EA">
        <w:rPr>
          <w:rFonts w:ascii="Times New Roman" w:hAnsi="Times New Roman" w:cs="Times New Roman"/>
          <w:i/>
          <w:sz w:val="24"/>
          <w:szCs w:val="24"/>
        </w:rPr>
        <w:t>expressis verbis</w:t>
      </w:r>
      <w:r w:rsidR="00A23473" w:rsidRPr="007344EA">
        <w:rPr>
          <w:rFonts w:ascii="Times New Roman" w:hAnsi="Times New Roman" w:cs="Times New Roman"/>
          <w:sz w:val="24"/>
          <w:szCs w:val="24"/>
        </w:rPr>
        <w:t xml:space="preserve"> įtvirtinta </w:t>
      </w:r>
      <w:r w:rsidR="00744F3A" w:rsidRPr="007344EA">
        <w:rPr>
          <w:rFonts w:ascii="Times New Roman" w:hAnsi="Times New Roman" w:cs="Times New Roman"/>
          <w:sz w:val="24"/>
          <w:szCs w:val="24"/>
        </w:rPr>
        <w:t>Direktyvos 93/13</w:t>
      </w:r>
      <w:r w:rsidR="00A23473" w:rsidRPr="007344EA">
        <w:rPr>
          <w:rFonts w:ascii="Times New Roman" w:hAnsi="Times New Roman" w:cs="Times New Roman"/>
          <w:sz w:val="24"/>
          <w:szCs w:val="24"/>
        </w:rPr>
        <w:t xml:space="preserve"> tekste. </w:t>
      </w:r>
      <w:r w:rsidR="00744F3A" w:rsidRPr="007344EA">
        <w:rPr>
          <w:rFonts w:ascii="Times New Roman" w:hAnsi="Times New Roman" w:cs="Times New Roman"/>
          <w:sz w:val="24"/>
          <w:szCs w:val="24"/>
        </w:rPr>
        <w:t>Vartotojo</w:t>
      </w:r>
      <w:r w:rsidR="00B47461" w:rsidRPr="007344EA">
        <w:rPr>
          <w:rFonts w:ascii="Times New Roman" w:hAnsi="Times New Roman" w:cs="Times New Roman"/>
          <w:sz w:val="24"/>
          <w:szCs w:val="24"/>
        </w:rPr>
        <w:t xml:space="preserve"> apsauga grindžia</w:t>
      </w:r>
      <w:r w:rsidR="00744F3A" w:rsidRPr="007344EA">
        <w:rPr>
          <w:rFonts w:ascii="Times New Roman" w:hAnsi="Times New Roman" w:cs="Times New Roman"/>
          <w:sz w:val="24"/>
          <w:szCs w:val="24"/>
        </w:rPr>
        <w:t>ma</w:t>
      </w:r>
      <w:r w:rsidR="00B47461" w:rsidRPr="007344EA">
        <w:rPr>
          <w:rFonts w:ascii="Times New Roman" w:hAnsi="Times New Roman" w:cs="Times New Roman"/>
          <w:sz w:val="24"/>
          <w:szCs w:val="24"/>
        </w:rPr>
        <w:t xml:space="preserve"> schema, kuri palaipsniui </w:t>
      </w:r>
      <w:r w:rsidR="00744F3A" w:rsidRPr="007344EA">
        <w:rPr>
          <w:rFonts w:ascii="Times New Roman" w:hAnsi="Times New Roman" w:cs="Times New Roman"/>
          <w:sz w:val="24"/>
          <w:szCs w:val="24"/>
        </w:rPr>
        <w:t>vystė</w:t>
      </w:r>
      <w:r w:rsidR="00B47461" w:rsidRPr="007344EA">
        <w:rPr>
          <w:rFonts w:ascii="Times New Roman" w:hAnsi="Times New Roman" w:cs="Times New Roman"/>
          <w:sz w:val="24"/>
          <w:szCs w:val="24"/>
        </w:rPr>
        <w:t>si</w:t>
      </w:r>
      <w:r w:rsidR="00D10883" w:rsidRPr="007344EA">
        <w:rPr>
          <w:rFonts w:ascii="Times New Roman" w:hAnsi="Times New Roman" w:cs="Times New Roman"/>
          <w:sz w:val="24"/>
          <w:szCs w:val="24"/>
        </w:rPr>
        <w:t xml:space="preserve"> </w:t>
      </w:r>
      <w:r w:rsidR="00744F3A" w:rsidRPr="007344EA">
        <w:rPr>
          <w:rFonts w:ascii="Times New Roman" w:hAnsi="Times New Roman" w:cs="Times New Roman"/>
          <w:sz w:val="24"/>
          <w:szCs w:val="24"/>
        </w:rPr>
        <w:t xml:space="preserve">Teisingumo Teismo praktikoje, kol įgijo šią formą: dėl </w:t>
      </w:r>
      <w:r w:rsidR="00D10883" w:rsidRPr="007344EA">
        <w:rPr>
          <w:rFonts w:ascii="Times New Roman" w:hAnsi="Times New Roman" w:cs="Times New Roman"/>
          <w:sz w:val="24"/>
          <w:szCs w:val="24"/>
        </w:rPr>
        <w:t>„</w:t>
      </w:r>
      <w:r w:rsidR="00D10883" w:rsidRPr="007344EA">
        <w:rPr>
          <w:rFonts w:ascii="Times New Roman" w:hAnsi="Times New Roman" w:cs="Times New Roman"/>
          <w:i/>
          <w:sz w:val="24"/>
          <w:szCs w:val="24"/>
        </w:rPr>
        <w:t>mažiau palankios vartotojo situacijos</w:t>
      </w:r>
      <w:r w:rsidR="00D10883" w:rsidRPr="007344EA">
        <w:rPr>
          <w:rFonts w:ascii="Times New Roman" w:hAnsi="Times New Roman" w:cs="Times New Roman"/>
          <w:sz w:val="24"/>
          <w:szCs w:val="24"/>
        </w:rPr>
        <w:t>“, kuri yra sąlygota informacijos stoka, galimybės derėtis nebuvimu,  būtin</w:t>
      </w:r>
      <w:r w:rsidR="0092152B" w:rsidRPr="007344EA">
        <w:rPr>
          <w:rFonts w:ascii="Times New Roman" w:hAnsi="Times New Roman" w:cs="Times New Roman"/>
          <w:sz w:val="24"/>
          <w:szCs w:val="24"/>
        </w:rPr>
        <w:t>a</w:t>
      </w:r>
      <w:r w:rsidR="00D10883" w:rsidRPr="007344EA">
        <w:rPr>
          <w:rFonts w:ascii="Times New Roman" w:hAnsi="Times New Roman" w:cs="Times New Roman"/>
          <w:sz w:val="24"/>
          <w:szCs w:val="24"/>
        </w:rPr>
        <w:t xml:space="preserve"> „</w:t>
      </w:r>
      <w:r w:rsidR="00D10883" w:rsidRPr="007344EA">
        <w:rPr>
          <w:rFonts w:ascii="Times New Roman" w:hAnsi="Times New Roman" w:cs="Times New Roman"/>
          <w:i/>
          <w:sz w:val="24"/>
          <w:szCs w:val="24"/>
        </w:rPr>
        <w:t>atkurti šalių lygybę</w:t>
      </w:r>
      <w:r w:rsidR="00D10883" w:rsidRPr="007344EA">
        <w:rPr>
          <w:rFonts w:ascii="Times New Roman" w:hAnsi="Times New Roman" w:cs="Times New Roman"/>
          <w:sz w:val="24"/>
          <w:szCs w:val="24"/>
        </w:rPr>
        <w:t>“, o tai galima pasiekti galima tik „</w:t>
      </w:r>
      <w:r w:rsidR="00D10883" w:rsidRPr="007344EA">
        <w:rPr>
          <w:rFonts w:ascii="Times New Roman" w:hAnsi="Times New Roman" w:cs="Times New Roman"/>
          <w:i/>
          <w:sz w:val="24"/>
          <w:szCs w:val="24"/>
        </w:rPr>
        <w:t>tik pozityviais su sutartiniais santykiais nesusijusių subjektų veiksmais</w:t>
      </w:r>
      <w:r w:rsidR="00D10883" w:rsidRPr="007344EA">
        <w:rPr>
          <w:rFonts w:ascii="Times New Roman" w:hAnsi="Times New Roman" w:cs="Times New Roman"/>
          <w:sz w:val="24"/>
          <w:szCs w:val="24"/>
        </w:rPr>
        <w:t>“, minėtieji veiksmai turi pasižymėti „</w:t>
      </w:r>
      <w:r w:rsidR="00D10883" w:rsidRPr="007344EA">
        <w:rPr>
          <w:rFonts w:ascii="Times New Roman" w:hAnsi="Times New Roman" w:cs="Times New Roman"/>
          <w:i/>
          <w:sz w:val="24"/>
          <w:szCs w:val="24"/>
        </w:rPr>
        <w:t>atgrasomuoju poveikiu</w:t>
      </w:r>
      <w:r w:rsidR="00D10883" w:rsidRPr="007344EA">
        <w:rPr>
          <w:rFonts w:ascii="Times New Roman" w:hAnsi="Times New Roman" w:cs="Times New Roman"/>
          <w:sz w:val="24"/>
          <w:szCs w:val="24"/>
        </w:rPr>
        <w:t xml:space="preserve">“ nesąžiningų sąlygų prevencijai užtikrinti.  </w:t>
      </w:r>
      <w:r w:rsidR="00372DE3" w:rsidRPr="007344EA">
        <w:rPr>
          <w:rFonts w:ascii="Times New Roman" w:hAnsi="Times New Roman" w:cs="Times New Roman"/>
          <w:sz w:val="24"/>
          <w:szCs w:val="24"/>
        </w:rPr>
        <w:t>Kiekvienas iš šios schemos elementų slepia tam tikrą turinį</w:t>
      </w:r>
      <w:r w:rsidR="00017414" w:rsidRPr="007344EA">
        <w:rPr>
          <w:rFonts w:ascii="Times New Roman" w:hAnsi="Times New Roman" w:cs="Times New Roman"/>
          <w:sz w:val="24"/>
          <w:szCs w:val="24"/>
        </w:rPr>
        <w:t>, ir savo įgyven</w:t>
      </w:r>
      <w:r w:rsidR="00D41AF4" w:rsidRPr="007344EA">
        <w:rPr>
          <w:rFonts w:ascii="Times New Roman" w:hAnsi="Times New Roman" w:cs="Times New Roman"/>
          <w:sz w:val="24"/>
          <w:szCs w:val="24"/>
        </w:rPr>
        <w:t>dinim</w:t>
      </w:r>
      <w:r w:rsidR="00017414" w:rsidRPr="007344EA">
        <w:rPr>
          <w:rFonts w:ascii="Times New Roman" w:hAnsi="Times New Roman" w:cs="Times New Roman"/>
          <w:sz w:val="24"/>
          <w:szCs w:val="24"/>
        </w:rPr>
        <w:t>o mechanizmą.</w:t>
      </w:r>
      <w:r w:rsidR="00372DE3" w:rsidRPr="007344EA">
        <w:rPr>
          <w:rFonts w:ascii="Times New Roman" w:hAnsi="Times New Roman" w:cs="Times New Roman"/>
          <w:sz w:val="24"/>
          <w:szCs w:val="24"/>
        </w:rPr>
        <w:t xml:space="preserve"> Kiti Direktyvos 93/13 tikslai, </w:t>
      </w:r>
      <w:r w:rsidR="00FB6B1B" w:rsidRPr="007344EA">
        <w:rPr>
          <w:rFonts w:ascii="Times New Roman" w:hAnsi="Times New Roman" w:cs="Times New Roman"/>
          <w:sz w:val="24"/>
          <w:szCs w:val="24"/>
        </w:rPr>
        <w:t xml:space="preserve">įtvirtinti </w:t>
      </w:r>
      <w:r w:rsidR="00372DE3" w:rsidRPr="007344EA">
        <w:rPr>
          <w:rFonts w:ascii="Times New Roman" w:hAnsi="Times New Roman" w:cs="Times New Roman"/>
          <w:i/>
          <w:sz w:val="24"/>
          <w:szCs w:val="24"/>
        </w:rPr>
        <w:t>expressis verbis</w:t>
      </w:r>
      <w:r w:rsidR="00C162E3" w:rsidRPr="007344EA">
        <w:rPr>
          <w:rFonts w:ascii="Times New Roman" w:hAnsi="Times New Roman" w:cs="Times New Roman"/>
          <w:i/>
          <w:sz w:val="24"/>
          <w:szCs w:val="24"/>
        </w:rPr>
        <w:t>,</w:t>
      </w:r>
      <w:r w:rsidR="00372DE3" w:rsidRPr="007344EA">
        <w:rPr>
          <w:rFonts w:ascii="Times New Roman" w:hAnsi="Times New Roman" w:cs="Times New Roman"/>
          <w:sz w:val="24"/>
          <w:szCs w:val="24"/>
        </w:rPr>
        <w:t xml:space="preserve"> </w:t>
      </w:r>
      <w:r w:rsidR="00D41AF4" w:rsidRPr="007344EA">
        <w:rPr>
          <w:rFonts w:ascii="Times New Roman" w:hAnsi="Times New Roman" w:cs="Times New Roman"/>
          <w:sz w:val="24"/>
          <w:szCs w:val="24"/>
        </w:rPr>
        <w:t>Teisingumo Teismo nebuvo plačiau nagrinėti, kadangi to nereikalavo konkrečių bylų aplinkybės, tačiau tai jokiu būdu</w:t>
      </w:r>
      <w:r w:rsidR="006F7D3C" w:rsidRPr="007344EA">
        <w:rPr>
          <w:rFonts w:ascii="Times New Roman" w:hAnsi="Times New Roman" w:cs="Times New Roman"/>
          <w:sz w:val="24"/>
          <w:szCs w:val="24"/>
        </w:rPr>
        <w:t xml:space="preserve"> nepaneigia šių tikslų svarbos </w:t>
      </w:r>
      <w:r w:rsidR="006F7D3C" w:rsidRPr="007344EA">
        <w:rPr>
          <w:rFonts w:ascii="Times New Roman" w:hAnsi="Times New Roman" w:cs="Times New Roman"/>
          <w:i/>
          <w:sz w:val="24"/>
          <w:szCs w:val="24"/>
        </w:rPr>
        <w:t>inter alia</w:t>
      </w:r>
      <w:r w:rsidR="006F7D3C" w:rsidRPr="007344EA">
        <w:rPr>
          <w:rFonts w:ascii="Times New Roman" w:hAnsi="Times New Roman" w:cs="Times New Roman"/>
          <w:sz w:val="24"/>
          <w:szCs w:val="24"/>
        </w:rPr>
        <w:t xml:space="preserve"> šių </w:t>
      </w:r>
      <w:r w:rsidR="00906561" w:rsidRPr="007344EA">
        <w:rPr>
          <w:rFonts w:ascii="Times New Roman" w:hAnsi="Times New Roman" w:cs="Times New Roman"/>
          <w:sz w:val="24"/>
          <w:szCs w:val="24"/>
        </w:rPr>
        <w:t>tikslų</w:t>
      </w:r>
      <w:r w:rsidR="006F7D3C" w:rsidRPr="007344EA">
        <w:rPr>
          <w:rFonts w:ascii="Times New Roman" w:hAnsi="Times New Roman" w:cs="Times New Roman"/>
          <w:sz w:val="24"/>
          <w:szCs w:val="24"/>
        </w:rPr>
        <w:t xml:space="preserve"> svarbą</w:t>
      </w:r>
      <w:r w:rsidR="00C162E3" w:rsidRPr="007344EA">
        <w:rPr>
          <w:rFonts w:ascii="Times New Roman" w:hAnsi="Times New Roman" w:cs="Times New Roman"/>
          <w:sz w:val="24"/>
          <w:szCs w:val="24"/>
        </w:rPr>
        <w:t xml:space="preserve"> pabrėžė Generalinis advokatas. </w:t>
      </w:r>
    </w:p>
    <w:p w:rsidR="00A874D6" w:rsidRPr="007344EA" w:rsidRDefault="00A874D6" w:rsidP="006E00E1">
      <w:pPr>
        <w:pStyle w:val="Default"/>
        <w:spacing w:line="360" w:lineRule="auto"/>
        <w:jc w:val="both"/>
        <w:rPr>
          <w:b/>
        </w:rPr>
      </w:pPr>
    </w:p>
    <w:p w:rsidR="007344EA" w:rsidRPr="007344EA" w:rsidRDefault="007344EA" w:rsidP="006E00E1">
      <w:pPr>
        <w:pStyle w:val="Default"/>
        <w:spacing w:line="360" w:lineRule="auto"/>
        <w:jc w:val="both"/>
        <w:rPr>
          <w:b/>
        </w:rPr>
      </w:pPr>
    </w:p>
    <w:p w:rsidR="008D44D8" w:rsidRPr="007344EA" w:rsidRDefault="00DF6FD4" w:rsidP="000F6662">
      <w:pPr>
        <w:pStyle w:val="Heading2"/>
        <w:rPr>
          <w:rFonts w:ascii="Times New Roman" w:hAnsi="Times New Roman" w:cs="Times New Roman"/>
          <w:color w:val="auto"/>
          <w:sz w:val="24"/>
          <w:szCs w:val="24"/>
        </w:rPr>
      </w:pPr>
      <w:bookmarkStart w:id="16" w:name="_Toc344337164"/>
      <w:r w:rsidRPr="007344EA">
        <w:rPr>
          <w:rFonts w:ascii="Times New Roman" w:hAnsi="Times New Roman" w:cs="Times New Roman"/>
          <w:color w:val="auto"/>
          <w:sz w:val="24"/>
          <w:szCs w:val="24"/>
        </w:rPr>
        <w:t>3</w:t>
      </w:r>
      <w:r w:rsidR="00084699" w:rsidRPr="007344EA">
        <w:rPr>
          <w:rFonts w:ascii="Times New Roman" w:hAnsi="Times New Roman" w:cs="Times New Roman"/>
          <w:color w:val="auto"/>
          <w:sz w:val="24"/>
          <w:szCs w:val="24"/>
        </w:rPr>
        <w:t>.2. Direktyvos</w:t>
      </w:r>
      <w:r w:rsidR="00F97523" w:rsidRPr="007344EA">
        <w:rPr>
          <w:rFonts w:ascii="Times New Roman" w:hAnsi="Times New Roman" w:cs="Times New Roman"/>
          <w:color w:val="auto"/>
          <w:sz w:val="24"/>
          <w:szCs w:val="24"/>
        </w:rPr>
        <w:t xml:space="preserve"> 93/13</w:t>
      </w:r>
      <w:r w:rsidR="00084699" w:rsidRPr="007344EA">
        <w:rPr>
          <w:rFonts w:ascii="Times New Roman" w:hAnsi="Times New Roman" w:cs="Times New Roman"/>
          <w:color w:val="auto"/>
          <w:sz w:val="24"/>
          <w:szCs w:val="24"/>
        </w:rPr>
        <w:t xml:space="preserve"> taikymo sritis</w:t>
      </w:r>
      <w:bookmarkEnd w:id="16"/>
    </w:p>
    <w:p w:rsidR="00D16618" w:rsidRPr="007344EA" w:rsidRDefault="00D16618" w:rsidP="006E00E1">
      <w:pPr>
        <w:pStyle w:val="Default"/>
        <w:spacing w:line="360" w:lineRule="auto"/>
        <w:jc w:val="both"/>
        <w:rPr>
          <w:b/>
        </w:rPr>
      </w:pPr>
    </w:p>
    <w:p w:rsidR="00084699" w:rsidRPr="007344EA" w:rsidRDefault="00084699"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Kiekvieno teisės akto taikymo sritis apibrėžiama keturiais kriterijais</w:t>
      </w:r>
      <w:r w:rsidR="00224D1C"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 taikymas subjektų atžvilgiu (</w:t>
      </w:r>
      <w:r w:rsidRPr="007344EA">
        <w:rPr>
          <w:rFonts w:ascii="Times New Roman" w:hAnsi="Times New Roman" w:cs="Times New Roman"/>
          <w:i/>
          <w:sz w:val="24"/>
          <w:szCs w:val="24"/>
        </w:rPr>
        <w:t>ratione personae</w:t>
      </w:r>
      <w:r w:rsidRPr="007344EA">
        <w:rPr>
          <w:rFonts w:ascii="Times New Roman" w:hAnsi="Times New Roman" w:cs="Times New Roman"/>
          <w:sz w:val="24"/>
          <w:szCs w:val="24"/>
        </w:rPr>
        <w:t>), taikymas turinio atžvilgiu (</w:t>
      </w:r>
      <w:r w:rsidRPr="007344EA">
        <w:rPr>
          <w:rFonts w:ascii="Times New Roman" w:hAnsi="Times New Roman" w:cs="Times New Roman"/>
          <w:i/>
          <w:sz w:val="24"/>
          <w:szCs w:val="24"/>
        </w:rPr>
        <w:t>ratione materiae</w:t>
      </w:r>
      <w:r w:rsidRPr="007344EA">
        <w:rPr>
          <w:rFonts w:ascii="Times New Roman" w:hAnsi="Times New Roman" w:cs="Times New Roman"/>
          <w:sz w:val="24"/>
          <w:szCs w:val="24"/>
        </w:rPr>
        <w:t>), taikymas laiko atžvilgiu (</w:t>
      </w:r>
      <w:r w:rsidRPr="007344EA">
        <w:rPr>
          <w:rFonts w:ascii="Times New Roman" w:hAnsi="Times New Roman" w:cs="Times New Roman"/>
          <w:i/>
          <w:sz w:val="24"/>
          <w:szCs w:val="24"/>
        </w:rPr>
        <w:t>ratione temporis</w:t>
      </w:r>
      <w:r w:rsidRPr="007344EA">
        <w:rPr>
          <w:rFonts w:ascii="Times New Roman" w:hAnsi="Times New Roman" w:cs="Times New Roman"/>
          <w:sz w:val="24"/>
          <w:szCs w:val="24"/>
        </w:rPr>
        <w:t>)</w:t>
      </w:r>
      <w:r w:rsidR="0092152B" w:rsidRPr="007344EA">
        <w:rPr>
          <w:rFonts w:ascii="Times New Roman" w:hAnsi="Times New Roman" w:cs="Times New Roman"/>
          <w:sz w:val="24"/>
          <w:szCs w:val="24"/>
        </w:rPr>
        <w:t>,</w:t>
      </w:r>
      <w:r w:rsidRPr="007344EA">
        <w:rPr>
          <w:rFonts w:ascii="Times New Roman" w:hAnsi="Times New Roman" w:cs="Times New Roman"/>
          <w:sz w:val="24"/>
          <w:szCs w:val="24"/>
        </w:rPr>
        <w:t xml:space="preserve"> bei teisės akto taikymas teritorijos atžvilgiu (</w:t>
      </w:r>
      <w:r w:rsidRPr="007344EA">
        <w:rPr>
          <w:rFonts w:ascii="Times New Roman" w:hAnsi="Times New Roman" w:cs="Times New Roman"/>
          <w:i/>
          <w:sz w:val="24"/>
          <w:szCs w:val="24"/>
        </w:rPr>
        <w:t>ratione loci</w:t>
      </w:r>
      <w:r w:rsidRPr="007344EA">
        <w:rPr>
          <w:rFonts w:ascii="Times New Roman" w:hAnsi="Times New Roman" w:cs="Times New Roman"/>
          <w:sz w:val="24"/>
          <w:szCs w:val="24"/>
        </w:rPr>
        <w:t xml:space="preserve">). Iš ankstesniame skyriuje, analizuojančiame teisminio nagrinėjimo Teisingumo Teisme tikslus, pateikto apibendrinimo matyti, kad Teisingumo Teismui teko pasisakyti dėl Direktyvos 93/13  taikymo srities </w:t>
      </w:r>
      <w:r w:rsidRPr="007344EA">
        <w:rPr>
          <w:rFonts w:ascii="Times New Roman" w:hAnsi="Times New Roman" w:cs="Times New Roman"/>
          <w:i/>
          <w:sz w:val="24"/>
          <w:szCs w:val="24"/>
        </w:rPr>
        <w:t>ratione personae</w:t>
      </w:r>
      <w:r w:rsidRPr="007344EA">
        <w:rPr>
          <w:rStyle w:val="FootnoteReference"/>
          <w:rFonts w:ascii="Times New Roman" w:hAnsi="Times New Roman"/>
          <w:i/>
          <w:sz w:val="24"/>
          <w:szCs w:val="24"/>
        </w:rPr>
        <w:footnoteReference w:id="182"/>
      </w:r>
      <w:r w:rsidRPr="007344EA">
        <w:rPr>
          <w:rFonts w:ascii="Times New Roman" w:hAnsi="Times New Roman" w:cs="Times New Roman"/>
          <w:i/>
          <w:sz w:val="24"/>
          <w:szCs w:val="24"/>
        </w:rPr>
        <w:t>, ratione materiale</w:t>
      </w:r>
      <w:r w:rsidRPr="007344EA">
        <w:rPr>
          <w:rStyle w:val="FootnoteReference"/>
          <w:rFonts w:ascii="Times New Roman" w:hAnsi="Times New Roman"/>
          <w:i/>
          <w:sz w:val="24"/>
          <w:szCs w:val="24"/>
        </w:rPr>
        <w:footnoteReference w:id="183"/>
      </w:r>
      <w:r w:rsidRPr="007344EA">
        <w:rPr>
          <w:rFonts w:ascii="Times New Roman" w:hAnsi="Times New Roman" w:cs="Times New Roman"/>
          <w:i/>
          <w:sz w:val="24"/>
          <w:szCs w:val="24"/>
        </w:rPr>
        <w:t xml:space="preserve"> </w:t>
      </w:r>
      <w:r w:rsidRPr="007344EA">
        <w:rPr>
          <w:rFonts w:ascii="Times New Roman" w:hAnsi="Times New Roman" w:cs="Times New Roman"/>
          <w:sz w:val="24"/>
          <w:szCs w:val="24"/>
        </w:rPr>
        <w:t xml:space="preserve">ir </w:t>
      </w:r>
      <w:r w:rsidRPr="007344EA">
        <w:rPr>
          <w:rFonts w:ascii="Times New Roman" w:hAnsi="Times New Roman" w:cs="Times New Roman"/>
          <w:i/>
          <w:sz w:val="24"/>
          <w:szCs w:val="24"/>
        </w:rPr>
        <w:t>ratione temporis</w:t>
      </w:r>
      <w:r w:rsidRPr="007344EA">
        <w:rPr>
          <w:rStyle w:val="FootnoteReference"/>
          <w:rFonts w:ascii="Times New Roman" w:hAnsi="Times New Roman"/>
          <w:i/>
          <w:sz w:val="24"/>
          <w:szCs w:val="24"/>
        </w:rPr>
        <w:footnoteReference w:id="184"/>
      </w:r>
      <w:r w:rsidRPr="007344EA">
        <w:rPr>
          <w:rFonts w:ascii="Times New Roman" w:hAnsi="Times New Roman" w:cs="Times New Roman"/>
          <w:i/>
          <w:sz w:val="24"/>
          <w:szCs w:val="24"/>
        </w:rPr>
        <w:t xml:space="preserve"> </w:t>
      </w:r>
      <w:r w:rsidRPr="007344EA">
        <w:rPr>
          <w:rFonts w:ascii="Times New Roman" w:hAnsi="Times New Roman" w:cs="Times New Roman"/>
          <w:sz w:val="24"/>
          <w:szCs w:val="24"/>
        </w:rPr>
        <w:t xml:space="preserve">klausimais, </w:t>
      </w:r>
      <w:r w:rsidR="0092152B" w:rsidRPr="007344EA">
        <w:rPr>
          <w:rFonts w:ascii="Times New Roman" w:hAnsi="Times New Roman" w:cs="Times New Roman"/>
          <w:sz w:val="24"/>
          <w:szCs w:val="24"/>
        </w:rPr>
        <w:t xml:space="preserve">o </w:t>
      </w:r>
      <w:r w:rsidRPr="007344EA">
        <w:rPr>
          <w:rFonts w:ascii="Times New Roman" w:hAnsi="Times New Roman" w:cs="Times New Roman"/>
          <w:sz w:val="24"/>
          <w:szCs w:val="24"/>
        </w:rPr>
        <w:t xml:space="preserve">dėl taikymo srities </w:t>
      </w:r>
      <w:r w:rsidRPr="007344EA">
        <w:rPr>
          <w:rFonts w:ascii="Times New Roman" w:hAnsi="Times New Roman" w:cs="Times New Roman"/>
          <w:i/>
          <w:sz w:val="24"/>
          <w:szCs w:val="24"/>
        </w:rPr>
        <w:t>ratione loci</w:t>
      </w:r>
      <w:r w:rsidRPr="007344EA">
        <w:rPr>
          <w:rFonts w:ascii="Times New Roman" w:hAnsi="Times New Roman" w:cs="Times New Roman"/>
          <w:sz w:val="24"/>
          <w:szCs w:val="24"/>
        </w:rPr>
        <w:t xml:space="preserve"> </w:t>
      </w:r>
      <w:r w:rsidR="00464885" w:rsidRPr="007344EA">
        <w:rPr>
          <w:rFonts w:ascii="Times New Roman" w:hAnsi="Times New Roman" w:cs="Times New Roman"/>
          <w:sz w:val="24"/>
          <w:szCs w:val="24"/>
        </w:rPr>
        <w:t xml:space="preserve">atžvilgiu </w:t>
      </w:r>
      <w:r w:rsidRPr="007344EA">
        <w:rPr>
          <w:rFonts w:ascii="Times New Roman" w:hAnsi="Times New Roman" w:cs="Times New Roman"/>
          <w:sz w:val="24"/>
          <w:szCs w:val="24"/>
        </w:rPr>
        <w:t xml:space="preserve">klausimų nebuvo. </w:t>
      </w:r>
      <w:r w:rsidRPr="007344EA">
        <w:rPr>
          <w:rFonts w:ascii="Times New Roman" w:hAnsi="Times New Roman" w:cs="Times New Roman"/>
          <w:i/>
          <w:sz w:val="24"/>
          <w:szCs w:val="24"/>
        </w:rPr>
        <w:t>Ratione personae</w:t>
      </w:r>
      <w:r w:rsidRPr="007344EA">
        <w:rPr>
          <w:rFonts w:ascii="Times New Roman" w:hAnsi="Times New Roman" w:cs="Times New Roman"/>
          <w:sz w:val="24"/>
          <w:szCs w:val="24"/>
        </w:rPr>
        <w:t xml:space="preserve"> ir </w:t>
      </w:r>
      <w:r w:rsidRPr="007344EA">
        <w:rPr>
          <w:rFonts w:ascii="Times New Roman" w:hAnsi="Times New Roman" w:cs="Times New Roman"/>
          <w:i/>
          <w:sz w:val="24"/>
          <w:szCs w:val="24"/>
        </w:rPr>
        <w:t>ratione materiae</w:t>
      </w:r>
      <w:r w:rsidRPr="007344EA">
        <w:rPr>
          <w:rFonts w:ascii="Times New Roman" w:hAnsi="Times New Roman" w:cs="Times New Roman"/>
          <w:sz w:val="24"/>
          <w:szCs w:val="24"/>
        </w:rPr>
        <w:t xml:space="preserve"> taikymo sritis prikl</w:t>
      </w:r>
      <w:r w:rsidR="00DE1DEA" w:rsidRPr="007344EA">
        <w:rPr>
          <w:rFonts w:ascii="Times New Roman" w:hAnsi="Times New Roman" w:cs="Times New Roman"/>
          <w:sz w:val="24"/>
          <w:szCs w:val="24"/>
        </w:rPr>
        <w:t>auso nuo konkrečiu</w:t>
      </w:r>
      <w:r w:rsidR="00CF2C7C" w:rsidRPr="007344EA">
        <w:rPr>
          <w:rFonts w:ascii="Times New Roman" w:hAnsi="Times New Roman" w:cs="Times New Roman"/>
          <w:sz w:val="24"/>
          <w:szCs w:val="24"/>
        </w:rPr>
        <w:t xml:space="preserve"> teisės aktu reguliuojamų santykių turinio, </w:t>
      </w:r>
      <w:r w:rsidRPr="007344EA">
        <w:rPr>
          <w:rFonts w:ascii="Times New Roman" w:hAnsi="Times New Roman" w:cs="Times New Roman"/>
          <w:sz w:val="24"/>
          <w:szCs w:val="24"/>
        </w:rPr>
        <w:t xml:space="preserve"> tuo tarpu teisės akto taikymui </w:t>
      </w:r>
      <w:r w:rsidRPr="007344EA">
        <w:rPr>
          <w:rFonts w:ascii="Times New Roman" w:hAnsi="Times New Roman" w:cs="Times New Roman"/>
          <w:i/>
          <w:sz w:val="24"/>
          <w:szCs w:val="24"/>
        </w:rPr>
        <w:t>ratione temporis</w:t>
      </w:r>
      <w:r w:rsidR="00542B64" w:rsidRPr="007344EA">
        <w:rPr>
          <w:rFonts w:ascii="Times New Roman" w:hAnsi="Times New Roman" w:cs="Times New Roman"/>
          <w:i/>
          <w:sz w:val="24"/>
          <w:szCs w:val="24"/>
        </w:rPr>
        <w:t xml:space="preserve"> </w:t>
      </w:r>
      <w:r w:rsidR="00542B64" w:rsidRPr="007344EA">
        <w:rPr>
          <w:rFonts w:ascii="Times New Roman" w:hAnsi="Times New Roman" w:cs="Times New Roman"/>
          <w:sz w:val="24"/>
          <w:szCs w:val="24"/>
        </w:rPr>
        <w:t>ir</w:t>
      </w:r>
      <w:r w:rsidR="00542B64" w:rsidRPr="007344EA">
        <w:rPr>
          <w:rFonts w:ascii="Times New Roman" w:hAnsi="Times New Roman" w:cs="Times New Roman"/>
          <w:i/>
          <w:sz w:val="24"/>
          <w:szCs w:val="24"/>
        </w:rPr>
        <w:t xml:space="preserve"> ratione loci</w:t>
      </w:r>
      <w:r w:rsidR="001C2120" w:rsidRPr="007344EA">
        <w:rPr>
          <w:rFonts w:ascii="Times New Roman" w:hAnsi="Times New Roman" w:cs="Times New Roman"/>
          <w:sz w:val="24"/>
          <w:szCs w:val="24"/>
        </w:rPr>
        <w:t xml:space="preserve"> atžvilgiu naudojamos</w:t>
      </w:r>
      <w:r w:rsidRPr="007344EA">
        <w:rPr>
          <w:rFonts w:ascii="Times New Roman" w:hAnsi="Times New Roman" w:cs="Times New Roman"/>
          <w:sz w:val="24"/>
          <w:szCs w:val="24"/>
        </w:rPr>
        <w:t xml:space="preserve"> bendrosios teisės aktų tai</w:t>
      </w:r>
      <w:r w:rsidR="00A57541" w:rsidRPr="007344EA">
        <w:rPr>
          <w:rFonts w:ascii="Times New Roman" w:hAnsi="Times New Roman" w:cs="Times New Roman"/>
          <w:sz w:val="24"/>
          <w:szCs w:val="24"/>
        </w:rPr>
        <w:t xml:space="preserve">kymo taisyklės, todėl pastarųjų </w:t>
      </w:r>
      <w:r w:rsidRPr="007344EA">
        <w:rPr>
          <w:rFonts w:ascii="Times New Roman" w:hAnsi="Times New Roman" w:cs="Times New Roman"/>
          <w:sz w:val="24"/>
          <w:szCs w:val="24"/>
        </w:rPr>
        <w:t xml:space="preserve">plačiau nenagrinėsime. </w:t>
      </w:r>
    </w:p>
    <w:p w:rsidR="00D16618" w:rsidRPr="007344EA" w:rsidRDefault="00DF6FD4" w:rsidP="000F6662">
      <w:pPr>
        <w:pStyle w:val="Heading3"/>
        <w:rPr>
          <w:rFonts w:ascii="Times New Roman" w:hAnsi="Times New Roman" w:cs="Times New Roman"/>
          <w:color w:val="auto"/>
          <w:sz w:val="24"/>
          <w:szCs w:val="24"/>
        </w:rPr>
      </w:pPr>
      <w:bookmarkStart w:id="17" w:name="_Toc344337165"/>
      <w:r w:rsidRPr="007344EA">
        <w:rPr>
          <w:rFonts w:ascii="Times New Roman" w:hAnsi="Times New Roman" w:cs="Times New Roman"/>
          <w:color w:val="auto"/>
          <w:sz w:val="24"/>
          <w:szCs w:val="24"/>
        </w:rPr>
        <w:t>3</w:t>
      </w:r>
      <w:r w:rsidR="00D16618" w:rsidRPr="007344EA">
        <w:rPr>
          <w:rFonts w:ascii="Times New Roman" w:hAnsi="Times New Roman" w:cs="Times New Roman"/>
          <w:color w:val="auto"/>
          <w:sz w:val="24"/>
          <w:szCs w:val="24"/>
        </w:rPr>
        <w:t>.2.1. Ratione personae</w:t>
      </w:r>
      <w:bookmarkEnd w:id="17"/>
      <w:r w:rsidR="00830D73" w:rsidRPr="007344EA">
        <w:rPr>
          <w:rFonts w:ascii="Times New Roman" w:hAnsi="Times New Roman" w:cs="Times New Roman"/>
          <w:color w:val="auto"/>
          <w:sz w:val="24"/>
          <w:szCs w:val="24"/>
        </w:rPr>
        <w:br/>
      </w:r>
    </w:p>
    <w:p w:rsidR="00084699" w:rsidRPr="007344EA" w:rsidRDefault="00084699"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 xml:space="preserve">Taikymo sritis </w:t>
      </w:r>
      <w:r w:rsidRPr="007344EA">
        <w:rPr>
          <w:rFonts w:ascii="Times New Roman" w:hAnsi="Times New Roman" w:cs="Times New Roman"/>
          <w:i/>
          <w:sz w:val="24"/>
          <w:szCs w:val="24"/>
        </w:rPr>
        <w:t>ratione personae</w:t>
      </w:r>
      <w:r w:rsidR="00224D1C" w:rsidRPr="007344EA">
        <w:rPr>
          <w:rFonts w:ascii="Times New Roman" w:hAnsi="Times New Roman" w:cs="Times New Roman"/>
          <w:i/>
          <w:sz w:val="24"/>
          <w:szCs w:val="24"/>
        </w:rPr>
        <w:t xml:space="preserve"> </w:t>
      </w:r>
      <w:r w:rsidR="00224D1C" w:rsidRPr="007344EA">
        <w:rPr>
          <w:rFonts w:ascii="Times New Roman" w:hAnsi="Times New Roman" w:cs="Times New Roman"/>
          <w:sz w:val="24"/>
          <w:szCs w:val="24"/>
        </w:rPr>
        <w:t>−</w:t>
      </w:r>
      <w:r w:rsidR="00706579" w:rsidRPr="007344EA">
        <w:rPr>
          <w:rFonts w:ascii="Times New Roman" w:hAnsi="Times New Roman" w:cs="Times New Roman"/>
          <w:sz w:val="24"/>
          <w:szCs w:val="24"/>
        </w:rPr>
        <w:t xml:space="preserve"> nurodo kokiais požymiais </w:t>
      </w:r>
      <w:r w:rsidR="00464885" w:rsidRPr="007344EA">
        <w:rPr>
          <w:rFonts w:ascii="Times New Roman" w:hAnsi="Times New Roman" w:cs="Times New Roman"/>
          <w:sz w:val="24"/>
          <w:szCs w:val="24"/>
        </w:rPr>
        <w:t>turi išsiskirti</w:t>
      </w:r>
      <w:r w:rsidR="00706579" w:rsidRPr="007344EA">
        <w:rPr>
          <w:rFonts w:ascii="Times New Roman" w:hAnsi="Times New Roman" w:cs="Times New Roman"/>
          <w:sz w:val="24"/>
          <w:szCs w:val="24"/>
        </w:rPr>
        <w:t xml:space="preserve"> teisinių santykių subjektai</w:t>
      </w:r>
      <w:r w:rsidR="00464885" w:rsidRPr="007344EA">
        <w:rPr>
          <w:rFonts w:ascii="Times New Roman" w:hAnsi="Times New Roman" w:cs="Times New Roman"/>
          <w:sz w:val="24"/>
          <w:szCs w:val="24"/>
        </w:rPr>
        <w:t xml:space="preserve"> tam,</w:t>
      </w:r>
      <w:r w:rsidRPr="007344EA">
        <w:rPr>
          <w:rFonts w:ascii="Times New Roman" w:hAnsi="Times New Roman" w:cs="Times New Roman"/>
          <w:sz w:val="24"/>
          <w:szCs w:val="24"/>
        </w:rPr>
        <w:t xml:space="preserve"> kad būtų taikomas Direktyvoje 93/13 numatytas teisinis reguliavimas. Direkty</w:t>
      </w:r>
      <w:r w:rsidR="00A57541" w:rsidRPr="007344EA">
        <w:rPr>
          <w:rFonts w:ascii="Times New Roman" w:hAnsi="Times New Roman" w:cs="Times New Roman"/>
          <w:sz w:val="24"/>
          <w:szCs w:val="24"/>
        </w:rPr>
        <w:t>vos 93/13</w:t>
      </w:r>
      <w:r w:rsidR="00706579" w:rsidRPr="007344EA">
        <w:rPr>
          <w:rFonts w:ascii="Times New Roman" w:hAnsi="Times New Roman" w:cs="Times New Roman"/>
          <w:sz w:val="24"/>
          <w:szCs w:val="24"/>
        </w:rPr>
        <w:t xml:space="preserve"> tekste </w:t>
      </w:r>
      <w:r w:rsidR="00706579" w:rsidRPr="007344EA">
        <w:rPr>
          <w:rFonts w:ascii="Times New Roman" w:hAnsi="Times New Roman" w:cs="Times New Roman"/>
          <w:i/>
          <w:sz w:val="24"/>
          <w:szCs w:val="24"/>
        </w:rPr>
        <w:t>expressis verbis</w:t>
      </w:r>
      <w:r w:rsidR="00706579" w:rsidRPr="007344EA">
        <w:rPr>
          <w:rFonts w:ascii="Times New Roman" w:hAnsi="Times New Roman" w:cs="Times New Roman"/>
          <w:sz w:val="24"/>
          <w:szCs w:val="24"/>
        </w:rPr>
        <w:t xml:space="preserve"> yra įtvirtinti </w:t>
      </w:r>
      <w:r w:rsidRPr="007344EA">
        <w:rPr>
          <w:rFonts w:ascii="Times New Roman" w:hAnsi="Times New Roman" w:cs="Times New Roman"/>
          <w:sz w:val="24"/>
          <w:szCs w:val="24"/>
        </w:rPr>
        <w:t>du subjektai</w:t>
      </w:r>
      <w:r w:rsidR="00224D1C"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 vartotojas ir pardavėjas ar tiekėjas</w:t>
      </w:r>
      <w:r w:rsidR="00706579" w:rsidRPr="007344EA">
        <w:rPr>
          <w:rFonts w:ascii="Times New Roman" w:hAnsi="Times New Roman" w:cs="Times New Roman"/>
          <w:sz w:val="24"/>
          <w:szCs w:val="24"/>
        </w:rPr>
        <w:t>. Pagal Direkty</w:t>
      </w:r>
      <w:r w:rsidR="00235983" w:rsidRPr="007344EA">
        <w:rPr>
          <w:rFonts w:ascii="Times New Roman" w:hAnsi="Times New Roman" w:cs="Times New Roman"/>
          <w:sz w:val="24"/>
          <w:szCs w:val="24"/>
        </w:rPr>
        <w:t>vos 2 straipsnį</w:t>
      </w:r>
      <w:r w:rsidR="00706579" w:rsidRPr="007344EA">
        <w:rPr>
          <w:rFonts w:ascii="Times New Roman" w:hAnsi="Times New Roman" w:cs="Times New Roman"/>
          <w:sz w:val="24"/>
          <w:szCs w:val="24"/>
        </w:rPr>
        <w:t xml:space="preserve"> </w:t>
      </w:r>
      <w:r w:rsidRPr="007344EA">
        <w:rPr>
          <w:rFonts w:ascii="Times New Roman" w:hAnsi="Times New Roman" w:cs="Times New Roman"/>
          <w:sz w:val="24"/>
          <w:szCs w:val="24"/>
        </w:rPr>
        <w:t>„vartotojas“ bet kuris fizinis asmuo, kuris sutartyse, kurioms taikoma ši Direktyva veikia siekdamas tikslų, nesusijusių jo verslu, prekyba ar profesija. Tame pačiam</w:t>
      </w:r>
      <w:r w:rsidR="00F4381A" w:rsidRPr="007344EA">
        <w:rPr>
          <w:rFonts w:ascii="Times New Roman" w:hAnsi="Times New Roman" w:cs="Times New Roman"/>
          <w:sz w:val="24"/>
          <w:szCs w:val="24"/>
        </w:rPr>
        <w:t>e straipsnyje yra įtvirtinta ir</w:t>
      </w:r>
      <w:r w:rsidRPr="007344EA">
        <w:rPr>
          <w:rFonts w:ascii="Times New Roman" w:hAnsi="Times New Roman" w:cs="Times New Roman"/>
          <w:sz w:val="24"/>
          <w:szCs w:val="24"/>
        </w:rPr>
        <w:t xml:space="preserve"> pardavėjo ar tiekėjo</w:t>
      </w:r>
      <w:r w:rsidR="00EB6CF6" w:rsidRPr="007344EA">
        <w:rPr>
          <w:rFonts w:ascii="Times New Roman" w:hAnsi="Times New Roman" w:cs="Times New Roman"/>
          <w:sz w:val="24"/>
          <w:szCs w:val="24"/>
        </w:rPr>
        <w:t xml:space="preserve"> </w:t>
      </w:r>
      <w:r w:rsidRPr="007344EA">
        <w:rPr>
          <w:rFonts w:ascii="Times New Roman" w:hAnsi="Times New Roman" w:cs="Times New Roman"/>
          <w:sz w:val="24"/>
          <w:szCs w:val="24"/>
        </w:rPr>
        <w:t>sąvoka</w:t>
      </w:r>
      <w:r w:rsidR="00224D1C"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 bet kuris fizinis ar juridinis asmuo, kuris sutartyse, kurioms taikoma ši direktyva veik</w:t>
      </w:r>
      <w:r w:rsidR="0092152B" w:rsidRPr="007344EA">
        <w:rPr>
          <w:rFonts w:ascii="Times New Roman" w:hAnsi="Times New Roman" w:cs="Times New Roman"/>
          <w:sz w:val="24"/>
          <w:szCs w:val="24"/>
        </w:rPr>
        <w:t>ia</w:t>
      </w:r>
      <w:r w:rsidRPr="007344EA">
        <w:rPr>
          <w:rFonts w:ascii="Times New Roman" w:hAnsi="Times New Roman" w:cs="Times New Roman"/>
          <w:sz w:val="24"/>
          <w:szCs w:val="24"/>
        </w:rPr>
        <w:t xml:space="preserve"> savo</w:t>
      </w:r>
      <w:r w:rsidRPr="007344EA">
        <w:rPr>
          <w:rStyle w:val="FootnoteReference"/>
          <w:rFonts w:ascii="Times New Roman" w:hAnsi="Times New Roman"/>
          <w:sz w:val="24"/>
          <w:szCs w:val="24"/>
        </w:rPr>
        <w:footnoteReference w:id="185"/>
      </w:r>
      <w:r w:rsidR="00F4381A" w:rsidRPr="007344EA">
        <w:rPr>
          <w:rFonts w:ascii="Times New Roman" w:hAnsi="Times New Roman" w:cs="Times New Roman"/>
          <w:sz w:val="24"/>
          <w:szCs w:val="24"/>
        </w:rPr>
        <w:t xml:space="preserve"> (pataisytas vertimas –</w:t>
      </w:r>
      <w:r w:rsidRPr="007344EA">
        <w:rPr>
          <w:rFonts w:ascii="Times New Roman" w:hAnsi="Times New Roman" w:cs="Times New Roman"/>
          <w:sz w:val="24"/>
          <w:szCs w:val="24"/>
        </w:rPr>
        <w:t xml:space="preserve"> </w:t>
      </w:r>
      <w:r w:rsidR="00F4381A" w:rsidRPr="007344EA">
        <w:rPr>
          <w:rFonts w:ascii="Times New Roman" w:hAnsi="Times New Roman" w:cs="Times New Roman"/>
          <w:i/>
          <w:sz w:val="24"/>
          <w:szCs w:val="24"/>
        </w:rPr>
        <w:t>aut.</w:t>
      </w:r>
      <w:r w:rsidR="00C162E3" w:rsidRPr="007344EA">
        <w:rPr>
          <w:rFonts w:ascii="Times New Roman" w:hAnsi="Times New Roman" w:cs="Times New Roman"/>
          <w:i/>
          <w:sz w:val="24"/>
          <w:szCs w:val="24"/>
        </w:rPr>
        <w:t xml:space="preserve"> past.</w:t>
      </w:r>
      <w:r w:rsidR="00C162E3" w:rsidRPr="007344EA">
        <w:rPr>
          <w:rFonts w:ascii="Times New Roman" w:hAnsi="Times New Roman" w:cs="Times New Roman"/>
          <w:sz w:val="24"/>
          <w:szCs w:val="24"/>
        </w:rPr>
        <w:t>)</w:t>
      </w:r>
      <w:r w:rsidR="00F4381A" w:rsidRPr="007344EA">
        <w:rPr>
          <w:rFonts w:ascii="Times New Roman" w:hAnsi="Times New Roman" w:cs="Times New Roman"/>
          <w:sz w:val="24"/>
          <w:szCs w:val="24"/>
        </w:rPr>
        <w:t xml:space="preserve"> </w:t>
      </w:r>
      <w:r w:rsidRPr="007344EA">
        <w:rPr>
          <w:rFonts w:ascii="Times New Roman" w:hAnsi="Times New Roman" w:cs="Times New Roman"/>
          <w:sz w:val="24"/>
          <w:szCs w:val="24"/>
        </w:rPr>
        <w:t>verslo, prekybos ar profesijos tikslais, nesvarbu ar tai būt</w:t>
      </w:r>
      <w:r w:rsidR="00706579" w:rsidRPr="007344EA">
        <w:rPr>
          <w:rFonts w:ascii="Times New Roman" w:hAnsi="Times New Roman" w:cs="Times New Roman"/>
          <w:sz w:val="24"/>
          <w:szCs w:val="24"/>
        </w:rPr>
        <w:t>ų viešoji ar privati nuosavybė.</w:t>
      </w:r>
      <w:r w:rsidR="006E4892" w:rsidRPr="007344EA">
        <w:rPr>
          <w:rFonts w:ascii="Times New Roman" w:hAnsi="Times New Roman" w:cs="Times New Roman"/>
          <w:sz w:val="24"/>
          <w:szCs w:val="24"/>
        </w:rPr>
        <w:t xml:space="preserve"> </w:t>
      </w:r>
      <w:r w:rsidRPr="007344EA">
        <w:rPr>
          <w:rFonts w:ascii="Times New Roman" w:hAnsi="Times New Roman" w:cs="Times New Roman"/>
          <w:sz w:val="24"/>
          <w:szCs w:val="24"/>
        </w:rPr>
        <w:t>Vartotojo samprata atskleidžiama ne apibrėžiant konkrečias asmens savybes, bet per jo veiksmus rinkoje</w:t>
      </w:r>
      <w:r w:rsidR="006E4892" w:rsidRPr="007344EA">
        <w:rPr>
          <w:rFonts w:ascii="Times New Roman" w:hAnsi="Times New Roman" w:cs="Times New Roman"/>
          <w:sz w:val="24"/>
          <w:szCs w:val="24"/>
        </w:rPr>
        <w:t>.</w:t>
      </w:r>
      <w:r w:rsidRPr="007344EA">
        <w:rPr>
          <w:rStyle w:val="FootnoteReference"/>
          <w:rFonts w:ascii="Times New Roman" w:hAnsi="Times New Roman"/>
          <w:sz w:val="24"/>
          <w:szCs w:val="24"/>
        </w:rPr>
        <w:footnoteReference w:id="186"/>
      </w:r>
      <w:r w:rsidRPr="007344EA">
        <w:rPr>
          <w:rFonts w:ascii="Times New Roman" w:hAnsi="Times New Roman" w:cs="Times New Roman"/>
          <w:sz w:val="24"/>
          <w:szCs w:val="24"/>
        </w:rPr>
        <w:t xml:space="preserve"> Kaip jau </w:t>
      </w:r>
      <w:r w:rsidR="00226545" w:rsidRPr="007344EA">
        <w:rPr>
          <w:rFonts w:ascii="Times New Roman" w:hAnsi="Times New Roman" w:cs="Times New Roman"/>
          <w:sz w:val="24"/>
          <w:szCs w:val="24"/>
        </w:rPr>
        <w:t>minėta pirmajame 1990 metų</w:t>
      </w:r>
      <w:r w:rsidRPr="007344EA">
        <w:rPr>
          <w:rFonts w:ascii="Times New Roman" w:hAnsi="Times New Roman" w:cs="Times New Roman"/>
          <w:sz w:val="24"/>
          <w:szCs w:val="24"/>
        </w:rPr>
        <w:t xml:space="preserve"> Komisijos pasiūlyme dėl Nesąžiningų sąlygų vartotojų sutartyse vartotojo sąvoka buvo apibrėžta analogiškai dabartiniam reguliavimui. Antrajame Komisijos pa</w:t>
      </w:r>
      <w:r w:rsidR="00A57541" w:rsidRPr="007344EA">
        <w:rPr>
          <w:rFonts w:ascii="Times New Roman" w:hAnsi="Times New Roman" w:cs="Times New Roman"/>
          <w:sz w:val="24"/>
          <w:szCs w:val="24"/>
        </w:rPr>
        <w:t xml:space="preserve">siūlyme pateiktame 1992 metais </w:t>
      </w:r>
      <w:r w:rsidRPr="007344EA">
        <w:rPr>
          <w:rFonts w:ascii="Times New Roman" w:hAnsi="Times New Roman" w:cs="Times New Roman"/>
          <w:sz w:val="24"/>
          <w:szCs w:val="24"/>
        </w:rPr>
        <w:t xml:space="preserve">vartotoju siekta pripažinti ne tik fizinį, bet ir juridinį asmenį, tačiau reikalavimas veikti siekiant tikslų nesisijusių su verslu, </w:t>
      </w:r>
      <w:r w:rsidRPr="007344EA">
        <w:rPr>
          <w:rFonts w:ascii="Times New Roman" w:hAnsi="Times New Roman" w:cs="Times New Roman"/>
          <w:sz w:val="24"/>
          <w:szCs w:val="24"/>
        </w:rPr>
        <w:lastRenderedPageBreak/>
        <w:t>p</w:t>
      </w:r>
      <w:r w:rsidR="00226545" w:rsidRPr="007344EA">
        <w:rPr>
          <w:rFonts w:ascii="Times New Roman" w:hAnsi="Times New Roman" w:cs="Times New Roman"/>
          <w:sz w:val="24"/>
          <w:szCs w:val="24"/>
        </w:rPr>
        <w:t xml:space="preserve">rekyba ir profesija išliko. Tai </w:t>
      </w:r>
      <w:r w:rsidRPr="007344EA">
        <w:rPr>
          <w:rFonts w:ascii="Times New Roman" w:hAnsi="Times New Roman" w:cs="Times New Roman"/>
          <w:sz w:val="24"/>
          <w:szCs w:val="24"/>
        </w:rPr>
        <w:t>rodo, kad jau priimant Direktyvą 93/13</w:t>
      </w:r>
      <w:r w:rsidR="00A57541" w:rsidRPr="007344EA">
        <w:rPr>
          <w:rFonts w:ascii="Times New Roman" w:hAnsi="Times New Roman" w:cs="Times New Roman"/>
          <w:sz w:val="24"/>
          <w:szCs w:val="24"/>
        </w:rPr>
        <w:t>,</w:t>
      </w:r>
      <w:r w:rsidRPr="007344EA">
        <w:rPr>
          <w:rFonts w:ascii="Times New Roman" w:hAnsi="Times New Roman" w:cs="Times New Roman"/>
          <w:sz w:val="24"/>
          <w:szCs w:val="24"/>
        </w:rPr>
        <w:t xml:space="preserve"> kilo diskusijos dėl vartotojo sąvokos apibrėžimo. </w:t>
      </w:r>
    </w:p>
    <w:p w:rsidR="0071060A" w:rsidRPr="007344EA" w:rsidRDefault="00706579" w:rsidP="006E00E1">
      <w:p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rPr>
        <w:tab/>
        <w:t>Atsižvelgiant į tai,</w:t>
      </w:r>
      <w:r w:rsidR="00084699" w:rsidRPr="007344EA">
        <w:rPr>
          <w:rFonts w:ascii="Times New Roman" w:hAnsi="Times New Roman" w:cs="Times New Roman"/>
          <w:sz w:val="24"/>
          <w:szCs w:val="24"/>
        </w:rPr>
        <w:t xml:space="preserve"> „jog Teisingumo Teismas savo praktikoje, susijusioje su Briuselio konvencijos</w:t>
      </w:r>
      <w:r w:rsidR="00084699" w:rsidRPr="007344EA">
        <w:rPr>
          <w:rStyle w:val="FootnoteReference"/>
          <w:rFonts w:ascii="Times New Roman" w:hAnsi="Times New Roman"/>
          <w:sz w:val="24"/>
          <w:szCs w:val="24"/>
        </w:rPr>
        <w:footnoteReference w:id="187"/>
      </w:r>
      <w:r w:rsidR="00084699" w:rsidRPr="007344EA">
        <w:rPr>
          <w:rFonts w:ascii="Times New Roman" w:hAnsi="Times New Roman" w:cs="Times New Roman"/>
          <w:sz w:val="24"/>
          <w:szCs w:val="24"/>
        </w:rPr>
        <w:t xml:space="preserve"> taikymu, vengia cituoti savo sprendimus, susijusius su vartotojo koncepcijos, įtvirtintos vartotojų apsaugos direktyvose, aiškinimu, o bylose dėl Briuselio Konvencijos aiškinimo, Teismas nesiremia vartotojo koncepcija, kurią jis suformavo sprendimuose, susijusiose su kitomis Bendrijos teisės sritimis“</w:t>
      </w:r>
      <w:r w:rsidR="00084699" w:rsidRPr="007344EA">
        <w:rPr>
          <w:rStyle w:val="FootnoteReference"/>
          <w:rFonts w:ascii="Times New Roman" w:hAnsi="Times New Roman"/>
          <w:sz w:val="24"/>
          <w:szCs w:val="24"/>
        </w:rPr>
        <w:footnoteReference w:id="188"/>
      </w:r>
      <w:r w:rsidR="00E95E20" w:rsidRPr="007344EA">
        <w:rPr>
          <w:rFonts w:ascii="Times New Roman" w:hAnsi="Times New Roman" w:cs="Times New Roman"/>
          <w:sz w:val="24"/>
          <w:szCs w:val="24"/>
        </w:rPr>
        <w:t>,</w:t>
      </w:r>
      <w:r w:rsidR="00FB6B1B" w:rsidRPr="007344EA">
        <w:rPr>
          <w:rFonts w:ascii="Times New Roman" w:hAnsi="Times New Roman" w:cs="Times New Roman"/>
          <w:sz w:val="24"/>
          <w:szCs w:val="24"/>
        </w:rPr>
        <w:t xml:space="preserve"> </w:t>
      </w:r>
      <w:r w:rsidR="00E95E20" w:rsidRPr="007344EA">
        <w:rPr>
          <w:rFonts w:ascii="Times New Roman" w:hAnsi="Times New Roman" w:cs="Times New Roman"/>
          <w:sz w:val="24"/>
          <w:szCs w:val="24"/>
        </w:rPr>
        <w:t>t</w:t>
      </w:r>
      <w:r w:rsidR="00084699" w:rsidRPr="007344EA">
        <w:rPr>
          <w:rFonts w:ascii="Times New Roman" w:hAnsi="Times New Roman" w:cs="Times New Roman"/>
          <w:sz w:val="24"/>
          <w:szCs w:val="24"/>
        </w:rPr>
        <w:t xml:space="preserve">aip pat į tai, kad vartotojo </w:t>
      </w:r>
      <w:r w:rsidRPr="007344EA">
        <w:rPr>
          <w:rFonts w:ascii="Times New Roman" w:hAnsi="Times New Roman" w:cs="Times New Roman"/>
          <w:sz w:val="24"/>
          <w:szCs w:val="24"/>
        </w:rPr>
        <w:t>ir verslininko</w:t>
      </w:r>
      <w:r w:rsidR="00084699" w:rsidRPr="007344EA">
        <w:rPr>
          <w:rFonts w:ascii="Times New Roman" w:hAnsi="Times New Roman" w:cs="Times New Roman"/>
          <w:sz w:val="24"/>
          <w:szCs w:val="24"/>
        </w:rPr>
        <w:t xml:space="preserve"> apibrėžimai vartotojų apsaugos direktyvose nėra analogiški bei į tai, kad šio magistro baigiamojo darbo tema yra orientuota vien tik į Teisingumo Teismo praktiką nesąžiningų sąlygų sutartyse su vartotojais srityje, bus analizuojama tik Direktyvoje 93/13 įtvirtinta ir pagal ją Teisingumo Teismo išaiškinta vartotojo ir  pardavėjo ar tiekėjo samprata. </w:t>
      </w:r>
      <w:r w:rsidR="00FE5A78" w:rsidRPr="007344EA">
        <w:rPr>
          <w:rFonts w:ascii="Times New Roman" w:hAnsi="Times New Roman" w:cs="Times New Roman"/>
          <w:sz w:val="24"/>
          <w:szCs w:val="24"/>
        </w:rPr>
        <w:t xml:space="preserve"> Nors </w:t>
      </w:r>
      <w:r w:rsidR="0071060A" w:rsidRPr="007344EA">
        <w:rPr>
          <w:rFonts w:ascii="Times New Roman" w:hAnsi="Times New Roman" w:cs="Times New Roman"/>
          <w:sz w:val="24"/>
          <w:szCs w:val="24"/>
        </w:rPr>
        <w:t xml:space="preserve">ir </w:t>
      </w:r>
      <w:r w:rsidR="00FE5A78" w:rsidRPr="007344EA">
        <w:rPr>
          <w:rFonts w:ascii="Times New Roman" w:hAnsi="Times New Roman" w:cs="Times New Roman"/>
          <w:sz w:val="24"/>
          <w:szCs w:val="24"/>
        </w:rPr>
        <w:t xml:space="preserve">valstybių narių nacionalinė teisėje laikomasi vieningos vartotojo sąvokos, nepriklausomai </w:t>
      </w:r>
      <w:r w:rsidR="0071060A" w:rsidRPr="007344EA">
        <w:rPr>
          <w:rFonts w:ascii="Times New Roman" w:hAnsi="Times New Roman" w:cs="Times New Roman"/>
          <w:sz w:val="24"/>
          <w:szCs w:val="24"/>
        </w:rPr>
        <w:t xml:space="preserve">nuo reglamentuojamų santykių. </w:t>
      </w:r>
    </w:p>
    <w:p w:rsidR="001A771E" w:rsidRPr="007344EA" w:rsidRDefault="0071060A"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B</w:t>
      </w:r>
      <w:r w:rsidR="00084699" w:rsidRPr="007344EA">
        <w:rPr>
          <w:rFonts w:ascii="Times New Roman" w:hAnsi="Times New Roman" w:cs="Times New Roman"/>
          <w:sz w:val="24"/>
          <w:szCs w:val="24"/>
        </w:rPr>
        <w:t>yloje</w:t>
      </w:r>
      <w:r w:rsidR="00FA5562" w:rsidRPr="007344EA">
        <w:rPr>
          <w:rFonts w:ascii="Times New Roman" w:hAnsi="Times New Roman" w:cs="Times New Roman"/>
          <w:sz w:val="24"/>
          <w:szCs w:val="24"/>
        </w:rPr>
        <w:t xml:space="preserve"> </w:t>
      </w:r>
      <w:r w:rsidR="00084699" w:rsidRPr="007344EA">
        <w:rPr>
          <w:rFonts w:ascii="Times New Roman" w:hAnsi="Times New Roman" w:cs="Times New Roman"/>
          <w:i/>
          <w:sz w:val="24"/>
          <w:szCs w:val="24"/>
        </w:rPr>
        <w:t>Cape</w:t>
      </w:r>
      <w:r w:rsidR="00084699" w:rsidRPr="007344EA">
        <w:rPr>
          <w:rStyle w:val="FootnoteReference"/>
          <w:rFonts w:ascii="Times New Roman" w:hAnsi="Times New Roman"/>
          <w:i/>
          <w:sz w:val="24"/>
          <w:szCs w:val="24"/>
        </w:rPr>
        <w:footnoteReference w:id="189"/>
      </w:r>
      <w:r w:rsidR="00084699" w:rsidRPr="007344EA">
        <w:rPr>
          <w:rFonts w:ascii="Times New Roman" w:hAnsi="Times New Roman" w:cs="Times New Roman"/>
          <w:sz w:val="24"/>
          <w:szCs w:val="24"/>
        </w:rPr>
        <w:t>,</w:t>
      </w:r>
      <w:r w:rsidR="006E4892" w:rsidRPr="007344EA">
        <w:rPr>
          <w:rFonts w:ascii="Times New Roman" w:hAnsi="Times New Roman" w:cs="Times New Roman"/>
          <w:sz w:val="24"/>
          <w:szCs w:val="24"/>
        </w:rPr>
        <w:t xml:space="preserve"> </w:t>
      </w:r>
      <w:r w:rsidR="00C162E3" w:rsidRPr="007344EA">
        <w:rPr>
          <w:rFonts w:ascii="Times New Roman" w:hAnsi="Times New Roman" w:cs="Times New Roman"/>
          <w:sz w:val="24"/>
          <w:szCs w:val="24"/>
        </w:rPr>
        <w:t xml:space="preserve">kurios aplinkybės </w:t>
      </w:r>
      <w:r w:rsidR="00084699" w:rsidRPr="007344EA">
        <w:rPr>
          <w:rFonts w:ascii="Times New Roman" w:hAnsi="Times New Roman" w:cs="Times New Roman"/>
          <w:sz w:val="24"/>
          <w:szCs w:val="24"/>
        </w:rPr>
        <w:t xml:space="preserve">aptartos skyriuje, analizuojančiame </w:t>
      </w:r>
      <w:r w:rsidR="006E4892" w:rsidRPr="007344EA">
        <w:rPr>
          <w:rFonts w:ascii="Times New Roman" w:hAnsi="Times New Roman" w:cs="Times New Roman"/>
          <w:sz w:val="24"/>
          <w:szCs w:val="24"/>
        </w:rPr>
        <w:t>kreipimu</w:t>
      </w:r>
      <w:r w:rsidR="00706579" w:rsidRPr="007344EA">
        <w:rPr>
          <w:rFonts w:ascii="Times New Roman" w:hAnsi="Times New Roman" w:cs="Times New Roman"/>
          <w:sz w:val="24"/>
          <w:szCs w:val="24"/>
        </w:rPr>
        <w:t>si į Teisingumo Teismą priežastis</w:t>
      </w:r>
      <w:r w:rsidR="006E4892" w:rsidRPr="007344EA">
        <w:rPr>
          <w:rFonts w:ascii="Times New Roman" w:hAnsi="Times New Roman" w:cs="Times New Roman"/>
          <w:sz w:val="24"/>
          <w:szCs w:val="24"/>
        </w:rPr>
        <w:t xml:space="preserve">, </w:t>
      </w:r>
      <w:r w:rsidR="00E77FDF" w:rsidRPr="007344EA">
        <w:rPr>
          <w:rFonts w:ascii="Times New Roman" w:hAnsi="Times New Roman" w:cs="Times New Roman"/>
          <w:sz w:val="24"/>
          <w:szCs w:val="24"/>
        </w:rPr>
        <w:t xml:space="preserve">Teisingumo </w:t>
      </w:r>
      <w:r w:rsidR="006E4892" w:rsidRPr="007344EA">
        <w:rPr>
          <w:rFonts w:ascii="Times New Roman" w:hAnsi="Times New Roman" w:cs="Times New Roman"/>
          <w:sz w:val="24"/>
          <w:szCs w:val="24"/>
        </w:rPr>
        <w:t xml:space="preserve">Teismas </w:t>
      </w:r>
      <w:r w:rsidR="00084699" w:rsidRPr="007344EA">
        <w:rPr>
          <w:rFonts w:ascii="Times New Roman" w:hAnsi="Times New Roman" w:cs="Times New Roman"/>
          <w:sz w:val="24"/>
          <w:szCs w:val="24"/>
        </w:rPr>
        <w:t>aiškino Direktyvoje 93/</w:t>
      </w:r>
      <w:r w:rsidR="00706579" w:rsidRPr="007344EA">
        <w:rPr>
          <w:rFonts w:ascii="Times New Roman" w:hAnsi="Times New Roman" w:cs="Times New Roman"/>
          <w:sz w:val="24"/>
          <w:szCs w:val="24"/>
        </w:rPr>
        <w:t>13 įtvirtintą vartotojo sąvoką.</w:t>
      </w:r>
      <w:r w:rsidR="00084699" w:rsidRPr="007344EA">
        <w:rPr>
          <w:rFonts w:ascii="Times New Roman" w:hAnsi="Times New Roman" w:cs="Times New Roman"/>
          <w:sz w:val="24"/>
          <w:szCs w:val="24"/>
        </w:rPr>
        <w:t xml:space="preserve"> Primintina, kad nacionalinis teismas prašydamas priimti prejudicinį sprendimą siekė sužinoti ar pagal Direktyvą 93/13 vartotoju gali būti pripažintas ir juridinis asmuo, kuris veikia išskirtinai tik savo darbuotojų (fizinių asmenų) interesais? Šiame tik kelis puslapius apimančiame sprendime Teisingumo Teismas buvo lakoniškas ir atsakymą priėmė besivadovauda</w:t>
      </w:r>
      <w:r w:rsidR="00E8587B" w:rsidRPr="007344EA">
        <w:rPr>
          <w:rFonts w:ascii="Times New Roman" w:hAnsi="Times New Roman" w:cs="Times New Roman"/>
          <w:sz w:val="24"/>
          <w:szCs w:val="24"/>
        </w:rPr>
        <w:t xml:space="preserve">mas vien tik „įstatymo raide“. </w:t>
      </w:r>
      <w:r w:rsidR="00084699" w:rsidRPr="007344EA">
        <w:rPr>
          <w:rFonts w:ascii="Times New Roman" w:hAnsi="Times New Roman" w:cs="Times New Roman"/>
          <w:sz w:val="24"/>
          <w:szCs w:val="24"/>
        </w:rPr>
        <w:t>Iš Direktyvos 2 str. formuluotės yra visiškai aišku, kad bet koks kitas asmuo, išskyrus fizinį asmenį sudarydamas sutartį su pardavėju ar tiekėju negali būti laikomas vartotoju šios nuostatos prasme</w:t>
      </w:r>
      <w:r w:rsidR="00E8587B" w:rsidRPr="007344EA">
        <w:rPr>
          <w:rFonts w:ascii="Times New Roman" w:hAnsi="Times New Roman" w:cs="Times New Roman"/>
          <w:sz w:val="24"/>
          <w:szCs w:val="24"/>
        </w:rPr>
        <w:t>.</w:t>
      </w:r>
      <w:r w:rsidR="00084699" w:rsidRPr="007344EA">
        <w:rPr>
          <w:rStyle w:val="FootnoteReference"/>
          <w:rFonts w:ascii="Times New Roman" w:hAnsi="Times New Roman"/>
          <w:sz w:val="24"/>
          <w:szCs w:val="24"/>
        </w:rPr>
        <w:footnoteReference w:id="190"/>
      </w:r>
      <w:r w:rsidR="00E8587B" w:rsidRPr="007344EA">
        <w:rPr>
          <w:rFonts w:ascii="Times New Roman" w:hAnsi="Times New Roman" w:cs="Times New Roman"/>
          <w:sz w:val="24"/>
          <w:szCs w:val="24"/>
        </w:rPr>
        <w:t xml:space="preserve"> </w:t>
      </w:r>
      <w:r w:rsidR="00084699" w:rsidRPr="007344EA">
        <w:rPr>
          <w:rFonts w:ascii="Times New Roman" w:hAnsi="Times New Roman" w:cs="Times New Roman"/>
          <w:sz w:val="24"/>
          <w:szCs w:val="24"/>
        </w:rPr>
        <w:t>Teisingumo Teismas plačiau savo tokios savo pozici</w:t>
      </w:r>
      <w:r w:rsidR="00706579" w:rsidRPr="007344EA">
        <w:rPr>
          <w:rFonts w:ascii="Times New Roman" w:hAnsi="Times New Roman" w:cs="Times New Roman"/>
          <w:sz w:val="24"/>
          <w:szCs w:val="24"/>
        </w:rPr>
        <w:t>jos neargumentavo. Generalinis a</w:t>
      </w:r>
      <w:r w:rsidR="00084699" w:rsidRPr="007344EA">
        <w:rPr>
          <w:rFonts w:ascii="Times New Roman" w:hAnsi="Times New Roman" w:cs="Times New Roman"/>
          <w:sz w:val="24"/>
          <w:szCs w:val="24"/>
        </w:rPr>
        <w:t xml:space="preserve">dvokatas J. Mischo, pateikdamas išvadą </w:t>
      </w:r>
      <w:r w:rsidR="00CD7A1E" w:rsidRPr="007344EA">
        <w:rPr>
          <w:rFonts w:ascii="Times New Roman" w:hAnsi="Times New Roman" w:cs="Times New Roman"/>
          <w:sz w:val="24"/>
          <w:szCs w:val="24"/>
        </w:rPr>
        <w:t>minėtoje byloje, taip pat laikė</w:t>
      </w:r>
      <w:r w:rsidR="00084699" w:rsidRPr="007344EA">
        <w:rPr>
          <w:rFonts w:ascii="Times New Roman" w:hAnsi="Times New Roman" w:cs="Times New Roman"/>
          <w:sz w:val="24"/>
          <w:szCs w:val="24"/>
        </w:rPr>
        <w:t>si tokios pačios nuomonės, kad juridinis asmuo negali būti laikomas vartotoju. Tačiau savo poziciją argumentuoja ne vien Direktyvoje 93/13 tiesiogiai įtvirtinta vartotojo sąvoka, bet ir Direktyvoje</w:t>
      </w:r>
      <w:r w:rsidR="00C162E3" w:rsidRPr="007344EA">
        <w:rPr>
          <w:rFonts w:ascii="Times New Roman" w:hAnsi="Times New Roman" w:cs="Times New Roman"/>
          <w:sz w:val="24"/>
          <w:szCs w:val="24"/>
        </w:rPr>
        <w:t xml:space="preserve"> 9</w:t>
      </w:r>
      <w:r w:rsidR="00C162E3" w:rsidRPr="007344EA">
        <w:rPr>
          <w:rFonts w:ascii="Times New Roman" w:hAnsi="Times New Roman" w:cs="Times New Roman"/>
          <w:sz w:val="24"/>
          <w:szCs w:val="24"/>
          <w:lang w:val="en-US"/>
        </w:rPr>
        <w:t>3/13</w:t>
      </w:r>
      <w:r w:rsidR="00084699" w:rsidRPr="007344EA">
        <w:rPr>
          <w:rFonts w:ascii="Times New Roman" w:hAnsi="Times New Roman" w:cs="Times New Roman"/>
          <w:sz w:val="24"/>
          <w:szCs w:val="24"/>
        </w:rPr>
        <w:t xml:space="preserve"> įtvirt</w:t>
      </w:r>
      <w:r w:rsidR="0077122D" w:rsidRPr="007344EA">
        <w:rPr>
          <w:rFonts w:ascii="Times New Roman" w:hAnsi="Times New Roman" w:cs="Times New Roman"/>
          <w:sz w:val="24"/>
          <w:szCs w:val="24"/>
        </w:rPr>
        <w:t>inta vartotojo apsaugos sistema</w:t>
      </w:r>
      <w:r w:rsidR="00084699" w:rsidRPr="007344EA">
        <w:rPr>
          <w:rFonts w:ascii="Times New Roman" w:hAnsi="Times New Roman" w:cs="Times New Roman"/>
          <w:sz w:val="24"/>
          <w:szCs w:val="24"/>
        </w:rPr>
        <w:t xml:space="preserve"> bei sutarčių</w:t>
      </w:r>
      <w:r w:rsidR="00706579" w:rsidRPr="007344EA">
        <w:rPr>
          <w:rFonts w:ascii="Times New Roman" w:hAnsi="Times New Roman" w:cs="Times New Roman"/>
          <w:sz w:val="24"/>
          <w:szCs w:val="24"/>
        </w:rPr>
        <w:t xml:space="preserve"> </w:t>
      </w:r>
      <w:r w:rsidR="00273DF9" w:rsidRPr="007344EA">
        <w:rPr>
          <w:rFonts w:ascii="Times New Roman" w:hAnsi="Times New Roman" w:cs="Times New Roman"/>
          <w:sz w:val="24"/>
          <w:szCs w:val="24"/>
        </w:rPr>
        <w:t>laisvės princip</w:t>
      </w:r>
      <w:r w:rsidR="00D16618" w:rsidRPr="007344EA">
        <w:rPr>
          <w:rFonts w:ascii="Times New Roman" w:hAnsi="Times New Roman" w:cs="Times New Roman"/>
          <w:sz w:val="24"/>
          <w:szCs w:val="24"/>
        </w:rPr>
        <w:t>o užtikrinimo būtinybe</w:t>
      </w:r>
      <w:r w:rsidR="00273DF9" w:rsidRPr="007344EA">
        <w:rPr>
          <w:rFonts w:ascii="Times New Roman" w:hAnsi="Times New Roman" w:cs="Times New Roman"/>
          <w:sz w:val="24"/>
          <w:szCs w:val="24"/>
        </w:rPr>
        <w:t xml:space="preserve">. </w:t>
      </w:r>
      <w:r w:rsidR="00D16618" w:rsidRPr="007344EA">
        <w:rPr>
          <w:rFonts w:ascii="Times New Roman" w:hAnsi="Times New Roman" w:cs="Times New Roman"/>
          <w:sz w:val="24"/>
          <w:szCs w:val="24"/>
        </w:rPr>
        <w:t>Pateikd</w:t>
      </w:r>
      <w:r w:rsidR="00AE4EEC" w:rsidRPr="007344EA">
        <w:rPr>
          <w:rFonts w:ascii="Times New Roman" w:hAnsi="Times New Roman" w:cs="Times New Roman"/>
          <w:sz w:val="24"/>
          <w:szCs w:val="24"/>
        </w:rPr>
        <w:t>a</w:t>
      </w:r>
      <w:r w:rsidR="00D16618" w:rsidRPr="007344EA">
        <w:rPr>
          <w:rFonts w:ascii="Times New Roman" w:hAnsi="Times New Roman" w:cs="Times New Roman"/>
          <w:sz w:val="24"/>
          <w:szCs w:val="24"/>
        </w:rPr>
        <w:t xml:space="preserve">mas išvadą </w:t>
      </w:r>
      <w:r w:rsidR="00706579" w:rsidRPr="007344EA">
        <w:rPr>
          <w:rFonts w:ascii="Times New Roman" w:hAnsi="Times New Roman" w:cs="Times New Roman"/>
          <w:sz w:val="24"/>
          <w:szCs w:val="24"/>
        </w:rPr>
        <w:t>Generalinis a</w:t>
      </w:r>
      <w:r w:rsidR="00084699" w:rsidRPr="007344EA">
        <w:rPr>
          <w:rFonts w:ascii="Times New Roman" w:hAnsi="Times New Roman" w:cs="Times New Roman"/>
          <w:sz w:val="24"/>
          <w:szCs w:val="24"/>
        </w:rPr>
        <w:t>dvokatas</w:t>
      </w:r>
      <w:r w:rsidR="00AE4EEC" w:rsidRPr="007344EA">
        <w:rPr>
          <w:rFonts w:ascii="Times New Roman" w:hAnsi="Times New Roman" w:cs="Times New Roman"/>
          <w:sz w:val="24"/>
          <w:szCs w:val="24"/>
        </w:rPr>
        <w:t xml:space="preserve"> </w:t>
      </w:r>
      <w:r w:rsidR="00084699" w:rsidRPr="007344EA">
        <w:rPr>
          <w:rFonts w:ascii="Times New Roman" w:hAnsi="Times New Roman" w:cs="Times New Roman"/>
          <w:sz w:val="24"/>
          <w:szCs w:val="24"/>
        </w:rPr>
        <w:t xml:space="preserve">remiasi </w:t>
      </w:r>
      <w:r w:rsidR="00084699" w:rsidRPr="007344EA">
        <w:rPr>
          <w:rFonts w:ascii="Times New Roman" w:hAnsi="Times New Roman" w:cs="Times New Roman"/>
          <w:i/>
          <w:sz w:val="24"/>
          <w:szCs w:val="24"/>
        </w:rPr>
        <w:t>Oceano</w:t>
      </w:r>
      <w:r w:rsidR="00084699" w:rsidRPr="007344EA">
        <w:rPr>
          <w:rFonts w:ascii="Times New Roman" w:hAnsi="Times New Roman" w:cs="Times New Roman"/>
          <w:sz w:val="24"/>
          <w:szCs w:val="24"/>
        </w:rPr>
        <w:t xml:space="preserve"> byloje suformuota praktika, kad „Direktyvoje nustatyta apsaugos sistema pagrįsta idėja, </w:t>
      </w:r>
      <w:r w:rsidR="00084699" w:rsidRPr="007344EA">
        <w:rPr>
          <w:rFonts w:ascii="Times New Roman" w:hAnsi="Times New Roman" w:cs="Times New Roman"/>
          <w:sz w:val="24"/>
          <w:szCs w:val="24"/>
        </w:rPr>
        <w:lastRenderedPageBreak/>
        <w:t>jog vartotojo padėtis yra mažiau palanki nei pardavėjo ar tiekėjo tiek dėl galimybių derėtis, tiek dėl informacijos lygio, dėl to jis priverstas sutikti su pardavėjo ar tiekėjo iš anksto nustatytomis sąlygomis ir negali daryti įtakos jų turiniui“</w:t>
      </w:r>
      <w:r w:rsidR="00084699" w:rsidRPr="007344EA">
        <w:rPr>
          <w:rStyle w:val="FootnoteReference"/>
          <w:rFonts w:ascii="Times New Roman" w:hAnsi="Times New Roman"/>
          <w:sz w:val="24"/>
          <w:szCs w:val="24"/>
        </w:rPr>
        <w:footnoteReference w:id="191"/>
      </w:r>
      <w:r w:rsidR="00084699" w:rsidRPr="007344EA">
        <w:rPr>
          <w:rFonts w:ascii="Times New Roman" w:hAnsi="Times New Roman" w:cs="Times New Roman"/>
          <w:sz w:val="24"/>
          <w:szCs w:val="24"/>
        </w:rPr>
        <w:t>. Tuo tarpu juridiniai asmenys i</w:t>
      </w:r>
      <w:r w:rsidR="001A771E" w:rsidRPr="007344EA">
        <w:rPr>
          <w:rFonts w:ascii="Times New Roman" w:hAnsi="Times New Roman" w:cs="Times New Roman"/>
          <w:sz w:val="24"/>
          <w:szCs w:val="24"/>
        </w:rPr>
        <w:t>r įmonės įprastai nemano esantys</w:t>
      </w:r>
      <w:r w:rsidR="00084699" w:rsidRPr="007344EA">
        <w:rPr>
          <w:rFonts w:ascii="Times New Roman" w:hAnsi="Times New Roman" w:cs="Times New Roman"/>
          <w:sz w:val="24"/>
          <w:szCs w:val="24"/>
        </w:rPr>
        <w:t xml:space="preserve"> silpnesnėje padėtyje ir todėl šiuo atveju nėra jokio pagrindo suteikti apsaugą, kuri yra išimtis iš sutarčių laisvės principo, o išimtys privalo būti aiškinamos siaurai.</w:t>
      </w:r>
      <w:r w:rsidR="00084699" w:rsidRPr="007344EA">
        <w:rPr>
          <w:rStyle w:val="FootnoteReference"/>
          <w:rFonts w:ascii="Times New Roman" w:hAnsi="Times New Roman"/>
          <w:sz w:val="24"/>
          <w:szCs w:val="24"/>
        </w:rPr>
        <w:footnoteReference w:id="192"/>
      </w:r>
      <w:r w:rsidR="00706579" w:rsidRPr="007344EA">
        <w:rPr>
          <w:rFonts w:ascii="Times New Roman" w:hAnsi="Times New Roman" w:cs="Times New Roman"/>
          <w:sz w:val="24"/>
          <w:szCs w:val="24"/>
        </w:rPr>
        <w:t xml:space="preserve"> Taip pat Generalinis a</w:t>
      </w:r>
      <w:r w:rsidR="00084699" w:rsidRPr="007344EA">
        <w:rPr>
          <w:rFonts w:ascii="Times New Roman" w:hAnsi="Times New Roman" w:cs="Times New Roman"/>
          <w:sz w:val="24"/>
          <w:szCs w:val="24"/>
        </w:rPr>
        <w:t xml:space="preserve">dvokatas rėmėsi ir jau minėtos Briuselio konvencijos nuostatų aiškinimu Teisingumo Teismo praktikoje. </w:t>
      </w:r>
      <w:r w:rsidR="00706579" w:rsidRPr="007344EA">
        <w:rPr>
          <w:rFonts w:ascii="Times New Roman" w:hAnsi="Times New Roman" w:cs="Times New Roman"/>
          <w:sz w:val="24"/>
          <w:szCs w:val="24"/>
        </w:rPr>
        <w:t>Tačiau Teismas šių Generalinio a</w:t>
      </w:r>
      <w:r w:rsidR="00084699" w:rsidRPr="007344EA">
        <w:rPr>
          <w:rFonts w:ascii="Times New Roman" w:hAnsi="Times New Roman" w:cs="Times New Roman"/>
          <w:sz w:val="24"/>
          <w:szCs w:val="24"/>
        </w:rPr>
        <w:t>dvokato argumentų į savo sprendimą neperkėlė ir rėmėsi vien tik formaliuoju</w:t>
      </w:r>
      <w:r w:rsidR="00AE4EEC" w:rsidRPr="007344EA">
        <w:rPr>
          <w:rFonts w:ascii="Times New Roman" w:hAnsi="Times New Roman" w:cs="Times New Roman"/>
          <w:sz w:val="24"/>
          <w:szCs w:val="24"/>
        </w:rPr>
        <w:t xml:space="preserve"> vartotojo sampratos apibrėžimu, </w:t>
      </w:r>
      <w:r w:rsidR="00AE4EEC" w:rsidRPr="007344EA">
        <w:rPr>
          <w:rFonts w:ascii="Times New Roman" w:hAnsi="Times New Roman" w:cs="Times New Roman"/>
          <w:i/>
          <w:sz w:val="24"/>
          <w:szCs w:val="24"/>
        </w:rPr>
        <w:t>expressis verbis</w:t>
      </w:r>
      <w:r w:rsidR="00AE4EEC" w:rsidRPr="007344EA">
        <w:rPr>
          <w:rFonts w:ascii="Times New Roman" w:hAnsi="Times New Roman" w:cs="Times New Roman"/>
          <w:sz w:val="24"/>
          <w:szCs w:val="24"/>
        </w:rPr>
        <w:t xml:space="preserve"> įtvirtintu Direktyvoje 93/13</w:t>
      </w:r>
      <w:r w:rsidR="00FA5562" w:rsidRPr="007344EA">
        <w:rPr>
          <w:rFonts w:ascii="Times New Roman" w:hAnsi="Times New Roman" w:cs="Times New Roman"/>
          <w:sz w:val="24"/>
          <w:szCs w:val="24"/>
        </w:rPr>
        <w:t xml:space="preserve"> 2 straipsnyje</w:t>
      </w:r>
      <w:r w:rsidR="005963D1" w:rsidRPr="007344EA">
        <w:rPr>
          <w:rFonts w:ascii="Times New Roman" w:hAnsi="Times New Roman" w:cs="Times New Roman"/>
          <w:sz w:val="24"/>
          <w:szCs w:val="24"/>
        </w:rPr>
        <w:t xml:space="preserve">. </w:t>
      </w:r>
      <w:r w:rsidR="00AA264C" w:rsidRPr="007344EA">
        <w:rPr>
          <w:rFonts w:ascii="Times New Roman" w:hAnsi="Times New Roman" w:cs="Times New Roman"/>
          <w:sz w:val="24"/>
          <w:szCs w:val="24"/>
        </w:rPr>
        <w:t>A</w:t>
      </w:r>
      <w:r w:rsidR="005963D1" w:rsidRPr="007344EA">
        <w:rPr>
          <w:rFonts w:ascii="Times New Roman" w:hAnsi="Times New Roman" w:cs="Times New Roman"/>
          <w:sz w:val="24"/>
          <w:szCs w:val="24"/>
        </w:rPr>
        <w:t xml:space="preserve">pibendrinantį šį Teisingumo Teismo sprendimą galima teigti, kad pagal Direktyvą 93/13 vartotoju pripažįstamas išskirtinai tik fizinis asmuo. </w:t>
      </w:r>
      <w:r w:rsidR="00A874D6" w:rsidRPr="007344EA">
        <w:rPr>
          <w:rFonts w:ascii="Times New Roman" w:hAnsi="Times New Roman" w:cs="Times New Roman"/>
          <w:sz w:val="24"/>
          <w:szCs w:val="24"/>
        </w:rPr>
        <w:t>Ar</w:t>
      </w:r>
      <w:r w:rsidR="00E95E20" w:rsidRPr="007344EA">
        <w:rPr>
          <w:rFonts w:ascii="Times New Roman" w:hAnsi="Times New Roman" w:cs="Times New Roman"/>
          <w:sz w:val="24"/>
          <w:szCs w:val="24"/>
        </w:rPr>
        <w:t>ba</w:t>
      </w:r>
      <w:r w:rsidR="00A874D6" w:rsidRPr="007344EA">
        <w:rPr>
          <w:rFonts w:ascii="Times New Roman" w:hAnsi="Times New Roman" w:cs="Times New Roman"/>
          <w:sz w:val="24"/>
          <w:szCs w:val="24"/>
        </w:rPr>
        <w:t xml:space="preserve"> kitaip tariant</w:t>
      </w:r>
      <w:r w:rsidR="00E95E20" w:rsidRPr="007344EA">
        <w:rPr>
          <w:rFonts w:ascii="Times New Roman" w:hAnsi="Times New Roman" w:cs="Times New Roman"/>
          <w:sz w:val="24"/>
          <w:szCs w:val="24"/>
        </w:rPr>
        <w:t>,</w:t>
      </w:r>
      <w:r w:rsidR="00A874D6" w:rsidRPr="007344EA">
        <w:rPr>
          <w:rFonts w:ascii="Times New Roman" w:hAnsi="Times New Roman" w:cs="Times New Roman"/>
          <w:sz w:val="24"/>
          <w:szCs w:val="24"/>
        </w:rPr>
        <w:t xml:space="preserve"> </w:t>
      </w:r>
      <w:r w:rsidR="00C34FCD" w:rsidRPr="007344EA">
        <w:rPr>
          <w:rFonts w:ascii="Times New Roman" w:hAnsi="Times New Roman" w:cs="Times New Roman"/>
          <w:sz w:val="24"/>
          <w:szCs w:val="24"/>
        </w:rPr>
        <w:t>Direktyva 93/13 nustatytas teisinis reguliavimas nesukuria reikalavimo valstybėms narėms vartotoju pripažinti juridinio asmens</w:t>
      </w:r>
      <w:r w:rsidR="00903168" w:rsidRPr="007344EA">
        <w:rPr>
          <w:rFonts w:ascii="Times New Roman" w:hAnsi="Times New Roman" w:cs="Times New Roman"/>
          <w:sz w:val="24"/>
          <w:szCs w:val="24"/>
        </w:rPr>
        <w:t>, net jei jis</w:t>
      </w:r>
      <w:r w:rsidR="00807D45" w:rsidRPr="007344EA">
        <w:rPr>
          <w:rFonts w:ascii="Times New Roman" w:hAnsi="Times New Roman" w:cs="Times New Roman"/>
          <w:sz w:val="24"/>
          <w:szCs w:val="24"/>
        </w:rPr>
        <w:t xml:space="preserve"> veikė ne su savo </w:t>
      </w:r>
      <w:r w:rsidR="00903168" w:rsidRPr="007344EA">
        <w:rPr>
          <w:rFonts w:ascii="Times New Roman" w:hAnsi="Times New Roman" w:cs="Times New Roman"/>
          <w:sz w:val="24"/>
          <w:szCs w:val="24"/>
        </w:rPr>
        <w:t xml:space="preserve">verslu susijusiais tikslais ir </w:t>
      </w:r>
      <w:r w:rsidR="00807D45" w:rsidRPr="007344EA">
        <w:rPr>
          <w:rFonts w:ascii="Times New Roman" w:hAnsi="Times New Roman" w:cs="Times New Roman"/>
          <w:sz w:val="24"/>
          <w:szCs w:val="24"/>
        </w:rPr>
        <w:t xml:space="preserve">išskirtinai tik fizinių asmenų (vartotojų)  interesams. </w:t>
      </w:r>
    </w:p>
    <w:p w:rsidR="001A771E" w:rsidRPr="007344EA" w:rsidRDefault="00F0424D"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Teisingumo Teismas aiškiai pasisakė</w:t>
      </w:r>
      <w:r w:rsidR="00084699" w:rsidRPr="007344EA">
        <w:rPr>
          <w:rFonts w:ascii="Times New Roman" w:hAnsi="Times New Roman" w:cs="Times New Roman"/>
          <w:sz w:val="24"/>
          <w:szCs w:val="24"/>
        </w:rPr>
        <w:t xml:space="preserve">, </w:t>
      </w:r>
      <w:r w:rsidR="00E95E20" w:rsidRPr="007344EA">
        <w:rPr>
          <w:rFonts w:ascii="Times New Roman" w:hAnsi="Times New Roman" w:cs="Times New Roman"/>
          <w:sz w:val="24"/>
          <w:szCs w:val="24"/>
        </w:rPr>
        <w:t xml:space="preserve">kad </w:t>
      </w:r>
      <w:r w:rsidR="00084699" w:rsidRPr="007344EA">
        <w:rPr>
          <w:rFonts w:ascii="Times New Roman" w:hAnsi="Times New Roman" w:cs="Times New Roman"/>
          <w:sz w:val="24"/>
          <w:szCs w:val="24"/>
        </w:rPr>
        <w:t>vartotoju, Direktyvos 93/1</w:t>
      </w:r>
      <w:r w:rsidRPr="007344EA">
        <w:rPr>
          <w:rFonts w:ascii="Times New Roman" w:hAnsi="Times New Roman" w:cs="Times New Roman"/>
          <w:sz w:val="24"/>
          <w:szCs w:val="24"/>
        </w:rPr>
        <w:t>3 kontekste</w:t>
      </w:r>
      <w:r w:rsidR="00E95E20" w:rsidRPr="007344EA">
        <w:rPr>
          <w:rFonts w:ascii="Times New Roman" w:hAnsi="Times New Roman" w:cs="Times New Roman"/>
          <w:sz w:val="24"/>
          <w:szCs w:val="24"/>
        </w:rPr>
        <w:t>,</w:t>
      </w:r>
      <w:r w:rsidRPr="007344EA">
        <w:rPr>
          <w:rFonts w:ascii="Times New Roman" w:hAnsi="Times New Roman" w:cs="Times New Roman"/>
          <w:sz w:val="24"/>
          <w:szCs w:val="24"/>
        </w:rPr>
        <w:t xml:space="preserve"> pripažįstamas</w:t>
      </w:r>
      <w:r w:rsidR="00084699" w:rsidRPr="007344EA">
        <w:rPr>
          <w:rFonts w:ascii="Times New Roman" w:hAnsi="Times New Roman" w:cs="Times New Roman"/>
          <w:sz w:val="24"/>
          <w:szCs w:val="24"/>
        </w:rPr>
        <w:t xml:space="preserve"> tik fizinis asmuo. Reikia </w:t>
      </w:r>
      <w:r w:rsidR="00FB084F" w:rsidRPr="007344EA">
        <w:rPr>
          <w:rFonts w:ascii="Times New Roman" w:hAnsi="Times New Roman" w:cs="Times New Roman"/>
          <w:sz w:val="24"/>
          <w:szCs w:val="24"/>
        </w:rPr>
        <w:t>nepamiršti, kad Direktyva 93/13</w:t>
      </w:r>
      <w:r w:rsidR="00084699" w:rsidRPr="007344EA">
        <w:rPr>
          <w:rFonts w:ascii="Times New Roman" w:hAnsi="Times New Roman" w:cs="Times New Roman"/>
          <w:sz w:val="24"/>
          <w:szCs w:val="24"/>
        </w:rPr>
        <w:t xml:space="preserve"> yra minimalaus suderinamumo ir valstybės narės yra laisvos nustatyti</w:t>
      </w:r>
      <w:r w:rsidR="001A771E" w:rsidRPr="007344EA">
        <w:rPr>
          <w:rFonts w:ascii="Times New Roman" w:hAnsi="Times New Roman" w:cs="Times New Roman"/>
          <w:sz w:val="24"/>
          <w:szCs w:val="24"/>
        </w:rPr>
        <w:t xml:space="preserve"> tokį teisinį reguliavimą, kuris suteiktų</w:t>
      </w:r>
      <w:r w:rsidR="00084699" w:rsidRPr="007344EA">
        <w:rPr>
          <w:rFonts w:ascii="Times New Roman" w:hAnsi="Times New Roman" w:cs="Times New Roman"/>
          <w:sz w:val="24"/>
          <w:szCs w:val="24"/>
        </w:rPr>
        <w:t xml:space="preserve"> aukš</w:t>
      </w:r>
      <w:r w:rsidRPr="007344EA">
        <w:rPr>
          <w:rFonts w:ascii="Times New Roman" w:hAnsi="Times New Roman" w:cs="Times New Roman"/>
          <w:sz w:val="24"/>
          <w:szCs w:val="24"/>
        </w:rPr>
        <w:t xml:space="preserve">tesnį vartotojų apsaugos lygi. </w:t>
      </w:r>
      <w:r w:rsidRPr="007344EA">
        <w:rPr>
          <w:rFonts w:ascii="Times New Roman" w:hAnsi="Times New Roman" w:cs="Times New Roman"/>
          <w:i/>
          <w:sz w:val="24"/>
          <w:szCs w:val="24"/>
        </w:rPr>
        <w:t>Inter alia</w:t>
      </w:r>
      <w:r w:rsidRPr="007344EA">
        <w:rPr>
          <w:rFonts w:ascii="Times New Roman" w:hAnsi="Times New Roman" w:cs="Times New Roman"/>
          <w:sz w:val="24"/>
          <w:szCs w:val="24"/>
        </w:rPr>
        <w:t xml:space="preserve"> d</w:t>
      </w:r>
      <w:r w:rsidR="00084699" w:rsidRPr="007344EA">
        <w:rPr>
          <w:rFonts w:ascii="Times New Roman" w:hAnsi="Times New Roman" w:cs="Times New Roman"/>
          <w:sz w:val="24"/>
          <w:szCs w:val="24"/>
        </w:rPr>
        <w:t xml:space="preserve">augelis valstybių </w:t>
      </w:r>
      <w:r w:rsidR="00AF5C03" w:rsidRPr="007344EA">
        <w:rPr>
          <w:rFonts w:ascii="Times New Roman" w:hAnsi="Times New Roman" w:cs="Times New Roman"/>
          <w:sz w:val="24"/>
          <w:szCs w:val="24"/>
        </w:rPr>
        <w:t>tiek pozityviuoju metodu</w:t>
      </w:r>
      <w:r w:rsidR="00224D1C" w:rsidRPr="007344EA">
        <w:rPr>
          <w:rFonts w:ascii="Times New Roman" w:hAnsi="Times New Roman" w:cs="Times New Roman"/>
          <w:sz w:val="24"/>
          <w:szCs w:val="24"/>
        </w:rPr>
        <w:t xml:space="preserve"> (būdu) −</w:t>
      </w:r>
      <w:r w:rsidR="00AF5C03" w:rsidRPr="007344EA">
        <w:rPr>
          <w:rFonts w:ascii="Times New Roman" w:hAnsi="Times New Roman" w:cs="Times New Roman"/>
          <w:sz w:val="24"/>
          <w:szCs w:val="24"/>
        </w:rPr>
        <w:t xml:space="preserve"> teisės aktuose, tiek negatyviuoju metodu</w:t>
      </w:r>
      <w:r w:rsidR="00224D1C" w:rsidRPr="007344EA">
        <w:rPr>
          <w:rFonts w:ascii="Times New Roman" w:hAnsi="Times New Roman" w:cs="Times New Roman"/>
          <w:sz w:val="24"/>
          <w:szCs w:val="24"/>
        </w:rPr>
        <w:t xml:space="preserve"> −</w:t>
      </w:r>
      <w:r w:rsidR="00AF5C03" w:rsidRPr="007344EA">
        <w:rPr>
          <w:rFonts w:ascii="Times New Roman" w:hAnsi="Times New Roman" w:cs="Times New Roman"/>
          <w:sz w:val="24"/>
          <w:szCs w:val="24"/>
        </w:rPr>
        <w:t xml:space="preserve"> per teismų praktiką, </w:t>
      </w:r>
      <w:r w:rsidR="00084699" w:rsidRPr="007344EA">
        <w:rPr>
          <w:rFonts w:ascii="Times New Roman" w:hAnsi="Times New Roman" w:cs="Times New Roman"/>
          <w:sz w:val="24"/>
          <w:szCs w:val="24"/>
        </w:rPr>
        <w:t>vartotoj</w:t>
      </w:r>
      <w:r w:rsidR="00B30BE1" w:rsidRPr="007344EA">
        <w:rPr>
          <w:rFonts w:ascii="Times New Roman" w:hAnsi="Times New Roman" w:cs="Times New Roman"/>
          <w:sz w:val="24"/>
          <w:szCs w:val="24"/>
        </w:rPr>
        <w:t>u pripažįsta ir juridinį asmenį (pvz.: Danija, Suomija, Švedija, Vokietija, Portugalija ir kt.</w:t>
      </w:r>
      <w:r w:rsidR="001A771E" w:rsidRPr="007344EA">
        <w:rPr>
          <w:rStyle w:val="FootnoteReference"/>
          <w:rFonts w:ascii="Times New Roman" w:hAnsi="Times New Roman"/>
          <w:sz w:val="24"/>
          <w:szCs w:val="24"/>
        </w:rPr>
        <w:footnoteReference w:id="193"/>
      </w:r>
      <w:r w:rsidR="00B30BE1" w:rsidRPr="007344EA">
        <w:rPr>
          <w:rFonts w:ascii="Times New Roman" w:hAnsi="Times New Roman" w:cs="Times New Roman"/>
          <w:sz w:val="24"/>
          <w:szCs w:val="24"/>
        </w:rPr>
        <w:t>)</w:t>
      </w:r>
      <w:r w:rsidR="00084699" w:rsidRPr="007344EA">
        <w:rPr>
          <w:rFonts w:ascii="Times New Roman" w:hAnsi="Times New Roman" w:cs="Times New Roman"/>
          <w:sz w:val="24"/>
          <w:szCs w:val="24"/>
        </w:rPr>
        <w:t xml:space="preserve"> Ne išimtis ir Lietuva. </w:t>
      </w:r>
      <w:r w:rsidR="00FB084F" w:rsidRPr="007344EA">
        <w:rPr>
          <w:rFonts w:ascii="Times New Roman" w:hAnsi="Times New Roman" w:cs="Times New Roman"/>
          <w:sz w:val="24"/>
          <w:szCs w:val="24"/>
        </w:rPr>
        <w:t>Iš</w:t>
      </w:r>
      <w:r w:rsidR="00084699" w:rsidRPr="007344EA">
        <w:rPr>
          <w:rFonts w:ascii="Times New Roman" w:hAnsi="Times New Roman" w:cs="Times New Roman"/>
          <w:sz w:val="24"/>
          <w:szCs w:val="24"/>
        </w:rPr>
        <w:t xml:space="preserve"> L</w:t>
      </w:r>
      <w:r w:rsidRPr="007344EA">
        <w:rPr>
          <w:rFonts w:ascii="Times New Roman" w:hAnsi="Times New Roman" w:cs="Times New Roman"/>
          <w:sz w:val="24"/>
          <w:szCs w:val="24"/>
        </w:rPr>
        <w:t>ietuvos Aukščiausiojo Teismo</w:t>
      </w:r>
      <w:r w:rsidR="00084699" w:rsidRPr="007344EA">
        <w:rPr>
          <w:rFonts w:ascii="Times New Roman" w:hAnsi="Times New Roman" w:cs="Times New Roman"/>
          <w:sz w:val="24"/>
          <w:szCs w:val="24"/>
        </w:rPr>
        <w:t xml:space="preserve"> suformuotos praktikos išplaukia, </w:t>
      </w:r>
      <w:r w:rsidR="00B30BE1" w:rsidRPr="007344EA">
        <w:rPr>
          <w:rFonts w:ascii="Times New Roman" w:hAnsi="Times New Roman" w:cs="Times New Roman"/>
          <w:sz w:val="24"/>
          <w:szCs w:val="24"/>
        </w:rPr>
        <w:t xml:space="preserve">kad </w:t>
      </w:r>
      <w:r w:rsidR="00084699" w:rsidRPr="007344EA">
        <w:rPr>
          <w:rFonts w:ascii="Times New Roman" w:hAnsi="Times New Roman" w:cs="Times New Roman"/>
          <w:sz w:val="24"/>
          <w:szCs w:val="24"/>
        </w:rPr>
        <w:t>reiki</w:t>
      </w:r>
      <w:r w:rsidR="00FB084F" w:rsidRPr="007344EA">
        <w:rPr>
          <w:rFonts w:ascii="Times New Roman" w:hAnsi="Times New Roman" w:cs="Times New Roman"/>
          <w:sz w:val="24"/>
          <w:szCs w:val="24"/>
        </w:rPr>
        <w:t>a atsižvelgti ne į tai, kokie subjektai sudarė sutartį</w:t>
      </w:r>
      <w:r w:rsidR="00084699" w:rsidRPr="007344EA">
        <w:rPr>
          <w:rFonts w:ascii="Times New Roman" w:hAnsi="Times New Roman" w:cs="Times New Roman"/>
          <w:sz w:val="24"/>
          <w:szCs w:val="24"/>
        </w:rPr>
        <w:t xml:space="preserve">, bet į tai, kas </w:t>
      </w:r>
      <w:r w:rsidR="00FB084F" w:rsidRPr="007344EA">
        <w:rPr>
          <w:rFonts w:ascii="Times New Roman" w:hAnsi="Times New Roman" w:cs="Times New Roman"/>
          <w:sz w:val="24"/>
          <w:szCs w:val="24"/>
        </w:rPr>
        <w:t>yra galutinis naudos gavėjas. Pavyzdžiui byloje „</w:t>
      </w:r>
      <w:r w:rsidR="008E7D1D" w:rsidRPr="007344EA">
        <w:rPr>
          <w:rFonts w:ascii="Times New Roman" w:hAnsi="Times New Roman" w:cs="Times New Roman"/>
          <w:i/>
          <w:sz w:val="24"/>
          <w:szCs w:val="24"/>
        </w:rPr>
        <w:t>Vilniaus v</w:t>
      </w:r>
      <w:r w:rsidR="00FB084F" w:rsidRPr="007344EA">
        <w:rPr>
          <w:rFonts w:ascii="Times New Roman" w:hAnsi="Times New Roman" w:cs="Times New Roman"/>
          <w:i/>
          <w:sz w:val="24"/>
          <w:szCs w:val="24"/>
        </w:rPr>
        <w:t>andenys</w:t>
      </w:r>
      <w:r w:rsidR="00FB084F" w:rsidRPr="007344EA">
        <w:rPr>
          <w:rFonts w:ascii="Times New Roman" w:hAnsi="Times New Roman" w:cs="Times New Roman"/>
          <w:sz w:val="24"/>
          <w:szCs w:val="24"/>
        </w:rPr>
        <w:t xml:space="preserve">“ </w:t>
      </w:r>
      <w:r w:rsidR="008E7D1D" w:rsidRPr="007344EA">
        <w:rPr>
          <w:rFonts w:ascii="Times New Roman" w:hAnsi="Times New Roman" w:cs="Times New Roman"/>
          <w:sz w:val="24"/>
          <w:szCs w:val="24"/>
        </w:rPr>
        <w:t>3K-3-579/2003</w:t>
      </w:r>
      <w:r w:rsidR="00D5634B" w:rsidRPr="007344EA">
        <w:rPr>
          <w:rStyle w:val="FootnoteReference"/>
          <w:rFonts w:ascii="Times New Roman" w:hAnsi="Times New Roman"/>
          <w:sz w:val="24"/>
          <w:szCs w:val="24"/>
        </w:rPr>
        <w:footnoteReference w:id="194"/>
      </w:r>
      <w:r w:rsidR="00FC55F1" w:rsidRPr="007344EA">
        <w:rPr>
          <w:rFonts w:ascii="Times New Roman" w:hAnsi="Times New Roman" w:cs="Times New Roman"/>
          <w:sz w:val="24"/>
          <w:szCs w:val="24"/>
        </w:rPr>
        <w:t xml:space="preserve"> </w:t>
      </w:r>
      <w:r w:rsidR="00FB084F" w:rsidRPr="007344EA">
        <w:rPr>
          <w:rFonts w:ascii="Times New Roman" w:hAnsi="Times New Roman" w:cs="Times New Roman"/>
          <w:sz w:val="24"/>
          <w:szCs w:val="24"/>
        </w:rPr>
        <w:t xml:space="preserve">daugiabučio namo bendrijos (juridinio asmens) ir geriamojo vandens teikėjo sutartis buvo pripažinta vartojimo sutartimi atsižvelgiant į tai, kad galutiniai naudos gavėjai buvo fiziniai asmenys vartotojai, o ne pati bendrija. Taigi šiai sutarčiai </w:t>
      </w:r>
      <w:r w:rsidR="00D5634B" w:rsidRPr="007344EA">
        <w:rPr>
          <w:rFonts w:ascii="Times New Roman" w:hAnsi="Times New Roman" w:cs="Times New Roman"/>
          <w:sz w:val="24"/>
          <w:szCs w:val="24"/>
        </w:rPr>
        <w:t xml:space="preserve">buvo taikomas nacionalinis nesąžiningų sąlygų reglamentavimas </w:t>
      </w:r>
      <w:r w:rsidR="00FB084F" w:rsidRPr="007344EA">
        <w:rPr>
          <w:rFonts w:ascii="Times New Roman" w:hAnsi="Times New Roman" w:cs="Times New Roman"/>
          <w:i/>
          <w:sz w:val="24"/>
          <w:szCs w:val="24"/>
        </w:rPr>
        <w:t>ratione personae</w:t>
      </w:r>
      <w:r w:rsidR="00FB084F" w:rsidRPr="007344EA">
        <w:rPr>
          <w:rFonts w:ascii="Times New Roman" w:hAnsi="Times New Roman" w:cs="Times New Roman"/>
          <w:sz w:val="24"/>
          <w:szCs w:val="24"/>
        </w:rPr>
        <w:t xml:space="preserve"> </w:t>
      </w:r>
      <w:r w:rsidR="00D5634B" w:rsidRPr="007344EA">
        <w:rPr>
          <w:rFonts w:ascii="Times New Roman" w:hAnsi="Times New Roman" w:cs="Times New Roman"/>
          <w:sz w:val="24"/>
          <w:szCs w:val="24"/>
        </w:rPr>
        <w:t>atžvilgiu. Kitoje byloje „</w:t>
      </w:r>
      <w:r w:rsidR="00D5634B" w:rsidRPr="007344EA">
        <w:rPr>
          <w:rFonts w:ascii="Times New Roman" w:hAnsi="Times New Roman" w:cs="Times New Roman"/>
          <w:i/>
          <w:sz w:val="24"/>
          <w:szCs w:val="24"/>
        </w:rPr>
        <w:t>Air Baltic</w:t>
      </w:r>
      <w:r w:rsidR="00D5634B" w:rsidRPr="007344EA">
        <w:rPr>
          <w:rFonts w:ascii="Times New Roman" w:hAnsi="Times New Roman" w:cs="Times New Roman"/>
          <w:sz w:val="24"/>
          <w:szCs w:val="24"/>
        </w:rPr>
        <w:t xml:space="preserve">“ </w:t>
      </w:r>
      <w:r w:rsidR="008E7D1D" w:rsidRPr="007344EA">
        <w:rPr>
          <w:rFonts w:ascii="Times New Roman" w:hAnsi="Times New Roman" w:cs="Times New Roman"/>
          <w:sz w:val="24"/>
          <w:szCs w:val="24"/>
        </w:rPr>
        <w:t>3K-3-541/2009</w:t>
      </w:r>
      <w:r w:rsidR="00D5634B" w:rsidRPr="007344EA">
        <w:rPr>
          <w:rStyle w:val="FootnoteReference"/>
          <w:rFonts w:ascii="Times New Roman" w:hAnsi="Times New Roman"/>
          <w:sz w:val="24"/>
          <w:szCs w:val="24"/>
        </w:rPr>
        <w:footnoteReference w:id="195"/>
      </w:r>
      <w:r w:rsidR="00D5634B" w:rsidRPr="007344EA">
        <w:rPr>
          <w:rFonts w:ascii="Times New Roman" w:hAnsi="Times New Roman" w:cs="Times New Roman"/>
          <w:sz w:val="24"/>
          <w:szCs w:val="24"/>
        </w:rPr>
        <w:t xml:space="preserve"> sutartis sudaryta tarp vežėjo ir asmens </w:t>
      </w:r>
      <w:r w:rsidR="008E7D1D" w:rsidRPr="007344EA">
        <w:rPr>
          <w:rFonts w:ascii="Times New Roman" w:hAnsi="Times New Roman" w:cs="Times New Roman"/>
          <w:sz w:val="24"/>
          <w:szCs w:val="24"/>
        </w:rPr>
        <w:t>darbdavio</w:t>
      </w:r>
      <w:r w:rsidR="00D5634B" w:rsidRPr="007344EA">
        <w:rPr>
          <w:rFonts w:ascii="Times New Roman" w:hAnsi="Times New Roman" w:cs="Times New Roman"/>
          <w:sz w:val="24"/>
          <w:szCs w:val="24"/>
        </w:rPr>
        <w:t xml:space="preserve"> (juridinio asmens) taip pat buvo pripažint</w:t>
      </w:r>
      <w:r w:rsidR="00E95E20" w:rsidRPr="007344EA">
        <w:rPr>
          <w:rFonts w:ascii="Times New Roman" w:hAnsi="Times New Roman" w:cs="Times New Roman"/>
          <w:sz w:val="24"/>
          <w:szCs w:val="24"/>
        </w:rPr>
        <w:t>a</w:t>
      </w:r>
      <w:r w:rsidR="00D5634B" w:rsidRPr="007344EA">
        <w:rPr>
          <w:rFonts w:ascii="Times New Roman" w:hAnsi="Times New Roman" w:cs="Times New Roman"/>
          <w:sz w:val="24"/>
          <w:szCs w:val="24"/>
        </w:rPr>
        <w:t xml:space="preserve"> vartojimo sutartimi ir jai pritaikytas nacionalinis nesąžiningų sąlygų reguliavimas, nors ir asmuo vyko ne asmeniniais, o komandiruotės tikslais ir </w:t>
      </w:r>
      <w:r w:rsidR="00D5634B" w:rsidRPr="007344EA">
        <w:rPr>
          <w:rFonts w:ascii="Times New Roman" w:hAnsi="Times New Roman" w:cs="Times New Roman"/>
          <w:sz w:val="24"/>
          <w:szCs w:val="24"/>
        </w:rPr>
        <w:lastRenderedPageBreak/>
        <w:t>visas keli</w:t>
      </w:r>
      <w:r w:rsidR="008E7D1D" w:rsidRPr="007344EA">
        <w:rPr>
          <w:rFonts w:ascii="Times New Roman" w:hAnsi="Times New Roman" w:cs="Times New Roman"/>
          <w:sz w:val="24"/>
          <w:szCs w:val="24"/>
        </w:rPr>
        <w:t>onės išlaidas padengė darbdavys</w:t>
      </w:r>
      <w:r w:rsidR="005779EC" w:rsidRPr="007344EA">
        <w:rPr>
          <w:rFonts w:ascii="Times New Roman" w:hAnsi="Times New Roman" w:cs="Times New Roman"/>
          <w:sz w:val="24"/>
          <w:szCs w:val="24"/>
        </w:rPr>
        <w:t>.</w:t>
      </w:r>
      <w:r w:rsidR="00D5634B" w:rsidRPr="007344EA">
        <w:rPr>
          <w:rFonts w:ascii="Times New Roman" w:hAnsi="Times New Roman" w:cs="Times New Roman"/>
          <w:sz w:val="24"/>
          <w:szCs w:val="24"/>
        </w:rPr>
        <w:t xml:space="preserve"> Nacionalinis teismas tokį sprendimą taip pat grindė ta aplinkyb</w:t>
      </w:r>
      <w:r w:rsidR="008E7D1D" w:rsidRPr="007344EA">
        <w:rPr>
          <w:rFonts w:ascii="Times New Roman" w:hAnsi="Times New Roman" w:cs="Times New Roman"/>
          <w:sz w:val="24"/>
          <w:szCs w:val="24"/>
        </w:rPr>
        <w:t>e</w:t>
      </w:r>
      <w:r w:rsidR="00D5634B" w:rsidRPr="007344EA">
        <w:rPr>
          <w:rFonts w:ascii="Times New Roman" w:hAnsi="Times New Roman" w:cs="Times New Roman"/>
          <w:sz w:val="24"/>
          <w:szCs w:val="24"/>
        </w:rPr>
        <w:t>, kad galutinis naudos gavėjas yra fizinis asmuo</w:t>
      </w:r>
      <w:r w:rsidR="00224D1C" w:rsidRPr="007344EA">
        <w:rPr>
          <w:rFonts w:ascii="Times New Roman" w:hAnsi="Times New Roman" w:cs="Times New Roman"/>
          <w:sz w:val="24"/>
          <w:szCs w:val="24"/>
        </w:rPr>
        <w:t xml:space="preserve"> −</w:t>
      </w:r>
      <w:r w:rsidR="00D5634B" w:rsidRPr="007344EA">
        <w:rPr>
          <w:rFonts w:ascii="Times New Roman" w:hAnsi="Times New Roman" w:cs="Times New Roman"/>
          <w:sz w:val="24"/>
          <w:szCs w:val="24"/>
        </w:rPr>
        <w:t xml:space="preserve"> vartotojas ir visiškai nesvarbu kokiais tikslais jis naudojosi verslininko „</w:t>
      </w:r>
      <w:r w:rsidR="00D5634B" w:rsidRPr="007344EA">
        <w:rPr>
          <w:rFonts w:ascii="Times New Roman" w:hAnsi="Times New Roman" w:cs="Times New Roman"/>
          <w:i/>
          <w:sz w:val="24"/>
          <w:szCs w:val="24"/>
        </w:rPr>
        <w:t>Air Baltic</w:t>
      </w:r>
      <w:r w:rsidR="00D5634B" w:rsidRPr="007344EA">
        <w:rPr>
          <w:rFonts w:ascii="Times New Roman" w:hAnsi="Times New Roman" w:cs="Times New Roman"/>
          <w:sz w:val="24"/>
          <w:szCs w:val="24"/>
        </w:rPr>
        <w:t>“ suteiktomis paslaugomis.</w:t>
      </w:r>
    </w:p>
    <w:p w:rsidR="00084699" w:rsidRPr="007344EA" w:rsidRDefault="001A771E"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 xml:space="preserve"> Byloje </w:t>
      </w:r>
      <w:r w:rsidRPr="007344EA">
        <w:rPr>
          <w:rFonts w:ascii="Times New Roman" w:hAnsi="Times New Roman" w:cs="Times New Roman"/>
          <w:i/>
          <w:sz w:val="24"/>
          <w:szCs w:val="24"/>
        </w:rPr>
        <w:t>Ynos</w:t>
      </w:r>
      <w:r w:rsidRPr="007344EA">
        <w:rPr>
          <w:rStyle w:val="FootnoteReference"/>
          <w:rFonts w:ascii="Times New Roman" w:hAnsi="Times New Roman"/>
          <w:i/>
          <w:sz w:val="24"/>
          <w:szCs w:val="24"/>
        </w:rPr>
        <w:footnoteReference w:id="196"/>
      </w:r>
      <w:r w:rsidRPr="007344EA">
        <w:rPr>
          <w:rFonts w:ascii="Times New Roman" w:hAnsi="Times New Roman" w:cs="Times New Roman"/>
          <w:sz w:val="24"/>
          <w:szCs w:val="24"/>
        </w:rPr>
        <w:t xml:space="preserve"> pagrindinis klausimas buvo kilęs dėl Direktyvos 93/13 taikymo </w:t>
      </w:r>
      <w:r w:rsidRPr="007344EA">
        <w:rPr>
          <w:rFonts w:ascii="Times New Roman" w:hAnsi="Times New Roman" w:cs="Times New Roman"/>
          <w:i/>
          <w:sz w:val="24"/>
          <w:szCs w:val="24"/>
        </w:rPr>
        <w:t>ratione temporis</w:t>
      </w:r>
      <w:r w:rsidRPr="007344EA">
        <w:rPr>
          <w:rFonts w:ascii="Times New Roman" w:hAnsi="Times New Roman" w:cs="Times New Roman"/>
          <w:sz w:val="24"/>
          <w:szCs w:val="24"/>
        </w:rPr>
        <w:t xml:space="preserve"> aspektu ir Teisingumo Teismas nepasisakė Direktyvos taikomo </w:t>
      </w:r>
      <w:r w:rsidRPr="007344EA">
        <w:rPr>
          <w:rFonts w:ascii="Times New Roman" w:hAnsi="Times New Roman" w:cs="Times New Roman"/>
          <w:i/>
          <w:sz w:val="24"/>
          <w:szCs w:val="24"/>
        </w:rPr>
        <w:t>ratione personae</w:t>
      </w:r>
      <w:r w:rsidRPr="007344EA">
        <w:rPr>
          <w:rFonts w:ascii="Times New Roman" w:hAnsi="Times New Roman" w:cs="Times New Roman"/>
          <w:sz w:val="24"/>
          <w:szCs w:val="24"/>
        </w:rPr>
        <w:t xml:space="preserve"> atžvilgiu,</w:t>
      </w:r>
      <w:r w:rsidR="0068583E" w:rsidRPr="007344EA">
        <w:rPr>
          <w:rFonts w:ascii="Times New Roman" w:hAnsi="Times New Roman" w:cs="Times New Roman"/>
          <w:sz w:val="24"/>
          <w:szCs w:val="24"/>
        </w:rPr>
        <w:t xml:space="preserve"> kadangi pripažino neturintis jurisdikcijos aiškinti Direktyvos 93/13 nuostatų šios bylos</w:t>
      </w:r>
      <w:r w:rsidRPr="007344EA">
        <w:rPr>
          <w:rFonts w:ascii="Times New Roman" w:hAnsi="Times New Roman" w:cs="Times New Roman"/>
          <w:sz w:val="24"/>
          <w:szCs w:val="24"/>
        </w:rPr>
        <w:t xml:space="preserve"> </w:t>
      </w:r>
      <w:r w:rsidR="0068583E" w:rsidRPr="007344EA">
        <w:rPr>
          <w:rFonts w:ascii="Times New Roman" w:hAnsi="Times New Roman" w:cs="Times New Roman"/>
          <w:sz w:val="24"/>
          <w:szCs w:val="24"/>
        </w:rPr>
        <w:t>kontekste. T</w:t>
      </w:r>
      <w:r w:rsidRPr="007344EA">
        <w:rPr>
          <w:rFonts w:ascii="Times New Roman" w:hAnsi="Times New Roman" w:cs="Times New Roman"/>
          <w:sz w:val="24"/>
          <w:szCs w:val="24"/>
        </w:rPr>
        <w:t>ačiau tam tikrų abejonių, dėl vartotojo sąvokos kilo Generaliniam advokatui. Generalinis advokatas A. Tizzano suabejojo ar statybininkas remontuojantis ir paskui parduodantis patalpas „gali būti laikomas „vartotoju“,  &lt;...&gt; tai yra Direktyvos 93/13 taikymo ir galiojimo šioje byloje sąlyga“</w:t>
      </w:r>
      <w:r w:rsidRPr="007344EA">
        <w:rPr>
          <w:rStyle w:val="FootnoteReference"/>
          <w:rFonts w:ascii="Times New Roman" w:hAnsi="Times New Roman"/>
          <w:sz w:val="24"/>
          <w:szCs w:val="24"/>
        </w:rPr>
        <w:footnoteReference w:id="197"/>
      </w:r>
      <w:r w:rsidRPr="007344EA">
        <w:rPr>
          <w:rFonts w:ascii="Times New Roman" w:hAnsi="Times New Roman" w:cs="Times New Roman"/>
          <w:sz w:val="24"/>
          <w:szCs w:val="24"/>
        </w:rPr>
        <w:t>. „</w:t>
      </w:r>
      <w:r w:rsidRPr="007344EA">
        <w:rPr>
          <w:rFonts w:ascii="Times New Roman" w:eastAsia="Times New Roman" w:hAnsi="Times New Roman" w:cs="Times New Roman"/>
          <w:sz w:val="24"/>
          <w:szCs w:val="24"/>
        </w:rPr>
        <w:t xml:space="preserve">Iš tikrųjų yra žinoma, kad ši direktyva taikoma tik „pardavėjo ar tiekėjo su vartotoju sudaromoms sutartims“ (1 straipsnis) ir kad „vartotoju“ yra laikomas „bet kuris fizinis asmuo, kuris sutartyse &lt;...&gt; veikia siekdamas tikslų, nesusijusių su jo verslu, prekyba ar profesija“ (2 straipsnio b punktas). Taigi labai abejoju, kad „vartotoju“ nurodyta prasme gali būti laikomas statybininkas, kaip antai J. Varga, kuris, pertvarkęs pastatą, kad galėtų iš jo padaryti komercinių įstaigų centrą, ketindamas jį parduoti su bendrove sudaro </w:t>
      </w:r>
      <w:r w:rsidR="004D7FB3" w:rsidRPr="007344EA">
        <w:rPr>
          <w:rFonts w:ascii="Times New Roman" w:eastAsia="Times New Roman" w:hAnsi="Times New Roman" w:cs="Times New Roman"/>
          <w:sz w:val="24"/>
          <w:szCs w:val="24"/>
        </w:rPr>
        <w:t>turto pardavimo</w:t>
      </w:r>
      <w:r w:rsidR="004D7FB3" w:rsidRPr="007344EA">
        <w:rPr>
          <w:rFonts w:ascii="Times New Roman" w:hAnsi="Times New Roman" w:cs="Times New Roman"/>
          <w:sz w:val="24"/>
          <w:szCs w:val="24"/>
        </w:rPr>
        <w:t>”</w:t>
      </w:r>
      <w:r w:rsidR="004D7FB3" w:rsidRPr="007344EA">
        <w:rPr>
          <w:rStyle w:val="FootnoteReference"/>
          <w:rFonts w:ascii="Times New Roman" w:hAnsi="Times New Roman"/>
          <w:sz w:val="24"/>
          <w:szCs w:val="24"/>
        </w:rPr>
        <w:footnoteReference w:id="198"/>
      </w:r>
      <w:r w:rsidR="004D7FB3" w:rsidRPr="007344EA">
        <w:rPr>
          <w:rFonts w:ascii="Times New Roman" w:hAnsi="Times New Roman" w:cs="Times New Roman"/>
          <w:sz w:val="24"/>
          <w:szCs w:val="24"/>
        </w:rPr>
        <w:t xml:space="preserve">. Ir išties, šios Generalinio advokato abejonės turi pagrindo, kadangi statybininkas, </w:t>
      </w:r>
      <w:r w:rsidRPr="007344EA">
        <w:rPr>
          <w:rFonts w:ascii="Times New Roman" w:hAnsi="Times New Roman" w:cs="Times New Roman"/>
          <w:sz w:val="24"/>
          <w:szCs w:val="24"/>
        </w:rPr>
        <w:t>statantis komercinių paslaugų centrą</w:t>
      </w:r>
      <w:r w:rsidR="004D7FB3" w:rsidRPr="007344EA">
        <w:rPr>
          <w:rFonts w:ascii="Times New Roman" w:hAnsi="Times New Roman" w:cs="Times New Roman"/>
          <w:sz w:val="24"/>
          <w:szCs w:val="24"/>
        </w:rPr>
        <w:t>,</w:t>
      </w:r>
      <w:r w:rsidRPr="007344EA">
        <w:rPr>
          <w:rFonts w:ascii="Times New Roman" w:hAnsi="Times New Roman" w:cs="Times New Roman"/>
          <w:sz w:val="24"/>
          <w:szCs w:val="24"/>
        </w:rPr>
        <w:t xml:space="preserve"> tai daro ne savo asmeni</w:t>
      </w:r>
      <w:r w:rsidR="004D7FB3" w:rsidRPr="007344EA">
        <w:rPr>
          <w:rFonts w:ascii="Times New Roman" w:hAnsi="Times New Roman" w:cs="Times New Roman"/>
          <w:sz w:val="24"/>
          <w:szCs w:val="24"/>
        </w:rPr>
        <w:t>niams</w:t>
      </w:r>
      <w:r w:rsidRPr="007344EA">
        <w:rPr>
          <w:rFonts w:ascii="Times New Roman" w:hAnsi="Times New Roman" w:cs="Times New Roman"/>
          <w:sz w:val="24"/>
          <w:szCs w:val="24"/>
        </w:rPr>
        <w:t xml:space="preserve"> poreikiams tenkinti, tačiau siekdamas pelno t.y. veikdamas, kaip verslininkas. Teisingumo Teismas nesiėmė </w:t>
      </w:r>
      <w:r w:rsidR="00B92C73" w:rsidRPr="007344EA">
        <w:rPr>
          <w:rFonts w:ascii="Times New Roman" w:hAnsi="Times New Roman" w:cs="Times New Roman"/>
          <w:sz w:val="24"/>
          <w:szCs w:val="24"/>
        </w:rPr>
        <w:t xml:space="preserve">iš esmės </w:t>
      </w:r>
      <w:r w:rsidRPr="007344EA">
        <w:rPr>
          <w:rFonts w:ascii="Times New Roman" w:hAnsi="Times New Roman" w:cs="Times New Roman"/>
          <w:sz w:val="24"/>
          <w:szCs w:val="24"/>
        </w:rPr>
        <w:t xml:space="preserve">spręsti prejudicinių klausimų, pripažinęs, kad šiuo konkrečiu atveju </w:t>
      </w:r>
      <w:r w:rsidR="004D7FB3" w:rsidRPr="007344EA">
        <w:rPr>
          <w:rFonts w:ascii="Times New Roman" w:hAnsi="Times New Roman" w:cs="Times New Roman"/>
          <w:sz w:val="24"/>
          <w:szCs w:val="24"/>
        </w:rPr>
        <w:t xml:space="preserve">Teisingumo </w:t>
      </w:r>
      <w:r w:rsidRPr="007344EA">
        <w:rPr>
          <w:rFonts w:ascii="Times New Roman" w:hAnsi="Times New Roman" w:cs="Times New Roman"/>
          <w:sz w:val="24"/>
          <w:szCs w:val="24"/>
        </w:rPr>
        <w:t xml:space="preserve">Teismas neturi jurisdikcijos </w:t>
      </w:r>
      <w:r w:rsidRPr="007344EA">
        <w:rPr>
          <w:rFonts w:ascii="Times New Roman" w:hAnsi="Times New Roman" w:cs="Times New Roman"/>
          <w:i/>
          <w:sz w:val="24"/>
          <w:szCs w:val="24"/>
        </w:rPr>
        <w:t>ratione temporis</w:t>
      </w:r>
      <w:r w:rsidRPr="007344EA">
        <w:rPr>
          <w:rFonts w:ascii="Times New Roman" w:hAnsi="Times New Roman" w:cs="Times New Roman"/>
          <w:sz w:val="24"/>
          <w:szCs w:val="24"/>
        </w:rPr>
        <w:t xml:space="preserve"> pagrindu. </w:t>
      </w:r>
    </w:p>
    <w:p w:rsidR="008D44D8" w:rsidRPr="007344EA" w:rsidRDefault="0030498D" w:rsidP="006E00E1">
      <w:pPr>
        <w:pStyle w:val="Default"/>
        <w:spacing w:line="360" w:lineRule="auto"/>
        <w:ind w:firstLine="1296"/>
        <w:jc w:val="both"/>
      </w:pPr>
      <w:r w:rsidRPr="007344EA">
        <w:t>Minėta</w:t>
      </w:r>
      <w:r w:rsidR="004D7FB3" w:rsidRPr="007344EA">
        <w:t>,</w:t>
      </w:r>
      <w:r w:rsidR="008C7F7C" w:rsidRPr="007344EA">
        <w:t xml:space="preserve"> kad konkrečiam teisiniam santykiui būtų galima taikyti Direktyvos  93/13 nuostatas, šis santykis turi atitikti tam tikrus kriteriju</w:t>
      </w:r>
      <w:r w:rsidR="00B72718" w:rsidRPr="007344EA">
        <w:t>s. Vienas iš šių kriterijų</w:t>
      </w:r>
      <w:r w:rsidR="00224D1C" w:rsidRPr="007344EA">
        <w:t xml:space="preserve"> −</w:t>
      </w:r>
      <w:r w:rsidR="00B72718" w:rsidRPr="007344EA">
        <w:t xml:space="preserve"> </w:t>
      </w:r>
      <w:r w:rsidR="008C7F7C" w:rsidRPr="007344EA">
        <w:rPr>
          <w:i/>
        </w:rPr>
        <w:t>ratione personae</w:t>
      </w:r>
      <w:r w:rsidR="00B72718" w:rsidRPr="007344EA">
        <w:t>, apibrėžiantis teisinio santykio šalių ypatybes, leidžiančias ta</w:t>
      </w:r>
      <w:r w:rsidR="00647901" w:rsidRPr="007344EA">
        <w:t>ikyti šį Sąjungos teisės aktą. Jau aptarėme kaip pagal Direktyva 93/13 ir su ja susijusi</w:t>
      </w:r>
      <w:r w:rsidR="004D7FB3" w:rsidRPr="007344EA">
        <w:t>a</w:t>
      </w:r>
      <w:r w:rsidR="00647901" w:rsidRPr="007344EA">
        <w:t xml:space="preserve"> Teisingumo Teismo praktiką yra suprantama vartotojo sąvoką. A</w:t>
      </w:r>
      <w:r w:rsidR="00B72718" w:rsidRPr="007344EA">
        <w:t>ntroji šio santykio šalis</w:t>
      </w:r>
      <w:r w:rsidR="00224D1C" w:rsidRPr="007344EA">
        <w:t xml:space="preserve"> −</w:t>
      </w:r>
      <w:r w:rsidR="00B72718" w:rsidRPr="007344EA">
        <w:t xml:space="preserve"> </w:t>
      </w:r>
      <w:r w:rsidR="0038478B" w:rsidRPr="007344EA">
        <w:t xml:space="preserve">pardavėjas ar tiekėjas. </w:t>
      </w:r>
      <w:r w:rsidR="00B72718" w:rsidRPr="007344EA">
        <w:t xml:space="preserve">Direktyvoje </w:t>
      </w:r>
      <w:r w:rsidR="00647901" w:rsidRPr="007344EA">
        <w:t xml:space="preserve">93/13 </w:t>
      </w:r>
      <w:r w:rsidR="00B72718" w:rsidRPr="007344EA">
        <w:rPr>
          <w:i/>
        </w:rPr>
        <w:t xml:space="preserve">expressis verbis </w:t>
      </w:r>
      <w:r w:rsidR="00B72718" w:rsidRPr="007344EA">
        <w:t>yra įtvirtinta ne verslininko,</w:t>
      </w:r>
      <w:r w:rsidR="0038478B" w:rsidRPr="007344EA">
        <w:t xml:space="preserve"> kaip yra priimta Lietuvos nacionalinė teisėje,</w:t>
      </w:r>
      <w:r w:rsidR="00F20F19" w:rsidRPr="007344EA">
        <w:t xml:space="preserve"> bet pardavėjo ar tiekėjo sąvoka</w:t>
      </w:r>
      <w:r w:rsidR="00D779F0" w:rsidRPr="007344EA">
        <w:t xml:space="preserve">. </w:t>
      </w:r>
      <w:r w:rsidR="00B72718" w:rsidRPr="007344EA">
        <w:t>Direktyvos 93/13 2 straipsnyje numatyta: „pardavėjas ar tiekėjas“</w:t>
      </w:r>
      <w:r w:rsidR="00224D1C" w:rsidRPr="007344EA">
        <w:t xml:space="preserve"> −</w:t>
      </w:r>
      <w:r w:rsidR="00B72718" w:rsidRPr="007344EA">
        <w:t xml:space="preserve"> bet kuris fizinis ar juridinis asmuo, kuris sutar</w:t>
      </w:r>
      <w:r w:rsidR="003D5F89" w:rsidRPr="007344EA">
        <w:t>t</w:t>
      </w:r>
      <w:r w:rsidR="00B72718" w:rsidRPr="007344EA">
        <w:t>yse, kurioms taikoma ši Direktyva veikia savo verslo ar profesijos tik</w:t>
      </w:r>
      <w:r w:rsidR="00647901" w:rsidRPr="007344EA">
        <w:t>s</w:t>
      </w:r>
      <w:r w:rsidR="00B72718" w:rsidRPr="007344EA">
        <w:t>lais, nesvarbu ar tai būtų viešoji ar privačioji nuosavybė (p</w:t>
      </w:r>
      <w:r w:rsidR="00647901" w:rsidRPr="007344EA">
        <w:t xml:space="preserve">ataisytas vertimas). </w:t>
      </w:r>
      <w:r w:rsidR="003D5F89" w:rsidRPr="007344EA">
        <w:t xml:space="preserve">Skirtingai nei vartotojo sąvokos apibrėžimo atveju, </w:t>
      </w:r>
      <w:r w:rsidR="00A52EB1" w:rsidRPr="007344EA">
        <w:t>pardav</w:t>
      </w:r>
      <w:r w:rsidR="00460185" w:rsidRPr="007344EA">
        <w:t>ė</w:t>
      </w:r>
      <w:r w:rsidR="00A52EB1" w:rsidRPr="007344EA">
        <w:t xml:space="preserve">jo ar tiekėjo </w:t>
      </w:r>
      <w:r w:rsidR="003D5F89" w:rsidRPr="007344EA">
        <w:t xml:space="preserve">sąvoka yra apibrėžiama pozityviuoju metodu t.y. išvardijamos sąlygos, kurias subjektas turi atitikti, kad galėtų būti pripažintas verslininku, tuo tarpu vartotojo sąvoka apibrėžiama </w:t>
      </w:r>
      <w:r w:rsidR="003D5F89" w:rsidRPr="007344EA">
        <w:lastRenderedPageBreak/>
        <w:t xml:space="preserve">negatyviuoju metodu, kuris nurodo </w:t>
      </w:r>
      <w:r w:rsidR="00647901" w:rsidRPr="007344EA">
        <w:t>koks asmu</w:t>
      </w:r>
      <w:r w:rsidR="00763641" w:rsidRPr="007344EA">
        <w:t>o nėra vartotojas</w:t>
      </w:r>
      <w:r w:rsidR="00533DDA" w:rsidRPr="007344EA">
        <w:t>.</w:t>
      </w:r>
      <w:r w:rsidR="00AC2E8A" w:rsidRPr="007344EA">
        <w:t xml:space="preserve"> Doktrinoje teigiama, kad sąvokų api</w:t>
      </w:r>
      <w:r w:rsidR="00647901" w:rsidRPr="007344EA">
        <w:t>brėžimo metodologija gali įtakoti ir šių sąvokų aiškinim</w:t>
      </w:r>
      <w:r w:rsidR="0038478B" w:rsidRPr="007344EA">
        <w:t>ą. Negatyviuoju būdu apibrėžiamos sąvokos aiškinamos siaurinamai, kadangi tokiu atveju nurodomos</w:t>
      </w:r>
      <w:r w:rsidR="00647901" w:rsidRPr="007344EA">
        <w:t xml:space="preserve"> išimtis, </w:t>
      </w:r>
      <w:r w:rsidR="00AC2E8A" w:rsidRPr="007344EA">
        <w:t>kada asmuo negali būti pripažintas tam tikru subjektu. Tuo tarpu pozityviuoju metodu apibrėžtas sąv</w:t>
      </w:r>
      <w:r w:rsidR="00E8587B" w:rsidRPr="007344EA">
        <w:t>okas reikia aiškinti plečiamai.</w:t>
      </w:r>
      <w:r w:rsidR="00E77FDF" w:rsidRPr="007344EA">
        <w:t xml:space="preserve"> </w:t>
      </w:r>
      <w:r w:rsidR="00F20F19" w:rsidRPr="007344EA">
        <w:t>Verslininko sąvoka, į</w:t>
      </w:r>
      <w:r w:rsidR="00DF7649" w:rsidRPr="007344EA">
        <w:t>tvirtina Direktyvos 93/13 2 straipsnio</w:t>
      </w:r>
      <w:r w:rsidR="00F20F19" w:rsidRPr="007344EA">
        <w:t xml:space="preserve"> </w:t>
      </w:r>
      <w:r w:rsidR="00D779F0" w:rsidRPr="007344EA">
        <w:t>c dalyje, yra autonominė Sąjungos teisės sąvoka ir turi būti aiškinama plečiamai</w:t>
      </w:r>
      <w:r w:rsidR="00E8587B" w:rsidRPr="007344EA">
        <w:t>.</w:t>
      </w:r>
      <w:r w:rsidR="00D779F0" w:rsidRPr="007344EA">
        <w:rPr>
          <w:rStyle w:val="FootnoteReference"/>
        </w:rPr>
        <w:footnoteReference w:id="199"/>
      </w:r>
      <w:r w:rsidR="00D779F0" w:rsidRPr="007344EA">
        <w:t xml:space="preserve"> </w:t>
      </w:r>
      <w:r w:rsidR="00AC2E8A" w:rsidRPr="007344EA">
        <w:t>Kyla klausimas ar su Direktyvos 93/13 tikslais yra suderinama tai, kad vartotojo sąvoka yra aiškinama siaurinamuoju metodu, o verslininko</w:t>
      </w:r>
      <w:r w:rsidR="00224D1C" w:rsidRPr="007344EA">
        <w:t xml:space="preserve"> −</w:t>
      </w:r>
      <w:r w:rsidR="00AC2E8A" w:rsidRPr="007344EA">
        <w:t xml:space="preserve"> plečiamuoju. Ma</w:t>
      </w:r>
      <w:r w:rsidR="004D7FB3" w:rsidRPr="007344EA">
        <w:t>n</w:t>
      </w:r>
      <w:r w:rsidR="00AC2E8A" w:rsidRPr="007344EA">
        <w:t xml:space="preserve">ytina, kad tokia sąvokų apibrėžimo koncepcija yra ne tik kad suderinama su Direktyvos 93/13 tikslais, bet </w:t>
      </w:r>
      <w:r w:rsidR="0038478B" w:rsidRPr="007344EA">
        <w:t xml:space="preserve">ir  padeda šių tikslų pasiekti. </w:t>
      </w:r>
      <w:r w:rsidR="006E2EF4" w:rsidRPr="007344EA">
        <w:t>Kadangi negatyviuoju būdu apibrėžiamų subjektų ratas yra pl</w:t>
      </w:r>
      <w:r w:rsidR="00533DDA" w:rsidRPr="007344EA">
        <w:t>a</w:t>
      </w:r>
      <w:r w:rsidR="006E2EF4" w:rsidRPr="007344EA">
        <w:t>tesni</w:t>
      </w:r>
      <w:r w:rsidR="00533DDA" w:rsidRPr="007344EA">
        <w:t>s</w:t>
      </w:r>
      <w:r w:rsidR="00853DCE" w:rsidRPr="007344EA">
        <w:t xml:space="preserve"> (nurodo išimtis, koks asmuo negali būti laikomas vartotoju) </w:t>
      </w:r>
      <w:r w:rsidR="00853DCE" w:rsidRPr="007344EA">
        <w:rPr>
          <w:i/>
        </w:rPr>
        <w:t>inter alia</w:t>
      </w:r>
      <w:r w:rsidR="00853DCE" w:rsidRPr="007344EA">
        <w:t xml:space="preserve"> pagrindinis D</w:t>
      </w:r>
      <w:r w:rsidR="000100A4" w:rsidRPr="007344EA">
        <w:t>irektyvos</w:t>
      </w:r>
      <w:r w:rsidR="00853DCE" w:rsidRPr="007344EA">
        <w:t xml:space="preserve"> 93/13</w:t>
      </w:r>
      <w:r w:rsidR="000100A4" w:rsidRPr="007344EA">
        <w:t xml:space="preserve"> tikslas </w:t>
      </w:r>
      <w:r w:rsidR="00853DCE" w:rsidRPr="007344EA">
        <w:t xml:space="preserve">yra vartotojo apsauga, todėl bet koks šios direktyvos aiškinimas turi būti nukreiptas maksimaliai vartotojo apsaugai užtikrinti. </w:t>
      </w:r>
    </w:p>
    <w:p w:rsidR="00F93AEA" w:rsidRPr="007344EA" w:rsidRDefault="00B72718" w:rsidP="006E00E1">
      <w:pPr>
        <w:pStyle w:val="Default"/>
        <w:spacing w:line="360" w:lineRule="auto"/>
        <w:jc w:val="both"/>
      </w:pPr>
      <w:r w:rsidRPr="007344EA">
        <w:tab/>
        <w:t xml:space="preserve">Nei vienas nacionalinis teismas besikreipiantis į teisingumo teismą su prašymu priimti prejudicinį sprendimą nesiekė išsiaiškinti, kaip yra suprantama pardavėjo ar tiekėjo sąvoka Direktyvos 93/13 kontekste, todėl priešingai nei </w:t>
      </w:r>
      <w:r w:rsidR="00343271" w:rsidRPr="007344EA">
        <w:t>vartotojo sąvokos atžvilgiu, Teisingumo Teismas šio klausimo nenagrinėjo.</w:t>
      </w:r>
      <w:r w:rsidR="00DF7649" w:rsidRPr="007344EA">
        <w:t xml:space="preserve"> </w:t>
      </w:r>
      <w:r w:rsidR="00F93AEA" w:rsidRPr="007344EA">
        <w:t xml:space="preserve">Teisingumo Teismo nagrinėtuose sprendimuose </w:t>
      </w:r>
      <w:r w:rsidR="00435DEF" w:rsidRPr="007344EA">
        <w:t>pardavėju ar tiekėju</w:t>
      </w:r>
      <w:r w:rsidR="00F93AEA" w:rsidRPr="007344EA">
        <w:t xml:space="preserve"> buvo pripažinti: kredito įstaiga ( </w:t>
      </w:r>
      <w:r w:rsidR="00F93AEA" w:rsidRPr="007344EA">
        <w:rPr>
          <w:i/>
        </w:rPr>
        <w:t xml:space="preserve">Pengzugyi Lizing, Pohotovost, Caje de Madrid, Cofidis, </w:t>
      </w:r>
      <w:r w:rsidR="00056125" w:rsidRPr="007344EA">
        <w:rPr>
          <w:bCs/>
          <w:i/>
          <w:lang w:val="pt-PT"/>
        </w:rPr>
        <w:t>Pereničová,</w:t>
      </w:r>
      <w:r w:rsidR="00F93AEA" w:rsidRPr="007344EA">
        <w:rPr>
          <w:i/>
        </w:rPr>
        <w:t xml:space="preserve"> Banco Espanol),</w:t>
      </w:r>
      <w:r w:rsidR="00F93AEA" w:rsidRPr="007344EA">
        <w:t xml:space="preserve"> telefono ryšio tiekėjas (</w:t>
      </w:r>
      <w:r w:rsidR="00F93AEA" w:rsidRPr="007344EA">
        <w:rPr>
          <w:i/>
        </w:rPr>
        <w:t xml:space="preserve">Asturcom, Claro, Pannon, </w:t>
      </w:r>
      <w:r w:rsidR="00392953" w:rsidRPr="007344EA">
        <w:rPr>
          <w:bCs/>
          <w:i/>
          <w:lang w:val="pt-PT"/>
        </w:rPr>
        <w:t>Nemzeti</w:t>
      </w:r>
      <w:r w:rsidR="00F93AEA" w:rsidRPr="007344EA">
        <w:t>), knygų pardavėjas</w:t>
      </w:r>
      <w:r w:rsidR="008677DB" w:rsidRPr="007344EA">
        <w:t xml:space="preserve"> </w:t>
      </w:r>
      <w:r w:rsidR="00F93AEA" w:rsidRPr="007344EA">
        <w:t>(</w:t>
      </w:r>
      <w:r w:rsidR="00F93AEA" w:rsidRPr="007344EA">
        <w:rPr>
          <w:i/>
        </w:rPr>
        <w:t>Oceano</w:t>
      </w:r>
      <w:r w:rsidR="00435DEF" w:rsidRPr="007344EA">
        <w:t xml:space="preserve">), </w:t>
      </w:r>
      <w:r w:rsidR="00F93AEA" w:rsidRPr="007344EA">
        <w:t xml:space="preserve">automatinės prekybos </w:t>
      </w:r>
      <w:r w:rsidR="000100A4" w:rsidRPr="007344EA">
        <w:t xml:space="preserve">organizatorius </w:t>
      </w:r>
      <w:r w:rsidR="00F93AEA" w:rsidRPr="007344EA">
        <w:t>(</w:t>
      </w:r>
      <w:r w:rsidR="00F93AEA" w:rsidRPr="007344EA">
        <w:rPr>
          <w:i/>
        </w:rPr>
        <w:t>Cape</w:t>
      </w:r>
      <w:r w:rsidR="00AC71CA" w:rsidRPr="007344EA">
        <w:t xml:space="preserve">), </w:t>
      </w:r>
      <w:r w:rsidR="00F93AEA" w:rsidRPr="007344EA">
        <w:t>statybos įmonė (</w:t>
      </w:r>
      <w:r w:rsidR="00F93AEA" w:rsidRPr="007344EA">
        <w:rPr>
          <w:i/>
        </w:rPr>
        <w:t>Freiburger</w:t>
      </w:r>
      <w:r w:rsidR="00F93AEA" w:rsidRPr="007344EA">
        <w:t>), nekilnojamo turto agentūra (</w:t>
      </w:r>
      <w:r w:rsidR="00F93AEA" w:rsidRPr="007344EA">
        <w:rPr>
          <w:i/>
        </w:rPr>
        <w:t>Ynos</w:t>
      </w:r>
      <w:r w:rsidR="00F93AEA" w:rsidRPr="007344EA">
        <w:t>).</w:t>
      </w:r>
    </w:p>
    <w:p w:rsidR="0071060A" w:rsidRPr="007344EA" w:rsidRDefault="0071060A" w:rsidP="006E00E1">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Ir nors Teisingumo Teismas laikosi vartotojo, tik kaip fizinio asmens sampratos, tačiau dauguma Sąjungos valstybių narių arba tiesiogiai įstatymuose arba per teismų praktik</w:t>
      </w:r>
      <w:r w:rsidR="0000286D" w:rsidRPr="007344EA">
        <w:rPr>
          <w:rFonts w:ascii="Times New Roman" w:hAnsi="Times New Roman" w:cs="Times New Roman"/>
          <w:sz w:val="24"/>
          <w:szCs w:val="24"/>
        </w:rPr>
        <w:t xml:space="preserve">ą          </w:t>
      </w:r>
      <w:r w:rsidRPr="007344EA">
        <w:rPr>
          <w:rFonts w:ascii="Times New Roman" w:hAnsi="Times New Roman" w:cs="Times New Roman"/>
          <w:sz w:val="24"/>
          <w:szCs w:val="24"/>
        </w:rPr>
        <w:t xml:space="preserve"> pripažįsta, kad vartotoju gali būti ir juridinis asmuo. Manytina, kad tokia samprata, kai vartotoju gali būti ir juridinis asmuo, labiau atspindi Direktyvos 93/13 dvasią ir tikslus</w:t>
      </w:r>
      <w:r w:rsidR="00224D1C" w:rsidRPr="007344EA">
        <w:rPr>
          <w:rFonts w:ascii="Times New Roman" w:hAnsi="Times New Roman" w:cs="Times New Roman"/>
          <w:sz w:val="24"/>
          <w:szCs w:val="24"/>
        </w:rPr>
        <w:t xml:space="preserve"> −</w:t>
      </w:r>
      <w:r w:rsidRPr="007344EA">
        <w:rPr>
          <w:rFonts w:ascii="Times New Roman" w:hAnsi="Times New Roman" w:cs="Times New Roman"/>
          <w:sz w:val="24"/>
          <w:szCs w:val="24"/>
        </w:rPr>
        <w:t xml:space="preserve"> „ginti vartotoją, kaip silpnesniąją sutarties šalį“. Kadangi gali susiklostyti situacija, kad vartotojai susijungę į tam tikras asociacijas (daugiabučių ar sodo namų bendrijos, sporto entuziastų klubai ir pan.) siekdami kolektyviai įgyvendinti savo interesus ir veikdami kaip juridinis asmuo, prarastų jiems Direktyva 93/13 suteiktą apsaugą. Tačiau įsigydami tą pačią prekę ar paslaugą, tomis pačiomis sąlygomis, bet jau veikdami, kaip fiziniai asmenys, Direktyva 93/13 suteikiam</w:t>
      </w:r>
      <w:r w:rsidR="0000286D" w:rsidRPr="007344EA">
        <w:rPr>
          <w:rFonts w:ascii="Times New Roman" w:hAnsi="Times New Roman" w:cs="Times New Roman"/>
          <w:sz w:val="24"/>
          <w:szCs w:val="24"/>
        </w:rPr>
        <w:t>ą</w:t>
      </w:r>
      <w:r w:rsidRPr="007344EA">
        <w:rPr>
          <w:rFonts w:ascii="Times New Roman" w:hAnsi="Times New Roman" w:cs="Times New Roman"/>
          <w:sz w:val="24"/>
          <w:szCs w:val="24"/>
        </w:rPr>
        <w:t xml:space="preserve"> apsaugą išsaugotų.  Pardavėjo ar tiekėjo (verslininko) sąvokos Teisingumo Teismas</w:t>
      </w:r>
      <w:r w:rsidR="00435DEF" w:rsidRPr="007344EA">
        <w:rPr>
          <w:rFonts w:ascii="Times New Roman" w:hAnsi="Times New Roman" w:cs="Times New Roman"/>
          <w:sz w:val="24"/>
          <w:szCs w:val="24"/>
        </w:rPr>
        <w:t xml:space="preserve"> plačiau</w:t>
      </w:r>
      <w:r w:rsidRPr="007344EA">
        <w:rPr>
          <w:rFonts w:ascii="Times New Roman" w:hAnsi="Times New Roman" w:cs="Times New Roman"/>
          <w:sz w:val="24"/>
          <w:szCs w:val="24"/>
        </w:rPr>
        <w:t xml:space="preserve"> neaiškino, tačiau iš priimtų </w:t>
      </w:r>
      <w:r w:rsidR="00435DEF" w:rsidRPr="007344EA">
        <w:rPr>
          <w:rFonts w:ascii="Times New Roman" w:hAnsi="Times New Roman" w:cs="Times New Roman"/>
          <w:sz w:val="24"/>
          <w:szCs w:val="24"/>
        </w:rPr>
        <w:t xml:space="preserve">prejudicinių sprendimų matyti, kad pardavėju ar tiekėju buvo pripažinti: kredito įstaiga, </w:t>
      </w:r>
      <w:r w:rsidR="00435DEF" w:rsidRPr="007344EA">
        <w:rPr>
          <w:rFonts w:ascii="Times New Roman" w:hAnsi="Times New Roman" w:cs="Times New Roman"/>
          <w:sz w:val="24"/>
          <w:szCs w:val="24"/>
        </w:rPr>
        <w:lastRenderedPageBreak/>
        <w:t>mobiliojo ryšio tiekėjas,</w:t>
      </w:r>
      <w:r w:rsidR="007A0EAE" w:rsidRPr="007344EA">
        <w:rPr>
          <w:rFonts w:ascii="Times New Roman" w:hAnsi="Times New Roman" w:cs="Times New Roman"/>
          <w:sz w:val="24"/>
          <w:szCs w:val="24"/>
        </w:rPr>
        <w:t xml:space="preserve"> išnešiojamosios prekybos knygomis organizatorius</w:t>
      </w:r>
      <w:r w:rsidR="00435DEF" w:rsidRPr="007344EA">
        <w:rPr>
          <w:rFonts w:ascii="Times New Roman" w:hAnsi="Times New Roman" w:cs="Times New Roman"/>
          <w:sz w:val="24"/>
          <w:szCs w:val="24"/>
        </w:rPr>
        <w:t xml:space="preserve">, automatinės prekybos organizatorius, municipalinė statybos įmonė, nekilnojamo turto agentūra. </w:t>
      </w:r>
    </w:p>
    <w:p w:rsidR="008D44D8" w:rsidRPr="007344EA" w:rsidRDefault="006E2EF4" w:rsidP="000F6662">
      <w:pPr>
        <w:pStyle w:val="Heading3"/>
        <w:rPr>
          <w:rFonts w:ascii="Times New Roman" w:hAnsi="Times New Roman" w:cs="Times New Roman"/>
          <w:color w:val="auto"/>
          <w:sz w:val="24"/>
          <w:szCs w:val="24"/>
        </w:rPr>
      </w:pPr>
      <w:bookmarkStart w:id="18" w:name="_Toc344337166"/>
      <w:r w:rsidRPr="007344EA">
        <w:rPr>
          <w:rFonts w:ascii="Times New Roman" w:hAnsi="Times New Roman" w:cs="Times New Roman"/>
          <w:color w:val="auto"/>
          <w:sz w:val="24"/>
          <w:szCs w:val="24"/>
        </w:rPr>
        <w:t>3.2.2</w:t>
      </w:r>
      <w:r w:rsidR="00D42736" w:rsidRPr="007344EA">
        <w:rPr>
          <w:rFonts w:ascii="Times New Roman" w:hAnsi="Times New Roman" w:cs="Times New Roman"/>
          <w:color w:val="auto"/>
          <w:sz w:val="24"/>
          <w:szCs w:val="24"/>
        </w:rPr>
        <w:t>.</w:t>
      </w:r>
      <w:r w:rsidRPr="007344EA">
        <w:rPr>
          <w:rFonts w:ascii="Times New Roman" w:hAnsi="Times New Roman" w:cs="Times New Roman"/>
          <w:color w:val="auto"/>
          <w:sz w:val="24"/>
          <w:szCs w:val="24"/>
        </w:rPr>
        <w:t xml:space="preserve"> Ratione materiae</w:t>
      </w:r>
      <w:bookmarkEnd w:id="18"/>
    </w:p>
    <w:p w:rsidR="00B50AEA" w:rsidRPr="007344EA" w:rsidRDefault="00B50AEA" w:rsidP="006E00E1">
      <w:pPr>
        <w:pStyle w:val="Default"/>
        <w:spacing w:line="360" w:lineRule="auto"/>
        <w:ind w:firstLine="1296"/>
        <w:jc w:val="both"/>
      </w:pPr>
    </w:p>
    <w:p w:rsidR="00647F03" w:rsidRPr="007344EA" w:rsidRDefault="006E2EF4" w:rsidP="006E00E1">
      <w:pPr>
        <w:pStyle w:val="Default"/>
        <w:spacing w:line="360" w:lineRule="auto"/>
        <w:ind w:firstLine="1296"/>
        <w:jc w:val="both"/>
      </w:pPr>
      <w:r w:rsidRPr="007344EA">
        <w:t xml:space="preserve">Direktyvos 93/13 taikymo sritis </w:t>
      </w:r>
      <w:r w:rsidRPr="007344EA">
        <w:rPr>
          <w:i/>
        </w:rPr>
        <w:t>ratione materiae</w:t>
      </w:r>
      <w:r w:rsidRPr="007344EA">
        <w:t xml:space="preserve"> yra </w:t>
      </w:r>
      <w:r w:rsidR="001F09CD" w:rsidRPr="007344EA">
        <w:t>labiau komplikuota,</w:t>
      </w:r>
      <w:r w:rsidRPr="007344EA">
        <w:t xml:space="preserve"> nei taikymas asmenų atžvilgiu. Tai lemia ne tik tai, kad </w:t>
      </w:r>
      <w:r w:rsidR="001F09CD" w:rsidRPr="007344EA">
        <w:rPr>
          <w:i/>
        </w:rPr>
        <w:t>ratione materia</w:t>
      </w:r>
      <w:r w:rsidRPr="007344EA">
        <w:rPr>
          <w:i/>
        </w:rPr>
        <w:t>e</w:t>
      </w:r>
      <w:r w:rsidR="006C5EF7" w:rsidRPr="007344EA">
        <w:t xml:space="preserve"> taikymo srities išimtys</w:t>
      </w:r>
      <w:r w:rsidRPr="007344EA">
        <w:t xml:space="preserve"> nėra nuosek</w:t>
      </w:r>
      <w:r w:rsidR="00883D7D" w:rsidRPr="007344EA">
        <w:t>liai išdėstyt</w:t>
      </w:r>
      <w:r w:rsidR="00D26082" w:rsidRPr="007344EA">
        <w:t>o</w:t>
      </w:r>
      <w:r w:rsidR="006C5EF7" w:rsidRPr="007344EA">
        <w:t>s</w:t>
      </w:r>
      <w:r w:rsidR="00883D7D" w:rsidRPr="007344EA">
        <w:t xml:space="preserve"> Direktyvoje</w:t>
      </w:r>
      <w:r w:rsidR="006C5EF7" w:rsidRPr="007344EA">
        <w:t xml:space="preserve"> 93/13</w:t>
      </w:r>
      <w:r w:rsidR="00883D7D" w:rsidRPr="007344EA">
        <w:t xml:space="preserve">, bet </w:t>
      </w:r>
      <w:r w:rsidRPr="007344EA">
        <w:t>ir</w:t>
      </w:r>
      <w:r w:rsidRPr="007344EA">
        <w:rPr>
          <w:b/>
        </w:rPr>
        <w:t xml:space="preserve"> </w:t>
      </w:r>
      <w:r w:rsidRPr="007344EA">
        <w:t>Teisingumo</w:t>
      </w:r>
      <w:r w:rsidR="00883D7D" w:rsidRPr="007344EA">
        <w:t xml:space="preserve"> </w:t>
      </w:r>
      <w:r w:rsidRPr="007344EA">
        <w:t>Teismo praktik</w:t>
      </w:r>
      <w:r w:rsidR="005D47E8" w:rsidRPr="007344EA">
        <w:t>os „viražai“</w:t>
      </w:r>
      <w:r w:rsidRPr="007344EA">
        <w:t xml:space="preserve">. </w:t>
      </w:r>
      <w:r w:rsidR="00B91F15" w:rsidRPr="007344EA">
        <w:t>Minėta, t</w:t>
      </w:r>
      <w:r w:rsidR="00FB05A8" w:rsidRPr="007344EA">
        <w:t>am kad konkrečią sutart</w:t>
      </w:r>
      <w:r w:rsidR="004411DB" w:rsidRPr="007344EA">
        <w:t>ies sąlygą</w:t>
      </w:r>
      <w:r w:rsidR="00FB05A8" w:rsidRPr="007344EA">
        <w:t xml:space="preserve"> būtų </w:t>
      </w:r>
      <w:r w:rsidR="009A0AF1" w:rsidRPr="007344EA">
        <w:t xml:space="preserve">galima vertinti </w:t>
      </w:r>
      <w:r w:rsidR="004411DB" w:rsidRPr="007344EA">
        <w:t>nesąžiningumo aspektu, sutartis</w:t>
      </w:r>
      <w:r w:rsidR="005C7646" w:rsidRPr="007344EA">
        <w:t xml:space="preserve"> turi atitikti ne tik jau aptartą </w:t>
      </w:r>
      <w:r w:rsidR="005C7646" w:rsidRPr="007344EA">
        <w:rPr>
          <w:i/>
        </w:rPr>
        <w:t>ratione personae</w:t>
      </w:r>
      <w:r w:rsidR="005C7646" w:rsidRPr="007344EA">
        <w:t xml:space="preserve"> kriterijų, bet ir </w:t>
      </w:r>
      <w:r w:rsidR="005C7646" w:rsidRPr="007344EA">
        <w:rPr>
          <w:i/>
        </w:rPr>
        <w:t>ratione materiae</w:t>
      </w:r>
      <w:r w:rsidR="00671FDF" w:rsidRPr="007344EA">
        <w:t xml:space="preserve"> </w:t>
      </w:r>
      <w:r w:rsidR="00E76684" w:rsidRPr="007344EA">
        <w:t xml:space="preserve">kriterijų </w:t>
      </w:r>
      <w:r w:rsidR="00D26082" w:rsidRPr="007344EA">
        <w:t>taip pat ir</w:t>
      </w:r>
      <w:r w:rsidR="00671FDF" w:rsidRPr="007344EA">
        <w:t xml:space="preserve"> </w:t>
      </w:r>
      <w:r w:rsidR="00A3564E" w:rsidRPr="007344EA">
        <w:rPr>
          <w:i/>
        </w:rPr>
        <w:t>ratione temporis</w:t>
      </w:r>
      <w:r w:rsidR="00D26082" w:rsidRPr="007344EA">
        <w:t xml:space="preserve"> bei </w:t>
      </w:r>
      <w:r w:rsidR="00A3564E" w:rsidRPr="007344EA">
        <w:rPr>
          <w:i/>
        </w:rPr>
        <w:t>ratione loci</w:t>
      </w:r>
      <w:r w:rsidR="00817C82" w:rsidRPr="007344EA">
        <w:t xml:space="preserve"> kriterijus (</w:t>
      </w:r>
      <w:r w:rsidR="00D26082" w:rsidRPr="007344EA">
        <w:t>pastarieji du kriterijai</w:t>
      </w:r>
      <w:r w:rsidR="00671FDF" w:rsidRPr="007344EA">
        <w:t xml:space="preserve"> šiame magistro baig</w:t>
      </w:r>
      <w:r w:rsidR="00883D7D" w:rsidRPr="007344EA">
        <w:t xml:space="preserve">iamajame darbe </w:t>
      </w:r>
      <w:r w:rsidR="00D26082" w:rsidRPr="007344EA">
        <w:t xml:space="preserve">plačiau </w:t>
      </w:r>
      <w:r w:rsidR="00883D7D" w:rsidRPr="007344EA">
        <w:t>n</w:t>
      </w:r>
      <w:r w:rsidR="00B91F15" w:rsidRPr="007344EA">
        <w:t>e</w:t>
      </w:r>
      <w:r w:rsidR="00883D7D" w:rsidRPr="007344EA">
        <w:t>aptariami</w:t>
      </w:r>
      <w:r w:rsidR="00817C82" w:rsidRPr="007344EA">
        <w:t>)</w:t>
      </w:r>
      <w:r w:rsidR="00883D7D" w:rsidRPr="007344EA">
        <w:t>.</w:t>
      </w:r>
      <w:r w:rsidR="005C7646" w:rsidRPr="007344EA">
        <w:t xml:space="preserve"> </w:t>
      </w:r>
      <w:r w:rsidR="00D26C01" w:rsidRPr="007344EA">
        <w:t xml:space="preserve">Kitaip </w:t>
      </w:r>
      <w:r w:rsidR="00817C82" w:rsidRPr="007344EA">
        <w:t>tariant</w:t>
      </w:r>
      <w:r w:rsidR="005C7646" w:rsidRPr="007344EA">
        <w:t xml:space="preserve"> </w:t>
      </w:r>
      <w:r w:rsidR="009A0AF1" w:rsidRPr="007344EA">
        <w:rPr>
          <w:i/>
        </w:rPr>
        <w:t>ratione materiae</w:t>
      </w:r>
      <w:r w:rsidR="009A0AF1" w:rsidRPr="007344EA">
        <w:t xml:space="preserve"> kriterijus reiškia sutarties turinio savybes</w:t>
      </w:r>
      <w:r w:rsidR="006C5EF7" w:rsidRPr="007344EA">
        <w:t xml:space="preserve"> ir jos sudarymo aplinkybes</w:t>
      </w:r>
      <w:r w:rsidR="009A0AF1" w:rsidRPr="007344EA">
        <w:t>, kurias turi atitikti sutartis</w:t>
      </w:r>
      <w:r w:rsidR="004D7A2F" w:rsidRPr="007344EA">
        <w:t>,</w:t>
      </w:r>
      <w:r w:rsidR="009A0AF1" w:rsidRPr="007344EA">
        <w:t xml:space="preserve"> norint vertinti jos nesąžiningumą</w:t>
      </w:r>
      <w:r w:rsidR="00741E1E" w:rsidRPr="007344EA">
        <w:t>,</w:t>
      </w:r>
      <w:r w:rsidR="00192A64" w:rsidRPr="007344EA">
        <w:t xml:space="preserve"> </w:t>
      </w:r>
      <w:r w:rsidR="009A0AF1" w:rsidRPr="007344EA">
        <w:t>Direktyvos 93</w:t>
      </w:r>
      <w:r w:rsidR="00883D7D" w:rsidRPr="007344EA">
        <w:t>/13</w:t>
      </w:r>
      <w:r w:rsidR="0021589F" w:rsidRPr="007344EA">
        <w:t xml:space="preserve"> kontekste</w:t>
      </w:r>
      <w:r w:rsidR="00883D7D" w:rsidRPr="007344EA">
        <w:t>.</w:t>
      </w:r>
      <w:r w:rsidR="00741E1E" w:rsidRPr="007344EA">
        <w:t xml:space="preserve"> </w:t>
      </w:r>
    </w:p>
    <w:p w:rsidR="001703AF" w:rsidRPr="007344EA" w:rsidRDefault="008813B7" w:rsidP="006E00E1">
      <w:pPr>
        <w:pStyle w:val="Default"/>
        <w:spacing w:line="360" w:lineRule="auto"/>
        <w:ind w:firstLine="1296"/>
        <w:jc w:val="both"/>
      </w:pPr>
      <w:r w:rsidRPr="007344EA">
        <w:t>Išskirtinė Direktyvos 93/13 savybė</w:t>
      </w:r>
      <w:r w:rsidR="006C5EF7" w:rsidRPr="007344EA">
        <w:t>, skirianti ją nuo kitų</w:t>
      </w:r>
      <w:r w:rsidR="00741E1E" w:rsidRPr="007344EA">
        <w:rPr>
          <w:rStyle w:val="FootnoteReference"/>
        </w:rPr>
        <w:footnoteReference w:id="200"/>
      </w:r>
      <w:r w:rsidR="006C5EF7" w:rsidRPr="007344EA">
        <w:t xml:space="preserve"> vartotojų teisių apsaugos</w:t>
      </w:r>
      <w:r w:rsidR="006E6912" w:rsidRPr="007344EA">
        <w:t xml:space="preserve"> direktyvų,</w:t>
      </w:r>
      <w:r w:rsidRPr="007344EA">
        <w:t xml:space="preserve"> yra ta, kad ji taikoma iš esmės visoms vartojimo sutarčių rūšims</w:t>
      </w:r>
      <w:r w:rsidR="00BF10E1" w:rsidRPr="007344EA">
        <w:t>.</w:t>
      </w:r>
      <w:r w:rsidR="006C4ACD" w:rsidRPr="007344EA">
        <w:t xml:space="preserve"> Nors ir Direktyva 93/13 taikoma iš esmės visoms vartojimo sutarti</w:t>
      </w:r>
      <w:r w:rsidR="0000286D" w:rsidRPr="007344EA">
        <w:t>m</w:t>
      </w:r>
      <w:r w:rsidR="006C4ACD" w:rsidRPr="007344EA">
        <w:t>s, tačiau savaime aišku, kad jos taikymo sritis ta</w:t>
      </w:r>
      <w:r w:rsidR="00D26C01" w:rsidRPr="007344EA">
        <w:t xml:space="preserve">m tikru atžvilgiu yra apribota. </w:t>
      </w:r>
      <w:r w:rsidR="006C4ACD" w:rsidRPr="007344EA">
        <w:t>Todėl n</w:t>
      </w:r>
      <w:r w:rsidR="00D72118" w:rsidRPr="007344EA">
        <w:t>orint sužinoti kokio pobūdžio sutartims taikoma Direktyva 93/13, pirmiausia</w:t>
      </w:r>
      <w:r w:rsidR="0021589F" w:rsidRPr="007344EA">
        <w:t xml:space="preserve"> reikia išsiaiškinti</w:t>
      </w:r>
      <w:r w:rsidR="00D72118" w:rsidRPr="007344EA">
        <w:t xml:space="preserve"> 1 str</w:t>
      </w:r>
      <w:r w:rsidR="00DF7649" w:rsidRPr="007344EA">
        <w:t>aipsnio</w:t>
      </w:r>
      <w:r w:rsidR="00D72118" w:rsidRPr="007344EA">
        <w:t xml:space="preserve"> 1 d</w:t>
      </w:r>
      <w:r w:rsidR="00DF7649" w:rsidRPr="007344EA">
        <w:t>alyje</w:t>
      </w:r>
      <w:r w:rsidR="00D72118" w:rsidRPr="007344EA">
        <w:t xml:space="preserve"> vartojamos frazės</w:t>
      </w:r>
      <w:r w:rsidR="00647F03" w:rsidRPr="007344EA">
        <w:t xml:space="preserve"> „</w:t>
      </w:r>
      <w:r w:rsidR="00D72118" w:rsidRPr="007344EA">
        <w:t>pardavėjo ar tiekėjo su vartotoju sudarytos sutartys</w:t>
      </w:r>
      <w:r w:rsidR="00647F03" w:rsidRPr="007344EA">
        <w:t>“ turinį</w:t>
      </w:r>
      <w:r w:rsidR="00B868EF" w:rsidRPr="007344EA">
        <w:t>.</w:t>
      </w:r>
      <w:r w:rsidR="00817C82" w:rsidRPr="007344EA">
        <w:t xml:space="preserve"> Analizuo</w:t>
      </w:r>
      <w:r w:rsidR="0000286D" w:rsidRPr="007344EA">
        <w:t>dami</w:t>
      </w:r>
      <w:r w:rsidR="00817C82" w:rsidRPr="007344EA">
        <w:t xml:space="preserve"> </w:t>
      </w:r>
      <w:r w:rsidR="00533DDA" w:rsidRPr="007344EA">
        <w:t xml:space="preserve">šią </w:t>
      </w:r>
      <w:r w:rsidR="00817C82" w:rsidRPr="007344EA">
        <w:t xml:space="preserve">sąvoką </w:t>
      </w:r>
      <w:r w:rsidR="00533DDA" w:rsidRPr="007344EA">
        <w:t xml:space="preserve">ją </w:t>
      </w:r>
      <w:r w:rsidR="00817C82" w:rsidRPr="007344EA">
        <w:t>savo ruoštu gali</w:t>
      </w:r>
      <w:r w:rsidR="00533DDA" w:rsidRPr="007344EA">
        <w:t>me išskirti į</w:t>
      </w:r>
      <w:r w:rsidR="00D72118" w:rsidRPr="007344EA">
        <w:t xml:space="preserve"> tris dalis: „</w:t>
      </w:r>
      <w:r w:rsidR="007A4436" w:rsidRPr="007344EA">
        <w:t>pardavėjo ar tiekėjo“, „</w:t>
      </w:r>
      <w:r w:rsidR="00817C82" w:rsidRPr="007344EA">
        <w:t>su vartotoju“</w:t>
      </w:r>
      <w:r w:rsidR="007A4436" w:rsidRPr="007344EA">
        <w:t xml:space="preserve"> ir „</w:t>
      </w:r>
      <w:r w:rsidR="00903AF0" w:rsidRPr="007344EA">
        <w:t xml:space="preserve">sudaryta </w:t>
      </w:r>
      <w:r w:rsidR="007A4436" w:rsidRPr="007344EA">
        <w:t>sutartis“</w:t>
      </w:r>
      <w:r w:rsidR="00D72118" w:rsidRPr="007344EA">
        <w:t>.</w:t>
      </w:r>
      <w:r w:rsidR="00817C82" w:rsidRPr="007344EA">
        <w:t xml:space="preserve"> Dalis „sudaryta su vartotoju“ jau išaiškinta šio magistro baigiamojo darbo dalyje, analizuojančioje Direktyvos 93/13 taikymo sritį </w:t>
      </w:r>
      <w:r w:rsidR="00817C82" w:rsidRPr="007344EA">
        <w:rPr>
          <w:i/>
        </w:rPr>
        <w:t>ratione personae</w:t>
      </w:r>
      <w:r w:rsidR="00817C82" w:rsidRPr="007344EA">
        <w:t xml:space="preserve"> aspektu.</w:t>
      </w:r>
      <w:r w:rsidR="00EB6CFB" w:rsidRPr="007344EA">
        <w:t xml:space="preserve"> Pardavėjo ar tiekėjo sąvoka, taip pat buvo aptarta </w:t>
      </w:r>
      <w:r w:rsidR="00EB6CFB" w:rsidRPr="007344EA">
        <w:rPr>
          <w:i/>
        </w:rPr>
        <w:t>ratione personae</w:t>
      </w:r>
      <w:r w:rsidR="00EB6CFB" w:rsidRPr="007344EA">
        <w:t xml:space="preserve"> taikymo atžvilgiu,</w:t>
      </w:r>
      <w:r w:rsidR="00817C82" w:rsidRPr="007344EA">
        <w:t xml:space="preserve"> </w:t>
      </w:r>
      <w:r w:rsidR="00EB6CFB" w:rsidRPr="007344EA">
        <w:t>t</w:t>
      </w:r>
      <w:r w:rsidR="004A7272" w:rsidRPr="007344EA">
        <w:t>ačiau</w:t>
      </w:r>
      <w:r w:rsidR="00EB6CFB" w:rsidRPr="007344EA">
        <w:t xml:space="preserve"> </w:t>
      </w:r>
      <w:r w:rsidR="00B704C8" w:rsidRPr="007344EA">
        <w:t xml:space="preserve">šis apibrėžimas </w:t>
      </w:r>
      <w:r w:rsidR="00DA1C12" w:rsidRPr="007344EA">
        <w:t xml:space="preserve">tam tikra prasme </w:t>
      </w:r>
      <w:r w:rsidR="004A7272" w:rsidRPr="007344EA">
        <w:t xml:space="preserve">gali </w:t>
      </w:r>
      <w:r w:rsidR="003A3EC3" w:rsidRPr="007344EA">
        <w:t>daryti įtaką</w:t>
      </w:r>
      <w:r w:rsidR="004A7272" w:rsidRPr="007344EA">
        <w:t xml:space="preserve"> ir Direktyvos 93/13 taikymo srities </w:t>
      </w:r>
      <w:r w:rsidR="004A7272" w:rsidRPr="007344EA">
        <w:rPr>
          <w:i/>
        </w:rPr>
        <w:t>ratione matriae</w:t>
      </w:r>
      <w:r w:rsidR="00DA1C12" w:rsidRPr="007344EA">
        <w:t xml:space="preserve"> atžvilgiu, o ypač aiškinant šią sąvoką kartu su D</w:t>
      </w:r>
      <w:r w:rsidR="003C2FB7" w:rsidRPr="007344EA">
        <w:t xml:space="preserve">irektyvos 93/13 preambulės 5 pastraipoje ir </w:t>
      </w:r>
      <w:r w:rsidR="00DF7649" w:rsidRPr="007344EA">
        <w:t>4 straipsnio</w:t>
      </w:r>
      <w:r w:rsidR="00A67A63" w:rsidRPr="007344EA">
        <w:t xml:space="preserve"> 1</w:t>
      </w:r>
      <w:r w:rsidR="00DF7649" w:rsidRPr="007344EA">
        <w:t xml:space="preserve"> dalyje</w:t>
      </w:r>
      <w:r w:rsidR="00A67A63" w:rsidRPr="007344EA">
        <w:t xml:space="preserve"> </w:t>
      </w:r>
      <w:r w:rsidR="009C080F" w:rsidRPr="007344EA">
        <w:t>e</w:t>
      </w:r>
      <w:r w:rsidR="00DF7649" w:rsidRPr="007344EA">
        <w:t>sančia sąvoka</w:t>
      </w:r>
      <w:r w:rsidR="003C2FB7" w:rsidRPr="007344EA">
        <w:t xml:space="preserve"> „prekės ir paslaugos“</w:t>
      </w:r>
      <w:r w:rsidR="00DA1C12" w:rsidRPr="007344EA">
        <w:t xml:space="preserve">. </w:t>
      </w:r>
      <w:r w:rsidR="00AC71CA" w:rsidRPr="007344EA">
        <w:t xml:space="preserve"> Tam tikrus </w:t>
      </w:r>
      <w:r w:rsidR="005248B8" w:rsidRPr="007344EA">
        <w:t>neaiškumus</w:t>
      </w:r>
      <w:r w:rsidR="00AC71CA" w:rsidRPr="007344EA">
        <w:t xml:space="preserve">, apibrėžiant Direktyvos 93/13 taikymo sritį </w:t>
      </w:r>
      <w:r w:rsidR="00AC71CA" w:rsidRPr="007344EA">
        <w:rPr>
          <w:i/>
        </w:rPr>
        <w:t>ratione materiae</w:t>
      </w:r>
      <w:r w:rsidR="00AC71CA" w:rsidRPr="007344EA">
        <w:t xml:space="preserve"> </w:t>
      </w:r>
      <w:r w:rsidR="00DF7649" w:rsidRPr="007344EA">
        <w:t>aspektu,</w:t>
      </w:r>
      <w:r w:rsidR="005248B8" w:rsidRPr="007344EA">
        <w:t xml:space="preserve"> kelia sąvoka</w:t>
      </w:r>
      <w:r w:rsidR="00224D1C" w:rsidRPr="007344EA">
        <w:t xml:space="preserve"> −</w:t>
      </w:r>
      <w:r w:rsidR="005248B8" w:rsidRPr="007344EA">
        <w:t xml:space="preserve"> „prekės“. </w:t>
      </w:r>
      <w:r w:rsidR="00931E9D" w:rsidRPr="007344EA">
        <w:t xml:space="preserve">Teisingumo Teismas prekių sąvoką pateikė </w:t>
      </w:r>
      <w:r w:rsidR="00931E9D" w:rsidRPr="007344EA">
        <w:rPr>
          <w:i/>
        </w:rPr>
        <w:t>Komisija prieš Italiją</w:t>
      </w:r>
      <w:r w:rsidR="00865E64" w:rsidRPr="007344EA">
        <w:rPr>
          <w:i/>
        </w:rPr>
        <w:t xml:space="preserve"> (meno vertybių byla)</w:t>
      </w:r>
      <w:r w:rsidR="00931E9D" w:rsidRPr="007344EA">
        <w:t xml:space="preserve"> byloje, kurioje prekes apibrėžė, kaip produktus, kurie gali būti įvertinami pinigais ir kurie gali būti prekybinių sandorių objektu.</w:t>
      </w:r>
      <w:r w:rsidR="00931E9D" w:rsidRPr="007344EA">
        <w:rPr>
          <w:rStyle w:val="FootnoteReference"/>
        </w:rPr>
        <w:footnoteReference w:id="201"/>
      </w:r>
      <w:r w:rsidR="00931E9D" w:rsidRPr="007344EA">
        <w:t xml:space="preserve"> </w:t>
      </w:r>
      <w:r w:rsidR="00C14868" w:rsidRPr="007344EA">
        <w:t xml:space="preserve">Suprantama, kad produktais </w:t>
      </w:r>
      <w:r w:rsidR="00C14868" w:rsidRPr="007344EA">
        <w:lastRenderedPageBreak/>
        <w:t>gali būti tik kilnojami objektai, todėl peršasi nuomonė, kad</w:t>
      </w:r>
      <w:r w:rsidR="003C2FB7" w:rsidRPr="007344EA">
        <w:t xml:space="preserve"> Direktyva</w:t>
      </w:r>
      <w:r w:rsidR="00C14868" w:rsidRPr="007344EA">
        <w:t xml:space="preserve"> 93/13</w:t>
      </w:r>
      <w:r w:rsidR="003C2FB7" w:rsidRPr="007344EA">
        <w:t xml:space="preserve"> nėra taikoma </w:t>
      </w:r>
      <w:r w:rsidR="001469CE" w:rsidRPr="007344EA">
        <w:t>sutartims, kurių objektas nekilnojamas turtas</w:t>
      </w:r>
      <w:r w:rsidR="003C2FB7" w:rsidRPr="007344EA">
        <w:t>. Direktyvos tekste anglu kalbine redakcija taip pat minimos prekių ir paslaugų sąvokos (</w:t>
      </w:r>
      <w:r w:rsidR="003C2FB7" w:rsidRPr="007344EA">
        <w:rPr>
          <w:i/>
        </w:rPr>
        <w:t>goods</w:t>
      </w:r>
      <w:r w:rsidR="003C2FB7" w:rsidRPr="007344EA">
        <w:rPr>
          <w:rStyle w:val="FootnoteReference"/>
          <w:i/>
        </w:rPr>
        <w:footnoteReference w:id="202"/>
      </w:r>
      <w:r w:rsidR="003C2FB7" w:rsidRPr="007344EA">
        <w:rPr>
          <w:i/>
        </w:rPr>
        <w:t xml:space="preserve"> and services</w:t>
      </w:r>
      <w:r w:rsidR="003A3EC3" w:rsidRPr="007344EA">
        <w:t>).</w:t>
      </w:r>
      <w:r w:rsidR="000E238F" w:rsidRPr="007344EA">
        <w:t xml:space="preserve"> </w:t>
      </w:r>
      <w:r w:rsidR="00691154" w:rsidRPr="007344EA">
        <w:t>Be kita ko naujosios vartotojų direktyvos projekto</w:t>
      </w:r>
      <w:r w:rsidR="00691154" w:rsidRPr="007344EA">
        <w:rPr>
          <w:rStyle w:val="FootnoteReference"/>
        </w:rPr>
        <w:footnoteReference w:id="203"/>
      </w:r>
      <w:r w:rsidR="00C17D70" w:rsidRPr="007344EA">
        <w:t>, kuriuo buvo norima reglamentuoti ir santykius susijusius su nesąžiningomis sąlygomis</w:t>
      </w:r>
      <w:r w:rsidR="00B868EF" w:rsidRPr="007344EA">
        <w:t xml:space="preserve">, </w:t>
      </w:r>
      <w:r w:rsidR="00691154" w:rsidRPr="007344EA">
        <w:t xml:space="preserve"> 3 straipsnio 4 dalyje prekė įvardijama kaip materialus kilnojamasis daiktas su tam tikromis išimtimis, tačiau šios išimtyse nėra </w:t>
      </w:r>
      <w:r w:rsidR="00691154" w:rsidRPr="007344EA">
        <w:rPr>
          <w:i/>
        </w:rPr>
        <w:t>expressis verbis</w:t>
      </w:r>
      <w:r w:rsidR="00691154" w:rsidRPr="007344EA">
        <w:t xml:space="preserve"> įtvirtinto nekilnojamojo daikto</w:t>
      </w:r>
      <w:r w:rsidR="00B9230B" w:rsidRPr="007344EA">
        <w:t>,</w:t>
      </w:r>
      <w:r w:rsidR="00691154" w:rsidRPr="007344EA">
        <w:t xml:space="preserve"> t.y. Sąjungos</w:t>
      </w:r>
      <w:r w:rsidR="00B9230B" w:rsidRPr="007344EA">
        <w:t xml:space="preserve"> teisės aktų leidėjas norėjęs priimti</w:t>
      </w:r>
      <w:r w:rsidR="00691154" w:rsidRPr="007344EA">
        <w:t xml:space="preserve"> naująją vartotojų teisių direktyvą</w:t>
      </w:r>
      <w:r w:rsidR="00B9230B" w:rsidRPr="007344EA">
        <w:t>, kuri reglamentuotų ir nesąžiningas sąlygas,</w:t>
      </w:r>
      <w:r w:rsidR="00FC3A6B" w:rsidRPr="007344EA">
        <w:t xml:space="preserve"> </w:t>
      </w:r>
      <w:r w:rsidR="004368D4" w:rsidRPr="007344EA">
        <w:t>prek</w:t>
      </w:r>
      <w:r w:rsidR="00D26C01" w:rsidRPr="007344EA">
        <w:t xml:space="preserve">e nelaiko nekilnojamojo daikto. Kaip jau minėta, šio magistro baigiamojo darbo dalyje, analizuojančioje kreipimusis į Teisingumo Teismą, byloje </w:t>
      </w:r>
      <w:r w:rsidR="00D26C01" w:rsidRPr="007344EA">
        <w:rPr>
          <w:i/>
        </w:rPr>
        <w:t>Freiburger</w:t>
      </w:r>
      <w:r w:rsidR="00D26C01" w:rsidRPr="007344EA">
        <w:t xml:space="preserve"> </w:t>
      </w:r>
      <w:r w:rsidR="00700EB7" w:rsidRPr="007344EA">
        <w:t>nacionalinis te</w:t>
      </w:r>
      <w:r w:rsidR="001E5A1E" w:rsidRPr="007344EA">
        <w:t>ismas kreipėsi į Teis</w:t>
      </w:r>
      <w:r w:rsidR="00700EB7" w:rsidRPr="007344EA">
        <w:t>ingumo Teismą su prašymu priimti prejudicinį sprendimą, pažymėtina, kad pagrindinėje byloje ginčas kilo dėl nekilnojamojo daikto pirkimo</w:t>
      </w:r>
      <w:r w:rsidR="00224D1C" w:rsidRPr="007344EA">
        <w:t xml:space="preserve"> −</w:t>
      </w:r>
      <w:r w:rsidR="00700EB7" w:rsidRPr="007344EA">
        <w:t xml:space="preserve"> pardavimo sutartyje galimai esančios nesąžiningos sąlygos. </w:t>
      </w:r>
      <w:r w:rsidR="006A7D67" w:rsidRPr="007344EA">
        <w:t>Iš vienos pusės</w:t>
      </w:r>
      <w:r w:rsidR="003C2FB7" w:rsidRPr="007344EA">
        <w:t xml:space="preserve"> būtų </w:t>
      </w:r>
      <w:r w:rsidR="00242EDB" w:rsidRPr="007344EA">
        <w:t xml:space="preserve">galima </w:t>
      </w:r>
      <w:r w:rsidR="003C2FB7" w:rsidRPr="007344EA">
        <w:t>teigti, kad Teising</w:t>
      </w:r>
      <w:r w:rsidR="002165C5" w:rsidRPr="007344EA">
        <w:t>umo Teismas</w:t>
      </w:r>
      <w:r w:rsidR="00325ECA" w:rsidRPr="007344EA">
        <w:t>, atsakydamas</w:t>
      </w:r>
      <w:r w:rsidR="00D42495" w:rsidRPr="007344EA">
        <w:t xml:space="preserve"> į nacionalinio teismo pateiktą prejudicinį klausimą</w:t>
      </w:r>
      <w:r w:rsidR="00325ECA" w:rsidRPr="007344EA">
        <w:t>,</w:t>
      </w:r>
      <w:r w:rsidR="00D42495" w:rsidRPr="007344EA">
        <w:t xml:space="preserve"> galimai</w:t>
      </w:r>
      <w:r w:rsidR="00325ECA" w:rsidRPr="007344EA">
        <w:t xml:space="preserve"> </w:t>
      </w:r>
      <w:r w:rsidR="002165C5" w:rsidRPr="007344EA">
        <w:t>išplėtė D</w:t>
      </w:r>
      <w:r w:rsidR="003C2FB7" w:rsidRPr="007344EA">
        <w:t>irektyvos</w:t>
      </w:r>
      <w:r w:rsidR="002165C5" w:rsidRPr="007344EA">
        <w:t xml:space="preserve"> 93/13</w:t>
      </w:r>
      <w:r w:rsidR="003C2FB7" w:rsidRPr="007344EA">
        <w:t xml:space="preserve"> sritį taikydamas jos nuostatas ir nekilnojamam </w:t>
      </w:r>
      <w:r w:rsidR="00D42495" w:rsidRPr="007344EA">
        <w:t>daiktu</w:t>
      </w:r>
      <w:r w:rsidR="003C2FB7" w:rsidRPr="007344EA">
        <w:t>i</w:t>
      </w:r>
      <w:r w:rsidR="006A7D67" w:rsidRPr="007344EA">
        <w:t>, o Sąjungos teisės aktų leidėjas</w:t>
      </w:r>
      <w:r w:rsidR="002165C5" w:rsidRPr="007344EA">
        <w:t xml:space="preserve"> </w:t>
      </w:r>
      <w:r w:rsidR="00A85D11" w:rsidRPr="007344EA">
        <w:t xml:space="preserve">vadovaudamasis ekonominiais </w:t>
      </w:r>
      <w:r w:rsidR="002165C5" w:rsidRPr="007344EA">
        <w:t>tiksl</w:t>
      </w:r>
      <w:r w:rsidR="00A85D11" w:rsidRPr="007344EA">
        <w:t>ais</w:t>
      </w:r>
      <w:r w:rsidR="002165C5" w:rsidRPr="007344EA">
        <w:t xml:space="preserve"> (p</w:t>
      </w:r>
      <w:r w:rsidR="00B9230B" w:rsidRPr="007344EA">
        <w:t>anaikinti kliūtis laisvam</w:t>
      </w:r>
      <w:r w:rsidR="002165C5" w:rsidRPr="007344EA">
        <w:t xml:space="preserve"> prekių ir paslaugų judėjim</w:t>
      </w:r>
      <w:r w:rsidR="00B9230B" w:rsidRPr="007344EA">
        <w:t>ui</w:t>
      </w:r>
      <w:r w:rsidR="002165C5" w:rsidRPr="007344EA">
        <w:t xml:space="preserve"> tarp valstybių narių)</w:t>
      </w:r>
      <w:r w:rsidR="00A85D11" w:rsidRPr="007344EA">
        <w:t>, nesiekė suteikti apsaugos vartotojams,</w:t>
      </w:r>
      <w:r w:rsidR="00B9230B" w:rsidRPr="007344EA">
        <w:t xml:space="preserve"> įsigyjantiems nekilnojamą</w:t>
      </w:r>
      <w:r w:rsidR="00A00B12" w:rsidRPr="007344EA">
        <w:t>jį</w:t>
      </w:r>
      <w:r w:rsidR="00B9230B" w:rsidRPr="007344EA">
        <w:t xml:space="preserve"> daiktą</w:t>
      </w:r>
      <w:r w:rsidR="00242EDB" w:rsidRPr="007344EA">
        <w:t>, kuris negali būti laisvo prekių judėjimo objektu.</w:t>
      </w:r>
      <w:r w:rsidR="00A85D11" w:rsidRPr="007344EA">
        <w:t xml:space="preserve"> </w:t>
      </w:r>
      <w:r w:rsidR="003C2FB7" w:rsidRPr="007344EA">
        <w:t>Tačiau kiek kitokia situacija susidaro skaitant Direktyvą</w:t>
      </w:r>
      <w:r w:rsidR="00242EDB" w:rsidRPr="007344EA">
        <w:t xml:space="preserve"> 93/13</w:t>
      </w:r>
      <w:r w:rsidR="003C2FB7" w:rsidRPr="007344EA">
        <w:t xml:space="preserve"> prancūzų kalbine redakcija, kurioje</w:t>
      </w:r>
      <w:r w:rsidR="001469CE" w:rsidRPr="007344EA">
        <w:t xml:space="preserve"> prekės įvardintos terminu </w:t>
      </w:r>
      <w:r w:rsidR="003C2FB7" w:rsidRPr="007344EA">
        <w:t>„</w:t>
      </w:r>
      <w:r w:rsidR="00D42495" w:rsidRPr="007344EA">
        <w:rPr>
          <w:i/>
        </w:rPr>
        <w:t>biens“</w:t>
      </w:r>
      <w:r w:rsidR="003C2FB7" w:rsidRPr="007344EA">
        <w:rPr>
          <w:rStyle w:val="FootnoteReference"/>
          <w:i/>
        </w:rPr>
        <w:footnoteReference w:id="204"/>
      </w:r>
      <w:r w:rsidR="003C2FB7" w:rsidRPr="007344EA">
        <w:t>, atitikmuo lietuvių kalboje</w:t>
      </w:r>
      <w:r w:rsidR="00224D1C" w:rsidRPr="007344EA">
        <w:t xml:space="preserve"> −</w:t>
      </w:r>
      <w:r w:rsidR="003C2FB7" w:rsidRPr="007344EA">
        <w:t xml:space="preserve"> turtas</w:t>
      </w:r>
      <w:r w:rsidR="001469CE" w:rsidRPr="007344EA">
        <w:t xml:space="preserve">, neišskiriant ar tai kilnojamas, ar nekilnojamas turtas. </w:t>
      </w:r>
      <w:r w:rsidR="00865E64" w:rsidRPr="007344EA">
        <w:t>Prof. I Vėgėlė pastebi ir tai, kad „kadangi Direktyva naudoja sąvokas „pardavėjas ir tiekėjas“, kai kurie teisininkai šią Direktyvą siūlė taikyti ti</w:t>
      </w:r>
      <w:r w:rsidR="003D2FBE" w:rsidRPr="007344EA">
        <w:t xml:space="preserve">k pirkimo ir tiekimo sutartims. </w:t>
      </w:r>
      <w:r w:rsidR="00865E64" w:rsidRPr="007344EA">
        <w:t>Toks aiškinimas nėra tinkamas. Sąvoka „pardavėjas“ ar „paslaugų teikėjas“ (atitinkami „prekės ir paslaugos“</w:t>
      </w:r>
      <w:r w:rsidR="00224D1C" w:rsidRPr="007344EA">
        <w:t xml:space="preserve"> −</w:t>
      </w:r>
      <w:r w:rsidR="00865E64" w:rsidRPr="007344EA">
        <w:t xml:space="preserve"> aut. past.) turi būti aiškinama plečiamai, įtraukiant ir kitokias nei paslaugų teikimo ar prekių ir paslaugų pirkimo</w:t>
      </w:r>
      <w:r w:rsidR="00224D1C" w:rsidRPr="007344EA">
        <w:t xml:space="preserve"> −</w:t>
      </w:r>
      <w:r w:rsidR="00865E64" w:rsidRPr="007344EA">
        <w:t xml:space="preserve"> pardavimo sutartis</w:t>
      </w:r>
      <w:r w:rsidR="00486E0C" w:rsidRPr="007344EA">
        <w:t>, pavyzdžiui vartojimo sutartis dėl nekilnojamo daikto pirkimo, net ir tuos atvejus, k</w:t>
      </w:r>
      <w:r w:rsidR="00325ECA" w:rsidRPr="007344EA">
        <w:t>a</w:t>
      </w:r>
      <w:r w:rsidR="00486E0C" w:rsidRPr="007344EA">
        <w:t>i vartotojas parduoda prekę pirkėjui, kuris perka ją su tikslu perparduoti ir pan.</w:t>
      </w:r>
      <w:r w:rsidR="00865E64" w:rsidRPr="007344EA">
        <w:t>“</w:t>
      </w:r>
      <w:r w:rsidR="00865E64" w:rsidRPr="007344EA">
        <w:rPr>
          <w:rStyle w:val="FootnoteReference"/>
        </w:rPr>
        <w:footnoteReference w:id="205"/>
      </w:r>
      <w:r w:rsidR="00865E64" w:rsidRPr="007344EA">
        <w:t xml:space="preserve"> </w:t>
      </w:r>
      <w:r w:rsidR="00A16B71" w:rsidRPr="007344EA">
        <w:t xml:space="preserve"> Lietuvos Aukščiausiajam </w:t>
      </w:r>
      <w:r w:rsidR="00A85D11" w:rsidRPr="007344EA">
        <w:t xml:space="preserve">teismui taip pat kilo abejonių ar vartojimo sutarties objektu gali būti nekilnojamas </w:t>
      </w:r>
      <w:r w:rsidR="00C93138" w:rsidRPr="007344EA">
        <w:t xml:space="preserve">daiktas. </w:t>
      </w:r>
      <w:r w:rsidR="00206B85" w:rsidRPr="007344EA">
        <w:rPr>
          <w:bCs/>
        </w:rPr>
        <w:t>„</w:t>
      </w:r>
      <w:r w:rsidR="00206B85" w:rsidRPr="007344EA">
        <w:rPr>
          <w:bCs/>
          <w:i/>
        </w:rPr>
        <w:t xml:space="preserve">L.K. prieš SEB </w:t>
      </w:r>
      <w:r w:rsidR="00206B85" w:rsidRPr="007344EA">
        <w:rPr>
          <w:bCs/>
          <w:i/>
        </w:rPr>
        <w:lastRenderedPageBreak/>
        <w:t>bankas</w:t>
      </w:r>
      <w:r w:rsidR="00206B85" w:rsidRPr="007344EA">
        <w:rPr>
          <w:bCs/>
        </w:rPr>
        <w:t>“</w:t>
      </w:r>
      <w:r w:rsidR="0002211D" w:rsidRPr="007344EA">
        <w:rPr>
          <w:rFonts w:asciiTheme="minorHAnsi" w:eastAsiaTheme="minorEastAsia" w:hAnsiTheme="minorHAnsi" w:cstheme="minorBidi"/>
          <w:bCs/>
          <w:color w:val="auto"/>
        </w:rPr>
        <w:t xml:space="preserve"> </w:t>
      </w:r>
      <w:r w:rsidR="0002211D" w:rsidRPr="007344EA">
        <w:rPr>
          <w:bCs/>
          <w:i/>
          <w:lang w:val="en-US"/>
        </w:rPr>
        <w:t>3-K-156/2007</w:t>
      </w:r>
      <w:r w:rsidR="00206B85" w:rsidRPr="007344EA">
        <w:rPr>
          <w:rStyle w:val="FootnoteReference"/>
          <w:bCs/>
        </w:rPr>
        <w:footnoteReference w:id="206"/>
      </w:r>
      <w:r w:rsidR="00206B85" w:rsidRPr="007344EA">
        <w:rPr>
          <w:bCs/>
        </w:rPr>
        <w:t xml:space="preserve"> </w:t>
      </w:r>
      <w:r w:rsidR="00C93138" w:rsidRPr="007344EA">
        <w:t>Aukščiausiasis Teismas pri</w:t>
      </w:r>
      <w:r w:rsidR="00C94A6B" w:rsidRPr="007344EA">
        <w:t>p</w:t>
      </w:r>
      <w:r w:rsidR="00C93138" w:rsidRPr="007344EA">
        <w:t xml:space="preserve">ažino, kad vartojimo sutarties objektu negali būti </w:t>
      </w:r>
      <w:r w:rsidR="00A00B12" w:rsidRPr="007344EA">
        <w:t>ne</w:t>
      </w:r>
      <w:r w:rsidR="00C93138" w:rsidRPr="007344EA">
        <w:t>ki</w:t>
      </w:r>
      <w:r w:rsidR="00A00B12" w:rsidRPr="007344EA">
        <w:t>ln</w:t>
      </w:r>
      <w:r w:rsidR="00C93138" w:rsidRPr="007344EA">
        <w:t xml:space="preserve">ojamasis </w:t>
      </w:r>
      <w:r w:rsidR="00A00B12" w:rsidRPr="007344EA">
        <w:t>daiktas</w:t>
      </w:r>
      <w:r w:rsidR="00C93138" w:rsidRPr="007344EA">
        <w:t xml:space="preserve">. Nors ir šio magistro baigiamojo darbo tema neapima nacionalinių teismų jurisprudencijos </w:t>
      </w:r>
      <w:r w:rsidR="00C94A6B" w:rsidRPr="007344EA">
        <w:t>analizės</w:t>
      </w:r>
      <w:r w:rsidR="00C93138" w:rsidRPr="007344EA">
        <w:t xml:space="preserve"> ir apsiriboja vien tik Teisingumo Teismo praktika, tačiau vertėtų kiek plačiau aptarti LAT motyvus, tiek, kiek tai susiję su Direktyvos </w:t>
      </w:r>
      <w:r w:rsidR="005248B8" w:rsidRPr="007344EA">
        <w:t xml:space="preserve">93/13 nuostatų </w:t>
      </w:r>
      <w:r w:rsidR="00C93138" w:rsidRPr="007344EA">
        <w:t>aiškinimu.</w:t>
      </w:r>
      <w:r w:rsidR="002130B3" w:rsidRPr="007344EA">
        <w:t xml:space="preserve"> Aukščiausiasis Teismas savo sprendimą argumentavo taip:</w:t>
      </w:r>
      <w:r w:rsidR="00C77655" w:rsidRPr="007344EA">
        <w:t xml:space="preserve"> </w:t>
      </w:r>
      <w:r w:rsidR="00F711C0" w:rsidRPr="007344EA">
        <w:t>„</w:t>
      </w:r>
      <w:r w:rsidR="00F711C0" w:rsidRPr="007344EA">
        <w:rPr>
          <w:i/>
        </w:rPr>
        <w:t>CK 1.39 straipsnio 1 dalyje įtvirtintas vartojimo sutarties apibrėžimas, pagal kurį šios sutarties objektas yra prekės ar paslaugos</w:t>
      </w:r>
      <w:r w:rsidR="00F711C0" w:rsidRPr="007344EA">
        <w:t xml:space="preserve">. &lt;...&gt; </w:t>
      </w:r>
      <w:r w:rsidR="00F711C0" w:rsidRPr="007344EA">
        <w:rPr>
          <w:i/>
        </w:rPr>
        <w:t>CK 6.350 straipsnyje imperatyviai nustatyta, kad vartojimo pirkimo–pardavimo sutarties objektas yra prekė – kilnojamasis daiktas</w:t>
      </w:r>
      <w:r w:rsidR="00F711C0" w:rsidRPr="007344EA">
        <w:t xml:space="preserve">. </w:t>
      </w:r>
      <w:r w:rsidR="00F711C0" w:rsidRPr="007344EA">
        <w:rPr>
          <w:i/>
        </w:rPr>
        <w:t>Nekilnojamojo daikto pirkimo–pardavimo sutartys reglamentuojamos CK šeštosios knygos IV dalies XXIII skyriaus aštuntajame skirsnyje (CK 6.392–6.401 straipsniai).</w:t>
      </w:r>
      <w:r w:rsidR="00F711C0" w:rsidRPr="007344EA">
        <w:t xml:space="preserve"> &lt;..&gt; </w:t>
      </w:r>
      <w:r w:rsidR="00F711C0" w:rsidRPr="007344EA">
        <w:rPr>
          <w:i/>
        </w:rPr>
        <w:t>Taigi sistemiškai aiškinant CK 1.39 straipsnio 1 dalį, 6.350 straipsnio 1 dalį ir 6.392–6.401 straipsnius, darytina išvada, kad įstatyme nepriskirta nekilnojamojo daikto pirkimo–pardavimo sutarties prie vartojimo sutarčių kategorijos, atsižvelgiant į sutarties objektą, ir tai nustatyta imperatyviojoje teisės normoje. 1993 m. balandžio 5 d. Tarybos direktyvos 93/13/EBB dėl nesąžiningų sąlygų sutartyse su vartotojais 1 straipsnio 2 dalyje nustatyta, kad  sutarčių sąlygoms, atspindinčioms įstatymų ar kitų teisės aktų privalomąsias nuostatas ir tarptautinių konvencijų, prie kurių yra prisijungusios valstybės narės ar Bendrija, nuostatas ar principus, ypač transporto srityje, šios direktyvos nuostatos nėra taikomos. Kadangi ginčijamoje sutartyje šalys tarėsi dėl nekilnojamojo daikto, kuris, kaip būsimos pagrindinės sutarties sąlyga, atspindi privalomąją CK 6.350 straipsnio 1 dalies nuostatą, kad vartojimo pirkimo–pardavimo sutarties objektas gali būti tik kilnojamasis daiktas, tai negalima remtis Tarybos direktyvos 93/13/EBB dėl nesąžiningų sąlygų sutartyse su vartotojais preambule, kurioje neišskirtas nekilnojamasis daiktas iš vartojimo sutartimi galimų įsigyti daiktų. Dėl nurodytų priežasčių konstatuotina, kad nagrinėjamoje byloje šalių ginčas kilo ne iš vartojimo pirkimo–pardavimo sutarties</w:t>
      </w:r>
      <w:r w:rsidR="00F711C0" w:rsidRPr="007344EA">
        <w:t xml:space="preserve">“. </w:t>
      </w:r>
      <w:r w:rsidR="00C94A6B" w:rsidRPr="007344EA">
        <w:t xml:space="preserve">Tokia </w:t>
      </w:r>
      <w:r w:rsidR="00F711C0" w:rsidRPr="007344EA">
        <w:t xml:space="preserve">Aukščiausiojo Teismo </w:t>
      </w:r>
      <w:r w:rsidR="00C94A6B" w:rsidRPr="007344EA">
        <w:t>argumentacija ganėtinai įdomi, iš esmė</w:t>
      </w:r>
      <w:r w:rsidR="005248B8" w:rsidRPr="007344EA">
        <w:t>s</w:t>
      </w:r>
      <w:r w:rsidR="00C94A6B" w:rsidRPr="007344EA">
        <w:t xml:space="preserve"> teismas teigia, kadangi nacionalinės teisės norma, numatanti tai, kad vartojimo sutarties objektu gali būti tik kilnojami daiktai, yra imperatyvi, todėl negalima remtis Sąjung</w:t>
      </w:r>
      <w:r w:rsidR="0043362B" w:rsidRPr="007344EA">
        <w:t xml:space="preserve">os teisės suteikiama apsauga. </w:t>
      </w:r>
      <w:r w:rsidR="00314961" w:rsidRPr="007344EA">
        <w:t>Kitose sprendimuose</w:t>
      </w:r>
      <w:r w:rsidR="0043362B" w:rsidRPr="007344EA">
        <w:t xml:space="preserve"> Aukščiausiasis Teismas pa</w:t>
      </w:r>
      <w:r w:rsidR="00314961" w:rsidRPr="007344EA">
        <w:t>teikė kitokią</w:t>
      </w:r>
      <w:r w:rsidR="0043362B" w:rsidRPr="007344EA">
        <w:t xml:space="preserve"> pozicija, pripažindamas vartojimo sutarties objektu ir </w:t>
      </w:r>
      <w:r w:rsidR="00314961" w:rsidRPr="007344EA">
        <w:t>nekilnojamuosius</w:t>
      </w:r>
      <w:r w:rsidR="0043362B" w:rsidRPr="007344EA">
        <w:t xml:space="preserve"> daiktus</w:t>
      </w:r>
      <w:r w:rsidR="00206B85" w:rsidRPr="007344EA">
        <w:t xml:space="preserve"> bylose </w:t>
      </w:r>
      <w:r w:rsidR="00832B44" w:rsidRPr="007344EA">
        <w:rPr>
          <w:i/>
        </w:rPr>
        <w:t>„Ginta ir  partneriai“</w:t>
      </w:r>
      <w:r w:rsidR="000C6220" w:rsidRPr="007344EA">
        <w:t xml:space="preserve"> </w:t>
      </w:r>
      <w:r w:rsidR="000C6220" w:rsidRPr="007344EA">
        <w:rPr>
          <w:i/>
        </w:rPr>
        <w:t>3K-3-72/2007</w:t>
      </w:r>
      <w:r w:rsidR="00F23E44" w:rsidRPr="007344EA">
        <w:rPr>
          <w:rStyle w:val="FootnoteReference"/>
          <w:i/>
        </w:rPr>
        <w:footnoteReference w:id="207"/>
      </w:r>
      <w:r w:rsidR="00206B85" w:rsidRPr="007344EA">
        <w:t xml:space="preserve"> ir </w:t>
      </w:r>
      <w:r w:rsidR="00C80B33" w:rsidRPr="007344EA">
        <w:rPr>
          <w:bCs/>
          <w:i/>
        </w:rPr>
        <w:t>UAB „Alsva“</w:t>
      </w:r>
      <w:r w:rsidR="000C6220" w:rsidRPr="007344EA">
        <w:rPr>
          <w:bCs/>
        </w:rPr>
        <w:t xml:space="preserve"> </w:t>
      </w:r>
      <w:r w:rsidR="000C6220" w:rsidRPr="007344EA">
        <w:rPr>
          <w:bCs/>
          <w:i/>
        </w:rPr>
        <w:t xml:space="preserve">3K-3-608/2008 </w:t>
      </w:r>
      <w:r w:rsidR="00C80B33" w:rsidRPr="007344EA">
        <w:rPr>
          <w:rStyle w:val="FootnoteReference"/>
          <w:bCs/>
          <w:i/>
        </w:rPr>
        <w:footnoteReference w:id="208"/>
      </w:r>
      <w:r w:rsidR="00607BEE" w:rsidRPr="007344EA">
        <w:rPr>
          <w:bCs/>
        </w:rPr>
        <w:t xml:space="preserve">. </w:t>
      </w:r>
      <w:r w:rsidR="00206B85" w:rsidRPr="007344EA">
        <w:t xml:space="preserve">Vartotojų teisių </w:t>
      </w:r>
      <w:r w:rsidR="00206B85" w:rsidRPr="007344EA">
        <w:lastRenderedPageBreak/>
        <w:t>kompendiume</w:t>
      </w:r>
      <w:r w:rsidR="001337DC" w:rsidRPr="007344EA">
        <w:rPr>
          <w:rStyle w:val="FootnoteReference"/>
        </w:rPr>
        <w:footnoteReference w:id="209"/>
      </w:r>
      <w:r w:rsidR="00206B85" w:rsidRPr="007344EA">
        <w:t xml:space="preserve"> </w:t>
      </w:r>
      <w:r w:rsidR="00512C2F" w:rsidRPr="007344EA">
        <w:t>sutartys, kurių objektas yra nekilnojamasis daiktas, priskiriamos prie sutarčių, kurioms nėra taikomos Direktyvos 93/13 nuostatos.</w:t>
      </w:r>
      <w:r w:rsidR="00ED791F" w:rsidRPr="007344EA">
        <w:t xml:space="preserve"> </w:t>
      </w:r>
      <w:r w:rsidR="00512C2F" w:rsidRPr="007344EA">
        <w:t xml:space="preserve"> </w:t>
      </w:r>
      <w:r w:rsidR="00ED791F" w:rsidRPr="007344EA">
        <w:rPr>
          <w:i/>
        </w:rPr>
        <w:t>Inter alia</w:t>
      </w:r>
      <w:r w:rsidR="00ED791F" w:rsidRPr="007344EA">
        <w:t xml:space="preserve">, pateikimas pavyzdys,  kad pagal Jungtinės Karalystės teismų praktiką vartotojams Direktyva 93/13 suteikiama apsauga ir kai sutartis yra sudaryta, dėl nekilnojamojo daikto. Tuo tarpu Rumunijoje ir Belgijoje vartojimo sutarčių objektu </w:t>
      </w:r>
      <w:r w:rsidR="00ED791F" w:rsidRPr="007344EA">
        <w:rPr>
          <w:i/>
        </w:rPr>
        <w:t>expressis verbis</w:t>
      </w:r>
      <w:r w:rsidR="00ED791F" w:rsidRPr="007344EA">
        <w:t xml:space="preserve"> yra įtvirtinti ir nekilnojami daiktai. </w:t>
      </w:r>
      <w:r w:rsidR="006C4E71" w:rsidRPr="007344EA">
        <w:t xml:space="preserve"> </w:t>
      </w:r>
    </w:p>
    <w:p w:rsidR="009C080F" w:rsidRPr="007344EA" w:rsidRDefault="006C4E71" w:rsidP="006E00E1">
      <w:pPr>
        <w:pStyle w:val="Default"/>
        <w:spacing w:line="360" w:lineRule="auto"/>
        <w:ind w:firstLine="1296"/>
        <w:jc w:val="both"/>
      </w:pPr>
      <w:r w:rsidRPr="007344EA">
        <w:t>Iš Direktyvos 93/13 teksto (lietuvių ir anglų kalbinėmis redakcijos) galima spęsti, kad Sąjungos teisės aktų leidėjas nesiekė suteikti apsaugos vartot</w:t>
      </w:r>
      <w:r w:rsidR="00FA17EC" w:rsidRPr="007344EA">
        <w:t xml:space="preserve">ojams įsigyjantiems nekilnojamąjį daiktą. </w:t>
      </w:r>
      <w:r w:rsidR="002B042F" w:rsidRPr="007344EA">
        <w:t>Ir tai būtų suprantama, kadangi</w:t>
      </w:r>
      <w:r w:rsidR="00FA17EC" w:rsidRPr="007344EA">
        <w:t xml:space="preserve"> Europos Sąjunga kūrėsi siekdama ekonominių tikslų,</w:t>
      </w:r>
      <w:r w:rsidR="002B042F" w:rsidRPr="007344EA">
        <w:t xml:space="preserve"> </w:t>
      </w:r>
      <w:r w:rsidR="00FA17EC" w:rsidRPr="007344EA">
        <w:t>vienas iš pagrindinių Sąjungos ekonominių interesų</w:t>
      </w:r>
      <w:r w:rsidR="00224D1C" w:rsidRPr="007344EA">
        <w:t xml:space="preserve"> −</w:t>
      </w:r>
      <w:r w:rsidR="00D42495" w:rsidRPr="007344EA">
        <w:t xml:space="preserve"> </w:t>
      </w:r>
      <w:r w:rsidR="002B042F" w:rsidRPr="007344EA">
        <w:t xml:space="preserve">kliūčių laisvam prekių ir paslaugų judėjimui panaikinimas, o nekilnojamasis daiktas vargu ar </w:t>
      </w:r>
      <w:r w:rsidR="00FA17EC" w:rsidRPr="007344EA">
        <w:t>gali būti</w:t>
      </w:r>
      <w:r w:rsidR="002B042F" w:rsidRPr="007344EA">
        <w:t xml:space="preserve"> minėtosios teisės objektu. </w:t>
      </w:r>
      <w:r w:rsidRPr="007344EA">
        <w:t>Tačiau dėl minimalaus Direktyvos</w:t>
      </w:r>
      <w:r w:rsidR="00820EDA" w:rsidRPr="007344EA">
        <w:t xml:space="preserve"> 93/13</w:t>
      </w:r>
      <w:r w:rsidRPr="007344EA">
        <w:t xml:space="preserve"> suderinamumo valstybės narės yra laisvos nusistatyti tokį reguliavimą, kuris leistų tikrinti sąlygų </w:t>
      </w:r>
      <w:r w:rsidR="00C40A16" w:rsidRPr="007344EA">
        <w:t xml:space="preserve">nesąžiningumą, net ir tose sutartyse, kurių objektas yra nekilnojamas turtas </w:t>
      </w:r>
      <w:r w:rsidR="00C40A16" w:rsidRPr="007344EA">
        <w:rPr>
          <w:i/>
        </w:rPr>
        <w:t>inter alia</w:t>
      </w:r>
      <w:r w:rsidR="00C40A16" w:rsidRPr="007344EA">
        <w:t xml:space="preserve">, Teisingumo Teismas nagrinėdamas bylą </w:t>
      </w:r>
      <w:r w:rsidR="00C40A16" w:rsidRPr="007344EA">
        <w:rPr>
          <w:i/>
        </w:rPr>
        <w:t>Freiburger</w:t>
      </w:r>
      <w:r w:rsidR="00C40A16" w:rsidRPr="007344EA">
        <w:t xml:space="preserve"> </w:t>
      </w:r>
      <w:r w:rsidR="00670A8B" w:rsidRPr="007344EA">
        <w:t>nieko neužsiminė</w:t>
      </w:r>
      <w:r w:rsidR="005277B7" w:rsidRPr="007344EA">
        <w:t xml:space="preserve"> apie tai, kad Direktyva</w:t>
      </w:r>
      <w:r w:rsidR="005E0522" w:rsidRPr="007344EA">
        <w:t xml:space="preserve"> 93/13</w:t>
      </w:r>
      <w:r w:rsidR="005277B7" w:rsidRPr="007344EA">
        <w:t xml:space="preserve"> gali būt</w:t>
      </w:r>
      <w:r w:rsidR="005E0522" w:rsidRPr="007344EA">
        <w:t>i</w:t>
      </w:r>
      <w:r w:rsidR="005277B7" w:rsidRPr="007344EA">
        <w:t xml:space="preserve"> netaikoma sutartims, kurių objektas yra nekilnojamas daiktas</w:t>
      </w:r>
      <w:r w:rsidR="00820EDA" w:rsidRPr="007344EA">
        <w:t xml:space="preserve">, taip pat tokios abejonės neišreiškė ir Generalinis advokatas </w:t>
      </w:r>
      <w:r w:rsidR="00224D1C" w:rsidRPr="007344EA">
        <w:t xml:space="preserve">L. </w:t>
      </w:r>
      <w:r w:rsidR="00820EDA" w:rsidRPr="007344EA">
        <w:t>Geelhoed.</w:t>
      </w:r>
      <w:r w:rsidR="005277B7" w:rsidRPr="007344EA">
        <w:t xml:space="preserve"> </w:t>
      </w:r>
      <w:r w:rsidR="005E0522" w:rsidRPr="007344EA">
        <w:t xml:space="preserve"> </w:t>
      </w:r>
      <w:r w:rsidR="00D42495" w:rsidRPr="007344EA">
        <w:t>Tačiau iš</w:t>
      </w:r>
      <w:r w:rsidR="005277B7" w:rsidRPr="007344EA">
        <w:t xml:space="preserve"> byloje </w:t>
      </w:r>
      <w:r w:rsidR="005277B7" w:rsidRPr="007344EA">
        <w:rPr>
          <w:i/>
        </w:rPr>
        <w:t>Freiburger</w:t>
      </w:r>
      <w:r w:rsidR="005277B7" w:rsidRPr="007344EA">
        <w:t xml:space="preserve"> </w:t>
      </w:r>
      <w:r w:rsidR="00FC166E" w:rsidRPr="007344EA">
        <w:t xml:space="preserve">pateiktų aplinkybių </w:t>
      </w:r>
      <w:r w:rsidR="005277B7" w:rsidRPr="007344EA">
        <w:t xml:space="preserve">bei </w:t>
      </w:r>
      <w:r w:rsidR="00DF7649" w:rsidRPr="007344EA">
        <w:t>Lietuvos Aukščiausiojo Teismo</w:t>
      </w:r>
      <w:r w:rsidR="005277B7" w:rsidRPr="007344EA">
        <w:t xml:space="preserve"> praktikos nėra visiškai aišku ar vartojimo sutartimis buvo pripažįstamos nekil</w:t>
      </w:r>
      <w:r w:rsidR="00FC166E" w:rsidRPr="007344EA">
        <w:t>nojam</w:t>
      </w:r>
      <w:r w:rsidR="005E0522" w:rsidRPr="007344EA">
        <w:t>ojo daikto</w:t>
      </w:r>
      <w:r w:rsidR="00FC166E" w:rsidRPr="007344EA">
        <w:t xml:space="preserve"> </w:t>
      </w:r>
      <w:r w:rsidR="005E0522" w:rsidRPr="007344EA">
        <w:t>pirkimo</w:t>
      </w:r>
      <w:r w:rsidR="00224D1C" w:rsidRPr="007344EA">
        <w:t xml:space="preserve"> − </w:t>
      </w:r>
      <w:r w:rsidR="00FC166E" w:rsidRPr="007344EA">
        <w:t>pardavimo sutartys</w:t>
      </w:r>
      <w:r w:rsidR="005277B7" w:rsidRPr="007344EA">
        <w:t xml:space="preserve">, kurių objektas yra </w:t>
      </w:r>
      <w:r w:rsidR="005E0522" w:rsidRPr="007344EA">
        <w:t>pats nekilnojamasis daiktas</w:t>
      </w:r>
      <w:r w:rsidR="005277B7" w:rsidRPr="007344EA">
        <w:t>, ar pr</w:t>
      </w:r>
      <w:r w:rsidR="005E0522" w:rsidRPr="007344EA">
        <w:t>eliminariosios nekilnojamojo daikto</w:t>
      </w:r>
      <w:r w:rsidR="005277B7" w:rsidRPr="007344EA">
        <w:t xml:space="preserve"> pirkimo</w:t>
      </w:r>
      <w:r w:rsidR="00224D1C" w:rsidRPr="007344EA">
        <w:t xml:space="preserve"> −</w:t>
      </w:r>
      <w:r w:rsidR="005E0522" w:rsidRPr="007344EA">
        <w:t xml:space="preserve"> pardavimo</w:t>
      </w:r>
      <w:r w:rsidR="005277B7" w:rsidRPr="007344EA">
        <w:t xml:space="preserve"> sutartys, kurių objektas yra </w:t>
      </w:r>
      <w:r w:rsidR="00FC166E" w:rsidRPr="007344EA">
        <w:t xml:space="preserve">pagrindinės </w:t>
      </w:r>
      <w:r w:rsidR="005277B7" w:rsidRPr="007344EA">
        <w:t xml:space="preserve">sutarties sudarymas. </w:t>
      </w:r>
      <w:r w:rsidR="006630B3" w:rsidRPr="007344EA">
        <w:t>A</w:t>
      </w:r>
      <w:r w:rsidR="00713F98" w:rsidRPr="007344EA">
        <w:t xml:space="preserve">tsižvelgiant ir į tai, kad Direktyva 93/13 yra </w:t>
      </w:r>
      <w:r w:rsidR="006630B3" w:rsidRPr="007344EA">
        <w:t>minimalaus suderinamumo,</w:t>
      </w:r>
      <w:r w:rsidR="00DF7649" w:rsidRPr="007344EA">
        <w:t xml:space="preserve"> </w:t>
      </w:r>
      <w:r w:rsidR="006630B3" w:rsidRPr="007344EA">
        <w:t>teigtin</w:t>
      </w:r>
      <w:r w:rsidR="00713F98" w:rsidRPr="007344EA">
        <w:t xml:space="preserve">a, kad jos nuostatos </w:t>
      </w:r>
      <w:r w:rsidR="00FA17EC" w:rsidRPr="007344EA">
        <w:t>ned</w:t>
      </w:r>
      <w:r w:rsidR="006630B3" w:rsidRPr="007344EA">
        <w:t>rau</w:t>
      </w:r>
      <w:r w:rsidR="00713F98" w:rsidRPr="007344EA">
        <w:t>džia valstybėm</w:t>
      </w:r>
      <w:r w:rsidR="00FA17EC" w:rsidRPr="007344EA">
        <w:t>s narėms nekilnojamojo daikto</w:t>
      </w:r>
      <w:r w:rsidR="00713F98" w:rsidRPr="007344EA">
        <w:t xml:space="preserve"> laikyti preke, </w:t>
      </w:r>
      <w:r w:rsidR="005E0522" w:rsidRPr="007344EA">
        <w:t xml:space="preserve">Direktyvos 93/13 prasme, jei tik </w:t>
      </w:r>
      <w:r w:rsidR="00CE2211" w:rsidRPr="007344EA">
        <w:t>tuo pasieki</w:t>
      </w:r>
      <w:r w:rsidR="00A00B12" w:rsidRPr="007344EA">
        <w:t>a</w:t>
      </w:r>
      <w:r w:rsidR="00CE2211" w:rsidRPr="007344EA">
        <w:t>mas aukštesnis vartotojų apsaugos lygis.</w:t>
      </w:r>
      <w:r w:rsidR="00F74381" w:rsidRPr="007344EA">
        <w:t xml:space="preserve"> </w:t>
      </w:r>
      <w:r w:rsidR="006630B3" w:rsidRPr="007344EA">
        <w:t>Tačiau lieka neaišku ar Direktyva 93/13 numatytas teisinis reguliavimas įpareigoja valstybes nares suteikti vartotojams apsaugą nuo nesąžiningų sąlygų tuo atveju, kai jie įsigyja nekilno</w:t>
      </w:r>
      <w:r w:rsidR="00FA17EC" w:rsidRPr="007344EA">
        <w:t>jamąjį daiktą</w:t>
      </w:r>
      <w:r w:rsidR="006630B3" w:rsidRPr="007344EA">
        <w:t>. Tai</w:t>
      </w:r>
      <w:r w:rsidR="00CE2211" w:rsidRPr="007344EA">
        <w:t>,</w:t>
      </w:r>
      <w:r w:rsidR="006630B3" w:rsidRPr="007344EA">
        <w:t xml:space="preserve"> kad tokio įpareigojimo valstybėms narėms nėra</w:t>
      </w:r>
      <w:r w:rsidR="000665FA" w:rsidRPr="007344EA">
        <w:t>,</w:t>
      </w:r>
      <w:r w:rsidR="006630B3" w:rsidRPr="007344EA">
        <w:t xml:space="preserve"> galima būtų spręsti iš to, kad  Direktyvoje 93/1</w:t>
      </w:r>
      <w:r w:rsidR="000665FA" w:rsidRPr="007344EA">
        <w:t>3 lietuvių kalbine redakcija vartojam</w:t>
      </w:r>
      <w:r w:rsidR="00775C6F" w:rsidRPr="007344EA">
        <w:t>a</w:t>
      </w:r>
      <w:r w:rsidR="000665FA" w:rsidRPr="007344EA">
        <w:t xml:space="preserve"> sąvoka „</w:t>
      </w:r>
      <w:r w:rsidR="000665FA" w:rsidRPr="007344EA">
        <w:rPr>
          <w:i/>
        </w:rPr>
        <w:t>prekės</w:t>
      </w:r>
      <w:r w:rsidR="000665FA" w:rsidRPr="007344EA">
        <w:t>“, anglų kalbine redakcija</w:t>
      </w:r>
      <w:r w:rsidR="00775C6F" w:rsidRPr="007344EA">
        <w:t xml:space="preserve"> −</w:t>
      </w:r>
      <w:r w:rsidR="000665FA" w:rsidRPr="007344EA">
        <w:t xml:space="preserve"> „</w:t>
      </w:r>
      <w:r w:rsidR="000665FA" w:rsidRPr="007344EA">
        <w:rPr>
          <w:i/>
        </w:rPr>
        <w:t>goods</w:t>
      </w:r>
      <w:r w:rsidR="000665FA" w:rsidRPr="007344EA">
        <w:t>“ taip pat ir vidaus rinkos sukūrimo tikslo, kuris suponuoją laisv</w:t>
      </w:r>
      <w:r w:rsidR="005A1B7D" w:rsidRPr="007344EA">
        <w:t>o</w:t>
      </w:r>
      <w:r w:rsidR="000665FA" w:rsidRPr="007344EA">
        <w:t xml:space="preserve"> prekių judėjimo apribojimų panaikinimą, kurio objektu gali bū</w:t>
      </w:r>
      <w:r w:rsidR="00FA17EC" w:rsidRPr="007344EA">
        <w:t xml:space="preserve">ti tik nekilnojamieji daiktai. </w:t>
      </w:r>
      <w:r w:rsidR="000665FA" w:rsidRPr="007344EA">
        <w:t xml:space="preserve">Tai, kad </w:t>
      </w:r>
      <w:r w:rsidR="005A1B7D" w:rsidRPr="007344EA">
        <w:t xml:space="preserve">Direktyva 93/13 vartotojams yra suteikiama apsauga nuo nesąžiningų sąlygų, įsigyjant nekilnojamuosius daiktus, galima </w:t>
      </w:r>
      <w:r w:rsidR="00CE2211" w:rsidRPr="007344EA">
        <w:t>manyti</w:t>
      </w:r>
      <w:r w:rsidR="005A1B7D" w:rsidRPr="007344EA">
        <w:t xml:space="preserve"> iš Direktyvoje 93/13 prancūzų kalbine redakcija </w:t>
      </w:r>
      <w:r w:rsidR="0040214E" w:rsidRPr="007344EA">
        <w:t>vartojamos sąvokos „</w:t>
      </w:r>
      <w:r w:rsidR="0040214E" w:rsidRPr="007344EA">
        <w:rPr>
          <w:i/>
        </w:rPr>
        <w:t>biens</w:t>
      </w:r>
      <w:r w:rsidR="0040214E" w:rsidRPr="007344EA">
        <w:t xml:space="preserve">“, kuri neišskiria kilnojamųjų ar nekilnojamų daiktų, taip pat iš Teisingumo Teismo sprendimo, priimto byloje </w:t>
      </w:r>
      <w:r w:rsidR="0040214E" w:rsidRPr="007344EA">
        <w:rPr>
          <w:i/>
        </w:rPr>
        <w:t xml:space="preserve">Freiburger, </w:t>
      </w:r>
      <w:r w:rsidR="0040214E" w:rsidRPr="007344EA">
        <w:t xml:space="preserve">kuriame Teisingumo Teismas atsakydamas į nacionalinio teismo užduotus </w:t>
      </w:r>
      <w:r w:rsidR="0040214E" w:rsidRPr="007344EA">
        <w:lastRenderedPageBreak/>
        <w:t xml:space="preserve">prejudicinius klausimus, </w:t>
      </w:r>
      <w:r w:rsidR="00022A27" w:rsidRPr="007344EA">
        <w:t>nepasisakė</w:t>
      </w:r>
      <w:r w:rsidR="0040214E" w:rsidRPr="007344EA">
        <w:t xml:space="preserve"> dėl</w:t>
      </w:r>
      <w:r w:rsidR="00CE2211" w:rsidRPr="007344EA">
        <w:t xml:space="preserve"> galimo</w:t>
      </w:r>
      <w:r w:rsidR="0040214E" w:rsidRPr="007344EA">
        <w:t xml:space="preserve"> Direktyvos </w:t>
      </w:r>
      <w:r w:rsidR="00022A27" w:rsidRPr="007344EA">
        <w:t xml:space="preserve">93/13 </w:t>
      </w:r>
      <w:r w:rsidR="00CE2211" w:rsidRPr="007344EA">
        <w:t>nuostatų</w:t>
      </w:r>
      <w:r w:rsidR="00022A27" w:rsidRPr="007344EA">
        <w:t xml:space="preserve"> </w:t>
      </w:r>
      <w:r w:rsidR="0040214E" w:rsidRPr="007344EA">
        <w:t>netaikymo šioje byloje</w:t>
      </w:r>
      <w:r w:rsidR="00022A27" w:rsidRPr="007344EA">
        <w:t>,</w:t>
      </w:r>
      <w:r w:rsidR="00C80B33" w:rsidRPr="007344EA">
        <w:t xml:space="preserve"> </w:t>
      </w:r>
      <w:r w:rsidR="00C80B33" w:rsidRPr="007344EA">
        <w:rPr>
          <w:i/>
        </w:rPr>
        <w:t xml:space="preserve">ratione materiale </w:t>
      </w:r>
      <w:r w:rsidR="00022A27" w:rsidRPr="007344EA">
        <w:t>taikymo srities apribojimo pagrindu.</w:t>
      </w:r>
    </w:p>
    <w:p w:rsidR="00722339" w:rsidRPr="007344EA" w:rsidRDefault="00C80B33" w:rsidP="006630B3">
      <w:pPr>
        <w:pStyle w:val="Default"/>
        <w:spacing w:line="360" w:lineRule="auto"/>
        <w:ind w:firstLine="1296"/>
        <w:jc w:val="both"/>
      </w:pPr>
      <w:r w:rsidRPr="007344EA">
        <w:t>Trečiasis</w:t>
      </w:r>
      <w:r w:rsidR="00792FB6" w:rsidRPr="007344EA">
        <w:t xml:space="preserve"> </w:t>
      </w:r>
      <w:r w:rsidR="00FC166E" w:rsidRPr="007344EA">
        <w:t>sąvokos „pardavėjo ar tiekėjo su vartotojų sudarytos sutar</w:t>
      </w:r>
      <w:r w:rsidR="00792FB6" w:rsidRPr="007344EA">
        <w:t>ty</w:t>
      </w:r>
      <w:r w:rsidR="00775C6F" w:rsidRPr="007344EA">
        <w:t>s“ elementas</w:t>
      </w:r>
      <w:r w:rsidR="00224D1C" w:rsidRPr="007344EA">
        <w:t xml:space="preserve"> −</w:t>
      </w:r>
      <w:r w:rsidR="00792FB6" w:rsidRPr="007344EA">
        <w:t xml:space="preserve"> </w:t>
      </w:r>
      <w:r w:rsidR="009A33BF" w:rsidRPr="007344EA">
        <w:t>„sutartis“</w:t>
      </w:r>
      <w:r w:rsidR="00792FB6" w:rsidRPr="007344EA">
        <w:t xml:space="preserve">. </w:t>
      </w:r>
      <w:r w:rsidR="00647F03" w:rsidRPr="007344EA">
        <w:t>Europos Sąjungos teisė yra aiškinama autonomiškai</w:t>
      </w:r>
      <w:r w:rsidR="00533DDA" w:rsidRPr="007344EA">
        <w:t xml:space="preserve"> , </w:t>
      </w:r>
      <w:r w:rsidR="00647F03" w:rsidRPr="007344EA">
        <w:t xml:space="preserve">tai ir </w:t>
      </w:r>
      <w:r w:rsidR="009F05C3" w:rsidRPr="007344EA">
        <w:t xml:space="preserve">Direktyvos </w:t>
      </w:r>
      <w:r w:rsidR="00FC6615" w:rsidRPr="007344EA">
        <w:t xml:space="preserve">93/13 </w:t>
      </w:r>
      <w:r w:rsidR="009F05C3" w:rsidRPr="007344EA">
        <w:t>tekste vartojama sąvoka</w:t>
      </w:r>
      <w:r w:rsidR="00647F03" w:rsidRPr="007344EA">
        <w:t xml:space="preserve"> „sutartis“ nacionalinėje valstybių narių teisėje gali turėti kiek kitokią prasmę. Kaip pavyzdį D. Bublienė pateikia Jungtinės </w:t>
      </w:r>
      <w:r w:rsidR="00BF10E1" w:rsidRPr="007344EA">
        <w:t>K</w:t>
      </w:r>
      <w:r w:rsidR="00647F03" w:rsidRPr="007344EA">
        <w:t>aralystės teisinį reglamentavimą, pagal kurį dovanojimo sutartis nėra laikoma sutartimi</w:t>
      </w:r>
      <w:r w:rsidR="00647F03" w:rsidRPr="007344EA">
        <w:rPr>
          <w:rStyle w:val="FootnoteReference"/>
        </w:rPr>
        <w:footnoteReference w:id="210"/>
      </w:r>
      <w:r w:rsidR="00775C6F" w:rsidRPr="007344EA">
        <w:t>.</w:t>
      </w:r>
      <w:r w:rsidR="00607BEE" w:rsidRPr="007344EA">
        <w:t xml:space="preserve"> Iš Direktyvos 93/13 teksto</w:t>
      </w:r>
      <w:r w:rsidR="00647F03" w:rsidRPr="007344EA">
        <w:t xml:space="preserve"> aišku viena, kad sutartis </w:t>
      </w:r>
      <w:r w:rsidR="009215A6" w:rsidRPr="007344EA">
        <w:t xml:space="preserve">turi būti </w:t>
      </w:r>
      <w:r w:rsidR="00647F03" w:rsidRPr="007344EA">
        <w:t>susijusi su prekių ar paslaugų įsigijimu</w:t>
      </w:r>
      <w:r w:rsidR="00647F03" w:rsidRPr="007344EA">
        <w:rPr>
          <w:rStyle w:val="FootnoteReference"/>
        </w:rPr>
        <w:footnoteReference w:id="211"/>
      </w:r>
      <w:r w:rsidR="009215A6" w:rsidRPr="007344EA">
        <w:t xml:space="preserve"> ir ji gali būti sudaryta </w:t>
      </w:r>
      <w:r w:rsidR="00647F03" w:rsidRPr="007344EA">
        <w:t>tiek raštu, tiek žodžiu</w:t>
      </w:r>
      <w:r w:rsidR="00647F03" w:rsidRPr="007344EA">
        <w:rPr>
          <w:rStyle w:val="FootnoteReference"/>
        </w:rPr>
        <w:footnoteReference w:id="212"/>
      </w:r>
      <w:r w:rsidR="00647F03" w:rsidRPr="007344EA">
        <w:t>.</w:t>
      </w:r>
      <w:r w:rsidR="009215A6" w:rsidRPr="007344EA">
        <w:t xml:space="preserve"> </w:t>
      </w:r>
      <w:r w:rsidR="006E0203" w:rsidRPr="007344EA">
        <w:t xml:space="preserve">Plačiau </w:t>
      </w:r>
      <w:r w:rsidR="009215A6" w:rsidRPr="007344EA">
        <w:t xml:space="preserve">Direktyvoje 93/13 </w:t>
      </w:r>
      <w:r w:rsidR="009215A6" w:rsidRPr="007344EA">
        <w:rPr>
          <w:i/>
        </w:rPr>
        <w:t>expresis verbis</w:t>
      </w:r>
      <w:r w:rsidR="009215A6" w:rsidRPr="007344EA">
        <w:t xml:space="preserve"> sutarties sąvoka nėra detalizuojama. </w:t>
      </w:r>
      <w:r w:rsidR="00647F03" w:rsidRPr="007344EA">
        <w:t>Teisingumo Teismas nagrinėdama</w:t>
      </w:r>
      <w:r w:rsidR="009215A6" w:rsidRPr="007344EA">
        <w:t>s bylas susijusias su Direktyva</w:t>
      </w:r>
      <w:r w:rsidR="00647F03" w:rsidRPr="007344EA">
        <w:t xml:space="preserve"> 93/13 </w:t>
      </w:r>
      <w:r w:rsidR="009215A6" w:rsidRPr="007344EA">
        <w:t xml:space="preserve">taip pat </w:t>
      </w:r>
      <w:r w:rsidR="00647F03" w:rsidRPr="007344EA">
        <w:t xml:space="preserve">neaiškino </w:t>
      </w:r>
      <w:r w:rsidR="009215A6" w:rsidRPr="007344EA">
        <w:t>šio ter</w:t>
      </w:r>
      <w:r w:rsidR="00647F03" w:rsidRPr="007344EA">
        <w:t xml:space="preserve">mino prasmės. </w:t>
      </w:r>
      <w:r w:rsidR="000442A6" w:rsidRPr="007344EA">
        <w:t xml:space="preserve">Teisingumo </w:t>
      </w:r>
      <w:r w:rsidR="00647F03" w:rsidRPr="007344EA">
        <w:t>Teismo praktikoje, susijusioje su Direktyvos 93/13 aiškinimu</w:t>
      </w:r>
      <w:r w:rsidR="00636DE5" w:rsidRPr="007344EA">
        <w:t>,</w:t>
      </w:r>
      <w:r w:rsidR="00647F03" w:rsidRPr="007344EA">
        <w:t xml:space="preserve"> vartojimo sutartimis buvo pripažintos šios sutartys:</w:t>
      </w:r>
      <w:r w:rsidR="00F60AB6" w:rsidRPr="007344EA">
        <w:t xml:space="preserve"> </w:t>
      </w:r>
      <w:r w:rsidR="00722339" w:rsidRPr="007344EA">
        <w:t>kredito/paskolos sutartys (</w:t>
      </w:r>
      <w:r w:rsidR="00722339" w:rsidRPr="007344EA">
        <w:rPr>
          <w:i/>
        </w:rPr>
        <w:t xml:space="preserve">Pengzugyi Lizing, Pohotovost, Caje de Madrid, Cofidis, </w:t>
      </w:r>
      <w:r w:rsidR="00056125" w:rsidRPr="007344EA">
        <w:rPr>
          <w:bCs/>
          <w:i/>
          <w:lang w:val="pt-PT"/>
        </w:rPr>
        <w:t>Pereničová</w:t>
      </w:r>
      <w:r w:rsidR="00722339" w:rsidRPr="007344EA">
        <w:rPr>
          <w:i/>
        </w:rPr>
        <w:t>, Banco Espanol),</w:t>
      </w:r>
      <w:r w:rsidR="00722339" w:rsidRPr="007344EA">
        <w:t xml:space="preserve"> mobiliojo ryšio tiekimo sutarys (</w:t>
      </w:r>
      <w:r w:rsidR="00722339" w:rsidRPr="007344EA">
        <w:rPr>
          <w:i/>
        </w:rPr>
        <w:t xml:space="preserve">Asturcom, Claro, Pannon, </w:t>
      </w:r>
      <w:r w:rsidR="00392953" w:rsidRPr="007344EA">
        <w:rPr>
          <w:bCs/>
          <w:i/>
          <w:lang w:val="pt-PT"/>
        </w:rPr>
        <w:t>Nemzeti</w:t>
      </w:r>
      <w:r w:rsidR="00722339" w:rsidRPr="007344EA">
        <w:t>), knygų pirkimo</w:t>
      </w:r>
      <w:r w:rsidR="00224D1C" w:rsidRPr="007344EA">
        <w:t xml:space="preserve"> −</w:t>
      </w:r>
      <w:r w:rsidR="00722339" w:rsidRPr="007344EA">
        <w:t xml:space="preserve"> pardavimo (</w:t>
      </w:r>
      <w:r w:rsidR="00722339" w:rsidRPr="007344EA">
        <w:rPr>
          <w:i/>
        </w:rPr>
        <w:t>Oceano</w:t>
      </w:r>
      <w:r w:rsidR="00722339" w:rsidRPr="007344EA">
        <w:t>), automatinės prekybos sutartis (</w:t>
      </w:r>
      <w:r w:rsidR="00722339" w:rsidRPr="007344EA">
        <w:rPr>
          <w:i/>
        </w:rPr>
        <w:t>Cape</w:t>
      </w:r>
      <w:r w:rsidR="00224D1C" w:rsidRPr="007344EA">
        <w:t xml:space="preserve">), </w:t>
      </w:r>
      <w:r w:rsidR="00722339" w:rsidRPr="007344EA">
        <w:t>nekilnojamojo daikto pirkimo</w:t>
      </w:r>
      <w:r w:rsidR="00224D1C" w:rsidRPr="007344EA">
        <w:t xml:space="preserve"> −</w:t>
      </w:r>
      <w:r w:rsidR="00722339" w:rsidRPr="007344EA">
        <w:t xml:space="preserve"> pardavimo sutartis (</w:t>
      </w:r>
      <w:r w:rsidR="00722339" w:rsidRPr="007344EA">
        <w:rPr>
          <w:i/>
        </w:rPr>
        <w:t>Freiburger</w:t>
      </w:r>
      <w:r w:rsidR="00722339" w:rsidRPr="007344EA">
        <w:t xml:space="preserve">). </w:t>
      </w:r>
    </w:p>
    <w:p w:rsidR="00647F03" w:rsidRPr="007344EA" w:rsidRDefault="00647F03" w:rsidP="006E00E1">
      <w:pPr>
        <w:pStyle w:val="Default"/>
        <w:spacing w:line="360" w:lineRule="auto"/>
        <w:ind w:firstLine="1296"/>
        <w:jc w:val="both"/>
      </w:pPr>
      <w:r w:rsidRPr="007344EA">
        <w:t>Nors</w:t>
      </w:r>
      <w:r w:rsidR="009F05C3" w:rsidRPr="007344EA">
        <w:t xml:space="preserve"> </w:t>
      </w:r>
      <w:r w:rsidRPr="007344EA">
        <w:t>Teisingumo Teismas savo praktikoje</w:t>
      </w:r>
      <w:r w:rsidRPr="007344EA">
        <w:rPr>
          <w:rStyle w:val="FootnoteReference"/>
        </w:rPr>
        <w:footnoteReference w:id="213"/>
      </w:r>
      <w:r w:rsidRPr="007344EA">
        <w:t xml:space="preserve"> jau yra aiškinęs sąvokos „sutartis“ prasmę, nagrinėdamas klausimus, kurie iš dalies liečia ir tam tikrus vartotojų teisių apsaugos elementus, tačiau šie klausimai buvo susiję su Br</w:t>
      </w:r>
      <w:r w:rsidR="00636DE5" w:rsidRPr="007344EA">
        <w:t>iuselio konvencijos taikymu. K</w:t>
      </w:r>
      <w:r w:rsidRPr="007344EA">
        <w:t>aip jau minėta</w:t>
      </w:r>
      <w:r w:rsidR="00BF10E1" w:rsidRPr="007344EA">
        <w:t xml:space="preserve"> anksčiau</w:t>
      </w:r>
      <w:r w:rsidRPr="007344EA">
        <w:t>, Teisingumo Teismas Briuselio konvencijoje suformuotos praktikos</w:t>
      </w:r>
      <w:r w:rsidR="000442A6" w:rsidRPr="007344EA">
        <w:t xml:space="preserve"> netaiko</w:t>
      </w:r>
      <w:r w:rsidRPr="007344EA">
        <w:t xml:space="preserve"> </w:t>
      </w:r>
      <w:r w:rsidR="000442A6" w:rsidRPr="007344EA">
        <w:t>Direktyvos 93/13 a</w:t>
      </w:r>
      <w:r w:rsidR="00533DDA" w:rsidRPr="007344EA">
        <w:t xml:space="preserve">iškinimui. </w:t>
      </w:r>
      <w:r w:rsidR="009F05C3" w:rsidRPr="007344EA">
        <w:t>Todėl manytina, kad Direktyvoje 93/13 įtvirtintos sąvokos „sutartis“ turinio aiškinimas yra paliktas valstybių narių kompetencijai, tačiau aiškinat šią sąvoką b</w:t>
      </w:r>
      <w:r w:rsidR="006E0203" w:rsidRPr="007344EA">
        <w:t xml:space="preserve">ūtina atsižvelgti į pagrindinį </w:t>
      </w:r>
      <w:r w:rsidR="009F05C3" w:rsidRPr="007344EA">
        <w:t>Direktyvos 93/13 tikslą</w:t>
      </w:r>
      <w:r w:rsidR="00224D1C" w:rsidRPr="007344EA">
        <w:t xml:space="preserve"> −</w:t>
      </w:r>
      <w:r w:rsidR="009F05C3" w:rsidRPr="007344EA">
        <w:t xml:space="preserve"> ginti vartotojo interesus, o tai suponuoja plečiamojo aiškinimo metodo taikymą šiuos nuostatos aiškinimui.</w:t>
      </w:r>
    </w:p>
    <w:p w:rsidR="009215A6" w:rsidRPr="007344EA" w:rsidRDefault="00647F03" w:rsidP="006E00E1">
      <w:pPr>
        <w:pStyle w:val="Default"/>
        <w:spacing w:line="360" w:lineRule="auto"/>
        <w:ind w:firstLine="1296"/>
        <w:jc w:val="both"/>
        <w:rPr>
          <w:i/>
        </w:rPr>
      </w:pPr>
      <w:r w:rsidRPr="007344EA">
        <w:t xml:space="preserve">Dėl visaapimančio Direktyvos 93/13 pobūdžio, kuris pasireiškia tuo, kad Direktyva </w:t>
      </w:r>
      <w:r w:rsidR="005F6B31" w:rsidRPr="007344EA">
        <w:t xml:space="preserve">93/13 </w:t>
      </w:r>
      <w:r w:rsidRPr="007344EA">
        <w:t>yra taikoma iš e</w:t>
      </w:r>
      <w:r w:rsidR="003D2FBE" w:rsidRPr="007344EA">
        <w:t>smės visoms vartojimo sutartims</w:t>
      </w:r>
      <w:r w:rsidR="00607BEE" w:rsidRPr="007344EA">
        <w:t>, apibrėždami</w:t>
      </w:r>
      <w:r w:rsidRPr="007344EA">
        <w:rPr>
          <w:i/>
        </w:rPr>
        <w:t xml:space="preserve"> ratione materiale </w:t>
      </w:r>
      <w:r w:rsidRPr="007344EA">
        <w:t xml:space="preserve">taikymo sritį, kalbėsime apie </w:t>
      </w:r>
      <w:r w:rsidR="00607BEE" w:rsidRPr="007344EA">
        <w:t>taikymo</w:t>
      </w:r>
      <w:r w:rsidR="00BF10E1" w:rsidRPr="007344EA">
        <w:t xml:space="preserve"> išimtis</w:t>
      </w:r>
      <w:r w:rsidRPr="007344EA">
        <w:t xml:space="preserve">, kuomet sąžiningumo kontrolė nėra taikoma. Direktyvoje </w:t>
      </w:r>
      <w:r w:rsidRPr="007344EA">
        <w:rPr>
          <w:i/>
        </w:rPr>
        <w:t>expresis verbis</w:t>
      </w:r>
      <w:r w:rsidRPr="007344EA">
        <w:t xml:space="preserve"> įtvirtinta, kad ji netaikoma: a) sutarčių sąlygoms, dėl kurių buvo atskirai derėtasi</w:t>
      </w:r>
      <w:r w:rsidRPr="007344EA">
        <w:rPr>
          <w:rStyle w:val="FootnoteReference"/>
        </w:rPr>
        <w:footnoteReference w:id="214"/>
      </w:r>
      <w:r w:rsidRPr="007344EA">
        <w:t>; b) sąlygoms, kurios atspindi valstybių narių įstatymų ar kitų teisės aktų privalomąsias nuostatas</w:t>
      </w:r>
      <w:r w:rsidRPr="007344EA">
        <w:rPr>
          <w:rStyle w:val="FootnoteReference"/>
        </w:rPr>
        <w:footnoteReference w:id="215"/>
      </w:r>
      <w:r w:rsidRPr="007344EA">
        <w:t>; c) sąlygoms, kurios  apibūdina pagrindinį sutarties dalyką ir toms sąlygoms, kurios apibūdina prekių ar teikiamų paslaugų kokybės/kainos santykį</w:t>
      </w:r>
      <w:r w:rsidRPr="007344EA">
        <w:rPr>
          <w:rStyle w:val="FootnoteReference"/>
        </w:rPr>
        <w:footnoteReference w:id="216"/>
      </w:r>
      <w:r w:rsidR="00C14454" w:rsidRPr="007344EA">
        <w:t>;</w:t>
      </w:r>
      <w:r w:rsidR="000764E6" w:rsidRPr="007344EA">
        <w:t xml:space="preserve"> d) </w:t>
      </w:r>
      <w:r w:rsidRPr="007344EA">
        <w:t xml:space="preserve">aiškiai apibrėžtoms </w:t>
      </w:r>
      <w:r w:rsidRPr="007344EA">
        <w:lastRenderedPageBreak/>
        <w:t>draudimo sutarčių sąlygoms, dėl draudžiamosios rizikos ar draudiko atsakomybės</w:t>
      </w:r>
      <w:r w:rsidRPr="007344EA">
        <w:rPr>
          <w:rStyle w:val="FootnoteReference"/>
        </w:rPr>
        <w:footnoteReference w:id="217"/>
      </w:r>
      <w:r w:rsidRPr="007344EA">
        <w:t>; e) darbo, paveldėjimo, šeimos, bendrovių inkorporavimo ir organizavimo, ūkinių bendrijų sutarčių sąlygoms</w:t>
      </w:r>
      <w:r w:rsidRPr="007344EA">
        <w:rPr>
          <w:rStyle w:val="FootnoteReference"/>
        </w:rPr>
        <w:footnoteReference w:id="218"/>
      </w:r>
      <w:r w:rsidRPr="007344EA">
        <w:t xml:space="preserve">. Ne visos šios sąžiningumo kontrolės išimtys kelia neaiškumų nacionaliniams teismams ar sukelia tam tikrų perkėlimo problemų valstybėms narėms. Todėl šiame magistro baigiamajame darbe </w:t>
      </w:r>
      <w:r w:rsidR="005A16E9" w:rsidRPr="007344EA">
        <w:t xml:space="preserve">plačiau </w:t>
      </w:r>
      <w:r w:rsidRPr="007344EA">
        <w:t>nagr</w:t>
      </w:r>
      <w:r w:rsidR="005A16E9" w:rsidRPr="007344EA">
        <w:t xml:space="preserve">inėsime </w:t>
      </w:r>
      <w:r w:rsidRPr="007344EA">
        <w:t>tas išimtis, kurias teko aiškinti Teisingumo Teismui</w:t>
      </w:r>
      <w:r w:rsidR="009215A6" w:rsidRPr="007344EA">
        <w:t>, o</w:t>
      </w:r>
      <w:r w:rsidR="00636DE5" w:rsidRPr="007344EA">
        <w:t xml:space="preserve"> būtent </w:t>
      </w:r>
      <w:r w:rsidR="005E5F8F" w:rsidRPr="007344EA">
        <w:t xml:space="preserve">Direktyvos 93/13 taikymo </w:t>
      </w:r>
      <w:r w:rsidR="009215A6" w:rsidRPr="007344EA">
        <w:t>apribojimus susijusius su</w:t>
      </w:r>
      <w:r w:rsidR="000764E6" w:rsidRPr="007344EA">
        <w:t xml:space="preserve"> pagrindinio sutarties dalyko api</w:t>
      </w:r>
      <w:r w:rsidR="00B40651" w:rsidRPr="007344EA">
        <w:t>brėžimu ir kainos adekvatumu.</w:t>
      </w:r>
      <w:r w:rsidR="005A16E9" w:rsidRPr="007344EA">
        <w:t xml:space="preserve"> </w:t>
      </w:r>
      <w:r w:rsidR="007E1CB5" w:rsidRPr="007344EA">
        <w:t>Taikymo srities a</w:t>
      </w:r>
      <w:r w:rsidR="005A16E9" w:rsidRPr="007344EA">
        <w:t>pribojimui</w:t>
      </w:r>
      <w:r w:rsidR="00224D1C" w:rsidRPr="007344EA">
        <w:t xml:space="preserve"> −</w:t>
      </w:r>
      <w:r w:rsidR="005A16E9" w:rsidRPr="007344EA">
        <w:t xml:space="preserve"> </w:t>
      </w:r>
      <w:r w:rsidR="007E1CB5" w:rsidRPr="007344EA">
        <w:t>„nebuvo atskirai derėtasi“</w:t>
      </w:r>
      <w:r w:rsidR="00224D1C" w:rsidRPr="007344EA">
        <w:t xml:space="preserve"> −</w:t>
      </w:r>
      <w:r w:rsidR="007E1CB5" w:rsidRPr="007344EA">
        <w:t xml:space="preserve"> pateiksime doktrininį </w:t>
      </w:r>
      <w:r w:rsidR="003D2FBE" w:rsidRPr="007344EA">
        <w:t>požiūrį</w:t>
      </w:r>
      <w:r w:rsidR="000442A6" w:rsidRPr="007344EA">
        <w:t>,</w:t>
      </w:r>
      <w:r w:rsidR="003D2FBE" w:rsidRPr="007344EA">
        <w:t xml:space="preserve"> v</w:t>
      </w:r>
      <w:r w:rsidR="000442A6" w:rsidRPr="007344EA">
        <w:t>ert</w:t>
      </w:r>
      <w:r w:rsidR="003D2FBE" w:rsidRPr="007344EA">
        <w:t xml:space="preserve">indami jį, </w:t>
      </w:r>
      <w:r w:rsidR="007E1CB5" w:rsidRPr="007344EA">
        <w:t xml:space="preserve">atsižvelgiant į Teisingumo Teismo jurisprudenciją. </w:t>
      </w:r>
    </w:p>
    <w:p w:rsidR="009215A6" w:rsidRPr="007344EA" w:rsidRDefault="00420F9A" w:rsidP="006E00E1">
      <w:pPr>
        <w:pStyle w:val="Default"/>
        <w:spacing w:line="360" w:lineRule="auto"/>
        <w:ind w:firstLine="1296"/>
        <w:jc w:val="both"/>
      </w:pPr>
      <w:r w:rsidRPr="007344EA">
        <w:rPr>
          <w:i/>
        </w:rPr>
        <w:t>Sąlyga, dėl kurios nebuvo atskirai derėtasi</w:t>
      </w:r>
      <w:r w:rsidRPr="007344EA">
        <w:t>. Kaip jau minėta „pirmasis žingsnis“ atliekant nesąžiningumo kontrolę</w:t>
      </w:r>
      <w:r w:rsidR="005E5F8F" w:rsidRPr="007344EA">
        <w:t xml:space="preserve"> pagal Direktyvos 93/13 nuostatas</w:t>
      </w:r>
      <w:r w:rsidRPr="007344EA">
        <w:t xml:space="preserve"> yra konkretaus ginčijamo susitarimo pripažinimas </w:t>
      </w:r>
      <w:r w:rsidR="005E5F8F" w:rsidRPr="007344EA">
        <w:t>„</w:t>
      </w:r>
      <w:r w:rsidRPr="007344EA">
        <w:t>sutartimi</w:t>
      </w:r>
      <w:r w:rsidR="005E5F8F" w:rsidRPr="007344EA">
        <w:t xml:space="preserve"> sudaryta su vartotoju“. </w:t>
      </w:r>
      <w:r w:rsidRPr="007344EA">
        <w:t>Tuomet reikia žengti „antrąjį žingsnį“</w:t>
      </w:r>
      <w:r w:rsidR="00224D1C" w:rsidRPr="007344EA">
        <w:t xml:space="preserve">  −</w:t>
      </w:r>
      <w:r w:rsidRPr="007344EA">
        <w:t xml:space="preserve"> patikrinti ar dėl šios sąvokos buvo atskirai derėtasi ar ne.</w:t>
      </w:r>
      <w:r w:rsidR="006E0203" w:rsidRPr="007344EA">
        <w:t xml:space="preserve"> Manytina, kad derėjimosi faktas  </w:t>
      </w:r>
      <w:r w:rsidR="00692AFC" w:rsidRPr="007344EA">
        <w:t xml:space="preserve">yra </w:t>
      </w:r>
      <w:r w:rsidR="006E0203" w:rsidRPr="007344EA">
        <w:t xml:space="preserve">esminė Direktyvos 93/13  taikymo srities </w:t>
      </w:r>
      <w:r w:rsidR="006E0203" w:rsidRPr="007344EA">
        <w:rPr>
          <w:i/>
        </w:rPr>
        <w:t>ratione materiae</w:t>
      </w:r>
      <w:r w:rsidR="006E0203" w:rsidRPr="007344EA">
        <w:t xml:space="preserve"> atžvilgiu taikymo išimtis. </w:t>
      </w:r>
    </w:p>
    <w:p w:rsidR="009215A6" w:rsidRPr="007344EA" w:rsidRDefault="009215A6" w:rsidP="006E00E1">
      <w:pPr>
        <w:pStyle w:val="Default"/>
        <w:spacing w:line="360" w:lineRule="auto"/>
        <w:ind w:firstLine="1296"/>
        <w:jc w:val="both"/>
      </w:pPr>
      <w:r w:rsidRPr="007344EA">
        <w:t>Pirmiausia reikia išsiaiškinti koks yra tokio apribojimo tikslas, arba kitais žodžiais tariant kodėl Direktyvoje 93/13 buvo numatytas toks apribojimas, akivaizdžiai siaurinantis vartotojų teisių apsaugos apimtį. Aptariant Direktyvos 93/13 priėmimo aplink</w:t>
      </w:r>
      <w:r w:rsidR="00CE2211" w:rsidRPr="007344EA">
        <w:t>ybes jau buvo minėta, kad 3 straipsnyje</w:t>
      </w:r>
      <w:r w:rsidRPr="007344EA">
        <w:t xml:space="preserve"> įvirtintas apribojimas yra prancūziškojo ir vokiškojo nesąžiningų sąlygų kontro</w:t>
      </w:r>
      <w:r w:rsidR="00692AFC" w:rsidRPr="007344EA">
        <w:t>lės modelių susidūrimo pasekmė.</w:t>
      </w:r>
      <w:r w:rsidR="002720DD" w:rsidRPr="007344EA">
        <w:t xml:space="preserve"> </w:t>
      </w:r>
      <w:r w:rsidR="00775C6F" w:rsidRPr="007344EA">
        <w:t xml:space="preserve">Vokiškajam reguliavimui </w:t>
      </w:r>
      <w:r w:rsidRPr="007344EA">
        <w:t xml:space="preserve">būdinga visų  individualiai neaptartų sąlygų (ne tik vartojimo </w:t>
      </w:r>
      <w:r w:rsidR="00CE2211" w:rsidRPr="007344EA">
        <w:t xml:space="preserve">sutarčių) sąžiningumo kontrolė, </w:t>
      </w:r>
      <w:r w:rsidR="002720DD" w:rsidRPr="007344EA">
        <w:t>o prancūziškajam</w:t>
      </w:r>
      <w:r w:rsidRPr="007344EA">
        <w:t xml:space="preserve"> visų vartojimo sutarčių (nesvarbu sąlygos</w:t>
      </w:r>
      <w:r w:rsidR="000764E6" w:rsidRPr="007344EA">
        <w:t xml:space="preserve"> buvo aptartos ar ne) kontrol</w:t>
      </w:r>
      <w:r w:rsidR="00AA6DD0" w:rsidRPr="007344EA">
        <w:t>ė</w:t>
      </w:r>
      <w:r w:rsidR="000764E6" w:rsidRPr="007344EA">
        <w:t>.</w:t>
      </w:r>
      <w:r w:rsidRPr="007344EA">
        <w:t xml:space="preserve"> Taigi nagrinėjama</w:t>
      </w:r>
      <w:r w:rsidR="00692AFC" w:rsidRPr="007344EA">
        <w:t>s apribojimas</w:t>
      </w:r>
      <w:r w:rsidR="00224D1C" w:rsidRPr="007344EA">
        <w:t xml:space="preserve"> −</w:t>
      </w:r>
      <w:r w:rsidR="00692AFC" w:rsidRPr="007344EA">
        <w:t xml:space="preserve"> Vokietijos teisės indelis</w:t>
      </w:r>
      <w:r w:rsidRPr="007344EA">
        <w:t xml:space="preserve">. </w:t>
      </w:r>
      <w:r w:rsidR="000764E6" w:rsidRPr="007344EA">
        <w:t>Šios išimties tiks</w:t>
      </w:r>
      <w:r w:rsidR="00692AFC" w:rsidRPr="007344EA">
        <w:t xml:space="preserve">las yra apsaugoti vartotoją </w:t>
      </w:r>
      <w:r w:rsidR="000764E6" w:rsidRPr="007344EA">
        <w:t>nuo tų galimai nesąžiningų sąlygų,</w:t>
      </w:r>
      <w:r w:rsidR="00F92226" w:rsidRPr="007344EA">
        <w:t xml:space="preserve"> </w:t>
      </w:r>
      <w:r w:rsidR="000764E6" w:rsidRPr="007344EA">
        <w:t>kur</w:t>
      </w:r>
      <w:r w:rsidR="00F92226" w:rsidRPr="007344EA">
        <w:t>ių turiniui vartotojas ne</w:t>
      </w:r>
      <w:r w:rsidR="003659A5" w:rsidRPr="007344EA">
        <w:t>galėjo padaryti jokios įtakos</w:t>
      </w:r>
      <w:r w:rsidR="00692AFC" w:rsidRPr="007344EA">
        <w:t xml:space="preserve"> ar nebuvo su šiomis sąlygomis tinkamai supažindintas.</w:t>
      </w:r>
      <w:r w:rsidR="003659A5" w:rsidRPr="007344EA">
        <w:t xml:space="preserve"> Manytina, kad n</w:t>
      </w:r>
      <w:r w:rsidR="00F92226" w:rsidRPr="007344EA">
        <w:t>esąžiningumo kontrolė sąlygoms, dėl kurių vartotojas derėjosi, netaikoma siek</w:t>
      </w:r>
      <w:r w:rsidR="000640C5" w:rsidRPr="007344EA">
        <w:t>iant nepažeisti vieno iš esmingiausi</w:t>
      </w:r>
      <w:r w:rsidR="007E1CB5" w:rsidRPr="007344EA">
        <w:t>ų</w:t>
      </w:r>
      <w:r w:rsidR="00F92226" w:rsidRPr="007344EA">
        <w:t xml:space="preserve"> šiuolaikinės civilinės teisės principo</w:t>
      </w:r>
      <w:r w:rsidR="00224D1C" w:rsidRPr="007344EA">
        <w:t xml:space="preserve"> −</w:t>
      </w:r>
      <w:r w:rsidR="00F92226" w:rsidRPr="007344EA">
        <w:t xml:space="preserve"> sutarčių laisvės. </w:t>
      </w:r>
    </w:p>
    <w:p w:rsidR="003A3A08" w:rsidRPr="007344EA" w:rsidRDefault="003A3A08" w:rsidP="006E00E1">
      <w:pPr>
        <w:pStyle w:val="Default"/>
        <w:spacing w:line="360" w:lineRule="auto"/>
        <w:ind w:firstLine="1296"/>
        <w:jc w:val="both"/>
      </w:pPr>
      <w:r w:rsidRPr="007344EA">
        <w:t xml:space="preserve">Pažymėtina, kad 2007 metais Komisijos prašymu atliktame kompendiume, apibendrinant visų valstybių narių </w:t>
      </w:r>
      <w:r w:rsidR="00936326" w:rsidRPr="007344EA">
        <w:t xml:space="preserve">(tuo metu ES sudarė 25 valstybės narės) </w:t>
      </w:r>
      <w:r w:rsidRPr="007344EA">
        <w:t xml:space="preserve">reglamentavimą </w:t>
      </w:r>
      <w:r w:rsidR="00936326" w:rsidRPr="007344EA">
        <w:t xml:space="preserve">nesąžiningų sąlygų srityje, </w:t>
      </w:r>
      <w:r w:rsidRPr="007344EA">
        <w:t>teigiama, kad Direktyvos 93/13 3</w:t>
      </w:r>
      <w:r w:rsidR="002720DD" w:rsidRPr="007344EA">
        <w:t xml:space="preserve"> straipsnyje</w:t>
      </w:r>
      <w:r w:rsidRPr="007344EA">
        <w:t xml:space="preserve"> </w:t>
      </w:r>
      <w:r w:rsidR="00936326" w:rsidRPr="007344EA">
        <w:t>esančios išimties, pagal kurią galimas nesąžin</w:t>
      </w:r>
      <w:r w:rsidR="00163ADA" w:rsidRPr="007344EA">
        <w:t>in</w:t>
      </w:r>
      <w:r w:rsidR="00936326" w:rsidRPr="007344EA">
        <w:t xml:space="preserve">gumo vertinimas tik tų sąlygų, dėl kurių nebuvo individualiai derėtasi, į nacionalinę teisę neperkėlę net 10 valstybių narių. Taigi, „šių šalių teismai/institucijos </w:t>
      </w:r>
      <w:r w:rsidR="002720DD" w:rsidRPr="007344EA">
        <w:t>vertina ir atskirai</w:t>
      </w:r>
      <w:r w:rsidR="00163ADA" w:rsidRPr="007344EA">
        <w:t xml:space="preserve"> suderėtų sąlygų sąžiningumą, tai Skandinavijos šalys (Danija, Suomija, Švedija), taip pat </w:t>
      </w:r>
      <w:r w:rsidR="00163ADA" w:rsidRPr="007344EA">
        <w:lastRenderedPageBreak/>
        <w:t>Belgija, Čekija, Prancūzija, Latvija, Liuksemburgas, Malta ir Slovėnija“</w:t>
      </w:r>
      <w:r w:rsidR="00163ADA" w:rsidRPr="007344EA">
        <w:rPr>
          <w:rStyle w:val="FootnoteReference"/>
        </w:rPr>
        <w:footnoteReference w:id="219"/>
      </w:r>
      <w:r w:rsidR="002720DD" w:rsidRPr="007344EA">
        <w:t>. Tuo tarpu Lietuva (</w:t>
      </w:r>
      <w:r w:rsidR="00163ADA" w:rsidRPr="007344EA">
        <w:t>LR CK 6.188 str</w:t>
      </w:r>
      <w:r w:rsidR="00D861E5" w:rsidRPr="007344EA">
        <w:t>aipsnio 2 dalis</w:t>
      </w:r>
      <w:r w:rsidR="00163ADA" w:rsidRPr="007344EA">
        <w:t xml:space="preserve">) ir likusios valstybės narės šį apribojimą taiko. </w:t>
      </w:r>
    </w:p>
    <w:p w:rsidR="008917A5" w:rsidRPr="007344EA" w:rsidRDefault="005564AC" w:rsidP="006E00E1">
      <w:pPr>
        <w:pStyle w:val="Default"/>
        <w:spacing w:line="360" w:lineRule="auto"/>
        <w:ind w:firstLine="1296"/>
        <w:jc w:val="both"/>
      </w:pPr>
      <w:r w:rsidRPr="007344EA">
        <w:t xml:space="preserve">Direktyvos 93/13 </w:t>
      </w:r>
      <w:r w:rsidR="006B06A4" w:rsidRPr="007344EA">
        <w:t>3 straipsnio 2 dalyje</w:t>
      </w:r>
      <w:r w:rsidR="008917A5" w:rsidRPr="007344EA">
        <w:t xml:space="preserve"> įtvirtinta</w:t>
      </w:r>
      <w:r w:rsidR="006F02C4" w:rsidRPr="007344EA">
        <w:t xml:space="preserve">, kad „visada yra laikoma, kad dėl sąlygos nebuvo atskirai derėtasi, jeigu ji buvo parengta iš anksto, ir vartotojas dėl to negalėjo padaryti įtakos sąlygos esmei, ypač iš anksto suformuluotos tipinės sutarties atveju“. </w:t>
      </w:r>
      <w:r w:rsidR="009215A6" w:rsidRPr="007344EA">
        <w:t>D. Bublienė</w:t>
      </w:r>
      <w:r w:rsidR="008917A5" w:rsidRPr="007344EA">
        <w:t xml:space="preserve"> teigia</w:t>
      </w:r>
      <w:r w:rsidR="009215A6" w:rsidRPr="007344EA">
        <w:t>, kad „Direktyva nurodo du „sąlygų, dėl kurių nebuvo individualiai derėtasi“ požymius: visų pirmą sąlyga turi būti pare</w:t>
      </w:r>
      <w:r w:rsidR="00811B46" w:rsidRPr="007344EA">
        <w:t>ngta iš anksto; antra, vartotoja</w:t>
      </w:r>
      <w:r w:rsidR="009215A6" w:rsidRPr="007344EA">
        <w:t>s negali daryti įtakos jos esmei“</w:t>
      </w:r>
      <w:r w:rsidR="009215A6" w:rsidRPr="007344EA">
        <w:rPr>
          <w:rStyle w:val="FootnoteReference"/>
        </w:rPr>
        <w:footnoteReference w:id="220"/>
      </w:r>
      <w:r w:rsidR="003659A5" w:rsidRPr="007344EA">
        <w:t>.  Manytina</w:t>
      </w:r>
      <w:r w:rsidR="009215A6" w:rsidRPr="007344EA">
        <w:t>, kad toks požiūris yra klaidingas ir minėtoji Direktyvos 93/13 nuostata išreiškia ne</w:t>
      </w:r>
      <w:r w:rsidR="008917A5" w:rsidRPr="007344EA">
        <w:t xml:space="preserve"> du</w:t>
      </w:r>
      <w:r w:rsidR="009215A6" w:rsidRPr="007344EA">
        <w:t xml:space="preserve"> </w:t>
      </w:r>
      <w:r w:rsidR="008917A5" w:rsidRPr="007344EA">
        <w:t xml:space="preserve">atskirus </w:t>
      </w:r>
      <w:r w:rsidR="009215A6" w:rsidRPr="007344EA">
        <w:t xml:space="preserve">požymius, o prezumpciją, kada yra laikoma, </w:t>
      </w:r>
      <w:r w:rsidR="008917A5" w:rsidRPr="007344EA">
        <w:t>jog</w:t>
      </w:r>
      <w:r w:rsidR="009215A6" w:rsidRPr="007344EA">
        <w:t xml:space="preserve"> </w:t>
      </w:r>
      <w:r w:rsidR="00F83C9F" w:rsidRPr="007344EA">
        <w:t>vartotojas netu</w:t>
      </w:r>
      <w:r w:rsidR="00F63A27" w:rsidRPr="007344EA">
        <w:t>rėjo įtakos sutarties esmei</w:t>
      </w:r>
      <w:r w:rsidR="009215A6" w:rsidRPr="007344EA">
        <w:t xml:space="preserve">. </w:t>
      </w:r>
      <w:r w:rsidR="00BC7D6A" w:rsidRPr="007344EA">
        <w:t>T</w:t>
      </w:r>
      <w:r w:rsidR="009215A6" w:rsidRPr="007344EA">
        <w:t>oks 3 str</w:t>
      </w:r>
      <w:r w:rsidR="003D2FBE" w:rsidRPr="007344EA">
        <w:t>aipsnio 2 dalies</w:t>
      </w:r>
      <w:r w:rsidR="009215A6" w:rsidRPr="007344EA">
        <w:t xml:space="preserve"> interpretavimas</w:t>
      </w:r>
      <w:r w:rsidR="008917A5" w:rsidRPr="007344EA">
        <w:t xml:space="preserve">, kai išskiriami du </w:t>
      </w:r>
      <w:r w:rsidR="00BC7D6A" w:rsidRPr="007344EA">
        <w:t>savarankiški</w:t>
      </w:r>
      <w:r w:rsidR="00433EC5" w:rsidRPr="007344EA">
        <w:t xml:space="preserve"> ir komuliatyviai taikomi</w:t>
      </w:r>
      <w:r w:rsidR="00BC7D6A" w:rsidRPr="007344EA">
        <w:t xml:space="preserve"> </w:t>
      </w:r>
      <w:r w:rsidR="008917A5" w:rsidRPr="007344EA">
        <w:t>požymiai,</w:t>
      </w:r>
      <w:r w:rsidR="009215A6" w:rsidRPr="007344EA">
        <w:t xml:space="preserve"> yra nesuderinamas su pagrindiniu Direktyvos 93/13 tikslu</w:t>
      </w:r>
      <w:r w:rsidR="00224D1C" w:rsidRPr="007344EA">
        <w:t xml:space="preserve"> −</w:t>
      </w:r>
      <w:r w:rsidR="009215A6" w:rsidRPr="007344EA">
        <w:t xml:space="preserve"> vartotojo interesų apsauga</w:t>
      </w:r>
      <w:r w:rsidR="008917A5" w:rsidRPr="007344EA">
        <w:t xml:space="preserve">, kadangi norint pripažinti, kad dėl konkrečios sąlygos nebuvo atskirai derėtasi, reiktų </w:t>
      </w:r>
      <w:r w:rsidR="008F6CFA" w:rsidRPr="007344EA">
        <w:t>nustatyti</w:t>
      </w:r>
      <w:r w:rsidR="008917A5" w:rsidRPr="007344EA">
        <w:t xml:space="preserve"> ne tik vartotojo </w:t>
      </w:r>
      <w:r w:rsidR="00811B46" w:rsidRPr="007344EA">
        <w:t>įtakos nebuvimą sąlygos esmei</w:t>
      </w:r>
      <w:r w:rsidR="008917A5" w:rsidRPr="007344EA">
        <w:t xml:space="preserve">, bet ir tai, kad ši sąlyga buvo </w:t>
      </w:r>
      <w:r w:rsidR="00CE728B" w:rsidRPr="007344EA">
        <w:t>paruoš</w:t>
      </w:r>
      <w:r w:rsidR="008917A5" w:rsidRPr="007344EA">
        <w:t>ta iš anksto. Praktikoje neretai pasitaiko tokių situacijų, kai verslininkas sutartį paruošia ne iš anksto, o dalyvaujant vartotojui, tačiau vartotojas jokios įtako</w:t>
      </w:r>
      <w:r w:rsidR="00F83C9F" w:rsidRPr="007344EA">
        <w:t xml:space="preserve">s sutarties turiniui nepadaro ir nebūna tinkamai su šiomis sąlygomis supažindintas. </w:t>
      </w:r>
      <w:r w:rsidR="008F6CFA" w:rsidRPr="007344EA">
        <w:t>Todėl l</w:t>
      </w:r>
      <w:r w:rsidR="008917A5" w:rsidRPr="007344EA">
        <w:t>a</w:t>
      </w:r>
      <w:r w:rsidR="008F6CFA" w:rsidRPr="007344EA">
        <w:t>ikantis D. Bublienės pozicijos</w:t>
      </w:r>
      <w:r w:rsidR="008917A5" w:rsidRPr="007344EA">
        <w:t>,</w:t>
      </w:r>
      <w:r w:rsidR="008F6CFA" w:rsidRPr="007344EA">
        <w:t xml:space="preserve"> minėtos situacijos atveju, iš vartotojo atimama galimybė </w:t>
      </w:r>
      <w:r w:rsidR="008917A5" w:rsidRPr="007344EA">
        <w:t>ginčyti konkrečio</w:t>
      </w:r>
      <w:r w:rsidR="008F6CFA" w:rsidRPr="007344EA">
        <w:t xml:space="preserve">s sutarties sąlygos sąžiningumą ir </w:t>
      </w:r>
      <w:r w:rsidR="008917A5" w:rsidRPr="007344EA">
        <w:t>ne</w:t>
      </w:r>
      <w:r w:rsidR="000640C5" w:rsidRPr="007344EA">
        <w:t>pa</w:t>
      </w:r>
      <w:r w:rsidR="008917A5" w:rsidRPr="007344EA">
        <w:t>gr</w:t>
      </w:r>
      <w:r w:rsidR="005E5F8F" w:rsidRPr="007344EA">
        <w:t>įstai susiaurinama</w:t>
      </w:r>
      <w:r w:rsidR="008917A5" w:rsidRPr="007344EA">
        <w:t xml:space="preserve"> vartotojo teisių apsaugos apimtis. </w:t>
      </w:r>
      <w:r w:rsidR="005E5F8F" w:rsidRPr="007344EA">
        <w:t>Lyginant dvi analogiško turinio sutartis, kurių sąlygų esmei vartotojas neturėjo jokios įtakos, tačiau viena iš šių sutarčių buvo parengta iš anksto, o kita vartotojui dalyvaujant</w:t>
      </w:r>
      <w:r w:rsidR="000D3FF6" w:rsidRPr="007344EA">
        <w:t xml:space="preserve">, tai pastarąją sutartį pasirašęs vartotojas negalėtų ginčyti šios sutarties sąžiningumo. </w:t>
      </w:r>
      <w:r w:rsidR="004E7A4F" w:rsidRPr="007344EA">
        <w:t>Š</w:t>
      </w:r>
      <w:r w:rsidR="008F6CFA" w:rsidRPr="007344EA">
        <w:t>is D. Bublienės siūlomas sąvokos „sąlyga, dėl kurios nebuvo derėtasi“ dviejų komuliatyviai taikomų elementų aiškinimas</w:t>
      </w:r>
      <w:r w:rsidR="004E7A4F" w:rsidRPr="007344EA">
        <w:t xml:space="preserve"> nesuderinamas su Teisingumo Teismo praktikoje suformuluota nacionalinio teismo galimybe </w:t>
      </w:r>
      <w:r w:rsidR="004E7A4F" w:rsidRPr="007344EA">
        <w:rPr>
          <w:i/>
        </w:rPr>
        <w:t>ex offcio</w:t>
      </w:r>
      <w:r w:rsidR="004E7A4F" w:rsidRPr="007344EA">
        <w:t xml:space="preserve"> pripažinti tam tikros sąlygos nesąžiningumą net ir pirminio bylos įvertinimo metu, kuomet nacion</w:t>
      </w:r>
      <w:r w:rsidR="008F6CFA" w:rsidRPr="007344EA">
        <w:t xml:space="preserve">aliniai teismai yra įpareigoti iki bylos iškėlimo </w:t>
      </w:r>
      <w:r w:rsidR="003654CD" w:rsidRPr="007344EA">
        <w:t xml:space="preserve">patikrinti ar jurisdikcinę išlygą nustatanti sąlyga yra sąžininga. Nacionalinis teismas </w:t>
      </w:r>
      <w:r w:rsidR="003C2F41" w:rsidRPr="007344EA">
        <w:t xml:space="preserve">prieš </w:t>
      </w:r>
      <w:r w:rsidR="003654CD" w:rsidRPr="007344EA">
        <w:t>priimant nagrinėti ieškinį</w:t>
      </w:r>
      <w:r w:rsidR="003C2F41" w:rsidRPr="007344EA">
        <w:t xml:space="preserve"> t.y. nesurengus teismo posėdžio, </w:t>
      </w:r>
      <w:r w:rsidR="003654CD" w:rsidRPr="007344EA">
        <w:t xml:space="preserve">negali nustatyti ar </w:t>
      </w:r>
      <w:r w:rsidR="005A7CB7" w:rsidRPr="007344EA">
        <w:t>konkrečiai sutarties sąlygai vartotojas turėjo įtakos</w:t>
      </w:r>
      <w:r w:rsidR="003654CD" w:rsidRPr="007344EA">
        <w:t xml:space="preserve">, ypač </w:t>
      </w:r>
      <w:r w:rsidR="00BC3FAC" w:rsidRPr="007344EA">
        <w:t>jei tai yra</w:t>
      </w:r>
      <w:r w:rsidR="003654CD" w:rsidRPr="007344EA">
        <w:t xml:space="preserve"> sutartis, kuri </w:t>
      </w:r>
      <w:r w:rsidR="00BC3FAC" w:rsidRPr="007344EA">
        <w:t xml:space="preserve">nėra </w:t>
      </w:r>
      <w:r w:rsidR="00BE6D36" w:rsidRPr="007344EA">
        <w:t>taip</w:t>
      </w:r>
      <w:r w:rsidR="00BC3FAC" w:rsidRPr="007344EA">
        <w:t xml:space="preserve"> plačiai taikoma, kaip </w:t>
      </w:r>
      <w:r w:rsidR="003C2F41" w:rsidRPr="007344EA">
        <w:t xml:space="preserve">pavyzdžiui, </w:t>
      </w:r>
      <w:r w:rsidR="00BC3FAC" w:rsidRPr="007344EA">
        <w:t>mobiliojo ryšio paslaugų tiekimo sutartys, ir priklauso nuo tam</w:t>
      </w:r>
      <w:r w:rsidR="00811B46" w:rsidRPr="007344EA">
        <w:t xml:space="preserve"> tikrų subjektyvių veiksnių</w:t>
      </w:r>
      <w:r w:rsidR="00BC3FAC" w:rsidRPr="007344EA">
        <w:t>, kurie įtakoja sutarties turinį</w:t>
      </w:r>
      <w:r w:rsidR="003C2F41" w:rsidRPr="007344EA">
        <w:t xml:space="preserve">, kaip pavyzdžiui, </w:t>
      </w:r>
      <w:r w:rsidR="003654CD" w:rsidRPr="007344EA">
        <w:t xml:space="preserve">nekilnojamojo </w:t>
      </w:r>
      <w:r w:rsidR="00BC3FAC" w:rsidRPr="007344EA">
        <w:t>turto agentūros paslaugų sutartys, privačių medicininių paslaugų sutartys ir pan.</w:t>
      </w:r>
      <w:r w:rsidR="004E7A4F" w:rsidRPr="007344EA">
        <w:t xml:space="preserve"> </w:t>
      </w:r>
      <w:r w:rsidR="00BC3FAC" w:rsidRPr="007344EA">
        <w:t>(plačiau apie tai, šio magistro baigiamojo darbo skyriuje „Valstybėms narėms tenkančios pareigos“). Todėl</w:t>
      </w:r>
      <w:r w:rsidR="00811B46" w:rsidRPr="007344EA">
        <w:t>,</w:t>
      </w:r>
      <w:r w:rsidR="00BC3FAC" w:rsidRPr="007344EA">
        <w:t xml:space="preserve"> </w:t>
      </w:r>
      <w:r w:rsidR="00BC3FAC" w:rsidRPr="007344EA">
        <w:lastRenderedPageBreak/>
        <w:t xml:space="preserve">atsižvelgiant </w:t>
      </w:r>
      <w:r w:rsidR="00D725CC" w:rsidRPr="007344EA">
        <w:t>į</w:t>
      </w:r>
      <w:r w:rsidR="00BC3FAC" w:rsidRPr="007344EA">
        <w:t xml:space="preserve"> Teisingumo Teism</w:t>
      </w:r>
      <w:r w:rsidR="00D725CC" w:rsidRPr="007344EA">
        <w:t>o valstybių narių</w:t>
      </w:r>
      <w:r w:rsidR="003507FC" w:rsidRPr="007344EA">
        <w:t xml:space="preserve"> nacionaliniams</w:t>
      </w:r>
      <w:r w:rsidR="00D725CC" w:rsidRPr="007344EA">
        <w:t xml:space="preserve"> teismams nustatytą pareigą </w:t>
      </w:r>
      <w:r w:rsidR="00D725CC" w:rsidRPr="007344EA">
        <w:rPr>
          <w:i/>
        </w:rPr>
        <w:t>ex offcio</w:t>
      </w:r>
      <w:r w:rsidR="00811B46" w:rsidRPr="007344EA">
        <w:rPr>
          <w:i/>
        </w:rPr>
        <w:t>,</w:t>
      </w:r>
      <w:r w:rsidR="005A7CB7" w:rsidRPr="007344EA">
        <w:t xml:space="preserve"> tikrinti</w:t>
      </w:r>
      <w:r w:rsidR="00D725CC" w:rsidRPr="007344EA">
        <w:t xml:space="preserve"> sąlygų nesąžiningumą net ir pirminio bylos įvertinimo metu</w:t>
      </w:r>
      <w:r w:rsidR="005A7CB7" w:rsidRPr="007344EA">
        <w:t>,</w:t>
      </w:r>
      <w:r w:rsidR="00D725CC" w:rsidRPr="007344EA">
        <w:t xml:space="preserve"> </w:t>
      </w:r>
      <w:r w:rsidR="00874C3D" w:rsidRPr="007344EA">
        <w:t xml:space="preserve">nacionalinis teismas vadovaujasi prezumpcija, </w:t>
      </w:r>
      <w:r w:rsidR="005A7CB7" w:rsidRPr="007344EA">
        <w:t xml:space="preserve">kad </w:t>
      </w:r>
      <w:r w:rsidR="00357ECB" w:rsidRPr="007344EA">
        <w:t>dėl tam tikros galimai nesą</w:t>
      </w:r>
      <w:r w:rsidR="00811B46" w:rsidRPr="007344EA">
        <w:t>žiningos sąlygos nebuvo atskirai</w:t>
      </w:r>
      <w:r w:rsidR="00357ECB" w:rsidRPr="007344EA">
        <w:t xml:space="preserve"> derėtasi, jei yra požymių, kad </w:t>
      </w:r>
      <w:r w:rsidR="00874C3D" w:rsidRPr="007344EA">
        <w:t xml:space="preserve">sutartis buvo perengta iš anksto. </w:t>
      </w:r>
      <w:r w:rsidR="00357ECB" w:rsidRPr="007344EA">
        <w:t>Manytina, kad pirminio bylos įvertinimo metu nacionalinis teismas neturi galimybių įvertinti ar vartoto</w:t>
      </w:r>
      <w:r w:rsidR="005A7CB7" w:rsidRPr="007344EA">
        <w:t xml:space="preserve">jas </w:t>
      </w:r>
      <w:r w:rsidR="00811B46" w:rsidRPr="007344EA">
        <w:t>turėjo įtakos</w:t>
      </w:r>
      <w:r w:rsidR="005A7CB7" w:rsidRPr="007344EA">
        <w:t xml:space="preserve"> sąlygos esmei ar ne. Panašios abejonės kilo ir Generalinei advokatei V. Trstenjak pateiktoje išvadoje nagrinėjant bylą </w:t>
      </w:r>
      <w:r w:rsidR="005A7CB7" w:rsidRPr="007344EA">
        <w:rPr>
          <w:i/>
        </w:rPr>
        <w:t>Banco Espanol</w:t>
      </w:r>
      <w:r w:rsidR="005A7CB7" w:rsidRPr="007344EA">
        <w:t>, tačiau kiek kitu aspektu</w:t>
      </w:r>
      <w:r w:rsidR="00224D1C" w:rsidRPr="007344EA">
        <w:t xml:space="preserve"> −</w:t>
      </w:r>
      <w:r w:rsidR="005A7CB7" w:rsidRPr="007344EA">
        <w:t xml:space="preserve"> nacionalinio teismo negalėjimo suž</w:t>
      </w:r>
      <w:r w:rsidR="00811B46" w:rsidRPr="007344EA">
        <w:t>inoti ar vartotojas turėjo įtakos</w:t>
      </w:r>
      <w:r w:rsidR="005A7CB7" w:rsidRPr="007344EA">
        <w:t xml:space="preserve"> konkrečiai sutarties sąlygai ar ne, neginčo teisenos metu: „net tada, kai sutarties sąlygos nesąžiningas pobūdis atrodo akivaizdus, pavyzdžiui, teisės aktuose numatytas atitinkamos sąlygos pavyzdys, ji ne visada tokia yra. </w:t>
      </w:r>
      <w:r w:rsidR="005B7899" w:rsidRPr="007344EA">
        <w:t>&lt;..&gt;</w:t>
      </w:r>
      <w:r w:rsidR="005A7CB7" w:rsidRPr="007344EA">
        <w:t xml:space="preserve"> Be to, gali kilti abejonių, ar dėl konkrečios sąlygos buvo derėtasi atskirai, kaip tai numatyta 3 straipsnio 1 dalyje. &lt;...&gt; nacionaliniam teismui teks keblus uždavinys galutinai įvertinti tam tikros sąlygos nesąžiningą pobūdį, nors jis dėl to nėra tikras arba neturi pakankamai informacijos apie faktines aplinkybes.“</w:t>
      </w:r>
      <w:r w:rsidR="005A7CB7" w:rsidRPr="007344EA">
        <w:rPr>
          <w:rStyle w:val="FootnoteReference"/>
        </w:rPr>
        <w:footnoteReference w:id="221"/>
      </w:r>
    </w:p>
    <w:p w:rsidR="008917A5" w:rsidRPr="007344EA" w:rsidRDefault="008917A5" w:rsidP="006E00E1">
      <w:pPr>
        <w:pStyle w:val="Default"/>
        <w:spacing w:line="360" w:lineRule="auto"/>
        <w:ind w:firstLine="1296"/>
        <w:jc w:val="both"/>
      </w:pPr>
      <w:r w:rsidRPr="007344EA">
        <w:t xml:space="preserve">Todėl </w:t>
      </w:r>
      <w:r w:rsidR="000640C5" w:rsidRPr="007344EA">
        <w:t>manytina, kad Direktyvos 93/13</w:t>
      </w:r>
      <w:r w:rsidRPr="007344EA">
        <w:t xml:space="preserve"> </w:t>
      </w:r>
      <w:r w:rsidR="003C2F41" w:rsidRPr="007344EA">
        <w:t>3 straipsnio</w:t>
      </w:r>
      <w:r w:rsidRPr="007344EA">
        <w:t xml:space="preserve"> </w:t>
      </w:r>
      <w:r w:rsidR="0045330A" w:rsidRPr="007344EA">
        <w:t xml:space="preserve">2 </w:t>
      </w:r>
      <w:r w:rsidR="003C2F41" w:rsidRPr="007344EA">
        <w:t>dalies</w:t>
      </w:r>
      <w:r w:rsidRPr="007344EA">
        <w:t xml:space="preserve"> tikslas yra nustatyti prezumpciją, pagal kurią yra laikoma, jog vartotojas</w:t>
      </w:r>
      <w:r w:rsidR="005A7CB7" w:rsidRPr="007344EA">
        <w:t xml:space="preserve"> neturėjo įtakos sąlygos esmei t</w:t>
      </w:r>
      <w:r w:rsidRPr="007344EA">
        <w:t xml:space="preserve">uo atveju jei ji </w:t>
      </w:r>
      <w:r w:rsidR="00DD38DD" w:rsidRPr="007344EA">
        <w:t xml:space="preserve">buvo paruošta iš anksto. </w:t>
      </w:r>
      <w:r w:rsidR="00357ECB" w:rsidRPr="007344EA">
        <w:t>Teisės doktrinoje</w:t>
      </w:r>
      <w:r w:rsidR="000D3FF6" w:rsidRPr="007344EA">
        <w:t xml:space="preserve"> pateikiama nuomonė, kad tai yra griežta prezumpcija ir jos negalima paneigti. </w:t>
      </w:r>
      <w:r w:rsidR="007B50F2" w:rsidRPr="007344EA">
        <w:t xml:space="preserve"> Teigti, kad tai yra griežta prezumpcija ir jos paneigti nėra galima</w:t>
      </w:r>
      <w:r w:rsidR="001E4E28" w:rsidRPr="007344EA">
        <w:t>,</w:t>
      </w:r>
      <w:r w:rsidR="007B50F2" w:rsidRPr="007344EA">
        <w:t xml:space="preserve"> būtų per</w:t>
      </w:r>
      <w:r w:rsidR="006E0C2C" w:rsidRPr="007344EA">
        <w:t>nelyg</w:t>
      </w:r>
      <w:r w:rsidR="00357ECB" w:rsidRPr="007344EA">
        <w:t xml:space="preserve"> drąsu.</w:t>
      </w:r>
      <w:r w:rsidR="007B50F2" w:rsidRPr="007344EA">
        <w:t xml:space="preserve"> </w:t>
      </w:r>
      <w:r w:rsidR="000640C5" w:rsidRPr="007344EA">
        <w:t>Kadangi</w:t>
      </w:r>
      <w:r w:rsidR="00DD38DD" w:rsidRPr="007344EA">
        <w:t xml:space="preserve"> pagal Direktyvos 93/13</w:t>
      </w:r>
      <w:r w:rsidR="003C2F41" w:rsidRPr="007344EA">
        <w:t xml:space="preserve"> 3 straipsnio</w:t>
      </w:r>
      <w:r w:rsidR="006E0C2C" w:rsidRPr="007344EA">
        <w:t xml:space="preserve"> 2</w:t>
      </w:r>
      <w:r w:rsidR="00DD38DD" w:rsidRPr="007344EA">
        <w:t xml:space="preserve"> </w:t>
      </w:r>
      <w:r w:rsidR="006E0C2C" w:rsidRPr="007344EA">
        <w:t>d</w:t>
      </w:r>
      <w:r w:rsidR="003C2F41" w:rsidRPr="007344EA">
        <w:t>alies</w:t>
      </w:r>
      <w:r w:rsidR="006E0C2C" w:rsidRPr="007344EA">
        <w:t xml:space="preserve"> prasmę griežta prezumpcija galioja tik </w:t>
      </w:r>
      <w:r w:rsidR="00234640" w:rsidRPr="007344EA">
        <w:t xml:space="preserve">iš anksto suformuluotos </w:t>
      </w:r>
      <w:r w:rsidR="006E0C2C" w:rsidRPr="007344EA">
        <w:rPr>
          <w:i/>
        </w:rPr>
        <w:t>tipinės</w:t>
      </w:r>
      <w:r w:rsidR="006E0C2C" w:rsidRPr="007344EA">
        <w:t xml:space="preserve"> sutarties </w:t>
      </w:r>
      <w:r w:rsidR="00234640" w:rsidRPr="007344EA">
        <w:t xml:space="preserve">atžvilgiu. Laikantis nuostatos, kad griežta prezumpcija taikoma </w:t>
      </w:r>
      <w:r w:rsidR="00234640" w:rsidRPr="007344EA">
        <w:rPr>
          <w:i/>
        </w:rPr>
        <w:t>visų</w:t>
      </w:r>
      <w:r w:rsidR="00234640" w:rsidRPr="007344EA">
        <w:t xml:space="preserve"> iš anksto parengtų sąlygų atžvilgiu, </w:t>
      </w:r>
      <w:r w:rsidR="004A317F" w:rsidRPr="007344EA">
        <w:t>į Direktyvos 93/13  taikymo sritį būtų įtrauktos ir tokio tipo sutarčių sąlygos, kurios nors ir buvo iš anksto parengtos, tačiau v</w:t>
      </w:r>
      <w:r w:rsidR="000F73E6" w:rsidRPr="007344EA">
        <w:t>artotojas galėjo daryti</w:t>
      </w:r>
      <w:r w:rsidR="003C2F41" w:rsidRPr="007344EA">
        <w:t xml:space="preserve"> įtaką jų turiniui, pavyzdžiui,</w:t>
      </w:r>
      <w:r w:rsidR="000F73E6" w:rsidRPr="007344EA">
        <w:t xml:space="preserve"> jei iš anksto par</w:t>
      </w:r>
      <w:r w:rsidR="001E4E28" w:rsidRPr="007344EA">
        <w:t>uošta sutartis suteikia galimybę</w:t>
      </w:r>
      <w:r w:rsidR="000F73E6" w:rsidRPr="007344EA">
        <w:t xml:space="preserve"> vartotojui įrašius tam tikrą informaciją, keisti sutarties sąlygas (šabloninės sutartys).</w:t>
      </w:r>
      <w:r w:rsidR="0075720F" w:rsidRPr="007344EA">
        <w:t xml:space="preserve"> Tokiu atveju teisinis reguliavimas per daug giliai įsiskverbtų į sutarčių laisvės principo sritį ir iš dalies paneigtų šio principo esmę. Žinoma, toks aiškinimas neatima galimybės taikyti nesąžiningumo kontrolę kitoms tos pačios sutarties sąlygoms, kurių esmei vartotojas neturėjo galimybės daryti įtakos. </w:t>
      </w:r>
    </w:p>
    <w:p w:rsidR="009215A6" w:rsidRPr="007344EA" w:rsidRDefault="000640C5" w:rsidP="006E00E1">
      <w:pPr>
        <w:pStyle w:val="Default"/>
        <w:spacing w:line="360" w:lineRule="auto"/>
        <w:ind w:firstLine="1296"/>
        <w:jc w:val="both"/>
      </w:pPr>
      <w:r w:rsidRPr="007344EA">
        <w:t>Apibendrinant galima teigti, kad esminis požymis, jog</w:t>
      </w:r>
      <w:r w:rsidR="0045330A" w:rsidRPr="007344EA">
        <w:t xml:space="preserve"> dėl tam tikros sutarties sąlygos nebuv</w:t>
      </w:r>
      <w:r w:rsidR="000D3FF6" w:rsidRPr="007344EA">
        <w:t>o derėtasi yra vartotojo įtakos</w:t>
      </w:r>
      <w:r w:rsidR="0045330A" w:rsidRPr="007344EA">
        <w:t xml:space="preserve"> neturėjimas sąlygos esmei. </w:t>
      </w:r>
      <w:r w:rsidR="005A7CB7" w:rsidRPr="007344EA">
        <w:t>O tai, kad sutartis buvo paruoš</w:t>
      </w:r>
      <w:r w:rsidR="00BC7D6A" w:rsidRPr="007344EA">
        <w:t>ta iš anksto tik preziumuoja, kad vartotojas net</w:t>
      </w:r>
      <w:r w:rsidR="001E4E28" w:rsidRPr="007344EA">
        <w:t>u</w:t>
      </w:r>
      <w:r w:rsidR="00BC7D6A" w:rsidRPr="007344EA">
        <w:t>rėjo įtakos</w:t>
      </w:r>
      <w:r w:rsidR="0075720F" w:rsidRPr="007344EA">
        <w:t xml:space="preserve"> jos sąlygų</w:t>
      </w:r>
      <w:r w:rsidRPr="007344EA">
        <w:t xml:space="preserve"> esmei ir palengvina įrodinėjimo procesą.</w:t>
      </w:r>
      <w:r w:rsidR="00EC7412" w:rsidRPr="007344EA">
        <w:t xml:space="preserve"> </w:t>
      </w:r>
    </w:p>
    <w:p w:rsidR="00BF10E1" w:rsidRPr="007344EA" w:rsidRDefault="00192A64" w:rsidP="006E00E1">
      <w:pPr>
        <w:pStyle w:val="Default"/>
        <w:spacing w:line="360" w:lineRule="auto"/>
        <w:jc w:val="both"/>
      </w:pPr>
      <w:r w:rsidRPr="007344EA">
        <w:lastRenderedPageBreak/>
        <w:tab/>
      </w:r>
      <w:r w:rsidR="008638C7" w:rsidRPr="007344EA">
        <w:t> </w:t>
      </w:r>
      <w:r w:rsidR="008638C7" w:rsidRPr="007344EA">
        <w:rPr>
          <w:i/>
        </w:rPr>
        <w:t>Sąlygų nesąžiningumo vertinimas nėra susijęs nei su pagrindinio sutarties dalyko apibrėžimu, nei su kainos ir atlygio adekvatumu mainais suteiktoms paslaugoms ar prekėms, jei šios sąlygos pateikiamos aiškia, suprantama kalba</w:t>
      </w:r>
      <w:r w:rsidR="008638C7" w:rsidRPr="007344EA">
        <w:t>.</w:t>
      </w:r>
      <w:r w:rsidR="008638C7" w:rsidRPr="007344EA">
        <w:rPr>
          <w:rStyle w:val="FootnoteReference"/>
        </w:rPr>
        <w:footnoteReference w:id="222"/>
      </w:r>
      <w:r w:rsidR="00BF10E1" w:rsidRPr="007344EA">
        <w:t xml:space="preserve"> Tai </w:t>
      </w:r>
      <w:r w:rsidR="00541531" w:rsidRPr="007344EA">
        <w:t xml:space="preserve">nemažai diskusijų </w:t>
      </w:r>
      <w:r w:rsidR="008638C7" w:rsidRPr="007344EA">
        <w:t>sukelianti D</w:t>
      </w:r>
      <w:r w:rsidR="000D3FF6" w:rsidRPr="007344EA">
        <w:t>irektyvos 93/13 taikymo išimtis, kuri buvo įtraukta antrajame (1992 m</w:t>
      </w:r>
      <w:r w:rsidR="000640C5" w:rsidRPr="007344EA">
        <w:t>etų</w:t>
      </w:r>
      <w:r w:rsidR="000D3FF6" w:rsidRPr="007344EA">
        <w:t>)</w:t>
      </w:r>
      <w:r w:rsidR="008638C7" w:rsidRPr="007344EA">
        <w:t xml:space="preserve"> </w:t>
      </w:r>
      <w:r w:rsidR="000D3FF6" w:rsidRPr="007344EA">
        <w:t xml:space="preserve">Komisijos pasiūlyme. </w:t>
      </w:r>
      <w:r w:rsidR="00BE6124" w:rsidRPr="007344EA">
        <w:t>Taigi ši Direktyvoje 93/13 4 str</w:t>
      </w:r>
      <w:r w:rsidR="006B06A4" w:rsidRPr="007344EA">
        <w:t>aipsnio</w:t>
      </w:r>
      <w:r w:rsidR="00BE6124" w:rsidRPr="007344EA">
        <w:t xml:space="preserve"> 2 d</w:t>
      </w:r>
      <w:r w:rsidR="006B06A4" w:rsidRPr="007344EA">
        <w:t>alyje</w:t>
      </w:r>
      <w:r w:rsidR="00BE6124" w:rsidRPr="007344EA">
        <w:t xml:space="preserve">  </w:t>
      </w:r>
      <w:r w:rsidR="00BE6124" w:rsidRPr="007344EA">
        <w:rPr>
          <w:i/>
        </w:rPr>
        <w:t>expressis verbis</w:t>
      </w:r>
      <w:r w:rsidR="00BE6124" w:rsidRPr="007344EA">
        <w:t xml:space="preserve"> įtvirtinta taikymo srities </w:t>
      </w:r>
      <w:r w:rsidR="00BE6124" w:rsidRPr="007344EA">
        <w:rPr>
          <w:i/>
        </w:rPr>
        <w:t xml:space="preserve">ratione materiale </w:t>
      </w:r>
      <w:r w:rsidR="00BE6124" w:rsidRPr="007344EA">
        <w:t>išimtis susijusi su pagrindinėmis/esminėmis</w:t>
      </w:r>
      <w:r w:rsidR="00B434D9" w:rsidRPr="007344EA">
        <w:t xml:space="preserve"> </w:t>
      </w:r>
      <w:r w:rsidR="00BE6124" w:rsidRPr="007344EA">
        <w:t>(angl.</w:t>
      </w:r>
      <w:r w:rsidR="00224D1C" w:rsidRPr="007344EA">
        <w:t xml:space="preserve"> − </w:t>
      </w:r>
      <w:r w:rsidR="00BE6124" w:rsidRPr="007344EA">
        <w:rPr>
          <w:i/>
        </w:rPr>
        <w:t>core provisions</w:t>
      </w:r>
      <w:r w:rsidR="00BE6124" w:rsidRPr="007344EA">
        <w:t>) sutarčių sąlygomis</w:t>
      </w:r>
      <w:r w:rsidR="00B434D9" w:rsidRPr="007344EA">
        <w:t>. Kitaip tariant</w:t>
      </w:r>
      <w:r w:rsidR="001E4E28" w:rsidRPr="007344EA">
        <w:t>,</w:t>
      </w:r>
      <w:r w:rsidR="00B434D9" w:rsidRPr="007344EA">
        <w:t xml:space="preserve"> tai yra tos sąlygos, be kurių pirkimo</w:t>
      </w:r>
      <w:r w:rsidR="00224D1C" w:rsidRPr="007344EA">
        <w:t xml:space="preserve"> −</w:t>
      </w:r>
      <w:r w:rsidR="00992E9C" w:rsidRPr="007344EA">
        <w:t xml:space="preserve"> </w:t>
      </w:r>
      <w:r w:rsidR="00EA3990" w:rsidRPr="007344EA">
        <w:t>pardavimo ar paslaugų t</w:t>
      </w:r>
      <w:r w:rsidR="00B434D9" w:rsidRPr="007344EA">
        <w:t>i</w:t>
      </w:r>
      <w:r w:rsidR="00EA3990" w:rsidRPr="007344EA">
        <w:t>e</w:t>
      </w:r>
      <w:r w:rsidR="00B434D9" w:rsidRPr="007344EA">
        <w:t>kimo sutartis netektų savo esmės.</w:t>
      </w:r>
      <w:r w:rsidR="009E39B4" w:rsidRPr="007344EA">
        <w:t xml:space="preserve"> </w:t>
      </w:r>
      <w:r w:rsidR="005D6E57" w:rsidRPr="007344EA">
        <w:t>Doktrinoje teigiama, kad „kainos adekvatumas suteiktoms paslaugoms ar prekėms yra paliktas reguliuoti rinkai“</w:t>
      </w:r>
      <w:r w:rsidR="005D6E57" w:rsidRPr="007344EA">
        <w:rPr>
          <w:rStyle w:val="FootnoteReference"/>
        </w:rPr>
        <w:footnoteReference w:id="223"/>
      </w:r>
      <w:r w:rsidR="00D26082" w:rsidRPr="007344EA">
        <w:t>, „reveransas sutarčių laisvės</w:t>
      </w:r>
      <w:r w:rsidR="00224D1C" w:rsidRPr="007344EA">
        <w:t xml:space="preserve"> −</w:t>
      </w:r>
      <w:r w:rsidR="000D3FF6" w:rsidRPr="007344EA">
        <w:t xml:space="preserve"> </w:t>
      </w:r>
      <w:r w:rsidR="00D26082" w:rsidRPr="007344EA">
        <w:t>šalių autonomijos</w:t>
      </w:r>
      <w:r w:rsidR="00224D1C" w:rsidRPr="007344EA">
        <w:t xml:space="preserve"> −</w:t>
      </w:r>
      <w:r w:rsidR="00D26082" w:rsidRPr="007344EA">
        <w:t xml:space="preserve"> principui“</w:t>
      </w:r>
      <w:r w:rsidR="00D26082" w:rsidRPr="007344EA">
        <w:rPr>
          <w:rStyle w:val="FootnoteReference"/>
        </w:rPr>
        <w:footnoteReference w:id="224"/>
      </w:r>
      <w:r w:rsidR="005D6E57" w:rsidRPr="007344EA">
        <w:t>.</w:t>
      </w:r>
      <w:r w:rsidR="007F5082" w:rsidRPr="007344EA">
        <w:t xml:space="preserve"> </w:t>
      </w:r>
      <w:r w:rsidR="00BC7D6A" w:rsidRPr="007344EA">
        <w:t>Taip pat šios išimties tikslą</w:t>
      </w:r>
      <w:r w:rsidR="00D26082" w:rsidRPr="007344EA">
        <w:t>, pasiremdama gausia teisės doktrina,</w:t>
      </w:r>
      <w:r w:rsidR="00BC7D6A" w:rsidRPr="007344EA">
        <w:t xml:space="preserve"> aiškina ir Generalinė advokatė V. Trstenjak pateiktoje išvadoje nagrinėjant bylą </w:t>
      </w:r>
      <w:r w:rsidR="00BC7D6A" w:rsidRPr="007344EA">
        <w:rPr>
          <w:i/>
        </w:rPr>
        <w:t>Caja de Madrid</w:t>
      </w:r>
      <w:r w:rsidR="00BC7D6A" w:rsidRPr="007344EA">
        <w:t>: „</w:t>
      </w:r>
      <w:r w:rsidR="000D3FF6" w:rsidRPr="007344EA">
        <w:t>š</w:t>
      </w:r>
      <w:r w:rsidR="00D26082" w:rsidRPr="007344EA">
        <w:t xml:space="preserve">ios nuostatos vėlesnis įtraukimas į direktyvos pasiūlymą teisės doktrinoje aiškinamas kaip Bendrijos teisės aktų leidėjo kodifikacinio pobūdžio sprendimas, siekiant apsaugoti šalių valios autonomiją. Doktrinoje sutariama, jog šia nuostata buvo siekiama apriboti vartotojų sutarčių sąlygų nesąžiningumo teisminį vertinimą tam, kad būtų užtikrinta šalių laisvė savo nuožiūra tvarkyti tarpusavio santykius ir </w:t>
      </w:r>
      <w:r w:rsidR="00210577" w:rsidRPr="007344EA">
        <w:t xml:space="preserve">kainų bei paslaugų konkurencija </w:t>
      </w:r>
      <w:r w:rsidR="00D26082" w:rsidRPr="007344EA">
        <w:t>paremtos rinkos veiksmingumas. Doktrinoje laikomasi nuomonės, jog Direktyvos 93/13 4 straipsnio 2 dalyje numatytas sutarties sąlygų vertinimo apimties ribojimas grindžiamas su rinkos ekonomika susijusiais argumentais. Pagal pagrindinius liberalios ekonominės sistemos principus</w:t>
      </w:r>
      <w:r w:rsidR="001E4E28" w:rsidRPr="007344EA">
        <w:t>,</w:t>
      </w:r>
      <w:r w:rsidR="00D26082" w:rsidRPr="007344EA">
        <w:t xml:space="preserve"> sutarties šalys savarankiškai nustato prekę ar paslaugą ir atlyginimą, kurių mainų tikslais sudaroma sutartis. Tai atitinka rinkos ir konkurencijos principus, kurie iš dalies taptų neveiksmingi, jei reikėtų atlikti prekių ar paslaugų ir atlyginimo adekvatumo ar ekvivalentiškumo vertinimą, nes pardavėjams ar tiekėjams remiantis šiais principais būtų neįmanoma planuoti savo elgesio rinkoje.”</w:t>
      </w:r>
      <w:r w:rsidR="00D26082" w:rsidRPr="007344EA">
        <w:rPr>
          <w:rStyle w:val="FootnoteReference"/>
        </w:rPr>
        <w:footnoteReference w:id="225"/>
      </w:r>
      <w:r w:rsidR="00F32374" w:rsidRPr="007344EA">
        <w:t xml:space="preserve"> </w:t>
      </w:r>
      <w:r w:rsidR="00BC7D6A" w:rsidRPr="007344EA">
        <w:t xml:space="preserve">Vartotojas neturi būti bendrai apsaugotas nuo nenaudingo </w:t>
      </w:r>
      <w:r w:rsidR="00BF10E1" w:rsidRPr="007344EA">
        <w:t xml:space="preserve">sandorio sudarymo. Atvirkščiai, </w:t>
      </w:r>
      <w:r w:rsidR="00BC7D6A" w:rsidRPr="007344EA">
        <w:t>pagrindinių prievolių atžvilgiu jis laikomas pakankamai apsaugotu konkurencijos</w:t>
      </w:r>
      <w:r w:rsidR="00F32374" w:rsidRPr="007344EA">
        <w:t>.</w:t>
      </w:r>
      <w:r w:rsidR="00BC7D6A" w:rsidRPr="007344EA">
        <w:rPr>
          <w:rStyle w:val="FootnoteReference"/>
        </w:rPr>
        <w:footnoteReference w:id="226"/>
      </w:r>
      <w:r w:rsidR="00BF10E1" w:rsidRPr="007344EA">
        <w:t xml:space="preserve"> </w:t>
      </w:r>
    </w:p>
    <w:p w:rsidR="00BC7D6A" w:rsidRPr="007344EA" w:rsidRDefault="00BF10E1" w:rsidP="006E00E1">
      <w:pPr>
        <w:pStyle w:val="Default"/>
        <w:spacing w:line="360" w:lineRule="auto"/>
        <w:ind w:firstLine="1296"/>
        <w:jc w:val="both"/>
      </w:pPr>
      <w:r w:rsidRPr="007344EA">
        <w:t>Per da</w:t>
      </w:r>
      <w:r w:rsidR="00B15E50" w:rsidRPr="007344EA">
        <w:t>ug nesiplečiant</w:t>
      </w:r>
      <w:r w:rsidR="00EE66D7" w:rsidRPr="007344EA">
        <w:t>,</w:t>
      </w:r>
      <w:r w:rsidR="00B15E50" w:rsidRPr="007344EA">
        <w:t xml:space="preserve"> aiškinant 4 straipsnio 2 dalyje</w:t>
      </w:r>
      <w:r w:rsidRPr="007344EA">
        <w:t xml:space="preserve"> numatytos Direktyvos</w:t>
      </w:r>
      <w:r w:rsidR="000E0F24" w:rsidRPr="007344EA">
        <w:t xml:space="preserve"> 93/13 taikymo išimties tikslą,</w:t>
      </w:r>
      <w:r w:rsidRPr="007344EA">
        <w:t xml:space="preserve"> galima apibendrintai teigti, </w:t>
      </w:r>
      <w:r w:rsidR="000640C5" w:rsidRPr="007344EA">
        <w:t xml:space="preserve">jog </w:t>
      </w:r>
      <w:r w:rsidRPr="007344EA">
        <w:t>ši iši</w:t>
      </w:r>
      <w:r w:rsidR="00210577" w:rsidRPr="007344EA">
        <w:t xml:space="preserve">mtis apima du aspektus: pirma, </w:t>
      </w:r>
      <w:r w:rsidRPr="007344EA">
        <w:t>sąžiningumo</w:t>
      </w:r>
      <w:r w:rsidR="000E0F24" w:rsidRPr="007344EA">
        <w:t xml:space="preserve"> </w:t>
      </w:r>
      <w:r w:rsidRPr="007344EA">
        <w:t xml:space="preserve">nevertinimas sąlygoms susijusioms su pagrindinio sutarties </w:t>
      </w:r>
      <w:r w:rsidR="00210577" w:rsidRPr="007344EA">
        <w:t xml:space="preserve">dalyku, antra, </w:t>
      </w:r>
      <w:r w:rsidRPr="007344EA">
        <w:t>sąžiningumo nevertinimas kainos ir suteiktų prekių ir pas</w:t>
      </w:r>
      <w:r w:rsidR="000640C5" w:rsidRPr="007344EA">
        <w:t>laugų adekvatumui, tačiau abiem</w:t>
      </w:r>
      <w:r w:rsidRPr="007344EA">
        <w:t xml:space="preserve"> šiems aspektams yra būtina sąlyga, kad sąlygos būtų išreikštos aiškia, suprantama kalba. Kitaip tariant </w:t>
      </w:r>
      <w:r w:rsidRPr="007344EA">
        <w:lastRenderedPageBreak/>
        <w:t xml:space="preserve">sąlygos susijusios su pagrindinio dalyko apibrėžimu ir </w:t>
      </w:r>
      <w:r w:rsidR="000D3FF6" w:rsidRPr="007344EA">
        <w:t>kainos adekvatumas</w:t>
      </w:r>
      <w:r w:rsidRPr="007344EA">
        <w:t xml:space="preserve"> patenka į Direktyvoje 93/13 taikymo sritį tik</w:t>
      </w:r>
      <w:r w:rsidR="00210577" w:rsidRPr="007344EA">
        <w:t xml:space="preserve"> tuo</w:t>
      </w:r>
      <w:r w:rsidRPr="007344EA">
        <w:t xml:space="preserve"> atveju, jei jos </w:t>
      </w:r>
      <w:r w:rsidR="00E725AB" w:rsidRPr="007344EA">
        <w:t>nėra</w:t>
      </w:r>
      <w:r w:rsidRPr="007344EA">
        <w:t xml:space="preserve"> suformuluotos aiškia ir suprantama kalba. </w:t>
      </w:r>
    </w:p>
    <w:p w:rsidR="00E725AB" w:rsidRPr="007344EA" w:rsidRDefault="005D6E57" w:rsidP="006E00E1">
      <w:pPr>
        <w:pStyle w:val="Default"/>
        <w:spacing w:line="360" w:lineRule="auto"/>
        <w:jc w:val="both"/>
      </w:pPr>
      <w:r w:rsidRPr="007344EA">
        <w:t xml:space="preserve"> </w:t>
      </w:r>
      <w:r w:rsidR="007F5082" w:rsidRPr="007344EA">
        <w:t xml:space="preserve"> </w:t>
      </w:r>
      <w:r w:rsidR="00192A64" w:rsidRPr="007344EA">
        <w:tab/>
        <w:t>Pirmasis Teisingumo Teismas sprendimas susijęs su šia Direktyvos 93/13 taikymo išimtimi</w:t>
      </w:r>
      <w:r w:rsidR="00F215C5" w:rsidRPr="007344EA">
        <w:t xml:space="preserve"> </w:t>
      </w:r>
      <w:r w:rsidR="00192A64" w:rsidRPr="007344EA">
        <w:t>buvo</w:t>
      </w:r>
      <w:r w:rsidR="00E725AB" w:rsidRPr="007344EA">
        <w:t xml:space="preserve"> </w:t>
      </w:r>
      <w:r w:rsidR="00D718A1" w:rsidRPr="007344EA">
        <w:t xml:space="preserve">priimtas valstybės narės </w:t>
      </w:r>
      <w:r w:rsidR="00192A64" w:rsidRPr="007344EA">
        <w:t xml:space="preserve">įsipareigojimų nevykdymo byloje </w:t>
      </w:r>
      <w:r w:rsidR="00192A64" w:rsidRPr="007344EA">
        <w:rPr>
          <w:i/>
        </w:rPr>
        <w:t>Komisija prieš</w:t>
      </w:r>
      <w:r w:rsidR="006A433A" w:rsidRPr="007344EA">
        <w:rPr>
          <w:i/>
        </w:rPr>
        <w:t xml:space="preserve"> Nyderlandus</w:t>
      </w:r>
      <w:r w:rsidR="006A433A" w:rsidRPr="007344EA">
        <w:t>. Kaip jau minėta skyriuje, analizuojančiame teisminio nagrinėjimo Teisingumo Teisme priežastis, valstybė narė kaltinama tuo, kad į nacionalinę teisę neperkėlė D</w:t>
      </w:r>
      <w:r w:rsidR="00B15E50" w:rsidRPr="007344EA">
        <w:t>irektyvos 5 straipsnio</w:t>
      </w:r>
      <w:r w:rsidR="005C0E18" w:rsidRPr="007344EA">
        <w:t xml:space="preserve"> trečiojo sakinio</w:t>
      </w:r>
      <w:r w:rsidR="00224D1C" w:rsidRPr="007344EA">
        <w:t xml:space="preserve"> −</w:t>
      </w:r>
      <w:r w:rsidR="00B15E50" w:rsidRPr="007344EA">
        <w:t xml:space="preserve"> </w:t>
      </w:r>
      <w:r w:rsidR="00A526C3" w:rsidRPr="007344EA">
        <w:rPr>
          <w:i/>
        </w:rPr>
        <w:t>contra proferentem</w:t>
      </w:r>
      <w:r w:rsidR="00A526C3" w:rsidRPr="007344EA">
        <w:t xml:space="preserve"> </w:t>
      </w:r>
      <w:r w:rsidR="008638C7" w:rsidRPr="007344EA">
        <w:t>taisyklė</w:t>
      </w:r>
      <w:r w:rsidR="00541531" w:rsidRPr="007344EA">
        <w:t xml:space="preserve">s </w:t>
      </w:r>
      <w:r w:rsidR="00D718A1" w:rsidRPr="007344EA">
        <w:t>taikymo išimties</w:t>
      </w:r>
      <w:r w:rsidR="00B15E50" w:rsidRPr="007344EA">
        <w:t xml:space="preserve"> (plačiau apie tai skyriuje „Valstybėms narėms tenkančios pareigos) </w:t>
      </w:r>
      <w:r w:rsidR="00E725AB" w:rsidRPr="007344EA">
        <w:t>ir 4 str</w:t>
      </w:r>
      <w:r w:rsidR="00B15E50" w:rsidRPr="007344EA">
        <w:t>aipsnio 2 dalies</w:t>
      </w:r>
      <w:r w:rsidR="00D718A1" w:rsidRPr="007344EA">
        <w:t xml:space="preserve">, šioje dalyje numatyta </w:t>
      </w:r>
      <w:r w:rsidR="006A433A" w:rsidRPr="007344EA">
        <w:t>Direktyvos 93/13 taikym</w:t>
      </w:r>
      <w:r w:rsidR="008638C7" w:rsidRPr="007344EA">
        <w:t>o išimtis</w:t>
      </w:r>
      <w:r w:rsidR="007F5082" w:rsidRPr="007344EA">
        <w:t xml:space="preserve"> sąlygoms</w:t>
      </w:r>
      <w:r w:rsidR="008638C7" w:rsidRPr="007344EA">
        <w:t>,</w:t>
      </w:r>
      <w:r w:rsidR="007F5082" w:rsidRPr="007344EA">
        <w:t xml:space="preserve"> nustatančioms „kainos ir atlygio adekvatumą mainais suteiktoms paslaugoms ar prekėms</w:t>
      </w:r>
      <w:r w:rsidR="00E725AB" w:rsidRPr="007344EA">
        <w:t>, jei šios sąlygos pateikiamos aiškia, suprantama kalba</w:t>
      </w:r>
      <w:r w:rsidR="007F5082" w:rsidRPr="007344EA">
        <w:t xml:space="preserve">“. </w:t>
      </w:r>
      <w:r w:rsidR="00AA25BD" w:rsidRPr="007344EA">
        <w:t xml:space="preserve">  </w:t>
      </w:r>
    </w:p>
    <w:p w:rsidR="00CA70F3" w:rsidRPr="007344EA" w:rsidRDefault="009625BA" w:rsidP="006E00E1">
      <w:pPr>
        <w:pStyle w:val="Default"/>
        <w:spacing w:line="360" w:lineRule="auto"/>
        <w:jc w:val="both"/>
      </w:pPr>
      <w:r w:rsidRPr="007344EA">
        <w:tab/>
        <w:t xml:space="preserve">Teisingumo Teismas pripažino, kad Nyderlandai netinkamai į nacionalinę teisę perkėlė </w:t>
      </w:r>
      <w:r w:rsidR="00211378" w:rsidRPr="007344EA">
        <w:t>minėtas</w:t>
      </w:r>
      <w:r w:rsidRPr="007344EA">
        <w:t xml:space="preserve"> Direktyvos</w:t>
      </w:r>
      <w:r w:rsidR="001D03FD" w:rsidRPr="007344EA">
        <w:t xml:space="preserve"> 93/13</w:t>
      </w:r>
      <w:r w:rsidRPr="007344EA">
        <w:t xml:space="preserve"> nuostatas</w:t>
      </w:r>
      <w:r w:rsidR="00CA70F3" w:rsidRPr="007344EA">
        <w:t xml:space="preserve">. </w:t>
      </w:r>
      <w:r w:rsidR="00211378" w:rsidRPr="007344EA">
        <w:t>S</w:t>
      </w:r>
      <w:r w:rsidR="00CA70F3" w:rsidRPr="007344EA">
        <w:t>prendimas</w:t>
      </w:r>
      <w:r w:rsidR="00211378" w:rsidRPr="007344EA">
        <w:t xml:space="preserve"> analizuojamoje byloje</w:t>
      </w:r>
      <w:r w:rsidR="00CA70F3" w:rsidRPr="007344EA">
        <w:t xml:space="preserve"> buvo motyvuotas vien tik juridinės technikos taisyklių taikymu. Nei Teismas, nei Generalinis advokatas A. Tizzano nekėlė klausimo </w:t>
      </w:r>
      <w:r w:rsidR="00211378" w:rsidRPr="007344EA">
        <w:t xml:space="preserve">ar </w:t>
      </w:r>
      <w:r w:rsidR="001D03FD" w:rsidRPr="007344EA">
        <w:t xml:space="preserve">šių </w:t>
      </w:r>
      <w:r w:rsidR="00CA70F3" w:rsidRPr="007344EA">
        <w:t xml:space="preserve">normų neperkėlimas yra suderinamas su minimaliu </w:t>
      </w:r>
      <w:r w:rsidR="00952765" w:rsidRPr="007344EA">
        <w:t>Direktyvos 93/13 harmonizavimo pobūdžiu, kuris leidžia valstybėms narėms taikyti aukštesnę vartotojų teisių apsaugą, negu ji</w:t>
      </w:r>
      <w:r w:rsidR="00886DD2" w:rsidRPr="007344EA">
        <w:t xml:space="preserve"> yra numatyta Direktyvoje 93/13</w:t>
      </w:r>
      <w:r w:rsidR="00211378" w:rsidRPr="007344EA">
        <w:t xml:space="preserve"> </w:t>
      </w:r>
      <w:r w:rsidR="00224D1C" w:rsidRPr="007344EA">
        <w:t>−</w:t>
      </w:r>
      <w:r w:rsidR="00EE7031" w:rsidRPr="007344EA">
        <w:t xml:space="preserve"> „valstybės narės turi turėti galimybę, deramai atsižvelgiant į Sutartį, vartotojams suteikti didesnę apsaugą nacionalinėmis nuostatomis, kurios yra griežtesnės už šios direktyvos nuostatas“</w:t>
      </w:r>
      <w:r w:rsidR="00EE7031" w:rsidRPr="007344EA">
        <w:rPr>
          <w:rStyle w:val="FootnoteReference"/>
        </w:rPr>
        <w:footnoteReference w:id="227"/>
      </w:r>
      <w:r w:rsidR="00EE7031" w:rsidRPr="007344EA">
        <w:t>.</w:t>
      </w:r>
    </w:p>
    <w:p w:rsidR="00691295" w:rsidRPr="007344EA" w:rsidRDefault="00EE7031" w:rsidP="006E00E1">
      <w:pPr>
        <w:pStyle w:val="Default"/>
        <w:spacing w:line="360" w:lineRule="auto"/>
        <w:ind w:firstLine="1296"/>
        <w:jc w:val="both"/>
      </w:pPr>
      <w:r w:rsidRPr="007344EA">
        <w:t>Teisingumo Teismas pripažindamas, kad Nyderlandai pažeidė Sutartimis prisiimtus įsipareigojimus, šiuo sprendimu davė aiškią</w:t>
      </w:r>
      <w:r w:rsidR="005D47E8" w:rsidRPr="007344EA">
        <w:t xml:space="preserve"> ir nedviprasmišką</w:t>
      </w:r>
      <w:r w:rsidRPr="007344EA">
        <w:t xml:space="preserve"> žin</w:t>
      </w:r>
      <w:r w:rsidR="00EE66D7" w:rsidRPr="007344EA">
        <w:t>i</w:t>
      </w:r>
      <w:r w:rsidRPr="007344EA">
        <w:t>ą</w:t>
      </w:r>
      <w:r w:rsidR="000640C5" w:rsidRPr="007344EA">
        <w:t xml:space="preserve"> visoms Sąjungos</w:t>
      </w:r>
      <w:r w:rsidRPr="007344EA">
        <w:t xml:space="preserve"> valstybėms narėms</w:t>
      </w:r>
      <w:r w:rsidR="00DC4ACA" w:rsidRPr="007344EA">
        <w:t>, kad Direktyvos 93/13 5 straipsnio</w:t>
      </w:r>
      <w:r w:rsidR="00211378" w:rsidRPr="007344EA">
        <w:t xml:space="preserve"> trečiojo sakinio</w:t>
      </w:r>
      <w:r w:rsidR="00541531" w:rsidRPr="007344EA">
        <w:t xml:space="preserve"> (</w:t>
      </w:r>
      <w:r w:rsidR="00A526C3" w:rsidRPr="007344EA">
        <w:rPr>
          <w:i/>
        </w:rPr>
        <w:t>contra proferentem</w:t>
      </w:r>
      <w:r w:rsidR="00A526C3" w:rsidRPr="007344EA">
        <w:t xml:space="preserve"> </w:t>
      </w:r>
      <w:r w:rsidR="008E1CDA" w:rsidRPr="007344EA">
        <w:t>taisyklės išimties</w:t>
      </w:r>
      <w:r w:rsidR="00541531" w:rsidRPr="007344EA">
        <w:t>)</w:t>
      </w:r>
      <w:r w:rsidR="00691295" w:rsidRPr="007344EA">
        <w:t xml:space="preserve"> ir 4 str</w:t>
      </w:r>
      <w:r w:rsidR="00DC4ACA" w:rsidRPr="007344EA">
        <w:t>aipsnio</w:t>
      </w:r>
      <w:r w:rsidR="00691295" w:rsidRPr="007344EA">
        <w:t xml:space="preserve"> 2</w:t>
      </w:r>
      <w:r w:rsidR="00541531" w:rsidRPr="007344EA">
        <w:t xml:space="preserve"> </w:t>
      </w:r>
      <w:r w:rsidR="00691295" w:rsidRPr="007344EA">
        <w:t>d</w:t>
      </w:r>
      <w:r w:rsidR="00DC4ACA" w:rsidRPr="007344EA">
        <w:t>alies</w:t>
      </w:r>
      <w:r w:rsidR="00691295" w:rsidRPr="007344EA">
        <w:t xml:space="preserve"> neperkėlimas</w:t>
      </w:r>
      <w:r w:rsidR="008E1CDA" w:rsidRPr="007344EA">
        <w:t xml:space="preserve"> į nacionalinę teisę, pažeidžia Sąjungos</w:t>
      </w:r>
      <w:r w:rsidRPr="007344EA">
        <w:t xml:space="preserve"> teisę. </w:t>
      </w:r>
      <w:r w:rsidR="008055AE" w:rsidRPr="007344EA">
        <w:rPr>
          <w:i/>
        </w:rPr>
        <w:t>Inter alia</w:t>
      </w:r>
      <w:r w:rsidR="008055AE" w:rsidRPr="007344EA">
        <w:t xml:space="preserve"> 2000 metais</w:t>
      </w:r>
      <w:r w:rsidR="001D03FD" w:rsidRPr="007344EA">
        <w:t xml:space="preserve"> pateiktoje Komisijos</w:t>
      </w:r>
      <w:r w:rsidR="008055AE" w:rsidRPr="007344EA">
        <w:t xml:space="preserve"> ataskaitoje dėl Direktyvos 93/13 įgyvendinimo valstybių narių teisėje</w:t>
      </w:r>
      <w:r w:rsidR="008055AE" w:rsidRPr="007344EA">
        <w:rPr>
          <w:rStyle w:val="FootnoteReference"/>
        </w:rPr>
        <w:footnoteReference w:id="228"/>
      </w:r>
      <w:r w:rsidR="008055AE" w:rsidRPr="007344EA">
        <w:t xml:space="preserve"> pažymima, kad Danija, Ispanija, Suomija, Liuksemburgas, Portugalija,</w:t>
      </w:r>
      <w:r w:rsidR="00EC75AA" w:rsidRPr="007344EA">
        <w:t xml:space="preserve"> Ispanija</w:t>
      </w:r>
      <w:r w:rsidR="008055AE" w:rsidRPr="007344EA">
        <w:t xml:space="preserve"> </w:t>
      </w:r>
      <w:r w:rsidR="005542A9" w:rsidRPr="007344EA">
        <w:t xml:space="preserve">ir </w:t>
      </w:r>
      <w:r w:rsidR="008055AE" w:rsidRPr="007344EA">
        <w:t>Graikija</w:t>
      </w:r>
      <w:r w:rsidR="00EC75AA" w:rsidRPr="007344EA">
        <w:t xml:space="preserve"> neperkėlė Direktyvos </w:t>
      </w:r>
      <w:r w:rsidR="000839CD" w:rsidRPr="007344EA">
        <w:t>93/13 4 straips</w:t>
      </w:r>
      <w:r w:rsidR="00C14FA0" w:rsidRPr="007344EA">
        <w:t>n</w:t>
      </w:r>
      <w:r w:rsidR="000839CD" w:rsidRPr="007344EA">
        <w:t>io 2 dalyje</w:t>
      </w:r>
      <w:r w:rsidR="00EC75AA" w:rsidRPr="007344EA">
        <w:t xml:space="preserve"> esančios taikymo išimties</w:t>
      </w:r>
      <w:r w:rsidR="00616CD5" w:rsidRPr="007344EA">
        <w:t xml:space="preserve"> dėl kainos ir pagrindinio sutarties dalyko apibrėžimo. Ir jokių problemų dėl šios taikymo išimties </w:t>
      </w:r>
      <w:r w:rsidR="00440985" w:rsidRPr="007344EA">
        <w:rPr>
          <w:i/>
        </w:rPr>
        <w:t xml:space="preserve">ratione materiae </w:t>
      </w:r>
      <w:r w:rsidR="000839CD" w:rsidRPr="007344EA">
        <w:t xml:space="preserve">aspektu </w:t>
      </w:r>
      <w:r w:rsidR="00616CD5" w:rsidRPr="007344EA">
        <w:t xml:space="preserve">neperkėlimo valstybėms narėms </w:t>
      </w:r>
      <w:r w:rsidR="00440985" w:rsidRPr="007344EA">
        <w:t>nekilo</w:t>
      </w:r>
      <w:r w:rsidR="000839CD" w:rsidRPr="007344EA">
        <w:t>, kadangi minėtųjų valstybių narių nacionaliniai teismai nesprendė klausimų susijusių su kainos adekvatumu ar pagrindiniu sutarties dalyku</w:t>
      </w:r>
      <w:r w:rsidR="00475DFA" w:rsidRPr="007344EA">
        <w:t xml:space="preserve">, remdamiesi iš Sąjungos perimtu </w:t>
      </w:r>
      <w:r w:rsidR="00C14FA0" w:rsidRPr="007344EA">
        <w:t xml:space="preserve">nesąžiningų sąlygų reguliavimu. </w:t>
      </w:r>
      <w:r w:rsidR="00925573" w:rsidRPr="007344EA">
        <w:t xml:space="preserve">Taigi, iš šios Komisijos ataskaitos matyti, kad net 7 iš tuo metu buvusių 15  Europos Sąjungos narių nebuvo perkėlusios minėtosios Direktyvos 93/13 taikymo išimties į savo nacionalinė teisę. </w:t>
      </w:r>
      <w:r w:rsidR="00C14FA0" w:rsidRPr="007344EA">
        <w:t xml:space="preserve">O </w:t>
      </w:r>
      <w:r w:rsidR="004A662B" w:rsidRPr="007344EA">
        <w:lastRenderedPageBreak/>
        <w:t xml:space="preserve">Teisingumo Teismas sprendimu </w:t>
      </w:r>
      <w:r w:rsidR="004A662B" w:rsidRPr="007344EA">
        <w:rPr>
          <w:i/>
        </w:rPr>
        <w:t>Komisija prieš Nyderlandus</w:t>
      </w:r>
      <w:r w:rsidR="004A662B" w:rsidRPr="007344EA">
        <w:t xml:space="preserve"> davė aiškią ir nedviprasmišką žin</w:t>
      </w:r>
      <w:r w:rsidR="00EE66D7" w:rsidRPr="007344EA">
        <w:t>i</w:t>
      </w:r>
      <w:r w:rsidR="004A662B" w:rsidRPr="007344EA">
        <w:t xml:space="preserve">ą visoms Sąjungos valstybėms narėms, kad Direktyvos 93/13 4 straipsnio 2 dalyje </w:t>
      </w:r>
      <w:r w:rsidR="00FC628E" w:rsidRPr="007344EA">
        <w:t xml:space="preserve">įtvirtintos taikymo išimties neperkėlimas, </w:t>
      </w:r>
      <w:r w:rsidR="004A662B" w:rsidRPr="007344EA">
        <w:t>kuria nacionaliniams teisma</w:t>
      </w:r>
      <w:r w:rsidR="00EE66D7" w:rsidRPr="007344EA">
        <w:t>m</w:t>
      </w:r>
      <w:r w:rsidR="004A662B" w:rsidRPr="007344EA">
        <w:t>s nesuteikiama galimybė tikrinti sąlygų susijusių su pagrindinio dalyko apibrėžimu ir kainos adekvatumu,</w:t>
      </w:r>
      <w:r w:rsidR="00FC628E" w:rsidRPr="007344EA">
        <w:t xml:space="preserve"> </w:t>
      </w:r>
      <w:r w:rsidR="004A662B" w:rsidRPr="007344EA">
        <w:t xml:space="preserve">jei </w:t>
      </w:r>
      <w:r w:rsidR="00FC628E" w:rsidRPr="007344EA">
        <w:t>jos išreiktos aiškia i</w:t>
      </w:r>
      <w:r w:rsidR="005542A9" w:rsidRPr="007344EA">
        <w:t xml:space="preserve">r suprantama kalba, sąžiningumą, pažeidžia Sutartimis prisiimtus įsipareigojimus. </w:t>
      </w:r>
    </w:p>
    <w:p w:rsidR="008D44D8" w:rsidRPr="007344EA" w:rsidRDefault="008925D6" w:rsidP="006E00E1">
      <w:pPr>
        <w:pStyle w:val="Default"/>
        <w:spacing w:line="360" w:lineRule="auto"/>
        <w:ind w:firstLine="1296"/>
        <w:jc w:val="both"/>
      </w:pPr>
      <w:r w:rsidRPr="007344EA">
        <w:t xml:space="preserve">Tačiau sprendimas byloje </w:t>
      </w:r>
      <w:r w:rsidRPr="007344EA">
        <w:rPr>
          <w:i/>
        </w:rPr>
        <w:t>Caja de Madrid,</w:t>
      </w:r>
      <w:r w:rsidRPr="007344EA">
        <w:t xml:space="preserve"> tokį aiš</w:t>
      </w:r>
      <w:r w:rsidR="005D47E8" w:rsidRPr="007344EA">
        <w:t>kinimą „apvertė aukštyn kojom“.</w:t>
      </w:r>
      <w:r w:rsidR="00975365" w:rsidRPr="007344EA">
        <w:t xml:space="preserve"> Kaip jau minėta, analizuojant teisminio nagrinėjimo priežastis Teisingumo Teisme,  šioje byloje iš esmės kilo klausimas, ar Ispanijoje numatytas teisinis reguliavimas, į kurį nėra p</w:t>
      </w:r>
      <w:r w:rsidR="00DC4ACA" w:rsidRPr="007344EA">
        <w:t>erkeltos Direktyvos 93/13 4 straipsnio 2 dalies</w:t>
      </w:r>
      <w:r w:rsidR="00975365" w:rsidRPr="007344EA">
        <w:t xml:space="preserve"> nuostatos, yra suderinamos su Europos Sąjungos teise.</w:t>
      </w:r>
      <w:r w:rsidR="00E725AB" w:rsidRPr="007344EA">
        <w:t xml:space="preserve"> Lyginant šią bylą su priimtu sprendimu </w:t>
      </w:r>
      <w:r w:rsidR="00E725AB" w:rsidRPr="007344EA">
        <w:rPr>
          <w:i/>
        </w:rPr>
        <w:t xml:space="preserve">Komisija prieš Nyderlandus </w:t>
      </w:r>
      <w:r w:rsidR="00E725AB" w:rsidRPr="007344EA">
        <w:t xml:space="preserve">reikia pažymėti, kad </w:t>
      </w:r>
      <w:r w:rsidR="00975365" w:rsidRPr="007344EA">
        <w:t xml:space="preserve"> </w:t>
      </w:r>
      <w:r w:rsidR="00E725AB" w:rsidRPr="007344EA">
        <w:t>n</w:t>
      </w:r>
      <w:r w:rsidR="00975365" w:rsidRPr="007344EA">
        <w:t xml:space="preserve">ei </w:t>
      </w:r>
      <w:r w:rsidR="00E725AB" w:rsidRPr="007344EA">
        <w:t>Ispanija, nei Nyderlandai</w:t>
      </w:r>
      <w:r w:rsidR="00975365" w:rsidRPr="007344EA">
        <w:t xml:space="preserve"> į nacionalinę teisę</w:t>
      </w:r>
      <w:r w:rsidR="00A82FAB" w:rsidRPr="007344EA">
        <w:t xml:space="preserve"> neperkėlė tos pačios nuostatos:</w:t>
      </w:r>
      <w:r w:rsidR="00975365" w:rsidRPr="007344EA">
        <w:t xml:space="preserve"> </w:t>
      </w:r>
      <w:r w:rsidR="007B1985" w:rsidRPr="007344EA">
        <w:t>„Ispanijos Karalystė į savo teisės sistemą neperkėlė minėto 4 straipsnio 2 dalies</w:t>
      </w:r>
      <w:r w:rsidR="008C5600" w:rsidRPr="007344EA">
        <w:t>.</w:t>
      </w:r>
      <w:r w:rsidR="007B1985" w:rsidRPr="007344EA">
        <w:t>“</w:t>
      </w:r>
      <w:r w:rsidR="007B1985" w:rsidRPr="007344EA">
        <w:rPr>
          <w:rStyle w:val="FootnoteReference"/>
        </w:rPr>
        <w:footnoteReference w:id="229"/>
      </w:r>
      <w:r w:rsidR="005D47E8" w:rsidRPr="007344EA">
        <w:t>; „t</w:t>
      </w:r>
      <w:r w:rsidR="008C5600" w:rsidRPr="007344EA">
        <w:t>uri būti pripažinta, kad neperkeldama į savo nacionalinės teisės sistemą Direktyvos 4 straipsnio 2 dalies ir 5 straipsnio, Nyderlandų Karalystė pažeidė sutartimi prisiimtus įsipareigojimus.“</w:t>
      </w:r>
      <w:r w:rsidR="008C5600" w:rsidRPr="007344EA">
        <w:rPr>
          <w:rStyle w:val="FootnoteReference"/>
        </w:rPr>
        <w:footnoteReference w:id="230"/>
      </w:r>
      <w:r w:rsidR="005D47E8" w:rsidRPr="007344EA">
        <w:t xml:space="preserve"> Atrodo, kad abi situacijos iš esmės analogiškos, t.y. kilusios dėl tos pačios Direktyvos 93/13 nuostatos tik Nyderlandų atveju buvo pradėta įsipareigojimų nevykdymo procedūra, o Ispanijos atveju nacionalinis teismas kreipėsi į Teisingumo Teismą su prašymu priimti prejudicinį sprendimą. </w:t>
      </w:r>
    </w:p>
    <w:p w:rsidR="00824547" w:rsidRPr="007344EA" w:rsidRDefault="00E725AB" w:rsidP="006E00E1">
      <w:pPr>
        <w:pStyle w:val="Default"/>
        <w:spacing w:line="360" w:lineRule="auto"/>
        <w:ind w:firstLine="1296"/>
        <w:jc w:val="both"/>
      </w:pPr>
      <w:r w:rsidRPr="007344EA">
        <w:t>Teisingumo Teismas</w:t>
      </w:r>
      <w:r w:rsidR="00DC4ACA" w:rsidRPr="007344EA">
        <w:t xml:space="preserve"> byloje </w:t>
      </w:r>
      <w:r w:rsidR="00DC4ACA" w:rsidRPr="007344EA">
        <w:rPr>
          <w:i/>
        </w:rPr>
        <w:t>Caje de Madrid</w:t>
      </w:r>
      <w:r w:rsidRPr="007344EA">
        <w:t>, aiškindamas Direktyvos  93/13 4 str</w:t>
      </w:r>
      <w:r w:rsidR="00DC4ACA" w:rsidRPr="007344EA">
        <w:t>aipsnio 2 dalį kartu su</w:t>
      </w:r>
      <w:r w:rsidRPr="007344EA">
        <w:t xml:space="preserve"> 8 str</w:t>
      </w:r>
      <w:r w:rsidR="00DC4ACA" w:rsidRPr="007344EA">
        <w:t>aipsniu</w:t>
      </w:r>
      <w:r w:rsidRPr="007344EA">
        <w:t>, kuris nedraudžia valstybėms narėms numatyti griežtesnį reg</w:t>
      </w:r>
      <w:r w:rsidR="000640C5" w:rsidRPr="007344EA">
        <w:t>uliavimą, negu yra įtvirtintas šioje d</w:t>
      </w:r>
      <w:r w:rsidRPr="007344EA">
        <w:t>irektyvoje, priėjo prie išvados, kad valstybėms narėms yra „leidžiama atlikti sutarties sąlygų nesąžiningumo vertinimą, susijusį su pagrindinio sutarties dalyko apibrėžimu arba su kainos ir atlygio adekvatumu mainais suteiktoms paslaugoms ar prekėms, net jei šios sąlygos pateikiamos aiškia, suprantama kalba“</w:t>
      </w:r>
      <w:r w:rsidRPr="007344EA">
        <w:rPr>
          <w:rStyle w:val="FootnoteReference"/>
        </w:rPr>
        <w:footnoteReference w:id="231"/>
      </w:r>
      <w:r w:rsidR="00B83EC2" w:rsidRPr="007344EA">
        <w:t xml:space="preserve">. </w:t>
      </w:r>
      <w:r w:rsidRPr="007344EA">
        <w:t xml:space="preserve">Teisingumo Teismo argumentacija paremta savita sprendimo </w:t>
      </w:r>
      <w:r w:rsidRPr="007344EA">
        <w:rPr>
          <w:i/>
        </w:rPr>
        <w:t>Komisija prieš Nyderlandus</w:t>
      </w:r>
      <w:r w:rsidRPr="007344EA">
        <w:t xml:space="preserve"> interpretacija: „iš minėto Sprendimo </w:t>
      </w:r>
      <w:r w:rsidRPr="007344EA">
        <w:rPr>
          <w:i/>
          <w:iCs/>
        </w:rPr>
        <w:t xml:space="preserve">Komisija prieš Nyderlandus </w:t>
      </w:r>
      <w:r w:rsidRPr="007344EA">
        <w:t xml:space="preserve">negali būti daroma išvada, jog Teisingumo Teismas pripažino, kad direktyvos 4 straipsnio 2 dalis yra privaloma ir įpareigojanti nuostata, kurią valstybės narės būtinai tokią turi perkelti. Atvirkščiai, Teisingumo Teismas tik nusprendė, kad siekiant užtikrinti </w:t>
      </w:r>
      <w:r w:rsidR="00B83EC2" w:rsidRPr="007344EA">
        <w:t>D</w:t>
      </w:r>
      <w:r w:rsidRPr="007344EA">
        <w:t>irektyva siekiamus vartotojų apsaugos tikslus minėta 4 straipsnio 2 dalis turi būti perkeliama visiškai tam, kad draudimas vertinti sąlygų nesąžiningumą būtų taikomas tik aiškia</w:t>
      </w:r>
      <w:r w:rsidR="003701B4" w:rsidRPr="007344EA">
        <w:t>i</w:t>
      </w:r>
      <w:r w:rsidRPr="007344EA">
        <w:t xml:space="preserve"> ir suprantama kalba pateiktoms sąlygoms”</w:t>
      </w:r>
      <w:r w:rsidRPr="007344EA">
        <w:rPr>
          <w:rStyle w:val="FootnoteReference"/>
        </w:rPr>
        <w:footnoteReference w:id="232"/>
      </w:r>
      <w:r w:rsidRPr="007344EA">
        <w:t xml:space="preserve">. Tačiau tokios išvados negalima daryti </w:t>
      </w:r>
      <w:r w:rsidRPr="007344EA">
        <w:lastRenderedPageBreak/>
        <w:t xml:space="preserve">skaitant sprendimą </w:t>
      </w:r>
      <w:r w:rsidRPr="007344EA">
        <w:rPr>
          <w:i/>
        </w:rPr>
        <w:t>Komisija prieš Nyderlandus</w:t>
      </w:r>
      <w:r w:rsidRPr="007344EA">
        <w:t>, kuriame</w:t>
      </w:r>
      <w:r w:rsidR="006F11BD" w:rsidRPr="007344EA">
        <w:t xml:space="preserve"> buvo</w:t>
      </w:r>
      <w:r w:rsidRPr="007344EA">
        <w:t xml:space="preserve"> nagrinėjimas visos 4 str</w:t>
      </w:r>
      <w:r w:rsidR="00DC4ACA" w:rsidRPr="007344EA">
        <w:t>aipsnio</w:t>
      </w:r>
      <w:r w:rsidRPr="007344EA">
        <w:t xml:space="preserve"> 2 dalies neperkėlimas į nacionalinę teisę, o </w:t>
      </w:r>
      <w:r w:rsidR="00B83EC2" w:rsidRPr="007344EA">
        <w:t>ne tik minėtojo straipsnio vienos dalies elementas</w:t>
      </w:r>
      <w:r w:rsidR="00224D1C" w:rsidRPr="007344EA">
        <w:t xml:space="preserve"> −</w:t>
      </w:r>
      <w:r w:rsidR="00B83EC2" w:rsidRPr="007344EA">
        <w:t xml:space="preserve"> skaidrumo principas.</w:t>
      </w:r>
      <w:r w:rsidR="002344C2" w:rsidRPr="007344EA">
        <w:t xml:space="preserve"> </w:t>
      </w:r>
    </w:p>
    <w:p w:rsidR="005D47E8" w:rsidRPr="007344EA" w:rsidRDefault="00822511" w:rsidP="006E00E1">
      <w:pPr>
        <w:pStyle w:val="Default"/>
        <w:spacing w:line="360" w:lineRule="auto"/>
        <w:ind w:firstLine="1296"/>
        <w:jc w:val="both"/>
      </w:pPr>
      <w:r w:rsidRPr="007344EA">
        <w:t xml:space="preserve">Peršasi išvada, jog </w:t>
      </w:r>
      <w:r w:rsidR="005D47E8" w:rsidRPr="007344EA">
        <w:t xml:space="preserve">Teisingumo Teismas byloje </w:t>
      </w:r>
      <w:r w:rsidR="005D47E8" w:rsidRPr="007344EA">
        <w:rPr>
          <w:i/>
        </w:rPr>
        <w:t>Komisija prieš Nyderlandus</w:t>
      </w:r>
      <w:r w:rsidR="006F11BD" w:rsidRPr="007344EA">
        <w:t xml:space="preserve"> į Direktyvos 93/13 4 straipsnio 2 dalyje</w:t>
      </w:r>
      <w:r w:rsidR="005D47E8" w:rsidRPr="007344EA">
        <w:t xml:space="preserve"> numatytą </w:t>
      </w:r>
      <w:r w:rsidR="005D47E8" w:rsidRPr="007344EA">
        <w:rPr>
          <w:i/>
        </w:rPr>
        <w:t>ratione materiae</w:t>
      </w:r>
      <w:r w:rsidR="005D47E8" w:rsidRPr="007344EA">
        <w:t xml:space="preserve"> taikymo išimties neperkėlimo klausimą pasižiūrėjo pernelyg formaliai, neįvertinęs </w:t>
      </w:r>
      <w:r w:rsidRPr="007344EA">
        <w:t xml:space="preserve">šios </w:t>
      </w:r>
      <w:r w:rsidR="00704E7A" w:rsidRPr="007344EA">
        <w:t>Direktyvos 93/13</w:t>
      </w:r>
      <w:r w:rsidR="008E1CDA" w:rsidRPr="007344EA">
        <w:t xml:space="preserve"> minimalaus suderinamumo pobūdžio</w:t>
      </w:r>
      <w:r w:rsidR="005D47E8" w:rsidRPr="007344EA">
        <w:t xml:space="preserve"> ir neatsižvelgęs į </w:t>
      </w:r>
      <w:r w:rsidR="00817C82" w:rsidRPr="007344EA">
        <w:t xml:space="preserve">visą </w:t>
      </w:r>
      <w:r w:rsidR="005D47E8" w:rsidRPr="007344EA">
        <w:t>Direktyva 93/13 nustatytą teisinio reguliavimo sistemą</w:t>
      </w:r>
      <w:r w:rsidR="00E725AB" w:rsidRPr="007344EA">
        <w:t xml:space="preserve"> arba savo spr</w:t>
      </w:r>
      <w:r w:rsidR="00017C9E" w:rsidRPr="007344EA">
        <w:t xml:space="preserve">endimą suformulavo nepakankamai </w:t>
      </w:r>
      <w:r w:rsidR="00E725AB" w:rsidRPr="007344EA">
        <w:t xml:space="preserve">aiškiai. </w:t>
      </w:r>
      <w:r w:rsidR="005D47E8" w:rsidRPr="007344EA">
        <w:t>Iš kitos pusės ir Nyderlandų vyriausybė</w:t>
      </w:r>
      <w:r w:rsidR="00017C9E" w:rsidRPr="007344EA">
        <w:t>,</w:t>
      </w:r>
      <w:r w:rsidR="005D47E8" w:rsidRPr="007344EA">
        <w:t xml:space="preserve"> gindama savo poziciją </w:t>
      </w:r>
      <w:r w:rsidR="00817C82" w:rsidRPr="007344EA">
        <w:t>Teisingumo Teisme</w:t>
      </w:r>
      <w:r w:rsidR="00017C9E" w:rsidRPr="007344EA">
        <w:t>,</w:t>
      </w:r>
      <w:r w:rsidR="00817C82" w:rsidRPr="007344EA">
        <w:t xml:space="preserve"> </w:t>
      </w:r>
      <w:r w:rsidR="005D47E8" w:rsidRPr="007344EA">
        <w:t xml:space="preserve">neatkreipė Teismo dėmesio į </w:t>
      </w:r>
      <w:r w:rsidR="00865D80" w:rsidRPr="007344EA">
        <w:t>minimalaus suderinamumo aspektą</w:t>
      </w:r>
      <w:r w:rsidR="005D47E8" w:rsidRPr="007344EA">
        <w:t xml:space="preserve"> ir rėmėsi visai kitais argumentais. </w:t>
      </w:r>
      <w:r w:rsidR="00704E7A" w:rsidRPr="007344EA">
        <w:t>Todėl m</w:t>
      </w:r>
      <w:r w:rsidR="00017C9E" w:rsidRPr="007344EA">
        <w:t>an</w:t>
      </w:r>
      <w:r w:rsidR="00E5607B" w:rsidRPr="007344EA">
        <w:t xml:space="preserve">ytina, kad </w:t>
      </w:r>
      <w:r w:rsidR="005D47E8" w:rsidRPr="007344EA">
        <w:rPr>
          <w:i/>
        </w:rPr>
        <w:t>Caja de Madrid</w:t>
      </w:r>
      <w:r w:rsidR="005D47E8" w:rsidRPr="007344EA">
        <w:t xml:space="preserve">  sprendimu Teisingumo Teismas </w:t>
      </w:r>
      <w:r w:rsidR="00017C9E" w:rsidRPr="007344EA">
        <w:t>pakeitė savo praktiką</w:t>
      </w:r>
      <w:r w:rsidR="00704E7A" w:rsidRPr="007344EA">
        <w:t xml:space="preserve"> suformuotą byloje </w:t>
      </w:r>
      <w:r w:rsidR="005D47E8" w:rsidRPr="007344EA">
        <w:rPr>
          <w:i/>
        </w:rPr>
        <w:t>Komisija prieš Nyderlandus</w:t>
      </w:r>
      <w:r w:rsidR="005D47E8" w:rsidRPr="007344EA">
        <w:t>. Žinoma</w:t>
      </w:r>
      <w:r w:rsidR="00E5607B" w:rsidRPr="007344EA">
        <w:t>,</w:t>
      </w:r>
      <w:r w:rsidR="005D47E8" w:rsidRPr="007344EA">
        <w:t xml:space="preserve"> </w:t>
      </w:r>
      <w:r w:rsidRPr="007344EA">
        <w:t xml:space="preserve">Teisingumo </w:t>
      </w:r>
      <w:r w:rsidR="005D47E8" w:rsidRPr="007344EA">
        <w:t>Teismas tik su labai retomis išimtimis pripažįsta klydęs</w:t>
      </w:r>
      <w:r w:rsidR="005D47E8" w:rsidRPr="007344EA">
        <w:rPr>
          <w:rStyle w:val="FootnoteReference"/>
        </w:rPr>
        <w:footnoteReference w:id="233"/>
      </w:r>
      <w:r w:rsidR="005D47E8" w:rsidRPr="007344EA">
        <w:t xml:space="preserve"> ir tuo pagrindu keičiantis savo praktiką. Galbūt reikėjo ir </w:t>
      </w:r>
      <w:r w:rsidR="005D47E8" w:rsidRPr="007344EA">
        <w:rPr>
          <w:i/>
        </w:rPr>
        <w:t>Caja de Madrid</w:t>
      </w:r>
      <w:r w:rsidR="005D47E8" w:rsidRPr="007344EA">
        <w:t xml:space="preserve"> atveju pripažinti savo klaidą byloje </w:t>
      </w:r>
      <w:r w:rsidR="005D47E8" w:rsidRPr="007344EA">
        <w:rPr>
          <w:i/>
        </w:rPr>
        <w:t>Komisija prieš Nyderlandus</w:t>
      </w:r>
      <w:r w:rsidR="00817C82" w:rsidRPr="007344EA">
        <w:t xml:space="preserve"> byloje</w:t>
      </w:r>
      <w:r w:rsidR="002469B8" w:rsidRPr="007344EA">
        <w:t xml:space="preserve">, </w:t>
      </w:r>
      <w:r w:rsidR="005D47E8" w:rsidRPr="007344EA">
        <w:t xml:space="preserve">tuomet ir sprendimas </w:t>
      </w:r>
      <w:r w:rsidR="005D47E8" w:rsidRPr="007344EA">
        <w:rPr>
          <w:i/>
        </w:rPr>
        <w:t xml:space="preserve">Caje de Madrid </w:t>
      </w:r>
      <w:r w:rsidR="005D47E8" w:rsidRPr="007344EA">
        <w:t xml:space="preserve">byloje būtų daug </w:t>
      </w:r>
      <w:r w:rsidR="00607D0F" w:rsidRPr="007344EA">
        <w:t>lengviau suprantamas,</w:t>
      </w:r>
      <w:r w:rsidR="005D47E8" w:rsidRPr="007344EA">
        <w:t xml:space="preserve"> „stipriau“ motyvuotas. Tačiau šiame magistro baigiamajame darbe nagrinėjamai problematikai nėra taip svarbu kokiais </w:t>
      </w:r>
      <w:r w:rsidR="00817C82" w:rsidRPr="007344EA">
        <w:t>argumentais</w:t>
      </w:r>
      <w:r w:rsidR="005D47E8" w:rsidRPr="007344EA">
        <w:t xml:space="preserve"> remdamasis </w:t>
      </w:r>
      <w:r w:rsidR="002469B8" w:rsidRPr="007344EA">
        <w:t xml:space="preserve">Teisingumo </w:t>
      </w:r>
      <w:r w:rsidR="005D47E8" w:rsidRPr="007344EA">
        <w:t>Teismas priėmė savo sprendimą ir tai, kad nepripažino klydęs, svarbiausia yra rezultatas</w:t>
      </w:r>
      <w:r w:rsidR="00224D1C" w:rsidRPr="007344EA">
        <w:t xml:space="preserve"> −</w:t>
      </w:r>
      <w:r w:rsidR="00607D0F" w:rsidRPr="007344EA">
        <w:t xml:space="preserve"> Ispanijos vartotojams suteikiama didesnė apsauga nuo nesąžiningas sąlygas taikančio verslininko. Be kita ko</w:t>
      </w:r>
      <w:r w:rsidR="00817C82" w:rsidRPr="007344EA">
        <w:t xml:space="preserve"> ir Sąjungos valstybės narės nesiba</w:t>
      </w:r>
      <w:r w:rsidR="0068432B" w:rsidRPr="007344EA">
        <w:t>imindamos galimo įsipareigojimų</w:t>
      </w:r>
      <w:r w:rsidR="00817C82" w:rsidRPr="007344EA">
        <w:t xml:space="preserve"> neįvykdymo proceso gali iš savo nacionalinės teisės pašalinti šią vartotojų apsaugos apimtį siaurinančią  Direktyvos 93/13 taikymo išimtį  </w:t>
      </w:r>
      <w:r w:rsidR="00817C82" w:rsidRPr="007344EA">
        <w:rPr>
          <w:i/>
        </w:rPr>
        <w:t>ratione materiae</w:t>
      </w:r>
      <w:r w:rsidR="00817C82" w:rsidRPr="007344EA">
        <w:t xml:space="preserve"> aspektu.  </w:t>
      </w:r>
    </w:p>
    <w:p w:rsidR="00405620" w:rsidRPr="007344EA" w:rsidRDefault="00435428" w:rsidP="00405620">
      <w:pPr>
        <w:pStyle w:val="Default"/>
        <w:spacing w:line="360" w:lineRule="auto"/>
        <w:ind w:firstLine="1296"/>
        <w:jc w:val="both"/>
      </w:pPr>
      <w:r w:rsidRPr="007344EA">
        <w:t>Būtina akcentuoti</w:t>
      </w:r>
      <w:r w:rsidR="00405620" w:rsidRPr="007344EA">
        <w:t xml:space="preserve"> tai</w:t>
      </w:r>
      <w:r w:rsidRPr="007344EA">
        <w:t>,</w:t>
      </w:r>
      <w:r w:rsidR="00405620" w:rsidRPr="007344EA">
        <w:t xml:space="preserve"> kad sprendimu </w:t>
      </w:r>
      <w:r w:rsidR="00405620" w:rsidRPr="007344EA">
        <w:rPr>
          <w:i/>
        </w:rPr>
        <w:t>Caje de Madrid</w:t>
      </w:r>
      <w:r w:rsidR="00017C9E" w:rsidRPr="007344EA">
        <w:t xml:space="preserve"> Teisingumo Teismas</w:t>
      </w:r>
      <w:r w:rsidR="00405620" w:rsidRPr="007344EA">
        <w:t xml:space="preserve"> tik „legalizavo“ tokį valstybių narių pozityvųjį reguliavimą, kuriuo yra leidžiama atlikti sutarties sąlygų nesąžiningumo vertinimą, susijusį su pagrindinio sutarties dalyko apibrėžimu arba su kainos ir atlygio adekvatumu mainais suteiktoms paslaugoms ar prekėms, net jei šios sąlygos pateikiamos aiškia, suprantama kalba. T.y. pripažino, kad minimalus Direktyvos 9</w:t>
      </w:r>
      <w:r w:rsidR="00405620" w:rsidRPr="007344EA">
        <w:rPr>
          <w:lang w:val="en-US"/>
        </w:rPr>
        <w:t>3/13</w:t>
      </w:r>
      <w:r w:rsidR="00405620" w:rsidRPr="007344EA">
        <w:t xml:space="preserve"> pobūdis suderinamas su </w:t>
      </w:r>
      <w:r w:rsidR="00405620" w:rsidRPr="007344EA">
        <w:rPr>
          <w:lang w:val="en-US"/>
        </w:rPr>
        <w:t xml:space="preserve">4 straipsnio </w:t>
      </w:r>
      <w:r w:rsidR="00405620" w:rsidRPr="007344EA">
        <w:t>2 dalyje esančios išimties neperkėlimu į nacionalinę teisę. Bet jokiu būdu šio sprendimo nereikia suprasti, kaip keičiančio Direktyvoje 9</w:t>
      </w:r>
      <w:r w:rsidR="00405620" w:rsidRPr="007344EA">
        <w:rPr>
          <w:lang w:val="en-US"/>
        </w:rPr>
        <w:t xml:space="preserve">3/13 </w:t>
      </w:r>
      <w:r w:rsidRPr="007344EA">
        <w:t xml:space="preserve">įtvirtintą reguliavimą. </w:t>
      </w:r>
      <w:r w:rsidR="008064F6" w:rsidRPr="007344EA">
        <w:t xml:space="preserve">Tik </w:t>
      </w:r>
      <w:r w:rsidR="003E58F9" w:rsidRPr="007344EA">
        <w:t>nacionalinis</w:t>
      </w:r>
      <w:r w:rsidR="008064F6" w:rsidRPr="007344EA">
        <w:t xml:space="preserve"> teisės aktų le</w:t>
      </w:r>
      <w:r w:rsidR="003E58F9" w:rsidRPr="007344EA">
        <w:t xml:space="preserve">idėjas turi </w:t>
      </w:r>
      <w:r w:rsidR="00017C9E" w:rsidRPr="007344EA">
        <w:t>prerogatyvą</w:t>
      </w:r>
      <w:r w:rsidR="008064F6" w:rsidRPr="007344EA">
        <w:t xml:space="preserve"> nuspręsti</w:t>
      </w:r>
      <w:r w:rsidR="003E58F9" w:rsidRPr="007344EA">
        <w:t xml:space="preserve"> ar suteikti vartotojams didesnę</w:t>
      </w:r>
      <w:r w:rsidR="008064F6" w:rsidRPr="007344EA">
        <w:t xml:space="preserve"> apsaugą ir leisti tikrinti sąlygų sąžiningumą, susijusių su pagrindiniu sutarties dalyku ir kainos adekvatumu, jei laikomasi skaidrumo principo, ar ne. </w:t>
      </w:r>
      <w:r w:rsidR="00CD3CFB" w:rsidRPr="007344EA">
        <w:t>V</w:t>
      </w:r>
      <w:r w:rsidR="00405620" w:rsidRPr="007344EA">
        <w:t xml:space="preserve">alstybių </w:t>
      </w:r>
      <w:r w:rsidR="00CD3CFB" w:rsidRPr="007344EA">
        <w:t>narių, kurių</w:t>
      </w:r>
      <w:r w:rsidRPr="007344EA">
        <w:t xml:space="preserve"> </w:t>
      </w:r>
      <w:r w:rsidR="00405620" w:rsidRPr="007344EA">
        <w:t>nacionalinė</w:t>
      </w:r>
      <w:r w:rsidR="00017C9E" w:rsidRPr="007344EA">
        <w:t>je</w:t>
      </w:r>
      <w:r w:rsidR="00405620" w:rsidRPr="007344EA">
        <w:t xml:space="preserve"> teisėje išlieka</w:t>
      </w:r>
      <w:r w:rsidR="00581D12" w:rsidRPr="007344EA">
        <w:t xml:space="preserve"> </w:t>
      </w:r>
      <w:r w:rsidR="00405620" w:rsidRPr="007344EA">
        <w:t>ribojimas</w:t>
      </w:r>
      <w:r w:rsidR="003564FA" w:rsidRPr="007344EA">
        <w:t>,</w:t>
      </w:r>
      <w:r w:rsidR="00405620" w:rsidRPr="007344EA">
        <w:t xml:space="preserve"> nevertinti sąlygų susijusių su pagrindinių </w:t>
      </w:r>
      <w:r w:rsidR="004A49FE" w:rsidRPr="007344EA">
        <w:t>sutarties dalyku</w:t>
      </w:r>
      <w:r w:rsidR="00405620" w:rsidRPr="007344EA">
        <w:t xml:space="preserve"> ar kainos adekvatumu, </w:t>
      </w:r>
      <w:r w:rsidR="004A49FE" w:rsidRPr="007344EA">
        <w:t>kai</w:t>
      </w:r>
      <w:r w:rsidR="00405620" w:rsidRPr="007344EA">
        <w:t xml:space="preserve"> šios sąlygos išreikštos aiškia ir suprantama kalb</w:t>
      </w:r>
      <w:r w:rsidRPr="007344EA">
        <w:t>a, kaip, pavyzdžiui, Lietuvoje</w:t>
      </w:r>
      <w:r w:rsidR="004A49FE" w:rsidRPr="007344EA">
        <w:t xml:space="preserve"> </w:t>
      </w:r>
      <w:r w:rsidR="004A49FE" w:rsidRPr="007344EA">
        <w:lastRenderedPageBreak/>
        <w:t>(</w:t>
      </w:r>
      <w:r w:rsidR="00405620" w:rsidRPr="007344EA">
        <w:t xml:space="preserve">CK </w:t>
      </w:r>
      <w:r w:rsidR="00405620" w:rsidRPr="007344EA">
        <w:rPr>
          <w:lang w:val="en-US"/>
        </w:rPr>
        <w:t>6.188 straipsnio 5 dalis</w:t>
      </w:r>
      <w:r w:rsidR="004A49FE" w:rsidRPr="007344EA">
        <w:t>)</w:t>
      </w:r>
      <w:r w:rsidR="0065483F" w:rsidRPr="007344EA">
        <w:t xml:space="preserve">, </w:t>
      </w:r>
      <w:r w:rsidR="00CC4CD9" w:rsidRPr="007344EA">
        <w:t>vartotojas negalėtų reikalauti</w:t>
      </w:r>
      <w:r w:rsidRPr="007344EA">
        <w:t xml:space="preserve"> </w:t>
      </w:r>
      <w:r w:rsidR="00446F33" w:rsidRPr="007344EA">
        <w:t xml:space="preserve">nacionalinio teismo, tam tikram ginčui netaikyti CK </w:t>
      </w:r>
      <w:r w:rsidR="00446F33" w:rsidRPr="007344EA">
        <w:rPr>
          <w:lang w:val="en-US"/>
        </w:rPr>
        <w:t>6.188 straipsnio 5 dalies</w:t>
      </w:r>
      <w:r w:rsidR="00446F33" w:rsidRPr="007344EA">
        <w:t xml:space="preserve">, remdamasis tuo, kad ši norma </w:t>
      </w:r>
      <w:r w:rsidR="00405620" w:rsidRPr="007344EA">
        <w:t xml:space="preserve">prieštarauja Teisingumo Teismo praktikai, suformuotai byloje </w:t>
      </w:r>
      <w:r w:rsidR="00405620" w:rsidRPr="007344EA">
        <w:rPr>
          <w:i/>
        </w:rPr>
        <w:t>Caje de Madrid</w:t>
      </w:r>
      <w:r w:rsidR="00405620" w:rsidRPr="007344EA">
        <w:t xml:space="preserve">. </w:t>
      </w:r>
      <w:r w:rsidR="0065483F" w:rsidRPr="007344EA">
        <w:t xml:space="preserve">Kadangi, kaip jau minėta, Direktyvos 93/13 </w:t>
      </w:r>
      <w:r w:rsidR="0065483F" w:rsidRPr="007344EA">
        <w:rPr>
          <w:lang w:val="en-US"/>
        </w:rPr>
        <w:t>4 straipsnio 2 d</w:t>
      </w:r>
      <w:r w:rsidR="0065483F" w:rsidRPr="007344EA">
        <w:t xml:space="preserve">alyje esančios sąlygos neperkėlimas į nacionalinė teisę, yra pačios valstybės narės teisės įstatymo leidėjo </w:t>
      </w:r>
      <w:r w:rsidR="00BD3EBE" w:rsidRPr="007344EA">
        <w:t xml:space="preserve">apsisprendimo reikalas. </w:t>
      </w:r>
    </w:p>
    <w:p w:rsidR="002C175C" w:rsidRPr="007344EA" w:rsidRDefault="002C175C" w:rsidP="006E00E1">
      <w:pPr>
        <w:pStyle w:val="Default"/>
        <w:spacing w:line="360" w:lineRule="auto"/>
        <w:ind w:firstLine="1296"/>
        <w:jc w:val="both"/>
      </w:pPr>
      <w:r w:rsidRPr="007344EA">
        <w:t xml:space="preserve">Minėta, kad </w:t>
      </w:r>
      <w:r w:rsidRPr="007344EA">
        <w:rPr>
          <w:i/>
        </w:rPr>
        <w:t>Caje de Madrid</w:t>
      </w:r>
      <w:r w:rsidRPr="007344EA">
        <w:t xml:space="preserve"> </w:t>
      </w:r>
      <w:r w:rsidR="00041AAC" w:rsidRPr="007344EA">
        <w:t>atveju</w:t>
      </w:r>
      <w:r w:rsidRPr="007344EA">
        <w:t xml:space="preserve"> pagrindinėje byloje kilo klausimas</w:t>
      </w:r>
      <w:r w:rsidR="00041AAC" w:rsidRPr="007344EA">
        <w:t xml:space="preserve"> </w:t>
      </w:r>
      <w:r w:rsidRPr="007344EA">
        <w:t>dėl palūkanų apvalinimo sąlygos. Doktrinoje šis Teisingumo Teismo sprendimas kritikuotinas dviem aspektais: „pirma, Teisingumo Teismas nesprendė ar palūkanų apvalinimo sąlyga yra susijusi su pagrindinio sutarties dalyko apibrėžimu</w:t>
      </w:r>
      <w:r w:rsidR="002A03C1" w:rsidRPr="007344EA">
        <w:t xml:space="preserve"> </w:t>
      </w:r>
      <w:r w:rsidRPr="007344EA">
        <w:t>ar kainos ir atlygio adekva</w:t>
      </w:r>
      <w:r w:rsidR="00017C9E" w:rsidRPr="007344EA">
        <w:t>tumu, antra, Teisingumo Teismas</w:t>
      </w:r>
      <w:r w:rsidRPr="007344EA">
        <w:t xml:space="preserve"> nepateikė nacionaliniams teismams išaiškinimo, kaip turi būti suprantamos sąvokos</w:t>
      </w:r>
      <w:r w:rsidR="00224D1C" w:rsidRPr="007344EA">
        <w:t xml:space="preserve"> −</w:t>
      </w:r>
      <w:r w:rsidRPr="007344EA">
        <w:t xml:space="preserve"> </w:t>
      </w:r>
      <w:r w:rsidR="00BB2540" w:rsidRPr="007344EA">
        <w:t xml:space="preserve"> </w:t>
      </w:r>
      <w:r w:rsidRPr="007344EA">
        <w:t>pagrindinio sutarties dalyko apibrėžimas bei kainos ir atlygio adekvatumas“</w:t>
      </w:r>
      <w:r w:rsidRPr="007344EA">
        <w:rPr>
          <w:rStyle w:val="FootnoteReference"/>
        </w:rPr>
        <w:footnoteReference w:id="234"/>
      </w:r>
      <w:r w:rsidRPr="007344EA">
        <w:t>.</w:t>
      </w:r>
      <w:r w:rsidR="00865D80" w:rsidRPr="007344EA">
        <w:t xml:space="preserve"> Taip ir</w:t>
      </w:r>
      <w:r w:rsidR="002E5ED8" w:rsidRPr="007344EA">
        <w:t xml:space="preserve"> lieka neaišku ar </w:t>
      </w:r>
      <w:r w:rsidR="00B2628C" w:rsidRPr="007344EA">
        <w:t>Teisingumo Teismas</w:t>
      </w:r>
      <w:r w:rsidR="0064120E" w:rsidRPr="007344EA">
        <w:t>,</w:t>
      </w:r>
      <w:r w:rsidR="00B2628C" w:rsidRPr="007344EA">
        <w:t xml:space="preserve"> neatskleisdamas </w:t>
      </w:r>
      <w:r w:rsidR="002E5ED8" w:rsidRPr="007344EA">
        <w:t>minėtųjų są</w:t>
      </w:r>
      <w:r w:rsidR="00B2628C" w:rsidRPr="007344EA">
        <w:t xml:space="preserve">vokų </w:t>
      </w:r>
      <w:r w:rsidR="0064120E" w:rsidRPr="007344EA">
        <w:t xml:space="preserve">turinio, leidžia suprasti, kad </w:t>
      </w:r>
      <w:r w:rsidR="00BB2540" w:rsidRPr="007344EA">
        <w:t>nacionaliniai teismai yra kompetenting</w:t>
      </w:r>
      <w:r w:rsidR="00041AAC" w:rsidRPr="007344EA">
        <w:t xml:space="preserve">i kiekvienoje byloje aiškinti šių sąvokų turinį, o jei taip, tai ar tokiu būdu nebus pakenkta vieningam Sąjungos teisės aiškinimui? Tačiau atsižvelgiant į tai, jog Direktyva 93/13  yra minimalaus suderinamumo bei į tai, kad </w:t>
      </w:r>
      <w:r w:rsidR="00041AAC" w:rsidRPr="007344EA">
        <w:rPr>
          <w:i/>
        </w:rPr>
        <w:t>Caje de Madrid</w:t>
      </w:r>
      <w:r w:rsidR="00041AAC" w:rsidRPr="007344EA">
        <w:t xml:space="preserve"> sprendimu Teisingumo Te</w:t>
      </w:r>
      <w:r w:rsidR="00C65285" w:rsidRPr="007344EA">
        <w:t>ismas leidžia valstybėms narėms</w:t>
      </w:r>
      <w:r w:rsidR="00486B88" w:rsidRPr="007344EA">
        <w:t xml:space="preserve"> </w:t>
      </w:r>
      <w:r w:rsidR="00041AAC" w:rsidRPr="007344EA">
        <w:t xml:space="preserve">neperkelti į nacionalinę teisę 4 straipsnio 2 </w:t>
      </w:r>
      <w:r w:rsidR="00865D80" w:rsidRPr="007344EA">
        <w:t>dalyje</w:t>
      </w:r>
      <w:r w:rsidR="00486B88" w:rsidRPr="007344EA">
        <w:t xml:space="preserve"> Direktyvos 93/13 taikymo apribojimo</w:t>
      </w:r>
      <w:r w:rsidR="00A430C4" w:rsidRPr="007344EA">
        <w:t xml:space="preserve"> ir į tai, kad sprendimu </w:t>
      </w:r>
      <w:r w:rsidR="00A430C4" w:rsidRPr="007344EA">
        <w:rPr>
          <w:i/>
        </w:rPr>
        <w:t>Freiburger</w:t>
      </w:r>
      <w:r w:rsidR="00A430C4" w:rsidRPr="007344EA">
        <w:t xml:space="preserve"> Teisingumo Teismas suteikia plačias laisves </w:t>
      </w:r>
      <w:r w:rsidR="00486B88" w:rsidRPr="007344EA">
        <w:t xml:space="preserve">nacionaliniams teismams </w:t>
      </w:r>
      <w:r w:rsidR="00A430C4" w:rsidRPr="007344EA">
        <w:t xml:space="preserve">interpretuoti Direktyvos </w:t>
      </w:r>
      <w:r w:rsidR="00486B88" w:rsidRPr="007344EA">
        <w:t xml:space="preserve">93/13 </w:t>
      </w:r>
      <w:r w:rsidR="00A430C4" w:rsidRPr="007344EA">
        <w:t>nuostatas</w:t>
      </w:r>
      <w:r w:rsidR="00486B88" w:rsidRPr="007344EA">
        <w:t>, manytina, kad nacionalinis teismas kiekvi</w:t>
      </w:r>
      <w:r w:rsidR="00C65285" w:rsidRPr="007344EA">
        <w:t>enu atskiru atveju sprendžia ar</w:t>
      </w:r>
      <w:r w:rsidR="00486B88" w:rsidRPr="007344EA">
        <w:t xml:space="preserve"> konkreti sąlyga yra susijusi su pagrindiniu sutarties dalyko apibrėžimu ar kainos ir atlygio adekvatum</w:t>
      </w:r>
      <w:r w:rsidR="00712D63" w:rsidRPr="007344EA">
        <w:t xml:space="preserve">u, interpretuodamas šias sąlygas vartotojo naudai. </w:t>
      </w:r>
      <w:r w:rsidR="00C65285" w:rsidRPr="007344EA">
        <w:t xml:space="preserve">Nors vėlesniame sprendime </w:t>
      </w:r>
      <w:r w:rsidR="00392953" w:rsidRPr="007344EA">
        <w:rPr>
          <w:bCs/>
          <w:i/>
          <w:lang w:val="pt-PT"/>
        </w:rPr>
        <w:t>Nemzeti</w:t>
      </w:r>
      <w:r w:rsidR="00C65285" w:rsidRPr="007344EA">
        <w:t xml:space="preserve"> Teisingumo Teismas itin smulkiu aspektu pasisakė, kaip yra suprantamas Direktyvoje</w:t>
      </w:r>
      <w:r w:rsidR="00AD4FAA" w:rsidRPr="007344EA">
        <w:t xml:space="preserve"> 9</w:t>
      </w:r>
      <w:r w:rsidR="00AD4FAA" w:rsidRPr="007344EA">
        <w:rPr>
          <w:lang w:val="en-US"/>
        </w:rPr>
        <w:t>3/13</w:t>
      </w:r>
      <w:r w:rsidR="00C65285" w:rsidRPr="007344EA">
        <w:t xml:space="preserve"> įtvirtintas apriboj</w:t>
      </w:r>
      <w:r w:rsidR="00184DF5" w:rsidRPr="007344EA">
        <w:t>i</w:t>
      </w:r>
      <w:r w:rsidR="00C65285" w:rsidRPr="007344EA">
        <w:t>mas d</w:t>
      </w:r>
      <w:r w:rsidR="00AD4FAA" w:rsidRPr="007344EA">
        <w:t>ėl kainos ir atlygio adekvatumo. P</w:t>
      </w:r>
      <w:r w:rsidR="00C65285" w:rsidRPr="007344EA">
        <w:t>rimintina, kad pagrindinėje byloje kilo klausimas dėl sąlygos „jeigu abonentas apmoka sąskaitą pinigine pašto perlaida, paslaugų teikėjas turi teisę pareikalauti apmokėti su tuo susijusias papildomas išlaidas (pavyzdžiui, pašto išlaidas)”</w:t>
      </w:r>
      <w:r w:rsidR="00C65285" w:rsidRPr="007344EA">
        <w:rPr>
          <w:rStyle w:val="FootnoteReference"/>
        </w:rPr>
        <w:footnoteReference w:id="235"/>
      </w:r>
      <w:r w:rsidR="00C65285" w:rsidRPr="007344EA">
        <w:t xml:space="preserve"> </w:t>
      </w:r>
      <w:r w:rsidR="007206EC" w:rsidRPr="007344EA">
        <w:t>nesąžiningumo</w:t>
      </w:r>
      <w:r w:rsidR="00AD4FAA" w:rsidRPr="007344EA">
        <w:t xml:space="preserve">, atsižvelgiant į tai, kad sutartyje nėra aiškaus šių išlaidų apskaičiavimo metodo. </w:t>
      </w:r>
      <w:r w:rsidR="00C65285" w:rsidRPr="007344EA">
        <w:t xml:space="preserve"> </w:t>
      </w:r>
      <w:r w:rsidR="00AD4FAA" w:rsidRPr="007344EA">
        <w:t>Teisingumo</w:t>
      </w:r>
      <w:r w:rsidR="00177C48" w:rsidRPr="007344EA">
        <w:t xml:space="preserve"> </w:t>
      </w:r>
      <w:r w:rsidR="00AD4FAA" w:rsidRPr="007344EA">
        <w:t xml:space="preserve">Teismas pateikė nacionaliniam teismui išaiškinimą, </w:t>
      </w:r>
      <w:r w:rsidR="00C65285" w:rsidRPr="007344EA">
        <w:t>kad „pagal direktyvos 4 straipsnio 2 dalį sąlygų nesąžiningumo vertinimas nesusijęs nei su pagrindinio sutarties dalyko apibrėžimu, nei su kainos ir atlygio adekvatumu mainais suteiktoms paslaugoms ar prekėms, jei šios sąlygos pateikiamos aiškia, suprantama kalba. Tačiau ši išimtis netaikytina sąlygai, pagal kurią nustatomas vartotojui teikiamos paslaugos išlaidų pakeitimo mechanizmas.  Dėl sutarties sąlygos, pagal kurią numatoma pakeisti vartotojui teikiamos paslaugos bendrą kainą, reikia pažymėti, kad, atsižvelgiant į dire</w:t>
      </w:r>
      <w:r w:rsidR="0064120E" w:rsidRPr="007344EA">
        <w:t>ktyvos priedo 1 dalies j ir l</w:t>
      </w:r>
      <w:r w:rsidR="00C65285" w:rsidRPr="007344EA">
        <w:t xml:space="preserve"> punktus bei 2 dalies b ir d punktus, </w:t>
      </w:r>
      <w:r w:rsidR="00C65285" w:rsidRPr="007344EA">
        <w:lastRenderedPageBreak/>
        <w:t>turi būti nurodoma priežastis arba metodas, pagal kurį kinta kainos, o vartotojas turi teisę nutraukti sutartį.</w:t>
      </w:r>
      <w:r w:rsidR="0014259E" w:rsidRPr="007344EA">
        <w:t>”</w:t>
      </w:r>
      <w:r w:rsidR="00C65285" w:rsidRPr="007344EA">
        <w:rPr>
          <w:rStyle w:val="FootnoteReference"/>
        </w:rPr>
        <w:footnoteReference w:id="236"/>
      </w:r>
      <w:r w:rsidR="00FE677E" w:rsidRPr="007344EA">
        <w:t xml:space="preserve"> </w:t>
      </w:r>
      <w:r w:rsidR="00926A6D" w:rsidRPr="007344EA">
        <w:t>Trumpiau tariant šiuo sprendimu Teisingumo Teismas paaiškino, kad</w:t>
      </w:r>
      <w:r w:rsidR="00184DF5" w:rsidRPr="007344EA">
        <w:t xml:space="preserve"> pagal Direktyvos </w:t>
      </w:r>
      <w:r w:rsidR="00184DF5" w:rsidRPr="007344EA">
        <w:rPr>
          <w:lang w:val="en-US"/>
        </w:rPr>
        <w:t xml:space="preserve">93/13 </w:t>
      </w:r>
      <w:r w:rsidR="00184DF5" w:rsidRPr="007344EA">
        <w:t>struktūrą, išimtis dėl kainos adekvatumo, netaikoma tuo atveju, kai nėra numatomas kainos pakeitimo mechanizmas (išlaidų apskaičiavimo metodas) t.y. tokios sąlygos nebuvimas prieštarauja sąžiningumo principui.</w:t>
      </w:r>
    </w:p>
    <w:p w:rsidR="003701B4" w:rsidRPr="007344EA" w:rsidRDefault="00233D3B" w:rsidP="006E00E1">
      <w:pPr>
        <w:pStyle w:val="Default"/>
        <w:spacing w:line="360" w:lineRule="auto"/>
        <w:jc w:val="both"/>
      </w:pPr>
      <w:r w:rsidRPr="007344EA">
        <w:tab/>
      </w:r>
      <w:r w:rsidR="002D560A" w:rsidRPr="007344EA">
        <w:t>Atibendrinant D</w:t>
      </w:r>
      <w:r w:rsidRPr="007344EA">
        <w:t>irektyvos</w:t>
      </w:r>
      <w:r w:rsidR="002D560A" w:rsidRPr="007344EA">
        <w:t xml:space="preserve"> 93/13 taikymo sritį</w:t>
      </w:r>
      <w:r w:rsidRPr="007344EA">
        <w:t xml:space="preserve"> </w:t>
      </w:r>
      <w:r w:rsidRPr="007344EA">
        <w:rPr>
          <w:i/>
        </w:rPr>
        <w:t>ratione materiae</w:t>
      </w:r>
      <w:r w:rsidRPr="007344EA">
        <w:t xml:space="preserve"> atžvilgiu</w:t>
      </w:r>
      <w:r w:rsidR="0064120E" w:rsidRPr="007344EA">
        <w:t>,</w:t>
      </w:r>
      <w:r w:rsidRPr="007344EA">
        <w:t xml:space="preserve"> </w:t>
      </w:r>
      <w:r w:rsidR="00894D01" w:rsidRPr="007344EA">
        <w:t xml:space="preserve">galime daryti šias išvadas. </w:t>
      </w:r>
      <w:r w:rsidR="002D560A" w:rsidRPr="007344EA">
        <w:t>1)</w:t>
      </w:r>
      <w:r w:rsidR="00B704E9" w:rsidRPr="007344EA">
        <w:t xml:space="preserve"> Nors ir Direktyva</w:t>
      </w:r>
      <w:r w:rsidR="002D560A" w:rsidRPr="007344EA">
        <w:t xml:space="preserve"> 93/13</w:t>
      </w:r>
      <w:r w:rsidR="00607D0F" w:rsidRPr="007344EA">
        <w:t xml:space="preserve"> lietuvių kalbine redakcija</w:t>
      </w:r>
      <w:r w:rsidR="002D560A" w:rsidRPr="007344EA">
        <w:t xml:space="preserve"> </w:t>
      </w:r>
      <w:r w:rsidR="002D560A" w:rsidRPr="007344EA">
        <w:rPr>
          <w:i/>
        </w:rPr>
        <w:t>expressis verbis</w:t>
      </w:r>
      <w:r w:rsidR="002D560A" w:rsidRPr="007344EA">
        <w:t xml:space="preserve"> įtvirtina, kad ji taikoma sutartims dėl prekių (kilnojamųjų</w:t>
      </w:r>
      <w:r w:rsidR="00607D0F" w:rsidRPr="007344EA">
        <w:t xml:space="preserve"> daiktų) </w:t>
      </w:r>
      <w:r w:rsidR="002D560A" w:rsidRPr="007344EA">
        <w:t>ir paslaugų, tačiau nemažai Sąjungos valstybių narių, tame tarpe ir Lietuva, taiko nesąžiningumo kontrolę ir sutartims, kurių objektas yra</w:t>
      </w:r>
      <w:r w:rsidR="00D732EF" w:rsidRPr="007344EA">
        <w:t xml:space="preserve"> ir</w:t>
      </w:r>
      <w:r w:rsidR="002D560A" w:rsidRPr="007344EA">
        <w:t xml:space="preserve"> nekilnojamasis daiktas.</w:t>
      </w:r>
      <w:r w:rsidR="00994E54" w:rsidRPr="007344EA">
        <w:t xml:space="preserve"> Tai, kad Direktyvos</w:t>
      </w:r>
      <w:r w:rsidR="005401E7" w:rsidRPr="007344EA">
        <w:t xml:space="preserve"> 93/13</w:t>
      </w:r>
      <w:r w:rsidR="00994E54" w:rsidRPr="007344EA">
        <w:t xml:space="preserve"> nuostatos gali būti taikomas ir sutartims, kurių objektas yra nekilnojamasis </w:t>
      </w:r>
      <w:r w:rsidR="00D732EF" w:rsidRPr="007344EA">
        <w:t>daiktas</w:t>
      </w:r>
      <w:r w:rsidR="0064120E" w:rsidRPr="007344EA">
        <w:t>,</w:t>
      </w:r>
      <w:r w:rsidR="00994E54" w:rsidRPr="007344EA">
        <w:t xml:space="preserve"> nepaneigia ir Teisingumo Teismo sprendimas byloje </w:t>
      </w:r>
      <w:r w:rsidR="00994E54" w:rsidRPr="007344EA">
        <w:rPr>
          <w:i/>
        </w:rPr>
        <w:t>Freiburger</w:t>
      </w:r>
      <w:r w:rsidR="00994E54" w:rsidRPr="007344EA">
        <w:t>.</w:t>
      </w:r>
      <w:r w:rsidR="00B704E9" w:rsidRPr="007344EA">
        <w:t xml:space="preserve"> 2) Nors ir Teisingumo Teismui neteko</w:t>
      </w:r>
      <w:r w:rsidR="00DD6913" w:rsidRPr="007344EA">
        <w:t xml:space="preserve"> </w:t>
      </w:r>
      <w:r w:rsidR="00607D0F" w:rsidRPr="007344EA">
        <w:t xml:space="preserve">išsamiai </w:t>
      </w:r>
      <w:r w:rsidR="00B704E9" w:rsidRPr="007344EA">
        <w:t xml:space="preserve">aiškinti pagrindinės Direktyvos 93/13 </w:t>
      </w:r>
      <w:r w:rsidR="00B704E9" w:rsidRPr="007344EA">
        <w:rPr>
          <w:i/>
        </w:rPr>
        <w:t>ratione materiae</w:t>
      </w:r>
      <w:r w:rsidR="00B704E9" w:rsidRPr="007344EA">
        <w:t xml:space="preserve"> </w:t>
      </w:r>
      <w:r w:rsidR="00DD6913" w:rsidRPr="007344EA">
        <w:t xml:space="preserve">taikymo </w:t>
      </w:r>
      <w:r w:rsidR="00B704E9" w:rsidRPr="007344EA">
        <w:t>išimties</w:t>
      </w:r>
      <w:r w:rsidR="00224D1C" w:rsidRPr="007344EA">
        <w:t xml:space="preserve"> −</w:t>
      </w:r>
      <w:r w:rsidR="00B704E9" w:rsidRPr="007344EA">
        <w:t xml:space="preserve"> „sąlyga dėl kurios nebuvo atskirai derėtasi“, tačiau manytina, kad </w:t>
      </w:r>
      <w:r w:rsidR="00DD6913" w:rsidRPr="007344EA">
        <w:t xml:space="preserve">priešingai nei savo disertacijoje teigia D. Bublienė, </w:t>
      </w:r>
      <w:r w:rsidR="00D732EF" w:rsidRPr="007344EA">
        <w:t>D</w:t>
      </w:r>
      <w:r w:rsidR="00DD6913" w:rsidRPr="007344EA">
        <w:t>irektyv</w:t>
      </w:r>
      <w:r w:rsidR="00D732EF" w:rsidRPr="007344EA">
        <w:t>oje 93/13 nustatytas reguliavimas</w:t>
      </w:r>
      <w:r w:rsidR="00DD6913" w:rsidRPr="007344EA">
        <w:t xml:space="preserve"> reikalauja ne dviejų komulia</w:t>
      </w:r>
      <w:r w:rsidR="00D732EF" w:rsidRPr="007344EA">
        <w:t>tyviai taikomų elementų „p</w:t>
      </w:r>
      <w:r w:rsidR="0064120E" w:rsidRPr="007344EA">
        <w:t>arengta iš anksto“ ir „vartotojas negalėjo daryti įtakos</w:t>
      </w:r>
      <w:r w:rsidR="00D732EF" w:rsidRPr="007344EA">
        <w:t xml:space="preserve"> sąlygos esmei“</w:t>
      </w:r>
      <w:r w:rsidR="00E12791" w:rsidRPr="007344EA">
        <w:t xml:space="preserve">, o tik nustato </w:t>
      </w:r>
      <w:r w:rsidR="0064120E" w:rsidRPr="007344EA">
        <w:t>prezumpciją</w:t>
      </w:r>
      <w:r w:rsidR="00E12791" w:rsidRPr="007344EA">
        <w:t>, kad „iš anksto parengtoms“ sąlygoms vartotojas „negalėjo padaryti įtakos“ jų esmei.</w:t>
      </w:r>
      <w:r w:rsidR="00B704E9" w:rsidRPr="007344EA">
        <w:t xml:space="preserve"> 3</w:t>
      </w:r>
      <w:r w:rsidR="002D560A" w:rsidRPr="007344EA">
        <w:t xml:space="preserve">) </w:t>
      </w:r>
      <w:r w:rsidR="005401E7" w:rsidRPr="007344EA">
        <w:t xml:space="preserve">Pasitvirtino šiame magistro baigiamajame darbe iškelta hipotezė, kad </w:t>
      </w:r>
      <w:r w:rsidR="002D560A" w:rsidRPr="007344EA">
        <w:t xml:space="preserve">Teisingumo Teismas sprendimu </w:t>
      </w:r>
      <w:r w:rsidR="002D560A" w:rsidRPr="007344EA">
        <w:rPr>
          <w:i/>
        </w:rPr>
        <w:t>Caje de Madrid</w:t>
      </w:r>
      <w:r w:rsidR="002D560A" w:rsidRPr="007344EA">
        <w:t xml:space="preserve"> iš</w:t>
      </w:r>
      <w:r w:rsidR="00994E54" w:rsidRPr="007344EA">
        <w:t>plėtė vartotojų apsaugos ribas, suteikdamas galimybę valstybėms narėms tikrinti sutarties sąlygas susijusias su pagrindiniu sutarties dalyku ir kainos adekvatumu</w:t>
      </w:r>
      <w:r w:rsidR="00CE0E7B" w:rsidRPr="007344EA">
        <w:t>, net ir tuomet, kai sąlygos buvo išreikšto</w:t>
      </w:r>
      <w:r w:rsidR="00994E54" w:rsidRPr="007344EA">
        <w:t>s aiškia bei suprantama kalba</w:t>
      </w:r>
      <w:r w:rsidR="005401E7" w:rsidRPr="007344EA">
        <w:t xml:space="preserve">, nors sprendime </w:t>
      </w:r>
      <w:r w:rsidR="005401E7" w:rsidRPr="007344EA">
        <w:rPr>
          <w:i/>
        </w:rPr>
        <w:t>Komisija prieš Nyderlandus</w:t>
      </w:r>
      <w:r w:rsidR="005401E7" w:rsidRPr="007344EA">
        <w:t xml:space="preserve"> </w:t>
      </w:r>
      <w:r w:rsidR="000073B8" w:rsidRPr="007344EA">
        <w:t xml:space="preserve">valstybė narė pripažinta pažeidus pagal Sutartis priimtus įsipareigojimus </w:t>
      </w:r>
      <w:r w:rsidR="0064120E" w:rsidRPr="007344EA">
        <w:t>tuo atžvilgiu, kad į nacionalinę</w:t>
      </w:r>
      <w:r w:rsidR="000073B8" w:rsidRPr="007344EA">
        <w:t xml:space="preserve"> teisę neperkėlė minėtosios nesąžiningumo </w:t>
      </w:r>
      <w:r w:rsidR="006C5AB3" w:rsidRPr="007344EA">
        <w:t>vertinimo</w:t>
      </w:r>
      <w:r w:rsidR="000073B8" w:rsidRPr="007344EA">
        <w:t xml:space="preserve"> išimties</w:t>
      </w:r>
      <w:r w:rsidR="00215523" w:rsidRPr="007344EA">
        <w:t xml:space="preserve">. </w:t>
      </w:r>
    </w:p>
    <w:p w:rsidR="00E725AB" w:rsidRPr="007344EA" w:rsidRDefault="00532BB0" w:rsidP="00532BB0">
      <w:pPr>
        <w:pStyle w:val="Heading2"/>
        <w:rPr>
          <w:rFonts w:ascii="Times New Roman" w:hAnsi="Times New Roman" w:cs="Times New Roman"/>
          <w:color w:val="auto"/>
          <w:sz w:val="24"/>
          <w:szCs w:val="24"/>
        </w:rPr>
      </w:pPr>
      <w:bookmarkStart w:id="19" w:name="_Toc344337167"/>
      <w:r w:rsidRPr="007344EA">
        <w:rPr>
          <w:rFonts w:ascii="Times New Roman" w:hAnsi="Times New Roman" w:cs="Times New Roman"/>
          <w:color w:val="auto"/>
          <w:sz w:val="24"/>
          <w:szCs w:val="24"/>
        </w:rPr>
        <w:t>3.3. Valstybėms narėms tenkančios pareigos</w:t>
      </w:r>
      <w:bookmarkEnd w:id="19"/>
      <w:r w:rsidRPr="007344EA">
        <w:rPr>
          <w:rFonts w:ascii="Times New Roman" w:hAnsi="Times New Roman" w:cs="Times New Roman"/>
          <w:color w:val="auto"/>
          <w:sz w:val="24"/>
          <w:szCs w:val="24"/>
        </w:rPr>
        <w:t xml:space="preserve"> </w:t>
      </w:r>
      <w:r w:rsidR="00E725AB" w:rsidRPr="007344EA">
        <w:rPr>
          <w:rFonts w:ascii="Times New Roman" w:hAnsi="Times New Roman" w:cs="Times New Roman"/>
          <w:color w:val="auto"/>
          <w:sz w:val="24"/>
          <w:szCs w:val="24"/>
        </w:rPr>
        <w:t xml:space="preserve"> </w:t>
      </w:r>
    </w:p>
    <w:p w:rsidR="006355CE" w:rsidRPr="007344EA" w:rsidRDefault="006355CE" w:rsidP="00DC2ABF">
      <w:pPr>
        <w:pStyle w:val="Default"/>
        <w:spacing w:line="360" w:lineRule="auto"/>
        <w:ind w:firstLine="1296"/>
        <w:jc w:val="center"/>
        <w:rPr>
          <w:b/>
        </w:rPr>
      </w:pPr>
    </w:p>
    <w:p w:rsidR="00E725AB" w:rsidRPr="007344EA" w:rsidRDefault="00FC318A" w:rsidP="006E00E1">
      <w:pPr>
        <w:pStyle w:val="Default"/>
        <w:spacing w:line="360" w:lineRule="auto"/>
        <w:ind w:firstLine="1296"/>
        <w:jc w:val="both"/>
      </w:pPr>
      <w:r w:rsidRPr="007344EA">
        <w:t>Galima išskirti dviejų rūšių pareigas</w:t>
      </w:r>
      <w:r w:rsidR="0064120E" w:rsidRPr="007344EA">
        <w:t xml:space="preserve">, </w:t>
      </w:r>
      <w:r w:rsidR="000C4EC8" w:rsidRPr="007344EA">
        <w:t xml:space="preserve">kylančias </w:t>
      </w:r>
      <w:r w:rsidR="006C5AB3" w:rsidRPr="007344EA">
        <w:t xml:space="preserve">valstybėms narėms </w:t>
      </w:r>
      <w:r w:rsidRPr="007344EA">
        <w:t xml:space="preserve">tiesiogiai </w:t>
      </w:r>
      <w:r w:rsidR="006C5AB3" w:rsidRPr="007344EA">
        <w:t xml:space="preserve">iš </w:t>
      </w:r>
      <w:r w:rsidRPr="007344EA">
        <w:t>Direktyvos</w:t>
      </w:r>
      <w:r w:rsidR="00DA6E13" w:rsidRPr="007344EA">
        <w:t xml:space="preserve"> 93/13</w:t>
      </w:r>
      <w:r w:rsidRPr="007344EA">
        <w:t xml:space="preserve"> teksto</w:t>
      </w:r>
      <w:r w:rsidR="0064120E" w:rsidRPr="007344EA">
        <w:t xml:space="preserve"> −</w:t>
      </w:r>
      <w:r w:rsidR="004D3958" w:rsidRPr="007344EA">
        <w:t xml:space="preserve"> tai</w:t>
      </w:r>
      <w:r w:rsidR="009F1DCB" w:rsidRPr="007344EA">
        <w:t xml:space="preserve"> materialinio</w:t>
      </w:r>
      <w:r w:rsidR="000C4EC8" w:rsidRPr="007344EA">
        <w:t xml:space="preserve"> ir procesin</w:t>
      </w:r>
      <w:r w:rsidR="009F1DCB" w:rsidRPr="007344EA">
        <w:t>io</w:t>
      </w:r>
      <w:r w:rsidR="000C4EC8" w:rsidRPr="007344EA">
        <w:t xml:space="preserve"> </w:t>
      </w:r>
      <w:r w:rsidR="00AF5388" w:rsidRPr="007344EA">
        <w:t xml:space="preserve">pobūdžio </w:t>
      </w:r>
      <w:r w:rsidR="000C4EC8" w:rsidRPr="007344EA">
        <w:t>pareigos.</w:t>
      </w:r>
      <w:r w:rsidR="00E725AB" w:rsidRPr="007344EA">
        <w:rPr>
          <w:b/>
        </w:rPr>
        <w:t xml:space="preserve"> </w:t>
      </w:r>
      <w:r w:rsidR="00AF5388" w:rsidRPr="007344EA">
        <w:t>Pareigo</w:t>
      </w:r>
      <w:r w:rsidR="00DA6E13" w:rsidRPr="007344EA">
        <w:t>s</w:t>
      </w:r>
      <w:r w:rsidR="00AF5388" w:rsidRPr="007344EA">
        <w:t>,</w:t>
      </w:r>
      <w:r w:rsidR="00DA6E13" w:rsidRPr="007344EA">
        <w:t xml:space="preserve"> tenkančios valstybėms narėms</w:t>
      </w:r>
      <w:r w:rsidR="00AF5388" w:rsidRPr="007344EA">
        <w:t>,</w:t>
      </w:r>
      <w:r w:rsidR="00DA6E13" w:rsidRPr="007344EA">
        <w:t xml:space="preserve"> į materialinio ir pro</w:t>
      </w:r>
      <w:r w:rsidR="00AF5388" w:rsidRPr="007344EA">
        <w:t>cesinio pobūdžio</w:t>
      </w:r>
      <w:r w:rsidR="0064120E" w:rsidRPr="007344EA">
        <w:t xml:space="preserve"> pareigas,</w:t>
      </w:r>
      <w:r w:rsidR="00DA6E13" w:rsidRPr="007344EA">
        <w:t xml:space="preserve"> išskiriamos pagal valstybių narių Direktyva 93/13 priimtų įsipareigojimų pobūdį, kitais žodžiais tariant, pagal tai, koks yra šių pareigų turinys </w:t>
      </w:r>
      <w:r w:rsidR="00AF5388" w:rsidRPr="007344EA">
        <w:t xml:space="preserve">ir </w:t>
      </w:r>
      <w:r w:rsidR="00DA6E13" w:rsidRPr="007344EA">
        <w:t>ar jos skirtos formaliems</w:t>
      </w:r>
      <w:r w:rsidR="00DA6E13" w:rsidRPr="007344EA">
        <w:rPr>
          <w:rStyle w:val="FootnoteReference"/>
        </w:rPr>
        <w:footnoteReference w:id="237"/>
      </w:r>
      <w:r w:rsidR="00DA6E13" w:rsidRPr="007344EA">
        <w:t xml:space="preserve"> proc</w:t>
      </w:r>
      <w:r w:rsidR="000C4EC8" w:rsidRPr="007344EA">
        <w:t>edūriniams reikalavimams, ar šie</w:t>
      </w:r>
      <w:r w:rsidR="00DA6E13" w:rsidRPr="007344EA">
        <w:t xml:space="preserve"> valstybių narių pri</w:t>
      </w:r>
      <w:r w:rsidR="000C4EC8" w:rsidRPr="007344EA">
        <w:t>imti</w:t>
      </w:r>
      <w:r w:rsidR="00DA6E13" w:rsidRPr="007344EA">
        <w:t xml:space="preserve"> </w:t>
      </w:r>
      <w:r w:rsidR="000C4EC8" w:rsidRPr="007344EA">
        <w:t>įsipareigojimai</w:t>
      </w:r>
      <w:r w:rsidR="00DA6E13" w:rsidRPr="007344EA">
        <w:t xml:space="preserve"> tie</w:t>
      </w:r>
      <w:r w:rsidR="008334C3" w:rsidRPr="007344EA">
        <w:t>siogiai įtakoja vartotojų padėtį</w:t>
      </w:r>
      <w:r w:rsidR="00DA6E13" w:rsidRPr="007344EA">
        <w:t xml:space="preserve">. </w:t>
      </w:r>
      <w:r w:rsidR="00E725AB" w:rsidRPr="007344EA">
        <w:t xml:space="preserve">Iš Direktyvos 93/13 valstybėms </w:t>
      </w:r>
      <w:r w:rsidR="00E725AB" w:rsidRPr="007344EA">
        <w:lastRenderedPageBreak/>
        <w:t>narėms kylančios</w:t>
      </w:r>
      <w:r w:rsidR="00DC259A" w:rsidRPr="007344EA">
        <w:t xml:space="preserve"> materialinio pobūdžio</w:t>
      </w:r>
      <w:r w:rsidR="00E725AB" w:rsidRPr="007344EA">
        <w:t xml:space="preserve"> pareigos įtvirtintos</w:t>
      </w:r>
      <w:r w:rsidR="00DC259A" w:rsidRPr="007344EA">
        <w:t xml:space="preserve"> 6 ir 7 straipsniuose. T</w:t>
      </w:r>
      <w:r w:rsidR="00AF5388" w:rsidRPr="007344EA">
        <w:t xml:space="preserve">uo tarpu </w:t>
      </w:r>
      <w:r w:rsidR="008334C3" w:rsidRPr="007344EA">
        <w:t>procedūrinio pobūdžio pareigos −</w:t>
      </w:r>
      <w:r w:rsidR="00DC259A" w:rsidRPr="007344EA">
        <w:t xml:space="preserve"> 8ª, 9, 10 straipsn</w:t>
      </w:r>
      <w:r w:rsidR="00AF5388" w:rsidRPr="007344EA">
        <w:t>iuose</w:t>
      </w:r>
      <w:r w:rsidR="0059153B" w:rsidRPr="007344EA">
        <w:t>, pastarosios</w:t>
      </w:r>
      <w:r w:rsidR="00DC259A" w:rsidRPr="007344EA">
        <w:t xml:space="preserve"> valstybėms narėms tenkančios par</w:t>
      </w:r>
      <w:r w:rsidR="0004107F" w:rsidRPr="007344EA">
        <w:t>eigos plačiau aptariamos nebus, Teisingumo Teismas tik vienoje byloje</w:t>
      </w:r>
      <w:r w:rsidR="0004107F" w:rsidRPr="007344EA">
        <w:rPr>
          <w:rStyle w:val="FootnoteReference"/>
        </w:rPr>
        <w:footnoteReference w:id="238"/>
      </w:r>
      <w:r w:rsidR="0004107F" w:rsidRPr="007344EA">
        <w:t xml:space="preserve"> aiškino procesinius </w:t>
      </w:r>
      <w:r w:rsidR="00D505D4" w:rsidRPr="007344EA">
        <w:t xml:space="preserve">valstybių narių </w:t>
      </w:r>
      <w:r w:rsidR="0004107F" w:rsidRPr="007344EA">
        <w:t>įsipareigojimus.</w:t>
      </w:r>
      <w:r w:rsidR="00D403C4">
        <w:t xml:space="preserve"> </w:t>
      </w:r>
      <w:r w:rsidR="00401670" w:rsidRPr="007344EA">
        <w:t>Šiame magistro baigiamajame darbe bus analizuoj</w:t>
      </w:r>
      <w:r w:rsidR="0004107F" w:rsidRPr="007344EA">
        <w:t xml:space="preserve">ami tam tikri materialinio pobūdžio pareigų aspektai, išaiškinti ir plačiau atskleisti Teisingumo Teismo praktikoje. </w:t>
      </w:r>
    </w:p>
    <w:p w:rsidR="007344EA" w:rsidRPr="007344EA" w:rsidRDefault="007344EA" w:rsidP="006E00E1">
      <w:pPr>
        <w:pStyle w:val="Default"/>
        <w:spacing w:line="360" w:lineRule="auto"/>
        <w:ind w:firstLine="1296"/>
        <w:jc w:val="both"/>
      </w:pPr>
    </w:p>
    <w:p w:rsidR="00DF6FD4" w:rsidRPr="007344EA" w:rsidRDefault="00532BB0" w:rsidP="00532BB0">
      <w:pPr>
        <w:pStyle w:val="Heading3"/>
        <w:rPr>
          <w:rFonts w:ascii="Times New Roman" w:hAnsi="Times New Roman" w:cs="Times New Roman"/>
          <w:color w:val="auto"/>
          <w:sz w:val="24"/>
          <w:szCs w:val="24"/>
        </w:rPr>
      </w:pPr>
      <w:bookmarkStart w:id="20" w:name="_Toc344337168"/>
      <w:r w:rsidRPr="007344EA">
        <w:rPr>
          <w:rFonts w:ascii="Times New Roman" w:hAnsi="Times New Roman" w:cs="Times New Roman"/>
          <w:color w:val="auto"/>
          <w:sz w:val="24"/>
          <w:szCs w:val="24"/>
          <w:lang w:val="en-US"/>
        </w:rPr>
        <w:t>3.3.</w:t>
      </w:r>
      <w:r w:rsidR="00DF6FD4" w:rsidRPr="007344EA">
        <w:rPr>
          <w:rFonts w:ascii="Times New Roman" w:hAnsi="Times New Roman" w:cs="Times New Roman"/>
          <w:color w:val="auto"/>
          <w:sz w:val="24"/>
          <w:szCs w:val="24"/>
        </w:rPr>
        <w:t>1</w:t>
      </w:r>
      <w:proofErr w:type="gramStart"/>
      <w:r w:rsidRPr="007344EA">
        <w:rPr>
          <w:rFonts w:ascii="Times New Roman" w:hAnsi="Times New Roman" w:cs="Times New Roman"/>
          <w:color w:val="auto"/>
          <w:sz w:val="24"/>
          <w:szCs w:val="24"/>
        </w:rPr>
        <w:t xml:space="preserve">. </w:t>
      </w:r>
      <w:r w:rsidR="00DF6FD4" w:rsidRPr="007344EA">
        <w:rPr>
          <w:rFonts w:ascii="Times New Roman" w:hAnsi="Times New Roman" w:cs="Times New Roman"/>
          <w:color w:val="auto"/>
          <w:sz w:val="24"/>
          <w:szCs w:val="24"/>
        </w:rPr>
        <w:t xml:space="preserve"> </w:t>
      </w:r>
      <w:r w:rsidR="00DF6FD4" w:rsidRPr="007344EA">
        <w:rPr>
          <w:rFonts w:ascii="Times New Roman" w:hAnsi="Times New Roman" w:cs="Times New Roman"/>
          <w:i/>
          <w:color w:val="auto"/>
          <w:sz w:val="24"/>
          <w:szCs w:val="24"/>
        </w:rPr>
        <w:t>Ex</w:t>
      </w:r>
      <w:proofErr w:type="gramEnd"/>
      <w:r w:rsidR="00DF6FD4" w:rsidRPr="007344EA">
        <w:rPr>
          <w:rFonts w:ascii="Times New Roman" w:hAnsi="Times New Roman" w:cs="Times New Roman"/>
          <w:i/>
          <w:color w:val="auto"/>
          <w:sz w:val="24"/>
          <w:szCs w:val="24"/>
        </w:rPr>
        <w:t xml:space="preserve"> officio</w:t>
      </w:r>
      <w:bookmarkEnd w:id="20"/>
      <w:r w:rsidR="00DF6FD4" w:rsidRPr="007344EA">
        <w:rPr>
          <w:rFonts w:ascii="Times New Roman" w:hAnsi="Times New Roman" w:cs="Times New Roman"/>
          <w:i/>
          <w:color w:val="auto"/>
          <w:sz w:val="24"/>
          <w:szCs w:val="24"/>
        </w:rPr>
        <w:t xml:space="preserve"> </w:t>
      </w:r>
    </w:p>
    <w:p w:rsidR="00894D01" w:rsidRPr="007344EA" w:rsidRDefault="00894D01" w:rsidP="006E00E1">
      <w:pPr>
        <w:pStyle w:val="Default"/>
        <w:spacing w:line="360" w:lineRule="auto"/>
        <w:ind w:firstLine="1296"/>
        <w:jc w:val="both"/>
      </w:pPr>
    </w:p>
    <w:p w:rsidR="001B3A03" w:rsidRPr="007344EA" w:rsidRDefault="001B3A03" w:rsidP="006E00E1">
      <w:pPr>
        <w:pStyle w:val="Default"/>
        <w:spacing w:line="360" w:lineRule="auto"/>
        <w:ind w:firstLine="1296"/>
        <w:jc w:val="both"/>
      </w:pPr>
      <w:r w:rsidRPr="007344EA">
        <w:t xml:space="preserve">Direktyvos 93/13 </w:t>
      </w:r>
      <w:r w:rsidR="008D0B49" w:rsidRPr="007344EA">
        <w:t>7 str</w:t>
      </w:r>
      <w:r w:rsidR="00064238" w:rsidRPr="007344EA">
        <w:t>a</w:t>
      </w:r>
      <w:r w:rsidR="008D0B49" w:rsidRPr="007344EA">
        <w:t>ipsnyje</w:t>
      </w:r>
      <w:r w:rsidRPr="007344EA">
        <w:t xml:space="preserve">  numatyta valstybei narei tenkanti pareiga</w:t>
      </w:r>
      <w:r w:rsidR="00224D1C" w:rsidRPr="007344EA">
        <w:t xml:space="preserve"> −</w:t>
      </w:r>
      <w:r w:rsidRPr="007344EA">
        <w:t xml:space="preserve"> </w:t>
      </w:r>
      <w:r w:rsidR="009F1DCB" w:rsidRPr="007344EA">
        <w:t xml:space="preserve">užtikrinti </w:t>
      </w:r>
      <w:r w:rsidRPr="007344EA">
        <w:t>nesąžiningos sąlygos nep</w:t>
      </w:r>
      <w:r w:rsidR="009F1DCB" w:rsidRPr="007344EA">
        <w:t>rivalomumą</w:t>
      </w:r>
      <w:r w:rsidR="003701B4" w:rsidRPr="007344EA">
        <w:t xml:space="preserve"> vartotojui:</w:t>
      </w:r>
      <w:r w:rsidRPr="007344EA">
        <w:t xml:space="preserve"> </w:t>
      </w:r>
    </w:p>
    <w:p w:rsidR="00E725AB" w:rsidRPr="007344EA" w:rsidRDefault="00E725AB" w:rsidP="006E00E1">
      <w:pPr>
        <w:pStyle w:val="Default"/>
        <w:spacing w:line="360" w:lineRule="auto"/>
        <w:ind w:firstLine="1296"/>
        <w:jc w:val="both"/>
        <w:rPr>
          <w:i/>
        </w:rPr>
      </w:pPr>
      <w:r w:rsidRPr="007344EA">
        <w:rPr>
          <w:i/>
        </w:rPr>
        <w:t>1. Valstybės narės užtikrina, kad vartotojų ir konkurentų naudai egzistuotų pakankamos ir veiksmingos priemonės, užkertančios kelią nuolatiniam nesąžiningų sąlygų naudojimui sutartyse, pardavėjų ar tiekėjų sudaromose su vartotojais.</w:t>
      </w:r>
    </w:p>
    <w:p w:rsidR="00E725AB" w:rsidRPr="007344EA" w:rsidRDefault="00E725AB" w:rsidP="006E00E1">
      <w:pPr>
        <w:pStyle w:val="Default"/>
        <w:spacing w:line="360" w:lineRule="auto"/>
        <w:ind w:firstLine="1296"/>
        <w:jc w:val="both"/>
        <w:rPr>
          <w:i/>
        </w:rPr>
      </w:pPr>
      <w:r w:rsidRPr="007344EA">
        <w:rPr>
          <w:i/>
        </w:rPr>
        <w:t>2. Pirmojoje straipsnio dalyje nurodytos priemonės apima nuostatas, pagal kurias asmenys arba organizacijos, pagal nacionalinės teisės aktus turinčios teisėtą interesą apsaugoti vartotojus, gali pagal atitinkamus nacionalinės teisės aktus iškelti bylą teismuose arba kompetentingose administracinėse institucijose, kad būtų priimtas sprendimas dėl to, ar bendram naudojimui parengtos sutarčių sąlygos yra nesąžiningos, ir galėtų būti pritaikytos tinkamos ir veiksmingos priemonės, užkertančios kelią tolesniam tokių sąlygų naudojimui.</w:t>
      </w:r>
    </w:p>
    <w:p w:rsidR="00E725AB" w:rsidRPr="007344EA" w:rsidRDefault="00E725AB" w:rsidP="006E00E1">
      <w:pPr>
        <w:pStyle w:val="Default"/>
        <w:spacing w:line="360" w:lineRule="auto"/>
        <w:ind w:firstLine="1296"/>
        <w:jc w:val="both"/>
      </w:pPr>
      <w:r w:rsidRPr="007344EA">
        <w:t>Taigi, šiame straipsnyje yra n</w:t>
      </w:r>
      <w:r w:rsidR="006B03F4" w:rsidRPr="007344EA">
        <w:t xml:space="preserve">umatytos dviejų rūšių pareigos: </w:t>
      </w:r>
      <w:r w:rsidRPr="007344EA">
        <w:t xml:space="preserve">1) užtikrinti pakankamas ir veiksmingas priemones, užkertančias kelią nuolatiniam nesąžiningų sąlygų naudojimui ir  2) nacionalinių institucijų  teisė/pareiga iškelti </w:t>
      </w:r>
      <w:r w:rsidR="008334C3" w:rsidRPr="007344EA">
        <w:t xml:space="preserve">bylą </w:t>
      </w:r>
      <w:r w:rsidRPr="007344EA">
        <w:t xml:space="preserve">dėl nesąžiningų sąlygų naudojimo sutartyse su vartotojais. Žinoma, </w:t>
      </w:r>
      <w:r w:rsidR="00E5607B" w:rsidRPr="007344EA">
        <w:t xml:space="preserve">galimas ir kiek kitoks šio straipsnio interpretavimas, teigiant, kad </w:t>
      </w:r>
      <w:r w:rsidRPr="007344EA">
        <w:t>valstybei narei yra numatyta tik viena pareiga</w:t>
      </w:r>
      <w:r w:rsidR="00224D1C" w:rsidRPr="007344EA">
        <w:t xml:space="preserve"> −</w:t>
      </w:r>
      <w:r w:rsidRPr="007344EA">
        <w:t xml:space="preserve"> užtikrinti pakankamas ir veiksmingas priemones, kuriomis būtų užkertamas kelias nuolatiniam nesąžiningų sąlygų naudojimui sutartyse, o tam tikrų institucijų galimybė iškelti bylas dėl nesąžiningų sąlygų naudojimo tėra viena iš priemonių šiam tikslui pasiekti.</w:t>
      </w:r>
      <w:r w:rsidR="00E5607B" w:rsidRPr="007344EA">
        <w:t xml:space="preserve"> Tačiau toks požiūris, </w:t>
      </w:r>
      <w:r w:rsidR="008334C3" w:rsidRPr="007344EA">
        <w:t>man</w:t>
      </w:r>
      <w:r w:rsidR="00DC2219" w:rsidRPr="007344EA">
        <w:t>ytina,</w:t>
      </w:r>
      <w:r w:rsidR="00E5607B" w:rsidRPr="007344EA">
        <w:t xml:space="preserve"> neatitinka Teisingumo Teismo praktikoje vystomos vartotojų teisių apsaugos sistemos idėjos, kuria 7 str</w:t>
      </w:r>
      <w:r w:rsidR="002944A9" w:rsidRPr="007344EA">
        <w:t>aipsnio</w:t>
      </w:r>
      <w:r w:rsidR="00E5607B" w:rsidRPr="007344EA">
        <w:t xml:space="preserve"> 1 dalies ir 2 dalies nuostato</w:t>
      </w:r>
      <w:r w:rsidR="002944A9" w:rsidRPr="007344EA">
        <w:t>m</w:t>
      </w:r>
      <w:r w:rsidR="00E5607B" w:rsidRPr="007344EA">
        <w:t>s yra priskiriami skirtingi tikslai</w:t>
      </w:r>
      <w:r w:rsidR="00996B61" w:rsidRPr="007344EA">
        <w:rPr>
          <w:rStyle w:val="FootnoteReference"/>
        </w:rPr>
        <w:footnoteReference w:id="239"/>
      </w:r>
      <w:r w:rsidR="00E5607B" w:rsidRPr="007344EA">
        <w:t>. Ar tai yra dvi</w:t>
      </w:r>
      <w:r w:rsidR="008334C3" w:rsidRPr="007344EA">
        <w:t>,</w:t>
      </w:r>
      <w:r w:rsidR="00E5607B" w:rsidRPr="007344EA">
        <w:t xml:space="preserve"> ar viena valstybei narei nustatyta pareiga nėra svarbu šio magistro baigiamojo darbo problematikai nagrinėti. </w:t>
      </w:r>
      <w:r w:rsidR="008D0B49" w:rsidRPr="007344EA">
        <w:t>Darbe</w:t>
      </w:r>
      <w:r w:rsidR="002944A9" w:rsidRPr="007344EA">
        <w:t xml:space="preserve"> analizuoj</w:t>
      </w:r>
      <w:r w:rsidR="009C064E" w:rsidRPr="007344EA">
        <w:t>a</w:t>
      </w:r>
      <w:r w:rsidR="002944A9" w:rsidRPr="007344EA">
        <w:t>me</w:t>
      </w:r>
      <w:r w:rsidR="00E5607B" w:rsidRPr="007344EA">
        <w:t xml:space="preserve"> šiuos du aspektus (pareigas) atskirai. </w:t>
      </w:r>
    </w:p>
    <w:p w:rsidR="009A0400" w:rsidRPr="007344EA" w:rsidRDefault="00E725AB" w:rsidP="006E00E1">
      <w:pPr>
        <w:pStyle w:val="Default"/>
        <w:spacing w:line="360" w:lineRule="auto"/>
        <w:ind w:firstLine="1296"/>
        <w:jc w:val="both"/>
      </w:pPr>
      <w:r w:rsidRPr="007344EA">
        <w:lastRenderedPageBreak/>
        <w:t>Pirmiausia reikia atsakyti, ka</w:t>
      </w:r>
      <w:r w:rsidR="009C064E" w:rsidRPr="007344EA">
        <w:t>s</w:t>
      </w:r>
      <w:r w:rsidRPr="007344EA">
        <w:t xml:space="preserve"> slypi už</w:t>
      </w:r>
      <w:r w:rsidR="00B206AE" w:rsidRPr="007344EA">
        <w:t xml:space="preserve"> 7 str. 1d. įtvirtinto</w:t>
      </w:r>
      <w:r w:rsidRPr="007344EA">
        <w:t xml:space="preserve"> termino „pakankamos ir veiksmingos priemonės, užkertančios kelią nuolatiniams nesąžiningų</w:t>
      </w:r>
      <w:r w:rsidR="00B206AE" w:rsidRPr="007344EA">
        <w:t xml:space="preserve"> sąlygų naudojimui sutartyse“</w:t>
      </w:r>
      <w:r w:rsidR="009C064E" w:rsidRPr="007344EA">
        <w:t>.</w:t>
      </w:r>
      <w:r w:rsidR="00B206AE" w:rsidRPr="007344EA">
        <w:t xml:space="preserve"> </w:t>
      </w:r>
      <w:r w:rsidRPr="007344EA">
        <w:t>Teisingumo Teismas duoda aiškų atsakymą</w:t>
      </w:r>
      <w:r w:rsidR="00224D1C" w:rsidRPr="007344EA">
        <w:t xml:space="preserve"> −</w:t>
      </w:r>
      <w:r w:rsidRPr="007344EA">
        <w:t xml:space="preserve">  tai nacionalinio teismo galimybė </w:t>
      </w:r>
      <w:r w:rsidRPr="007344EA">
        <w:rPr>
          <w:i/>
        </w:rPr>
        <w:t>ex officio</w:t>
      </w:r>
      <w:r w:rsidRPr="007344EA">
        <w:t xml:space="preserve"> nustatyti sąlygos nesąžiningumą. </w:t>
      </w:r>
      <w:r w:rsidR="003E4ABB" w:rsidRPr="007344EA">
        <w:t xml:space="preserve">Kaip matoma </w:t>
      </w:r>
      <w:r w:rsidR="00242D2E" w:rsidRPr="007344EA">
        <w:t>iš šio magistrinio darbo skyriuje „Bylų, susijusių su Direktyvos 93/13 aiškinimu ar taikymu, iškėlimo priežastys“ pateikto bylų apibendrinimo</w:t>
      </w:r>
      <w:r w:rsidR="009C064E" w:rsidRPr="007344EA">
        <w:t>,</w:t>
      </w:r>
      <w:r w:rsidR="00242D2E" w:rsidRPr="007344EA">
        <w:t xml:space="preserve"> </w:t>
      </w:r>
      <w:r w:rsidRPr="007344EA">
        <w:t>Teisi</w:t>
      </w:r>
      <w:r w:rsidR="00D403C4">
        <w:t>ngumo Teismui teko priimti net 8</w:t>
      </w:r>
      <w:r w:rsidRPr="007344EA">
        <w:t xml:space="preserve"> sprendimus, kuriuose nacionalinis</w:t>
      </w:r>
      <w:r w:rsidR="009C064E" w:rsidRPr="007344EA">
        <w:t xml:space="preserve"> teismas</w:t>
      </w:r>
      <w:r w:rsidRPr="007344EA">
        <w:t xml:space="preserve"> siekė išsiaiškinti tam tikrus aspektus susijusius</w:t>
      </w:r>
      <w:r w:rsidR="00D505D4" w:rsidRPr="007344EA">
        <w:t xml:space="preserve"> </w:t>
      </w:r>
      <w:r w:rsidR="009C064E" w:rsidRPr="007344EA">
        <w:t xml:space="preserve">su </w:t>
      </w:r>
      <w:r w:rsidR="00D505D4" w:rsidRPr="007344EA">
        <w:t>nacionalinio teismo</w:t>
      </w:r>
      <w:r w:rsidRPr="007344EA">
        <w:t xml:space="preserve"> galimybe </w:t>
      </w:r>
      <w:r w:rsidRPr="007344EA">
        <w:rPr>
          <w:i/>
        </w:rPr>
        <w:t>ex officio</w:t>
      </w:r>
      <w:r w:rsidRPr="007344EA">
        <w:t xml:space="preserve"> nustatyti sąlyg</w:t>
      </w:r>
      <w:r w:rsidR="00B206AE" w:rsidRPr="007344EA">
        <w:t>os nesąžiningumą.</w:t>
      </w:r>
      <w:r w:rsidR="00242D2E" w:rsidRPr="007344EA">
        <w:t xml:space="preserve"> </w:t>
      </w:r>
      <w:r w:rsidR="00B105C3" w:rsidRPr="007344EA">
        <w:rPr>
          <w:i/>
        </w:rPr>
        <w:t>Ex officio</w:t>
      </w:r>
      <w:r w:rsidR="00224D1C" w:rsidRPr="007344EA">
        <w:rPr>
          <w:i/>
        </w:rPr>
        <w:t xml:space="preserve"> </w:t>
      </w:r>
      <w:r w:rsidR="00224D1C" w:rsidRPr="007344EA">
        <w:t>−</w:t>
      </w:r>
      <w:r w:rsidR="00B105C3" w:rsidRPr="007344EA">
        <w:t xml:space="preserve"> t</w:t>
      </w:r>
      <w:r w:rsidR="00242D2E" w:rsidRPr="007344EA">
        <w:t>ai plačiausiai Teisingumo Teismo jurisprudencijoje nagrinėta</w:t>
      </w:r>
      <w:r w:rsidR="00B105C3" w:rsidRPr="007344EA">
        <w:t xml:space="preserve"> sritis/kategorija, aiški</w:t>
      </w:r>
      <w:r w:rsidR="006B03F4" w:rsidRPr="007344EA">
        <w:t>na</w:t>
      </w:r>
      <w:r w:rsidR="009C064E" w:rsidRPr="007344EA">
        <w:t>n</w:t>
      </w:r>
      <w:r w:rsidR="006B03F4" w:rsidRPr="007344EA">
        <w:t xml:space="preserve">t Direktyvos 93/13 nuostatas. </w:t>
      </w:r>
    </w:p>
    <w:p w:rsidR="00036FB9" w:rsidRPr="007344EA" w:rsidRDefault="009A0400" w:rsidP="006E00E1">
      <w:pPr>
        <w:pStyle w:val="Default"/>
        <w:spacing w:line="360" w:lineRule="auto"/>
        <w:ind w:firstLine="1296"/>
        <w:jc w:val="both"/>
      </w:pPr>
      <w:r w:rsidRPr="007344EA">
        <w:t xml:space="preserve">Pažymėtina, kad </w:t>
      </w:r>
      <w:r w:rsidRPr="007344EA">
        <w:rPr>
          <w:i/>
        </w:rPr>
        <w:t>e</w:t>
      </w:r>
      <w:r w:rsidR="00036FB9" w:rsidRPr="007344EA">
        <w:rPr>
          <w:i/>
        </w:rPr>
        <w:t>x officio</w:t>
      </w:r>
      <w:r w:rsidR="00064238" w:rsidRPr="007344EA">
        <w:rPr>
          <w:i/>
        </w:rPr>
        <w:t xml:space="preserve"> </w:t>
      </w:r>
      <w:r w:rsidR="00064238" w:rsidRPr="007344EA">
        <w:t xml:space="preserve">teisė nustatyti tam tikros sąlygos nesąžiningumą nėra tiesiogiai minima </w:t>
      </w:r>
      <w:r w:rsidR="00B105C3" w:rsidRPr="007344EA">
        <w:t>Direktyvos</w:t>
      </w:r>
      <w:r w:rsidRPr="007344EA">
        <w:t xml:space="preserve"> 93/13</w:t>
      </w:r>
      <w:r w:rsidR="00B105C3" w:rsidRPr="007344EA">
        <w:t xml:space="preserve"> tekste. Ši teisė </w:t>
      </w:r>
      <w:r w:rsidR="00064238" w:rsidRPr="007344EA">
        <w:t>kildintina</w:t>
      </w:r>
      <w:r w:rsidR="00B105C3" w:rsidRPr="007344EA">
        <w:t xml:space="preserve"> iš 6 straipsnyje</w:t>
      </w:r>
      <w:r w:rsidR="00036FB9" w:rsidRPr="007344EA">
        <w:t xml:space="preserve"> įtvirtinto nesąžiningų sąlygų nepriva</w:t>
      </w:r>
      <w:r w:rsidR="00B105C3" w:rsidRPr="007344EA">
        <w:t>lomumo vartotojams bei iš 7 straipsnyje</w:t>
      </w:r>
      <w:r w:rsidR="00036FB9" w:rsidRPr="007344EA">
        <w:t xml:space="preserve"> valstybėms narėms nustat</w:t>
      </w:r>
      <w:r w:rsidR="00B105C3" w:rsidRPr="007344EA">
        <w:t>yto</w:t>
      </w:r>
      <w:r w:rsidR="00036FB9" w:rsidRPr="007344EA">
        <w:t>s pareigos už</w:t>
      </w:r>
      <w:r w:rsidR="007F4124" w:rsidRPr="007344EA">
        <w:t>k</w:t>
      </w:r>
      <w:r w:rsidR="00036FB9" w:rsidRPr="007344EA">
        <w:t>ir</w:t>
      </w:r>
      <w:r w:rsidR="006A5B73" w:rsidRPr="007344EA">
        <w:t>s</w:t>
      </w:r>
      <w:r w:rsidR="00036FB9" w:rsidRPr="007344EA">
        <w:t>ti kelią nuolatinia</w:t>
      </w:r>
      <w:r w:rsidRPr="007344EA">
        <w:t>m nesąžiningų sąlygų naudojimui</w:t>
      </w:r>
      <w:r w:rsidR="00064238" w:rsidRPr="007344EA">
        <w:t xml:space="preserve">. </w:t>
      </w:r>
      <w:r w:rsidRPr="007344EA">
        <w:t>Teisingumo Teismo praktika, aiškinanti Direktyv</w:t>
      </w:r>
      <w:r w:rsidR="009C064E" w:rsidRPr="007344EA">
        <w:t>ą</w:t>
      </w:r>
      <w:r w:rsidRPr="007344EA">
        <w:t xml:space="preserve"> 93/13</w:t>
      </w:r>
      <w:r w:rsidR="009C064E" w:rsidRPr="007344EA">
        <w:t>,</w:t>
      </w:r>
      <w:r w:rsidRPr="007344EA">
        <w:t xml:space="preserve"> vystėsi laipsniškai,</w:t>
      </w:r>
      <w:r w:rsidR="00054741" w:rsidRPr="007344EA">
        <w:t xml:space="preserve"> </w:t>
      </w:r>
      <w:r w:rsidRPr="007344EA">
        <w:t xml:space="preserve">suformuodama kazuistinio pobūdžio taisykles, </w:t>
      </w:r>
      <w:r w:rsidR="00054741" w:rsidRPr="007344EA">
        <w:t xml:space="preserve"> tačiau dėl praktikos gausos jau galima</w:t>
      </w:r>
      <w:r w:rsidR="00671D06" w:rsidRPr="007344EA">
        <w:t xml:space="preserve"> išvesti</w:t>
      </w:r>
      <w:r w:rsidR="00054741" w:rsidRPr="007344EA">
        <w:t xml:space="preserve"> apibendrinančio pobūdžio taisykles. </w:t>
      </w:r>
    </w:p>
    <w:p w:rsidR="00482F7C" w:rsidRPr="007344EA" w:rsidRDefault="00B206AE" w:rsidP="006E00E1">
      <w:pPr>
        <w:pStyle w:val="Default"/>
        <w:spacing w:line="360" w:lineRule="auto"/>
        <w:ind w:firstLine="1296"/>
        <w:jc w:val="both"/>
      </w:pPr>
      <w:r w:rsidRPr="007344EA">
        <w:t>Pirma</w:t>
      </w:r>
      <w:r w:rsidR="00D0159F" w:rsidRPr="007344EA">
        <w:t>sis Teisingumo Teismo</w:t>
      </w:r>
      <w:r w:rsidRPr="007344EA">
        <w:t xml:space="preserve"> sprendimas, aiškinantis nacionalinio teismo galimybę </w:t>
      </w:r>
      <w:r w:rsidRPr="007344EA">
        <w:rPr>
          <w:i/>
        </w:rPr>
        <w:t>ex officio</w:t>
      </w:r>
      <w:r w:rsidRPr="007344EA">
        <w:t xml:space="preserve"> pripažinti tam tikras sutarčių sąlygas nesąžiningomis</w:t>
      </w:r>
      <w:r w:rsidR="009C064E" w:rsidRPr="007344EA">
        <w:t>,</w:t>
      </w:r>
      <w:r w:rsidR="00D44250" w:rsidRPr="007344EA">
        <w:t xml:space="preserve"> buvo</w:t>
      </w:r>
      <w:r w:rsidRPr="007344EA">
        <w:t xml:space="preserve"> priimtas byloje </w:t>
      </w:r>
      <w:r w:rsidR="00D0159F" w:rsidRPr="007344EA">
        <w:rPr>
          <w:i/>
        </w:rPr>
        <w:t>Oceano</w:t>
      </w:r>
      <w:r w:rsidR="00D0159F" w:rsidRPr="007344EA">
        <w:rPr>
          <w:rStyle w:val="FootnoteReference"/>
        </w:rPr>
        <w:footnoteReference w:id="240"/>
      </w:r>
      <w:r w:rsidR="00D0159F" w:rsidRPr="007344EA">
        <w:t xml:space="preserve">. Primintina, kad šioje byloje buvo klausiama dėl nacionalinio teismo galimybės </w:t>
      </w:r>
      <w:r w:rsidR="00D0159F" w:rsidRPr="007344EA">
        <w:rPr>
          <w:i/>
        </w:rPr>
        <w:t>ex officio</w:t>
      </w:r>
      <w:r w:rsidR="00D0159F" w:rsidRPr="007344EA">
        <w:t xml:space="preserve"> pripažinti jurisdikcijos išlygą</w:t>
      </w:r>
      <w:r w:rsidR="00DA6BF5" w:rsidRPr="007344EA">
        <w:t xml:space="preserve"> (sutartinį teismingumą)</w:t>
      </w:r>
      <w:r w:rsidR="00D0159F" w:rsidRPr="007344EA">
        <w:t xml:space="preserve"> nustatančią sąlygą nesąžininga</w:t>
      </w:r>
      <w:r w:rsidR="00352EF7" w:rsidRPr="007344EA">
        <w:t xml:space="preserve"> pirmini</w:t>
      </w:r>
      <w:r w:rsidR="00D403C4">
        <w:t xml:space="preserve">o bylos įvertinimo metu, t.y. </w:t>
      </w:r>
      <w:r w:rsidR="00D44250" w:rsidRPr="007344EA">
        <w:t>dar nepr</w:t>
      </w:r>
      <w:r w:rsidR="00D403C4">
        <w:t>adėjus jos nagrinėjimo iš esmės, jei</w:t>
      </w:r>
      <w:r w:rsidR="00D44250" w:rsidRPr="007344EA">
        <w:t xml:space="preserve"> paga</w:t>
      </w:r>
      <w:r w:rsidR="00352EF7" w:rsidRPr="007344EA">
        <w:t>l nacionalinės teisės nuostatas</w:t>
      </w:r>
      <w:r w:rsidR="00D403C4">
        <w:t xml:space="preserve"> toks nesąžiningumo vertinimas buvo negalimas</w:t>
      </w:r>
      <w:r w:rsidR="00352EF7" w:rsidRPr="007344EA">
        <w:t>. Koks yra sąvokos „pirminis bylos įvertinimas“ (angl.</w:t>
      </w:r>
      <w:r w:rsidR="00224D1C" w:rsidRPr="007344EA">
        <w:t xml:space="preserve"> −</w:t>
      </w:r>
      <w:r w:rsidR="00352EF7" w:rsidRPr="007344EA">
        <w:t xml:space="preserve"> </w:t>
      </w:r>
      <w:r w:rsidR="00352EF7" w:rsidRPr="007344EA">
        <w:rPr>
          <w:i/>
        </w:rPr>
        <w:t>making its preliminary assessment</w:t>
      </w:r>
      <w:r w:rsidR="006B03F4" w:rsidRPr="007344EA">
        <w:t>)</w:t>
      </w:r>
      <w:r w:rsidR="002944A9" w:rsidRPr="007344EA">
        <w:t xml:space="preserve"> </w:t>
      </w:r>
      <w:r w:rsidR="00352EF7" w:rsidRPr="007344EA">
        <w:t xml:space="preserve">turinys nei minėtame sprendime, nei Generalinio advokato nuomonėje </w:t>
      </w:r>
      <w:r w:rsidR="001D5765" w:rsidRPr="007344EA">
        <w:t>nedetalizuojama</w:t>
      </w:r>
      <w:r w:rsidR="00352EF7" w:rsidRPr="007344EA">
        <w:t xml:space="preserve">. Iš faktinių </w:t>
      </w:r>
      <w:r w:rsidR="009C064E" w:rsidRPr="007344EA">
        <w:t>aplinkyb</w:t>
      </w:r>
      <w:r w:rsidR="006114D9" w:rsidRPr="007344EA">
        <w:t>ių visumos ir to, kad nesąžininga sąlyga yra susijusi su jurisdikcinės išlygos nustatymu</w:t>
      </w:r>
      <w:r w:rsidR="007E30F7" w:rsidRPr="007344EA">
        <w:t>,</w:t>
      </w:r>
      <w:r w:rsidR="006114D9" w:rsidRPr="007344EA">
        <w:t xml:space="preserve"> galima daryti išvadą, kad ši sąvoka atitinka </w:t>
      </w:r>
      <w:r w:rsidR="00FE757A" w:rsidRPr="007344EA">
        <w:t xml:space="preserve">LR </w:t>
      </w:r>
      <w:r w:rsidR="007A31EA">
        <w:t>CPK</w:t>
      </w:r>
      <w:r w:rsidR="00F63708" w:rsidRPr="007344EA">
        <w:t xml:space="preserve"> 137 str</w:t>
      </w:r>
      <w:r w:rsidR="009C064E" w:rsidRPr="007344EA">
        <w:t>aipsnio 2 dalyje</w:t>
      </w:r>
      <w:r w:rsidR="006114D9" w:rsidRPr="007344EA">
        <w:t xml:space="preserve"> įtv</w:t>
      </w:r>
      <w:r w:rsidR="007E30F7" w:rsidRPr="007344EA">
        <w:t>irtintą procedūrą, kurios metu teismas gavęs ieškinį patikrina</w:t>
      </w:r>
      <w:r w:rsidR="009C064E" w:rsidRPr="007344EA">
        <w:t>,</w:t>
      </w:r>
      <w:r w:rsidR="007E30F7" w:rsidRPr="007344EA">
        <w:t xml:space="preserve"> ar šis konkretus ieškinys yra jam teismingas</w:t>
      </w:r>
      <w:r w:rsidR="009C064E" w:rsidRPr="007344EA">
        <w:t>,</w:t>
      </w:r>
      <w:r w:rsidR="00CB2276" w:rsidRPr="007344EA">
        <w:t xml:space="preserve"> ir </w:t>
      </w:r>
      <w:r w:rsidR="00DA6BF5" w:rsidRPr="007344EA">
        <w:t>šio ieš</w:t>
      </w:r>
      <w:r w:rsidR="00CB2276" w:rsidRPr="007344EA">
        <w:t xml:space="preserve">kinio priėmimo klausimą išsprendžia priimdamas rezoliuciją, o rezoliucija savo ruoštu jau yra laikoma civilinės bylos iškėlimu. </w:t>
      </w:r>
      <w:r w:rsidR="00F63708" w:rsidRPr="007344EA">
        <w:rPr>
          <w:i/>
        </w:rPr>
        <w:t>Inter alia</w:t>
      </w:r>
      <w:r w:rsidR="00D44250" w:rsidRPr="007344EA">
        <w:t xml:space="preserve"> </w:t>
      </w:r>
      <w:r w:rsidR="005A7AD2" w:rsidRPr="007344EA">
        <w:t>pagrindinėje byloje buvo pradėtas sumarinis</w:t>
      </w:r>
      <w:r w:rsidR="00224D1C" w:rsidRPr="007344EA">
        <w:t xml:space="preserve"> −</w:t>
      </w:r>
      <w:r w:rsidR="005A7AD2" w:rsidRPr="007344EA">
        <w:t xml:space="preserve"> supaprastintas procesas, dėl teismo įsakymo išdavimo, kadangi </w:t>
      </w:r>
      <w:r w:rsidR="001D5765" w:rsidRPr="007344EA">
        <w:t>skolininkų</w:t>
      </w:r>
      <w:r w:rsidR="005A7AD2" w:rsidRPr="007344EA">
        <w:t xml:space="preserve"> įsipareigojimai buvo nedideli. Manytina, kad tai atitinka</w:t>
      </w:r>
      <w:r w:rsidR="002C6B38" w:rsidRPr="007344EA">
        <w:t xml:space="preserve"> LR</w:t>
      </w:r>
      <w:r w:rsidR="005A7AD2" w:rsidRPr="007344EA">
        <w:t xml:space="preserve"> CPK 431 </w:t>
      </w:r>
      <w:r w:rsidR="002C6B38" w:rsidRPr="007344EA">
        <w:t>ir 441 straipsniuose įtvirtintas procedūras.</w:t>
      </w:r>
      <w:r w:rsidR="005A7AD2" w:rsidRPr="007344EA">
        <w:t xml:space="preserve"> </w:t>
      </w:r>
      <w:r w:rsidR="00894019" w:rsidRPr="007344EA">
        <w:t>Minėtasis prejudicinis klausimas Ispanijos</w:t>
      </w:r>
      <w:r w:rsidR="006541A1" w:rsidRPr="007344EA">
        <w:t xml:space="preserve"> Aukščiausiajam </w:t>
      </w:r>
      <w:r w:rsidR="00894019" w:rsidRPr="007344EA">
        <w:t>teismui kilo</w:t>
      </w:r>
      <w:r w:rsidR="00D44250" w:rsidRPr="007344EA">
        <w:t xml:space="preserve"> dėl to, kad </w:t>
      </w:r>
      <w:r w:rsidR="00894019" w:rsidRPr="007344EA">
        <w:t xml:space="preserve">pagal nacionalinį reglamentavimą teismas negali patikrinti tam tikros sutarties sąlygos nesąžiningumo pirminio bylos įvertinimo metu. </w:t>
      </w:r>
      <w:r w:rsidR="00AE631B" w:rsidRPr="007344EA">
        <w:lastRenderedPageBreak/>
        <w:t>Aiškindamas Direktyvą 93/13 ir atsižvelgdamas į minėtas aplinkybes</w:t>
      </w:r>
      <w:r w:rsidR="0020429D" w:rsidRPr="007344EA">
        <w:t>,</w:t>
      </w:r>
      <w:r w:rsidR="00894019" w:rsidRPr="007344EA">
        <w:t xml:space="preserve"> Teisingumo</w:t>
      </w:r>
      <w:r w:rsidR="002C6B38" w:rsidRPr="007344EA">
        <w:t xml:space="preserve"> Teismas pirmiausiai pabrėžė, </w:t>
      </w:r>
      <w:r w:rsidR="00DA6BF5" w:rsidRPr="007344EA">
        <w:t>kad pagrindinėje byloje susiklosčiusi situacija atitinka Direktyvos</w:t>
      </w:r>
      <w:r w:rsidR="00AE631B" w:rsidRPr="007344EA">
        <w:t xml:space="preserve"> 93/13 </w:t>
      </w:r>
      <w:r w:rsidR="00DA6BF5" w:rsidRPr="007344EA">
        <w:t xml:space="preserve"> </w:t>
      </w:r>
      <w:r w:rsidR="0097241F" w:rsidRPr="007344EA">
        <w:t xml:space="preserve">priede esančio sąrašo </w:t>
      </w:r>
      <w:r w:rsidR="0097241F" w:rsidRPr="007344EA">
        <w:rPr>
          <w:i/>
        </w:rPr>
        <w:t>q</w:t>
      </w:r>
      <w:r w:rsidR="0097241F" w:rsidRPr="007344EA">
        <w:t xml:space="preserve"> punktą.</w:t>
      </w:r>
      <w:r w:rsidR="00B03D0D" w:rsidRPr="007344EA">
        <w:t xml:space="preserve"> </w:t>
      </w:r>
      <w:r w:rsidR="006541A1" w:rsidRPr="007344EA">
        <w:t xml:space="preserve">Taip pat Teisingumo Teismas </w:t>
      </w:r>
      <w:r w:rsidR="003701B4" w:rsidRPr="007344EA">
        <w:t>nusprendė</w:t>
      </w:r>
      <w:r w:rsidR="006541A1" w:rsidRPr="007344EA">
        <w:t>,</w:t>
      </w:r>
      <w:r w:rsidR="00B03D0D" w:rsidRPr="007344EA">
        <w:t xml:space="preserve"> kad „jurisdikcijos išlyga, esanti aptariamoje sutartyje, kuri nebuvo individualiai aptarta, sutartyje sudarytoje tarp vartotojo ir pardavėjo ar tiekėjo, ir kuri nustato išimtinę pardavėjo ar tiekėjo veiklos vietos teritorinę teismų jurisdikciją, turi būti pripažįstama nesąžininga </w:t>
      </w:r>
      <w:r w:rsidR="00FE409F" w:rsidRPr="007344EA">
        <w:t xml:space="preserve">pagal Direktyvos </w:t>
      </w:r>
      <w:r w:rsidR="006541A1" w:rsidRPr="007344EA">
        <w:t>3 str</w:t>
      </w:r>
      <w:r w:rsidR="006355CE" w:rsidRPr="007344EA">
        <w:t>aipsnį</w:t>
      </w:r>
      <w:r w:rsidR="006541A1" w:rsidRPr="007344EA">
        <w:t xml:space="preserve">, ir tuo </w:t>
      </w:r>
      <w:r w:rsidR="00FE409F" w:rsidRPr="007344EA">
        <w:t xml:space="preserve">pažeidžia sąžiningumo reikalavimą, </w:t>
      </w:r>
      <w:r w:rsidR="00F14C9E" w:rsidRPr="007344EA">
        <w:t>sukelia sutarties šalių teisių ir pareigų disbalansą, vartotojo nenaudai“</w:t>
      </w:r>
      <w:r w:rsidR="00F14C9E" w:rsidRPr="007344EA">
        <w:rPr>
          <w:rStyle w:val="FootnoteReference"/>
        </w:rPr>
        <w:footnoteReference w:id="241"/>
      </w:r>
      <w:r w:rsidR="00454DF2" w:rsidRPr="007344EA">
        <w:t xml:space="preserve">. </w:t>
      </w:r>
      <w:r w:rsidR="00A3029F" w:rsidRPr="007344EA">
        <w:t xml:space="preserve">Atsakydamas į prejudicinį klausimą </w:t>
      </w:r>
      <w:r w:rsidR="00C533B3" w:rsidRPr="007344EA">
        <w:t>Teisingumo Teismas pažymėjo, kad Direktyvos 6 straipsnyje įtvirtintas įpareigojimas valstybėms narėms užtikrinti nesąžiningų sąlygų neprivalomumą vartotojui nebūtų pasiektas, jei pačiam vartotojui bū</w:t>
      </w:r>
      <w:r w:rsidR="00D74960" w:rsidRPr="007344EA">
        <w:t xml:space="preserve">tų nustatyta pareiga konkrečios </w:t>
      </w:r>
      <w:r w:rsidR="00C533B3" w:rsidRPr="007344EA">
        <w:t xml:space="preserve">sąlygos </w:t>
      </w:r>
      <w:r w:rsidR="00CA4D17" w:rsidRPr="007344EA">
        <w:t>nesąžiningumo klausimą iškelti</w:t>
      </w:r>
      <w:r w:rsidR="00C533B3" w:rsidRPr="007344EA">
        <w:t xml:space="preserve"> bylos teisminio nagrinėjimo metu. </w:t>
      </w:r>
      <w:r w:rsidR="00DF347C" w:rsidRPr="007344EA">
        <w:t>Teisingumo Teismas</w:t>
      </w:r>
      <w:r w:rsidR="0020429D" w:rsidRPr="007344EA">
        <w:t>,</w:t>
      </w:r>
      <w:r w:rsidR="00454DF2" w:rsidRPr="007344EA">
        <w:t xml:space="preserve"> atsakydamas į nacionalinio teismo užduotus prejudicinius klausimus</w:t>
      </w:r>
      <w:r w:rsidR="0020429D" w:rsidRPr="007344EA">
        <w:t>,</w:t>
      </w:r>
      <w:r w:rsidR="00454DF2" w:rsidRPr="007344EA">
        <w:t xml:space="preserve"> teigia: </w:t>
      </w:r>
      <w:r w:rsidR="00D74960" w:rsidRPr="007344EA">
        <w:t>„Direktyv</w:t>
      </w:r>
      <w:r w:rsidR="0020429D" w:rsidRPr="007344EA">
        <w:t>os</w:t>
      </w:r>
      <w:r w:rsidR="00D74960" w:rsidRPr="007344EA">
        <w:t xml:space="preserve"> 93/13 suteikiama</w:t>
      </w:r>
      <w:r w:rsidR="00DF347C" w:rsidRPr="007344EA">
        <w:t xml:space="preserve"> vartotojų apsauga reikalauja</w:t>
      </w:r>
      <w:r w:rsidR="00FA0907" w:rsidRPr="007344EA">
        <w:t xml:space="preserve"> (</w:t>
      </w:r>
      <w:r w:rsidR="00FA0907" w:rsidRPr="007344EA">
        <w:rPr>
          <w:i/>
        </w:rPr>
        <w:t>entails</w:t>
      </w:r>
      <w:r w:rsidR="00224D1C" w:rsidRPr="007344EA">
        <w:rPr>
          <w:i/>
        </w:rPr>
        <w:t xml:space="preserve"> </w:t>
      </w:r>
      <w:r w:rsidR="00224D1C" w:rsidRPr="007344EA">
        <w:t>−</w:t>
      </w:r>
      <w:r w:rsidR="00FA0907" w:rsidRPr="007344EA">
        <w:t xml:space="preserve"> ang</w:t>
      </w:r>
      <w:r w:rsidR="006C4BD1" w:rsidRPr="007344EA">
        <w:t>l</w:t>
      </w:r>
      <w:r w:rsidR="00FA0907" w:rsidRPr="007344EA">
        <w:t>.), kad nacionalinis teismas turėtų galimybę savo ini</w:t>
      </w:r>
      <w:r w:rsidR="002C6B38" w:rsidRPr="007344EA">
        <w:t>ciatyva spręsti dėl sutar</w:t>
      </w:r>
      <w:r w:rsidR="0020429D" w:rsidRPr="007344EA">
        <w:t>ties</w:t>
      </w:r>
      <w:r w:rsidR="00FA0907" w:rsidRPr="007344EA">
        <w:t xml:space="preserve"> sąlygos nesąžiningumo pirminio bylos įvertinimo metu</w:t>
      </w:r>
      <w:r w:rsidR="0020429D" w:rsidRPr="007344EA">
        <w:t>,</w:t>
      </w:r>
      <w:r w:rsidR="00FA0907" w:rsidRPr="007344EA">
        <w:t xml:space="preserve"> </w:t>
      </w:r>
      <w:r w:rsidR="002C6B38" w:rsidRPr="007344EA">
        <w:t>sprendžiant ar toks konkretus ginčas yra nagrinėtinas nacionaliniame teisme“</w:t>
      </w:r>
      <w:r w:rsidR="002C6B38" w:rsidRPr="007344EA">
        <w:rPr>
          <w:rStyle w:val="FootnoteReference"/>
        </w:rPr>
        <w:footnoteReference w:id="242"/>
      </w:r>
      <w:r w:rsidR="00A3029F" w:rsidRPr="007344EA">
        <w:t xml:space="preserve">. </w:t>
      </w:r>
      <w:r w:rsidR="00A3029F" w:rsidRPr="007344EA">
        <w:rPr>
          <w:i/>
        </w:rPr>
        <w:t>Inter alia</w:t>
      </w:r>
      <w:r w:rsidR="00337E7C" w:rsidRPr="007344EA">
        <w:t xml:space="preserve"> Teisingumo Teismas</w:t>
      </w:r>
      <w:r w:rsidR="0020429D" w:rsidRPr="007344EA">
        <w:t>,</w:t>
      </w:r>
      <w:r w:rsidR="00337E7C" w:rsidRPr="007344EA">
        <w:t xml:space="preserve"> remdamasis gausia savo</w:t>
      </w:r>
      <w:r w:rsidR="00A950E7" w:rsidRPr="007344EA">
        <w:t xml:space="preserve"> paties suformuota</w:t>
      </w:r>
      <w:r w:rsidR="00337E7C" w:rsidRPr="007344EA">
        <w:t xml:space="preserve"> praktika</w:t>
      </w:r>
      <w:r w:rsidR="0020429D" w:rsidRPr="007344EA">
        <w:t>,</w:t>
      </w:r>
      <w:r w:rsidR="00337E7C" w:rsidRPr="007344EA">
        <w:t xml:space="preserve"> nacionaliniam teismui nurodė,</w:t>
      </w:r>
      <w:r w:rsidR="00A950E7" w:rsidRPr="007344EA">
        <w:t xml:space="preserve"> kad</w:t>
      </w:r>
      <w:r w:rsidR="00337E7C" w:rsidRPr="007344EA">
        <w:t xml:space="preserve"> </w:t>
      </w:r>
      <w:r w:rsidR="00A950E7" w:rsidRPr="007344EA">
        <w:t>susiklosčius tokioms aplinkybėms, kaip pagrindinės bylos atveju, valstybės narės teismas nacionalinius įstatymus turi interpretuoti Direktyvos 93/13 šviesoje, o šiuo konkrečiu atveju nacionalinius įstatymus interpretuoti ir taikyti tai</w:t>
      </w:r>
      <w:r w:rsidR="00CA4D17" w:rsidRPr="007344EA">
        <w:t>p,</w:t>
      </w:r>
      <w:r w:rsidR="00A950E7" w:rsidRPr="007344EA">
        <w:t xml:space="preserve"> kad </w:t>
      </w:r>
      <w:r w:rsidR="00337E7C" w:rsidRPr="007344EA">
        <w:t xml:space="preserve"> </w:t>
      </w:r>
      <w:r w:rsidR="00A950E7" w:rsidRPr="007344EA">
        <w:t>galėtų atsisakyti savo jurisdikcijos, nustat</w:t>
      </w:r>
      <w:r w:rsidR="006C4BD1" w:rsidRPr="007344EA">
        <w:t>ęs, kad sutartin</w:t>
      </w:r>
      <w:r w:rsidR="00516E03" w:rsidRPr="007344EA">
        <w:t>ę</w:t>
      </w:r>
      <w:r w:rsidR="006C4BD1" w:rsidRPr="007344EA">
        <w:t xml:space="preserve"> jurisdikciją numatanti sąlyga yra nesąžininga. </w:t>
      </w:r>
      <w:r w:rsidR="00454DF2" w:rsidRPr="007344EA">
        <w:t xml:space="preserve">Ši </w:t>
      </w:r>
      <w:r w:rsidR="00CA4D17" w:rsidRPr="007344EA">
        <w:t>Teisingumo Teismo pozicija gali būti kritikuotina</w:t>
      </w:r>
      <w:r w:rsidR="00454DF2" w:rsidRPr="007344EA">
        <w:t xml:space="preserve"> tuo</w:t>
      </w:r>
      <w:r w:rsidR="004E7315" w:rsidRPr="007344EA">
        <w:t xml:space="preserve"> aspektu</w:t>
      </w:r>
      <w:r w:rsidR="00454DF2" w:rsidRPr="007344EA">
        <w:t>, kad pripažindamas, jog</w:t>
      </w:r>
      <w:r w:rsidR="00516E03" w:rsidRPr="007344EA">
        <w:t xml:space="preserve"> pagrindinėje byloje susiklosčiusi situa</w:t>
      </w:r>
      <w:r w:rsidR="004E7315" w:rsidRPr="007344EA">
        <w:t xml:space="preserve">cija atitinka Direktyvos 93/13 </w:t>
      </w:r>
      <w:r w:rsidR="00516E03" w:rsidRPr="007344EA">
        <w:t xml:space="preserve">priedo q punktą bei nurodydamas nacionaliniam teismui atsisakyti savo teritorinės jurisdikcijos pagrindinės bylos atžvilgiu, </w:t>
      </w:r>
      <w:r w:rsidR="006C4BD1" w:rsidRPr="007344EA">
        <w:t>ne</w:t>
      </w:r>
      <w:r w:rsidR="00516E03" w:rsidRPr="007344EA">
        <w:t>be</w:t>
      </w:r>
      <w:r w:rsidR="006C4BD1" w:rsidRPr="007344EA">
        <w:t xml:space="preserve">aiškino, bet jau </w:t>
      </w:r>
      <w:r w:rsidR="00516E03" w:rsidRPr="007344EA">
        <w:t>taikė</w:t>
      </w:r>
      <w:r w:rsidR="006C4BD1" w:rsidRPr="007344EA">
        <w:t xml:space="preserve"> konkrečias Direktyvos 93/13 nuostatas ginčui, kilusiam pagrindinėje byloje. Nors ir pats Teisingumo Teismas ne viename sprendime</w:t>
      </w:r>
      <w:r w:rsidR="006C4BD1" w:rsidRPr="007344EA">
        <w:rPr>
          <w:rStyle w:val="FootnoteReference"/>
        </w:rPr>
        <w:footnoteReference w:id="243"/>
      </w:r>
      <w:r w:rsidR="006C4BD1" w:rsidRPr="007344EA">
        <w:t xml:space="preserve"> yra pažymėjęs, kad jo funkcijos, priimant prejudicinį sprendimą, apsiriboja Sąjungos teisės aktų aiškinimu, bet ne teisės taikymu.</w:t>
      </w:r>
      <w:r w:rsidR="00516E03" w:rsidRPr="007344EA">
        <w:t xml:space="preserve"> Tokiu atveju Teisingumo Teismas nacionaliniam teismui nebepaliko jokios veiksmų laisvės, juk neatmestina ir tokia galimybė, kad nac</w:t>
      </w:r>
      <w:r w:rsidR="007A31EA">
        <w:t>ionalinis teismas, pasinaudomas</w:t>
      </w:r>
      <w:r w:rsidR="00516E03" w:rsidRPr="007344EA">
        <w:t xml:space="preserve"> nacionaline teise, bū</w:t>
      </w:r>
      <w:r w:rsidR="004D1FE1" w:rsidRPr="007344EA">
        <w:t>tų radęs ir kitų išeities kelių iš šios teisinės aklavietės.</w:t>
      </w:r>
      <w:r w:rsidR="00DB4297" w:rsidRPr="007344EA">
        <w:t xml:space="preserve"> </w:t>
      </w:r>
      <w:r w:rsidR="00454DF2" w:rsidRPr="007344EA">
        <w:t>Todėl m</w:t>
      </w:r>
      <w:r w:rsidR="00DB4297" w:rsidRPr="007344EA">
        <w:t>anytina, kad</w:t>
      </w:r>
      <w:r w:rsidR="00CB4C23" w:rsidRPr="007344EA">
        <w:t xml:space="preserve"> šios bylos atveju</w:t>
      </w:r>
      <w:r w:rsidR="00DB4297" w:rsidRPr="007344EA">
        <w:t xml:space="preserve"> Teisingumo Teismas galėjo suformuoti bendresnę Direktyvos 93/13 aiškinimo taisyklę, neapsiribojant vien tik šio konkretaus ginčo faktinėmis aplinkybėmis.</w:t>
      </w:r>
      <w:r w:rsidR="006C4BD1" w:rsidRPr="007344EA">
        <w:t xml:space="preserve"> </w:t>
      </w:r>
    </w:p>
    <w:p w:rsidR="00054741" w:rsidRPr="007344EA" w:rsidRDefault="006A5B73" w:rsidP="006E00E1">
      <w:pPr>
        <w:pStyle w:val="Default"/>
        <w:spacing w:line="360" w:lineRule="auto"/>
        <w:ind w:firstLine="1296"/>
        <w:jc w:val="both"/>
      </w:pPr>
      <w:r w:rsidRPr="007344EA">
        <w:lastRenderedPageBreak/>
        <w:t>Nepaisant išsakytos kritikos</w:t>
      </w:r>
      <w:r w:rsidR="00516E03" w:rsidRPr="007344EA">
        <w:t>, a</w:t>
      </w:r>
      <w:r w:rsidR="00A3029F" w:rsidRPr="007344EA">
        <w:t>pibendrin</w:t>
      </w:r>
      <w:r w:rsidR="00DD23F9" w:rsidRPr="007344EA">
        <w:t>an</w:t>
      </w:r>
      <w:r w:rsidR="00A3029F" w:rsidRPr="007344EA">
        <w:t xml:space="preserve">t </w:t>
      </w:r>
      <w:r w:rsidR="00516E03" w:rsidRPr="007344EA">
        <w:t xml:space="preserve">šį sprendimą </w:t>
      </w:r>
      <w:r w:rsidR="00A3029F" w:rsidRPr="007344EA">
        <w:t xml:space="preserve">galima teigti, kad </w:t>
      </w:r>
      <w:r w:rsidR="009C4433" w:rsidRPr="007344EA">
        <w:rPr>
          <w:i/>
        </w:rPr>
        <w:t>Oceano</w:t>
      </w:r>
      <w:r w:rsidR="009C4433" w:rsidRPr="007344EA">
        <w:t xml:space="preserve"> </w:t>
      </w:r>
      <w:r w:rsidR="00A3029F" w:rsidRPr="007344EA">
        <w:t xml:space="preserve"> byloje Teisingumo Teismas suformulavo taisyklę, pagal kurią valstybių narių teismai taikydami nacionalin</w:t>
      </w:r>
      <w:r w:rsidR="007D1D5E">
        <w:t>ę</w:t>
      </w:r>
      <w:r w:rsidR="00A3029F" w:rsidRPr="007344EA">
        <w:t xml:space="preserve"> teisę, priimtą Direktyvos 93/13  pagrindu, vartojimo sutarties sąlygų nesąžiningumą gali nustatyti ne tik bylos nagrinėjimo</w:t>
      </w:r>
      <w:r w:rsidR="00F95F26" w:rsidRPr="007344EA">
        <w:t>,</w:t>
      </w:r>
      <w:r w:rsidR="00CA4D17" w:rsidRPr="007344EA">
        <w:t xml:space="preserve"> </w:t>
      </w:r>
      <w:r w:rsidR="00A3029F" w:rsidRPr="007344EA">
        <w:t xml:space="preserve">bet ir </w:t>
      </w:r>
      <w:r w:rsidR="00F95F26" w:rsidRPr="007344EA">
        <w:t xml:space="preserve">pirminio bylos (ieškinio) įvertinimo metu. </w:t>
      </w:r>
      <w:r w:rsidR="00DB4297" w:rsidRPr="007344EA">
        <w:t>Nustači</w:t>
      </w:r>
      <w:r w:rsidR="007D1D5E">
        <w:t>us, kad sutartinę jurisdikciją numatanti</w:t>
      </w:r>
      <w:r w:rsidR="00DB4297" w:rsidRPr="007344EA">
        <w:t xml:space="preserve"> sąlyga yra nesąžininga</w:t>
      </w:r>
      <w:r w:rsidR="00DD23F9" w:rsidRPr="007344EA">
        <w:t>,</w:t>
      </w:r>
      <w:r w:rsidR="00DB4297" w:rsidRPr="007344EA">
        <w:t xml:space="preserve"> nacionalinis teismas turi at</w:t>
      </w:r>
      <w:r w:rsidR="00DD23F9" w:rsidRPr="007344EA">
        <w:t>s</w:t>
      </w:r>
      <w:r w:rsidR="00DB4297" w:rsidRPr="007344EA">
        <w:t>isakyti savo jurisdikcijos,</w:t>
      </w:r>
      <w:r w:rsidR="004E2C47" w:rsidRPr="007344EA">
        <w:t xml:space="preserve"> </w:t>
      </w:r>
      <w:r w:rsidR="00DB4297" w:rsidRPr="007344EA">
        <w:t>o ne</w:t>
      </w:r>
      <w:r w:rsidR="00DD23F9" w:rsidRPr="007344EA">
        <w:t>turint</w:t>
      </w:r>
      <w:r w:rsidR="00DB4297" w:rsidRPr="007344EA">
        <w:t xml:space="preserve"> tokios galimybės pa</w:t>
      </w:r>
      <w:r w:rsidR="004D1FE1" w:rsidRPr="007344EA">
        <w:t xml:space="preserve">gal nacionalinius teisės aktus, </w:t>
      </w:r>
      <w:r w:rsidR="00DB4297" w:rsidRPr="007344EA">
        <w:t>interpretuoti nacionalinės teisės nuostatas Direktyvos</w:t>
      </w:r>
      <w:r w:rsidR="004E2C47" w:rsidRPr="007344EA">
        <w:t xml:space="preserve"> 93/13</w:t>
      </w:r>
      <w:r w:rsidR="00DB4297" w:rsidRPr="007344EA">
        <w:t xml:space="preserve"> šviesoje taip, kad toks jurisdikcijos spręsti ginčą atsisakymas taptų galimas. </w:t>
      </w:r>
    </w:p>
    <w:p w:rsidR="0046074B" w:rsidRPr="007344EA" w:rsidRDefault="00423C98" w:rsidP="006E00E1">
      <w:pPr>
        <w:pStyle w:val="Default"/>
        <w:spacing w:line="360" w:lineRule="auto"/>
        <w:ind w:firstLine="1296"/>
        <w:jc w:val="both"/>
      </w:pPr>
      <w:r w:rsidRPr="007344EA">
        <w:t xml:space="preserve">Minėta, kad </w:t>
      </w:r>
      <w:r w:rsidR="00895DAE" w:rsidRPr="007344EA">
        <w:t xml:space="preserve">byloje </w:t>
      </w:r>
      <w:r w:rsidR="00895DAE" w:rsidRPr="007344EA">
        <w:rPr>
          <w:i/>
        </w:rPr>
        <w:t>Cofidis</w:t>
      </w:r>
      <w:r w:rsidR="00895DAE" w:rsidRPr="007344EA">
        <w:t xml:space="preserve"> </w:t>
      </w:r>
      <w:r w:rsidRPr="007344EA">
        <w:t>nacionalinis teismas</w:t>
      </w:r>
      <w:r w:rsidR="00895DAE" w:rsidRPr="007344EA">
        <w:t>, besikreipdamas į Teisingumo Teismą,</w:t>
      </w:r>
      <w:r w:rsidR="009C422A" w:rsidRPr="007344EA">
        <w:t xml:space="preserve"> vienu iš pateiktų prejudicinių klausimų siekė sužinoti ar toks nacionalinis reguliavimas, kai vartojimo sutarties sąlygos negalima pripažinti nesąžininga nei </w:t>
      </w:r>
      <w:r w:rsidR="009C422A" w:rsidRPr="007344EA">
        <w:rPr>
          <w:i/>
        </w:rPr>
        <w:t>ex officio</w:t>
      </w:r>
      <w:r w:rsidR="009C422A" w:rsidRPr="007344EA">
        <w:t>, nei vartotojo prašymu, kadangi yra suėjęs dviejų metų senaties terminas yra suderinamas su Direktyvos 93/13 nuostatomis</w:t>
      </w:r>
      <w:r w:rsidR="00DD23F9" w:rsidRPr="007344EA">
        <w:t>.</w:t>
      </w:r>
      <w:r w:rsidR="00776BD8" w:rsidRPr="007344EA">
        <w:t xml:space="preserve"> Iš esmės keliamas klausimas ar nacionalinio teismo teisė </w:t>
      </w:r>
      <w:r w:rsidR="00776BD8" w:rsidRPr="007344EA">
        <w:rPr>
          <w:i/>
        </w:rPr>
        <w:t>ex officio</w:t>
      </w:r>
      <w:r w:rsidR="00776BD8" w:rsidRPr="007344EA">
        <w:t xml:space="preserve"> nustatyti sąlygos nesąžiningumą </w:t>
      </w:r>
      <w:r w:rsidR="006C08E2" w:rsidRPr="007344EA">
        <w:t xml:space="preserve">gali būti apribota </w:t>
      </w:r>
      <w:r w:rsidR="008946FD" w:rsidRPr="007344EA">
        <w:t>tam tikru terminu nuo sutarties sudarymo,</w:t>
      </w:r>
      <w:r w:rsidR="006C08E2" w:rsidRPr="007344EA">
        <w:t xml:space="preserve"> nustatyt</w:t>
      </w:r>
      <w:r w:rsidR="008946FD" w:rsidRPr="007344EA">
        <w:t>u</w:t>
      </w:r>
      <w:r w:rsidR="006C08E2" w:rsidRPr="007344EA">
        <w:t xml:space="preserve"> valstybės narės proceso teisėje. Teisingumo Teismas susiduria su dviejų vertybių kolizija</w:t>
      </w:r>
      <w:r w:rsidR="00224D1C" w:rsidRPr="007344EA">
        <w:t xml:space="preserve"> −</w:t>
      </w:r>
      <w:r w:rsidR="006C08E2" w:rsidRPr="007344EA">
        <w:t xml:space="preserve"> nacionalinės </w:t>
      </w:r>
      <w:r w:rsidR="00E14BD3" w:rsidRPr="007344EA">
        <w:t>procesinės</w:t>
      </w:r>
      <w:r w:rsidR="009B15D3" w:rsidRPr="007344EA">
        <w:rPr>
          <w:rStyle w:val="FootnoteReference"/>
        </w:rPr>
        <w:footnoteReference w:id="244"/>
      </w:r>
      <w:r w:rsidR="00E14BD3" w:rsidRPr="007344EA">
        <w:t xml:space="preserve"> </w:t>
      </w:r>
      <w:r w:rsidR="006C08E2" w:rsidRPr="007344EA">
        <w:t>teisės auto</w:t>
      </w:r>
      <w:r w:rsidR="00DD23F9" w:rsidRPr="007344EA">
        <w:t>no</w:t>
      </w:r>
      <w:r w:rsidR="006C08E2" w:rsidRPr="007344EA">
        <w:t xml:space="preserve">miškumu ir Direktyvoje 93/13 nustatyta vartotojų teisių apsaugos sistema. </w:t>
      </w:r>
      <w:r w:rsidR="007103B5" w:rsidRPr="007344EA">
        <w:t>Teisingumo Teismas</w:t>
      </w:r>
      <w:r w:rsidR="00E26C40" w:rsidRPr="007344EA">
        <w:t>, atsakydamas į nacionalinio teismo užduotą prejudicinį klausimą,</w:t>
      </w:r>
      <w:r w:rsidR="007103B5" w:rsidRPr="007344EA">
        <w:t xml:space="preserve"> pasisakė, kad tokia sistema, kai sąlygos sąžiningumo negalima vertinti nei vartotojo prašymu, nei </w:t>
      </w:r>
      <w:r w:rsidR="007103B5" w:rsidRPr="007344EA">
        <w:rPr>
          <w:i/>
        </w:rPr>
        <w:t>ex officio</w:t>
      </w:r>
      <w:r w:rsidR="007103B5" w:rsidRPr="007344EA">
        <w:t xml:space="preserve"> p</w:t>
      </w:r>
      <w:r w:rsidR="00DD23F9" w:rsidRPr="007344EA">
        <w:t>r</w:t>
      </w:r>
      <w:r w:rsidR="007D1D5E">
        <w:t>aėjus tam tikram terminui</w:t>
      </w:r>
      <w:r w:rsidR="007103B5" w:rsidRPr="007344EA">
        <w:t xml:space="preserve"> po sutarties sudarymo</w:t>
      </w:r>
      <w:r w:rsidR="007D1D5E">
        <w:t>,</w:t>
      </w:r>
      <w:r w:rsidR="007103B5" w:rsidRPr="007344EA">
        <w:t xml:space="preserve"> gali sukelti tokią, situaciją, kad verslininkas reikalavimus, kylančius iš sutartyje esančios nesąžiningos sąlygos, pareikš po šio termino pabaigos, o tai būtų nesuderina</w:t>
      </w:r>
      <w:r w:rsidR="00C242AD" w:rsidRPr="007344EA">
        <w:t>ma</w:t>
      </w:r>
      <w:r w:rsidR="007103B5" w:rsidRPr="007344EA">
        <w:t xml:space="preserve"> su Direktyv</w:t>
      </w:r>
      <w:r w:rsidR="00C242AD" w:rsidRPr="007344EA">
        <w:t>a</w:t>
      </w:r>
      <w:r w:rsidR="00E14BD3" w:rsidRPr="007344EA">
        <w:t xml:space="preserve"> 93/13</w:t>
      </w:r>
      <w:r w:rsidR="00C242AD" w:rsidRPr="007344EA">
        <w:t xml:space="preserve"> suteikiam</w:t>
      </w:r>
      <w:r w:rsidR="00E14BD3" w:rsidRPr="007344EA">
        <w:t>a</w:t>
      </w:r>
      <w:r w:rsidR="00E26C40" w:rsidRPr="007344EA">
        <w:t xml:space="preserve"> apsauga vartotojui. </w:t>
      </w:r>
      <w:r w:rsidR="00C242AD" w:rsidRPr="007344EA">
        <w:t xml:space="preserve">Teisingumo Teismas nusprendė, kad Direktyva </w:t>
      </w:r>
      <w:r w:rsidR="00E14BD3" w:rsidRPr="007344EA">
        <w:t xml:space="preserve">93/13 </w:t>
      </w:r>
      <w:r w:rsidR="00C242AD" w:rsidRPr="007344EA">
        <w:t xml:space="preserve">draudžia tokį nacionalinį reguliavimą, </w:t>
      </w:r>
      <w:r w:rsidR="007335E8" w:rsidRPr="007344EA">
        <w:t>pagal</w:t>
      </w:r>
      <w:r w:rsidR="00C242AD" w:rsidRPr="007344EA">
        <w:t xml:space="preserve"> </w:t>
      </w:r>
      <w:r w:rsidR="007335E8" w:rsidRPr="007344EA">
        <w:t xml:space="preserve">kurį galima pripažinti sutartyse sudarytose tarp vartotojo ir pardavėjo ar tiekėjo, esančias sąlygas nesąžiningomis tiek vartotojo prašymu, tiek </w:t>
      </w:r>
      <w:r w:rsidR="007335E8" w:rsidRPr="007344EA">
        <w:rPr>
          <w:i/>
        </w:rPr>
        <w:t>ex officio</w:t>
      </w:r>
      <w:r w:rsidR="007335E8" w:rsidRPr="007344EA">
        <w:t>, praėjus</w:t>
      </w:r>
      <w:r w:rsidR="007D1D5E">
        <w:t xml:space="preserve"> tam tikram</w:t>
      </w:r>
      <w:r w:rsidR="007335E8" w:rsidRPr="007344EA">
        <w:t xml:space="preserve"> nustatytam terminui. Šiuo sprendimu Teisingumo Teismas </w:t>
      </w:r>
      <w:r w:rsidR="0046074B" w:rsidRPr="007344EA">
        <w:t>išaiškino, kad Direktyva</w:t>
      </w:r>
      <w:r w:rsidR="00E26C40" w:rsidRPr="007344EA">
        <w:t xml:space="preserve"> 93/13</w:t>
      </w:r>
      <w:r w:rsidR="0046074B" w:rsidRPr="007344EA">
        <w:t xml:space="preserve"> suteikiam</w:t>
      </w:r>
      <w:r w:rsidR="00DD23F9" w:rsidRPr="007344EA">
        <w:t>a</w:t>
      </w:r>
      <w:r w:rsidR="0046074B" w:rsidRPr="007344EA">
        <w:t xml:space="preserve"> apsauga nuo nesąžiningų sąlygų negali būti ribojama jokiais terminais. </w:t>
      </w:r>
    </w:p>
    <w:p w:rsidR="00652711" w:rsidRPr="007344EA" w:rsidRDefault="004E2C47" w:rsidP="006E00E1">
      <w:pPr>
        <w:pStyle w:val="Default"/>
        <w:spacing w:line="360" w:lineRule="auto"/>
        <w:ind w:firstLine="1296"/>
        <w:jc w:val="both"/>
      </w:pPr>
      <w:r w:rsidRPr="007344EA">
        <w:t>Kadangi byl</w:t>
      </w:r>
      <w:r w:rsidR="008F1ECD" w:rsidRPr="007344EA">
        <w:t>ų</w:t>
      </w:r>
      <w:r w:rsidRPr="007344EA">
        <w:t xml:space="preserve"> </w:t>
      </w:r>
      <w:r w:rsidRPr="007344EA">
        <w:rPr>
          <w:i/>
        </w:rPr>
        <w:t>Asturcom</w:t>
      </w:r>
      <w:r w:rsidRPr="007344EA">
        <w:t xml:space="preserve"> ir </w:t>
      </w:r>
      <w:r w:rsidRPr="007344EA">
        <w:rPr>
          <w:i/>
        </w:rPr>
        <w:t xml:space="preserve">Claro </w:t>
      </w:r>
      <w:r w:rsidRPr="007344EA">
        <w:t>aplinkybės panašios, š</w:t>
      </w:r>
      <w:r w:rsidR="00C96C07" w:rsidRPr="007344EA">
        <w:t>ias bylas verta nagrinėti kartu</w:t>
      </w:r>
      <w:r w:rsidR="00482F7C" w:rsidRPr="007344EA">
        <w:t>,</w:t>
      </w:r>
      <w:r w:rsidR="00C96C07" w:rsidRPr="007344EA">
        <w:t xml:space="preserve"> </w:t>
      </w:r>
      <w:r w:rsidR="00C96C07" w:rsidRPr="007344EA">
        <w:rPr>
          <w:i/>
        </w:rPr>
        <w:t>inter alia Asturcom</w:t>
      </w:r>
      <w:r w:rsidR="00C96C07" w:rsidRPr="007344EA">
        <w:t xml:space="preserve"> sprendime suformuota taisykl</w:t>
      </w:r>
      <w:r w:rsidR="00B358A1" w:rsidRPr="007344EA">
        <w:t>ė</w:t>
      </w:r>
      <w:r w:rsidR="00C96C07" w:rsidRPr="007344EA">
        <w:t xml:space="preserve"> patikslina </w:t>
      </w:r>
      <w:r w:rsidR="00C96C07" w:rsidRPr="007344EA">
        <w:rPr>
          <w:i/>
        </w:rPr>
        <w:t>Claro</w:t>
      </w:r>
      <w:r w:rsidR="00C96C07" w:rsidRPr="007344EA">
        <w:t xml:space="preserve"> sprendimą.</w:t>
      </w:r>
      <w:r w:rsidRPr="007344EA">
        <w:t xml:space="preserve"> </w:t>
      </w:r>
      <w:r w:rsidR="00D35B44" w:rsidRPr="007344EA">
        <w:t xml:space="preserve">Kaip minėta, nacionaliniai teismai, kreipdamiesi į Teisingumo Teismą su prejudiciniais klausimais, siekė sužinoti ar Direktyvos 93/13 reguliavimas apima ir tokias situacijas, kai </w:t>
      </w:r>
      <w:r w:rsidR="005866ED" w:rsidRPr="007344EA">
        <w:t xml:space="preserve">nacionaliniai teismai gali pasinaudoti </w:t>
      </w:r>
      <w:r w:rsidR="005866ED" w:rsidRPr="007344EA">
        <w:rPr>
          <w:i/>
        </w:rPr>
        <w:t>ex</w:t>
      </w:r>
      <w:r w:rsidR="00966A07" w:rsidRPr="007344EA">
        <w:rPr>
          <w:i/>
        </w:rPr>
        <w:t xml:space="preserve"> </w:t>
      </w:r>
      <w:r w:rsidR="005866ED" w:rsidRPr="007344EA">
        <w:rPr>
          <w:i/>
        </w:rPr>
        <w:t>officio</w:t>
      </w:r>
      <w:r w:rsidR="005866ED" w:rsidRPr="007344EA">
        <w:t xml:space="preserve"> teise, pripažindami sąlygą, nustatančią arbitražinę išlygą nesąžininga,</w:t>
      </w:r>
      <w:r w:rsidR="00987BB7" w:rsidRPr="007344EA">
        <w:t xml:space="preserve"> </w:t>
      </w:r>
      <w:r w:rsidR="005866ED" w:rsidRPr="007344EA">
        <w:t>o tuo pačiu pripažinti ir arbitražo įstaigos</w:t>
      </w:r>
      <w:r w:rsidR="00940660">
        <w:t xml:space="preserve"> priimtą</w:t>
      </w:r>
      <w:r w:rsidR="005866ED" w:rsidRPr="007344EA">
        <w:t xml:space="preserve"> </w:t>
      </w:r>
      <w:r w:rsidR="008F1ECD" w:rsidRPr="007344EA">
        <w:t>sprendimą negaliojančiu.</w:t>
      </w:r>
      <w:r w:rsidR="00090ECE" w:rsidRPr="007344EA">
        <w:t xml:space="preserve"> Tiek </w:t>
      </w:r>
      <w:r w:rsidR="00090ECE" w:rsidRPr="007344EA">
        <w:rPr>
          <w:i/>
        </w:rPr>
        <w:lastRenderedPageBreak/>
        <w:t>Claro</w:t>
      </w:r>
      <w:r w:rsidR="00090ECE" w:rsidRPr="007344EA">
        <w:t xml:space="preserve">, tiek </w:t>
      </w:r>
      <w:r w:rsidR="00090ECE" w:rsidRPr="007344EA">
        <w:rPr>
          <w:i/>
        </w:rPr>
        <w:t>Asturcom</w:t>
      </w:r>
      <w:r w:rsidR="00090ECE" w:rsidRPr="007344EA">
        <w:t xml:space="preserve"> bylų atveju, arbitražin</w:t>
      </w:r>
      <w:r w:rsidR="00DD23F9" w:rsidRPr="007344EA">
        <w:t>ę</w:t>
      </w:r>
      <w:r w:rsidR="00090ECE" w:rsidRPr="007344EA">
        <w:t xml:space="preserve"> išlygą nustatanti sąlyga buvo identiška, tačiau e</w:t>
      </w:r>
      <w:r w:rsidR="00612948" w:rsidRPr="007344EA">
        <w:t xml:space="preserve">sminis šių bylų </w:t>
      </w:r>
      <w:r w:rsidR="00090ECE" w:rsidRPr="007344EA">
        <w:t>skirtumas</w:t>
      </w:r>
      <w:r w:rsidR="00DB2997" w:rsidRPr="007344EA">
        <w:t xml:space="preserve"> yra ta</w:t>
      </w:r>
      <w:r w:rsidR="00DD23F9" w:rsidRPr="007344EA">
        <w:t>s</w:t>
      </w:r>
      <w:r w:rsidR="00612948" w:rsidRPr="007344EA">
        <w:t>, kad byloje</w:t>
      </w:r>
      <w:r w:rsidR="00612948" w:rsidRPr="007344EA">
        <w:rPr>
          <w:i/>
        </w:rPr>
        <w:t xml:space="preserve"> </w:t>
      </w:r>
      <w:r w:rsidR="00090ECE" w:rsidRPr="007344EA">
        <w:rPr>
          <w:i/>
        </w:rPr>
        <w:t>Claro</w:t>
      </w:r>
      <w:r w:rsidR="00090ECE" w:rsidRPr="007344EA">
        <w:t xml:space="preserve"> </w:t>
      </w:r>
      <w:r w:rsidR="00612948" w:rsidRPr="007344EA">
        <w:t>vartotoja</w:t>
      </w:r>
      <w:r w:rsidR="00B3700A" w:rsidRPr="007344EA">
        <w:t>s pareiškė ieškinį nacionaliniam</w:t>
      </w:r>
      <w:r w:rsidR="00612948" w:rsidRPr="007344EA">
        <w:t xml:space="preserve"> teismui dėl arbitražo sprendimo negaliojimo, motyvuodamas arbitražinės išlygos nesąžiningumu, tuo tarpu </w:t>
      </w:r>
      <w:r w:rsidR="00612948" w:rsidRPr="007344EA">
        <w:rPr>
          <w:i/>
        </w:rPr>
        <w:t>Asturcom</w:t>
      </w:r>
      <w:r w:rsidR="00612948" w:rsidRPr="007344EA">
        <w:t xml:space="preserve"> </w:t>
      </w:r>
      <w:r w:rsidR="00090ECE" w:rsidRPr="007344EA">
        <w:t xml:space="preserve">byloje </w:t>
      </w:r>
      <w:r w:rsidR="00612948" w:rsidRPr="007344EA">
        <w:t>vartotojas nesiėmė jokių aktyvių veiksmų ir</w:t>
      </w:r>
      <w:r w:rsidR="00DB2997" w:rsidRPr="007344EA">
        <w:t xml:space="preserve"> šiuo atveju jau</w:t>
      </w:r>
      <w:r w:rsidR="00612948" w:rsidRPr="007344EA">
        <w:t xml:space="preserve"> verslininkas kreipėsi į nacionalinį teismą dėl </w:t>
      </w:r>
      <w:r w:rsidR="00DB2997" w:rsidRPr="007344EA">
        <w:t>priverstinio arbitražo sprendimo vykdymo</w:t>
      </w:r>
      <w:r w:rsidR="00090ECE" w:rsidRPr="007344EA">
        <w:t xml:space="preserve">. </w:t>
      </w:r>
      <w:r w:rsidR="00987BB7" w:rsidRPr="007344EA">
        <w:rPr>
          <w:i/>
        </w:rPr>
        <w:t>Claro</w:t>
      </w:r>
      <w:r w:rsidR="00987BB7" w:rsidRPr="007344EA">
        <w:t xml:space="preserve"> byloje Teisingumo Teismas</w:t>
      </w:r>
      <w:r w:rsidR="006C2F26" w:rsidRPr="007344EA">
        <w:t xml:space="preserve">, atsakydamas į nacionalinio teismo užduotą prejudicinį klausimą, </w:t>
      </w:r>
      <w:r w:rsidR="00987BB7" w:rsidRPr="007344EA">
        <w:t>pasisakė, kad Direktyva 93/13 „turi būti aiškinama tai</w:t>
      </w:r>
      <w:r w:rsidR="006C2F26" w:rsidRPr="007344EA">
        <w:t>p</w:t>
      </w:r>
      <w:r w:rsidR="00987BB7" w:rsidRPr="007344EA">
        <w:t>, kad nacionalinis tei</w:t>
      </w:r>
      <w:r w:rsidR="005B32E9" w:rsidRPr="007344EA">
        <w:t>s</w:t>
      </w:r>
      <w:r w:rsidR="00987BB7" w:rsidRPr="007344EA">
        <w:t xml:space="preserve">mas, </w:t>
      </w:r>
      <w:r w:rsidR="005B32E9" w:rsidRPr="007344EA">
        <w:t>kuriam</w:t>
      </w:r>
      <w:r w:rsidR="00987BB7" w:rsidRPr="007344EA">
        <w:t xml:space="preserve"> pateiktas ieškinys dėl arbitražinio sprendimo panaikinimo, vertina, ar arbitražinis sprendimas negalioja, ir panaikina arbitražinio teismo sprendimą, motyvuodamas tuo, jog šiame arbitražiniame susitarime yra nesąžininga sąlyga, net jeigu vartotojas šį klausimą iškėlė ne arbitražiniame procese, o pateikdamas ieškinį dėl negaliojimo“</w:t>
      </w:r>
      <w:r w:rsidR="00987BB7" w:rsidRPr="007344EA">
        <w:rPr>
          <w:rStyle w:val="FootnoteReference"/>
        </w:rPr>
        <w:footnoteReference w:id="245"/>
      </w:r>
      <w:r w:rsidR="00987BB7" w:rsidRPr="007344EA">
        <w:t xml:space="preserve">. </w:t>
      </w:r>
      <w:r w:rsidR="00B358A1" w:rsidRPr="007344EA">
        <w:t>Skaitant to</w:t>
      </w:r>
      <w:r w:rsidR="004D1FE1" w:rsidRPr="007344EA">
        <w:t xml:space="preserve">kią Teisingumo Teismo poziciją, </w:t>
      </w:r>
      <w:r w:rsidR="00B358A1" w:rsidRPr="007344EA">
        <w:t>k</w:t>
      </w:r>
      <w:r w:rsidR="005B32E9" w:rsidRPr="007344EA">
        <w:t>yla klausimas ar</w:t>
      </w:r>
      <w:r w:rsidR="00205A74" w:rsidRPr="007344EA">
        <w:t xml:space="preserve"> šiuo sprendimu </w:t>
      </w:r>
      <w:r w:rsidR="00B3700A" w:rsidRPr="007344EA">
        <w:t>norima</w:t>
      </w:r>
      <w:r w:rsidR="00205A74" w:rsidRPr="007344EA">
        <w:t xml:space="preserve"> pasakyti, kad </w:t>
      </w:r>
      <w:r w:rsidR="00205A74" w:rsidRPr="007344EA">
        <w:rPr>
          <w:i/>
        </w:rPr>
        <w:t xml:space="preserve">ex officio </w:t>
      </w:r>
      <w:r w:rsidR="00205A74" w:rsidRPr="007344EA">
        <w:t>teis</w:t>
      </w:r>
      <w:r w:rsidR="00196897" w:rsidRPr="007344EA">
        <w:t>ė</w:t>
      </w:r>
      <w:r w:rsidR="00205A74" w:rsidRPr="007344EA">
        <w:t>s taikymui</w:t>
      </w:r>
      <w:r w:rsidR="00B358A1" w:rsidRPr="007344EA">
        <w:t xml:space="preserve">, kai tai yra susiję su arbitražo sprendimu, </w:t>
      </w:r>
      <w:r w:rsidR="00DB2997" w:rsidRPr="007344EA">
        <w:t>yra reikali</w:t>
      </w:r>
      <w:r w:rsidR="00482F7C" w:rsidRPr="007344EA">
        <w:t>ngi aktyvūs vartotojo veiksmai</w:t>
      </w:r>
      <w:r w:rsidR="00224D1C" w:rsidRPr="007344EA">
        <w:t xml:space="preserve"> −</w:t>
      </w:r>
      <w:r w:rsidR="00B57669" w:rsidRPr="007344EA">
        <w:t xml:space="preserve"> išk</w:t>
      </w:r>
      <w:r w:rsidR="00F846B6" w:rsidRPr="007344EA">
        <w:t>e</w:t>
      </w:r>
      <w:r w:rsidR="00B57669" w:rsidRPr="007344EA">
        <w:t>l</w:t>
      </w:r>
      <w:r w:rsidR="00F846B6" w:rsidRPr="007344EA">
        <w:t>ti nesąžiningumo klausimą</w:t>
      </w:r>
      <w:r w:rsidR="00196897" w:rsidRPr="007344EA">
        <w:t>.</w:t>
      </w:r>
      <w:r w:rsidR="00DB2997" w:rsidRPr="007344EA">
        <w:t xml:space="preserve"> </w:t>
      </w:r>
      <w:r w:rsidR="00B57669" w:rsidRPr="007344EA">
        <w:t xml:space="preserve">Juk taip iš esmės būtų paneigiama pati </w:t>
      </w:r>
      <w:r w:rsidR="00B57669" w:rsidRPr="007344EA">
        <w:rPr>
          <w:i/>
        </w:rPr>
        <w:t xml:space="preserve">ex officio </w:t>
      </w:r>
      <w:r w:rsidR="00B57669" w:rsidRPr="007344EA">
        <w:t>teisės esmė</w:t>
      </w:r>
      <w:r w:rsidR="00940660">
        <w:t xml:space="preserve"> </w:t>
      </w:r>
      <w:r w:rsidR="004F7E77">
        <w:t>– iniciatyvos turi imtis teismas</w:t>
      </w:r>
      <w:r w:rsidR="00940660">
        <w:t>.</w:t>
      </w:r>
      <w:r w:rsidR="00B57669" w:rsidRPr="007344EA">
        <w:t xml:space="preserve"> </w:t>
      </w:r>
      <w:r w:rsidR="00D805CF" w:rsidRPr="007344EA">
        <w:t xml:space="preserve">Teisingumo Teismas papildo ir sukonkretina savo sprendimą, priimta byloje </w:t>
      </w:r>
      <w:r w:rsidR="00D805CF" w:rsidRPr="007344EA">
        <w:rPr>
          <w:i/>
        </w:rPr>
        <w:t>Claro</w:t>
      </w:r>
      <w:r w:rsidR="00D805CF" w:rsidRPr="007344EA">
        <w:t xml:space="preserve">, atsakydamas į byloje </w:t>
      </w:r>
      <w:r w:rsidR="00D805CF" w:rsidRPr="007344EA">
        <w:rPr>
          <w:i/>
        </w:rPr>
        <w:t>Asturcom</w:t>
      </w:r>
      <w:r w:rsidR="00F846B6" w:rsidRPr="007344EA">
        <w:t xml:space="preserve"> nacionaliniam</w:t>
      </w:r>
      <w:r w:rsidR="00D805CF" w:rsidRPr="007344EA">
        <w:t xml:space="preserve"> teismui iškilusį klausimą, kuriuo iš esmės yra klausiama ar nacionalinis teismas gali </w:t>
      </w:r>
      <w:r w:rsidR="00D805CF" w:rsidRPr="007344EA">
        <w:rPr>
          <w:i/>
        </w:rPr>
        <w:t>ex officio</w:t>
      </w:r>
      <w:r w:rsidR="00D805CF" w:rsidRPr="007344EA">
        <w:t xml:space="preserve"> vertinti arbitražinės išlygos nesąžiningumą, </w:t>
      </w:r>
      <w:r w:rsidR="00F86D56" w:rsidRPr="007344EA">
        <w:rPr>
          <w:i/>
        </w:rPr>
        <w:t>res judicata</w:t>
      </w:r>
      <w:r w:rsidR="00F86D56" w:rsidRPr="007344EA">
        <w:t xml:space="preserve"> galią</w:t>
      </w:r>
      <w:r w:rsidR="00D805CF" w:rsidRPr="007344EA">
        <w:t xml:space="preserve"> </w:t>
      </w:r>
      <w:r w:rsidR="00E072B7" w:rsidRPr="007344EA">
        <w:t xml:space="preserve">įgijusio </w:t>
      </w:r>
      <w:r w:rsidR="00D805CF" w:rsidRPr="007344EA">
        <w:t xml:space="preserve">arbitražo sprendimo priverstinio vykdymo procese. </w:t>
      </w:r>
      <w:r w:rsidR="00F86D56" w:rsidRPr="007344EA">
        <w:t xml:space="preserve">Pirma Teisingumo Teismas </w:t>
      </w:r>
      <w:r w:rsidR="0008367F" w:rsidRPr="007344EA">
        <w:t xml:space="preserve">pasisakė apie </w:t>
      </w:r>
      <w:r w:rsidR="0008367F" w:rsidRPr="007344EA">
        <w:rPr>
          <w:i/>
        </w:rPr>
        <w:t>res judicata</w:t>
      </w:r>
      <w:r w:rsidR="0008367F" w:rsidRPr="007344EA">
        <w:t xml:space="preserve"> principo svarbą Sąjungos teisės kontekste,</w:t>
      </w:r>
      <w:r w:rsidR="00F93B72" w:rsidRPr="007344EA">
        <w:t xml:space="preserve"> </w:t>
      </w:r>
      <w:r w:rsidR="0008367F" w:rsidRPr="007344EA">
        <w:t>tuomet konstatavo, kad Sąjungos teisės aktai nereglamentuoja minėto principo įgyvendinimo ir tai yra palikta valstybių narių kompetencija</w:t>
      </w:r>
      <w:r w:rsidR="00E072B7" w:rsidRPr="007344EA">
        <w:t>i</w:t>
      </w:r>
      <w:r w:rsidR="0008367F" w:rsidRPr="007344EA">
        <w:t xml:space="preserve">. Tačiau valstybės narės autonomija nustatyti </w:t>
      </w:r>
      <w:r w:rsidR="0008367F" w:rsidRPr="007344EA">
        <w:rPr>
          <w:i/>
        </w:rPr>
        <w:t>res judicata</w:t>
      </w:r>
      <w:r w:rsidR="0008367F" w:rsidRPr="007344EA">
        <w:t xml:space="preserve"> principo įgyve</w:t>
      </w:r>
      <w:r w:rsidR="004B23FB" w:rsidRPr="007344EA">
        <w:t>n</w:t>
      </w:r>
      <w:r w:rsidR="0008367F" w:rsidRPr="007344EA">
        <w:t>di</w:t>
      </w:r>
      <w:r w:rsidR="004B23FB" w:rsidRPr="007344EA">
        <w:t>nimą</w:t>
      </w:r>
      <w:r w:rsidR="0008367F" w:rsidRPr="007344EA">
        <w:t xml:space="preserve"> nėra absoliuti ir turi atitikti lygiavertiškumo (</w:t>
      </w:r>
      <w:r w:rsidR="004B23FB" w:rsidRPr="007344EA">
        <w:t xml:space="preserve">neturi būti mažiau palanki) </w:t>
      </w:r>
      <w:r w:rsidR="0008367F" w:rsidRPr="007344EA">
        <w:t>ir veiksmingumo</w:t>
      </w:r>
      <w:r w:rsidR="004B23FB" w:rsidRPr="007344EA">
        <w:t xml:space="preserve"> (įgyvendinimas ne pernelyg sudėtingas) principus. Taip pat Teisingumo Teismas pasisakė, kad valstybės narės įstatymuose nustatytas 60 dienų arbitražo sprendimo apskundimo terminas, po kurio sprendimas įgyja </w:t>
      </w:r>
      <w:r w:rsidR="004B23FB" w:rsidRPr="007344EA">
        <w:rPr>
          <w:i/>
        </w:rPr>
        <w:t>res judicata</w:t>
      </w:r>
      <w:r w:rsidR="004B23FB" w:rsidRPr="007344EA">
        <w:t xml:space="preserve"> galią yra protingas ir nekritikuotinas </w:t>
      </w:r>
      <w:r w:rsidR="004B23FB" w:rsidRPr="007344EA">
        <w:rPr>
          <w:i/>
        </w:rPr>
        <w:t xml:space="preserve">per se </w:t>
      </w:r>
      <w:r w:rsidR="004B23FB" w:rsidRPr="007344EA">
        <w:t>(atitinka veiksmingumo principą). Lygiavertiškumo principo atitikties klausimas paliktas</w:t>
      </w:r>
      <w:r w:rsidR="00F846B6" w:rsidRPr="007344EA">
        <w:t xml:space="preserve"> spręsti nacionaliniam teismui</w:t>
      </w:r>
      <w:r w:rsidR="004B23FB" w:rsidRPr="007344EA">
        <w:t xml:space="preserve">. </w:t>
      </w:r>
      <w:r w:rsidR="006C2F26" w:rsidRPr="007344EA">
        <w:t>Remiantis minėtais argumentais Teisingumo Teismas į nacionalinio teismo užduotą prejudicinį klausimą atsakė, kad</w:t>
      </w:r>
      <w:r w:rsidR="00366087" w:rsidRPr="007344EA">
        <w:t xml:space="preserve"> „Direktyva 93/13 turi būti aiškinama taip, kad nacionalinis teismas, nagrinėjantis ieškinį dėl </w:t>
      </w:r>
      <w:r w:rsidR="00366087" w:rsidRPr="007344EA">
        <w:rPr>
          <w:i/>
          <w:iCs/>
        </w:rPr>
        <w:t>res judicata</w:t>
      </w:r>
      <w:r w:rsidR="00366087" w:rsidRPr="007344EA">
        <w:t xml:space="preserve"> galią įgijusio arbitražo sprendimo, priimto vartotojui nedalyvaujant, priverstinio vykdymo, privalo, kai tik jis turi šiuo atžvilgiu reikalingą teisinę ir faktinę informaciją, savo iniciatyva įvertinti vartotojo ir pardavėjo ar tiekėjo sudarytoje sutartyje esančios arbitražinės išlygos nesąžiningą pobūdį, jeigu pagal nacionalin</w:t>
      </w:r>
      <w:r w:rsidR="00196897" w:rsidRPr="007344EA">
        <w:t>e</w:t>
      </w:r>
      <w:r w:rsidR="00366087" w:rsidRPr="007344EA">
        <w:t xml:space="preserve">s procesines normas jis gali atlikti tokį vertinimą nagrinėdamas panašius vidaus teise grindžiamus ieškinius. Jei taip yra, šis teismas turi nustatyti visas dėl to pagal nacionalinę </w:t>
      </w:r>
      <w:r w:rsidR="00366087" w:rsidRPr="007344EA">
        <w:lastRenderedPageBreak/>
        <w:t>teisę kylančias pasekmes, kad užtikrintų, jog ši išlyga šiam vartotojui nebus privaloma”</w:t>
      </w:r>
      <w:r w:rsidR="00366087" w:rsidRPr="007344EA">
        <w:rPr>
          <w:rStyle w:val="FootnoteReference"/>
        </w:rPr>
        <w:footnoteReference w:id="246"/>
      </w:r>
      <w:r w:rsidR="00366087" w:rsidRPr="007344EA">
        <w:t xml:space="preserve">. </w:t>
      </w:r>
      <w:r w:rsidR="00F35999" w:rsidRPr="007344EA">
        <w:t xml:space="preserve"> Galima teigti, kad šiuo sprendimu </w:t>
      </w:r>
      <w:r w:rsidR="00366087" w:rsidRPr="007344EA">
        <w:t>Teisingumo Teismas siekė išlaikyti balansą tarp Direktyva 93/13 suteikiamos</w:t>
      </w:r>
      <w:r w:rsidR="00652711" w:rsidRPr="007344EA">
        <w:t xml:space="preserve"> vartotojų</w:t>
      </w:r>
      <w:r w:rsidR="00366087" w:rsidRPr="007344EA">
        <w:t xml:space="preserve">  apsaugos </w:t>
      </w:r>
      <w:r w:rsidR="00F846B6" w:rsidRPr="007344EA">
        <w:t xml:space="preserve">sistemos </w:t>
      </w:r>
      <w:r w:rsidR="00366087" w:rsidRPr="007344EA">
        <w:t>ir valstybių narių procesinės teisės auto</w:t>
      </w:r>
      <w:r w:rsidR="00652711" w:rsidRPr="007344EA">
        <w:t>no</w:t>
      </w:r>
      <w:r w:rsidR="00F35999" w:rsidRPr="007344EA">
        <w:t xml:space="preserve">mijos.  </w:t>
      </w:r>
    </w:p>
    <w:p w:rsidR="00CC1074" w:rsidRPr="007344EA" w:rsidRDefault="00C96C07" w:rsidP="006E00E1">
      <w:pPr>
        <w:pStyle w:val="Default"/>
        <w:spacing w:line="360" w:lineRule="auto"/>
        <w:ind w:firstLine="1296"/>
        <w:jc w:val="both"/>
      </w:pPr>
      <w:r w:rsidRPr="007344EA">
        <w:t>Sprendimas byloje</w:t>
      </w:r>
      <w:r w:rsidR="002E64F3" w:rsidRPr="007344EA">
        <w:t xml:space="preserve"> </w:t>
      </w:r>
      <w:r w:rsidRPr="007344EA">
        <w:rPr>
          <w:i/>
        </w:rPr>
        <w:t>Asturcom</w:t>
      </w:r>
      <w:r w:rsidRPr="007344EA">
        <w:t xml:space="preserve"> patikslina </w:t>
      </w:r>
      <w:r w:rsidRPr="007344EA">
        <w:rPr>
          <w:i/>
        </w:rPr>
        <w:t>Claro</w:t>
      </w:r>
      <w:r w:rsidRPr="007344EA">
        <w:t xml:space="preserve"> byloje </w:t>
      </w:r>
      <w:r w:rsidR="00E072B7" w:rsidRPr="007344EA">
        <w:t>esantį neaiškumą, dėl  aktyvių</w:t>
      </w:r>
      <w:r w:rsidR="00513F14" w:rsidRPr="007344EA">
        <w:t xml:space="preserve"> vartotojo veiksmų. Vartotojas tokio pobūdžio bylose gali elgtis pasyviai ir dėl to jo interesai nenu</w:t>
      </w:r>
      <w:r w:rsidR="00772956" w:rsidRPr="007344EA">
        <w:t>kentės</w:t>
      </w:r>
      <w:r w:rsidR="00513F14" w:rsidRPr="007344EA">
        <w:t xml:space="preserve">, kadangi visą „darbą“ už jį </w:t>
      </w:r>
      <w:r w:rsidR="006C2F26" w:rsidRPr="007344EA">
        <w:t xml:space="preserve">atlieka </w:t>
      </w:r>
      <w:r w:rsidR="00513F14" w:rsidRPr="007344EA">
        <w:t xml:space="preserve">nacionalinis teismas. Minėtose bylose Teisingumo Teismas suformavo taisyklę, pagal kurią nacionalinis teismas </w:t>
      </w:r>
      <w:r w:rsidR="00513F14" w:rsidRPr="007344EA">
        <w:rPr>
          <w:i/>
        </w:rPr>
        <w:t>ex officio</w:t>
      </w:r>
      <w:r w:rsidR="00513F14" w:rsidRPr="007344EA">
        <w:t xml:space="preserve"> gali įvertinti arbitražinės </w:t>
      </w:r>
      <w:r w:rsidR="00995BAA" w:rsidRPr="007344EA">
        <w:t xml:space="preserve">išlygos nesąžiningumą, ir tuo pagrindu panaikinti net ir </w:t>
      </w:r>
      <w:r w:rsidR="00995BAA" w:rsidRPr="007344EA">
        <w:rPr>
          <w:i/>
        </w:rPr>
        <w:t>res judicata</w:t>
      </w:r>
      <w:r w:rsidR="00995BAA" w:rsidRPr="007344EA">
        <w:t xml:space="preserve"> gali</w:t>
      </w:r>
      <w:r w:rsidR="00FA73C6">
        <w:t xml:space="preserve">ą įgijusį arbitražo sprendimą, </w:t>
      </w:r>
      <w:r w:rsidR="00995BAA" w:rsidRPr="007344EA">
        <w:t>jei taip gali</w:t>
      </w:r>
      <w:r w:rsidR="00196897" w:rsidRPr="007344EA">
        <w:t>ma</w:t>
      </w:r>
      <w:r w:rsidR="00995BAA" w:rsidRPr="007344EA">
        <w:t xml:space="preserve"> atlikti ir su panašiais vidaus teise grindžiamais ieškiniais (lygiavertiškumo ir veiksmingumo principai). </w:t>
      </w:r>
    </w:p>
    <w:p w:rsidR="004E7315" w:rsidRPr="007344EA" w:rsidRDefault="00995BAA" w:rsidP="006E00E1">
      <w:pPr>
        <w:pStyle w:val="Default"/>
        <w:spacing w:line="360" w:lineRule="auto"/>
        <w:ind w:firstLine="1296"/>
        <w:jc w:val="both"/>
      </w:pPr>
      <w:r w:rsidRPr="007344EA">
        <w:t>Doktrino</w:t>
      </w:r>
      <w:r w:rsidR="006C2F26" w:rsidRPr="007344EA">
        <w:t xml:space="preserve">je </w:t>
      </w:r>
      <w:r w:rsidR="004E7315" w:rsidRPr="007344EA">
        <w:t>vertinant sprendimą</w:t>
      </w:r>
      <w:r w:rsidR="00D5207E">
        <w:t>,</w:t>
      </w:r>
      <w:r w:rsidR="004E7315" w:rsidRPr="007344EA">
        <w:t xml:space="preserve"> priimtą byloje </w:t>
      </w:r>
      <w:r w:rsidR="004E7315" w:rsidRPr="007344EA">
        <w:rPr>
          <w:i/>
        </w:rPr>
        <w:t>Asturcom</w:t>
      </w:r>
      <w:r w:rsidR="00D5207E">
        <w:rPr>
          <w:i/>
        </w:rPr>
        <w:t>,</w:t>
      </w:r>
      <w:r w:rsidR="004E7315" w:rsidRPr="007344EA">
        <w:rPr>
          <w:i/>
        </w:rPr>
        <w:t xml:space="preserve"> </w:t>
      </w:r>
      <w:r w:rsidR="004E7315" w:rsidRPr="007344EA">
        <w:t>pateiki</w:t>
      </w:r>
      <w:r w:rsidR="00CC1074" w:rsidRPr="007344EA">
        <w:t>a</w:t>
      </w:r>
      <w:r w:rsidR="004E7315" w:rsidRPr="007344EA">
        <w:t>m</w:t>
      </w:r>
      <w:r w:rsidR="00D32CBE" w:rsidRPr="007344EA">
        <w:t>a</w:t>
      </w:r>
      <w:r w:rsidR="004E7315" w:rsidRPr="007344EA">
        <w:t xml:space="preserve"> nuomon</w:t>
      </w:r>
      <w:r w:rsidR="00196897" w:rsidRPr="007344EA">
        <w:t>ė</w:t>
      </w:r>
      <w:r w:rsidR="004E7315" w:rsidRPr="007344EA">
        <w:t xml:space="preserve">, kad „Teisingumo Teismas </w:t>
      </w:r>
      <w:r w:rsidR="00D32CBE" w:rsidRPr="007344EA">
        <w:t xml:space="preserve">palieka nacionalinei proceso teisei spręsti kokiais atvejais pasinaudoti </w:t>
      </w:r>
      <w:r w:rsidR="00D32CBE" w:rsidRPr="007344EA">
        <w:rPr>
          <w:i/>
        </w:rPr>
        <w:t>ex officio</w:t>
      </w:r>
      <w:r w:rsidR="00D32CBE" w:rsidRPr="007344EA">
        <w:t xml:space="preserve"> teise vertinant nesąžiningas sąlygas. Tokiu būdu Teisingumo</w:t>
      </w:r>
      <w:r w:rsidR="003D557F" w:rsidRPr="007344EA">
        <w:t xml:space="preserve"> </w:t>
      </w:r>
      <w:r w:rsidR="00D32CBE" w:rsidRPr="007344EA">
        <w:t xml:space="preserve">Teismas nesiryžta kištis į nacionalinę proceso teisę ir </w:t>
      </w:r>
      <w:r w:rsidR="00A629F2" w:rsidRPr="007344EA">
        <w:t xml:space="preserve">arbitražo procedūrų reguliavimą,  taip užgoždamas Sąjungos suteiktą apsaugą vartotojams. </w:t>
      </w:r>
      <w:r w:rsidR="006C764C" w:rsidRPr="007344EA">
        <w:t xml:space="preserve">Be kita ko, </w:t>
      </w:r>
      <w:r w:rsidR="003D557F" w:rsidRPr="007344EA">
        <w:t xml:space="preserve">tokio tipo ginčuose, Sąjungos teisė nederina </w:t>
      </w:r>
      <w:r w:rsidR="00A96401" w:rsidRPr="007344EA">
        <w:t>teisi</w:t>
      </w:r>
      <w:r w:rsidR="003D557F" w:rsidRPr="007344EA">
        <w:t>ų gynimo būdų</w:t>
      </w:r>
      <w:r w:rsidR="006C764C" w:rsidRPr="007344EA">
        <w:t>, todėl vartotojai pagal Ispanijos teisę negali būti apginti“</w:t>
      </w:r>
      <w:r w:rsidR="006C764C" w:rsidRPr="007344EA">
        <w:rPr>
          <w:rStyle w:val="FootnoteReference"/>
        </w:rPr>
        <w:footnoteReference w:id="247"/>
      </w:r>
      <w:r w:rsidR="006C764C" w:rsidRPr="007344EA">
        <w:t xml:space="preserve">. </w:t>
      </w:r>
      <w:r w:rsidR="003D557F" w:rsidRPr="007344EA">
        <w:t xml:space="preserve">Kaip matome autorius referuoja į </w:t>
      </w:r>
      <w:r w:rsidR="00A96401" w:rsidRPr="007344EA">
        <w:t xml:space="preserve">Teisingumo Teismo nustatytą tam tikrą </w:t>
      </w:r>
      <w:r w:rsidR="00A96401" w:rsidRPr="007344EA">
        <w:rPr>
          <w:i/>
        </w:rPr>
        <w:t>ex officio</w:t>
      </w:r>
      <w:r w:rsidR="00A96401" w:rsidRPr="007344EA">
        <w:t xml:space="preserve"> išimtį</w:t>
      </w:r>
      <w:r w:rsidR="00224D1C" w:rsidRPr="007344EA">
        <w:t xml:space="preserve"> −</w:t>
      </w:r>
      <w:r w:rsidR="00A96401" w:rsidRPr="007344EA">
        <w:t xml:space="preserve"> „jeigu pagal nacionalinės procesines normas jis gali atlikti tokį vertinimą nagrinėdamas panašius vidaus teise grindžiamus ieškinius“</w:t>
      </w:r>
      <w:r w:rsidR="0007536F" w:rsidRPr="007344EA">
        <w:rPr>
          <w:rStyle w:val="FootnoteReference"/>
        </w:rPr>
        <w:footnoteReference w:id="248"/>
      </w:r>
      <w:r w:rsidR="0007536F" w:rsidRPr="007344EA">
        <w:t xml:space="preserve">. Šis apribojimas yra kildinamas iš Teisingumo Teismo praktikos susijusios su </w:t>
      </w:r>
      <w:r w:rsidR="0007536F" w:rsidRPr="007344EA">
        <w:rPr>
          <w:i/>
        </w:rPr>
        <w:t>res judicata</w:t>
      </w:r>
      <w:r w:rsidR="0007536F" w:rsidRPr="007344EA">
        <w:t xml:space="preserve"> principo </w:t>
      </w:r>
      <w:r w:rsidR="00CC1074" w:rsidRPr="007344EA">
        <w:t xml:space="preserve">aiškinimu: „remiantis Teisingumo Teismo praktika, Bendrijos teisė nenustato nacionaliniam teismui pareigos netaikyti vidaus procesinių normų, suteikiančių sprendimui </w:t>
      </w:r>
      <w:r w:rsidR="00CC1074" w:rsidRPr="007344EA">
        <w:rPr>
          <w:i/>
          <w:iCs/>
        </w:rPr>
        <w:t>res judicata</w:t>
      </w:r>
      <w:r w:rsidR="00CC1074" w:rsidRPr="007344EA">
        <w:t xml:space="preserve"> galią, net jei tai leistų pašalinti ginčijamu sprendimu padarytą Bendrijos teisės normos, nepaisant jos pobūdžio, pažeidimą”</w:t>
      </w:r>
      <w:r w:rsidR="00CC1074" w:rsidRPr="007344EA">
        <w:rPr>
          <w:rStyle w:val="FootnoteReference"/>
        </w:rPr>
        <w:footnoteReference w:id="249"/>
      </w:r>
      <w:r w:rsidR="00CC1074" w:rsidRPr="007344EA">
        <w:t xml:space="preserve">. </w:t>
      </w:r>
      <w:r w:rsidR="00F65F28" w:rsidRPr="007344EA">
        <w:t xml:space="preserve">Taigi Teisingumo Teismas šiuo sprendimu įtvirtino, kad </w:t>
      </w:r>
      <w:r w:rsidR="00F65F28" w:rsidRPr="007344EA">
        <w:rPr>
          <w:i/>
        </w:rPr>
        <w:t>ex officio</w:t>
      </w:r>
      <w:r w:rsidR="00F65F28" w:rsidRPr="007344EA">
        <w:t xml:space="preserve"> galimybė nustatyti sąlygos nesąžiningumą nėra absoliuti. Nacionali</w:t>
      </w:r>
      <w:r w:rsidR="00E47277" w:rsidRPr="007344EA">
        <w:t>nė</w:t>
      </w:r>
      <w:r w:rsidR="00F65F28" w:rsidRPr="007344EA">
        <w:t xml:space="preserve"> proceso tei</w:t>
      </w:r>
      <w:r w:rsidR="00E47277" w:rsidRPr="007344EA">
        <w:t>sė</w:t>
      </w:r>
      <w:r w:rsidR="00F65F28" w:rsidRPr="007344EA">
        <w:t xml:space="preserve">, suteikianti sprendimui </w:t>
      </w:r>
      <w:r w:rsidR="00F65F28" w:rsidRPr="007344EA">
        <w:rPr>
          <w:i/>
        </w:rPr>
        <w:t>res judicata</w:t>
      </w:r>
      <w:r w:rsidR="00F65F28" w:rsidRPr="007344EA">
        <w:t xml:space="preserve"> galią, įgyja prioritetą, prieš Direktyva 93/13  nustatytą vartotojų apsaugos sistemą. </w:t>
      </w:r>
      <w:r w:rsidR="00E47277" w:rsidRPr="007344EA">
        <w:t xml:space="preserve">Sprendimas </w:t>
      </w:r>
      <w:r w:rsidR="00E47277" w:rsidRPr="007344EA">
        <w:rPr>
          <w:i/>
        </w:rPr>
        <w:t>Asturcom</w:t>
      </w:r>
      <w:r w:rsidR="00E47277" w:rsidRPr="007344EA">
        <w:t xml:space="preserve"> iliustruoja, kaip yra sudėtinga suderinti skirtingus požiūrius į vartotojų teisių apsaugą</w:t>
      </w:r>
      <w:r w:rsidR="00B3750F" w:rsidRPr="007344EA">
        <w:t xml:space="preserve"> skirtingų Sąjungos valstybių narių teisės sistemose.</w:t>
      </w:r>
      <w:r w:rsidR="00B3750F" w:rsidRPr="007344EA">
        <w:rPr>
          <w:rStyle w:val="FootnoteReference"/>
        </w:rPr>
        <w:footnoteReference w:id="250"/>
      </w:r>
    </w:p>
    <w:p w:rsidR="004C154C" w:rsidRPr="007344EA" w:rsidRDefault="00995BAA" w:rsidP="006E00E1">
      <w:pPr>
        <w:pStyle w:val="Default"/>
        <w:spacing w:line="360" w:lineRule="auto"/>
        <w:ind w:firstLine="1296"/>
        <w:jc w:val="both"/>
      </w:pPr>
      <w:r w:rsidRPr="007344EA">
        <w:t xml:space="preserve">Kitas </w:t>
      </w:r>
      <w:r w:rsidR="004D1FE1" w:rsidRPr="007344EA">
        <w:t xml:space="preserve">itin </w:t>
      </w:r>
      <w:r w:rsidRPr="007344EA">
        <w:t xml:space="preserve">svarbus </w:t>
      </w:r>
      <w:r w:rsidRPr="007344EA">
        <w:rPr>
          <w:i/>
        </w:rPr>
        <w:t>ex officio</w:t>
      </w:r>
      <w:r w:rsidRPr="007344EA">
        <w:t xml:space="preserve"> teisės taikymui sprendimas </w:t>
      </w:r>
      <w:r w:rsidRPr="007344EA">
        <w:rPr>
          <w:i/>
        </w:rPr>
        <w:t>Panno</w:t>
      </w:r>
      <w:r w:rsidR="00D7586D" w:rsidRPr="007344EA">
        <w:rPr>
          <w:i/>
        </w:rPr>
        <w:t>n</w:t>
      </w:r>
      <w:r w:rsidRPr="007344EA">
        <w:t xml:space="preserve">. </w:t>
      </w:r>
      <w:r w:rsidR="00D7586D" w:rsidRPr="007344EA">
        <w:t>Iki tol</w:t>
      </w:r>
      <w:r w:rsidR="00F76EB9" w:rsidRPr="007344EA">
        <w:t xml:space="preserve"> Teisingumo Teismo </w:t>
      </w:r>
      <w:r w:rsidR="00D7586D" w:rsidRPr="007344EA">
        <w:t xml:space="preserve">priimtuose sprendimuose likdavo </w:t>
      </w:r>
      <w:r w:rsidR="006C2F26" w:rsidRPr="007344EA">
        <w:t>ne</w:t>
      </w:r>
      <w:r w:rsidR="005E6CBA" w:rsidRPr="007344EA">
        <w:t xml:space="preserve">aišku ar </w:t>
      </w:r>
      <w:r w:rsidR="005E6CBA" w:rsidRPr="007344EA">
        <w:rPr>
          <w:i/>
        </w:rPr>
        <w:t>ex officio</w:t>
      </w:r>
      <w:r w:rsidR="005E6CBA" w:rsidRPr="007344EA">
        <w:t xml:space="preserve"> yra teismo teisė ar pareiga.</w:t>
      </w:r>
      <w:r w:rsidR="003043D4" w:rsidRPr="007344EA">
        <w:t xml:space="preserve"> </w:t>
      </w:r>
      <w:r w:rsidR="00F76EB9" w:rsidRPr="007344EA">
        <w:t>S</w:t>
      </w:r>
      <w:r w:rsidR="003043D4" w:rsidRPr="007344EA">
        <w:t xml:space="preserve">avo </w:t>
      </w:r>
      <w:r w:rsidR="003043D4" w:rsidRPr="007344EA">
        <w:lastRenderedPageBreak/>
        <w:t xml:space="preserve">prigimtimi </w:t>
      </w:r>
      <w:r w:rsidR="003043D4" w:rsidRPr="007344EA">
        <w:rPr>
          <w:i/>
        </w:rPr>
        <w:t>ex officio</w:t>
      </w:r>
      <w:r w:rsidR="00F76EB9" w:rsidRPr="007344EA">
        <w:t xml:space="preserve"> turėt</w:t>
      </w:r>
      <w:r w:rsidR="0017196B" w:rsidRPr="007344EA">
        <w:t>ų</w:t>
      </w:r>
      <w:r w:rsidR="003043D4" w:rsidRPr="007344EA">
        <w:t xml:space="preserve"> būti </w:t>
      </w:r>
      <w:r w:rsidR="006355CE" w:rsidRPr="007344EA">
        <w:t>laikoma pareiga, o ne teise</w:t>
      </w:r>
      <w:r w:rsidR="003043D4" w:rsidRPr="007344EA">
        <w:t xml:space="preserve">, priešingu atveju ji prarastų savo </w:t>
      </w:r>
      <w:r w:rsidR="00E076F2" w:rsidRPr="007344EA">
        <w:t xml:space="preserve">efektyvumą, ginant galimai pažeistas vartotojų teises, </w:t>
      </w:r>
      <w:r w:rsidR="003043D4" w:rsidRPr="007344EA">
        <w:t>o tuo pačiu</w:t>
      </w:r>
      <w:r w:rsidR="00E076F2" w:rsidRPr="007344EA">
        <w:t xml:space="preserve"> būtų paneigiama net ir pačios </w:t>
      </w:r>
      <w:r w:rsidR="00E076F2" w:rsidRPr="007344EA">
        <w:rPr>
          <w:i/>
        </w:rPr>
        <w:t>ex officio</w:t>
      </w:r>
      <w:r w:rsidR="00E076F2" w:rsidRPr="007344EA">
        <w:t xml:space="preserve"> prasmė</w:t>
      </w:r>
      <w:r w:rsidR="00D5207E">
        <w:t xml:space="preserve"> (</w:t>
      </w:r>
      <w:r w:rsidR="00D5207E" w:rsidRPr="00D5207E">
        <w:rPr>
          <w:i/>
        </w:rPr>
        <w:t>lot</w:t>
      </w:r>
      <w:r w:rsidR="00D5207E">
        <w:t>.− pagal pareigas)</w:t>
      </w:r>
      <w:r w:rsidR="00E076F2" w:rsidRPr="007344EA">
        <w:t xml:space="preserve"> </w:t>
      </w:r>
      <w:r w:rsidR="006355CE" w:rsidRPr="007344EA">
        <w:t>, jei nacionalinis teismas galėtų pasirinki ar konkrečioje byloje jam</w:t>
      </w:r>
      <w:r w:rsidR="007F3359" w:rsidRPr="007344EA">
        <w:t xml:space="preserve"> pripažinti</w:t>
      </w:r>
      <w:r w:rsidR="006355CE" w:rsidRPr="007344EA">
        <w:t xml:space="preserve"> </w:t>
      </w:r>
      <w:r w:rsidR="006355CE" w:rsidRPr="007344EA">
        <w:rPr>
          <w:i/>
        </w:rPr>
        <w:t>ex offcio</w:t>
      </w:r>
      <w:r w:rsidR="007F3359" w:rsidRPr="007344EA">
        <w:rPr>
          <w:i/>
        </w:rPr>
        <w:t xml:space="preserve"> </w:t>
      </w:r>
      <w:r w:rsidR="00D5207E">
        <w:t xml:space="preserve">tam tikrą </w:t>
      </w:r>
      <w:r w:rsidR="007F3359" w:rsidRPr="007344EA">
        <w:t>sutarties sąlygą nesąžininga</w:t>
      </w:r>
      <w:r w:rsidR="006355CE" w:rsidRPr="007344EA">
        <w:t xml:space="preserve"> a</w:t>
      </w:r>
      <w:r w:rsidR="00E076F2" w:rsidRPr="007344EA">
        <w:t>r ne.</w:t>
      </w:r>
      <w:r w:rsidR="005E6CBA" w:rsidRPr="007344EA">
        <w:t xml:space="preserve"> </w:t>
      </w:r>
      <w:r w:rsidR="00F76EB9" w:rsidRPr="007344EA">
        <w:rPr>
          <w:i/>
        </w:rPr>
        <w:t>Inter alia</w:t>
      </w:r>
      <w:r w:rsidR="00F76EB9" w:rsidRPr="007344EA">
        <w:t xml:space="preserve"> v</w:t>
      </w:r>
      <w:r w:rsidR="005E6CBA" w:rsidRPr="007344EA">
        <w:t>ertinant Direktyva 93/13 sukurtą vartotojo apsaugos sistemą</w:t>
      </w:r>
      <w:r w:rsidR="00E076F2" w:rsidRPr="007344EA">
        <w:t>,</w:t>
      </w:r>
      <w:r w:rsidR="005E6CBA" w:rsidRPr="007344EA">
        <w:t xml:space="preserve"> </w:t>
      </w:r>
      <w:r w:rsidR="005E6CBA" w:rsidRPr="007344EA">
        <w:rPr>
          <w:i/>
        </w:rPr>
        <w:t>ex officio</w:t>
      </w:r>
      <w:r w:rsidR="005E6CBA" w:rsidRPr="007344EA">
        <w:t xml:space="preserve"> turėtų būti laikoma </w:t>
      </w:r>
      <w:r w:rsidR="00CD5FED" w:rsidRPr="007344EA">
        <w:t xml:space="preserve">nacionalinio teismo </w:t>
      </w:r>
      <w:r w:rsidR="005E6CBA" w:rsidRPr="007344EA">
        <w:t>pareiga</w:t>
      </w:r>
      <w:r w:rsidR="003D7CD3" w:rsidRPr="007344EA">
        <w:t>.</w:t>
      </w:r>
      <w:r w:rsidR="005E6CBA" w:rsidRPr="007344EA">
        <w:t xml:space="preserve"> </w:t>
      </w:r>
      <w:r w:rsidR="00CD5FED" w:rsidRPr="007344EA">
        <w:t xml:space="preserve">Tačiau </w:t>
      </w:r>
      <w:r w:rsidR="005E6CBA" w:rsidRPr="007344EA">
        <w:t xml:space="preserve">Teisingumo Teismas vis vengdavo įvardinti </w:t>
      </w:r>
      <w:r w:rsidR="005E6CBA" w:rsidRPr="007344EA">
        <w:rPr>
          <w:i/>
        </w:rPr>
        <w:t>ex officio</w:t>
      </w:r>
      <w:r w:rsidR="00CD5FED" w:rsidRPr="007344EA">
        <w:t xml:space="preserve"> kaip nacionalinio teismo pareig</w:t>
      </w:r>
      <w:r w:rsidR="0017196B" w:rsidRPr="007344EA">
        <w:t>ą</w:t>
      </w:r>
      <w:r w:rsidR="00CD5FED" w:rsidRPr="007344EA">
        <w:t>,</w:t>
      </w:r>
      <w:r w:rsidR="005E6CBA" w:rsidRPr="007344EA">
        <w:t xml:space="preserve"> pasitelkdamas tokias formuluotes, kaip „</w:t>
      </w:r>
      <w:r w:rsidR="003D7CD3" w:rsidRPr="007344EA">
        <w:t>galėtų įvertinti</w:t>
      </w:r>
      <w:r w:rsidR="00F57FBA" w:rsidRPr="007344EA">
        <w:t>“</w:t>
      </w:r>
      <w:r w:rsidR="003D7CD3" w:rsidRPr="007344EA">
        <w:rPr>
          <w:rStyle w:val="FootnoteReference"/>
        </w:rPr>
        <w:footnoteReference w:id="251"/>
      </w:r>
      <w:r w:rsidR="00340EAE" w:rsidRPr="007344EA">
        <w:t>, „galimybė savo iniciatyva įvertinti“</w:t>
      </w:r>
      <w:r w:rsidR="00340EAE" w:rsidRPr="007344EA">
        <w:rPr>
          <w:rStyle w:val="FootnoteReference"/>
        </w:rPr>
        <w:footnoteReference w:id="252"/>
      </w:r>
      <w:r w:rsidR="00340EAE" w:rsidRPr="007344EA">
        <w:t>.</w:t>
      </w:r>
      <w:r w:rsidR="00CD5FED" w:rsidRPr="007344EA">
        <w:t xml:space="preserve"> Tokia Teisingumo Teismo pozicija iškelia klausimą ar naci</w:t>
      </w:r>
      <w:r w:rsidR="0002267F" w:rsidRPr="007344EA">
        <w:t xml:space="preserve">onalinis teismas savo nuožiūra gali </w:t>
      </w:r>
      <w:r w:rsidR="00CD5FED" w:rsidRPr="007344EA">
        <w:t xml:space="preserve">pasirinkti, naudotis jam suteikiama </w:t>
      </w:r>
      <w:r w:rsidR="00CD5FED" w:rsidRPr="007344EA">
        <w:rPr>
          <w:i/>
        </w:rPr>
        <w:t>ex officio</w:t>
      </w:r>
      <w:r w:rsidR="00CD5FED" w:rsidRPr="007344EA">
        <w:t xml:space="preserve"> teise ar ne. </w:t>
      </w:r>
      <w:r w:rsidR="00CD5FED" w:rsidRPr="007344EA">
        <w:rPr>
          <w:i/>
        </w:rPr>
        <w:t>Pannon</w:t>
      </w:r>
      <w:r w:rsidR="00CD5FED" w:rsidRPr="007344EA">
        <w:t xml:space="preserve"> sprendime Teisingumo Teismas </w:t>
      </w:r>
      <w:r w:rsidR="00B44603" w:rsidRPr="007344EA">
        <w:t>nebepaliko</w:t>
      </w:r>
      <w:r w:rsidR="00CD5FED" w:rsidRPr="007344EA">
        <w:t xml:space="preserve"> vietos interpretacijai ar </w:t>
      </w:r>
      <w:r w:rsidR="00CD5FED" w:rsidRPr="007344EA">
        <w:rPr>
          <w:i/>
        </w:rPr>
        <w:t xml:space="preserve">ex officio </w:t>
      </w:r>
      <w:r w:rsidR="00CD5FED" w:rsidRPr="007344EA">
        <w:t xml:space="preserve">yra </w:t>
      </w:r>
      <w:r w:rsidR="0061786B" w:rsidRPr="007344EA">
        <w:t xml:space="preserve">nacionalinio teismo </w:t>
      </w:r>
      <w:r w:rsidR="00CD5FED" w:rsidRPr="007344EA">
        <w:t xml:space="preserve">teisė ar pareiga: </w:t>
      </w:r>
      <w:r w:rsidR="00B44603" w:rsidRPr="007344EA">
        <w:t xml:space="preserve">„vaidmuo, kuris Bendrijos teisėje suteikiamas nacionaliniam teismui aptariamoje srityje, neapribojamas tik teise priimti sprendimą dėl galimo sutarties sąlygos nesąžiningumo, bet jis apima pareigą, kai tik jam tampa žinomos šiuo atžvilgiu reikalingos teisinės ir faktinės aplinkybės, </w:t>
      </w:r>
      <w:r w:rsidR="00B44603" w:rsidRPr="007344EA">
        <w:rPr>
          <w:i/>
          <w:iCs/>
        </w:rPr>
        <w:t>ex officio</w:t>
      </w:r>
      <w:r w:rsidR="00B44603" w:rsidRPr="007344EA">
        <w:t xml:space="preserve"> išnagrinėti šį klausimą, įskaitant ir klausimą dėl jo paties teritorinės jurisdikcijos”</w:t>
      </w:r>
      <w:r w:rsidR="00B44603" w:rsidRPr="007344EA">
        <w:rPr>
          <w:rStyle w:val="FootnoteReference"/>
        </w:rPr>
        <w:footnoteReference w:id="253"/>
      </w:r>
      <w:r w:rsidR="00B44603" w:rsidRPr="007344EA">
        <w:t xml:space="preserve">. Taigi </w:t>
      </w:r>
      <w:r w:rsidR="00BA01EE" w:rsidRPr="007344EA">
        <w:rPr>
          <w:i/>
        </w:rPr>
        <w:t xml:space="preserve">ex officio </w:t>
      </w:r>
      <w:r w:rsidR="00BA01EE" w:rsidRPr="007344EA">
        <w:t>vienareikšmiškai įvardinta, kaip nacionalinio teismo pareiga, bet ne tei</w:t>
      </w:r>
      <w:r w:rsidR="00E076F2" w:rsidRPr="007344EA">
        <w:t>sė. Kitas svarbus aspektas, kurį</w:t>
      </w:r>
      <w:r w:rsidR="00BA01EE" w:rsidRPr="007344EA">
        <w:t xml:space="preserve"> Teisingumo Teismas atskleidė šioje byloje, aiškindamas Direktyvos 93/13 nuostatas, </w:t>
      </w:r>
      <w:r w:rsidR="00D20ED3" w:rsidRPr="007344EA">
        <w:t xml:space="preserve">yra </w:t>
      </w:r>
      <w:r w:rsidR="00BA01EE" w:rsidRPr="007344EA">
        <w:t>tai</w:t>
      </w:r>
      <w:r w:rsidR="00D20ED3" w:rsidRPr="007344EA">
        <w:t>,</w:t>
      </w:r>
      <w:r w:rsidR="0002267F" w:rsidRPr="007344EA">
        <w:t xml:space="preserve"> jog aiškiai nurodė,</w:t>
      </w:r>
      <w:r w:rsidR="00F76EB9" w:rsidRPr="007344EA">
        <w:t xml:space="preserve"> nuo</w:t>
      </w:r>
      <w:r w:rsidR="00BA01EE" w:rsidRPr="007344EA">
        <w:t xml:space="preserve"> kada</w:t>
      </w:r>
      <w:r w:rsidR="0002267F" w:rsidRPr="007344EA">
        <w:t xml:space="preserve"> nacionaliniam</w:t>
      </w:r>
      <w:r w:rsidR="00BA01EE" w:rsidRPr="007344EA">
        <w:t xml:space="preserve"> teismui kyla pareiga</w:t>
      </w:r>
      <w:r w:rsidR="00D20ED3" w:rsidRPr="007344EA">
        <w:t xml:space="preserve"> </w:t>
      </w:r>
      <w:r w:rsidR="00D20ED3" w:rsidRPr="007344EA">
        <w:rPr>
          <w:i/>
        </w:rPr>
        <w:t>ex officio</w:t>
      </w:r>
      <w:r w:rsidR="00F846B6" w:rsidRPr="007344EA">
        <w:t xml:space="preserve"> ti</w:t>
      </w:r>
      <w:r w:rsidR="00D20ED3" w:rsidRPr="007344EA">
        <w:t>krinti sutarties sąlygų sąžiningumą: „kai tik jam tampa žinomos šiuo atžvilgiu reikalingos teisinės ir faktinės aplinkybės“</w:t>
      </w:r>
      <w:r w:rsidR="00D20ED3" w:rsidRPr="007344EA">
        <w:rPr>
          <w:rStyle w:val="FootnoteReference"/>
        </w:rPr>
        <w:footnoteReference w:id="254"/>
      </w:r>
      <w:r w:rsidR="00D20ED3" w:rsidRPr="007344EA">
        <w:t xml:space="preserve">. Toks Teisingumo Teismo požiūris iš esmės reiškia, kad </w:t>
      </w:r>
      <w:r w:rsidR="00D20ED3" w:rsidRPr="007344EA">
        <w:rPr>
          <w:i/>
        </w:rPr>
        <w:t>ex officio</w:t>
      </w:r>
      <w:r w:rsidR="00D20ED3" w:rsidRPr="007344EA">
        <w:t xml:space="preserve"> pareiga atsiranda vos tik nacionalinio teismo teisėjui gavus ieškinį i</w:t>
      </w:r>
      <w:r w:rsidR="0061786B" w:rsidRPr="007344EA">
        <w:t>r susipažinus su šio ieškinio dalimi</w:t>
      </w:r>
      <w:r w:rsidR="004C154C" w:rsidRPr="007344EA">
        <w:t>/priedu</w:t>
      </w:r>
      <w:r w:rsidR="0061786B" w:rsidRPr="007344EA">
        <w:t xml:space="preserve"> esančios vartojimo</w:t>
      </w:r>
      <w:r w:rsidR="00D20ED3" w:rsidRPr="007344EA">
        <w:t xml:space="preserve"> sutarties nuostatomis. </w:t>
      </w:r>
      <w:r w:rsidR="00477AA1" w:rsidRPr="007344EA">
        <w:t>Primintina tai,</w:t>
      </w:r>
      <w:r w:rsidR="00D4757D" w:rsidRPr="007344EA">
        <w:t xml:space="preserve"> </w:t>
      </w:r>
      <w:r w:rsidR="0017196B" w:rsidRPr="007344EA">
        <w:t xml:space="preserve">kad </w:t>
      </w:r>
      <w:r w:rsidR="00D4757D" w:rsidRPr="007344EA">
        <w:t>Direktyvos 93/13 3 straipsnyje įtvirtinta bendroji taisyklė, pagal kurią nesąžiningumas yra vertinamas tik tų sąlygų, kurios nebuvo individualiai aptartos. Kyla kl</w:t>
      </w:r>
      <w:r w:rsidR="00BC4729" w:rsidRPr="007344EA">
        <w:t>ausimas, kokiu būdu nacionalinis</w:t>
      </w:r>
      <w:r w:rsidR="00D4757D" w:rsidRPr="007344EA">
        <w:t xml:space="preserve"> teism</w:t>
      </w:r>
      <w:r w:rsidR="009E6BF8" w:rsidRPr="007344EA">
        <w:t xml:space="preserve">as turi sužinoti ar dėl konkrečios sąlygos buvo atskirai derėtas ar ne, jei jis turi pareigą net ir pirminio bylos įvertinimo metu, pagal </w:t>
      </w:r>
      <w:r w:rsidR="009E6BF8" w:rsidRPr="007344EA">
        <w:rPr>
          <w:i/>
        </w:rPr>
        <w:t>Oceano</w:t>
      </w:r>
      <w:r w:rsidR="009E6BF8" w:rsidRPr="007344EA">
        <w:t xml:space="preserve"> bylos praktiką, patikrinti ar jurisdikcinę išlyg</w:t>
      </w:r>
      <w:r w:rsidR="0017196B" w:rsidRPr="007344EA">
        <w:t>ą</w:t>
      </w:r>
      <w:r w:rsidR="009E6BF8" w:rsidRPr="007344EA">
        <w:t xml:space="preserve"> nustatanti</w:t>
      </w:r>
      <w:r w:rsidR="003445AF" w:rsidRPr="007344EA">
        <w:t xml:space="preserve"> sąlyga yra nesąžininga</w:t>
      </w:r>
      <w:r w:rsidR="00167BF8" w:rsidRPr="007344EA">
        <w:t>.</w:t>
      </w:r>
      <w:r w:rsidR="003445AF" w:rsidRPr="007344EA">
        <w:t xml:space="preserve"> </w:t>
      </w:r>
      <w:r w:rsidR="00167BF8" w:rsidRPr="007344EA">
        <w:rPr>
          <w:i/>
        </w:rPr>
        <w:t>I</w:t>
      </w:r>
      <w:r w:rsidR="003445AF" w:rsidRPr="007344EA">
        <w:rPr>
          <w:i/>
        </w:rPr>
        <w:t>nter alia</w:t>
      </w:r>
      <w:r w:rsidR="003445AF" w:rsidRPr="007344EA">
        <w:t xml:space="preserve">, </w:t>
      </w:r>
      <w:r w:rsidR="00167BF8" w:rsidRPr="007344EA">
        <w:t xml:space="preserve">pagal Direktyvos </w:t>
      </w:r>
      <w:r w:rsidR="00167BF8" w:rsidRPr="007344EA">
        <w:rPr>
          <w:lang w:val="en-US"/>
        </w:rPr>
        <w:t>93/13 3 s</w:t>
      </w:r>
      <w:r w:rsidR="00167BF8" w:rsidRPr="007344EA">
        <w:t xml:space="preserve">traipsnį, </w:t>
      </w:r>
      <w:r w:rsidR="003445AF" w:rsidRPr="007344EA">
        <w:t>tik tos sąlygos, dėl kurių nebuvo atskirai derėtasi</w:t>
      </w:r>
      <w:r w:rsidR="0017196B" w:rsidRPr="007344EA">
        <w:t>,</w:t>
      </w:r>
      <w:r w:rsidR="003445AF" w:rsidRPr="007344EA">
        <w:t xml:space="preserve"> gali būti nesąžiningumo</w:t>
      </w:r>
      <w:r w:rsidR="004C154C" w:rsidRPr="007344EA">
        <w:t xml:space="preserve"> </w:t>
      </w:r>
      <w:r w:rsidR="003445AF" w:rsidRPr="007344EA">
        <w:t>vertinimo objektu. Todėl darytina išvada, kad Direktyv</w:t>
      </w:r>
      <w:r w:rsidR="00ED759B" w:rsidRPr="007344EA">
        <w:t xml:space="preserve">os </w:t>
      </w:r>
      <w:r w:rsidR="00167BF8" w:rsidRPr="007344EA">
        <w:t>93/13</w:t>
      </w:r>
      <w:r w:rsidR="003445AF" w:rsidRPr="007344EA">
        <w:t xml:space="preserve"> </w:t>
      </w:r>
      <w:r w:rsidR="00ED759B" w:rsidRPr="007344EA">
        <w:rPr>
          <w:i/>
        </w:rPr>
        <w:t>ratione materiae</w:t>
      </w:r>
      <w:r w:rsidR="00ED759B" w:rsidRPr="007344EA">
        <w:t xml:space="preserve"> taikymo išimtis</w:t>
      </w:r>
      <w:r w:rsidR="00224D1C" w:rsidRPr="007344EA">
        <w:t xml:space="preserve"> −</w:t>
      </w:r>
      <w:r w:rsidR="00ED759B" w:rsidRPr="007344EA">
        <w:t xml:space="preserve"> „sutarties sąlyga, dėl kurios nebuvo atskirai derėtasi“ numato ne dvi komuliatyviai taikomas sąlygas, kaip teigia D. Bublienė</w:t>
      </w:r>
      <w:r w:rsidR="004C154C" w:rsidRPr="007344EA">
        <w:t>:</w:t>
      </w:r>
      <w:r w:rsidR="00ED759B" w:rsidRPr="007344EA">
        <w:t xml:space="preserve"> „visų pirm</w:t>
      </w:r>
      <w:r w:rsidR="0017196B" w:rsidRPr="007344EA">
        <w:t>a,</w:t>
      </w:r>
      <w:r w:rsidR="00ED759B" w:rsidRPr="007344EA">
        <w:t xml:space="preserve"> sąlyga turi būti parengta iš </w:t>
      </w:r>
      <w:r w:rsidR="00ED759B" w:rsidRPr="007344EA">
        <w:lastRenderedPageBreak/>
        <w:t>anksto; antra, vartotoj</w:t>
      </w:r>
      <w:r w:rsidR="0017196B" w:rsidRPr="007344EA">
        <w:t>a</w:t>
      </w:r>
      <w:r w:rsidR="00ED759B" w:rsidRPr="007344EA">
        <w:t>s negali daryti įtakos jos esmei“</w:t>
      </w:r>
      <w:r w:rsidR="00ED759B" w:rsidRPr="007344EA">
        <w:rPr>
          <w:rStyle w:val="FootnoteReference"/>
        </w:rPr>
        <w:footnoteReference w:id="255"/>
      </w:r>
      <w:r w:rsidR="004C154C" w:rsidRPr="007344EA">
        <w:t>,</w:t>
      </w:r>
      <w:r w:rsidR="004F1240" w:rsidRPr="007344EA">
        <w:t xml:space="preserve"> </w:t>
      </w:r>
      <w:r w:rsidR="004C154C" w:rsidRPr="007344EA">
        <w:t xml:space="preserve">o </w:t>
      </w:r>
      <w:r w:rsidR="0017196B" w:rsidRPr="007344EA">
        <w:t xml:space="preserve">tik numato </w:t>
      </w:r>
      <w:r w:rsidR="004C154C" w:rsidRPr="007344EA">
        <w:t>prezumpciją, kad iš anksto parengtai sutarčiai vartoto</w:t>
      </w:r>
      <w:r w:rsidR="004F1240" w:rsidRPr="007344EA">
        <w:t>jas negalėjo daryti įtakos. Ši prezumpcija</w:t>
      </w:r>
      <w:r w:rsidR="004C154C" w:rsidRPr="007344EA">
        <w:t xml:space="preserve"> gali būti paneigta bylos nagrinėjimo metu. </w:t>
      </w:r>
      <w:r w:rsidR="004A6A5B" w:rsidRPr="007344EA">
        <w:t>Kadangi nacionalinis teismas pirminio bylos įvertinimo metu neturi galimybės nustatyti ar vartotojas turėjo į</w:t>
      </w:r>
      <w:r w:rsidR="004F1240" w:rsidRPr="007344EA">
        <w:t>takos</w:t>
      </w:r>
      <w:r w:rsidR="004A6A5B" w:rsidRPr="007344EA">
        <w:t xml:space="preserve"> sutarties sąlygoms ar ne, tačiau gali preziumuoti, kad tip</w:t>
      </w:r>
      <w:r w:rsidR="004F1240" w:rsidRPr="007344EA">
        <w:t>inės sutarties atveju, vartotoja</w:t>
      </w:r>
      <w:r w:rsidR="004A6A5B" w:rsidRPr="007344EA">
        <w:t>s tokio</w:t>
      </w:r>
      <w:r w:rsidR="007F3359" w:rsidRPr="007344EA">
        <w:t>s</w:t>
      </w:r>
      <w:r w:rsidR="004A6A5B" w:rsidRPr="007344EA">
        <w:t xml:space="preserve"> įtakos neturėjo. Laikantis D. Bublienės pateikto aiškinimo</w:t>
      </w:r>
      <w:r w:rsidR="007615E9">
        <w:t xml:space="preserve"> </w:t>
      </w:r>
      <w:r w:rsidR="004A6A5B" w:rsidRPr="007344EA">
        <w:t xml:space="preserve">minėtieji Teisingumo Teismo sprendimai taptų </w:t>
      </w:r>
      <w:r w:rsidR="007615E9">
        <w:t xml:space="preserve">itin sunkiai įgyvendinami </w:t>
      </w:r>
      <w:r w:rsidR="007F3359" w:rsidRPr="007344EA">
        <w:t>valstybių narių teismuose</w:t>
      </w:r>
      <w:r w:rsidR="004A6A5B" w:rsidRPr="007344EA">
        <w:t xml:space="preserve">. </w:t>
      </w:r>
    </w:p>
    <w:p w:rsidR="00311D5F" w:rsidRPr="007344EA" w:rsidRDefault="001F4568" w:rsidP="006E00E1">
      <w:pPr>
        <w:pStyle w:val="Default"/>
        <w:spacing w:line="360" w:lineRule="auto"/>
        <w:ind w:firstLine="1296"/>
        <w:jc w:val="both"/>
      </w:pPr>
      <w:r w:rsidRPr="007344EA">
        <w:rPr>
          <w:i/>
        </w:rPr>
        <w:t>Pannon</w:t>
      </w:r>
      <w:r w:rsidRPr="007344EA">
        <w:t xml:space="preserve"> sprendimu Teisingumo Teismas įpareigojo valstybių teismus </w:t>
      </w:r>
      <w:r w:rsidR="00BC27E8" w:rsidRPr="007344EA">
        <w:rPr>
          <w:i/>
        </w:rPr>
        <w:t xml:space="preserve">ex officio </w:t>
      </w:r>
      <w:r w:rsidR="00BC27E8" w:rsidRPr="007344EA">
        <w:t xml:space="preserve">tikrinti ar vartojimo sutartyje esančios sąlygos atitinka sąžiningumo principą ir taikyti iš to išplaukiančias pasekmes. Tačiau, kaip elgtis nacionaliniam teismui tuo atveju, kai </w:t>
      </w:r>
      <w:r w:rsidR="00311D5F" w:rsidRPr="007344EA">
        <w:t xml:space="preserve">nustatoma, jog </w:t>
      </w:r>
      <w:r w:rsidR="00BC27E8" w:rsidRPr="007344EA">
        <w:t xml:space="preserve">vartojimo sutartyje </w:t>
      </w:r>
      <w:r w:rsidR="004E116B" w:rsidRPr="007344EA">
        <w:t>yra</w:t>
      </w:r>
      <w:r w:rsidR="00311D5F" w:rsidRPr="007344EA">
        <w:t xml:space="preserve"> nesąžininga sąlyga,</w:t>
      </w:r>
      <w:r w:rsidR="004E116B" w:rsidRPr="007344EA">
        <w:t xml:space="preserve"> tačiau vartotojas</w:t>
      </w:r>
      <w:r w:rsidR="00477AA1" w:rsidRPr="007344EA">
        <w:t xml:space="preserve"> </w:t>
      </w:r>
      <w:r w:rsidR="004E116B" w:rsidRPr="007344EA">
        <w:t>nors ir žino</w:t>
      </w:r>
      <w:r w:rsidR="00EB3DCA" w:rsidRPr="007344EA">
        <w:t>, kad jo sudarytoje sutartyje yra nesąžininga sąlyga,</w:t>
      </w:r>
      <w:r w:rsidR="00311D5F" w:rsidRPr="007344EA">
        <w:t xml:space="preserve"> tačiau</w:t>
      </w:r>
      <w:r w:rsidR="00EB3DCA" w:rsidRPr="007344EA">
        <w:t xml:space="preserve"> dėl vienokių ar kitokių priežasčių nenori, kad ši sąly</w:t>
      </w:r>
      <w:r w:rsidR="004E116B" w:rsidRPr="007344EA">
        <w:t xml:space="preserve">ga būti pripažinta nesąžininga. </w:t>
      </w:r>
      <w:r w:rsidR="0061786B" w:rsidRPr="007344EA">
        <w:t xml:space="preserve">Juk neretai pasitaiko, kad vartotojas </w:t>
      </w:r>
      <w:r w:rsidR="00BE2FA6" w:rsidRPr="007344EA">
        <w:t>nori kuo greičiau nutraukti bet kokius santykius su nesąžiningu verslininku, ypač jei ginčas kilęs dėl nedidelių sumų, o dalyvavimas</w:t>
      </w:r>
      <w:r w:rsidR="00837CA1" w:rsidRPr="007344EA">
        <w:t xml:space="preserve"> naujuose</w:t>
      </w:r>
      <w:r w:rsidR="00BE2FA6" w:rsidRPr="007344EA">
        <w:t xml:space="preserve"> teismo procesuose </w:t>
      </w:r>
      <w:r w:rsidR="00837CA1" w:rsidRPr="007344EA">
        <w:t xml:space="preserve">reikalautų papildomų laiko ir materialinių sąnaudų. </w:t>
      </w:r>
      <w:r w:rsidR="00EB3DCA" w:rsidRPr="007344EA">
        <w:t xml:space="preserve">Tokią situaciją apsvarstė ir Teisingumo Teismas </w:t>
      </w:r>
      <w:r w:rsidR="00311D5F" w:rsidRPr="007344EA">
        <w:t>pateikdamas</w:t>
      </w:r>
      <w:r w:rsidR="00EB3DCA" w:rsidRPr="007344EA">
        <w:t xml:space="preserve"> nacionali</w:t>
      </w:r>
      <w:r w:rsidR="000867D3" w:rsidRPr="007344EA">
        <w:t>ni</w:t>
      </w:r>
      <w:r w:rsidR="00EB3DCA" w:rsidRPr="007344EA">
        <w:t>o teismo pareig</w:t>
      </w:r>
      <w:r w:rsidR="004F1240" w:rsidRPr="007344EA">
        <w:t>os,</w:t>
      </w:r>
      <w:r w:rsidR="00EB3DCA" w:rsidRPr="007344EA">
        <w:t xml:space="preserve"> </w:t>
      </w:r>
      <w:r w:rsidR="00EB3DCA" w:rsidRPr="007344EA">
        <w:rPr>
          <w:i/>
        </w:rPr>
        <w:t>ex officio</w:t>
      </w:r>
      <w:r w:rsidR="00EB3DCA" w:rsidRPr="007344EA">
        <w:t xml:space="preserve"> nustatyti sąlygos nesąžiningumą</w:t>
      </w:r>
      <w:r w:rsidR="004F1240" w:rsidRPr="007344EA">
        <w:t>,</w:t>
      </w:r>
      <w:r w:rsidR="00EB3DCA" w:rsidRPr="007344EA">
        <w:t xml:space="preserve"> išlygą: </w:t>
      </w:r>
      <w:r w:rsidR="00E65CA8" w:rsidRPr="007344EA">
        <w:t>„</w:t>
      </w:r>
      <w:r w:rsidR="000867D3" w:rsidRPr="007344EA">
        <w:t>t</w:t>
      </w:r>
      <w:r w:rsidR="00E65CA8" w:rsidRPr="007344EA">
        <w:t>ačiau vykdydamas šią pareigą nacionalinis teismas pagal direktyvą neprivalo netaikyti nagrinėjamos sąlygos, jei vartotojas, minėto teismo informuotas, neketina remtis tuo, kad sąlyga yra nesąžininga ir neprivaloma”</w:t>
      </w:r>
      <w:r w:rsidR="00E65CA8" w:rsidRPr="007344EA">
        <w:rPr>
          <w:rStyle w:val="FootnoteReference"/>
        </w:rPr>
        <w:footnoteReference w:id="256"/>
      </w:r>
      <w:r w:rsidR="006562E3" w:rsidRPr="007344EA">
        <w:t>. Kitais žodžiais tariant, vartotojas norėdamas, kad nesąžining</w:t>
      </w:r>
      <w:r w:rsidR="008A2F2F" w:rsidRPr="007344EA">
        <w:t>a sąlyga ir toliau būtu taikoma,</w:t>
      </w:r>
      <w:r w:rsidR="006562E3" w:rsidRPr="007344EA">
        <w:t xml:space="preserve"> turi imtis aktyvių veiksmų, kitu atveju, nacionalinis teismas taikys iš nesąžiningumo kylančias pasekmes. </w:t>
      </w:r>
    </w:p>
    <w:p w:rsidR="00B513A7" w:rsidRPr="007344EA" w:rsidRDefault="007224E5" w:rsidP="006E00E1">
      <w:pPr>
        <w:pStyle w:val="Default"/>
        <w:spacing w:line="360" w:lineRule="auto"/>
        <w:ind w:firstLine="1296"/>
        <w:jc w:val="both"/>
      </w:pPr>
      <w:r w:rsidRPr="007344EA">
        <w:t xml:space="preserve">Sprendimas byloje </w:t>
      </w:r>
      <w:r w:rsidRPr="007344EA">
        <w:rPr>
          <w:i/>
        </w:rPr>
        <w:t>Pannon</w:t>
      </w:r>
      <w:r w:rsidRPr="007344EA">
        <w:t xml:space="preserve"> yra itin svarbus dėl kelių priežasčių. Pirma, įtvirtino, kad </w:t>
      </w:r>
      <w:r w:rsidRPr="007344EA">
        <w:rPr>
          <w:i/>
        </w:rPr>
        <w:t>ex officio</w:t>
      </w:r>
      <w:r w:rsidRPr="007344EA">
        <w:t xml:space="preserve"> nustatyti sutarties sąlygų sąžiningumą yra nacionalinio teismo pareiga, antra, </w:t>
      </w:r>
      <w:r w:rsidR="00B513A7" w:rsidRPr="007344EA">
        <w:t>š</w:t>
      </w:r>
      <w:r w:rsidR="00F40131" w:rsidRPr="007344EA">
        <w:t>i pareiga atsiranda iškart, kai tik nacionaliniam teismui tampa žinomos konkrečios fak</w:t>
      </w:r>
      <w:r w:rsidR="004F1240" w:rsidRPr="007344EA">
        <w:t>tinės ir teisinės aplinkybės ir</w:t>
      </w:r>
      <w:r w:rsidR="00F40131" w:rsidRPr="007344EA">
        <w:t xml:space="preserve">, trečia, </w:t>
      </w:r>
      <w:r w:rsidRPr="007344EA">
        <w:t>šios pareigos</w:t>
      </w:r>
      <w:r w:rsidR="0083559A" w:rsidRPr="007344EA">
        <w:t xml:space="preserve"> nacionalinis teismas gali nesiimti tik tuo atveju, kai </w:t>
      </w:r>
      <w:r w:rsidRPr="007344EA">
        <w:t xml:space="preserve">  vartotoj</w:t>
      </w:r>
      <w:r w:rsidR="004F1240" w:rsidRPr="007344EA">
        <w:t>a</w:t>
      </w:r>
      <w:r w:rsidRPr="007344EA">
        <w:t xml:space="preserve">s pats paprašo </w:t>
      </w:r>
      <w:r w:rsidR="00F40131" w:rsidRPr="007344EA">
        <w:t>l</w:t>
      </w:r>
      <w:r w:rsidRPr="007344EA">
        <w:t>aikyti galiojančia</w:t>
      </w:r>
      <w:r w:rsidR="00F40131" w:rsidRPr="007344EA">
        <w:t xml:space="preserve"> konkrečią</w:t>
      </w:r>
      <w:r w:rsidRPr="007344EA">
        <w:t xml:space="preserve"> nesąžiningą sąlygą</w:t>
      </w:r>
      <w:r w:rsidR="00F40131" w:rsidRPr="007344EA">
        <w:t>. Doktrino</w:t>
      </w:r>
      <w:r w:rsidR="00761E16" w:rsidRPr="007344EA">
        <w:t>je</w:t>
      </w:r>
      <w:r w:rsidR="00F40131" w:rsidRPr="007344EA">
        <w:t xml:space="preserve"> šis sprendimas taip pat vertinamas kaip</w:t>
      </w:r>
      <w:r w:rsidR="00761E16" w:rsidRPr="007344EA">
        <w:t xml:space="preserve"> „atnešęs aiškumo“</w:t>
      </w:r>
      <w:r w:rsidR="00761E16" w:rsidRPr="007344EA">
        <w:rPr>
          <w:rStyle w:val="FootnoteReference"/>
        </w:rPr>
        <w:footnoteReference w:id="257"/>
      </w:r>
      <w:r w:rsidR="00761E16" w:rsidRPr="007344EA">
        <w:t xml:space="preserve"> ankstesnės praktikos atžvilgiu. </w:t>
      </w:r>
      <w:r w:rsidR="008478C2" w:rsidRPr="007344EA">
        <w:t>Taip pat „stiprinantis vartotojo apsaugą, nuo nesąžiningų sąlygų“</w:t>
      </w:r>
      <w:r w:rsidR="00B513A7" w:rsidRPr="007344EA">
        <w:rPr>
          <w:rStyle w:val="FootnoteReference"/>
        </w:rPr>
        <w:footnoteReference w:id="258"/>
      </w:r>
      <w:r w:rsidR="00453FC9" w:rsidRPr="007344EA">
        <w:t xml:space="preserve">. </w:t>
      </w:r>
    </w:p>
    <w:p w:rsidR="00D805CF" w:rsidRPr="007344EA" w:rsidRDefault="00453FC9" w:rsidP="006E00E1">
      <w:pPr>
        <w:pStyle w:val="Default"/>
        <w:spacing w:line="360" w:lineRule="auto"/>
        <w:ind w:firstLine="1296"/>
        <w:jc w:val="both"/>
      </w:pPr>
      <w:r w:rsidRPr="007344EA">
        <w:rPr>
          <w:i/>
        </w:rPr>
        <w:lastRenderedPageBreak/>
        <w:t>Pohotovost</w:t>
      </w:r>
      <w:r w:rsidR="008D2376" w:rsidRPr="007344EA">
        <w:rPr>
          <w:i/>
        </w:rPr>
        <w:t xml:space="preserve"> </w:t>
      </w:r>
      <w:r w:rsidR="008D2376" w:rsidRPr="007344EA">
        <w:t>nutartyje</w:t>
      </w:r>
      <w:r w:rsidR="006562E3" w:rsidRPr="007344EA">
        <w:rPr>
          <w:rStyle w:val="FootnoteReference"/>
        </w:rPr>
        <w:footnoteReference w:id="259"/>
      </w:r>
      <w:r w:rsidR="006562E3" w:rsidRPr="007344EA">
        <w:t xml:space="preserve"> </w:t>
      </w:r>
      <w:r w:rsidR="008D2376" w:rsidRPr="007344EA">
        <w:t xml:space="preserve">Teisingumo Teismas neatskleidė jokių naujų </w:t>
      </w:r>
      <w:r w:rsidR="008D2376" w:rsidRPr="007344EA">
        <w:rPr>
          <w:i/>
        </w:rPr>
        <w:t>ex</w:t>
      </w:r>
      <w:r w:rsidR="00C173F8" w:rsidRPr="007344EA">
        <w:rPr>
          <w:i/>
        </w:rPr>
        <w:t xml:space="preserve"> </w:t>
      </w:r>
      <w:r w:rsidR="008D2376" w:rsidRPr="007344EA">
        <w:rPr>
          <w:i/>
        </w:rPr>
        <w:t>officio</w:t>
      </w:r>
      <w:r w:rsidR="008D2376" w:rsidRPr="007344EA">
        <w:t xml:space="preserve"> </w:t>
      </w:r>
      <w:r w:rsidR="00DF52A1" w:rsidRPr="007344EA">
        <w:t xml:space="preserve">taikymo </w:t>
      </w:r>
      <w:r w:rsidR="008D2376" w:rsidRPr="007344EA">
        <w:t xml:space="preserve">elementų, </w:t>
      </w:r>
      <w:r w:rsidR="00DF52A1" w:rsidRPr="007344EA">
        <w:t>tačiau plačiau</w:t>
      </w:r>
      <w:r w:rsidR="00893407" w:rsidRPr="007344EA">
        <w:t xml:space="preserve"> pa</w:t>
      </w:r>
      <w:r w:rsidR="00DF52A1" w:rsidRPr="007344EA">
        <w:t xml:space="preserve">aiškino savo jurisprudencijoje </w:t>
      </w:r>
      <w:r w:rsidR="00893407" w:rsidRPr="007344EA">
        <w:t>suformuo</w:t>
      </w:r>
      <w:r w:rsidR="00B66696" w:rsidRPr="007344EA">
        <w:t>tų taisyklių taikymo sritį. Tai</w:t>
      </w:r>
      <w:r w:rsidR="0083559A" w:rsidRPr="007344EA">
        <w:t xml:space="preserve">, kad nebuvo atskleista naujų </w:t>
      </w:r>
      <w:r w:rsidR="0083559A" w:rsidRPr="007344EA">
        <w:rPr>
          <w:i/>
        </w:rPr>
        <w:t>ex officio</w:t>
      </w:r>
      <w:r w:rsidR="0083559A" w:rsidRPr="007344EA">
        <w:t xml:space="preserve"> elementų, galima </w:t>
      </w:r>
      <w:r w:rsidR="00893407" w:rsidRPr="007344EA">
        <w:t>spęsti ir iš to, kad šioje byloje Teisingumo Teismas</w:t>
      </w:r>
      <w:r w:rsidR="004F1240" w:rsidRPr="007344EA">
        <w:t>,</w:t>
      </w:r>
      <w:r w:rsidR="00893407" w:rsidRPr="007344EA">
        <w:t xml:space="preserve"> atsakydamas nacionaliniam teismui į prejudicinius klausimus</w:t>
      </w:r>
      <w:r w:rsidR="004F1240" w:rsidRPr="007344EA">
        <w:t>,</w:t>
      </w:r>
      <w:r w:rsidR="00893407" w:rsidRPr="007344EA">
        <w:t xml:space="preserve"> priėmė ne sprendimą, o nutartį, kadangi atsakym</w:t>
      </w:r>
      <w:r w:rsidR="004F1240" w:rsidRPr="007344EA">
        <w:t>us</w:t>
      </w:r>
      <w:r w:rsidR="00893407" w:rsidRPr="007344EA">
        <w:t xml:space="preserve"> į</w:t>
      </w:r>
      <w:r w:rsidR="00F017BA" w:rsidRPr="007344EA">
        <w:t xml:space="preserve"> nacionalinio teismo užduotus prejudicinius klausimus</w:t>
      </w:r>
      <w:r w:rsidR="00893407" w:rsidRPr="007344EA">
        <w:t xml:space="preserve"> galima aiškiai nustatyti iš Teisingumo Teismo praktikos. </w:t>
      </w:r>
      <w:r w:rsidR="005A7249" w:rsidRPr="007344EA">
        <w:t>Šioje nutartyje Teisingu</w:t>
      </w:r>
      <w:r w:rsidR="00C173F8" w:rsidRPr="007344EA">
        <w:t>mo Teismas</w:t>
      </w:r>
      <w:r w:rsidR="00B63BCA" w:rsidRPr="007344EA">
        <w:t xml:space="preserve"> pa</w:t>
      </w:r>
      <w:r w:rsidR="00B5086C" w:rsidRPr="007344EA">
        <w:t xml:space="preserve">aiškino, kad </w:t>
      </w:r>
      <w:r w:rsidR="00B5086C" w:rsidRPr="007344EA">
        <w:rPr>
          <w:i/>
        </w:rPr>
        <w:t>ex officio</w:t>
      </w:r>
      <w:r w:rsidR="00B5086C" w:rsidRPr="007344EA">
        <w:t xml:space="preserve"> pareiga nustatyti sąlygos nesąžiningumą yra susijusi ne tik su arbitražinę išlyg</w:t>
      </w:r>
      <w:r w:rsidR="004F1240" w:rsidRPr="007344EA">
        <w:t>ą</w:t>
      </w:r>
      <w:r w:rsidR="00B5086C" w:rsidRPr="007344EA">
        <w:t xml:space="preserve"> </w:t>
      </w:r>
      <w:r w:rsidR="00D1341A">
        <w:t xml:space="preserve">ar sutartinį teismingumą </w:t>
      </w:r>
      <w:r w:rsidR="00B5086C" w:rsidRPr="007344EA">
        <w:t>nustatančiomis sąlygomis, kaip tai buvo ankstesnių bylų atveju, bet ir su visomis kitomis galimai nesąžining</w:t>
      </w:r>
      <w:r w:rsidR="004F1240" w:rsidRPr="007344EA">
        <w:t>omis</w:t>
      </w:r>
      <w:r w:rsidR="00B5086C" w:rsidRPr="007344EA">
        <w:t xml:space="preserve"> sąlygomis, nepriklausomai nuo to, ką jos įtvirtina. </w:t>
      </w:r>
      <w:r w:rsidR="00B63BCA" w:rsidRPr="007344EA">
        <w:rPr>
          <w:i/>
        </w:rPr>
        <w:t>Pohotovost</w:t>
      </w:r>
      <w:r w:rsidR="00B5086C" w:rsidRPr="007344EA">
        <w:t xml:space="preserve"> byloje</w:t>
      </w:r>
      <w:r w:rsidR="00EF71CC" w:rsidRPr="007344EA">
        <w:t xml:space="preserve"> nagrinėjamos sutarties sąlyga įtvirtino baudą vartotojui (skolininkui), </w:t>
      </w:r>
      <w:r w:rsidR="00F017BA" w:rsidRPr="007344EA">
        <w:t>jei jis pasirinks kitą advokatą</w:t>
      </w:r>
      <w:r w:rsidR="00EF71CC" w:rsidRPr="007344EA">
        <w:t xml:space="preserve"> nei jam pasiūlo verslininkas (kreditorius). Teisingumo Teismas šioje byloje buvo atsargesnis ir nesąžiningumo klausimą paliko spręsti </w:t>
      </w:r>
      <w:r w:rsidR="0083559A" w:rsidRPr="007344EA">
        <w:t>nacionali</w:t>
      </w:r>
      <w:r w:rsidR="00B63BCA" w:rsidRPr="007344EA">
        <w:t>ni</w:t>
      </w:r>
      <w:r w:rsidR="0083559A" w:rsidRPr="007344EA">
        <w:t>am</w:t>
      </w:r>
      <w:r w:rsidR="00EF71CC" w:rsidRPr="007344EA">
        <w:t xml:space="preserve"> teismui, priešingai nei byloje </w:t>
      </w:r>
      <w:r w:rsidR="006562E3" w:rsidRPr="007344EA">
        <w:rPr>
          <w:i/>
        </w:rPr>
        <w:t>Oceano</w:t>
      </w:r>
      <w:r w:rsidR="006562E3" w:rsidRPr="007344EA">
        <w:t>, kurioje konkreči</w:t>
      </w:r>
      <w:r w:rsidR="00541E32" w:rsidRPr="007344EA">
        <w:t>ą</w:t>
      </w:r>
      <w:r w:rsidR="008D1C64" w:rsidRPr="007344EA">
        <w:t xml:space="preserve">, pagrindinėje byloje nagrinėjamos </w:t>
      </w:r>
      <w:r w:rsidR="006562E3" w:rsidRPr="007344EA">
        <w:t>sutarties sąlyg</w:t>
      </w:r>
      <w:r w:rsidR="00541E32" w:rsidRPr="007344EA">
        <w:t>ą,</w:t>
      </w:r>
      <w:r w:rsidR="006562E3" w:rsidRPr="007344EA">
        <w:t xml:space="preserve"> pripažino esančia nesąžininga.</w:t>
      </w:r>
      <w:r w:rsidR="00EF71CC" w:rsidRPr="007344EA">
        <w:t xml:space="preserve"> </w:t>
      </w:r>
      <w:r w:rsidR="00541E32" w:rsidRPr="007344EA">
        <w:t>K</w:t>
      </w:r>
      <w:r w:rsidR="00EF71CC" w:rsidRPr="007344EA">
        <w:t xml:space="preserve">aip vieną iš galimų nesąžiningumo nustatymo kriterijų Teisingumo Teismas išskyrė sąlygos neatitiktį kitiems Sąjungos </w:t>
      </w:r>
      <w:r w:rsidR="009468DD" w:rsidRPr="007344EA">
        <w:t xml:space="preserve">vartotojų teises reglamentuojantiems </w:t>
      </w:r>
      <w:r w:rsidR="00EF71CC" w:rsidRPr="007344EA">
        <w:t>teisės aktams, šiuo konkrečiu atveju</w:t>
      </w:r>
      <w:r w:rsidR="00224D1C" w:rsidRPr="007344EA">
        <w:t xml:space="preserve"> −</w:t>
      </w:r>
      <w:r w:rsidR="00EF71CC" w:rsidRPr="007344EA">
        <w:t xml:space="preserve"> Direkty</w:t>
      </w:r>
      <w:r w:rsidR="00911065" w:rsidRPr="007344EA">
        <w:t>voje 87/102</w:t>
      </w:r>
      <w:r w:rsidR="00D1341A">
        <w:rPr>
          <w:rStyle w:val="FootnoteReference"/>
        </w:rPr>
        <w:footnoteReference w:id="260"/>
      </w:r>
      <w:r w:rsidR="00911065" w:rsidRPr="007344EA">
        <w:t xml:space="preserve">  numatytam reikalavimui. </w:t>
      </w:r>
      <w:r w:rsidR="00911065" w:rsidRPr="007344EA">
        <w:rPr>
          <w:i/>
        </w:rPr>
        <w:t>Inter alia</w:t>
      </w:r>
      <w:r w:rsidR="00911065" w:rsidRPr="007344EA">
        <w:t>, šioje nutartyje Teisingumo T</w:t>
      </w:r>
      <w:r w:rsidR="00B63BCA" w:rsidRPr="007344EA">
        <w:t>eismas taip pat suteikė galimybę</w:t>
      </w:r>
      <w:r w:rsidR="00911065" w:rsidRPr="007344EA">
        <w:t xml:space="preserve"> nacionaliniam teismui pasinaudoti </w:t>
      </w:r>
      <w:r w:rsidR="00911065" w:rsidRPr="007344EA">
        <w:rPr>
          <w:i/>
        </w:rPr>
        <w:t>ex officio</w:t>
      </w:r>
      <w:r w:rsidR="00911065" w:rsidRPr="007344EA">
        <w:t xml:space="preserve"> teise, pagal </w:t>
      </w:r>
      <w:r w:rsidR="009468DD" w:rsidRPr="007344EA">
        <w:t xml:space="preserve">Direktyvos 87/102 4 straipsnį. </w:t>
      </w:r>
    </w:p>
    <w:p w:rsidR="00F10C2B" w:rsidRPr="007344EA" w:rsidRDefault="00F10C2B" w:rsidP="006E00E1">
      <w:pPr>
        <w:pStyle w:val="Default"/>
        <w:spacing w:line="360" w:lineRule="auto"/>
        <w:ind w:firstLine="1296"/>
        <w:jc w:val="both"/>
      </w:pPr>
      <w:r w:rsidRPr="007344EA">
        <w:t xml:space="preserve">Galima spręsti, kad Teisingumo Teismas </w:t>
      </w:r>
      <w:r w:rsidRPr="007344EA">
        <w:rPr>
          <w:i/>
        </w:rPr>
        <w:t>ex officio</w:t>
      </w:r>
      <w:r w:rsidRPr="007344EA">
        <w:t xml:space="preserve"> </w:t>
      </w:r>
      <w:r w:rsidR="00541E32" w:rsidRPr="007344EA">
        <w:t>pareigą</w:t>
      </w:r>
      <w:r w:rsidRPr="007344EA">
        <w:t>, suformuotą aiškinant Direktyvos 93/13  nuostatas, taiko ir kitoms vartotojų</w:t>
      </w:r>
      <w:r w:rsidR="00541E32" w:rsidRPr="007344EA">
        <w:t xml:space="preserve"> teisių</w:t>
      </w:r>
      <w:r w:rsidRPr="007344EA">
        <w:t xml:space="preserve"> apsaugos direktyvoms, kuriose </w:t>
      </w:r>
      <w:r w:rsidR="009468DD" w:rsidRPr="007344EA">
        <w:t>ši</w:t>
      </w:r>
      <w:r w:rsidRPr="007344EA">
        <w:t xml:space="preserve"> </w:t>
      </w:r>
      <w:r w:rsidR="00541E32" w:rsidRPr="007344EA">
        <w:t>pareiga</w:t>
      </w:r>
      <w:r w:rsidRPr="007344EA">
        <w:t xml:space="preserve"> nėra įtvirtinta </w:t>
      </w:r>
      <w:r w:rsidRPr="007344EA">
        <w:rPr>
          <w:i/>
        </w:rPr>
        <w:t>expressis verbis</w:t>
      </w:r>
      <w:r w:rsidRPr="007344EA">
        <w:t xml:space="preserve">. Taip pat ši nutartis svarbi ir tuo, kad </w:t>
      </w:r>
      <w:r w:rsidRPr="007344EA">
        <w:rPr>
          <w:i/>
        </w:rPr>
        <w:t>ex officio</w:t>
      </w:r>
      <w:r w:rsidRPr="007344EA">
        <w:t xml:space="preserve"> teisės taikymas neapsiriboja vien tik sąlygo</w:t>
      </w:r>
      <w:r w:rsidR="00541E32" w:rsidRPr="007344EA">
        <w:t>mis, nustatančiomis arbitražinę išlygą</w:t>
      </w:r>
      <w:r w:rsidRPr="007344EA">
        <w:t xml:space="preserve"> ar </w:t>
      </w:r>
      <w:r w:rsidR="002169C5">
        <w:t>sutartinį teismingumą</w:t>
      </w:r>
      <w:r w:rsidRPr="007344EA">
        <w:t>, bet taikoma ir visoms kitoms</w:t>
      </w:r>
      <w:r w:rsidR="0083559A" w:rsidRPr="007344EA">
        <w:t xml:space="preserve"> sutartyje esančioms</w:t>
      </w:r>
      <w:r w:rsidRPr="007344EA">
        <w:t xml:space="preserve"> sąlygo</w:t>
      </w:r>
      <w:r w:rsidR="00541E32" w:rsidRPr="007344EA">
        <w:t>m</w:t>
      </w:r>
      <w:r w:rsidRPr="007344EA">
        <w:t xml:space="preserve">s. </w:t>
      </w:r>
    </w:p>
    <w:p w:rsidR="000E616D" w:rsidRPr="007344EA" w:rsidRDefault="00E077FA" w:rsidP="006E00E1">
      <w:pPr>
        <w:pStyle w:val="Default"/>
        <w:spacing w:line="360" w:lineRule="auto"/>
        <w:ind w:firstLine="1296"/>
        <w:jc w:val="both"/>
      </w:pPr>
      <w:r w:rsidRPr="007344EA">
        <w:t xml:space="preserve">Sprendimas </w:t>
      </w:r>
      <w:r w:rsidR="00B82FB7" w:rsidRPr="007344EA">
        <w:rPr>
          <w:bCs/>
          <w:i/>
          <w:lang w:val="pt-PT"/>
        </w:rPr>
        <w:t>Pénzügyi</w:t>
      </w:r>
      <w:r w:rsidR="00B82FB7" w:rsidRPr="007344EA">
        <w:rPr>
          <w:i/>
        </w:rPr>
        <w:t xml:space="preserve"> </w:t>
      </w:r>
      <w:r w:rsidRPr="007344EA">
        <w:rPr>
          <w:i/>
        </w:rPr>
        <w:t>Lizing</w:t>
      </w:r>
      <w:r w:rsidRPr="007344EA">
        <w:t xml:space="preserve"> byloje, aiškinant nacionalinio teismo pareigą nustatyti sutartyje esančias sąlygas nesąžiningomis</w:t>
      </w:r>
      <w:r w:rsidR="00857895" w:rsidRPr="007344EA">
        <w:t>,</w:t>
      </w:r>
      <w:r w:rsidRPr="007344EA">
        <w:t xml:space="preserve"> </w:t>
      </w:r>
      <w:r w:rsidR="00B052B7" w:rsidRPr="007344EA">
        <w:t xml:space="preserve">taip pat susijęs su išimtinę jurisdikciją nustatančia sąlyga. </w:t>
      </w:r>
      <w:r w:rsidR="0017156A" w:rsidRPr="007344EA">
        <w:t>Esminis nacionalinio teismo klausimas</w:t>
      </w:r>
      <w:r w:rsidR="0083559A" w:rsidRPr="007344EA">
        <w:t xml:space="preserve"> šioje byloje</w:t>
      </w:r>
      <w:r w:rsidR="0017156A" w:rsidRPr="007344EA">
        <w:t xml:space="preserve">, susijęs su </w:t>
      </w:r>
      <w:r w:rsidR="0017156A" w:rsidRPr="007344EA">
        <w:rPr>
          <w:i/>
        </w:rPr>
        <w:t>ex officio</w:t>
      </w:r>
      <w:r w:rsidR="000A1D99" w:rsidRPr="007344EA">
        <w:t xml:space="preserve"> teisės taikymu: „jei nacionalinis teismas be atitinkamo bylos šalių prašymo pats pastebi galimą nesąžiningą sutarties sąlygą, ar jis gali savo iniciatyva nustatyti tokiai išvadai padaryti reikalingas faktines ir teisines aplinkybes, jei pagal nacionalinę proceso teisę tokį patikrinimą leidžiama atlikti tik bylos šalių prašymu?“</w:t>
      </w:r>
      <w:r w:rsidR="000A1D99" w:rsidRPr="007344EA">
        <w:rPr>
          <w:rStyle w:val="FootnoteReference"/>
        </w:rPr>
        <w:footnoteReference w:id="261"/>
      </w:r>
      <w:r w:rsidR="000A1D99" w:rsidRPr="007344EA">
        <w:t>.</w:t>
      </w:r>
      <w:r w:rsidR="00AA7983" w:rsidRPr="007344EA">
        <w:t xml:space="preserve"> </w:t>
      </w:r>
      <w:r w:rsidR="0083559A" w:rsidRPr="007344EA">
        <w:t xml:space="preserve">Nors, kaip matome iš </w:t>
      </w:r>
      <w:r w:rsidR="00F017BA" w:rsidRPr="007344EA">
        <w:t>jau aptartos bylos</w:t>
      </w:r>
      <w:r w:rsidR="0083559A" w:rsidRPr="007344EA">
        <w:t xml:space="preserve"> </w:t>
      </w:r>
      <w:r w:rsidR="000B30B7" w:rsidRPr="007344EA">
        <w:rPr>
          <w:i/>
        </w:rPr>
        <w:t>Pannon</w:t>
      </w:r>
      <w:r w:rsidR="00541E32" w:rsidRPr="007344EA">
        <w:rPr>
          <w:i/>
        </w:rPr>
        <w:t>,</w:t>
      </w:r>
      <w:r w:rsidR="000B30B7" w:rsidRPr="007344EA">
        <w:t xml:space="preserve"> Teisingumo </w:t>
      </w:r>
      <w:r w:rsidR="00541E32" w:rsidRPr="007344EA">
        <w:t xml:space="preserve">Teismo </w:t>
      </w:r>
      <w:r w:rsidR="000B30B7" w:rsidRPr="007344EA">
        <w:t xml:space="preserve">pareiga </w:t>
      </w:r>
      <w:r w:rsidR="000B30B7" w:rsidRPr="007344EA">
        <w:rPr>
          <w:i/>
        </w:rPr>
        <w:lastRenderedPageBreak/>
        <w:t>ex officio</w:t>
      </w:r>
      <w:r w:rsidR="000B30B7" w:rsidRPr="007344EA">
        <w:t xml:space="preserve"> nustatyti</w:t>
      </w:r>
      <w:r w:rsidR="003B19EC" w:rsidRPr="007344EA">
        <w:t xml:space="preserve"> tam tikros</w:t>
      </w:r>
      <w:r w:rsidR="000B30B7" w:rsidRPr="007344EA">
        <w:t xml:space="preserve"> sąlyg</w:t>
      </w:r>
      <w:r w:rsidR="003B19EC" w:rsidRPr="007344EA">
        <w:t>o</w:t>
      </w:r>
      <w:r w:rsidR="000B30B7" w:rsidRPr="007344EA">
        <w:t>s nesąžiningumą atsiranda tuomet, kai nacionaliniam teismui „tampa žinomos šiuo atžvilgiu reikalingos teisinės ir faktinės aplinkybės“</w:t>
      </w:r>
      <w:r w:rsidR="000B30B7" w:rsidRPr="007344EA">
        <w:rPr>
          <w:rStyle w:val="FootnoteReference"/>
        </w:rPr>
        <w:footnoteReference w:id="262"/>
      </w:r>
      <w:r w:rsidR="00032BCF" w:rsidRPr="007344EA">
        <w:t xml:space="preserve">. </w:t>
      </w:r>
      <w:r w:rsidR="00032BCF" w:rsidRPr="007344EA">
        <w:rPr>
          <w:i/>
        </w:rPr>
        <w:t>Inter alia</w:t>
      </w:r>
      <w:r w:rsidR="00032BCF" w:rsidRPr="007344EA">
        <w:t>, Teisingumo Teismas ne vienoje byloje yra pasisakęs, kad negalima pasiremti nacionalinės teisės netobulumu, siekiant nevykdyti Sąjungos teisės reikalavimų</w:t>
      </w:r>
      <w:r w:rsidR="003B19EC" w:rsidRPr="007344EA">
        <w:t>, be kita ko, nacionalinė proceso teisė turi atitikti jau šiame darbe aptar</w:t>
      </w:r>
      <w:r w:rsidR="00541E32" w:rsidRPr="007344EA">
        <w:t>t</w:t>
      </w:r>
      <w:r w:rsidR="003B19EC" w:rsidRPr="007344EA">
        <w:t>us lygiavertiškumo ir veiksmingumo principus.</w:t>
      </w:r>
      <w:r w:rsidR="000B30B7" w:rsidRPr="007344EA">
        <w:t xml:space="preserve"> </w:t>
      </w:r>
      <w:r w:rsidR="00032BCF" w:rsidRPr="007344EA">
        <w:t xml:space="preserve">Todėl atrodytų atsakymas į šį nacionalinio teismo klausimą </w:t>
      </w:r>
      <w:r w:rsidR="003B19EC" w:rsidRPr="007344EA">
        <w:t>yra</w:t>
      </w:r>
      <w:r w:rsidR="002169C5">
        <w:t xml:space="preserve"> lengvai nuspėjamas. </w:t>
      </w:r>
      <w:r w:rsidR="00032BCF" w:rsidRPr="007344EA">
        <w:t>Tačiau Teisingumo Teismas pasuko kiek kitu keliu ir</w:t>
      </w:r>
      <w:r w:rsidR="00AA7983" w:rsidRPr="007344EA">
        <w:t xml:space="preserve"> susiaurino nacionalinio teismo klausimą </w:t>
      </w:r>
      <w:r w:rsidR="003B19EC" w:rsidRPr="007344EA">
        <w:t>į jį atsakydamas</w:t>
      </w:r>
      <w:r w:rsidR="00AA7983" w:rsidRPr="007344EA">
        <w:t xml:space="preserve">, tik pagrindinėje byloje ginčijamos sąlygos </w:t>
      </w:r>
      <w:r w:rsidR="0020521C" w:rsidRPr="007344EA">
        <w:t>kontek</w:t>
      </w:r>
      <w:r w:rsidR="000B30B7" w:rsidRPr="007344EA">
        <w:t>s</w:t>
      </w:r>
      <w:r w:rsidR="0020521C" w:rsidRPr="007344EA">
        <w:t>te</w:t>
      </w:r>
      <w:r w:rsidR="00224D1C" w:rsidRPr="007344EA">
        <w:t xml:space="preserve"> −</w:t>
      </w:r>
      <w:r w:rsidR="0020521C" w:rsidRPr="007344EA">
        <w:t xml:space="preserve"> nepateikdamas platesnio požiūrio</w:t>
      </w:r>
      <w:r w:rsidR="007F3359" w:rsidRPr="007344EA">
        <w:t xml:space="preserve">. </w:t>
      </w:r>
      <w:r w:rsidR="00AA7983" w:rsidRPr="007344EA">
        <w:t xml:space="preserve">Teisingumo Teismas </w:t>
      </w:r>
      <w:r w:rsidR="003B19EC" w:rsidRPr="007344EA">
        <w:t xml:space="preserve">taip pat </w:t>
      </w:r>
      <w:r w:rsidR="00AA7983" w:rsidRPr="007344EA">
        <w:t xml:space="preserve">nepasisakė apie nacionalinės proceso teisės </w:t>
      </w:r>
      <w:r w:rsidR="0020521C" w:rsidRPr="007344EA">
        <w:t>autonom</w:t>
      </w:r>
      <w:r w:rsidR="00857895" w:rsidRPr="007344EA">
        <w:t>iškumą ir iš to kylančius</w:t>
      </w:r>
      <w:r w:rsidR="00AA7983" w:rsidRPr="007344EA">
        <w:t xml:space="preserve"> lygiavertišku</w:t>
      </w:r>
      <w:r w:rsidR="000042CE" w:rsidRPr="007344EA">
        <w:t>mo ir veiksmingumo principus, nors Generalinė advokatė V. Trstenjak minėtų principų taikymą šios bylos aplinkybėms aptarė ganėtinai plačiai.</w:t>
      </w:r>
      <w:r w:rsidR="00AA7983" w:rsidRPr="007344EA">
        <w:t xml:space="preserve"> Teisingumo Teismas nacionalinio teismo veiksmus, </w:t>
      </w:r>
      <w:r w:rsidR="00AA7983" w:rsidRPr="007344EA">
        <w:rPr>
          <w:i/>
        </w:rPr>
        <w:t>ex officio</w:t>
      </w:r>
      <w:r w:rsidR="00AA7983" w:rsidRPr="007344EA">
        <w:t xml:space="preserve"> nustatant tam tikrų sąlygų nesąžiningumą suskirstė į dvi stadijas. Pirmoji stadija</w:t>
      </w:r>
      <w:r w:rsidR="00224D1C" w:rsidRPr="007344EA">
        <w:t xml:space="preserve"> −</w:t>
      </w:r>
      <w:r w:rsidR="00AA7983" w:rsidRPr="007344EA">
        <w:t xml:space="preserve"> </w:t>
      </w:r>
      <w:r w:rsidR="00375B3D" w:rsidRPr="007344EA">
        <w:t xml:space="preserve"> ar galimai nesąžininga sutarties nuostata patenka į </w:t>
      </w:r>
      <w:r w:rsidR="00D826AA" w:rsidRPr="007344EA">
        <w:t>D</w:t>
      </w:r>
      <w:r w:rsidR="00375B3D" w:rsidRPr="007344EA">
        <w:t>irektyvos</w:t>
      </w:r>
      <w:r w:rsidR="00D826AA" w:rsidRPr="007344EA">
        <w:t xml:space="preserve"> 93/13</w:t>
      </w:r>
      <w:r w:rsidR="00375B3D" w:rsidRPr="007344EA">
        <w:t xml:space="preserve"> taikymo sritį</w:t>
      </w:r>
      <w:r w:rsidR="00541E32" w:rsidRPr="007344EA">
        <w:t>.</w:t>
      </w:r>
      <w:r w:rsidR="00375B3D" w:rsidRPr="007344EA">
        <w:t xml:space="preserve"> </w:t>
      </w:r>
      <w:r w:rsidR="000E616D" w:rsidRPr="007344EA">
        <w:t>Šiame</w:t>
      </w:r>
      <w:r w:rsidR="00D826AA" w:rsidRPr="007344EA">
        <w:t xml:space="preserve"> sprendim</w:t>
      </w:r>
      <w:r w:rsidR="00FA2A62" w:rsidRPr="007344EA">
        <w:t>e Direktyvos 93/13 taikymo sritis</w:t>
      </w:r>
      <w:r w:rsidR="00D826AA" w:rsidRPr="007344EA">
        <w:t xml:space="preserve"> </w:t>
      </w:r>
      <w:r w:rsidR="000E616D" w:rsidRPr="007344EA">
        <w:t>įvardinta</w:t>
      </w:r>
      <w:r w:rsidR="00D826AA" w:rsidRPr="007344EA">
        <w:t xml:space="preserve"> tik</w:t>
      </w:r>
      <w:r w:rsidR="00375B3D" w:rsidRPr="007344EA">
        <w:t xml:space="preserve"> </w:t>
      </w:r>
      <w:r w:rsidR="00375B3D" w:rsidRPr="007344EA">
        <w:rPr>
          <w:i/>
        </w:rPr>
        <w:t>ratione materiae</w:t>
      </w:r>
      <w:r w:rsidR="00375B3D" w:rsidRPr="007344EA">
        <w:t xml:space="preserve"> aspektu</w:t>
      </w:r>
      <w:r w:rsidR="00224D1C" w:rsidRPr="007344EA">
        <w:t xml:space="preserve"> −</w:t>
      </w:r>
      <w:r w:rsidR="0020521C" w:rsidRPr="007344EA">
        <w:t xml:space="preserve"> „ši direktyva taikoma bet kokiai išimtinę teritorinę jurisdikciją suteikiančiai sąlygai, dėl kurios nebuvo atskirai derėtasi, numatytai pardavėjo ar tiekėjo su vartotoju sudarytoje sutartyje“</w:t>
      </w:r>
      <w:r w:rsidR="0020521C" w:rsidRPr="007344EA">
        <w:rPr>
          <w:rStyle w:val="FootnoteReference"/>
        </w:rPr>
        <w:footnoteReference w:id="263"/>
      </w:r>
      <w:r w:rsidR="0020521C" w:rsidRPr="007344EA">
        <w:t>.</w:t>
      </w:r>
      <w:r w:rsidR="00D826AA" w:rsidRPr="007344EA">
        <w:t xml:space="preserve"> </w:t>
      </w:r>
      <w:r w:rsidR="0020521C" w:rsidRPr="007344EA">
        <w:t>T</w:t>
      </w:r>
      <w:r w:rsidR="00D826AA" w:rsidRPr="007344EA">
        <w:t xml:space="preserve">ačiau </w:t>
      </w:r>
      <w:r w:rsidR="0020521C" w:rsidRPr="007344EA">
        <w:t xml:space="preserve">nepaisant to, </w:t>
      </w:r>
      <w:r w:rsidR="00D826AA" w:rsidRPr="007344EA">
        <w:t>ma</w:t>
      </w:r>
      <w:r w:rsidR="00FA2A62" w:rsidRPr="007344EA">
        <w:t>n</w:t>
      </w:r>
      <w:r w:rsidR="00D826AA" w:rsidRPr="007344EA">
        <w:t xml:space="preserve">ytina, kad nacionalinis teismas </w:t>
      </w:r>
      <w:r w:rsidR="00857895" w:rsidRPr="007344EA">
        <w:t xml:space="preserve">turi </w:t>
      </w:r>
      <w:r w:rsidR="00D826AA" w:rsidRPr="007344EA">
        <w:t>patikrinti ir sutarties nuostatos atitiktį Direktyvos</w:t>
      </w:r>
      <w:r w:rsidR="00857895" w:rsidRPr="007344EA">
        <w:t xml:space="preserve"> 93/13</w:t>
      </w:r>
      <w:r w:rsidR="00D826AA" w:rsidRPr="007344EA">
        <w:t xml:space="preserve"> taikymo sričiai </w:t>
      </w:r>
      <w:r w:rsidR="00D826AA" w:rsidRPr="007344EA">
        <w:rPr>
          <w:i/>
        </w:rPr>
        <w:t>ratione personae</w:t>
      </w:r>
      <w:r w:rsidR="000042CE" w:rsidRPr="007344EA">
        <w:t xml:space="preserve"> (ar sutartis sudaryta tarp vartotojo ir pardavėjo ar tiekėjo)</w:t>
      </w:r>
      <w:r w:rsidR="00D826AA" w:rsidRPr="007344EA">
        <w:t xml:space="preserve">, </w:t>
      </w:r>
      <w:r w:rsidR="003D2AEB" w:rsidRPr="007344EA">
        <w:rPr>
          <w:i/>
        </w:rPr>
        <w:t>ratione</w:t>
      </w:r>
      <w:r w:rsidR="0020521C" w:rsidRPr="007344EA">
        <w:rPr>
          <w:i/>
        </w:rPr>
        <w:t xml:space="preserve"> temporis</w:t>
      </w:r>
      <w:r w:rsidR="000042CE" w:rsidRPr="007344EA">
        <w:t xml:space="preserve"> (ar sutartis sudaryta, pasibaigus Direktyvos 93/13 perkėlimo terminui)</w:t>
      </w:r>
      <w:r w:rsidR="0020521C" w:rsidRPr="007344EA">
        <w:t xml:space="preserve"> ir </w:t>
      </w:r>
      <w:r w:rsidR="0020521C" w:rsidRPr="007344EA">
        <w:rPr>
          <w:i/>
        </w:rPr>
        <w:t>racione locis</w:t>
      </w:r>
      <w:r w:rsidR="0020521C" w:rsidRPr="007344EA">
        <w:t xml:space="preserve"> atžvilgiais</w:t>
      </w:r>
      <w:r w:rsidR="00857895" w:rsidRPr="007344EA">
        <w:t xml:space="preserve"> (ar ginčui taikoma Direktyvos 9</w:t>
      </w:r>
      <w:r w:rsidR="00857895" w:rsidRPr="007344EA">
        <w:rPr>
          <w:lang w:val="en-US"/>
        </w:rPr>
        <w:t>3/13</w:t>
      </w:r>
      <w:r w:rsidR="00857895" w:rsidRPr="007344EA">
        <w:t xml:space="preserve"> pagrindu priimta nacionalinė teisė</w:t>
      </w:r>
      <w:r w:rsidR="003D2AEB" w:rsidRPr="007344EA">
        <w:t>)</w:t>
      </w:r>
      <w:r w:rsidR="003950F7" w:rsidRPr="007344EA">
        <w:t xml:space="preserve">. </w:t>
      </w:r>
      <w:r w:rsidR="003D2AEB" w:rsidRPr="007344EA">
        <w:t>Antroji stadija</w:t>
      </w:r>
      <w:r w:rsidR="00FA2A62" w:rsidRPr="007344EA">
        <w:t xml:space="preserve"> −</w:t>
      </w:r>
      <w:r w:rsidR="003D2AEB" w:rsidRPr="007344EA">
        <w:t xml:space="preserve"> sąlygos </w:t>
      </w:r>
      <w:r w:rsidR="00375B3D" w:rsidRPr="007344EA">
        <w:t xml:space="preserve">nesąžiningumo </w:t>
      </w:r>
      <w:r w:rsidR="0020521C" w:rsidRPr="007344EA">
        <w:t>vertinimas</w:t>
      </w:r>
      <w:r w:rsidR="00224D1C" w:rsidRPr="007344EA">
        <w:t xml:space="preserve"> −</w:t>
      </w:r>
      <w:r w:rsidR="0020521C" w:rsidRPr="007344EA">
        <w:t xml:space="preserve"> „ryškus neatitikimas iš sutarties šalių kylančių teisių ir pareigų vartotojo nenaudai“</w:t>
      </w:r>
      <w:r w:rsidR="0020521C" w:rsidRPr="007344EA">
        <w:rPr>
          <w:rStyle w:val="FootnoteReference"/>
        </w:rPr>
        <w:footnoteReference w:id="264"/>
      </w:r>
      <w:r w:rsidR="003D2AEB" w:rsidRPr="007344EA">
        <w:t xml:space="preserve">. </w:t>
      </w:r>
    </w:p>
    <w:p w:rsidR="00F10C2B" w:rsidRPr="007344EA" w:rsidRDefault="007F3359" w:rsidP="006E00E1">
      <w:pPr>
        <w:pStyle w:val="Default"/>
        <w:spacing w:line="360" w:lineRule="auto"/>
        <w:ind w:firstLine="1296"/>
        <w:jc w:val="both"/>
      </w:pPr>
      <w:r w:rsidRPr="007344EA">
        <w:t xml:space="preserve">Šis </w:t>
      </w:r>
      <w:r w:rsidR="00857895" w:rsidRPr="007344EA">
        <w:t>s</w:t>
      </w:r>
      <w:r w:rsidR="0020521C" w:rsidRPr="007344EA">
        <w:t>prendimas svarbus tuo, kad nurodė nacionaliniams teismams</w:t>
      </w:r>
      <w:r w:rsidR="00857895" w:rsidRPr="007344EA">
        <w:t xml:space="preserve">, kokia yra </w:t>
      </w:r>
      <w:r w:rsidR="0020521C" w:rsidRPr="007344EA">
        <w:t xml:space="preserve"> nesąžiningumo vertinimo procedūra</w:t>
      </w:r>
      <w:r w:rsidR="00857895" w:rsidRPr="007344EA">
        <w:t>.</w:t>
      </w:r>
      <w:r w:rsidR="003D2AEB" w:rsidRPr="007344EA">
        <w:t xml:space="preserve"> Tačiau Teisingumo Teismas taip ir neatsakė į nacionalinio teismo klausimą ar nacionalinis teismas savo iniciatyva gali nustatyti sąlygos nesąžiningumui reikalingas faktines ir teisines aplinkybes, jei pagal nacionalinę teisę, tokį patikrinimą galima pa</w:t>
      </w:r>
      <w:r w:rsidR="00E71B92" w:rsidRPr="007344EA">
        <w:t>daryti tik bylos šalių prašymu</w:t>
      </w:r>
      <w:r w:rsidR="007D138F" w:rsidRPr="007344EA">
        <w:t>, teigdamas</w:t>
      </w:r>
      <w:r w:rsidR="00E71B92" w:rsidRPr="007344EA">
        <w:t xml:space="preserve"> „</w:t>
      </w:r>
      <w:r w:rsidR="007D138F" w:rsidRPr="007344EA">
        <w:t>kad nacionalinis teismas turi savo iniciatyva nustatyti, ar pardavėjo arba tiekėjo su vartotoju sudarytoje sutartyje numatyt</w:t>
      </w:r>
      <w:r w:rsidR="00FA2A62" w:rsidRPr="007344EA">
        <w:t>ą</w:t>
      </w:r>
      <w:r w:rsidR="007D138F" w:rsidRPr="007344EA">
        <w:t xml:space="preserve"> išimtinę teritorinę jurisdikciją suteikianti sąlyga, kuri yra jame nagrinėjamo ginčo dalykas, patenka į direktyvos taikymo sritį, o atsakius į šį klausimą teigiamai, savo iniciatyva įvertinti galimą tokios teritorinę jurisdikciją nustatančios sąlygos nesąžiningumą“</w:t>
      </w:r>
      <w:r w:rsidR="007D138F" w:rsidRPr="007344EA">
        <w:rPr>
          <w:rStyle w:val="FootnoteReference"/>
        </w:rPr>
        <w:footnoteReference w:id="265"/>
      </w:r>
      <w:r w:rsidR="007D138F" w:rsidRPr="007344EA">
        <w:t xml:space="preserve">. </w:t>
      </w:r>
    </w:p>
    <w:p w:rsidR="00351787" w:rsidRPr="007344EA" w:rsidRDefault="00351787" w:rsidP="006E00E1">
      <w:pPr>
        <w:pStyle w:val="Default"/>
        <w:spacing w:line="360" w:lineRule="auto"/>
        <w:ind w:firstLine="1296"/>
        <w:jc w:val="both"/>
      </w:pPr>
      <w:r w:rsidRPr="007344EA">
        <w:lastRenderedPageBreak/>
        <w:t>Naujausioje Teisingumo Teismo byloje</w:t>
      </w:r>
      <w:r w:rsidR="003950F7" w:rsidRPr="007344EA">
        <w:t xml:space="preserve"> −</w:t>
      </w:r>
      <w:r w:rsidRPr="007344EA">
        <w:t xml:space="preserve"> </w:t>
      </w:r>
      <w:r w:rsidRPr="007344EA">
        <w:rPr>
          <w:i/>
        </w:rPr>
        <w:t>Banco Espano</w:t>
      </w:r>
      <w:r w:rsidR="006430DA" w:rsidRPr="007344EA">
        <w:rPr>
          <w:i/>
        </w:rPr>
        <w:t>l</w:t>
      </w:r>
      <w:r w:rsidR="00314CF3" w:rsidRPr="007344EA">
        <w:t>, buvo keliamas klausimas ar Direktyvai 93/13 neprieštarauja toks nacionalinis reglamentavimas, kai nagrinėjant prašymą dėl mokėjimo įsakymo (</w:t>
      </w:r>
      <w:r w:rsidR="0036212C" w:rsidRPr="007344EA">
        <w:t xml:space="preserve">formali </w:t>
      </w:r>
      <w:r w:rsidR="00314CF3" w:rsidRPr="007344EA">
        <w:t>ne ginčo procedūr</w:t>
      </w:r>
      <w:r w:rsidR="0036212C" w:rsidRPr="007344EA">
        <w:t>a</w:t>
      </w:r>
      <w:r w:rsidR="00314CF3" w:rsidRPr="007344EA">
        <w:t>) ir nesant vartotojo pateikto prieštaravimo</w:t>
      </w:r>
      <w:r w:rsidR="00FA2A62" w:rsidRPr="007344EA">
        <w:t>,</w:t>
      </w:r>
      <w:r w:rsidR="00314CF3" w:rsidRPr="007344EA">
        <w:t xml:space="preserve"> neleidžiama </w:t>
      </w:r>
      <w:r w:rsidR="00314CF3" w:rsidRPr="007344EA">
        <w:rPr>
          <w:i/>
        </w:rPr>
        <w:t>ex officio</w:t>
      </w:r>
      <w:r w:rsidR="00314CF3" w:rsidRPr="007344EA">
        <w:t xml:space="preserve"> nei </w:t>
      </w:r>
      <w:r w:rsidR="00314CF3" w:rsidRPr="007344EA">
        <w:rPr>
          <w:i/>
        </w:rPr>
        <w:t xml:space="preserve">in limine litis </w:t>
      </w:r>
      <w:r w:rsidR="00314CF3" w:rsidRPr="007344EA">
        <w:t>(</w:t>
      </w:r>
      <w:r w:rsidR="00314CF3" w:rsidRPr="007344EA">
        <w:rPr>
          <w:i/>
        </w:rPr>
        <w:t>lot</w:t>
      </w:r>
      <w:r w:rsidR="00314CF3" w:rsidRPr="007344EA">
        <w:t>.</w:t>
      </w:r>
      <w:r w:rsidR="003950F7" w:rsidRPr="007344EA">
        <w:t xml:space="preserve"> −</w:t>
      </w:r>
      <w:r w:rsidR="00314CF3" w:rsidRPr="007344EA">
        <w:t xml:space="preserve"> nuo proceso pradžios), nei bet kuriuo kitu proceso etapu vertinti konkrečios vartojimo s</w:t>
      </w:r>
      <w:r w:rsidR="000E616D" w:rsidRPr="007344EA">
        <w:t>utarties sąlygos</w:t>
      </w:r>
      <w:r w:rsidR="00DC12D7" w:rsidRPr="007344EA">
        <w:t xml:space="preserve"> nesąžiningum</w:t>
      </w:r>
      <w:r w:rsidR="00FA2A62" w:rsidRPr="007344EA">
        <w:t>ą</w:t>
      </w:r>
      <w:r w:rsidR="00DC12D7" w:rsidRPr="007344EA">
        <w:t xml:space="preserve">. </w:t>
      </w:r>
      <w:r w:rsidR="0036212C" w:rsidRPr="007344EA">
        <w:t xml:space="preserve">Teisingumo Teismas nusprendė, kad toks nacionalinis reglamentavimas </w:t>
      </w:r>
      <w:r w:rsidR="00BA0F6F" w:rsidRPr="007344EA">
        <w:t>prieštarauja</w:t>
      </w:r>
      <w:r w:rsidR="0036212C" w:rsidRPr="007344EA">
        <w:t xml:space="preserve"> Direktyva 93/13</w:t>
      </w:r>
      <w:r w:rsidR="00BA0F6F" w:rsidRPr="007344EA">
        <w:t xml:space="preserve"> nustatytai vartotojo apsaugos sistemai</w:t>
      </w:r>
      <w:r w:rsidR="0036212C" w:rsidRPr="007344EA">
        <w:t>, kadangi „pardavėjams ar tiekėjams pakanka inicijuoti mokėjimo įsakymo procedūrą vietoj įprasto civilinio proceso, kad panaikintų g</w:t>
      </w:r>
      <w:r w:rsidR="00BA0F6F" w:rsidRPr="007344EA">
        <w:t xml:space="preserve">alimybę vartotojams pasinaudoti </w:t>
      </w:r>
      <w:r w:rsidR="0036212C" w:rsidRPr="007344EA">
        <w:t>Direktyva 93/13 siekiama apsauga</w:t>
      </w:r>
      <w:r w:rsidR="00EE5C3E" w:rsidRPr="007344EA">
        <w:t>“</w:t>
      </w:r>
      <w:r w:rsidR="0036212C" w:rsidRPr="007344EA">
        <w:rPr>
          <w:rStyle w:val="FootnoteReference"/>
        </w:rPr>
        <w:footnoteReference w:id="266"/>
      </w:r>
      <w:r w:rsidR="00EE5C3E" w:rsidRPr="007344EA">
        <w:t>,</w:t>
      </w:r>
      <w:r w:rsidR="00BA0F6F" w:rsidRPr="007344EA">
        <w:t xml:space="preserve"> </w:t>
      </w:r>
      <w:r w:rsidR="00BA0F6F" w:rsidRPr="007344EA">
        <w:rPr>
          <w:i/>
        </w:rPr>
        <w:t>inter alia</w:t>
      </w:r>
      <w:r w:rsidR="00EE5C3E" w:rsidRPr="007344EA">
        <w:t>,</w:t>
      </w:r>
      <w:r w:rsidR="00BA0F6F" w:rsidRPr="007344EA">
        <w:t xml:space="preserve"> toks nacionalinis teisinis reguliavimas neatitinka veiksmingumo principo</w:t>
      </w:r>
      <w:r w:rsidR="003950F7" w:rsidRPr="007344EA">
        <w:t xml:space="preserve"> −</w:t>
      </w:r>
      <w:r w:rsidR="00BA0F6F" w:rsidRPr="007344EA">
        <w:t xml:space="preserve"> „tampa neįmanoma arba pernelyg sudėtin</w:t>
      </w:r>
      <w:r w:rsidR="005739A1" w:rsidRPr="007344EA">
        <w:t xml:space="preserve">ga vartotojams taikyti apsaugą, </w:t>
      </w:r>
      <w:r w:rsidR="00BA0F6F" w:rsidRPr="007344EA">
        <w:t>kurią jiems siekiama suteikti Direktyva 93/13“</w:t>
      </w:r>
      <w:r w:rsidR="00BA0F6F" w:rsidRPr="007344EA">
        <w:rPr>
          <w:rStyle w:val="FootnoteReference"/>
        </w:rPr>
        <w:footnoteReference w:id="267"/>
      </w:r>
      <w:r w:rsidR="003C00E1" w:rsidRPr="007344EA">
        <w:t xml:space="preserve">. </w:t>
      </w:r>
    </w:p>
    <w:p w:rsidR="00146466" w:rsidRPr="007344EA" w:rsidRDefault="003C00E1" w:rsidP="006E00E1">
      <w:pPr>
        <w:pStyle w:val="Default"/>
        <w:spacing w:line="360" w:lineRule="auto"/>
        <w:ind w:firstLine="1296"/>
        <w:jc w:val="both"/>
      </w:pPr>
      <w:r w:rsidRPr="007344EA">
        <w:t>Kitas itin svarbus aspektas, kurį šiame sprendime atskleidė Teisingumo Teismas</w:t>
      </w:r>
      <w:r w:rsidR="00FA2A62" w:rsidRPr="007344EA">
        <w:t>,</w:t>
      </w:r>
      <w:r w:rsidRPr="007344EA">
        <w:t xml:space="preserve"> </w:t>
      </w:r>
      <w:r w:rsidR="004B4228" w:rsidRPr="007344EA">
        <w:t>susijęs su pasekmėmis, k</w:t>
      </w:r>
      <w:r w:rsidR="00FA2A62" w:rsidRPr="007344EA">
        <w:t>ai tam tikra sutarties sąlyga</w:t>
      </w:r>
      <w:r w:rsidR="004B4228" w:rsidRPr="007344EA">
        <w:t xml:space="preserve"> </w:t>
      </w:r>
      <w:r w:rsidR="004B4228" w:rsidRPr="007344EA">
        <w:rPr>
          <w:i/>
        </w:rPr>
        <w:t>ex officio</w:t>
      </w:r>
      <w:r w:rsidR="004B4228" w:rsidRPr="007344EA">
        <w:t xml:space="preserve"> ar vartotojo prašymu yra pripažįstama nesąžininga. </w:t>
      </w:r>
      <w:r w:rsidR="006E20EB" w:rsidRPr="007344EA">
        <w:t>Ar nacionalinis teismas gali pakeisti šios nesąžiningos sąlygos turinį ir taip</w:t>
      </w:r>
      <w:r w:rsidR="00DC4D6F" w:rsidRPr="007344EA">
        <w:t xml:space="preserve"> ištaisyti tarp šalių esančią nelygybę? </w:t>
      </w:r>
      <w:r w:rsidR="007A1AA8" w:rsidRPr="007344EA">
        <w:t xml:space="preserve">Šiame sprendime, kaip ir </w:t>
      </w:r>
      <w:r w:rsidR="007A1AA8" w:rsidRPr="007344EA">
        <w:rPr>
          <w:i/>
        </w:rPr>
        <w:t>Cape</w:t>
      </w:r>
      <w:r w:rsidR="007A1AA8" w:rsidRPr="007344EA">
        <w:t xml:space="preserve"> bylos atveju</w:t>
      </w:r>
      <w:r w:rsidR="00FA2A62" w:rsidRPr="007344EA">
        <w:t>,</w:t>
      </w:r>
      <w:r w:rsidR="007A1AA8" w:rsidRPr="007344EA">
        <w:t xml:space="preserve"> Teisingumo Teismas pasirėmė „įstatymo raide“ t.y. Direktyvos 6 s</w:t>
      </w:r>
      <w:r w:rsidR="00166994" w:rsidRPr="007344EA">
        <w:t>traipsnio 1 dalimi</w:t>
      </w:r>
      <w:r w:rsidR="00BF1C47" w:rsidRPr="007344EA">
        <w:t xml:space="preserve"> bei preambulės 21 pastraipoje</w:t>
      </w:r>
      <w:r w:rsidR="007A1AA8" w:rsidRPr="007344EA">
        <w:t xml:space="preserve"> </w:t>
      </w:r>
      <w:r w:rsidR="0068231B" w:rsidRPr="007344EA">
        <w:t>įtvirtinta formuluote</w:t>
      </w:r>
      <w:r w:rsidR="007A1AA8" w:rsidRPr="007344EA">
        <w:t xml:space="preserve">: </w:t>
      </w:r>
      <w:r w:rsidR="005739A1" w:rsidRPr="007344EA">
        <w:t>„</w:t>
      </w:r>
      <w:r w:rsidR="007A1AA8" w:rsidRPr="007344EA">
        <w:t xml:space="preserve">nebūtų privalomos vartotojui, ir kad sutartis ir toliau liktų privaloma tomis sąlygomis, jei gali išlikti be nesąžiningų </w:t>
      </w:r>
      <w:r w:rsidR="0068231B" w:rsidRPr="007344EA">
        <w:t>nuostatų</w:t>
      </w:r>
      <w:r w:rsidR="007A1AA8" w:rsidRPr="007344EA">
        <w:t>“.</w:t>
      </w:r>
      <w:r w:rsidR="00DC12D7" w:rsidRPr="007344EA">
        <w:t xml:space="preserve"> </w:t>
      </w:r>
      <w:r w:rsidR="00670225" w:rsidRPr="007344EA">
        <w:t xml:space="preserve">Teisingumo Teismas nacionaliniam teismui atsakė: </w:t>
      </w:r>
      <w:r w:rsidR="005739A1" w:rsidRPr="007344EA">
        <w:t>„</w:t>
      </w:r>
      <w:r w:rsidR="00670225" w:rsidRPr="007344EA">
        <w:t>nacionaliniai teismai privalo tik netaikyti nesąžiningos sutarties sąlygos, siekdami, kad ji nesukeltų privalomų pasekmių vartotojui, neturėdami teisės pakeisti jos turinio. Iš tiesų ši sutartis iš esmės turi išlikti be jokio kito pakeitimo, nei atsirandantys dėl nesąžiningų sąlygų panaikinimo, kiek pagal vidaus teisės normas toks sutarties tęstinumas yra teisiškai įmanomas”</w:t>
      </w:r>
      <w:r w:rsidR="00670225" w:rsidRPr="007344EA">
        <w:rPr>
          <w:rStyle w:val="FootnoteReference"/>
        </w:rPr>
        <w:footnoteReference w:id="268"/>
      </w:r>
      <w:r w:rsidR="00670225" w:rsidRPr="007344EA">
        <w:t>. Taip pat Teisingumo Teismas mano, kad leidimas nacionali</w:t>
      </w:r>
      <w:r w:rsidR="00F43B22" w:rsidRPr="007344EA">
        <w:t>ni</w:t>
      </w:r>
      <w:r w:rsidR="00670225" w:rsidRPr="007344EA">
        <w:t>ams teismams</w:t>
      </w:r>
      <w:r w:rsidR="001A14C2" w:rsidRPr="007344EA">
        <w:t>,</w:t>
      </w:r>
      <w:r w:rsidR="00670225" w:rsidRPr="007344EA">
        <w:t xml:space="preserve"> pakeičiant nesąžiningas sąlygas</w:t>
      </w:r>
      <w:r w:rsidR="001A14C2" w:rsidRPr="007344EA">
        <w:t>,</w:t>
      </w:r>
      <w:r w:rsidR="00670225" w:rsidRPr="007344EA">
        <w:t xml:space="preserve"> atkurti sutarties šalių lygybę</w:t>
      </w:r>
      <w:r w:rsidR="00F43B22" w:rsidRPr="007344EA">
        <w:t xml:space="preserve"> sudarytų sąlygas verslininkams piktnaudžiauti susidariusi</w:t>
      </w:r>
      <w:r w:rsidR="001A14C2" w:rsidRPr="007344EA">
        <w:t>a</w:t>
      </w:r>
      <w:r w:rsidR="00F43B22" w:rsidRPr="007344EA">
        <w:t xml:space="preserve"> situacija</w:t>
      </w:r>
      <w:r w:rsidR="001A14C2" w:rsidRPr="007344EA">
        <w:t>,</w:t>
      </w:r>
      <w:r w:rsidR="00F43B22" w:rsidRPr="007344EA">
        <w:t xml:space="preserve"> naudojant nesąžiningas sąlygas</w:t>
      </w:r>
      <w:r w:rsidR="001A14C2" w:rsidRPr="007344EA">
        <w:t>,</w:t>
      </w:r>
      <w:r w:rsidR="00F43B22" w:rsidRPr="007344EA">
        <w:t xml:space="preserve"> žinant, kad nesąžiningumo</w:t>
      </w:r>
      <w:r w:rsidR="001A14C2" w:rsidRPr="007344EA">
        <w:t xml:space="preserve"> išaiškėjimo atveju sąlygos bus</w:t>
      </w:r>
      <w:r w:rsidR="00F43B22" w:rsidRPr="007344EA">
        <w:t xml:space="preserve"> pakeičiamos taip, kad būtų užtikrinti abiejų šalių interesai</w:t>
      </w:r>
      <w:r w:rsidR="001A14C2" w:rsidRPr="007344EA">
        <w:t xml:space="preserve"> −</w:t>
      </w:r>
      <w:r w:rsidR="00F43B22" w:rsidRPr="007344EA">
        <w:t xml:space="preserve"> tiek va</w:t>
      </w:r>
      <w:r w:rsidR="005739A1" w:rsidRPr="007344EA">
        <w:t xml:space="preserve">rtotojo, tiek </w:t>
      </w:r>
      <w:r w:rsidR="00DC12D7" w:rsidRPr="007344EA">
        <w:t xml:space="preserve">nesąžiningo </w:t>
      </w:r>
      <w:r w:rsidR="002A3F70" w:rsidRPr="007344EA">
        <w:t xml:space="preserve">verslininko. </w:t>
      </w:r>
      <w:r w:rsidR="005739A1" w:rsidRPr="007344EA">
        <w:t>Tokiu būdu</w:t>
      </w:r>
      <w:r w:rsidR="001A14C2" w:rsidRPr="007344EA">
        <w:t>,</w:t>
      </w:r>
      <w:r w:rsidR="005739A1" w:rsidRPr="007344EA">
        <w:t xml:space="preserve"> </w:t>
      </w:r>
      <w:r w:rsidR="00D86ACB" w:rsidRPr="007344EA">
        <w:t>ne</w:t>
      </w:r>
      <w:r w:rsidR="005739A1" w:rsidRPr="007344EA">
        <w:t>būtų pasieki</w:t>
      </w:r>
      <w:r w:rsidR="001A14C2" w:rsidRPr="007344EA">
        <w:t>a</w:t>
      </w:r>
      <w:r w:rsidR="005739A1" w:rsidRPr="007344EA">
        <w:t>mas</w:t>
      </w:r>
      <w:r w:rsidR="00F43B22" w:rsidRPr="007344EA">
        <w:t xml:space="preserve"> atgrasomasis</w:t>
      </w:r>
      <w:r w:rsidR="00D86ACB" w:rsidRPr="007344EA">
        <w:t xml:space="preserve"> Direktyvos 93/13</w:t>
      </w:r>
      <w:r w:rsidR="005739A1" w:rsidRPr="007344EA">
        <w:t xml:space="preserve"> poveikis</w:t>
      </w:r>
      <w:r w:rsidR="003950F7" w:rsidRPr="007344EA">
        <w:t xml:space="preserve"> −</w:t>
      </w:r>
      <w:r w:rsidR="005739A1" w:rsidRPr="007344EA">
        <w:t xml:space="preserve"> vienas iš jau minėtų Teisingumo Teismo taikomų vartotoj</w:t>
      </w:r>
      <w:r w:rsidR="00E746C1">
        <w:t>o</w:t>
      </w:r>
      <w:r w:rsidR="005739A1" w:rsidRPr="007344EA">
        <w:t xml:space="preserve"> apsaugos elementų</w:t>
      </w:r>
      <w:r w:rsidR="002A3F70" w:rsidRPr="007344EA">
        <w:t>,</w:t>
      </w:r>
      <w:r w:rsidR="00F43B22" w:rsidRPr="007344EA">
        <w:t xml:space="preserve"> kurį </w:t>
      </w:r>
      <w:r w:rsidR="00D86ACB" w:rsidRPr="007344EA">
        <w:t>Teisingumo Teismas išvedė bylose:</w:t>
      </w:r>
      <w:r w:rsidR="005739A1" w:rsidRPr="007344EA">
        <w:t xml:space="preserve"> </w:t>
      </w:r>
      <w:r w:rsidR="005739A1" w:rsidRPr="007344EA">
        <w:rPr>
          <w:i/>
        </w:rPr>
        <w:t>Cofidis</w:t>
      </w:r>
      <w:r w:rsidR="005739A1" w:rsidRPr="007344EA">
        <w:t xml:space="preserve"> bei </w:t>
      </w:r>
      <w:r w:rsidR="005739A1" w:rsidRPr="007344EA">
        <w:rPr>
          <w:i/>
        </w:rPr>
        <w:t>Claro</w:t>
      </w:r>
      <w:r w:rsidR="005739A1" w:rsidRPr="007344EA">
        <w:t xml:space="preserve">. </w:t>
      </w:r>
      <w:r w:rsidR="00D86ACB" w:rsidRPr="007344EA">
        <w:t>Maža to</w:t>
      </w:r>
      <w:r w:rsidR="001A14C2" w:rsidRPr="007344EA">
        <w:t>,</w:t>
      </w:r>
      <w:r w:rsidR="00D86ACB" w:rsidRPr="007344EA">
        <w:t xml:space="preserve"> valstybė narė negali nustatyt</w:t>
      </w:r>
      <w:r w:rsidR="00AC248E" w:rsidRPr="007344EA">
        <w:t xml:space="preserve">i </w:t>
      </w:r>
      <w:r w:rsidR="00D86ACB" w:rsidRPr="007344EA">
        <w:t>tokio nacionalinio reguliavimo, kuris l</w:t>
      </w:r>
      <w:r w:rsidR="00AC248E" w:rsidRPr="007344EA">
        <w:t>ei</w:t>
      </w:r>
      <w:r w:rsidR="00D86ACB" w:rsidRPr="007344EA">
        <w:t>st</w:t>
      </w:r>
      <w:r w:rsidR="00AC248E" w:rsidRPr="007344EA">
        <w:t>ų</w:t>
      </w:r>
      <w:r w:rsidR="00D86ACB" w:rsidRPr="007344EA">
        <w:t xml:space="preserve"> teismams pakeisti nesąžiningas sąlygas, remiantis minimaliu </w:t>
      </w:r>
      <w:r w:rsidR="00AC248E" w:rsidRPr="007344EA">
        <w:t>D</w:t>
      </w:r>
      <w:r w:rsidR="00D86ACB" w:rsidRPr="007344EA">
        <w:t>irektyvos</w:t>
      </w:r>
      <w:r w:rsidR="00AC248E" w:rsidRPr="007344EA">
        <w:t xml:space="preserve"> 93/13</w:t>
      </w:r>
      <w:r w:rsidR="001A14C2" w:rsidRPr="007344EA">
        <w:t xml:space="preserve"> suderinamumu</w:t>
      </w:r>
      <w:r w:rsidR="005739A1" w:rsidRPr="007344EA">
        <w:t>.</w:t>
      </w:r>
      <w:r w:rsidR="00AC248E" w:rsidRPr="007344EA">
        <w:t xml:space="preserve"> </w:t>
      </w:r>
    </w:p>
    <w:p w:rsidR="00146466" w:rsidRPr="007344EA" w:rsidRDefault="009F56F3" w:rsidP="006E00E1">
      <w:pPr>
        <w:pStyle w:val="Default"/>
        <w:spacing w:line="360" w:lineRule="auto"/>
        <w:ind w:firstLine="1296"/>
        <w:jc w:val="both"/>
      </w:pPr>
      <w:r w:rsidRPr="007344EA">
        <w:t xml:space="preserve">Sprendimas byloje </w:t>
      </w:r>
      <w:r w:rsidRPr="007344EA">
        <w:rPr>
          <w:i/>
        </w:rPr>
        <w:t>Banco Espanol</w:t>
      </w:r>
      <w:r w:rsidRPr="007344EA">
        <w:t xml:space="preserve"> svarbus dviem aspektais</w:t>
      </w:r>
      <w:r w:rsidR="00F774FD" w:rsidRPr="007344EA">
        <w:t xml:space="preserve">. Pirma, Direktyva 93/13 suteikiama vartotojų apsauga reikalauja, kad nacionalinis teismas </w:t>
      </w:r>
      <w:r w:rsidR="00F774FD" w:rsidRPr="007344EA">
        <w:rPr>
          <w:i/>
        </w:rPr>
        <w:t>ex officio</w:t>
      </w:r>
      <w:r w:rsidR="00F774FD" w:rsidRPr="007344EA">
        <w:t xml:space="preserve"> patikrintų </w:t>
      </w:r>
      <w:r w:rsidR="00F774FD" w:rsidRPr="007344EA">
        <w:lastRenderedPageBreak/>
        <w:t>sutarties sąlygos sąžiningumą</w:t>
      </w:r>
      <w:r w:rsidR="001A14C2" w:rsidRPr="007344EA">
        <w:t>,</w:t>
      </w:r>
      <w:r w:rsidR="00F774FD" w:rsidRPr="007344EA">
        <w:t xml:space="preserve"> net kai byla nagrinėjama ne ginčo </w:t>
      </w:r>
      <w:r w:rsidR="00F87FC2" w:rsidRPr="007344EA">
        <w:t xml:space="preserve">teisena ir nacionalinis teismas šioje teisenoje turi tik patikrinti tam tikrus formalumus. </w:t>
      </w:r>
      <w:r w:rsidR="00F87FC2" w:rsidRPr="007344EA">
        <w:rPr>
          <w:i/>
        </w:rPr>
        <w:t>Inter alia</w:t>
      </w:r>
      <w:r w:rsidR="00146466" w:rsidRPr="007344EA">
        <w:t xml:space="preserve"> ši</w:t>
      </w:r>
      <w:r w:rsidR="00F87FC2" w:rsidRPr="007344EA">
        <w:t xml:space="preserve"> </w:t>
      </w:r>
      <w:r w:rsidR="00F87FC2" w:rsidRPr="007344EA">
        <w:rPr>
          <w:i/>
        </w:rPr>
        <w:t>ex officio</w:t>
      </w:r>
      <w:r w:rsidR="00F87FC2" w:rsidRPr="007344EA">
        <w:t xml:space="preserve"> pareiga nustatyti sąlygų nesąžiningumą atsiranda </w:t>
      </w:r>
      <w:r w:rsidR="00F87FC2" w:rsidRPr="007344EA">
        <w:rPr>
          <w:i/>
        </w:rPr>
        <w:t>in limine litis.</w:t>
      </w:r>
      <w:r w:rsidR="00F87FC2" w:rsidRPr="007344EA">
        <w:t xml:space="preserve"> Antra</w:t>
      </w:r>
      <w:r w:rsidR="001A14C2" w:rsidRPr="007344EA">
        <w:t>s</w:t>
      </w:r>
      <w:r w:rsidR="00F87FC2" w:rsidRPr="007344EA">
        <w:t>, tačiau ma</w:t>
      </w:r>
      <w:r w:rsidR="001A14C2" w:rsidRPr="007344EA">
        <w:t>n</w:t>
      </w:r>
      <w:r w:rsidR="00F87FC2" w:rsidRPr="007344EA">
        <w:t>ytina pagrindinis šios nutarties aspektas</w:t>
      </w:r>
      <w:r w:rsidR="003950F7" w:rsidRPr="007344EA">
        <w:t xml:space="preserve"> −</w:t>
      </w:r>
      <w:r w:rsidR="00F87FC2" w:rsidRPr="007344EA">
        <w:t xml:space="preserve"> nacionalinis teismas negali pakeis</w:t>
      </w:r>
      <w:r w:rsidR="00166994" w:rsidRPr="007344EA">
        <w:t>ti nesąžiningų sąlygų</w:t>
      </w:r>
      <w:r w:rsidR="001A14C2" w:rsidRPr="007344EA">
        <w:t>.</w:t>
      </w:r>
      <w:r w:rsidR="00166994" w:rsidRPr="007344EA">
        <w:t xml:space="preserve"> Direktyvoje 93/13</w:t>
      </w:r>
      <w:r w:rsidR="00F87FC2" w:rsidRPr="007344EA">
        <w:t xml:space="preserve"> yra nustatyta vienintelė nesąžiningos sąlygos naudojimo pas</w:t>
      </w:r>
      <w:r w:rsidR="00166994" w:rsidRPr="007344EA">
        <w:t>ekmė</w:t>
      </w:r>
      <w:r w:rsidR="003950F7" w:rsidRPr="007344EA">
        <w:t xml:space="preserve"> −</w:t>
      </w:r>
      <w:r w:rsidR="00166994" w:rsidRPr="007344EA">
        <w:t xml:space="preserve"> ji turi tapti neprivaloma</w:t>
      </w:r>
      <w:r w:rsidR="00F87FC2" w:rsidRPr="007344EA">
        <w:t xml:space="preserve"> vartotojui, o tai iš esmės reiškia, kad sąlyga </w:t>
      </w:r>
      <w:r w:rsidR="00146466" w:rsidRPr="007344EA">
        <w:t xml:space="preserve">yra netaikoma ir sutartis lieka galioti, jei gali išlikti be nesąžiningos sąlygos. </w:t>
      </w:r>
    </w:p>
    <w:p w:rsidR="00F87FC2" w:rsidRPr="007344EA" w:rsidRDefault="00532BB0" w:rsidP="006E00E1">
      <w:pPr>
        <w:pStyle w:val="Default"/>
        <w:spacing w:line="360" w:lineRule="auto"/>
        <w:ind w:firstLine="1296"/>
        <w:jc w:val="both"/>
      </w:pPr>
      <w:r w:rsidRPr="007344EA">
        <w:t xml:space="preserve">Iš šios gausios Teisingumo Teismo praktikos, formavusios kazuistinio pobūdžio </w:t>
      </w:r>
      <w:r w:rsidRPr="007344EA">
        <w:rPr>
          <w:i/>
        </w:rPr>
        <w:t>ex officio</w:t>
      </w:r>
      <w:r w:rsidRPr="007344EA">
        <w:t xml:space="preserve"> taikymo taisykles, galime išvesti apibendrinančio pobūdžio taisyklę, dėl </w:t>
      </w:r>
      <w:r w:rsidRPr="007344EA">
        <w:rPr>
          <w:i/>
        </w:rPr>
        <w:t>ex officio</w:t>
      </w:r>
      <w:r w:rsidRPr="007344EA">
        <w:t xml:space="preserve"> teisės taikymo Direktyvos 93/13 kontekste. </w:t>
      </w:r>
      <w:r w:rsidRPr="007344EA">
        <w:rPr>
          <w:i/>
        </w:rPr>
        <w:t>Ex officio</w:t>
      </w:r>
      <w:r w:rsidRPr="007344EA">
        <w:t xml:space="preserve"> tai nacionalinio teismo pareiga (</w:t>
      </w:r>
      <w:r w:rsidRPr="007344EA">
        <w:rPr>
          <w:i/>
        </w:rPr>
        <w:t>Pannon</w:t>
      </w:r>
      <w:r w:rsidRPr="007344EA">
        <w:t>) savo iniciatyva, nepriklausomai nuo vartotojo aktyvumo (</w:t>
      </w:r>
      <w:r w:rsidRPr="007344EA">
        <w:rPr>
          <w:i/>
        </w:rPr>
        <w:t>Asturcom</w:t>
      </w:r>
      <w:r w:rsidRPr="007344EA">
        <w:t>), nustatyti sutartyje, sudarytoje tarp vartotojo ir pardavėjo ar tiekėjo, esančią bet kokio pobūdžio (</w:t>
      </w:r>
      <w:r w:rsidRPr="007344EA">
        <w:rPr>
          <w:i/>
        </w:rPr>
        <w:t>Pohotovost</w:t>
      </w:r>
      <w:r w:rsidRPr="007344EA">
        <w:t xml:space="preserve">) nesąžiningą sąlygą, tiek ginčo, tiek neginčo teisenoje ar sumarinio proceso metu </w:t>
      </w:r>
      <w:r w:rsidRPr="007344EA">
        <w:rPr>
          <w:i/>
        </w:rPr>
        <w:t xml:space="preserve">in limine litis </w:t>
      </w:r>
      <w:r w:rsidRPr="007344EA">
        <w:t>(</w:t>
      </w:r>
      <w:r w:rsidRPr="007344EA">
        <w:rPr>
          <w:i/>
        </w:rPr>
        <w:t>Banco</w:t>
      </w:r>
      <w:r w:rsidRPr="007344EA">
        <w:t>) ar bet kurioje kitoje proceso stadijoje taip pat ir pirminio bylos įvertinimo metu − iki bylos iškėlimo, jei sutartinį teismingumą nustatanti sąlyga yra galimai nesąžininga (</w:t>
      </w:r>
      <w:r w:rsidRPr="007344EA">
        <w:rPr>
          <w:i/>
        </w:rPr>
        <w:t>Oceano</w:t>
      </w:r>
      <w:r w:rsidRPr="007344EA">
        <w:t>), kai tik teismui tampa žinomos tiek faktinės, tiek teisinės aplinkybės (</w:t>
      </w:r>
      <w:r w:rsidRPr="007344EA">
        <w:rPr>
          <w:i/>
        </w:rPr>
        <w:t>Asturcom</w:t>
      </w:r>
      <w:r w:rsidRPr="007344EA">
        <w:t>) ir šios sąlygos netaikyti vartotojui (</w:t>
      </w:r>
      <w:r w:rsidRPr="007344EA">
        <w:rPr>
          <w:i/>
        </w:rPr>
        <w:t>Banco</w:t>
      </w:r>
      <w:r w:rsidRPr="007344EA">
        <w:t xml:space="preserve">). Nacionaliniam teismui suteikiama teisė panaikinti ir jau </w:t>
      </w:r>
      <w:r w:rsidRPr="007344EA">
        <w:rPr>
          <w:i/>
        </w:rPr>
        <w:t>res judicata</w:t>
      </w:r>
      <w:r w:rsidRPr="007344EA">
        <w:t xml:space="preserve"> galią įgijusį arbitražo sprendimą, jei arbitražinę išlygą nustatanti sąlyga buvo nesąžininga (</w:t>
      </w:r>
      <w:r w:rsidRPr="007344EA">
        <w:rPr>
          <w:i/>
        </w:rPr>
        <w:t>Asturcom</w:t>
      </w:r>
      <w:r w:rsidRPr="007344EA">
        <w:t xml:space="preserve">).  </w:t>
      </w:r>
      <w:r w:rsidRPr="007344EA">
        <w:rPr>
          <w:i/>
        </w:rPr>
        <w:t>Inter alia</w:t>
      </w:r>
      <w:r w:rsidRPr="007344EA">
        <w:t xml:space="preserve"> pareiga nustatyti konkrečios sutarties sąlygos nesąžiningumą, negali būti ribojama jokiais terminais (</w:t>
      </w:r>
      <w:r w:rsidRPr="007344EA">
        <w:rPr>
          <w:i/>
        </w:rPr>
        <w:t>Cofidis</w:t>
      </w:r>
      <w:r w:rsidRPr="007344EA">
        <w:t xml:space="preserve">). Nesąžiningos sąlygos negalima pakeisti, vienintelė nesąžiningos sąlygos taikymo pasekmė − jos neprivalomumas vartotojui. Nacionalinis teismas tik vienu atveju gali atsisakyti </w:t>
      </w:r>
      <w:r w:rsidRPr="007344EA">
        <w:rPr>
          <w:i/>
        </w:rPr>
        <w:t>ex officio</w:t>
      </w:r>
      <w:r w:rsidRPr="007344EA">
        <w:t xml:space="preserve"> pareigos pripažinti sąlygą nesąžininga ir netaikyti iš to išplaukiančios pasekmės − kai vartotojas nors ir žinodamas apie sąlygos nesąžiningumą, vis tiek pareiškia norą minėtą nesąžiningą sąlygą taikyti (</w:t>
      </w:r>
      <w:r w:rsidRPr="007344EA">
        <w:rPr>
          <w:i/>
        </w:rPr>
        <w:t>Pannon</w:t>
      </w:r>
      <w:r w:rsidRPr="007344EA">
        <w:t xml:space="preserve">). Numatytos dvi </w:t>
      </w:r>
      <w:r w:rsidRPr="007344EA">
        <w:rPr>
          <w:i/>
        </w:rPr>
        <w:t>ex officio</w:t>
      </w:r>
      <w:r w:rsidRPr="007344EA">
        <w:t xml:space="preserve"> pareigos įgyvendinimo stadijos: pirma, patikrinama ar konkrečios sutarties sąlygos patenka į Direktyvos 93/13 taikymo sritį, antra, nesąžiningumo įvertinimas − ar ši sąlyga sukelia ryškų teisių ir pareigų disbalansą vartotojo nenaudai (</w:t>
      </w:r>
      <w:r w:rsidRPr="007344EA">
        <w:rPr>
          <w:bCs/>
          <w:i/>
          <w:lang w:val="pt-PT"/>
        </w:rPr>
        <w:t>Pénzügyi</w:t>
      </w:r>
      <w:r w:rsidRPr="007344EA">
        <w:rPr>
          <w:i/>
        </w:rPr>
        <w:t xml:space="preserve"> Lizing</w:t>
      </w:r>
      <w:r w:rsidRPr="007344EA">
        <w:t xml:space="preserve">).  </w:t>
      </w:r>
      <w:r w:rsidRPr="007344EA">
        <w:rPr>
          <w:i/>
        </w:rPr>
        <w:t xml:space="preserve">Inter alia </w:t>
      </w:r>
      <w:r w:rsidRPr="007344EA">
        <w:t xml:space="preserve">jei nacionalinė proceso teisė nesuteikia galimybės nacionaliniam teismui </w:t>
      </w:r>
      <w:r w:rsidRPr="007344EA">
        <w:rPr>
          <w:i/>
        </w:rPr>
        <w:t>ex officio</w:t>
      </w:r>
      <w:r w:rsidRPr="007344EA">
        <w:t xml:space="preserve"> įvertinti sąlygos nesąžiningumo, tai nacionalinė teisė turi būti interpretuojama Direktyvos 93/13  šviesoje taip, kad toks patikrinimas taptų įmanomas (</w:t>
      </w:r>
      <w:r w:rsidRPr="007344EA">
        <w:rPr>
          <w:i/>
        </w:rPr>
        <w:t>Oceano</w:t>
      </w:r>
      <w:r w:rsidRPr="007344EA">
        <w:t>), be kita ko, nacionalinė teisė turi atitikti lygiavertiškumo ir proporcingumo principus (</w:t>
      </w:r>
      <w:r w:rsidRPr="007344EA">
        <w:rPr>
          <w:i/>
        </w:rPr>
        <w:t>Claro</w:t>
      </w:r>
      <w:r w:rsidRPr="007344EA">
        <w:t>).</w:t>
      </w:r>
    </w:p>
    <w:p w:rsidR="00DF6FD4" w:rsidRPr="007344EA" w:rsidRDefault="00532BB0" w:rsidP="00532BB0">
      <w:pPr>
        <w:pStyle w:val="Heading3"/>
        <w:rPr>
          <w:rFonts w:ascii="Times New Roman" w:hAnsi="Times New Roman" w:cs="Times New Roman"/>
          <w:color w:val="auto"/>
          <w:sz w:val="24"/>
          <w:szCs w:val="24"/>
        </w:rPr>
      </w:pPr>
      <w:bookmarkStart w:id="21" w:name="_Toc344337169"/>
      <w:r w:rsidRPr="007344EA">
        <w:rPr>
          <w:rFonts w:ascii="Times New Roman" w:hAnsi="Times New Roman" w:cs="Times New Roman"/>
          <w:color w:val="auto"/>
          <w:sz w:val="24"/>
          <w:szCs w:val="24"/>
        </w:rPr>
        <w:t>3.3</w:t>
      </w:r>
      <w:r w:rsidR="00DC2ABF" w:rsidRPr="007344EA">
        <w:rPr>
          <w:rFonts w:ascii="Times New Roman" w:hAnsi="Times New Roman" w:cs="Times New Roman"/>
          <w:color w:val="auto"/>
          <w:sz w:val="24"/>
          <w:szCs w:val="24"/>
        </w:rPr>
        <w:t>.</w:t>
      </w:r>
      <w:r w:rsidR="00DF6FD4" w:rsidRPr="007344EA">
        <w:rPr>
          <w:rFonts w:ascii="Times New Roman" w:hAnsi="Times New Roman" w:cs="Times New Roman"/>
          <w:color w:val="auto"/>
          <w:sz w:val="24"/>
          <w:szCs w:val="24"/>
        </w:rPr>
        <w:t>2. Pareigos kylančios iš valstybių narių įsipareigojimų nevykdymo procese priimtų bylų</w:t>
      </w:r>
      <w:bookmarkEnd w:id="21"/>
    </w:p>
    <w:p w:rsidR="00894D01" w:rsidRPr="007344EA" w:rsidRDefault="00894D01" w:rsidP="00894D01">
      <w:pPr>
        <w:pStyle w:val="Default"/>
        <w:spacing w:line="360" w:lineRule="auto"/>
        <w:ind w:firstLine="1296"/>
        <w:jc w:val="both"/>
      </w:pPr>
    </w:p>
    <w:p w:rsidR="00CC005F" w:rsidRPr="007344EA" w:rsidRDefault="00C87E84" w:rsidP="00894D01">
      <w:pPr>
        <w:pStyle w:val="Default"/>
        <w:spacing w:line="360" w:lineRule="auto"/>
        <w:ind w:firstLine="1296"/>
        <w:jc w:val="both"/>
      </w:pPr>
      <w:r w:rsidRPr="007344EA">
        <w:t xml:space="preserve">Kitos Teisingumo Teismo pareigos nustatytos valstybėms narėms išplaukia iš valstybės narės įsipareigojimų </w:t>
      </w:r>
      <w:r w:rsidR="003C6ECE" w:rsidRPr="007344EA">
        <w:t>ne</w:t>
      </w:r>
      <w:r w:rsidRPr="007344EA">
        <w:t xml:space="preserve">vykdymo </w:t>
      </w:r>
      <w:r w:rsidR="00215087" w:rsidRPr="007344EA">
        <w:t xml:space="preserve">procese priimtų sprendimų, susijusių su valstybių </w:t>
      </w:r>
      <w:r w:rsidR="00215087" w:rsidRPr="007344EA">
        <w:lastRenderedPageBreak/>
        <w:t xml:space="preserve">narių galimai netinkamai perkeltomis Direktyvos 93/13 nuostatomis. </w:t>
      </w:r>
      <w:r w:rsidR="00A02CAF" w:rsidRPr="007344EA">
        <w:t xml:space="preserve">Dėl ribotos magistro baigiamojo darbo apimties išskirsime tik esmingiausius šių spendimų teiginius, kurie gali būti naudingi siekiant </w:t>
      </w:r>
      <w:r w:rsidR="006E3147" w:rsidRPr="007344EA">
        <w:t xml:space="preserve">nustatyti Direktyva 93/13  suteikiamos vartotojų apsaugos ribas. </w:t>
      </w:r>
      <w:r w:rsidR="00CC005F" w:rsidRPr="007344EA">
        <w:t xml:space="preserve"> Kaip minėta šio </w:t>
      </w:r>
      <w:r w:rsidR="00146466" w:rsidRPr="007344EA">
        <w:t>magistro baigiamojo darbo skyriuje</w:t>
      </w:r>
      <w:r w:rsidR="00F40006" w:rsidRPr="007344EA">
        <w:t>, nagrinėjančiame</w:t>
      </w:r>
      <w:r w:rsidR="00CC005F" w:rsidRPr="007344EA">
        <w:t xml:space="preserve"> kreipim</w:t>
      </w:r>
      <w:r w:rsidR="008179E1" w:rsidRPr="007344EA">
        <w:t>o</w:t>
      </w:r>
      <w:r w:rsidR="00CC005F" w:rsidRPr="007344EA">
        <w:t xml:space="preserve">si į Teisingumo Teismą priežastis, </w:t>
      </w:r>
      <w:r w:rsidR="00146466" w:rsidRPr="007344EA">
        <w:t>Teisingumo Teismui teko spręsti ne tik bylas susijusias su prejudic</w:t>
      </w:r>
      <w:r w:rsidR="008179E1" w:rsidRPr="007344EA">
        <w:t>i</w:t>
      </w:r>
      <w:r w:rsidR="007166CC" w:rsidRPr="007344EA">
        <w:t>n</w:t>
      </w:r>
      <w:r w:rsidR="00146466" w:rsidRPr="007344EA">
        <w:t>iais klausimai</w:t>
      </w:r>
      <w:r w:rsidR="008179E1" w:rsidRPr="007344EA">
        <w:t>s</w:t>
      </w:r>
      <w:r w:rsidR="00146466" w:rsidRPr="007344EA">
        <w:t xml:space="preserve">, tačiau </w:t>
      </w:r>
      <w:r w:rsidR="00F40006" w:rsidRPr="007344EA">
        <w:t>Komisija iškėlė</w:t>
      </w:r>
      <w:r w:rsidR="00146466" w:rsidRPr="007344EA">
        <w:t xml:space="preserve"> ir </w:t>
      </w:r>
      <w:r w:rsidR="00FB7142" w:rsidRPr="007344EA">
        <w:t>5</w:t>
      </w:r>
      <w:r w:rsidR="00146466" w:rsidRPr="007344EA">
        <w:t xml:space="preserve"> įsipareigojimų nevykdymo byl</w:t>
      </w:r>
      <w:r w:rsidR="00F40006" w:rsidRPr="007344EA">
        <w:t>as prieš Nyderlandų Karalystę, Švedijos Karalystę, Ispanijos Karalystę bei Italijos Respubliką</w:t>
      </w:r>
      <w:r w:rsidR="00FB7142" w:rsidRPr="007344EA">
        <w:t xml:space="preserve">, </w:t>
      </w:r>
      <w:r w:rsidR="00115686" w:rsidRPr="007344EA">
        <w:t xml:space="preserve">taip pat ir prieš Maltos Respubliką, tačiau vėliau </w:t>
      </w:r>
      <w:r w:rsidR="00FB7142" w:rsidRPr="007344EA">
        <w:t>Komisija atsiėmė</w:t>
      </w:r>
      <w:r w:rsidR="002A3F70" w:rsidRPr="007344EA">
        <w:t xml:space="preserve"> savo kaltinimą</w:t>
      </w:r>
      <w:r w:rsidR="00115686" w:rsidRPr="007344EA">
        <w:t xml:space="preserve">, dar nepradėjus bylos nagrinėjimo Teisingumo Teisme. </w:t>
      </w:r>
      <w:r w:rsidR="00FB7142" w:rsidRPr="007344EA">
        <w:t xml:space="preserve"> </w:t>
      </w:r>
      <w:r w:rsidR="00F40006" w:rsidRPr="007344EA">
        <w:t xml:space="preserve"> Šiose bylose </w:t>
      </w:r>
      <w:r w:rsidR="003C6ECE" w:rsidRPr="007344EA">
        <w:t xml:space="preserve"> Teisingumo Teismas </w:t>
      </w:r>
      <w:r w:rsidR="00F40006" w:rsidRPr="007344EA">
        <w:t>nustat</w:t>
      </w:r>
      <w:r w:rsidR="003C6ECE" w:rsidRPr="007344EA">
        <w:t>ė</w:t>
      </w:r>
      <w:r w:rsidR="00F40006" w:rsidRPr="007344EA">
        <w:t xml:space="preserve"> tam tikr</w:t>
      </w:r>
      <w:r w:rsidR="003C6ECE" w:rsidRPr="007344EA">
        <w:t>as</w:t>
      </w:r>
      <w:r w:rsidR="00F40006" w:rsidRPr="007344EA">
        <w:t xml:space="preserve"> pareig</w:t>
      </w:r>
      <w:r w:rsidR="003C6ECE" w:rsidRPr="007344EA">
        <w:t xml:space="preserve">as </w:t>
      </w:r>
      <w:r w:rsidR="00F40006" w:rsidRPr="007344EA">
        <w:t>valstybėms narė</w:t>
      </w:r>
      <w:r w:rsidR="00415113" w:rsidRPr="007344EA">
        <w:t>m</w:t>
      </w:r>
      <w:r w:rsidR="00F40006" w:rsidRPr="007344EA">
        <w:t xml:space="preserve">s. </w:t>
      </w:r>
      <w:r w:rsidR="003C6ECE" w:rsidRPr="007344EA">
        <w:t xml:space="preserve"> </w:t>
      </w:r>
    </w:p>
    <w:p w:rsidR="003C6ECE" w:rsidRPr="007344EA" w:rsidRDefault="002E39D0" w:rsidP="006E00E1">
      <w:pPr>
        <w:pStyle w:val="Default"/>
        <w:spacing w:line="360" w:lineRule="auto"/>
        <w:ind w:firstLine="1296"/>
        <w:jc w:val="both"/>
      </w:pPr>
      <w:r w:rsidRPr="007344EA">
        <w:t xml:space="preserve">Analizuojant Direktyvos 93/13 taikymo sritį </w:t>
      </w:r>
      <w:r w:rsidRPr="007344EA">
        <w:rPr>
          <w:i/>
        </w:rPr>
        <w:t>ratione materiae</w:t>
      </w:r>
      <w:r w:rsidRPr="007344EA">
        <w:t xml:space="preserve"> atžvilgiu buvo </w:t>
      </w:r>
      <w:r w:rsidR="00506AF4" w:rsidRPr="007344EA">
        <w:t xml:space="preserve">plačiai nagrinėjamas sprendimas </w:t>
      </w:r>
      <w:r w:rsidR="003C6ECE" w:rsidRPr="007344EA">
        <w:t xml:space="preserve"> </w:t>
      </w:r>
      <w:r w:rsidR="003C6ECE" w:rsidRPr="007344EA">
        <w:rPr>
          <w:i/>
        </w:rPr>
        <w:t>Komis</w:t>
      </w:r>
      <w:r w:rsidR="00506AF4" w:rsidRPr="007344EA">
        <w:rPr>
          <w:i/>
        </w:rPr>
        <w:t>ija prieš Nyderlandus</w:t>
      </w:r>
      <w:r w:rsidR="00506AF4" w:rsidRPr="007344EA">
        <w:t xml:space="preserve"> ir lygi</w:t>
      </w:r>
      <w:r w:rsidR="004607D3" w:rsidRPr="007344EA">
        <w:t>nam</w:t>
      </w:r>
      <w:r w:rsidR="00506AF4" w:rsidRPr="007344EA">
        <w:t xml:space="preserve">as su sprendimu priimtu prejudiciniame procese </w:t>
      </w:r>
      <w:r w:rsidR="00506AF4" w:rsidRPr="007344EA">
        <w:rPr>
          <w:i/>
        </w:rPr>
        <w:t>C</w:t>
      </w:r>
      <w:r w:rsidR="004607D3" w:rsidRPr="007344EA">
        <w:rPr>
          <w:i/>
        </w:rPr>
        <w:t>aje de Madrid</w:t>
      </w:r>
      <w:r w:rsidR="004607D3" w:rsidRPr="007344EA">
        <w:t>. Tačiau apbrėžiant Direktyvos</w:t>
      </w:r>
      <w:r w:rsidR="002A034C" w:rsidRPr="007344EA">
        <w:t xml:space="preserve"> 93/13</w:t>
      </w:r>
      <w:r w:rsidR="004607D3" w:rsidRPr="007344EA">
        <w:t xml:space="preserve"> taikymo sritį buvo</w:t>
      </w:r>
      <w:r w:rsidR="002A034C" w:rsidRPr="007344EA">
        <w:t xml:space="preserve"> paliestas tik vienas Komisijos kaltinimas</w:t>
      </w:r>
      <w:r w:rsidR="003950F7" w:rsidRPr="007344EA">
        <w:t xml:space="preserve"> −</w:t>
      </w:r>
      <w:r w:rsidR="002A034C" w:rsidRPr="007344EA">
        <w:t xml:space="preserve"> dėl 4 straipsnio 2 dalies neperkėlimo. Kitas</w:t>
      </w:r>
      <w:r w:rsidR="00115686" w:rsidRPr="007344EA">
        <w:t xml:space="preserve"> </w:t>
      </w:r>
      <w:r w:rsidR="002A034C" w:rsidRPr="007344EA">
        <w:t xml:space="preserve"> Komisijos kaltinimas</w:t>
      </w:r>
      <w:r w:rsidR="00115686" w:rsidRPr="007344EA">
        <w:t xml:space="preserve"> minėtoje byloje</w:t>
      </w:r>
      <w:r w:rsidR="002A034C" w:rsidRPr="007344EA">
        <w:t xml:space="preserve"> susijęs </w:t>
      </w:r>
      <w:r w:rsidR="00A526C3" w:rsidRPr="007344EA">
        <w:rPr>
          <w:i/>
        </w:rPr>
        <w:t>contra proferentem</w:t>
      </w:r>
      <w:r w:rsidR="00A526C3" w:rsidRPr="007344EA">
        <w:t xml:space="preserve"> </w:t>
      </w:r>
      <w:r w:rsidR="00900838" w:rsidRPr="007344EA">
        <w:t>taisyklės, įtvirtintos 5 straipsnyje, netinkamu perkė</w:t>
      </w:r>
      <w:r w:rsidR="00A849D8">
        <w:t>limu į nacionalinę teisę. Š</w:t>
      </w:r>
      <w:r w:rsidR="00900838" w:rsidRPr="007344EA">
        <w:t xml:space="preserve">į sprendimą reikia analizuoti kartu su sprendimu </w:t>
      </w:r>
      <w:r w:rsidR="00900838" w:rsidRPr="007344EA">
        <w:rPr>
          <w:i/>
        </w:rPr>
        <w:t>Komisija prieš Ispaniją</w:t>
      </w:r>
      <w:r w:rsidR="00900838" w:rsidRPr="007344EA">
        <w:t>, kuriame taip pat buvo nagrinėjamas nacionalinės teisės atitikimas Direktyvai</w:t>
      </w:r>
      <w:r w:rsidR="0006787C" w:rsidRPr="007344EA">
        <w:t xml:space="preserve">, </w:t>
      </w:r>
      <w:r w:rsidR="00A526C3" w:rsidRPr="007344EA">
        <w:rPr>
          <w:i/>
        </w:rPr>
        <w:t>contra proferentem</w:t>
      </w:r>
      <w:r w:rsidR="00A526C3" w:rsidRPr="007344EA">
        <w:t xml:space="preserve"> </w:t>
      </w:r>
      <w:r w:rsidR="00FF2B8B" w:rsidRPr="007344EA">
        <w:t xml:space="preserve">taisyklės atžvilgiu. </w:t>
      </w:r>
      <w:r w:rsidR="0006787C" w:rsidRPr="007344EA">
        <w:t xml:space="preserve"> </w:t>
      </w:r>
    </w:p>
    <w:p w:rsidR="009953A1" w:rsidRPr="007344EA" w:rsidRDefault="00A526C3" w:rsidP="00BF0A70">
      <w:pPr>
        <w:pStyle w:val="Default"/>
        <w:spacing w:line="360" w:lineRule="auto"/>
        <w:ind w:firstLine="1296"/>
        <w:jc w:val="both"/>
      </w:pPr>
      <w:r w:rsidRPr="007344EA">
        <w:rPr>
          <w:i/>
        </w:rPr>
        <w:t>Contra proferentem</w:t>
      </w:r>
      <w:r w:rsidRPr="007344EA">
        <w:t xml:space="preserve"> </w:t>
      </w:r>
      <w:r w:rsidR="00BF0A70" w:rsidRPr="007344EA">
        <w:t>principas „paprastai suprantamas kaip taisyklė, kuria remiantis atsakomybę ribojanti sutarties nuostata aiškinama šią sąlygą pasiūliusios šalies nenaudai ir ją priėmusios šalies naudai“</w:t>
      </w:r>
      <w:r w:rsidR="00BF0A70" w:rsidRPr="007344EA">
        <w:rPr>
          <w:rStyle w:val="FootnoteReference"/>
        </w:rPr>
        <w:footnoteReference w:id="269"/>
      </w:r>
      <w:r w:rsidR="00BF0A70" w:rsidRPr="007344EA">
        <w:t xml:space="preserve">. </w:t>
      </w:r>
      <w:r w:rsidR="001562B7" w:rsidRPr="007344EA">
        <w:t>Minėta, kad šio principo neperkėlimas į nacionalinę teisę buvo pripažintas Sąjungos teisės pažeidimu</w:t>
      </w:r>
      <w:r w:rsidR="00FB1377" w:rsidRPr="007344EA">
        <w:t xml:space="preserve"> byloje </w:t>
      </w:r>
      <w:r w:rsidR="00FB1377" w:rsidRPr="007344EA">
        <w:rPr>
          <w:i/>
        </w:rPr>
        <w:t>Komisija prieš Nyderlandus</w:t>
      </w:r>
      <w:r w:rsidR="00FB1377" w:rsidRPr="007344EA">
        <w:t>. Šioje byloje Teisingumo Teismas plačiau nenagrinėjo 5 straipsnio neperkėlimo į nacionalinę teisę priežasčių, tačiau pažymėjo, kad „nepaisant to, kad valstybės narės teismai nacionalinius įstatymus interpretuoja ir taiko taip, kad būtų pasieki</w:t>
      </w:r>
      <w:r w:rsidR="00415113" w:rsidRPr="007344EA">
        <w:t>a</w:t>
      </w:r>
      <w:r w:rsidR="00FB1377" w:rsidRPr="007344EA">
        <w:t>mi Direktyvos 93/13</w:t>
      </w:r>
      <w:r w:rsidR="00415113" w:rsidRPr="007344EA">
        <w:t xml:space="preserve"> </w:t>
      </w:r>
      <w:r w:rsidR="00FB1377" w:rsidRPr="007344EA">
        <w:t>tikslai, tačiau nagrinėjamų nuostatų  neperkėlimas į nacionalinę teis</w:t>
      </w:r>
      <w:r w:rsidR="009F2FCC" w:rsidRPr="007344EA">
        <w:t>ę nesuteikia</w:t>
      </w:r>
      <w:r w:rsidR="00A87303" w:rsidRPr="007344EA">
        <w:t xml:space="preserve"> pakankamo</w:t>
      </w:r>
      <w:r w:rsidR="009F2FCC" w:rsidRPr="007344EA">
        <w:t xml:space="preserve"> aiškumo ir tikslumo, būtin</w:t>
      </w:r>
      <w:r w:rsidR="00415113" w:rsidRPr="007344EA">
        <w:t>o</w:t>
      </w:r>
      <w:r w:rsidR="009F2FCC" w:rsidRPr="007344EA">
        <w:t xml:space="preserve"> pasiekti teisinio tikrumo principo užtikrinim</w:t>
      </w:r>
      <w:r w:rsidR="00415113" w:rsidRPr="007344EA">
        <w:t>ą</w:t>
      </w:r>
      <w:r w:rsidR="009F2FCC" w:rsidRPr="007344EA">
        <w:t>. O tai yra itin svarbu vartotojų teisių apsaugos srityje“</w:t>
      </w:r>
      <w:r w:rsidR="00A87303" w:rsidRPr="007344EA">
        <w:rPr>
          <w:rStyle w:val="FootnoteReference"/>
        </w:rPr>
        <w:footnoteReference w:id="270"/>
      </w:r>
      <w:r w:rsidR="009F2FCC" w:rsidRPr="007344EA">
        <w:t xml:space="preserve">.  Taigi, šiuo sprendimu Teisingumo Teismas nustatė pareigą valstybėms perkelti į nacionalinės teisės aktus, reglamentuojančius vartotojų apsaugą nuo nesąžiningų sąlygų, </w:t>
      </w:r>
      <w:r w:rsidRPr="007344EA">
        <w:rPr>
          <w:i/>
        </w:rPr>
        <w:t>contra proferentem</w:t>
      </w:r>
      <w:r w:rsidR="009F2FCC" w:rsidRPr="007344EA">
        <w:t xml:space="preserve"> taisyklę, net ir tuo atveju, kai valstybės narės teismai nacionalinius įstatymus taik</w:t>
      </w:r>
      <w:r w:rsidR="00376F3A" w:rsidRPr="007344EA">
        <w:t>o taip, kad</w:t>
      </w:r>
      <w:r w:rsidR="009F2FCC" w:rsidRPr="007344EA">
        <w:t xml:space="preserve"> būtų pasiekiami </w:t>
      </w:r>
      <w:r w:rsidR="00376F3A" w:rsidRPr="007344EA">
        <w:t xml:space="preserve">Direktyvos 93/13 tikslai. </w:t>
      </w:r>
    </w:p>
    <w:p w:rsidR="0030333E" w:rsidRPr="007344EA" w:rsidRDefault="00376F3A" w:rsidP="0030333E">
      <w:pPr>
        <w:pStyle w:val="Default"/>
        <w:spacing w:line="360" w:lineRule="auto"/>
        <w:ind w:firstLine="1296"/>
        <w:jc w:val="both"/>
      </w:pPr>
      <w:r w:rsidRPr="007344EA">
        <w:t xml:space="preserve">Valstybės narės įsipareigojimų  nevykdymo byloje </w:t>
      </w:r>
      <w:r w:rsidRPr="007344EA">
        <w:rPr>
          <w:i/>
        </w:rPr>
        <w:t>Komisija prieš Ispanij</w:t>
      </w:r>
      <w:r w:rsidR="00415113" w:rsidRPr="007344EA">
        <w:rPr>
          <w:i/>
        </w:rPr>
        <w:t>ą</w:t>
      </w:r>
      <w:r w:rsidRPr="007344EA">
        <w:t xml:space="preserve"> taip p</w:t>
      </w:r>
      <w:r w:rsidR="00A87303" w:rsidRPr="007344EA">
        <w:t>a</w:t>
      </w:r>
      <w:r w:rsidRPr="007344EA">
        <w:t>t buvo keliam</w:t>
      </w:r>
      <w:r w:rsidR="00415113" w:rsidRPr="007344EA">
        <w:t>a</w:t>
      </w:r>
      <w:r w:rsidRPr="007344EA">
        <w:t>s klausimas</w:t>
      </w:r>
      <w:r w:rsidR="00A87303" w:rsidRPr="007344EA">
        <w:t>, susijęs</w:t>
      </w:r>
      <w:r w:rsidRPr="007344EA">
        <w:t xml:space="preserve"> </w:t>
      </w:r>
      <w:r w:rsidR="00415113" w:rsidRPr="007344EA">
        <w:t xml:space="preserve">su </w:t>
      </w:r>
      <w:r w:rsidRPr="007344EA">
        <w:t>Direktyvos 93/13 5 straipsnyje į</w:t>
      </w:r>
      <w:r w:rsidR="00A87303" w:rsidRPr="007344EA">
        <w:t>tvirtinta</w:t>
      </w:r>
      <w:r w:rsidRPr="007344EA">
        <w:t xml:space="preserve"> </w:t>
      </w:r>
      <w:r w:rsidR="00A526C3" w:rsidRPr="007344EA">
        <w:rPr>
          <w:i/>
        </w:rPr>
        <w:t>contra proferentem</w:t>
      </w:r>
      <w:r w:rsidR="00A526C3" w:rsidRPr="007344EA">
        <w:t xml:space="preserve"> </w:t>
      </w:r>
      <w:r w:rsidR="00A87303" w:rsidRPr="007344EA">
        <w:lastRenderedPageBreak/>
        <w:t>taisykle, tačiau ši</w:t>
      </w:r>
      <w:r w:rsidR="00415113" w:rsidRPr="007344EA">
        <w:t>uo</w:t>
      </w:r>
      <w:r w:rsidR="00A87303" w:rsidRPr="007344EA">
        <w:t xml:space="preserve"> atveju kilo klausimas dėl minėtosios taisyklės</w:t>
      </w:r>
      <w:r w:rsidR="00415113" w:rsidRPr="007344EA">
        <w:t xml:space="preserve"> taikymo išimties neperkėlimo. „</w:t>
      </w:r>
      <w:r w:rsidR="00A87303" w:rsidRPr="007344EA">
        <w:t>Komisija Ispanijos Karalystę kaltina tuo, kad nacionalinės teisės aktų leidėjas nepatikslino, jog vartotojui palankaus aiškinimo taisyklė nėra taikoma direktyvos 7 straipsnio 2 dalyje nurodytiems grupiniams ieškiniams dėl nutraukimo. Šis nenurodymas gali pakenkti tų ieškinių veiksmingumui, nes pardavėjas ar tiekėjas, remdamasis vartotojui palankesnio aiškinimo taisykle, galėtų pasiekti, jog neaiški sąlyga, kuri gali būti aiškinama kaip nesąžininga, nebūtų uždrausta.”</w:t>
      </w:r>
      <w:r w:rsidR="00A87303" w:rsidRPr="007344EA">
        <w:rPr>
          <w:rStyle w:val="FootnoteReference"/>
        </w:rPr>
        <w:footnoteReference w:id="271"/>
      </w:r>
      <w:r w:rsidR="00D507EE" w:rsidRPr="007344EA">
        <w:t xml:space="preserve"> Dėl ribotos magistro baigiamojo darbo apimties plačiau neaptarsime Teisingumo Teismo argumentų, tačiau reikia pažymėti tai, kad Direktyva 93/13 nustatytu reguliavimu daromas skirtumas tarp ieškinių susijusi</w:t>
      </w:r>
      <w:r w:rsidR="00415113" w:rsidRPr="007344EA">
        <w:t>ų</w:t>
      </w:r>
      <w:r w:rsidR="00D507EE" w:rsidRPr="007344EA">
        <w:t>, su konkrečiu vartotoju ir</w:t>
      </w:r>
      <w:r w:rsidR="00415113" w:rsidRPr="007344EA">
        <w:t xml:space="preserve"> tarp</w:t>
      </w:r>
      <w:r w:rsidR="00D507EE" w:rsidRPr="007344EA">
        <w:t xml:space="preserve"> vartotojų teises ginančių institucijų pateiktų kolektyvinių ieškinių dėl nesąžiningų sąlygų tolimesnio netaikymo. Pirmuoju atveju, kai klausimas lieči</w:t>
      </w:r>
      <w:r w:rsidR="008C5578" w:rsidRPr="007344EA">
        <w:t>a</w:t>
      </w:r>
      <w:r w:rsidR="00D507EE" w:rsidRPr="007344EA">
        <w:t xml:space="preserve"> konkretų vartotoją</w:t>
      </w:r>
      <w:r w:rsidR="00415113" w:rsidRPr="007344EA">
        <w:t>,</w:t>
      </w:r>
      <w:r w:rsidR="00D507EE" w:rsidRPr="007344EA">
        <w:t xml:space="preserve"> yra taikoma palankaus aiškinimo taisyklė, antruoju atveju, siekiant pre</w:t>
      </w:r>
      <w:r w:rsidR="00166994" w:rsidRPr="007344EA">
        <w:t>vencinių tikslų</w:t>
      </w:r>
      <w:r w:rsidR="00415113" w:rsidRPr="007344EA">
        <w:t>,</w:t>
      </w:r>
      <w:r w:rsidR="00166994" w:rsidRPr="007344EA">
        <w:t xml:space="preserve"> ši taisyklė nėra </w:t>
      </w:r>
      <w:r w:rsidR="00D507EE" w:rsidRPr="007344EA">
        <w:t xml:space="preserve">taikoma. </w:t>
      </w:r>
      <w:r w:rsidR="0030333E" w:rsidRPr="007344EA">
        <w:t>Darytina išvada, kad direktyvos 5 straipsnio trečiajame sakinyje esanti nuostata yra norminio bei įpareigojančio pobūdžio taisyklė, kuri suteikia vartotojams teises ir padeda apibrėžti direktyvos siekiamą rezultatą.</w:t>
      </w:r>
      <w:r w:rsidR="0030333E" w:rsidRPr="007344EA">
        <w:rPr>
          <w:rStyle w:val="FootnoteReference"/>
        </w:rPr>
        <w:footnoteReference w:id="272"/>
      </w:r>
      <w:r w:rsidR="0030333E" w:rsidRPr="007344EA">
        <w:t xml:space="preserve"> Šiuo sprendimu Teisingumo Teismas įpareigojo valstybes nares į nacionalinę teisę perkelti </w:t>
      </w:r>
      <w:r w:rsidR="00A526C3" w:rsidRPr="007344EA">
        <w:rPr>
          <w:i/>
        </w:rPr>
        <w:t>contra proferente</w:t>
      </w:r>
      <w:r w:rsidR="0030333E" w:rsidRPr="007344EA">
        <w:rPr>
          <w:i/>
        </w:rPr>
        <w:t>m</w:t>
      </w:r>
      <w:r w:rsidR="0030333E" w:rsidRPr="007344EA">
        <w:t xml:space="preserve"> taisyklės taikymo išimtį, numatytą Direktyvos 93/13 5 straipsnio trečiajame sakinyje. </w:t>
      </w:r>
    </w:p>
    <w:p w:rsidR="009F2FCC" w:rsidRPr="007344EA" w:rsidRDefault="0030333E" w:rsidP="00BF0A70">
      <w:pPr>
        <w:pStyle w:val="Default"/>
        <w:spacing w:line="360" w:lineRule="auto"/>
        <w:ind w:firstLine="1296"/>
        <w:jc w:val="both"/>
      </w:pPr>
      <w:r w:rsidRPr="007344EA">
        <w:t>Taigi</w:t>
      </w:r>
      <w:r w:rsidR="009C3996" w:rsidRPr="007344EA">
        <w:t>,</w:t>
      </w:r>
      <w:r w:rsidRPr="007344EA">
        <w:t xml:space="preserve"> sprendimu </w:t>
      </w:r>
      <w:r w:rsidRPr="007344EA">
        <w:rPr>
          <w:i/>
        </w:rPr>
        <w:t>Komisija prieš Nyderlandus</w:t>
      </w:r>
      <w:r w:rsidRPr="007344EA">
        <w:t xml:space="preserve"> Teisingumo Teismas nustatė valstybėms narėms pareigą perkelti </w:t>
      </w:r>
      <w:r w:rsidR="002E7CDD" w:rsidRPr="007344EA">
        <w:rPr>
          <w:i/>
        </w:rPr>
        <w:t>contra proferentem</w:t>
      </w:r>
      <w:r w:rsidR="002E7CDD" w:rsidRPr="007344EA">
        <w:t xml:space="preserve"> </w:t>
      </w:r>
      <w:r w:rsidRPr="007344EA">
        <w:t xml:space="preserve">taisyklę į nacionalinę teisę, o sprendimu </w:t>
      </w:r>
      <w:r w:rsidRPr="007344EA">
        <w:rPr>
          <w:i/>
        </w:rPr>
        <w:t>Komisija prie</w:t>
      </w:r>
      <w:r w:rsidR="009C3996" w:rsidRPr="007344EA">
        <w:rPr>
          <w:i/>
        </w:rPr>
        <w:t>š</w:t>
      </w:r>
      <w:r w:rsidRPr="007344EA">
        <w:rPr>
          <w:i/>
        </w:rPr>
        <w:t xml:space="preserve"> Ispaniją</w:t>
      </w:r>
      <w:r w:rsidRPr="007344EA">
        <w:t xml:space="preserve"> savo sprendimą patikslino įpareigodamas valstybes nares perkelti ne</w:t>
      </w:r>
      <w:r w:rsidR="009C3996" w:rsidRPr="007344EA">
        <w:t xml:space="preserve"> </w:t>
      </w:r>
      <w:r w:rsidRPr="007344EA">
        <w:t xml:space="preserve">tik palankaus aiškinimo taisyklę, bet ir jos taikymo išimtį, kuomet </w:t>
      </w:r>
      <w:r w:rsidR="002E7CDD" w:rsidRPr="007344EA">
        <w:rPr>
          <w:i/>
        </w:rPr>
        <w:t>contra proferentem</w:t>
      </w:r>
      <w:r w:rsidR="002E7CDD" w:rsidRPr="007344EA">
        <w:t xml:space="preserve"> </w:t>
      </w:r>
      <w:r w:rsidR="00072069" w:rsidRPr="007344EA">
        <w:t>nėra taikoma kolektyviniams</w:t>
      </w:r>
      <w:r w:rsidR="003950F7" w:rsidRPr="007344EA">
        <w:t xml:space="preserve"> −</w:t>
      </w:r>
      <w:r w:rsidR="00072069" w:rsidRPr="007344EA">
        <w:t xml:space="preserve"> prevenciniams ieškiniams</w:t>
      </w:r>
      <w:r w:rsidRPr="007344EA">
        <w:t>,</w:t>
      </w:r>
      <w:r w:rsidR="00072069" w:rsidRPr="007344EA">
        <w:t xml:space="preserve"> iškeltiems</w:t>
      </w:r>
      <w:r w:rsidRPr="007344EA">
        <w:t xml:space="preserve"> vartotojų gynimo institucijų</w:t>
      </w:r>
      <w:r w:rsidR="00072069" w:rsidRPr="007344EA">
        <w:t xml:space="preserve">. </w:t>
      </w:r>
    </w:p>
    <w:p w:rsidR="00517FCC" w:rsidRPr="007344EA" w:rsidRDefault="008C5578" w:rsidP="00B104A7">
      <w:pPr>
        <w:pStyle w:val="Default"/>
        <w:spacing w:line="360" w:lineRule="auto"/>
        <w:ind w:firstLine="1296"/>
        <w:jc w:val="both"/>
      </w:pPr>
      <w:r w:rsidRPr="007344EA">
        <w:t xml:space="preserve">Pažymėtina tai, kad </w:t>
      </w:r>
      <w:r w:rsidR="00D24228" w:rsidRPr="007344EA">
        <w:t>galimai atsižvelgus į Teisingumo T</w:t>
      </w:r>
      <w:r w:rsidR="005A508D" w:rsidRPr="007344EA">
        <w:t>eismo sprendimus, minėtose bylos</w:t>
      </w:r>
      <w:r w:rsidR="00D24228" w:rsidRPr="007344EA">
        <w:t>e</w:t>
      </w:r>
      <w:r w:rsidR="00196556" w:rsidRPr="007344EA">
        <w:t xml:space="preserve"> Lietuvos teisės aktų leidėjas 2008 metais papildė Civilinio kodekso 6.188  straipsnį įtraukdamas 7 dalį, kurioje teigiama: </w:t>
      </w:r>
      <w:r w:rsidRPr="007344EA">
        <w:t>„</w:t>
      </w:r>
      <w:r w:rsidR="00D507EE" w:rsidRPr="007344EA">
        <w:t>b</w:t>
      </w:r>
      <w:r w:rsidR="005A508D" w:rsidRPr="007344EA">
        <w:t>et kuri vartojimo sutarties rašytinė sąlyga turi   būti išreikšta aiškiai ir suprantamai. Jei kyla abejonių dėl sutarties sąlygų,  taikoma šio kodekso 6.193 straipsnio 4 dalyje  nustatyta sutarčių   aiškinimo   taisyklė.  Ši  taisyklė   nėra   taikoma kolektyvinio  vartotojų  interesų  gynimo atveju,  kai   siekiama parengtas  standartines sutarčių sąlygas uždrausti tolesniam   jų naudojimui“</w:t>
      </w:r>
      <w:r w:rsidR="00D507EE" w:rsidRPr="007344EA">
        <w:t xml:space="preserve">.  </w:t>
      </w:r>
    </w:p>
    <w:p w:rsidR="00B104A7" w:rsidRPr="007344EA" w:rsidRDefault="00B104A7" w:rsidP="00B104A7">
      <w:pPr>
        <w:pStyle w:val="Default"/>
        <w:spacing w:line="360" w:lineRule="auto"/>
        <w:ind w:firstLine="1296"/>
        <w:jc w:val="both"/>
      </w:pPr>
      <w:r w:rsidRPr="007344EA">
        <w:t xml:space="preserve">Minėta, kad byloje </w:t>
      </w:r>
      <w:r w:rsidRPr="007344EA">
        <w:rPr>
          <w:i/>
        </w:rPr>
        <w:t>Komisija prieš Italiją</w:t>
      </w:r>
      <w:r w:rsidRPr="007344EA">
        <w:t xml:space="preserve">, valstybė narė buvo kaltinama neperkėlus į nacionalinę teisę 7 straipsnio 3 dalies, kurioje </w:t>
      </w:r>
      <w:r w:rsidR="00ED6048" w:rsidRPr="007344EA">
        <w:t>valstybių narių institucijo</w:t>
      </w:r>
      <w:r w:rsidR="008727D2" w:rsidRPr="007344EA">
        <w:t>m</w:t>
      </w:r>
      <w:r w:rsidR="00ED6048" w:rsidRPr="007344EA">
        <w:t xml:space="preserve">s, turinčioms teisėtą interesą apsaugoti vartotojų interesus </w:t>
      </w:r>
      <w:r w:rsidRPr="007344EA">
        <w:t xml:space="preserve">yra numatyta pareiga </w:t>
      </w:r>
      <w:r w:rsidR="00ED6048" w:rsidRPr="007344EA">
        <w:t>paduoti prevencinius ieškinius prieš kolektyviniu</w:t>
      </w:r>
      <w:r w:rsidR="00166994" w:rsidRPr="007344EA">
        <w:t>s nesąžiningų sąlygų naudotojus</w:t>
      </w:r>
      <w:r w:rsidR="00ED6048" w:rsidRPr="007344EA">
        <w:t xml:space="preserve"> ar </w:t>
      </w:r>
      <w:r w:rsidR="008727D2" w:rsidRPr="007344EA">
        <w:t xml:space="preserve">jų asociacijas, kurios naudoja ar rekomenduoja </w:t>
      </w:r>
      <w:r w:rsidR="008727D2" w:rsidRPr="007344EA">
        <w:lastRenderedPageBreak/>
        <w:t xml:space="preserve">naudoti tas pačias bendrąsias sąlygas. </w:t>
      </w:r>
      <w:r w:rsidR="00823E57" w:rsidRPr="007344EA">
        <w:t>Tačiau Italijos teisėj</w:t>
      </w:r>
      <w:r w:rsidR="00B36238" w:rsidRPr="007344EA">
        <w:t>e</w:t>
      </w:r>
      <w:r w:rsidR="00823E57" w:rsidRPr="007344EA">
        <w:t xml:space="preserve"> numatytas reguliavimas suteikė </w:t>
      </w:r>
      <w:r w:rsidR="00823E57" w:rsidRPr="007344EA">
        <w:rPr>
          <w:i/>
        </w:rPr>
        <w:t>locus standi</w:t>
      </w:r>
      <w:r w:rsidR="00823E57" w:rsidRPr="007344EA">
        <w:t xml:space="preserve"> teisę „tik prieš tuos pardavėju</w:t>
      </w:r>
      <w:r w:rsidR="009C3996" w:rsidRPr="007344EA">
        <w:t>s</w:t>
      </w:r>
      <w:r w:rsidR="00823E57" w:rsidRPr="007344EA">
        <w:t xml:space="preserve"> ir paslaugų teikėjus ar jų asociacijas tik tuo atveju, kai nesąžiningos sąlygos jau buvo naudojamos praktikoje“</w:t>
      </w:r>
      <w:r w:rsidR="00823E57" w:rsidRPr="007344EA">
        <w:rPr>
          <w:rStyle w:val="FootnoteReference"/>
        </w:rPr>
        <w:footnoteReference w:id="273"/>
      </w:r>
      <w:r w:rsidR="00B36238" w:rsidRPr="007344EA">
        <w:t xml:space="preserve">. Taigi 7 straipsnio 3 dalis buvo įgyvendinta tik iš dalies, neleisdama prevenciniais ieškiniais uždrausti nesąžiningų sąlygų  </w:t>
      </w:r>
      <w:r w:rsidR="006B6B22" w:rsidRPr="007344EA">
        <w:t xml:space="preserve">rekomenduojamose naudoti sutartyse t.y. tokių sutarčių sąlygų, kurios dar nebuvo pradėtos naudoti konkrečiose sutartyse. </w:t>
      </w:r>
      <w:r w:rsidR="007605A2" w:rsidRPr="007344EA">
        <w:t xml:space="preserve">Nors ir Generalinis advokatas </w:t>
      </w:r>
      <w:r w:rsidR="00837C5D" w:rsidRPr="007344EA">
        <w:t>Alber bandė įrodyti,</w:t>
      </w:r>
      <w:r w:rsidR="009C3996" w:rsidRPr="007344EA">
        <w:t xml:space="preserve"> kad</w:t>
      </w:r>
      <w:r w:rsidR="00837C5D" w:rsidRPr="007344EA">
        <w:t xml:space="preserve"> „Italijos teismai ir dauguma Italijos teisininkų sąvoką „naudojamos praktikoje“ interpretuoja plečiamuoju būdu, taip kad yra įtraukiamos rekomendacijos naudoti nesąžiningas sąlygas“</w:t>
      </w:r>
      <w:r w:rsidR="00837C5D" w:rsidRPr="007344EA">
        <w:rPr>
          <w:rStyle w:val="FootnoteReference"/>
        </w:rPr>
        <w:footnoteReference w:id="274"/>
      </w:r>
      <w:r w:rsidR="00837C5D" w:rsidRPr="007344EA">
        <w:t xml:space="preserve">. Tačiau </w:t>
      </w:r>
      <w:r w:rsidR="009C3996" w:rsidRPr="007344EA">
        <w:t>š</w:t>
      </w:r>
      <w:r w:rsidR="00837C5D" w:rsidRPr="007344EA">
        <w:t>ie argumentai neįtikino Teisingumo Teismo ir jis pripažino valstybę narę pažeidus Sutartimis prisiimtus įsipareigojimu</w:t>
      </w:r>
      <w:r w:rsidR="009C3996" w:rsidRPr="007344EA">
        <w:t>s</w:t>
      </w:r>
      <w:r w:rsidR="00837C5D" w:rsidRPr="007344EA">
        <w:t>. LR Civilinio kodekso 6.188 straipsnio 9 dalyje įtvirtinta nuostata, kad „vartotojų teises ginančios institucijos turi</w:t>
      </w:r>
      <w:r w:rsidR="001567B2" w:rsidRPr="007344EA">
        <w:t xml:space="preserve"> teisę įstatymų nustatyta tvarka kontroliuoti sutarčių standartines sąlygas ir ginčyti nesąžiningas vartojimo sutarčių sąlygas“.  Kaip matyti</w:t>
      </w:r>
      <w:r w:rsidR="009C3996" w:rsidRPr="007344EA">
        <w:t>,</w:t>
      </w:r>
      <w:r w:rsidR="001567B2" w:rsidRPr="007344EA">
        <w:t xml:space="preserve"> Lietuvos įstatymų leidėjas vartoja kiek abstraktesnę formuluotę</w:t>
      </w:r>
      <w:r w:rsidR="003950F7" w:rsidRPr="007344EA">
        <w:t xml:space="preserve"> −</w:t>
      </w:r>
      <w:r w:rsidR="001567B2" w:rsidRPr="007344EA">
        <w:t xml:space="preserve"> „kontroliuoti sutarčių standartines sąlygas“, nekonkretindamas ar tos sąlygos </w:t>
      </w:r>
      <w:r w:rsidR="009C3996" w:rsidRPr="007344EA">
        <w:t xml:space="preserve">jau </w:t>
      </w:r>
      <w:r w:rsidR="001567B2" w:rsidRPr="007344EA">
        <w:t>yra naudojamos praktikoje</w:t>
      </w:r>
      <w:r w:rsidR="009C3996" w:rsidRPr="007344EA">
        <w:t>,</w:t>
      </w:r>
      <w:r w:rsidR="001567B2" w:rsidRPr="007344EA">
        <w:t xml:space="preserve"> ar tėra rekomenduojamos naudoti. Analogiškas reguliavimas nustatytas ir LR Vartotojų teisių apsaugos įstatymo 12 straipsnyje, kurio nuostatos detali</w:t>
      </w:r>
      <w:r w:rsidR="0048702D" w:rsidRPr="007344EA">
        <w:t xml:space="preserve">zuojamos septintajame minėtojo įstatymo skirsnyje. </w:t>
      </w:r>
      <w:r w:rsidR="00AE028C" w:rsidRPr="007344EA">
        <w:t xml:space="preserve">Šiuo sprendimu Teisingumo Teismas aiškiai nurodė, kad valstybės narės privalo priimti tokį teisinį reguliavimą, kurio pagrindu vartotojų teises ginančios institucijos galėtų teikti ieškinius ne tik dėl tų nesąžiningų sąlygų, kurios jau yra naudojamos praktikoje, bet ir dėl tų sutarčių sąlygų, kurios yra rekomenduojamos naudoti. </w:t>
      </w:r>
      <w:r w:rsidR="00DB4FBF" w:rsidRPr="007344EA">
        <w:t xml:space="preserve"> </w:t>
      </w:r>
    </w:p>
    <w:p w:rsidR="00DB4FBF" w:rsidRPr="007344EA" w:rsidRDefault="00DB4FBF" w:rsidP="00DB4FBF">
      <w:pPr>
        <w:pStyle w:val="Default"/>
        <w:spacing w:line="360" w:lineRule="auto"/>
        <w:jc w:val="both"/>
      </w:pPr>
      <w:r w:rsidRPr="007344EA">
        <w:tab/>
        <w:t xml:space="preserve">Su sprendimu </w:t>
      </w:r>
      <w:r w:rsidRPr="007344EA">
        <w:rPr>
          <w:i/>
        </w:rPr>
        <w:t>Komisija prieš Italiją</w:t>
      </w:r>
      <w:r w:rsidRPr="007344EA">
        <w:t xml:space="preserve"> gali būti siejamas sprendimas </w:t>
      </w:r>
      <w:r w:rsidR="00392953" w:rsidRPr="007344EA">
        <w:rPr>
          <w:bCs/>
          <w:i/>
          <w:lang w:val="pt-PT"/>
        </w:rPr>
        <w:t>Nemzeti</w:t>
      </w:r>
      <w:r w:rsidRPr="007344EA">
        <w:t>, kuriame Teisingumo Teismas nurodė, kokios</w:t>
      </w:r>
      <w:r w:rsidR="00D20D9D" w:rsidRPr="007344EA">
        <w:t xml:space="preserve"> yra</w:t>
      </w:r>
      <w:r w:rsidRPr="007344EA">
        <w:t xml:space="preserve"> nacionalinių įstatymų, priimtų Direktyvos </w:t>
      </w:r>
      <w:r w:rsidRPr="007344EA">
        <w:rPr>
          <w:lang w:val="en-US"/>
        </w:rPr>
        <w:t>93/13 7</w:t>
      </w:r>
      <w:r w:rsidRPr="007344EA">
        <w:t xml:space="preserve"> straipsnio</w:t>
      </w:r>
      <w:r w:rsidR="006B6B22" w:rsidRPr="007344EA">
        <w:t xml:space="preserve"> pagrindu,</w:t>
      </w:r>
      <w:r w:rsidRPr="007344EA">
        <w:t xml:space="preserve"> taikymo </w:t>
      </w:r>
      <w:r w:rsidR="009B7C5C" w:rsidRPr="007344EA">
        <w:t>pasekmės.</w:t>
      </w:r>
      <w:r w:rsidR="006B6B22" w:rsidRPr="007344EA">
        <w:t xml:space="preserve"> Teisingumo Teismas</w:t>
      </w:r>
      <w:r w:rsidR="009B7C5C" w:rsidRPr="007344EA">
        <w:t xml:space="preserve"> nusprendė, kad </w:t>
      </w:r>
      <w:r w:rsidR="006B6B22" w:rsidRPr="007344EA">
        <w:t xml:space="preserve"> </w:t>
      </w:r>
      <w:r w:rsidR="00D20D9D" w:rsidRPr="007344EA">
        <w:t xml:space="preserve">tuo atveju, kai valstybės narės įgaliotos institucijos pateikia </w:t>
      </w:r>
      <w:r w:rsidR="009B7C5C" w:rsidRPr="007344EA">
        <w:t xml:space="preserve">ieškinį </w:t>
      </w:r>
      <w:r w:rsidR="00D20D9D" w:rsidRPr="007344EA">
        <w:t>vieš</w:t>
      </w:r>
      <w:r w:rsidR="009B7C5C" w:rsidRPr="007344EA">
        <w:t>a</w:t>
      </w:r>
      <w:r w:rsidR="00D20D9D" w:rsidRPr="007344EA">
        <w:t>jam interesui ginti (</w:t>
      </w:r>
      <w:r w:rsidR="00D20D9D" w:rsidRPr="007344EA">
        <w:rPr>
          <w:i/>
        </w:rPr>
        <w:t>actio popularis</w:t>
      </w:r>
      <w:r w:rsidR="00D20D9D" w:rsidRPr="007344EA">
        <w:t>)</w:t>
      </w:r>
      <w:r w:rsidR="009B7C5C" w:rsidRPr="007344EA">
        <w:t xml:space="preserve"> Direktyvos </w:t>
      </w:r>
      <w:r w:rsidR="009C3996" w:rsidRPr="007344EA">
        <w:rPr>
          <w:lang w:val="en-US"/>
        </w:rPr>
        <w:t xml:space="preserve">93/13 </w:t>
      </w:r>
      <w:r w:rsidR="009B7C5C" w:rsidRPr="007344EA">
        <w:t>nuostatos nedraudžia, kad iš nesąžiningų sąlygų taikymo</w:t>
      </w:r>
      <w:r w:rsidR="00FE56C4" w:rsidRPr="007344EA">
        <w:t xml:space="preserve"> </w:t>
      </w:r>
      <w:r w:rsidR="009B7C5C" w:rsidRPr="007344EA">
        <w:t>išplaukiančios</w:t>
      </w:r>
      <w:r w:rsidR="00FE56C4" w:rsidRPr="007344EA">
        <w:t xml:space="preserve"> pasekmės (</w:t>
      </w:r>
      <w:r w:rsidR="00FE56C4" w:rsidRPr="007344EA">
        <w:rPr>
          <w:i/>
        </w:rPr>
        <w:t>Banco</w:t>
      </w:r>
      <w:r w:rsidR="00FE56C4" w:rsidRPr="007344EA">
        <w:t xml:space="preserve"> byloje Teisingumo Teismas nurodė, kad galima tik viena pasekmė − sąlygos neprivalomumas vartotojui)</w:t>
      </w:r>
      <w:r w:rsidR="009B7C5C" w:rsidRPr="007344EA">
        <w:t xml:space="preserve"> „būtų taikomas visiems vartotojams, sudariusiems su šiuo pardavėju ar tiekėju sutartis, kurioms taikomos tos pačios bendrosios sąlygos, taip pat ir tiems, kurie nedalyvavo nagrinėjant bylą dėl nesąžiningų sąlygų uždraudimo“</w:t>
      </w:r>
      <w:r w:rsidR="009B7C5C" w:rsidRPr="007344EA">
        <w:rPr>
          <w:rStyle w:val="FootnoteReference"/>
        </w:rPr>
        <w:footnoteReference w:id="275"/>
      </w:r>
      <w:r w:rsidR="008C5578" w:rsidRPr="007344EA">
        <w:t>.</w:t>
      </w:r>
    </w:p>
    <w:p w:rsidR="00482F1B" w:rsidRPr="007344EA" w:rsidRDefault="0006787C" w:rsidP="006E00E1">
      <w:pPr>
        <w:pStyle w:val="Default"/>
        <w:spacing w:line="360" w:lineRule="auto"/>
        <w:ind w:firstLine="1296"/>
        <w:jc w:val="both"/>
      </w:pPr>
      <w:r w:rsidRPr="007344EA">
        <w:t>Kiek išskirtinis</w:t>
      </w:r>
      <w:r w:rsidR="00ED4689" w:rsidRPr="007344EA">
        <w:t>, lyginant su jau analizuotomis bylomis,</w:t>
      </w:r>
      <w:r w:rsidRPr="007344EA">
        <w:t xml:space="preserve"> yra įsipareigojimų nevykdymo atvejis byloje </w:t>
      </w:r>
      <w:r w:rsidRPr="007344EA">
        <w:rPr>
          <w:i/>
        </w:rPr>
        <w:t>Komisija prieš Švediją</w:t>
      </w:r>
      <w:r w:rsidRPr="007344EA">
        <w:t>. Vertėtų paminėti, kad šioje byloje Švedijos pusę palaikė ir dar dvi Skandinavijos valstybės</w:t>
      </w:r>
      <w:r w:rsidR="003950F7" w:rsidRPr="007344EA">
        <w:t xml:space="preserve"> −</w:t>
      </w:r>
      <w:r w:rsidRPr="007344EA">
        <w:t xml:space="preserve"> Suomija bei Danija. Minėta, kad </w:t>
      </w:r>
      <w:r w:rsidR="00CA1C3F" w:rsidRPr="007344EA">
        <w:t xml:space="preserve">valstybė narė </w:t>
      </w:r>
      <w:r w:rsidR="00CA1C3F" w:rsidRPr="007344EA">
        <w:lastRenderedPageBreak/>
        <w:t xml:space="preserve">kaltinama tuo, kad tinkamai į nacionalinę teisę neperkėlė pavyzdinio nesąžiningų sąlygų sąrašo, esančio Direktyvos 93/13 priede. Į jokį vartotojų teisių apsaugą reglamentuojantį įstatymą šis priedas nebuvo perkeltas. Tačiau Teisingumo Teismas pripažino, kad tiesiogiai į įstatymą neperkeldama šio sąrašo valstybė narė nepažeidė įsipareigojimų. </w:t>
      </w:r>
      <w:r w:rsidR="008C6611" w:rsidRPr="007344EA">
        <w:t>„Direktyvos priedas buvo perkeltas tik į įstatymo projektą, kuriuo Direktyva 93/13 buvo įgyvendinama</w:t>
      </w:r>
      <w:r w:rsidR="009953A1" w:rsidRPr="007344EA">
        <w:t>,</w:t>
      </w:r>
      <w:r w:rsidR="008C6611" w:rsidRPr="007344EA">
        <w:t xml:space="preserve"> Švedijos vyriausybė teigia, kad atsižvelgiant į teisės aktų leidybos tradicijas tiek Švedijoje, tiek kitose Šiaurės Europos šalyse,</w:t>
      </w:r>
      <w:r w:rsidR="00800F99" w:rsidRPr="007344EA">
        <w:t xml:space="preserve"> teisės akto projektas yra itin svarbus interpretuojant įstatymų leidyb</w:t>
      </w:r>
      <w:r w:rsidR="00621472" w:rsidRPr="007344EA">
        <w:t>ą</w:t>
      </w:r>
      <w:r w:rsidR="00800F99" w:rsidRPr="007344EA">
        <w:t xml:space="preserve">“ </w:t>
      </w:r>
      <w:r w:rsidR="00800F99" w:rsidRPr="007344EA">
        <w:rPr>
          <w:rStyle w:val="FootnoteReference"/>
        </w:rPr>
        <w:footnoteReference w:id="276"/>
      </w:r>
      <w:r w:rsidR="00792B90" w:rsidRPr="007344EA">
        <w:t>. Teisingumo Teismas sutiko su tokiais Švedijos vyriausybės pateiktais argumentais</w:t>
      </w:r>
      <w:r w:rsidR="00621472" w:rsidRPr="007344EA">
        <w:t>. V</w:t>
      </w:r>
      <w:r w:rsidR="00792B90" w:rsidRPr="007344EA">
        <w:t>alstybės narės teismai  spręsdami bylas, susijusias</w:t>
      </w:r>
      <w:r w:rsidR="0030333E" w:rsidRPr="007344EA">
        <w:t xml:space="preserve"> su nesąžiningų sąlygų taikymu, </w:t>
      </w:r>
      <w:r w:rsidR="00792B90" w:rsidRPr="007344EA">
        <w:t>„daugelį sąlygų, esančių Direktyvos 93/13 priede, pripažino es</w:t>
      </w:r>
      <w:r w:rsidR="009953A1" w:rsidRPr="007344EA">
        <w:t>ančiomis nesąžiningomis konkreč</w:t>
      </w:r>
      <w:r w:rsidR="00621472" w:rsidRPr="007344EA">
        <w:t>i</w:t>
      </w:r>
      <w:r w:rsidR="00792B90" w:rsidRPr="007344EA">
        <w:t>os bylos kontekste“</w:t>
      </w:r>
      <w:r w:rsidR="00792B90" w:rsidRPr="007344EA">
        <w:rPr>
          <w:rStyle w:val="FootnoteReference"/>
        </w:rPr>
        <w:footnoteReference w:id="277"/>
      </w:r>
      <w:r w:rsidR="002019E7" w:rsidRPr="007344EA">
        <w:t xml:space="preserve">. </w:t>
      </w:r>
      <w:r w:rsidR="00792B90" w:rsidRPr="007344EA">
        <w:t>Teisingumo Teismo sprendimas</w:t>
      </w:r>
      <w:r w:rsidR="00621472" w:rsidRPr="007344EA">
        <w:t xml:space="preserve"> iš </w:t>
      </w:r>
      <w:r w:rsidR="00792B90" w:rsidRPr="007344EA">
        <w:t>esmės sąlygotas juridinės technikos taisyklių taikymo s</w:t>
      </w:r>
      <w:r w:rsidR="009953A1" w:rsidRPr="007344EA">
        <w:t>kirtumų valstybių</w:t>
      </w:r>
      <w:r w:rsidR="002019E7" w:rsidRPr="007344EA">
        <w:t xml:space="preserve">  narių</w:t>
      </w:r>
      <w:r w:rsidR="009953A1" w:rsidRPr="007344EA">
        <w:t xml:space="preserve"> teisinėse sistemose</w:t>
      </w:r>
      <w:r w:rsidR="002019E7" w:rsidRPr="007344EA">
        <w:t xml:space="preserve"> ir vienintelė pareiga</w:t>
      </w:r>
      <w:r w:rsidR="00621472" w:rsidRPr="007344EA">
        <w:t>,</w:t>
      </w:r>
      <w:r w:rsidR="002019E7" w:rsidRPr="007344EA">
        <w:t xml:space="preserve"> nustatyta valstybėms narėms</w:t>
      </w:r>
      <w:r w:rsidR="00621472" w:rsidRPr="007344EA">
        <w:t>,</w:t>
      </w:r>
      <w:r w:rsidR="002019E7" w:rsidRPr="007344EA">
        <w:t xml:space="preserve"> yra tinkama</w:t>
      </w:r>
      <w:r w:rsidR="009953A1" w:rsidRPr="007344EA">
        <w:t>s Direktyvos 93/13 reguliavimu siekiamų</w:t>
      </w:r>
      <w:r w:rsidR="002019E7" w:rsidRPr="007344EA">
        <w:t xml:space="preserve"> tikslų perkėlimas į nacionalin</w:t>
      </w:r>
      <w:r w:rsidR="00621472" w:rsidRPr="007344EA">
        <w:t>ę</w:t>
      </w:r>
      <w:r w:rsidR="00BD5BA0" w:rsidRPr="007344EA">
        <w:t xml:space="preserve"> teisę.</w:t>
      </w:r>
      <w:r w:rsidR="002019E7" w:rsidRPr="007344EA">
        <w:t xml:space="preserve"> Be kita ko</w:t>
      </w:r>
      <w:r w:rsidR="00621472" w:rsidRPr="007344EA">
        <w:t>,</w:t>
      </w:r>
      <w:r w:rsidR="002019E7" w:rsidRPr="007344EA">
        <w:t xml:space="preserve"> Teisingumo Teismas šiame sprendime paaiškino Direktyvos 93/13 priede esančio sąrašo reikšmę: „sąrašas yra neišsamus ir valstybės narės pasiremdamos Direktyvos 8 straipsnyje įtvirtintu minimalaus suderinamumo principu, gali šį sąrašą plėtoti ar nustatyti griežtesnį reguliavimą“</w:t>
      </w:r>
      <w:r w:rsidR="002019E7" w:rsidRPr="007344EA">
        <w:rPr>
          <w:rStyle w:val="FootnoteReference"/>
        </w:rPr>
        <w:footnoteReference w:id="278"/>
      </w:r>
      <w:r w:rsidR="002C5FE8" w:rsidRPr="007344EA">
        <w:t>, taip pat „indikatyvus sąrašo pobūdis reiški</w:t>
      </w:r>
      <w:r w:rsidR="00621472" w:rsidRPr="007344EA">
        <w:t>a</w:t>
      </w:r>
      <w:r w:rsidR="002C5FE8" w:rsidRPr="007344EA">
        <w:t>, kad jame esančios sąlygos negali būti automa</w:t>
      </w:r>
      <w:r w:rsidR="00621472" w:rsidRPr="007344EA">
        <w:t>tiškai laikomos nesąžiningomis,</w:t>
      </w:r>
      <w:r w:rsidR="002C5FE8" w:rsidRPr="007344EA">
        <w:t xml:space="preserve"> tačiau nacionalinė institucija</w:t>
      </w:r>
      <w:r w:rsidR="00621472" w:rsidRPr="007344EA">
        <w:t>,</w:t>
      </w:r>
      <w:r w:rsidR="002C5FE8" w:rsidRPr="007344EA">
        <w:t xml:space="preserve"> atsižvelgdama į Direktyvos 3 straipsnio 1 dalį bei 4 straipsnį</w:t>
      </w:r>
      <w:r w:rsidR="00621472" w:rsidRPr="007344EA">
        <w:t>,</w:t>
      </w:r>
      <w:r w:rsidR="002C5FE8" w:rsidRPr="007344EA">
        <w:t xml:space="preserve"> gali konkrečią sąlygą pripažinti nesąžininga“</w:t>
      </w:r>
      <w:r w:rsidR="002C5FE8" w:rsidRPr="007344EA">
        <w:rPr>
          <w:rStyle w:val="FootnoteReference"/>
        </w:rPr>
        <w:footnoteReference w:id="279"/>
      </w:r>
      <w:r w:rsidR="00482F1B" w:rsidRPr="007344EA">
        <w:t xml:space="preserve">. </w:t>
      </w:r>
    </w:p>
    <w:p w:rsidR="00545D0E" w:rsidRPr="007344EA" w:rsidRDefault="00A77D7F" w:rsidP="006E00E1">
      <w:pPr>
        <w:pStyle w:val="Default"/>
        <w:spacing w:line="360" w:lineRule="auto"/>
        <w:jc w:val="both"/>
      </w:pPr>
      <w:r w:rsidRPr="007344EA">
        <w:tab/>
        <w:t>Esminė Teisingumo Teismo jurisprudencijoje nustatyta pareiga valstybėms narėms</w:t>
      </w:r>
      <w:r w:rsidR="003950F7" w:rsidRPr="007344EA">
        <w:t xml:space="preserve"> − </w:t>
      </w:r>
      <w:r w:rsidRPr="007344EA">
        <w:t xml:space="preserve"> </w:t>
      </w:r>
      <w:r w:rsidRPr="007344EA">
        <w:rPr>
          <w:i/>
        </w:rPr>
        <w:t>ex officio</w:t>
      </w:r>
      <w:r w:rsidRPr="007344EA">
        <w:t xml:space="preserve"> nustatyti sutarties, sudarytos tarp vartotojo ir pardavėjo ar tiekėjo </w:t>
      </w:r>
      <w:r w:rsidR="00FE56C4" w:rsidRPr="007344EA">
        <w:t xml:space="preserve">sąlygos nesąžiningumą. </w:t>
      </w:r>
      <w:r w:rsidR="00FE56C4" w:rsidRPr="007344EA">
        <w:rPr>
          <w:i/>
        </w:rPr>
        <w:t>Ex officio</w:t>
      </w:r>
      <w:r w:rsidR="00FE56C4" w:rsidRPr="007344EA">
        <w:t xml:space="preserve"> pareiga nustatyti sąlygos nesąžiningumą nėra </w:t>
      </w:r>
      <w:r w:rsidR="00FE56C4" w:rsidRPr="007344EA">
        <w:rPr>
          <w:i/>
        </w:rPr>
        <w:t>expressis verbis</w:t>
      </w:r>
      <w:r w:rsidR="00FE56C4" w:rsidRPr="007344EA">
        <w:t xml:space="preserve"> įtvirtinta Direktyvos </w:t>
      </w:r>
      <w:r w:rsidR="00FE56C4" w:rsidRPr="007344EA">
        <w:rPr>
          <w:lang w:val="en-US"/>
        </w:rPr>
        <w:t xml:space="preserve">93/13 </w:t>
      </w:r>
      <w:r w:rsidR="00FE56C4" w:rsidRPr="007344EA">
        <w:t xml:space="preserve"> tekste – tai Teisingumo Teismo praktikoje įvesta kategorija, dėl kurios turinio ir taikymo nacionaliniams teismams kilo daugiausiai </w:t>
      </w:r>
      <w:r w:rsidR="00A90853" w:rsidRPr="007344EA">
        <w:t xml:space="preserve">abejonių ir problemų − priimti net </w:t>
      </w:r>
      <w:r w:rsidR="00A90853" w:rsidRPr="007344EA">
        <w:rPr>
          <w:lang w:val="en-US"/>
        </w:rPr>
        <w:t xml:space="preserve">8 prejudiciniai sprendimai, </w:t>
      </w:r>
      <w:r w:rsidR="00A90853" w:rsidRPr="007344EA">
        <w:t xml:space="preserve">susiję su </w:t>
      </w:r>
      <w:r w:rsidR="00A90853" w:rsidRPr="007344EA">
        <w:rPr>
          <w:i/>
        </w:rPr>
        <w:t>ex officio</w:t>
      </w:r>
      <w:r w:rsidR="00A90853" w:rsidRPr="007344EA">
        <w:t xml:space="preserve"> pareiga nustatyti sąlygos</w:t>
      </w:r>
      <w:r w:rsidR="007A76CA" w:rsidRPr="007344EA">
        <w:t xml:space="preserve"> nesąžiningumą.</w:t>
      </w:r>
      <w:r w:rsidR="00A90853" w:rsidRPr="007344EA">
        <w:t xml:space="preserve"> Kitos pareigos valstybėms narėms kyla iš </w:t>
      </w:r>
      <w:r w:rsidR="007A76CA" w:rsidRPr="007344EA">
        <w:t xml:space="preserve">įsipareigojimų nevykdymo procesuose priimtų sprendimų, kuriuose Teisingumo Teismas įpareigojo valstybes nares tinkamai perkelti tam tikras Direktyvos </w:t>
      </w:r>
      <w:r w:rsidR="007A76CA" w:rsidRPr="007344EA">
        <w:rPr>
          <w:lang w:val="en-US"/>
        </w:rPr>
        <w:t>93/13 nuostatas</w:t>
      </w:r>
      <w:r w:rsidR="00855ACD" w:rsidRPr="007344EA">
        <w:rPr>
          <w:lang w:val="en-US"/>
        </w:rPr>
        <w:t xml:space="preserve">. </w:t>
      </w:r>
      <w:proofErr w:type="gramStart"/>
      <w:r w:rsidR="00855ACD" w:rsidRPr="007344EA">
        <w:rPr>
          <w:lang w:val="en-US"/>
        </w:rPr>
        <w:t>D</w:t>
      </w:r>
      <w:r w:rsidR="007A76CA" w:rsidRPr="007344EA">
        <w:rPr>
          <w:lang w:val="en-US"/>
        </w:rPr>
        <w:t>ažniausiai valstybės narės netinkamai perkėlė</w:t>
      </w:r>
      <w:r w:rsidR="007A76CA" w:rsidRPr="007344EA">
        <w:t xml:space="preserve"> </w:t>
      </w:r>
      <w:r w:rsidR="002E7CDD" w:rsidRPr="007344EA">
        <w:rPr>
          <w:i/>
        </w:rPr>
        <w:t>contra proferentem</w:t>
      </w:r>
      <w:r w:rsidR="007A76CA" w:rsidRPr="007344EA">
        <w:t xml:space="preserve"> taisyklę.</w:t>
      </w:r>
      <w:proofErr w:type="gramEnd"/>
      <w:r w:rsidR="007A76CA" w:rsidRPr="007344EA">
        <w:t xml:space="preserve"> </w:t>
      </w:r>
      <w:r w:rsidR="008C5578" w:rsidRPr="007344EA">
        <w:t xml:space="preserve">Manytina, kad atsižvelgiant į sprendimus </w:t>
      </w:r>
      <w:r w:rsidR="008C5578" w:rsidRPr="007344EA">
        <w:rPr>
          <w:i/>
        </w:rPr>
        <w:t>Komisija prieš Nyderlandus</w:t>
      </w:r>
      <w:r w:rsidR="008C5578" w:rsidRPr="007344EA">
        <w:t xml:space="preserve"> bei </w:t>
      </w:r>
      <w:r w:rsidR="008C5578" w:rsidRPr="007344EA">
        <w:rPr>
          <w:i/>
        </w:rPr>
        <w:t>Komisija prieš Italiją</w:t>
      </w:r>
      <w:r w:rsidR="00500B1F" w:rsidRPr="007344EA">
        <w:t>,</w:t>
      </w:r>
      <w:r w:rsidR="008C5578" w:rsidRPr="007344EA">
        <w:t xml:space="preserve"> Lietuvos įstatymų leidėjas  papildė LR CK 6.188 straipsnį įtraukdamas 7 dalį</w:t>
      </w:r>
      <w:r w:rsidR="008650AE" w:rsidRPr="007344EA">
        <w:t xml:space="preserve">, pagal kurią „bet kuri vartojimo sutarties rašytinė sąlyga turi būti išreikšta aiškiai ir </w:t>
      </w:r>
      <w:r w:rsidR="008650AE" w:rsidRPr="007344EA">
        <w:lastRenderedPageBreak/>
        <w:t>suprantamai. Jei kyla abejonių dėl sutarties sąlygų,  taikoma šio kodekso 6.193 straipsnio 4 dalyje  nustatyta sutarčių   aiškinimo   taisyklė.  Ši  taisyklė  nėra  taikoma kolektyvinio  vartotojų  interesų  gynimo atveju,  kai  siekiama parengtas  standartines sutarčių sąlygas uždrausti tolesniam   jų naudojimui“</w:t>
      </w:r>
    </w:p>
    <w:p w:rsidR="00500B1F" w:rsidRPr="007344EA" w:rsidRDefault="00500B1F" w:rsidP="006E00E1">
      <w:pPr>
        <w:pStyle w:val="Default"/>
        <w:spacing w:line="360" w:lineRule="auto"/>
        <w:jc w:val="both"/>
      </w:pPr>
    </w:p>
    <w:p w:rsidR="00500B1F" w:rsidRDefault="00500B1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Default="00795C8F" w:rsidP="006E00E1">
      <w:pPr>
        <w:pStyle w:val="Default"/>
        <w:spacing w:line="360" w:lineRule="auto"/>
        <w:jc w:val="both"/>
      </w:pPr>
    </w:p>
    <w:p w:rsidR="00795C8F" w:rsidRPr="007344EA" w:rsidRDefault="00795C8F" w:rsidP="006E00E1">
      <w:pPr>
        <w:pStyle w:val="Default"/>
        <w:spacing w:line="360" w:lineRule="auto"/>
        <w:jc w:val="both"/>
      </w:pPr>
    </w:p>
    <w:p w:rsidR="007344EA" w:rsidRPr="007344EA" w:rsidRDefault="007344EA" w:rsidP="006E00E1">
      <w:pPr>
        <w:pStyle w:val="Default"/>
        <w:spacing w:line="360" w:lineRule="auto"/>
        <w:jc w:val="both"/>
      </w:pPr>
    </w:p>
    <w:p w:rsidR="00824547" w:rsidRPr="007344EA" w:rsidRDefault="003D0B3E" w:rsidP="00500B1F">
      <w:pPr>
        <w:pStyle w:val="Heading1"/>
        <w:rPr>
          <w:rFonts w:ascii="Times New Roman" w:hAnsi="Times New Roman" w:cs="Times New Roman"/>
          <w:color w:val="auto"/>
          <w:sz w:val="24"/>
          <w:szCs w:val="24"/>
        </w:rPr>
      </w:pPr>
      <w:bookmarkStart w:id="22" w:name="_Toc344337170"/>
      <w:r w:rsidRPr="007344EA">
        <w:rPr>
          <w:rFonts w:ascii="Times New Roman" w:hAnsi="Times New Roman" w:cs="Times New Roman"/>
          <w:color w:val="auto"/>
          <w:sz w:val="24"/>
          <w:szCs w:val="24"/>
        </w:rPr>
        <w:lastRenderedPageBreak/>
        <w:t>Išvados</w:t>
      </w:r>
      <w:r w:rsidR="00CA0B76" w:rsidRPr="007344EA">
        <w:rPr>
          <w:rFonts w:ascii="Times New Roman" w:hAnsi="Times New Roman" w:cs="Times New Roman"/>
          <w:color w:val="auto"/>
          <w:sz w:val="24"/>
          <w:szCs w:val="24"/>
        </w:rPr>
        <w:t>, pasiūlymai</w:t>
      </w:r>
      <w:bookmarkEnd w:id="22"/>
    </w:p>
    <w:p w:rsidR="00A4007A" w:rsidRPr="007344EA" w:rsidRDefault="00A4007A" w:rsidP="00500B1F">
      <w:pPr>
        <w:spacing w:after="0"/>
        <w:rPr>
          <w:sz w:val="24"/>
          <w:szCs w:val="24"/>
        </w:rPr>
      </w:pPr>
    </w:p>
    <w:p w:rsidR="00500B1F" w:rsidRPr="007344EA" w:rsidRDefault="00500B1F" w:rsidP="00500B1F">
      <w:p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rPr>
        <w:t xml:space="preserve">1. Nesąžiningų sąlygų reglamentavimas Europoje buvo žinomas dar iki įsigaliojant Direktyvai 93/13. Tačiau nesąžiningas sąlygas Sąjungos mastu reglamentuojantį teisės aktą pavyko priimti tik suderinus vokiškąjį ir prancūziškąjį modelius. Pagal pateiktus direktyvos projektus, skirtingai nei dabar galiojančioje Direktyvoje 93/13, vartotoju buvo siekiama pripažinti ir juridinį asmenį, taip pat tikrinti tiek individualiai aptartų, tiek neaptartų sutarties sąlygų sąžiningumą. Direktyvoje 93/13 </w:t>
      </w:r>
      <w:r w:rsidRPr="007344EA">
        <w:rPr>
          <w:rFonts w:ascii="Times New Roman" w:hAnsi="Times New Roman" w:cs="Times New Roman"/>
          <w:i/>
          <w:sz w:val="24"/>
          <w:szCs w:val="24"/>
        </w:rPr>
        <w:t>expressis verbis</w:t>
      </w:r>
      <w:r w:rsidRPr="007344EA">
        <w:rPr>
          <w:rFonts w:ascii="Times New Roman" w:hAnsi="Times New Roman" w:cs="Times New Roman"/>
          <w:sz w:val="24"/>
          <w:szCs w:val="24"/>
        </w:rPr>
        <w:t xml:space="preserve"> įtvirtinti šie teisinio reguliavimo tikslai: vidaus rinkos sukūrimas, vartotojo apsauga ir sąžiningo verslininko apsauga. Galima teigti, kad ES vartotojų teisė yra „pamatas“ bendrosios Sąjungos privatinės teisės harmonizavimui ar net unifikavimui, o Direktyva 93/13 dėl visaapimančio pobūdžio bei neabejotinos įtakos valstybių narių sutarčių teisei – „kertinis šio pamato akmuo“. Direktyva 93/13 suformuotas nesąžiningų sąlygų reguliavimas perkeltas ir į šiuos aktus: Europos sutarčių teisės principai (PECL),  Bendrosios pagrindų sistemos projektas (DCFR), Komisijos pasiūlymas dėl bendrosios Europos pirkimo − pardavimo sutarčių teisės (CESL).</w:t>
      </w:r>
    </w:p>
    <w:p w:rsidR="00500B1F" w:rsidRPr="007344EA" w:rsidRDefault="00500B1F" w:rsidP="00500B1F">
      <w:p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rPr>
        <w:t>2. Magistro baigiamojo darbo rašymo metu buvo priimta 19 Teisingumo Teismo sprendimų, aiškinančių Direktyvos 93/13 nuostatas. Nacionaliniams teismams daugiausiai neaiškumų kelia galimybė savo iniciatyva (</w:t>
      </w:r>
      <w:r w:rsidRPr="007344EA">
        <w:rPr>
          <w:rFonts w:ascii="Times New Roman" w:hAnsi="Times New Roman" w:cs="Times New Roman"/>
          <w:i/>
          <w:sz w:val="24"/>
          <w:szCs w:val="24"/>
        </w:rPr>
        <w:t>ex officio</w:t>
      </w:r>
      <w:r w:rsidRPr="007344EA">
        <w:rPr>
          <w:rFonts w:ascii="Times New Roman" w:hAnsi="Times New Roman" w:cs="Times New Roman"/>
          <w:sz w:val="24"/>
          <w:szCs w:val="24"/>
        </w:rPr>
        <w:t xml:space="preserve">) pripažinti tam tikrą sutarties sąlygą nesąžininga. Taip pat klausimai dėl Direktyvos 93/13 taikymo </w:t>
      </w:r>
      <w:r w:rsidRPr="007344EA">
        <w:rPr>
          <w:rFonts w:ascii="Times New Roman" w:hAnsi="Times New Roman" w:cs="Times New Roman"/>
          <w:i/>
          <w:sz w:val="24"/>
          <w:szCs w:val="24"/>
        </w:rPr>
        <w:t>ratione materiae</w:t>
      </w:r>
      <w:r w:rsidR="00C53904">
        <w:rPr>
          <w:rFonts w:ascii="Times New Roman" w:hAnsi="Times New Roman" w:cs="Times New Roman"/>
          <w:sz w:val="24"/>
          <w:szCs w:val="24"/>
        </w:rPr>
        <w:t xml:space="preserve"> bei</w:t>
      </w:r>
      <w:r w:rsidRPr="007344EA">
        <w:rPr>
          <w:rFonts w:ascii="Times New Roman" w:hAnsi="Times New Roman" w:cs="Times New Roman"/>
          <w:sz w:val="24"/>
          <w:szCs w:val="24"/>
        </w:rPr>
        <w:t xml:space="preserve"> </w:t>
      </w:r>
      <w:r w:rsidRPr="007344EA">
        <w:rPr>
          <w:rFonts w:ascii="Times New Roman" w:hAnsi="Times New Roman" w:cs="Times New Roman"/>
          <w:i/>
          <w:sz w:val="24"/>
          <w:szCs w:val="24"/>
        </w:rPr>
        <w:t>ratione personae</w:t>
      </w:r>
      <w:r w:rsidR="00C53904">
        <w:rPr>
          <w:rFonts w:ascii="Times New Roman" w:hAnsi="Times New Roman" w:cs="Times New Roman"/>
          <w:sz w:val="24"/>
          <w:szCs w:val="24"/>
        </w:rPr>
        <w:t xml:space="preserve"> a</w:t>
      </w:r>
      <w:r w:rsidRPr="007344EA">
        <w:rPr>
          <w:rFonts w:ascii="Times New Roman" w:hAnsi="Times New Roman" w:cs="Times New Roman"/>
          <w:sz w:val="24"/>
          <w:szCs w:val="24"/>
        </w:rPr>
        <w:t xml:space="preserve">tžvilgiais. Komisija valstybes nares kaltina neperkėlus ar netinkamai perkėlus Direktyvos 93/13 nuostatas susijusias su skaidrumo principu (5 straipsnis), Direktyvos 93/13 4 straipsnio 2 dalyje įtvirtintą taikymo išimtį, kuria sąlygų, susijusių su pagrindinio sutarties dalyku ar kainos adekvatumu, sąžiningumas nėra vertinamas, </w:t>
      </w:r>
      <w:r w:rsidRPr="007344EA">
        <w:rPr>
          <w:rFonts w:ascii="Times New Roman" w:hAnsi="Times New Roman" w:cs="Times New Roman"/>
          <w:i/>
          <w:sz w:val="24"/>
          <w:szCs w:val="24"/>
        </w:rPr>
        <w:t>contra proferentum</w:t>
      </w:r>
      <w:r w:rsidRPr="007344EA">
        <w:rPr>
          <w:rFonts w:ascii="Times New Roman" w:hAnsi="Times New Roman" w:cs="Times New Roman"/>
          <w:sz w:val="24"/>
          <w:szCs w:val="24"/>
        </w:rPr>
        <w:t xml:space="preserve"> taisyklės taikymo išimtį (7 straipsnio 2 dalis) bei neperkėlusi Direktyvos 93/13 priede esančio pavyzdinio nesąžiningų sąlygų sąrašo.</w:t>
      </w:r>
    </w:p>
    <w:p w:rsidR="00500B1F" w:rsidRPr="007344EA" w:rsidRDefault="00500B1F" w:rsidP="00500B1F">
      <w:p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rPr>
        <w:t>3. Vartotojų apsaugos schema nuo nesąžiningų sąlygų taikymo, išplaukianti iš Teisingumo Teismo jurisprudencijos: dėl „</w:t>
      </w:r>
      <w:r w:rsidRPr="007344EA">
        <w:rPr>
          <w:rFonts w:ascii="Times New Roman" w:hAnsi="Times New Roman" w:cs="Times New Roman"/>
          <w:i/>
          <w:sz w:val="24"/>
          <w:szCs w:val="24"/>
        </w:rPr>
        <w:t>mažiau palankios vartotojo situacijos</w:t>
      </w:r>
      <w:r w:rsidRPr="007344EA">
        <w:rPr>
          <w:rFonts w:ascii="Times New Roman" w:hAnsi="Times New Roman" w:cs="Times New Roman"/>
          <w:sz w:val="24"/>
          <w:szCs w:val="24"/>
        </w:rPr>
        <w:t>“, kuri yra sąlygota informacijos stoka, galimybės derėtis nebuvimu,  būtina „</w:t>
      </w:r>
      <w:r w:rsidRPr="007344EA">
        <w:rPr>
          <w:rFonts w:ascii="Times New Roman" w:hAnsi="Times New Roman" w:cs="Times New Roman"/>
          <w:i/>
          <w:sz w:val="24"/>
          <w:szCs w:val="24"/>
        </w:rPr>
        <w:t>atkurti šalių lygybę</w:t>
      </w:r>
      <w:r w:rsidRPr="007344EA">
        <w:rPr>
          <w:rFonts w:ascii="Times New Roman" w:hAnsi="Times New Roman" w:cs="Times New Roman"/>
          <w:sz w:val="24"/>
          <w:szCs w:val="24"/>
        </w:rPr>
        <w:t>“, tai pasiekti galima „</w:t>
      </w:r>
      <w:r w:rsidRPr="007344EA">
        <w:rPr>
          <w:rFonts w:ascii="Times New Roman" w:hAnsi="Times New Roman" w:cs="Times New Roman"/>
          <w:i/>
          <w:sz w:val="24"/>
          <w:szCs w:val="24"/>
        </w:rPr>
        <w:t>tik pozityviais su sutartiniais santykiais nesusijusių subjektų veiksmais</w:t>
      </w:r>
      <w:r w:rsidRPr="007344EA">
        <w:rPr>
          <w:rFonts w:ascii="Times New Roman" w:hAnsi="Times New Roman" w:cs="Times New Roman"/>
          <w:sz w:val="24"/>
          <w:szCs w:val="24"/>
        </w:rPr>
        <w:t>“, minėtieji veiksmai turi pasižymėti „</w:t>
      </w:r>
      <w:r w:rsidRPr="007344EA">
        <w:rPr>
          <w:rFonts w:ascii="Times New Roman" w:hAnsi="Times New Roman" w:cs="Times New Roman"/>
          <w:i/>
          <w:sz w:val="24"/>
          <w:szCs w:val="24"/>
        </w:rPr>
        <w:t>atgrasomuoju poveikiu</w:t>
      </w:r>
      <w:r w:rsidRPr="007344EA">
        <w:rPr>
          <w:rFonts w:ascii="Times New Roman" w:hAnsi="Times New Roman" w:cs="Times New Roman"/>
          <w:sz w:val="24"/>
          <w:szCs w:val="24"/>
        </w:rPr>
        <w:t>“ nesąžiningų sąlygų prevencijai užtikrinti, o tai sąlygoja  „</w:t>
      </w:r>
      <w:r w:rsidRPr="007344EA">
        <w:rPr>
          <w:rFonts w:ascii="Times New Roman" w:hAnsi="Times New Roman" w:cs="Times New Roman"/>
          <w:i/>
          <w:sz w:val="24"/>
          <w:szCs w:val="24"/>
        </w:rPr>
        <w:t>gyvenimo kokybės kėlimą</w:t>
      </w:r>
      <w:r w:rsidRPr="007344EA">
        <w:rPr>
          <w:rFonts w:ascii="Times New Roman" w:hAnsi="Times New Roman" w:cs="Times New Roman"/>
          <w:sz w:val="24"/>
          <w:szCs w:val="24"/>
        </w:rPr>
        <w:t>“ Sąjungoje</w:t>
      </w:r>
      <w:r w:rsidR="00855ACD" w:rsidRPr="007344EA">
        <w:rPr>
          <w:rFonts w:ascii="Times New Roman" w:hAnsi="Times New Roman" w:cs="Times New Roman"/>
          <w:sz w:val="24"/>
          <w:szCs w:val="24"/>
        </w:rPr>
        <w:t>.</w:t>
      </w:r>
    </w:p>
    <w:p w:rsidR="00500B1F" w:rsidRPr="007344EA" w:rsidRDefault="00500B1F" w:rsidP="00500B1F">
      <w:p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lang w:val="en-US"/>
        </w:rPr>
        <w:t xml:space="preserve">4. </w:t>
      </w:r>
      <w:r w:rsidRPr="007344EA">
        <w:rPr>
          <w:rFonts w:ascii="Times New Roman" w:hAnsi="Times New Roman" w:cs="Times New Roman"/>
          <w:sz w:val="24"/>
          <w:szCs w:val="24"/>
        </w:rPr>
        <w:t>Pagal Teisingumo Teismo praktiką, aiškinant Direktyvos 9</w:t>
      </w:r>
      <w:r w:rsidRPr="007344EA">
        <w:rPr>
          <w:rFonts w:ascii="Times New Roman" w:hAnsi="Times New Roman" w:cs="Times New Roman"/>
          <w:sz w:val="24"/>
          <w:szCs w:val="24"/>
          <w:lang w:val="en-US"/>
        </w:rPr>
        <w:t>3/13,</w:t>
      </w:r>
      <w:r w:rsidRPr="007344EA">
        <w:rPr>
          <w:rFonts w:ascii="Times New Roman" w:hAnsi="Times New Roman" w:cs="Times New Roman"/>
          <w:sz w:val="24"/>
          <w:szCs w:val="24"/>
        </w:rPr>
        <w:t xml:space="preserve"> vartotoj</w:t>
      </w:r>
      <w:r w:rsidR="00855ACD" w:rsidRPr="007344EA">
        <w:rPr>
          <w:rFonts w:ascii="Times New Roman" w:hAnsi="Times New Roman" w:cs="Times New Roman"/>
          <w:sz w:val="24"/>
          <w:szCs w:val="24"/>
        </w:rPr>
        <w:t>u</w:t>
      </w:r>
      <w:r w:rsidRPr="007344EA">
        <w:rPr>
          <w:rFonts w:ascii="Times New Roman" w:hAnsi="Times New Roman" w:cs="Times New Roman"/>
          <w:sz w:val="24"/>
          <w:szCs w:val="24"/>
        </w:rPr>
        <w:t xml:space="preserve"> yra pripažįstamas tik fizinis asmuo. Tačiau dauguma Sąjungos valstybių narių tiek pozityviuoju metodu (būdu) − teisės aktuose, tiek negatyviuoju metodu − per teismų praktiką, vartotoju pripažįsta ir juridinį asmenį, ne išimtis ir Lietuva. </w:t>
      </w:r>
    </w:p>
    <w:p w:rsidR="00500B1F" w:rsidRPr="007344EA" w:rsidRDefault="00500B1F" w:rsidP="00500B1F">
      <w:p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rPr>
        <w:lastRenderedPageBreak/>
        <w:t>5. Skaitant Direktyvos 9</w:t>
      </w:r>
      <w:r w:rsidRPr="007344EA">
        <w:rPr>
          <w:rFonts w:ascii="Times New Roman" w:hAnsi="Times New Roman" w:cs="Times New Roman"/>
          <w:sz w:val="24"/>
          <w:szCs w:val="24"/>
          <w:lang w:val="en-US"/>
        </w:rPr>
        <w:t>3/13</w:t>
      </w:r>
      <w:r w:rsidRPr="007344EA">
        <w:rPr>
          <w:rFonts w:ascii="Times New Roman" w:hAnsi="Times New Roman" w:cs="Times New Roman"/>
          <w:sz w:val="24"/>
          <w:szCs w:val="24"/>
        </w:rPr>
        <w:t xml:space="preserve"> tekstą lietuvių ir anglų kalbinėmis redakcijomis prieinama prie išvados, jog ši direktyva taikoma tik toms sutartims, kurių objektas yra kilnojamasis daiktas</w:t>
      </w:r>
      <w:r w:rsidR="00855ACD" w:rsidRPr="007344EA">
        <w:rPr>
          <w:rFonts w:ascii="Times New Roman" w:hAnsi="Times New Roman" w:cs="Times New Roman"/>
          <w:sz w:val="24"/>
          <w:szCs w:val="24"/>
        </w:rPr>
        <w:t>.</w:t>
      </w:r>
      <w:r w:rsidRPr="007344EA">
        <w:rPr>
          <w:rFonts w:ascii="Times New Roman" w:hAnsi="Times New Roman" w:cs="Times New Roman"/>
          <w:sz w:val="24"/>
          <w:szCs w:val="24"/>
        </w:rPr>
        <w:t xml:space="preserve"> </w:t>
      </w:r>
      <w:r w:rsidR="00855ACD" w:rsidRPr="007344EA">
        <w:rPr>
          <w:rFonts w:ascii="Times New Roman" w:hAnsi="Times New Roman" w:cs="Times New Roman"/>
          <w:sz w:val="24"/>
          <w:szCs w:val="24"/>
        </w:rPr>
        <w:t>A</w:t>
      </w:r>
      <w:r w:rsidRPr="007344EA">
        <w:rPr>
          <w:rFonts w:ascii="Times New Roman" w:hAnsi="Times New Roman" w:cs="Times New Roman"/>
          <w:sz w:val="24"/>
          <w:szCs w:val="24"/>
        </w:rPr>
        <w:t xml:space="preserve">nalogiška išvada pateikiama ir Vartotojų teisių kompendiume. Tačiau pagal Direktyvos tekstą </w:t>
      </w:r>
      <w:r w:rsidRPr="007344EA">
        <w:rPr>
          <w:rFonts w:ascii="Times New Roman" w:hAnsi="Times New Roman" w:cs="Times New Roman"/>
          <w:sz w:val="24"/>
          <w:szCs w:val="24"/>
          <w:lang w:val="en-US"/>
        </w:rPr>
        <w:t>93/13</w:t>
      </w:r>
      <w:r w:rsidRPr="007344EA">
        <w:rPr>
          <w:rFonts w:ascii="Times New Roman" w:hAnsi="Times New Roman" w:cs="Times New Roman"/>
          <w:sz w:val="24"/>
          <w:szCs w:val="24"/>
        </w:rPr>
        <w:t xml:space="preserve"> prancūzų kalbine redakcija, jos taikymo sritis apim</w:t>
      </w:r>
      <w:r w:rsidR="00815565">
        <w:rPr>
          <w:rFonts w:ascii="Times New Roman" w:hAnsi="Times New Roman" w:cs="Times New Roman"/>
          <w:sz w:val="24"/>
          <w:szCs w:val="24"/>
        </w:rPr>
        <w:t xml:space="preserve">a ir sutartis, kurių objektas yra </w:t>
      </w:r>
      <w:r w:rsidRPr="007344EA">
        <w:rPr>
          <w:rFonts w:ascii="Times New Roman" w:hAnsi="Times New Roman" w:cs="Times New Roman"/>
          <w:sz w:val="24"/>
          <w:szCs w:val="24"/>
        </w:rPr>
        <w:t>nekilnojama</w:t>
      </w:r>
      <w:r w:rsidR="00855ACD" w:rsidRPr="007344EA">
        <w:rPr>
          <w:rFonts w:ascii="Times New Roman" w:hAnsi="Times New Roman" w:cs="Times New Roman"/>
          <w:sz w:val="24"/>
          <w:szCs w:val="24"/>
        </w:rPr>
        <w:t>s</w:t>
      </w:r>
      <w:r w:rsidRPr="007344EA">
        <w:rPr>
          <w:rFonts w:ascii="Times New Roman" w:hAnsi="Times New Roman" w:cs="Times New Roman"/>
          <w:sz w:val="24"/>
          <w:szCs w:val="24"/>
        </w:rPr>
        <w:t xml:space="preserve">is daiktas. Tai, kad Direktyva </w:t>
      </w:r>
      <w:r w:rsidRPr="007344EA">
        <w:rPr>
          <w:rFonts w:ascii="Times New Roman" w:hAnsi="Times New Roman" w:cs="Times New Roman"/>
          <w:sz w:val="24"/>
          <w:szCs w:val="24"/>
          <w:lang w:val="en-US"/>
        </w:rPr>
        <w:t>93/13 taikoma i</w:t>
      </w:r>
      <w:r w:rsidRPr="007344EA">
        <w:rPr>
          <w:rFonts w:ascii="Times New Roman" w:hAnsi="Times New Roman" w:cs="Times New Roman"/>
          <w:sz w:val="24"/>
          <w:szCs w:val="24"/>
        </w:rPr>
        <w:t>r nekilnojamie</w:t>
      </w:r>
      <w:r w:rsidR="00855ACD" w:rsidRPr="007344EA">
        <w:rPr>
          <w:rFonts w:ascii="Times New Roman" w:hAnsi="Times New Roman" w:cs="Times New Roman"/>
          <w:sz w:val="24"/>
          <w:szCs w:val="24"/>
        </w:rPr>
        <w:t>sie</w:t>
      </w:r>
      <w:r w:rsidRPr="007344EA">
        <w:rPr>
          <w:rFonts w:ascii="Times New Roman" w:hAnsi="Times New Roman" w:cs="Times New Roman"/>
          <w:sz w:val="24"/>
          <w:szCs w:val="24"/>
        </w:rPr>
        <w:t xml:space="preserve">ms daiktams, nepaneigia ir Teisingumo Teismo sprendimas byloje </w:t>
      </w:r>
      <w:r w:rsidRPr="007344EA">
        <w:rPr>
          <w:rFonts w:ascii="Times New Roman" w:hAnsi="Times New Roman" w:cs="Times New Roman"/>
          <w:i/>
          <w:sz w:val="24"/>
          <w:szCs w:val="24"/>
        </w:rPr>
        <w:t>Freiburger</w:t>
      </w:r>
      <w:r w:rsidRPr="007344EA">
        <w:rPr>
          <w:rFonts w:ascii="Times New Roman" w:hAnsi="Times New Roman" w:cs="Times New Roman"/>
          <w:sz w:val="24"/>
          <w:szCs w:val="24"/>
        </w:rPr>
        <w:t xml:space="preserve"> bei teisės doktrina.</w:t>
      </w:r>
    </w:p>
    <w:p w:rsidR="00500B1F" w:rsidRPr="007344EA" w:rsidRDefault="00500B1F" w:rsidP="00500B1F">
      <w:pPr>
        <w:spacing w:after="0" w:line="360" w:lineRule="auto"/>
        <w:jc w:val="both"/>
        <w:rPr>
          <w:rFonts w:ascii="Times New Roman" w:hAnsi="Times New Roman" w:cs="Times New Roman"/>
          <w:sz w:val="24"/>
          <w:szCs w:val="24"/>
          <w:lang w:val="en-US"/>
        </w:rPr>
      </w:pPr>
      <w:r w:rsidRPr="007344EA">
        <w:rPr>
          <w:rFonts w:ascii="Times New Roman" w:hAnsi="Times New Roman" w:cs="Times New Roman"/>
          <w:sz w:val="24"/>
          <w:szCs w:val="24"/>
        </w:rPr>
        <w:t xml:space="preserve">6. Pasitvirtino šiame magistro baigiamajame darbe iškelta hipotezė, kad Teisingumo Teismas sprendimu </w:t>
      </w:r>
      <w:r w:rsidRPr="007344EA">
        <w:rPr>
          <w:rFonts w:ascii="Times New Roman" w:hAnsi="Times New Roman" w:cs="Times New Roman"/>
          <w:i/>
          <w:sz w:val="24"/>
          <w:szCs w:val="24"/>
        </w:rPr>
        <w:t>Caje de Madrid</w:t>
      </w:r>
      <w:r w:rsidRPr="007344EA">
        <w:rPr>
          <w:rFonts w:ascii="Times New Roman" w:hAnsi="Times New Roman" w:cs="Times New Roman"/>
          <w:sz w:val="24"/>
          <w:szCs w:val="24"/>
        </w:rPr>
        <w:t xml:space="preserve"> išplėtė vartotojų teisių apsaugos ribas, suteikdamas galimybę valstybėms narėms tikrinti sutarties sąlygas</w:t>
      </w:r>
      <w:r w:rsidR="008650AE" w:rsidRPr="007344EA">
        <w:rPr>
          <w:rFonts w:ascii="Times New Roman" w:hAnsi="Times New Roman" w:cs="Times New Roman"/>
          <w:sz w:val="24"/>
          <w:szCs w:val="24"/>
        </w:rPr>
        <w:t>,</w:t>
      </w:r>
      <w:r w:rsidRPr="007344EA">
        <w:rPr>
          <w:rFonts w:ascii="Times New Roman" w:hAnsi="Times New Roman" w:cs="Times New Roman"/>
          <w:sz w:val="24"/>
          <w:szCs w:val="24"/>
        </w:rPr>
        <w:t xml:space="preserve"> susijusias su pagrindiniu sutarties dalyku ir kainos adekvatumu, net ir tuomet, kai sąlygos buvo išreikštos aiškia bei suprantama kalba. </w:t>
      </w:r>
      <w:r w:rsidRPr="007344EA">
        <w:rPr>
          <w:rFonts w:ascii="Times New Roman" w:hAnsi="Times New Roman" w:cs="Times New Roman"/>
          <w:sz w:val="24"/>
          <w:szCs w:val="24"/>
          <w:lang w:val="en-US"/>
        </w:rPr>
        <w:t xml:space="preserve"> </w:t>
      </w:r>
    </w:p>
    <w:p w:rsidR="00500B1F" w:rsidRPr="007344EA" w:rsidRDefault="00500B1F" w:rsidP="00500B1F">
      <w:p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lang w:val="en-US"/>
        </w:rPr>
        <w:t xml:space="preserve">7. </w:t>
      </w:r>
      <w:r w:rsidR="00532BB0" w:rsidRPr="007344EA">
        <w:rPr>
          <w:rFonts w:ascii="Times New Roman" w:hAnsi="Times New Roman" w:cs="Times New Roman"/>
          <w:sz w:val="24"/>
          <w:szCs w:val="24"/>
        </w:rPr>
        <w:t>Iš gausios</w:t>
      </w:r>
      <w:r w:rsidRPr="007344EA">
        <w:rPr>
          <w:rFonts w:ascii="Times New Roman" w:hAnsi="Times New Roman" w:cs="Times New Roman"/>
          <w:sz w:val="24"/>
          <w:szCs w:val="24"/>
        </w:rPr>
        <w:t xml:space="preserve"> Teisingumo Teismo praktikos, formavusios kazuistinio pobūdžio </w:t>
      </w:r>
      <w:r w:rsidRPr="007344EA">
        <w:rPr>
          <w:rFonts w:ascii="Times New Roman" w:hAnsi="Times New Roman" w:cs="Times New Roman"/>
          <w:i/>
          <w:sz w:val="24"/>
          <w:szCs w:val="24"/>
        </w:rPr>
        <w:t>ex officio</w:t>
      </w:r>
      <w:r w:rsidRPr="007344EA">
        <w:rPr>
          <w:rFonts w:ascii="Times New Roman" w:hAnsi="Times New Roman" w:cs="Times New Roman"/>
          <w:sz w:val="24"/>
          <w:szCs w:val="24"/>
        </w:rPr>
        <w:t xml:space="preserve"> taikymo taisykles</w:t>
      </w:r>
      <w:r w:rsidR="008650AE" w:rsidRPr="007344EA">
        <w:rPr>
          <w:rFonts w:ascii="Times New Roman" w:hAnsi="Times New Roman" w:cs="Times New Roman"/>
          <w:sz w:val="24"/>
          <w:szCs w:val="24"/>
        </w:rPr>
        <w:t>,</w:t>
      </w:r>
      <w:r w:rsidRPr="007344EA">
        <w:rPr>
          <w:rFonts w:ascii="Times New Roman" w:hAnsi="Times New Roman" w:cs="Times New Roman"/>
          <w:sz w:val="24"/>
          <w:szCs w:val="24"/>
        </w:rPr>
        <w:t xml:space="preserve"> galime išvesti apibendrinančio pobūdžio taisyklę, dėl </w:t>
      </w:r>
      <w:r w:rsidRPr="007344EA">
        <w:rPr>
          <w:rFonts w:ascii="Times New Roman" w:hAnsi="Times New Roman" w:cs="Times New Roman"/>
          <w:i/>
          <w:sz w:val="24"/>
          <w:szCs w:val="24"/>
        </w:rPr>
        <w:t>ex officio</w:t>
      </w:r>
      <w:r w:rsidRPr="007344EA">
        <w:rPr>
          <w:rFonts w:ascii="Times New Roman" w:hAnsi="Times New Roman" w:cs="Times New Roman"/>
          <w:sz w:val="24"/>
          <w:szCs w:val="24"/>
        </w:rPr>
        <w:t xml:space="preserve"> teisės taikymo Direktyvos 93/13 kontekste. </w:t>
      </w:r>
      <w:r w:rsidRPr="007344EA">
        <w:rPr>
          <w:rFonts w:ascii="Times New Roman" w:hAnsi="Times New Roman" w:cs="Times New Roman"/>
          <w:i/>
          <w:sz w:val="24"/>
          <w:szCs w:val="24"/>
        </w:rPr>
        <w:t>Ex officio</w:t>
      </w:r>
      <w:r w:rsidRPr="007344EA">
        <w:rPr>
          <w:rFonts w:ascii="Times New Roman" w:hAnsi="Times New Roman" w:cs="Times New Roman"/>
          <w:sz w:val="24"/>
          <w:szCs w:val="24"/>
        </w:rPr>
        <w:t xml:space="preserve"> tai nacionalinio teismo pareiga (</w:t>
      </w:r>
      <w:r w:rsidRPr="007344EA">
        <w:rPr>
          <w:rFonts w:ascii="Times New Roman" w:hAnsi="Times New Roman" w:cs="Times New Roman"/>
          <w:i/>
          <w:sz w:val="24"/>
          <w:szCs w:val="24"/>
        </w:rPr>
        <w:t>Pannon</w:t>
      </w:r>
      <w:r w:rsidRPr="007344EA">
        <w:rPr>
          <w:rFonts w:ascii="Times New Roman" w:hAnsi="Times New Roman" w:cs="Times New Roman"/>
          <w:sz w:val="24"/>
          <w:szCs w:val="24"/>
        </w:rPr>
        <w:t>) savo iniciatyva, nepriklausomai nuo vartotojo aktyvumo (</w:t>
      </w:r>
      <w:r w:rsidRPr="007344EA">
        <w:rPr>
          <w:rFonts w:ascii="Times New Roman" w:hAnsi="Times New Roman" w:cs="Times New Roman"/>
          <w:i/>
          <w:sz w:val="24"/>
          <w:szCs w:val="24"/>
        </w:rPr>
        <w:t>Asturcom</w:t>
      </w:r>
      <w:r w:rsidRPr="007344EA">
        <w:rPr>
          <w:rFonts w:ascii="Times New Roman" w:hAnsi="Times New Roman" w:cs="Times New Roman"/>
          <w:sz w:val="24"/>
          <w:szCs w:val="24"/>
        </w:rPr>
        <w:t>), nustatyti sutartyje, sudarytoje tarp vartotojo ir pardavėjo ar tiekėjo, esančią bet kokio pobūdžio (</w:t>
      </w:r>
      <w:r w:rsidRPr="007344EA">
        <w:rPr>
          <w:rFonts w:ascii="Times New Roman" w:hAnsi="Times New Roman" w:cs="Times New Roman"/>
          <w:i/>
          <w:sz w:val="24"/>
          <w:szCs w:val="24"/>
        </w:rPr>
        <w:t>Pohotovost</w:t>
      </w:r>
      <w:r w:rsidRPr="007344EA">
        <w:rPr>
          <w:rFonts w:ascii="Times New Roman" w:hAnsi="Times New Roman" w:cs="Times New Roman"/>
          <w:sz w:val="24"/>
          <w:szCs w:val="24"/>
        </w:rPr>
        <w:t xml:space="preserve">) nesąžiningą sąlygą, tiek ginčo, tiek neginčo teisenoje ar sumarinio proceso metu </w:t>
      </w:r>
      <w:r w:rsidRPr="007344EA">
        <w:rPr>
          <w:rFonts w:ascii="Times New Roman" w:hAnsi="Times New Roman" w:cs="Times New Roman"/>
          <w:i/>
          <w:sz w:val="24"/>
          <w:szCs w:val="24"/>
        </w:rPr>
        <w:t xml:space="preserve">in limine litis </w:t>
      </w:r>
      <w:r w:rsidRPr="007344EA">
        <w:rPr>
          <w:rFonts w:ascii="Times New Roman" w:hAnsi="Times New Roman" w:cs="Times New Roman"/>
          <w:sz w:val="24"/>
          <w:szCs w:val="24"/>
        </w:rPr>
        <w:t>(</w:t>
      </w:r>
      <w:r w:rsidRPr="007344EA">
        <w:rPr>
          <w:rFonts w:ascii="Times New Roman" w:hAnsi="Times New Roman" w:cs="Times New Roman"/>
          <w:i/>
          <w:sz w:val="24"/>
          <w:szCs w:val="24"/>
        </w:rPr>
        <w:t>Banco</w:t>
      </w:r>
      <w:r w:rsidRPr="007344EA">
        <w:rPr>
          <w:rFonts w:ascii="Times New Roman" w:hAnsi="Times New Roman" w:cs="Times New Roman"/>
          <w:sz w:val="24"/>
          <w:szCs w:val="24"/>
        </w:rPr>
        <w:t>) ar bet kurioje kitoje proceso stadijoje taip pat ir pirminio bylos įvertinimo metu − iki bylos iškėlimo, jei sutartinį teismingumą nustatanti sąlyga yra galimai nesąžininga (</w:t>
      </w:r>
      <w:r w:rsidRPr="007344EA">
        <w:rPr>
          <w:rFonts w:ascii="Times New Roman" w:hAnsi="Times New Roman" w:cs="Times New Roman"/>
          <w:i/>
          <w:sz w:val="24"/>
          <w:szCs w:val="24"/>
        </w:rPr>
        <w:t>Oceano</w:t>
      </w:r>
      <w:r w:rsidRPr="007344EA">
        <w:rPr>
          <w:rFonts w:ascii="Times New Roman" w:hAnsi="Times New Roman" w:cs="Times New Roman"/>
          <w:sz w:val="24"/>
          <w:szCs w:val="24"/>
        </w:rPr>
        <w:t>), kai tik teismui tampa žinomos tiek faktinės</w:t>
      </w:r>
      <w:r w:rsidR="008650AE" w:rsidRPr="007344EA">
        <w:rPr>
          <w:rFonts w:ascii="Times New Roman" w:hAnsi="Times New Roman" w:cs="Times New Roman"/>
          <w:sz w:val="24"/>
          <w:szCs w:val="24"/>
        </w:rPr>
        <w:t>,</w:t>
      </w:r>
      <w:r w:rsidRPr="007344EA">
        <w:rPr>
          <w:rFonts w:ascii="Times New Roman" w:hAnsi="Times New Roman" w:cs="Times New Roman"/>
          <w:sz w:val="24"/>
          <w:szCs w:val="24"/>
        </w:rPr>
        <w:t xml:space="preserve"> tiek teisinės aplinkybės (</w:t>
      </w:r>
      <w:r w:rsidRPr="007344EA">
        <w:rPr>
          <w:rFonts w:ascii="Times New Roman" w:hAnsi="Times New Roman" w:cs="Times New Roman"/>
          <w:i/>
          <w:sz w:val="24"/>
          <w:szCs w:val="24"/>
        </w:rPr>
        <w:t>Asturcom</w:t>
      </w:r>
      <w:r w:rsidRPr="007344EA">
        <w:rPr>
          <w:rFonts w:ascii="Times New Roman" w:hAnsi="Times New Roman" w:cs="Times New Roman"/>
          <w:sz w:val="24"/>
          <w:szCs w:val="24"/>
        </w:rPr>
        <w:t>) ir šios sąlygos netaikyti vartotojui (</w:t>
      </w:r>
      <w:r w:rsidRPr="007344EA">
        <w:rPr>
          <w:rFonts w:ascii="Times New Roman" w:hAnsi="Times New Roman" w:cs="Times New Roman"/>
          <w:i/>
          <w:sz w:val="24"/>
          <w:szCs w:val="24"/>
        </w:rPr>
        <w:t>Banco</w:t>
      </w:r>
      <w:r w:rsidRPr="007344EA">
        <w:rPr>
          <w:rFonts w:ascii="Times New Roman" w:hAnsi="Times New Roman" w:cs="Times New Roman"/>
          <w:sz w:val="24"/>
          <w:szCs w:val="24"/>
        </w:rPr>
        <w:t xml:space="preserve">). Nacionaliniam teismui suteikiama teisė panaikinti ir jau </w:t>
      </w:r>
      <w:r w:rsidRPr="007344EA">
        <w:rPr>
          <w:rFonts w:ascii="Times New Roman" w:hAnsi="Times New Roman" w:cs="Times New Roman"/>
          <w:i/>
          <w:sz w:val="24"/>
          <w:szCs w:val="24"/>
        </w:rPr>
        <w:t>res judicata</w:t>
      </w:r>
      <w:r w:rsidRPr="007344EA">
        <w:rPr>
          <w:rFonts w:ascii="Times New Roman" w:hAnsi="Times New Roman" w:cs="Times New Roman"/>
          <w:sz w:val="24"/>
          <w:szCs w:val="24"/>
        </w:rPr>
        <w:t xml:space="preserve"> galią įgijusį arbitražo sprendimą, jei arbitražinę išlygą nustatanti sąlyga buvo nesąžininga (</w:t>
      </w:r>
      <w:r w:rsidRPr="007344EA">
        <w:rPr>
          <w:rFonts w:ascii="Times New Roman" w:hAnsi="Times New Roman" w:cs="Times New Roman"/>
          <w:i/>
          <w:sz w:val="24"/>
          <w:szCs w:val="24"/>
        </w:rPr>
        <w:t>Asturcom</w:t>
      </w:r>
      <w:r w:rsidR="00C53904">
        <w:rPr>
          <w:rFonts w:ascii="Times New Roman" w:hAnsi="Times New Roman" w:cs="Times New Roman"/>
          <w:sz w:val="24"/>
          <w:szCs w:val="24"/>
        </w:rPr>
        <w:t>).</w:t>
      </w:r>
      <w:r w:rsidRPr="007344EA">
        <w:rPr>
          <w:rFonts w:ascii="Times New Roman" w:hAnsi="Times New Roman" w:cs="Times New Roman"/>
          <w:sz w:val="24"/>
          <w:szCs w:val="24"/>
        </w:rPr>
        <w:t xml:space="preserve"> </w:t>
      </w:r>
      <w:r w:rsidR="00C53904">
        <w:rPr>
          <w:rFonts w:ascii="Times New Roman" w:hAnsi="Times New Roman" w:cs="Times New Roman"/>
          <w:sz w:val="24"/>
          <w:szCs w:val="24"/>
        </w:rPr>
        <w:t>Pa</w:t>
      </w:r>
      <w:r w:rsidRPr="007344EA">
        <w:rPr>
          <w:rFonts w:ascii="Times New Roman" w:hAnsi="Times New Roman" w:cs="Times New Roman"/>
          <w:sz w:val="24"/>
          <w:szCs w:val="24"/>
        </w:rPr>
        <w:t>reiga nustatyti konkrečios sutarties sąlygos nesąžiningumą, negali būti ribojama jokiais terminais (</w:t>
      </w:r>
      <w:r w:rsidRPr="007344EA">
        <w:rPr>
          <w:rFonts w:ascii="Times New Roman" w:hAnsi="Times New Roman" w:cs="Times New Roman"/>
          <w:i/>
          <w:sz w:val="24"/>
          <w:szCs w:val="24"/>
        </w:rPr>
        <w:t>Cofidis</w:t>
      </w:r>
      <w:r w:rsidRPr="007344EA">
        <w:rPr>
          <w:rFonts w:ascii="Times New Roman" w:hAnsi="Times New Roman" w:cs="Times New Roman"/>
          <w:sz w:val="24"/>
          <w:szCs w:val="24"/>
        </w:rPr>
        <w:t>). Nesąžiningos sąlygos negalima pakeisti, vienintelė nesąžiningos sąlygos taikymo pasekmė − jos neprivalomumas vartotojui.</w:t>
      </w:r>
      <w:r w:rsidR="007C13ED">
        <w:rPr>
          <w:rFonts w:ascii="Times New Roman" w:hAnsi="Times New Roman" w:cs="Times New Roman"/>
          <w:sz w:val="24"/>
          <w:szCs w:val="24"/>
        </w:rPr>
        <w:t xml:space="preserve"> </w:t>
      </w:r>
      <w:r w:rsidRPr="007344EA">
        <w:rPr>
          <w:rFonts w:ascii="Times New Roman" w:hAnsi="Times New Roman" w:cs="Times New Roman"/>
          <w:sz w:val="24"/>
          <w:szCs w:val="24"/>
        </w:rPr>
        <w:t xml:space="preserve">Nacionalinis teismas tik vienu atveju gali atsisakyti </w:t>
      </w:r>
      <w:r w:rsidRPr="007344EA">
        <w:rPr>
          <w:rFonts w:ascii="Times New Roman" w:hAnsi="Times New Roman" w:cs="Times New Roman"/>
          <w:i/>
          <w:sz w:val="24"/>
          <w:szCs w:val="24"/>
        </w:rPr>
        <w:t>ex officio</w:t>
      </w:r>
      <w:r w:rsidRPr="007344EA">
        <w:rPr>
          <w:rFonts w:ascii="Times New Roman" w:hAnsi="Times New Roman" w:cs="Times New Roman"/>
          <w:sz w:val="24"/>
          <w:szCs w:val="24"/>
        </w:rPr>
        <w:t xml:space="preserve"> pareigos pripažinti sąlygą nesąžininga ir netaikyti iš to išplaukianči</w:t>
      </w:r>
      <w:r w:rsidR="008650AE" w:rsidRPr="007344EA">
        <w:rPr>
          <w:rFonts w:ascii="Times New Roman" w:hAnsi="Times New Roman" w:cs="Times New Roman"/>
          <w:sz w:val="24"/>
          <w:szCs w:val="24"/>
        </w:rPr>
        <w:t>o</w:t>
      </w:r>
      <w:r w:rsidRPr="007344EA">
        <w:rPr>
          <w:rFonts w:ascii="Times New Roman" w:hAnsi="Times New Roman" w:cs="Times New Roman"/>
          <w:sz w:val="24"/>
          <w:szCs w:val="24"/>
        </w:rPr>
        <w:t>s pasekmės − kai vartotojas nors ir žinodamas apie sąlygos nesąžiningumą, vis tiek pareiškia norą minėtą nesąžiningą sąlygą taikyti (</w:t>
      </w:r>
      <w:r w:rsidRPr="007344EA">
        <w:rPr>
          <w:rFonts w:ascii="Times New Roman" w:hAnsi="Times New Roman" w:cs="Times New Roman"/>
          <w:i/>
          <w:sz w:val="24"/>
          <w:szCs w:val="24"/>
        </w:rPr>
        <w:t>Pannon</w:t>
      </w:r>
      <w:r w:rsidRPr="007344EA">
        <w:rPr>
          <w:rFonts w:ascii="Times New Roman" w:hAnsi="Times New Roman" w:cs="Times New Roman"/>
          <w:sz w:val="24"/>
          <w:szCs w:val="24"/>
        </w:rPr>
        <w:t xml:space="preserve">). Numatytos dvi </w:t>
      </w:r>
      <w:r w:rsidRPr="007344EA">
        <w:rPr>
          <w:rFonts w:ascii="Times New Roman" w:hAnsi="Times New Roman" w:cs="Times New Roman"/>
          <w:i/>
          <w:sz w:val="24"/>
          <w:szCs w:val="24"/>
        </w:rPr>
        <w:t>ex officio</w:t>
      </w:r>
      <w:r w:rsidRPr="007344EA">
        <w:rPr>
          <w:rFonts w:ascii="Times New Roman" w:hAnsi="Times New Roman" w:cs="Times New Roman"/>
          <w:sz w:val="24"/>
          <w:szCs w:val="24"/>
        </w:rPr>
        <w:t xml:space="preserve"> pareigos įgyvendinimo stadijos: pirma, patikrinama ar konkrečios sutarties sąlygos patenka į Direktyvos 93/13 taikymo sritį, antra, nesąžiningumo įvertinimas − ar ši sąlyga sukelia ryškų teisių ir pareigų disbalansą vartotojo nenaudai (</w:t>
      </w:r>
      <w:r w:rsidRPr="007344EA">
        <w:rPr>
          <w:rFonts w:ascii="Times New Roman" w:hAnsi="Times New Roman" w:cs="Times New Roman"/>
          <w:bCs/>
          <w:i/>
          <w:sz w:val="24"/>
          <w:szCs w:val="24"/>
          <w:lang w:val="pt-PT"/>
        </w:rPr>
        <w:t>Pénzügyi</w:t>
      </w:r>
      <w:r w:rsidRPr="007344EA">
        <w:rPr>
          <w:rFonts w:ascii="Times New Roman" w:hAnsi="Times New Roman" w:cs="Times New Roman"/>
          <w:i/>
          <w:sz w:val="24"/>
          <w:szCs w:val="24"/>
        </w:rPr>
        <w:t xml:space="preserve"> Lizing</w:t>
      </w:r>
      <w:r w:rsidR="00C53904">
        <w:rPr>
          <w:rFonts w:ascii="Times New Roman" w:hAnsi="Times New Roman" w:cs="Times New Roman"/>
          <w:sz w:val="24"/>
          <w:szCs w:val="24"/>
        </w:rPr>
        <w:t>).</w:t>
      </w:r>
      <w:r w:rsidRPr="007344EA">
        <w:rPr>
          <w:rFonts w:ascii="Times New Roman" w:hAnsi="Times New Roman" w:cs="Times New Roman"/>
          <w:sz w:val="24"/>
          <w:szCs w:val="24"/>
        </w:rPr>
        <w:t xml:space="preserve"> </w:t>
      </w:r>
      <w:r w:rsidRPr="007344EA">
        <w:rPr>
          <w:rFonts w:ascii="Times New Roman" w:hAnsi="Times New Roman" w:cs="Times New Roman"/>
          <w:i/>
          <w:sz w:val="24"/>
          <w:szCs w:val="24"/>
        </w:rPr>
        <w:t xml:space="preserve">Inter alia </w:t>
      </w:r>
      <w:r w:rsidRPr="007344EA">
        <w:rPr>
          <w:rFonts w:ascii="Times New Roman" w:hAnsi="Times New Roman" w:cs="Times New Roman"/>
          <w:sz w:val="24"/>
          <w:szCs w:val="24"/>
        </w:rPr>
        <w:t xml:space="preserve">jei nacionalinė proceso teisė nesuteikia galimybės nacionaliniam teismui </w:t>
      </w:r>
      <w:r w:rsidRPr="007344EA">
        <w:rPr>
          <w:rFonts w:ascii="Times New Roman" w:hAnsi="Times New Roman" w:cs="Times New Roman"/>
          <w:i/>
          <w:sz w:val="24"/>
          <w:szCs w:val="24"/>
        </w:rPr>
        <w:t>ex officio</w:t>
      </w:r>
      <w:r w:rsidRPr="007344EA">
        <w:rPr>
          <w:rFonts w:ascii="Times New Roman" w:hAnsi="Times New Roman" w:cs="Times New Roman"/>
          <w:sz w:val="24"/>
          <w:szCs w:val="24"/>
        </w:rPr>
        <w:t xml:space="preserve"> įvertinti sąlygos nesąžiningumo, tai nacionalinė teisė turi būti i</w:t>
      </w:r>
      <w:r w:rsidR="007C13ED">
        <w:rPr>
          <w:rFonts w:ascii="Times New Roman" w:hAnsi="Times New Roman" w:cs="Times New Roman"/>
          <w:sz w:val="24"/>
          <w:szCs w:val="24"/>
        </w:rPr>
        <w:t>nterpretuojama Direktyvos 93/13</w:t>
      </w:r>
      <w:r w:rsidRPr="007344EA">
        <w:rPr>
          <w:rFonts w:ascii="Times New Roman" w:hAnsi="Times New Roman" w:cs="Times New Roman"/>
          <w:sz w:val="24"/>
          <w:szCs w:val="24"/>
        </w:rPr>
        <w:t xml:space="preserve"> šviesoje taip, kad toks </w:t>
      </w:r>
      <w:r w:rsidR="008650AE" w:rsidRPr="007344EA">
        <w:rPr>
          <w:rFonts w:ascii="Times New Roman" w:hAnsi="Times New Roman" w:cs="Times New Roman"/>
          <w:sz w:val="24"/>
          <w:szCs w:val="24"/>
        </w:rPr>
        <w:t>p</w:t>
      </w:r>
      <w:r w:rsidRPr="007344EA">
        <w:rPr>
          <w:rFonts w:ascii="Times New Roman" w:hAnsi="Times New Roman" w:cs="Times New Roman"/>
          <w:sz w:val="24"/>
          <w:szCs w:val="24"/>
        </w:rPr>
        <w:t>atikrinimas taptų įmanomas (</w:t>
      </w:r>
      <w:r w:rsidRPr="007344EA">
        <w:rPr>
          <w:rFonts w:ascii="Times New Roman" w:hAnsi="Times New Roman" w:cs="Times New Roman"/>
          <w:i/>
          <w:sz w:val="24"/>
          <w:szCs w:val="24"/>
        </w:rPr>
        <w:t>Oceano</w:t>
      </w:r>
      <w:r w:rsidRPr="007344EA">
        <w:rPr>
          <w:rFonts w:ascii="Times New Roman" w:hAnsi="Times New Roman" w:cs="Times New Roman"/>
          <w:sz w:val="24"/>
          <w:szCs w:val="24"/>
        </w:rPr>
        <w:t>), be kita ko, nacionalinė teisė turi atitikti lygiavertiškumo ir proporcingumo principus (</w:t>
      </w:r>
      <w:r w:rsidRPr="007344EA">
        <w:rPr>
          <w:rFonts w:ascii="Times New Roman" w:hAnsi="Times New Roman" w:cs="Times New Roman"/>
          <w:i/>
          <w:sz w:val="24"/>
          <w:szCs w:val="24"/>
        </w:rPr>
        <w:t>Claro</w:t>
      </w:r>
      <w:r w:rsidRPr="007344EA">
        <w:rPr>
          <w:rFonts w:ascii="Times New Roman" w:hAnsi="Times New Roman" w:cs="Times New Roman"/>
          <w:sz w:val="24"/>
          <w:szCs w:val="24"/>
        </w:rPr>
        <w:t xml:space="preserve">). </w:t>
      </w:r>
    </w:p>
    <w:p w:rsidR="00500B1F" w:rsidRPr="007344EA" w:rsidRDefault="00500B1F" w:rsidP="00500B1F">
      <w:p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lang w:val="en-US"/>
        </w:rPr>
        <w:t xml:space="preserve">8. </w:t>
      </w:r>
      <w:r w:rsidRPr="007344EA">
        <w:rPr>
          <w:rFonts w:ascii="Times New Roman" w:hAnsi="Times New Roman" w:cs="Times New Roman"/>
          <w:sz w:val="24"/>
          <w:szCs w:val="24"/>
        </w:rPr>
        <w:t xml:space="preserve">Manytina, kad atsižvelgiant į sprendimus </w:t>
      </w:r>
      <w:r w:rsidRPr="007344EA">
        <w:rPr>
          <w:rFonts w:ascii="Times New Roman" w:hAnsi="Times New Roman" w:cs="Times New Roman"/>
          <w:i/>
          <w:sz w:val="24"/>
          <w:szCs w:val="24"/>
        </w:rPr>
        <w:t>Komisija prieš Nyderlandus</w:t>
      </w:r>
      <w:r w:rsidRPr="007344EA">
        <w:rPr>
          <w:rFonts w:ascii="Times New Roman" w:hAnsi="Times New Roman" w:cs="Times New Roman"/>
          <w:sz w:val="24"/>
          <w:szCs w:val="24"/>
        </w:rPr>
        <w:t xml:space="preserve"> bei </w:t>
      </w:r>
      <w:r w:rsidRPr="007344EA">
        <w:rPr>
          <w:rFonts w:ascii="Times New Roman" w:hAnsi="Times New Roman" w:cs="Times New Roman"/>
          <w:i/>
          <w:sz w:val="24"/>
          <w:szCs w:val="24"/>
        </w:rPr>
        <w:t>Komisija prieš Italiją</w:t>
      </w:r>
      <w:r w:rsidR="008650AE" w:rsidRPr="007344EA">
        <w:rPr>
          <w:rFonts w:ascii="Times New Roman" w:hAnsi="Times New Roman" w:cs="Times New Roman"/>
          <w:sz w:val="24"/>
          <w:szCs w:val="24"/>
        </w:rPr>
        <w:t>, Lietuvos įstatymų leidėjas</w:t>
      </w:r>
      <w:r w:rsidRPr="007344EA">
        <w:rPr>
          <w:rFonts w:ascii="Times New Roman" w:hAnsi="Times New Roman" w:cs="Times New Roman"/>
          <w:sz w:val="24"/>
          <w:szCs w:val="24"/>
        </w:rPr>
        <w:t xml:space="preserve"> papildė LR CK 6.18</w:t>
      </w:r>
      <w:r w:rsidR="008650AE" w:rsidRPr="007344EA">
        <w:rPr>
          <w:rFonts w:ascii="Times New Roman" w:hAnsi="Times New Roman" w:cs="Times New Roman"/>
          <w:sz w:val="24"/>
          <w:szCs w:val="24"/>
        </w:rPr>
        <w:t xml:space="preserve">8 straipsnį įtraukdamas 7 </w:t>
      </w:r>
      <w:proofErr w:type="gramStart"/>
      <w:r w:rsidR="008650AE" w:rsidRPr="007344EA">
        <w:rPr>
          <w:rFonts w:ascii="Times New Roman" w:hAnsi="Times New Roman" w:cs="Times New Roman"/>
          <w:sz w:val="24"/>
          <w:szCs w:val="24"/>
        </w:rPr>
        <w:t>dalį</w:t>
      </w:r>
      <w:proofErr w:type="gramEnd"/>
      <w:r w:rsidR="008650AE" w:rsidRPr="007344EA">
        <w:rPr>
          <w:rFonts w:ascii="Times New Roman" w:hAnsi="Times New Roman" w:cs="Times New Roman"/>
          <w:sz w:val="24"/>
          <w:szCs w:val="24"/>
        </w:rPr>
        <w:t xml:space="preserve">, kurioje </w:t>
      </w:r>
      <w:r w:rsidR="008650AE" w:rsidRPr="007344EA">
        <w:rPr>
          <w:rFonts w:ascii="Times New Roman" w:hAnsi="Times New Roman" w:cs="Times New Roman"/>
          <w:sz w:val="24"/>
          <w:szCs w:val="24"/>
        </w:rPr>
        <w:lastRenderedPageBreak/>
        <w:t>teigiama: „bet kuri vartojimo sutarties rašytinė sąlyga turi   būti išreikšta aiškiai ir suprantamai. Jei kyla abejonių dėl sutarties sąlygų,  taikoma šio kodekso 6.193 straipsni</w:t>
      </w:r>
      <w:r w:rsidR="00AB6AA4" w:rsidRPr="007344EA">
        <w:rPr>
          <w:rFonts w:ascii="Times New Roman" w:hAnsi="Times New Roman" w:cs="Times New Roman"/>
          <w:sz w:val="24"/>
          <w:szCs w:val="24"/>
        </w:rPr>
        <w:t xml:space="preserve">o 4 dalyje  nustatyta sutarčių </w:t>
      </w:r>
      <w:r w:rsidR="008650AE" w:rsidRPr="007344EA">
        <w:rPr>
          <w:rFonts w:ascii="Times New Roman" w:hAnsi="Times New Roman" w:cs="Times New Roman"/>
          <w:sz w:val="24"/>
          <w:szCs w:val="24"/>
        </w:rPr>
        <w:t>aiški</w:t>
      </w:r>
      <w:r w:rsidR="00AB6AA4" w:rsidRPr="007344EA">
        <w:rPr>
          <w:rFonts w:ascii="Times New Roman" w:hAnsi="Times New Roman" w:cs="Times New Roman"/>
          <w:sz w:val="24"/>
          <w:szCs w:val="24"/>
        </w:rPr>
        <w:t xml:space="preserve">nimo taisyklė. Ši taisyklė nėra taikoma kolektyvinio </w:t>
      </w:r>
      <w:r w:rsidR="008650AE" w:rsidRPr="007344EA">
        <w:rPr>
          <w:rFonts w:ascii="Times New Roman" w:hAnsi="Times New Roman" w:cs="Times New Roman"/>
          <w:sz w:val="24"/>
          <w:szCs w:val="24"/>
        </w:rPr>
        <w:t>vart</w:t>
      </w:r>
      <w:r w:rsidR="00AB6AA4" w:rsidRPr="007344EA">
        <w:rPr>
          <w:rFonts w:ascii="Times New Roman" w:hAnsi="Times New Roman" w:cs="Times New Roman"/>
          <w:sz w:val="24"/>
          <w:szCs w:val="24"/>
        </w:rPr>
        <w:t xml:space="preserve">otojų  interesų  gynimo atveju, kai siekiama parengtas </w:t>
      </w:r>
      <w:r w:rsidR="008650AE" w:rsidRPr="007344EA">
        <w:rPr>
          <w:rFonts w:ascii="Times New Roman" w:hAnsi="Times New Roman" w:cs="Times New Roman"/>
          <w:sz w:val="24"/>
          <w:szCs w:val="24"/>
        </w:rPr>
        <w:t>standartines sutarč</w:t>
      </w:r>
      <w:r w:rsidR="00AB6AA4" w:rsidRPr="007344EA">
        <w:rPr>
          <w:rFonts w:ascii="Times New Roman" w:hAnsi="Times New Roman" w:cs="Times New Roman"/>
          <w:sz w:val="24"/>
          <w:szCs w:val="24"/>
        </w:rPr>
        <w:t xml:space="preserve">ių sąlygas uždrausti tolesniam </w:t>
      </w:r>
      <w:r w:rsidR="008650AE" w:rsidRPr="007344EA">
        <w:rPr>
          <w:rFonts w:ascii="Times New Roman" w:hAnsi="Times New Roman" w:cs="Times New Roman"/>
          <w:sz w:val="24"/>
          <w:szCs w:val="24"/>
        </w:rPr>
        <w:t xml:space="preserve"> jų naudojimui“</w:t>
      </w:r>
      <w:r w:rsidR="00AB6AA4" w:rsidRPr="007344EA">
        <w:rPr>
          <w:rFonts w:ascii="Times New Roman" w:hAnsi="Times New Roman" w:cs="Times New Roman"/>
          <w:sz w:val="24"/>
          <w:szCs w:val="24"/>
        </w:rPr>
        <w:t xml:space="preserve">. </w:t>
      </w:r>
    </w:p>
    <w:p w:rsidR="00CA0B76" w:rsidRPr="007344EA" w:rsidRDefault="00795C8F" w:rsidP="00CA0B76">
      <w:pPr>
        <w:pStyle w:val="Default"/>
        <w:spacing w:line="360" w:lineRule="auto"/>
        <w:jc w:val="both"/>
      </w:pPr>
      <w:r>
        <w:t>9. Manytina, kad S</w:t>
      </w:r>
      <w:r w:rsidR="00CA0B76" w:rsidRPr="007344EA">
        <w:t>ąjungos mastu</w:t>
      </w:r>
      <w:r w:rsidR="00260B83">
        <w:t xml:space="preserve"> reikėtų </w:t>
      </w:r>
      <w:r w:rsidR="00CA0B76" w:rsidRPr="007344EA">
        <w:t>aiškiai reglamentuoti ar Direktyva 93/13 suteikia apsaugą ir tuo atveju, kai sutarties objektas yra nekilnojamasis daiktas. Autoriaus nuomone, tokia apsauga turi būti suteikta. Kadangi Europos Sąjunga išeina vien tik iš ekonominės sąjungos ribų ir apsauga</w:t>
      </w:r>
      <w:r w:rsidR="00260B83">
        <w:t>,</w:t>
      </w:r>
      <w:r w:rsidR="00CA0B76" w:rsidRPr="007344EA">
        <w:t xml:space="preserve"> susieta </w:t>
      </w:r>
      <w:r w:rsidR="00260B83">
        <w:t xml:space="preserve">vien </w:t>
      </w:r>
      <w:r w:rsidR="00CA0B76" w:rsidRPr="007344EA">
        <w:t>tik su laisvu prekių ir paslaugų judėjimo užtikrinimu</w:t>
      </w:r>
      <w:r w:rsidR="00260B83">
        <w:t>,</w:t>
      </w:r>
      <w:r w:rsidR="00CA0B76" w:rsidRPr="007344EA">
        <w:t xml:space="preserve"> tampa nebepakankama. </w:t>
      </w:r>
    </w:p>
    <w:p w:rsidR="00CA0B76" w:rsidRPr="007344EA" w:rsidRDefault="00CA0B76" w:rsidP="00500B1F">
      <w:pPr>
        <w:spacing w:after="0" w:line="360" w:lineRule="auto"/>
        <w:jc w:val="both"/>
        <w:rPr>
          <w:rFonts w:ascii="Times New Roman" w:hAnsi="Times New Roman" w:cs="Times New Roman"/>
          <w:sz w:val="24"/>
          <w:szCs w:val="24"/>
        </w:rPr>
      </w:pPr>
    </w:p>
    <w:p w:rsidR="00500B1F" w:rsidRPr="007344EA" w:rsidRDefault="00500B1F" w:rsidP="00500B1F">
      <w:pPr>
        <w:spacing w:line="360" w:lineRule="auto"/>
        <w:ind w:left="360"/>
        <w:jc w:val="both"/>
        <w:rPr>
          <w:rFonts w:ascii="Times New Roman" w:hAnsi="Times New Roman" w:cs="Times New Roman"/>
          <w:sz w:val="24"/>
          <w:szCs w:val="24"/>
        </w:rPr>
      </w:pPr>
    </w:p>
    <w:p w:rsidR="00F22C1D" w:rsidRPr="007344EA" w:rsidRDefault="00F22C1D" w:rsidP="006E00E1">
      <w:pPr>
        <w:pStyle w:val="Default"/>
        <w:spacing w:line="360" w:lineRule="auto"/>
        <w:ind w:firstLine="1296"/>
        <w:jc w:val="both"/>
      </w:pPr>
    </w:p>
    <w:p w:rsidR="00405B39" w:rsidRPr="007344EA" w:rsidRDefault="00405B39" w:rsidP="00405B39">
      <w:pPr>
        <w:pStyle w:val="Default"/>
        <w:spacing w:line="360" w:lineRule="auto"/>
        <w:jc w:val="both"/>
      </w:pPr>
    </w:p>
    <w:p w:rsidR="00DC2ABF" w:rsidRPr="007344EA" w:rsidRDefault="00DC2ABF" w:rsidP="00405B39">
      <w:pPr>
        <w:pStyle w:val="Default"/>
        <w:spacing w:line="360" w:lineRule="auto"/>
        <w:jc w:val="both"/>
      </w:pPr>
    </w:p>
    <w:p w:rsidR="00DC2ABF" w:rsidRPr="007344EA" w:rsidRDefault="00DC2ABF" w:rsidP="00405B39">
      <w:pPr>
        <w:pStyle w:val="Default"/>
        <w:spacing w:line="360" w:lineRule="auto"/>
        <w:jc w:val="both"/>
      </w:pPr>
    </w:p>
    <w:p w:rsidR="00DC2ABF" w:rsidRPr="007344EA" w:rsidRDefault="00DC2ABF" w:rsidP="00405B39">
      <w:pPr>
        <w:pStyle w:val="Default"/>
        <w:spacing w:line="360" w:lineRule="auto"/>
        <w:jc w:val="both"/>
      </w:pPr>
    </w:p>
    <w:p w:rsidR="00DC2ABF" w:rsidRPr="007344EA" w:rsidRDefault="00DC2ABF" w:rsidP="00405B39">
      <w:pPr>
        <w:pStyle w:val="Default"/>
        <w:spacing w:line="360" w:lineRule="auto"/>
        <w:jc w:val="both"/>
      </w:pPr>
    </w:p>
    <w:p w:rsidR="00DC2ABF" w:rsidRPr="007344EA" w:rsidRDefault="00DC2ABF" w:rsidP="00405B39">
      <w:pPr>
        <w:pStyle w:val="Default"/>
        <w:spacing w:line="360" w:lineRule="auto"/>
        <w:jc w:val="both"/>
      </w:pPr>
    </w:p>
    <w:p w:rsidR="00DC2ABF" w:rsidRPr="007344EA" w:rsidRDefault="00DC2ABF" w:rsidP="00405B39">
      <w:pPr>
        <w:pStyle w:val="Default"/>
        <w:spacing w:line="360" w:lineRule="auto"/>
        <w:jc w:val="both"/>
      </w:pPr>
    </w:p>
    <w:p w:rsidR="00DC2ABF" w:rsidRPr="007344EA" w:rsidRDefault="00DC2ABF" w:rsidP="00405B39">
      <w:pPr>
        <w:pStyle w:val="Default"/>
        <w:spacing w:line="360" w:lineRule="auto"/>
        <w:jc w:val="both"/>
      </w:pPr>
    </w:p>
    <w:p w:rsidR="00DC2ABF" w:rsidRPr="007344EA" w:rsidRDefault="00DC2ABF" w:rsidP="00405B39">
      <w:pPr>
        <w:pStyle w:val="Default"/>
        <w:spacing w:line="360" w:lineRule="auto"/>
        <w:jc w:val="both"/>
      </w:pPr>
    </w:p>
    <w:p w:rsidR="00DC2ABF" w:rsidRPr="007344EA" w:rsidRDefault="00DC2ABF" w:rsidP="00405B39">
      <w:pPr>
        <w:pStyle w:val="Default"/>
        <w:spacing w:line="360" w:lineRule="auto"/>
        <w:jc w:val="both"/>
      </w:pPr>
    </w:p>
    <w:p w:rsidR="00DC2ABF" w:rsidRPr="007344EA" w:rsidRDefault="00DC2ABF" w:rsidP="00405B39">
      <w:pPr>
        <w:pStyle w:val="Default"/>
        <w:spacing w:line="360" w:lineRule="auto"/>
        <w:jc w:val="both"/>
      </w:pPr>
    </w:p>
    <w:p w:rsidR="00DC2ABF" w:rsidRPr="007344EA" w:rsidRDefault="00DC2ABF" w:rsidP="00405B39">
      <w:pPr>
        <w:pStyle w:val="Default"/>
        <w:spacing w:line="360" w:lineRule="auto"/>
        <w:jc w:val="both"/>
      </w:pPr>
    </w:p>
    <w:p w:rsidR="00405B39" w:rsidRPr="007344EA" w:rsidRDefault="00405B39" w:rsidP="00405B39">
      <w:pPr>
        <w:pStyle w:val="Default"/>
        <w:spacing w:line="360" w:lineRule="auto"/>
        <w:jc w:val="both"/>
      </w:pPr>
    </w:p>
    <w:p w:rsidR="00405B39" w:rsidRPr="007344EA" w:rsidRDefault="00405B39" w:rsidP="00405B39">
      <w:pPr>
        <w:pStyle w:val="Default"/>
        <w:spacing w:line="360" w:lineRule="auto"/>
        <w:jc w:val="both"/>
      </w:pPr>
    </w:p>
    <w:p w:rsidR="00405B39" w:rsidRPr="007344EA" w:rsidRDefault="00405B39" w:rsidP="00405B39">
      <w:pPr>
        <w:pStyle w:val="Default"/>
        <w:spacing w:line="360" w:lineRule="auto"/>
        <w:jc w:val="both"/>
      </w:pPr>
    </w:p>
    <w:p w:rsidR="009E5F9B" w:rsidRPr="007344EA" w:rsidRDefault="009E5F9B" w:rsidP="006E00E1">
      <w:pPr>
        <w:pStyle w:val="Default"/>
        <w:spacing w:line="360" w:lineRule="auto"/>
        <w:jc w:val="both"/>
      </w:pPr>
    </w:p>
    <w:p w:rsidR="00894D01" w:rsidRPr="007344EA" w:rsidRDefault="00894D01" w:rsidP="006E00E1">
      <w:pPr>
        <w:pStyle w:val="Default"/>
        <w:spacing w:line="360" w:lineRule="auto"/>
        <w:jc w:val="both"/>
      </w:pPr>
    </w:p>
    <w:p w:rsidR="00894D01" w:rsidRDefault="00894D01" w:rsidP="006E00E1">
      <w:pPr>
        <w:pStyle w:val="Default"/>
        <w:spacing w:line="360" w:lineRule="auto"/>
        <w:jc w:val="both"/>
      </w:pPr>
    </w:p>
    <w:p w:rsidR="00283E83" w:rsidRDefault="00283E83" w:rsidP="006E00E1">
      <w:pPr>
        <w:pStyle w:val="Default"/>
        <w:spacing w:line="360" w:lineRule="auto"/>
        <w:jc w:val="both"/>
      </w:pPr>
    </w:p>
    <w:p w:rsidR="007344EA" w:rsidRDefault="007344EA" w:rsidP="00A77D7F">
      <w:pPr>
        <w:pStyle w:val="Heading1"/>
        <w:rPr>
          <w:rFonts w:ascii="Times New Roman" w:eastAsia="Times New Roman" w:hAnsi="Times New Roman" w:cs="Times New Roman"/>
          <w:b w:val="0"/>
          <w:bCs w:val="0"/>
          <w:color w:val="000000"/>
          <w:sz w:val="24"/>
          <w:szCs w:val="24"/>
        </w:rPr>
      </w:pPr>
    </w:p>
    <w:p w:rsidR="008B0CC7" w:rsidRPr="008B0CC7" w:rsidRDefault="008B0CC7" w:rsidP="008B0CC7"/>
    <w:p w:rsidR="00A77D7F" w:rsidRPr="007344EA" w:rsidRDefault="00A77D7F" w:rsidP="00A77D7F">
      <w:pPr>
        <w:pStyle w:val="Heading1"/>
        <w:rPr>
          <w:rFonts w:ascii="Times New Roman" w:hAnsi="Times New Roman" w:cs="Times New Roman"/>
          <w:color w:val="auto"/>
          <w:sz w:val="24"/>
          <w:szCs w:val="24"/>
        </w:rPr>
      </w:pPr>
      <w:bookmarkStart w:id="23" w:name="_Toc344337171"/>
      <w:r w:rsidRPr="007344EA">
        <w:rPr>
          <w:rFonts w:ascii="Times New Roman" w:hAnsi="Times New Roman" w:cs="Times New Roman"/>
          <w:color w:val="auto"/>
          <w:sz w:val="24"/>
          <w:szCs w:val="24"/>
        </w:rPr>
        <w:lastRenderedPageBreak/>
        <w:t>Literatūros sąrašas</w:t>
      </w:r>
      <w:bookmarkEnd w:id="23"/>
    </w:p>
    <w:p w:rsidR="00A77D7F" w:rsidRPr="007344EA" w:rsidRDefault="00A77D7F" w:rsidP="00A77D7F">
      <w:pPr>
        <w:rPr>
          <w:sz w:val="24"/>
          <w:szCs w:val="24"/>
        </w:rPr>
      </w:pPr>
    </w:p>
    <w:p w:rsidR="00405B39" w:rsidRPr="007344EA" w:rsidRDefault="00405B39" w:rsidP="00536054">
      <w:pPr>
        <w:spacing w:after="0" w:line="360" w:lineRule="auto"/>
        <w:rPr>
          <w:rFonts w:ascii="Times New Roman" w:hAnsi="Times New Roman" w:cs="Times New Roman"/>
          <w:b/>
          <w:sz w:val="24"/>
          <w:szCs w:val="24"/>
        </w:rPr>
      </w:pPr>
      <w:r w:rsidRPr="007344EA">
        <w:rPr>
          <w:rFonts w:ascii="Times New Roman" w:hAnsi="Times New Roman" w:cs="Times New Roman"/>
          <w:b/>
          <w:sz w:val="24"/>
          <w:szCs w:val="24"/>
        </w:rPr>
        <w:t xml:space="preserve">Europos Sąjungos ir tarptautiniai teisės aktai: </w:t>
      </w:r>
    </w:p>
    <w:p w:rsidR="00405B39" w:rsidRPr="007344EA" w:rsidRDefault="00405B39" w:rsidP="00536054">
      <w:pPr>
        <w:spacing w:after="0" w:line="360" w:lineRule="auto"/>
        <w:rPr>
          <w:rFonts w:ascii="Times New Roman" w:hAnsi="Times New Roman" w:cs="Times New Roman"/>
          <w:b/>
          <w:sz w:val="24"/>
          <w:szCs w:val="24"/>
        </w:rPr>
      </w:pPr>
    </w:p>
    <w:p w:rsidR="00405B39" w:rsidRPr="007344EA" w:rsidRDefault="00405B39"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Sutartis dėl Europos sąjungos veikimo. [2010]  OL C 83 30.3.</w:t>
      </w:r>
    </w:p>
    <w:p w:rsidR="00405B39" w:rsidRPr="007344EA" w:rsidRDefault="00405B39" w:rsidP="00536054">
      <w:pPr>
        <w:pStyle w:val="ListParagraph"/>
        <w:numPr>
          <w:ilvl w:val="0"/>
          <w:numId w:val="19"/>
        </w:numPr>
        <w:spacing w:after="0" w:line="360" w:lineRule="auto"/>
        <w:rPr>
          <w:rFonts w:ascii="Times New Roman" w:hAnsi="Times New Roman" w:cs="Times New Roman"/>
          <w:bCs/>
          <w:sz w:val="24"/>
          <w:szCs w:val="24"/>
        </w:rPr>
      </w:pPr>
      <w:r w:rsidRPr="007344EA">
        <w:rPr>
          <w:rFonts w:ascii="Times New Roman" w:hAnsi="Times New Roman" w:cs="Times New Roman"/>
          <w:bCs/>
          <w:sz w:val="24"/>
          <w:szCs w:val="24"/>
        </w:rPr>
        <w:t xml:space="preserve">Europos Sąjungos pagrindinių teisių chartija. </w:t>
      </w:r>
      <w:r w:rsidRPr="007344EA">
        <w:rPr>
          <w:rFonts w:ascii="Times New Roman" w:hAnsi="Times New Roman" w:cs="Times New Roman"/>
          <w:sz w:val="24"/>
          <w:szCs w:val="24"/>
        </w:rPr>
        <w:t>[2010]  OL C 83 30.3.</w:t>
      </w:r>
    </w:p>
    <w:p w:rsidR="00405B39" w:rsidRPr="007344EA" w:rsidRDefault="00405B39" w:rsidP="00536054">
      <w:pPr>
        <w:pStyle w:val="ListParagraph"/>
        <w:numPr>
          <w:ilvl w:val="0"/>
          <w:numId w:val="19"/>
        </w:numPr>
        <w:spacing w:after="0" w:line="360" w:lineRule="auto"/>
        <w:rPr>
          <w:rFonts w:ascii="Times New Roman" w:hAnsi="Times New Roman" w:cs="Times New Roman"/>
          <w:bCs/>
          <w:sz w:val="24"/>
          <w:szCs w:val="24"/>
        </w:rPr>
      </w:pPr>
      <w:r w:rsidRPr="007344EA">
        <w:rPr>
          <w:rFonts w:ascii="Times New Roman" w:hAnsi="Times New Roman" w:cs="Times New Roman"/>
          <w:bCs/>
          <w:sz w:val="24"/>
          <w:szCs w:val="24"/>
        </w:rPr>
        <w:t>Tarybos 1993 m.  balandžio 4 d. Direktyva 93/13/</w:t>
      </w:r>
      <w:r w:rsidRPr="007344EA">
        <w:rPr>
          <w:rFonts w:ascii="Times New Roman" w:hAnsi="Times New Roman" w:cs="Times New Roman"/>
          <w:b/>
          <w:bCs/>
          <w:sz w:val="24"/>
          <w:szCs w:val="24"/>
        </w:rPr>
        <w:t xml:space="preserve"> </w:t>
      </w:r>
      <w:r w:rsidRPr="007344EA">
        <w:rPr>
          <w:rFonts w:ascii="Times New Roman" w:hAnsi="Times New Roman" w:cs="Times New Roman"/>
          <w:bCs/>
          <w:sz w:val="24"/>
          <w:szCs w:val="24"/>
        </w:rPr>
        <w:t>EEB dėl nesąžiningų sąlygų sutartyse su vartotojais. [1993] OL L 95.</w:t>
      </w:r>
    </w:p>
    <w:p w:rsidR="00405B39" w:rsidRPr="007344EA" w:rsidRDefault="00405B39" w:rsidP="00536054">
      <w:pPr>
        <w:pStyle w:val="ListParagraph"/>
        <w:numPr>
          <w:ilvl w:val="0"/>
          <w:numId w:val="19"/>
        </w:numPr>
        <w:spacing w:after="0" w:line="360" w:lineRule="auto"/>
        <w:rPr>
          <w:rFonts w:ascii="Times New Roman" w:hAnsi="Times New Roman" w:cs="Times New Roman"/>
          <w:sz w:val="24"/>
          <w:szCs w:val="24"/>
          <w:lang w:val="en-US"/>
        </w:rPr>
      </w:pPr>
      <w:r w:rsidRPr="007344EA">
        <w:rPr>
          <w:rFonts w:ascii="Times New Roman" w:hAnsi="Times New Roman" w:cs="Times New Roman"/>
          <w:sz w:val="24"/>
          <w:szCs w:val="24"/>
        </w:rPr>
        <w:t xml:space="preserve">Tarybos 1985 m.  gruodžio </w:t>
      </w:r>
      <w:r w:rsidRPr="007344EA">
        <w:rPr>
          <w:rFonts w:ascii="Times New Roman" w:hAnsi="Times New Roman" w:cs="Times New Roman"/>
          <w:sz w:val="24"/>
          <w:szCs w:val="24"/>
          <w:lang w:val="en-US"/>
        </w:rPr>
        <w:t>20 d.</w:t>
      </w:r>
      <w:r w:rsidRPr="007344EA">
        <w:rPr>
          <w:rFonts w:ascii="Times New Roman" w:hAnsi="Times New Roman" w:cs="Times New Roman"/>
          <w:sz w:val="24"/>
          <w:szCs w:val="24"/>
        </w:rPr>
        <w:t xml:space="preserve">  Direktyva 85/577/EEB dėl vartotojų apsaugos, susijusios su sutartimis, sudarytomis ne prekybai skirtose patalpose. [1985] OL L 372.</w:t>
      </w:r>
    </w:p>
    <w:p w:rsidR="00405B39" w:rsidRPr="007344EA" w:rsidRDefault="00405B39" w:rsidP="00536054">
      <w:pPr>
        <w:pStyle w:val="ListParagraph"/>
        <w:numPr>
          <w:ilvl w:val="0"/>
          <w:numId w:val="19"/>
        </w:numPr>
        <w:spacing w:after="0" w:line="360" w:lineRule="auto"/>
        <w:rPr>
          <w:rFonts w:ascii="Times New Roman" w:hAnsi="Times New Roman" w:cs="Times New Roman"/>
          <w:sz w:val="24"/>
          <w:szCs w:val="24"/>
          <w:lang w:val="en-US"/>
        </w:rPr>
      </w:pPr>
      <w:r w:rsidRPr="007344EA">
        <w:rPr>
          <w:rFonts w:ascii="Times New Roman" w:hAnsi="Times New Roman" w:cs="Times New Roman"/>
          <w:sz w:val="24"/>
          <w:szCs w:val="24"/>
        </w:rPr>
        <w:t xml:space="preserve">Tarybos 1997 m.  gegužės </w:t>
      </w:r>
      <w:r w:rsidRPr="007344EA">
        <w:rPr>
          <w:rFonts w:ascii="Times New Roman" w:hAnsi="Times New Roman" w:cs="Times New Roman"/>
          <w:sz w:val="24"/>
          <w:szCs w:val="24"/>
          <w:lang w:val="en-US"/>
        </w:rPr>
        <w:t xml:space="preserve">20 d. </w:t>
      </w:r>
      <w:r w:rsidRPr="007344EA">
        <w:rPr>
          <w:rFonts w:ascii="Times New Roman" w:hAnsi="Times New Roman" w:cs="Times New Roman"/>
          <w:sz w:val="24"/>
          <w:szCs w:val="24"/>
        </w:rPr>
        <w:t>Direktyva 97/7/EB dėl vartotojų apsaugos susijusios su nuotolinės prekybos sutartimis</w:t>
      </w:r>
      <w:r w:rsidRPr="007344EA">
        <w:rPr>
          <w:rFonts w:ascii="Times New Roman" w:hAnsi="Times New Roman" w:cs="Times New Roman"/>
          <w:sz w:val="24"/>
          <w:szCs w:val="24"/>
          <w:lang w:val="en-US"/>
        </w:rPr>
        <w:t>. [1997] OL L 144.</w:t>
      </w:r>
    </w:p>
    <w:p w:rsidR="00405B39" w:rsidRPr="007344EA" w:rsidRDefault="00405B39"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Europos parlamento ir Tarybos  2003 m. rugsėjo </w:t>
      </w:r>
      <w:r w:rsidRPr="007344EA">
        <w:rPr>
          <w:rFonts w:ascii="Times New Roman" w:hAnsi="Times New Roman" w:cs="Times New Roman"/>
          <w:sz w:val="24"/>
          <w:szCs w:val="24"/>
          <w:lang w:val="en-US"/>
        </w:rPr>
        <w:t>23 d. D</w:t>
      </w:r>
      <w:r w:rsidRPr="007344EA">
        <w:rPr>
          <w:rFonts w:ascii="Times New Roman" w:hAnsi="Times New Roman" w:cs="Times New Roman"/>
          <w:sz w:val="24"/>
          <w:szCs w:val="24"/>
        </w:rPr>
        <w:t xml:space="preserve">irektyva 2002/65/EB </w:t>
      </w:r>
      <w:proofErr w:type="gramStart"/>
      <w:r w:rsidRPr="007344EA">
        <w:rPr>
          <w:rFonts w:ascii="Times New Roman" w:hAnsi="Times New Roman" w:cs="Times New Roman"/>
          <w:sz w:val="24"/>
          <w:szCs w:val="24"/>
        </w:rPr>
        <w:t>dėl</w:t>
      </w:r>
      <w:proofErr w:type="gramEnd"/>
      <w:r w:rsidRPr="007344EA">
        <w:rPr>
          <w:rFonts w:ascii="Times New Roman" w:hAnsi="Times New Roman" w:cs="Times New Roman"/>
          <w:sz w:val="24"/>
          <w:szCs w:val="24"/>
        </w:rPr>
        <w:t xml:space="preserve"> nuotolinės prekybos vartotojams skirtomis finansinėmis paslaugomis. [2003] OL L 271. </w:t>
      </w:r>
    </w:p>
    <w:p w:rsidR="00405B39" w:rsidRPr="007344EA" w:rsidRDefault="00405B39"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1990 m. liepos 24 d. Komisijos pasiūlymas dėl Tarybos direktyvos dėl nesąžiningų sąlygų sutartyse su vartotojais. [1990]  OL </w:t>
      </w:r>
      <w:r w:rsidRPr="007344EA">
        <w:rPr>
          <w:rFonts w:ascii="Times New Roman" w:hAnsi="Times New Roman" w:cs="Times New Roman"/>
          <w:sz w:val="24"/>
          <w:szCs w:val="24"/>
          <w:lang w:val="en-US"/>
        </w:rPr>
        <w:t>C 243</w:t>
      </w:r>
      <w:r w:rsidRPr="007344EA">
        <w:rPr>
          <w:rFonts w:ascii="Times New Roman" w:hAnsi="Times New Roman" w:cs="Times New Roman"/>
          <w:sz w:val="24"/>
          <w:szCs w:val="24"/>
        </w:rPr>
        <w:t>.</w:t>
      </w:r>
    </w:p>
    <w:p w:rsidR="00405B39" w:rsidRPr="007344EA" w:rsidRDefault="00405B39"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1992 m. gegužės 5 d.  Pataisytas Komisijos pasiūlymas dėl Tarybos direktyvos dėl nesąžiningų sąlygų sutartyse su vartotojais.</w:t>
      </w:r>
      <w:r w:rsidRPr="007344EA">
        <w:rPr>
          <w:rFonts w:ascii="Times New Roman" w:hAnsi="Times New Roman" w:cs="Times New Roman"/>
          <w:i/>
          <w:sz w:val="24"/>
          <w:szCs w:val="24"/>
          <w:lang w:val="en-US"/>
        </w:rPr>
        <w:t xml:space="preserve"> </w:t>
      </w:r>
      <w:r w:rsidRPr="007344EA">
        <w:rPr>
          <w:rFonts w:ascii="Times New Roman" w:hAnsi="Times New Roman" w:cs="Times New Roman"/>
          <w:sz w:val="24"/>
          <w:szCs w:val="24"/>
          <w:lang w:val="en-US"/>
        </w:rPr>
        <w:t>[1990] OL C 73.</w:t>
      </w:r>
      <w:r w:rsidRPr="007344EA">
        <w:rPr>
          <w:rFonts w:ascii="Times New Roman" w:hAnsi="Times New Roman" w:cs="Times New Roman"/>
          <w:i/>
          <w:sz w:val="24"/>
          <w:szCs w:val="24"/>
          <w:lang w:val="en-US"/>
        </w:rPr>
        <w:t xml:space="preserve">  </w:t>
      </w:r>
    </w:p>
    <w:p w:rsidR="00405B39" w:rsidRPr="007344EA" w:rsidRDefault="00405B39"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2008 m. spalio 8 d. Europos Komisijos pasiūlymas dėl Europos Parlamento ir Tarybos direktyvos dėl varto</w:t>
      </w:r>
      <w:r w:rsidRPr="007344EA">
        <w:rPr>
          <w:rFonts w:ascii="Times New Roman" w:hAnsi="Times New Roman" w:cs="Times New Roman"/>
          <w:sz w:val="24"/>
          <w:szCs w:val="24"/>
        </w:rPr>
        <w:softHyphen/>
        <w:t>tojų teisių (KOM (2008) 614) [interaktyvus]. [žiūrėta 201</w:t>
      </w:r>
      <w:r w:rsidRPr="007344EA">
        <w:rPr>
          <w:rFonts w:ascii="Times New Roman" w:hAnsi="Times New Roman" w:cs="Times New Roman"/>
          <w:sz w:val="24"/>
          <w:szCs w:val="24"/>
          <w:lang w:val="en-US"/>
        </w:rPr>
        <w:t>2</w:t>
      </w:r>
      <w:r w:rsidRPr="007344EA">
        <w:rPr>
          <w:rFonts w:ascii="Times New Roman" w:hAnsi="Times New Roman" w:cs="Times New Roman"/>
          <w:sz w:val="24"/>
          <w:szCs w:val="24"/>
        </w:rPr>
        <w:t xml:space="preserve">-11-28]. </w:t>
      </w:r>
      <w:hyperlink r:id="rId8" w:history="1">
        <w:r w:rsidRPr="007344EA">
          <w:rPr>
            <w:rStyle w:val="Hyperlink"/>
            <w:rFonts w:ascii="Times New Roman" w:hAnsi="Times New Roman" w:cs="Times New Roman"/>
            <w:sz w:val="24"/>
            <w:szCs w:val="24"/>
          </w:rPr>
          <w:t>http://ec.europa.eu/consumers/rights/%20docs/COMM_PDF_COM_2008_0614_F_LT_PROPOSITION_DE_DIRECTIVE.pdf</w:t>
        </w:r>
      </w:hyperlink>
      <w:r w:rsidRPr="007344EA">
        <w:rPr>
          <w:rFonts w:ascii="Times New Roman" w:hAnsi="Times New Roman" w:cs="Times New Roman"/>
          <w:sz w:val="24"/>
          <w:szCs w:val="24"/>
        </w:rPr>
        <w:t xml:space="preserve"> </w:t>
      </w:r>
    </w:p>
    <w:p w:rsidR="00405B39" w:rsidRPr="007344EA" w:rsidRDefault="00405B39"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Žalioji knyga dėl Vartotojų acquis persvarstymo, COM (</w:t>
      </w:r>
      <w:r w:rsidRPr="007344EA">
        <w:rPr>
          <w:rFonts w:ascii="Times New Roman" w:hAnsi="Times New Roman" w:cs="Times New Roman"/>
          <w:sz w:val="24"/>
          <w:szCs w:val="24"/>
          <w:lang w:val="en-US"/>
        </w:rPr>
        <w:t xml:space="preserve">2006) 744 final [interaktyvus]. </w:t>
      </w:r>
      <w:r w:rsidRPr="007344EA">
        <w:rPr>
          <w:rFonts w:ascii="Times New Roman" w:hAnsi="Times New Roman" w:cs="Times New Roman"/>
          <w:sz w:val="24"/>
          <w:szCs w:val="24"/>
        </w:rPr>
        <w:t xml:space="preserve">[žiūrėta 2012-10-01] </w:t>
      </w:r>
      <w:hyperlink r:id="rId9" w:history="1">
        <w:r w:rsidRPr="007344EA">
          <w:rPr>
            <w:rStyle w:val="Hyperlink"/>
            <w:rFonts w:ascii="Times New Roman" w:hAnsi="Times New Roman" w:cs="Times New Roman"/>
            <w:sz w:val="24"/>
            <w:szCs w:val="24"/>
          </w:rPr>
          <w:t>http://ec.europa.eu/consumers/cons_int/safe_shop/acquis/green-paper_cons_acquis_lt.pdf</w:t>
        </w:r>
      </w:hyperlink>
      <w:r w:rsidRPr="007344EA">
        <w:rPr>
          <w:rFonts w:ascii="Times New Roman" w:hAnsi="Times New Roman" w:cs="Times New Roman"/>
          <w:sz w:val="24"/>
          <w:szCs w:val="24"/>
        </w:rPr>
        <w:t xml:space="preserve">  </w:t>
      </w:r>
    </w:p>
    <w:p w:rsidR="00405B39" w:rsidRPr="007344EA" w:rsidRDefault="00405B39"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Report from the Commission on the implementation of Council  Directive </w:t>
      </w:r>
      <w:r w:rsidRPr="007344EA">
        <w:rPr>
          <w:rFonts w:ascii="Times New Roman" w:hAnsi="Times New Roman" w:cs="Times New Roman"/>
          <w:sz w:val="24"/>
          <w:szCs w:val="24"/>
          <w:lang w:val="en-US"/>
        </w:rPr>
        <w:t>93/13/EEC of 5 April 1993 on Unfair term in consumer contracts [interaktyvus]</w:t>
      </w:r>
      <w:r w:rsidR="00894D01" w:rsidRPr="007344EA">
        <w:rPr>
          <w:rFonts w:ascii="Times New Roman" w:hAnsi="Times New Roman" w:cs="Times New Roman"/>
          <w:sz w:val="24"/>
          <w:szCs w:val="24"/>
          <w:lang w:val="en-US"/>
        </w:rPr>
        <w:t>.</w:t>
      </w:r>
      <w:r w:rsidRPr="007344EA">
        <w:rPr>
          <w:rFonts w:ascii="Times New Roman" w:hAnsi="Times New Roman" w:cs="Times New Roman"/>
          <w:sz w:val="24"/>
          <w:szCs w:val="24"/>
          <w:lang w:val="en-US"/>
        </w:rPr>
        <w:t xml:space="preserve"> </w:t>
      </w:r>
      <w:r w:rsidR="00E13F20" w:rsidRPr="007344EA">
        <w:rPr>
          <w:rFonts w:ascii="Times New Roman" w:hAnsi="Times New Roman" w:cs="Times New Roman"/>
          <w:sz w:val="24"/>
          <w:szCs w:val="24"/>
        </w:rPr>
        <w:t>[žiūrėta 201</w:t>
      </w:r>
      <w:r w:rsidR="00E13F20" w:rsidRPr="007344EA">
        <w:rPr>
          <w:rFonts w:ascii="Times New Roman" w:hAnsi="Times New Roman" w:cs="Times New Roman"/>
          <w:sz w:val="24"/>
          <w:szCs w:val="24"/>
          <w:lang w:val="en-US"/>
        </w:rPr>
        <w:t>2</w:t>
      </w:r>
      <w:r w:rsidR="00E13F20" w:rsidRPr="007344EA">
        <w:rPr>
          <w:rFonts w:ascii="Times New Roman" w:hAnsi="Times New Roman" w:cs="Times New Roman"/>
          <w:sz w:val="24"/>
          <w:szCs w:val="24"/>
        </w:rPr>
        <w:t xml:space="preserve">-11-28]. </w:t>
      </w:r>
      <w:hyperlink r:id="rId10" w:history="1">
        <w:r w:rsidRPr="007344EA">
          <w:rPr>
            <w:rStyle w:val="Hyperlink"/>
            <w:rFonts w:ascii="Times New Roman" w:hAnsi="Times New Roman" w:cs="Times New Roman"/>
            <w:sz w:val="24"/>
            <w:szCs w:val="24"/>
            <w:lang w:val="en-US"/>
          </w:rPr>
          <w:t>http://ec.europa.eu/consumers/cons_int/safe_shop/unf_cont_terms/uct03_en.pdf</w:t>
        </w:r>
      </w:hyperlink>
    </w:p>
    <w:p w:rsidR="00E367AD" w:rsidRPr="007344EA" w:rsidRDefault="00CA0B76"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Europos parlamento ir Tarybos </w:t>
      </w:r>
      <w:r w:rsidRPr="007344EA">
        <w:rPr>
          <w:rFonts w:ascii="Times New Roman" w:hAnsi="Times New Roman" w:cs="Times New Roman"/>
          <w:sz w:val="24"/>
          <w:szCs w:val="24"/>
          <w:lang w:val="en-US"/>
        </w:rPr>
        <w:t>2011 m. spalio 25 d. Direktyva d</w:t>
      </w:r>
      <w:r w:rsidRPr="007344EA">
        <w:rPr>
          <w:rFonts w:ascii="Times New Roman" w:hAnsi="Times New Roman" w:cs="Times New Roman"/>
          <w:sz w:val="24"/>
          <w:szCs w:val="24"/>
        </w:rPr>
        <w:t>ėl vartotojų teisių , kuria iš dalies keičiamos dėl vartotojų teisių, kuria iš dalies keičiamos Tarybos direktyva 93/13/EEB ir Europos Parlamento ir  Tarybos direktyva 1999/44/EB bei panaikinamos Tarybos direktyva 85/577/EEB ir Europos Parlamento ir Tarybos direktyva 97/7/EB [</w:t>
      </w:r>
      <w:r w:rsidRPr="007344EA">
        <w:rPr>
          <w:rFonts w:ascii="Times New Roman" w:hAnsi="Times New Roman" w:cs="Times New Roman"/>
          <w:sz w:val="24"/>
          <w:szCs w:val="24"/>
          <w:lang w:val="en-US"/>
        </w:rPr>
        <w:t>2011] OL L 304.</w:t>
      </w:r>
    </w:p>
    <w:p w:rsidR="00405B39" w:rsidRPr="007344EA" w:rsidRDefault="00405B39"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lastRenderedPageBreak/>
        <w:t xml:space="preserve">Bendrosios pagrindų sistemos projektas. [interaktyvus] [žiūrėta </w:t>
      </w:r>
      <w:r w:rsidRPr="007344EA">
        <w:rPr>
          <w:rFonts w:ascii="Times New Roman" w:hAnsi="Times New Roman" w:cs="Times New Roman"/>
          <w:sz w:val="24"/>
          <w:szCs w:val="24"/>
          <w:lang w:val="en-US"/>
        </w:rPr>
        <w:t>2012-10-01]</w:t>
      </w:r>
      <w:r w:rsidRPr="007344EA">
        <w:rPr>
          <w:rFonts w:ascii="Times New Roman" w:hAnsi="Times New Roman" w:cs="Times New Roman"/>
          <w:sz w:val="24"/>
          <w:szCs w:val="24"/>
        </w:rPr>
        <w:t xml:space="preserve"> </w:t>
      </w:r>
      <w:hyperlink r:id="rId11" w:history="1">
        <w:r w:rsidRPr="007344EA">
          <w:rPr>
            <w:rStyle w:val="Hyperlink"/>
            <w:rFonts w:ascii="Times New Roman" w:hAnsi="Times New Roman" w:cs="Times New Roman"/>
            <w:sz w:val="24"/>
            <w:szCs w:val="24"/>
          </w:rPr>
          <w:t>http://typoccbe2.ntc.be/fileadmin/user_upload/NTCdocument/DCFRpdf1_1262861061.pdf</w:t>
        </w:r>
      </w:hyperlink>
      <w:r w:rsidRPr="007344EA">
        <w:rPr>
          <w:rFonts w:ascii="Times New Roman" w:hAnsi="Times New Roman" w:cs="Times New Roman"/>
          <w:sz w:val="24"/>
          <w:szCs w:val="24"/>
        </w:rPr>
        <w:t xml:space="preserve"> P. 219- 228</w:t>
      </w:r>
    </w:p>
    <w:p w:rsidR="00405B39" w:rsidRPr="007344EA" w:rsidRDefault="00405B39"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Europos sutarčių teisės principai [interaktyvus] [žiūrėta </w:t>
      </w:r>
      <w:r w:rsidRPr="007344EA">
        <w:rPr>
          <w:rFonts w:ascii="Times New Roman" w:hAnsi="Times New Roman" w:cs="Times New Roman"/>
          <w:sz w:val="24"/>
          <w:szCs w:val="24"/>
          <w:lang w:val="en-US"/>
        </w:rPr>
        <w:t>2012-10-01]</w:t>
      </w:r>
      <w:r w:rsidRPr="007344EA">
        <w:rPr>
          <w:rFonts w:ascii="Times New Roman" w:hAnsi="Times New Roman" w:cs="Times New Roman"/>
          <w:sz w:val="24"/>
          <w:szCs w:val="24"/>
        </w:rPr>
        <w:t xml:space="preserve"> </w:t>
      </w:r>
      <w:hyperlink r:id="rId12" w:history="1">
        <w:r w:rsidRPr="007344EA">
          <w:rPr>
            <w:rStyle w:val="Hyperlink"/>
            <w:rFonts w:ascii="Times New Roman" w:hAnsi="Times New Roman" w:cs="Times New Roman"/>
            <w:sz w:val="24"/>
            <w:szCs w:val="24"/>
          </w:rPr>
          <w:t>http://frontpage.cbs.dk/law/commission_on_european_contract_law/PECL%20engelsk/engelsk_partI_og_II.htm</w:t>
        </w:r>
      </w:hyperlink>
      <w:r w:rsidRPr="007344EA">
        <w:rPr>
          <w:rFonts w:ascii="Times New Roman" w:hAnsi="Times New Roman" w:cs="Times New Roman"/>
          <w:sz w:val="24"/>
          <w:szCs w:val="24"/>
        </w:rPr>
        <w:t xml:space="preserve"> </w:t>
      </w:r>
    </w:p>
    <w:p w:rsidR="00405B39" w:rsidRPr="007344EA" w:rsidRDefault="00405B39" w:rsidP="00536054">
      <w:pPr>
        <w:pStyle w:val="ListParagraph"/>
        <w:numPr>
          <w:ilvl w:val="0"/>
          <w:numId w:val="19"/>
        </w:numPr>
        <w:spacing w:after="0" w:line="360" w:lineRule="auto"/>
        <w:rPr>
          <w:rFonts w:ascii="Times New Roman" w:hAnsi="Times New Roman" w:cs="Times New Roman"/>
          <w:sz w:val="24"/>
          <w:szCs w:val="24"/>
          <w:lang w:val="en-US"/>
        </w:rPr>
      </w:pPr>
      <w:r w:rsidRPr="007344EA">
        <w:rPr>
          <w:rFonts w:ascii="Times New Roman" w:hAnsi="Times New Roman" w:cs="Times New Roman"/>
          <w:sz w:val="24"/>
          <w:szCs w:val="24"/>
        </w:rPr>
        <w:t xml:space="preserve">Komisijos pasiūlymas dėl bendrosios Europos pirkimo − pardavimo sutarčių teisės[interaktyvus] [žiūrėta </w:t>
      </w:r>
      <w:r w:rsidRPr="007344EA">
        <w:rPr>
          <w:rFonts w:ascii="Times New Roman" w:hAnsi="Times New Roman" w:cs="Times New Roman"/>
          <w:sz w:val="24"/>
          <w:szCs w:val="24"/>
          <w:lang w:val="en-US"/>
        </w:rPr>
        <w:t>2012-10-01]</w:t>
      </w:r>
      <w:r w:rsidRPr="007344EA">
        <w:rPr>
          <w:rFonts w:ascii="Times New Roman" w:hAnsi="Times New Roman" w:cs="Times New Roman"/>
          <w:sz w:val="24"/>
          <w:szCs w:val="24"/>
        </w:rPr>
        <w:t xml:space="preserve">  </w:t>
      </w:r>
      <w:hyperlink r:id="rId13" w:history="1">
        <w:r w:rsidRPr="007344EA">
          <w:rPr>
            <w:rStyle w:val="Hyperlink"/>
            <w:rFonts w:ascii="Times New Roman" w:hAnsi="Times New Roman" w:cs="Times New Roman"/>
            <w:sz w:val="24"/>
            <w:szCs w:val="24"/>
          </w:rPr>
          <w:t>http://eur-lex.europa.eu/LexUriServ/LexUriServ.do?uri=COM:2011:0635:FIN:en:PDF</w:t>
        </w:r>
      </w:hyperlink>
      <w:r w:rsidRPr="007344EA">
        <w:rPr>
          <w:rFonts w:ascii="Times New Roman" w:hAnsi="Times New Roman" w:cs="Times New Roman"/>
          <w:sz w:val="24"/>
          <w:szCs w:val="24"/>
        </w:rPr>
        <w:t xml:space="preserve"> </w:t>
      </w:r>
    </w:p>
    <w:p w:rsidR="00405B39" w:rsidRPr="007344EA" w:rsidRDefault="00405B39" w:rsidP="00536054">
      <w:pPr>
        <w:pStyle w:val="ListParagraph"/>
        <w:numPr>
          <w:ilvl w:val="0"/>
          <w:numId w:val="19"/>
        </w:numPr>
        <w:spacing w:after="0" w:line="360" w:lineRule="auto"/>
        <w:rPr>
          <w:rFonts w:ascii="Times New Roman" w:hAnsi="Times New Roman" w:cs="Times New Roman"/>
          <w:sz w:val="24"/>
          <w:szCs w:val="24"/>
          <w:lang w:val="en-US"/>
        </w:rPr>
      </w:pPr>
      <w:r w:rsidRPr="007344EA">
        <w:rPr>
          <w:rFonts w:ascii="Times New Roman" w:hAnsi="Times New Roman" w:cs="Times New Roman"/>
          <w:sz w:val="24"/>
          <w:szCs w:val="24"/>
        </w:rPr>
        <w:t xml:space="preserve">UNIDROIT tarptautinės sutarčių teisės principai. [interaktyvus] [žiūrėta </w:t>
      </w:r>
      <w:r w:rsidRPr="007344EA">
        <w:rPr>
          <w:rFonts w:ascii="Times New Roman" w:hAnsi="Times New Roman" w:cs="Times New Roman"/>
          <w:sz w:val="24"/>
          <w:szCs w:val="24"/>
          <w:lang w:val="en-US"/>
        </w:rPr>
        <w:t xml:space="preserve">2012-10-01]. </w:t>
      </w:r>
      <w:hyperlink r:id="rId14" w:history="1">
        <w:r w:rsidRPr="007344EA">
          <w:rPr>
            <w:rStyle w:val="Hyperlink"/>
            <w:rFonts w:ascii="Times New Roman" w:hAnsi="Times New Roman" w:cs="Times New Roman"/>
            <w:sz w:val="24"/>
            <w:szCs w:val="24"/>
            <w:lang w:val="en-US"/>
          </w:rPr>
          <w:t>http://www.unidroit.org/english/principles/contracts/principles2010/integralversionprinciples2010-e.pdf</w:t>
        </w:r>
      </w:hyperlink>
      <w:r w:rsidRPr="007344EA">
        <w:rPr>
          <w:rFonts w:ascii="Times New Roman" w:hAnsi="Times New Roman" w:cs="Times New Roman"/>
          <w:sz w:val="24"/>
          <w:szCs w:val="24"/>
          <w:lang w:val="en-US"/>
        </w:rPr>
        <w:t xml:space="preserve"> </w:t>
      </w:r>
    </w:p>
    <w:p w:rsidR="00405B39" w:rsidRPr="007344EA" w:rsidRDefault="00405B39" w:rsidP="00536054">
      <w:pPr>
        <w:spacing w:after="0" w:line="360" w:lineRule="auto"/>
        <w:rPr>
          <w:rFonts w:ascii="Times New Roman" w:hAnsi="Times New Roman" w:cs="Times New Roman"/>
          <w:sz w:val="24"/>
          <w:szCs w:val="24"/>
        </w:rPr>
      </w:pPr>
    </w:p>
    <w:p w:rsidR="00405B39" w:rsidRPr="007344EA" w:rsidRDefault="00405B39" w:rsidP="00536054">
      <w:pPr>
        <w:spacing w:after="0" w:line="360" w:lineRule="auto"/>
        <w:rPr>
          <w:rFonts w:ascii="Times New Roman" w:hAnsi="Times New Roman" w:cs="Times New Roman"/>
          <w:b/>
          <w:sz w:val="24"/>
          <w:szCs w:val="24"/>
        </w:rPr>
      </w:pPr>
      <w:r w:rsidRPr="007344EA">
        <w:rPr>
          <w:rFonts w:ascii="Times New Roman" w:hAnsi="Times New Roman" w:cs="Times New Roman"/>
          <w:b/>
          <w:sz w:val="24"/>
          <w:szCs w:val="24"/>
        </w:rPr>
        <w:t xml:space="preserve">Lietuvos Respublikos teisės aktai: </w:t>
      </w:r>
    </w:p>
    <w:p w:rsidR="00405B39" w:rsidRPr="007344EA" w:rsidRDefault="00405B39" w:rsidP="00536054">
      <w:pPr>
        <w:spacing w:after="0" w:line="360" w:lineRule="auto"/>
        <w:rPr>
          <w:rFonts w:ascii="Times New Roman" w:hAnsi="Times New Roman" w:cs="Times New Roman"/>
          <w:b/>
          <w:sz w:val="24"/>
          <w:szCs w:val="24"/>
        </w:rPr>
      </w:pPr>
    </w:p>
    <w:p w:rsidR="00405B39" w:rsidRPr="007344EA" w:rsidRDefault="00405B39" w:rsidP="00536054">
      <w:pPr>
        <w:pStyle w:val="ListParagraph"/>
        <w:numPr>
          <w:ilvl w:val="0"/>
          <w:numId w:val="19"/>
        </w:numPr>
        <w:autoSpaceDE w:val="0"/>
        <w:autoSpaceDN w:val="0"/>
        <w:adjustRightInd w:val="0"/>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Lietuvos Respublikos civilinis kodeksas. </w:t>
      </w:r>
      <w:r w:rsidRPr="007344EA">
        <w:rPr>
          <w:rFonts w:ascii="Times New Roman" w:hAnsi="Times New Roman" w:cs="Times New Roman"/>
          <w:i/>
          <w:sz w:val="24"/>
          <w:szCs w:val="24"/>
        </w:rPr>
        <w:t>Valstybės žinios</w:t>
      </w:r>
      <w:r w:rsidRPr="007344EA">
        <w:rPr>
          <w:rFonts w:ascii="Times New Roman" w:hAnsi="Times New Roman" w:cs="Times New Roman"/>
          <w:sz w:val="24"/>
          <w:szCs w:val="24"/>
        </w:rPr>
        <w:t>. 2000, Nr. 74-2262</w:t>
      </w:r>
    </w:p>
    <w:p w:rsidR="00405B39" w:rsidRPr="007344EA" w:rsidRDefault="00405B39" w:rsidP="00536054">
      <w:pPr>
        <w:pStyle w:val="ListParagraph"/>
        <w:numPr>
          <w:ilvl w:val="0"/>
          <w:numId w:val="19"/>
        </w:numPr>
        <w:autoSpaceDE w:val="0"/>
        <w:autoSpaceDN w:val="0"/>
        <w:adjustRightInd w:val="0"/>
        <w:spacing w:after="0" w:line="360" w:lineRule="auto"/>
        <w:rPr>
          <w:rFonts w:ascii="Times New Roman" w:hAnsi="Times New Roman" w:cs="Times New Roman"/>
          <w:sz w:val="24"/>
          <w:szCs w:val="24"/>
        </w:rPr>
      </w:pPr>
      <w:r w:rsidRPr="007344EA">
        <w:rPr>
          <w:rFonts w:ascii="Times New Roman" w:hAnsi="Times New Roman" w:cs="Times New Roman"/>
          <w:sz w:val="24"/>
          <w:szCs w:val="24"/>
        </w:rPr>
        <w:t>Lietuvos Respublikos vartotoj</w:t>
      </w:r>
      <w:r w:rsidRPr="007344EA">
        <w:rPr>
          <w:rFonts w:ascii="Times New Roman" w:eastAsia="TimesNewRoman" w:hAnsi="Times New Roman" w:cs="Times New Roman"/>
          <w:sz w:val="24"/>
          <w:szCs w:val="24"/>
        </w:rPr>
        <w:t xml:space="preserve">ų </w:t>
      </w:r>
      <w:r w:rsidRPr="007344EA">
        <w:rPr>
          <w:rFonts w:ascii="Times New Roman" w:hAnsi="Times New Roman" w:cs="Times New Roman"/>
          <w:sz w:val="24"/>
          <w:szCs w:val="24"/>
        </w:rPr>
        <w:t>teisi</w:t>
      </w:r>
      <w:r w:rsidRPr="007344EA">
        <w:rPr>
          <w:rFonts w:ascii="Times New Roman" w:eastAsia="TimesNewRoman" w:hAnsi="Times New Roman" w:cs="Times New Roman"/>
          <w:sz w:val="24"/>
          <w:szCs w:val="24"/>
        </w:rPr>
        <w:t xml:space="preserve">ų </w:t>
      </w:r>
      <w:r w:rsidRPr="007344EA">
        <w:rPr>
          <w:rFonts w:ascii="Times New Roman" w:hAnsi="Times New Roman" w:cs="Times New Roman"/>
          <w:sz w:val="24"/>
          <w:szCs w:val="24"/>
        </w:rPr>
        <w:t xml:space="preserve">apsaugos </w:t>
      </w:r>
      <w:r w:rsidRPr="007344EA">
        <w:rPr>
          <w:rFonts w:ascii="Times New Roman" w:eastAsia="TimesNewRoman" w:hAnsi="Times New Roman" w:cs="Times New Roman"/>
          <w:sz w:val="24"/>
          <w:szCs w:val="24"/>
        </w:rPr>
        <w:t>į</w:t>
      </w:r>
      <w:r w:rsidRPr="007344EA">
        <w:rPr>
          <w:rFonts w:ascii="Times New Roman" w:hAnsi="Times New Roman" w:cs="Times New Roman"/>
          <w:sz w:val="24"/>
          <w:szCs w:val="24"/>
        </w:rPr>
        <w:t>statymas. Valstybės žinios. 2007, Nr. 12-488.</w:t>
      </w:r>
    </w:p>
    <w:p w:rsidR="00405B39" w:rsidRPr="007344EA" w:rsidRDefault="00405B39" w:rsidP="00536054">
      <w:pPr>
        <w:pStyle w:val="ListParagraph"/>
        <w:numPr>
          <w:ilvl w:val="0"/>
          <w:numId w:val="19"/>
        </w:numPr>
        <w:spacing w:after="0" w:line="360" w:lineRule="auto"/>
        <w:rPr>
          <w:rFonts w:ascii="Times New Roman" w:hAnsi="Times New Roman" w:cs="Times New Roman"/>
          <w:sz w:val="24"/>
          <w:szCs w:val="24"/>
          <w:lang w:val="en-US"/>
        </w:rPr>
      </w:pPr>
      <w:r w:rsidRPr="007344EA">
        <w:rPr>
          <w:rFonts w:ascii="Times New Roman" w:hAnsi="Times New Roman" w:cs="Times New Roman"/>
          <w:sz w:val="24"/>
          <w:szCs w:val="24"/>
        </w:rPr>
        <w:t xml:space="preserve">Lietuvos Respublikos Civilinio proceso kodeksas. Valstybės žinios. </w:t>
      </w:r>
      <w:r w:rsidRPr="007344EA">
        <w:rPr>
          <w:rFonts w:ascii="Times New Roman" w:hAnsi="Times New Roman" w:cs="Times New Roman"/>
          <w:sz w:val="24"/>
          <w:szCs w:val="24"/>
          <w:lang w:val="en-US"/>
        </w:rPr>
        <w:t xml:space="preserve">2002, Nr. 36-1340. </w:t>
      </w:r>
    </w:p>
    <w:p w:rsidR="00405B39" w:rsidRPr="007344EA" w:rsidRDefault="00405B39" w:rsidP="00536054">
      <w:pPr>
        <w:spacing w:after="0" w:line="360" w:lineRule="auto"/>
        <w:rPr>
          <w:rFonts w:ascii="Times New Roman" w:hAnsi="Times New Roman" w:cs="Times New Roman"/>
          <w:sz w:val="24"/>
          <w:szCs w:val="24"/>
        </w:rPr>
      </w:pPr>
    </w:p>
    <w:p w:rsidR="00405B39" w:rsidRPr="007344EA" w:rsidRDefault="00405B39" w:rsidP="00536054">
      <w:pPr>
        <w:spacing w:after="0" w:line="360" w:lineRule="auto"/>
        <w:rPr>
          <w:rFonts w:ascii="Times New Roman" w:hAnsi="Times New Roman" w:cs="Times New Roman"/>
          <w:b/>
          <w:sz w:val="24"/>
          <w:szCs w:val="24"/>
        </w:rPr>
      </w:pPr>
      <w:r w:rsidRPr="007344EA">
        <w:rPr>
          <w:rFonts w:ascii="Times New Roman" w:hAnsi="Times New Roman" w:cs="Times New Roman"/>
          <w:b/>
          <w:sz w:val="24"/>
          <w:szCs w:val="24"/>
          <w:lang w:val="en-US"/>
        </w:rPr>
        <w:t>Specialioji literat</w:t>
      </w:r>
      <w:r w:rsidRPr="007344EA">
        <w:rPr>
          <w:rFonts w:ascii="Times New Roman" w:hAnsi="Times New Roman" w:cs="Times New Roman"/>
          <w:b/>
          <w:sz w:val="24"/>
          <w:szCs w:val="24"/>
        </w:rPr>
        <w:t>ūra:</w:t>
      </w:r>
    </w:p>
    <w:p w:rsidR="00405B39" w:rsidRPr="007344EA" w:rsidRDefault="00405B39" w:rsidP="00536054">
      <w:pPr>
        <w:spacing w:after="0" w:line="360" w:lineRule="auto"/>
        <w:rPr>
          <w:rFonts w:ascii="Times New Roman" w:hAnsi="Times New Roman" w:cs="Times New Roman"/>
          <w:b/>
          <w:sz w:val="24"/>
          <w:szCs w:val="24"/>
        </w:rPr>
      </w:pPr>
      <w:r w:rsidRPr="007344EA">
        <w:rPr>
          <w:rFonts w:ascii="Times New Roman" w:hAnsi="Times New Roman" w:cs="Times New Roman"/>
          <w:b/>
          <w:sz w:val="24"/>
          <w:szCs w:val="24"/>
        </w:rPr>
        <w:t xml:space="preserve">  </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rPr>
        <w:t xml:space="preserve">Broberg M., Fenger N. </w:t>
      </w:r>
      <w:r w:rsidRPr="007344EA">
        <w:rPr>
          <w:rFonts w:ascii="Times New Roman" w:hAnsi="Times New Roman" w:cs="Times New Roman"/>
          <w:i/>
          <w:sz w:val="24"/>
          <w:szCs w:val="24"/>
        </w:rPr>
        <w:t>Preliminary References to the European Court of Justice</w:t>
      </w:r>
      <w:r w:rsidRPr="007344EA">
        <w:rPr>
          <w:rFonts w:ascii="Times New Roman" w:hAnsi="Times New Roman" w:cs="Times New Roman"/>
          <w:sz w:val="24"/>
          <w:szCs w:val="24"/>
        </w:rPr>
        <w:t xml:space="preserve">. Oxford University Press, </w:t>
      </w:r>
      <w:r w:rsidRPr="007344EA">
        <w:rPr>
          <w:rFonts w:ascii="Times New Roman" w:hAnsi="Times New Roman" w:cs="Times New Roman"/>
          <w:sz w:val="24"/>
          <w:szCs w:val="24"/>
          <w:lang w:val="en-US"/>
        </w:rPr>
        <w:t>2010.</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rPr>
        <w:t>Bublienė  D. Tarptautinės privatinės teisės normos ir nesąžiningų sąlygų direktyva. </w:t>
      </w:r>
      <w:r w:rsidRPr="007344EA">
        <w:rPr>
          <w:rFonts w:ascii="Times New Roman" w:hAnsi="Times New Roman" w:cs="Times New Roman"/>
          <w:i/>
          <w:sz w:val="24"/>
          <w:szCs w:val="24"/>
        </w:rPr>
        <w:t>Teisė</w:t>
      </w:r>
      <w:r w:rsidRPr="007344EA">
        <w:rPr>
          <w:rFonts w:ascii="Times New Roman" w:hAnsi="Times New Roman" w:cs="Times New Roman"/>
          <w:sz w:val="24"/>
          <w:szCs w:val="24"/>
        </w:rPr>
        <w:t>, t. 59, 2006, p. 28-45.</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rPr>
        <w:t>Bublienė D. [et al.] Europos Sąjungos teisės aktų įgyvendinimas Lietuvos Civilinėje teisėje. Vilnius: Teisinės informacijos centras, 2005.</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rPr>
        <w:t>Bublienė D. Silpnesnės šalies apsaugos principo įgyvendinimas kontroliuojant nesąžiningas vartojimo sutarčių sąlygas.  </w:t>
      </w:r>
      <w:r w:rsidRPr="007344EA">
        <w:rPr>
          <w:rFonts w:ascii="Times New Roman" w:hAnsi="Times New Roman" w:cs="Times New Roman"/>
          <w:i/>
          <w:sz w:val="24"/>
          <w:szCs w:val="24"/>
        </w:rPr>
        <w:t>Jurisprudencija</w:t>
      </w:r>
      <w:r w:rsidRPr="007344EA">
        <w:rPr>
          <w:rFonts w:ascii="Times New Roman" w:hAnsi="Times New Roman" w:cs="Times New Roman"/>
          <w:sz w:val="24"/>
          <w:szCs w:val="24"/>
        </w:rPr>
        <w:t xml:space="preserve">  Vilnius : Mykolo Romerio Universitetas. , Nr. 9(99), 2007,p. 41-47.</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lang w:val="pt-PT"/>
        </w:rPr>
      </w:pPr>
      <w:r w:rsidRPr="007344EA">
        <w:rPr>
          <w:rFonts w:ascii="Times New Roman" w:hAnsi="Times New Roman" w:cs="Times New Roman"/>
          <w:sz w:val="24"/>
          <w:szCs w:val="24"/>
        </w:rPr>
        <w:t>Bublienė D. Vartojimo sutarčių nesąžiningų sąlygų kontrolė: monografija. Vilnius: Registrų centras, 2009.</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lang w:val="pt-PT"/>
        </w:rPr>
      </w:pPr>
      <w:r w:rsidRPr="007344EA">
        <w:rPr>
          <w:rFonts w:ascii="Times New Roman" w:hAnsi="Times New Roman" w:cs="Times New Roman"/>
          <w:sz w:val="24"/>
          <w:szCs w:val="24"/>
        </w:rPr>
        <w:lastRenderedPageBreak/>
        <w:t xml:space="preserve">Bublienė D. Vartotojų teisė į informaciją pagal naująjį vartotojų teisių direktyvos pasiūlymą: žingsnis pirmyn? </w:t>
      </w:r>
      <w:r w:rsidRPr="007344EA">
        <w:rPr>
          <w:rFonts w:ascii="Times New Roman" w:hAnsi="Times New Roman" w:cs="Times New Roman"/>
          <w:i/>
          <w:sz w:val="24"/>
          <w:szCs w:val="24"/>
        </w:rPr>
        <w:t>Jurisprudencija</w:t>
      </w:r>
      <w:r w:rsidRPr="007344EA">
        <w:rPr>
          <w:rFonts w:ascii="Times New Roman" w:hAnsi="Times New Roman" w:cs="Times New Roman"/>
          <w:sz w:val="24"/>
          <w:szCs w:val="24"/>
        </w:rPr>
        <w:t>, Nr. 18(4)Vilnius : Mykolo Romerio universitetas, 2011, p. 1593-1608</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rPr>
        <w:t>Bublienė D.  Skaidrumo principas ir nesąžiningų sąlygų direktyva. </w:t>
      </w:r>
      <w:r w:rsidRPr="007344EA">
        <w:rPr>
          <w:rFonts w:ascii="Times New Roman" w:hAnsi="Times New Roman" w:cs="Times New Roman"/>
          <w:i/>
          <w:sz w:val="24"/>
          <w:szCs w:val="24"/>
        </w:rPr>
        <w:t>Teisė</w:t>
      </w:r>
      <w:r w:rsidRPr="007344EA">
        <w:rPr>
          <w:rFonts w:ascii="Times New Roman" w:hAnsi="Times New Roman" w:cs="Times New Roman"/>
          <w:sz w:val="24"/>
          <w:szCs w:val="24"/>
        </w:rPr>
        <w:t>, t. 58, 2006 p. 7-23.</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rPr>
        <w:t xml:space="preserve">Davidson P. F. Unfair Terms in Consumer  contracts, </w:t>
      </w:r>
      <w:r w:rsidRPr="007344EA">
        <w:rPr>
          <w:rFonts w:ascii="Times New Roman" w:hAnsi="Times New Roman" w:cs="Times New Roman"/>
          <w:i/>
          <w:sz w:val="24"/>
          <w:szCs w:val="24"/>
        </w:rPr>
        <w:t xml:space="preserve">Scotich Law </w:t>
      </w:r>
      <w:r w:rsidRPr="007344EA">
        <w:rPr>
          <w:rFonts w:ascii="Times New Roman" w:hAnsi="Times New Roman" w:cs="Times New Roman"/>
          <w:i/>
          <w:sz w:val="24"/>
          <w:szCs w:val="24"/>
          <w:lang w:val="en-US"/>
        </w:rPr>
        <w:t>&amp; Practice Quarterly, volume 1, number 2</w:t>
      </w:r>
      <w:r w:rsidRPr="007344EA">
        <w:rPr>
          <w:rFonts w:ascii="Times New Roman" w:hAnsi="Times New Roman" w:cs="Times New Roman"/>
          <w:sz w:val="24"/>
          <w:szCs w:val="24"/>
        </w:rPr>
        <w:t>. T&amp;T Clark Ltd, 1996, p. 93.</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lang w:val="en-US"/>
        </w:rPr>
      </w:pPr>
      <w:r w:rsidRPr="007344EA">
        <w:rPr>
          <w:rFonts w:ascii="Times New Roman" w:hAnsi="Times New Roman" w:cs="Times New Roman"/>
          <w:sz w:val="24"/>
          <w:szCs w:val="24"/>
          <w:lang w:val="en-US"/>
        </w:rPr>
        <w:t>Driukas A.</w:t>
      </w:r>
      <w:r w:rsidRPr="007344EA">
        <w:rPr>
          <w:rFonts w:ascii="Times New Roman" w:hAnsi="Times New Roman" w:cs="Times New Roman"/>
          <w:sz w:val="24"/>
          <w:szCs w:val="24"/>
        </w:rPr>
        <w:t xml:space="preserve"> </w:t>
      </w:r>
      <w:r w:rsidRPr="007344EA">
        <w:rPr>
          <w:rFonts w:ascii="Times New Roman" w:hAnsi="Times New Roman" w:cs="Times New Roman"/>
          <w:sz w:val="24"/>
          <w:szCs w:val="24"/>
          <w:lang w:val="en-US"/>
        </w:rPr>
        <w:t xml:space="preserve">Ieškinio senaties instituto raida </w:t>
      </w:r>
      <w:r w:rsidRPr="007344EA">
        <w:rPr>
          <w:rFonts w:ascii="Times New Roman" w:hAnsi="Times New Roman" w:cs="Times New Roman"/>
          <w:sz w:val="24"/>
          <w:szCs w:val="24"/>
        </w:rPr>
        <w:t>Lietuvoje: materialiai ir procesiniai teisiniai aspektai.</w:t>
      </w:r>
      <w:r w:rsidRPr="007344EA">
        <w:rPr>
          <w:rFonts w:ascii="Times New Roman" w:hAnsi="Times New Roman" w:cs="Times New Roman"/>
          <w:i/>
          <w:sz w:val="24"/>
          <w:szCs w:val="24"/>
        </w:rPr>
        <w:t xml:space="preserve"> Jurisprudencija</w:t>
      </w:r>
      <w:r w:rsidRPr="007344EA">
        <w:rPr>
          <w:rFonts w:ascii="Times New Roman" w:hAnsi="Times New Roman" w:cs="Times New Roman"/>
          <w:sz w:val="24"/>
          <w:szCs w:val="24"/>
        </w:rPr>
        <w:t xml:space="preserve">, </w:t>
      </w:r>
      <w:r w:rsidRPr="007344EA">
        <w:rPr>
          <w:rFonts w:ascii="Times New Roman" w:hAnsi="Times New Roman" w:cs="Times New Roman"/>
          <w:sz w:val="24"/>
          <w:szCs w:val="24"/>
          <w:lang w:val="en-US"/>
        </w:rPr>
        <w:t xml:space="preserve">39(31), </w:t>
      </w:r>
      <w:r w:rsidRPr="007344EA">
        <w:rPr>
          <w:rFonts w:ascii="Times New Roman" w:hAnsi="Times New Roman" w:cs="Times New Roman"/>
          <w:sz w:val="24"/>
          <w:szCs w:val="24"/>
        </w:rPr>
        <w:t xml:space="preserve">2003, </w:t>
      </w:r>
      <w:r w:rsidRPr="007344EA">
        <w:rPr>
          <w:rFonts w:ascii="Times New Roman" w:hAnsi="Times New Roman" w:cs="Times New Roman"/>
          <w:sz w:val="24"/>
          <w:szCs w:val="24"/>
          <w:lang w:val="en-US"/>
        </w:rPr>
        <w:t>p</w:t>
      </w:r>
      <w:r w:rsidRPr="007344EA">
        <w:rPr>
          <w:rFonts w:ascii="Times New Roman" w:hAnsi="Times New Roman" w:cs="Times New Roman"/>
          <w:sz w:val="24"/>
          <w:szCs w:val="24"/>
        </w:rPr>
        <w:t>. 89-102.</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rPr>
        <w:t xml:space="preserve">Greičius V.  Europos Sąjungos teisės taikymo Lietuvos Aukščiausiame Teisme problemos ir tendencijos. </w:t>
      </w:r>
      <w:r w:rsidRPr="007344EA">
        <w:rPr>
          <w:rFonts w:ascii="Times New Roman" w:hAnsi="Times New Roman" w:cs="Times New Roman"/>
          <w:i/>
          <w:sz w:val="24"/>
          <w:szCs w:val="24"/>
        </w:rPr>
        <w:t>Jurisprudencija</w:t>
      </w:r>
      <w:r w:rsidRPr="007344EA">
        <w:rPr>
          <w:rFonts w:ascii="Times New Roman" w:hAnsi="Times New Roman" w:cs="Times New Roman"/>
          <w:sz w:val="24"/>
          <w:szCs w:val="24"/>
        </w:rPr>
        <w:t>, 7(97), 2007, p. 28-32.</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rPr>
        <w:t xml:space="preserve">Howells G.G. , Wilhelmsson T. </w:t>
      </w:r>
      <w:r w:rsidRPr="007344EA">
        <w:rPr>
          <w:rFonts w:ascii="Times New Roman" w:hAnsi="Times New Roman" w:cs="Times New Roman"/>
          <w:i/>
          <w:sz w:val="24"/>
          <w:szCs w:val="24"/>
        </w:rPr>
        <w:t>EC Consumer Law,</w:t>
      </w:r>
      <w:r w:rsidRPr="007344EA">
        <w:rPr>
          <w:rFonts w:ascii="Times New Roman" w:hAnsi="Times New Roman" w:cs="Times New Roman"/>
          <w:sz w:val="24"/>
          <w:szCs w:val="24"/>
        </w:rPr>
        <w:t xml:space="preserve"> Aldershot:</w:t>
      </w:r>
      <w:r w:rsidRPr="007344EA">
        <w:rPr>
          <w:rFonts w:ascii="Times New Roman" w:hAnsi="Times New Roman" w:cs="Times New Roman"/>
          <w:i/>
          <w:sz w:val="24"/>
          <w:szCs w:val="24"/>
        </w:rPr>
        <w:t xml:space="preserve"> </w:t>
      </w:r>
      <w:r w:rsidRPr="007344EA">
        <w:rPr>
          <w:rFonts w:ascii="Times New Roman" w:hAnsi="Times New Roman" w:cs="Times New Roman"/>
          <w:sz w:val="24"/>
          <w:szCs w:val="24"/>
        </w:rPr>
        <w:t>Ashgate Publishing, 1997.</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lang w:val="en-US"/>
        </w:rPr>
      </w:pPr>
      <w:r w:rsidRPr="007344EA">
        <w:rPr>
          <w:rFonts w:ascii="Times New Roman" w:hAnsi="Times New Roman" w:cs="Times New Roman"/>
          <w:sz w:val="24"/>
          <w:szCs w:val="24"/>
        </w:rPr>
        <w:t xml:space="preserve">Katuoka S. [et al.]  </w:t>
      </w:r>
      <w:r w:rsidRPr="007344EA">
        <w:rPr>
          <w:rFonts w:ascii="Times New Roman" w:hAnsi="Times New Roman" w:cs="Times New Roman"/>
          <w:i/>
          <w:sz w:val="24"/>
          <w:szCs w:val="24"/>
        </w:rPr>
        <w:t>Vartotojų teisių apsauga Lietuvoje ir Europos Sąjungoje : kolektyvinė monografija</w:t>
      </w:r>
      <w:r w:rsidRPr="007344EA">
        <w:rPr>
          <w:rFonts w:ascii="Times New Roman" w:hAnsi="Times New Roman" w:cs="Times New Roman"/>
          <w:sz w:val="24"/>
          <w:szCs w:val="24"/>
        </w:rPr>
        <w:t>.  Vilnius : Mykolo Romerio universitetas, 2006.</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rPr>
        <w:t xml:space="preserve">Lazauskaitė R. Atsakomybę ribojančių ir pašalinančių susitarimų aiškinimo ir galiojimo probleminiai aspektai </w:t>
      </w:r>
      <w:r w:rsidRPr="007344EA">
        <w:rPr>
          <w:rFonts w:ascii="Times New Roman" w:hAnsi="Times New Roman" w:cs="Times New Roman"/>
          <w:i/>
          <w:sz w:val="24"/>
          <w:szCs w:val="24"/>
        </w:rPr>
        <w:t>Socialinių mokslų studijos</w:t>
      </w:r>
      <w:r w:rsidRPr="007344EA">
        <w:rPr>
          <w:rFonts w:ascii="Times New Roman" w:hAnsi="Times New Roman" w:cs="Times New Roman"/>
          <w:sz w:val="24"/>
          <w:szCs w:val="24"/>
        </w:rPr>
        <w:t xml:space="preserve"> 3(2), 2011, p. 6</w:t>
      </w:r>
      <w:r w:rsidRPr="007344EA">
        <w:rPr>
          <w:rFonts w:ascii="Times New Roman" w:hAnsi="Times New Roman" w:cs="Times New Roman"/>
          <w:sz w:val="24"/>
          <w:szCs w:val="24"/>
          <w:lang w:val="en-US"/>
        </w:rPr>
        <w:t>09-626.</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lang w:val="en-US"/>
        </w:rPr>
      </w:pPr>
      <w:r w:rsidRPr="007344EA">
        <w:rPr>
          <w:rFonts w:ascii="Times New Roman" w:hAnsi="Times New Roman" w:cs="Times New Roman"/>
          <w:sz w:val="24"/>
          <w:szCs w:val="24"/>
        </w:rPr>
        <w:t xml:space="preserve">Mak C. Judgement of the Court (First Chamber) of 6 October 2009, </w:t>
      </w:r>
      <w:r w:rsidRPr="007344EA">
        <w:rPr>
          <w:rFonts w:ascii="Times New Roman" w:hAnsi="Times New Roman" w:cs="Times New Roman"/>
          <w:bCs/>
          <w:i/>
          <w:sz w:val="24"/>
          <w:szCs w:val="24"/>
        </w:rPr>
        <w:t xml:space="preserve">Asturcom Telecomunicaciones SL </w:t>
      </w:r>
      <w:r w:rsidRPr="007344EA">
        <w:rPr>
          <w:rFonts w:ascii="Times New Roman" w:hAnsi="Times New Roman" w:cs="Times New Roman"/>
          <w:i/>
          <w:sz w:val="24"/>
          <w:szCs w:val="24"/>
        </w:rPr>
        <w:t xml:space="preserve">v </w:t>
      </w:r>
      <w:r w:rsidRPr="007344EA">
        <w:rPr>
          <w:rFonts w:ascii="Times New Roman" w:hAnsi="Times New Roman" w:cs="Times New Roman"/>
          <w:bCs/>
          <w:i/>
          <w:sz w:val="24"/>
          <w:szCs w:val="24"/>
        </w:rPr>
        <w:t>Cristina Rodríguez Nogueira, case</w:t>
      </w:r>
      <w:r w:rsidRPr="007344EA">
        <w:rPr>
          <w:rFonts w:ascii="Times New Roman" w:hAnsi="Times New Roman" w:cs="Times New Roman"/>
          <w:sz w:val="24"/>
          <w:szCs w:val="24"/>
        </w:rPr>
        <w:t xml:space="preserve"> </w:t>
      </w:r>
      <w:r w:rsidRPr="007344EA">
        <w:rPr>
          <w:rFonts w:ascii="Times New Roman" w:hAnsi="Times New Roman" w:cs="Times New Roman"/>
          <w:i/>
          <w:sz w:val="24"/>
          <w:szCs w:val="24"/>
        </w:rPr>
        <w:t>C</w:t>
      </w:r>
      <w:r w:rsidRPr="007344EA">
        <w:rPr>
          <w:rFonts w:ascii="Times New Roman" w:hAnsi="Times New Roman" w:cs="Times New Roman"/>
          <w:i/>
          <w:sz w:val="24"/>
          <w:szCs w:val="24"/>
        </w:rPr>
        <w:noBreakHyphen/>
        <w:t>40/08</w:t>
      </w:r>
      <w:r w:rsidRPr="007344EA">
        <w:rPr>
          <w:rFonts w:ascii="Times New Roman" w:hAnsi="Times New Roman" w:cs="Times New Roman"/>
          <w:sz w:val="24"/>
          <w:szCs w:val="24"/>
        </w:rPr>
        <w:t xml:space="preserve">. </w:t>
      </w:r>
      <w:r w:rsidRPr="007344EA">
        <w:rPr>
          <w:rFonts w:ascii="Times New Roman" w:hAnsi="Times New Roman" w:cs="Times New Roman"/>
          <w:i/>
          <w:sz w:val="24"/>
          <w:szCs w:val="24"/>
        </w:rPr>
        <w:t>European Review of Contract Law Volume 6 (Issue4)</w:t>
      </w:r>
      <w:r w:rsidRPr="007344EA">
        <w:rPr>
          <w:rFonts w:ascii="Times New Roman" w:hAnsi="Times New Roman" w:cs="Times New Roman"/>
          <w:sz w:val="24"/>
          <w:szCs w:val="24"/>
        </w:rPr>
        <w:t xml:space="preserve"> </w:t>
      </w:r>
      <w:r w:rsidRPr="007344EA">
        <w:rPr>
          <w:rFonts w:ascii="Times New Roman" w:hAnsi="Times New Roman" w:cs="Times New Roman"/>
          <w:sz w:val="24"/>
          <w:szCs w:val="24"/>
          <w:lang w:val="en-US"/>
        </w:rPr>
        <w:t>2010</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rPr>
        <w:t xml:space="preserve">Micklitz H. Reforming European unfair terms legislation in consumer contracts </w:t>
      </w:r>
      <w:r w:rsidRPr="007344EA">
        <w:rPr>
          <w:rFonts w:ascii="Times New Roman" w:hAnsi="Times New Roman" w:cs="Times New Roman"/>
          <w:i/>
          <w:sz w:val="24"/>
          <w:szCs w:val="24"/>
        </w:rPr>
        <w:t>European review of contract law</w:t>
      </w:r>
      <w:r w:rsidRPr="007344EA">
        <w:rPr>
          <w:rFonts w:ascii="Times New Roman" w:hAnsi="Times New Roman" w:cs="Times New Roman"/>
          <w:sz w:val="24"/>
          <w:szCs w:val="24"/>
        </w:rPr>
        <w:t xml:space="preserve">. Vol. 6, no. 4,  </w:t>
      </w:r>
      <w:r w:rsidRPr="007344EA">
        <w:rPr>
          <w:rFonts w:ascii="Times New Roman" w:hAnsi="Times New Roman" w:cs="Times New Roman"/>
          <w:sz w:val="24"/>
          <w:szCs w:val="24"/>
          <w:lang w:val="en-US"/>
        </w:rPr>
        <w:t xml:space="preserve">2010. </w:t>
      </w:r>
      <w:r w:rsidRPr="007344EA">
        <w:rPr>
          <w:rFonts w:ascii="Times New Roman" w:hAnsi="Times New Roman" w:cs="Times New Roman"/>
          <w:sz w:val="24"/>
          <w:szCs w:val="24"/>
        </w:rPr>
        <w:t xml:space="preserve">p. 347- 383.  </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lang w:val="en-US"/>
        </w:rPr>
      </w:pPr>
      <w:r w:rsidRPr="007344EA">
        <w:rPr>
          <w:rFonts w:ascii="Times New Roman" w:hAnsi="Times New Roman" w:cs="Times New Roman"/>
          <w:sz w:val="24"/>
          <w:szCs w:val="24"/>
        </w:rPr>
        <w:t xml:space="preserve">Norkus. R., Prapiestytė D., Valančius V. </w:t>
      </w:r>
      <w:r w:rsidRPr="007344EA">
        <w:rPr>
          <w:rFonts w:ascii="Times New Roman" w:hAnsi="Times New Roman" w:cs="Times New Roman"/>
          <w:i/>
          <w:sz w:val="24"/>
          <w:szCs w:val="24"/>
        </w:rPr>
        <w:t>Procesas Europos Bendrijų Teisingumo teisme: preliminarus nutarimas</w:t>
      </w:r>
      <w:r w:rsidRPr="007344EA">
        <w:rPr>
          <w:rFonts w:ascii="Times New Roman" w:hAnsi="Times New Roman" w:cs="Times New Roman"/>
          <w:sz w:val="24"/>
          <w:szCs w:val="24"/>
        </w:rPr>
        <w:t xml:space="preserve">. Vilnius: Teisinės informacijos centras, </w:t>
      </w:r>
      <w:r w:rsidRPr="007344EA">
        <w:rPr>
          <w:rFonts w:ascii="Times New Roman" w:hAnsi="Times New Roman" w:cs="Times New Roman"/>
          <w:sz w:val="24"/>
          <w:szCs w:val="24"/>
          <w:lang w:val="en-US"/>
        </w:rPr>
        <w:t>2004.</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rPr>
        <w:t xml:space="preserve">Ravluševičius P. Europos Sąjungos vartotojų apsauga ir Lietuvos teisė. </w:t>
      </w:r>
      <w:r w:rsidRPr="007344EA">
        <w:rPr>
          <w:rFonts w:ascii="Times New Roman" w:hAnsi="Times New Roman" w:cs="Times New Roman"/>
          <w:i/>
          <w:sz w:val="24"/>
          <w:szCs w:val="24"/>
        </w:rPr>
        <w:t>Jurisprudencija</w:t>
      </w:r>
      <w:r w:rsidRPr="007344EA">
        <w:rPr>
          <w:rFonts w:ascii="Times New Roman" w:hAnsi="Times New Roman" w:cs="Times New Roman"/>
          <w:sz w:val="24"/>
          <w:szCs w:val="24"/>
        </w:rPr>
        <w:t>, 44(36).Vilnius: Lietuvos teisės universitetas, 2003 p. 95-102.</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rPr>
        <w:t xml:space="preserve">Ravluševičius P. Vartotojų teisių apsaugos ypatumai Europos Sąjungoje ir Lietuvos teisėje. </w:t>
      </w:r>
      <w:r w:rsidRPr="007344EA">
        <w:rPr>
          <w:rFonts w:ascii="Times New Roman" w:hAnsi="Times New Roman" w:cs="Times New Roman"/>
          <w:i/>
          <w:sz w:val="24"/>
          <w:szCs w:val="24"/>
        </w:rPr>
        <w:t>Jurisprudencija</w:t>
      </w:r>
      <w:r w:rsidRPr="007344EA">
        <w:rPr>
          <w:rFonts w:ascii="Times New Roman" w:hAnsi="Times New Roman" w:cs="Times New Roman"/>
          <w:sz w:val="24"/>
          <w:szCs w:val="24"/>
        </w:rPr>
        <w:t xml:space="preserve">,  2007 9(99). Vilnius : Mykolo Romerio universitetas, p. 48-53. </w:t>
      </w:r>
    </w:p>
    <w:p w:rsidR="00405B39" w:rsidRPr="007344EA" w:rsidRDefault="00405B39" w:rsidP="00E367AD">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Schulte–Nölke, H. , </w:t>
      </w:r>
      <w:r w:rsidRPr="007344EA">
        <w:rPr>
          <w:rFonts w:ascii="Times New Roman" w:hAnsi="Times New Roman" w:cs="Times New Roman"/>
          <w:i/>
          <w:sz w:val="24"/>
          <w:szCs w:val="24"/>
        </w:rPr>
        <w:t>et al.</w:t>
      </w:r>
      <w:r w:rsidRPr="007344EA">
        <w:rPr>
          <w:rFonts w:ascii="Times New Roman" w:hAnsi="Times New Roman" w:cs="Times New Roman"/>
          <w:sz w:val="24"/>
          <w:szCs w:val="24"/>
        </w:rPr>
        <w:t xml:space="preserve"> </w:t>
      </w:r>
      <w:r w:rsidRPr="007344EA">
        <w:rPr>
          <w:rFonts w:ascii="Times New Roman" w:hAnsi="Times New Roman" w:cs="Times New Roman"/>
          <w:i/>
          <w:sz w:val="24"/>
          <w:szCs w:val="24"/>
        </w:rPr>
        <w:t>EC Consumer Law Compendium. Comparative Analysis.</w:t>
      </w:r>
      <w:r w:rsidRPr="007344EA">
        <w:rPr>
          <w:rFonts w:ascii="Times New Roman" w:hAnsi="Times New Roman" w:cs="Times New Roman"/>
          <w:sz w:val="24"/>
          <w:szCs w:val="24"/>
        </w:rPr>
        <w:t xml:space="preserve"> 2008 [interaktyvu</w:t>
      </w:r>
      <w:r w:rsidR="00E367AD" w:rsidRPr="007344EA">
        <w:rPr>
          <w:rFonts w:ascii="Times New Roman" w:hAnsi="Times New Roman" w:cs="Times New Roman"/>
          <w:sz w:val="24"/>
          <w:szCs w:val="24"/>
        </w:rPr>
        <w:t xml:space="preserve">s]. [žiūrėta </w:t>
      </w:r>
      <w:r w:rsidRPr="007344EA">
        <w:rPr>
          <w:rFonts w:ascii="Times New Roman" w:hAnsi="Times New Roman" w:cs="Times New Roman"/>
          <w:sz w:val="24"/>
          <w:szCs w:val="24"/>
        </w:rPr>
        <w:t xml:space="preserve">2012-10-01]. </w:t>
      </w:r>
      <w:hyperlink r:id="rId15" w:history="1">
        <w:r w:rsidRPr="007344EA">
          <w:rPr>
            <w:rStyle w:val="Hyperlink"/>
            <w:rFonts w:ascii="Times New Roman" w:hAnsi="Times New Roman" w:cs="Times New Roman"/>
            <w:sz w:val="24"/>
            <w:szCs w:val="24"/>
          </w:rPr>
          <w:t>http://ec.europa.eu/consumers/rights/docs/consumer_law_compendium_comparative_analysis_en_final.pdf</w:t>
        </w:r>
      </w:hyperlink>
      <w:r w:rsidRPr="007344EA">
        <w:rPr>
          <w:rFonts w:ascii="Times New Roman" w:hAnsi="Times New Roman" w:cs="Times New Roman"/>
          <w:sz w:val="24"/>
          <w:szCs w:val="24"/>
        </w:rPr>
        <w:t>,</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bCs/>
          <w:sz w:val="24"/>
          <w:szCs w:val="24"/>
          <w:lang w:val="pt-PT"/>
        </w:rPr>
      </w:pPr>
      <w:r w:rsidRPr="007344EA">
        <w:rPr>
          <w:rFonts w:ascii="Times New Roman" w:hAnsi="Times New Roman" w:cs="Times New Roman"/>
          <w:sz w:val="24"/>
          <w:szCs w:val="24"/>
        </w:rPr>
        <w:t>Shilling M.</w:t>
      </w:r>
      <w:r w:rsidRPr="007344EA">
        <w:rPr>
          <w:rFonts w:ascii="Times New Roman" w:hAnsi="Times New Roman" w:cs="Times New Roman"/>
          <w:bCs/>
          <w:i/>
          <w:sz w:val="24"/>
          <w:szCs w:val="24"/>
        </w:rPr>
        <w:t xml:space="preserve"> </w:t>
      </w:r>
      <w:r w:rsidRPr="007344EA">
        <w:rPr>
          <w:rFonts w:ascii="Times New Roman" w:hAnsi="Times New Roman" w:cs="Times New Roman"/>
          <w:bCs/>
          <w:sz w:val="24"/>
          <w:szCs w:val="24"/>
        </w:rPr>
        <w:t xml:space="preserve">Inequality of bargaining power versus market for lemons: Legal paradigm change and  Court of Justice’s jurisprudence on Directive 93/13 on unfair contract terms. </w:t>
      </w:r>
      <w:r w:rsidRPr="007344EA">
        <w:rPr>
          <w:rFonts w:ascii="Times New Roman" w:hAnsi="Times New Roman" w:cs="Times New Roman"/>
          <w:bCs/>
          <w:i/>
          <w:sz w:val="24"/>
          <w:szCs w:val="24"/>
        </w:rPr>
        <w:t>European law review</w:t>
      </w:r>
      <w:r w:rsidRPr="007344EA">
        <w:rPr>
          <w:rFonts w:ascii="Times New Roman" w:hAnsi="Times New Roman" w:cs="Times New Roman"/>
          <w:bCs/>
          <w:sz w:val="24"/>
          <w:szCs w:val="24"/>
        </w:rPr>
        <w:t xml:space="preserve"> </w:t>
      </w:r>
      <w:r w:rsidRPr="007344EA">
        <w:rPr>
          <w:rFonts w:ascii="Times New Roman" w:hAnsi="Times New Roman" w:cs="Times New Roman"/>
          <w:bCs/>
          <w:sz w:val="24"/>
          <w:szCs w:val="24"/>
          <w:lang w:val="pt-PT"/>
        </w:rPr>
        <w:t>Vol. 33, no. 3, 2008.</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rPr>
        <w:lastRenderedPageBreak/>
        <w:t>Stuyck J. Case  C</w:t>
      </w:r>
      <w:r w:rsidRPr="007344EA">
        <w:rPr>
          <w:rFonts w:ascii="Times New Roman" w:hAnsi="Times New Roman" w:cs="Times New Roman"/>
          <w:sz w:val="24"/>
          <w:szCs w:val="24"/>
        </w:rPr>
        <w:noBreakHyphen/>
        <w:t>484/08</w:t>
      </w:r>
      <w:r w:rsidRPr="007344EA">
        <w:rPr>
          <w:rFonts w:ascii="Times New Roman" w:hAnsi="Times New Roman" w:cs="Times New Roman"/>
          <w:i/>
          <w:sz w:val="24"/>
          <w:szCs w:val="24"/>
        </w:rPr>
        <w:t xml:space="preserve"> </w:t>
      </w:r>
      <w:r w:rsidRPr="007344EA">
        <w:rPr>
          <w:rFonts w:ascii="Times New Roman" w:hAnsi="Times New Roman" w:cs="Times New Roman"/>
          <w:bCs/>
          <w:i/>
          <w:sz w:val="24"/>
          <w:szCs w:val="24"/>
        </w:rPr>
        <w:t xml:space="preserve">Caja de Ahorros y Monte de Piedad de Madrid </w:t>
      </w:r>
      <w:r w:rsidRPr="007344EA">
        <w:rPr>
          <w:rFonts w:ascii="Times New Roman" w:hAnsi="Times New Roman" w:cs="Times New Roman"/>
          <w:i/>
          <w:sz w:val="24"/>
          <w:szCs w:val="24"/>
        </w:rPr>
        <w:t xml:space="preserve">v </w:t>
      </w:r>
      <w:r w:rsidRPr="007344EA">
        <w:rPr>
          <w:rFonts w:ascii="Times New Roman" w:hAnsi="Times New Roman" w:cs="Times New Roman"/>
          <w:bCs/>
          <w:i/>
          <w:sz w:val="24"/>
          <w:szCs w:val="24"/>
        </w:rPr>
        <w:t>Asociación de Usuarios de Servicios Bancarios (Ausbanc)</w:t>
      </w:r>
      <w:r w:rsidRPr="007344EA">
        <w:rPr>
          <w:rFonts w:ascii="Times New Roman" w:hAnsi="Times New Roman" w:cs="Times New Roman"/>
          <w:sz w:val="24"/>
          <w:szCs w:val="24"/>
        </w:rPr>
        <w:t xml:space="preserve">  </w:t>
      </w:r>
      <w:r w:rsidRPr="007344EA">
        <w:rPr>
          <w:rFonts w:ascii="Times New Roman" w:hAnsi="Times New Roman" w:cs="Times New Roman"/>
          <w:i/>
          <w:sz w:val="24"/>
          <w:szCs w:val="24"/>
        </w:rPr>
        <w:t>European Review of Contract Law Volume 6 (Issue 4),</w:t>
      </w:r>
      <w:r w:rsidRPr="007344EA">
        <w:rPr>
          <w:rFonts w:ascii="Times New Roman" w:hAnsi="Times New Roman" w:cs="Times New Roman"/>
          <w:sz w:val="24"/>
          <w:szCs w:val="24"/>
        </w:rPr>
        <w:t xml:space="preserve"> 2010, p. 449-452.  </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lang w:val="en-US"/>
        </w:rPr>
      </w:pPr>
      <w:r w:rsidRPr="007344EA">
        <w:rPr>
          <w:rFonts w:ascii="Times New Roman" w:hAnsi="Times New Roman" w:cs="Times New Roman"/>
          <w:sz w:val="24"/>
          <w:szCs w:val="24"/>
        </w:rPr>
        <w:t xml:space="preserve">Tenreiro M. The Community Directive on Unfair Terms and National Legal Systems. </w:t>
      </w:r>
      <w:r w:rsidRPr="007344EA">
        <w:rPr>
          <w:rFonts w:ascii="Times New Roman" w:hAnsi="Times New Roman" w:cs="Times New Roman"/>
          <w:i/>
          <w:sz w:val="24"/>
          <w:szCs w:val="24"/>
        </w:rPr>
        <w:t xml:space="preserve">European Review of Privite Law </w:t>
      </w:r>
      <w:r w:rsidRPr="007344EA">
        <w:rPr>
          <w:rFonts w:ascii="Times New Roman" w:hAnsi="Times New Roman" w:cs="Times New Roman"/>
          <w:i/>
          <w:sz w:val="24"/>
          <w:szCs w:val="24"/>
          <w:lang w:val="en-US"/>
        </w:rPr>
        <w:t>3.</w:t>
      </w:r>
      <w:r w:rsidRPr="007344EA">
        <w:rPr>
          <w:rFonts w:ascii="Times New Roman" w:hAnsi="Times New Roman" w:cs="Times New Roman"/>
          <w:sz w:val="24"/>
          <w:szCs w:val="24"/>
          <w:lang w:val="en-US"/>
        </w:rPr>
        <w:t xml:space="preserve"> Netherlands 1995, p. 273-284.</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lang w:val="en-US"/>
        </w:rPr>
      </w:pPr>
      <w:r w:rsidRPr="007344EA">
        <w:rPr>
          <w:rFonts w:ascii="Times New Roman" w:hAnsi="Times New Roman" w:cs="Times New Roman"/>
          <w:sz w:val="24"/>
          <w:szCs w:val="24"/>
        </w:rPr>
        <w:t>Uff K. The incorporation of the Unfair Terms in consumer contracts directive into English law,</w:t>
      </w:r>
      <w:r w:rsidRPr="007344EA">
        <w:rPr>
          <w:rFonts w:ascii="Times New Roman" w:hAnsi="Times New Roman" w:cs="Times New Roman"/>
          <w:sz w:val="24"/>
          <w:szCs w:val="24"/>
          <w:lang w:val="en-GB"/>
        </w:rPr>
        <w:t xml:space="preserve"> </w:t>
      </w:r>
      <w:r w:rsidRPr="007344EA">
        <w:rPr>
          <w:rFonts w:ascii="Times New Roman" w:hAnsi="Times New Roman" w:cs="Times New Roman"/>
          <w:i/>
          <w:sz w:val="24"/>
          <w:szCs w:val="24"/>
          <w:lang w:val="en-GB"/>
        </w:rPr>
        <w:t xml:space="preserve">Enhancing the legal position of the European consumer, </w:t>
      </w:r>
      <w:r w:rsidRPr="007344EA">
        <w:rPr>
          <w:rFonts w:ascii="Times New Roman" w:hAnsi="Times New Roman" w:cs="Times New Roman"/>
          <w:sz w:val="24"/>
          <w:szCs w:val="24"/>
          <w:lang w:val="en-US"/>
        </w:rPr>
        <w:t>1996.</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rPr>
        <w:t xml:space="preserve">Vaišvila A.  </w:t>
      </w:r>
      <w:r w:rsidRPr="007344EA">
        <w:rPr>
          <w:rFonts w:ascii="Times New Roman" w:hAnsi="Times New Roman" w:cs="Times New Roman"/>
          <w:i/>
          <w:sz w:val="24"/>
          <w:szCs w:val="24"/>
        </w:rPr>
        <w:t>Teisės Teorija -</w:t>
      </w:r>
      <w:r w:rsidRPr="007344EA">
        <w:rPr>
          <w:rFonts w:ascii="Times New Roman" w:hAnsi="Times New Roman" w:cs="Times New Roman"/>
          <w:i/>
          <w:sz w:val="24"/>
          <w:szCs w:val="24"/>
          <w:lang w:val="en-US"/>
        </w:rPr>
        <w:t>3-iasis leidimas</w:t>
      </w:r>
      <w:r w:rsidRPr="007344EA">
        <w:rPr>
          <w:rFonts w:ascii="Times New Roman" w:hAnsi="Times New Roman" w:cs="Times New Roman"/>
          <w:sz w:val="24"/>
          <w:szCs w:val="24"/>
          <w:lang w:val="en-US"/>
        </w:rPr>
        <w:t xml:space="preserve">. </w:t>
      </w:r>
      <w:r w:rsidRPr="007344EA">
        <w:rPr>
          <w:rFonts w:ascii="Times New Roman" w:hAnsi="Times New Roman" w:cs="Times New Roman"/>
          <w:sz w:val="24"/>
          <w:szCs w:val="24"/>
        </w:rPr>
        <w:t xml:space="preserve"> Mykolo Romerio universitetas, Vilnius. Justitia, 2009.</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rPr>
        <w:t xml:space="preserve">Vėgėlė I. </w:t>
      </w:r>
      <w:r w:rsidRPr="007344EA">
        <w:rPr>
          <w:rFonts w:ascii="Times New Roman" w:hAnsi="Times New Roman" w:cs="Times New Roman"/>
          <w:i/>
          <w:sz w:val="24"/>
          <w:szCs w:val="24"/>
        </w:rPr>
        <w:t>Europos Sąjungos teisė. Vidaus rinkos laisvės, konkurencija ir teisės derinimas</w:t>
      </w:r>
      <w:r w:rsidRPr="007344EA">
        <w:rPr>
          <w:rFonts w:ascii="Times New Roman" w:hAnsi="Times New Roman" w:cs="Times New Roman"/>
          <w:sz w:val="24"/>
          <w:szCs w:val="24"/>
        </w:rPr>
        <w:t xml:space="preserve">. Vilnius: VĮ Registrų centras, 2011. </w:t>
      </w:r>
    </w:p>
    <w:p w:rsidR="00405B39" w:rsidRPr="007344EA" w:rsidRDefault="00405B39" w:rsidP="00536054">
      <w:pPr>
        <w:pStyle w:val="ListParagraph"/>
        <w:numPr>
          <w:ilvl w:val="0"/>
          <w:numId w:val="19"/>
        </w:numPr>
        <w:spacing w:after="0" w:line="360" w:lineRule="auto"/>
        <w:jc w:val="both"/>
        <w:rPr>
          <w:rFonts w:ascii="Times New Roman" w:hAnsi="Times New Roman" w:cs="Times New Roman"/>
          <w:sz w:val="24"/>
          <w:szCs w:val="24"/>
        </w:rPr>
      </w:pPr>
      <w:r w:rsidRPr="007344EA">
        <w:rPr>
          <w:rFonts w:ascii="Times New Roman" w:hAnsi="Times New Roman" w:cs="Times New Roman"/>
          <w:sz w:val="24"/>
          <w:szCs w:val="24"/>
        </w:rPr>
        <w:t>Začiurinskaitė R. Nesąžiningos sąlygos vartojimo sutartyse: teoriniai ir praktiniai aspektai.</w:t>
      </w:r>
      <w:r w:rsidRPr="007344EA">
        <w:rPr>
          <w:rFonts w:ascii="Times New Roman" w:hAnsi="Times New Roman" w:cs="Times New Roman"/>
          <w:i/>
          <w:sz w:val="24"/>
          <w:szCs w:val="24"/>
        </w:rPr>
        <w:t xml:space="preserve">  Justitia</w:t>
      </w:r>
      <w:r w:rsidRPr="007344EA">
        <w:rPr>
          <w:rFonts w:ascii="Times New Roman" w:hAnsi="Times New Roman" w:cs="Times New Roman"/>
          <w:sz w:val="24"/>
          <w:szCs w:val="24"/>
        </w:rPr>
        <w:t xml:space="preserve">, Nr. 2 (50), 2004. </w:t>
      </w:r>
    </w:p>
    <w:p w:rsidR="00405B39" w:rsidRPr="007344EA" w:rsidRDefault="00405B39" w:rsidP="00536054">
      <w:pPr>
        <w:spacing w:after="0" w:line="360" w:lineRule="auto"/>
        <w:rPr>
          <w:rFonts w:ascii="Times New Roman" w:hAnsi="Times New Roman" w:cs="Times New Roman"/>
          <w:sz w:val="24"/>
          <w:szCs w:val="24"/>
        </w:rPr>
      </w:pPr>
    </w:p>
    <w:p w:rsidR="00536054" w:rsidRPr="007344EA" w:rsidRDefault="00A77D7F" w:rsidP="00536054">
      <w:pPr>
        <w:spacing w:after="0" w:line="360" w:lineRule="auto"/>
        <w:rPr>
          <w:rFonts w:ascii="Times New Roman" w:hAnsi="Times New Roman" w:cs="Times New Roman"/>
          <w:b/>
          <w:sz w:val="24"/>
          <w:szCs w:val="24"/>
        </w:rPr>
      </w:pPr>
      <w:r w:rsidRPr="007344EA">
        <w:rPr>
          <w:rFonts w:ascii="Times New Roman" w:hAnsi="Times New Roman" w:cs="Times New Roman"/>
          <w:b/>
          <w:sz w:val="24"/>
          <w:szCs w:val="24"/>
        </w:rPr>
        <w:t xml:space="preserve">Europos Sąjungos Teisingumo Teismo bylos bei Generalinio advokato išvados: </w:t>
      </w:r>
    </w:p>
    <w:p w:rsidR="007344EA" w:rsidRPr="007344EA" w:rsidRDefault="007344EA" w:rsidP="00536054">
      <w:pPr>
        <w:spacing w:after="0" w:line="360" w:lineRule="auto"/>
        <w:rPr>
          <w:rFonts w:ascii="Times New Roman" w:hAnsi="Times New Roman" w:cs="Times New Roman"/>
          <w:b/>
          <w:sz w:val="24"/>
          <w:szCs w:val="24"/>
        </w:rPr>
      </w:pPr>
    </w:p>
    <w:p w:rsidR="00EF4F12" w:rsidRPr="007344EA" w:rsidRDefault="00A77D7F"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Cases C-240/98- C-244/98 </w:t>
      </w:r>
      <w:r w:rsidRPr="007344EA">
        <w:rPr>
          <w:rFonts w:ascii="Times New Roman" w:hAnsi="Times New Roman" w:cs="Times New Roman"/>
          <w:i/>
          <w:sz w:val="24"/>
          <w:szCs w:val="24"/>
        </w:rPr>
        <w:t xml:space="preserve">Océano Grupo Editorial SA , </w:t>
      </w:r>
      <w:r w:rsidRPr="007344EA">
        <w:rPr>
          <w:rFonts w:ascii="Times New Roman" w:hAnsi="Times New Roman" w:cs="Times New Roman"/>
          <w:bCs/>
          <w:i/>
          <w:sz w:val="24"/>
          <w:szCs w:val="24"/>
        </w:rPr>
        <w:t xml:space="preserve">Rocío Murciano Quintero </w:t>
      </w:r>
      <w:r w:rsidRPr="007344EA">
        <w:rPr>
          <w:rFonts w:ascii="Times New Roman" w:hAnsi="Times New Roman" w:cs="Times New Roman"/>
          <w:i/>
          <w:sz w:val="24"/>
          <w:szCs w:val="24"/>
        </w:rPr>
        <w:t xml:space="preserve">ir </w:t>
      </w:r>
      <w:r w:rsidRPr="007344EA">
        <w:rPr>
          <w:rFonts w:ascii="Times New Roman" w:hAnsi="Times New Roman" w:cs="Times New Roman"/>
          <w:bCs/>
          <w:i/>
          <w:sz w:val="24"/>
          <w:szCs w:val="24"/>
        </w:rPr>
        <w:t xml:space="preserve">Salvat Editores SA </w:t>
      </w:r>
      <w:r w:rsidRPr="007344EA">
        <w:rPr>
          <w:rFonts w:ascii="Times New Roman" w:hAnsi="Times New Roman" w:cs="Times New Roman"/>
          <w:i/>
          <w:sz w:val="24"/>
          <w:szCs w:val="24"/>
        </w:rPr>
        <w:t xml:space="preserve">v </w:t>
      </w:r>
      <w:r w:rsidRPr="007344EA">
        <w:rPr>
          <w:rFonts w:ascii="Times New Roman" w:hAnsi="Times New Roman" w:cs="Times New Roman"/>
          <w:bCs/>
          <w:i/>
          <w:sz w:val="24"/>
          <w:szCs w:val="24"/>
        </w:rPr>
        <w:t>José M. Sánchez Alcón Prades</w:t>
      </w:r>
      <w:r w:rsidRPr="007344EA">
        <w:rPr>
          <w:rFonts w:ascii="Times New Roman" w:hAnsi="Times New Roman" w:cs="Times New Roman"/>
          <w:i/>
          <w:sz w:val="24"/>
          <w:szCs w:val="24"/>
        </w:rPr>
        <w:t xml:space="preserve">, </w:t>
      </w:r>
      <w:r w:rsidRPr="007344EA">
        <w:rPr>
          <w:rFonts w:ascii="Times New Roman" w:hAnsi="Times New Roman" w:cs="Times New Roman"/>
          <w:bCs/>
          <w:i/>
          <w:sz w:val="24"/>
          <w:szCs w:val="24"/>
        </w:rPr>
        <w:t>José Luis Copano Badillo</w:t>
      </w:r>
      <w:r w:rsidRPr="007344EA">
        <w:rPr>
          <w:rFonts w:ascii="Times New Roman" w:hAnsi="Times New Roman" w:cs="Times New Roman"/>
          <w:i/>
          <w:sz w:val="24"/>
          <w:szCs w:val="24"/>
        </w:rPr>
        <w:t xml:space="preserve"> , </w:t>
      </w:r>
      <w:r w:rsidRPr="007344EA">
        <w:rPr>
          <w:rFonts w:ascii="Times New Roman" w:hAnsi="Times New Roman" w:cs="Times New Roman"/>
          <w:bCs/>
          <w:i/>
          <w:sz w:val="24"/>
          <w:szCs w:val="24"/>
        </w:rPr>
        <w:t xml:space="preserve">Mohammed Berroane </w:t>
      </w:r>
      <w:r w:rsidRPr="007344EA">
        <w:rPr>
          <w:rFonts w:ascii="Times New Roman" w:hAnsi="Times New Roman" w:cs="Times New Roman"/>
          <w:i/>
          <w:sz w:val="24"/>
          <w:szCs w:val="24"/>
        </w:rPr>
        <w:t xml:space="preserve">, </w:t>
      </w:r>
      <w:r w:rsidRPr="007344EA">
        <w:rPr>
          <w:rFonts w:ascii="Times New Roman" w:hAnsi="Times New Roman" w:cs="Times New Roman"/>
          <w:bCs/>
          <w:i/>
          <w:sz w:val="24"/>
          <w:szCs w:val="24"/>
        </w:rPr>
        <w:t xml:space="preserve">Emilio Viñas Feliu </w:t>
      </w:r>
      <w:r w:rsidRPr="007344EA">
        <w:rPr>
          <w:rFonts w:ascii="Times New Roman" w:hAnsi="Times New Roman" w:cs="Times New Roman"/>
          <w:bCs/>
          <w:sz w:val="24"/>
          <w:szCs w:val="24"/>
        </w:rPr>
        <w:t>[</w:t>
      </w:r>
      <w:r w:rsidRPr="007344EA">
        <w:rPr>
          <w:rFonts w:ascii="Times New Roman" w:hAnsi="Times New Roman" w:cs="Times New Roman"/>
          <w:sz w:val="24"/>
          <w:szCs w:val="24"/>
        </w:rPr>
        <w:t>2000] ECR I-04941.</w:t>
      </w:r>
    </w:p>
    <w:p w:rsidR="00A77D7F" w:rsidRPr="007344EA" w:rsidRDefault="00A77D7F" w:rsidP="00536054">
      <w:pPr>
        <w:pStyle w:val="ListParagraph"/>
        <w:numPr>
          <w:ilvl w:val="0"/>
          <w:numId w:val="19"/>
        </w:numPr>
        <w:spacing w:after="0" w:line="360" w:lineRule="auto"/>
        <w:rPr>
          <w:rFonts w:ascii="Times New Roman" w:hAnsi="Times New Roman" w:cs="Times New Roman"/>
          <w:bCs/>
          <w:i/>
          <w:sz w:val="24"/>
          <w:szCs w:val="24"/>
        </w:rPr>
      </w:pPr>
      <w:r w:rsidRPr="007344EA">
        <w:rPr>
          <w:rFonts w:ascii="Times New Roman" w:hAnsi="Times New Roman" w:cs="Times New Roman"/>
          <w:sz w:val="24"/>
          <w:szCs w:val="24"/>
        </w:rPr>
        <w:t xml:space="preserve">Opinion of Advocate General Saggio in Case C-240/98- C-244/98 </w:t>
      </w:r>
      <w:r w:rsidRPr="007344EA">
        <w:rPr>
          <w:rFonts w:ascii="Times New Roman" w:hAnsi="Times New Roman" w:cs="Times New Roman"/>
          <w:i/>
          <w:sz w:val="24"/>
          <w:szCs w:val="24"/>
        </w:rPr>
        <w:t xml:space="preserve">Océano Grupo Editorial SA , </w:t>
      </w:r>
      <w:r w:rsidRPr="007344EA">
        <w:rPr>
          <w:rFonts w:ascii="Times New Roman" w:hAnsi="Times New Roman" w:cs="Times New Roman"/>
          <w:bCs/>
          <w:i/>
          <w:sz w:val="24"/>
          <w:szCs w:val="24"/>
        </w:rPr>
        <w:t xml:space="preserve">Rocío Murciano Quintero </w:t>
      </w:r>
      <w:r w:rsidRPr="007344EA">
        <w:rPr>
          <w:rFonts w:ascii="Times New Roman" w:hAnsi="Times New Roman" w:cs="Times New Roman"/>
          <w:i/>
          <w:sz w:val="24"/>
          <w:szCs w:val="24"/>
        </w:rPr>
        <w:t xml:space="preserve">ir </w:t>
      </w:r>
      <w:r w:rsidRPr="007344EA">
        <w:rPr>
          <w:rFonts w:ascii="Times New Roman" w:hAnsi="Times New Roman" w:cs="Times New Roman"/>
          <w:bCs/>
          <w:i/>
          <w:sz w:val="24"/>
          <w:szCs w:val="24"/>
        </w:rPr>
        <w:t xml:space="preserve">Salvat Editores SA </w:t>
      </w:r>
      <w:r w:rsidRPr="007344EA">
        <w:rPr>
          <w:rFonts w:ascii="Times New Roman" w:hAnsi="Times New Roman" w:cs="Times New Roman"/>
          <w:i/>
          <w:sz w:val="24"/>
          <w:szCs w:val="24"/>
        </w:rPr>
        <w:t xml:space="preserve">v </w:t>
      </w:r>
      <w:r w:rsidRPr="007344EA">
        <w:rPr>
          <w:rFonts w:ascii="Times New Roman" w:hAnsi="Times New Roman" w:cs="Times New Roman"/>
          <w:bCs/>
          <w:i/>
          <w:sz w:val="24"/>
          <w:szCs w:val="24"/>
        </w:rPr>
        <w:t>José M. Sánchez Alcón Prades</w:t>
      </w:r>
      <w:r w:rsidRPr="007344EA">
        <w:rPr>
          <w:rFonts w:ascii="Times New Roman" w:hAnsi="Times New Roman" w:cs="Times New Roman"/>
          <w:i/>
          <w:sz w:val="24"/>
          <w:szCs w:val="24"/>
        </w:rPr>
        <w:t xml:space="preserve">, </w:t>
      </w:r>
      <w:r w:rsidRPr="007344EA">
        <w:rPr>
          <w:rFonts w:ascii="Times New Roman" w:hAnsi="Times New Roman" w:cs="Times New Roman"/>
          <w:bCs/>
          <w:i/>
          <w:sz w:val="24"/>
          <w:szCs w:val="24"/>
        </w:rPr>
        <w:t>José Luis Copano Badillo</w:t>
      </w:r>
      <w:r w:rsidRPr="007344EA">
        <w:rPr>
          <w:rFonts w:ascii="Times New Roman" w:hAnsi="Times New Roman" w:cs="Times New Roman"/>
          <w:i/>
          <w:sz w:val="24"/>
          <w:szCs w:val="24"/>
        </w:rPr>
        <w:t xml:space="preserve"> , </w:t>
      </w:r>
      <w:r w:rsidRPr="007344EA">
        <w:rPr>
          <w:rFonts w:ascii="Times New Roman" w:hAnsi="Times New Roman" w:cs="Times New Roman"/>
          <w:bCs/>
          <w:i/>
          <w:sz w:val="24"/>
          <w:szCs w:val="24"/>
        </w:rPr>
        <w:t xml:space="preserve">Mohammed Berroane </w:t>
      </w:r>
      <w:r w:rsidRPr="007344EA">
        <w:rPr>
          <w:rFonts w:ascii="Times New Roman" w:hAnsi="Times New Roman" w:cs="Times New Roman"/>
          <w:i/>
          <w:sz w:val="24"/>
          <w:szCs w:val="24"/>
        </w:rPr>
        <w:t xml:space="preserve">, </w:t>
      </w:r>
      <w:r w:rsidRPr="007344EA">
        <w:rPr>
          <w:rFonts w:ascii="Times New Roman" w:hAnsi="Times New Roman" w:cs="Times New Roman"/>
          <w:bCs/>
          <w:i/>
          <w:sz w:val="24"/>
          <w:szCs w:val="24"/>
        </w:rPr>
        <w:t xml:space="preserve">Emilio Viñas Feliu, </w:t>
      </w:r>
      <w:r w:rsidRPr="007344EA">
        <w:rPr>
          <w:rFonts w:ascii="Times New Roman" w:hAnsi="Times New Roman" w:cs="Times New Roman"/>
          <w:bCs/>
          <w:sz w:val="24"/>
          <w:szCs w:val="24"/>
        </w:rPr>
        <w:t>deliverd on 16 December 1999</w:t>
      </w:r>
      <w:r w:rsidRPr="007344EA">
        <w:rPr>
          <w:rFonts w:ascii="Times New Roman" w:hAnsi="Times New Roman" w:cs="Times New Roman"/>
          <w:bCs/>
          <w:i/>
          <w:sz w:val="24"/>
          <w:szCs w:val="24"/>
        </w:rPr>
        <w:t xml:space="preserve">. </w:t>
      </w:r>
    </w:p>
    <w:p w:rsidR="00A77D7F" w:rsidRPr="007344EA" w:rsidRDefault="00A77D7F"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Case C-144/99 </w:t>
      </w:r>
      <w:r w:rsidRPr="007344EA">
        <w:rPr>
          <w:rFonts w:ascii="Times New Roman" w:hAnsi="Times New Roman" w:cs="Times New Roman"/>
          <w:i/>
          <w:sz w:val="24"/>
          <w:szCs w:val="24"/>
        </w:rPr>
        <w:t xml:space="preserve">Commission of the European Communities v .Kingdom of Netherlands </w:t>
      </w:r>
      <w:r w:rsidRPr="007344EA">
        <w:rPr>
          <w:rFonts w:ascii="Times New Roman" w:hAnsi="Times New Roman" w:cs="Times New Roman"/>
          <w:sz w:val="24"/>
          <w:szCs w:val="24"/>
        </w:rPr>
        <w:t>[2001]</w:t>
      </w:r>
      <w:r w:rsidRPr="007344EA">
        <w:rPr>
          <w:rFonts w:ascii="Times New Roman" w:hAnsi="Times New Roman" w:cs="Times New Roman"/>
          <w:i/>
          <w:sz w:val="24"/>
          <w:szCs w:val="24"/>
        </w:rPr>
        <w:t xml:space="preserve"> </w:t>
      </w:r>
      <w:r w:rsidRPr="007344EA">
        <w:rPr>
          <w:rFonts w:ascii="Times New Roman" w:hAnsi="Times New Roman" w:cs="Times New Roman"/>
          <w:sz w:val="24"/>
          <w:szCs w:val="24"/>
        </w:rPr>
        <w:t>I-03541.</w:t>
      </w:r>
    </w:p>
    <w:p w:rsidR="00EF4F12" w:rsidRPr="007344EA" w:rsidRDefault="00A77D7F" w:rsidP="00536054">
      <w:pPr>
        <w:pStyle w:val="ListParagraph"/>
        <w:numPr>
          <w:ilvl w:val="0"/>
          <w:numId w:val="19"/>
        </w:numPr>
        <w:spacing w:after="0" w:line="360" w:lineRule="auto"/>
        <w:rPr>
          <w:rFonts w:ascii="Times New Roman" w:hAnsi="Times New Roman" w:cs="Times New Roman"/>
          <w:i/>
          <w:sz w:val="24"/>
          <w:szCs w:val="24"/>
        </w:rPr>
      </w:pPr>
      <w:r w:rsidRPr="007344EA">
        <w:rPr>
          <w:rFonts w:ascii="Times New Roman" w:hAnsi="Times New Roman" w:cs="Times New Roman"/>
          <w:sz w:val="24"/>
          <w:szCs w:val="24"/>
        </w:rPr>
        <w:t xml:space="preserve">Opinion of Advocate General Tizzano in Case C-144/99 </w:t>
      </w:r>
      <w:r w:rsidRPr="007344EA">
        <w:rPr>
          <w:rFonts w:ascii="Times New Roman" w:hAnsi="Times New Roman" w:cs="Times New Roman"/>
          <w:i/>
          <w:sz w:val="24"/>
          <w:szCs w:val="24"/>
        </w:rPr>
        <w:t xml:space="preserve">Commission of the European Communities v .Kingdom of Netherlands, </w:t>
      </w:r>
      <w:r w:rsidRPr="007344EA">
        <w:rPr>
          <w:rFonts w:ascii="Times New Roman" w:hAnsi="Times New Roman" w:cs="Times New Roman"/>
          <w:sz w:val="24"/>
          <w:szCs w:val="24"/>
        </w:rPr>
        <w:t>delivered on 23 January 2001.</w:t>
      </w:r>
      <w:r w:rsidRPr="007344EA">
        <w:rPr>
          <w:rFonts w:ascii="Times New Roman" w:hAnsi="Times New Roman" w:cs="Times New Roman"/>
          <w:i/>
          <w:sz w:val="24"/>
          <w:szCs w:val="24"/>
        </w:rPr>
        <w:t xml:space="preserve"> </w:t>
      </w:r>
    </w:p>
    <w:p w:rsidR="00A77D7F" w:rsidRPr="007344EA" w:rsidRDefault="00A77D7F" w:rsidP="00536054">
      <w:pPr>
        <w:pStyle w:val="ListParagraph"/>
        <w:numPr>
          <w:ilvl w:val="0"/>
          <w:numId w:val="19"/>
        </w:numPr>
        <w:spacing w:after="0" w:line="360" w:lineRule="auto"/>
        <w:rPr>
          <w:rFonts w:ascii="Times New Roman" w:hAnsi="Times New Roman" w:cs="Times New Roman"/>
          <w:i/>
          <w:sz w:val="24"/>
          <w:szCs w:val="24"/>
        </w:rPr>
      </w:pPr>
      <w:r w:rsidRPr="007344EA">
        <w:rPr>
          <w:rFonts w:ascii="Times New Roman" w:hAnsi="Times New Roman" w:cs="Times New Roman"/>
          <w:sz w:val="24"/>
          <w:szCs w:val="24"/>
        </w:rPr>
        <w:t xml:space="preserve">Cases C-541/99 , C-542/99 </w:t>
      </w:r>
      <w:r w:rsidRPr="007344EA">
        <w:rPr>
          <w:rFonts w:ascii="Times New Roman" w:hAnsi="Times New Roman" w:cs="Times New Roman"/>
          <w:i/>
          <w:sz w:val="24"/>
          <w:szCs w:val="24"/>
        </w:rPr>
        <w:t xml:space="preserve">Cape Snc v </w:t>
      </w:r>
      <w:r w:rsidRPr="007344EA">
        <w:rPr>
          <w:rFonts w:ascii="Times New Roman" w:hAnsi="Times New Roman" w:cs="Times New Roman"/>
          <w:bCs/>
          <w:i/>
          <w:sz w:val="24"/>
          <w:szCs w:val="24"/>
        </w:rPr>
        <w:t>Idealservice Srl</w:t>
      </w:r>
      <w:r w:rsidRPr="007344EA">
        <w:rPr>
          <w:rFonts w:ascii="Times New Roman" w:hAnsi="Times New Roman" w:cs="Times New Roman"/>
          <w:i/>
          <w:sz w:val="24"/>
          <w:szCs w:val="24"/>
        </w:rPr>
        <w:t xml:space="preserve">, </w:t>
      </w:r>
      <w:r w:rsidRPr="007344EA">
        <w:rPr>
          <w:rFonts w:ascii="Times New Roman" w:hAnsi="Times New Roman" w:cs="Times New Roman"/>
          <w:bCs/>
          <w:i/>
          <w:sz w:val="24"/>
          <w:szCs w:val="24"/>
        </w:rPr>
        <w:t>Idealservice MN RE Sas</w:t>
      </w:r>
      <w:r w:rsidRPr="007344EA">
        <w:rPr>
          <w:rFonts w:ascii="Times New Roman" w:hAnsi="Times New Roman" w:cs="Times New Roman"/>
          <w:i/>
          <w:sz w:val="24"/>
          <w:szCs w:val="24"/>
        </w:rPr>
        <w:t xml:space="preserve"> v </w:t>
      </w:r>
      <w:r w:rsidRPr="007344EA">
        <w:rPr>
          <w:rFonts w:ascii="Times New Roman" w:hAnsi="Times New Roman" w:cs="Times New Roman"/>
          <w:bCs/>
          <w:i/>
          <w:sz w:val="24"/>
          <w:szCs w:val="24"/>
        </w:rPr>
        <w:t>OMAI Srl</w:t>
      </w:r>
      <w:r w:rsidRPr="007344EA">
        <w:rPr>
          <w:rFonts w:ascii="Times New Roman" w:hAnsi="Times New Roman" w:cs="Times New Roman"/>
          <w:bCs/>
          <w:sz w:val="24"/>
          <w:szCs w:val="24"/>
        </w:rPr>
        <w:t xml:space="preserve"> [2001] ECR I-</w:t>
      </w:r>
      <w:r w:rsidRPr="007344EA">
        <w:rPr>
          <w:rFonts w:ascii="Times New Roman" w:hAnsi="Times New Roman" w:cs="Times New Roman"/>
          <w:i/>
          <w:iCs/>
          <w:sz w:val="24"/>
          <w:szCs w:val="24"/>
        </w:rPr>
        <w:t>09049.</w:t>
      </w:r>
    </w:p>
    <w:p w:rsidR="00A77D7F" w:rsidRPr="007344EA" w:rsidRDefault="00A77D7F" w:rsidP="00536054">
      <w:pPr>
        <w:pStyle w:val="ListParagraph"/>
        <w:numPr>
          <w:ilvl w:val="0"/>
          <w:numId w:val="19"/>
        </w:numPr>
        <w:spacing w:after="0" w:line="360" w:lineRule="auto"/>
        <w:rPr>
          <w:rFonts w:ascii="Times New Roman" w:hAnsi="Times New Roman" w:cs="Times New Roman"/>
          <w:bCs/>
          <w:i/>
          <w:sz w:val="24"/>
          <w:szCs w:val="24"/>
        </w:rPr>
      </w:pPr>
      <w:r w:rsidRPr="007344EA">
        <w:rPr>
          <w:rFonts w:ascii="Times New Roman" w:hAnsi="Times New Roman" w:cs="Times New Roman"/>
          <w:sz w:val="24"/>
          <w:szCs w:val="24"/>
        </w:rPr>
        <w:t xml:space="preserve">Opinion of Advocate General Mischo in Cases C-541/99 , C-542/99 </w:t>
      </w:r>
      <w:r w:rsidRPr="007344EA">
        <w:rPr>
          <w:rFonts w:ascii="Times New Roman" w:hAnsi="Times New Roman" w:cs="Times New Roman"/>
          <w:i/>
          <w:sz w:val="24"/>
          <w:szCs w:val="24"/>
        </w:rPr>
        <w:t xml:space="preserve">Cape Snc v </w:t>
      </w:r>
      <w:r w:rsidRPr="007344EA">
        <w:rPr>
          <w:rFonts w:ascii="Times New Roman" w:hAnsi="Times New Roman" w:cs="Times New Roman"/>
          <w:bCs/>
          <w:i/>
          <w:sz w:val="24"/>
          <w:szCs w:val="24"/>
        </w:rPr>
        <w:t>Idealservice Srl</w:t>
      </w:r>
      <w:r w:rsidRPr="007344EA">
        <w:rPr>
          <w:rFonts w:ascii="Times New Roman" w:hAnsi="Times New Roman" w:cs="Times New Roman"/>
          <w:i/>
          <w:sz w:val="24"/>
          <w:szCs w:val="24"/>
        </w:rPr>
        <w:t xml:space="preserve">, </w:t>
      </w:r>
      <w:r w:rsidRPr="007344EA">
        <w:rPr>
          <w:rFonts w:ascii="Times New Roman" w:hAnsi="Times New Roman" w:cs="Times New Roman"/>
          <w:bCs/>
          <w:i/>
          <w:sz w:val="24"/>
          <w:szCs w:val="24"/>
        </w:rPr>
        <w:t>Idealservice MN RE Sas</w:t>
      </w:r>
      <w:r w:rsidRPr="007344EA">
        <w:rPr>
          <w:rFonts w:ascii="Times New Roman" w:hAnsi="Times New Roman" w:cs="Times New Roman"/>
          <w:i/>
          <w:sz w:val="24"/>
          <w:szCs w:val="24"/>
        </w:rPr>
        <w:t xml:space="preserve"> v </w:t>
      </w:r>
      <w:r w:rsidRPr="007344EA">
        <w:rPr>
          <w:rFonts w:ascii="Times New Roman" w:hAnsi="Times New Roman" w:cs="Times New Roman"/>
          <w:bCs/>
          <w:i/>
          <w:sz w:val="24"/>
          <w:szCs w:val="24"/>
        </w:rPr>
        <w:t xml:space="preserve">OMAI Srl, </w:t>
      </w:r>
      <w:r w:rsidRPr="007344EA">
        <w:rPr>
          <w:rFonts w:ascii="Times New Roman" w:hAnsi="Times New Roman" w:cs="Times New Roman"/>
          <w:bCs/>
          <w:sz w:val="24"/>
          <w:szCs w:val="24"/>
        </w:rPr>
        <w:t>delivered 14 June 2001</w:t>
      </w:r>
      <w:r w:rsidRPr="007344EA">
        <w:rPr>
          <w:rFonts w:ascii="Times New Roman" w:hAnsi="Times New Roman" w:cs="Times New Roman"/>
          <w:bCs/>
          <w:i/>
          <w:sz w:val="24"/>
          <w:szCs w:val="24"/>
        </w:rPr>
        <w:t xml:space="preserve">. </w:t>
      </w:r>
    </w:p>
    <w:p w:rsidR="00A77D7F" w:rsidRPr="007344EA" w:rsidRDefault="00A77D7F"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Case C-478/99 </w:t>
      </w:r>
      <w:r w:rsidRPr="007344EA">
        <w:rPr>
          <w:rFonts w:ascii="Times New Roman" w:hAnsi="Times New Roman" w:cs="Times New Roman"/>
          <w:i/>
          <w:sz w:val="24"/>
          <w:szCs w:val="24"/>
        </w:rPr>
        <w:t xml:space="preserve">Commission of the European Communities v Kingdom of Sweden </w:t>
      </w:r>
      <w:r w:rsidRPr="007344EA">
        <w:rPr>
          <w:rFonts w:ascii="Times New Roman" w:hAnsi="Times New Roman" w:cs="Times New Roman"/>
          <w:sz w:val="24"/>
          <w:szCs w:val="24"/>
        </w:rPr>
        <w:t>[2002] ECR I-04147.</w:t>
      </w:r>
    </w:p>
    <w:p w:rsidR="00A77D7F" w:rsidRPr="007344EA" w:rsidRDefault="00A77D7F" w:rsidP="00536054">
      <w:pPr>
        <w:pStyle w:val="ListParagraph"/>
        <w:numPr>
          <w:ilvl w:val="0"/>
          <w:numId w:val="19"/>
        </w:numPr>
        <w:spacing w:after="0" w:line="360" w:lineRule="auto"/>
        <w:rPr>
          <w:rFonts w:ascii="Times New Roman" w:hAnsi="Times New Roman" w:cs="Times New Roman"/>
          <w:i/>
          <w:sz w:val="24"/>
          <w:szCs w:val="24"/>
        </w:rPr>
      </w:pPr>
      <w:r w:rsidRPr="007344EA">
        <w:rPr>
          <w:rFonts w:ascii="Times New Roman" w:hAnsi="Times New Roman" w:cs="Times New Roman"/>
          <w:sz w:val="24"/>
          <w:szCs w:val="24"/>
        </w:rPr>
        <w:t xml:space="preserve">Opinion of Advocate General Gellhoed in Case C-478/99 </w:t>
      </w:r>
      <w:r w:rsidRPr="007344EA">
        <w:rPr>
          <w:rFonts w:ascii="Times New Roman" w:hAnsi="Times New Roman" w:cs="Times New Roman"/>
          <w:i/>
          <w:sz w:val="24"/>
          <w:szCs w:val="24"/>
        </w:rPr>
        <w:t xml:space="preserve">Commission of the European Communities v Kingdom of Sweden, </w:t>
      </w:r>
      <w:r w:rsidRPr="007344EA">
        <w:rPr>
          <w:rFonts w:ascii="Times New Roman" w:hAnsi="Times New Roman" w:cs="Times New Roman"/>
          <w:sz w:val="24"/>
          <w:szCs w:val="24"/>
        </w:rPr>
        <w:t>delivered on</w:t>
      </w:r>
      <w:r w:rsidRPr="007344EA">
        <w:rPr>
          <w:rFonts w:ascii="Times New Roman" w:hAnsi="Times New Roman" w:cs="Times New Roman"/>
          <w:i/>
          <w:sz w:val="24"/>
          <w:szCs w:val="24"/>
        </w:rPr>
        <w:t xml:space="preserve"> </w:t>
      </w:r>
      <w:r w:rsidRPr="007344EA">
        <w:rPr>
          <w:rFonts w:ascii="Times New Roman" w:hAnsi="Times New Roman" w:cs="Times New Roman"/>
          <w:sz w:val="24"/>
          <w:szCs w:val="24"/>
        </w:rPr>
        <w:t>31 January 2002</w:t>
      </w:r>
      <w:r w:rsidRPr="007344EA">
        <w:rPr>
          <w:rFonts w:ascii="Times New Roman" w:hAnsi="Times New Roman" w:cs="Times New Roman"/>
          <w:i/>
          <w:sz w:val="24"/>
          <w:szCs w:val="24"/>
        </w:rPr>
        <w:t xml:space="preserve">. </w:t>
      </w:r>
    </w:p>
    <w:p w:rsidR="00A77D7F" w:rsidRPr="007344EA" w:rsidRDefault="00A77D7F"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lastRenderedPageBreak/>
        <w:t xml:space="preserve">Case C-372/99 </w:t>
      </w:r>
      <w:r w:rsidRPr="007344EA">
        <w:rPr>
          <w:rFonts w:ascii="Times New Roman" w:hAnsi="Times New Roman" w:cs="Times New Roman"/>
          <w:i/>
          <w:sz w:val="24"/>
          <w:szCs w:val="24"/>
        </w:rPr>
        <w:t xml:space="preserve">Commission of the European Communities v Italian Republic </w:t>
      </w:r>
      <w:r w:rsidRPr="007344EA">
        <w:rPr>
          <w:rFonts w:ascii="Times New Roman" w:hAnsi="Times New Roman" w:cs="Times New Roman"/>
          <w:sz w:val="24"/>
          <w:szCs w:val="24"/>
        </w:rPr>
        <w:t>[2001] ECR I-00819.</w:t>
      </w:r>
    </w:p>
    <w:p w:rsidR="00A77D7F" w:rsidRPr="007344EA" w:rsidRDefault="00A77D7F" w:rsidP="00536054">
      <w:pPr>
        <w:pStyle w:val="ListParagraph"/>
        <w:numPr>
          <w:ilvl w:val="0"/>
          <w:numId w:val="19"/>
        </w:numPr>
        <w:spacing w:after="0" w:line="360" w:lineRule="auto"/>
        <w:rPr>
          <w:rFonts w:ascii="Times New Roman" w:hAnsi="Times New Roman" w:cs="Times New Roman"/>
          <w:i/>
          <w:sz w:val="24"/>
          <w:szCs w:val="24"/>
        </w:rPr>
      </w:pPr>
      <w:r w:rsidRPr="007344EA">
        <w:rPr>
          <w:rFonts w:ascii="Times New Roman" w:hAnsi="Times New Roman" w:cs="Times New Roman"/>
          <w:sz w:val="24"/>
          <w:szCs w:val="24"/>
        </w:rPr>
        <w:t>Opinion of Advocate General Alber in Case C-372/99</w:t>
      </w:r>
      <w:r w:rsidRPr="007344EA">
        <w:rPr>
          <w:rFonts w:ascii="Times New Roman" w:hAnsi="Times New Roman" w:cs="Times New Roman"/>
          <w:i/>
          <w:sz w:val="24"/>
          <w:szCs w:val="24"/>
        </w:rPr>
        <w:t xml:space="preserve"> Commission of the European Communities v Italian Republic, </w:t>
      </w:r>
      <w:r w:rsidRPr="007344EA">
        <w:rPr>
          <w:rFonts w:ascii="Times New Roman" w:hAnsi="Times New Roman" w:cs="Times New Roman"/>
          <w:sz w:val="24"/>
          <w:szCs w:val="24"/>
        </w:rPr>
        <w:t>delivered on 20 September 2001</w:t>
      </w:r>
      <w:r w:rsidRPr="007344EA">
        <w:rPr>
          <w:rFonts w:ascii="Times New Roman" w:hAnsi="Times New Roman" w:cs="Times New Roman"/>
          <w:i/>
          <w:sz w:val="24"/>
          <w:szCs w:val="24"/>
        </w:rPr>
        <w:t xml:space="preserve">. </w:t>
      </w:r>
    </w:p>
    <w:p w:rsidR="00A77D7F" w:rsidRPr="007344EA" w:rsidRDefault="00A77D7F"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Case C-473/00 </w:t>
      </w:r>
      <w:r w:rsidRPr="007344EA">
        <w:rPr>
          <w:rFonts w:ascii="Times New Roman" w:hAnsi="Times New Roman" w:cs="Times New Roman"/>
          <w:bCs/>
          <w:i/>
          <w:sz w:val="24"/>
          <w:szCs w:val="24"/>
        </w:rPr>
        <w:t>Cofidis SA</w:t>
      </w:r>
      <w:r w:rsidRPr="007344EA">
        <w:rPr>
          <w:rFonts w:ascii="Times New Roman" w:hAnsi="Times New Roman" w:cs="Times New Roman"/>
          <w:i/>
          <w:sz w:val="24"/>
          <w:szCs w:val="24"/>
        </w:rPr>
        <w:t xml:space="preserve"> v </w:t>
      </w:r>
      <w:r w:rsidRPr="007344EA">
        <w:rPr>
          <w:rFonts w:ascii="Times New Roman" w:hAnsi="Times New Roman" w:cs="Times New Roman"/>
          <w:bCs/>
          <w:i/>
          <w:sz w:val="24"/>
          <w:szCs w:val="24"/>
        </w:rPr>
        <w:t>Jean-Louis Fredout</w:t>
      </w:r>
      <w:r w:rsidRPr="007344EA">
        <w:rPr>
          <w:rFonts w:ascii="Times New Roman" w:hAnsi="Times New Roman" w:cs="Times New Roman"/>
          <w:bCs/>
          <w:sz w:val="24"/>
          <w:szCs w:val="24"/>
        </w:rPr>
        <w:t xml:space="preserve"> [2002] ECR I-</w:t>
      </w:r>
      <w:r w:rsidRPr="007344EA">
        <w:rPr>
          <w:rFonts w:ascii="Times New Roman" w:hAnsi="Times New Roman" w:cs="Times New Roman"/>
          <w:sz w:val="24"/>
          <w:szCs w:val="24"/>
        </w:rPr>
        <w:t>10875.</w:t>
      </w:r>
    </w:p>
    <w:p w:rsidR="00A77D7F" w:rsidRPr="007344EA" w:rsidRDefault="00A77D7F" w:rsidP="00536054">
      <w:pPr>
        <w:pStyle w:val="ListParagraph"/>
        <w:numPr>
          <w:ilvl w:val="0"/>
          <w:numId w:val="19"/>
        </w:numPr>
        <w:spacing w:after="0" w:line="360" w:lineRule="auto"/>
        <w:rPr>
          <w:rFonts w:ascii="Times New Roman" w:hAnsi="Times New Roman" w:cs="Times New Roman"/>
          <w:bCs/>
          <w:sz w:val="24"/>
          <w:szCs w:val="24"/>
        </w:rPr>
      </w:pPr>
      <w:r w:rsidRPr="007344EA">
        <w:rPr>
          <w:rFonts w:ascii="Times New Roman" w:hAnsi="Times New Roman" w:cs="Times New Roman"/>
          <w:sz w:val="24"/>
          <w:szCs w:val="24"/>
        </w:rPr>
        <w:t xml:space="preserve">Opinion of Advocate General Tizzano in Case C-473/00 </w:t>
      </w:r>
      <w:r w:rsidRPr="007344EA">
        <w:rPr>
          <w:rFonts w:ascii="Times New Roman" w:hAnsi="Times New Roman" w:cs="Times New Roman"/>
          <w:bCs/>
          <w:i/>
          <w:sz w:val="24"/>
          <w:szCs w:val="24"/>
        </w:rPr>
        <w:t>Cofidis SA</w:t>
      </w:r>
      <w:r w:rsidRPr="007344EA">
        <w:rPr>
          <w:rFonts w:ascii="Times New Roman" w:hAnsi="Times New Roman" w:cs="Times New Roman"/>
          <w:i/>
          <w:sz w:val="24"/>
          <w:szCs w:val="24"/>
        </w:rPr>
        <w:t xml:space="preserve"> v </w:t>
      </w:r>
      <w:r w:rsidRPr="007344EA">
        <w:rPr>
          <w:rFonts w:ascii="Times New Roman" w:hAnsi="Times New Roman" w:cs="Times New Roman"/>
          <w:bCs/>
          <w:i/>
          <w:sz w:val="24"/>
          <w:szCs w:val="24"/>
        </w:rPr>
        <w:t xml:space="preserve">Jean-Louis Fredout, </w:t>
      </w:r>
      <w:r w:rsidRPr="007344EA">
        <w:rPr>
          <w:rFonts w:ascii="Times New Roman" w:hAnsi="Times New Roman" w:cs="Times New Roman"/>
          <w:bCs/>
          <w:sz w:val="24"/>
          <w:szCs w:val="24"/>
        </w:rPr>
        <w:t xml:space="preserve">delivered on 18 April 2002. </w:t>
      </w:r>
    </w:p>
    <w:p w:rsidR="00A77D7F" w:rsidRPr="007344EA" w:rsidRDefault="00A77D7F"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Case C-237/02 </w:t>
      </w:r>
      <w:r w:rsidRPr="007344EA">
        <w:rPr>
          <w:rFonts w:ascii="Times New Roman" w:hAnsi="Times New Roman" w:cs="Times New Roman"/>
          <w:bCs/>
          <w:i/>
          <w:sz w:val="24"/>
          <w:szCs w:val="24"/>
        </w:rPr>
        <w:t>Freiburger Kommunalbauten GmbH Baugesellschaft &amp; Co. KG</w:t>
      </w:r>
      <w:r w:rsidRPr="007344EA">
        <w:rPr>
          <w:rFonts w:ascii="Times New Roman" w:hAnsi="Times New Roman" w:cs="Times New Roman"/>
          <w:i/>
          <w:sz w:val="24"/>
          <w:szCs w:val="24"/>
        </w:rPr>
        <w:t xml:space="preserve"> v </w:t>
      </w:r>
      <w:r w:rsidRPr="007344EA">
        <w:rPr>
          <w:rFonts w:ascii="Times New Roman" w:hAnsi="Times New Roman" w:cs="Times New Roman"/>
          <w:bCs/>
          <w:i/>
          <w:sz w:val="24"/>
          <w:szCs w:val="24"/>
        </w:rPr>
        <w:t>Ludger Hofstetter,</w:t>
      </w:r>
      <w:r w:rsidRPr="007344EA">
        <w:rPr>
          <w:rFonts w:ascii="Times New Roman" w:hAnsi="Times New Roman" w:cs="Times New Roman"/>
          <w:i/>
          <w:sz w:val="24"/>
          <w:szCs w:val="24"/>
        </w:rPr>
        <w:t xml:space="preserve"> </w:t>
      </w:r>
      <w:r w:rsidRPr="007344EA">
        <w:rPr>
          <w:rFonts w:ascii="Times New Roman" w:hAnsi="Times New Roman" w:cs="Times New Roman"/>
          <w:bCs/>
          <w:i/>
          <w:sz w:val="24"/>
          <w:szCs w:val="24"/>
        </w:rPr>
        <w:t xml:space="preserve">Ulrike Hofstetter </w:t>
      </w:r>
      <w:r w:rsidRPr="007344EA">
        <w:rPr>
          <w:rFonts w:ascii="Times New Roman" w:hAnsi="Times New Roman" w:cs="Times New Roman"/>
          <w:bCs/>
          <w:sz w:val="24"/>
          <w:szCs w:val="24"/>
        </w:rPr>
        <w:t>[2004] ECR I-</w:t>
      </w:r>
      <w:r w:rsidRPr="007344EA">
        <w:rPr>
          <w:rFonts w:ascii="Times New Roman" w:hAnsi="Times New Roman" w:cs="Times New Roman"/>
          <w:sz w:val="24"/>
          <w:szCs w:val="24"/>
        </w:rPr>
        <w:t>03403.</w:t>
      </w:r>
    </w:p>
    <w:p w:rsidR="00A77D7F" w:rsidRPr="007344EA" w:rsidRDefault="00A77D7F" w:rsidP="00536054">
      <w:pPr>
        <w:pStyle w:val="ListParagraph"/>
        <w:numPr>
          <w:ilvl w:val="0"/>
          <w:numId w:val="19"/>
        </w:numPr>
        <w:spacing w:after="0" w:line="360" w:lineRule="auto"/>
        <w:rPr>
          <w:rFonts w:ascii="Times New Roman" w:hAnsi="Times New Roman" w:cs="Times New Roman"/>
          <w:bCs/>
          <w:i/>
          <w:sz w:val="24"/>
          <w:szCs w:val="24"/>
        </w:rPr>
      </w:pPr>
      <w:r w:rsidRPr="007344EA">
        <w:rPr>
          <w:rFonts w:ascii="Times New Roman" w:hAnsi="Times New Roman" w:cs="Times New Roman"/>
          <w:sz w:val="24"/>
          <w:szCs w:val="24"/>
        </w:rPr>
        <w:t xml:space="preserve">Opinion of Advocate General Gellhoed in Case C-237/02 </w:t>
      </w:r>
      <w:r w:rsidRPr="007344EA">
        <w:rPr>
          <w:rFonts w:ascii="Times New Roman" w:hAnsi="Times New Roman" w:cs="Times New Roman"/>
          <w:bCs/>
          <w:i/>
          <w:sz w:val="24"/>
          <w:szCs w:val="24"/>
        </w:rPr>
        <w:t>Freiburger Kommunalbauten GmbH Baugesellschaft &amp; Co. KG</w:t>
      </w:r>
      <w:r w:rsidRPr="007344EA">
        <w:rPr>
          <w:rFonts w:ascii="Times New Roman" w:hAnsi="Times New Roman" w:cs="Times New Roman"/>
          <w:i/>
          <w:sz w:val="24"/>
          <w:szCs w:val="24"/>
        </w:rPr>
        <w:t xml:space="preserve"> v </w:t>
      </w:r>
      <w:r w:rsidRPr="007344EA">
        <w:rPr>
          <w:rFonts w:ascii="Times New Roman" w:hAnsi="Times New Roman" w:cs="Times New Roman"/>
          <w:bCs/>
          <w:i/>
          <w:sz w:val="24"/>
          <w:szCs w:val="24"/>
        </w:rPr>
        <w:t>Ludger Hofstetter,</w:t>
      </w:r>
      <w:r w:rsidRPr="007344EA">
        <w:rPr>
          <w:rFonts w:ascii="Times New Roman" w:hAnsi="Times New Roman" w:cs="Times New Roman"/>
          <w:i/>
          <w:sz w:val="24"/>
          <w:szCs w:val="24"/>
        </w:rPr>
        <w:t xml:space="preserve"> </w:t>
      </w:r>
      <w:r w:rsidRPr="007344EA">
        <w:rPr>
          <w:rFonts w:ascii="Times New Roman" w:hAnsi="Times New Roman" w:cs="Times New Roman"/>
          <w:bCs/>
          <w:i/>
          <w:sz w:val="24"/>
          <w:szCs w:val="24"/>
        </w:rPr>
        <w:t xml:space="preserve">Ulrike Hofstetter, </w:t>
      </w:r>
      <w:r w:rsidRPr="007344EA">
        <w:rPr>
          <w:rFonts w:ascii="Times New Roman" w:hAnsi="Times New Roman" w:cs="Times New Roman"/>
          <w:bCs/>
          <w:sz w:val="24"/>
          <w:szCs w:val="24"/>
        </w:rPr>
        <w:t>deliveded on 25 September</w:t>
      </w:r>
      <w:r w:rsidRPr="007344EA">
        <w:rPr>
          <w:rFonts w:ascii="Times New Roman" w:hAnsi="Times New Roman" w:cs="Times New Roman"/>
          <w:bCs/>
          <w:i/>
          <w:sz w:val="24"/>
          <w:szCs w:val="24"/>
        </w:rPr>
        <w:t>.</w:t>
      </w:r>
    </w:p>
    <w:p w:rsidR="00EF4F12" w:rsidRPr="007344EA" w:rsidRDefault="00A77D7F"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Byla C-70/03 </w:t>
      </w:r>
      <w:r w:rsidRPr="007344EA">
        <w:rPr>
          <w:rFonts w:ascii="Times New Roman" w:hAnsi="Times New Roman" w:cs="Times New Roman"/>
          <w:i/>
          <w:sz w:val="24"/>
          <w:szCs w:val="24"/>
        </w:rPr>
        <w:t xml:space="preserve">Europos Bendrijų Komisija  prieš Ispanijos Karalystę </w:t>
      </w:r>
      <w:r w:rsidRPr="007344EA">
        <w:rPr>
          <w:rFonts w:ascii="Times New Roman" w:hAnsi="Times New Roman" w:cs="Times New Roman"/>
          <w:sz w:val="24"/>
          <w:szCs w:val="24"/>
        </w:rPr>
        <w:t>[2004] ETA I-07999.</w:t>
      </w:r>
    </w:p>
    <w:p w:rsidR="00A77D7F" w:rsidRPr="007344EA" w:rsidRDefault="00A77D7F"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Generalinio advokato Geelhoed išvada byloje C-70/03 </w:t>
      </w:r>
      <w:r w:rsidRPr="007344EA">
        <w:rPr>
          <w:rFonts w:ascii="Times New Roman" w:hAnsi="Times New Roman" w:cs="Times New Roman"/>
          <w:i/>
          <w:sz w:val="24"/>
          <w:szCs w:val="24"/>
        </w:rPr>
        <w:t xml:space="preserve">Europos Bendrijų Komisija  prieš Ispanijos Karalystę, </w:t>
      </w:r>
      <w:r w:rsidRPr="007344EA">
        <w:rPr>
          <w:rFonts w:ascii="Times New Roman" w:hAnsi="Times New Roman" w:cs="Times New Roman"/>
          <w:sz w:val="24"/>
          <w:szCs w:val="24"/>
        </w:rPr>
        <w:t xml:space="preserve">pateikta 2004 m. balandžio 24 d.  </w:t>
      </w:r>
    </w:p>
    <w:p w:rsidR="00A77D7F" w:rsidRPr="007344EA" w:rsidRDefault="00A77D7F"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Byla C-203/04 </w:t>
      </w:r>
      <w:r w:rsidRPr="007344EA">
        <w:rPr>
          <w:rFonts w:ascii="Times New Roman" w:hAnsi="Times New Roman" w:cs="Times New Roman"/>
          <w:bCs/>
          <w:i/>
          <w:sz w:val="24"/>
          <w:szCs w:val="24"/>
        </w:rPr>
        <w:t xml:space="preserve">Ynos kft </w:t>
      </w:r>
      <w:r w:rsidRPr="007344EA">
        <w:rPr>
          <w:rFonts w:ascii="Times New Roman" w:hAnsi="Times New Roman" w:cs="Times New Roman"/>
          <w:i/>
          <w:sz w:val="24"/>
          <w:szCs w:val="24"/>
        </w:rPr>
        <w:t xml:space="preserve">prieš </w:t>
      </w:r>
      <w:r w:rsidRPr="007344EA">
        <w:rPr>
          <w:rFonts w:ascii="Times New Roman" w:hAnsi="Times New Roman" w:cs="Times New Roman"/>
          <w:bCs/>
          <w:i/>
          <w:sz w:val="24"/>
          <w:szCs w:val="24"/>
        </w:rPr>
        <w:t>János Varga</w:t>
      </w:r>
      <w:r w:rsidRPr="007344EA">
        <w:rPr>
          <w:rFonts w:ascii="Times New Roman" w:hAnsi="Times New Roman" w:cs="Times New Roman"/>
          <w:bCs/>
          <w:sz w:val="24"/>
          <w:szCs w:val="24"/>
        </w:rPr>
        <w:t xml:space="preserve"> [2005] ETA I-</w:t>
      </w:r>
      <w:r w:rsidRPr="007344EA">
        <w:rPr>
          <w:rFonts w:ascii="Times New Roman" w:hAnsi="Times New Roman" w:cs="Times New Roman"/>
          <w:sz w:val="24"/>
          <w:szCs w:val="24"/>
        </w:rPr>
        <w:t>07239.</w:t>
      </w:r>
    </w:p>
    <w:p w:rsidR="00A77D7F" w:rsidRPr="007344EA" w:rsidRDefault="00A77D7F" w:rsidP="00536054">
      <w:pPr>
        <w:pStyle w:val="ListParagraph"/>
        <w:numPr>
          <w:ilvl w:val="0"/>
          <w:numId w:val="19"/>
        </w:numPr>
        <w:spacing w:after="0" w:line="360" w:lineRule="auto"/>
        <w:rPr>
          <w:rFonts w:ascii="Times New Roman" w:hAnsi="Times New Roman" w:cs="Times New Roman"/>
          <w:bCs/>
          <w:sz w:val="24"/>
          <w:szCs w:val="24"/>
        </w:rPr>
      </w:pPr>
      <w:r w:rsidRPr="007344EA">
        <w:rPr>
          <w:rFonts w:ascii="Times New Roman" w:hAnsi="Times New Roman" w:cs="Times New Roman"/>
          <w:sz w:val="24"/>
          <w:szCs w:val="24"/>
        </w:rPr>
        <w:t xml:space="preserve">Generalinio advokato Tizzano išvada byloje C-203/04 </w:t>
      </w:r>
      <w:r w:rsidRPr="007344EA">
        <w:rPr>
          <w:rFonts w:ascii="Times New Roman" w:hAnsi="Times New Roman" w:cs="Times New Roman"/>
          <w:bCs/>
          <w:i/>
          <w:sz w:val="24"/>
          <w:szCs w:val="24"/>
        </w:rPr>
        <w:t xml:space="preserve">Ynos kft </w:t>
      </w:r>
      <w:r w:rsidRPr="007344EA">
        <w:rPr>
          <w:rFonts w:ascii="Times New Roman" w:hAnsi="Times New Roman" w:cs="Times New Roman"/>
          <w:i/>
          <w:sz w:val="24"/>
          <w:szCs w:val="24"/>
        </w:rPr>
        <w:t xml:space="preserve">prieš </w:t>
      </w:r>
      <w:r w:rsidRPr="007344EA">
        <w:rPr>
          <w:rFonts w:ascii="Times New Roman" w:hAnsi="Times New Roman" w:cs="Times New Roman"/>
          <w:bCs/>
          <w:i/>
          <w:sz w:val="24"/>
          <w:szCs w:val="24"/>
        </w:rPr>
        <w:t>János Varga</w:t>
      </w:r>
      <w:r w:rsidRPr="007344EA">
        <w:rPr>
          <w:rFonts w:ascii="Times New Roman" w:hAnsi="Times New Roman" w:cs="Times New Roman"/>
          <w:bCs/>
          <w:sz w:val="24"/>
          <w:szCs w:val="24"/>
        </w:rPr>
        <w:t xml:space="preserve">, pateikta 2005 m.  rugsėjo 22 d. </w:t>
      </w:r>
    </w:p>
    <w:p w:rsidR="00A77D7F" w:rsidRPr="007344EA" w:rsidRDefault="00A77D7F"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Byla C</w:t>
      </w:r>
      <w:r w:rsidRPr="007344EA">
        <w:rPr>
          <w:rFonts w:ascii="Times New Roman" w:hAnsi="Times New Roman" w:cs="Times New Roman"/>
          <w:sz w:val="24"/>
          <w:szCs w:val="24"/>
        </w:rPr>
        <w:noBreakHyphen/>
        <w:t xml:space="preserve">168/05 </w:t>
      </w:r>
      <w:r w:rsidRPr="007344EA">
        <w:rPr>
          <w:rFonts w:ascii="Times New Roman" w:hAnsi="Times New Roman" w:cs="Times New Roman"/>
          <w:bCs/>
          <w:i/>
          <w:sz w:val="24"/>
          <w:szCs w:val="24"/>
        </w:rPr>
        <w:t xml:space="preserve">Elisa María Mostaza Claro </w:t>
      </w:r>
      <w:r w:rsidRPr="007344EA">
        <w:rPr>
          <w:rFonts w:ascii="Times New Roman" w:hAnsi="Times New Roman" w:cs="Times New Roman"/>
          <w:i/>
          <w:sz w:val="24"/>
          <w:szCs w:val="24"/>
        </w:rPr>
        <w:t xml:space="preserve">prieš </w:t>
      </w:r>
      <w:r w:rsidRPr="007344EA">
        <w:rPr>
          <w:rFonts w:ascii="Times New Roman" w:hAnsi="Times New Roman" w:cs="Times New Roman"/>
          <w:bCs/>
          <w:i/>
          <w:sz w:val="24"/>
          <w:szCs w:val="24"/>
        </w:rPr>
        <w:t xml:space="preserve">Centro Móvil Milenium SL </w:t>
      </w:r>
      <w:r w:rsidRPr="007344EA">
        <w:rPr>
          <w:rFonts w:ascii="Times New Roman" w:hAnsi="Times New Roman" w:cs="Times New Roman"/>
          <w:bCs/>
          <w:sz w:val="24"/>
          <w:szCs w:val="24"/>
        </w:rPr>
        <w:t>[2006] ETA I-</w:t>
      </w:r>
      <w:r w:rsidRPr="007344EA">
        <w:rPr>
          <w:rFonts w:ascii="Times New Roman" w:hAnsi="Times New Roman" w:cs="Times New Roman"/>
          <w:sz w:val="24"/>
          <w:szCs w:val="24"/>
        </w:rPr>
        <w:t>10421.</w:t>
      </w:r>
    </w:p>
    <w:p w:rsidR="00A77D7F" w:rsidRPr="007344EA" w:rsidRDefault="00A77D7F" w:rsidP="00536054">
      <w:pPr>
        <w:pStyle w:val="ListParagraph"/>
        <w:numPr>
          <w:ilvl w:val="0"/>
          <w:numId w:val="19"/>
        </w:numPr>
        <w:spacing w:after="0" w:line="360" w:lineRule="auto"/>
        <w:rPr>
          <w:rFonts w:ascii="Times New Roman" w:hAnsi="Times New Roman" w:cs="Times New Roman"/>
          <w:bCs/>
          <w:sz w:val="24"/>
          <w:szCs w:val="24"/>
        </w:rPr>
      </w:pPr>
      <w:r w:rsidRPr="007344EA">
        <w:rPr>
          <w:rFonts w:ascii="Times New Roman" w:hAnsi="Times New Roman" w:cs="Times New Roman"/>
          <w:sz w:val="24"/>
          <w:szCs w:val="24"/>
        </w:rPr>
        <w:t>Generalinio advokato Tizzano išvada byloje C</w:t>
      </w:r>
      <w:r w:rsidRPr="007344EA">
        <w:rPr>
          <w:rFonts w:ascii="Times New Roman" w:hAnsi="Times New Roman" w:cs="Times New Roman"/>
          <w:sz w:val="24"/>
          <w:szCs w:val="24"/>
        </w:rPr>
        <w:noBreakHyphen/>
        <w:t xml:space="preserve">168/05 </w:t>
      </w:r>
      <w:r w:rsidRPr="007344EA">
        <w:rPr>
          <w:rFonts w:ascii="Times New Roman" w:hAnsi="Times New Roman" w:cs="Times New Roman"/>
          <w:bCs/>
          <w:i/>
          <w:sz w:val="24"/>
          <w:szCs w:val="24"/>
        </w:rPr>
        <w:t xml:space="preserve">Elisa María Mostaza Claro </w:t>
      </w:r>
      <w:r w:rsidRPr="007344EA">
        <w:rPr>
          <w:rFonts w:ascii="Times New Roman" w:hAnsi="Times New Roman" w:cs="Times New Roman"/>
          <w:i/>
          <w:sz w:val="24"/>
          <w:szCs w:val="24"/>
        </w:rPr>
        <w:t xml:space="preserve">prieš </w:t>
      </w:r>
      <w:r w:rsidRPr="007344EA">
        <w:rPr>
          <w:rFonts w:ascii="Times New Roman" w:hAnsi="Times New Roman" w:cs="Times New Roman"/>
          <w:bCs/>
          <w:i/>
          <w:sz w:val="24"/>
          <w:szCs w:val="24"/>
        </w:rPr>
        <w:t>Centro Móvil Milenium SL</w:t>
      </w:r>
      <w:r w:rsidRPr="007344EA">
        <w:rPr>
          <w:rFonts w:ascii="Times New Roman" w:hAnsi="Times New Roman" w:cs="Times New Roman"/>
          <w:bCs/>
          <w:sz w:val="24"/>
          <w:szCs w:val="24"/>
        </w:rPr>
        <w:t xml:space="preserve">, pateikta 2006m.  balandžio 27 d. </w:t>
      </w:r>
    </w:p>
    <w:p w:rsidR="00A77D7F" w:rsidRPr="007344EA" w:rsidRDefault="00A77D7F"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Byla C-243/08 </w:t>
      </w:r>
      <w:r w:rsidRPr="007344EA">
        <w:rPr>
          <w:rFonts w:ascii="Times New Roman" w:hAnsi="Times New Roman" w:cs="Times New Roman"/>
          <w:bCs/>
          <w:i/>
          <w:sz w:val="24"/>
          <w:szCs w:val="24"/>
        </w:rPr>
        <w:t xml:space="preserve">Pannon GSM Zrt. </w:t>
      </w:r>
      <w:r w:rsidRPr="007344EA">
        <w:rPr>
          <w:rFonts w:ascii="Times New Roman" w:hAnsi="Times New Roman" w:cs="Times New Roman"/>
          <w:i/>
          <w:sz w:val="24"/>
          <w:szCs w:val="24"/>
        </w:rPr>
        <w:t xml:space="preserve">Prieš </w:t>
      </w:r>
      <w:r w:rsidRPr="007344EA">
        <w:rPr>
          <w:rFonts w:ascii="Times New Roman" w:hAnsi="Times New Roman" w:cs="Times New Roman"/>
          <w:bCs/>
          <w:i/>
          <w:sz w:val="24"/>
          <w:szCs w:val="24"/>
        </w:rPr>
        <w:t>Erzsébet Sustikné</w:t>
      </w:r>
      <w:r w:rsidRPr="007344EA">
        <w:rPr>
          <w:rFonts w:ascii="Times New Roman" w:hAnsi="Times New Roman" w:cs="Times New Roman"/>
          <w:b/>
          <w:bCs/>
          <w:sz w:val="24"/>
          <w:szCs w:val="24"/>
        </w:rPr>
        <w:t xml:space="preserve"> </w:t>
      </w:r>
      <w:r w:rsidRPr="007344EA">
        <w:rPr>
          <w:rFonts w:ascii="Times New Roman" w:hAnsi="Times New Roman" w:cs="Times New Roman"/>
          <w:bCs/>
          <w:i/>
          <w:sz w:val="24"/>
          <w:szCs w:val="24"/>
        </w:rPr>
        <w:t xml:space="preserve">Győrfi </w:t>
      </w:r>
      <w:r w:rsidRPr="007344EA">
        <w:rPr>
          <w:rFonts w:ascii="Times New Roman" w:hAnsi="Times New Roman" w:cs="Times New Roman"/>
          <w:bCs/>
          <w:sz w:val="24"/>
          <w:szCs w:val="24"/>
        </w:rPr>
        <w:t>[2009] ETA I-</w:t>
      </w:r>
      <w:r w:rsidRPr="007344EA">
        <w:rPr>
          <w:rFonts w:ascii="Times New Roman" w:hAnsi="Times New Roman" w:cs="Times New Roman"/>
          <w:sz w:val="24"/>
          <w:szCs w:val="24"/>
        </w:rPr>
        <w:t>04713.</w:t>
      </w:r>
    </w:p>
    <w:p w:rsidR="00A77D7F" w:rsidRPr="007344EA" w:rsidRDefault="00A77D7F"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Byla C</w:t>
      </w:r>
      <w:r w:rsidRPr="007344EA">
        <w:rPr>
          <w:rFonts w:ascii="Times New Roman" w:hAnsi="Times New Roman" w:cs="Times New Roman"/>
          <w:sz w:val="24"/>
          <w:szCs w:val="24"/>
        </w:rPr>
        <w:noBreakHyphen/>
        <w:t xml:space="preserve">40/08 </w:t>
      </w:r>
      <w:r w:rsidRPr="007344EA">
        <w:rPr>
          <w:rFonts w:ascii="Times New Roman" w:hAnsi="Times New Roman" w:cs="Times New Roman"/>
          <w:bCs/>
          <w:i/>
          <w:sz w:val="24"/>
          <w:szCs w:val="24"/>
        </w:rPr>
        <w:t xml:space="preserve">Asturcom Telecomunicaciones SL </w:t>
      </w:r>
      <w:r w:rsidRPr="007344EA">
        <w:rPr>
          <w:rFonts w:ascii="Times New Roman" w:hAnsi="Times New Roman" w:cs="Times New Roman"/>
          <w:i/>
          <w:sz w:val="24"/>
          <w:szCs w:val="24"/>
        </w:rPr>
        <w:t xml:space="preserve">prieš </w:t>
      </w:r>
      <w:r w:rsidRPr="007344EA">
        <w:rPr>
          <w:rFonts w:ascii="Times New Roman" w:hAnsi="Times New Roman" w:cs="Times New Roman"/>
          <w:bCs/>
          <w:i/>
          <w:sz w:val="24"/>
          <w:szCs w:val="24"/>
        </w:rPr>
        <w:t xml:space="preserve">Cristina Rodríguez Nogueira </w:t>
      </w:r>
      <w:r w:rsidRPr="007344EA">
        <w:rPr>
          <w:rFonts w:ascii="Times New Roman" w:hAnsi="Times New Roman" w:cs="Times New Roman"/>
          <w:bCs/>
          <w:sz w:val="24"/>
          <w:szCs w:val="24"/>
        </w:rPr>
        <w:t>[2009] ETA I-</w:t>
      </w:r>
      <w:r w:rsidRPr="007344EA">
        <w:rPr>
          <w:rFonts w:ascii="Times New Roman" w:hAnsi="Times New Roman" w:cs="Times New Roman"/>
          <w:sz w:val="24"/>
          <w:szCs w:val="24"/>
        </w:rPr>
        <w:t>09579.</w:t>
      </w:r>
    </w:p>
    <w:p w:rsidR="00A77D7F" w:rsidRPr="007344EA" w:rsidRDefault="00A77D7F" w:rsidP="00536054">
      <w:pPr>
        <w:pStyle w:val="ListParagraph"/>
        <w:numPr>
          <w:ilvl w:val="0"/>
          <w:numId w:val="19"/>
        </w:numPr>
        <w:spacing w:after="0" w:line="360" w:lineRule="auto"/>
        <w:rPr>
          <w:rFonts w:ascii="Times New Roman" w:hAnsi="Times New Roman" w:cs="Times New Roman"/>
          <w:bCs/>
          <w:sz w:val="24"/>
          <w:szCs w:val="24"/>
        </w:rPr>
      </w:pPr>
      <w:r w:rsidRPr="007344EA">
        <w:rPr>
          <w:rFonts w:ascii="Times New Roman" w:hAnsi="Times New Roman" w:cs="Times New Roman"/>
          <w:sz w:val="24"/>
          <w:szCs w:val="24"/>
        </w:rPr>
        <w:t>Generalinės advokatės Trstenjak išvada byloje C</w:t>
      </w:r>
      <w:r w:rsidRPr="007344EA">
        <w:rPr>
          <w:rFonts w:ascii="Times New Roman" w:hAnsi="Times New Roman" w:cs="Times New Roman"/>
          <w:sz w:val="24"/>
          <w:szCs w:val="24"/>
        </w:rPr>
        <w:noBreakHyphen/>
        <w:t xml:space="preserve">40/08 </w:t>
      </w:r>
      <w:r w:rsidRPr="007344EA">
        <w:rPr>
          <w:rFonts w:ascii="Times New Roman" w:hAnsi="Times New Roman" w:cs="Times New Roman"/>
          <w:bCs/>
          <w:i/>
          <w:sz w:val="24"/>
          <w:szCs w:val="24"/>
        </w:rPr>
        <w:t xml:space="preserve">Asturcom Telecomunicaciones SL </w:t>
      </w:r>
      <w:r w:rsidRPr="007344EA">
        <w:rPr>
          <w:rFonts w:ascii="Times New Roman" w:hAnsi="Times New Roman" w:cs="Times New Roman"/>
          <w:i/>
          <w:sz w:val="24"/>
          <w:szCs w:val="24"/>
        </w:rPr>
        <w:t xml:space="preserve">prieš </w:t>
      </w:r>
      <w:r w:rsidRPr="007344EA">
        <w:rPr>
          <w:rFonts w:ascii="Times New Roman" w:hAnsi="Times New Roman" w:cs="Times New Roman"/>
          <w:bCs/>
          <w:i/>
          <w:sz w:val="24"/>
          <w:szCs w:val="24"/>
        </w:rPr>
        <w:t xml:space="preserve">Cristina Rodríguez Nogueira, </w:t>
      </w:r>
      <w:r w:rsidRPr="007344EA">
        <w:rPr>
          <w:rFonts w:ascii="Times New Roman" w:hAnsi="Times New Roman" w:cs="Times New Roman"/>
          <w:bCs/>
          <w:sz w:val="24"/>
          <w:szCs w:val="24"/>
        </w:rPr>
        <w:t xml:space="preserve">pateikta 2009 m.  gegužės 14 d. </w:t>
      </w:r>
    </w:p>
    <w:p w:rsidR="00A77D7F" w:rsidRPr="007344EA" w:rsidRDefault="00A77D7F"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Byla C</w:t>
      </w:r>
      <w:r w:rsidRPr="007344EA">
        <w:rPr>
          <w:rFonts w:ascii="Times New Roman" w:hAnsi="Times New Roman" w:cs="Times New Roman"/>
          <w:sz w:val="24"/>
          <w:szCs w:val="24"/>
        </w:rPr>
        <w:noBreakHyphen/>
        <w:t>484/08</w:t>
      </w:r>
      <w:r w:rsidRPr="007344EA">
        <w:rPr>
          <w:rFonts w:ascii="Times New Roman" w:hAnsi="Times New Roman" w:cs="Times New Roman"/>
          <w:i/>
          <w:sz w:val="24"/>
          <w:szCs w:val="24"/>
        </w:rPr>
        <w:t xml:space="preserve"> </w:t>
      </w:r>
      <w:r w:rsidRPr="007344EA">
        <w:rPr>
          <w:rFonts w:ascii="Times New Roman" w:hAnsi="Times New Roman" w:cs="Times New Roman"/>
          <w:bCs/>
          <w:i/>
          <w:sz w:val="24"/>
          <w:szCs w:val="24"/>
        </w:rPr>
        <w:t xml:space="preserve">Caja de Ahorros y Monte de Piedad de Madrid </w:t>
      </w:r>
      <w:r w:rsidRPr="007344EA">
        <w:rPr>
          <w:rFonts w:ascii="Times New Roman" w:hAnsi="Times New Roman" w:cs="Times New Roman"/>
          <w:i/>
          <w:sz w:val="24"/>
          <w:szCs w:val="24"/>
        </w:rPr>
        <w:t xml:space="preserve">prieš </w:t>
      </w:r>
      <w:r w:rsidRPr="007344EA">
        <w:rPr>
          <w:rFonts w:ascii="Times New Roman" w:hAnsi="Times New Roman" w:cs="Times New Roman"/>
          <w:bCs/>
          <w:i/>
          <w:sz w:val="24"/>
          <w:szCs w:val="24"/>
        </w:rPr>
        <w:t>Asociación de Usuarios de Servicios Bancarios (Ausbanc)</w:t>
      </w:r>
      <w:r w:rsidRPr="007344EA">
        <w:rPr>
          <w:rFonts w:ascii="Times New Roman" w:hAnsi="Times New Roman" w:cs="Times New Roman"/>
          <w:bCs/>
          <w:sz w:val="24"/>
          <w:szCs w:val="24"/>
        </w:rPr>
        <w:t xml:space="preserve"> [2010] ETA I-</w:t>
      </w:r>
      <w:r w:rsidRPr="007344EA">
        <w:rPr>
          <w:rFonts w:ascii="Times New Roman" w:hAnsi="Times New Roman" w:cs="Times New Roman"/>
          <w:sz w:val="24"/>
          <w:szCs w:val="24"/>
        </w:rPr>
        <w:t>04785.</w:t>
      </w:r>
    </w:p>
    <w:p w:rsidR="00EF4F12" w:rsidRPr="007344EA" w:rsidRDefault="00A77D7F"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Generalinės advokatės Trstenjak išvada byloje C</w:t>
      </w:r>
      <w:r w:rsidRPr="007344EA">
        <w:rPr>
          <w:rFonts w:ascii="Times New Roman" w:hAnsi="Times New Roman" w:cs="Times New Roman"/>
          <w:sz w:val="24"/>
          <w:szCs w:val="24"/>
        </w:rPr>
        <w:noBreakHyphen/>
        <w:t>484/08</w:t>
      </w:r>
      <w:r w:rsidRPr="007344EA">
        <w:rPr>
          <w:rFonts w:ascii="Times New Roman" w:hAnsi="Times New Roman" w:cs="Times New Roman"/>
          <w:i/>
          <w:sz w:val="24"/>
          <w:szCs w:val="24"/>
        </w:rPr>
        <w:t xml:space="preserve"> </w:t>
      </w:r>
      <w:r w:rsidRPr="007344EA">
        <w:rPr>
          <w:rFonts w:ascii="Times New Roman" w:hAnsi="Times New Roman" w:cs="Times New Roman"/>
          <w:bCs/>
          <w:i/>
          <w:sz w:val="24"/>
          <w:szCs w:val="24"/>
        </w:rPr>
        <w:t xml:space="preserve">Caja de Ahorros y Monte de Piedad de Madrid </w:t>
      </w:r>
      <w:r w:rsidRPr="007344EA">
        <w:rPr>
          <w:rFonts w:ascii="Times New Roman" w:hAnsi="Times New Roman" w:cs="Times New Roman"/>
          <w:i/>
          <w:sz w:val="24"/>
          <w:szCs w:val="24"/>
        </w:rPr>
        <w:t xml:space="preserve">prieš </w:t>
      </w:r>
      <w:r w:rsidRPr="007344EA">
        <w:rPr>
          <w:rFonts w:ascii="Times New Roman" w:hAnsi="Times New Roman" w:cs="Times New Roman"/>
          <w:bCs/>
          <w:i/>
          <w:sz w:val="24"/>
          <w:szCs w:val="24"/>
        </w:rPr>
        <w:t xml:space="preserve">Asociación de Usuarios de Servicios Bancarios (Ausbanc), </w:t>
      </w:r>
      <w:r w:rsidRPr="007344EA">
        <w:rPr>
          <w:rFonts w:ascii="Times New Roman" w:hAnsi="Times New Roman" w:cs="Times New Roman"/>
          <w:bCs/>
          <w:sz w:val="24"/>
          <w:szCs w:val="24"/>
        </w:rPr>
        <w:t>pateikta 2009 m. spalio 29d.</w:t>
      </w:r>
      <w:r w:rsidRPr="007344EA">
        <w:rPr>
          <w:rFonts w:ascii="Times New Roman" w:hAnsi="Times New Roman" w:cs="Times New Roman"/>
          <w:bCs/>
          <w:i/>
          <w:sz w:val="24"/>
          <w:szCs w:val="24"/>
        </w:rPr>
        <w:t xml:space="preserve"> </w:t>
      </w:r>
    </w:p>
    <w:p w:rsidR="00A77D7F" w:rsidRPr="007344EA" w:rsidRDefault="00A77D7F"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Byla C</w:t>
      </w:r>
      <w:r w:rsidRPr="007344EA">
        <w:rPr>
          <w:rFonts w:ascii="Times New Roman" w:hAnsi="Times New Roman" w:cs="Times New Roman"/>
          <w:sz w:val="24"/>
          <w:szCs w:val="24"/>
        </w:rPr>
        <w:noBreakHyphen/>
        <w:t xml:space="preserve">76/10 </w:t>
      </w:r>
      <w:r w:rsidRPr="007344EA">
        <w:rPr>
          <w:rFonts w:ascii="Times New Roman" w:hAnsi="Times New Roman" w:cs="Times New Roman"/>
          <w:bCs/>
          <w:i/>
          <w:sz w:val="24"/>
          <w:szCs w:val="24"/>
        </w:rPr>
        <w:t xml:space="preserve">Pohotovosť s. r. o. </w:t>
      </w:r>
      <w:r w:rsidRPr="007344EA">
        <w:rPr>
          <w:rFonts w:ascii="Times New Roman" w:hAnsi="Times New Roman" w:cs="Times New Roman"/>
          <w:i/>
          <w:sz w:val="24"/>
          <w:szCs w:val="24"/>
        </w:rPr>
        <w:t xml:space="preserve">prieš </w:t>
      </w:r>
      <w:r w:rsidRPr="007344EA">
        <w:rPr>
          <w:rFonts w:ascii="Times New Roman" w:hAnsi="Times New Roman" w:cs="Times New Roman"/>
          <w:bCs/>
          <w:i/>
          <w:sz w:val="24"/>
          <w:szCs w:val="24"/>
        </w:rPr>
        <w:t>Iveta Korčkovská</w:t>
      </w:r>
      <w:r w:rsidRPr="007344EA">
        <w:rPr>
          <w:rFonts w:ascii="Times New Roman" w:hAnsi="Times New Roman" w:cs="Times New Roman"/>
          <w:bCs/>
          <w:sz w:val="24"/>
          <w:szCs w:val="24"/>
        </w:rPr>
        <w:t xml:space="preserve"> [2010] ETA I-</w:t>
      </w:r>
      <w:r w:rsidRPr="007344EA">
        <w:rPr>
          <w:rFonts w:ascii="Times New Roman" w:hAnsi="Times New Roman" w:cs="Times New Roman"/>
          <w:sz w:val="24"/>
          <w:szCs w:val="24"/>
        </w:rPr>
        <w:t>11557.</w:t>
      </w:r>
    </w:p>
    <w:p w:rsidR="00A77D7F" w:rsidRPr="007344EA" w:rsidRDefault="00A77D7F"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Byla C-137/08 </w:t>
      </w:r>
      <w:r w:rsidRPr="007344EA">
        <w:rPr>
          <w:rFonts w:ascii="Times New Roman" w:hAnsi="Times New Roman" w:cs="Times New Roman"/>
          <w:bCs/>
          <w:i/>
          <w:sz w:val="24"/>
          <w:szCs w:val="24"/>
        </w:rPr>
        <w:t xml:space="preserve">VB Pénzügyi Lízing Zrt. </w:t>
      </w:r>
      <w:r w:rsidRPr="007344EA">
        <w:rPr>
          <w:rFonts w:ascii="Times New Roman" w:hAnsi="Times New Roman" w:cs="Times New Roman"/>
          <w:i/>
          <w:sz w:val="24"/>
          <w:szCs w:val="24"/>
        </w:rPr>
        <w:t xml:space="preserve">Prieš </w:t>
      </w:r>
      <w:r w:rsidRPr="007344EA">
        <w:rPr>
          <w:rFonts w:ascii="Times New Roman" w:hAnsi="Times New Roman" w:cs="Times New Roman"/>
          <w:bCs/>
          <w:i/>
          <w:sz w:val="24"/>
          <w:szCs w:val="24"/>
        </w:rPr>
        <w:t>Ferenc  Fchneider</w:t>
      </w:r>
      <w:r w:rsidRPr="007344EA">
        <w:rPr>
          <w:rFonts w:ascii="Times New Roman" w:hAnsi="Times New Roman" w:cs="Times New Roman"/>
          <w:bCs/>
          <w:sz w:val="24"/>
          <w:szCs w:val="24"/>
        </w:rPr>
        <w:t xml:space="preserve"> [2010] ETA I-</w:t>
      </w:r>
      <w:r w:rsidRPr="007344EA">
        <w:rPr>
          <w:rFonts w:ascii="Times New Roman" w:hAnsi="Times New Roman" w:cs="Times New Roman"/>
          <w:sz w:val="24"/>
          <w:szCs w:val="24"/>
        </w:rPr>
        <w:t>10847.</w:t>
      </w:r>
    </w:p>
    <w:p w:rsidR="00A77D7F" w:rsidRPr="007344EA" w:rsidRDefault="00A77D7F"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lastRenderedPageBreak/>
        <w:t xml:space="preserve">Generalinės advokatės Trstenjak išvada byloje C-137/08 </w:t>
      </w:r>
      <w:r w:rsidRPr="007344EA">
        <w:rPr>
          <w:rFonts w:ascii="Times New Roman" w:hAnsi="Times New Roman" w:cs="Times New Roman"/>
          <w:bCs/>
          <w:i/>
          <w:sz w:val="24"/>
          <w:szCs w:val="24"/>
        </w:rPr>
        <w:t xml:space="preserve">VB Pénzügyi Lízing Zrt. </w:t>
      </w:r>
      <w:r w:rsidRPr="007344EA">
        <w:rPr>
          <w:rFonts w:ascii="Times New Roman" w:hAnsi="Times New Roman" w:cs="Times New Roman"/>
          <w:i/>
          <w:sz w:val="24"/>
          <w:szCs w:val="24"/>
        </w:rPr>
        <w:t xml:space="preserve">Prieš </w:t>
      </w:r>
      <w:r w:rsidRPr="007344EA">
        <w:rPr>
          <w:rFonts w:ascii="Times New Roman" w:hAnsi="Times New Roman" w:cs="Times New Roman"/>
          <w:bCs/>
          <w:i/>
          <w:sz w:val="24"/>
          <w:szCs w:val="24"/>
        </w:rPr>
        <w:t xml:space="preserve">Ferenc  Fchneider, </w:t>
      </w:r>
      <w:r w:rsidRPr="007344EA">
        <w:rPr>
          <w:rFonts w:ascii="Times New Roman" w:hAnsi="Times New Roman" w:cs="Times New Roman"/>
          <w:bCs/>
          <w:sz w:val="24"/>
          <w:szCs w:val="24"/>
        </w:rPr>
        <w:t xml:space="preserve">pateikta 2010 m. liepos 6d. </w:t>
      </w:r>
    </w:p>
    <w:p w:rsidR="00A77D7F" w:rsidRPr="007344EA" w:rsidRDefault="00A77D7F" w:rsidP="00536054">
      <w:pPr>
        <w:pStyle w:val="ListParagraph"/>
        <w:numPr>
          <w:ilvl w:val="0"/>
          <w:numId w:val="19"/>
        </w:numPr>
        <w:spacing w:after="0" w:line="360" w:lineRule="auto"/>
        <w:rPr>
          <w:rFonts w:ascii="Times New Roman" w:hAnsi="Times New Roman" w:cs="Times New Roman"/>
          <w:bCs/>
          <w:sz w:val="24"/>
          <w:szCs w:val="24"/>
        </w:rPr>
      </w:pPr>
      <w:r w:rsidRPr="007344EA">
        <w:rPr>
          <w:rFonts w:ascii="Times New Roman" w:hAnsi="Times New Roman" w:cs="Times New Roman"/>
          <w:sz w:val="24"/>
          <w:szCs w:val="24"/>
        </w:rPr>
        <w:t xml:space="preserve">Byla C-327/10 </w:t>
      </w:r>
      <w:r w:rsidRPr="007344EA">
        <w:rPr>
          <w:rFonts w:ascii="Times New Roman" w:hAnsi="Times New Roman" w:cs="Times New Roman"/>
          <w:bCs/>
          <w:i/>
          <w:sz w:val="24"/>
          <w:szCs w:val="24"/>
        </w:rPr>
        <w:t xml:space="preserve">Hypoteční banka a.s. </w:t>
      </w:r>
      <w:r w:rsidRPr="007344EA">
        <w:rPr>
          <w:rFonts w:ascii="Times New Roman" w:hAnsi="Times New Roman" w:cs="Times New Roman"/>
          <w:i/>
          <w:sz w:val="24"/>
          <w:szCs w:val="24"/>
        </w:rPr>
        <w:t xml:space="preserve">prieš </w:t>
      </w:r>
      <w:r w:rsidRPr="007344EA">
        <w:rPr>
          <w:rFonts w:ascii="Times New Roman" w:hAnsi="Times New Roman" w:cs="Times New Roman"/>
          <w:bCs/>
          <w:i/>
          <w:sz w:val="24"/>
          <w:szCs w:val="24"/>
        </w:rPr>
        <w:t>Udo Mike Lindner</w:t>
      </w:r>
      <w:r w:rsidRPr="007344EA">
        <w:rPr>
          <w:rFonts w:ascii="Times New Roman" w:hAnsi="Times New Roman" w:cs="Times New Roman"/>
          <w:bCs/>
          <w:sz w:val="24"/>
          <w:szCs w:val="24"/>
        </w:rPr>
        <w:t xml:space="preserve"> [dar nepaskelbta]</w:t>
      </w:r>
    </w:p>
    <w:p w:rsidR="00A77D7F" w:rsidRPr="007344EA" w:rsidRDefault="00A77D7F" w:rsidP="00536054">
      <w:pPr>
        <w:pStyle w:val="ListParagraph"/>
        <w:numPr>
          <w:ilvl w:val="0"/>
          <w:numId w:val="19"/>
        </w:numPr>
        <w:spacing w:after="0" w:line="360" w:lineRule="auto"/>
        <w:rPr>
          <w:rFonts w:ascii="Times New Roman" w:hAnsi="Times New Roman" w:cs="Times New Roman"/>
          <w:bCs/>
          <w:sz w:val="24"/>
          <w:szCs w:val="24"/>
        </w:rPr>
      </w:pPr>
      <w:r w:rsidRPr="007344EA">
        <w:rPr>
          <w:rFonts w:ascii="Times New Roman" w:hAnsi="Times New Roman" w:cs="Times New Roman"/>
          <w:sz w:val="24"/>
          <w:szCs w:val="24"/>
        </w:rPr>
        <w:t>Byla C</w:t>
      </w:r>
      <w:r w:rsidRPr="007344EA">
        <w:rPr>
          <w:rFonts w:ascii="Times New Roman" w:hAnsi="Times New Roman" w:cs="Times New Roman"/>
          <w:sz w:val="24"/>
          <w:szCs w:val="24"/>
        </w:rPr>
        <w:noBreakHyphen/>
        <w:t xml:space="preserve">453/10 </w:t>
      </w:r>
      <w:r w:rsidRPr="007344EA">
        <w:rPr>
          <w:rFonts w:ascii="Times New Roman" w:hAnsi="Times New Roman" w:cs="Times New Roman"/>
          <w:bCs/>
          <w:i/>
          <w:sz w:val="24"/>
          <w:szCs w:val="24"/>
        </w:rPr>
        <w:t xml:space="preserve">Jana Pereničová, Vladislav Perenič </w:t>
      </w:r>
      <w:r w:rsidRPr="007344EA">
        <w:rPr>
          <w:rFonts w:ascii="Times New Roman" w:hAnsi="Times New Roman" w:cs="Times New Roman"/>
          <w:i/>
          <w:sz w:val="24"/>
          <w:szCs w:val="24"/>
        </w:rPr>
        <w:t xml:space="preserve">prieš </w:t>
      </w:r>
      <w:r w:rsidRPr="007344EA">
        <w:rPr>
          <w:rFonts w:ascii="Times New Roman" w:hAnsi="Times New Roman" w:cs="Times New Roman"/>
          <w:bCs/>
          <w:i/>
          <w:sz w:val="24"/>
          <w:szCs w:val="24"/>
        </w:rPr>
        <w:t xml:space="preserve">SOS financ spol. s r. o. </w:t>
      </w:r>
      <w:r w:rsidRPr="007344EA">
        <w:rPr>
          <w:rFonts w:ascii="Times New Roman" w:hAnsi="Times New Roman" w:cs="Times New Roman"/>
          <w:bCs/>
          <w:sz w:val="24"/>
          <w:szCs w:val="24"/>
        </w:rPr>
        <w:t>[dar nepaskelbta]</w:t>
      </w:r>
    </w:p>
    <w:p w:rsidR="00EF4F12" w:rsidRPr="007344EA" w:rsidRDefault="00A77D7F"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Generalinės advokatės Trstenjak išvada byloje C</w:t>
      </w:r>
      <w:r w:rsidRPr="007344EA">
        <w:rPr>
          <w:rFonts w:ascii="Times New Roman" w:hAnsi="Times New Roman" w:cs="Times New Roman"/>
          <w:sz w:val="24"/>
          <w:szCs w:val="24"/>
        </w:rPr>
        <w:noBreakHyphen/>
        <w:t>453/10</w:t>
      </w:r>
      <w:r w:rsidRPr="007344EA">
        <w:rPr>
          <w:rFonts w:ascii="Times New Roman" w:hAnsi="Times New Roman" w:cs="Times New Roman"/>
          <w:bCs/>
          <w:i/>
          <w:sz w:val="24"/>
          <w:szCs w:val="24"/>
        </w:rPr>
        <w:t xml:space="preserve"> Jana Pereničová, Vladislav Perenič </w:t>
      </w:r>
      <w:r w:rsidRPr="007344EA">
        <w:rPr>
          <w:rFonts w:ascii="Times New Roman" w:hAnsi="Times New Roman" w:cs="Times New Roman"/>
          <w:i/>
          <w:sz w:val="24"/>
          <w:szCs w:val="24"/>
        </w:rPr>
        <w:t xml:space="preserve">prieš </w:t>
      </w:r>
      <w:r w:rsidRPr="007344EA">
        <w:rPr>
          <w:rFonts w:ascii="Times New Roman" w:hAnsi="Times New Roman" w:cs="Times New Roman"/>
          <w:bCs/>
          <w:i/>
          <w:sz w:val="24"/>
          <w:szCs w:val="24"/>
        </w:rPr>
        <w:t>SOS financ spol. s r. o.</w:t>
      </w:r>
      <w:r w:rsidRPr="007344EA">
        <w:rPr>
          <w:rFonts w:ascii="Times New Roman" w:hAnsi="Times New Roman" w:cs="Times New Roman"/>
          <w:sz w:val="24"/>
          <w:szCs w:val="24"/>
        </w:rPr>
        <w:t xml:space="preserve">, pateikta 2011 m. lapkričio 29 d.  </w:t>
      </w:r>
    </w:p>
    <w:p w:rsidR="00A77D7F" w:rsidRPr="007344EA" w:rsidRDefault="00A77D7F"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Byla C</w:t>
      </w:r>
      <w:r w:rsidRPr="007344EA">
        <w:rPr>
          <w:rFonts w:ascii="Times New Roman" w:hAnsi="Times New Roman" w:cs="Times New Roman"/>
          <w:sz w:val="24"/>
          <w:szCs w:val="24"/>
        </w:rPr>
        <w:noBreakHyphen/>
        <w:t>472/10</w:t>
      </w:r>
      <w:r w:rsidRPr="007344EA">
        <w:rPr>
          <w:rFonts w:ascii="Times New Roman" w:hAnsi="Times New Roman" w:cs="Times New Roman"/>
          <w:b/>
          <w:bCs/>
          <w:sz w:val="24"/>
          <w:szCs w:val="24"/>
        </w:rPr>
        <w:t xml:space="preserve"> </w:t>
      </w:r>
      <w:r w:rsidRPr="007344EA">
        <w:rPr>
          <w:rFonts w:ascii="Times New Roman" w:hAnsi="Times New Roman" w:cs="Times New Roman"/>
          <w:bCs/>
          <w:i/>
          <w:sz w:val="24"/>
          <w:szCs w:val="24"/>
        </w:rPr>
        <w:t>Nemzeti Fogyasztóvédelmi Hatóság p</w:t>
      </w:r>
      <w:r w:rsidRPr="007344EA">
        <w:rPr>
          <w:rFonts w:ascii="Times New Roman" w:hAnsi="Times New Roman" w:cs="Times New Roman"/>
          <w:i/>
          <w:sz w:val="24"/>
          <w:szCs w:val="24"/>
        </w:rPr>
        <w:t xml:space="preserve">rieš </w:t>
      </w:r>
      <w:r w:rsidRPr="007344EA">
        <w:rPr>
          <w:rFonts w:ascii="Times New Roman" w:hAnsi="Times New Roman" w:cs="Times New Roman"/>
          <w:bCs/>
          <w:i/>
          <w:sz w:val="24"/>
          <w:szCs w:val="24"/>
        </w:rPr>
        <w:t>Invitel Távközlési ZrtI</w:t>
      </w:r>
      <w:r w:rsidRPr="007344EA">
        <w:rPr>
          <w:rFonts w:ascii="Times New Roman" w:hAnsi="Times New Roman" w:cs="Times New Roman"/>
          <w:bCs/>
          <w:sz w:val="24"/>
          <w:szCs w:val="24"/>
        </w:rPr>
        <w:t xml:space="preserve"> [dar nepaskelbta]</w:t>
      </w:r>
    </w:p>
    <w:p w:rsidR="00A77D7F" w:rsidRPr="007344EA" w:rsidRDefault="00A77D7F"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Generalinės advokatės Trstenjak išvada byloje C</w:t>
      </w:r>
      <w:r w:rsidRPr="007344EA">
        <w:rPr>
          <w:rFonts w:ascii="Times New Roman" w:hAnsi="Times New Roman" w:cs="Times New Roman"/>
          <w:sz w:val="24"/>
          <w:szCs w:val="24"/>
        </w:rPr>
        <w:noBreakHyphen/>
        <w:t>472/10</w:t>
      </w:r>
      <w:r w:rsidRPr="007344EA">
        <w:rPr>
          <w:rFonts w:ascii="Times New Roman" w:hAnsi="Times New Roman" w:cs="Times New Roman"/>
          <w:b/>
          <w:bCs/>
          <w:sz w:val="24"/>
          <w:szCs w:val="24"/>
        </w:rPr>
        <w:t xml:space="preserve"> </w:t>
      </w:r>
      <w:r w:rsidRPr="007344EA">
        <w:rPr>
          <w:rFonts w:ascii="Times New Roman" w:hAnsi="Times New Roman" w:cs="Times New Roman"/>
          <w:bCs/>
          <w:i/>
          <w:sz w:val="24"/>
          <w:szCs w:val="24"/>
        </w:rPr>
        <w:t>Nemzeti Fogyasztóvédelmi Hatóság p</w:t>
      </w:r>
      <w:r w:rsidRPr="007344EA">
        <w:rPr>
          <w:rFonts w:ascii="Times New Roman" w:hAnsi="Times New Roman" w:cs="Times New Roman"/>
          <w:i/>
          <w:sz w:val="24"/>
          <w:szCs w:val="24"/>
        </w:rPr>
        <w:t xml:space="preserve">rieš </w:t>
      </w:r>
      <w:r w:rsidRPr="007344EA">
        <w:rPr>
          <w:rFonts w:ascii="Times New Roman" w:hAnsi="Times New Roman" w:cs="Times New Roman"/>
          <w:bCs/>
          <w:i/>
          <w:sz w:val="24"/>
          <w:szCs w:val="24"/>
        </w:rPr>
        <w:t xml:space="preserve">Invitel Távközlési ZrtI, </w:t>
      </w:r>
      <w:r w:rsidRPr="007344EA">
        <w:rPr>
          <w:rFonts w:ascii="Times New Roman" w:hAnsi="Times New Roman" w:cs="Times New Roman"/>
          <w:bCs/>
          <w:sz w:val="24"/>
          <w:szCs w:val="24"/>
        </w:rPr>
        <w:t>pateikta 2011 m. gruodžio 6d.</w:t>
      </w:r>
      <w:r w:rsidRPr="007344EA">
        <w:rPr>
          <w:rFonts w:ascii="Times New Roman" w:hAnsi="Times New Roman" w:cs="Times New Roman"/>
          <w:bCs/>
          <w:i/>
          <w:sz w:val="24"/>
          <w:szCs w:val="24"/>
        </w:rPr>
        <w:t xml:space="preserve"> </w:t>
      </w:r>
    </w:p>
    <w:p w:rsidR="00A77D7F" w:rsidRPr="007344EA" w:rsidRDefault="00A77D7F"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Byla C-618/10 </w:t>
      </w:r>
      <w:r w:rsidRPr="007344EA">
        <w:rPr>
          <w:rFonts w:ascii="Times New Roman" w:hAnsi="Times New Roman" w:cs="Times New Roman"/>
          <w:i/>
          <w:sz w:val="24"/>
          <w:szCs w:val="24"/>
        </w:rPr>
        <w:t xml:space="preserve">Banco Español de Crédito SA prieš Joaquín Calderón Camino </w:t>
      </w:r>
      <w:r w:rsidRPr="007344EA">
        <w:rPr>
          <w:rFonts w:ascii="Times New Roman" w:hAnsi="Times New Roman" w:cs="Times New Roman"/>
          <w:sz w:val="24"/>
          <w:szCs w:val="24"/>
        </w:rPr>
        <w:t>[dar nepaskelbta]</w:t>
      </w:r>
    </w:p>
    <w:p w:rsidR="00A77D7F" w:rsidRPr="007344EA" w:rsidRDefault="00A77D7F"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Generalinės advokatės Trstenjak išvada byloje C-618/10 </w:t>
      </w:r>
      <w:r w:rsidRPr="007344EA">
        <w:rPr>
          <w:rFonts w:ascii="Times New Roman" w:hAnsi="Times New Roman" w:cs="Times New Roman"/>
          <w:i/>
          <w:sz w:val="24"/>
          <w:szCs w:val="24"/>
        </w:rPr>
        <w:t xml:space="preserve">Banco Español de Crédito SA prieš Joaquín Calderón Camino, </w:t>
      </w:r>
      <w:r w:rsidRPr="007344EA">
        <w:rPr>
          <w:rFonts w:ascii="Times New Roman" w:hAnsi="Times New Roman" w:cs="Times New Roman"/>
          <w:sz w:val="24"/>
          <w:szCs w:val="24"/>
        </w:rPr>
        <w:t xml:space="preserve">pateikta 2012 m. vasario 14d. </w:t>
      </w:r>
    </w:p>
    <w:p w:rsidR="00846700" w:rsidRPr="007344EA" w:rsidRDefault="00E13F20"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Case </w:t>
      </w:r>
      <w:r w:rsidR="00846700" w:rsidRPr="007344EA">
        <w:rPr>
          <w:rFonts w:ascii="Times New Roman" w:hAnsi="Times New Roman" w:cs="Times New Roman"/>
          <w:sz w:val="24"/>
          <w:szCs w:val="24"/>
        </w:rPr>
        <w:t xml:space="preserve">C-96/00 </w:t>
      </w:r>
      <w:r w:rsidR="00846700" w:rsidRPr="007344EA">
        <w:rPr>
          <w:rFonts w:ascii="Times New Roman" w:hAnsi="Times New Roman" w:cs="Times New Roman"/>
          <w:i/>
          <w:sz w:val="24"/>
          <w:szCs w:val="24"/>
        </w:rPr>
        <w:t>Rudolf Gabriel</w:t>
      </w:r>
      <w:r w:rsidR="00846700" w:rsidRPr="007344EA">
        <w:rPr>
          <w:rFonts w:ascii="Times New Roman" w:hAnsi="Times New Roman" w:cs="Times New Roman"/>
          <w:sz w:val="24"/>
          <w:szCs w:val="24"/>
        </w:rPr>
        <w:t>, ECR I-6367</w:t>
      </w:r>
    </w:p>
    <w:p w:rsidR="00846700" w:rsidRPr="007344EA" w:rsidRDefault="00846700" w:rsidP="00536054">
      <w:pPr>
        <w:pStyle w:val="ListParagraph"/>
        <w:numPr>
          <w:ilvl w:val="0"/>
          <w:numId w:val="19"/>
        </w:numPr>
        <w:spacing w:after="0" w:line="360" w:lineRule="auto"/>
        <w:rPr>
          <w:rFonts w:ascii="Times New Roman" w:hAnsi="Times New Roman" w:cs="Times New Roman"/>
          <w:sz w:val="24"/>
          <w:szCs w:val="24"/>
          <w:lang w:val="en-US"/>
        </w:rPr>
      </w:pPr>
      <w:r w:rsidRPr="007344EA">
        <w:rPr>
          <w:rFonts w:ascii="Times New Roman" w:hAnsi="Times New Roman" w:cs="Times New Roman"/>
          <w:sz w:val="24"/>
          <w:szCs w:val="24"/>
        </w:rPr>
        <w:t>Byl</w:t>
      </w:r>
      <w:r w:rsidR="00BD5BA0" w:rsidRPr="007344EA">
        <w:rPr>
          <w:rFonts w:ascii="Times New Roman" w:hAnsi="Times New Roman" w:cs="Times New Roman"/>
          <w:sz w:val="24"/>
          <w:szCs w:val="24"/>
        </w:rPr>
        <w:t>os</w:t>
      </w:r>
      <w:r w:rsidRPr="007344EA">
        <w:rPr>
          <w:rFonts w:ascii="Times New Roman" w:hAnsi="Times New Roman" w:cs="Times New Roman"/>
          <w:i/>
          <w:sz w:val="24"/>
          <w:szCs w:val="24"/>
        </w:rPr>
        <w:t xml:space="preserve"> </w:t>
      </w:r>
      <w:r w:rsidRPr="007344EA">
        <w:rPr>
          <w:rFonts w:ascii="Times New Roman" w:hAnsi="Times New Roman" w:cs="Times New Roman"/>
          <w:sz w:val="24"/>
          <w:szCs w:val="24"/>
        </w:rPr>
        <w:t xml:space="preserve">C-267 ir 268/91 </w:t>
      </w:r>
      <w:r w:rsidR="00BD5BA0" w:rsidRPr="007344EA">
        <w:rPr>
          <w:rFonts w:ascii="Times New Roman" w:hAnsi="Times New Roman" w:cs="Times New Roman"/>
          <w:i/>
          <w:sz w:val="24"/>
          <w:szCs w:val="24"/>
        </w:rPr>
        <w:t>Baudžiamosios</w:t>
      </w:r>
      <w:r w:rsidRPr="007344EA">
        <w:rPr>
          <w:rFonts w:ascii="Times New Roman" w:hAnsi="Times New Roman" w:cs="Times New Roman"/>
          <w:i/>
          <w:sz w:val="24"/>
          <w:szCs w:val="24"/>
        </w:rPr>
        <w:t xml:space="preserve"> bylos prieš</w:t>
      </w:r>
      <w:r w:rsidRPr="007344EA">
        <w:rPr>
          <w:rFonts w:ascii="Times New Roman" w:hAnsi="Times New Roman" w:cs="Times New Roman"/>
          <w:sz w:val="24"/>
          <w:szCs w:val="24"/>
        </w:rPr>
        <w:t xml:space="preserve"> </w:t>
      </w:r>
      <w:r w:rsidRPr="007344EA">
        <w:rPr>
          <w:rFonts w:ascii="Times New Roman" w:hAnsi="Times New Roman" w:cs="Times New Roman"/>
          <w:i/>
          <w:sz w:val="24"/>
          <w:szCs w:val="24"/>
        </w:rPr>
        <w:t xml:space="preserve">Keck ir Mithouard, </w:t>
      </w:r>
      <w:r w:rsidR="00BD5BA0" w:rsidRPr="007344EA">
        <w:rPr>
          <w:rFonts w:ascii="Times New Roman" w:hAnsi="Times New Roman" w:cs="Times New Roman"/>
          <w:sz w:val="24"/>
          <w:szCs w:val="24"/>
        </w:rPr>
        <w:t xml:space="preserve">ECR </w:t>
      </w:r>
      <w:r w:rsidR="00405B39" w:rsidRPr="007344EA">
        <w:rPr>
          <w:rFonts w:ascii="Times New Roman" w:hAnsi="Times New Roman" w:cs="Times New Roman"/>
          <w:sz w:val="24"/>
          <w:szCs w:val="24"/>
        </w:rPr>
        <w:t>I-6097.</w:t>
      </w:r>
    </w:p>
    <w:p w:rsidR="00536054" w:rsidRPr="007344EA" w:rsidRDefault="00536054" w:rsidP="00536054">
      <w:pPr>
        <w:spacing w:after="0" w:line="360" w:lineRule="auto"/>
        <w:rPr>
          <w:rFonts w:ascii="Times New Roman" w:hAnsi="Times New Roman" w:cs="Times New Roman"/>
          <w:b/>
          <w:sz w:val="24"/>
          <w:szCs w:val="24"/>
        </w:rPr>
      </w:pPr>
    </w:p>
    <w:p w:rsidR="00EF4F12" w:rsidRPr="007344EA" w:rsidRDefault="00EF4F12" w:rsidP="00536054">
      <w:pPr>
        <w:spacing w:after="0" w:line="360" w:lineRule="auto"/>
        <w:rPr>
          <w:rFonts w:ascii="Times New Roman" w:hAnsi="Times New Roman" w:cs="Times New Roman"/>
          <w:b/>
          <w:sz w:val="24"/>
          <w:szCs w:val="24"/>
        </w:rPr>
      </w:pPr>
      <w:r w:rsidRPr="007344EA">
        <w:rPr>
          <w:rFonts w:ascii="Times New Roman" w:hAnsi="Times New Roman" w:cs="Times New Roman"/>
          <w:b/>
          <w:sz w:val="24"/>
          <w:szCs w:val="24"/>
        </w:rPr>
        <w:t>Lietuvos Aukščiausiojo Teismo nutartys:</w:t>
      </w:r>
    </w:p>
    <w:p w:rsidR="007344EA" w:rsidRPr="007344EA" w:rsidRDefault="007344EA" w:rsidP="00536054">
      <w:pPr>
        <w:spacing w:after="0" w:line="360" w:lineRule="auto"/>
        <w:rPr>
          <w:rFonts w:ascii="Times New Roman" w:hAnsi="Times New Roman" w:cs="Times New Roman"/>
          <w:b/>
          <w:sz w:val="24"/>
          <w:szCs w:val="24"/>
        </w:rPr>
      </w:pPr>
    </w:p>
    <w:p w:rsidR="00846700" w:rsidRPr="007344EA" w:rsidRDefault="00846700" w:rsidP="00536054">
      <w:pPr>
        <w:pStyle w:val="ListParagraph"/>
        <w:numPr>
          <w:ilvl w:val="0"/>
          <w:numId w:val="19"/>
        </w:numPr>
        <w:spacing w:after="0" w:line="360" w:lineRule="auto"/>
        <w:rPr>
          <w:rFonts w:ascii="Times New Roman" w:hAnsi="Times New Roman" w:cs="Times New Roman"/>
          <w:sz w:val="24"/>
          <w:szCs w:val="24"/>
          <w:lang w:val="en-US"/>
        </w:rPr>
      </w:pPr>
      <w:r w:rsidRPr="007344EA">
        <w:rPr>
          <w:rFonts w:ascii="Times New Roman" w:hAnsi="Times New Roman" w:cs="Times New Roman"/>
          <w:sz w:val="24"/>
          <w:szCs w:val="24"/>
        </w:rPr>
        <w:t xml:space="preserve">Lietuvos Aukščiausiojo Teismo Civilinių bylų skyriaus teisėjų kolegijos </w:t>
      </w:r>
      <w:r w:rsidRPr="007344EA">
        <w:rPr>
          <w:rFonts w:ascii="Times New Roman" w:hAnsi="Times New Roman" w:cs="Times New Roman"/>
          <w:sz w:val="24"/>
          <w:szCs w:val="24"/>
          <w:lang w:val="en-US"/>
        </w:rPr>
        <w:t xml:space="preserve">2003 m. </w:t>
      </w:r>
      <w:r w:rsidRPr="007344EA">
        <w:rPr>
          <w:rFonts w:ascii="Times New Roman" w:hAnsi="Times New Roman" w:cs="Times New Roman"/>
          <w:sz w:val="24"/>
          <w:szCs w:val="24"/>
        </w:rPr>
        <w:t xml:space="preserve">gegužės </w:t>
      </w:r>
      <w:r w:rsidRPr="007344EA">
        <w:rPr>
          <w:rFonts w:ascii="Times New Roman" w:hAnsi="Times New Roman" w:cs="Times New Roman"/>
          <w:sz w:val="24"/>
          <w:szCs w:val="24"/>
          <w:lang w:val="en-US"/>
        </w:rPr>
        <w:t>12 d.</w:t>
      </w:r>
      <w:r w:rsidRPr="007344EA">
        <w:rPr>
          <w:rFonts w:ascii="Times New Roman" w:hAnsi="Times New Roman" w:cs="Times New Roman"/>
          <w:sz w:val="24"/>
          <w:szCs w:val="24"/>
        </w:rPr>
        <w:t xml:space="preserve"> nutartis civilinėje byloje </w:t>
      </w:r>
      <w:r w:rsidRPr="007344EA">
        <w:rPr>
          <w:rFonts w:ascii="Times New Roman" w:hAnsi="Times New Roman" w:cs="Times New Roman"/>
          <w:i/>
          <w:sz w:val="24"/>
          <w:szCs w:val="24"/>
          <w:lang w:val="en-US"/>
        </w:rPr>
        <w:t>257-oji DNSB v Vilniaus vandenys</w:t>
      </w:r>
      <w:r w:rsidRPr="007344EA">
        <w:rPr>
          <w:rFonts w:ascii="Times New Roman" w:hAnsi="Times New Roman" w:cs="Times New Roman"/>
          <w:sz w:val="24"/>
          <w:szCs w:val="24"/>
          <w:lang w:val="en-US"/>
        </w:rPr>
        <w:t xml:space="preserve"> (bylos Nr. </w:t>
      </w:r>
      <w:r w:rsidRPr="007344EA">
        <w:rPr>
          <w:rFonts w:ascii="Times New Roman" w:hAnsi="Times New Roman" w:cs="Times New Roman"/>
          <w:sz w:val="24"/>
          <w:szCs w:val="24"/>
        </w:rPr>
        <w:t>3K-3-579/2003</w:t>
      </w:r>
      <w:r w:rsidRPr="007344EA">
        <w:rPr>
          <w:rFonts w:ascii="Times New Roman" w:hAnsi="Times New Roman" w:cs="Times New Roman"/>
          <w:sz w:val="24"/>
          <w:szCs w:val="24"/>
          <w:lang w:val="en-US"/>
        </w:rPr>
        <w:t>).</w:t>
      </w:r>
    </w:p>
    <w:p w:rsidR="00846700" w:rsidRPr="007344EA" w:rsidRDefault="00846700" w:rsidP="00536054">
      <w:pPr>
        <w:pStyle w:val="ListParagraph"/>
        <w:numPr>
          <w:ilvl w:val="0"/>
          <w:numId w:val="19"/>
        </w:numPr>
        <w:spacing w:after="0" w:line="360" w:lineRule="auto"/>
        <w:rPr>
          <w:rFonts w:ascii="Times New Roman" w:hAnsi="Times New Roman" w:cs="Times New Roman"/>
          <w:sz w:val="24"/>
          <w:szCs w:val="24"/>
          <w:lang w:val="en-US"/>
        </w:rPr>
      </w:pPr>
      <w:r w:rsidRPr="007344EA">
        <w:rPr>
          <w:rFonts w:ascii="Times New Roman" w:hAnsi="Times New Roman" w:cs="Times New Roman"/>
          <w:sz w:val="24"/>
          <w:szCs w:val="24"/>
        </w:rPr>
        <w:t xml:space="preserve">Lietuvos Aukščiausiojo Teismo Civilinių bylų skyriaus teisėjų kolegijos </w:t>
      </w:r>
      <w:r w:rsidRPr="007344EA">
        <w:rPr>
          <w:rFonts w:ascii="Times New Roman" w:hAnsi="Times New Roman" w:cs="Times New Roman"/>
          <w:sz w:val="24"/>
          <w:szCs w:val="24"/>
          <w:lang w:val="en-US"/>
        </w:rPr>
        <w:t xml:space="preserve">2009 m. </w:t>
      </w:r>
      <w:proofErr w:type="gramStart"/>
      <w:r w:rsidRPr="007344EA">
        <w:rPr>
          <w:rFonts w:ascii="Times New Roman" w:hAnsi="Times New Roman" w:cs="Times New Roman"/>
          <w:sz w:val="24"/>
          <w:szCs w:val="24"/>
          <w:lang w:val="en-US"/>
        </w:rPr>
        <w:t>gruod</w:t>
      </w:r>
      <w:r w:rsidRPr="007344EA">
        <w:rPr>
          <w:rFonts w:ascii="Times New Roman" w:hAnsi="Times New Roman" w:cs="Times New Roman"/>
          <w:sz w:val="24"/>
          <w:szCs w:val="24"/>
        </w:rPr>
        <w:t>žio</w:t>
      </w:r>
      <w:proofErr w:type="gramEnd"/>
      <w:r w:rsidRPr="007344EA">
        <w:rPr>
          <w:rFonts w:ascii="Times New Roman" w:hAnsi="Times New Roman" w:cs="Times New Roman"/>
          <w:sz w:val="24"/>
          <w:szCs w:val="24"/>
        </w:rPr>
        <w:t xml:space="preserve"> </w:t>
      </w:r>
      <w:r w:rsidRPr="007344EA">
        <w:rPr>
          <w:rFonts w:ascii="Times New Roman" w:hAnsi="Times New Roman" w:cs="Times New Roman"/>
          <w:sz w:val="24"/>
          <w:szCs w:val="24"/>
          <w:lang w:val="en-US"/>
        </w:rPr>
        <w:t>1 d. nutartis civilin</w:t>
      </w:r>
      <w:r w:rsidRPr="007344EA">
        <w:rPr>
          <w:rFonts w:ascii="Times New Roman" w:hAnsi="Times New Roman" w:cs="Times New Roman"/>
          <w:sz w:val="24"/>
          <w:szCs w:val="24"/>
        </w:rPr>
        <w:t xml:space="preserve">ėje byloje </w:t>
      </w:r>
      <w:r w:rsidRPr="007344EA">
        <w:rPr>
          <w:rFonts w:ascii="Times New Roman" w:hAnsi="Times New Roman" w:cs="Times New Roman"/>
          <w:i/>
          <w:sz w:val="24"/>
          <w:szCs w:val="24"/>
        </w:rPr>
        <w:t>M. L. v Air Baltic Corporation AS</w:t>
      </w:r>
      <w:r w:rsidRPr="007344EA">
        <w:rPr>
          <w:rFonts w:ascii="Times New Roman" w:hAnsi="Times New Roman" w:cs="Times New Roman"/>
          <w:sz w:val="24"/>
          <w:szCs w:val="24"/>
        </w:rPr>
        <w:t xml:space="preserve"> (bylos 3K-3-541/2009).</w:t>
      </w:r>
    </w:p>
    <w:p w:rsidR="00846700" w:rsidRPr="007344EA" w:rsidRDefault="00846700" w:rsidP="00536054">
      <w:pPr>
        <w:pStyle w:val="ListParagraph"/>
        <w:numPr>
          <w:ilvl w:val="0"/>
          <w:numId w:val="19"/>
        </w:numPr>
        <w:spacing w:after="0" w:line="360" w:lineRule="auto"/>
        <w:rPr>
          <w:rFonts w:ascii="Times New Roman" w:hAnsi="Times New Roman" w:cs="Times New Roman"/>
          <w:sz w:val="24"/>
          <w:szCs w:val="24"/>
          <w:lang w:val="en-US"/>
        </w:rPr>
      </w:pPr>
      <w:r w:rsidRPr="007344EA">
        <w:rPr>
          <w:rFonts w:ascii="Times New Roman" w:hAnsi="Times New Roman" w:cs="Times New Roman"/>
          <w:sz w:val="24"/>
          <w:szCs w:val="24"/>
        </w:rPr>
        <w:t xml:space="preserve">Lietuvos Aukščiausiojo Teismo Civilinių bylų skyriaus teisėjų kolegijos </w:t>
      </w:r>
      <w:r w:rsidRPr="007344EA">
        <w:rPr>
          <w:rFonts w:ascii="Times New Roman" w:hAnsi="Times New Roman" w:cs="Times New Roman"/>
          <w:bCs/>
          <w:sz w:val="24"/>
          <w:szCs w:val="24"/>
        </w:rPr>
        <w:t xml:space="preserve">2007 m. balandžio 6 d. nutartis civilinėje byloje </w:t>
      </w:r>
      <w:r w:rsidRPr="007344EA">
        <w:rPr>
          <w:rFonts w:ascii="Times New Roman" w:hAnsi="Times New Roman" w:cs="Times New Roman"/>
          <w:bCs/>
          <w:i/>
          <w:sz w:val="24"/>
          <w:szCs w:val="24"/>
        </w:rPr>
        <w:t xml:space="preserve">L.K. v „SEB bankas“ </w:t>
      </w:r>
      <w:r w:rsidRPr="007344EA">
        <w:rPr>
          <w:rFonts w:ascii="Times New Roman" w:hAnsi="Times New Roman" w:cs="Times New Roman"/>
          <w:bCs/>
          <w:sz w:val="24"/>
          <w:szCs w:val="24"/>
        </w:rPr>
        <w:t>(bylos Nr.</w:t>
      </w:r>
      <w:r w:rsidRPr="007344EA">
        <w:rPr>
          <w:rFonts w:ascii="Times New Roman" w:hAnsi="Times New Roman" w:cs="Times New Roman"/>
          <w:bCs/>
          <w:sz w:val="24"/>
          <w:szCs w:val="24"/>
          <w:lang w:val="en-US"/>
        </w:rPr>
        <w:t>3-K-156/2007)</w:t>
      </w:r>
    </w:p>
    <w:p w:rsidR="00846700" w:rsidRPr="007344EA" w:rsidRDefault="00846700"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Lietuvos Aukščiausiojo Teismo Civilinių bylų skyriaus teisėjų kolegijos 2007 m. vasario 26 d. nutartis civilinėje byloje </w:t>
      </w:r>
      <w:r w:rsidRPr="007344EA">
        <w:rPr>
          <w:rFonts w:ascii="Times New Roman" w:hAnsi="Times New Roman" w:cs="Times New Roman"/>
          <w:i/>
          <w:sz w:val="24"/>
          <w:szCs w:val="24"/>
        </w:rPr>
        <w:t>R. J. v „Ginta ir  partneriai“</w:t>
      </w:r>
      <w:r w:rsidRPr="007344EA">
        <w:rPr>
          <w:rFonts w:ascii="Times New Roman" w:hAnsi="Times New Roman" w:cs="Times New Roman"/>
          <w:bCs/>
          <w:sz w:val="24"/>
          <w:szCs w:val="24"/>
        </w:rPr>
        <w:t xml:space="preserve"> </w:t>
      </w:r>
      <w:r w:rsidRPr="007344EA">
        <w:rPr>
          <w:rFonts w:ascii="Times New Roman" w:hAnsi="Times New Roman" w:cs="Times New Roman"/>
          <w:sz w:val="24"/>
          <w:szCs w:val="24"/>
        </w:rPr>
        <w:t>(Nr. 3K-3-72/2007).</w:t>
      </w:r>
    </w:p>
    <w:p w:rsidR="00846700" w:rsidRPr="007344EA" w:rsidRDefault="00846700" w:rsidP="00536054">
      <w:pPr>
        <w:pStyle w:val="ListParagraph"/>
        <w:numPr>
          <w:ilvl w:val="0"/>
          <w:numId w:val="19"/>
        </w:numPr>
        <w:spacing w:after="0" w:line="360" w:lineRule="auto"/>
        <w:rPr>
          <w:rFonts w:ascii="Times New Roman" w:hAnsi="Times New Roman" w:cs="Times New Roman"/>
          <w:sz w:val="24"/>
          <w:szCs w:val="24"/>
        </w:rPr>
      </w:pPr>
      <w:r w:rsidRPr="007344EA">
        <w:rPr>
          <w:rFonts w:ascii="Times New Roman" w:hAnsi="Times New Roman" w:cs="Times New Roman"/>
          <w:sz w:val="24"/>
          <w:szCs w:val="24"/>
        </w:rPr>
        <w:t xml:space="preserve">Lietuvos Aukščiausiojo Teismo Civilinių bylų skyriaus teisėjų kolegijos </w:t>
      </w:r>
      <w:r w:rsidRPr="007344EA">
        <w:rPr>
          <w:rFonts w:ascii="Times New Roman" w:hAnsi="Times New Roman" w:cs="Times New Roman"/>
          <w:bCs/>
          <w:sz w:val="24"/>
          <w:szCs w:val="24"/>
        </w:rPr>
        <w:t xml:space="preserve">2008 m. gruodžio mėn. 23 d. nutartis civilinėje byloje </w:t>
      </w:r>
      <w:r w:rsidRPr="007344EA">
        <w:rPr>
          <w:rFonts w:ascii="Times New Roman" w:hAnsi="Times New Roman" w:cs="Times New Roman"/>
          <w:bCs/>
          <w:i/>
          <w:sz w:val="24"/>
          <w:szCs w:val="24"/>
        </w:rPr>
        <w:t>A.K. v UAB „Alsva“</w:t>
      </w:r>
      <w:r w:rsidRPr="007344EA">
        <w:rPr>
          <w:rFonts w:ascii="Times New Roman" w:hAnsi="Times New Roman" w:cs="Times New Roman"/>
          <w:bCs/>
          <w:sz w:val="24"/>
          <w:szCs w:val="24"/>
        </w:rPr>
        <w:t xml:space="preserve"> (3K-3-608/2008).</w:t>
      </w:r>
    </w:p>
    <w:p w:rsidR="00846700" w:rsidRPr="007344EA" w:rsidRDefault="00846700" w:rsidP="00EF4F12">
      <w:pPr>
        <w:spacing w:before="200" w:after="240" w:line="360" w:lineRule="auto"/>
        <w:rPr>
          <w:rFonts w:ascii="Times New Roman" w:hAnsi="Times New Roman" w:cs="Times New Roman"/>
          <w:b/>
          <w:sz w:val="24"/>
          <w:szCs w:val="24"/>
        </w:rPr>
      </w:pPr>
    </w:p>
    <w:p w:rsidR="00846700" w:rsidRPr="007344EA" w:rsidRDefault="00846700" w:rsidP="00EF4F12">
      <w:pPr>
        <w:spacing w:before="200" w:after="240" w:line="360" w:lineRule="auto"/>
        <w:rPr>
          <w:rFonts w:ascii="Times New Roman" w:hAnsi="Times New Roman" w:cs="Times New Roman"/>
          <w:b/>
          <w:sz w:val="24"/>
          <w:szCs w:val="24"/>
        </w:rPr>
      </w:pPr>
    </w:p>
    <w:p w:rsidR="00A77D7F" w:rsidRPr="007344EA" w:rsidRDefault="00A4007A" w:rsidP="00A77D7F">
      <w:pPr>
        <w:pStyle w:val="Heading1"/>
        <w:rPr>
          <w:rFonts w:ascii="Times New Roman" w:hAnsi="Times New Roman" w:cs="Times New Roman"/>
          <w:color w:val="auto"/>
          <w:sz w:val="24"/>
          <w:szCs w:val="24"/>
        </w:rPr>
      </w:pPr>
      <w:bookmarkStart w:id="24" w:name="_Toc344337172"/>
      <w:r w:rsidRPr="007344EA">
        <w:rPr>
          <w:rFonts w:ascii="Times New Roman" w:hAnsi="Times New Roman" w:cs="Times New Roman"/>
          <w:color w:val="auto"/>
          <w:sz w:val="24"/>
          <w:szCs w:val="24"/>
        </w:rPr>
        <w:lastRenderedPageBreak/>
        <w:t>S</w:t>
      </w:r>
      <w:r w:rsidR="00A77D7F" w:rsidRPr="007344EA">
        <w:rPr>
          <w:rFonts w:ascii="Times New Roman" w:hAnsi="Times New Roman" w:cs="Times New Roman"/>
          <w:color w:val="auto"/>
          <w:sz w:val="24"/>
          <w:szCs w:val="24"/>
        </w:rPr>
        <w:t>antrauka</w:t>
      </w:r>
      <w:bookmarkEnd w:id="24"/>
    </w:p>
    <w:p w:rsidR="007062E0" w:rsidRPr="007344EA" w:rsidRDefault="007062E0" w:rsidP="00A77D7F">
      <w:pPr>
        <w:rPr>
          <w:sz w:val="24"/>
          <w:szCs w:val="24"/>
        </w:rPr>
      </w:pPr>
    </w:p>
    <w:p w:rsidR="00077366" w:rsidRPr="007344EA" w:rsidRDefault="007062E0" w:rsidP="00077366">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 xml:space="preserve">Magistro baigimasis darbas „Europos Sąjungos Teisingumo Teismo praktika, dėl nesąžiningų sąlygų taikymo vartojimo sutartyse“ orientuotas į Teisingumo Teismo jurisprudenciją aiškinant Direktyvos 93/13 nuostatas. </w:t>
      </w:r>
      <w:r w:rsidR="003D2F99" w:rsidRPr="007344EA">
        <w:rPr>
          <w:rFonts w:ascii="Times New Roman" w:hAnsi="Times New Roman" w:cs="Times New Roman"/>
          <w:sz w:val="24"/>
          <w:szCs w:val="24"/>
        </w:rPr>
        <w:t>Nors ir Direktyva 93/13 buvo priimta beveik prieš 20 metų ir</w:t>
      </w:r>
      <w:r w:rsidR="00077366" w:rsidRPr="007344EA">
        <w:rPr>
          <w:rFonts w:ascii="Times New Roman" w:hAnsi="Times New Roman" w:cs="Times New Roman"/>
          <w:sz w:val="24"/>
          <w:szCs w:val="24"/>
        </w:rPr>
        <w:t xml:space="preserve"> per tą laiką iš esmės nebuvo </w:t>
      </w:r>
      <w:r w:rsidR="003D2F99" w:rsidRPr="007344EA">
        <w:rPr>
          <w:rFonts w:ascii="Times New Roman" w:hAnsi="Times New Roman" w:cs="Times New Roman"/>
          <w:sz w:val="24"/>
          <w:szCs w:val="24"/>
        </w:rPr>
        <w:t xml:space="preserve">keista, tačiau pastaraisiais metais ypač sparčiai besiplėtojanti Teisingumo Teismo praktika reikalauja pateikti tam tikras apibendrinančias išvadas. </w:t>
      </w:r>
      <w:r w:rsidR="00612D6F">
        <w:rPr>
          <w:rFonts w:ascii="Times New Roman" w:hAnsi="Times New Roman" w:cs="Times New Roman"/>
          <w:sz w:val="24"/>
          <w:szCs w:val="24"/>
        </w:rPr>
        <w:t>Šį d</w:t>
      </w:r>
      <w:r w:rsidR="00077366" w:rsidRPr="007344EA">
        <w:rPr>
          <w:rFonts w:ascii="Times New Roman" w:hAnsi="Times New Roman" w:cs="Times New Roman"/>
          <w:sz w:val="24"/>
          <w:szCs w:val="24"/>
        </w:rPr>
        <w:t xml:space="preserve">arbą sudaro </w:t>
      </w:r>
      <w:r w:rsidR="00612D6F">
        <w:rPr>
          <w:rFonts w:ascii="Times New Roman" w:hAnsi="Times New Roman" w:cs="Times New Roman"/>
          <w:sz w:val="24"/>
          <w:szCs w:val="24"/>
          <w:lang w:val="en-US"/>
        </w:rPr>
        <w:t>3</w:t>
      </w:r>
      <w:r w:rsidR="00077366" w:rsidRPr="007344EA">
        <w:rPr>
          <w:rFonts w:ascii="Times New Roman" w:hAnsi="Times New Roman" w:cs="Times New Roman"/>
          <w:sz w:val="24"/>
          <w:szCs w:val="24"/>
        </w:rPr>
        <w:t xml:space="preserve"> skyriai. </w:t>
      </w:r>
    </w:p>
    <w:p w:rsidR="008C2C0D" w:rsidRPr="007344EA" w:rsidRDefault="00077366" w:rsidP="00AB6AA4">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 xml:space="preserve">Pirmajame skyriuje aptariamos Direktyvos </w:t>
      </w:r>
      <w:r w:rsidRPr="007344EA">
        <w:rPr>
          <w:rFonts w:ascii="Times New Roman" w:hAnsi="Times New Roman" w:cs="Times New Roman"/>
          <w:sz w:val="24"/>
          <w:szCs w:val="24"/>
          <w:lang w:val="en-US"/>
        </w:rPr>
        <w:t xml:space="preserve">93/13 </w:t>
      </w:r>
      <w:r w:rsidRPr="007344EA">
        <w:rPr>
          <w:rFonts w:ascii="Times New Roman" w:hAnsi="Times New Roman" w:cs="Times New Roman"/>
          <w:sz w:val="24"/>
          <w:szCs w:val="24"/>
        </w:rPr>
        <w:t xml:space="preserve">priėmimo aplinkybės, </w:t>
      </w:r>
      <w:r w:rsidRPr="007344EA">
        <w:rPr>
          <w:rFonts w:ascii="Times New Roman" w:hAnsi="Times New Roman" w:cs="Times New Roman"/>
          <w:i/>
          <w:sz w:val="24"/>
          <w:szCs w:val="24"/>
        </w:rPr>
        <w:t>expressis verbis</w:t>
      </w:r>
      <w:r w:rsidRPr="007344EA">
        <w:rPr>
          <w:rFonts w:ascii="Times New Roman" w:hAnsi="Times New Roman" w:cs="Times New Roman"/>
          <w:sz w:val="24"/>
          <w:szCs w:val="24"/>
        </w:rPr>
        <w:t xml:space="preserve"> įtvirtinti teisinio reguliavimo tikslai. Daroma išvada, kad Direktyva 9</w:t>
      </w:r>
      <w:r w:rsidRPr="007344EA">
        <w:rPr>
          <w:rFonts w:ascii="Times New Roman" w:hAnsi="Times New Roman" w:cs="Times New Roman"/>
          <w:sz w:val="24"/>
          <w:szCs w:val="24"/>
          <w:lang w:val="en-US"/>
        </w:rPr>
        <w:t>3/13</w:t>
      </w:r>
      <w:r w:rsidRPr="007344EA">
        <w:rPr>
          <w:rFonts w:ascii="Times New Roman" w:hAnsi="Times New Roman" w:cs="Times New Roman"/>
          <w:sz w:val="24"/>
          <w:szCs w:val="24"/>
        </w:rPr>
        <w:t xml:space="preserve"> yra prancūziškojo ir vokiškojo sąžiningumo vertinimo vartojimo sutartyse modelių rezultatas. </w:t>
      </w:r>
    </w:p>
    <w:p w:rsidR="00077366" w:rsidRPr="007344EA" w:rsidRDefault="00077366" w:rsidP="008C2C0D">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 xml:space="preserve">Antrajame skyriuje skaitytojas supažindinamas su Teisingumo Teismo bylų, priimtų tiek prejudicinio sprendimo, tiek valstybės narės įsipareigojimų nevykdymo procesuose,  faktinėmis ir teisinėmis aplinkybėmis. Tai leidžia skaitytojui susidaryti apibendrinta nuomonę, kokios problemos kyla valstybių narių teismams taikant Direktyvos 93/13 pagrindu priimtus nacionalinius įstatymus, taip pat kokių įsipareigojimų nesilaiko valstybės narės. Šiame skyriuje bylos grupuojamos pagal nacionaliniams teismams kilusių klausimų pobūdį. </w:t>
      </w:r>
    </w:p>
    <w:p w:rsidR="00077366" w:rsidRPr="007344EA" w:rsidRDefault="00077366" w:rsidP="00F07B6B">
      <w:pPr>
        <w:spacing w:after="0" w:line="360" w:lineRule="auto"/>
        <w:ind w:firstLine="1296"/>
        <w:jc w:val="both"/>
        <w:rPr>
          <w:rFonts w:ascii="Times New Roman" w:hAnsi="Times New Roman" w:cs="Times New Roman"/>
          <w:sz w:val="24"/>
          <w:szCs w:val="24"/>
        </w:rPr>
      </w:pPr>
      <w:r w:rsidRPr="007344EA">
        <w:rPr>
          <w:rFonts w:ascii="Times New Roman" w:hAnsi="Times New Roman" w:cs="Times New Roman"/>
          <w:sz w:val="24"/>
          <w:szCs w:val="24"/>
        </w:rPr>
        <w:t>Trečiasis skyrius analizuoja Teisingumo Teismo praktikoje atskleistus teisinio reguliavimo tikslus, pateikiama iš Teisingumo Teismo jurisprudencijos išplaukianti vartotoj</w:t>
      </w:r>
      <w:r w:rsidR="00612D6F">
        <w:rPr>
          <w:rFonts w:ascii="Times New Roman" w:hAnsi="Times New Roman" w:cs="Times New Roman"/>
          <w:sz w:val="24"/>
          <w:szCs w:val="24"/>
        </w:rPr>
        <w:t>o</w:t>
      </w:r>
      <w:r w:rsidRPr="007344EA">
        <w:rPr>
          <w:rFonts w:ascii="Times New Roman" w:hAnsi="Times New Roman" w:cs="Times New Roman"/>
          <w:sz w:val="24"/>
          <w:szCs w:val="24"/>
        </w:rPr>
        <w:t xml:space="preserve"> apsaugos, nuo nesąžiningų sąlygų taikymo, schema. Taip pat analizuojamas Direktyvos 93/13 taikymas </w:t>
      </w:r>
      <w:r w:rsidRPr="007344EA">
        <w:rPr>
          <w:rFonts w:ascii="Times New Roman" w:hAnsi="Times New Roman" w:cs="Times New Roman"/>
          <w:i/>
          <w:sz w:val="24"/>
          <w:szCs w:val="24"/>
        </w:rPr>
        <w:t>ratione personae</w:t>
      </w:r>
      <w:r w:rsidRPr="007344EA">
        <w:rPr>
          <w:rFonts w:ascii="Times New Roman" w:hAnsi="Times New Roman" w:cs="Times New Roman"/>
          <w:sz w:val="24"/>
          <w:szCs w:val="24"/>
        </w:rPr>
        <w:t xml:space="preserve"> ir </w:t>
      </w:r>
      <w:r w:rsidRPr="007344EA">
        <w:rPr>
          <w:rFonts w:ascii="Times New Roman" w:hAnsi="Times New Roman" w:cs="Times New Roman"/>
          <w:i/>
          <w:sz w:val="24"/>
          <w:szCs w:val="24"/>
        </w:rPr>
        <w:t>ratione materiae</w:t>
      </w:r>
      <w:r w:rsidRPr="007344EA">
        <w:rPr>
          <w:rFonts w:ascii="Times New Roman" w:hAnsi="Times New Roman" w:cs="Times New Roman"/>
          <w:sz w:val="24"/>
          <w:szCs w:val="24"/>
        </w:rPr>
        <w:t xml:space="preserve"> atžvilgiais. Daroma išvada, kad pagal Direktyvos 9</w:t>
      </w:r>
      <w:r w:rsidRPr="007344EA">
        <w:rPr>
          <w:rFonts w:ascii="Times New Roman" w:hAnsi="Times New Roman" w:cs="Times New Roman"/>
          <w:sz w:val="24"/>
          <w:szCs w:val="24"/>
          <w:lang w:val="en-US"/>
        </w:rPr>
        <w:t>3/13 prasmę</w:t>
      </w:r>
      <w:r w:rsidRPr="007344EA">
        <w:rPr>
          <w:rFonts w:ascii="Times New Roman" w:hAnsi="Times New Roman" w:cs="Times New Roman"/>
          <w:sz w:val="24"/>
          <w:szCs w:val="24"/>
        </w:rPr>
        <w:t xml:space="preserve"> vartotojas yra tik fizinis asmuo, tačiau minimalus harmonizavimo laipsnis leidžia vartotoju pripažinti ir juridinį asmenį. Pasitvirtina magistro baigiamajame darbe iškelta hipotezė, kad sprendimu </w:t>
      </w:r>
      <w:r w:rsidRPr="007344EA">
        <w:rPr>
          <w:rFonts w:ascii="Times New Roman" w:hAnsi="Times New Roman" w:cs="Times New Roman"/>
          <w:i/>
          <w:sz w:val="24"/>
          <w:szCs w:val="24"/>
        </w:rPr>
        <w:t>Caje de Madrid</w:t>
      </w:r>
      <w:r w:rsidRPr="007344EA">
        <w:rPr>
          <w:rFonts w:ascii="Times New Roman" w:hAnsi="Times New Roman" w:cs="Times New Roman"/>
          <w:sz w:val="24"/>
          <w:szCs w:val="24"/>
        </w:rPr>
        <w:t xml:space="preserve">  Teisingumo Teismas išplėtė vartotojų  apsaugos lygį, leisdamas valstybėms narėms neperkelti 4 straipsnio 2 dalyje esančio apribojimo, kuriuo neleidžiama vertinti sąlygų susijusių su pagrindinio dalyko apibrėžimu ir kainos adekvatumu, jei sąlygos yra išreikštos aiškia ir suprantama kalba. </w:t>
      </w:r>
      <w:r w:rsidR="00F07B6B">
        <w:rPr>
          <w:rFonts w:ascii="Times New Roman" w:hAnsi="Times New Roman" w:cs="Times New Roman"/>
          <w:sz w:val="24"/>
          <w:szCs w:val="24"/>
        </w:rPr>
        <w:t xml:space="preserve">Taip pat šiame skyriuje </w:t>
      </w:r>
      <w:r w:rsidRPr="007344EA">
        <w:rPr>
          <w:rFonts w:ascii="Times New Roman" w:hAnsi="Times New Roman" w:cs="Times New Roman"/>
          <w:sz w:val="24"/>
          <w:szCs w:val="24"/>
        </w:rPr>
        <w:t xml:space="preserve">analizuojamos Teisingumo Teismo jurisprudencijoje nustatytos pareigos valstybėms narėms. Esminė ir plačiausiai nagrinėta pareiga − </w:t>
      </w:r>
      <w:r w:rsidRPr="007344EA">
        <w:rPr>
          <w:rFonts w:ascii="Times New Roman" w:hAnsi="Times New Roman" w:cs="Times New Roman"/>
          <w:i/>
          <w:sz w:val="24"/>
          <w:szCs w:val="24"/>
        </w:rPr>
        <w:t>ex officio</w:t>
      </w:r>
      <w:r w:rsidRPr="007344EA">
        <w:rPr>
          <w:rFonts w:ascii="Times New Roman" w:hAnsi="Times New Roman" w:cs="Times New Roman"/>
          <w:sz w:val="24"/>
          <w:szCs w:val="24"/>
        </w:rPr>
        <w:t xml:space="preserve"> nustatyti sąlygos nesąžin</w:t>
      </w:r>
      <w:r w:rsidR="00B9288A" w:rsidRPr="007344EA">
        <w:rPr>
          <w:rFonts w:ascii="Times New Roman" w:hAnsi="Times New Roman" w:cs="Times New Roman"/>
          <w:sz w:val="24"/>
          <w:szCs w:val="24"/>
        </w:rPr>
        <w:t>in</w:t>
      </w:r>
      <w:r w:rsidRPr="007344EA">
        <w:rPr>
          <w:rFonts w:ascii="Times New Roman" w:hAnsi="Times New Roman" w:cs="Times New Roman"/>
          <w:sz w:val="24"/>
          <w:szCs w:val="24"/>
        </w:rPr>
        <w:t xml:space="preserve">gumą, nepriklausomai nuo vartotojo aktyvumo ar teisminio proceso stadijos. Ši pareiga nėra </w:t>
      </w:r>
      <w:r w:rsidRPr="007344EA">
        <w:rPr>
          <w:rFonts w:ascii="Times New Roman" w:hAnsi="Times New Roman" w:cs="Times New Roman"/>
          <w:i/>
          <w:sz w:val="24"/>
          <w:szCs w:val="24"/>
        </w:rPr>
        <w:t>expressis verbis</w:t>
      </w:r>
      <w:r w:rsidRPr="007344EA">
        <w:rPr>
          <w:rFonts w:ascii="Times New Roman" w:hAnsi="Times New Roman" w:cs="Times New Roman"/>
          <w:sz w:val="24"/>
          <w:szCs w:val="24"/>
        </w:rPr>
        <w:t xml:space="preserve"> įtvirtinta Direktyvoje </w:t>
      </w:r>
      <w:r w:rsidRPr="007344EA">
        <w:rPr>
          <w:rFonts w:ascii="Times New Roman" w:hAnsi="Times New Roman" w:cs="Times New Roman"/>
          <w:sz w:val="24"/>
          <w:szCs w:val="24"/>
          <w:lang w:val="en-US"/>
        </w:rPr>
        <w:t>93/13 – tai Teisingumo Teismo jurisprudencijoje įvesta kategorija.</w:t>
      </w:r>
      <w:r w:rsidRPr="007344EA">
        <w:rPr>
          <w:rFonts w:ascii="Times New Roman" w:hAnsi="Times New Roman" w:cs="Times New Roman"/>
          <w:sz w:val="24"/>
          <w:szCs w:val="24"/>
        </w:rPr>
        <w:t xml:space="preserve"> Nacionali</w:t>
      </w:r>
      <w:r w:rsidR="00B9288A" w:rsidRPr="007344EA">
        <w:rPr>
          <w:rFonts w:ascii="Times New Roman" w:hAnsi="Times New Roman" w:cs="Times New Roman"/>
          <w:sz w:val="24"/>
          <w:szCs w:val="24"/>
        </w:rPr>
        <w:t>nia</w:t>
      </w:r>
      <w:r w:rsidRPr="007344EA">
        <w:rPr>
          <w:rFonts w:ascii="Times New Roman" w:hAnsi="Times New Roman" w:cs="Times New Roman"/>
          <w:sz w:val="24"/>
          <w:szCs w:val="24"/>
        </w:rPr>
        <w:t xml:space="preserve">am reguliavimui dėl </w:t>
      </w:r>
      <w:r w:rsidRPr="007344EA">
        <w:rPr>
          <w:rFonts w:ascii="Times New Roman" w:hAnsi="Times New Roman" w:cs="Times New Roman"/>
          <w:i/>
          <w:sz w:val="24"/>
          <w:szCs w:val="24"/>
        </w:rPr>
        <w:t>res judicata</w:t>
      </w:r>
      <w:r w:rsidRPr="007344EA">
        <w:rPr>
          <w:rFonts w:ascii="Times New Roman" w:hAnsi="Times New Roman" w:cs="Times New Roman"/>
          <w:sz w:val="24"/>
          <w:szCs w:val="24"/>
        </w:rPr>
        <w:t xml:space="preserve"> principo yra suteikiama pirmenybė, prieš </w:t>
      </w:r>
      <w:r w:rsidRPr="007344EA">
        <w:rPr>
          <w:rFonts w:ascii="Times New Roman" w:hAnsi="Times New Roman" w:cs="Times New Roman"/>
          <w:i/>
          <w:sz w:val="24"/>
          <w:szCs w:val="24"/>
        </w:rPr>
        <w:t>ex oficio</w:t>
      </w:r>
      <w:r w:rsidRPr="007344EA">
        <w:rPr>
          <w:rFonts w:ascii="Times New Roman" w:hAnsi="Times New Roman" w:cs="Times New Roman"/>
          <w:sz w:val="24"/>
          <w:szCs w:val="24"/>
        </w:rPr>
        <w:t xml:space="preserve"> pareigos taikymą. Kitos valstybių narių pareigos kildinamos iš netinkamo Direktyvos 9</w:t>
      </w:r>
      <w:r w:rsidRPr="007344EA">
        <w:rPr>
          <w:rFonts w:ascii="Times New Roman" w:hAnsi="Times New Roman" w:cs="Times New Roman"/>
          <w:sz w:val="24"/>
          <w:szCs w:val="24"/>
          <w:lang w:val="en-US"/>
        </w:rPr>
        <w:t>3/13 perk</w:t>
      </w:r>
      <w:r w:rsidRPr="007344EA">
        <w:rPr>
          <w:rFonts w:ascii="Times New Roman" w:hAnsi="Times New Roman" w:cs="Times New Roman"/>
          <w:sz w:val="24"/>
          <w:szCs w:val="24"/>
        </w:rPr>
        <w:t xml:space="preserve">ėlimo į nacionalinę teisę, dažniausiais valstybės narės susiduria su problemomis perkeliant </w:t>
      </w:r>
      <w:r w:rsidR="00094A4F" w:rsidRPr="007344EA">
        <w:rPr>
          <w:rFonts w:ascii="Times New Roman" w:hAnsi="Times New Roman" w:cs="Times New Roman"/>
          <w:i/>
          <w:sz w:val="24"/>
          <w:szCs w:val="24"/>
        </w:rPr>
        <w:t xml:space="preserve">contra proferentem </w:t>
      </w:r>
      <w:r w:rsidRPr="007344EA">
        <w:rPr>
          <w:rFonts w:ascii="Times New Roman" w:hAnsi="Times New Roman" w:cs="Times New Roman"/>
          <w:sz w:val="24"/>
          <w:szCs w:val="24"/>
        </w:rPr>
        <w:t xml:space="preserve">taisyklę. </w:t>
      </w:r>
    </w:p>
    <w:p w:rsidR="00A77D7F" w:rsidRPr="007344EA" w:rsidRDefault="009F139F" w:rsidP="00A77D7F">
      <w:pPr>
        <w:pStyle w:val="Heading1"/>
        <w:rPr>
          <w:rFonts w:ascii="Times New Roman" w:hAnsi="Times New Roman" w:cs="Times New Roman"/>
          <w:color w:val="auto"/>
          <w:sz w:val="24"/>
          <w:szCs w:val="24"/>
        </w:rPr>
      </w:pPr>
      <w:bookmarkStart w:id="25" w:name="_Toc344337173"/>
      <w:r w:rsidRPr="007344EA">
        <w:rPr>
          <w:rFonts w:ascii="Times New Roman" w:hAnsi="Times New Roman" w:cs="Times New Roman"/>
          <w:color w:val="auto"/>
          <w:sz w:val="24"/>
          <w:szCs w:val="24"/>
        </w:rPr>
        <w:lastRenderedPageBreak/>
        <w:t>S</w:t>
      </w:r>
      <w:r w:rsidR="00A77D7F" w:rsidRPr="007344EA">
        <w:rPr>
          <w:rFonts w:ascii="Times New Roman" w:hAnsi="Times New Roman" w:cs="Times New Roman"/>
          <w:color w:val="auto"/>
          <w:sz w:val="24"/>
          <w:szCs w:val="24"/>
        </w:rPr>
        <w:t>ummary</w:t>
      </w:r>
      <w:bookmarkEnd w:id="25"/>
    </w:p>
    <w:p w:rsidR="007F1E60" w:rsidRPr="007344EA" w:rsidRDefault="007F1E60" w:rsidP="007F1E60">
      <w:pPr>
        <w:rPr>
          <w:sz w:val="24"/>
          <w:szCs w:val="24"/>
        </w:rPr>
      </w:pPr>
    </w:p>
    <w:p w:rsidR="00434CE8" w:rsidRPr="007344EA" w:rsidRDefault="00434CE8" w:rsidP="00434CE8">
      <w:pPr>
        <w:spacing w:after="0" w:line="360" w:lineRule="auto"/>
        <w:ind w:firstLine="1296"/>
        <w:jc w:val="both"/>
        <w:rPr>
          <w:rFonts w:ascii="Times New Roman" w:hAnsi="Times New Roman" w:cs="Times New Roman"/>
          <w:bCs/>
          <w:sz w:val="24"/>
          <w:szCs w:val="24"/>
          <w:lang w:val="en-US"/>
        </w:rPr>
      </w:pPr>
      <w:r w:rsidRPr="007344EA">
        <w:rPr>
          <w:rFonts w:ascii="Times New Roman" w:hAnsi="Times New Roman" w:cs="Times New Roman"/>
          <w:bCs/>
          <w:sz w:val="24"/>
          <w:szCs w:val="24"/>
          <w:lang w:val="en-US"/>
        </w:rPr>
        <w:t>Master’s Degree thesis “</w:t>
      </w:r>
      <w:r w:rsidRPr="007344EA">
        <w:rPr>
          <w:rFonts w:ascii="Times New Roman" w:hAnsi="Times New Roman" w:cs="Times New Roman"/>
          <w:bCs/>
          <w:i/>
          <w:sz w:val="24"/>
          <w:szCs w:val="24"/>
          <w:lang w:val="en-US"/>
        </w:rPr>
        <w:t xml:space="preserve">Case law of </w:t>
      </w:r>
      <w:r w:rsidR="00393645" w:rsidRPr="00393645">
        <w:rPr>
          <w:rFonts w:ascii="Times New Roman" w:hAnsi="Times New Roman" w:cs="Times New Roman"/>
          <w:bCs/>
          <w:i/>
          <w:sz w:val="24"/>
          <w:szCs w:val="24"/>
        </w:rPr>
        <w:t>Court of Justice of the European Union</w:t>
      </w:r>
      <w:r w:rsidR="00393645" w:rsidRPr="00393645">
        <w:rPr>
          <w:rFonts w:ascii="Times New Roman" w:hAnsi="Times New Roman" w:cs="Times New Roman"/>
          <w:bCs/>
          <w:i/>
          <w:sz w:val="24"/>
          <w:szCs w:val="24"/>
          <w:lang w:val="en-US"/>
        </w:rPr>
        <w:t xml:space="preserve"> </w:t>
      </w:r>
      <w:r w:rsidRPr="007344EA">
        <w:rPr>
          <w:rFonts w:ascii="Times New Roman" w:hAnsi="Times New Roman" w:cs="Times New Roman"/>
          <w:bCs/>
          <w:i/>
          <w:sz w:val="24"/>
          <w:szCs w:val="24"/>
          <w:lang w:val="en-US"/>
        </w:rPr>
        <w:t>concerning unfair terms in consumer contracts</w:t>
      </w:r>
      <w:r w:rsidRPr="007344EA">
        <w:rPr>
          <w:rFonts w:ascii="Times New Roman" w:hAnsi="Times New Roman" w:cs="Times New Roman"/>
          <w:bCs/>
          <w:sz w:val="24"/>
          <w:szCs w:val="24"/>
          <w:lang w:val="en-US"/>
        </w:rPr>
        <w:t xml:space="preserve">” is substantially based on the jurisprudence of the European Court of Justice, on the interpretation of Directive 93/13. The paper consists of 4 chapters. </w:t>
      </w:r>
    </w:p>
    <w:p w:rsidR="00434CE8" w:rsidRPr="007344EA" w:rsidRDefault="00434CE8" w:rsidP="00434CE8">
      <w:pPr>
        <w:spacing w:after="0" w:line="360" w:lineRule="auto"/>
        <w:ind w:firstLine="1296"/>
        <w:jc w:val="both"/>
        <w:rPr>
          <w:rFonts w:ascii="Times New Roman" w:hAnsi="Times New Roman" w:cs="Times New Roman"/>
          <w:bCs/>
          <w:sz w:val="24"/>
          <w:szCs w:val="24"/>
          <w:lang w:val="en-US"/>
        </w:rPr>
      </w:pPr>
      <w:r w:rsidRPr="007344EA">
        <w:rPr>
          <w:rFonts w:ascii="Times New Roman" w:hAnsi="Times New Roman" w:cs="Times New Roman"/>
          <w:bCs/>
          <w:sz w:val="24"/>
          <w:szCs w:val="24"/>
          <w:lang w:val="en-US"/>
        </w:rPr>
        <w:t>The first chapter deals with circumstances of the adoption of Directive 93/13 and regulatory objectives</w:t>
      </w:r>
      <w:r w:rsidRPr="007344EA">
        <w:rPr>
          <w:rFonts w:ascii="Times New Roman" w:hAnsi="Times New Roman" w:cs="Times New Roman"/>
          <w:bCs/>
          <w:i/>
          <w:sz w:val="24"/>
          <w:szCs w:val="24"/>
          <w:lang w:val="en-US"/>
        </w:rPr>
        <w:t xml:space="preserve"> </w:t>
      </w:r>
      <w:r w:rsidRPr="007344EA">
        <w:rPr>
          <w:rFonts w:ascii="Times New Roman" w:hAnsi="Times New Roman" w:cs="Times New Roman"/>
          <w:bCs/>
          <w:sz w:val="24"/>
          <w:szCs w:val="24"/>
          <w:lang w:val="en-US"/>
        </w:rPr>
        <w:t xml:space="preserve">which are established </w:t>
      </w:r>
      <w:r w:rsidRPr="007344EA">
        <w:rPr>
          <w:rFonts w:ascii="Times New Roman" w:hAnsi="Times New Roman" w:cs="Times New Roman"/>
          <w:bCs/>
          <w:i/>
          <w:sz w:val="24"/>
          <w:szCs w:val="24"/>
          <w:lang w:val="en-US"/>
        </w:rPr>
        <w:t>expressis verbis</w:t>
      </w:r>
      <w:r w:rsidRPr="007344EA">
        <w:rPr>
          <w:rFonts w:ascii="Times New Roman" w:hAnsi="Times New Roman" w:cs="Times New Roman"/>
          <w:bCs/>
          <w:sz w:val="24"/>
          <w:szCs w:val="24"/>
          <w:lang w:val="en-US"/>
        </w:rPr>
        <w:t>. It is concluded that Directive 93/13 is a result of French and German models of integrity verification.</w:t>
      </w:r>
    </w:p>
    <w:p w:rsidR="00434CE8" w:rsidRPr="007344EA" w:rsidRDefault="00434CE8" w:rsidP="00434CE8">
      <w:pPr>
        <w:spacing w:after="0" w:line="360" w:lineRule="auto"/>
        <w:ind w:firstLine="1296"/>
        <w:jc w:val="both"/>
        <w:rPr>
          <w:rFonts w:ascii="Times New Roman" w:hAnsi="Times New Roman" w:cs="Times New Roman"/>
          <w:bCs/>
          <w:sz w:val="24"/>
          <w:szCs w:val="24"/>
          <w:lang w:val="en-US"/>
        </w:rPr>
      </w:pPr>
      <w:r w:rsidRPr="007344EA">
        <w:rPr>
          <w:rFonts w:ascii="Times New Roman" w:hAnsi="Times New Roman" w:cs="Times New Roman"/>
          <w:bCs/>
          <w:sz w:val="24"/>
          <w:szCs w:val="24"/>
          <w:lang w:val="en-US"/>
        </w:rPr>
        <w:t>In the second chapter, the reader is going to be familiar with cases of the preliminary ruling and Member State’s failure to fulfill obligation procedures under the Treaty, adopted by Court of Justice. It allows to the reader to form a summarized opinion what kind of problems arise for national courts by applying  national law adopted on the basis of Directive 93/13 and why Member State’s failure to fulfill obligation under the Treaty by implementing Directive 93/13.</w:t>
      </w:r>
    </w:p>
    <w:p w:rsidR="00434CE8" w:rsidRPr="00DC2ABF" w:rsidRDefault="00434CE8" w:rsidP="00F07B6B">
      <w:pPr>
        <w:spacing w:after="0" w:line="360" w:lineRule="auto"/>
        <w:ind w:firstLine="1296"/>
        <w:jc w:val="both"/>
        <w:rPr>
          <w:rFonts w:ascii="Times New Roman" w:hAnsi="Times New Roman" w:cs="Times New Roman"/>
          <w:sz w:val="24"/>
          <w:szCs w:val="24"/>
          <w:lang w:val="en-US"/>
        </w:rPr>
      </w:pPr>
      <w:r w:rsidRPr="007344EA">
        <w:rPr>
          <w:rFonts w:ascii="Times New Roman" w:hAnsi="Times New Roman" w:cs="Times New Roman"/>
          <w:bCs/>
          <w:sz w:val="24"/>
          <w:szCs w:val="24"/>
          <w:lang w:val="en-US"/>
        </w:rPr>
        <w:t xml:space="preserve">The third chapter analyzes the case law concerning the scope of </w:t>
      </w:r>
      <w:r w:rsidRPr="007344EA">
        <w:rPr>
          <w:rFonts w:ascii="Times New Roman" w:hAnsi="Times New Roman" w:cs="Times New Roman"/>
          <w:bCs/>
          <w:i/>
          <w:sz w:val="24"/>
          <w:szCs w:val="24"/>
          <w:lang w:val="en-US"/>
        </w:rPr>
        <w:t>ratione personae</w:t>
      </w:r>
      <w:r w:rsidRPr="007344EA">
        <w:rPr>
          <w:rFonts w:ascii="Times New Roman" w:hAnsi="Times New Roman" w:cs="Times New Roman"/>
          <w:bCs/>
          <w:sz w:val="24"/>
          <w:szCs w:val="24"/>
          <w:lang w:val="en-US"/>
        </w:rPr>
        <w:t xml:space="preserve"> and </w:t>
      </w:r>
      <w:r w:rsidRPr="007344EA">
        <w:rPr>
          <w:rFonts w:ascii="Times New Roman" w:hAnsi="Times New Roman" w:cs="Times New Roman"/>
          <w:bCs/>
          <w:i/>
          <w:sz w:val="24"/>
          <w:szCs w:val="24"/>
          <w:lang w:val="en-US"/>
        </w:rPr>
        <w:t>ratione materiae</w:t>
      </w:r>
      <w:r w:rsidRPr="007344EA">
        <w:rPr>
          <w:rFonts w:ascii="Times New Roman" w:hAnsi="Times New Roman" w:cs="Times New Roman"/>
          <w:bCs/>
          <w:sz w:val="24"/>
          <w:szCs w:val="24"/>
          <w:lang w:val="en-US"/>
        </w:rPr>
        <w:t xml:space="preserve"> of Directive 93/13 and consumer protection scheme is introduced as well.</w:t>
      </w:r>
      <w:r w:rsidRPr="007344EA">
        <w:rPr>
          <w:sz w:val="24"/>
          <w:szCs w:val="24"/>
          <w:lang w:val="en-US"/>
        </w:rPr>
        <w:t xml:space="preserve"> </w:t>
      </w:r>
      <w:r w:rsidRPr="007344EA">
        <w:rPr>
          <w:rFonts w:ascii="Times New Roman" w:hAnsi="Times New Roman" w:cs="Times New Roman"/>
          <w:bCs/>
          <w:sz w:val="24"/>
          <w:szCs w:val="24"/>
          <w:lang w:val="en-US"/>
        </w:rPr>
        <w:t xml:space="preserve">It is concluded that under Directive 93/13 the term “consumer” must be interpreted as referring solely to natural person, but a minimum of harmonization allows Member States to certify a legal person as a consumer. Also, the decision in </w:t>
      </w:r>
      <w:r w:rsidRPr="007344EA">
        <w:rPr>
          <w:rFonts w:ascii="Times New Roman" w:hAnsi="Times New Roman" w:cs="Times New Roman"/>
          <w:bCs/>
          <w:i/>
          <w:sz w:val="24"/>
          <w:szCs w:val="24"/>
          <w:lang w:val="en-US"/>
        </w:rPr>
        <w:t>Caje de Madrid</w:t>
      </w:r>
      <w:r w:rsidRPr="007344EA">
        <w:rPr>
          <w:rFonts w:ascii="Times New Roman" w:hAnsi="Times New Roman" w:cs="Times New Roman"/>
          <w:bCs/>
          <w:sz w:val="24"/>
          <w:szCs w:val="24"/>
          <w:lang w:val="en-US"/>
        </w:rPr>
        <w:t xml:space="preserve"> expanded the scope of consumer protection by allowing Member States not to transpose a restriction laid down in Article 4(2). </w:t>
      </w:r>
      <w:r w:rsidRPr="007344EA">
        <w:rPr>
          <w:rFonts w:ascii="Times New Roman" w:hAnsi="Times New Roman" w:cs="Times New Roman"/>
          <w:sz w:val="24"/>
          <w:szCs w:val="24"/>
          <w:lang w:val="en-US"/>
        </w:rPr>
        <w:t xml:space="preserve">According to Directive 93/13 in English and Lithuanian, it is applied only to movable objects, but according to Directive 93/13 in French, it is applied for both movable and immovable objects (contracts for real property). In </w:t>
      </w:r>
      <w:r w:rsidRPr="007344EA">
        <w:rPr>
          <w:rFonts w:ascii="Times New Roman" w:hAnsi="Times New Roman" w:cs="Times New Roman"/>
          <w:i/>
          <w:sz w:val="24"/>
          <w:szCs w:val="24"/>
          <w:lang w:val="en-US"/>
        </w:rPr>
        <w:t>Freiburger</w:t>
      </w:r>
      <w:r w:rsidRPr="007344EA">
        <w:rPr>
          <w:rFonts w:ascii="Times New Roman" w:hAnsi="Times New Roman" w:cs="Times New Roman"/>
          <w:sz w:val="24"/>
          <w:szCs w:val="24"/>
          <w:lang w:val="en-US"/>
        </w:rPr>
        <w:t xml:space="preserve"> judgment, the terms of Directive 93/13 were applied for a contract of real property.</w:t>
      </w:r>
      <w:r w:rsidR="00F07B6B">
        <w:rPr>
          <w:rFonts w:ascii="Times New Roman" w:hAnsi="Times New Roman" w:cs="Times New Roman"/>
          <w:sz w:val="24"/>
          <w:szCs w:val="24"/>
          <w:lang w:val="en-US"/>
        </w:rPr>
        <w:t xml:space="preserve"> Furthermore this </w:t>
      </w:r>
      <w:r w:rsidRPr="007344EA">
        <w:rPr>
          <w:rFonts w:ascii="Times New Roman" w:hAnsi="Times New Roman" w:cs="Times New Roman"/>
          <w:sz w:val="24"/>
          <w:szCs w:val="24"/>
          <w:lang w:val="en-US"/>
        </w:rPr>
        <w:t>chapter examines obligations imposed to the Member States. In this chapter, the Member States obligation to verify integrity</w:t>
      </w:r>
      <w:r w:rsidRPr="007344EA">
        <w:rPr>
          <w:rFonts w:ascii="Times New Roman" w:hAnsi="Times New Roman" w:cs="Times New Roman"/>
          <w:i/>
          <w:sz w:val="24"/>
          <w:szCs w:val="24"/>
          <w:lang w:val="en-US"/>
        </w:rPr>
        <w:t xml:space="preserve"> ex officio</w:t>
      </w:r>
      <w:r w:rsidRPr="007344EA">
        <w:rPr>
          <w:rFonts w:ascii="Times New Roman" w:hAnsi="Times New Roman" w:cs="Times New Roman"/>
          <w:sz w:val="24"/>
          <w:szCs w:val="24"/>
          <w:lang w:val="en-US"/>
        </w:rPr>
        <w:t xml:space="preserve">, regardless of the consumer activity or any type of judicial process, is essential and widely examined. Court of Justice gives </w:t>
      </w:r>
      <w:r w:rsidRPr="007344EA">
        <w:rPr>
          <w:rStyle w:val="hps"/>
          <w:rFonts w:ascii="Times New Roman" w:hAnsi="Times New Roman" w:cs="Times New Roman"/>
          <w:sz w:val="24"/>
          <w:szCs w:val="24"/>
          <w:lang w:val="en-US"/>
        </w:rPr>
        <w:t>priority for national regulation</w:t>
      </w:r>
      <w:r w:rsidRPr="007344EA">
        <w:rPr>
          <w:rFonts w:ascii="Times New Roman" w:hAnsi="Times New Roman" w:cs="Times New Roman"/>
          <w:sz w:val="24"/>
          <w:szCs w:val="24"/>
          <w:lang w:val="en-US"/>
        </w:rPr>
        <w:t xml:space="preserve"> </w:t>
      </w:r>
      <w:r w:rsidRPr="007344EA">
        <w:rPr>
          <w:rStyle w:val="hps"/>
          <w:rFonts w:ascii="Times New Roman" w:hAnsi="Times New Roman" w:cs="Times New Roman"/>
          <w:sz w:val="24"/>
          <w:szCs w:val="24"/>
          <w:lang w:val="en-US"/>
        </w:rPr>
        <w:t>on the</w:t>
      </w:r>
      <w:r w:rsidRPr="007344EA">
        <w:rPr>
          <w:rFonts w:ascii="Times New Roman" w:hAnsi="Times New Roman" w:cs="Times New Roman"/>
          <w:sz w:val="24"/>
          <w:szCs w:val="24"/>
          <w:lang w:val="en-US"/>
        </w:rPr>
        <w:t xml:space="preserve"> </w:t>
      </w:r>
      <w:r w:rsidRPr="007344EA">
        <w:rPr>
          <w:rStyle w:val="hps"/>
          <w:rFonts w:ascii="Times New Roman" w:hAnsi="Times New Roman" w:cs="Times New Roman"/>
          <w:sz w:val="24"/>
          <w:szCs w:val="24"/>
          <w:lang w:val="en-US"/>
        </w:rPr>
        <w:t xml:space="preserve">principle of </w:t>
      </w:r>
      <w:r w:rsidRPr="007344EA">
        <w:rPr>
          <w:rStyle w:val="hps"/>
          <w:rFonts w:ascii="Times New Roman" w:hAnsi="Times New Roman" w:cs="Times New Roman"/>
          <w:i/>
          <w:sz w:val="24"/>
          <w:szCs w:val="24"/>
          <w:lang w:val="en-US"/>
        </w:rPr>
        <w:t>res judicata</w:t>
      </w:r>
      <w:r w:rsidRPr="007344EA">
        <w:rPr>
          <w:rFonts w:ascii="Times New Roman" w:hAnsi="Times New Roman" w:cs="Times New Roman"/>
          <w:sz w:val="24"/>
          <w:szCs w:val="24"/>
          <w:lang w:val="en-US"/>
        </w:rPr>
        <w:t xml:space="preserve"> </w:t>
      </w:r>
      <w:r w:rsidRPr="007344EA">
        <w:rPr>
          <w:rStyle w:val="hps"/>
          <w:rFonts w:ascii="Times New Roman" w:hAnsi="Times New Roman" w:cs="Times New Roman"/>
          <w:sz w:val="24"/>
          <w:szCs w:val="24"/>
          <w:lang w:val="en-US"/>
        </w:rPr>
        <w:t>against</w:t>
      </w:r>
      <w:r w:rsidRPr="007344EA">
        <w:rPr>
          <w:rFonts w:ascii="Times New Roman" w:hAnsi="Times New Roman" w:cs="Times New Roman"/>
          <w:sz w:val="24"/>
          <w:szCs w:val="24"/>
          <w:lang w:val="en-US"/>
        </w:rPr>
        <w:t xml:space="preserve"> </w:t>
      </w:r>
      <w:r w:rsidRPr="007344EA">
        <w:rPr>
          <w:rStyle w:val="hps"/>
          <w:rFonts w:ascii="Times New Roman" w:hAnsi="Times New Roman" w:cs="Times New Roman"/>
          <w:i/>
          <w:sz w:val="24"/>
          <w:szCs w:val="24"/>
          <w:lang w:val="en-US"/>
        </w:rPr>
        <w:t>ex</w:t>
      </w:r>
      <w:r w:rsidRPr="007344EA">
        <w:rPr>
          <w:rFonts w:ascii="Times New Roman" w:hAnsi="Times New Roman" w:cs="Times New Roman"/>
          <w:i/>
          <w:sz w:val="24"/>
          <w:szCs w:val="24"/>
          <w:lang w:val="en-US"/>
        </w:rPr>
        <w:t xml:space="preserve"> </w:t>
      </w:r>
      <w:r w:rsidRPr="007344EA">
        <w:rPr>
          <w:rStyle w:val="hps"/>
          <w:rFonts w:ascii="Times New Roman" w:hAnsi="Times New Roman" w:cs="Times New Roman"/>
          <w:i/>
          <w:sz w:val="24"/>
          <w:szCs w:val="24"/>
          <w:lang w:val="en-US"/>
        </w:rPr>
        <w:t>officio</w:t>
      </w:r>
      <w:r w:rsidRPr="007344EA">
        <w:rPr>
          <w:rStyle w:val="hps"/>
          <w:rFonts w:ascii="Times New Roman" w:hAnsi="Times New Roman" w:cs="Times New Roman"/>
          <w:sz w:val="24"/>
          <w:szCs w:val="24"/>
          <w:lang w:val="en-US"/>
        </w:rPr>
        <w:t xml:space="preserve"> duty.</w:t>
      </w:r>
      <w:r w:rsidRPr="00DC2ABF">
        <w:rPr>
          <w:rStyle w:val="hps"/>
          <w:rFonts w:ascii="Times New Roman" w:hAnsi="Times New Roman" w:cs="Times New Roman"/>
          <w:sz w:val="24"/>
          <w:szCs w:val="24"/>
          <w:lang w:val="en-US"/>
        </w:rPr>
        <w:t xml:space="preserve"> </w:t>
      </w:r>
    </w:p>
    <w:p w:rsidR="00A77D7F" w:rsidRPr="00DC2ABF" w:rsidRDefault="00A77D7F" w:rsidP="006E00E1">
      <w:pPr>
        <w:pStyle w:val="Default"/>
        <w:spacing w:line="360" w:lineRule="auto"/>
        <w:jc w:val="both"/>
      </w:pPr>
    </w:p>
    <w:p w:rsidR="00842576" w:rsidRDefault="00842576" w:rsidP="006E00E1">
      <w:pPr>
        <w:pStyle w:val="Default"/>
        <w:spacing w:line="360" w:lineRule="auto"/>
        <w:jc w:val="both"/>
      </w:pPr>
    </w:p>
    <w:p w:rsidR="00842576" w:rsidRDefault="00842576" w:rsidP="006E00E1">
      <w:pPr>
        <w:pStyle w:val="Default"/>
        <w:spacing w:line="360" w:lineRule="auto"/>
        <w:jc w:val="both"/>
      </w:pPr>
    </w:p>
    <w:p w:rsidR="00842576" w:rsidRDefault="00842576" w:rsidP="006E00E1">
      <w:pPr>
        <w:pStyle w:val="Default"/>
        <w:spacing w:line="360" w:lineRule="auto"/>
        <w:jc w:val="both"/>
      </w:pPr>
      <w:r>
        <w:tab/>
      </w:r>
      <w:r>
        <w:tab/>
      </w:r>
      <w:r>
        <w:tab/>
      </w:r>
      <w:r>
        <w:tab/>
      </w:r>
      <w:r>
        <w:tab/>
      </w:r>
      <w:proofErr w:type="gramStart"/>
      <w:r>
        <w:rPr>
          <w:lang w:val="en-US"/>
        </w:rPr>
        <w:t>2012 m. gruod</w:t>
      </w:r>
      <w:r>
        <w:t>žio 20 d.</w:t>
      </w:r>
      <w:proofErr w:type="gramEnd"/>
      <w:r>
        <w:t xml:space="preserve"> </w:t>
      </w:r>
    </w:p>
    <w:p w:rsidR="00842576" w:rsidRDefault="00842576" w:rsidP="00842576">
      <w:pPr>
        <w:pStyle w:val="Default"/>
        <w:spacing w:line="360" w:lineRule="auto"/>
        <w:ind w:left="5184" w:firstLine="1296"/>
        <w:jc w:val="both"/>
      </w:pPr>
      <w:r>
        <w:t>Paulius Cemnolonskas</w:t>
      </w:r>
    </w:p>
    <w:p w:rsidR="008C2C0D" w:rsidRPr="00DC2ABF" w:rsidRDefault="00442266" w:rsidP="003C6940">
      <w:pPr>
        <w:pStyle w:val="Default"/>
        <w:spacing w:line="360" w:lineRule="auto"/>
        <w:ind w:left="5184" w:firstLine="1296"/>
        <w:jc w:val="both"/>
      </w:pPr>
      <w:hyperlink r:id="rId16" w:history="1">
        <w:r w:rsidR="00842576" w:rsidRPr="00ED7BE3">
          <w:rPr>
            <w:rStyle w:val="Hyperlink"/>
          </w:rPr>
          <w:t>paulius.cem@gmail.com</w:t>
        </w:r>
      </w:hyperlink>
      <w:r w:rsidR="00842576">
        <w:t xml:space="preserve"> </w:t>
      </w:r>
    </w:p>
    <w:sectPr w:rsidR="008C2C0D" w:rsidRPr="00DC2ABF" w:rsidSect="001B44C4">
      <w:footerReference w:type="default" r:id="rId17"/>
      <w:type w:val="continuous"/>
      <w:pgSz w:w="11906" w:h="16838" w:code="9"/>
      <w:pgMar w:top="1134" w:right="851"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80F" w:rsidRDefault="00E3080F" w:rsidP="002B5AC9">
      <w:pPr>
        <w:spacing w:after="0" w:line="240" w:lineRule="auto"/>
      </w:pPr>
      <w:r>
        <w:separator/>
      </w:r>
    </w:p>
  </w:endnote>
  <w:endnote w:type="continuationSeparator" w:id="0">
    <w:p w:rsidR="00E3080F" w:rsidRDefault="00E3080F" w:rsidP="002B5A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TT6F3o00">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AFF" w:usb1="C0007843" w:usb2="00000009" w:usb3="00000000" w:csb0="000001FF" w:csb1="00000000"/>
  </w:font>
  <w:font w:name="BaskervilleLT">
    <w:altName w:val="Times New Roman"/>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8730482"/>
      <w:docPartObj>
        <w:docPartGallery w:val="Page Numbers (Bottom of Page)"/>
        <w:docPartUnique/>
      </w:docPartObj>
    </w:sdtPr>
    <w:sdtContent>
      <w:p w:rsidR="00393645" w:rsidRDefault="00393645">
        <w:pPr>
          <w:pStyle w:val="Footer"/>
          <w:jc w:val="right"/>
        </w:pPr>
        <w:fldSimple w:instr=" PAGE   \* MERGEFORMAT ">
          <w:r w:rsidR="0063348A">
            <w:rPr>
              <w:noProof/>
            </w:rPr>
            <w:t>89</w:t>
          </w:r>
        </w:fldSimple>
      </w:p>
    </w:sdtContent>
  </w:sdt>
  <w:p w:rsidR="00393645" w:rsidRDefault="003936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80F" w:rsidRDefault="00E3080F" w:rsidP="002B5AC9">
      <w:pPr>
        <w:spacing w:after="0" w:line="240" w:lineRule="auto"/>
      </w:pPr>
      <w:r>
        <w:separator/>
      </w:r>
    </w:p>
  </w:footnote>
  <w:footnote w:type="continuationSeparator" w:id="0">
    <w:p w:rsidR="00E3080F" w:rsidRDefault="00E3080F" w:rsidP="002B5AC9">
      <w:pPr>
        <w:spacing w:after="0" w:line="240" w:lineRule="auto"/>
      </w:pPr>
      <w:r>
        <w:continuationSeparator/>
      </w:r>
    </w:p>
  </w:footnote>
  <w:footnote w:id="1">
    <w:p w:rsidR="00393645" w:rsidRPr="007344EA" w:rsidRDefault="00393645" w:rsidP="000E35A5">
      <w:pPr>
        <w:pStyle w:val="FootnoteText"/>
        <w:jc w:val="both"/>
      </w:pPr>
      <w:r w:rsidRPr="007344EA">
        <w:rPr>
          <w:rStyle w:val="FootnoteReference"/>
        </w:rPr>
        <w:footnoteRef/>
      </w:r>
      <w:r w:rsidRPr="007344EA">
        <w:t xml:space="preserve"> Direktyvos 93/13 preambulėje,  2 str., 3 str. 2 d., 6 str. 1d.,  7str., bei Direktyvos priede vartojama „tiekėjo“ sąvoka. LR CK yra įtvirtinta paslaugų „teikėjo“ sąvoka, tuo tarpu „tiekėjo“ sąvoka vartojama tik distribucijos sutarčių kontekste. Manyta, kad Direktyvoje vartojama sąvoka „tiekėjas“ turinio požiūriu yra identiška CK įtvirtintai paslaugų „teikėjo“ sąvokai. Šiame darbe, siekiant terminų vienareikšmiškumo, vartojama Direktyvoje 93/13 įtvirtinta sąvoka- „tiekėjas“. „Sąjungos teisės aktų leidėjas vartotoja neutralias sąvokas, taip pripažindamas Sąjungoje egzistuojančių civilinės teisės sistemų įvairovę ir tradicijas.“ (Generalinės advokatės Trstenjak išvada byloje </w:t>
      </w:r>
      <w:r w:rsidRPr="007344EA">
        <w:rPr>
          <w:lang w:val="pt-PT"/>
        </w:rPr>
        <w:t>C</w:t>
      </w:r>
      <w:r w:rsidRPr="007344EA">
        <w:rPr>
          <w:lang w:val="pt-PT"/>
        </w:rPr>
        <w:noBreakHyphen/>
        <w:t>453/10</w:t>
      </w:r>
      <w:r w:rsidRPr="007344EA">
        <w:rPr>
          <w:bCs/>
          <w:i/>
          <w:lang w:val="pt-PT"/>
        </w:rPr>
        <w:t xml:space="preserve"> Jana Pereničová, Vladislav Perenič </w:t>
      </w:r>
      <w:r w:rsidRPr="007344EA">
        <w:rPr>
          <w:i/>
          <w:lang w:val="pt-PT"/>
        </w:rPr>
        <w:t xml:space="preserve">prieš </w:t>
      </w:r>
      <w:r w:rsidRPr="007344EA">
        <w:rPr>
          <w:bCs/>
          <w:i/>
          <w:lang w:val="pt-PT"/>
        </w:rPr>
        <w:t>SOS financ spol. s r. o.</w:t>
      </w:r>
      <w:r w:rsidRPr="007344EA">
        <w:rPr>
          <w:lang w:val="pt-PT"/>
        </w:rPr>
        <w:t xml:space="preserve">, pateikta </w:t>
      </w:r>
      <w:r w:rsidRPr="007344EA">
        <w:t>2011 m. lapkričio 29 d. I</w:t>
      </w:r>
      <w:r w:rsidRPr="007344EA">
        <w:rPr>
          <w:bCs/>
        </w:rPr>
        <w:t>šnaša 24.)</w:t>
      </w:r>
    </w:p>
  </w:footnote>
  <w:footnote w:id="2">
    <w:p w:rsidR="00393645" w:rsidRPr="007344EA" w:rsidRDefault="00393645" w:rsidP="00EF4F12">
      <w:pPr>
        <w:pStyle w:val="FootnoteText"/>
        <w:jc w:val="both"/>
        <w:rPr>
          <w:lang w:val="en-US"/>
        </w:rPr>
      </w:pPr>
      <w:r w:rsidRPr="007344EA">
        <w:rPr>
          <w:rStyle w:val="FootnoteReference"/>
        </w:rPr>
        <w:footnoteRef/>
      </w:r>
      <w:r w:rsidRPr="007344EA">
        <w:t xml:space="preserve">Generalinės advokatės Trstenjak išvada byloje </w:t>
      </w:r>
      <w:r w:rsidRPr="007344EA">
        <w:rPr>
          <w:lang w:val="pt-PT"/>
        </w:rPr>
        <w:t>C</w:t>
      </w:r>
      <w:r w:rsidRPr="007344EA">
        <w:rPr>
          <w:lang w:val="pt-PT"/>
        </w:rPr>
        <w:noBreakHyphen/>
        <w:t xml:space="preserve">40/08 </w:t>
      </w:r>
      <w:r w:rsidRPr="007344EA">
        <w:rPr>
          <w:bCs/>
          <w:i/>
          <w:lang w:val="pt-PT"/>
        </w:rPr>
        <w:t xml:space="preserve">Asturcom Telecomunicaciones SL </w:t>
      </w:r>
      <w:r w:rsidRPr="007344EA">
        <w:rPr>
          <w:i/>
          <w:lang w:val="pt-PT"/>
        </w:rPr>
        <w:t xml:space="preserve">prieš </w:t>
      </w:r>
      <w:r w:rsidRPr="007344EA">
        <w:rPr>
          <w:bCs/>
          <w:i/>
          <w:lang w:val="pt-PT"/>
        </w:rPr>
        <w:t>Cristina Rodríguez Nogueira,</w:t>
      </w:r>
      <w:r w:rsidRPr="007344EA">
        <w:rPr>
          <w:bCs/>
          <w:i/>
        </w:rPr>
        <w:t xml:space="preserve"> </w:t>
      </w:r>
      <w:r w:rsidRPr="007344EA">
        <w:rPr>
          <w:bCs/>
          <w:lang w:val="pt-PT"/>
        </w:rPr>
        <w:t xml:space="preserve">pateikta </w:t>
      </w:r>
      <w:r w:rsidRPr="007344EA">
        <w:rPr>
          <w:bCs/>
          <w:lang w:val="en-US"/>
        </w:rPr>
        <w:t xml:space="preserve">2009 m. </w:t>
      </w:r>
      <w:r w:rsidRPr="007344EA">
        <w:rPr>
          <w:bCs/>
        </w:rPr>
        <w:t xml:space="preserve"> </w:t>
      </w:r>
      <w:r w:rsidRPr="007344EA">
        <w:rPr>
          <w:bCs/>
        </w:rPr>
        <w:t xml:space="preserve">gegužės </w:t>
      </w:r>
      <w:r w:rsidRPr="007344EA">
        <w:rPr>
          <w:bCs/>
          <w:lang w:val="en-US"/>
        </w:rPr>
        <w:t xml:space="preserve">14 d., </w:t>
      </w:r>
      <w:proofErr w:type="gramStart"/>
      <w:r w:rsidRPr="007344EA">
        <w:rPr>
          <w:bCs/>
          <w:lang w:val="en-US"/>
        </w:rPr>
        <w:t>p</w:t>
      </w:r>
      <w:r w:rsidRPr="007344EA">
        <w:rPr>
          <w:lang w:val="en-US"/>
        </w:rPr>
        <w:t>ara</w:t>
      </w:r>
      <w:proofErr w:type="gramEnd"/>
      <w:r w:rsidRPr="007344EA">
        <w:rPr>
          <w:lang w:val="en-US"/>
        </w:rPr>
        <w:t xml:space="preserve"> 45. </w:t>
      </w:r>
    </w:p>
  </w:footnote>
  <w:footnote w:id="3">
    <w:p w:rsidR="00393645" w:rsidRPr="007344EA" w:rsidRDefault="00393645">
      <w:pPr>
        <w:pStyle w:val="FootnoteText"/>
      </w:pPr>
      <w:r w:rsidRPr="007344EA">
        <w:rPr>
          <w:rStyle w:val="FootnoteReference"/>
        </w:rPr>
        <w:footnoteRef/>
      </w:r>
      <w:r w:rsidRPr="007344EA">
        <w:t xml:space="preserve"> </w:t>
      </w:r>
      <w:r w:rsidRPr="007344EA">
        <w:rPr>
          <w:bCs/>
        </w:rPr>
        <w:t>Tarybos 1993 m.  balandžio 4 d. Direktyva 93/13/</w:t>
      </w:r>
      <w:r w:rsidRPr="007344EA">
        <w:rPr>
          <w:b/>
          <w:bCs/>
        </w:rPr>
        <w:t xml:space="preserve"> </w:t>
      </w:r>
      <w:r w:rsidRPr="007344EA">
        <w:rPr>
          <w:bCs/>
        </w:rPr>
        <w:t>EEB dėl nesąžiningų sąlygų sutartyse su vartotojais. [1993] OL L 95.</w:t>
      </w:r>
    </w:p>
  </w:footnote>
  <w:footnote w:id="4">
    <w:p w:rsidR="00393645" w:rsidRPr="007344EA" w:rsidRDefault="00393645" w:rsidP="00027D8D">
      <w:pPr>
        <w:pStyle w:val="FootnoteText"/>
        <w:jc w:val="both"/>
      </w:pPr>
      <w:r w:rsidRPr="007344EA">
        <w:rPr>
          <w:rStyle w:val="FootnoteReference"/>
        </w:rPr>
        <w:footnoteRef/>
      </w:r>
      <w:r w:rsidRPr="007344EA">
        <w:t xml:space="preserve"> Tarybos </w:t>
      </w:r>
      <w:r w:rsidRPr="007344EA">
        <w:rPr>
          <w:lang w:val="en-US"/>
        </w:rPr>
        <w:t xml:space="preserve">1984 m. </w:t>
      </w:r>
      <w:proofErr w:type="gramStart"/>
      <w:r w:rsidRPr="007344EA">
        <w:rPr>
          <w:lang w:val="en-US"/>
        </w:rPr>
        <w:t>rugsėjo</w:t>
      </w:r>
      <w:proofErr w:type="gramEnd"/>
      <w:r w:rsidRPr="007344EA">
        <w:rPr>
          <w:lang w:val="en-US"/>
        </w:rPr>
        <w:t xml:space="preserve"> 10 d. D</w:t>
      </w:r>
      <w:r w:rsidRPr="007344EA">
        <w:t>irektyva 84/450/EEB dėl valstybių narių įstatymų ir kitų teisės aktų dėl klaidinančios reklamos suderinimo. [1984] OL L 250.</w:t>
      </w:r>
    </w:p>
  </w:footnote>
  <w:footnote w:id="5">
    <w:p w:rsidR="00393645" w:rsidRPr="007344EA" w:rsidRDefault="00393645">
      <w:pPr>
        <w:pStyle w:val="FootnoteText"/>
      </w:pPr>
      <w:r w:rsidRPr="007344EA">
        <w:rPr>
          <w:rStyle w:val="FootnoteReference"/>
        </w:rPr>
        <w:footnoteRef/>
      </w:r>
      <w:r w:rsidRPr="007344EA">
        <w:t xml:space="preserve"> Tarybos 1985 m.  gruodžio </w:t>
      </w:r>
      <w:r w:rsidRPr="007344EA">
        <w:rPr>
          <w:lang w:val="en-US"/>
        </w:rPr>
        <w:t>20 d.</w:t>
      </w:r>
      <w:r w:rsidRPr="007344EA">
        <w:t xml:space="preserve">  Direktyva 85/577/EEB dėl vartotojų apsaugos, susijusios su sutartimis, sudarytomis ne prekybai skirtose patalpose. [1985] OL L 372.</w:t>
      </w:r>
    </w:p>
  </w:footnote>
  <w:footnote w:id="6">
    <w:p w:rsidR="00393645" w:rsidRPr="007344EA" w:rsidRDefault="00393645">
      <w:pPr>
        <w:pStyle w:val="FootnoteText"/>
      </w:pPr>
      <w:r w:rsidRPr="007344EA">
        <w:rPr>
          <w:rStyle w:val="FootnoteReference"/>
        </w:rPr>
        <w:footnoteRef/>
      </w:r>
      <w:r w:rsidRPr="007344EA">
        <w:t xml:space="preserve"> Tarybos  </w:t>
      </w:r>
      <w:r w:rsidRPr="007344EA">
        <w:rPr>
          <w:lang w:val="en-US"/>
        </w:rPr>
        <w:t xml:space="preserve">1985 m. </w:t>
      </w:r>
      <w:proofErr w:type="gramStart"/>
      <w:r w:rsidRPr="007344EA">
        <w:rPr>
          <w:lang w:val="en-US"/>
        </w:rPr>
        <w:t>liepos</w:t>
      </w:r>
      <w:proofErr w:type="gramEnd"/>
      <w:r w:rsidRPr="007344EA">
        <w:rPr>
          <w:lang w:val="en-US"/>
        </w:rPr>
        <w:t xml:space="preserve"> 25 d. D</w:t>
      </w:r>
      <w:r w:rsidRPr="007344EA">
        <w:t>irektyva 85/374/EEB dėl valstybių narių įstatymų ir kitų teisės aktų, reglamentuojančių  atsakomybę už gaminius su trūkumais, derinimo. [1985] OL L 210.</w:t>
      </w:r>
    </w:p>
  </w:footnote>
  <w:footnote w:id="7">
    <w:p w:rsidR="00393645" w:rsidRPr="007344EA" w:rsidRDefault="00393645">
      <w:pPr>
        <w:pStyle w:val="FootnoteText"/>
      </w:pPr>
      <w:r w:rsidRPr="007344EA">
        <w:rPr>
          <w:rStyle w:val="FootnoteReference"/>
        </w:rPr>
        <w:footnoteRef/>
      </w:r>
      <w:r w:rsidRPr="007344EA">
        <w:t xml:space="preserve"> Tarybos 1987 m. gruodžio</w:t>
      </w:r>
      <w:r w:rsidRPr="007344EA">
        <w:rPr>
          <w:lang w:val="en-US"/>
        </w:rPr>
        <w:t xml:space="preserve"> 22 d.</w:t>
      </w:r>
      <w:r w:rsidRPr="007344EA">
        <w:t xml:space="preserve"> Direktyva 87/102/EEB dėl valstybių narių įstatymų ir kitų teisės aktų, susijusiu su vartojimo kreditu, suderinimo. [1987] OL L 42.</w:t>
      </w:r>
    </w:p>
  </w:footnote>
  <w:footnote w:id="8">
    <w:p w:rsidR="00393645" w:rsidRPr="007344EA" w:rsidRDefault="00393645">
      <w:pPr>
        <w:pStyle w:val="FootnoteText"/>
      </w:pPr>
      <w:r w:rsidRPr="007344EA">
        <w:rPr>
          <w:rStyle w:val="FootnoteReference"/>
        </w:rPr>
        <w:footnoteRef/>
      </w:r>
      <w:r w:rsidRPr="007344EA">
        <w:t xml:space="preserve"> Tarybos 1992 m. birželio</w:t>
      </w:r>
      <w:r w:rsidRPr="007344EA">
        <w:rPr>
          <w:lang w:val="en-US"/>
        </w:rPr>
        <w:t xml:space="preserve"> 29 d. </w:t>
      </w:r>
      <w:r w:rsidRPr="007344EA">
        <w:t xml:space="preserve">Direktyva </w:t>
      </w:r>
      <w:r w:rsidRPr="007344EA">
        <w:rPr>
          <w:rFonts w:eastAsiaTheme="majorEastAsia"/>
        </w:rPr>
        <w:t xml:space="preserve">92/59/EEB </w:t>
      </w:r>
      <w:r w:rsidRPr="007344EA">
        <w:t>dėl bendros gaminių saugos. [1992] OL 228.</w:t>
      </w:r>
    </w:p>
  </w:footnote>
  <w:footnote w:id="9">
    <w:p w:rsidR="00393645" w:rsidRPr="007344EA" w:rsidRDefault="00393645">
      <w:pPr>
        <w:pStyle w:val="FootnoteText"/>
      </w:pPr>
      <w:r w:rsidRPr="007344EA">
        <w:rPr>
          <w:rStyle w:val="FootnoteReference"/>
        </w:rPr>
        <w:footnoteRef/>
      </w:r>
      <w:r w:rsidRPr="007344EA">
        <w:t xml:space="preserve"> Tarybos 1990 m. birželio</w:t>
      </w:r>
      <w:r w:rsidRPr="007344EA">
        <w:rPr>
          <w:lang w:val="en-US"/>
        </w:rPr>
        <w:t xml:space="preserve"> 13 d. D</w:t>
      </w:r>
      <w:r w:rsidRPr="007344EA">
        <w:t xml:space="preserve">irektyva </w:t>
      </w:r>
      <w:r w:rsidRPr="007344EA">
        <w:rPr>
          <w:rFonts w:eastAsiaTheme="majorEastAsia"/>
        </w:rPr>
        <w:t xml:space="preserve">90/314/EEB </w:t>
      </w:r>
      <w:proofErr w:type="gramStart"/>
      <w:r w:rsidRPr="007344EA">
        <w:t>dėl</w:t>
      </w:r>
      <w:proofErr w:type="gramEnd"/>
      <w:r w:rsidRPr="007344EA">
        <w:t xml:space="preserve"> kelionių, atostogų ir organizuotų išvykų paketų. [1990] OL L 158.</w:t>
      </w:r>
    </w:p>
  </w:footnote>
  <w:footnote w:id="10">
    <w:p w:rsidR="00393645" w:rsidRPr="007344EA" w:rsidRDefault="00393645" w:rsidP="000A4CC0">
      <w:pPr>
        <w:pStyle w:val="FootnoteText"/>
        <w:jc w:val="both"/>
      </w:pPr>
      <w:r w:rsidRPr="007344EA">
        <w:rPr>
          <w:rStyle w:val="FootnoteReference"/>
        </w:rPr>
        <w:footnoteRef/>
      </w:r>
      <w:r w:rsidRPr="007344EA">
        <w:t xml:space="preserve"> Darbe nagrinėjama ne viso Europos Sąjungos Teisingumo Teismo praktika, o tik Teisingumo Teismo jurisprudencija. Pagal Europos Sąjungos sutarties 19 str. Europos Sąjungos Teisingumo Teismą sudaro trys Teismai: Teisingumo Teismas, Bendrasis Teismas ir Tarnautojų Teismas (specializuotas teismas). Magistro baigiamajame darbe analizuojami prejudicininiai sprendimai bei sprendimai dėl valstybių narių įsipareigojimų nevykdymo. Būtent šių dviejų rūšių sprendimų priėmimas priklauso išskirtinai Teisingumo Teismo jurisdikcijai. </w:t>
      </w:r>
      <w:r w:rsidRPr="007344EA">
        <w:rPr>
          <w:i/>
        </w:rPr>
        <w:t>Inter alia</w:t>
      </w:r>
      <w:r w:rsidRPr="007344EA">
        <w:t xml:space="preserve"> nei Bendrojo Teismo, nei tuo labiau Tarnautojų Teismo jurisdikcijai nepriklauso spręsti klausimų, susijusių su Direktyvos 93/13 aiškinimu. Šiame darbe vartojamas Tarptautinės ir Europos Sąjungos teisės katedros suformuluotas magistro baigiamojo darbo pavadinimas </w:t>
      </w:r>
      <w:r w:rsidRPr="007344EA">
        <w:rPr>
          <w:bCs/>
        </w:rPr>
        <w:t>„Europos Teisingumo Teismo praktika dėl nesąžiningų sąlygų taikymo vartojimo sutartyse“</w:t>
      </w:r>
      <w:r w:rsidRPr="007344EA">
        <w:t xml:space="preserve">, nors tikslesnis pavadinimas būtų „Teisingumo Teismo praktika dėl nesąžiningų sąlygų sutartyse su vartotojais“. Kadangi, pirma, Sutartyse nėra vartojamas terminas „Europos Teisingumo Teismas“, antra, oficialusis Direktyvos 93/13 pavadinimas apima frazę  „dėl nesąžiningų sąlygų sutartyse su vartotojais“. </w:t>
      </w:r>
    </w:p>
  </w:footnote>
  <w:footnote w:id="11">
    <w:p w:rsidR="00393645" w:rsidRPr="007344EA" w:rsidRDefault="00393645" w:rsidP="000A4CC0">
      <w:pPr>
        <w:pStyle w:val="FootnoteText"/>
        <w:jc w:val="both"/>
      </w:pPr>
      <w:r w:rsidRPr="007344EA">
        <w:rPr>
          <w:rStyle w:val="FootnoteReference"/>
        </w:rPr>
        <w:footnoteRef/>
      </w:r>
      <w:r w:rsidRPr="007344EA">
        <w:t xml:space="preserve"> Pagal Europos vartotojų centrų duomenis, 2005 m. 10% pateiktų skundų buvo susiję su nesąžiningomis sąlygomis. Žr.: Žalioji knyga dėl Vartotojų acquis persvarstymo, COM (</w:t>
      </w:r>
      <w:r w:rsidRPr="007344EA">
        <w:rPr>
          <w:lang w:val="en-US"/>
        </w:rPr>
        <w:t xml:space="preserve">2006) 744 final [interaktyvus]. </w:t>
      </w:r>
      <w:r w:rsidRPr="007344EA">
        <w:t xml:space="preserve">[žiūrėta 2012-10-01] </w:t>
      </w:r>
      <w:hyperlink r:id="rId1" w:history="1">
        <w:r w:rsidRPr="007344EA">
          <w:rPr>
            <w:rStyle w:val="Hyperlink"/>
          </w:rPr>
          <w:t>http://ec.europa.eu/consumers/cons_int/safe_shop/acquis/green-paper_cons_acquis_lt.pdf</w:t>
        </w:r>
      </w:hyperlink>
      <w:r w:rsidRPr="007344EA">
        <w:t>, p. 11.</w:t>
      </w:r>
    </w:p>
  </w:footnote>
  <w:footnote w:id="12">
    <w:p w:rsidR="00393645" w:rsidRPr="007344EA" w:rsidRDefault="00393645" w:rsidP="0086579E">
      <w:pPr>
        <w:pStyle w:val="FootnoteText"/>
      </w:pPr>
      <w:r w:rsidRPr="007344EA">
        <w:rPr>
          <w:rStyle w:val="FootnoteReference"/>
        </w:rPr>
        <w:footnoteRef/>
      </w:r>
      <w:r w:rsidRPr="007344EA">
        <w:t xml:space="preserve"> Žalioji knyga dėl Vartotojų acquis persvarstymo, COM (</w:t>
      </w:r>
      <w:r w:rsidRPr="007344EA">
        <w:rPr>
          <w:lang w:val="en-US"/>
        </w:rPr>
        <w:t xml:space="preserve">2006) 744 final [interaktyvus]. </w:t>
      </w:r>
      <w:r w:rsidRPr="007344EA">
        <w:t xml:space="preserve">[žiūrėta 2012-10-01] </w:t>
      </w:r>
      <w:hyperlink r:id="rId2" w:history="1">
        <w:r w:rsidRPr="007344EA">
          <w:rPr>
            <w:rStyle w:val="Hyperlink"/>
          </w:rPr>
          <w:t>http://ec.europa.eu/consumers/cons_int/safe_shop/acquis/green-paper_cons_acquis_lt.pdf</w:t>
        </w:r>
      </w:hyperlink>
      <w:r w:rsidRPr="007344EA">
        <w:t xml:space="preserve">, p. 11. </w:t>
      </w:r>
    </w:p>
  </w:footnote>
  <w:footnote w:id="13">
    <w:p w:rsidR="00393645" w:rsidRPr="007344EA" w:rsidRDefault="00393645" w:rsidP="000A4CC0">
      <w:pPr>
        <w:pStyle w:val="FootnoteText"/>
        <w:jc w:val="both"/>
      </w:pPr>
      <w:r w:rsidRPr="007344EA">
        <w:rPr>
          <w:rStyle w:val="FootnoteReference"/>
        </w:rPr>
        <w:footnoteRef/>
      </w:r>
      <w:r w:rsidRPr="007344EA">
        <w:t xml:space="preserve"> Začiurinskaitė R. Nesąžiningos sąlygos vartojimo sutartyse: teoriniai ir praktiniai aspektai.</w:t>
      </w:r>
      <w:r w:rsidRPr="007344EA">
        <w:rPr>
          <w:i/>
        </w:rPr>
        <w:t xml:space="preserve">  Justitia</w:t>
      </w:r>
      <w:r w:rsidRPr="007344EA">
        <w:t xml:space="preserve">, 2004, Nr. 2 (50), p.28. </w:t>
      </w:r>
    </w:p>
  </w:footnote>
  <w:footnote w:id="14">
    <w:p w:rsidR="00393645" w:rsidRPr="007344EA" w:rsidRDefault="00393645">
      <w:pPr>
        <w:pStyle w:val="FootnoteText"/>
        <w:rPr>
          <w:lang w:val="en-US"/>
        </w:rPr>
      </w:pPr>
      <w:r w:rsidRPr="007344EA">
        <w:rPr>
          <w:rStyle w:val="FootnoteReference"/>
        </w:rPr>
        <w:footnoteRef/>
      </w:r>
      <w:r w:rsidRPr="007344EA">
        <w:t xml:space="preserve"> Generalinės advokatės V. Trstenjak 2011 m. gruodžio 6 d. išvada byloje </w:t>
      </w:r>
      <w:r w:rsidRPr="007344EA">
        <w:rPr>
          <w:bCs/>
        </w:rPr>
        <w:t>C</w:t>
      </w:r>
      <w:r w:rsidRPr="007344EA">
        <w:rPr>
          <w:bCs/>
        </w:rPr>
        <w:noBreakHyphen/>
        <w:t>472/10</w:t>
      </w:r>
      <w:r w:rsidRPr="007344EA">
        <w:rPr>
          <w:b/>
          <w:bCs/>
          <w:lang w:eastAsia="en-GB"/>
        </w:rPr>
        <w:t xml:space="preserve"> </w:t>
      </w:r>
      <w:r w:rsidRPr="007344EA">
        <w:rPr>
          <w:bCs/>
          <w:i/>
        </w:rPr>
        <w:t xml:space="preserve">Nemzeti Fogyasztóvédelmi Hatóság prieš Invitel Távközlési Zrt, </w:t>
      </w:r>
      <w:r w:rsidRPr="007344EA">
        <w:rPr>
          <w:bCs/>
        </w:rPr>
        <w:t xml:space="preserve">para. </w:t>
      </w:r>
      <w:r w:rsidRPr="007344EA">
        <w:rPr>
          <w:bCs/>
          <w:lang w:val="en-US"/>
        </w:rPr>
        <w:t xml:space="preserve">1. </w:t>
      </w:r>
    </w:p>
  </w:footnote>
  <w:footnote w:id="15">
    <w:p w:rsidR="00393645" w:rsidRPr="007344EA" w:rsidRDefault="00393645" w:rsidP="000A4CC0">
      <w:pPr>
        <w:pStyle w:val="FootnoteText"/>
        <w:jc w:val="both"/>
      </w:pPr>
      <w:r w:rsidRPr="007344EA">
        <w:rPr>
          <w:rStyle w:val="FootnoteReference"/>
        </w:rPr>
        <w:footnoteRef/>
      </w:r>
      <w:r w:rsidRPr="007344EA">
        <w:t xml:space="preserve"> Bublienė D. [et.al] </w:t>
      </w:r>
      <w:r w:rsidRPr="007344EA">
        <w:rPr>
          <w:i/>
        </w:rPr>
        <w:t>Europos Sąjungos teisės aktų įgyvendinimas Lietuvos Civilinėje teisėje</w:t>
      </w:r>
      <w:r w:rsidRPr="007344EA">
        <w:t xml:space="preserve">. Vilnius: Teisinės informacijos centras, 2005, p. 184. </w:t>
      </w:r>
    </w:p>
  </w:footnote>
  <w:footnote w:id="16">
    <w:p w:rsidR="00393645" w:rsidRPr="007344EA" w:rsidRDefault="00393645" w:rsidP="00F90F89">
      <w:pPr>
        <w:pStyle w:val="FootnoteText"/>
      </w:pPr>
      <w:r w:rsidRPr="007344EA">
        <w:rPr>
          <w:rStyle w:val="FootnoteReference"/>
        </w:rPr>
        <w:footnoteRef/>
      </w:r>
      <w:r w:rsidRPr="007344EA">
        <w:t xml:space="preserve"> Greičius V.  Europos Sąjungos teisės taikymo Lietuvos Aukščiausiame Teisme problemos ir tendencijos. </w:t>
      </w:r>
      <w:r w:rsidRPr="007344EA">
        <w:rPr>
          <w:i/>
        </w:rPr>
        <w:t>Jurisprudencija</w:t>
      </w:r>
      <w:r w:rsidRPr="007344EA">
        <w:t>, 2007 7(97), p. 28.</w:t>
      </w:r>
    </w:p>
  </w:footnote>
  <w:footnote w:id="17">
    <w:p w:rsidR="00393645" w:rsidRPr="007344EA" w:rsidRDefault="00393645" w:rsidP="000A4CC0">
      <w:pPr>
        <w:pStyle w:val="FootnoteText"/>
        <w:jc w:val="both"/>
      </w:pPr>
      <w:r w:rsidRPr="007344EA">
        <w:rPr>
          <w:rStyle w:val="FootnoteReference"/>
          <w:rFonts w:cs="Calibri"/>
        </w:rPr>
        <w:footnoteRef/>
      </w:r>
      <w:r w:rsidRPr="007344EA">
        <w:rPr>
          <w:rFonts w:cs="Calibri"/>
        </w:rPr>
        <w:t xml:space="preserve"> Ravluševičius P. Vartotojų teisių apsaugos ypatumai Europos Sąjungoje ir Lietuvos teisėje. </w:t>
      </w:r>
      <w:r w:rsidRPr="007344EA">
        <w:rPr>
          <w:rFonts w:cs="Calibri"/>
          <w:i/>
        </w:rPr>
        <w:t>Jurisprudencija</w:t>
      </w:r>
      <w:r w:rsidRPr="007344EA">
        <w:rPr>
          <w:rFonts w:cs="Calibri"/>
        </w:rPr>
        <w:t>,  2007 9(99) p. 52</w:t>
      </w:r>
      <w:r w:rsidRPr="007344EA">
        <w:rPr>
          <w:rFonts w:cs="TT6F3o00"/>
        </w:rPr>
        <w:t xml:space="preserve">. </w:t>
      </w:r>
    </w:p>
  </w:footnote>
  <w:footnote w:id="18">
    <w:p w:rsidR="00393645" w:rsidRPr="007344EA" w:rsidRDefault="00393645" w:rsidP="00F90F89">
      <w:pPr>
        <w:pStyle w:val="FootnoteText"/>
      </w:pPr>
      <w:r w:rsidRPr="007344EA">
        <w:rPr>
          <w:rStyle w:val="FootnoteReference"/>
        </w:rPr>
        <w:footnoteRef/>
      </w:r>
      <w:r w:rsidRPr="007344EA">
        <w:t xml:space="preserve"> Lietuvos Aukščiausiojo Teismo biuletenis. „</w:t>
      </w:r>
      <w:r w:rsidRPr="007344EA">
        <w:rPr>
          <w:i/>
        </w:rPr>
        <w:t>Teismų praktika</w:t>
      </w:r>
      <w:r w:rsidRPr="007344EA">
        <w:t>“ Nr. 30. Vilnius, Lietuvos Aukščiausiasis Teismas, 2009, p. 347.</w:t>
      </w:r>
    </w:p>
  </w:footnote>
  <w:footnote w:id="19">
    <w:p w:rsidR="00393645" w:rsidRPr="007344EA" w:rsidRDefault="00393645">
      <w:pPr>
        <w:pStyle w:val="FootnoteText"/>
      </w:pPr>
      <w:r w:rsidRPr="007344EA">
        <w:rPr>
          <w:rStyle w:val="FootnoteReference"/>
        </w:rPr>
        <w:footnoteRef/>
      </w:r>
      <w:r w:rsidRPr="007344EA">
        <w:t xml:space="preserve"> </w:t>
      </w:r>
      <w:r w:rsidRPr="007344EA">
        <w:rPr>
          <w:rFonts w:cs="Calibri"/>
        </w:rPr>
        <w:t xml:space="preserve">Ravluševičius P. Vartotojų teisių apsaugos ypatumai Europos Sąjungoje ir Lietuvos teisėje. </w:t>
      </w:r>
      <w:r w:rsidRPr="007344EA">
        <w:rPr>
          <w:rFonts w:cs="Calibri"/>
          <w:i/>
        </w:rPr>
        <w:t>Jurisprudencija</w:t>
      </w:r>
      <w:r w:rsidRPr="007344EA">
        <w:rPr>
          <w:rFonts w:cs="Calibri"/>
        </w:rPr>
        <w:t>,  2007 9(99) p. 51</w:t>
      </w:r>
      <w:r w:rsidRPr="007344EA">
        <w:rPr>
          <w:rFonts w:cs="TT6F3o00"/>
        </w:rPr>
        <w:t>.</w:t>
      </w:r>
    </w:p>
  </w:footnote>
  <w:footnote w:id="20">
    <w:p w:rsidR="00393645" w:rsidRPr="007344EA" w:rsidRDefault="00393645" w:rsidP="0004441C">
      <w:pPr>
        <w:pStyle w:val="FootnoteText"/>
        <w:jc w:val="both"/>
        <w:rPr>
          <w:lang w:val="pt-PT"/>
        </w:rPr>
      </w:pPr>
      <w:r w:rsidRPr="007344EA">
        <w:rPr>
          <w:rStyle w:val="FootnoteReference"/>
        </w:rPr>
        <w:footnoteRef/>
      </w:r>
      <w:r w:rsidRPr="007344EA">
        <w:t xml:space="preserve"> Byla </w:t>
      </w:r>
      <w:r w:rsidRPr="007344EA">
        <w:rPr>
          <w:lang w:val="pt-PT"/>
        </w:rPr>
        <w:t>C</w:t>
      </w:r>
      <w:r w:rsidRPr="007344EA">
        <w:rPr>
          <w:lang w:val="pt-PT"/>
        </w:rPr>
        <w:noBreakHyphen/>
        <w:t xml:space="preserve">453/10 </w:t>
      </w:r>
      <w:r w:rsidRPr="007344EA">
        <w:rPr>
          <w:bCs/>
          <w:i/>
          <w:lang w:val="pt-PT"/>
        </w:rPr>
        <w:t xml:space="preserve">Jana Pereničová, Vladislav Perenič </w:t>
      </w:r>
      <w:r w:rsidRPr="007344EA">
        <w:rPr>
          <w:i/>
          <w:lang w:val="pt-PT"/>
        </w:rPr>
        <w:t xml:space="preserve">prieš </w:t>
      </w:r>
      <w:r w:rsidRPr="007344EA">
        <w:rPr>
          <w:bCs/>
          <w:i/>
          <w:lang w:val="pt-PT"/>
        </w:rPr>
        <w:t xml:space="preserve">SOS financ spol. s r. o. </w:t>
      </w:r>
      <w:r w:rsidRPr="007344EA">
        <w:rPr>
          <w:bCs/>
          <w:lang w:val="pt-PT"/>
        </w:rPr>
        <w:t>[dar nepaskelbta]</w:t>
      </w:r>
      <w:r w:rsidRPr="007344EA">
        <w:rPr>
          <w:bCs/>
          <w:i/>
          <w:lang w:val="pt-PT"/>
        </w:rPr>
        <w:t>.</w:t>
      </w:r>
    </w:p>
  </w:footnote>
  <w:footnote w:id="21">
    <w:p w:rsidR="00393645" w:rsidRPr="007344EA" w:rsidRDefault="00393645" w:rsidP="002B5AC9">
      <w:pPr>
        <w:pStyle w:val="FootnoteText"/>
      </w:pPr>
      <w:r w:rsidRPr="007344EA">
        <w:rPr>
          <w:rStyle w:val="FootnoteReference"/>
        </w:rPr>
        <w:footnoteRef/>
      </w:r>
      <w:r w:rsidRPr="007344EA">
        <w:t xml:space="preserve"> Generalinės advokatės V. Trstenjak 2011 m. spalio 29 d.  išvada  byloje </w:t>
      </w:r>
      <w:r w:rsidRPr="007344EA">
        <w:rPr>
          <w:lang w:val="pt-PT"/>
        </w:rPr>
        <w:t>C</w:t>
      </w:r>
      <w:r w:rsidRPr="007344EA">
        <w:rPr>
          <w:lang w:val="pt-PT"/>
        </w:rPr>
        <w:noBreakHyphen/>
        <w:t>453/10</w:t>
      </w:r>
      <w:r w:rsidRPr="007344EA">
        <w:rPr>
          <w:bCs/>
          <w:i/>
          <w:lang w:val="pt-PT"/>
        </w:rPr>
        <w:t xml:space="preserve"> Jana Pereničová, Vladislav Perenič </w:t>
      </w:r>
      <w:r w:rsidRPr="007344EA">
        <w:rPr>
          <w:i/>
          <w:lang w:val="pt-PT"/>
        </w:rPr>
        <w:t xml:space="preserve">prieš </w:t>
      </w:r>
      <w:r w:rsidRPr="007344EA">
        <w:rPr>
          <w:bCs/>
          <w:i/>
          <w:lang w:val="pt-PT"/>
        </w:rPr>
        <w:t xml:space="preserve">SOS financ spol. s r. o. </w:t>
      </w:r>
      <w:r w:rsidRPr="007344EA">
        <w:rPr>
          <w:bCs/>
        </w:rPr>
        <w:t>Išnaša</w:t>
      </w:r>
      <w:r w:rsidRPr="007344EA">
        <w:rPr>
          <w:bCs/>
          <w:i/>
          <w:lang w:val="pt-PT"/>
        </w:rPr>
        <w:t xml:space="preserve"> </w:t>
      </w:r>
      <w:r w:rsidRPr="007344EA">
        <w:rPr>
          <w:lang w:val="pt-PT"/>
        </w:rPr>
        <w:t xml:space="preserve"> </w:t>
      </w:r>
      <w:r w:rsidRPr="007344EA">
        <w:t xml:space="preserve">37. </w:t>
      </w:r>
    </w:p>
  </w:footnote>
  <w:footnote w:id="22">
    <w:p w:rsidR="00393645" w:rsidRPr="007344EA" w:rsidRDefault="00393645">
      <w:pPr>
        <w:pStyle w:val="FootnoteText"/>
        <w:rPr>
          <w:lang w:val="pt-PT"/>
        </w:rPr>
      </w:pPr>
      <w:r w:rsidRPr="007344EA">
        <w:rPr>
          <w:rStyle w:val="FootnoteReference"/>
        </w:rPr>
        <w:footnoteRef/>
      </w:r>
      <w:r w:rsidRPr="007344EA">
        <w:t xml:space="preserve"> Bublienė D. </w:t>
      </w:r>
      <w:r w:rsidRPr="007344EA">
        <w:rPr>
          <w:i/>
        </w:rPr>
        <w:t>Vartojimo sutarčių nesąžiningų sąlygų kontrolė: monografija</w:t>
      </w:r>
      <w:r w:rsidRPr="007344EA">
        <w:t xml:space="preserve">. Vilnius: Registrų centras, 2009, p. </w:t>
      </w:r>
      <w:r w:rsidRPr="007344EA">
        <w:rPr>
          <w:lang w:val="pt-PT"/>
        </w:rPr>
        <w:t xml:space="preserve">32-33. </w:t>
      </w:r>
    </w:p>
  </w:footnote>
  <w:footnote w:id="23">
    <w:p w:rsidR="00393645" w:rsidRPr="007344EA" w:rsidRDefault="00393645" w:rsidP="002B5AC9">
      <w:pPr>
        <w:pStyle w:val="FootnoteText"/>
        <w:jc w:val="both"/>
      </w:pPr>
      <w:r w:rsidRPr="007344EA">
        <w:rPr>
          <w:rStyle w:val="FootnoteReference"/>
        </w:rPr>
        <w:footnoteRef/>
      </w:r>
      <w:r w:rsidRPr="007344EA">
        <w:t xml:space="preserve"> Bublienė D. Vartojimo sutarčių nesąžiningų sąlygų kontrolė: monografija. Vilnius: Registrų centras, 2009. </w:t>
      </w:r>
    </w:p>
  </w:footnote>
  <w:footnote w:id="24">
    <w:p w:rsidR="00393645" w:rsidRPr="007344EA" w:rsidRDefault="00393645" w:rsidP="002B5AC9">
      <w:pPr>
        <w:pStyle w:val="FootnoteText"/>
        <w:jc w:val="both"/>
      </w:pPr>
      <w:r w:rsidRPr="007344EA">
        <w:rPr>
          <w:rStyle w:val="FootnoteReference"/>
        </w:rPr>
        <w:footnoteRef/>
      </w:r>
      <w:r w:rsidRPr="007344EA">
        <w:t xml:space="preserve"> Začiurinskaitė R. Nesąžiningos sąlygos vartojimo sutartyse: teoriniai ir praktiniai aspektai.</w:t>
      </w:r>
      <w:r w:rsidRPr="007344EA">
        <w:rPr>
          <w:i/>
        </w:rPr>
        <w:t xml:space="preserve">  Justitia</w:t>
      </w:r>
      <w:r w:rsidRPr="007344EA">
        <w:t>, 2004, Nr. 2 (50), p.28.</w:t>
      </w:r>
    </w:p>
  </w:footnote>
  <w:footnote w:id="25">
    <w:p w:rsidR="00393645" w:rsidRPr="007344EA" w:rsidRDefault="00393645">
      <w:pPr>
        <w:pStyle w:val="FootnoteText"/>
        <w:rPr>
          <w:lang w:val="en-US"/>
        </w:rPr>
      </w:pPr>
      <w:r w:rsidRPr="007344EA">
        <w:t xml:space="preserve">Saulius Katuoka [et al.]  </w:t>
      </w:r>
      <w:r w:rsidRPr="007344EA">
        <w:rPr>
          <w:i/>
        </w:rPr>
        <w:t>Vartotojų teisių apsauga Lietuvoje ir Europos Sąjungoje : kolektyvinė monografija</w:t>
      </w:r>
      <w:r w:rsidRPr="007344EA">
        <w:t>. Vilnius : Mykolo Romerio universitetas, 2006 p</w:t>
      </w:r>
      <w:r w:rsidRPr="007344EA">
        <w:rPr>
          <w:lang w:val="en-US"/>
        </w:rPr>
        <w:t xml:space="preserve"> . 65-103. </w:t>
      </w:r>
    </w:p>
  </w:footnote>
  <w:footnote w:id="26">
    <w:p w:rsidR="00393645" w:rsidRPr="007344EA" w:rsidRDefault="00393645" w:rsidP="002B5AC9">
      <w:pPr>
        <w:pStyle w:val="FootnoteText"/>
        <w:jc w:val="both"/>
      </w:pPr>
      <w:r w:rsidRPr="007344EA">
        <w:rPr>
          <w:rStyle w:val="FootnoteReference"/>
        </w:rPr>
        <w:footnoteRef/>
      </w:r>
      <w:r w:rsidRPr="007344EA">
        <w:t xml:space="preserve"> </w:t>
      </w:r>
      <w:r w:rsidRPr="007344EA">
        <w:rPr>
          <w:rFonts w:cs="Calibri"/>
        </w:rPr>
        <w:t>Ravluševičius P. E</w:t>
      </w:r>
      <w:r w:rsidRPr="007344EA">
        <w:t xml:space="preserve">uropos Sąjungos vartotojų apsauga ir Lietuvos teisė. </w:t>
      </w:r>
      <w:r w:rsidRPr="007344EA">
        <w:rPr>
          <w:i/>
        </w:rPr>
        <w:t>Jurisprudencija</w:t>
      </w:r>
      <w:r w:rsidRPr="007344EA">
        <w:t>, 44(36). Vilnius: Lietuvos teisės universitetas, 2003, p. 95-102.</w:t>
      </w:r>
    </w:p>
  </w:footnote>
  <w:footnote w:id="27">
    <w:p w:rsidR="00393645" w:rsidRPr="007344EA" w:rsidRDefault="00393645" w:rsidP="002B5AC9">
      <w:pPr>
        <w:pStyle w:val="FootnoteText"/>
        <w:jc w:val="both"/>
      </w:pPr>
      <w:r w:rsidRPr="007344EA">
        <w:rPr>
          <w:rStyle w:val="FootnoteReference"/>
        </w:rPr>
        <w:footnoteRef/>
      </w:r>
      <w:r w:rsidRPr="007344EA">
        <w:t xml:space="preserve"> </w:t>
      </w:r>
      <w:r w:rsidRPr="007344EA">
        <w:rPr>
          <w:rFonts w:cs="Calibri"/>
        </w:rPr>
        <w:t xml:space="preserve">Ravluševičius P. Vartotojų teisių apsaugos ypatumai Europos Sąjungoje ir Lietuvos teisėje. </w:t>
      </w:r>
      <w:r w:rsidRPr="007344EA">
        <w:rPr>
          <w:rFonts w:cs="Calibri"/>
          <w:i/>
        </w:rPr>
        <w:t>Jurisprudencija</w:t>
      </w:r>
      <w:r w:rsidRPr="007344EA">
        <w:rPr>
          <w:rFonts w:cs="Calibri"/>
        </w:rPr>
        <w:t>,  9(99). Vilnius : Mykolo Romerio universitetas, 2007,p.</w:t>
      </w:r>
      <w:r w:rsidRPr="007344EA">
        <w:rPr>
          <w:rFonts w:ascii="Arial" w:hAnsi="Arial" w:cs="Arial"/>
          <w:color w:val="000033"/>
          <w:sz w:val="18"/>
          <w:szCs w:val="18"/>
        </w:rPr>
        <w:t xml:space="preserve"> </w:t>
      </w:r>
      <w:r w:rsidRPr="007344EA">
        <w:rPr>
          <w:rStyle w:val="apple-style-span"/>
          <w:rFonts w:ascii="Arial" w:hAnsi="Arial" w:cs="Arial"/>
          <w:color w:val="000033"/>
          <w:sz w:val="18"/>
          <w:szCs w:val="18"/>
        </w:rPr>
        <w:t>48-53</w:t>
      </w:r>
      <w:r w:rsidRPr="007344EA">
        <w:rPr>
          <w:rFonts w:cs="Calibri"/>
        </w:rPr>
        <w:t xml:space="preserve">. </w:t>
      </w:r>
    </w:p>
  </w:footnote>
  <w:footnote w:id="28">
    <w:p w:rsidR="00393645" w:rsidRPr="007344EA" w:rsidRDefault="00393645" w:rsidP="002B5AC9">
      <w:pPr>
        <w:pStyle w:val="FootnoteText"/>
      </w:pPr>
      <w:r w:rsidRPr="007344EA">
        <w:rPr>
          <w:rStyle w:val="FootnoteReference"/>
        </w:rPr>
        <w:footnoteRef/>
      </w:r>
      <w:r w:rsidRPr="007344EA">
        <w:t xml:space="preserve"> Bublienė D.  Skaidrumo principas ir nesąžiningų sąlygų direktyva. </w:t>
      </w:r>
      <w:r w:rsidRPr="007344EA">
        <w:rPr>
          <w:i/>
        </w:rPr>
        <w:t>Teisė</w:t>
      </w:r>
      <w:r w:rsidRPr="007344EA">
        <w:t>, t. 58, p. 2006, 7-23.</w:t>
      </w:r>
    </w:p>
  </w:footnote>
  <w:footnote w:id="29">
    <w:p w:rsidR="00393645" w:rsidRPr="007344EA" w:rsidRDefault="00393645" w:rsidP="002B5AC9">
      <w:pPr>
        <w:pStyle w:val="FootnoteText"/>
        <w:jc w:val="both"/>
      </w:pPr>
      <w:r w:rsidRPr="007344EA">
        <w:rPr>
          <w:rStyle w:val="FootnoteReference"/>
        </w:rPr>
        <w:footnoteRef/>
      </w:r>
      <w:r w:rsidRPr="007344EA">
        <w:t xml:space="preserve"> Bublienė D. Tarptautinės privatinės teisės normos ir nesąžiningų sąlygų direktyva. </w:t>
      </w:r>
      <w:r w:rsidRPr="007344EA">
        <w:rPr>
          <w:i/>
        </w:rPr>
        <w:t>Teisė</w:t>
      </w:r>
      <w:r w:rsidRPr="007344EA">
        <w:t>, t. 59, 2006, p28-45.</w:t>
      </w:r>
    </w:p>
  </w:footnote>
  <w:footnote w:id="30">
    <w:p w:rsidR="00393645" w:rsidRPr="007344EA" w:rsidRDefault="00393645" w:rsidP="002B5AC9">
      <w:pPr>
        <w:pStyle w:val="FootnoteText"/>
        <w:jc w:val="both"/>
      </w:pPr>
      <w:r w:rsidRPr="007344EA">
        <w:rPr>
          <w:rStyle w:val="FootnoteReference"/>
        </w:rPr>
        <w:footnoteRef/>
      </w:r>
      <w:r w:rsidRPr="007344EA">
        <w:t xml:space="preserve"> Bublienė D. Silpnesnės šalies apsaugos principo įgyvendinimas kontroliuojant nesąžiningas vartojimo sutarčių sąlygas.  </w:t>
      </w:r>
      <w:r w:rsidRPr="007344EA">
        <w:rPr>
          <w:i/>
        </w:rPr>
        <w:t>Jurisprudencija</w:t>
      </w:r>
      <w:r w:rsidRPr="007344EA">
        <w:t xml:space="preserve">  9(99), Vilnius : Mykolo Romerio Universitetas, 2007, p. 41-47.</w:t>
      </w:r>
    </w:p>
  </w:footnote>
  <w:footnote w:id="31">
    <w:p w:rsidR="00393645" w:rsidRPr="007344EA" w:rsidRDefault="00393645" w:rsidP="002B5AC9">
      <w:pPr>
        <w:pStyle w:val="FootnoteText"/>
        <w:jc w:val="both"/>
      </w:pPr>
      <w:r w:rsidRPr="007344EA">
        <w:rPr>
          <w:rStyle w:val="FootnoteReference"/>
        </w:rPr>
        <w:footnoteRef/>
      </w:r>
      <w:r w:rsidRPr="007344EA">
        <w:t xml:space="preserve"> Bublienė D. Vartotojų teisė į informaciją pagal naująjį vartotojų teisių direktyvos pasiūlymą: žingsnis pirmyn? </w:t>
      </w:r>
      <w:r w:rsidRPr="007344EA">
        <w:rPr>
          <w:i/>
        </w:rPr>
        <w:t>Jurisprudencija</w:t>
      </w:r>
      <w:r w:rsidRPr="007344EA">
        <w:t xml:space="preserve"> 18(4), Vilnius : Mykolo Romerio universitetas, 2011,p. 1593-1608.</w:t>
      </w:r>
    </w:p>
  </w:footnote>
  <w:footnote w:id="32">
    <w:p w:rsidR="00393645" w:rsidRPr="007344EA" w:rsidRDefault="00393645" w:rsidP="00DF2E28">
      <w:pPr>
        <w:pStyle w:val="FootnoteText"/>
        <w:rPr>
          <w:lang w:val="pt-PT"/>
        </w:rPr>
      </w:pPr>
      <w:r w:rsidRPr="007344EA">
        <w:rPr>
          <w:rStyle w:val="FootnoteReference"/>
        </w:rPr>
        <w:footnoteRef/>
      </w:r>
      <w:r w:rsidRPr="007344EA">
        <w:t xml:space="preserve"> Shilling M.</w:t>
      </w:r>
      <w:r w:rsidRPr="007344EA">
        <w:rPr>
          <w:rFonts w:asciiTheme="minorHAnsi" w:eastAsiaTheme="minorEastAsia" w:hAnsiTheme="minorHAnsi" w:cstheme="minorBidi"/>
          <w:bCs/>
          <w:i/>
          <w:sz w:val="22"/>
          <w:szCs w:val="22"/>
        </w:rPr>
        <w:t xml:space="preserve"> </w:t>
      </w:r>
      <w:r w:rsidRPr="007344EA">
        <w:rPr>
          <w:bCs/>
        </w:rPr>
        <w:t xml:space="preserve">Inequality of bargaining power versus market for lemons: Legal paradigm change and  Court of Justice’s jurisprudence on Directive 93/13 on unfair contract terms. </w:t>
      </w:r>
      <w:r w:rsidRPr="007344EA">
        <w:rPr>
          <w:bCs/>
          <w:i/>
        </w:rPr>
        <w:t>European law review</w:t>
      </w:r>
      <w:r w:rsidRPr="007344EA">
        <w:rPr>
          <w:bCs/>
        </w:rPr>
        <w:t xml:space="preserve"> </w:t>
      </w:r>
      <w:r w:rsidRPr="007344EA">
        <w:rPr>
          <w:bCs/>
          <w:lang w:val="pt-PT"/>
        </w:rPr>
        <w:t>2008, Vol. 33, no. 3, p. 337.</w:t>
      </w:r>
    </w:p>
  </w:footnote>
  <w:footnote w:id="33">
    <w:p w:rsidR="00393645" w:rsidRPr="007344EA" w:rsidRDefault="00393645" w:rsidP="002B5AC9">
      <w:pPr>
        <w:pStyle w:val="FootnoteText"/>
        <w:jc w:val="both"/>
      </w:pPr>
      <w:r w:rsidRPr="007344EA">
        <w:rPr>
          <w:rStyle w:val="FootnoteReference"/>
        </w:rPr>
        <w:footnoteRef/>
      </w:r>
      <w:r w:rsidRPr="007344EA">
        <w:t xml:space="preserve"> Byla C</w:t>
      </w:r>
      <w:r w:rsidRPr="007344EA">
        <w:noBreakHyphen/>
        <w:t>484/08</w:t>
      </w:r>
      <w:r w:rsidRPr="007344EA">
        <w:rPr>
          <w:i/>
        </w:rPr>
        <w:t xml:space="preserve"> </w:t>
      </w:r>
      <w:r w:rsidRPr="007344EA">
        <w:rPr>
          <w:bCs/>
          <w:i/>
        </w:rPr>
        <w:t xml:space="preserve">Caja de Ahorros y Monte de Piedad de Madrid </w:t>
      </w:r>
      <w:r w:rsidRPr="007344EA">
        <w:rPr>
          <w:i/>
        </w:rPr>
        <w:t xml:space="preserve">prieš </w:t>
      </w:r>
      <w:r w:rsidRPr="007344EA">
        <w:rPr>
          <w:bCs/>
          <w:i/>
        </w:rPr>
        <w:t>Asociación de Usuarios de Servicios Bancarios (Ausbanc)</w:t>
      </w:r>
      <w:r w:rsidRPr="007344EA">
        <w:rPr>
          <w:bCs/>
        </w:rPr>
        <w:t xml:space="preserve"> [2010] ETA I-</w:t>
      </w:r>
      <w:r w:rsidRPr="007344EA">
        <w:t>04785.</w:t>
      </w:r>
    </w:p>
  </w:footnote>
  <w:footnote w:id="34">
    <w:p w:rsidR="00393645" w:rsidRPr="007344EA" w:rsidRDefault="00393645">
      <w:pPr>
        <w:pStyle w:val="FootnoteText"/>
        <w:rPr>
          <w:lang w:val="en-US"/>
        </w:rPr>
      </w:pPr>
      <w:r w:rsidRPr="007344EA">
        <w:rPr>
          <w:rStyle w:val="FootnoteReference"/>
        </w:rPr>
        <w:footnoteRef/>
      </w:r>
      <w:r w:rsidRPr="007344EA">
        <w:t xml:space="preserve"> Byla </w:t>
      </w:r>
      <w:r w:rsidRPr="007344EA">
        <w:rPr>
          <w:lang w:val="pt-PT"/>
        </w:rPr>
        <w:t>C</w:t>
      </w:r>
      <w:r w:rsidRPr="007344EA">
        <w:rPr>
          <w:lang w:val="pt-PT"/>
        </w:rPr>
        <w:noBreakHyphen/>
        <w:t>484/08</w:t>
      </w:r>
      <w:r w:rsidRPr="007344EA">
        <w:rPr>
          <w:i/>
          <w:lang w:val="pt-PT"/>
        </w:rPr>
        <w:t xml:space="preserve"> </w:t>
      </w:r>
      <w:r w:rsidRPr="007344EA">
        <w:rPr>
          <w:bCs/>
          <w:i/>
          <w:lang w:val="es-ES"/>
        </w:rPr>
        <w:t xml:space="preserve">Caja de Ahorros y Monte de Piedad de Madrid </w:t>
      </w:r>
      <w:r w:rsidRPr="007344EA">
        <w:rPr>
          <w:i/>
          <w:lang w:val="es-ES"/>
        </w:rPr>
        <w:t xml:space="preserve">prieš </w:t>
      </w:r>
      <w:r w:rsidRPr="007344EA">
        <w:rPr>
          <w:bCs/>
          <w:i/>
          <w:lang w:val="es-ES"/>
        </w:rPr>
        <w:t>Asociación de Usuarios de Servicios Bancarios (Ausbanc)</w:t>
      </w:r>
      <w:r w:rsidRPr="007344EA">
        <w:rPr>
          <w:bCs/>
          <w:lang w:val="es-ES"/>
        </w:rPr>
        <w:t xml:space="preserve"> [2010] ETA I-</w:t>
      </w:r>
      <w:r w:rsidRPr="007344EA">
        <w:t>04785.</w:t>
      </w:r>
    </w:p>
  </w:footnote>
  <w:footnote w:id="35">
    <w:p w:rsidR="00393645" w:rsidRPr="007344EA" w:rsidRDefault="00393645">
      <w:pPr>
        <w:pStyle w:val="FootnoteText"/>
        <w:rPr>
          <w:lang w:val="en-US"/>
        </w:rPr>
      </w:pPr>
      <w:r w:rsidRPr="007344EA">
        <w:rPr>
          <w:rStyle w:val="FootnoteReference"/>
        </w:rPr>
        <w:footnoteRef/>
      </w:r>
      <w:r w:rsidRPr="007344EA">
        <w:t xml:space="preserve"> Case</w:t>
      </w:r>
      <w:r w:rsidRPr="007344EA">
        <w:rPr>
          <w:lang w:val="pt-PT"/>
        </w:rPr>
        <w:t xml:space="preserve"> </w:t>
      </w:r>
      <w:r w:rsidRPr="007344EA">
        <w:t xml:space="preserve">C-541/99 , C-542/99 </w:t>
      </w:r>
      <w:r w:rsidRPr="007344EA">
        <w:rPr>
          <w:i/>
          <w:lang w:val="pt-PT"/>
        </w:rPr>
        <w:t xml:space="preserve">Cape Snc v </w:t>
      </w:r>
      <w:r w:rsidRPr="007344EA">
        <w:rPr>
          <w:bCs/>
          <w:i/>
          <w:lang w:val="pt-PT"/>
        </w:rPr>
        <w:t>Idealservice Srl</w:t>
      </w:r>
      <w:r w:rsidRPr="007344EA">
        <w:rPr>
          <w:i/>
          <w:lang w:val="pt-PT"/>
        </w:rPr>
        <w:t xml:space="preserve">, </w:t>
      </w:r>
      <w:r w:rsidRPr="007344EA">
        <w:rPr>
          <w:bCs/>
          <w:i/>
          <w:lang w:val="pt-PT"/>
        </w:rPr>
        <w:t>Idealservice MN RE Sas</w:t>
      </w:r>
      <w:r w:rsidRPr="007344EA">
        <w:rPr>
          <w:i/>
          <w:lang w:val="pt-PT"/>
        </w:rPr>
        <w:t xml:space="preserve"> v </w:t>
      </w:r>
      <w:r w:rsidRPr="007344EA">
        <w:rPr>
          <w:bCs/>
          <w:i/>
          <w:lang w:val="pt-PT"/>
        </w:rPr>
        <w:t>OMAI Srl</w:t>
      </w:r>
      <w:r w:rsidRPr="007344EA">
        <w:rPr>
          <w:bCs/>
          <w:lang w:val="pt-PT"/>
        </w:rPr>
        <w:t xml:space="preserve"> [2001] ECR I-</w:t>
      </w:r>
      <w:r w:rsidRPr="007344EA">
        <w:rPr>
          <w:rStyle w:val="Emphasis"/>
          <w:rFonts w:eastAsiaTheme="majorEastAsia"/>
        </w:rPr>
        <w:t>09049.</w:t>
      </w:r>
    </w:p>
  </w:footnote>
  <w:footnote w:id="36">
    <w:p w:rsidR="00393645" w:rsidRPr="007344EA" w:rsidRDefault="00393645">
      <w:pPr>
        <w:pStyle w:val="FootnoteText"/>
      </w:pPr>
      <w:r w:rsidRPr="007344EA">
        <w:rPr>
          <w:rStyle w:val="FootnoteReference"/>
        </w:rPr>
        <w:footnoteRef/>
      </w:r>
      <w:r w:rsidRPr="007344EA">
        <w:t xml:space="preserve"> Šis metodas naudotas D. Bublienės , žr.: Bublienė D. </w:t>
      </w:r>
      <w:r w:rsidRPr="007344EA">
        <w:rPr>
          <w:i/>
        </w:rPr>
        <w:t>Vartojimo sutarčių nesąžiningų sąlygų kontrolė</w:t>
      </w:r>
      <w:r w:rsidRPr="007344EA">
        <w:t xml:space="preserve">: monografija. Vilnius: Registrų centras, 2009, p. 16-17. </w:t>
      </w:r>
    </w:p>
  </w:footnote>
  <w:footnote w:id="37">
    <w:p w:rsidR="00393645" w:rsidRPr="007344EA" w:rsidRDefault="00393645">
      <w:pPr>
        <w:pStyle w:val="FootnoteText"/>
        <w:rPr>
          <w:lang w:val="pt-PT"/>
        </w:rPr>
      </w:pPr>
      <w:r w:rsidRPr="007344EA">
        <w:rPr>
          <w:rStyle w:val="FootnoteReference"/>
        </w:rPr>
        <w:footnoteRef/>
      </w:r>
      <w:r w:rsidRPr="007344EA">
        <w:t xml:space="preserve"> Generalinės advokatės Trstenjak išvada byloje</w:t>
      </w:r>
      <w:r w:rsidRPr="007344EA">
        <w:rPr>
          <w:lang w:val="pt-PT"/>
        </w:rPr>
        <w:t xml:space="preserve"> C</w:t>
      </w:r>
      <w:r w:rsidRPr="007344EA">
        <w:rPr>
          <w:lang w:val="pt-PT"/>
        </w:rPr>
        <w:noBreakHyphen/>
        <w:t>484/08</w:t>
      </w:r>
      <w:r w:rsidRPr="007344EA">
        <w:rPr>
          <w:i/>
          <w:lang w:val="pt-PT"/>
        </w:rPr>
        <w:t xml:space="preserve"> </w:t>
      </w:r>
      <w:r w:rsidRPr="007344EA">
        <w:rPr>
          <w:bCs/>
          <w:i/>
          <w:lang w:val="es-ES"/>
        </w:rPr>
        <w:t xml:space="preserve">Caja de Ahorros y Monte de Piedad de Madrid </w:t>
      </w:r>
      <w:r w:rsidRPr="007344EA">
        <w:rPr>
          <w:i/>
          <w:lang w:val="es-ES"/>
        </w:rPr>
        <w:t xml:space="preserve">prieš </w:t>
      </w:r>
      <w:r w:rsidRPr="007344EA">
        <w:rPr>
          <w:bCs/>
          <w:i/>
          <w:lang w:val="es-ES"/>
        </w:rPr>
        <w:t xml:space="preserve">Asociación de Usuarios de Servicios Bancarios (Ausbanc), </w:t>
      </w:r>
      <w:r w:rsidRPr="007344EA">
        <w:rPr>
          <w:bCs/>
          <w:lang w:val="es-ES"/>
        </w:rPr>
        <w:t xml:space="preserve">pateikta </w:t>
      </w:r>
      <w:r w:rsidRPr="007344EA">
        <w:rPr>
          <w:bCs/>
          <w:lang w:val="en-US"/>
        </w:rPr>
        <w:t xml:space="preserve">2009 m. </w:t>
      </w:r>
      <w:proofErr w:type="gramStart"/>
      <w:r w:rsidRPr="007344EA">
        <w:rPr>
          <w:bCs/>
          <w:lang w:val="en-US"/>
        </w:rPr>
        <w:t>spalio</w:t>
      </w:r>
      <w:proofErr w:type="gramEnd"/>
      <w:r w:rsidRPr="007344EA">
        <w:rPr>
          <w:bCs/>
          <w:lang w:val="en-US"/>
        </w:rPr>
        <w:t xml:space="preserve"> 29 d,</w:t>
      </w:r>
      <w:r w:rsidRPr="007344EA">
        <w:t xml:space="preserve"> para. </w:t>
      </w:r>
      <w:r w:rsidRPr="007344EA">
        <w:rPr>
          <w:lang w:val="pt-PT"/>
        </w:rPr>
        <w:t>60.</w:t>
      </w:r>
    </w:p>
  </w:footnote>
  <w:footnote w:id="38">
    <w:p w:rsidR="00393645" w:rsidRPr="007344EA" w:rsidRDefault="00393645">
      <w:pPr>
        <w:pStyle w:val="FootnoteText"/>
      </w:pPr>
      <w:r w:rsidRPr="007344EA">
        <w:rPr>
          <w:rStyle w:val="FootnoteReference"/>
        </w:rPr>
        <w:footnoteRef/>
      </w:r>
      <w:r w:rsidRPr="007344EA">
        <w:rPr>
          <w:i/>
        </w:rPr>
        <w:t>Ibid</w:t>
      </w:r>
      <w:r w:rsidRPr="007344EA">
        <w:t xml:space="preserve">., para. 73. </w:t>
      </w:r>
    </w:p>
  </w:footnote>
  <w:footnote w:id="39">
    <w:p w:rsidR="00393645" w:rsidRPr="007344EA" w:rsidRDefault="00393645" w:rsidP="005A1ED2">
      <w:pPr>
        <w:pStyle w:val="FootnoteText"/>
        <w:jc w:val="both"/>
        <w:rPr>
          <w:i/>
        </w:rPr>
      </w:pPr>
      <w:r w:rsidRPr="007344EA">
        <w:rPr>
          <w:rStyle w:val="FootnoteReference"/>
        </w:rPr>
        <w:footnoteRef/>
      </w:r>
      <w:r w:rsidRPr="007344EA">
        <w:t xml:space="preserve"> Cases C-240/98- C-244/98 </w:t>
      </w:r>
      <w:r w:rsidRPr="007344EA">
        <w:rPr>
          <w:i/>
        </w:rPr>
        <w:t xml:space="preserve">Océano Grupo Editorial SA , </w:t>
      </w:r>
      <w:r w:rsidRPr="007344EA">
        <w:rPr>
          <w:bCs/>
          <w:i/>
        </w:rPr>
        <w:t xml:space="preserve">Rocío Murciano Quintero </w:t>
      </w:r>
      <w:r w:rsidRPr="007344EA">
        <w:rPr>
          <w:i/>
        </w:rPr>
        <w:t xml:space="preserve">ir </w:t>
      </w:r>
      <w:r w:rsidRPr="007344EA">
        <w:rPr>
          <w:bCs/>
          <w:i/>
        </w:rPr>
        <w:t xml:space="preserve">Salvat Editores SA </w:t>
      </w:r>
      <w:r w:rsidRPr="007344EA">
        <w:rPr>
          <w:i/>
        </w:rPr>
        <w:t xml:space="preserve">v </w:t>
      </w:r>
      <w:r w:rsidRPr="007344EA">
        <w:rPr>
          <w:bCs/>
          <w:i/>
        </w:rPr>
        <w:t>José M. Sánchez Alcón Prades</w:t>
      </w:r>
      <w:r w:rsidRPr="007344EA">
        <w:rPr>
          <w:i/>
        </w:rPr>
        <w:t xml:space="preserve">, </w:t>
      </w:r>
      <w:r w:rsidRPr="007344EA">
        <w:rPr>
          <w:bCs/>
          <w:i/>
          <w:lang w:val="es-ES"/>
        </w:rPr>
        <w:t>José Luis Copano Badillo</w:t>
      </w:r>
      <w:r w:rsidRPr="007344EA">
        <w:rPr>
          <w:i/>
          <w:lang w:val="es-ES"/>
        </w:rPr>
        <w:t xml:space="preserve"> , </w:t>
      </w:r>
      <w:r w:rsidRPr="007344EA">
        <w:rPr>
          <w:bCs/>
          <w:i/>
        </w:rPr>
        <w:t xml:space="preserve">Mohammed Berroane </w:t>
      </w:r>
      <w:r w:rsidRPr="007344EA">
        <w:rPr>
          <w:i/>
        </w:rPr>
        <w:t xml:space="preserve">, </w:t>
      </w:r>
      <w:r w:rsidRPr="007344EA">
        <w:rPr>
          <w:bCs/>
          <w:i/>
        </w:rPr>
        <w:t xml:space="preserve">Emilio Viñas Feliu </w:t>
      </w:r>
      <w:r w:rsidRPr="007344EA">
        <w:rPr>
          <w:bCs/>
        </w:rPr>
        <w:t>[</w:t>
      </w:r>
      <w:r w:rsidRPr="007344EA">
        <w:t>2000] ECR I-04941.</w:t>
      </w:r>
    </w:p>
  </w:footnote>
  <w:footnote w:id="40">
    <w:p w:rsidR="00393645" w:rsidRPr="007344EA" w:rsidRDefault="00393645" w:rsidP="005A1ED2">
      <w:pPr>
        <w:pStyle w:val="FootnoteText"/>
        <w:jc w:val="both"/>
        <w:rPr>
          <w:i/>
        </w:rPr>
      </w:pPr>
      <w:r w:rsidRPr="007344EA">
        <w:rPr>
          <w:rStyle w:val="FootnoteReference"/>
        </w:rPr>
        <w:footnoteRef/>
      </w:r>
      <w:r w:rsidRPr="007344EA">
        <w:t xml:space="preserve"> Case C-144/99 </w:t>
      </w:r>
      <w:r w:rsidRPr="007344EA">
        <w:rPr>
          <w:i/>
        </w:rPr>
        <w:t xml:space="preserve">Commission of the European Communities v .Kingdom of Netherlands </w:t>
      </w:r>
      <w:r w:rsidRPr="007344EA">
        <w:t>[</w:t>
      </w:r>
      <w:r w:rsidRPr="007344EA">
        <w:rPr>
          <w:lang w:val="en-US"/>
        </w:rPr>
        <w:t>2001]</w:t>
      </w:r>
      <w:r w:rsidRPr="007344EA">
        <w:rPr>
          <w:i/>
        </w:rPr>
        <w:t xml:space="preserve"> </w:t>
      </w:r>
      <w:r w:rsidRPr="007344EA">
        <w:t>I-03541.</w:t>
      </w:r>
    </w:p>
  </w:footnote>
  <w:footnote w:id="41">
    <w:p w:rsidR="00393645" w:rsidRPr="007344EA" w:rsidRDefault="00393645" w:rsidP="005A1ED2">
      <w:pPr>
        <w:pStyle w:val="FootnoteText"/>
        <w:jc w:val="both"/>
      </w:pPr>
      <w:r w:rsidRPr="007344EA">
        <w:rPr>
          <w:rStyle w:val="FootnoteReference"/>
        </w:rPr>
        <w:footnoteRef/>
      </w:r>
      <w:r w:rsidRPr="007344EA">
        <w:t xml:space="preserve"> Case</w:t>
      </w:r>
      <w:r w:rsidRPr="007344EA">
        <w:rPr>
          <w:lang w:val="pt-PT"/>
        </w:rPr>
        <w:t xml:space="preserve"> </w:t>
      </w:r>
      <w:r w:rsidRPr="007344EA">
        <w:t xml:space="preserve">C-541/99 , C-542/99 </w:t>
      </w:r>
      <w:r w:rsidRPr="007344EA">
        <w:rPr>
          <w:i/>
          <w:lang w:val="pt-PT"/>
        </w:rPr>
        <w:t xml:space="preserve">Cape Snc v </w:t>
      </w:r>
      <w:r w:rsidRPr="007344EA">
        <w:rPr>
          <w:bCs/>
          <w:i/>
          <w:lang w:val="pt-PT"/>
        </w:rPr>
        <w:t>Idealservice Srl</w:t>
      </w:r>
      <w:r w:rsidRPr="007344EA">
        <w:rPr>
          <w:i/>
          <w:lang w:val="pt-PT"/>
        </w:rPr>
        <w:t xml:space="preserve">, </w:t>
      </w:r>
      <w:r w:rsidRPr="007344EA">
        <w:rPr>
          <w:bCs/>
          <w:i/>
          <w:lang w:val="pt-PT"/>
        </w:rPr>
        <w:t>Idealservice MN RE Sas</w:t>
      </w:r>
      <w:r w:rsidRPr="007344EA">
        <w:rPr>
          <w:i/>
          <w:lang w:val="pt-PT"/>
        </w:rPr>
        <w:t xml:space="preserve"> v </w:t>
      </w:r>
      <w:r w:rsidRPr="007344EA">
        <w:rPr>
          <w:bCs/>
          <w:i/>
          <w:lang w:val="pt-PT"/>
        </w:rPr>
        <w:t>OMAI Srl</w:t>
      </w:r>
      <w:r w:rsidRPr="007344EA">
        <w:rPr>
          <w:bCs/>
          <w:lang w:val="pt-PT"/>
        </w:rPr>
        <w:t xml:space="preserve"> [2001] </w:t>
      </w:r>
      <w:bookmarkStart w:id="1" w:name="content"/>
      <w:r w:rsidRPr="007344EA">
        <w:rPr>
          <w:bCs/>
          <w:lang w:val="pt-PT"/>
        </w:rPr>
        <w:t>ECR I-</w:t>
      </w:r>
      <w:r w:rsidRPr="007344EA">
        <w:rPr>
          <w:rStyle w:val="Emphasis"/>
          <w:rFonts w:eastAsiaTheme="majorEastAsia"/>
        </w:rPr>
        <w:t>09049</w:t>
      </w:r>
      <w:bookmarkEnd w:id="1"/>
      <w:r w:rsidRPr="007344EA">
        <w:rPr>
          <w:rStyle w:val="Emphasis"/>
          <w:rFonts w:eastAsiaTheme="majorEastAsia"/>
        </w:rPr>
        <w:t>.</w:t>
      </w:r>
    </w:p>
  </w:footnote>
  <w:footnote w:id="42">
    <w:p w:rsidR="00393645" w:rsidRPr="007344EA" w:rsidRDefault="00393645" w:rsidP="005A1ED2">
      <w:pPr>
        <w:pStyle w:val="FootnoteText"/>
        <w:jc w:val="both"/>
      </w:pPr>
      <w:r w:rsidRPr="007344EA">
        <w:rPr>
          <w:rStyle w:val="FootnoteReference"/>
        </w:rPr>
        <w:footnoteRef/>
      </w:r>
      <w:r w:rsidRPr="007344EA">
        <w:t xml:space="preserve"> Case C-478/99 </w:t>
      </w:r>
      <w:r w:rsidRPr="007344EA">
        <w:rPr>
          <w:i/>
        </w:rPr>
        <w:t xml:space="preserve">Commission of the European Communities v Kingdom of Sweden </w:t>
      </w:r>
      <w:r w:rsidRPr="007344EA">
        <w:t>[2002] ECR I-04147.</w:t>
      </w:r>
    </w:p>
  </w:footnote>
  <w:footnote w:id="43">
    <w:p w:rsidR="00393645" w:rsidRPr="007344EA" w:rsidRDefault="00393645" w:rsidP="005A1ED2">
      <w:pPr>
        <w:pStyle w:val="FootnoteText"/>
        <w:jc w:val="both"/>
      </w:pPr>
      <w:r w:rsidRPr="007344EA">
        <w:rPr>
          <w:rStyle w:val="FootnoteReference"/>
        </w:rPr>
        <w:footnoteRef/>
      </w:r>
      <w:r w:rsidRPr="007344EA">
        <w:t xml:space="preserve"> Case C-372/99 </w:t>
      </w:r>
      <w:r w:rsidRPr="007344EA">
        <w:rPr>
          <w:i/>
        </w:rPr>
        <w:t xml:space="preserve">Commission of the European Communities v Italian Republic </w:t>
      </w:r>
      <w:r w:rsidRPr="007344EA">
        <w:t>[2001] ECR I-00819.</w:t>
      </w:r>
    </w:p>
  </w:footnote>
  <w:footnote w:id="44">
    <w:p w:rsidR="00393645" w:rsidRPr="007344EA" w:rsidRDefault="00393645" w:rsidP="005A1ED2">
      <w:pPr>
        <w:pStyle w:val="FootnoteText"/>
        <w:jc w:val="both"/>
      </w:pPr>
      <w:r w:rsidRPr="007344EA">
        <w:rPr>
          <w:rStyle w:val="FootnoteReference"/>
        </w:rPr>
        <w:footnoteRef/>
      </w:r>
      <w:r w:rsidRPr="007344EA">
        <w:t xml:space="preserve"> Case C-473/00 </w:t>
      </w:r>
      <w:r w:rsidRPr="007344EA">
        <w:rPr>
          <w:bCs/>
          <w:i/>
          <w:lang w:val="pt-PT"/>
        </w:rPr>
        <w:t>Cofidis SA</w:t>
      </w:r>
      <w:r w:rsidRPr="007344EA">
        <w:rPr>
          <w:i/>
          <w:lang w:val="pt-PT"/>
        </w:rPr>
        <w:t xml:space="preserve"> v </w:t>
      </w:r>
      <w:r w:rsidRPr="007344EA">
        <w:rPr>
          <w:bCs/>
          <w:i/>
          <w:lang w:val="pt-PT"/>
        </w:rPr>
        <w:t>Jean-Louis Fredout</w:t>
      </w:r>
      <w:r w:rsidRPr="007344EA">
        <w:rPr>
          <w:bCs/>
          <w:lang w:val="pt-PT"/>
        </w:rPr>
        <w:t xml:space="preserve"> [2002] ECR I-</w:t>
      </w:r>
      <w:r w:rsidRPr="007344EA">
        <w:t>10875,</w:t>
      </w:r>
    </w:p>
  </w:footnote>
  <w:footnote w:id="45">
    <w:p w:rsidR="00393645" w:rsidRPr="007344EA" w:rsidRDefault="00393645" w:rsidP="005A1ED2">
      <w:pPr>
        <w:pStyle w:val="FootnoteText"/>
        <w:jc w:val="both"/>
        <w:rPr>
          <w:lang w:val="de-DE"/>
        </w:rPr>
      </w:pPr>
      <w:r w:rsidRPr="007344EA">
        <w:rPr>
          <w:rStyle w:val="FootnoteReference"/>
        </w:rPr>
        <w:footnoteRef/>
      </w:r>
      <w:r w:rsidRPr="007344EA">
        <w:t xml:space="preserve"> Case C-237/02 </w:t>
      </w:r>
      <w:r w:rsidRPr="007344EA">
        <w:rPr>
          <w:bCs/>
          <w:i/>
          <w:lang w:val="de-DE"/>
        </w:rPr>
        <w:t>Freiburger Kommunalbauten GmbH Baugesellschaft &amp; Co. KG</w:t>
      </w:r>
      <w:r w:rsidRPr="007344EA">
        <w:rPr>
          <w:i/>
          <w:lang w:val="de-DE"/>
        </w:rPr>
        <w:t xml:space="preserve"> v</w:t>
      </w:r>
      <w:r w:rsidRPr="007344EA">
        <w:rPr>
          <w:i/>
        </w:rPr>
        <w:t xml:space="preserve"> </w:t>
      </w:r>
      <w:r w:rsidRPr="007344EA">
        <w:rPr>
          <w:bCs/>
          <w:i/>
          <w:lang w:val="de-DE"/>
        </w:rPr>
        <w:t>Ludger Hofstetter,</w:t>
      </w:r>
      <w:r w:rsidRPr="007344EA">
        <w:rPr>
          <w:i/>
          <w:lang w:val="de-DE"/>
        </w:rPr>
        <w:t xml:space="preserve"> </w:t>
      </w:r>
      <w:r w:rsidRPr="007344EA">
        <w:rPr>
          <w:bCs/>
          <w:i/>
          <w:lang w:val="de-DE"/>
        </w:rPr>
        <w:t xml:space="preserve">Ulrike Hofstetter </w:t>
      </w:r>
      <w:r w:rsidRPr="007344EA">
        <w:rPr>
          <w:bCs/>
          <w:lang w:val="de-DE"/>
        </w:rPr>
        <w:t>[2004] ECR I-</w:t>
      </w:r>
      <w:r w:rsidRPr="007344EA">
        <w:t>03403.</w:t>
      </w:r>
    </w:p>
  </w:footnote>
  <w:footnote w:id="46">
    <w:p w:rsidR="00393645" w:rsidRPr="007344EA" w:rsidRDefault="00393645" w:rsidP="005A1ED2">
      <w:pPr>
        <w:pStyle w:val="FootnoteText"/>
        <w:jc w:val="both"/>
      </w:pPr>
      <w:r w:rsidRPr="007344EA">
        <w:rPr>
          <w:rStyle w:val="FootnoteReference"/>
        </w:rPr>
        <w:footnoteRef/>
      </w:r>
      <w:r w:rsidRPr="007344EA">
        <w:t xml:space="preserve"> Byla C-</w:t>
      </w:r>
      <w:r w:rsidRPr="007344EA">
        <w:rPr>
          <w:lang w:val="de-DE"/>
        </w:rPr>
        <w:t xml:space="preserve">70/03 </w:t>
      </w:r>
      <w:r w:rsidRPr="007344EA">
        <w:rPr>
          <w:i/>
        </w:rPr>
        <w:t xml:space="preserve">Europos Bendrijų Komisija  prieš Ispanijos Karalystę </w:t>
      </w:r>
      <w:r w:rsidRPr="007344EA">
        <w:t>[2004] ETA I-07999.</w:t>
      </w:r>
    </w:p>
  </w:footnote>
  <w:footnote w:id="47">
    <w:p w:rsidR="00393645" w:rsidRPr="007344EA" w:rsidRDefault="00393645" w:rsidP="005A1ED2">
      <w:pPr>
        <w:pStyle w:val="FootnoteText"/>
        <w:jc w:val="both"/>
      </w:pPr>
      <w:r w:rsidRPr="007344EA">
        <w:rPr>
          <w:rStyle w:val="FootnoteReference"/>
        </w:rPr>
        <w:footnoteRef/>
      </w:r>
      <w:r w:rsidRPr="007344EA">
        <w:t xml:space="preserve"> Byla C-203/04 </w:t>
      </w:r>
      <w:r w:rsidRPr="007344EA">
        <w:rPr>
          <w:bCs/>
          <w:i/>
        </w:rPr>
        <w:t xml:space="preserve">Ynos kft </w:t>
      </w:r>
      <w:r w:rsidRPr="007344EA">
        <w:rPr>
          <w:i/>
        </w:rPr>
        <w:t xml:space="preserve">prieš </w:t>
      </w:r>
      <w:r w:rsidRPr="007344EA">
        <w:rPr>
          <w:bCs/>
          <w:i/>
        </w:rPr>
        <w:t>János Varga</w:t>
      </w:r>
      <w:r w:rsidRPr="007344EA">
        <w:rPr>
          <w:bCs/>
        </w:rPr>
        <w:t xml:space="preserve"> [2005] ETA I-</w:t>
      </w:r>
      <w:r w:rsidRPr="007344EA">
        <w:t>07239.</w:t>
      </w:r>
    </w:p>
  </w:footnote>
  <w:footnote w:id="48">
    <w:p w:rsidR="00393645" w:rsidRPr="007344EA" w:rsidRDefault="00393645" w:rsidP="005A1ED2">
      <w:pPr>
        <w:pStyle w:val="FootnoteText"/>
        <w:jc w:val="both"/>
        <w:rPr>
          <w:lang w:val="pt-PT"/>
        </w:rPr>
      </w:pPr>
      <w:r w:rsidRPr="007344EA">
        <w:rPr>
          <w:rStyle w:val="FootnoteReference"/>
        </w:rPr>
        <w:footnoteRef/>
      </w:r>
      <w:r w:rsidRPr="007344EA">
        <w:t xml:space="preserve"> Byla</w:t>
      </w:r>
      <w:r w:rsidRPr="007344EA">
        <w:rPr>
          <w:lang w:val="pt-PT"/>
        </w:rPr>
        <w:t xml:space="preserve"> C</w:t>
      </w:r>
      <w:r w:rsidRPr="007344EA">
        <w:rPr>
          <w:lang w:val="pt-PT"/>
        </w:rPr>
        <w:noBreakHyphen/>
        <w:t xml:space="preserve">168/05 </w:t>
      </w:r>
      <w:r w:rsidRPr="007344EA">
        <w:rPr>
          <w:bCs/>
          <w:i/>
          <w:lang w:val="pt-PT"/>
        </w:rPr>
        <w:t xml:space="preserve">Elisa María Mostaza Claro </w:t>
      </w:r>
      <w:r w:rsidRPr="007344EA">
        <w:rPr>
          <w:i/>
          <w:lang w:val="pt-PT"/>
        </w:rPr>
        <w:t xml:space="preserve">prieš </w:t>
      </w:r>
      <w:r w:rsidRPr="007344EA">
        <w:rPr>
          <w:bCs/>
          <w:i/>
          <w:lang w:val="pt-PT"/>
        </w:rPr>
        <w:t xml:space="preserve">Centro Móvil Milenium SL </w:t>
      </w:r>
      <w:r w:rsidRPr="007344EA">
        <w:rPr>
          <w:bCs/>
          <w:lang w:val="pt-PT"/>
        </w:rPr>
        <w:t>[2006] ETA I-</w:t>
      </w:r>
      <w:r w:rsidRPr="007344EA">
        <w:t>10421.</w:t>
      </w:r>
    </w:p>
  </w:footnote>
  <w:footnote w:id="49">
    <w:p w:rsidR="00393645" w:rsidRPr="007344EA" w:rsidRDefault="00393645" w:rsidP="005A1ED2">
      <w:pPr>
        <w:pStyle w:val="FootnoteText"/>
        <w:jc w:val="both"/>
        <w:rPr>
          <w:lang w:val="en-US"/>
        </w:rPr>
      </w:pPr>
      <w:r w:rsidRPr="007344EA">
        <w:rPr>
          <w:rStyle w:val="FootnoteReference"/>
        </w:rPr>
        <w:footnoteRef/>
      </w:r>
      <w:r w:rsidRPr="007344EA">
        <w:t xml:space="preserve"> Byla </w:t>
      </w:r>
      <w:r w:rsidRPr="007344EA">
        <w:rPr>
          <w:lang w:val="pt-PT"/>
        </w:rPr>
        <w:t xml:space="preserve">C-243/08 </w:t>
      </w:r>
      <w:r w:rsidRPr="007344EA">
        <w:rPr>
          <w:bCs/>
          <w:i/>
          <w:lang w:val="pt-PT"/>
        </w:rPr>
        <w:t xml:space="preserve">Pannon GSM Zrt. </w:t>
      </w:r>
      <w:r w:rsidRPr="007344EA">
        <w:rPr>
          <w:i/>
          <w:lang w:val="pt-PT"/>
        </w:rPr>
        <w:t xml:space="preserve">Prieš </w:t>
      </w:r>
      <w:r w:rsidRPr="007344EA">
        <w:rPr>
          <w:bCs/>
          <w:i/>
          <w:lang w:val="pt-PT"/>
        </w:rPr>
        <w:t>Erzsébet Sustikné</w:t>
      </w:r>
      <w:r w:rsidRPr="007344EA">
        <w:rPr>
          <w:b/>
          <w:bCs/>
          <w:lang w:val="pt-PT"/>
        </w:rPr>
        <w:t xml:space="preserve"> </w:t>
      </w:r>
      <w:r w:rsidRPr="007344EA">
        <w:rPr>
          <w:bCs/>
          <w:i/>
          <w:lang w:val="pt-PT"/>
        </w:rPr>
        <w:t xml:space="preserve">Győrfi </w:t>
      </w:r>
      <w:r w:rsidRPr="007344EA">
        <w:rPr>
          <w:bCs/>
          <w:lang w:val="en-US"/>
        </w:rPr>
        <w:t>[2009] ETA I-</w:t>
      </w:r>
      <w:r w:rsidRPr="007344EA">
        <w:t>04713.</w:t>
      </w:r>
    </w:p>
  </w:footnote>
  <w:footnote w:id="50">
    <w:p w:rsidR="00393645" w:rsidRPr="007344EA" w:rsidRDefault="00393645" w:rsidP="005A1ED2">
      <w:pPr>
        <w:pStyle w:val="FootnoteText"/>
        <w:jc w:val="both"/>
        <w:rPr>
          <w:lang w:val="en-US"/>
        </w:rPr>
      </w:pPr>
      <w:r w:rsidRPr="007344EA">
        <w:rPr>
          <w:rStyle w:val="FootnoteReference"/>
        </w:rPr>
        <w:footnoteRef/>
      </w:r>
      <w:r w:rsidRPr="007344EA">
        <w:t xml:space="preserve"> Byla</w:t>
      </w:r>
      <w:r w:rsidRPr="007344EA">
        <w:rPr>
          <w:lang w:val="pt-PT"/>
        </w:rPr>
        <w:t xml:space="preserve"> C</w:t>
      </w:r>
      <w:r w:rsidRPr="007344EA">
        <w:rPr>
          <w:lang w:val="pt-PT"/>
        </w:rPr>
        <w:noBreakHyphen/>
        <w:t xml:space="preserve">40/08 </w:t>
      </w:r>
      <w:r w:rsidRPr="007344EA">
        <w:rPr>
          <w:bCs/>
          <w:i/>
          <w:lang w:val="pt-PT"/>
        </w:rPr>
        <w:t xml:space="preserve">Asturcom Telecomunicaciones SL </w:t>
      </w:r>
      <w:r w:rsidRPr="007344EA">
        <w:rPr>
          <w:i/>
          <w:lang w:val="pt-PT"/>
        </w:rPr>
        <w:t xml:space="preserve">prieš </w:t>
      </w:r>
      <w:r w:rsidRPr="007344EA">
        <w:rPr>
          <w:bCs/>
          <w:i/>
          <w:lang w:val="pt-PT"/>
        </w:rPr>
        <w:t>Cristina Rodríguez Nogueira</w:t>
      </w:r>
      <w:r w:rsidRPr="007344EA">
        <w:rPr>
          <w:bCs/>
          <w:i/>
        </w:rPr>
        <w:t xml:space="preserve"> </w:t>
      </w:r>
      <w:r w:rsidRPr="007344EA">
        <w:rPr>
          <w:bCs/>
        </w:rPr>
        <w:t>[</w:t>
      </w:r>
      <w:r w:rsidRPr="007344EA">
        <w:rPr>
          <w:bCs/>
          <w:lang w:val="en-US"/>
        </w:rPr>
        <w:t>2009] ETA I-</w:t>
      </w:r>
      <w:r w:rsidRPr="007344EA">
        <w:t>09579.</w:t>
      </w:r>
    </w:p>
  </w:footnote>
  <w:footnote w:id="51">
    <w:p w:rsidR="00393645" w:rsidRPr="007344EA" w:rsidRDefault="00393645" w:rsidP="005A1ED2">
      <w:pPr>
        <w:pStyle w:val="FootnoteText"/>
        <w:jc w:val="both"/>
        <w:rPr>
          <w:lang w:val="pt-PT"/>
        </w:rPr>
      </w:pPr>
      <w:r w:rsidRPr="007344EA">
        <w:rPr>
          <w:rStyle w:val="FootnoteReference"/>
        </w:rPr>
        <w:footnoteRef/>
      </w:r>
      <w:r w:rsidRPr="007344EA">
        <w:t xml:space="preserve"> Byla </w:t>
      </w:r>
      <w:r w:rsidRPr="007344EA">
        <w:rPr>
          <w:lang w:val="pt-PT"/>
        </w:rPr>
        <w:t>C</w:t>
      </w:r>
      <w:r w:rsidRPr="007344EA">
        <w:rPr>
          <w:lang w:val="pt-PT"/>
        </w:rPr>
        <w:noBreakHyphen/>
        <w:t>484/08</w:t>
      </w:r>
      <w:r w:rsidRPr="007344EA">
        <w:rPr>
          <w:i/>
          <w:lang w:val="pt-PT"/>
        </w:rPr>
        <w:t xml:space="preserve"> </w:t>
      </w:r>
      <w:r w:rsidRPr="007344EA">
        <w:rPr>
          <w:bCs/>
          <w:i/>
          <w:lang w:val="es-ES"/>
        </w:rPr>
        <w:t xml:space="preserve">Caja de Ahorros y Monte de Piedad de Madrid </w:t>
      </w:r>
      <w:r w:rsidRPr="007344EA">
        <w:rPr>
          <w:i/>
          <w:lang w:val="es-ES"/>
        </w:rPr>
        <w:t xml:space="preserve">prieš </w:t>
      </w:r>
      <w:r w:rsidRPr="007344EA">
        <w:rPr>
          <w:bCs/>
          <w:i/>
          <w:lang w:val="es-ES"/>
        </w:rPr>
        <w:t>Asociación de Usuarios de Servicios Bancarios (Ausbanc)</w:t>
      </w:r>
      <w:r w:rsidRPr="007344EA">
        <w:rPr>
          <w:bCs/>
          <w:lang w:val="es-ES"/>
        </w:rPr>
        <w:t xml:space="preserve"> [2010] ETA I-</w:t>
      </w:r>
      <w:r w:rsidRPr="007344EA">
        <w:t>04785.</w:t>
      </w:r>
    </w:p>
  </w:footnote>
  <w:footnote w:id="52">
    <w:p w:rsidR="00393645" w:rsidRPr="007344EA" w:rsidRDefault="00393645" w:rsidP="005A1ED2">
      <w:pPr>
        <w:pStyle w:val="FootnoteText"/>
        <w:jc w:val="both"/>
        <w:rPr>
          <w:lang w:val="pt-PT"/>
        </w:rPr>
      </w:pPr>
      <w:r w:rsidRPr="007344EA">
        <w:rPr>
          <w:rStyle w:val="FootnoteReference"/>
        </w:rPr>
        <w:footnoteRef/>
      </w:r>
      <w:r w:rsidRPr="007344EA">
        <w:t xml:space="preserve"> Byla C</w:t>
      </w:r>
      <w:r w:rsidRPr="007344EA">
        <w:noBreakHyphen/>
        <w:t xml:space="preserve">76/10 </w:t>
      </w:r>
      <w:r w:rsidRPr="007344EA">
        <w:rPr>
          <w:bCs/>
          <w:i/>
          <w:lang w:val="pt-PT"/>
        </w:rPr>
        <w:t xml:space="preserve">Pohotovosť s. r. o. </w:t>
      </w:r>
      <w:r w:rsidRPr="007344EA">
        <w:rPr>
          <w:i/>
          <w:lang w:val="pt-PT"/>
        </w:rPr>
        <w:t xml:space="preserve">prieš </w:t>
      </w:r>
      <w:r w:rsidRPr="007344EA">
        <w:rPr>
          <w:bCs/>
          <w:i/>
          <w:lang w:val="pt-PT"/>
        </w:rPr>
        <w:t>Iveta Korčkovská</w:t>
      </w:r>
      <w:r w:rsidRPr="007344EA">
        <w:rPr>
          <w:bCs/>
          <w:lang w:val="pt-PT"/>
        </w:rPr>
        <w:t xml:space="preserve"> [2010] ETA I-</w:t>
      </w:r>
      <w:r w:rsidRPr="007344EA">
        <w:t>11557.</w:t>
      </w:r>
    </w:p>
  </w:footnote>
  <w:footnote w:id="53">
    <w:p w:rsidR="00393645" w:rsidRPr="007344EA" w:rsidRDefault="00393645" w:rsidP="005A1ED2">
      <w:pPr>
        <w:pStyle w:val="FootnoteText"/>
        <w:jc w:val="both"/>
        <w:rPr>
          <w:lang w:val="pt-PT"/>
        </w:rPr>
      </w:pPr>
      <w:r w:rsidRPr="007344EA">
        <w:rPr>
          <w:rStyle w:val="FootnoteReference"/>
        </w:rPr>
        <w:footnoteRef/>
      </w:r>
      <w:r w:rsidRPr="007344EA">
        <w:t xml:space="preserve"> Byla C-137/08 </w:t>
      </w:r>
      <w:r w:rsidRPr="007344EA">
        <w:rPr>
          <w:bCs/>
          <w:i/>
          <w:lang w:val="pt-PT"/>
        </w:rPr>
        <w:t xml:space="preserve">VB Pénzügyi Lízing Zrt. </w:t>
      </w:r>
      <w:r w:rsidRPr="007344EA">
        <w:rPr>
          <w:i/>
          <w:lang w:val="pt-PT"/>
        </w:rPr>
        <w:t xml:space="preserve">Prieš </w:t>
      </w:r>
      <w:r w:rsidRPr="007344EA">
        <w:rPr>
          <w:bCs/>
          <w:i/>
          <w:lang w:val="pt-PT"/>
        </w:rPr>
        <w:t>Ferenc  Fchneider</w:t>
      </w:r>
      <w:r w:rsidRPr="007344EA">
        <w:rPr>
          <w:bCs/>
          <w:lang w:val="pt-PT"/>
        </w:rPr>
        <w:t xml:space="preserve"> [2010] ETA I-</w:t>
      </w:r>
      <w:r w:rsidRPr="007344EA">
        <w:t>10847.</w:t>
      </w:r>
    </w:p>
  </w:footnote>
  <w:footnote w:id="54">
    <w:p w:rsidR="00393645" w:rsidRPr="007344EA" w:rsidRDefault="00393645" w:rsidP="005A1ED2">
      <w:pPr>
        <w:pStyle w:val="FootnoteText"/>
        <w:jc w:val="both"/>
        <w:rPr>
          <w:lang w:val="pt-PT"/>
        </w:rPr>
      </w:pPr>
      <w:r w:rsidRPr="007344EA">
        <w:rPr>
          <w:rStyle w:val="FootnoteReference"/>
        </w:rPr>
        <w:footnoteRef/>
      </w:r>
      <w:r w:rsidRPr="007344EA">
        <w:t xml:space="preserve"> Byla C-327/10 </w:t>
      </w:r>
      <w:r w:rsidRPr="007344EA">
        <w:rPr>
          <w:bCs/>
          <w:i/>
          <w:lang w:val="pt-PT"/>
        </w:rPr>
        <w:t xml:space="preserve">Hypoteční banka a.s. </w:t>
      </w:r>
      <w:r w:rsidRPr="007344EA">
        <w:rPr>
          <w:i/>
          <w:lang w:val="pt-PT"/>
        </w:rPr>
        <w:t xml:space="preserve">prieš </w:t>
      </w:r>
      <w:r w:rsidRPr="007344EA">
        <w:rPr>
          <w:bCs/>
          <w:i/>
          <w:lang w:val="pt-PT"/>
        </w:rPr>
        <w:t>Udo Mike Lindner</w:t>
      </w:r>
      <w:r w:rsidRPr="007344EA">
        <w:rPr>
          <w:bCs/>
          <w:lang w:val="pt-PT"/>
        </w:rPr>
        <w:t xml:space="preserve"> [dar nepaskelbta]</w:t>
      </w:r>
    </w:p>
  </w:footnote>
  <w:footnote w:id="55">
    <w:p w:rsidR="00393645" w:rsidRPr="007344EA" w:rsidRDefault="00393645" w:rsidP="005A1ED2">
      <w:pPr>
        <w:pStyle w:val="FootnoteText"/>
        <w:jc w:val="both"/>
        <w:rPr>
          <w:lang w:val="pt-PT"/>
        </w:rPr>
      </w:pPr>
      <w:r w:rsidRPr="007344EA">
        <w:rPr>
          <w:rStyle w:val="FootnoteReference"/>
        </w:rPr>
        <w:footnoteRef/>
      </w:r>
      <w:r w:rsidRPr="007344EA">
        <w:t xml:space="preserve"> Byla </w:t>
      </w:r>
      <w:r w:rsidRPr="007344EA">
        <w:rPr>
          <w:lang w:val="pt-PT"/>
        </w:rPr>
        <w:t>C</w:t>
      </w:r>
      <w:r w:rsidRPr="007344EA">
        <w:rPr>
          <w:lang w:val="pt-PT"/>
        </w:rPr>
        <w:noBreakHyphen/>
        <w:t xml:space="preserve">453/10 </w:t>
      </w:r>
      <w:r w:rsidRPr="007344EA">
        <w:rPr>
          <w:bCs/>
          <w:i/>
          <w:lang w:val="pt-PT"/>
        </w:rPr>
        <w:t xml:space="preserve">Jana Pereničová, Vladislav Perenič </w:t>
      </w:r>
      <w:r w:rsidRPr="007344EA">
        <w:rPr>
          <w:i/>
          <w:lang w:val="pt-PT"/>
        </w:rPr>
        <w:t xml:space="preserve">prieš </w:t>
      </w:r>
      <w:r w:rsidRPr="007344EA">
        <w:rPr>
          <w:bCs/>
          <w:i/>
          <w:lang w:val="pt-PT"/>
        </w:rPr>
        <w:t xml:space="preserve">SOS financ spol. s r. o. </w:t>
      </w:r>
      <w:r w:rsidRPr="007344EA">
        <w:rPr>
          <w:bCs/>
          <w:lang w:val="pt-PT"/>
        </w:rPr>
        <w:t>[dar nepaskelbta]</w:t>
      </w:r>
    </w:p>
  </w:footnote>
  <w:footnote w:id="56">
    <w:p w:rsidR="00393645" w:rsidRPr="007344EA" w:rsidRDefault="00393645" w:rsidP="005A1ED2">
      <w:pPr>
        <w:pStyle w:val="FootnoteText"/>
        <w:jc w:val="both"/>
        <w:rPr>
          <w:lang w:val="en-US"/>
        </w:rPr>
      </w:pPr>
      <w:r w:rsidRPr="007344EA">
        <w:rPr>
          <w:rStyle w:val="FootnoteReference"/>
        </w:rPr>
        <w:footnoteRef/>
      </w:r>
      <w:r w:rsidRPr="007344EA">
        <w:t xml:space="preserve"> Byla</w:t>
      </w:r>
      <w:r w:rsidRPr="007344EA">
        <w:rPr>
          <w:lang w:val="pt-PT"/>
        </w:rPr>
        <w:t xml:space="preserve"> C</w:t>
      </w:r>
      <w:r w:rsidRPr="007344EA">
        <w:rPr>
          <w:lang w:val="pt-PT"/>
        </w:rPr>
        <w:noBreakHyphen/>
        <w:t>472/10</w:t>
      </w:r>
      <w:r w:rsidRPr="007344EA">
        <w:rPr>
          <w:rFonts w:ascii="Times New Roman" w:hAnsi="Times New Roman"/>
          <w:b/>
          <w:bCs/>
          <w:sz w:val="24"/>
          <w:szCs w:val="24"/>
          <w:lang w:val="pt-PT" w:eastAsia="en-GB"/>
        </w:rPr>
        <w:t xml:space="preserve"> </w:t>
      </w:r>
      <w:r w:rsidRPr="007344EA">
        <w:rPr>
          <w:bCs/>
          <w:i/>
          <w:lang w:val="pt-PT"/>
        </w:rPr>
        <w:t>Nemzeti Fogyasztóvédelmi Hatóság p</w:t>
      </w:r>
      <w:r w:rsidRPr="007344EA">
        <w:rPr>
          <w:i/>
          <w:lang w:val="pt-PT"/>
        </w:rPr>
        <w:t xml:space="preserve">rieš </w:t>
      </w:r>
      <w:r w:rsidRPr="007344EA">
        <w:rPr>
          <w:bCs/>
          <w:i/>
          <w:lang w:val="en-US"/>
        </w:rPr>
        <w:t>Invitel Távközlési ZrtI</w:t>
      </w:r>
      <w:r w:rsidRPr="007344EA">
        <w:rPr>
          <w:bCs/>
          <w:lang w:val="en-US"/>
        </w:rPr>
        <w:t xml:space="preserve"> [dar nepaskelbta]</w:t>
      </w:r>
    </w:p>
  </w:footnote>
  <w:footnote w:id="57">
    <w:p w:rsidR="00393645" w:rsidRPr="007344EA" w:rsidRDefault="00393645">
      <w:pPr>
        <w:pStyle w:val="FootnoteText"/>
        <w:rPr>
          <w:lang w:val="en-US"/>
        </w:rPr>
      </w:pPr>
      <w:r w:rsidRPr="007344EA">
        <w:rPr>
          <w:rStyle w:val="FootnoteReference"/>
        </w:rPr>
        <w:footnoteRef/>
      </w:r>
      <w:r w:rsidRPr="007344EA">
        <w:t xml:space="preserve"> Byla C-618/10 </w:t>
      </w:r>
      <w:r w:rsidRPr="007344EA">
        <w:rPr>
          <w:i/>
        </w:rPr>
        <w:t xml:space="preserve">Banco Español de Crédito SA prieš Joaquín Calderón Camino </w:t>
      </w:r>
      <w:r w:rsidRPr="007344EA">
        <w:t>[dar nepaskelbta]</w:t>
      </w:r>
    </w:p>
  </w:footnote>
  <w:footnote w:id="58">
    <w:p w:rsidR="00393645" w:rsidRPr="007344EA" w:rsidRDefault="00393645" w:rsidP="008D0FAC">
      <w:pPr>
        <w:pStyle w:val="FootnoteText"/>
        <w:jc w:val="both"/>
        <w:rPr>
          <w:lang w:val="en-US"/>
        </w:rPr>
      </w:pPr>
      <w:r w:rsidRPr="007344EA">
        <w:rPr>
          <w:rStyle w:val="FootnoteReference"/>
        </w:rPr>
        <w:footnoteRef/>
      </w:r>
      <w:r w:rsidRPr="007344EA">
        <w:t xml:space="preserve"> Davidson P. F. Unfair Terms in Consumer  contracts, </w:t>
      </w:r>
      <w:r w:rsidRPr="007344EA">
        <w:rPr>
          <w:i/>
        </w:rPr>
        <w:t xml:space="preserve">Scotich Law </w:t>
      </w:r>
      <w:r w:rsidRPr="007344EA">
        <w:rPr>
          <w:i/>
          <w:lang w:val="en-US"/>
        </w:rPr>
        <w:t>&amp; Practice Quarterly, volume 1, number 2</w:t>
      </w:r>
      <w:r w:rsidRPr="007344EA">
        <w:t>. T&amp;T Clark Ltd, 1996, p.</w:t>
      </w:r>
      <w:r w:rsidRPr="007344EA">
        <w:rPr>
          <w:lang w:val="en-US"/>
        </w:rPr>
        <w:t xml:space="preserve"> 93-114</w:t>
      </w:r>
    </w:p>
  </w:footnote>
  <w:footnote w:id="59">
    <w:p w:rsidR="00393645" w:rsidRPr="007344EA" w:rsidRDefault="00393645">
      <w:pPr>
        <w:pStyle w:val="FootnoteText"/>
      </w:pPr>
      <w:r w:rsidRPr="007344EA">
        <w:rPr>
          <w:rStyle w:val="FootnoteReference"/>
        </w:rPr>
        <w:footnoteRef/>
      </w:r>
      <w:r w:rsidRPr="007344EA">
        <w:t xml:space="preserve"> Howells G.G. , Wilhelmsson T. </w:t>
      </w:r>
      <w:r w:rsidRPr="007344EA">
        <w:rPr>
          <w:i/>
        </w:rPr>
        <w:t>EC Consumer Law,</w:t>
      </w:r>
      <w:r w:rsidRPr="007344EA">
        <w:t xml:space="preserve"> Aldershot:</w:t>
      </w:r>
      <w:r w:rsidRPr="007344EA">
        <w:rPr>
          <w:i/>
        </w:rPr>
        <w:t xml:space="preserve"> </w:t>
      </w:r>
      <w:r w:rsidRPr="007344EA">
        <w:t>Ashgate Publishing, 1997.</w:t>
      </w:r>
    </w:p>
  </w:footnote>
  <w:footnote w:id="60">
    <w:p w:rsidR="00393645" w:rsidRPr="007344EA" w:rsidRDefault="00393645" w:rsidP="00E367AD">
      <w:pPr>
        <w:pStyle w:val="FootnoteText"/>
        <w:rPr>
          <w:lang w:val="en-US"/>
        </w:rPr>
      </w:pPr>
      <w:r w:rsidRPr="007344EA">
        <w:rPr>
          <w:rStyle w:val="FootnoteReference"/>
        </w:rPr>
        <w:footnoteRef/>
      </w:r>
      <w:r w:rsidRPr="007344EA">
        <w:t xml:space="preserve"> Tenreiro M. The Community Directive on Unfair Terms and National Legal Systems. </w:t>
      </w:r>
      <w:r w:rsidRPr="007344EA">
        <w:rPr>
          <w:i/>
        </w:rPr>
        <w:t xml:space="preserve">European Review of Privite Law </w:t>
      </w:r>
      <w:r w:rsidRPr="007344EA">
        <w:rPr>
          <w:i/>
          <w:lang w:val="en-US"/>
        </w:rPr>
        <w:t>3.</w:t>
      </w:r>
      <w:r w:rsidRPr="007344EA">
        <w:rPr>
          <w:lang w:val="en-US"/>
        </w:rPr>
        <w:t xml:space="preserve"> Netherlands 1995, p. 273-284.</w:t>
      </w:r>
    </w:p>
  </w:footnote>
  <w:footnote w:id="61">
    <w:p w:rsidR="00393645" w:rsidRPr="007344EA" w:rsidRDefault="00393645" w:rsidP="008D0FAC">
      <w:pPr>
        <w:pStyle w:val="FootnoteText"/>
        <w:jc w:val="both"/>
        <w:rPr>
          <w:lang w:val="en-US"/>
        </w:rPr>
      </w:pPr>
      <w:r w:rsidRPr="007344EA">
        <w:rPr>
          <w:rStyle w:val="FootnoteReference"/>
        </w:rPr>
        <w:footnoteRef/>
      </w:r>
      <w:r w:rsidRPr="007344EA">
        <w:t xml:space="preserve"> Uff K. The incorporation of the Unfair Terms in consumer contracts directive into English law,</w:t>
      </w:r>
      <w:r w:rsidRPr="007344EA">
        <w:rPr>
          <w:rFonts w:ascii="Times New Roman" w:hAnsi="Times New Roman"/>
          <w:sz w:val="24"/>
          <w:szCs w:val="24"/>
          <w:lang w:val="en-GB" w:eastAsia="en-GB"/>
        </w:rPr>
        <w:t xml:space="preserve"> </w:t>
      </w:r>
      <w:r w:rsidRPr="007344EA">
        <w:rPr>
          <w:lang w:val="en-GB"/>
        </w:rPr>
        <w:t xml:space="preserve">Enhancing the legal position of the European consumer </w:t>
      </w:r>
      <w:r w:rsidRPr="007344EA">
        <w:rPr>
          <w:lang w:val="en-US"/>
        </w:rPr>
        <w:t xml:space="preserve">1996, p. 163-172 </w:t>
      </w:r>
    </w:p>
  </w:footnote>
  <w:footnote w:id="62">
    <w:p w:rsidR="00393645" w:rsidRPr="007344EA" w:rsidRDefault="00393645">
      <w:pPr>
        <w:pStyle w:val="FootnoteText"/>
      </w:pPr>
      <w:r w:rsidRPr="007344EA">
        <w:rPr>
          <w:rStyle w:val="FootnoteReference"/>
        </w:rPr>
        <w:footnoteRef/>
      </w:r>
      <w:r w:rsidRPr="007344EA">
        <w:t xml:space="preserve"> 2008 m. spalio 8 d. Europos Komisijos pasiūlymas dėl Europos Parlamento ir Tarybos direktyvos dėl varto</w:t>
      </w:r>
      <w:r w:rsidRPr="007344EA">
        <w:softHyphen/>
        <w:t>tojų teisių (KOM (2008) 614) [interaktyvus]. [žiūrėta 201</w:t>
      </w:r>
      <w:r w:rsidRPr="007344EA">
        <w:rPr>
          <w:lang w:val="en-US"/>
        </w:rPr>
        <w:t>2</w:t>
      </w:r>
      <w:r w:rsidRPr="007344EA">
        <w:t>-11-28]. http://ec.europa.eu/consumers/rights/ docs/COMM_PDF_COM_2008_0614_F_LT_PROPOSITION_DE_DIRECTIVE.pdf</w:t>
      </w:r>
    </w:p>
  </w:footnote>
  <w:footnote w:id="63">
    <w:p w:rsidR="00393645" w:rsidRPr="007344EA" w:rsidRDefault="00393645" w:rsidP="00834850">
      <w:pPr>
        <w:pStyle w:val="FootnoteText"/>
        <w:rPr>
          <w:lang w:val="en-US"/>
        </w:rPr>
      </w:pPr>
      <w:r w:rsidRPr="007344EA">
        <w:rPr>
          <w:rStyle w:val="FootnoteReference"/>
        </w:rPr>
        <w:footnoteRef/>
      </w:r>
      <w:r w:rsidRPr="007344EA">
        <w:t xml:space="preserve"> Europos parlamento ir Tarybos </w:t>
      </w:r>
      <w:r w:rsidRPr="007344EA">
        <w:rPr>
          <w:lang w:val="en-US"/>
        </w:rPr>
        <w:t>2011 m. spalio 25 d. Direktyva d</w:t>
      </w:r>
      <w:r w:rsidRPr="007344EA">
        <w:t>ėl vartotojų teisių , kuria iš dalies keičiamos dėl vartotojų teisių, kuria iš dalies keičiamos Tarybos direktyva 93/13/EEB ir Europos Parlamento ir  Tarybos direktyva 1999/44/EB bei panaikinamos Tarybos direktyva 85/577/EEB ir Europos Parlamento ir Tarybos direktyva 97/7/EB [</w:t>
      </w:r>
      <w:r w:rsidRPr="007344EA">
        <w:rPr>
          <w:lang w:val="en-US"/>
        </w:rPr>
        <w:t>2011] OL L 304</w:t>
      </w:r>
    </w:p>
  </w:footnote>
  <w:footnote w:id="64">
    <w:p w:rsidR="00393645" w:rsidRPr="007344EA" w:rsidRDefault="00393645" w:rsidP="0025497E">
      <w:pPr>
        <w:pStyle w:val="FootnoteText"/>
      </w:pPr>
      <w:r w:rsidRPr="007344EA">
        <w:rPr>
          <w:rStyle w:val="FootnoteReference"/>
        </w:rPr>
        <w:footnoteRef/>
      </w:r>
      <w:r w:rsidRPr="007344EA">
        <w:t xml:space="preserve"> Stuyck J. Case  C</w:t>
      </w:r>
      <w:r w:rsidRPr="007344EA">
        <w:noBreakHyphen/>
        <w:t>484/08</w:t>
      </w:r>
      <w:r w:rsidRPr="007344EA">
        <w:rPr>
          <w:i/>
        </w:rPr>
        <w:t xml:space="preserve"> </w:t>
      </w:r>
      <w:r w:rsidRPr="007344EA">
        <w:rPr>
          <w:bCs/>
          <w:i/>
        </w:rPr>
        <w:t xml:space="preserve">Caja de Ahorros y Monte de Piedad de Madrid </w:t>
      </w:r>
      <w:r w:rsidRPr="007344EA">
        <w:rPr>
          <w:i/>
        </w:rPr>
        <w:t xml:space="preserve">v </w:t>
      </w:r>
      <w:r w:rsidRPr="007344EA">
        <w:rPr>
          <w:bCs/>
          <w:i/>
        </w:rPr>
        <w:t>Asociación de Usuarios de Servicios Bancarios (Ausbanc)</w:t>
      </w:r>
      <w:r w:rsidRPr="007344EA">
        <w:t xml:space="preserve">  </w:t>
      </w:r>
      <w:r w:rsidRPr="007344EA">
        <w:rPr>
          <w:i/>
        </w:rPr>
        <w:t>European Review of Contract Law Volume 6 (Issue 4),</w:t>
      </w:r>
      <w:r w:rsidRPr="007344EA">
        <w:t xml:space="preserve"> 2010, p. 449-452.  </w:t>
      </w:r>
    </w:p>
  </w:footnote>
  <w:footnote w:id="65">
    <w:p w:rsidR="00393645" w:rsidRPr="007344EA" w:rsidRDefault="00393645" w:rsidP="0025497E">
      <w:pPr>
        <w:pStyle w:val="FootnoteText"/>
        <w:rPr>
          <w:lang w:val="en-US"/>
        </w:rPr>
      </w:pPr>
      <w:r w:rsidRPr="007344EA">
        <w:rPr>
          <w:rStyle w:val="FootnoteReference"/>
        </w:rPr>
        <w:footnoteRef/>
      </w:r>
      <w:r w:rsidRPr="007344EA">
        <w:t xml:space="preserve"> Mak C. Judgement of the Court (First Chamber) of 6 October 2009, </w:t>
      </w:r>
      <w:r w:rsidRPr="007344EA">
        <w:rPr>
          <w:bCs/>
          <w:i/>
        </w:rPr>
        <w:t xml:space="preserve">Asturcom Telecomunicaciones SL </w:t>
      </w:r>
      <w:r w:rsidRPr="007344EA">
        <w:rPr>
          <w:i/>
        </w:rPr>
        <w:t xml:space="preserve">v </w:t>
      </w:r>
      <w:r w:rsidRPr="007344EA">
        <w:rPr>
          <w:bCs/>
          <w:i/>
        </w:rPr>
        <w:t>Cristina Rodríguez Nogueira, case</w:t>
      </w:r>
      <w:r w:rsidRPr="007344EA">
        <w:t xml:space="preserve"> </w:t>
      </w:r>
      <w:r w:rsidRPr="007344EA">
        <w:rPr>
          <w:i/>
        </w:rPr>
        <w:t>C</w:t>
      </w:r>
      <w:r w:rsidRPr="007344EA">
        <w:rPr>
          <w:i/>
        </w:rPr>
        <w:noBreakHyphen/>
        <w:t>40/08</w:t>
      </w:r>
      <w:r w:rsidRPr="007344EA">
        <w:t xml:space="preserve">. </w:t>
      </w:r>
      <w:r w:rsidRPr="007344EA">
        <w:rPr>
          <w:i/>
        </w:rPr>
        <w:t>European Review of Contract Law Volume 6 (Issue4)</w:t>
      </w:r>
      <w:r w:rsidRPr="007344EA">
        <w:t xml:space="preserve"> </w:t>
      </w:r>
      <w:r w:rsidRPr="007344EA">
        <w:rPr>
          <w:lang w:val="en-US"/>
        </w:rPr>
        <w:t>2010, p</w:t>
      </w:r>
      <w:r w:rsidRPr="007344EA">
        <w:t>. 437-448</w:t>
      </w:r>
    </w:p>
  </w:footnote>
  <w:footnote w:id="66">
    <w:p w:rsidR="00393645" w:rsidRPr="007344EA" w:rsidRDefault="00393645" w:rsidP="00D512ED">
      <w:pPr>
        <w:pStyle w:val="FootnoteText"/>
      </w:pPr>
      <w:r w:rsidRPr="007344EA">
        <w:rPr>
          <w:rStyle w:val="FootnoteReference"/>
        </w:rPr>
        <w:footnoteRef/>
      </w:r>
      <w:r w:rsidRPr="007344EA">
        <w:t xml:space="preserve"> Micklitz H. Reforming European unfair terms legislation in consumer contracts </w:t>
      </w:r>
      <w:r w:rsidRPr="007344EA">
        <w:rPr>
          <w:i/>
        </w:rPr>
        <w:t>European review of contract law</w:t>
      </w:r>
      <w:r w:rsidRPr="007344EA">
        <w:t xml:space="preserve">. Vol. 6, no. 4,  </w:t>
      </w:r>
      <w:r w:rsidRPr="007344EA">
        <w:rPr>
          <w:lang w:val="en-US"/>
        </w:rPr>
        <w:t xml:space="preserve">2010, </w:t>
      </w:r>
      <w:r w:rsidRPr="007344EA">
        <w:t xml:space="preserve">p. 348. </w:t>
      </w:r>
    </w:p>
  </w:footnote>
  <w:footnote w:id="67">
    <w:p w:rsidR="00393645" w:rsidRPr="007344EA" w:rsidRDefault="00393645" w:rsidP="00D512ED">
      <w:pPr>
        <w:pStyle w:val="FootnoteText"/>
      </w:pPr>
      <w:r w:rsidRPr="007344EA">
        <w:rPr>
          <w:rStyle w:val="FootnoteReference"/>
        </w:rPr>
        <w:footnoteRef/>
      </w:r>
      <w:r w:rsidRPr="007344EA">
        <w:t xml:space="preserve"> Tokį vertimą pateikia EC Consumer law. Žr.: Howells G.G. , Wilhelmsson T. </w:t>
      </w:r>
      <w:r w:rsidRPr="007344EA">
        <w:rPr>
          <w:i/>
        </w:rPr>
        <w:t>EC Consumer Law,</w:t>
      </w:r>
      <w:r w:rsidRPr="007344EA">
        <w:t xml:space="preserve"> Aldershot:</w:t>
      </w:r>
      <w:r w:rsidRPr="007344EA">
        <w:rPr>
          <w:i/>
        </w:rPr>
        <w:t xml:space="preserve"> </w:t>
      </w:r>
      <w:r w:rsidRPr="007344EA">
        <w:t xml:space="preserve">Ashgate Publishing, 1997,  p. 22. D. Bublienė siūlo vartoti Standartinių sąlygų įstatymas,  žr. Bublienė D. </w:t>
      </w:r>
      <w:r w:rsidRPr="007344EA">
        <w:rPr>
          <w:i/>
        </w:rPr>
        <w:t>Vartojimo sutarčių nesąžiningų sąlygų kontrolė</w:t>
      </w:r>
      <w:r w:rsidRPr="007344EA">
        <w:t xml:space="preserve">: monografija. Vilnius: Registrų centras, 2009, p. 28. </w:t>
      </w:r>
    </w:p>
  </w:footnote>
  <w:footnote w:id="68">
    <w:p w:rsidR="00393645" w:rsidRPr="007344EA" w:rsidRDefault="00393645" w:rsidP="00D512ED">
      <w:pPr>
        <w:pStyle w:val="FootnoteText"/>
      </w:pPr>
      <w:r w:rsidRPr="007344EA">
        <w:rPr>
          <w:rStyle w:val="FootnoteReference"/>
        </w:rPr>
        <w:footnoteRef/>
      </w:r>
      <w:r w:rsidRPr="007344EA">
        <w:t xml:space="preserve">  Uff K. The incorporation of the Unfair Terms in consumer contracts directive into English law,</w:t>
      </w:r>
      <w:r w:rsidRPr="007344EA">
        <w:rPr>
          <w:rFonts w:ascii="Times New Roman" w:hAnsi="Times New Roman"/>
          <w:sz w:val="24"/>
          <w:szCs w:val="24"/>
          <w:lang w:val="en-GB" w:eastAsia="en-GB"/>
        </w:rPr>
        <w:t xml:space="preserve"> </w:t>
      </w:r>
      <w:r w:rsidRPr="007344EA">
        <w:rPr>
          <w:i/>
          <w:lang w:val="en-GB"/>
        </w:rPr>
        <w:t xml:space="preserve">Enhancing the legal position of the European consumer, </w:t>
      </w:r>
      <w:r w:rsidRPr="007344EA">
        <w:rPr>
          <w:lang w:val="en-US"/>
        </w:rPr>
        <w:t xml:space="preserve">1996, p. 163. </w:t>
      </w:r>
    </w:p>
  </w:footnote>
  <w:footnote w:id="69">
    <w:p w:rsidR="00393645" w:rsidRPr="007344EA" w:rsidRDefault="00393645" w:rsidP="00D512ED">
      <w:pPr>
        <w:pStyle w:val="FootnoteText"/>
      </w:pPr>
      <w:r w:rsidRPr="007344EA">
        <w:rPr>
          <w:rStyle w:val="FootnoteReference"/>
        </w:rPr>
        <w:footnoteRef/>
      </w:r>
      <w:r w:rsidRPr="007344EA">
        <w:t xml:space="preserve"> Šiuo sutrumpintu įstatymo pavadinimu, pagal Prancūzijos politikės Chistiane Scrivener pavardę, yra vadinami ir keli kiti įstatymai taip pat susiję su vartotojų apsauga. Pvz. tą pačią dieną, kaip ir aptarimas įstatymas, priimtas Vartojimo kreditų įstatymas.  </w:t>
      </w:r>
    </w:p>
  </w:footnote>
  <w:footnote w:id="70">
    <w:p w:rsidR="00393645" w:rsidRPr="007344EA" w:rsidRDefault="00393645">
      <w:pPr>
        <w:pStyle w:val="FootnoteText"/>
      </w:pPr>
      <w:r w:rsidRPr="007344EA">
        <w:rPr>
          <w:rStyle w:val="FootnoteReference"/>
        </w:rPr>
        <w:footnoteRef/>
      </w:r>
      <w:r w:rsidRPr="007344EA">
        <w:t xml:space="preserve"> Howells G.G. , Wilhelmsson T. </w:t>
      </w:r>
      <w:r w:rsidRPr="007344EA">
        <w:rPr>
          <w:i/>
        </w:rPr>
        <w:t>EC Consumer Law,</w:t>
      </w:r>
      <w:r w:rsidRPr="007344EA">
        <w:t xml:space="preserve"> Aldershot:</w:t>
      </w:r>
      <w:r w:rsidRPr="007344EA">
        <w:rPr>
          <w:i/>
        </w:rPr>
        <w:t xml:space="preserve"> </w:t>
      </w:r>
      <w:r w:rsidRPr="007344EA">
        <w:t>Ashgate Publishing, 1997,  p. 88.</w:t>
      </w:r>
    </w:p>
  </w:footnote>
  <w:footnote w:id="71">
    <w:p w:rsidR="00393645" w:rsidRPr="007344EA" w:rsidRDefault="00393645" w:rsidP="00CF28D0">
      <w:pPr>
        <w:pStyle w:val="FootnoteText"/>
      </w:pPr>
      <w:r w:rsidRPr="007344EA">
        <w:rPr>
          <w:rStyle w:val="FootnoteReference"/>
        </w:rPr>
        <w:footnoteRef/>
      </w:r>
      <w:r w:rsidRPr="007344EA">
        <w:t xml:space="preserve"> Davidson P. F. Unfair Terms in Consumer  contracts, </w:t>
      </w:r>
      <w:r w:rsidRPr="007344EA">
        <w:rPr>
          <w:i/>
        </w:rPr>
        <w:t xml:space="preserve">Scotich Law </w:t>
      </w:r>
      <w:r w:rsidRPr="007344EA">
        <w:rPr>
          <w:i/>
          <w:lang w:val="en-US"/>
        </w:rPr>
        <w:t>&amp; Practice Quarterly, volume 1, number 2</w:t>
      </w:r>
      <w:r w:rsidRPr="007344EA">
        <w:t>. T&amp;T Clark Ltd, 1996, p. 93.</w:t>
      </w:r>
    </w:p>
  </w:footnote>
  <w:footnote w:id="72">
    <w:p w:rsidR="00393645" w:rsidRPr="007344EA" w:rsidRDefault="00393645" w:rsidP="00642C78">
      <w:pPr>
        <w:pStyle w:val="FootnoteText"/>
        <w:jc w:val="both"/>
      </w:pPr>
      <w:r w:rsidRPr="007344EA">
        <w:rPr>
          <w:rStyle w:val="FootnoteReference"/>
        </w:rPr>
        <w:footnoteRef/>
      </w:r>
      <w:r w:rsidRPr="007344EA">
        <w:t xml:space="preserve"> </w:t>
      </w:r>
      <w:r w:rsidRPr="00737F0F">
        <w:rPr>
          <w:i/>
        </w:rPr>
        <w:t>Ibid</w:t>
      </w:r>
      <w:r>
        <w:t>.</w:t>
      </w:r>
      <w:r w:rsidRPr="007344EA">
        <w:t>, p. 93.</w:t>
      </w:r>
    </w:p>
  </w:footnote>
  <w:footnote w:id="73">
    <w:p w:rsidR="00393645" w:rsidRPr="007344EA" w:rsidRDefault="00393645" w:rsidP="00642C78">
      <w:pPr>
        <w:pStyle w:val="FootnoteText"/>
        <w:jc w:val="both"/>
      </w:pPr>
      <w:r w:rsidRPr="007344EA">
        <w:rPr>
          <w:rStyle w:val="FootnoteReference"/>
        </w:rPr>
        <w:footnoteRef/>
      </w:r>
      <w:r w:rsidRPr="007344EA">
        <w:t xml:space="preserve">  1990 m. liepos 24 d. Komisijos pasiūlymas dėl Tarybos direktyvos dėl nesąžiningų sąlygų sutartyse su vartotojais 2 str. 1d. numato, kad „sutarties  sąlyga yra nesąžiningą jei ji &lt;...&gt; : sukuria ryškų teisių ir pareigų neatitikimą tarp sutarties šalių, arba sukelia vartotojui didelę žalą, arba jei sukelia tokias teisines pasekmes, kurių  vartotojas teisėtai nesitikėjo, arba jei ji nesuderinama  su geros valios principu“. [1990]  OL </w:t>
      </w:r>
      <w:r w:rsidRPr="007344EA">
        <w:rPr>
          <w:lang w:val="en-US"/>
        </w:rPr>
        <w:t>C 243</w:t>
      </w:r>
      <w:r w:rsidRPr="007344EA">
        <w:t>.</w:t>
      </w:r>
    </w:p>
  </w:footnote>
  <w:footnote w:id="74">
    <w:p w:rsidR="00393645" w:rsidRPr="007344EA" w:rsidRDefault="00393645" w:rsidP="00642C78">
      <w:pPr>
        <w:pStyle w:val="FootnoteText"/>
        <w:jc w:val="both"/>
      </w:pPr>
      <w:r w:rsidRPr="007344EA">
        <w:rPr>
          <w:rStyle w:val="FootnoteReference"/>
        </w:rPr>
        <w:footnoteRef/>
      </w:r>
      <w:r w:rsidRPr="007344EA">
        <w:t xml:space="preserve"> 1992 m. gegužės 5 d.  Pataisytas Komisijos pasiūlymas dėl Tarybos direktyvos dėl nesąžiningų sąlygų sutartyse su vartotojais 4 str. 1 d. numato, kad „sutarties sąlyga, kuri nesvarbu buvo ar nebuvo individuliai aptarta turi būti pripažinta nesąžiningą &lt;...&gt;, jei ji sukelia vartotojui didelę žalą ir jei ja vartotojas buvo privestas priimti dėl pardavėjas ar tiekėjas ekonominio pranašumo ar dėl vartotojo ekonominio ar intelektinio silpnumo“. </w:t>
      </w:r>
      <w:proofErr w:type="gramStart"/>
      <w:r w:rsidRPr="007344EA">
        <w:rPr>
          <w:lang w:val="en-US"/>
        </w:rPr>
        <w:t>[1990] OL C 73.</w:t>
      </w:r>
      <w:proofErr w:type="gramEnd"/>
      <w:r w:rsidRPr="007344EA">
        <w:rPr>
          <w:i/>
          <w:lang w:val="en-US"/>
        </w:rPr>
        <w:t xml:space="preserve">  </w:t>
      </w:r>
      <w:r w:rsidRPr="007344EA">
        <w:rPr>
          <w:lang w:val="en-US"/>
        </w:rPr>
        <w:t xml:space="preserve"> </w:t>
      </w:r>
    </w:p>
  </w:footnote>
  <w:footnote w:id="75">
    <w:p w:rsidR="00393645" w:rsidRPr="007344EA" w:rsidRDefault="00393645" w:rsidP="00642C78">
      <w:pPr>
        <w:pStyle w:val="FootnoteText"/>
        <w:jc w:val="both"/>
      </w:pPr>
      <w:r w:rsidRPr="007344EA">
        <w:rPr>
          <w:rStyle w:val="FootnoteReference"/>
        </w:rPr>
        <w:footnoteRef/>
      </w:r>
      <w:r w:rsidRPr="007344EA">
        <w:t xml:space="preserve"> Howells G.G. , Wilhelmsson T. </w:t>
      </w:r>
      <w:r w:rsidRPr="007344EA">
        <w:rPr>
          <w:i/>
        </w:rPr>
        <w:t>EC Consumer Law,</w:t>
      </w:r>
      <w:r w:rsidRPr="007344EA">
        <w:t xml:space="preserve"> Aldershot:</w:t>
      </w:r>
      <w:r w:rsidRPr="007344EA">
        <w:rPr>
          <w:i/>
        </w:rPr>
        <w:t xml:space="preserve"> </w:t>
      </w:r>
      <w:r w:rsidRPr="007344EA">
        <w:t>Ashgate Publishing, 1997, p. 88.</w:t>
      </w:r>
    </w:p>
  </w:footnote>
  <w:footnote w:id="76">
    <w:p w:rsidR="00393645" w:rsidRPr="007344EA" w:rsidRDefault="00393645" w:rsidP="00642C78">
      <w:pPr>
        <w:pStyle w:val="FootnoteText"/>
        <w:jc w:val="both"/>
      </w:pPr>
      <w:r w:rsidRPr="007344EA">
        <w:rPr>
          <w:rStyle w:val="FootnoteReference"/>
        </w:rPr>
        <w:footnoteRef/>
      </w:r>
      <w:r w:rsidRPr="007344EA">
        <w:t xml:space="preserve"> 1990 m. liepos 24 d. Komisijos pasiūlyme dėl Tarybos direktyvos dėl nesąžiningų sąlygų sutartyse su vartotojais 2 str. 3 d. nurodoma, kad vartotojos yra kiekvienas fizinis asmuo &lt;...&gt;, kuris veikia ne savo verslo ar profesijos tikslais. [1990]  OL </w:t>
      </w:r>
      <w:r w:rsidRPr="007344EA">
        <w:rPr>
          <w:lang w:val="en-US"/>
        </w:rPr>
        <w:t>C 243.</w:t>
      </w:r>
    </w:p>
  </w:footnote>
  <w:footnote w:id="77">
    <w:p w:rsidR="00393645" w:rsidRPr="007344EA" w:rsidRDefault="00393645" w:rsidP="00642C78">
      <w:pPr>
        <w:pStyle w:val="FootnoteText"/>
        <w:jc w:val="both"/>
      </w:pPr>
      <w:r w:rsidRPr="007344EA">
        <w:rPr>
          <w:rStyle w:val="FootnoteReference"/>
        </w:rPr>
        <w:footnoteRef/>
      </w:r>
      <w:r w:rsidRPr="007344EA">
        <w:t xml:space="preserve"> 1992 m. gegužės 5 d.  Pataisytame Komisijos pasiūlyme dėl Tarybos direktyvos dėl nesąžiningų sąlygų sutartyse su vartotojais 2 str. nurodoma, kad vartotojas yra kiekvienas fizinis ar juridinis asmuo veikiantis ne savo verslo ar profesijos tikslais. </w:t>
      </w:r>
      <w:proofErr w:type="gramStart"/>
      <w:r w:rsidRPr="007344EA">
        <w:rPr>
          <w:lang w:val="en-US"/>
        </w:rPr>
        <w:t>[1990] OL C 73.</w:t>
      </w:r>
      <w:proofErr w:type="gramEnd"/>
    </w:p>
  </w:footnote>
  <w:footnote w:id="78">
    <w:p w:rsidR="00393645" w:rsidRPr="007344EA" w:rsidRDefault="00393645" w:rsidP="00642C78">
      <w:pPr>
        <w:pStyle w:val="FootnoteText"/>
        <w:jc w:val="both"/>
      </w:pPr>
      <w:r w:rsidRPr="007344EA">
        <w:rPr>
          <w:rStyle w:val="FootnoteReference"/>
        </w:rPr>
        <w:footnoteRef/>
      </w:r>
      <w:r w:rsidRPr="007344EA">
        <w:t xml:space="preserve"> Manytina, kad vietoj naudojamo termino „doktrinas“ tikslesnė ir šio teiginio esmę išreiškianti sąvoka būtų: „modelius/mokyklas“.</w:t>
      </w:r>
    </w:p>
  </w:footnote>
  <w:footnote w:id="79">
    <w:p w:rsidR="00393645" w:rsidRPr="007344EA" w:rsidRDefault="00393645" w:rsidP="00642C78">
      <w:pPr>
        <w:pStyle w:val="FootnoteText"/>
        <w:jc w:val="both"/>
      </w:pPr>
      <w:r w:rsidRPr="007344EA">
        <w:rPr>
          <w:rStyle w:val="FootnoteReference"/>
        </w:rPr>
        <w:footnoteRef/>
      </w:r>
      <w:r w:rsidRPr="007344EA">
        <w:t xml:space="preserve"> Bublienė D. </w:t>
      </w:r>
      <w:r w:rsidRPr="007344EA">
        <w:rPr>
          <w:i/>
        </w:rPr>
        <w:t>Vartojimo sutarčių nesąžiningų sąlygų kontrolė: monografija</w:t>
      </w:r>
      <w:r w:rsidRPr="007344EA">
        <w:t>. Vilnius: Registrų centras, 2009. P. 17.</w:t>
      </w:r>
    </w:p>
  </w:footnote>
  <w:footnote w:id="80">
    <w:p w:rsidR="00393645" w:rsidRPr="007344EA" w:rsidRDefault="00393645" w:rsidP="00642C78">
      <w:pPr>
        <w:pStyle w:val="FootnoteText"/>
        <w:jc w:val="both"/>
      </w:pPr>
      <w:r w:rsidRPr="007344EA">
        <w:rPr>
          <w:rStyle w:val="FootnoteReference"/>
        </w:rPr>
        <w:footnoteRef/>
      </w:r>
      <w:r w:rsidRPr="007344EA">
        <w:t xml:space="preserve"> 1990 m. liepos 24 d. Komisijos pasiūlymas dėl Tarybos direktyvos dėl nesąžiningų sąlygų sutartyse su vartotojais. OL </w:t>
      </w:r>
      <w:r w:rsidRPr="007344EA">
        <w:rPr>
          <w:lang w:val="en-US"/>
        </w:rPr>
        <w:t>C 243</w:t>
      </w:r>
    </w:p>
  </w:footnote>
  <w:footnote w:id="81">
    <w:p w:rsidR="00393645" w:rsidRPr="007344EA" w:rsidRDefault="00393645" w:rsidP="00642C78">
      <w:pPr>
        <w:pStyle w:val="FootnoteText"/>
        <w:jc w:val="both"/>
      </w:pPr>
      <w:r w:rsidRPr="007344EA">
        <w:rPr>
          <w:rStyle w:val="FootnoteReference"/>
        </w:rPr>
        <w:footnoteRef/>
      </w:r>
      <w:r w:rsidRPr="007344EA">
        <w:t xml:space="preserve"> Bublienė D. </w:t>
      </w:r>
      <w:r w:rsidRPr="007344EA">
        <w:rPr>
          <w:i/>
        </w:rPr>
        <w:t>Vartojimo sutarčių nesąžiningų sąlygų kontrolė: monografija</w:t>
      </w:r>
      <w:r w:rsidRPr="007344EA">
        <w:t xml:space="preserve">. Vilnius: Registrų centras, 2009. P.17. </w:t>
      </w:r>
    </w:p>
  </w:footnote>
  <w:footnote w:id="82">
    <w:p w:rsidR="00393645" w:rsidRPr="007344EA" w:rsidRDefault="00393645" w:rsidP="0021124E">
      <w:pPr>
        <w:pStyle w:val="FootnoteText"/>
      </w:pPr>
      <w:r w:rsidRPr="007344EA">
        <w:rPr>
          <w:rStyle w:val="FootnoteReference"/>
        </w:rPr>
        <w:footnoteRef/>
      </w:r>
      <w:r w:rsidRPr="007344EA">
        <w:t xml:space="preserve"> Schulte–Nölke, H. , </w:t>
      </w:r>
      <w:r w:rsidRPr="007344EA">
        <w:rPr>
          <w:i/>
        </w:rPr>
        <w:t>et al.</w:t>
      </w:r>
      <w:r w:rsidRPr="007344EA">
        <w:t xml:space="preserve"> </w:t>
      </w:r>
      <w:r w:rsidRPr="007344EA">
        <w:rPr>
          <w:i/>
        </w:rPr>
        <w:t>EC Consumer Law Compendium. Comparative Analysis.</w:t>
      </w:r>
      <w:r w:rsidRPr="007344EA">
        <w:t xml:space="preserve"> 2008 [interaktyvus]. [žiūrėta 2012-10-01]. </w:t>
      </w:r>
      <w:hyperlink r:id="rId3" w:history="1">
        <w:r w:rsidRPr="007344EA">
          <w:rPr>
            <w:rStyle w:val="Hyperlink"/>
          </w:rPr>
          <w:t>http://ec.europa.eu/consumers/rights/docs/consumer_law_compendium_comparative_analysis_en_final.pdf</w:t>
        </w:r>
      </w:hyperlink>
      <w:r w:rsidRPr="007344EA">
        <w:t xml:space="preserve">, p. 352. </w:t>
      </w:r>
    </w:p>
  </w:footnote>
  <w:footnote w:id="83">
    <w:p w:rsidR="00393645" w:rsidRPr="007344EA" w:rsidRDefault="00393645" w:rsidP="002838C7">
      <w:pPr>
        <w:pStyle w:val="FootnoteText"/>
      </w:pPr>
      <w:r w:rsidRPr="007344EA">
        <w:rPr>
          <w:rStyle w:val="FootnoteReference"/>
        </w:rPr>
        <w:footnoteRef/>
      </w:r>
      <w:r w:rsidRPr="007344EA">
        <w:t>Žalioji knyga dėl Vartotojų acquis persvarstymo, COM (</w:t>
      </w:r>
      <w:r w:rsidRPr="007344EA">
        <w:rPr>
          <w:lang w:val="en-US"/>
        </w:rPr>
        <w:t xml:space="preserve">2006) 744 final [interaktyvus]. </w:t>
      </w:r>
      <w:r w:rsidRPr="007344EA">
        <w:t xml:space="preserve">[žiūrėta 2012-10-01] </w:t>
      </w:r>
      <w:hyperlink r:id="rId4" w:history="1">
        <w:r w:rsidRPr="007344EA">
          <w:rPr>
            <w:rStyle w:val="Hyperlink"/>
          </w:rPr>
          <w:t>http://ec.europa.eu/consumers/cons_int/safe_shop/acquis/green-paper_cons_acquis_lt.pdf</w:t>
        </w:r>
      </w:hyperlink>
      <w:r w:rsidRPr="007344EA">
        <w:t xml:space="preserve">, p.11. </w:t>
      </w:r>
    </w:p>
  </w:footnote>
  <w:footnote w:id="84">
    <w:p w:rsidR="00393645" w:rsidRPr="007344EA" w:rsidRDefault="00393645">
      <w:pPr>
        <w:pStyle w:val="FootnoteText"/>
      </w:pPr>
      <w:r w:rsidRPr="007344EA">
        <w:rPr>
          <w:rStyle w:val="FootnoteReference"/>
        </w:rPr>
        <w:footnoteRef/>
      </w:r>
      <w:r w:rsidRPr="007344EA">
        <w:t xml:space="preserve"> Bublienė D. </w:t>
      </w:r>
      <w:r w:rsidRPr="007344EA">
        <w:rPr>
          <w:i/>
        </w:rPr>
        <w:t>Vartojimo sutarčių nesąžiningų sąlygų kontrolė: monografija</w:t>
      </w:r>
      <w:r w:rsidRPr="007344EA">
        <w:t>. Vilnius: Registrų centras, 2009. P.17.</w:t>
      </w:r>
    </w:p>
  </w:footnote>
  <w:footnote w:id="85">
    <w:p w:rsidR="00393645" w:rsidRPr="007344EA" w:rsidRDefault="00393645" w:rsidP="004C1D45">
      <w:pPr>
        <w:pStyle w:val="FootnoteText"/>
      </w:pPr>
      <w:r w:rsidRPr="007344EA">
        <w:rPr>
          <w:rStyle w:val="FootnoteReference"/>
        </w:rPr>
        <w:footnoteRef/>
      </w:r>
      <w:r w:rsidRPr="007344EA">
        <w:t xml:space="preserve"> Tam tikros išimtys yra numatytos Direktyvos 93/13 preambulės 10 pastraipoje, kurioje teigiama, kad Direktyva 93/13 nėra taikoma darbo sutartims, sutartims susijusios su teisėmis į paveldėjimą, sutartims pagal šeimos teisę, bendrovių inkorporavimo ar organizavimo bei ūkinių bendrijų sutartims. Tačiau minėtosios sutartys ir taip nėra laikomos vartojimo sutartimis, pagal savo tikslą. </w:t>
      </w:r>
    </w:p>
  </w:footnote>
  <w:footnote w:id="86">
    <w:p w:rsidR="00393645" w:rsidRPr="007344EA" w:rsidRDefault="00393645">
      <w:pPr>
        <w:pStyle w:val="FootnoteText"/>
        <w:rPr>
          <w:lang w:val="en-US"/>
        </w:rPr>
      </w:pPr>
      <w:r w:rsidRPr="007344EA">
        <w:rPr>
          <w:rStyle w:val="FootnoteReference"/>
        </w:rPr>
        <w:footnoteRef/>
      </w:r>
      <w:r w:rsidRPr="007344EA">
        <w:t xml:space="preserve"> Žalioji knyga dėl Vartotojų acquis persvarstymo, COM (</w:t>
      </w:r>
      <w:r w:rsidRPr="007344EA">
        <w:rPr>
          <w:lang w:val="en-US"/>
        </w:rPr>
        <w:t xml:space="preserve">2006) 744 final [interaktyvus]. </w:t>
      </w:r>
      <w:r w:rsidRPr="007344EA">
        <w:t xml:space="preserve">[žiūrėta 2012-10-01] </w:t>
      </w:r>
      <w:hyperlink r:id="rId5" w:history="1">
        <w:r w:rsidRPr="007344EA">
          <w:rPr>
            <w:rStyle w:val="Hyperlink"/>
          </w:rPr>
          <w:t>http://ec.europa.eu/consumers/cons_int/safe_shop/acquis/green-paper_cons_acquis_lt.pdf</w:t>
        </w:r>
      </w:hyperlink>
      <w:r w:rsidRPr="007344EA">
        <w:t xml:space="preserve">, p. </w:t>
      </w:r>
      <w:r w:rsidRPr="007344EA">
        <w:rPr>
          <w:lang w:val="en-US"/>
        </w:rPr>
        <w:t xml:space="preserve">7. </w:t>
      </w:r>
      <w:r w:rsidRPr="007344EA">
        <w:t xml:space="preserve">  </w:t>
      </w:r>
    </w:p>
  </w:footnote>
  <w:footnote w:id="87">
    <w:p w:rsidR="00393645" w:rsidRPr="007344EA" w:rsidRDefault="00393645" w:rsidP="002B5AC9">
      <w:pPr>
        <w:pStyle w:val="FootnoteText"/>
      </w:pPr>
      <w:r w:rsidRPr="007344EA">
        <w:rPr>
          <w:rStyle w:val="FootnoteReference"/>
        </w:rPr>
        <w:footnoteRef/>
      </w:r>
      <w:r w:rsidRPr="007344EA">
        <w:t xml:space="preserve"> D. Bublienė savo nuomonė argumentuoja tuo, kad  „tiek, kiek bus pašalintos nesąžiningos sutarčių sąlygos iš rinkos, siekiant apsaugoti vartotoją, daugiau ar mažiau bus apsaugotas ir verslininkas“.  Remiantis  tokia logika  pašalinus nesąžiningas sąlygas ir vartojimo sutarčių būtų pasiekti ir kiti savarankiškai iškelti tikslai. Bublienė D. </w:t>
      </w:r>
      <w:r w:rsidRPr="007344EA">
        <w:rPr>
          <w:i/>
        </w:rPr>
        <w:t>Vartojimo sutarčių nesąžiningų sąlygų kontrolė: monografija</w:t>
      </w:r>
      <w:r w:rsidRPr="007344EA">
        <w:t>. Vilnius: Registrų centras, 2009, p. 55.</w:t>
      </w:r>
    </w:p>
  </w:footnote>
  <w:footnote w:id="88">
    <w:p w:rsidR="00393645" w:rsidRPr="007344EA" w:rsidRDefault="00393645">
      <w:pPr>
        <w:pStyle w:val="FootnoteText"/>
        <w:rPr>
          <w:lang w:val="en-US"/>
        </w:rPr>
      </w:pPr>
      <w:r w:rsidRPr="007344EA">
        <w:rPr>
          <w:rStyle w:val="FootnoteReference"/>
        </w:rPr>
        <w:footnoteRef/>
      </w:r>
      <w:r w:rsidRPr="007344EA">
        <w:t xml:space="preserve"> Tarybos 1985 m.  gruodžio </w:t>
      </w:r>
      <w:r w:rsidRPr="007344EA">
        <w:rPr>
          <w:lang w:val="en-US"/>
        </w:rPr>
        <w:t>20 d.</w:t>
      </w:r>
      <w:r w:rsidRPr="007344EA">
        <w:t xml:space="preserve">  Direktyva 85/577/EEB dėl vartotojų apsaugos, susijusios su sutartimis, sudarytomis ne prekybai skirtose patalpose. [1985] OL L 372.</w:t>
      </w:r>
    </w:p>
  </w:footnote>
  <w:footnote w:id="89">
    <w:p w:rsidR="00393645" w:rsidRPr="007344EA" w:rsidRDefault="00393645">
      <w:pPr>
        <w:pStyle w:val="FootnoteText"/>
        <w:rPr>
          <w:lang w:val="en-US"/>
        </w:rPr>
      </w:pPr>
      <w:r w:rsidRPr="007344EA">
        <w:rPr>
          <w:rStyle w:val="FootnoteReference"/>
        </w:rPr>
        <w:footnoteRef/>
      </w:r>
      <w:r w:rsidRPr="007344EA">
        <w:t xml:space="preserve"> Tarybos 1997 m.  gegužės </w:t>
      </w:r>
      <w:r w:rsidRPr="007344EA">
        <w:rPr>
          <w:lang w:val="en-US"/>
        </w:rPr>
        <w:t xml:space="preserve">27 d. </w:t>
      </w:r>
      <w:r w:rsidRPr="007344EA">
        <w:t>Direktyva 97/7/EB dėl vartotojų apsaugos susijusios su nuotolinės prekybos sutartimis</w:t>
      </w:r>
      <w:r w:rsidRPr="007344EA">
        <w:rPr>
          <w:lang w:val="en-US"/>
        </w:rPr>
        <w:t xml:space="preserve">. </w:t>
      </w:r>
      <w:proofErr w:type="gramStart"/>
      <w:r w:rsidRPr="007344EA">
        <w:rPr>
          <w:lang w:val="en-US"/>
        </w:rPr>
        <w:t>[1997] OL L 144.</w:t>
      </w:r>
      <w:proofErr w:type="gramEnd"/>
      <w:r w:rsidRPr="007344EA">
        <w:rPr>
          <w:lang w:val="en-US"/>
        </w:rPr>
        <w:t xml:space="preserve"> </w:t>
      </w:r>
    </w:p>
  </w:footnote>
  <w:footnote w:id="90">
    <w:p w:rsidR="00393645" w:rsidRPr="007344EA" w:rsidRDefault="00393645" w:rsidP="001E7987">
      <w:pPr>
        <w:pStyle w:val="FootnoteText"/>
        <w:rPr>
          <w:i/>
          <w:lang w:val="en-US"/>
        </w:rPr>
      </w:pPr>
      <w:r w:rsidRPr="007344EA">
        <w:rPr>
          <w:rStyle w:val="FootnoteReference"/>
        </w:rPr>
        <w:footnoteRef/>
      </w:r>
      <w:r w:rsidRPr="007344EA">
        <w:t xml:space="preserve"> Howells G.G. , Wilhelmsson T. </w:t>
      </w:r>
      <w:r w:rsidRPr="007344EA">
        <w:rPr>
          <w:i/>
        </w:rPr>
        <w:t>EC Consumer Law,</w:t>
      </w:r>
      <w:r w:rsidRPr="007344EA">
        <w:t xml:space="preserve"> Aldershot:</w:t>
      </w:r>
      <w:r w:rsidRPr="007344EA">
        <w:rPr>
          <w:i/>
        </w:rPr>
        <w:t xml:space="preserve"> </w:t>
      </w:r>
      <w:r w:rsidRPr="007344EA">
        <w:t xml:space="preserve">Ashgate Publishing, 1997, p. </w:t>
      </w:r>
      <w:r w:rsidRPr="007344EA">
        <w:rPr>
          <w:lang w:val="en-US"/>
        </w:rPr>
        <w:t xml:space="preserve">114-115. </w:t>
      </w:r>
    </w:p>
  </w:footnote>
  <w:footnote w:id="91">
    <w:p w:rsidR="00393645" w:rsidRPr="007344EA" w:rsidRDefault="00393645" w:rsidP="001E7987">
      <w:pPr>
        <w:pStyle w:val="FootnoteText"/>
        <w:rPr>
          <w:lang w:val="en-US"/>
        </w:rPr>
      </w:pPr>
      <w:r w:rsidRPr="007344EA">
        <w:rPr>
          <w:rStyle w:val="FootnoteReference"/>
        </w:rPr>
        <w:footnoteRef/>
      </w:r>
      <w:r w:rsidRPr="007344EA">
        <w:t xml:space="preserve"> Tenreiro M. The Community Directive on Unfair Terms and National Legal Systems. </w:t>
      </w:r>
      <w:r w:rsidRPr="007344EA">
        <w:rPr>
          <w:i/>
        </w:rPr>
        <w:t xml:space="preserve">European Review of Privite Law </w:t>
      </w:r>
      <w:r w:rsidRPr="007344EA">
        <w:rPr>
          <w:i/>
          <w:lang w:val="en-US"/>
        </w:rPr>
        <w:t>3.</w:t>
      </w:r>
      <w:r w:rsidRPr="007344EA">
        <w:rPr>
          <w:lang w:val="en-US"/>
        </w:rPr>
        <w:t xml:space="preserve"> Netherlands 1995, p. 284. </w:t>
      </w:r>
    </w:p>
  </w:footnote>
  <w:footnote w:id="92">
    <w:p w:rsidR="00393645" w:rsidRPr="007344EA" w:rsidRDefault="00393645">
      <w:pPr>
        <w:pStyle w:val="FootnoteText"/>
      </w:pPr>
      <w:r w:rsidRPr="007344EA">
        <w:rPr>
          <w:rStyle w:val="FootnoteReference"/>
        </w:rPr>
        <w:footnoteRef/>
      </w:r>
      <w:r w:rsidRPr="007344EA">
        <w:t xml:space="preserve">Bendrosios pagrindų sistemos projektas. [interaktyvus] [žiūrėta </w:t>
      </w:r>
      <w:r w:rsidRPr="007344EA">
        <w:rPr>
          <w:lang w:val="en-US"/>
        </w:rPr>
        <w:t>2012-10-01]</w:t>
      </w:r>
      <w:r w:rsidRPr="007344EA">
        <w:t xml:space="preserve"> </w:t>
      </w:r>
      <w:hyperlink r:id="rId6" w:history="1">
        <w:r w:rsidRPr="007344EA">
          <w:rPr>
            <w:rStyle w:val="Hyperlink"/>
          </w:rPr>
          <w:t>http://typoccbe2.ntc.be/fileadmin/user_upload/NTCdocument/DCFRpdf1_1262861061.pdf</w:t>
        </w:r>
      </w:hyperlink>
      <w:r w:rsidRPr="007344EA">
        <w:t xml:space="preserve"> P. 219- 228.</w:t>
      </w:r>
    </w:p>
  </w:footnote>
  <w:footnote w:id="93">
    <w:p w:rsidR="00393645" w:rsidRPr="007344EA" w:rsidRDefault="00393645">
      <w:pPr>
        <w:pStyle w:val="FootnoteText"/>
      </w:pPr>
      <w:r w:rsidRPr="007344EA">
        <w:rPr>
          <w:rStyle w:val="FootnoteReference"/>
        </w:rPr>
        <w:footnoteRef/>
      </w:r>
      <w:r w:rsidRPr="007344EA">
        <w:t xml:space="preserve"> Europos sutarčių teisės principai [interaktyvus] [žiūrėta </w:t>
      </w:r>
      <w:r w:rsidRPr="007344EA">
        <w:rPr>
          <w:lang w:val="en-US"/>
        </w:rPr>
        <w:t>2012-10-01].</w:t>
      </w:r>
      <w:r w:rsidRPr="007344EA">
        <w:t xml:space="preserve"> </w:t>
      </w:r>
      <w:hyperlink r:id="rId7" w:history="1">
        <w:r w:rsidRPr="007344EA">
          <w:rPr>
            <w:rStyle w:val="Hyperlink"/>
          </w:rPr>
          <w:t>http://frontpage.cbs.dk/law/commission_on_european_contract_law/PECL%20engelsk/engelsk_partI_og_II.htm</w:t>
        </w:r>
      </w:hyperlink>
      <w:r w:rsidRPr="007344EA">
        <w:t xml:space="preserve"> </w:t>
      </w:r>
    </w:p>
  </w:footnote>
  <w:footnote w:id="94">
    <w:p w:rsidR="00393645" w:rsidRPr="007344EA" w:rsidRDefault="00393645">
      <w:pPr>
        <w:pStyle w:val="FootnoteText"/>
        <w:rPr>
          <w:lang w:val="en-US"/>
        </w:rPr>
      </w:pPr>
      <w:r w:rsidRPr="007344EA">
        <w:rPr>
          <w:rStyle w:val="FootnoteReference"/>
        </w:rPr>
        <w:footnoteRef/>
      </w:r>
      <w:r w:rsidRPr="007344EA">
        <w:t xml:space="preserve"> Komisijos pasiūlymas dėl bendrosios Europos pirkimo − pardavimo sutarčių teisės[interaktyvus] [žiūrėta </w:t>
      </w:r>
      <w:r w:rsidRPr="007344EA">
        <w:rPr>
          <w:lang w:val="en-US"/>
        </w:rPr>
        <w:t>2012-10-01]</w:t>
      </w:r>
      <w:r w:rsidRPr="007344EA">
        <w:t xml:space="preserve">  </w:t>
      </w:r>
      <w:hyperlink r:id="rId8" w:history="1">
        <w:r w:rsidRPr="007344EA">
          <w:rPr>
            <w:rStyle w:val="Hyperlink"/>
          </w:rPr>
          <w:t>http://eur-lex.europa.eu/LexUriServ/LexUriServ.do?uri=COM:2011:0635:FIN:en:PDF</w:t>
        </w:r>
      </w:hyperlink>
    </w:p>
  </w:footnote>
  <w:footnote w:id="95">
    <w:p w:rsidR="00393645" w:rsidRPr="007344EA" w:rsidRDefault="00393645">
      <w:pPr>
        <w:pStyle w:val="FootnoteText"/>
      </w:pPr>
      <w:r w:rsidRPr="007344EA">
        <w:rPr>
          <w:rStyle w:val="FootnoteReference"/>
        </w:rPr>
        <w:footnoteRef/>
      </w:r>
      <w:r w:rsidRPr="007344EA">
        <w:t xml:space="preserve"> UNIDROIT tarptautinės sutarčių teisės principai. [interaktyvus] [žiūrėta </w:t>
      </w:r>
      <w:r w:rsidRPr="007344EA">
        <w:rPr>
          <w:lang w:val="en-US"/>
        </w:rPr>
        <w:t xml:space="preserve">2012-10-01]. </w:t>
      </w:r>
      <w:hyperlink r:id="rId9" w:history="1">
        <w:r w:rsidRPr="007344EA">
          <w:rPr>
            <w:rStyle w:val="Hyperlink"/>
            <w:lang w:val="en-US"/>
          </w:rPr>
          <w:t>http://www.unidroit.org/english/principles/contracts/principles2010/integralversionprinciples2010-e.pdf</w:t>
        </w:r>
      </w:hyperlink>
      <w:r w:rsidRPr="007344EA">
        <w:rPr>
          <w:lang w:val="en-US"/>
        </w:rPr>
        <w:t xml:space="preserve"> </w:t>
      </w:r>
    </w:p>
  </w:footnote>
  <w:footnote w:id="96">
    <w:p w:rsidR="00393645" w:rsidRPr="007344EA" w:rsidRDefault="00393645" w:rsidP="0036148F">
      <w:pPr>
        <w:pStyle w:val="FootnoteText"/>
      </w:pPr>
      <w:r w:rsidRPr="007344EA">
        <w:rPr>
          <w:rStyle w:val="FootnoteReference"/>
        </w:rPr>
        <w:footnoteRef/>
      </w:r>
      <w:r w:rsidRPr="007344EA">
        <w:t xml:space="preserve"> Stuyck J. Case  C</w:t>
      </w:r>
      <w:r w:rsidRPr="007344EA">
        <w:noBreakHyphen/>
        <w:t>484/08</w:t>
      </w:r>
      <w:r w:rsidRPr="007344EA">
        <w:rPr>
          <w:i/>
        </w:rPr>
        <w:t xml:space="preserve"> </w:t>
      </w:r>
      <w:r w:rsidRPr="007344EA">
        <w:rPr>
          <w:bCs/>
          <w:i/>
        </w:rPr>
        <w:t xml:space="preserve">Caja de Ahorros y Monte de Piedad de Madrid </w:t>
      </w:r>
      <w:r w:rsidRPr="007344EA">
        <w:rPr>
          <w:i/>
        </w:rPr>
        <w:t xml:space="preserve">v </w:t>
      </w:r>
      <w:r w:rsidRPr="007344EA">
        <w:rPr>
          <w:bCs/>
          <w:i/>
        </w:rPr>
        <w:t>Asociación de Usuarios de Servicios Bancarios (Ausbanc)</w:t>
      </w:r>
      <w:r w:rsidRPr="007344EA">
        <w:t xml:space="preserve">  European Review of Contract Law Volume 6 (Issue 4), 2010, p. 449-452.  Bei Mak C. Judgement of the Court (First Chamber) of 6 October 2009, </w:t>
      </w:r>
      <w:r w:rsidRPr="007344EA">
        <w:rPr>
          <w:bCs/>
          <w:i/>
        </w:rPr>
        <w:t xml:space="preserve">Asturcom Telecomunicaciones SL </w:t>
      </w:r>
      <w:r w:rsidRPr="007344EA">
        <w:rPr>
          <w:i/>
        </w:rPr>
        <w:t xml:space="preserve">v </w:t>
      </w:r>
      <w:r w:rsidRPr="007344EA">
        <w:rPr>
          <w:bCs/>
          <w:i/>
        </w:rPr>
        <w:t>Cristina Rodríguez Nogueira, case</w:t>
      </w:r>
      <w:r w:rsidRPr="007344EA">
        <w:t xml:space="preserve"> </w:t>
      </w:r>
      <w:r w:rsidRPr="007344EA">
        <w:rPr>
          <w:i/>
        </w:rPr>
        <w:t>C</w:t>
      </w:r>
      <w:r w:rsidRPr="007344EA">
        <w:rPr>
          <w:i/>
        </w:rPr>
        <w:noBreakHyphen/>
        <w:t>40/08</w:t>
      </w:r>
      <w:r w:rsidRPr="007344EA">
        <w:t xml:space="preserve">. European Review of Contract Law Volume 6 (Issue4) </w:t>
      </w:r>
      <w:r w:rsidRPr="007344EA">
        <w:rPr>
          <w:lang w:val="en-US"/>
        </w:rPr>
        <w:t xml:space="preserve">2010, p. </w:t>
      </w:r>
      <w:r w:rsidRPr="007344EA">
        <w:t xml:space="preserve"> 438- 441. </w:t>
      </w:r>
    </w:p>
  </w:footnote>
  <w:footnote w:id="97">
    <w:p w:rsidR="00393645" w:rsidRPr="007344EA" w:rsidRDefault="00393645">
      <w:pPr>
        <w:pStyle w:val="FootnoteText"/>
      </w:pPr>
      <w:r w:rsidRPr="007344EA">
        <w:rPr>
          <w:rStyle w:val="FootnoteReference"/>
        </w:rPr>
        <w:footnoteRef/>
      </w:r>
      <w:r w:rsidRPr="007344EA">
        <w:t xml:space="preserve"> Pavyzdžiui tokios struktūros laikosi prof. I Vėgėlė monografijoje </w:t>
      </w:r>
      <w:r w:rsidRPr="007344EA">
        <w:rPr>
          <w:i/>
        </w:rPr>
        <w:t>Europos Sąjungos teisė. Vidaus rinkos laisvės, konkurencija ir teisės derinimas</w:t>
      </w:r>
      <w:r w:rsidRPr="007344EA">
        <w:t xml:space="preserve">: „ knygos teorinių dalių siekiama neapkrauti Europos Sąjungos Teisingumo Teismo bylomis: joms skiriamos atskiros knygos dalys, o dėstomosiose (teorinėse) dalyse tepateikiamos nuorodos į konkrečių Teismo sprendimų punktus“. Žr.: Vėgėlė I. </w:t>
      </w:r>
      <w:r w:rsidRPr="007344EA">
        <w:rPr>
          <w:i/>
        </w:rPr>
        <w:t>Europos Sąjungos teisė. Vidaus rinkos laisvės, konkurencija ir teisės derinimas</w:t>
      </w:r>
      <w:r w:rsidRPr="007344EA">
        <w:t xml:space="preserve">. Vilnius: VĮ Registrų centras, 2011, p. 18. </w:t>
      </w:r>
    </w:p>
  </w:footnote>
  <w:footnote w:id="98">
    <w:p w:rsidR="00393645" w:rsidRPr="007344EA" w:rsidRDefault="00393645">
      <w:pPr>
        <w:pStyle w:val="FootnoteText"/>
      </w:pPr>
      <w:r w:rsidRPr="007344EA">
        <w:rPr>
          <w:rStyle w:val="FootnoteReference"/>
        </w:rPr>
        <w:footnoteRef/>
      </w:r>
      <w:r w:rsidRPr="007344EA">
        <w:t xml:space="preserve">Broberg M., Fenger N. </w:t>
      </w:r>
      <w:r w:rsidRPr="007344EA">
        <w:rPr>
          <w:i/>
        </w:rPr>
        <w:t>Preliminary References to the European Court of Justice</w:t>
      </w:r>
      <w:r w:rsidRPr="007344EA">
        <w:t xml:space="preserve">. Oxford University Press, </w:t>
      </w:r>
      <w:r w:rsidRPr="007344EA">
        <w:rPr>
          <w:lang w:val="en-US"/>
        </w:rPr>
        <w:t xml:space="preserve">2010, </w:t>
      </w:r>
      <w:r w:rsidRPr="007344EA">
        <w:t xml:space="preserve">p.1. </w:t>
      </w:r>
    </w:p>
  </w:footnote>
  <w:footnote w:id="99">
    <w:p w:rsidR="00393645" w:rsidRPr="007344EA" w:rsidRDefault="00393645">
      <w:pPr>
        <w:pStyle w:val="FootnoteText"/>
      </w:pPr>
      <w:r w:rsidRPr="007344EA">
        <w:rPr>
          <w:rStyle w:val="FootnoteReference"/>
        </w:rPr>
        <w:footnoteRef/>
      </w:r>
      <w:r w:rsidRPr="007344EA">
        <w:t xml:space="preserve"> Norkus. R., Prapiestytė D., Valančius V. </w:t>
      </w:r>
      <w:r w:rsidRPr="007344EA">
        <w:rPr>
          <w:i/>
        </w:rPr>
        <w:t>Procesas Europos Bendrijų Teisingumo teisme: preliminarus nutarimas</w:t>
      </w:r>
      <w:r w:rsidRPr="007344EA">
        <w:t xml:space="preserve">. Vilnius: Teisinės informacijos centras, </w:t>
      </w:r>
      <w:r w:rsidRPr="007344EA">
        <w:rPr>
          <w:lang w:val="en-US"/>
        </w:rPr>
        <w:t xml:space="preserve">2004, </w:t>
      </w:r>
      <w:r w:rsidRPr="007344EA">
        <w:t xml:space="preserve">p. 91. </w:t>
      </w:r>
    </w:p>
  </w:footnote>
  <w:footnote w:id="100">
    <w:p w:rsidR="00393645" w:rsidRPr="007344EA" w:rsidRDefault="00393645">
      <w:pPr>
        <w:pStyle w:val="FootnoteText"/>
      </w:pPr>
      <w:r w:rsidRPr="007344EA">
        <w:rPr>
          <w:rStyle w:val="FootnoteReference"/>
        </w:rPr>
        <w:footnoteRef/>
      </w:r>
      <w:r w:rsidRPr="007344EA">
        <w:t xml:space="preserve"> Generalinės advokatės Trstenjak išvada byloje C-137/08 </w:t>
      </w:r>
      <w:r w:rsidRPr="007344EA">
        <w:rPr>
          <w:bCs/>
          <w:i/>
          <w:lang w:val="pt-PT"/>
        </w:rPr>
        <w:t xml:space="preserve">VB Pénzügyi Lízing Zrt. </w:t>
      </w:r>
      <w:r w:rsidRPr="007344EA">
        <w:rPr>
          <w:i/>
          <w:lang w:val="pt-PT"/>
        </w:rPr>
        <w:t xml:space="preserve">Prieš </w:t>
      </w:r>
      <w:r w:rsidRPr="007344EA">
        <w:rPr>
          <w:bCs/>
          <w:i/>
          <w:lang w:val="pt-PT"/>
        </w:rPr>
        <w:t xml:space="preserve">Ferenc  Fchneider, </w:t>
      </w:r>
      <w:r w:rsidRPr="007344EA">
        <w:rPr>
          <w:bCs/>
          <w:lang w:val="pt-PT"/>
        </w:rPr>
        <w:t xml:space="preserve">pateikta </w:t>
      </w:r>
      <w:r w:rsidRPr="007344EA">
        <w:rPr>
          <w:bCs/>
          <w:lang w:val="en-US"/>
        </w:rPr>
        <w:t xml:space="preserve">2010 m. </w:t>
      </w:r>
      <w:proofErr w:type="gramStart"/>
      <w:r w:rsidRPr="007344EA">
        <w:rPr>
          <w:bCs/>
          <w:lang w:val="en-US"/>
        </w:rPr>
        <w:t>liepos</w:t>
      </w:r>
      <w:proofErr w:type="gramEnd"/>
      <w:r w:rsidRPr="007344EA">
        <w:rPr>
          <w:bCs/>
          <w:lang w:val="en-US"/>
        </w:rPr>
        <w:t xml:space="preserve"> 6d</w:t>
      </w:r>
      <w:r w:rsidRPr="007344EA">
        <w:t xml:space="preserve">., išnaša 24. </w:t>
      </w:r>
    </w:p>
  </w:footnote>
  <w:footnote w:id="101">
    <w:p w:rsidR="00393645" w:rsidRPr="007344EA" w:rsidRDefault="00393645">
      <w:pPr>
        <w:pStyle w:val="FootnoteText"/>
      </w:pPr>
      <w:r w:rsidRPr="007344EA">
        <w:rPr>
          <w:rStyle w:val="FootnoteReference"/>
        </w:rPr>
        <w:footnoteRef/>
      </w:r>
      <w:r w:rsidRPr="007344EA">
        <w:t xml:space="preserve"> Siekiant terminų vienareikšmiškumo šiame magistriniame darbe vartojama prejudicinio sprendimo sąvoką, įtvirtinta SESV 267 str., o ne ankstesnėse Sutarčių redakcijose vartota preliminaraus nutarimo sąvoka. </w:t>
      </w:r>
    </w:p>
  </w:footnote>
  <w:footnote w:id="102">
    <w:p w:rsidR="00393645" w:rsidRPr="007344EA" w:rsidRDefault="00393645">
      <w:pPr>
        <w:pStyle w:val="FootnoteText"/>
        <w:rPr>
          <w:lang w:val="pt-PT"/>
        </w:rPr>
      </w:pPr>
      <w:r w:rsidRPr="007344EA">
        <w:rPr>
          <w:rStyle w:val="FootnoteReference"/>
        </w:rPr>
        <w:footnoteRef/>
      </w:r>
      <w:r w:rsidRPr="007344EA">
        <w:t xml:space="preserve"> Norkus. R., Prapiestytė D., Valančius V. </w:t>
      </w:r>
      <w:r w:rsidRPr="007344EA">
        <w:rPr>
          <w:i/>
        </w:rPr>
        <w:t>Procesas Europos Bendrijų Teisingumo teisme: preliminarus nutarimas</w:t>
      </w:r>
      <w:r w:rsidRPr="007344EA">
        <w:t xml:space="preserve">. Vilnius: Teisinės informacijos centras, </w:t>
      </w:r>
      <w:r w:rsidRPr="007344EA">
        <w:rPr>
          <w:lang w:val="en-US"/>
        </w:rPr>
        <w:t xml:space="preserve">2004, </w:t>
      </w:r>
      <w:r w:rsidRPr="007344EA">
        <w:t xml:space="preserve">p. </w:t>
      </w:r>
      <w:r w:rsidRPr="007344EA">
        <w:rPr>
          <w:lang w:val="pt-PT"/>
        </w:rPr>
        <w:t xml:space="preserve">80-81. </w:t>
      </w:r>
    </w:p>
  </w:footnote>
  <w:footnote w:id="103">
    <w:p w:rsidR="00393645" w:rsidRPr="007344EA" w:rsidRDefault="00393645">
      <w:pPr>
        <w:pStyle w:val="FootnoteText"/>
        <w:rPr>
          <w:lang w:val="pt-PT"/>
        </w:rPr>
      </w:pPr>
      <w:r w:rsidRPr="007344EA">
        <w:rPr>
          <w:rStyle w:val="FootnoteReference"/>
        </w:rPr>
        <w:footnoteRef/>
      </w:r>
      <w:r w:rsidRPr="007344EA">
        <w:t xml:space="preserve"> Byla </w:t>
      </w:r>
      <w:r w:rsidRPr="007344EA">
        <w:rPr>
          <w:lang w:val="pt-PT"/>
        </w:rPr>
        <w:t>C</w:t>
      </w:r>
      <w:r w:rsidRPr="007344EA">
        <w:rPr>
          <w:lang w:val="pt-PT"/>
        </w:rPr>
        <w:noBreakHyphen/>
        <w:t>484/08</w:t>
      </w:r>
      <w:r w:rsidRPr="007344EA">
        <w:rPr>
          <w:i/>
          <w:lang w:val="pt-PT"/>
        </w:rPr>
        <w:t xml:space="preserve"> </w:t>
      </w:r>
      <w:r w:rsidRPr="007344EA">
        <w:rPr>
          <w:bCs/>
          <w:i/>
          <w:lang w:val="es-ES"/>
        </w:rPr>
        <w:t xml:space="preserve">Caja de Ahorros y Monte de Piedad de Madrid </w:t>
      </w:r>
      <w:r w:rsidRPr="007344EA">
        <w:rPr>
          <w:i/>
          <w:lang w:val="es-ES"/>
        </w:rPr>
        <w:t xml:space="preserve">prieš </w:t>
      </w:r>
      <w:r w:rsidRPr="007344EA">
        <w:rPr>
          <w:bCs/>
          <w:i/>
          <w:lang w:val="es-ES"/>
        </w:rPr>
        <w:t>Asociación de Usuarios de Servicios Bancarios (Ausbanc)</w:t>
      </w:r>
      <w:r w:rsidRPr="007344EA">
        <w:rPr>
          <w:bCs/>
          <w:lang w:val="es-ES"/>
        </w:rPr>
        <w:t xml:space="preserve"> [2010] ETA I-</w:t>
      </w:r>
      <w:r w:rsidRPr="007344EA">
        <w:t xml:space="preserve">04785, para. </w:t>
      </w:r>
      <w:r w:rsidRPr="007344EA">
        <w:rPr>
          <w:lang w:val="pt-PT"/>
        </w:rPr>
        <w:t xml:space="preserve">18 </w:t>
      </w:r>
    </w:p>
  </w:footnote>
  <w:footnote w:id="104">
    <w:p w:rsidR="00393645" w:rsidRPr="007344EA" w:rsidRDefault="00393645">
      <w:pPr>
        <w:pStyle w:val="FootnoteText"/>
      </w:pPr>
      <w:r w:rsidRPr="007344EA">
        <w:rPr>
          <w:rStyle w:val="FootnoteReference"/>
        </w:rPr>
        <w:footnoteRef/>
      </w:r>
      <w:r w:rsidRPr="007344EA">
        <w:t xml:space="preserve"> Byla C-137/08 </w:t>
      </w:r>
      <w:r w:rsidRPr="007344EA">
        <w:rPr>
          <w:bCs/>
          <w:i/>
          <w:lang w:val="pt-PT"/>
        </w:rPr>
        <w:t xml:space="preserve">VB Pénzügyi Lízing Zrt. </w:t>
      </w:r>
      <w:r w:rsidRPr="007344EA">
        <w:rPr>
          <w:i/>
          <w:lang w:val="pt-PT"/>
        </w:rPr>
        <w:t xml:space="preserve">Prieš </w:t>
      </w:r>
      <w:r w:rsidRPr="007344EA">
        <w:rPr>
          <w:bCs/>
          <w:i/>
          <w:lang w:val="pt-PT"/>
        </w:rPr>
        <w:t>Ferenc  Fchneider</w:t>
      </w:r>
      <w:r w:rsidRPr="007344EA">
        <w:rPr>
          <w:bCs/>
          <w:lang w:val="pt-PT"/>
        </w:rPr>
        <w:t xml:space="preserve"> [2010] ETA I-</w:t>
      </w:r>
      <w:r w:rsidRPr="007344EA">
        <w:t xml:space="preserve">10847, para 37. </w:t>
      </w:r>
    </w:p>
  </w:footnote>
  <w:footnote w:id="105">
    <w:p w:rsidR="00393645" w:rsidRPr="007344EA" w:rsidRDefault="00393645">
      <w:pPr>
        <w:pStyle w:val="FootnoteText"/>
        <w:rPr>
          <w:lang w:val="pt-PT"/>
        </w:rPr>
      </w:pPr>
      <w:r w:rsidRPr="007344EA">
        <w:rPr>
          <w:rStyle w:val="FootnoteReference"/>
        </w:rPr>
        <w:footnoteRef/>
      </w:r>
      <w:r w:rsidRPr="007344EA">
        <w:t xml:space="preserve"> Norkus. R., Prapiestytė D., Valančius V. </w:t>
      </w:r>
      <w:r w:rsidRPr="007344EA">
        <w:rPr>
          <w:i/>
        </w:rPr>
        <w:t>Procesas Europos Bendrijų Teisingumo teisme: preliminarus nutarimas</w:t>
      </w:r>
      <w:r w:rsidRPr="007344EA">
        <w:t xml:space="preserve">. Vilnius: Teisinės informacijos centras, </w:t>
      </w:r>
      <w:r w:rsidRPr="007344EA">
        <w:rPr>
          <w:lang w:val="en-US"/>
        </w:rPr>
        <w:t xml:space="preserve">2004, </w:t>
      </w:r>
      <w:r w:rsidRPr="007344EA">
        <w:t xml:space="preserve">p. </w:t>
      </w:r>
      <w:r w:rsidRPr="007344EA">
        <w:rPr>
          <w:lang w:val="pt-PT"/>
        </w:rPr>
        <w:t xml:space="preserve">83. </w:t>
      </w:r>
    </w:p>
  </w:footnote>
  <w:footnote w:id="106">
    <w:p w:rsidR="00393645" w:rsidRPr="007344EA" w:rsidRDefault="00393645">
      <w:pPr>
        <w:pStyle w:val="FootnoteText"/>
        <w:rPr>
          <w:lang w:val="pt-PT"/>
        </w:rPr>
      </w:pPr>
      <w:r w:rsidRPr="007344EA">
        <w:rPr>
          <w:rStyle w:val="FootnoteReference"/>
        </w:rPr>
        <w:footnoteRef/>
      </w:r>
      <w:r w:rsidRPr="007344EA">
        <w:t xml:space="preserve"> </w:t>
      </w:r>
      <w:r w:rsidRPr="007344EA">
        <w:rPr>
          <w:i/>
        </w:rPr>
        <w:t>Ibid</w:t>
      </w:r>
      <w:r w:rsidRPr="007344EA">
        <w:t xml:space="preserve">., p. </w:t>
      </w:r>
      <w:r w:rsidRPr="007344EA">
        <w:rPr>
          <w:lang w:val="pt-PT"/>
        </w:rPr>
        <w:t xml:space="preserve">84. </w:t>
      </w:r>
    </w:p>
  </w:footnote>
  <w:footnote w:id="107">
    <w:p w:rsidR="00393645" w:rsidRPr="007344EA" w:rsidRDefault="00393645">
      <w:pPr>
        <w:pStyle w:val="FootnoteText"/>
        <w:rPr>
          <w:lang w:val="pt-PT"/>
        </w:rPr>
      </w:pPr>
      <w:r w:rsidRPr="007344EA">
        <w:rPr>
          <w:rStyle w:val="FootnoteReference"/>
        </w:rPr>
        <w:footnoteRef/>
      </w:r>
      <w:r w:rsidRPr="007344EA">
        <w:t xml:space="preserve"> Norkus. R., Prapiestytė D., Valančius V. </w:t>
      </w:r>
      <w:r w:rsidRPr="007344EA">
        <w:rPr>
          <w:i/>
        </w:rPr>
        <w:t>Procesas Europos Bendrijų Teisingumo teisme: preliminarus nutarimas</w:t>
      </w:r>
      <w:r w:rsidRPr="007344EA">
        <w:t xml:space="preserve">. Vilnius: Teisinės informacijos centras, </w:t>
      </w:r>
      <w:r w:rsidRPr="007344EA">
        <w:rPr>
          <w:lang w:val="en-US"/>
        </w:rPr>
        <w:t xml:space="preserve">2004, </w:t>
      </w:r>
      <w:r w:rsidRPr="007344EA">
        <w:t xml:space="preserve">p. </w:t>
      </w:r>
      <w:r w:rsidRPr="007344EA">
        <w:rPr>
          <w:lang w:val="pt-PT"/>
        </w:rPr>
        <w:t xml:space="preserve">84. </w:t>
      </w:r>
    </w:p>
  </w:footnote>
  <w:footnote w:id="108">
    <w:p w:rsidR="00393645" w:rsidRPr="007344EA" w:rsidRDefault="00393645">
      <w:pPr>
        <w:pStyle w:val="FootnoteText"/>
        <w:rPr>
          <w:lang w:val="en-US"/>
        </w:rPr>
      </w:pPr>
      <w:r w:rsidRPr="007344EA">
        <w:rPr>
          <w:rStyle w:val="FootnoteReference"/>
        </w:rPr>
        <w:footnoteRef/>
      </w:r>
      <w:r w:rsidRPr="007344EA">
        <w:t xml:space="preserve"> Generalinės advokatės Trstenjak išvada byloje C-137/08 </w:t>
      </w:r>
      <w:r w:rsidRPr="007344EA">
        <w:rPr>
          <w:bCs/>
          <w:i/>
          <w:lang w:val="pt-PT"/>
        </w:rPr>
        <w:t xml:space="preserve">VB Pénzügyi Lízing Zrt. </w:t>
      </w:r>
      <w:r w:rsidRPr="007344EA">
        <w:rPr>
          <w:i/>
          <w:lang w:val="pt-PT"/>
        </w:rPr>
        <w:t xml:space="preserve">Prieš </w:t>
      </w:r>
      <w:r w:rsidRPr="007344EA">
        <w:rPr>
          <w:bCs/>
          <w:i/>
          <w:lang w:val="pt-PT"/>
        </w:rPr>
        <w:t xml:space="preserve">Ferenc  Fchneider, </w:t>
      </w:r>
      <w:r w:rsidRPr="007344EA">
        <w:rPr>
          <w:bCs/>
          <w:lang w:val="pt-PT"/>
        </w:rPr>
        <w:t xml:space="preserve">pateikta </w:t>
      </w:r>
      <w:r w:rsidRPr="007344EA">
        <w:rPr>
          <w:bCs/>
          <w:lang w:val="en-US"/>
        </w:rPr>
        <w:t xml:space="preserve">2010 m. </w:t>
      </w:r>
      <w:proofErr w:type="gramStart"/>
      <w:r w:rsidRPr="007344EA">
        <w:rPr>
          <w:bCs/>
          <w:lang w:val="en-US"/>
        </w:rPr>
        <w:t>liepos</w:t>
      </w:r>
      <w:proofErr w:type="gramEnd"/>
      <w:r w:rsidRPr="007344EA">
        <w:rPr>
          <w:bCs/>
          <w:lang w:val="en-US"/>
        </w:rPr>
        <w:t xml:space="preserve"> 6d.,</w:t>
      </w:r>
      <w:r w:rsidRPr="007344EA">
        <w:t xml:space="preserve"> išnaša </w:t>
      </w:r>
      <w:r w:rsidRPr="007344EA">
        <w:rPr>
          <w:lang w:val="en-US"/>
        </w:rPr>
        <w:t xml:space="preserve">17. </w:t>
      </w:r>
    </w:p>
  </w:footnote>
  <w:footnote w:id="109">
    <w:p w:rsidR="00393645" w:rsidRPr="007344EA" w:rsidRDefault="00393645" w:rsidP="005A3D3F">
      <w:pPr>
        <w:pStyle w:val="FootnoteText"/>
        <w:jc w:val="both"/>
      </w:pPr>
      <w:r w:rsidRPr="007344EA">
        <w:rPr>
          <w:rStyle w:val="FootnoteReference"/>
        </w:rPr>
        <w:footnoteRef/>
      </w:r>
      <w:r w:rsidRPr="007344EA">
        <w:t xml:space="preserve"> Cases C-240/98- C-244/98 </w:t>
      </w:r>
      <w:r w:rsidRPr="007344EA">
        <w:rPr>
          <w:i/>
        </w:rPr>
        <w:t xml:space="preserve">Océano Grupo Editorial SA , </w:t>
      </w:r>
      <w:r w:rsidRPr="007344EA">
        <w:rPr>
          <w:bCs/>
          <w:i/>
        </w:rPr>
        <w:t xml:space="preserve">Rocío Murciano Quintero </w:t>
      </w:r>
      <w:r w:rsidRPr="007344EA">
        <w:rPr>
          <w:i/>
        </w:rPr>
        <w:t xml:space="preserve">ir </w:t>
      </w:r>
      <w:r w:rsidRPr="007344EA">
        <w:rPr>
          <w:bCs/>
          <w:i/>
        </w:rPr>
        <w:t xml:space="preserve">Salvat Editores SA </w:t>
      </w:r>
      <w:r w:rsidRPr="007344EA">
        <w:rPr>
          <w:i/>
        </w:rPr>
        <w:t xml:space="preserve">v </w:t>
      </w:r>
      <w:r w:rsidRPr="007344EA">
        <w:rPr>
          <w:bCs/>
          <w:i/>
        </w:rPr>
        <w:t>José M. Sánchez Alcón Prades</w:t>
      </w:r>
      <w:r w:rsidRPr="007344EA">
        <w:rPr>
          <w:i/>
        </w:rPr>
        <w:t xml:space="preserve">, </w:t>
      </w:r>
      <w:r w:rsidRPr="007344EA">
        <w:rPr>
          <w:bCs/>
          <w:i/>
          <w:lang w:val="es-ES"/>
        </w:rPr>
        <w:t>José Luis Copano Badillo</w:t>
      </w:r>
      <w:r w:rsidRPr="007344EA">
        <w:rPr>
          <w:i/>
          <w:lang w:val="es-ES"/>
        </w:rPr>
        <w:t xml:space="preserve"> , </w:t>
      </w:r>
      <w:r w:rsidRPr="007344EA">
        <w:rPr>
          <w:bCs/>
          <w:i/>
        </w:rPr>
        <w:t xml:space="preserve">Mohammed Berroane </w:t>
      </w:r>
      <w:r w:rsidRPr="007344EA">
        <w:rPr>
          <w:i/>
        </w:rPr>
        <w:t xml:space="preserve">, </w:t>
      </w:r>
      <w:r w:rsidRPr="007344EA">
        <w:rPr>
          <w:bCs/>
          <w:i/>
        </w:rPr>
        <w:t xml:space="preserve">Emilio Viñas Feliu </w:t>
      </w:r>
      <w:r w:rsidRPr="007344EA">
        <w:rPr>
          <w:bCs/>
        </w:rPr>
        <w:t>[</w:t>
      </w:r>
      <w:r w:rsidRPr="007344EA">
        <w:t>2000] ECR I-04941.</w:t>
      </w:r>
    </w:p>
  </w:footnote>
  <w:footnote w:id="110">
    <w:p w:rsidR="00393645" w:rsidRPr="007344EA" w:rsidRDefault="00393645" w:rsidP="007E2C71">
      <w:pPr>
        <w:pStyle w:val="FootnoteText"/>
        <w:jc w:val="both"/>
      </w:pPr>
      <w:r w:rsidRPr="007344EA">
        <w:rPr>
          <w:rStyle w:val="FootnoteReference"/>
        </w:rPr>
        <w:footnoteRef/>
      </w:r>
      <w:r w:rsidRPr="007344EA">
        <w:t xml:space="preserve"> Case C-473/00 </w:t>
      </w:r>
      <w:r w:rsidRPr="007344EA">
        <w:rPr>
          <w:bCs/>
          <w:i/>
          <w:lang w:val="pt-PT"/>
        </w:rPr>
        <w:t>Cofidis SA</w:t>
      </w:r>
      <w:r w:rsidRPr="007344EA">
        <w:rPr>
          <w:i/>
          <w:lang w:val="pt-PT"/>
        </w:rPr>
        <w:t xml:space="preserve"> v </w:t>
      </w:r>
      <w:r w:rsidRPr="007344EA">
        <w:rPr>
          <w:bCs/>
          <w:i/>
          <w:lang w:val="pt-PT"/>
        </w:rPr>
        <w:t>Jean-Louis Fredout</w:t>
      </w:r>
      <w:r w:rsidRPr="007344EA">
        <w:rPr>
          <w:bCs/>
          <w:lang w:val="pt-PT"/>
        </w:rPr>
        <w:t xml:space="preserve"> [2002] ECR I-</w:t>
      </w:r>
      <w:r w:rsidRPr="007344EA">
        <w:t xml:space="preserve">10875. </w:t>
      </w:r>
    </w:p>
  </w:footnote>
  <w:footnote w:id="111">
    <w:p w:rsidR="00393645" w:rsidRPr="007344EA" w:rsidRDefault="00393645" w:rsidP="008D44D8">
      <w:pPr>
        <w:pStyle w:val="FootnoteText"/>
        <w:jc w:val="both"/>
        <w:rPr>
          <w:lang w:val="pt-PT"/>
        </w:rPr>
      </w:pPr>
      <w:r w:rsidRPr="007344EA">
        <w:rPr>
          <w:rStyle w:val="FootnoteReference"/>
        </w:rPr>
        <w:footnoteRef/>
      </w:r>
      <w:r w:rsidRPr="007344EA">
        <w:t xml:space="preserve"> Byla</w:t>
      </w:r>
      <w:r w:rsidRPr="007344EA">
        <w:rPr>
          <w:lang w:val="pt-PT"/>
        </w:rPr>
        <w:t xml:space="preserve"> C</w:t>
      </w:r>
      <w:r w:rsidRPr="007344EA">
        <w:rPr>
          <w:lang w:val="pt-PT"/>
        </w:rPr>
        <w:noBreakHyphen/>
        <w:t xml:space="preserve">40/08 </w:t>
      </w:r>
      <w:r w:rsidRPr="007344EA">
        <w:rPr>
          <w:bCs/>
          <w:i/>
          <w:lang w:val="pt-PT"/>
        </w:rPr>
        <w:t xml:space="preserve">Asturcom Telecomunicaciones SL </w:t>
      </w:r>
      <w:r w:rsidRPr="007344EA">
        <w:rPr>
          <w:i/>
          <w:lang w:val="pt-PT"/>
        </w:rPr>
        <w:t xml:space="preserve">prieš </w:t>
      </w:r>
      <w:r w:rsidRPr="007344EA">
        <w:rPr>
          <w:bCs/>
          <w:i/>
          <w:lang w:val="pt-PT"/>
        </w:rPr>
        <w:t>Cristina Rodríguez Nogueira</w:t>
      </w:r>
      <w:r w:rsidRPr="007344EA">
        <w:rPr>
          <w:bCs/>
          <w:i/>
        </w:rPr>
        <w:t xml:space="preserve"> </w:t>
      </w:r>
      <w:r w:rsidRPr="007344EA">
        <w:rPr>
          <w:bCs/>
        </w:rPr>
        <w:t>[</w:t>
      </w:r>
      <w:r w:rsidRPr="007344EA">
        <w:rPr>
          <w:bCs/>
          <w:lang w:val="en-US"/>
        </w:rPr>
        <w:t>2009] ETA I-</w:t>
      </w:r>
      <w:r w:rsidRPr="007344EA">
        <w:t>09579.</w:t>
      </w:r>
    </w:p>
  </w:footnote>
  <w:footnote w:id="112">
    <w:p w:rsidR="00393645" w:rsidRPr="007344EA" w:rsidRDefault="00393645" w:rsidP="00171403">
      <w:pPr>
        <w:pStyle w:val="FootnoteText"/>
        <w:jc w:val="both"/>
      </w:pPr>
      <w:r w:rsidRPr="007344EA">
        <w:rPr>
          <w:rStyle w:val="FootnoteReference"/>
        </w:rPr>
        <w:footnoteRef/>
      </w:r>
      <w:r w:rsidRPr="007344EA">
        <w:t xml:space="preserve"> Generalinės advokatės Trstenjak išvada byloje </w:t>
      </w:r>
      <w:r w:rsidRPr="007344EA">
        <w:rPr>
          <w:lang w:val="pt-PT"/>
        </w:rPr>
        <w:t>C</w:t>
      </w:r>
      <w:r w:rsidRPr="007344EA">
        <w:rPr>
          <w:lang w:val="pt-PT"/>
        </w:rPr>
        <w:noBreakHyphen/>
        <w:t xml:space="preserve">40/08 </w:t>
      </w:r>
      <w:r w:rsidRPr="007344EA">
        <w:rPr>
          <w:bCs/>
          <w:i/>
          <w:lang w:val="pt-PT"/>
        </w:rPr>
        <w:t xml:space="preserve">Asturcom Telecomunicaciones SL </w:t>
      </w:r>
      <w:r w:rsidRPr="007344EA">
        <w:rPr>
          <w:i/>
          <w:lang w:val="pt-PT"/>
        </w:rPr>
        <w:t xml:space="preserve">prieš </w:t>
      </w:r>
      <w:r w:rsidRPr="007344EA">
        <w:rPr>
          <w:bCs/>
          <w:i/>
          <w:lang w:val="pt-PT"/>
        </w:rPr>
        <w:t>Cristina Rodríguez Nogueira,</w:t>
      </w:r>
      <w:r w:rsidRPr="007344EA">
        <w:rPr>
          <w:bCs/>
          <w:i/>
        </w:rPr>
        <w:t xml:space="preserve"> </w:t>
      </w:r>
      <w:r w:rsidRPr="007344EA">
        <w:rPr>
          <w:bCs/>
          <w:lang w:val="pt-PT"/>
        </w:rPr>
        <w:t xml:space="preserve">pateikta </w:t>
      </w:r>
      <w:r w:rsidRPr="007344EA">
        <w:rPr>
          <w:bCs/>
          <w:lang w:val="en-US"/>
        </w:rPr>
        <w:t xml:space="preserve">2009 m. </w:t>
      </w:r>
      <w:r w:rsidRPr="007344EA">
        <w:rPr>
          <w:bCs/>
        </w:rPr>
        <w:t xml:space="preserve"> gegužės </w:t>
      </w:r>
      <w:r w:rsidRPr="007344EA">
        <w:rPr>
          <w:bCs/>
          <w:lang w:val="en-US"/>
        </w:rPr>
        <w:t>14 d.</w:t>
      </w:r>
      <w:r w:rsidRPr="007344EA">
        <w:rPr>
          <w:bCs/>
          <w:i/>
          <w:lang w:val="pt-PT"/>
        </w:rPr>
        <w:t xml:space="preserve">, </w:t>
      </w:r>
      <w:r w:rsidRPr="007344EA">
        <w:rPr>
          <w:bCs/>
        </w:rPr>
        <w:t>para.</w:t>
      </w:r>
      <w:r w:rsidRPr="007344EA">
        <w:t xml:space="preserve"> 26. </w:t>
      </w:r>
    </w:p>
  </w:footnote>
  <w:footnote w:id="113">
    <w:p w:rsidR="00393645" w:rsidRPr="007344EA" w:rsidRDefault="00393645">
      <w:pPr>
        <w:pStyle w:val="FootnoteText"/>
      </w:pPr>
      <w:r w:rsidRPr="007344EA">
        <w:rPr>
          <w:rStyle w:val="FootnoteReference"/>
        </w:rPr>
        <w:footnoteRef/>
      </w:r>
      <w:r w:rsidRPr="007344EA">
        <w:t xml:space="preserve"> Byla</w:t>
      </w:r>
      <w:r w:rsidRPr="007344EA">
        <w:rPr>
          <w:lang w:val="pt-PT"/>
        </w:rPr>
        <w:t xml:space="preserve"> C</w:t>
      </w:r>
      <w:r w:rsidRPr="007344EA">
        <w:rPr>
          <w:lang w:val="pt-PT"/>
        </w:rPr>
        <w:noBreakHyphen/>
        <w:t xml:space="preserve">40/08 </w:t>
      </w:r>
      <w:r w:rsidRPr="007344EA">
        <w:rPr>
          <w:bCs/>
          <w:i/>
          <w:lang w:val="pt-PT"/>
        </w:rPr>
        <w:t xml:space="preserve">Asturcom Telecomunicaciones SL </w:t>
      </w:r>
      <w:r w:rsidRPr="007344EA">
        <w:rPr>
          <w:i/>
          <w:lang w:val="pt-PT"/>
        </w:rPr>
        <w:t xml:space="preserve">prieš </w:t>
      </w:r>
      <w:r w:rsidRPr="007344EA">
        <w:rPr>
          <w:bCs/>
          <w:i/>
          <w:lang w:val="pt-PT"/>
        </w:rPr>
        <w:t>Cristina Rodríguez Nogueira</w:t>
      </w:r>
      <w:r w:rsidRPr="007344EA">
        <w:rPr>
          <w:bCs/>
          <w:i/>
        </w:rPr>
        <w:t xml:space="preserve"> </w:t>
      </w:r>
      <w:r w:rsidRPr="007344EA">
        <w:rPr>
          <w:bCs/>
        </w:rPr>
        <w:t>[</w:t>
      </w:r>
      <w:r w:rsidRPr="007344EA">
        <w:rPr>
          <w:bCs/>
          <w:lang w:val="en-US"/>
        </w:rPr>
        <w:t>2009] ETA I-</w:t>
      </w:r>
      <w:r w:rsidRPr="007344EA">
        <w:t>09579</w:t>
      </w:r>
      <w:r w:rsidRPr="007344EA">
        <w:rPr>
          <w:bCs/>
          <w:i/>
          <w:lang w:val="pt-PT"/>
        </w:rPr>
        <w:t xml:space="preserve">, </w:t>
      </w:r>
      <w:r w:rsidRPr="007344EA">
        <w:rPr>
          <w:bCs/>
          <w:lang w:val="pt-PT"/>
        </w:rPr>
        <w:t>para.</w:t>
      </w:r>
      <w:r w:rsidRPr="007344EA">
        <w:t xml:space="preserve"> 28. </w:t>
      </w:r>
    </w:p>
  </w:footnote>
  <w:footnote w:id="114">
    <w:p w:rsidR="00393645" w:rsidRPr="007344EA" w:rsidRDefault="00393645" w:rsidP="005A3D3F">
      <w:pPr>
        <w:pStyle w:val="FootnoteText"/>
      </w:pPr>
      <w:r w:rsidRPr="007344EA">
        <w:rPr>
          <w:rStyle w:val="FootnoteReference"/>
        </w:rPr>
        <w:footnoteRef/>
      </w:r>
      <w:r w:rsidRPr="007344EA">
        <w:t xml:space="preserve"> Byla</w:t>
      </w:r>
      <w:r w:rsidRPr="007344EA">
        <w:rPr>
          <w:lang w:val="pt-PT"/>
        </w:rPr>
        <w:t xml:space="preserve"> C</w:t>
      </w:r>
      <w:r w:rsidRPr="007344EA">
        <w:rPr>
          <w:lang w:val="pt-PT"/>
        </w:rPr>
        <w:noBreakHyphen/>
        <w:t xml:space="preserve">168/05 </w:t>
      </w:r>
      <w:r w:rsidRPr="007344EA">
        <w:rPr>
          <w:bCs/>
          <w:i/>
          <w:lang w:val="pt-PT"/>
        </w:rPr>
        <w:t xml:space="preserve">Elisa María Mostaza Claro </w:t>
      </w:r>
      <w:r w:rsidRPr="007344EA">
        <w:rPr>
          <w:i/>
          <w:lang w:val="pt-PT"/>
        </w:rPr>
        <w:t xml:space="preserve">prieš </w:t>
      </w:r>
      <w:r w:rsidRPr="007344EA">
        <w:rPr>
          <w:bCs/>
          <w:i/>
          <w:lang w:val="pt-PT"/>
        </w:rPr>
        <w:t xml:space="preserve">Centro Móvil Milenium SL </w:t>
      </w:r>
      <w:r w:rsidRPr="007344EA">
        <w:rPr>
          <w:bCs/>
          <w:lang w:val="pt-PT"/>
        </w:rPr>
        <w:t>[2006] ETA I-</w:t>
      </w:r>
      <w:r w:rsidRPr="007344EA">
        <w:t>10421</w:t>
      </w:r>
    </w:p>
  </w:footnote>
  <w:footnote w:id="115">
    <w:p w:rsidR="00393645" w:rsidRPr="007344EA" w:rsidRDefault="00393645" w:rsidP="005A3D3F">
      <w:pPr>
        <w:pStyle w:val="FootnoteText"/>
      </w:pPr>
      <w:r w:rsidRPr="007344EA">
        <w:rPr>
          <w:rStyle w:val="FootnoteReference"/>
        </w:rPr>
        <w:footnoteRef/>
      </w:r>
      <w:r w:rsidRPr="007344EA">
        <w:t xml:space="preserve"> </w:t>
      </w:r>
      <w:r w:rsidRPr="007344EA">
        <w:rPr>
          <w:i/>
        </w:rPr>
        <w:t>Ibid</w:t>
      </w:r>
      <w:r w:rsidRPr="007344EA">
        <w:t>.,, para. 18</w:t>
      </w:r>
    </w:p>
  </w:footnote>
  <w:footnote w:id="116">
    <w:p w:rsidR="00393645" w:rsidRPr="007344EA" w:rsidRDefault="00393645" w:rsidP="005A3D3F">
      <w:pPr>
        <w:pStyle w:val="FootnoteText"/>
      </w:pPr>
      <w:r w:rsidRPr="007344EA">
        <w:rPr>
          <w:rStyle w:val="FootnoteReference"/>
        </w:rPr>
        <w:footnoteRef/>
      </w:r>
      <w:r w:rsidRPr="007344EA">
        <w:t xml:space="preserve"> </w:t>
      </w:r>
      <w:r w:rsidRPr="007344EA">
        <w:rPr>
          <w:i/>
        </w:rPr>
        <w:t>Ibid</w:t>
      </w:r>
      <w:r w:rsidRPr="007344EA">
        <w:t>.,, para. 19</w:t>
      </w:r>
    </w:p>
  </w:footnote>
  <w:footnote w:id="117">
    <w:p w:rsidR="00393645" w:rsidRPr="007344EA" w:rsidRDefault="00393645" w:rsidP="00FC624C">
      <w:pPr>
        <w:pStyle w:val="FootnoteText"/>
        <w:jc w:val="both"/>
      </w:pPr>
      <w:r w:rsidRPr="007344EA">
        <w:rPr>
          <w:rStyle w:val="FootnoteReference"/>
        </w:rPr>
        <w:footnoteRef/>
      </w:r>
      <w:r w:rsidRPr="007344EA">
        <w:t xml:space="preserve"> Generalinio advokato Tizzano išvada byloje </w:t>
      </w:r>
      <w:r w:rsidRPr="007344EA">
        <w:rPr>
          <w:lang w:val="pt-PT"/>
        </w:rPr>
        <w:t>C</w:t>
      </w:r>
      <w:r w:rsidRPr="007344EA">
        <w:rPr>
          <w:lang w:val="pt-PT"/>
        </w:rPr>
        <w:noBreakHyphen/>
        <w:t xml:space="preserve">168/05 </w:t>
      </w:r>
      <w:r w:rsidRPr="007344EA">
        <w:rPr>
          <w:bCs/>
          <w:i/>
          <w:lang w:val="pt-PT"/>
        </w:rPr>
        <w:t xml:space="preserve">Elisa María Mostaza Claro </w:t>
      </w:r>
      <w:r w:rsidRPr="007344EA">
        <w:rPr>
          <w:i/>
          <w:lang w:val="pt-PT"/>
        </w:rPr>
        <w:t xml:space="preserve">prieš </w:t>
      </w:r>
      <w:r w:rsidRPr="007344EA">
        <w:rPr>
          <w:bCs/>
          <w:i/>
          <w:lang w:val="pt-PT"/>
        </w:rPr>
        <w:t>Centro Móvil Milenium SL</w:t>
      </w:r>
      <w:r w:rsidRPr="007344EA">
        <w:rPr>
          <w:bCs/>
          <w:lang w:val="pt-PT"/>
        </w:rPr>
        <w:t xml:space="preserve">, pateikta 2006m. </w:t>
      </w:r>
      <w:r w:rsidRPr="007344EA">
        <w:rPr>
          <w:bCs/>
        </w:rPr>
        <w:t xml:space="preserve"> </w:t>
      </w:r>
      <w:r w:rsidRPr="007344EA">
        <w:rPr>
          <w:bCs/>
        </w:rPr>
        <w:t xml:space="preserve">balandžio </w:t>
      </w:r>
      <w:r w:rsidRPr="007344EA">
        <w:rPr>
          <w:bCs/>
          <w:lang w:val="en-US"/>
        </w:rPr>
        <w:t xml:space="preserve">27 d., </w:t>
      </w:r>
      <w:proofErr w:type="gramStart"/>
      <w:r w:rsidRPr="007344EA">
        <w:rPr>
          <w:bCs/>
          <w:lang w:val="en-US"/>
        </w:rPr>
        <w:t>p</w:t>
      </w:r>
      <w:r w:rsidRPr="007344EA">
        <w:t>ara</w:t>
      </w:r>
      <w:proofErr w:type="gramEnd"/>
      <w:r w:rsidRPr="007344EA">
        <w:t>. 20.</w:t>
      </w:r>
    </w:p>
  </w:footnote>
  <w:footnote w:id="118">
    <w:p w:rsidR="00393645" w:rsidRPr="007344EA" w:rsidRDefault="00393645" w:rsidP="005A3D3F">
      <w:pPr>
        <w:pStyle w:val="FootnoteText"/>
      </w:pPr>
      <w:r w:rsidRPr="007344EA">
        <w:rPr>
          <w:rStyle w:val="FootnoteReference"/>
        </w:rPr>
        <w:footnoteRef/>
      </w:r>
      <w:r w:rsidRPr="007344EA">
        <w:t xml:space="preserve"> Byla</w:t>
      </w:r>
      <w:r w:rsidRPr="007344EA">
        <w:rPr>
          <w:lang w:val="pt-PT"/>
        </w:rPr>
        <w:t xml:space="preserve"> C</w:t>
      </w:r>
      <w:r w:rsidRPr="007344EA">
        <w:rPr>
          <w:lang w:val="pt-PT"/>
        </w:rPr>
        <w:noBreakHyphen/>
        <w:t xml:space="preserve">168/05 </w:t>
      </w:r>
      <w:r w:rsidRPr="007344EA">
        <w:rPr>
          <w:bCs/>
          <w:i/>
          <w:lang w:val="pt-PT"/>
        </w:rPr>
        <w:t xml:space="preserve">Elisa María Mostaza Claro </w:t>
      </w:r>
      <w:r w:rsidRPr="007344EA">
        <w:rPr>
          <w:i/>
          <w:lang w:val="pt-PT"/>
        </w:rPr>
        <w:t xml:space="preserve">prieš </w:t>
      </w:r>
      <w:r w:rsidRPr="007344EA">
        <w:rPr>
          <w:bCs/>
          <w:i/>
          <w:lang w:val="pt-PT"/>
        </w:rPr>
        <w:t xml:space="preserve">Centro Móvil Milenium SL </w:t>
      </w:r>
      <w:r w:rsidRPr="007344EA">
        <w:rPr>
          <w:bCs/>
          <w:lang w:val="pt-PT"/>
        </w:rPr>
        <w:t>[2006] ETA I-</w:t>
      </w:r>
      <w:r w:rsidRPr="007344EA">
        <w:t>10421, para</w:t>
      </w:r>
      <w:r w:rsidRPr="007344EA">
        <w:rPr>
          <w:bCs/>
          <w:i/>
          <w:lang w:val="pt-PT"/>
        </w:rPr>
        <w:t>.</w:t>
      </w:r>
      <w:r w:rsidRPr="007344EA">
        <w:t xml:space="preserve"> 20</w:t>
      </w:r>
    </w:p>
  </w:footnote>
  <w:footnote w:id="119">
    <w:p w:rsidR="00393645" w:rsidRPr="007344EA" w:rsidRDefault="00393645">
      <w:pPr>
        <w:pStyle w:val="FootnoteText"/>
      </w:pPr>
      <w:r w:rsidRPr="007344EA">
        <w:rPr>
          <w:rStyle w:val="FootnoteReference"/>
        </w:rPr>
        <w:footnoteRef/>
      </w:r>
      <w:r w:rsidRPr="007344EA">
        <w:t xml:space="preserve"> Byla C-137/08 </w:t>
      </w:r>
      <w:r w:rsidRPr="007344EA">
        <w:rPr>
          <w:bCs/>
          <w:i/>
          <w:lang w:val="pt-PT"/>
        </w:rPr>
        <w:t xml:space="preserve">VB Pénzügyi Lízing Zrt. </w:t>
      </w:r>
      <w:r w:rsidRPr="007344EA">
        <w:rPr>
          <w:i/>
          <w:lang w:val="pt-PT"/>
        </w:rPr>
        <w:t xml:space="preserve">Prieš </w:t>
      </w:r>
      <w:r w:rsidRPr="007344EA">
        <w:rPr>
          <w:bCs/>
          <w:i/>
          <w:lang w:val="pt-PT"/>
        </w:rPr>
        <w:t>Ferenc  Fchneider</w:t>
      </w:r>
      <w:r w:rsidRPr="007344EA">
        <w:rPr>
          <w:bCs/>
          <w:lang w:val="pt-PT"/>
        </w:rPr>
        <w:t xml:space="preserve"> [2010] ETA I-</w:t>
      </w:r>
      <w:r w:rsidRPr="007344EA">
        <w:t>10847.</w:t>
      </w:r>
    </w:p>
  </w:footnote>
  <w:footnote w:id="120">
    <w:p w:rsidR="00393645" w:rsidRPr="007344EA" w:rsidRDefault="00393645" w:rsidP="008A176F">
      <w:pPr>
        <w:pStyle w:val="FootnoteText"/>
        <w:jc w:val="both"/>
      </w:pPr>
      <w:r w:rsidRPr="007344EA">
        <w:rPr>
          <w:rStyle w:val="FootnoteReference"/>
        </w:rPr>
        <w:footnoteRef/>
      </w:r>
      <w:r w:rsidRPr="007344EA">
        <w:t xml:space="preserve"> Generalinės advokatės Trstenjak išvada byloje C-137/08 </w:t>
      </w:r>
      <w:r w:rsidRPr="007344EA">
        <w:rPr>
          <w:bCs/>
          <w:i/>
          <w:lang w:val="pt-PT"/>
        </w:rPr>
        <w:t xml:space="preserve">VB Pénzügyi Lízing Zrt. </w:t>
      </w:r>
      <w:r w:rsidRPr="007344EA">
        <w:rPr>
          <w:i/>
          <w:lang w:val="pt-PT"/>
        </w:rPr>
        <w:t xml:space="preserve">Prieš </w:t>
      </w:r>
      <w:r w:rsidRPr="007344EA">
        <w:rPr>
          <w:bCs/>
          <w:i/>
          <w:lang w:val="pt-PT"/>
        </w:rPr>
        <w:t xml:space="preserve">Ferenc  Fchneider, </w:t>
      </w:r>
      <w:r w:rsidRPr="007344EA">
        <w:rPr>
          <w:bCs/>
          <w:lang w:val="pt-PT"/>
        </w:rPr>
        <w:t xml:space="preserve">pateikta </w:t>
      </w:r>
      <w:r w:rsidRPr="007344EA">
        <w:rPr>
          <w:bCs/>
          <w:lang w:val="en-US"/>
        </w:rPr>
        <w:t xml:space="preserve">2010 m. </w:t>
      </w:r>
      <w:proofErr w:type="gramStart"/>
      <w:r w:rsidRPr="007344EA">
        <w:rPr>
          <w:bCs/>
          <w:lang w:val="en-US"/>
        </w:rPr>
        <w:t>liepos</w:t>
      </w:r>
      <w:proofErr w:type="gramEnd"/>
      <w:r w:rsidRPr="007344EA">
        <w:rPr>
          <w:bCs/>
          <w:lang w:val="en-US"/>
        </w:rPr>
        <w:t xml:space="preserve"> 6d., p</w:t>
      </w:r>
      <w:r w:rsidRPr="007344EA">
        <w:t>ara. 22.</w:t>
      </w:r>
    </w:p>
  </w:footnote>
  <w:footnote w:id="121">
    <w:p w:rsidR="00393645" w:rsidRPr="007344EA" w:rsidRDefault="00393645" w:rsidP="008A176F">
      <w:pPr>
        <w:pStyle w:val="FootnoteText"/>
        <w:jc w:val="both"/>
      </w:pPr>
      <w:r w:rsidRPr="007344EA">
        <w:rPr>
          <w:rStyle w:val="FootnoteReference"/>
        </w:rPr>
        <w:footnoteRef/>
      </w:r>
      <w:r w:rsidRPr="007344EA">
        <w:t xml:space="preserve"> </w:t>
      </w:r>
      <w:r w:rsidRPr="007344EA">
        <w:rPr>
          <w:i/>
        </w:rPr>
        <w:t>Ibid</w:t>
      </w:r>
      <w:r w:rsidRPr="007344EA">
        <w:t>.,</w:t>
      </w:r>
      <w:r w:rsidRPr="007344EA">
        <w:rPr>
          <w:bCs/>
          <w:lang w:val="en-US"/>
        </w:rPr>
        <w:t xml:space="preserve"> </w:t>
      </w:r>
      <w:proofErr w:type="gramStart"/>
      <w:r w:rsidRPr="007344EA">
        <w:rPr>
          <w:bCs/>
          <w:lang w:val="en-US"/>
        </w:rPr>
        <w:t>p</w:t>
      </w:r>
      <w:r w:rsidRPr="007344EA">
        <w:t>ara</w:t>
      </w:r>
      <w:proofErr w:type="gramEnd"/>
      <w:r w:rsidRPr="007344EA">
        <w:t>. 23.</w:t>
      </w:r>
    </w:p>
  </w:footnote>
  <w:footnote w:id="122">
    <w:p w:rsidR="00393645" w:rsidRPr="007344EA" w:rsidRDefault="00393645" w:rsidP="008A176F">
      <w:pPr>
        <w:pStyle w:val="FootnoteText"/>
        <w:jc w:val="both"/>
      </w:pPr>
      <w:r w:rsidRPr="007344EA">
        <w:rPr>
          <w:rStyle w:val="FootnoteReference"/>
        </w:rPr>
        <w:footnoteRef/>
      </w:r>
      <w:r w:rsidRPr="007344EA">
        <w:t xml:space="preserve"> Byla C-137/08 </w:t>
      </w:r>
      <w:r w:rsidRPr="007344EA">
        <w:rPr>
          <w:bCs/>
          <w:i/>
          <w:lang w:val="pt-PT"/>
        </w:rPr>
        <w:t xml:space="preserve">VB Pénzügyi Lízing Zrt. </w:t>
      </w:r>
      <w:r w:rsidRPr="007344EA">
        <w:rPr>
          <w:i/>
          <w:lang w:val="pt-PT"/>
        </w:rPr>
        <w:t xml:space="preserve">Prieš </w:t>
      </w:r>
      <w:r w:rsidRPr="007344EA">
        <w:rPr>
          <w:bCs/>
          <w:i/>
          <w:lang w:val="pt-PT"/>
        </w:rPr>
        <w:t>Ferenc  Fchneider</w:t>
      </w:r>
      <w:r w:rsidRPr="007344EA">
        <w:rPr>
          <w:bCs/>
          <w:lang w:val="pt-PT"/>
        </w:rPr>
        <w:t xml:space="preserve"> [2010] ETA I-</w:t>
      </w:r>
      <w:r w:rsidRPr="007344EA">
        <w:t>10847, para. 52.</w:t>
      </w:r>
    </w:p>
  </w:footnote>
  <w:footnote w:id="123">
    <w:p w:rsidR="00393645" w:rsidRPr="007344EA" w:rsidRDefault="00393645" w:rsidP="00ED1109">
      <w:pPr>
        <w:pStyle w:val="FootnoteText"/>
      </w:pPr>
      <w:r w:rsidRPr="007344EA">
        <w:rPr>
          <w:rStyle w:val="FootnoteReference"/>
        </w:rPr>
        <w:footnoteRef/>
      </w:r>
      <w:r w:rsidRPr="007344EA">
        <w:t xml:space="preserve"> </w:t>
      </w:r>
      <w:r w:rsidRPr="007344EA">
        <w:rPr>
          <w:i/>
        </w:rPr>
        <w:t>Ibid</w:t>
      </w:r>
      <w:r w:rsidRPr="007344EA">
        <w:t>., para. 17</w:t>
      </w:r>
    </w:p>
  </w:footnote>
  <w:footnote w:id="124">
    <w:p w:rsidR="00393645" w:rsidRPr="007344EA" w:rsidRDefault="00393645" w:rsidP="00ED1109">
      <w:pPr>
        <w:pStyle w:val="FootnoteText"/>
      </w:pPr>
      <w:r w:rsidRPr="007344EA">
        <w:rPr>
          <w:rStyle w:val="FootnoteReference"/>
        </w:rPr>
        <w:footnoteRef/>
      </w:r>
      <w:r w:rsidRPr="007344EA">
        <w:t xml:space="preserve"> Byla </w:t>
      </w:r>
      <w:r w:rsidRPr="007344EA">
        <w:rPr>
          <w:lang w:val="pt-PT"/>
        </w:rPr>
        <w:t xml:space="preserve">C-243/08 </w:t>
      </w:r>
      <w:r w:rsidRPr="007344EA">
        <w:rPr>
          <w:bCs/>
          <w:i/>
          <w:lang w:val="pt-PT"/>
        </w:rPr>
        <w:t xml:space="preserve">Pannon GSM Zrt. </w:t>
      </w:r>
      <w:r w:rsidRPr="007344EA">
        <w:rPr>
          <w:i/>
          <w:lang w:val="pt-PT"/>
        </w:rPr>
        <w:t xml:space="preserve">Prieš </w:t>
      </w:r>
      <w:r w:rsidRPr="007344EA">
        <w:rPr>
          <w:bCs/>
          <w:i/>
          <w:lang w:val="pt-PT"/>
        </w:rPr>
        <w:t>Erzsébet Sustikné</w:t>
      </w:r>
      <w:r w:rsidRPr="007344EA">
        <w:rPr>
          <w:b/>
          <w:bCs/>
          <w:lang w:val="pt-PT"/>
        </w:rPr>
        <w:t xml:space="preserve"> </w:t>
      </w:r>
      <w:r w:rsidRPr="007344EA">
        <w:rPr>
          <w:bCs/>
          <w:i/>
          <w:lang w:val="pt-PT"/>
        </w:rPr>
        <w:t xml:space="preserve">Győrfi </w:t>
      </w:r>
      <w:r w:rsidRPr="007344EA">
        <w:rPr>
          <w:bCs/>
          <w:lang w:val="en-US"/>
        </w:rPr>
        <w:t>[2009] ETA I-</w:t>
      </w:r>
      <w:r w:rsidRPr="007344EA">
        <w:t>04713.</w:t>
      </w:r>
    </w:p>
  </w:footnote>
  <w:footnote w:id="125">
    <w:p w:rsidR="00393645" w:rsidRPr="007344EA" w:rsidRDefault="00393645" w:rsidP="00ED1109">
      <w:pPr>
        <w:pStyle w:val="FootnoteText"/>
        <w:ind w:left="2592" w:hanging="2592"/>
      </w:pPr>
      <w:r w:rsidRPr="007344EA">
        <w:rPr>
          <w:rStyle w:val="FootnoteReference"/>
        </w:rPr>
        <w:footnoteRef/>
      </w:r>
      <w:r w:rsidRPr="007344EA">
        <w:t xml:space="preserve"> Byla C-137/08 </w:t>
      </w:r>
      <w:r w:rsidRPr="007344EA">
        <w:rPr>
          <w:bCs/>
          <w:i/>
          <w:lang w:val="pt-PT"/>
        </w:rPr>
        <w:t xml:space="preserve">VB Pénzügyi Lízing Zrt. </w:t>
      </w:r>
      <w:r w:rsidRPr="007344EA">
        <w:rPr>
          <w:i/>
          <w:lang w:val="pt-PT"/>
        </w:rPr>
        <w:t xml:space="preserve">Prieš </w:t>
      </w:r>
      <w:r w:rsidRPr="007344EA">
        <w:rPr>
          <w:bCs/>
          <w:i/>
          <w:lang w:val="pt-PT"/>
        </w:rPr>
        <w:t>Ferenc  Fchneider</w:t>
      </w:r>
      <w:r w:rsidRPr="007344EA">
        <w:rPr>
          <w:bCs/>
          <w:lang w:val="pt-PT"/>
        </w:rPr>
        <w:t xml:space="preserve"> [2010] ETA I-</w:t>
      </w:r>
      <w:r w:rsidRPr="007344EA">
        <w:t>10847, para.45.</w:t>
      </w:r>
    </w:p>
  </w:footnote>
  <w:footnote w:id="126">
    <w:p w:rsidR="00393645" w:rsidRPr="007344EA" w:rsidRDefault="00393645" w:rsidP="00ED1109">
      <w:pPr>
        <w:pStyle w:val="FootnoteText"/>
      </w:pPr>
      <w:r w:rsidRPr="007344EA">
        <w:rPr>
          <w:rStyle w:val="FootnoteReference"/>
        </w:rPr>
        <w:footnoteRef/>
      </w:r>
      <w:r w:rsidRPr="007344EA">
        <w:t xml:space="preserve"> Byla </w:t>
      </w:r>
      <w:r w:rsidRPr="007344EA">
        <w:rPr>
          <w:lang w:val="pt-PT"/>
        </w:rPr>
        <w:t xml:space="preserve">C-243/08 </w:t>
      </w:r>
      <w:r w:rsidRPr="007344EA">
        <w:rPr>
          <w:bCs/>
          <w:i/>
          <w:lang w:val="pt-PT"/>
        </w:rPr>
        <w:t xml:space="preserve">Pannon GSM Zrt. </w:t>
      </w:r>
      <w:r w:rsidRPr="007344EA">
        <w:rPr>
          <w:i/>
          <w:lang w:val="pt-PT"/>
        </w:rPr>
        <w:t xml:space="preserve">Prieš </w:t>
      </w:r>
      <w:r w:rsidRPr="007344EA">
        <w:rPr>
          <w:bCs/>
          <w:i/>
          <w:lang w:val="pt-PT"/>
        </w:rPr>
        <w:t>Erzsébet Sustikné</w:t>
      </w:r>
      <w:r w:rsidRPr="007344EA">
        <w:rPr>
          <w:b/>
          <w:bCs/>
          <w:lang w:val="pt-PT"/>
        </w:rPr>
        <w:t xml:space="preserve"> </w:t>
      </w:r>
      <w:r w:rsidRPr="007344EA">
        <w:rPr>
          <w:bCs/>
          <w:i/>
          <w:lang w:val="pt-PT"/>
        </w:rPr>
        <w:t xml:space="preserve">Győrfi </w:t>
      </w:r>
      <w:r w:rsidRPr="007344EA">
        <w:rPr>
          <w:bCs/>
          <w:lang w:val="en-US"/>
        </w:rPr>
        <w:t>[2009] ETA I-</w:t>
      </w:r>
      <w:r w:rsidRPr="007344EA">
        <w:t xml:space="preserve">04713. </w:t>
      </w:r>
    </w:p>
  </w:footnote>
  <w:footnote w:id="127">
    <w:p w:rsidR="00393645" w:rsidRPr="007344EA" w:rsidRDefault="00393645" w:rsidP="00ED1109">
      <w:pPr>
        <w:pStyle w:val="FootnoteText"/>
      </w:pPr>
      <w:r w:rsidRPr="007344EA">
        <w:rPr>
          <w:rStyle w:val="FootnoteReference"/>
        </w:rPr>
        <w:footnoteRef/>
      </w:r>
      <w:r w:rsidRPr="007344EA">
        <w:t xml:space="preserve"> </w:t>
      </w:r>
      <w:r w:rsidRPr="007344EA">
        <w:rPr>
          <w:i/>
        </w:rPr>
        <w:t>Ibid</w:t>
      </w:r>
      <w:r w:rsidRPr="007344EA">
        <w:t>.,para. 12.</w:t>
      </w:r>
    </w:p>
  </w:footnote>
  <w:footnote w:id="128">
    <w:p w:rsidR="00393645" w:rsidRPr="007344EA" w:rsidRDefault="00393645">
      <w:pPr>
        <w:pStyle w:val="FootnoteText"/>
      </w:pPr>
      <w:r w:rsidRPr="007344EA">
        <w:rPr>
          <w:rStyle w:val="FootnoteReference"/>
        </w:rPr>
        <w:footnoteRef/>
      </w:r>
      <w:r w:rsidRPr="007344EA">
        <w:t xml:space="preserve"> </w:t>
      </w:r>
      <w:r w:rsidRPr="007344EA">
        <w:rPr>
          <w:i/>
        </w:rPr>
        <w:t>Ibid</w:t>
      </w:r>
      <w:r w:rsidRPr="007344EA">
        <w:t xml:space="preserve">., para. 36. </w:t>
      </w:r>
    </w:p>
  </w:footnote>
  <w:footnote w:id="129">
    <w:p w:rsidR="00393645" w:rsidRPr="007344EA" w:rsidRDefault="00393645" w:rsidP="00C547EF">
      <w:pPr>
        <w:pStyle w:val="FootnoteText"/>
        <w:jc w:val="both"/>
      </w:pPr>
      <w:r w:rsidRPr="007344EA">
        <w:rPr>
          <w:rStyle w:val="FootnoteReference"/>
        </w:rPr>
        <w:footnoteRef/>
      </w:r>
      <w:r w:rsidRPr="007344EA">
        <w:t xml:space="preserve"> Byla C</w:t>
      </w:r>
      <w:r w:rsidRPr="007344EA">
        <w:noBreakHyphen/>
        <w:t xml:space="preserve">76/10 </w:t>
      </w:r>
      <w:r w:rsidRPr="007344EA">
        <w:rPr>
          <w:bCs/>
          <w:i/>
          <w:lang w:val="pt-PT"/>
        </w:rPr>
        <w:t xml:space="preserve">Pohotovosť s. r. o. </w:t>
      </w:r>
      <w:r w:rsidRPr="007344EA">
        <w:rPr>
          <w:i/>
          <w:lang w:val="pt-PT"/>
        </w:rPr>
        <w:t xml:space="preserve">prieš </w:t>
      </w:r>
      <w:r w:rsidRPr="007344EA">
        <w:rPr>
          <w:bCs/>
          <w:i/>
          <w:lang w:val="pt-PT"/>
        </w:rPr>
        <w:t>Iveta Korčkovská</w:t>
      </w:r>
      <w:r w:rsidRPr="007344EA">
        <w:rPr>
          <w:bCs/>
          <w:lang w:val="pt-PT"/>
        </w:rPr>
        <w:t xml:space="preserve"> [2010] ETA I-</w:t>
      </w:r>
      <w:r w:rsidRPr="007344EA">
        <w:t xml:space="preserve">11557. </w:t>
      </w:r>
    </w:p>
  </w:footnote>
  <w:footnote w:id="130">
    <w:p w:rsidR="00393645" w:rsidRPr="007344EA" w:rsidRDefault="00393645">
      <w:pPr>
        <w:pStyle w:val="FootnoteText"/>
      </w:pPr>
      <w:r w:rsidRPr="007344EA">
        <w:rPr>
          <w:rStyle w:val="FootnoteReference"/>
        </w:rPr>
        <w:footnoteRef/>
      </w:r>
      <w:r w:rsidRPr="007344EA">
        <w:t xml:space="preserve"> </w:t>
      </w:r>
      <w:r w:rsidRPr="007344EA">
        <w:rPr>
          <w:i/>
        </w:rPr>
        <w:t>Ibid</w:t>
      </w:r>
      <w:r w:rsidRPr="007344EA">
        <w:t>., para. 30.</w:t>
      </w:r>
    </w:p>
  </w:footnote>
  <w:footnote w:id="131">
    <w:p w:rsidR="00393645" w:rsidRPr="007344EA" w:rsidRDefault="00393645">
      <w:pPr>
        <w:pStyle w:val="FootnoteText"/>
      </w:pPr>
      <w:r w:rsidRPr="007344EA">
        <w:rPr>
          <w:rStyle w:val="FootnoteReference"/>
        </w:rPr>
        <w:footnoteRef/>
      </w:r>
      <w:r w:rsidRPr="007344EA">
        <w:t xml:space="preserve"> Byla C</w:t>
      </w:r>
      <w:r w:rsidRPr="007344EA">
        <w:noBreakHyphen/>
        <w:t xml:space="preserve">76/10 </w:t>
      </w:r>
      <w:r w:rsidRPr="007344EA">
        <w:rPr>
          <w:bCs/>
          <w:i/>
          <w:lang w:val="pt-PT"/>
        </w:rPr>
        <w:t xml:space="preserve">Pohotovosť s. r. o. </w:t>
      </w:r>
      <w:r w:rsidRPr="007344EA">
        <w:rPr>
          <w:i/>
          <w:lang w:val="pt-PT"/>
        </w:rPr>
        <w:t xml:space="preserve">prieš </w:t>
      </w:r>
      <w:r w:rsidRPr="007344EA">
        <w:rPr>
          <w:bCs/>
          <w:i/>
          <w:lang w:val="pt-PT"/>
        </w:rPr>
        <w:t>Iveta Korčkovská</w:t>
      </w:r>
      <w:r w:rsidRPr="007344EA">
        <w:rPr>
          <w:bCs/>
          <w:lang w:val="pt-PT"/>
        </w:rPr>
        <w:t xml:space="preserve"> [2010] ETA I-</w:t>
      </w:r>
      <w:r w:rsidRPr="007344EA">
        <w:t xml:space="preserve">11557, para 29. </w:t>
      </w:r>
    </w:p>
  </w:footnote>
  <w:footnote w:id="132">
    <w:p w:rsidR="00393645" w:rsidRPr="007344EA" w:rsidRDefault="00393645">
      <w:pPr>
        <w:pStyle w:val="FootnoteText"/>
      </w:pPr>
      <w:r w:rsidRPr="007344EA">
        <w:rPr>
          <w:rStyle w:val="FootnoteReference"/>
        </w:rPr>
        <w:footnoteRef/>
      </w:r>
      <w:r w:rsidRPr="007344EA">
        <w:t xml:space="preserve"> Byla C-618/10 </w:t>
      </w:r>
      <w:r w:rsidRPr="007344EA">
        <w:rPr>
          <w:i/>
        </w:rPr>
        <w:t xml:space="preserve">Banco Español de Crédito SA prieš Joaquín Calderón Camino </w:t>
      </w:r>
      <w:r w:rsidRPr="007344EA">
        <w:t>[dar nepaskelbta].</w:t>
      </w:r>
    </w:p>
  </w:footnote>
  <w:footnote w:id="133">
    <w:p w:rsidR="00393645" w:rsidRPr="007344EA" w:rsidRDefault="00393645">
      <w:pPr>
        <w:pStyle w:val="FootnoteText"/>
        <w:rPr>
          <w:lang w:val="en-US"/>
        </w:rPr>
      </w:pPr>
      <w:r w:rsidRPr="007344EA">
        <w:rPr>
          <w:rStyle w:val="FootnoteReference"/>
        </w:rPr>
        <w:footnoteRef/>
      </w:r>
      <w:r w:rsidRPr="007344EA">
        <w:t xml:space="preserve"> </w:t>
      </w:r>
      <w:r w:rsidRPr="007344EA">
        <w:rPr>
          <w:i/>
        </w:rPr>
        <w:t>Ibid</w:t>
      </w:r>
      <w:r w:rsidRPr="007344EA">
        <w:t xml:space="preserve">.,para </w:t>
      </w:r>
      <w:r w:rsidRPr="007344EA">
        <w:rPr>
          <w:lang w:val="en-US"/>
        </w:rPr>
        <w:t xml:space="preserve">28. </w:t>
      </w:r>
    </w:p>
  </w:footnote>
  <w:footnote w:id="134">
    <w:p w:rsidR="00393645" w:rsidRPr="007344EA" w:rsidRDefault="00393645">
      <w:pPr>
        <w:pStyle w:val="FootnoteText"/>
      </w:pPr>
      <w:r w:rsidRPr="007344EA">
        <w:rPr>
          <w:rStyle w:val="FootnoteReference"/>
        </w:rPr>
        <w:footnoteRef/>
      </w:r>
      <w:r w:rsidRPr="007344EA">
        <w:t xml:space="preserve"> </w:t>
      </w:r>
      <w:r w:rsidRPr="007344EA">
        <w:rPr>
          <w:i/>
        </w:rPr>
        <w:t>lot.</w:t>
      </w:r>
      <w:r w:rsidRPr="007344EA">
        <w:t xml:space="preserve"> – nuo proceso pradžios.</w:t>
      </w:r>
    </w:p>
  </w:footnote>
  <w:footnote w:id="135">
    <w:p w:rsidR="00393645" w:rsidRPr="007344EA" w:rsidRDefault="00393645">
      <w:pPr>
        <w:pStyle w:val="FootnoteText"/>
        <w:rPr>
          <w:lang w:val="en-US"/>
        </w:rPr>
      </w:pPr>
      <w:r w:rsidRPr="007344EA">
        <w:rPr>
          <w:rStyle w:val="FootnoteReference"/>
        </w:rPr>
        <w:footnoteRef/>
      </w:r>
      <w:r w:rsidRPr="007344EA">
        <w:t xml:space="preserve"> Byla C-618/10 </w:t>
      </w:r>
      <w:r w:rsidRPr="007344EA">
        <w:rPr>
          <w:i/>
        </w:rPr>
        <w:t xml:space="preserve">Banco Español de Crédito SA prieš Joaquín Calderón Camino </w:t>
      </w:r>
      <w:r w:rsidRPr="007344EA">
        <w:t xml:space="preserve">[dar nepaskelbta], para </w:t>
      </w:r>
      <w:r w:rsidRPr="007344EA">
        <w:rPr>
          <w:lang w:val="en-US"/>
        </w:rPr>
        <w:t xml:space="preserve">32. </w:t>
      </w:r>
    </w:p>
  </w:footnote>
  <w:footnote w:id="136">
    <w:p w:rsidR="00393645" w:rsidRPr="007344EA" w:rsidRDefault="00393645">
      <w:pPr>
        <w:pStyle w:val="FootnoteText"/>
        <w:rPr>
          <w:lang w:val="en-US"/>
        </w:rPr>
      </w:pPr>
      <w:r w:rsidRPr="007344EA">
        <w:rPr>
          <w:rStyle w:val="FootnoteReference"/>
        </w:rPr>
        <w:footnoteRef/>
      </w:r>
      <w:r w:rsidRPr="007344EA">
        <w:t xml:space="preserve"> </w:t>
      </w:r>
      <w:r w:rsidRPr="007344EA">
        <w:rPr>
          <w:i/>
        </w:rPr>
        <w:t>Ibid</w:t>
      </w:r>
      <w:r w:rsidRPr="007344EA">
        <w:t xml:space="preserve">., para </w:t>
      </w:r>
      <w:r w:rsidRPr="007344EA">
        <w:rPr>
          <w:lang w:val="en-US"/>
        </w:rPr>
        <w:t xml:space="preserve">33. </w:t>
      </w:r>
    </w:p>
  </w:footnote>
  <w:footnote w:id="137">
    <w:p w:rsidR="00393645" w:rsidRPr="007344EA" w:rsidRDefault="00393645">
      <w:pPr>
        <w:pStyle w:val="FootnoteText"/>
        <w:rPr>
          <w:lang w:val="en-US"/>
        </w:rPr>
      </w:pPr>
      <w:r w:rsidRPr="007344EA">
        <w:rPr>
          <w:rStyle w:val="FootnoteReference"/>
        </w:rPr>
        <w:footnoteRef/>
      </w:r>
      <w:r w:rsidRPr="007344EA">
        <w:t xml:space="preserve"> </w:t>
      </w:r>
      <w:r w:rsidRPr="007344EA">
        <w:rPr>
          <w:i/>
        </w:rPr>
        <w:t>Ibid</w:t>
      </w:r>
      <w:r w:rsidRPr="007344EA">
        <w:t xml:space="preserve">., para </w:t>
      </w:r>
      <w:r w:rsidRPr="007344EA">
        <w:rPr>
          <w:lang w:val="en-US"/>
        </w:rPr>
        <w:t xml:space="preserve">38. </w:t>
      </w:r>
    </w:p>
  </w:footnote>
  <w:footnote w:id="138">
    <w:p w:rsidR="00393645" w:rsidRPr="007344EA" w:rsidRDefault="00393645">
      <w:pPr>
        <w:pStyle w:val="FootnoteText"/>
      </w:pPr>
      <w:r w:rsidRPr="007344EA">
        <w:rPr>
          <w:rStyle w:val="FootnoteReference"/>
        </w:rPr>
        <w:footnoteRef/>
      </w:r>
      <w:r w:rsidRPr="007344EA">
        <w:t xml:space="preserve"> Vaišvila A.  </w:t>
      </w:r>
      <w:r w:rsidRPr="007344EA">
        <w:rPr>
          <w:i/>
        </w:rPr>
        <w:t>Teisės Teorija -</w:t>
      </w:r>
      <w:r w:rsidRPr="007344EA">
        <w:rPr>
          <w:i/>
          <w:lang w:val="en-US"/>
        </w:rPr>
        <w:t>3-iasis leidimas</w:t>
      </w:r>
      <w:r w:rsidRPr="007344EA">
        <w:rPr>
          <w:lang w:val="en-US"/>
        </w:rPr>
        <w:t xml:space="preserve">. </w:t>
      </w:r>
      <w:r w:rsidRPr="007344EA">
        <w:t xml:space="preserve"> Mykolo Romerio universitetas, Vilnius. Justitia, 2009, p. 254.</w:t>
      </w:r>
    </w:p>
  </w:footnote>
  <w:footnote w:id="139">
    <w:p w:rsidR="00393645" w:rsidRPr="007344EA" w:rsidRDefault="00393645">
      <w:pPr>
        <w:pStyle w:val="FootnoteText"/>
        <w:rPr>
          <w:lang w:val="en-US"/>
        </w:rPr>
      </w:pPr>
      <w:r w:rsidRPr="007344EA">
        <w:rPr>
          <w:rStyle w:val="FootnoteReference"/>
        </w:rPr>
        <w:footnoteRef/>
      </w:r>
      <w:r w:rsidRPr="007344EA">
        <w:t xml:space="preserve"> Pavyzdžiui: byla C-618/10 </w:t>
      </w:r>
      <w:r w:rsidRPr="007344EA">
        <w:rPr>
          <w:i/>
        </w:rPr>
        <w:t xml:space="preserve">Banco Español de Crédito SA prieš Joaquín Calderón Camino </w:t>
      </w:r>
      <w:r w:rsidRPr="007344EA">
        <w:t xml:space="preserve">[dar nepaskelbta], para. </w:t>
      </w:r>
      <w:r w:rsidRPr="007344EA">
        <w:rPr>
          <w:lang w:val="en-US"/>
        </w:rPr>
        <w:t xml:space="preserve">46. </w:t>
      </w:r>
    </w:p>
  </w:footnote>
  <w:footnote w:id="140">
    <w:p w:rsidR="00393645" w:rsidRPr="007344EA" w:rsidRDefault="00393645" w:rsidP="00E730C7">
      <w:pPr>
        <w:pStyle w:val="FootnoteText"/>
      </w:pPr>
      <w:r w:rsidRPr="007344EA">
        <w:rPr>
          <w:rStyle w:val="FootnoteReference"/>
        </w:rPr>
        <w:footnoteRef/>
      </w:r>
      <w:r w:rsidRPr="007344EA">
        <w:t xml:space="preserve"> Case</w:t>
      </w:r>
      <w:r w:rsidRPr="007344EA">
        <w:rPr>
          <w:lang w:val="pt-PT"/>
        </w:rPr>
        <w:t xml:space="preserve"> </w:t>
      </w:r>
      <w:r w:rsidRPr="007344EA">
        <w:t xml:space="preserve">C-541/99 , C-542/99 </w:t>
      </w:r>
      <w:r w:rsidRPr="007344EA">
        <w:rPr>
          <w:i/>
          <w:lang w:val="pt-PT"/>
        </w:rPr>
        <w:t xml:space="preserve">Cape Snc v </w:t>
      </w:r>
      <w:r w:rsidRPr="007344EA">
        <w:rPr>
          <w:bCs/>
          <w:i/>
          <w:lang w:val="pt-PT"/>
        </w:rPr>
        <w:t>Idealservice Srl</w:t>
      </w:r>
      <w:r w:rsidRPr="007344EA">
        <w:rPr>
          <w:i/>
          <w:lang w:val="pt-PT"/>
        </w:rPr>
        <w:t xml:space="preserve">, </w:t>
      </w:r>
      <w:r w:rsidRPr="007344EA">
        <w:rPr>
          <w:bCs/>
          <w:i/>
          <w:lang w:val="pt-PT"/>
        </w:rPr>
        <w:t>Idealservice MN RE Sas</w:t>
      </w:r>
      <w:r w:rsidRPr="007344EA">
        <w:rPr>
          <w:i/>
          <w:lang w:val="pt-PT"/>
        </w:rPr>
        <w:t xml:space="preserve"> v </w:t>
      </w:r>
      <w:r w:rsidRPr="007344EA">
        <w:rPr>
          <w:bCs/>
          <w:i/>
          <w:lang w:val="pt-PT"/>
        </w:rPr>
        <w:t>OMAI Srl</w:t>
      </w:r>
      <w:r w:rsidRPr="007344EA">
        <w:rPr>
          <w:bCs/>
          <w:lang w:val="pt-PT"/>
        </w:rPr>
        <w:t xml:space="preserve"> [2001] ECR I-</w:t>
      </w:r>
      <w:r w:rsidRPr="007344EA">
        <w:rPr>
          <w:rStyle w:val="Emphasis"/>
          <w:rFonts w:eastAsiaTheme="majorEastAsia"/>
        </w:rPr>
        <w:t>09049.</w:t>
      </w:r>
    </w:p>
  </w:footnote>
  <w:footnote w:id="141">
    <w:p w:rsidR="00393645" w:rsidRPr="007344EA" w:rsidRDefault="00393645" w:rsidP="00DA5074">
      <w:pPr>
        <w:pStyle w:val="FootnoteText"/>
      </w:pPr>
      <w:r w:rsidRPr="007344EA">
        <w:rPr>
          <w:rStyle w:val="FootnoteReference"/>
        </w:rPr>
        <w:footnoteRef/>
      </w:r>
      <w:r w:rsidRPr="007344EA">
        <w:t xml:space="preserve"> Byla </w:t>
      </w:r>
      <w:r w:rsidRPr="007344EA">
        <w:rPr>
          <w:lang w:val="pt-PT"/>
        </w:rPr>
        <w:t>C</w:t>
      </w:r>
      <w:r w:rsidRPr="007344EA">
        <w:rPr>
          <w:lang w:val="pt-PT"/>
        </w:rPr>
        <w:noBreakHyphen/>
        <w:t>484/08</w:t>
      </w:r>
      <w:r w:rsidRPr="007344EA">
        <w:rPr>
          <w:i/>
          <w:lang w:val="pt-PT"/>
        </w:rPr>
        <w:t xml:space="preserve"> </w:t>
      </w:r>
      <w:r w:rsidRPr="007344EA">
        <w:rPr>
          <w:bCs/>
          <w:i/>
          <w:lang w:val="es-ES"/>
        </w:rPr>
        <w:t xml:space="preserve">Caja de Ahorros y Monte de Piedad de Madrid </w:t>
      </w:r>
      <w:r w:rsidRPr="007344EA">
        <w:rPr>
          <w:i/>
          <w:lang w:val="es-ES"/>
        </w:rPr>
        <w:t xml:space="preserve">prieš </w:t>
      </w:r>
      <w:r w:rsidRPr="007344EA">
        <w:rPr>
          <w:bCs/>
          <w:i/>
          <w:lang w:val="es-ES"/>
        </w:rPr>
        <w:t>Asociación de Usuarios de Servicios Bancarios (Ausbanc)</w:t>
      </w:r>
      <w:r w:rsidRPr="007344EA">
        <w:rPr>
          <w:bCs/>
          <w:lang w:val="es-ES"/>
        </w:rPr>
        <w:t xml:space="preserve"> [2010] ETA I-</w:t>
      </w:r>
      <w:r w:rsidRPr="007344EA">
        <w:t xml:space="preserve">04785. </w:t>
      </w:r>
    </w:p>
  </w:footnote>
  <w:footnote w:id="142">
    <w:p w:rsidR="00393645" w:rsidRPr="007344EA" w:rsidRDefault="00393645" w:rsidP="00DA5074">
      <w:pPr>
        <w:pStyle w:val="FootnoteText"/>
      </w:pPr>
      <w:r w:rsidRPr="007344EA">
        <w:rPr>
          <w:rStyle w:val="FootnoteReference"/>
        </w:rPr>
        <w:footnoteRef/>
      </w:r>
      <w:r w:rsidRPr="007344EA">
        <w:t xml:space="preserve"> </w:t>
      </w:r>
      <w:r w:rsidRPr="007344EA">
        <w:rPr>
          <w:i/>
        </w:rPr>
        <w:t>Ibid</w:t>
      </w:r>
      <w:r w:rsidRPr="007344EA">
        <w:t>., para. 10.</w:t>
      </w:r>
    </w:p>
  </w:footnote>
  <w:footnote w:id="143">
    <w:p w:rsidR="00393645" w:rsidRPr="007344EA" w:rsidRDefault="00393645" w:rsidP="00DA5074">
      <w:pPr>
        <w:pStyle w:val="FootnoteText"/>
      </w:pPr>
      <w:r w:rsidRPr="007344EA">
        <w:rPr>
          <w:rStyle w:val="FootnoteReference"/>
        </w:rPr>
        <w:footnoteRef/>
      </w:r>
      <w:r w:rsidRPr="007344EA">
        <w:t xml:space="preserve"> Byla </w:t>
      </w:r>
      <w:r w:rsidRPr="007344EA">
        <w:rPr>
          <w:lang w:val="pt-PT"/>
        </w:rPr>
        <w:t>C</w:t>
      </w:r>
      <w:r w:rsidRPr="007344EA">
        <w:rPr>
          <w:lang w:val="pt-PT"/>
        </w:rPr>
        <w:noBreakHyphen/>
        <w:t>484/08</w:t>
      </w:r>
      <w:r w:rsidRPr="007344EA">
        <w:rPr>
          <w:i/>
          <w:lang w:val="pt-PT"/>
        </w:rPr>
        <w:t xml:space="preserve"> </w:t>
      </w:r>
      <w:r w:rsidRPr="007344EA">
        <w:rPr>
          <w:bCs/>
          <w:i/>
          <w:lang w:val="es-ES"/>
        </w:rPr>
        <w:t xml:space="preserve">Caja de Ahorros y Monte de Piedad de Madrid </w:t>
      </w:r>
      <w:r w:rsidRPr="007344EA">
        <w:rPr>
          <w:i/>
          <w:lang w:val="es-ES"/>
        </w:rPr>
        <w:t xml:space="preserve">prieš </w:t>
      </w:r>
      <w:r w:rsidRPr="007344EA">
        <w:rPr>
          <w:bCs/>
          <w:i/>
          <w:lang w:val="es-ES"/>
        </w:rPr>
        <w:t>Asociación de Usuarios de Servicios Bancarios (Ausbanc)</w:t>
      </w:r>
      <w:r w:rsidRPr="007344EA">
        <w:rPr>
          <w:bCs/>
          <w:lang w:val="es-ES"/>
        </w:rPr>
        <w:t xml:space="preserve"> [2010] ETA I-</w:t>
      </w:r>
      <w:r w:rsidRPr="007344EA">
        <w:t xml:space="preserve">04785, para. 14. </w:t>
      </w:r>
    </w:p>
  </w:footnote>
  <w:footnote w:id="144">
    <w:p w:rsidR="00393645" w:rsidRPr="007344EA" w:rsidRDefault="00393645" w:rsidP="00DA5074">
      <w:pPr>
        <w:pStyle w:val="FootnoteText"/>
      </w:pPr>
      <w:r w:rsidRPr="007344EA">
        <w:rPr>
          <w:i/>
        </w:rPr>
        <w:t>Ibid</w:t>
      </w:r>
      <w:r w:rsidRPr="007344EA">
        <w:t>., para. 24.</w:t>
      </w:r>
    </w:p>
  </w:footnote>
  <w:footnote w:id="145">
    <w:p w:rsidR="00393645" w:rsidRPr="007344EA" w:rsidRDefault="00393645" w:rsidP="00DC35D3">
      <w:pPr>
        <w:pStyle w:val="FootnoteText"/>
        <w:jc w:val="both"/>
      </w:pPr>
      <w:r w:rsidRPr="007344EA">
        <w:rPr>
          <w:rStyle w:val="FootnoteReference"/>
        </w:rPr>
        <w:footnoteRef/>
      </w:r>
      <w:r w:rsidRPr="007344EA">
        <w:t xml:space="preserve"> Case C-237/02 </w:t>
      </w:r>
      <w:r w:rsidRPr="007344EA">
        <w:rPr>
          <w:bCs/>
          <w:i/>
          <w:lang w:val="de-DE"/>
        </w:rPr>
        <w:t>Freiburger Kommunalbauten GmbH Baugesellschaft &amp; Co. KG</w:t>
      </w:r>
      <w:r w:rsidRPr="007344EA">
        <w:rPr>
          <w:i/>
          <w:lang w:val="de-DE"/>
        </w:rPr>
        <w:t xml:space="preserve"> v</w:t>
      </w:r>
      <w:r w:rsidRPr="007344EA">
        <w:rPr>
          <w:i/>
        </w:rPr>
        <w:t xml:space="preserve"> </w:t>
      </w:r>
      <w:r w:rsidRPr="007344EA">
        <w:rPr>
          <w:bCs/>
          <w:i/>
          <w:lang w:val="de-DE"/>
        </w:rPr>
        <w:t>Ludger Hofstetter,</w:t>
      </w:r>
      <w:r w:rsidRPr="007344EA">
        <w:rPr>
          <w:i/>
          <w:lang w:val="de-DE"/>
        </w:rPr>
        <w:t xml:space="preserve"> </w:t>
      </w:r>
      <w:r w:rsidRPr="007344EA">
        <w:rPr>
          <w:bCs/>
          <w:i/>
          <w:lang w:val="de-DE"/>
        </w:rPr>
        <w:t xml:space="preserve">Ulrike Hofstetter </w:t>
      </w:r>
      <w:r w:rsidRPr="007344EA">
        <w:rPr>
          <w:bCs/>
          <w:lang w:val="de-DE"/>
        </w:rPr>
        <w:t>[2004] ECR I-</w:t>
      </w:r>
      <w:r w:rsidRPr="007344EA">
        <w:t xml:space="preserve">03403. </w:t>
      </w:r>
    </w:p>
  </w:footnote>
  <w:footnote w:id="146">
    <w:p w:rsidR="00393645" w:rsidRPr="007344EA" w:rsidRDefault="00393645">
      <w:pPr>
        <w:pStyle w:val="FootnoteText"/>
      </w:pPr>
      <w:r w:rsidRPr="007344EA">
        <w:rPr>
          <w:rStyle w:val="FootnoteReference"/>
        </w:rPr>
        <w:footnoteRef/>
      </w:r>
      <w:r w:rsidRPr="007344EA">
        <w:t xml:space="preserve"> Byla </w:t>
      </w:r>
      <w:r w:rsidRPr="007344EA">
        <w:rPr>
          <w:lang w:val="pt-PT"/>
        </w:rPr>
        <w:t>C</w:t>
      </w:r>
      <w:r w:rsidRPr="007344EA">
        <w:rPr>
          <w:lang w:val="pt-PT"/>
        </w:rPr>
        <w:noBreakHyphen/>
        <w:t xml:space="preserve">453/10 </w:t>
      </w:r>
      <w:r w:rsidRPr="007344EA">
        <w:rPr>
          <w:bCs/>
          <w:i/>
          <w:lang w:val="pt-PT"/>
        </w:rPr>
        <w:t xml:space="preserve">Jana Pereničová, Vladislav Perenič </w:t>
      </w:r>
      <w:r w:rsidRPr="007344EA">
        <w:rPr>
          <w:i/>
          <w:lang w:val="pt-PT"/>
        </w:rPr>
        <w:t xml:space="preserve">prieš </w:t>
      </w:r>
      <w:r w:rsidRPr="007344EA">
        <w:rPr>
          <w:bCs/>
          <w:i/>
          <w:lang w:val="pt-PT"/>
        </w:rPr>
        <w:t xml:space="preserve">SOS financ spol. s r. o. </w:t>
      </w:r>
      <w:r w:rsidRPr="007344EA">
        <w:rPr>
          <w:bCs/>
          <w:lang w:val="pt-PT"/>
        </w:rPr>
        <w:t xml:space="preserve">[dar nepaskelbta]. </w:t>
      </w:r>
    </w:p>
  </w:footnote>
  <w:footnote w:id="147">
    <w:p w:rsidR="00393645" w:rsidRPr="007344EA" w:rsidRDefault="00393645">
      <w:pPr>
        <w:pStyle w:val="FootnoteText"/>
      </w:pPr>
      <w:r w:rsidRPr="007344EA">
        <w:rPr>
          <w:rStyle w:val="FootnoteReference"/>
        </w:rPr>
        <w:footnoteRef/>
      </w:r>
      <w:r w:rsidRPr="007344EA">
        <w:t xml:space="preserve"> </w:t>
      </w:r>
      <w:r w:rsidRPr="007344EA">
        <w:rPr>
          <w:i/>
        </w:rPr>
        <w:t>Ibid</w:t>
      </w:r>
      <w:r w:rsidRPr="007344EA">
        <w:t>.,</w:t>
      </w:r>
      <w:r w:rsidRPr="007344EA">
        <w:rPr>
          <w:bCs/>
          <w:lang w:val="pt-PT"/>
        </w:rPr>
        <w:t xml:space="preserve"> para. </w:t>
      </w:r>
      <w:r w:rsidRPr="007344EA">
        <w:t xml:space="preserve">20 </w:t>
      </w:r>
    </w:p>
  </w:footnote>
  <w:footnote w:id="148">
    <w:p w:rsidR="00393645" w:rsidRPr="007344EA" w:rsidRDefault="00393645" w:rsidP="007316D5">
      <w:pPr>
        <w:pStyle w:val="FootnoteText"/>
      </w:pPr>
      <w:r w:rsidRPr="007344EA">
        <w:rPr>
          <w:rStyle w:val="FootnoteReference"/>
        </w:rPr>
        <w:footnoteRef/>
      </w:r>
      <w:r w:rsidRPr="007344EA">
        <w:t xml:space="preserve"> Byla C-203/04 </w:t>
      </w:r>
      <w:r w:rsidRPr="007344EA">
        <w:rPr>
          <w:bCs/>
          <w:i/>
        </w:rPr>
        <w:t xml:space="preserve">Ynos kft </w:t>
      </w:r>
      <w:r w:rsidRPr="007344EA">
        <w:rPr>
          <w:i/>
        </w:rPr>
        <w:t xml:space="preserve">prieš </w:t>
      </w:r>
      <w:r w:rsidRPr="007344EA">
        <w:rPr>
          <w:bCs/>
          <w:i/>
        </w:rPr>
        <w:t>János Varga</w:t>
      </w:r>
      <w:r w:rsidRPr="007344EA">
        <w:rPr>
          <w:bCs/>
        </w:rPr>
        <w:t xml:space="preserve"> [2005] ETA I-</w:t>
      </w:r>
      <w:r w:rsidRPr="007344EA">
        <w:t xml:space="preserve">07239. </w:t>
      </w:r>
    </w:p>
  </w:footnote>
  <w:footnote w:id="149">
    <w:p w:rsidR="00393645" w:rsidRPr="007344EA" w:rsidRDefault="00393645" w:rsidP="000B1CA3">
      <w:pPr>
        <w:pStyle w:val="FootnoteText"/>
        <w:jc w:val="both"/>
        <w:rPr>
          <w:bCs/>
          <w:lang w:val="en-US"/>
        </w:rPr>
      </w:pPr>
      <w:r w:rsidRPr="007344EA">
        <w:rPr>
          <w:rStyle w:val="FootnoteReference"/>
        </w:rPr>
        <w:footnoteRef/>
      </w:r>
      <w:r w:rsidRPr="007344EA">
        <w:t xml:space="preserve"> Generalinio advokato Tizzano išvada byloje C-203/04 </w:t>
      </w:r>
      <w:r w:rsidRPr="007344EA">
        <w:rPr>
          <w:bCs/>
          <w:i/>
        </w:rPr>
        <w:t xml:space="preserve">Ynos kft </w:t>
      </w:r>
      <w:r w:rsidRPr="007344EA">
        <w:rPr>
          <w:i/>
        </w:rPr>
        <w:t xml:space="preserve">prieš </w:t>
      </w:r>
      <w:r w:rsidRPr="007344EA">
        <w:rPr>
          <w:bCs/>
          <w:i/>
        </w:rPr>
        <w:t>János Varga</w:t>
      </w:r>
      <w:r w:rsidRPr="007344EA">
        <w:rPr>
          <w:bCs/>
        </w:rPr>
        <w:t xml:space="preserve">, pateikta </w:t>
      </w:r>
      <w:r w:rsidRPr="007344EA">
        <w:rPr>
          <w:bCs/>
          <w:lang w:val="en-US"/>
        </w:rPr>
        <w:t xml:space="preserve">2005 m. </w:t>
      </w:r>
      <w:r w:rsidRPr="007344EA">
        <w:rPr>
          <w:bCs/>
        </w:rPr>
        <w:t xml:space="preserve"> rugsėjo </w:t>
      </w:r>
      <w:r w:rsidRPr="007344EA">
        <w:rPr>
          <w:bCs/>
          <w:lang w:val="en-US"/>
        </w:rPr>
        <w:t xml:space="preserve">22 d., </w:t>
      </w:r>
      <w:r w:rsidRPr="007344EA">
        <w:rPr>
          <w:lang w:val="en-US"/>
        </w:rPr>
        <w:t xml:space="preserve">para.23. </w:t>
      </w:r>
    </w:p>
  </w:footnote>
  <w:footnote w:id="150">
    <w:p w:rsidR="00393645" w:rsidRPr="007344EA" w:rsidRDefault="00393645" w:rsidP="000B1CA3">
      <w:pPr>
        <w:pStyle w:val="FootnoteText"/>
        <w:jc w:val="both"/>
        <w:rPr>
          <w:bCs/>
          <w:lang w:val="en-US"/>
        </w:rPr>
      </w:pPr>
      <w:r w:rsidRPr="007344EA">
        <w:rPr>
          <w:rStyle w:val="FootnoteReference"/>
        </w:rPr>
        <w:footnoteRef/>
      </w:r>
      <w:r w:rsidRPr="007344EA">
        <w:t xml:space="preserve"> Generalinio advokato Tizzano išvada byloje C-203/04 </w:t>
      </w:r>
      <w:r w:rsidRPr="007344EA">
        <w:rPr>
          <w:bCs/>
          <w:i/>
        </w:rPr>
        <w:t xml:space="preserve">Ynos kft </w:t>
      </w:r>
      <w:r w:rsidRPr="007344EA">
        <w:rPr>
          <w:i/>
        </w:rPr>
        <w:t xml:space="preserve">prieš </w:t>
      </w:r>
      <w:r w:rsidRPr="007344EA">
        <w:rPr>
          <w:bCs/>
          <w:i/>
        </w:rPr>
        <w:t>János Varga</w:t>
      </w:r>
      <w:r w:rsidRPr="007344EA">
        <w:rPr>
          <w:bCs/>
        </w:rPr>
        <w:t xml:space="preserve">, pateikta </w:t>
      </w:r>
      <w:r w:rsidRPr="007344EA">
        <w:rPr>
          <w:bCs/>
          <w:lang w:val="en-US"/>
        </w:rPr>
        <w:t xml:space="preserve">2005 m. </w:t>
      </w:r>
      <w:r w:rsidRPr="007344EA">
        <w:rPr>
          <w:bCs/>
        </w:rPr>
        <w:t xml:space="preserve"> rugsėjo </w:t>
      </w:r>
      <w:r w:rsidRPr="007344EA">
        <w:rPr>
          <w:bCs/>
          <w:lang w:val="en-US"/>
        </w:rPr>
        <w:t xml:space="preserve">22 d., </w:t>
      </w:r>
    </w:p>
    <w:p w:rsidR="00393645" w:rsidRPr="007344EA" w:rsidRDefault="00393645">
      <w:pPr>
        <w:pStyle w:val="FootnoteText"/>
        <w:rPr>
          <w:lang w:val="en-US"/>
        </w:rPr>
      </w:pPr>
      <w:r w:rsidRPr="007344EA">
        <w:t xml:space="preserve">para. </w:t>
      </w:r>
      <w:r w:rsidRPr="007344EA">
        <w:rPr>
          <w:lang w:val="en-US"/>
        </w:rPr>
        <w:t xml:space="preserve">21. </w:t>
      </w:r>
    </w:p>
  </w:footnote>
  <w:footnote w:id="151">
    <w:p w:rsidR="00393645" w:rsidRPr="007344EA" w:rsidRDefault="00393645" w:rsidP="00A42CBC">
      <w:pPr>
        <w:pStyle w:val="FootnoteText"/>
        <w:jc w:val="both"/>
      </w:pPr>
      <w:r w:rsidRPr="007344EA">
        <w:rPr>
          <w:rStyle w:val="FootnoteReference"/>
        </w:rPr>
        <w:footnoteRef/>
      </w:r>
      <w:r w:rsidRPr="007344EA">
        <w:t xml:space="preserve">  Byla</w:t>
      </w:r>
      <w:r w:rsidRPr="007344EA">
        <w:rPr>
          <w:lang w:val="pt-PT"/>
        </w:rPr>
        <w:t xml:space="preserve"> C</w:t>
      </w:r>
      <w:r w:rsidRPr="007344EA">
        <w:rPr>
          <w:lang w:val="pt-PT"/>
        </w:rPr>
        <w:noBreakHyphen/>
        <w:t>472/10</w:t>
      </w:r>
      <w:r w:rsidRPr="007344EA">
        <w:rPr>
          <w:rFonts w:ascii="Times New Roman" w:hAnsi="Times New Roman"/>
          <w:b/>
          <w:bCs/>
          <w:sz w:val="24"/>
          <w:szCs w:val="24"/>
          <w:lang w:val="pt-PT" w:eastAsia="en-GB"/>
        </w:rPr>
        <w:t xml:space="preserve"> </w:t>
      </w:r>
      <w:r w:rsidRPr="007344EA">
        <w:rPr>
          <w:bCs/>
          <w:i/>
          <w:lang w:val="pt-PT"/>
        </w:rPr>
        <w:t>Nemzeti Fogyasztóvédelmi Hatóság p</w:t>
      </w:r>
      <w:r w:rsidRPr="007344EA">
        <w:rPr>
          <w:i/>
          <w:lang w:val="pt-PT"/>
        </w:rPr>
        <w:t xml:space="preserve">rieš </w:t>
      </w:r>
      <w:r w:rsidRPr="007344EA">
        <w:rPr>
          <w:bCs/>
          <w:i/>
          <w:lang w:val="en-US"/>
        </w:rPr>
        <w:t>Invitel Távközlési ZrtI</w:t>
      </w:r>
      <w:r w:rsidRPr="007344EA">
        <w:rPr>
          <w:bCs/>
          <w:lang w:val="en-US"/>
        </w:rPr>
        <w:t xml:space="preserve"> [dar nepaskelbta]. </w:t>
      </w:r>
    </w:p>
  </w:footnote>
  <w:footnote w:id="152">
    <w:p w:rsidR="00393645" w:rsidRPr="007344EA" w:rsidRDefault="00393645" w:rsidP="00A42CBC">
      <w:pPr>
        <w:pStyle w:val="FootnoteText"/>
      </w:pPr>
      <w:r w:rsidRPr="007344EA">
        <w:rPr>
          <w:rStyle w:val="FootnoteReference"/>
        </w:rPr>
        <w:footnoteRef/>
      </w:r>
      <w:r w:rsidRPr="007344EA">
        <w:t xml:space="preserve">  </w:t>
      </w:r>
      <w:r w:rsidRPr="007344EA">
        <w:rPr>
          <w:i/>
        </w:rPr>
        <w:t>Ibid</w:t>
      </w:r>
      <w:r w:rsidRPr="007344EA">
        <w:t>.,</w:t>
      </w:r>
      <w:r w:rsidRPr="007344EA">
        <w:rPr>
          <w:bCs/>
          <w:lang w:val="en-US"/>
        </w:rPr>
        <w:t>[</w:t>
      </w:r>
      <w:proofErr w:type="gramStart"/>
      <w:r w:rsidRPr="007344EA">
        <w:rPr>
          <w:bCs/>
          <w:lang w:val="en-US"/>
        </w:rPr>
        <w:t>dar</w:t>
      </w:r>
      <w:proofErr w:type="gramEnd"/>
      <w:r w:rsidRPr="007344EA">
        <w:rPr>
          <w:bCs/>
          <w:lang w:val="en-US"/>
        </w:rPr>
        <w:t xml:space="preserve"> nepaskelbta],</w:t>
      </w:r>
      <w:r w:rsidRPr="007344EA">
        <w:t xml:space="preserve"> para. 18.</w:t>
      </w:r>
    </w:p>
  </w:footnote>
  <w:footnote w:id="153">
    <w:p w:rsidR="00393645" w:rsidRPr="007344EA" w:rsidRDefault="00393645" w:rsidP="00A42CBC">
      <w:pPr>
        <w:pStyle w:val="FootnoteText"/>
      </w:pPr>
      <w:r w:rsidRPr="007344EA">
        <w:rPr>
          <w:rStyle w:val="FootnoteReference"/>
        </w:rPr>
        <w:footnoteRef/>
      </w:r>
      <w:r w:rsidRPr="007344EA">
        <w:t xml:space="preserve"> Byla</w:t>
      </w:r>
      <w:r w:rsidRPr="007344EA">
        <w:rPr>
          <w:lang w:val="pt-PT"/>
        </w:rPr>
        <w:t xml:space="preserve"> C</w:t>
      </w:r>
      <w:r w:rsidRPr="007344EA">
        <w:rPr>
          <w:lang w:val="pt-PT"/>
        </w:rPr>
        <w:noBreakHyphen/>
        <w:t>472/10</w:t>
      </w:r>
      <w:r w:rsidRPr="007344EA">
        <w:rPr>
          <w:rFonts w:ascii="Times New Roman" w:hAnsi="Times New Roman"/>
          <w:b/>
          <w:bCs/>
          <w:sz w:val="24"/>
          <w:szCs w:val="24"/>
          <w:lang w:val="pt-PT" w:eastAsia="en-GB"/>
        </w:rPr>
        <w:t xml:space="preserve"> </w:t>
      </w:r>
      <w:r w:rsidRPr="007344EA">
        <w:rPr>
          <w:bCs/>
          <w:i/>
          <w:lang w:val="pt-PT"/>
        </w:rPr>
        <w:t>Nemzeti Fogyasztóvédelmi Hatóság p</w:t>
      </w:r>
      <w:r w:rsidRPr="007344EA">
        <w:rPr>
          <w:i/>
          <w:lang w:val="pt-PT"/>
        </w:rPr>
        <w:t xml:space="preserve">rieš </w:t>
      </w:r>
      <w:r w:rsidRPr="007344EA">
        <w:rPr>
          <w:bCs/>
          <w:i/>
          <w:lang w:val="en-US"/>
        </w:rPr>
        <w:t>Invitel Távközlési ZrtI</w:t>
      </w:r>
      <w:r w:rsidRPr="007344EA">
        <w:rPr>
          <w:bCs/>
          <w:lang w:val="en-US"/>
        </w:rPr>
        <w:t xml:space="preserve"> [dar nepaskelbta], p</w:t>
      </w:r>
      <w:r w:rsidRPr="007344EA">
        <w:t xml:space="preserve">ara. 32.  </w:t>
      </w:r>
    </w:p>
  </w:footnote>
  <w:footnote w:id="154">
    <w:p w:rsidR="00393645" w:rsidRPr="007344EA" w:rsidRDefault="00393645" w:rsidP="00A42CBC">
      <w:pPr>
        <w:pStyle w:val="FootnoteText"/>
      </w:pPr>
      <w:r w:rsidRPr="007344EA">
        <w:rPr>
          <w:rStyle w:val="FootnoteReference"/>
        </w:rPr>
        <w:footnoteRef/>
      </w:r>
      <w:r w:rsidRPr="007344EA">
        <w:t xml:space="preserve"> </w:t>
      </w:r>
      <w:r w:rsidRPr="007344EA">
        <w:rPr>
          <w:i/>
        </w:rPr>
        <w:t>Ibid</w:t>
      </w:r>
      <w:r w:rsidRPr="007344EA">
        <w:t>.,</w:t>
      </w:r>
      <w:r w:rsidRPr="007344EA">
        <w:rPr>
          <w:bCs/>
          <w:lang w:val="en-US"/>
        </w:rPr>
        <w:t xml:space="preserve"> </w:t>
      </w:r>
      <w:proofErr w:type="gramStart"/>
      <w:r w:rsidRPr="007344EA">
        <w:rPr>
          <w:bCs/>
          <w:lang w:val="en-US"/>
        </w:rPr>
        <w:t>p</w:t>
      </w:r>
      <w:r w:rsidRPr="007344EA">
        <w:t>ara</w:t>
      </w:r>
      <w:proofErr w:type="gramEnd"/>
      <w:r w:rsidRPr="007344EA">
        <w:t xml:space="preserve">. 21. </w:t>
      </w:r>
    </w:p>
  </w:footnote>
  <w:footnote w:id="155">
    <w:p w:rsidR="00393645" w:rsidRPr="007344EA" w:rsidRDefault="00393645">
      <w:pPr>
        <w:pStyle w:val="FootnoteText"/>
      </w:pPr>
      <w:r w:rsidRPr="007344EA">
        <w:rPr>
          <w:rStyle w:val="FootnoteReference"/>
        </w:rPr>
        <w:footnoteRef/>
      </w:r>
      <w:r w:rsidRPr="007344EA">
        <w:t xml:space="preserve"> SESV 258 str. </w:t>
      </w:r>
    </w:p>
  </w:footnote>
  <w:footnote w:id="156">
    <w:p w:rsidR="00393645" w:rsidRPr="007344EA" w:rsidRDefault="00393645">
      <w:pPr>
        <w:pStyle w:val="FootnoteText"/>
      </w:pPr>
      <w:r w:rsidRPr="007344EA">
        <w:rPr>
          <w:rStyle w:val="FootnoteReference"/>
        </w:rPr>
        <w:footnoteRef/>
      </w:r>
      <w:r w:rsidRPr="007344EA">
        <w:t xml:space="preserve"> Case C-144/99 </w:t>
      </w:r>
      <w:r w:rsidRPr="007344EA">
        <w:rPr>
          <w:i/>
        </w:rPr>
        <w:t xml:space="preserve">Commission of the European Communities v .Kingdom of Netherlands </w:t>
      </w:r>
      <w:r w:rsidRPr="007344EA">
        <w:t>[</w:t>
      </w:r>
      <w:r w:rsidRPr="007344EA">
        <w:rPr>
          <w:lang w:val="en-US"/>
        </w:rPr>
        <w:t>2001]</w:t>
      </w:r>
      <w:r w:rsidRPr="007344EA">
        <w:rPr>
          <w:i/>
        </w:rPr>
        <w:t xml:space="preserve"> </w:t>
      </w:r>
      <w:r w:rsidRPr="007344EA">
        <w:t>I-03541.</w:t>
      </w:r>
    </w:p>
  </w:footnote>
  <w:footnote w:id="157">
    <w:p w:rsidR="00393645" w:rsidRPr="007344EA" w:rsidRDefault="00393645">
      <w:pPr>
        <w:pStyle w:val="FootnoteText"/>
      </w:pPr>
      <w:r w:rsidRPr="007344EA">
        <w:rPr>
          <w:rStyle w:val="FootnoteReference"/>
        </w:rPr>
        <w:footnoteRef/>
      </w:r>
      <w:r w:rsidRPr="007344EA">
        <w:t xml:space="preserve">  Ir nors skaidrumo principas nėra aiškiai išreikštas Direktyvoje jis nėra nurodytas ir įvardintas, kaip toks), teisinėje literatūroje pripažįstamas bendruoju Direktyvos 93/13 principu. Žr.:  Bublienė D. </w:t>
      </w:r>
      <w:r w:rsidRPr="007344EA">
        <w:rPr>
          <w:i/>
        </w:rPr>
        <w:t>Vartojimo sutarčių nesąžiningų sąlygų kontrolė</w:t>
      </w:r>
      <w:r w:rsidRPr="007344EA">
        <w:t xml:space="preserve">: monografija. Vilnius: Registrų centras, 2009, p. </w:t>
      </w:r>
      <w:r w:rsidRPr="007344EA">
        <w:rPr>
          <w:lang w:val="en-US"/>
        </w:rPr>
        <w:t>203.</w:t>
      </w:r>
      <w:r w:rsidRPr="007344EA">
        <w:t xml:space="preserve"> </w:t>
      </w:r>
    </w:p>
  </w:footnote>
  <w:footnote w:id="158">
    <w:p w:rsidR="00393645" w:rsidRPr="007344EA" w:rsidRDefault="00393645">
      <w:pPr>
        <w:pStyle w:val="FootnoteText"/>
        <w:rPr>
          <w:i/>
        </w:rPr>
      </w:pPr>
      <w:r w:rsidRPr="007344EA">
        <w:rPr>
          <w:rStyle w:val="FootnoteReference"/>
        </w:rPr>
        <w:footnoteRef/>
      </w:r>
      <w:r w:rsidRPr="007344EA">
        <w:t xml:space="preserve"> Case C-372/99 </w:t>
      </w:r>
      <w:r w:rsidRPr="007344EA">
        <w:rPr>
          <w:i/>
        </w:rPr>
        <w:t xml:space="preserve">Commission of the European Communities v Italian Republic </w:t>
      </w:r>
      <w:r w:rsidRPr="007344EA">
        <w:t>[2001] ECR I-00819</w:t>
      </w:r>
      <w:r w:rsidRPr="007344EA">
        <w:rPr>
          <w:i/>
        </w:rPr>
        <w:t xml:space="preserve">. </w:t>
      </w:r>
    </w:p>
  </w:footnote>
  <w:footnote w:id="159">
    <w:p w:rsidR="00393645" w:rsidRPr="007344EA" w:rsidRDefault="00393645">
      <w:pPr>
        <w:pStyle w:val="FootnoteText"/>
      </w:pPr>
      <w:r w:rsidRPr="007344EA">
        <w:rPr>
          <w:rStyle w:val="FootnoteReference"/>
        </w:rPr>
        <w:footnoteRef/>
      </w:r>
      <w:r w:rsidRPr="007344EA">
        <w:t xml:space="preserve"> Case C-478/99 </w:t>
      </w:r>
      <w:r w:rsidRPr="007344EA">
        <w:rPr>
          <w:i/>
        </w:rPr>
        <w:t xml:space="preserve">Commission of the European Communities v Kingdom of Sweden </w:t>
      </w:r>
      <w:r w:rsidRPr="007344EA">
        <w:t>[2002] ECR I-04147.</w:t>
      </w:r>
    </w:p>
  </w:footnote>
  <w:footnote w:id="160">
    <w:p w:rsidR="00393645" w:rsidRPr="007344EA" w:rsidRDefault="00393645">
      <w:pPr>
        <w:pStyle w:val="FootnoteText"/>
      </w:pPr>
      <w:r w:rsidRPr="007344EA">
        <w:rPr>
          <w:rStyle w:val="FootnoteReference"/>
        </w:rPr>
        <w:footnoteRef/>
      </w:r>
      <w:r w:rsidRPr="007344EA">
        <w:t xml:space="preserve"> Byla C-</w:t>
      </w:r>
      <w:r w:rsidRPr="007344EA">
        <w:rPr>
          <w:lang w:val="de-DE"/>
        </w:rPr>
        <w:t xml:space="preserve">70/03 </w:t>
      </w:r>
      <w:r w:rsidRPr="007344EA">
        <w:rPr>
          <w:i/>
        </w:rPr>
        <w:t xml:space="preserve">Europos Bendrijų Komisija  prieš Ispanijos Karalystę </w:t>
      </w:r>
      <w:r w:rsidRPr="007344EA">
        <w:t>[2004] ETA I-07999.</w:t>
      </w:r>
    </w:p>
  </w:footnote>
  <w:footnote w:id="161">
    <w:p w:rsidR="00393645" w:rsidRPr="007344EA" w:rsidRDefault="00393645">
      <w:pPr>
        <w:pStyle w:val="FootnoteText"/>
        <w:rPr>
          <w:lang w:val="en-US"/>
        </w:rPr>
      </w:pPr>
      <w:r w:rsidRPr="007344EA">
        <w:rPr>
          <w:rStyle w:val="FootnoteReference"/>
        </w:rPr>
        <w:footnoteRef/>
      </w:r>
      <w:r w:rsidRPr="007344EA">
        <w:t xml:space="preserve"> Generalinio advokato Geelhoed išvada byloje C-</w:t>
      </w:r>
      <w:r w:rsidRPr="007344EA">
        <w:rPr>
          <w:lang w:val="de-DE"/>
        </w:rPr>
        <w:t xml:space="preserve">70/03 </w:t>
      </w:r>
      <w:r w:rsidRPr="007344EA">
        <w:rPr>
          <w:i/>
        </w:rPr>
        <w:t xml:space="preserve">Europos Bendrijų Komisija  prieš Ispanijos Karalystę, </w:t>
      </w:r>
      <w:r w:rsidRPr="007344EA">
        <w:t xml:space="preserve">pateikta </w:t>
      </w:r>
      <w:r w:rsidRPr="007344EA">
        <w:rPr>
          <w:lang w:val="en-US"/>
        </w:rPr>
        <w:t xml:space="preserve">2004 m. </w:t>
      </w:r>
      <w:proofErr w:type="gramStart"/>
      <w:r w:rsidRPr="007344EA">
        <w:rPr>
          <w:lang w:val="en-US"/>
        </w:rPr>
        <w:t>baland</w:t>
      </w:r>
      <w:r w:rsidRPr="007344EA">
        <w:t>žio</w:t>
      </w:r>
      <w:proofErr w:type="gramEnd"/>
      <w:r w:rsidRPr="007344EA">
        <w:t xml:space="preserve"> </w:t>
      </w:r>
      <w:r w:rsidRPr="007344EA">
        <w:rPr>
          <w:lang w:val="en-US"/>
        </w:rPr>
        <w:t>24 d., p</w:t>
      </w:r>
      <w:r w:rsidRPr="007344EA">
        <w:t xml:space="preserve">ara. 2. </w:t>
      </w:r>
    </w:p>
  </w:footnote>
  <w:footnote w:id="162">
    <w:p w:rsidR="00393645" w:rsidRPr="007344EA" w:rsidRDefault="00393645">
      <w:pPr>
        <w:pStyle w:val="FootnoteText"/>
      </w:pPr>
      <w:r w:rsidRPr="007344EA">
        <w:rPr>
          <w:rStyle w:val="FootnoteReference"/>
        </w:rPr>
        <w:footnoteRef/>
      </w:r>
      <w:r w:rsidRPr="007344EA">
        <w:t xml:space="preserve"> Byla C-</w:t>
      </w:r>
      <w:r w:rsidRPr="007344EA">
        <w:rPr>
          <w:lang w:val="de-DE"/>
        </w:rPr>
        <w:t xml:space="preserve">70/03 </w:t>
      </w:r>
      <w:r w:rsidRPr="007344EA">
        <w:rPr>
          <w:i/>
        </w:rPr>
        <w:t xml:space="preserve">Europos Bendrijų Komisija  prieš Ispanijos Karalystę </w:t>
      </w:r>
      <w:r w:rsidRPr="007344EA">
        <w:t xml:space="preserve">[2004] ETA I-07999.,para. 12. </w:t>
      </w:r>
    </w:p>
  </w:footnote>
  <w:footnote w:id="163">
    <w:p w:rsidR="00393645" w:rsidRPr="007344EA" w:rsidRDefault="00393645" w:rsidP="006306F5">
      <w:pPr>
        <w:pStyle w:val="FootnoteText"/>
      </w:pPr>
      <w:r w:rsidRPr="007344EA">
        <w:rPr>
          <w:rStyle w:val="FootnoteReference"/>
        </w:rPr>
        <w:footnoteRef/>
      </w:r>
      <w:r w:rsidRPr="007344EA">
        <w:t xml:space="preserve"> Cases C-240/98- C-244/98 </w:t>
      </w:r>
      <w:r w:rsidRPr="007344EA">
        <w:rPr>
          <w:i/>
        </w:rPr>
        <w:t xml:space="preserve">Océano Grupo Editorial SA , </w:t>
      </w:r>
      <w:r w:rsidRPr="007344EA">
        <w:rPr>
          <w:bCs/>
          <w:i/>
        </w:rPr>
        <w:t xml:space="preserve">Rocío Murciano Quintero </w:t>
      </w:r>
      <w:r w:rsidRPr="007344EA">
        <w:rPr>
          <w:i/>
        </w:rPr>
        <w:t xml:space="preserve">ir </w:t>
      </w:r>
      <w:r w:rsidRPr="007344EA">
        <w:rPr>
          <w:bCs/>
          <w:i/>
        </w:rPr>
        <w:t xml:space="preserve">Salvat Editores SA </w:t>
      </w:r>
      <w:r w:rsidRPr="007344EA">
        <w:rPr>
          <w:i/>
        </w:rPr>
        <w:t xml:space="preserve">v </w:t>
      </w:r>
      <w:r w:rsidRPr="007344EA">
        <w:rPr>
          <w:bCs/>
          <w:i/>
        </w:rPr>
        <w:t>José M. Sánchez Alcón Prades</w:t>
      </w:r>
      <w:r w:rsidRPr="007344EA">
        <w:rPr>
          <w:i/>
        </w:rPr>
        <w:t xml:space="preserve">, </w:t>
      </w:r>
      <w:r w:rsidRPr="007344EA">
        <w:rPr>
          <w:bCs/>
          <w:i/>
          <w:lang w:val="es-ES"/>
        </w:rPr>
        <w:t>José Luis Copano Badillo</w:t>
      </w:r>
      <w:r w:rsidRPr="007344EA">
        <w:rPr>
          <w:i/>
          <w:lang w:val="es-ES"/>
        </w:rPr>
        <w:t xml:space="preserve"> , </w:t>
      </w:r>
      <w:r w:rsidRPr="007344EA">
        <w:rPr>
          <w:bCs/>
          <w:i/>
        </w:rPr>
        <w:t xml:space="preserve">Mohammed Berroane </w:t>
      </w:r>
      <w:r w:rsidRPr="007344EA">
        <w:rPr>
          <w:i/>
        </w:rPr>
        <w:t xml:space="preserve">, </w:t>
      </w:r>
      <w:r w:rsidRPr="007344EA">
        <w:rPr>
          <w:bCs/>
          <w:i/>
        </w:rPr>
        <w:t xml:space="preserve">Emilio Viñas Feliu </w:t>
      </w:r>
      <w:r w:rsidRPr="007344EA">
        <w:rPr>
          <w:bCs/>
        </w:rPr>
        <w:t>[</w:t>
      </w:r>
      <w:r w:rsidRPr="007344EA">
        <w:t xml:space="preserve">2000] ECR I-04941, para. 25.  </w:t>
      </w:r>
    </w:p>
    <w:p w:rsidR="00393645" w:rsidRPr="007344EA" w:rsidRDefault="00393645" w:rsidP="006306F5">
      <w:pPr>
        <w:pStyle w:val="FootnoteText"/>
        <w:rPr>
          <w:lang w:val="pt-PT"/>
        </w:rPr>
      </w:pPr>
      <w:r w:rsidRPr="007344EA">
        <w:t>Byla</w:t>
      </w:r>
      <w:r w:rsidRPr="007344EA">
        <w:rPr>
          <w:lang w:val="pt-PT"/>
        </w:rPr>
        <w:t xml:space="preserve"> C</w:t>
      </w:r>
      <w:r w:rsidRPr="007344EA">
        <w:rPr>
          <w:lang w:val="pt-PT"/>
        </w:rPr>
        <w:noBreakHyphen/>
        <w:t xml:space="preserve">168/05 </w:t>
      </w:r>
      <w:r w:rsidRPr="007344EA">
        <w:rPr>
          <w:bCs/>
          <w:i/>
          <w:lang w:val="pt-PT"/>
        </w:rPr>
        <w:t xml:space="preserve">Elisa María Mostaza Claro </w:t>
      </w:r>
      <w:r w:rsidRPr="007344EA">
        <w:rPr>
          <w:i/>
          <w:lang w:val="pt-PT"/>
        </w:rPr>
        <w:t xml:space="preserve">prieš </w:t>
      </w:r>
      <w:r w:rsidRPr="007344EA">
        <w:rPr>
          <w:bCs/>
          <w:i/>
          <w:lang w:val="pt-PT"/>
        </w:rPr>
        <w:t xml:space="preserve">Centro Móvil Milenium SL </w:t>
      </w:r>
      <w:r w:rsidRPr="007344EA">
        <w:rPr>
          <w:bCs/>
          <w:lang w:val="pt-PT"/>
        </w:rPr>
        <w:t>[2006] ETA I-</w:t>
      </w:r>
      <w:r w:rsidRPr="007344EA">
        <w:t xml:space="preserve">10421, para. </w:t>
      </w:r>
      <w:r w:rsidRPr="007344EA">
        <w:rPr>
          <w:lang w:val="pt-PT"/>
        </w:rPr>
        <w:t>25.</w:t>
      </w:r>
    </w:p>
    <w:p w:rsidR="00393645" w:rsidRPr="007344EA" w:rsidRDefault="00393645" w:rsidP="006306F5">
      <w:pPr>
        <w:pStyle w:val="FootnoteText"/>
        <w:rPr>
          <w:lang w:val="pt-PT"/>
        </w:rPr>
      </w:pPr>
      <w:r w:rsidRPr="007344EA">
        <w:t xml:space="preserve">Byla </w:t>
      </w:r>
      <w:r w:rsidRPr="007344EA">
        <w:rPr>
          <w:lang w:val="pt-PT"/>
        </w:rPr>
        <w:t xml:space="preserve">C-243/08 </w:t>
      </w:r>
      <w:r w:rsidRPr="007344EA">
        <w:rPr>
          <w:bCs/>
          <w:i/>
          <w:lang w:val="pt-PT"/>
        </w:rPr>
        <w:t xml:space="preserve">Pannon GSM Zrt. </w:t>
      </w:r>
      <w:r w:rsidRPr="007344EA">
        <w:rPr>
          <w:i/>
          <w:lang w:val="pt-PT"/>
        </w:rPr>
        <w:t xml:space="preserve">Prieš </w:t>
      </w:r>
      <w:r w:rsidRPr="007344EA">
        <w:rPr>
          <w:bCs/>
          <w:i/>
          <w:lang w:val="pt-PT"/>
        </w:rPr>
        <w:t>Erzsébet Sustikné</w:t>
      </w:r>
      <w:r w:rsidRPr="007344EA">
        <w:rPr>
          <w:b/>
          <w:bCs/>
          <w:lang w:val="pt-PT"/>
        </w:rPr>
        <w:t xml:space="preserve"> </w:t>
      </w:r>
      <w:r w:rsidRPr="007344EA">
        <w:rPr>
          <w:bCs/>
          <w:i/>
          <w:lang w:val="pt-PT"/>
        </w:rPr>
        <w:t xml:space="preserve">Győrfi </w:t>
      </w:r>
      <w:r w:rsidRPr="007344EA">
        <w:rPr>
          <w:bCs/>
          <w:lang w:val="en-US"/>
        </w:rPr>
        <w:t>[2009] ETA I-</w:t>
      </w:r>
      <w:r w:rsidRPr="007344EA">
        <w:t>04713, para</w:t>
      </w:r>
      <w:r w:rsidRPr="007344EA">
        <w:rPr>
          <w:lang w:val="pt-PT"/>
        </w:rPr>
        <w:t>. 22.</w:t>
      </w:r>
    </w:p>
    <w:p w:rsidR="00393645" w:rsidRPr="007344EA" w:rsidRDefault="00393645" w:rsidP="006306F5">
      <w:pPr>
        <w:pStyle w:val="FootnoteText"/>
        <w:rPr>
          <w:lang w:val="pt-PT"/>
        </w:rPr>
      </w:pPr>
      <w:r w:rsidRPr="007344EA">
        <w:t xml:space="preserve">Byla </w:t>
      </w:r>
      <w:r w:rsidRPr="007344EA">
        <w:rPr>
          <w:lang w:val="pt-PT"/>
        </w:rPr>
        <w:t>C</w:t>
      </w:r>
      <w:r w:rsidRPr="007344EA">
        <w:rPr>
          <w:lang w:val="pt-PT"/>
        </w:rPr>
        <w:noBreakHyphen/>
        <w:t>484/08</w:t>
      </w:r>
      <w:r w:rsidRPr="007344EA">
        <w:rPr>
          <w:i/>
          <w:lang w:val="pt-PT"/>
        </w:rPr>
        <w:t xml:space="preserve"> </w:t>
      </w:r>
      <w:r w:rsidRPr="007344EA">
        <w:rPr>
          <w:bCs/>
          <w:i/>
          <w:lang w:val="es-ES"/>
        </w:rPr>
        <w:t xml:space="preserve">Caja de Ahorros y Monte de Piedad de Madrid </w:t>
      </w:r>
      <w:r w:rsidRPr="007344EA">
        <w:rPr>
          <w:i/>
          <w:lang w:val="es-ES"/>
        </w:rPr>
        <w:t xml:space="preserve">prieš </w:t>
      </w:r>
      <w:r w:rsidRPr="007344EA">
        <w:rPr>
          <w:bCs/>
          <w:i/>
          <w:lang w:val="es-ES"/>
        </w:rPr>
        <w:t>Asociación de Usuarios de Servicios Bancarios (Ausbanc)</w:t>
      </w:r>
      <w:r w:rsidRPr="007344EA">
        <w:rPr>
          <w:bCs/>
          <w:lang w:val="es-ES"/>
        </w:rPr>
        <w:t xml:space="preserve"> [2010] ETA I-</w:t>
      </w:r>
      <w:r w:rsidRPr="007344EA">
        <w:t xml:space="preserve">04785, para. </w:t>
      </w:r>
      <w:r w:rsidRPr="007344EA">
        <w:rPr>
          <w:lang w:val="pt-PT"/>
        </w:rPr>
        <w:t xml:space="preserve">27. </w:t>
      </w:r>
    </w:p>
    <w:p w:rsidR="00393645" w:rsidRPr="007344EA" w:rsidRDefault="00393645" w:rsidP="006306F5">
      <w:pPr>
        <w:pStyle w:val="FootnoteText"/>
        <w:rPr>
          <w:lang w:val="pt-PT"/>
        </w:rPr>
      </w:pPr>
      <w:r w:rsidRPr="007344EA">
        <w:t>Byla C</w:t>
      </w:r>
      <w:r w:rsidRPr="007344EA">
        <w:noBreakHyphen/>
        <w:t xml:space="preserve">76/10 </w:t>
      </w:r>
      <w:r w:rsidRPr="007344EA">
        <w:rPr>
          <w:bCs/>
          <w:i/>
          <w:lang w:val="pt-PT"/>
        </w:rPr>
        <w:t xml:space="preserve">Pohotovosť s. r. o. </w:t>
      </w:r>
      <w:r w:rsidRPr="007344EA">
        <w:rPr>
          <w:i/>
          <w:lang w:val="pt-PT"/>
        </w:rPr>
        <w:t xml:space="preserve">prieš </w:t>
      </w:r>
      <w:r w:rsidRPr="007344EA">
        <w:rPr>
          <w:bCs/>
          <w:i/>
          <w:lang w:val="pt-PT"/>
        </w:rPr>
        <w:t>Iveta Korčkovská</w:t>
      </w:r>
      <w:r w:rsidRPr="007344EA">
        <w:rPr>
          <w:bCs/>
          <w:lang w:val="pt-PT"/>
        </w:rPr>
        <w:t xml:space="preserve"> [2010] ETA I-</w:t>
      </w:r>
      <w:r w:rsidRPr="007344EA">
        <w:t>11557,</w:t>
      </w:r>
      <w:r w:rsidRPr="007344EA">
        <w:rPr>
          <w:lang w:val="pt-PT"/>
        </w:rPr>
        <w:t xml:space="preserve"> para. 37.</w:t>
      </w:r>
    </w:p>
    <w:p w:rsidR="00393645" w:rsidRPr="007344EA" w:rsidRDefault="00393645" w:rsidP="006306F5">
      <w:pPr>
        <w:pStyle w:val="FootnoteText"/>
        <w:rPr>
          <w:lang w:val="pt-PT"/>
        </w:rPr>
      </w:pPr>
      <w:r w:rsidRPr="007344EA">
        <w:t xml:space="preserve">Byla </w:t>
      </w:r>
      <w:r w:rsidRPr="007344EA">
        <w:rPr>
          <w:lang w:val="pt-PT"/>
        </w:rPr>
        <w:t>C</w:t>
      </w:r>
      <w:r w:rsidRPr="007344EA">
        <w:rPr>
          <w:lang w:val="pt-PT"/>
        </w:rPr>
        <w:noBreakHyphen/>
        <w:t xml:space="preserve">453/10 </w:t>
      </w:r>
      <w:r w:rsidRPr="007344EA">
        <w:rPr>
          <w:bCs/>
          <w:i/>
          <w:lang w:val="pt-PT"/>
        </w:rPr>
        <w:t xml:space="preserve">Jana Pereničová, Vladislav Perenič </w:t>
      </w:r>
      <w:r w:rsidRPr="007344EA">
        <w:rPr>
          <w:i/>
          <w:lang w:val="pt-PT"/>
        </w:rPr>
        <w:t xml:space="preserve">prieš </w:t>
      </w:r>
      <w:r w:rsidRPr="007344EA">
        <w:rPr>
          <w:bCs/>
          <w:i/>
          <w:lang w:val="pt-PT"/>
        </w:rPr>
        <w:t xml:space="preserve">SOS financ spol. s r. o. </w:t>
      </w:r>
      <w:r w:rsidRPr="007344EA">
        <w:rPr>
          <w:bCs/>
          <w:lang w:val="pt-PT"/>
        </w:rPr>
        <w:t>[dar nepaskelbta], para</w:t>
      </w:r>
      <w:r w:rsidRPr="007344EA">
        <w:rPr>
          <w:lang w:val="pt-PT"/>
        </w:rPr>
        <w:t xml:space="preserve">. 27. </w:t>
      </w:r>
    </w:p>
    <w:p w:rsidR="00393645" w:rsidRPr="007344EA" w:rsidRDefault="00393645" w:rsidP="006306F5">
      <w:pPr>
        <w:pStyle w:val="FootnoteText"/>
        <w:rPr>
          <w:lang w:val="pt-PT"/>
        </w:rPr>
      </w:pPr>
      <w:r w:rsidRPr="007344EA">
        <w:t>Byla</w:t>
      </w:r>
      <w:r w:rsidRPr="007344EA">
        <w:rPr>
          <w:lang w:val="pt-PT"/>
        </w:rPr>
        <w:t xml:space="preserve"> C</w:t>
      </w:r>
      <w:r w:rsidRPr="007344EA">
        <w:rPr>
          <w:lang w:val="pt-PT"/>
        </w:rPr>
        <w:noBreakHyphen/>
        <w:t>472/10</w:t>
      </w:r>
      <w:r w:rsidRPr="007344EA">
        <w:rPr>
          <w:rFonts w:ascii="Times New Roman" w:hAnsi="Times New Roman"/>
          <w:b/>
          <w:bCs/>
          <w:sz w:val="24"/>
          <w:szCs w:val="24"/>
          <w:lang w:val="pt-PT" w:eastAsia="en-GB"/>
        </w:rPr>
        <w:t xml:space="preserve"> </w:t>
      </w:r>
      <w:r w:rsidRPr="007344EA">
        <w:rPr>
          <w:bCs/>
          <w:i/>
          <w:lang w:val="pt-PT"/>
        </w:rPr>
        <w:t>Nemzeti Fogyasztóvédelmi Hatóság p</w:t>
      </w:r>
      <w:r w:rsidRPr="007344EA">
        <w:rPr>
          <w:i/>
          <w:lang w:val="pt-PT"/>
        </w:rPr>
        <w:t xml:space="preserve">rieš </w:t>
      </w:r>
      <w:r w:rsidRPr="007344EA">
        <w:rPr>
          <w:bCs/>
          <w:i/>
          <w:lang w:val="en-US"/>
        </w:rPr>
        <w:t>Invitel Távközlési ZrtI</w:t>
      </w:r>
      <w:r w:rsidRPr="007344EA">
        <w:rPr>
          <w:bCs/>
          <w:lang w:val="en-US"/>
        </w:rPr>
        <w:t xml:space="preserve"> [dar nepaskelbta], para. </w:t>
      </w:r>
      <w:r w:rsidRPr="007344EA">
        <w:t xml:space="preserve">34. </w:t>
      </w:r>
    </w:p>
  </w:footnote>
  <w:footnote w:id="164">
    <w:p w:rsidR="00393645" w:rsidRPr="007344EA" w:rsidRDefault="00393645" w:rsidP="006306F5">
      <w:pPr>
        <w:pStyle w:val="FootnoteText"/>
      </w:pPr>
      <w:r w:rsidRPr="007344EA">
        <w:rPr>
          <w:rStyle w:val="FootnoteReference"/>
        </w:rPr>
        <w:footnoteRef/>
      </w:r>
      <w:r w:rsidRPr="007344EA">
        <w:t xml:space="preserve"> Bublienė D. </w:t>
      </w:r>
      <w:r w:rsidRPr="007344EA">
        <w:rPr>
          <w:i/>
        </w:rPr>
        <w:t>Vartojimo sutarčių nesąžiningų sąlygų kontrolė</w:t>
      </w:r>
      <w:r w:rsidRPr="007344EA">
        <w:t xml:space="preserve">: monografija. Vilnius: Registrų centras, 2009, p. </w:t>
      </w:r>
      <w:r w:rsidRPr="007344EA">
        <w:rPr>
          <w:lang w:val="pt-PT"/>
        </w:rPr>
        <w:t xml:space="preserve">54. </w:t>
      </w:r>
      <w:r w:rsidRPr="007344EA">
        <w:t xml:space="preserve"> </w:t>
      </w:r>
    </w:p>
  </w:footnote>
  <w:footnote w:id="165">
    <w:p w:rsidR="00393645" w:rsidRPr="007344EA" w:rsidRDefault="00393645">
      <w:pPr>
        <w:pStyle w:val="FootnoteText"/>
      </w:pPr>
      <w:r w:rsidRPr="007344EA">
        <w:rPr>
          <w:rStyle w:val="FootnoteReference"/>
        </w:rPr>
        <w:footnoteRef/>
      </w:r>
      <w:r w:rsidRPr="007344EA">
        <w:t xml:space="preserve"> Byla </w:t>
      </w:r>
      <w:r w:rsidRPr="007344EA">
        <w:rPr>
          <w:lang w:val="pt-PT"/>
        </w:rPr>
        <w:t>C</w:t>
      </w:r>
      <w:r w:rsidRPr="007344EA">
        <w:rPr>
          <w:lang w:val="pt-PT"/>
        </w:rPr>
        <w:noBreakHyphen/>
        <w:t>484/08</w:t>
      </w:r>
      <w:r w:rsidRPr="007344EA">
        <w:rPr>
          <w:i/>
          <w:lang w:val="pt-PT"/>
        </w:rPr>
        <w:t xml:space="preserve"> </w:t>
      </w:r>
      <w:r w:rsidRPr="007344EA">
        <w:rPr>
          <w:bCs/>
          <w:i/>
          <w:lang w:val="es-ES"/>
        </w:rPr>
        <w:t xml:space="preserve">Caja de Ahorros y Monte de Piedad de Madrid </w:t>
      </w:r>
      <w:r w:rsidRPr="007344EA">
        <w:rPr>
          <w:i/>
          <w:lang w:val="es-ES"/>
        </w:rPr>
        <w:t xml:space="preserve">prieš </w:t>
      </w:r>
      <w:r w:rsidRPr="007344EA">
        <w:rPr>
          <w:bCs/>
          <w:i/>
          <w:lang w:val="es-ES"/>
        </w:rPr>
        <w:t>Asociación de Usuarios de Servicios Bancarios (Ausbanc)</w:t>
      </w:r>
      <w:r w:rsidRPr="007344EA">
        <w:rPr>
          <w:bCs/>
          <w:lang w:val="es-ES"/>
        </w:rPr>
        <w:t xml:space="preserve"> [2010] ETA I-</w:t>
      </w:r>
      <w:r w:rsidRPr="007344EA">
        <w:t xml:space="preserve">04785, para. </w:t>
      </w:r>
      <w:r w:rsidRPr="007344EA">
        <w:rPr>
          <w:lang w:val="en-US"/>
        </w:rPr>
        <w:t xml:space="preserve">27. </w:t>
      </w:r>
      <w:r w:rsidRPr="007344EA">
        <w:t xml:space="preserve"> </w:t>
      </w:r>
    </w:p>
  </w:footnote>
  <w:footnote w:id="166">
    <w:p w:rsidR="00393645" w:rsidRPr="007344EA" w:rsidRDefault="00393645" w:rsidP="006306F5">
      <w:pPr>
        <w:pStyle w:val="FootnoteText"/>
      </w:pPr>
      <w:r w:rsidRPr="007344EA">
        <w:rPr>
          <w:rStyle w:val="FootnoteReference"/>
        </w:rPr>
        <w:footnoteRef/>
      </w:r>
      <w:r w:rsidRPr="007344EA">
        <w:t xml:space="preserve"> Generalinės advokatės Trstenjak išvada byloje C-618/10 </w:t>
      </w:r>
      <w:r w:rsidRPr="007344EA">
        <w:rPr>
          <w:i/>
        </w:rPr>
        <w:t xml:space="preserve">Banco Español de Crédito SA prieš Joaquín Calderón Camino, </w:t>
      </w:r>
      <w:r w:rsidRPr="007344EA">
        <w:rPr>
          <w:lang w:val="en-US"/>
        </w:rPr>
        <w:t xml:space="preserve">pateikta 2012 m. </w:t>
      </w:r>
      <w:proofErr w:type="gramStart"/>
      <w:r w:rsidRPr="007344EA">
        <w:rPr>
          <w:lang w:val="en-US"/>
        </w:rPr>
        <w:t>vasario</w:t>
      </w:r>
      <w:proofErr w:type="gramEnd"/>
      <w:r w:rsidRPr="007344EA">
        <w:rPr>
          <w:lang w:val="en-US"/>
        </w:rPr>
        <w:t xml:space="preserve"> 14d., </w:t>
      </w:r>
      <w:r w:rsidRPr="007344EA">
        <w:t>para. 30.</w:t>
      </w:r>
    </w:p>
  </w:footnote>
  <w:footnote w:id="167">
    <w:p w:rsidR="00393645" w:rsidRPr="007344EA" w:rsidRDefault="00393645" w:rsidP="00B50AEA">
      <w:pPr>
        <w:pStyle w:val="FootnoteText"/>
        <w:rPr>
          <w:lang w:val="pt-PT"/>
        </w:rPr>
      </w:pPr>
      <w:r w:rsidRPr="007344EA">
        <w:rPr>
          <w:rStyle w:val="FootnoteReference"/>
        </w:rPr>
        <w:footnoteRef/>
      </w:r>
      <w:r w:rsidRPr="007344EA">
        <w:t xml:space="preserve"> Opinion of Advocate General Saggio in Case C-240/98- C-244/98 </w:t>
      </w:r>
      <w:r w:rsidRPr="007344EA">
        <w:rPr>
          <w:i/>
        </w:rPr>
        <w:t xml:space="preserve">Océano Grupo Editorial SA , </w:t>
      </w:r>
      <w:r w:rsidRPr="007344EA">
        <w:rPr>
          <w:bCs/>
          <w:i/>
        </w:rPr>
        <w:t xml:space="preserve">Rocío Murciano Quintero </w:t>
      </w:r>
      <w:r w:rsidRPr="007344EA">
        <w:rPr>
          <w:i/>
        </w:rPr>
        <w:t xml:space="preserve">ir </w:t>
      </w:r>
      <w:r w:rsidRPr="007344EA">
        <w:rPr>
          <w:bCs/>
          <w:i/>
        </w:rPr>
        <w:t xml:space="preserve">Salvat Editores SA </w:t>
      </w:r>
      <w:r w:rsidRPr="007344EA">
        <w:rPr>
          <w:i/>
        </w:rPr>
        <w:t xml:space="preserve">v </w:t>
      </w:r>
      <w:r w:rsidRPr="007344EA">
        <w:rPr>
          <w:bCs/>
          <w:i/>
        </w:rPr>
        <w:t>José M. Sánchez Alcón Prades</w:t>
      </w:r>
      <w:r w:rsidRPr="007344EA">
        <w:rPr>
          <w:i/>
        </w:rPr>
        <w:t xml:space="preserve">, </w:t>
      </w:r>
      <w:r w:rsidRPr="007344EA">
        <w:rPr>
          <w:bCs/>
          <w:i/>
          <w:lang w:val="es-ES"/>
        </w:rPr>
        <w:t>José Luis Copano Badillo</w:t>
      </w:r>
      <w:r w:rsidRPr="007344EA">
        <w:rPr>
          <w:i/>
          <w:lang w:val="es-ES"/>
        </w:rPr>
        <w:t xml:space="preserve"> , </w:t>
      </w:r>
      <w:r w:rsidRPr="007344EA">
        <w:rPr>
          <w:bCs/>
          <w:i/>
        </w:rPr>
        <w:t xml:space="preserve">Mohammed Berroane </w:t>
      </w:r>
      <w:r w:rsidRPr="007344EA">
        <w:rPr>
          <w:i/>
        </w:rPr>
        <w:t xml:space="preserve">, </w:t>
      </w:r>
      <w:r w:rsidRPr="007344EA">
        <w:rPr>
          <w:bCs/>
          <w:i/>
        </w:rPr>
        <w:t xml:space="preserve">Emilio Viñas Feliu, </w:t>
      </w:r>
      <w:r w:rsidRPr="007344EA">
        <w:rPr>
          <w:bCs/>
        </w:rPr>
        <w:t xml:space="preserve">deliverd on 16 December </w:t>
      </w:r>
      <w:r w:rsidRPr="007344EA">
        <w:rPr>
          <w:bCs/>
          <w:lang w:val="en-US"/>
        </w:rPr>
        <w:t xml:space="preserve">1999, para. </w:t>
      </w:r>
      <w:r w:rsidRPr="007344EA">
        <w:rPr>
          <w:lang w:val="pt-PT"/>
        </w:rPr>
        <w:t xml:space="preserve">24; </w:t>
      </w:r>
      <w:r w:rsidRPr="007344EA">
        <w:t xml:space="preserve">Cases C-240/98- C-244/98 </w:t>
      </w:r>
      <w:r w:rsidRPr="007344EA">
        <w:rPr>
          <w:i/>
        </w:rPr>
        <w:t xml:space="preserve">Océano Grupo Editorial SA , </w:t>
      </w:r>
      <w:r w:rsidRPr="007344EA">
        <w:rPr>
          <w:bCs/>
          <w:i/>
        </w:rPr>
        <w:t xml:space="preserve">Rocío Murciano Quintero </w:t>
      </w:r>
      <w:r w:rsidRPr="007344EA">
        <w:rPr>
          <w:i/>
        </w:rPr>
        <w:t xml:space="preserve">ir </w:t>
      </w:r>
      <w:r w:rsidRPr="007344EA">
        <w:rPr>
          <w:bCs/>
          <w:i/>
        </w:rPr>
        <w:t xml:space="preserve">Salvat Editores SA </w:t>
      </w:r>
      <w:r w:rsidRPr="007344EA">
        <w:rPr>
          <w:i/>
        </w:rPr>
        <w:t xml:space="preserve">v </w:t>
      </w:r>
      <w:r w:rsidRPr="007344EA">
        <w:rPr>
          <w:bCs/>
          <w:i/>
        </w:rPr>
        <w:t>José M. Sánchez Alcón Prades</w:t>
      </w:r>
      <w:r w:rsidRPr="007344EA">
        <w:rPr>
          <w:i/>
        </w:rPr>
        <w:t xml:space="preserve">, </w:t>
      </w:r>
      <w:r w:rsidRPr="007344EA">
        <w:rPr>
          <w:bCs/>
          <w:i/>
          <w:lang w:val="es-ES"/>
        </w:rPr>
        <w:t>José Luis Copano Badillo</w:t>
      </w:r>
      <w:r w:rsidRPr="007344EA">
        <w:rPr>
          <w:i/>
          <w:lang w:val="es-ES"/>
        </w:rPr>
        <w:t xml:space="preserve"> , </w:t>
      </w:r>
      <w:r w:rsidRPr="007344EA">
        <w:rPr>
          <w:bCs/>
          <w:i/>
        </w:rPr>
        <w:t xml:space="preserve">Mohammed Berroane </w:t>
      </w:r>
      <w:r w:rsidRPr="007344EA">
        <w:rPr>
          <w:i/>
        </w:rPr>
        <w:t xml:space="preserve">, </w:t>
      </w:r>
      <w:r w:rsidRPr="007344EA">
        <w:rPr>
          <w:bCs/>
          <w:i/>
        </w:rPr>
        <w:t xml:space="preserve">Emilio Viñas Feliu </w:t>
      </w:r>
      <w:r w:rsidRPr="007344EA">
        <w:rPr>
          <w:bCs/>
        </w:rPr>
        <w:t>[</w:t>
      </w:r>
      <w:r w:rsidRPr="007344EA">
        <w:t xml:space="preserve">2000] ECR I-04941 para. </w:t>
      </w:r>
      <w:r w:rsidRPr="007344EA">
        <w:rPr>
          <w:lang w:val="pt-PT"/>
        </w:rPr>
        <w:t xml:space="preserve">27. </w:t>
      </w:r>
    </w:p>
  </w:footnote>
  <w:footnote w:id="168">
    <w:p w:rsidR="00393645" w:rsidRPr="007344EA" w:rsidRDefault="00393645" w:rsidP="006306F5">
      <w:pPr>
        <w:pStyle w:val="FootnoteText"/>
      </w:pPr>
      <w:r w:rsidRPr="007344EA">
        <w:rPr>
          <w:rStyle w:val="FootnoteReference"/>
        </w:rPr>
        <w:footnoteRef/>
      </w:r>
      <w:r w:rsidRPr="007344EA">
        <w:t xml:space="preserve"> Generalinės advokatės Trstenjak išvada byloje C-618/10 </w:t>
      </w:r>
      <w:r w:rsidRPr="007344EA">
        <w:rPr>
          <w:i/>
        </w:rPr>
        <w:t xml:space="preserve">Banco Español de Crédito SA prieš Joaquín Calderón Camino, </w:t>
      </w:r>
      <w:r w:rsidRPr="007344EA">
        <w:rPr>
          <w:lang w:val="en-US"/>
        </w:rPr>
        <w:t xml:space="preserve">pateikta 2012 m. </w:t>
      </w:r>
      <w:proofErr w:type="gramStart"/>
      <w:r w:rsidRPr="007344EA">
        <w:rPr>
          <w:lang w:val="en-US"/>
        </w:rPr>
        <w:t>vasario</w:t>
      </w:r>
      <w:proofErr w:type="gramEnd"/>
      <w:r w:rsidRPr="007344EA">
        <w:rPr>
          <w:lang w:val="en-US"/>
        </w:rPr>
        <w:t xml:space="preserve"> 14d., </w:t>
      </w:r>
      <w:r w:rsidRPr="007344EA">
        <w:t xml:space="preserve">para.  29. </w:t>
      </w:r>
    </w:p>
  </w:footnote>
  <w:footnote w:id="169">
    <w:p w:rsidR="00393645" w:rsidRPr="007344EA" w:rsidRDefault="00393645">
      <w:pPr>
        <w:pStyle w:val="FootnoteText"/>
        <w:rPr>
          <w:lang w:val="en-US"/>
        </w:rPr>
      </w:pPr>
      <w:r w:rsidRPr="007344EA">
        <w:rPr>
          <w:rStyle w:val="FootnoteReference"/>
        </w:rPr>
        <w:footnoteRef/>
      </w:r>
      <w:r w:rsidRPr="007344EA">
        <w:t xml:space="preserve"> Byla C-618/10 </w:t>
      </w:r>
      <w:r w:rsidRPr="007344EA">
        <w:rPr>
          <w:i/>
        </w:rPr>
        <w:t xml:space="preserve">Banco Español de Crédito SA prieš Joaquín Calderón Camino </w:t>
      </w:r>
      <w:r w:rsidRPr="007344EA">
        <w:t>[dar nepaskelbta].</w:t>
      </w:r>
    </w:p>
  </w:footnote>
  <w:footnote w:id="170">
    <w:p w:rsidR="00393645" w:rsidRPr="007344EA" w:rsidRDefault="00393645">
      <w:pPr>
        <w:pStyle w:val="FootnoteText"/>
        <w:rPr>
          <w:lang w:val="en-US"/>
        </w:rPr>
      </w:pPr>
      <w:r w:rsidRPr="007344EA">
        <w:rPr>
          <w:rStyle w:val="FootnoteReference"/>
        </w:rPr>
        <w:footnoteRef/>
      </w:r>
      <w:r w:rsidRPr="007344EA">
        <w:t xml:space="preserve"> </w:t>
      </w:r>
      <w:r w:rsidRPr="007344EA">
        <w:rPr>
          <w:i/>
        </w:rPr>
        <w:t>Ibid</w:t>
      </w:r>
      <w:r w:rsidRPr="007344EA">
        <w:t xml:space="preserve">., para. </w:t>
      </w:r>
      <w:r w:rsidRPr="007344EA">
        <w:rPr>
          <w:lang w:val="en-US"/>
        </w:rPr>
        <w:t xml:space="preserve">64. </w:t>
      </w:r>
    </w:p>
  </w:footnote>
  <w:footnote w:id="171">
    <w:p w:rsidR="00393645" w:rsidRPr="007344EA" w:rsidRDefault="00393645">
      <w:pPr>
        <w:pStyle w:val="FootnoteText"/>
      </w:pPr>
      <w:r w:rsidRPr="007344EA">
        <w:rPr>
          <w:rStyle w:val="FootnoteReference"/>
        </w:rPr>
        <w:footnoteRef/>
      </w:r>
      <w:r w:rsidRPr="007344EA">
        <w:t xml:space="preserve"> Byla</w:t>
      </w:r>
      <w:r w:rsidRPr="007344EA">
        <w:rPr>
          <w:lang w:val="pt-PT"/>
        </w:rPr>
        <w:t xml:space="preserve"> C</w:t>
      </w:r>
      <w:r w:rsidRPr="007344EA">
        <w:rPr>
          <w:lang w:val="pt-PT"/>
        </w:rPr>
        <w:noBreakHyphen/>
        <w:t xml:space="preserve">168/05 </w:t>
      </w:r>
      <w:r w:rsidRPr="007344EA">
        <w:rPr>
          <w:bCs/>
          <w:i/>
          <w:lang w:val="pt-PT"/>
        </w:rPr>
        <w:t xml:space="preserve">Elisa María Mostaza Claro </w:t>
      </w:r>
      <w:r w:rsidRPr="007344EA">
        <w:rPr>
          <w:i/>
          <w:lang w:val="pt-PT"/>
        </w:rPr>
        <w:t xml:space="preserve">prieš </w:t>
      </w:r>
      <w:r w:rsidRPr="007344EA">
        <w:rPr>
          <w:bCs/>
          <w:i/>
          <w:lang w:val="pt-PT"/>
        </w:rPr>
        <w:t xml:space="preserve">Centro Móvil Milenium SL </w:t>
      </w:r>
      <w:r w:rsidRPr="007344EA">
        <w:rPr>
          <w:bCs/>
          <w:lang w:val="pt-PT"/>
        </w:rPr>
        <w:t>[2006] ETA I-</w:t>
      </w:r>
      <w:r w:rsidRPr="007344EA">
        <w:t xml:space="preserve">10421, para. 27. </w:t>
      </w:r>
    </w:p>
  </w:footnote>
  <w:footnote w:id="172">
    <w:p w:rsidR="00393645" w:rsidRPr="007344EA" w:rsidRDefault="00393645">
      <w:pPr>
        <w:pStyle w:val="FootnoteText"/>
        <w:rPr>
          <w:lang w:val="en-US"/>
        </w:rPr>
      </w:pPr>
      <w:r w:rsidRPr="007344EA">
        <w:rPr>
          <w:rStyle w:val="FootnoteReference"/>
        </w:rPr>
        <w:footnoteRef/>
      </w:r>
      <w:r w:rsidRPr="007344EA">
        <w:t xml:space="preserve"> Byla C-618/10 </w:t>
      </w:r>
      <w:r w:rsidRPr="007344EA">
        <w:rPr>
          <w:i/>
        </w:rPr>
        <w:t xml:space="preserve">Banco Español de Crédito SA prieš Joaquín Calderón Camino </w:t>
      </w:r>
      <w:r w:rsidRPr="007344EA">
        <w:t xml:space="preserve">[dar nepaskelbta], para. </w:t>
      </w:r>
      <w:r w:rsidRPr="007344EA">
        <w:rPr>
          <w:lang w:val="en-US"/>
        </w:rPr>
        <w:t xml:space="preserve">69. </w:t>
      </w:r>
    </w:p>
  </w:footnote>
  <w:footnote w:id="173">
    <w:p w:rsidR="00393645" w:rsidRPr="007344EA" w:rsidRDefault="00393645" w:rsidP="006306F5">
      <w:pPr>
        <w:pStyle w:val="FootnoteText"/>
      </w:pPr>
      <w:r w:rsidRPr="007344EA">
        <w:rPr>
          <w:rStyle w:val="FootnoteReference"/>
        </w:rPr>
        <w:footnoteRef/>
      </w:r>
      <w:r w:rsidRPr="007344EA">
        <w:t xml:space="preserve"> Šis straipsnis nebuvo perkeltas į SESV, jame nurodyta, kad viena iš Bendrijos veiklos sričių yra įnašas stiprinant vartotojų apsaugą. </w:t>
      </w:r>
    </w:p>
  </w:footnote>
  <w:footnote w:id="174">
    <w:p w:rsidR="00393645" w:rsidRPr="007344EA" w:rsidRDefault="00393645" w:rsidP="006306F5">
      <w:pPr>
        <w:pStyle w:val="FootnoteText"/>
      </w:pPr>
      <w:r w:rsidRPr="007344EA">
        <w:rPr>
          <w:rStyle w:val="FootnoteReference"/>
        </w:rPr>
        <w:footnoteRef/>
      </w:r>
      <w:r w:rsidRPr="007344EA">
        <w:t xml:space="preserve"> Generalinės advokatės Trstenjak išvada byloje C</w:t>
      </w:r>
      <w:r w:rsidRPr="007344EA">
        <w:noBreakHyphen/>
        <w:t xml:space="preserve">40/08 </w:t>
      </w:r>
      <w:r w:rsidRPr="007344EA">
        <w:rPr>
          <w:bCs/>
          <w:i/>
        </w:rPr>
        <w:t xml:space="preserve">Asturcom Telecomunicaciones SL </w:t>
      </w:r>
      <w:r w:rsidRPr="007344EA">
        <w:rPr>
          <w:i/>
        </w:rPr>
        <w:t xml:space="preserve">prieš </w:t>
      </w:r>
      <w:r w:rsidRPr="007344EA">
        <w:rPr>
          <w:bCs/>
          <w:i/>
        </w:rPr>
        <w:t xml:space="preserve">Cristina Rodríguez Nogueira, </w:t>
      </w:r>
      <w:r w:rsidRPr="007344EA">
        <w:rPr>
          <w:bCs/>
        </w:rPr>
        <w:t xml:space="preserve">pateikta 2009 m.  gegužės 14 d., </w:t>
      </w:r>
      <w:r w:rsidRPr="007344EA">
        <w:t xml:space="preserve">para </w:t>
      </w:r>
      <w:r w:rsidRPr="007344EA">
        <w:rPr>
          <w:lang w:val="pt-PT"/>
        </w:rPr>
        <w:t xml:space="preserve">29.  </w:t>
      </w:r>
    </w:p>
    <w:p w:rsidR="00393645" w:rsidRPr="007344EA" w:rsidRDefault="00393645" w:rsidP="006306F5">
      <w:pPr>
        <w:pStyle w:val="FootnoteText"/>
        <w:rPr>
          <w:lang w:val="en-US"/>
        </w:rPr>
      </w:pPr>
      <w:r w:rsidRPr="007344EA">
        <w:t>Byla</w:t>
      </w:r>
      <w:r w:rsidRPr="007344EA">
        <w:rPr>
          <w:lang w:val="pt-PT"/>
        </w:rPr>
        <w:t xml:space="preserve"> C</w:t>
      </w:r>
      <w:r w:rsidRPr="007344EA">
        <w:rPr>
          <w:lang w:val="pt-PT"/>
        </w:rPr>
        <w:noBreakHyphen/>
        <w:t xml:space="preserve">168/05 </w:t>
      </w:r>
      <w:r w:rsidRPr="007344EA">
        <w:rPr>
          <w:bCs/>
          <w:i/>
          <w:lang w:val="pt-PT"/>
        </w:rPr>
        <w:t xml:space="preserve">Elisa María Mostaza Claro </w:t>
      </w:r>
      <w:r w:rsidRPr="007344EA">
        <w:rPr>
          <w:i/>
          <w:lang w:val="pt-PT"/>
        </w:rPr>
        <w:t xml:space="preserve">prieš </w:t>
      </w:r>
      <w:r w:rsidRPr="007344EA">
        <w:rPr>
          <w:bCs/>
          <w:i/>
          <w:lang w:val="pt-PT"/>
        </w:rPr>
        <w:t xml:space="preserve">Centro Móvil Milenium SL </w:t>
      </w:r>
      <w:r w:rsidRPr="007344EA">
        <w:rPr>
          <w:bCs/>
          <w:lang w:val="pt-PT"/>
        </w:rPr>
        <w:t>[2006] ETA I-</w:t>
      </w:r>
      <w:r w:rsidRPr="007344EA">
        <w:t>10421,</w:t>
      </w:r>
      <w:r w:rsidRPr="007344EA">
        <w:rPr>
          <w:lang w:val="pt-PT"/>
        </w:rPr>
        <w:t xml:space="preserve"> </w:t>
      </w:r>
      <w:r w:rsidRPr="007344EA">
        <w:rPr>
          <w:lang w:val="en-US"/>
        </w:rPr>
        <w:t>para. 37.</w:t>
      </w:r>
    </w:p>
    <w:p w:rsidR="00393645" w:rsidRPr="007344EA" w:rsidRDefault="00393645" w:rsidP="006306F5">
      <w:pPr>
        <w:pStyle w:val="FootnoteText"/>
        <w:rPr>
          <w:lang w:val="en-US"/>
        </w:rPr>
      </w:pPr>
      <w:r w:rsidRPr="007344EA">
        <w:t xml:space="preserve">Byla </w:t>
      </w:r>
      <w:r w:rsidRPr="007344EA">
        <w:rPr>
          <w:lang w:val="pt-PT"/>
        </w:rPr>
        <w:t xml:space="preserve">C-243/08 </w:t>
      </w:r>
      <w:r w:rsidRPr="007344EA">
        <w:rPr>
          <w:bCs/>
          <w:i/>
          <w:lang w:val="pt-PT"/>
        </w:rPr>
        <w:t xml:space="preserve">Pannon GSM Zrt. </w:t>
      </w:r>
      <w:r w:rsidRPr="007344EA">
        <w:rPr>
          <w:i/>
          <w:lang w:val="pt-PT"/>
        </w:rPr>
        <w:t xml:space="preserve">Prieš </w:t>
      </w:r>
      <w:r w:rsidRPr="007344EA">
        <w:rPr>
          <w:bCs/>
          <w:i/>
          <w:lang w:val="pt-PT"/>
        </w:rPr>
        <w:t>Erzsébet Sustikné</w:t>
      </w:r>
      <w:r w:rsidRPr="007344EA">
        <w:rPr>
          <w:b/>
          <w:bCs/>
          <w:lang w:val="pt-PT"/>
        </w:rPr>
        <w:t xml:space="preserve"> </w:t>
      </w:r>
      <w:r w:rsidRPr="007344EA">
        <w:rPr>
          <w:bCs/>
          <w:i/>
          <w:lang w:val="pt-PT"/>
        </w:rPr>
        <w:t xml:space="preserve">Győrfi </w:t>
      </w:r>
      <w:r w:rsidRPr="007344EA">
        <w:rPr>
          <w:bCs/>
          <w:lang w:val="en-US"/>
        </w:rPr>
        <w:t>[2009] ETA I-</w:t>
      </w:r>
      <w:r w:rsidRPr="007344EA">
        <w:t>04713, para.</w:t>
      </w:r>
      <w:r w:rsidRPr="007344EA">
        <w:rPr>
          <w:lang w:val="en-US"/>
        </w:rPr>
        <w:t xml:space="preserve"> 26.</w:t>
      </w:r>
    </w:p>
    <w:p w:rsidR="00393645" w:rsidRPr="007344EA" w:rsidRDefault="00393645" w:rsidP="006306F5">
      <w:pPr>
        <w:pStyle w:val="FootnoteText"/>
        <w:rPr>
          <w:lang w:val="en-US"/>
        </w:rPr>
      </w:pPr>
      <w:r w:rsidRPr="007344EA">
        <w:t>Byla</w:t>
      </w:r>
      <w:r w:rsidRPr="007344EA">
        <w:rPr>
          <w:lang w:val="pt-PT"/>
        </w:rPr>
        <w:t xml:space="preserve"> C</w:t>
      </w:r>
      <w:r w:rsidRPr="007344EA">
        <w:rPr>
          <w:lang w:val="pt-PT"/>
        </w:rPr>
        <w:noBreakHyphen/>
        <w:t xml:space="preserve">40/08 </w:t>
      </w:r>
      <w:r w:rsidRPr="007344EA">
        <w:rPr>
          <w:bCs/>
          <w:i/>
          <w:lang w:val="pt-PT"/>
        </w:rPr>
        <w:t xml:space="preserve">Asturcom Telecomunicaciones SL </w:t>
      </w:r>
      <w:r w:rsidRPr="007344EA">
        <w:rPr>
          <w:i/>
          <w:lang w:val="pt-PT"/>
        </w:rPr>
        <w:t xml:space="preserve">prieš </w:t>
      </w:r>
      <w:r w:rsidRPr="007344EA">
        <w:rPr>
          <w:bCs/>
          <w:i/>
          <w:lang w:val="pt-PT"/>
        </w:rPr>
        <w:t>Cristina Rodríguez Nogueira</w:t>
      </w:r>
      <w:r w:rsidRPr="007344EA">
        <w:rPr>
          <w:bCs/>
          <w:i/>
        </w:rPr>
        <w:t xml:space="preserve"> </w:t>
      </w:r>
      <w:r w:rsidRPr="007344EA">
        <w:rPr>
          <w:bCs/>
        </w:rPr>
        <w:t>[</w:t>
      </w:r>
      <w:r w:rsidRPr="007344EA">
        <w:rPr>
          <w:bCs/>
          <w:lang w:val="en-US"/>
        </w:rPr>
        <w:t>2009] ETA I-</w:t>
      </w:r>
      <w:r w:rsidRPr="007344EA">
        <w:t xml:space="preserve">09579, para. </w:t>
      </w:r>
      <w:r w:rsidRPr="007344EA">
        <w:rPr>
          <w:lang w:val="en-US"/>
        </w:rPr>
        <w:t xml:space="preserve">51. </w:t>
      </w:r>
    </w:p>
    <w:p w:rsidR="00393645" w:rsidRPr="007344EA" w:rsidRDefault="00393645" w:rsidP="006306F5">
      <w:pPr>
        <w:pStyle w:val="FootnoteText"/>
        <w:rPr>
          <w:lang w:val="en-US"/>
        </w:rPr>
      </w:pPr>
      <w:r w:rsidRPr="007344EA">
        <w:t xml:space="preserve">Byla C-618/10 </w:t>
      </w:r>
      <w:r w:rsidRPr="007344EA">
        <w:rPr>
          <w:i/>
        </w:rPr>
        <w:t xml:space="preserve">Banco Español de Crédito SA prieš Joaquín Calderón Camino </w:t>
      </w:r>
      <w:r w:rsidRPr="007344EA">
        <w:t xml:space="preserve">[dar nepaskelbta], para. </w:t>
      </w:r>
      <w:r w:rsidRPr="007344EA">
        <w:rPr>
          <w:lang w:val="en-US"/>
        </w:rPr>
        <w:t xml:space="preserve">67. </w:t>
      </w:r>
    </w:p>
  </w:footnote>
  <w:footnote w:id="175">
    <w:p w:rsidR="00393645" w:rsidRPr="007344EA" w:rsidRDefault="00393645" w:rsidP="006306F5">
      <w:pPr>
        <w:pStyle w:val="FootnoteText"/>
        <w:rPr>
          <w:lang w:val="pt-PT"/>
        </w:rPr>
      </w:pPr>
      <w:r w:rsidRPr="007344EA">
        <w:rPr>
          <w:rStyle w:val="FootnoteReference"/>
        </w:rPr>
        <w:footnoteRef/>
      </w:r>
      <w:r w:rsidRPr="007344EA">
        <w:t xml:space="preserve"> Vėgėlė I. </w:t>
      </w:r>
      <w:r w:rsidRPr="007344EA">
        <w:rPr>
          <w:i/>
        </w:rPr>
        <w:t>Europos Sąjungos teisė. Vidaus rinkos laisvės, konkurencija ir teisės derinimas</w:t>
      </w:r>
      <w:r w:rsidRPr="007344EA">
        <w:t xml:space="preserve">. Vilnius: VĮ Registrų centras, 2011, p. </w:t>
      </w:r>
      <w:r w:rsidRPr="007344EA">
        <w:rPr>
          <w:lang w:val="pt-PT"/>
        </w:rPr>
        <w:t>38.</w:t>
      </w:r>
    </w:p>
  </w:footnote>
  <w:footnote w:id="176">
    <w:p w:rsidR="00393645" w:rsidRPr="007344EA" w:rsidRDefault="00393645" w:rsidP="006306F5">
      <w:pPr>
        <w:pStyle w:val="FootnoteText"/>
      </w:pPr>
      <w:r w:rsidRPr="007344EA">
        <w:rPr>
          <w:rStyle w:val="FootnoteReference"/>
        </w:rPr>
        <w:footnoteRef/>
      </w:r>
      <w:r w:rsidRPr="007344EA">
        <w:t xml:space="preserve"> Likusios trys Europos integracijos formos: laisvosios prekybos erdvė, muitų sąjungą ir ekonominė sąjunga.  Žr.: Vėgėlė I. </w:t>
      </w:r>
      <w:r w:rsidRPr="007344EA">
        <w:rPr>
          <w:i/>
        </w:rPr>
        <w:t>Europos Sąjungos teisė. Vidaus rinkos laisvės, konkurencija ir teisės derinimas</w:t>
      </w:r>
      <w:r w:rsidRPr="007344EA">
        <w:t xml:space="preserve">. Vilnius: VĮ Registrų centras, 2011, p. </w:t>
      </w:r>
      <w:r w:rsidRPr="007344EA">
        <w:rPr>
          <w:lang w:val="pt-PT"/>
        </w:rPr>
        <w:t>38.</w:t>
      </w:r>
    </w:p>
  </w:footnote>
  <w:footnote w:id="177">
    <w:p w:rsidR="00393645" w:rsidRPr="007344EA" w:rsidRDefault="00393645" w:rsidP="006306F5">
      <w:pPr>
        <w:pStyle w:val="FootnoteText"/>
      </w:pPr>
      <w:r w:rsidRPr="007344EA">
        <w:rPr>
          <w:rStyle w:val="FootnoteReference"/>
        </w:rPr>
        <w:footnoteRef/>
      </w:r>
      <w:r w:rsidRPr="007344EA">
        <w:t xml:space="preserve"> Vėgėlė I. </w:t>
      </w:r>
      <w:r w:rsidRPr="007344EA">
        <w:rPr>
          <w:i/>
        </w:rPr>
        <w:t>Europos Sąjungos teisė. Vidaus rinkos laisvės, konkurencija ir teisės derinimas</w:t>
      </w:r>
      <w:r w:rsidRPr="007344EA">
        <w:t xml:space="preserve">. Vilnius: VĮ Registrų centras, 2011, p. </w:t>
      </w:r>
      <w:r w:rsidRPr="007344EA">
        <w:rPr>
          <w:lang w:val="pt-PT"/>
        </w:rPr>
        <w:t xml:space="preserve">24. </w:t>
      </w:r>
    </w:p>
  </w:footnote>
  <w:footnote w:id="178">
    <w:p w:rsidR="00393645" w:rsidRPr="007344EA" w:rsidRDefault="00393645" w:rsidP="00830D73">
      <w:pPr>
        <w:pStyle w:val="FootnoteText"/>
        <w:jc w:val="both"/>
        <w:rPr>
          <w:lang w:val="pt-PT"/>
        </w:rPr>
      </w:pPr>
      <w:r w:rsidRPr="007344EA">
        <w:rPr>
          <w:rStyle w:val="FootnoteReference"/>
        </w:rPr>
        <w:footnoteRef/>
      </w:r>
      <w:r w:rsidRPr="007344EA">
        <w:t xml:space="preserve">Generalinės advokatės Trstenjak išvada byloje </w:t>
      </w:r>
      <w:r w:rsidRPr="007344EA">
        <w:rPr>
          <w:lang w:val="pt-PT"/>
        </w:rPr>
        <w:t>C</w:t>
      </w:r>
      <w:r w:rsidRPr="007344EA">
        <w:rPr>
          <w:lang w:val="pt-PT"/>
        </w:rPr>
        <w:noBreakHyphen/>
        <w:t>453/10</w:t>
      </w:r>
      <w:r w:rsidRPr="007344EA">
        <w:rPr>
          <w:bCs/>
          <w:i/>
          <w:lang w:val="pt-PT"/>
        </w:rPr>
        <w:t xml:space="preserve"> Jana Pereničová, Vladislav Perenič </w:t>
      </w:r>
      <w:r w:rsidRPr="007344EA">
        <w:rPr>
          <w:i/>
          <w:lang w:val="pt-PT"/>
        </w:rPr>
        <w:t xml:space="preserve">prieš </w:t>
      </w:r>
      <w:r w:rsidRPr="007344EA">
        <w:rPr>
          <w:bCs/>
          <w:i/>
          <w:lang w:val="pt-PT"/>
        </w:rPr>
        <w:t>SOS financ spol. s r. o.</w:t>
      </w:r>
      <w:r w:rsidRPr="007344EA">
        <w:rPr>
          <w:lang w:val="pt-PT"/>
        </w:rPr>
        <w:t xml:space="preserve">, pateikta </w:t>
      </w:r>
      <w:r w:rsidRPr="007344EA">
        <w:t xml:space="preserve">2011 m. lapkričio 29 d.,  para.  </w:t>
      </w:r>
      <w:r w:rsidRPr="007344EA">
        <w:rPr>
          <w:lang w:val="pt-PT"/>
        </w:rPr>
        <w:t>67.</w:t>
      </w:r>
    </w:p>
  </w:footnote>
  <w:footnote w:id="179">
    <w:p w:rsidR="00393645" w:rsidRPr="007344EA" w:rsidRDefault="00393645" w:rsidP="00830D73">
      <w:pPr>
        <w:pStyle w:val="FootnoteText"/>
        <w:jc w:val="both"/>
      </w:pPr>
      <w:r w:rsidRPr="007344EA">
        <w:rPr>
          <w:rStyle w:val="FootnoteReference"/>
        </w:rPr>
        <w:footnoteRef/>
      </w:r>
      <w:r w:rsidRPr="007344EA">
        <w:t xml:space="preserve"> </w:t>
      </w:r>
      <w:r w:rsidRPr="007344EA">
        <w:rPr>
          <w:i/>
        </w:rPr>
        <w:t>Ibid</w:t>
      </w:r>
      <w:r w:rsidRPr="007344EA">
        <w:t xml:space="preserve">.,  išnaša </w:t>
      </w:r>
      <w:r w:rsidRPr="007344EA">
        <w:rPr>
          <w:lang w:val="en-US"/>
        </w:rPr>
        <w:t>18.</w:t>
      </w:r>
      <w:r w:rsidRPr="007344EA">
        <w:t xml:space="preserve"> </w:t>
      </w:r>
    </w:p>
  </w:footnote>
  <w:footnote w:id="180">
    <w:p w:rsidR="00393645" w:rsidRPr="007344EA" w:rsidRDefault="00393645">
      <w:pPr>
        <w:pStyle w:val="FootnoteText"/>
        <w:rPr>
          <w:lang w:val="en-US"/>
        </w:rPr>
      </w:pPr>
      <w:r w:rsidRPr="007344EA">
        <w:rPr>
          <w:rStyle w:val="FootnoteReference"/>
        </w:rPr>
        <w:footnoteRef/>
      </w:r>
      <w:r w:rsidRPr="007344EA">
        <w:t xml:space="preserve"> Generalinės advokatės Trstenjak išvada byloje C-618/10 </w:t>
      </w:r>
      <w:r w:rsidRPr="007344EA">
        <w:rPr>
          <w:i/>
        </w:rPr>
        <w:t xml:space="preserve">Banco Español de Crédito SA prieš Joaquín Calderón Camino, </w:t>
      </w:r>
      <w:r w:rsidRPr="007344EA">
        <w:rPr>
          <w:lang w:val="en-US"/>
        </w:rPr>
        <w:t xml:space="preserve">pateikta 2012 m. </w:t>
      </w:r>
      <w:proofErr w:type="gramStart"/>
      <w:r w:rsidRPr="007344EA">
        <w:rPr>
          <w:lang w:val="en-US"/>
        </w:rPr>
        <w:t>vasario</w:t>
      </w:r>
      <w:proofErr w:type="gramEnd"/>
      <w:r w:rsidRPr="007344EA">
        <w:rPr>
          <w:lang w:val="en-US"/>
        </w:rPr>
        <w:t xml:space="preserve"> 14 d., para. 75. </w:t>
      </w:r>
    </w:p>
  </w:footnote>
  <w:footnote w:id="181">
    <w:p w:rsidR="00393645" w:rsidRPr="007344EA" w:rsidRDefault="00393645" w:rsidP="006306F5">
      <w:pPr>
        <w:pStyle w:val="FootnoteText"/>
        <w:rPr>
          <w:lang w:val="pt-PT"/>
        </w:rPr>
      </w:pPr>
      <w:r w:rsidRPr="007344EA">
        <w:rPr>
          <w:rStyle w:val="FootnoteReference"/>
        </w:rPr>
        <w:footnoteRef/>
      </w:r>
      <w:r w:rsidRPr="007344EA">
        <w:t xml:space="preserve"> Direktyvos 9</w:t>
      </w:r>
      <w:r w:rsidRPr="007344EA">
        <w:rPr>
          <w:lang w:val="en-US"/>
        </w:rPr>
        <w:t xml:space="preserve">3/13 </w:t>
      </w:r>
      <w:r w:rsidRPr="007344EA">
        <w:rPr>
          <w:lang w:val="pt-PT"/>
        </w:rPr>
        <w:t xml:space="preserve">7 str. 1 d. </w:t>
      </w:r>
    </w:p>
  </w:footnote>
  <w:footnote w:id="182">
    <w:p w:rsidR="00393645" w:rsidRPr="007344EA" w:rsidRDefault="00393645" w:rsidP="00084699">
      <w:pPr>
        <w:pStyle w:val="FootnoteText"/>
      </w:pPr>
      <w:r w:rsidRPr="007344EA">
        <w:rPr>
          <w:rStyle w:val="FootnoteReference"/>
        </w:rPr>
        <w:footnoteRef/>
      </w:r>
      <w:r w:rsidRPr="007344EA">
        <w:t xml:space="preserve"> Case</w:t>
      </w:r>
      <w:r w:rsidRPr="007344EA">
        <w:rPr>
          <w:lang w:val="pt-PT"/>
        </w:rPr>
        <w:t xml:space="preserve"> </w:t>
      </w:r>
      <w:r w:rsidRPr="007344EA">
        <w:t xml:space="preserve">C-541/99 , C-542/99 </w:t>
      </w:r>
      <w:r w:rsidRPr="007344EA">
        <w:rPr>
          <w:i/>
          <w:lang w:val="pt-PT"/>
        </w:rPr>
        <w:t xml:space="preserve">Cape Snc v </w:t>
      </w:r>
      <w:r w:rsidRPr="007344EA">
        <w:rPr>
          <w:bCs/>
          <w:i/>
          <w:lang w:val="pt-PT"/>
        </w:rPr>
        <w:t>Idealservice Srl</w:t>
      </w:r>
      <w:r w:rsidRPr="007344EA">
        <w:rPr>
          <w:i/>
          <w:lang w:val="pt-PT"/>
        </w:rPr>
        <w:t xml:space="preserve">, </w:t>
      </w:r>
      <w:r w:rsidRPr="007344EA">
        <w:rPr>
          <w:bCs/>
          <w:i/>
          <w:lang w:val="pt-PT"/>
        </w:rPr>
        <w:t>Idealservice MN RE Sas</w:t>
      </w:r>
      <w:r w:rsidRPr="007344EA">
        <w:rPr>
          <w:i/>
          <w:lang w:val="pt-PT"/>
        </w:rPr>
        <w:t xml:space="preserve"> v </w:t>
      </w:r>
      <w:r w:rsidRPr="007344EA">
        <w:rPr>
          <w:bCs/>
          <w:i/>
          <w:lang w:val="pt-PT"/>
        </w:rPr>
        <w:t>OMAI Srl</w:t>
      </w:r>
      <w:r w:rsidRPr="007344EA">
        <w:rPr>
          <w:bCs/>
          <w:lang w:val="pt-PT"/>
        </w:rPr>
        <w:t xml:space="preserve"> [2001] ECR I-</w:t>
      </w:r>
      <w:r w:rsidRPr="007344EA">
        <w:rPr>
          <w:rStyle w:val="Emphasis"/>
          <w:rFonts w:eastAsiaTheme="majorEastAsia"/>
        </w:rPr>
        <w:t>09049.</w:t>
      </w:r>
    </w:p>
  </w:footnote>
  <w:footnote w:id="183">
    <w:p w:rsidR="00393645" w:rsidRPr="007344EA" w:rsidRDefault="00393645" w:rsidP="00084699">
      <w:pPr>
        <w:pStyle w:val="FootnoteText"/>
      </w:pPr>
      <w:r w:rsidRPr="007344EA">
        <w:rPr>
          <w:rStyle w:val="FootnoteReference"/>
        </w:rPr>
        <w:footnoteRef/>
      </w:r>
      <w:r w:rsidRPr="007344EA">
        <w:t xml:space="preserve"> Byla </w:t>
      </w:r>
      <w:r w:rsidRPr="007344EA">
        <w:rPr>
          <w:lang w:val="pt-PT"/>
        </w:rPr>
        <w:t>C</w:t>
      </w:r>
      <w:r w:rsidRPr="007344EA">
        <w:rPr>
          <w:lang w:val="pt-PT"/>
        </w:rPr>
        <w:noBreakHyphen/>
        <w:t>484/08</w:t>
      </w:r>
      <w:r w:rsidRPr="007344EA">
        <w:rPr>
          <w:i/>
          <w:lang w:val="pt-PT"/>
        </w:rPr>
        <w:t xml:space="preserve"> </w:t>
      </w:r>
      <w:r w:rsidRPr="007344EA">
        <w:rPr>
          <w:bCs/>
          <w:i/>
          <w:lang w:val="es-ES"/>
        </w:rPr>
        <w:t xml:space="preserve">Caja de Ahorros y Monte de Piedad de Madrid </w:t>
      </w:r>
      <w:r w:rsidRPr="007344EA">
        <w:rPr>
          <w:i/>
          <w:lang w:val="es-ES"/>
        </w:rPr>
        <w:t xml:space="preserve">prieš </w:t>
      </w:r>
      <w:r w:rsidRPr="007344EA">
        <w:rPr>
          <w:bCs/>
          <w:i/>
          <w:lang w:val="es-ES"/>
        </w:rPr>
        <w:t>Asociación de Usuarios de Servicios Bancarios (Ausbanc)</w:t>
      </w:r>
      <w:r w:rsidRPr="007344EA">
        <w:rPr>
          <w:bCs/>
          <w:lang w:val="es-ES"/>
        </w:rPr>
        <w:t xml:space="preserve"> [2010] ETA I-</w:t>
      </w:r>
      <w:r w:rsidRPr="007344EA">
        <w:t>04785</w:t>
      </w:r>
    </w:p>
  </w:footnote>
  <w:footnote w:id="184">
    <w:p w:rsidR="00393645" w:rsidRPr="007344EA" w:rsidRDefault="00393645" w:rsidP="00084699">
      <w:pPr>
        <w:pStyle w:val="FootnoteText"/>
      </w:pPr>
      <w:r w:rsidRPr="007344EA">
        <w:rPr>
          <w:rStyle w:val="FootnoteReference"/>
        </w:rPr>
        <w:footnoteRef/>
      </w:r>
      <w:r w:rsidRPr="007344EA">
        <w:t xml:space="preserve"> Byla C-203/04 </w:t>
      </w:r>
      <w:r w:rsidRPr="007344EA">
        <w:rPr>
          <w:bCs/>
          <w:i/>
        </w:rPr>
        <w:t xml:space="preserve">Ynos kft </w:t>
      </w:r>
      <w:r w:rsidRPr="007344EA">
        <w:rPr>
          <w:i/>
        </w:rPr>
        <w:t xml:space="preserve">prieš </w:t>
      </w:r>
      <w:r w:rsidRPr="007344EA">
        <w:rPr>
          <w:bCs/>
          <w:i/>
        </w:rPr>
        <w:t>János Varga</w:t>
      </w:r>
      <w:r w:rsidRPr="007344EA">
        <w:rPr>
          <w:bCs/>
        </w:rPr>
        <w:t xml:space="preserve"> [2005] ETA I-</w:t>
      </w:r>
      <w:r w:rsidRPr="007344EA">
        <w:t>07239.</w:t>
      </w:r>
    </w:p>
  </w:footnote>
  <w:footnote w:id="185">
    <w:p w:rsidR="00393645" w:rsidRPr="007344EA" w:rsidRDefault="00393645" w:rsidP="00084699">
      <w:pPr>
        <w:pStyle w:val="FootnoteText"/>
      </w:pPr>
      <w:r w:rsidRPr="007344EA">
        <w:rPr>
          <w:rStyle w:val="FootnoteReference"/>
        </w:rPr>
        <w:footnoteRef/>
      </w:r>
      <w:r w:rsidRPr="007344EA">
        <w:t xml:space="preserve"> Direktyvos 93/13  lietuvių kalbine redakcijoje įsivėlė apmaudi klaida, keičianti visą Direktyvos taikymo esmę: „pardavėjas ar tiekėjas“- bet kuris fizinis ar juridinis asmuo, kuris sutartyse, kurioms taikoma ši direktyva veikia</w:t>
      </w:r>
      <w:r w:rsidRPr="007344EA">
        <w:rPr>
          <w:b/>
        </w:rPr>
        <w:t xml:space="preserve"> ne</w:t>
      </w:r>
      <w:r w:rsidRPr="007344EA">
        <w:t xml:space="preserve"> savo verslo, prekybos ar profesijos tikslais, nesvarbu ar tai būtų viešoji ar privati nuosavybė. </w:t>
      </w:r>
    </w:p>
  </w:footnote>
  <w:footnote w:id="186">
    <w:p w:rsidR="00393645" w:rsidRPr="007344EA" w:rsidRDefault="00393645" w:rsidP="00084699">
      <w:pPr>
        <w:pStyle w:val="FootnoteText"/>
      </w:pPr>
      <w:r w:rsidRPr="007344EA">
        <w:rPr>
          <w:rStyle w:val="FootnoteReference"/>
        </w:rPr>
        <w:footnoteRef/>
      </w:r>
      <w:r w:rsidRPr="007344EA">
        <w:t xml:space="preserve"> Bublienė D. </w:t>
      </w:r>
      <w:r w:rsidRPr="007344EA">
        <w:rPr>
          <w:i/>
        </w:rPr>
        <w:t>Vartojimo sutarčių nesąžiningų sąlygų kontrolė</w:t>
      </w:r>
      <w:r w:rsidRPr="007344EA">
        <w:t>: monografija. Vilnius: Registrų centras, 2009, p. 89.</w:t>
      </w:r>
    </w:p>
  </w:footnote>
  <w:footnote w:id="187">
    <w:p w:rsidR="00393645" w:rsidRPr="007344EA" w:rsidRDefault="00393645" w:rsidP="00084699">
      <w:pPr>
        <w:pStyle w:val="FootnoteText"/>
      </w:pPr>
      <w:r w:rsidRPr="007344EA">
        <w:rPr>
          <w:rStyle w:val="FootnoteReference"/>
        </w:rPr>
        <w:footnoteRef/>
      </w:r>
      <w:r w:rsidRPr="007344EA">
        <w:t xml:space="preserve">  Nors Briuselio konvencija nėra Europos Sąjungos Teisės aktas, bet tarptautinės teisės dokumentas, dėl susitariančių šalių specifikos galima ją sąlyginai vadinti Europos Sąjungos teisės šaltiniu. Žr.: Bublienė D. </w:t>
      </w:r>
      <w:r w:rsidRPr="007344EA">
        <w:rPr>
          <w:i/>
        </w:rPr>
        <w:t>Vartojimo sutarčių nesąžiningų sąlygų kontrolė</w:t>
      </w:r>
      <w:r w:rsidRPr="007344EA">
        <w:t>: monografija. Vilnius: Registrų centras, 2009, p. 85.</w:t>
      </w:r>
    </w:p>
  </w:footnote>
  <w:footnote w:id="188">
    <w:p w:rsidR="00393645" w:rsidRPr="007344EA" w:rsidRDefault="00393645" w:rsidP="00084699">
      <w:pPr>
        <w:pStyle w:val="FootnoteText"/>
      </w:pPr>
      <w:r w:rsidRPr="007344EA">
        <w:rPr>
          <w:rStyle w:val="FootnoteReference"/>
        </w:rPr>
        <w:footnoteRef/>
      </w:r>
      <w:r w:rsidRPr="007344EA">
        <w:t xml:space="preserve"> Bublienė D. </w:t>
      </w:r>
      <w:r w:rsidRPr="007344EA">
        <w:rPr>
          <w:i/>
        </w:rPr>
        <w:t>Vartojimo sutarčių nesąžiningų sąlygų kontrolė</w:t>
      </w:r>
      <w:r w:rsidRPr="007344EA">
        <w:t>: monografija. Vilnius: Registrų centras, 2009, p. 104. Tinkama šios situacijos iliustracija, aiškinat Direktyvos 9</w:t>
      </w:r>
      <w:r w:rsidRPr="007344EA">
        <w:rPr>
          <w:lang w:val="en-US"/>
        </w:rPr>
        <w:t>3/13 nuost</w:t>
      </w:r>
      <w:r w:rsidRPr="007344EA">
        <w:t xml:space="preserve">atas byla </w:t>
      </w:r>
      <w:r w:rsidRPr="007344EA">
        <w:rPr>
          <w:i/>
        </w:rPr>
        <w:t>Cape</w:t>
      </w:r>
      <w:r w:rsidRPr="007344EA">
        <w:t>, šioje byloje Generalinis advokatas siūlė Teisingumo Teismui remtis  jo paties suformuota praktika, aiškinant Briuselio konvencijos nuostatas (Opinion of Advocate General Mischo in Cases</w:t>
      </w:r>
      <w:r w:rsidRPr="007344EA">
        <w:rPr>
          <w:lang w:val="pt-PT"/>
        </w:rPr>
        <w:t xml:space="preserve"> </w:t>
      </w:r>
      <w:r w:rsidRPr="007344EA">
        <w:t xml:space="preserve">C-541/99 , C-542/99 </w:t>
      </w:r>
      <w:r w:rsidRPr="007344EA">
        <w:rPr>
          <w:i/>
          <w:lang w:val="pt-PT"/>
        </w:rPr>
        <w:t xml:space="preserve">Cape Snc v </w:t>
      </w:r>
      <w:r w:rsidRPr="007344EA">
        <w:rPr>
          <w:bCs/>
          <w:i/>
          <w:lang w:val="pt-PT"/>
        </w:rPr>
        <w:t>Idealservice Srl</w:t>
      </w:r>
      <w:r w:rsidRPr="007344EA">
        <w:rPr>
          <w:i/>
          <w:lang w:val="pt-PT"/>
        </w:rPr>
        <w:t xml:space="preserve">, </w:t>
      </w:r>
      <w:r w:rsidRPr="007344EA">
        <w:rPr>
          <w:bCs/>
          <w:i/>
          <w:lang w:val="pt-PT"/>
        </w:rPr>
        <w:t>Idealservice MN RE Sas</w:t>
      </w:r>
      <w:r w:rsidRPr="007344EA">
        <w:rPr>
          <w:i/>
          <w:lang w:val="pt-PT"/>
        </w:rPr>
        <w:t xml:space="preserve"> v </w:t>
      </w:r>
      <w:r w:rsidRPr="007344EA">
        <w:rPr>
          <w:bCs/>
          <w:i/>
          <w:lang w:val="pt-PT"/>
        </w:rPr>
        <w:t xml:space="preserve">OMAI Srl, </w:t>
      </w:r>
      <w:r w:rsidRPr="007344EA">
        <w:rPr>
          <w:bCs/>
          <w:lang w:val="pt-PT"/>
        </w:rPr>
        <w:t xml:space="preserve">delivered 14 June 2001, </w:t>
      </w:r>
      <w:r w:rsidRPr="007344EA">
        <w:t xml:space="preserve">para. </w:t>
      </w:r>
      <w:proofErr w:type="gramStart"/>
      <w:r w:rsidRPr="007344EA">
        <w:rPr>
          <w:lang w:val="en-US"/>
        </w:rPr>
        <w:t>17, 18), ta</w:t>
      </w:r>
      <w:r w:rsidRPr="007344EA">
        <w:t>čiau Teisingumo Teismas šių argumentų neperkėlė į savo sprendimą.</w:t>
      </w:r>
      <w:proofErr w:type="gramEnd"/>
      <w:r w:rsidRPr="007344EA">
        <w:t xml:space="preserve">   </w:t>
      </w:r>
    </w:p>
  </w:footnote>
  <w:footnote w:id="189">
    <w:p w:rsidR="00393645" w:rsidRPr="007344EA" w:rsidRDefault="00393645" w:rsidP="00084699">
      <w:pPr>
        <w:pStyle w:val="FootnoteText"/>
        <w:rPr>
          <w:lang w:val="pt-PT"/>
        </w:rPr>
      </w:pPr>
      <w:r w:rsidRPr="007344EA">
        <w:rPr>
          <w:rStyle w:val="FootnoteReference"/>
        </w:rPr>
        <w:footnoteRef/>
      </w:r>
      <w:r w:rsidRPr="007344EA">
        <w:t xml:space="preserve"> Case</w:t>
      </w:r>
      <w:r w:rsidRPr="007344EA">
        <w:rPr>
          <w:lang w:val="pt-PT"/>
        </w:rPr>
        <w:t xml:space="preserve"> </w:t>
      </w:r>
      <w:r w:rsidRPr="007344EA">
        <w:t xml:space="preserve">C-541/99 , C-542/99 </w:t>
      </w:r>
      <w:r w:rsidRPr="007344EA">
        <w:rPr>
          <w:i/>
          <w:lang w:val="pt-PT"/>
        </w:rPr>
        <w:t xml:space="preserve">Cape Snc v </w:t>
      </w:r>
      <w:r w:rsidRPr="007344EA">
        <w:rPr>
          <w:bCs/>
          <w:i/>
          <w:lang w:val="pt-PT"/>
        </w:rPr>
        <w:t>Idealservice Srl</w:t>
      </w:r>
      <w:r w:rsidRPr="007344EA">
        <w:rPr>
          <w:i/>
          <w:lang w:val="pt-PT"/>
        </w:rPr>
        <w:t xml:space="preserve">, </w:t>
      </w:r>
      <w:r w:rsidRPr="007344EA">
        <w:rPr>
          <w:bCs/>
          <w:i/>
          <w:lang w:val="pt-PT"/>
        </w:rPr>
        <w:t>Idealservice MN RE Sas</w:t>
      </w:r>
      <w:r w:rsidRPr="007344EA">
        <w:rPr>
          <w:i/>
          <w:lang w:val="pt-PT"/>
        </w:rPr>
        <w:t xml:space="preserve"> v </w:t>
      </w:r>
      <w:r w:rsidRPr="007344EA">
        <w:rPr>
          <w:bCs/>
          <w:i/>
          <w:lang w:val="pt-PT"/>
        </w:rPr>
        <w:t>OMAI Srl</w:t>
      </w:r>
      <w:r w:rsidRPr="007344EA">
        <w:rPr>
          <w:bCs/>
          <w:lang w:val="pt-PT"/>
        </w:rPr>
        <w:t xml:space="preserve"> [2001] ECR I-</w:t>
      </w:r>
      <w:r w:rsidRPr="007344EA">
        <w:rPr>
          <w:rStyle w:val="Emphasis"/>
          <w:rFonts w:eastAsiaTheme="majorEastAsia"/>
          <w:i w:val="0"/>
        </w:rPr>
        <w:t>09049</w:t>
      </w:r>
      <w:r w:rsidRPr="007344EA">
        <w:rPr>
          <w:rStyle w:val="Emphasis"/>
          <w:rFonts w:eastAsiaTheme="majorEastAsia"/>
        </w:rPr>
        <w:t>.</w:t>
      </w:r>
    </w:p>
  </w:footnote>
  <w:footnote w:id="190">
    <w:p w:rsidR="00393645" w:rsidRPr="007344EA" w:rsidRDefault="00393645" w:rsidP="00084699">
      <w:pPr>
        <w:pStyle w:val="FootnoteText"/>
      </w:pPr>
      <w:r w:rsidRPr="007344EA">
        <w:rPr>
          <w:rStyle w:val="FootnoteReference"/>
        </w:rPr>
        <w:footnoteRef/>
      </w:r>
      <w:r w:rsidRPr="007344EA">
        <w:t xml:space="preserve"> </w:t>
      </w:r>
      <w:r w:rsidRPr="007344EA">
        <w:rPr>
          <w:i/>
        </w:rPr>
        <w:t>Ibid</w:t>
      </w:r>
      <w:r w:rsidRPr="007344EA">
        <w:t>., para 16.</w:t>
      </w:r>
    </w:p>
  </w:footnote>
  <w:footnote w:id="191">
    <w:p w:rsidR="00393645" w:rsidRPr="007344EA" w:rsidRDefault="00393645" w:rsidP="00084699">
      <w:pPr>
        <w:pStyle w:val="FootnoteText"/>
        <w:rPr>
          <w:lang w:val="pt-PT"/>
        </w:rPr>
      </w:pPr>
      <w:r w:rsidRPr="007344EA">
        <w:rPr>
          <w:rStyle w:val="FootnoteReference"/>
        </w:rPr>
        <w:footnoteRef/>
      </w:r>
      <w:r w:rsidRPr="007344EA">
        <w:t xml:space="preserve"> Opinion of Advocate General Mischo in Cases</w:t>
      </w:r>
      <w:r w:rsidRPr="007344EA">
        <w:rPr>
          <w:lang w:val="pt-PT"/>
        </w:rPr>
        <w:t xml:space="preserve"> </w:t>
      </w:r>
      <w:r w:rsidRPr="007344EA">
        <w:t xml:space="preserve">C-541/99 , C-542/99 </w:t>
      </w:r>
      <w:r w:rsidRPr="007344EA">
        <w:rPr>
          <w:i/>
          <w:lang w:val="pt-PT"/>
        </w:rPr>
        <w:t xml:space="preserve">Cape Snc v </w:t>
      </w:r>
      <w:r w:rsidRPr="007344EA">
        <w:rPr>
          <w:bCs/>
          <w:i/>
          <w:lang w:val="pt-PT"/>
        </w:rPr>
        <w:t>Idealservice Srl</w:t>
      </w:r>
      <w:r w:rsidRPr="007344EA">
        <w:rPr>
          <w:i/>
          <w:lang w:val="pt-PT"/>
        </w:rPr>
        <w:t xml:space="preserve">, </w:t>
      </w:r>
      <w:r w:rsidRPr="007344EA">
        <w:rPr>
          <w:bCs/>
          <w:i/>
          <w:lang w:val="pt-PT"/>
        </w:rPr>
        <w:t>Idealservice MN RE Sas</w:t>
      </w:r>
      <w:r w:rsidRPr="007344EA">
        <w:rPr>
          <w:i/>
          <w:lang w:val="pt-PT"/>
        </w:rPr>
        <w:t xml:space="preserve"> v </w:t>
      </w:r>
      <w:r w:rsidRPr="007344EA">
        <w:rPr>
          <w:bCs/>
          <w:i/>
          <w:lang w:val="pt-PT"/>
        </w:rPr>
        <w:t xml:space="preserve">OMAI Srl, </w:t>
      </w:r>
      <w:r w:rsidRPr="007344EA">
        <w:rPr>
          <w:bCs/>
          <w:lang w:val="pt-PT"/>
        </w:rPr>
        <w:t xml:space="preserve">delivered 14 June 2001, </w:t>
      </w:r>
      <w:r w:rsidRPr="007344EA">
        <w:t>para. 1</w:t>
      </w:r>
      <w:r w:rsidRPr="007344EA">
        <w:rPr>
          <w:lang w:val="pt-PT"/>
        </w:rPr>
        <w:t>3.</w:t>
      </w:r>
    </w:p>
  </w:footnote>
  <w:footnote w:id="192">
    <w:p w:rsidR="00393645" w:rsidRPr="007344EA" w:rsidRDefault="00393645" w:rsidP="00084699">
      <w:pPr>
        <w:pStyle w:val="FootnoteText"/>
        <w:rPr>
          <w:lang w:val="pt-PT"/>
        </w:rPr>
      </w:pPr>
      <w:r w:rsidRPr="007344EA">
        <w:rPr>
          <w:rStyle w:val="FootnoteReference"/>
        </w:rPr>
        <w:footnoteRef/>
      </w:r>
      <w:r w:rsidRPr="007344EA">
        <w:t xml:space="preserve"> </w:t>
      </w:r>
      <w:r w:rsidRPr="007344EA">
        <w:rPr>
          <w:i/>
        </w:rPr>
        <w:t>Ibid</w:t>
      </w:r>
      <w:r w:rsidRPr="007344EA">
        <w:t>.,</w:t>
      </w:r>
      <w:r w:rsidRPr="007344EA">
        <w:rPr>
          <w:bCs/>
          <w:lang w:val="pt-PT"/>
        </w:rPr>
        <w:t xml:space="preserve"> para. </w:t>
      </w:r>
      <w:r w:rsidRPr="007344EA">
        <w:rPr>
          <w:lang w:val="pt-PT"/>
        </w:rPr>
        <w:t xml:space="preserve">16. </w:t>
      </w:r>
    </w:p>
  </w:footnote>
  <w:footnote w:id="193">
    <w:p w:rsidR="00393645" w:rsidRPr="007344EA" w:rsidRDefault="00393645" w:rsidP="003B014D">
      <w:pPr>
        <w:pStyle w:val="FootnoteText"/>
      </w:pPr>
      <w:r w:rsidRPr="007344EA">
        <w:rPr>
          <w:rStyle w:val="FootnoteReference"/>
        </w:rPr>
        <w:footnoteRef/>
      </w:r>
      <w:r w:rsidRPr="007344EA">
        <w:t xml:space="preserve"> Schulte–Nölke, H. , </w:t>
      </w:r>
      <w:r w:rsidRPr="007344EA">
        <w:rPr>
          <w:i/>
        </w:rPr>
        <w:t>et al.</w:t>
      </w:r>
      <w:r w:rsidRPr="007344EA">
        <w:t xml:space="preserve"> </w:t>
      </w:r>
      <w:r w:rsidRPr="007344EA">
        <w:rPr>
          <w:i/>
        </w:rPr>
        <w:t>EC Consumer Law Compendium. Comparative Analysis.</w:t>
      </w:r>
      <w:r w:rsidRPr="007344EA">
        <w:t xml:space="preserve"> 2008 [interaktyvus]. [žiūrėta 2012-10-01]. </w:t>
      </w:r>
      <w:hyperlink r:id="rId10" w:history="1">
        <w:r w:rsidRPr="007344EA">
          <w:rPr>
            <w:rStyle w:val="Hyperlink"/>
          </w:rPr>
          <w:t>http://ec.europa.eu/consumers/rights/docs/consumer_law_compendium_comparative_analysis_en_final.pdf</w:t>
        </w:r>
      </w:hyperlink>
      <w:r w:rsidRPr="007344EA">
        <w:t>,</w:t>
      </w:r>
    </w:p>
    <w:p w:rsidR="00393645" w:rsidRPr="007344EA" w:rsidRDefault="00393645">
      <w:pPr>
        <w:pStyle w:val="FootnoteText"/>
        <w:rPr>
          <w:lang w:val="en-US"/>
        </w:rPr>
      </w:pPr>
      <w:r w:rsidRPr="007344EA">
        <w:t xml:space="preserve"> p. </w:t>
      </w:r>
      <w:r w:rsidRPr="007344EA">
        <w:rPr>
          <w:lang w:val="en-US"/>
        </w:rPr>
        <w:t xml:space="preserve">378- 379. </w:t>
      </w:r>
    </w:p>
  </w:footnote>
  <w:footnote w:id="194">
    <w:p w:rsidR="00393645" w:rsidRPr="007344EA" w:rsidRDefault="00393645">
      <w:pPr>
        <w:pStyle w:val="FootnoteText"/>
        <w:rPr>
          <w:lang w:val="en-US"/>
        </w:rPr>
      </w:pPr>
      <w:r w:rsidRPr="007344EA">
        <w:rPr>
          <w:rStyle w:val="FootnoteReference"/>
        </w:rPr>
        <w:footnoteRef/>
      </w:r>
      <w:r w:rsidRPr="007344EA">
        <w:t xml:space="preserve"> Lietuvos Aukščiausiojo Teismo Civilinių bylų skyriaus teisėjų kolegijos </w:t>
      </w:r>
      <w:r w:rsidRPr="007344EA">
        <w:rPr>
          <w:lang w:val="en-US"/>
        </w:rPr>
        <w:t xml:space="preserve">2003 m. </w:t>
      </w:r>
      <w:r w:rsidRPr="007344EA">
        <w:t xml:space="preserve">gegužės </w:t>
      </w:r>
      <w:r w:rsidRPr="007344EA">
        <w:rPr>
          <w:lang w:val="en-US"/>
        </w:rPr>
        <w:t>12 d.</w:t>
      </w:r>
      <w:r w:rsidRPr="007344EA">
        <w:t xml:space="preserve"> nutartis civilinėje byloje </w:t>
      </w:r>
      <w:r w:rsidRPr="007344EA">
        <w:rPr>
          <w:i/>
          <w:lang w:val="en-US"/>
        </w:rPr>
        <w:t>257-oji DNSB v Vilniaus vandenys</w:t>
      </w:r>
      <w:r w:rsidRPr="007344EA">
        <w:rPr>
          <w:lang w:val="en-US"/>
        </w:rPr>
        <w:t xml:space="preserve"> (bylos Nr. </w:t>
      </w:r>
      <w:r w:rsidRPr="007344EA">
        <w:t>3K-3-579/2003</w:t>
      </w:r>
      <w:r w:rsidRPr="007344EA">
        <w:rPr>
          <w:lang w:val="en-US"/>
        </w:rPr>
        <w:t>).</w:t>
      </w:r>
    </w:p>
  </w:footnote>
  <w:footnote w:id="195">
    <w:p w:rsidR="00393645" w:rsidRPr="007344EA" w:rsidRDefault="00393645">
      <w:pPr>
        <w:pStyle w:val="FootnoteText"/>
        <w:rPr>
          <w:lang w:val="en-US"/>
        </w:rPr>
      </w:pPr>
      <w:r w:rsidRPr="007344EA">
        <w:rPr>
          <w:rStyle w:val="FootnoteReference"/>
        </w:rPr>
        <w:footnoteRef/>
      </w:r>
      <w:r w:rsidRPr="007344EA">
        <w:t xml:space="preserve"> Lietuvos Aukščiausiojo Teismo Civilinių bylų skyriaus teisėjų kolegijos </w:t>
      </w:r>
      <w:r w:rsidRPr="007344EA">
        <w:rPr>
          <w:lang w:val="en-US"/>
        </w:rPr>
        <w:t xml:space="preserve">2009 m. </w:t>
      </w:r>
      <w:proofErr w:type="gramStart"/>
      <w:r w:rsidRPr="007344EA">
        <w:rPr>
          <w:lang w:val="en-US"/>
        </w:rPr>
        <w:t>gruod</w:t>
      </w:r>
      <w:r w:rsidRPr="007344EA">
        <w:t>žio</w:t>
      </w:r>
      <w:proofErr w:type="gramEnd"/>
      <w:r w:rsidRPr="007344EA">
        <w:t xml:space="preserve"> </w:t>
      </w:r>
      <w:r w:rsidRPr="007344EA">
        <w:rPr>
          <w:lang w:val="en-US"/>
        </w:rPr>
        <w:t>1 d. nutartis civilin</w:t>
      </w:r>
      <w:r w:rsidRPr="007344EA">
        <w:t xml:space="preserve">ėje byloje </w:t>
      </w:r>
      <w:r w:rsidRPr="007344EA">
        <w:rPr>
          <w:i/>
        </w:rPr>
        <w:t>M. L. v Air Baltic Corporation AS</w:t>
      </w:r>
      <w:r w:rsidRPr="007344EA">
        <w:t xml:space="preserve"> (bylos 3K-3-541/2009).</w:t>
      </w:r>
    </w:p>
  </w:footnote>
  <w:footnote w:id="196">
    <w:p w:rsidR="00393645" w:rsidRPr="007344EA" w:rsidRDefault="00393645" w:rsidP="001A771E">
      <w:pPr>
        <w:pStyle w:val="FootnoteText"/>
      </w:pPr>
      <w:r w:rsidRPr="007344EA">
        <w:rPr>
          <w:rStyle w:val="FootnoteReference"/>
        </w:rPr>
        <w:footnoteRef/>
      </w:r>
      <w:r w:rsidRPr="007344EA">
        <w:t xml:space="preserve"> Byla C-203/04 </w:t>
      </w:r>
      <w:r w:rsidRPr="007344EA">
        <w:rPr>
          <w:bCs/>
          <w:i/>
        </w:rPr>
        <w:t xml:space="preserve">Ynos kft </w:t>
      </w:r>
      <w:r w:rsidRPr="007344EA">
        <w:rPr>
          <w:i/>
        </w:rPr>
        <w:t xml:space="preserve">prieš </w:t>
      </w:r>
      <w:r w:rsidRPr="007344EA">
        <w:rPr>
          <w:bCs/>
          <w:i/>
        </w:rPr>
        <w:t>János Varga</w:t>
      </w:r>
      <w:r w:rsidRPr="007344EA">
        <w:rPr>
          <w:bCs/>
        </w:rPr>
        <w:t xml:space="preserve"> [2005] ETA I-</w:t>
      </w:r>
      <w:r w:rsidRPr="007344EA">
        <w:t>07239.</w:t>
      </w:r>
    </w:p>
  </w:footnote>
  <w:footnote w:id="197">
    <w:p w:rsidR="00393645" w:rsidRPr="007344EA" w:rsidRDefault="00393645" w:rsidP="005166BF">
      <w:pPr>
        <w:pStyle w:val="FootnoteText"/>
        <w:jc w:val="both"/>
        <w:rPr>
          <w:bCs/>
          <w:lang w:val="en-US"/>
        </w:rPr>
      </w:pPr>
      <w:r w:rsidRPr="007344EA">
        <w:rPr>
          <w:rStyle w:val="FootnoteReference"/>
        </w:rPr>
        <w:footnoteRef/>
      </w:r>
      <w:r w:rsidRPr="007344EA">
        <w:t xml:space="preserve"> Generalinio advokato Tizzano išvada byloje C-203/04 </w:t>
      </w:r>
      <w:r w:rsidRPr="007344EA">
        <w:rPr>
          <w:bCs/>
          <w:i/>
        </w:rPr>
        <w:t xml:space="preserve">Ynos kft </w:t>
      </w:r>
      <w:r w:rsidRPr="007344EA">
        <w:rPr>
          <w:i/>
        </w:rPr>
        <w:t xml:space="preserve">prieš </w:t>
      </w:r>
      <w:r w:rsidRPr="007344EA">
        <w:rPr>
          <w:bCs/>
          <w:i/>
        </w:rPr>
        <w:t>János Varga</w:t>
      </w:r>
      <w:r w:rsidRPr="007344EA">
        <w:rPr>
          <w:bCs/>
        </w:rPr>
        <w:t xml:space="preserve">, pateikta </w:t>
      </w:r>
      <w:r w:rsidRPr="007344EA">
        <w:rPr>
          <w:bCs/>
          <w:lang w:val="en-US"/>
        </w:rPr>
        <w:t xml:space="preserve">2005 m. </w:t>
      </w:r>
      <w:r w:rsidRPr="007344EA">
        <w:rPr>
          <w:bCs/>
        </w:rPr>
        <w:t xml:space="preserve"> rugsėjo </w:t>
      </w:r>
      <w:r w:rsidRPr="007344EA">
        <w:rPr>
          <w:bCs/>
          <w:lang w:val="en-US"/>
        </w:rPr>
        <w:t xml:space="preserve">22 d. </w:t>
      </w:r>
    </w:p>
    <w:p w:rsidR="00393645" w:rsidRPr="007344EA" w:rsidRDefault="00393645" w:rsidP="001A771E">
      <w:pPr>
        <w:pStyle w:val="FootnoteText"/>
      </w:pPr>
      <w:r w:rsidRPr="007344EA">
        <w:t xml:space="preserve">para. 53. </w:t>
      </w:r>
    </w:p>
  </w:footnote>
  <w:footnote w:id="198">
    <w:p w:rsidR="00393645" w:rsidRPr="007344EA" w:rsidRDefault="00393645" w:rsidP="00B50AEA">
      <w:pPr>
        <w:pStyle w:val="FootnoteText"/>
        <w:jc w:val="both"/>
        <w:rPr>
          <w:lang w:val="en-US"/>
        </w:rPr>
      </w:pPr>
      <w:r w:rsidRPr="007344EA">
        <w:rPr>
          <w:rStyle w:val="FootnoteReference"/>
        </w:rPr>
        <w:footnoteRef/>
      </w:r>
      <w:r w:rsidRPr="007344EA">
        <w:t xml:space="preserve"> </w:t>
      </w:r>
      <w:r w:rsidRPr="007344EA">
        <w:rPr>
          <w:i/>
        </w:rPr>
        <w:t>Ibid</w:t>
      </w:r>
      <w:r w:rsidRPr="007344EA">
        <w:t xml:space="preserve">.,išnaša </w:t>
      </w:r>
      <w:r w:rsidRPr="007344EA">
        <w:rPr>
          <w:lang w:val="en-US"/>
        </w:rPr>
        <w:t xml:space="preserve">16. </w:t>
      </w:r>
    </w:p>
  </w:footnote>
  <w:footnote w:id="199">
    <w:p w:rsidR="00393645" w:rsidRPr="007344EA" w:rsidRDefault="00393645" w:rsidP="003B014D">
      <w:pPr>
        <w:pStyle w:val="FootnoteText"/>
      </w:pPr>
      <w:r w:rsidRPr="007344EA">
        <w:rPr>
          <w:rStyle w:val="FootnoteReference"/>
        </w:rPr>
        <w:footnoteRef/>
      </w:r>
      <w:r w:rsidRPr="007344EA">
        <w:t xml:space="preserve"> Schulte–Nölke, H. , </w:t>
      </w:r>
      <w:r w:rsidRPr="007344EA">
        <w:rPr>
          <w:i/>
        </w:rPr>
        <w:t>et al.</w:t>
      </w:r>
      <w:r w:rsidRPr="007344EA">
        <w:t xml:space="preserve"> </w:t>
      </w:r>
      <w:r w:rsidRPr="007344EA">
        <w:rPr>
          <w:i/>
        </w:rPr>
        <w:t>EC Consumer Law Compendium. Comparative Analysis.</w:t>
      </w:r>
      <w:r w:rsidRPr="007344EA">
        <w:t xml:space="preserve"> 2008 [interaktyvus]. [žiūrėta 2012-10-01]. </w:t>
      </w:r>
      <w:hyperlink r:id="rId11" w:history="1">
        <w:r w:rsidRPr="007344EA">
          <w:rPr>
            <w:rStyle w:val="Hyperlink"/>
          </w:rPr>
          <w:t>http://ec.europa.eu/consumers/rights/docs/consumer_law_compendium_comparative_analysis_en_final.pdf</w:t>
        </w:r>
      </w:hyperlink>
      <w:r w:rsidRPr="007344EA">
        <w:t>,</w:t>
      </w:r>
    </w:p>
    <w:p w:rsidR="00393645" w:rsidRPr="007344EA" w:rsidRDefault="00393645">
      <w:pPr>
        <w:pStyle w:val="FootnoteText"/>
        <w:rPr>
          <w:lang w:val="en-US"/>
        </w:rPr>
      </w:pPr>
      <w:r w:rsidRPr="007344EA">
        <w:t xml:space="preserve"> p. </w:t>
      </w:r>
      <w:r w:rsidRPr="007344EA">
        <w:rPr>
          <w:lang w:val="en-US"/>
        </w:rPr>
        <w:t xml:space="preserve">379. </w:t>
      </w:r>
    </w:p>
  </w:footnote>
  <w:footnote w:id="200">
    <w:p w:rsidR="00393645" w:rsidRPr="007344EA" w:rsidRDefault="00393645" w:rsidP="00741E1E">
      <w:pPr>
        <w:pStyle w:val="FootnoteText"/>
      </w:pPr>
      <w:r w:rsidRPr="007344EA">
        <w:rPr>
          <w:rStyle w:val="FootnoteReference"/>
        </w:rPr>
        <w:footnoteRef/>
      </w:r>
      <w:r w:rsidRPr="007344EA">
        <w:t xml:space="preserve"> </w:t>
      </w:r>
      <w:r w:rsidRPr="007344EA">
        <w:rPr>
          <w:rFonts w:asciiTheme="minorHAnsi" w:hAnsiTheme="minorHAnsi" w:cstheme="minorHAnsi"/>
        </w:rPr>
        <w:t xml:space="preserve">Pavyzdžiui:  Europos parlamento ir Tarybos  2003 m. rugsėjo </w:t>
      </w:r>
      <w:r w:rsidRPr="007344EA">
        <w:rPr>
          <w:rFonts w:asciiTheme="minorHAnsi" w:hAnsiTheme="minorHAnsi" w:cstheme="minorHAnsi"/>
          <w:lang w:val="en-US"/>
        </w:rPr>
        <w:t>23 d. D</w:t>
      </w:r>
      <w:r w:rsidRPr="007344EA">
        <w:rPr>
          <w:rFonts w:asciiTheme="minorHAnsi" w:hAnsiTheme="minorHAnsi" w:cstheme="minorHAnsi"/>
        </w:rPr>
        <w:t xml:space="preserve">irektyva 2002/65/EB dėl nuotolinės prekybos vartotojams skirtomis finansinėmis paslaugomis [2003] OL L 271; Europos Parlamento ir Tarybos 1997 m. gegužės </w:t>
      </w:r>
      <w:r w:rsidRPr="007344EA">
        <w:rPr>
          <w:rFonts w:asciiTheme="minorHAnsi" w:hAnsiTheme="minorHAnsi" w:cstheme="minorHAnsi"/>
          <w:lang w:val="en-US"/>
        </w:rPr>
        <w:t>20 d. D</w:t>
      </w:r>
      <w:r w:rsidRPr="007344EA">
        <w:rPr>
          <w:rFonts w:asciiTheme="minorHAnsi" w:hAnsiTheme="minorHAnsi" w:cstheme="minorHAnsi"/>
        </w:rPr>
        <w:t>irektyva 97/7/EB dėl vartotojų apsaugos, susijusios su nuotolinės prekybos sutartimis [1997] OL L 144;  Tarybos 1990 m. birželio</w:t>
      </w:r>
      <w:r w:rsidRPr="007344EA">
        <w:rPr>
          <w:rFonts w:asciiTheme="minorHAnsi" w:hAnsiTheme="minorHAnsi" w:cstheme="minorHAnsi"/>
          <w:lang w:val="en-US"/>
        </w:rPr>
        <w:t xml:space="preserve"> 13 d. D</w:t>
      </w:r>
      <w:r w:rsidRPr="007344EA">
        <w:rPr>
          <w:rFonts w:asciiTheme="minorHAnsi" w:hAnsiTheme="minorHAnsi" w:cstheme="minorHAnsi"/>
        </w:rPr>
        <w:t xml:space="preserve">irektyva </w:t>
      </w:r>
      <w:r w:rsidRPr="007344EA">
        <w:rPr>
          <w:rFonts w:asciiTheme="minorHAnsi" w:eastAsiaTheme="majorEastAsia" w:hAnsiTheme="minorHAnsi" w:cstheme="minorHAnsi"/>
        </w:rPr>
        <w:t xml:space="preserve">90/314/EEB </w:t>
      </w:r>
      <w:r w:rsidRPr="007344EA">
        <w:rPr>
          <w:rFonts w:asciiTheme="minorHAnsi" w:hAnsiTheme="minorHAnsi" w:cstheme="minorHAnsi"/>
        </w:rPr>
        <w:t>dėl kelionių, atostogų ir organizuotų išvykų paketų [1990] OL L 158; Tarybos 1987 m. gruodžio</w:t>
      </w:r>
      <w:r w:rsidRPr="007344EA">
        <w:rPr>
          <w:rFonts w:asciiTheme="minorHAnsi" w:hAnsiTheme="minorHAnsi" w:cstheme="minorHAnsi"/>
          <w:lang w:val="en-US"/>
        </w:rPr>
        <w:t xml:space="preserve"> 22 d.</w:t>
      </w:r>
      <w:r w:rsidRPr="007344EA">
        <w:rPr>
          <w:rFonts w:asciiTheme="minorHAnsi" w:hAnsiTheme="minorHAnsi" w:cstheme="minorHAnsi"/>
        </w:rPr>
        <w:t xml:space="preserve"> Direktyva 87/102/EEB dėl valstybių narių įstatymų ir kitų teisės aktų, susijusiu su vartojimo kreditu, suderinimo. [1987] OL L 42.</w:t>
      </w:r>
      <w:r w:rsidRPr="007344EA">
        <w:t xml:space="preserve"> </w:t>
      </w:r>
    </w:p>
  </w:footnote>
  <w:footnote w:id="201">
    <w:p w:rsidR="00393645" w:rsidRPr="007344EA" w:rsidRDefault="00393645">
      <w:pPr>
        <w:pStyle w:val="FootnoteText"/>
        <w:rPr>
          <w:lang w:val="en-US"/>
        </w:rPr>
      </w:pPr>
      <w:r w:rsidRPr="007344EA">
        <w:rPr>
          <w:rStyle w:val="FootnoteReference"/>
        </w:rPr>
        <w:footnoteRef/>
      </w:r>
      <w:r w:rsidRPr="007344EA">
        <w:t xml:space="preserve"> Vėgėlė I. </w:t>
      </w:r>
      <w:r w:rsidRPr="007344EA">
        <w:rPr>
          <w:i/>
        </w:rPr>
        <w:t>Europos Sąjungos teisė. Vidaus rinkos laisvės, konkurencija ir teisės derinimas</w:t>
      </w:r>
      <w:r w:rsidRPr="007344EA">
        <w:t xml:space="preserve">. Vilnius: VĮ Registrų centras, 2011, p. </w:t>
      </w:r>
      <w:r w:rsidRPr="007344EA">
        <w:rPr>
          <w:lang w:val="en-US"/>
        </w:rPr>
        <w:t xml:space="preserve">42. </w:t>
      </w:r>
    </w:p>
  </w:footnote>
  <w:footnote w:id="202">
    <w:p w:rsidR="00393645" w:rsidRPr="007344EA" w:rsidRDefault="00393645" w:rsidP="003C2FB7">
      <w:pPr>
        <w:pStyle w:val="FootnoteText"/>
      </w:pPr>
      <w:r w:rsidRPr="007344EA">
        <w:rPr>
          <w:rStyle w:val="FootnoteReference"/>
        </w:rPr>
        <w:footnoteRef/>
      </w:r>
      <w:r w:rsidRPr="007344EA">
        <w:t xml:space="preserve"> </w:t>
      </w:r>
      <w:r w:rsidRPr="007344EA">
        <w:rPr>
          <w:i/>
        </w:rPr>
        <w:t xml:space="preserve">Whereas, generally speaking, consumers do not know the rules of law which, in Member States other than their own, govern contracts for the sale of </w:t>
      </w:r>
      <w:r w:rsidRPr="007344EA">
        <w:rPr>
          <w:b/>
          <w:i/>
        </w:rPr>
        <w:t>goods</w:t>
      </w:r>
      <w:r w:rsidRPr="007344EA">
        <w:rPr>
          <w:i/>
        </w:rPr>
        <w:t xml:space="preserve"> or services; whereas this lack of awareness may deter them from direct transactions for the purchase of </w:t>
      </w:r>
      <w:r w:rsidRPr="007344EA">
        <w:rPr>
          <w:b/>
          <w:i/>
        </w:rPr>
        <w:t>goods</w:t>
      </w:r>
      <w:r w:rsidRPr="007344EA">
        <w:rPr>
          <w:i/>
        </w:rPr>
        <w:t xml:space="preserve"> or services in another Member State</w:t>
      </w:r>
      <w:r w:rsidRPr="007344EA">
        <w:t>.</w:t>
      </w:r>
    </w:p>
  </w:footnote>
  <w:footnote w:id="203">
    <w:p w:rsidR="00393645" w:rsidRPr="007344EA" w:rsidRDefault="00393645">
      <w:pPr>
        <w:pStyle w:val="FootnoteText"/>
      </w:pPr>
      <w:r w:rsidRPr="007344EA">
        <w:rPr>
          <w:rStyle w:val="FootnoteReference"/>
        </w:rPr>
        <w:footnoteRef/>
      </w:r>
      <w:r w:rsidRPr="007344EA">
        <w:t xml:space="preserve"> 2008 m. spalio 8 d. Europos Komisijos pasiūlymas dėl Europos Parlamento ir Tarybos direktyvos dėl varto</w:t>
      </w:r>
      <w:r w:rsidRPr="007344EA">
        <w:softHyphen/>
        <w:t>tojų teisių (KOM (2008) 614) [interaktyvus]. [žiūrėta 201</w:t>
      </w:r>
      <w:r w:rsidRPr="007344EA">
        <w:rPr>
          <w:lang w:val="en-US"/>
        </w:rPr>
        <w:t>2</w:t>
      </w:r>
      <w:r w:rsidRPr="007344EA">
        <w:t>-11-28]. &lt;http://ec.europa.eu/consumers/rights/ docs/COMM_PDF_COM_2008_0614_F_LT_PROPOSITION_DE_DIRECTIVE.pdf&gt;.</w:t>
      </w:r>
    </w:p>
  </w:footnote>
  <w:footnote w:id="204">
    <w:p w:rsidR="00393645" w:rsidRPr="007344EA" w:rsidRDefault="00393645" w:rsidP="003C2FB7">
      <w:pPr>
        <w:pStyle w:val="FootnoteText"/>
      </w:pPr>
      <w:r w:rsidRPr="007344EA">
        <w:rPr>
          <w:rStyle w:val="FootnoteReference"/>
        </w:rPr>
        <w:footnoteRef/>
      </w:r>
      <w:r w:rsidRPr="007344EA">
        <w:t xml:space="preserve"> </w:t>
      </w:r>
      <w:r w:rsidRPr="007344EA">
        <w:rPr>
          <w:i/>
        </w:rPr>
        <w:t xml:space="preserve">Considérant que les vendeurs </w:t>
      </w:r>
      <w:r w:rsidRPr="007344EA">
        <w:rPr>
          <w:b/>
          <w:i/>
        </w:rPr>
        <w:t>de biens</w:t>
      </w:r>
      <w:r w:rsidRPr="007344EA">
        <w:rPr>
          <w:i/>
        </w:rPr>
        <w:t xml:space="preserve"> et les prestataires de services seront, de cette façon, aidés dans leur activité de vente </w:t>
      </w:r>
      <w:r w:rsidRPr="007344EA">
        <w:rPr>
          <w:b/>
          <w:i/>
        </w:rPr>
        <w:t>de biens</w:t>
      </w:r>
      <w:r w:rsidRPr="007344EA">
        <w:rPr>
          <w:i/>
        </w:rPr>
        <w:t xml:space="preserve"> et des prestations de services, à la fois dans leur propre pays et dans le marché intérieur; que la concurrence sera ainsi stimulée, contribuant de la sorte à accroître le choix des citoyens de la Communauté, en tant que consommateurs.</w:t>
      </w:r>
    </w:p>
  </w:footnote>
  <w:footnote w:id="205">
    <w:p w:rsidR="00393645" w:rsidRPr="007344EA" w:rsidRDefault="00393645" w:rsidP="00B110D5">
      <w:pPr>
        <w:pStyle w:val="FootnoteText"/>
        <w:rPr>
          <w:lang w:val="en-US"/>
        </w:rPr>
      </w:pPr>
      <w:r w:rsidRPr="007344EA">
        <w:rPr>
          <w:rStyle w:val="FootnoteReference"/>
        </w:rPr>
        <w:footnoteRef/>
      </w:r>
      <w:r w:rsidRPr="007344EA">
        <w:t xml:space="preserve"> Katuoka S. [et al.]  </w:t>
      </w:r>
      <w:r w:rsidRPr="007344EA">
        <w:rPr>
          <w:i/>
        </w:rPr>
        <w:t>Vartotojų teisių apsauga Lietuvoje ir Europos Sąjungoje : kolektyvinė monografija</w:t>
      </w:r>
      <w:r w:rsidRPr="007344EA">
        <w:t xml:space="preserve">.  Vilnius : Mykolo Romerio universitetas, 2006, p. </w:t>
      </w:r>
      <w:r w:rsidRPr="007344EA">
        <w:rPr>
          <w:lang w:val="en-US"/>
        </w:rPr>
        <w:t xml:space="preserve">70. </w:t>
      </w:r>
    </w:p>
  </w:footnote>
  <w:footnote w:id="206">
    <w:p w:rsidR="00393645" w:rsidRPr="007344EA" w:rsidRDefault="00393645">
      <w:pPr>
        <w:pStyle w:val="FootnoteText"/>
        <w:rPr>
          <w:lang w:val="en-US"/>
        </w:rPr>
      </w:pPr>
      <w:r w:rsidRPr="007344EA">
        <w:rPr>
          <w:rStyle w:val="FootnoteReference"/>
        </w:rPr>
        <w:footnoteRef/>
      </w:r>
      <w:r w:rsidRPr="007344EA">
        <w:t xml:space="preserve"> Lietuvos Aukščiausiojo Teismo Civilinių bylų skyriaus teisėjų kolegijos </w:t>
      </w:r>
      <w:r w:rsidRPr="007344EA">
        <w:rPr>
          <w:bCs/>
        </w:rPr>
        <w:t xml:space="preserve">2007 m. balandžio 6 d. nutartis civilinėje byloje </w:t>
      </w:r>
      <w:r w:rsidRPr="007344EA">
        <w:rPr>
          <w:bCs/>
          <w:i/>
        </w:rPr>
        <w:t xml:space="preserve">L.K. v „SEB bankas“ </w:t>
      </w:r>
      <w:r w:rsidRPr="007344EA">
        <w:rPr>
          <w:bCs/>
        </w:rPr>
        <w:t>(bylos Nr.</w:t>
      </w:r>
      <w:r w:rsidRPr="007344EA">
        <w:rPr>
          <w:bCs/>
          <w:lang w:val="en-US"/>
        </w:rPr>
        <w:t>3-K-156/2007).</w:t>
      </w:r>
    </w:p>
  </w:footnote>
  <w:footnote w:id="207">
    <w:p w:rsidR="00393645" w:rsidRPr="007344EA" w:rsidRDefault="00393645">
      <w:pPr>
        <w:pStyle w:val="FootnoteText"/>
      </w:pPr>
      <w:r w:rsidRPr="007344EA">
        <w:rPr>
          <w:rStyle w:val="FootnoteReference"/>
        </w:rPr>
        <w:footnoteRef/>
      </w:r>
      <w:r w:rsidRPr="007344EA">
        <w:t xml:space="preserve"> Lietuvos Aukščiausiojo Teismo Civilinių bylų skyriaus teisėjų kolegijos 2007 m. vasario 26 d. nutartis civilinėje byloje </w:t>
      </w:r>
      <w:r w:rsidRPr="007344EA">
        <w:rPr>
          <w:i/>
        </w:rPr>
        <w:t>R. J. v „Ginta ir  partneriai“</w:t>
      </w:r>
      <w:r w:rsidRPr="007344EA">
        <w:rPr>
          <w:bCs/>
        </w:rPr>
        <w:t xml:space="preserve"> </w:t>
      </w:r>
      <w:r w:rsidRPr="007344EA">
        <w:t>(Nr. 3K-3-72/2007).</w:t>
      </w:r>
    </w:p>
  </w:footnote>
  <w:footnote w:id="208">
    <w:p w:rsidR="00393645" w:rsidRPr="007344EA" w:rsidRDefault="00393645">
      <w:pPr>
        <w:pStyle w:val="FootnoteText"/>
      </w:pPr>
      <w:r w:rsidRPr="007344EA">
        <w:rPr>
          <w:rStyle w:val="FootnoteReference"/>
        </w:rPr>
        <w:footnoteRef/>
      </w:r>
      <w:r w:rsidRPr="007344EA">
        <w:t xml:space="preserve"> Lietuvos Aukščiausiojo Teismo Civilinių bylų skyriaus teisėjų kolegijos </w:t>
      </w:r>
      <w:r w:rsidRPr="007344EA">
        <w:rPr>
          <w:bCs/>
        </w:rPr>
        <w:t>2008 m. gruodžio mėn. 23 d. nutartis civilinėje byloje</w:t>
      </w:r>
      <w:r w:rsidRPr="007344EA">
        <w:rPr>
          <w:b/>
          <w:bCs/>
        </w:rPr>
        <w:t xml:space="preserve"> </w:t>
      </w:r>
      <w:r w:rsidRPr="007344EA">
        <w:rPr>
          <w:bCs/>
          <w:i/>
        </w:rPr>
        <w:t>A.K. v UAB „Alsva“</w:t>
      </w:r>
      <w:r w:rsidRPr="007344EA">
        <w:rPr>
          <w:b/>
          <w:bCs/>
        </w:rPr>
        <w:t xml:space="preserve"> </w:t>
      </w:r>
      <w:r w:rsidRPr="007344EA">
        <w:rPr>
          <w:bCs/>
        </w:rPr>
        <w:t>(3K-3-608/2008).</w:t>
      </w:r>
    </w:p>
  </w:footnote>
  <w:footnote w:id="209">
    <w:p w:rsidR="00393645" w:rsidRPr="007344EA" w:rsidRDefault="00393645" w:rsidP="003B014D">
      <w:pPr>
        <w:pStyle w:val="FootnoteText"/>
      </w:pPr>
      <w:r w:rsidRPr="007344EA">
        <w:rPr>
          <w:rStyle w:val="FootnoteReference"/>
        </w:rPr>
        <w:footnoteRef/>
      </w:r>
      <w:r w:rsidRPr="007344EA">
        <w:t xml:space="preserve"> Schulte–Nölke, H. , </w:t>
      </w:r>
      <w:r w:rsidRPr="007344EA">
        <w:rPr>
          <w:i/>
        </w:rPr>
        <w:t>et al.</w:t>
      </w:r>
      <w:r w:rsidRPr="007344EA">
        <w:t xml:space="preserve"> </w:t>
      </w:r>
      <w:r w:rsidRPr="007344EA">
        <w:rPr>
          <w:i/>
        </w:rPr>
        <w:t>EC Consumer Law Compendium. Comparative Analysis.</w:t>
      </w:r>
      <w:r w:rsidRPr="007344EA">
        <w:t xml:space="preserve"> 2008 [interaktyvus]. [žiūrėta 2012-10-01]. </w:t>
      </w:r>
      <w:hyperlink r:id="rId12" w:history="1">
        <w:r w:rsidRPr="007344EA">
          <w:rPr>
            <w:rStyle w:val="Hyperlink"/>
          </w:rPr>
          <w:t>http://ec.europa.eu/consumers/rights/docs/consumer_law_compendium_comparative_analysis_en_final.pdf</w:t>
        </w:r>
      </w:hyperlink>
      <w:r w:rsidRPr="007344EA">
        <w:t>,</w:t>
      </w:r>
    </w:p>
    <w:p w:rsidR="00393645" w:rsidRPr="007344EA" w:rsidRDefault="00393645">
      <w:pPr>
        <w:pStyle w:val="FootnoteText"/>
        <w:rPr>
          <w:lang w:val="en-US"/>
        </w:rPr>
      </w:pPr>
      <w:r w:rsidRPr="007344EA">
        <w:t xml:space="preserve"> p. </w:t>
      </w:r>
      <w:r w:rsidRPr="007344EA">
        <w:rPr>
          <w:lang w:val="en-US"/>
        </w:rPr>
        <w:t xml:space="preserve">380- 382. </w:t>
      </w:r>
    </w:p>
  </w:footnote>
  <w:footnote w:id="210">
    <w:p w:rsidR="00393645" w:rsidRPr="007344EA" w:rsidRDefault="00393645">
      <w:pPr>
        <w:pStyle w:val="FootnoteText"/>
      </w:pPr>
      <w:r w:rsidRPr="007344EA">
        <w:rPr>
          <w:rStyle w:val="FootnoteReference"/>
        </w:rPr>
        <w:footnoteRef/>
      </w:r>
      <w:r w:rsidRPr="007344EA">
        <w:t xml:space="preserve"> Bublienė D. </w:t>
      </w:r>
      <w:r w:rsidRPr="007344EA">
        <w:rPr>
          <w:i/>
        </w:rPr>
        <w:t>Vartojimo sutarčių nesąžiningų sąlygų kontrolė</w:t>
      </w:r>
      <w:r w:rsidRPr="007344EA">
        <w:t xml:space="preserve">: monografija. Vilnius: Registrų centras, 2009, p. </w:t>
      </w:r>
      <w:r w:rsidRPr="007344EA">
        <w:rPr>
          <w:lang w:val="pt-PT"/>
        </w:rPr>
        <w:t xml:space="preserve">138. </w:t>
      </w:r>
    </w:p>
  </w:footnote>
  <w:footnote w:id="211">
    <w:p w:rsidR="00393645" w:rsidRPr="007344EA" w:rsidRDefault="00393645">
      <w:pPr>
        <w:pStyle w:val="FootnoteText"/>
      </w:pPr>
      <w:r w:rsidRPr="007344EA">
        <w:rPr>
          <w:rStyle w:val="FootnoteReference"/>
        </w:rPr>
        <w:footnoteRef/>
      </w:r>
      <w:r w:rsidRPr="007344EA">
        <w:t xml:space="preserve"> Direktyvos 9</w:t>
      </w:r>
      <w:r w:rsidRPr="007344EA">
        <w:rPr>
          <w:lang w:val="en-US"/>
        </w:rPr>
        <w:t xml:space="preserve">3/13 1 str. 1d. </w:t>
      </w:r>
      <w:r w:rsidRPr="007344EA">
        <w:t xml:space="preserve"> </w:t>
      </w:r>
    </w:p>
  </w:footnote>
  <w:footnote w:id="212">
    <w:p w:rsidR="00393645" w:rsidRPr="007344EA" w:rsidRDefault="00393645">
      <w:pPr>
        <w:pStyle w:val="FootnoteText"/>
        <w:rPr>
          <w:lang w:val="en-US"/>
        </w:rPr>
      </w:pPr>
      <w:r w:rsidRPr="007344EA">
        <w:rPr>
          <w:rStyle w:val="FootnoteReference"/>
        </w:rPr>
        <w:footnoteRef/>
      </w:r>
      <w:r w:rsidRPr="007344EA">
        <w:t xml:space="preserve"> Direktyvos 9</w:t>
      </w:r>
      <w:r w:rsidRPr="007344EA">
        <w:rPr>
          <w:lang w:val="en-US"/>
        </w:rPr>
        <w:t>3/13 p</w:t>
      </w:r>
      <w:r w:rsidRPr="007344EA">
        <w:t xml:space="preserve">reambulės </w:t>
      </w:r>
      <w:r w:rsidRPr="007344EA">
        <w:rPr>
          <w:lang w:val="en-US"/>
        </w:rPr>
        <w:t xml:space="preserve">11 pastraipa. </w:t>
      </w:r>
    </w:p>
  </w:footnote>
  <w:footnote w:id="213">
    <w:p w:rsidR="00393645" w:rsidRPr="007344EA" w:rsidRDefault="00393645">
      <w:pPr>
        <w:pStyle w:val="FootnoteText"/>
        <w:rPr>
          <w:lang w:val="pt-PT"/>
        </w:rPr>
      </w:pPr>
      <w:r w:rsidRPr="007344EA">
        <w:rPr>
          <w:rStyle w:val="FootnoteReference"/>
        </w:rPr>
        <w:footnoteRef/>
      </w:r>
      <w:r w:rsidRPr="007344EA">
        <w:t xml:space="preserve"> Case C-96/00 </w:t>
      </w:r>
      <w:r w:rsidRPr="007344EA">
        <w:rPr>
          <w:i/>
        </w:rPr>
        <w:t>Rudolf Gabriel</w:t>
      </w:r>
      <w:r w:rsidRPr="007344EA">
        <w:t xml:space="preserve">, ECR I-6367, para. 18.  </w:t>
      </w:r>
    </w:p>
  </w:footnote>
  <w:footnote w:id="214">
    <w:p w:rsidR="00393645" w:rsidRPr="007344EA" w:rsidRDefault="00393645" w:rsidP="00647F03">
      <w:pPr>
        <w:pStyle w:val="FootnoteText"/>
      </w:pPr>
      <w:r w:rsidRPr="007344EA">
        <w:rPr>
          <w:rStyle w:val="FootnoteReference"/>
        </w:rPr>
        <w:footnoteRef/>
      </w:r>
      <w:r w:rsidRPr="007344EA">
        <w:t xml:space="preserve"> Direktyvos 9</w:t>
      </w:r>
      <w:r w:rsidRPr="007344EA">
        <w:rPr>
          <w:lang w:val="en-US"/>
        </w:rPr>
        <w:t>3/13 p</w:t>
      </w:r>
      <w:r w:rsidRPr="007344EA">
        <w:t>reambulės 12 pastraipa.</w:t>
      </w:r>
    </w:p>
  </w:footnote>
  <w:footnote w:id="215">
    <w:p w:rsidR="00393645" w:rsidRPr="007344EA" w:rsidRDefault="00393645" w:rsidP="00647F03">
      <w:pPr>
        <w:pStyle w:val="FootnoteText"/>
      </w:pPr>
      <w:r w:rsidRPr="007344EA">
        <w:rPr>
          <w:rStyle w:val="FootnoteReference"/>
        </w:rPr>
        <w:footnoteRef/>
      </w:r>
      <w:r w:rsidRPr="007344EA">
        <w:t xml:space="preserve"> Direktyvos 9</w:t>
      </w:r>
      <w:r w:rsidRPr="007344EA">
        <w:rPr>
          <w:lang w:val="en-US"/>
        </w:rPr>
        <w:t>3/13 p</w:t>
      </w:r>
      <w:r w:rsidRPr="007344EA">
        <w:t xml:space="preserve">reambulės 13 pastraipa, 1 str. 2 d. </w:t>
      </w:r>
    </w:p>
  </w:footnote>
  <w:footnote w:id="216">
    <w:p w:rsidR="00393645" w:rsidRPr="007344EA" w:rsidRDefault="00393645" w:rsidP="00647F03">
      <w:pPr>
        <w:pStyle w:val="FootnoteText"/>
      </w:pPr>
      <w:r w:rsidRPr="007344EA">
        <w:rPr>
          <w:rStyle w:val="FootnoteReference"/>
        </w:rPr>
        <w:footnoteRef/>
      </w:r>
      <w:r w:rsidRPr="007344EA">
        <w:t xml:space="preserve"> Direktyvos 9</w:t>
      </w:r>
      <w:r w:rsidRPr="007344EA">
        <w:rPr>
          <w:lang w:val="en-US"/>
        </w:rPr>
        <w:t>3/13 p</w:t>
      </w:r>
      <w:r w:rsidRPr="007344EA">
        <w:t xml:space="preserve">reambulės 19 pastraipa, 4 str. 2d. </w:t>
      </w:r>
    </w:p>
  </w:footnote>
  <w:footnote w:id="217">
    <w:p w:rsidR="00393645" w:rsidRPr="007344EA" w:rsidRDefault="00393645" w:rsidP="00647F03">
      <w:pPr>
        <w:pStyle w:val="FootnoteText"/>
      </w:pPr>
      <w:r w:rsidRPr="007344EA">
        <w:rPr>
          <w:rStyle w:val="FootnoteReference"/>
        </w:rPr>
        <w:footnoteRef/>
      </w:r>
      <w:r w:rsidRPr="007344EA">
        <w:t xml:space="preserve"> Direktyvos 93/13 preambulės 19 pastraipa. </w:t>
      </w:r>
    </w:p>
  </w:footnote>
  <w:footnote w:id="218">
    <w:p w:rsidR="00393645" w:rsidRPr="007344EA" w:rsidRDefault="00393645" w:rsidP="00647F03">
      <w:pPr>
        <w:pStyle w:val="FootnoteText"/>
      </w:pPr>
      <w:r w:rsidRPr="007344EA">
        <w:rPr>
          <w:rStyle w:val="FootnoteReference"/>
        </w:rPr>
        <w:footnoteRef/>
      </w:r>
      <w:r w:rsidRPr="007344EA">
        <w:t xml:space="preserve"> Direktyvos 9</w:t>
      </w:r>
      <w:r w:rsidRPr="007344EA">
        <w:rPr>
          <w:lang w:val="en-US"/>
        </w:rPr>
        <w:t>3/13 p</w:t>
      </w:r>
      <w:r w:rsidRPr="007344EA">
        <w:t xml:space="preserve">reambulės 10 pastraipa. </w:t>
      </w:r>
    </w:p>
  </w:footnote>
  <w:footnote w:id="219">
    <w:p w:rsidR="00393645" w:rsidRPr="007344EA" w:rsidRDefault="00393645" w:rsidP="003B014D">
      <w:pPr>
        <w:pStyle w:val="FootnoteText"/>
      </w:pPr>
      <w:r w:rsidRPr="007344EA">
        <w:rPr>
          <w:rStyle w:val="FootnoteReference"/>
        </w:rPr>
        <w:footnoteRef/>
      </w:r>
      <w:r w:rsidRPr="007344EA">
        <w:t xml:space="preserve"> Schulte–Nölke, H. , </w:t>
      </w:r>
      <w:r w:rsidRPr="007344EA">
        <w:rPr>
          <w:i/>
        </w:rPr>
        <w:t>et al.</w:t>
      </w:r>
      <w:r w:rsidRPr="007344EA">
        <w:t xml:space="preserve"> </w:t>
      </w:r>
      <w:r w:rsidRPr="007344EA">
        <w:rPr>
          <w:i/>
        </w:rPr>
        <w:t>EC Consumer Law Compendium. Comparative Analysis.</w:t>
      </w:r>
      <w:r w:rsidRPr="007344EA">
        <w:t xml:space="preserve"> 2008 [interaktyvus]. [žiūrėta 2012-10-01]. </w:t>
      </w:r>
      <w:hyperlink r:id="rId13" w:history="1">
        <w:r w:rsidRPr="007344EA">
          <w:rPr>
            <w:rStyle w:val="Hyperlink"/>
          </w:rPr>
          <w:t>http://ec.europa.eu/consumers/rights/docs/consumer_law_compendium_comparative_analysis_en_final.pdf</w:t>
        </w:r>
      </w:hyperlink>
      <w:r w:rsidRPr="007344EA">
        <w:t>,</w:t>
      </w:r>
    </w:p>
    <w:p w:rsidR="00393645" w:rsidRPr="007344EA" w:rsidRDefault="00393645">
      <w:pPr>
        <w:pStyle w:val="FootnoteText"/>
        <w:rPr>
          <w:lang w:val="en-US"/>
        </w:rPr>
      </w:pPr>
      <w:r w:rsidRPr="007344EA">
        <w:t xml:space="preserve"> p. </w:t>
      </w:r>
      <w:r w:rsidRPr="007344EA">
        <w:rPr>
          <w:lang w:val="en-US"/>
        </w:rPr>
        <w:t xml:space="preserve">383. </w:t>
      </w:r>
    </w:p>
  </w:footnote>
  <w:footnote w:id="220">
    <w:p w:rsidR="00393645" w:rsidRPr="007344EA" w:rsidRDefault="00393645">
      <w:pPr>
        <w:pStyle w:val="FootnoteText"/>
      </w:pPr>
      <w:r w:rsidRPr="007344EA">
        <w:rPr>
          <w:rStyle w:val="FootnoteReference"/>
        </w:rPr>
        <w:footnoteRef/>
      </w:r>
      <w:r w:rsidRPr="007344EA">
        <w:t xml:space="preserve"> Bublienė D. </w:t>
      </w:r>
      <w:r w:rsidRPr="007344EA">
        <w:rPr>
          <w:i/>
        </w:rPr>
        <w:t>Vartojimo sutarčių nesąžiningų sąlygų kontrolė</w:t>
      </w:r>
      <w:r w:rsidRPr="007344EA">
        <w:t xml:space="preserve">: monografija. Vilnius: Registrų centras, 2009, p. 143. </w:t>
      </w:r>
    </w:p>
  </w:footnote>
  <w:footnote w:id="221">
    <w:p w:rsidR="00393645" w:rsidRPr="007344EA" w:rsidRDefault="00393645">
      <w:pPr>
        <w:pStyle w:val="FootnoteText"/>
        <w:rPr>
          <w:lang w:val="en-US"/>
        </w:rPr>
      </w:pPr>
      <w:r w:rsidRPr="007344EA">
        <w:rPr>
          <w:rStyle w:val="FootnoteReference"/>
        </w:rPr>
        <w:footnoteRef/>
      </w:r>
      <w:r w:rsidRPr="007344EA">
        <w:t xml:space="preserve"> Generalinės advokatės Trstenjak išvada byloje C-618/10 </w:t>
      </w:r>
      <w:r w:rsidRPr="007344EA">
        <w:rPr>
          <w:i/>
        </w:rPr>
        <w:t xml:space="preserve">Banco Español de Crédito SA prieš Joaquín Calderón Camino, </w:t>
      </w:r>
      <w:r w:rsidRPr="007344EA">
        <w:t xml:space="preserve">pateikta 2012 m. vasario 14d., para. </w:t>
      </w:r>
      <w:r w:rsidRPr="007344EA">
        <w:rPr>
          <w:lang w:val="en-US"/>
        </w:rPr>
        <w:t>53.</w:t>
      </w:r>
    </w:p>
  </w:footnote>
  <w:footnote w:id="222">
    <w:p w:rsidR="00393645" w:rsidRPr="007344EA" w:rsidRDefault="00393645">
      <w:pPr>
        <w:pStyle w:val="FootnoteText"/>
      </w:pPr>
      <w:r w:rsidRPr="007344EA">
        <w:rPr>
          <w:rStyle w:val="FootnoteReference"/>
        </w:rPr>
        <w:footnoteRef/>
      </w:r>
      <w:r w:rsidRPr="007344EA">
        <w:t xml:space="preserve"> Direktyvos 93/13 4 str. 2d. </w:t>
      </w:r>
    </w:p>
  </w:footnote>
  <w:footnote w:id="223">
    <w:p w:rsidR="00393645" w:rsidRPr="007344EA" w:rsidRDefault="00393645">
      <w:pPr>
        <w:pStyle w:val="FootnoteText"/>
        <w:rPr>
          <w:lang w:val="en-US"/>
        </w:rPr>
      </w:pPr>
      <w:r w:rsidRPr="007344EA">
        <w:rPr>
          <w:rStyle w:val="FootnoteReference"/>
        </w:rPr>
        <w:footnoteRef/>
      </w:r>
      <w:r w:rsidRPr="007344EA">
        <w:t xml:space="preserve"> Howells G.G. , Wilhelmsson T. </w:t>
      </w:r>
      <w:r w:rsidRPr="007344EA">
        <w:rPr>
          <w:i/>
        </w:rPr>
        <w:t>EC Consumer Law,</w:t>
      </w:r>
      <w:r w:rsidRPr="007344EA">
        <w:t xml:space="preserve"> Aldershot:</w:t>
      </w:r>
      <w:r w:rsidRPr="007344EA">
        <w:rPr>
          <w:i/>
        </w:rPr>
        <w:t xml:space="preserve"> </w:t>
      </w:r>
      <w:r w:rsidRPr="007344EA">
        <w:t>Ashgate Publishing, 1997, p.</w:t>
      </w:r>
      <w:r w:rsidRPr="007344EA">
        <w:rPr>
          <w:lang w:val="en-US"/>
        </w:rPr>
        <w:t>114.</w:t>
      </w:r>
    </w:p>
  </w:footnote>
  <w:footnote w:id="224">
    <w:p w:rsidR="00393645" w:rsidRPr="007344EA" w:rsidRDefault="00393645">
      <w:pPr>
        <w:pStyle w:val="FootnoteText"/>
        <w:rPr>
          <w:lang w:val="pt-PT"/>
        </w:rPr>
      </w:pPr>
      <w:r w:rsidRPr="007344EA">
        <w:rPr>
          <w:rStyle w:val="FootnoteReference"/>
        </w:rPr>
        <w:footnoteRef/>
      </w:r>
      <w:r w:rsidRPr="007344EA">
        <w:t xml:space="preserve"> Bublienė D. </w:t>
      </w:r>
      <w:r w:rsidRPr="007344EA">
        <w:rPr>
          <w:i/>
        </w:rPr>
        <w:t>Vartojimo sutarčių nesąžiningų sąlygų kontrolė</w:t>
      </w:r>
      <w:r w:rsidRPr="007344EA">
        <w:t xml:space="preserve">: monografija. Vilnius: Registrų centras, 2009, p. </w:t>
      </w:r>
      <w:r w:rsidRPr="007344EA">
        <w:rPr>
          <w:lang w:val="pt-PT"/>
        </w:rPr>
        <w:t xml:space="preserve">140. </w:t>
      </w:r>
    </w:p>
  </w:footnote>
  <w:footnote w:id="225">
    <w:p w:rsidR="00393645" w:rsidRPr="007344EA" w:rsidRDefault="00393645" w:rsidP="005166BF">
      <w:pPr>
        <w:pStyle w:val="FootnoteText"/>
        <w:jc w:val="both"/>
        <w:rPr>
          <w:lang w:val="pt-PT"/>
        </w:rPr>
      </w:pPr>
      <w:r w:rsidRPr="007344EA">
        <w:rPr>
          <w:rStyle w:val="FootnoteReference"/>
        </w:rPr>
        <w:footnoteRef/>
      </w:r>
      <w:r w:rsidRPr="007344EA">
        <w:t xml:space="preserve"> Generalinės advokatės Trstenjak išvada byloje</w:t>
      </w:r>
      <w:r w:rsidRPr="007344EA">
        <w:rPr>
          <w:lang w:val="pt-PT"/>
        </w:rPr>
        <w:t xml:space="preserve"> C</w:t>
      </w:r>
      <w:r w:rsidRPr="007344EA">
        <w:rPr>
          <w:lang w:val="pt-PT"/>
        </w:rPr>
        <w:noBreakHyphen/>
        <w:t>484/08</w:t>
      </w:r>
      <w:r w:rsidRPr="007344EA">
        <w:rPr>
          <w:i/>
          <w:lang w:val="pt-PT"/>
        </w:rPr>
        <w:t xml:space="preserve"> </w:t>
      </w:r>
      <w:r w:rsidRPr="007344EA">
        <w:rPr>
          <w:bCs/>
          <w:i/>
          <w:lang w:val="es-ES"/>
        </w:rPr>
        <w:t xml:space="preserve">Caja de Ahorros y Monte de Piedad de Madrid </w:t>
      </w:r>
      <w:r w:rsidRPr="007344EA">
        <w:rPr>
          <w:i/>
          <w:lang w:val="es-ES"/>
        </w:rPr>
        <w:t xml:space="preserve">prieš </w:t>
      </w:r>
      <w:r w:rsidRPr="007344EA">
        <w:rPr>
          <w:bCs/>
          <w:i/>
          <w:lang w:val="es-ES"/>
        </w:rPr>
        <w:t xml:space="preserve">Asociación de Usuarios de Servicios Bancarios (Ausbanc), </w:t>
      </w:r>
      <w:r w:rsidRPr="007344EA">
        <w:rPr>
          <w:bCs/>
          <w:lang w:val="es-ES"/>
        </w:rPr>
        <w:t xml:space="preserve">pateikta </w:t>
      </w:r>
      <w:r w:rsidRPr="007344EA">
        <w:rPr>
          <w:bCs/>
          <w:lang w:val="en-US"/>
        </w:rPr>
        <w:t xml:space="preserve">2009 m. </w:t>
      </w:r>
      <w:proofErr w:type="gramStart"/>
      <w:r w:rsidRPr="007344EA">
        <w:rPr>
          <w:bCs/>
          <w:lang w:val="en-US"/>
        </w:rPr>
        <w:t>spalio</w:t>
      </w:r>
      <w:proofErr w:type="gramEnd"/>
      <w:r w:rsidRPr="007344EA">
        <w:rPr>
          <w:bCs/>
          <w:lang w:val="en-US"/>
        </w:rPr>
        <w:t xml:space="preserve"> 29d., para.</w:t>
      </w:r>
      <w:r w:rsidRPr="007344EA">
        <w:rPr>
          <w:bCs/>
          <w:i/>
          <w:lang w:val="en-US"/>
        </w:rPr>
        <w:t xml:space="preserve"> </w:t>
      </w:r>
      <w:proofErr w:type="gramStart"/>
      <w:r w:rsidRPr="007344EA">
        <w:rPr>
          <w:bCs/>
          <w:lang w:val="en-US"/>
        </w:rPr>
        <w:t>6</w:t>
      </w:r>
      <w:r w:rsidRPr="007344EA">
        <w:rPr>
          <w:lang w:val="pt-PT"/>
        </w:rPr>
        <w:t>3, 64.</w:t>
      </w:r>
      <w:proofErr w:type="gramEnd"/>
    </w:p>
  </w:footnote>
  <w:footnote w:id="226">
    <w:p w:rsidR="00393645" w:rsidRPr="007344EA" w:rsidRDefault="00393645" w:rsidP="005166BF">
      <w:pPr>
        <w:pStyle w:val="FootnoteText"/>
        <w:jc w:val="both"/>
        <w:rPr>
          <w:lang w:val="pt-PT"/>
        </w:rPr>
      </w:pPr>
      <w:r w:rsidRPr="007344EA">
        <w:rPr>
          <w:rStyle w:val="FootnoteReference"/>
        </w:rPr>
        <w:footnoteRef/>
      </w:r>
      <w:r w:rsidRPr="007344EA">
        <w:t xml:space="preserve"> </w:t>
      </w:r>
      <w:r w:rsidRPr="007344EA">
        <w:rPr>
          <w:i/>
        </w:rPr>
        <w:t>Ibid</w:t>
      </w:r>
      <w:r w:rsidRPr="007344EA">
        <w:t>.,</w:t>
      </w:r>
      <w:r w:rsidRPr="007344EA">
        <w:rPr>
          <w:bCs/>
          <w:lang w:val="en-US"/>
        </w:rPr>
        <w:t xml:space="preserve"> para.</w:t>
      </w:r>
      <w:r w:rsidRPr="007344EA">
        <w:rPr>
          <w:lang w:val="pt-PT"/>
        </w:rPr>
        <w:t xml:space="preserve">40. </w:t>
      </w:r>
    </w:p>
  </w:footnote>
  <w:footnote w:id="227">
    <w:p w:rsidR="00393645" w:rsidRPr="007344EA" w:rsidRDefault="00393645" w:rsidP="00EE7031">
      <w:pPr>
        <w:pStyle w:val="FootnoteText"/>
      </w:pPr>
      <w:r w:rsidRPr="007344EA">
        <w:rPr>
          <w:rStyle w:val="FootnoteReference"/>
        </w:rPr>
        <w:footnoteRef/>
      </w:r>
      <w:r w:rsidRPr="007344EA">
        <w:t xml:space="preserve"> Direktyvos 93/13 preambulės 12 pastraipa. </w:t>
      </w:r>
    </w:p>
  </w:footnote>
  <w:footnote w:id="228">
    <w:p w:rsidR="00393645" w:rsidRPr="007344EA" w:rsidRDefault="00393645">
      <w:pPr>
        <w:pStyle w:val="FootnoteText"/>
        <w:rPr>
          <w:lang w:val="en-US"/>
        </w:rPr>
      </w:pPr>
      <w:r w:rsidRPr="007344EA">
        <w:rPr>
          <w:rStyle w:val="FootnoteReference"/>
        </w:rPr>
        <w:footnoteRef/>
      </w:r>
      <w:r w:rsidRPr="007344EA">
        <w:t xml:space="preserve"> Report from the Commission on the implementation of Council  Directive </w:t>
      </w:r>
      <w:r w:rsidRPr="007344EA">
        <w:rPr>
          <w:lang w:val="en-US"/>
        </w:rPr>
        <w:t>93/13/EEC of 5 April 1993 on Unfair term in consumer contracts [interaktyvus]. [</w:t>
      </w:r>
      <w:hyperlink r:id="rId14" w:history="1">
        <w:r w:rsidRPr="007344EA">
          <w:rPr>
            <w:rStyle w:val="Hyperlink"/>
            <w:lang w:val="en-US"/>
          </w:rPr>
          <w:t>http://ec.europa.eu/consumers/cons_int/safe_shop/unf_cont_terms/uct03_en.pdf</w:t>
        </w:r>
      </w:hyperlink>
      <w:r w:rsidRPr="007344EA">
        <w:rPr>
          <w:lang w:val="en-US"/>
        </w:rPr>
        <w:t xml:space="preserve">]. </w:t>
      </w:r>
      <w:proofErr w:type="gramStart"/>
      <w:r w:rsidRPr="007344EA">
        <w:rPr>
          <w:lang w:val="en-US"/>
        </w:rPr>
        <w:t>p 15.</w:t>
      </w:r>
      <w:proofErr w:type="gramEnd"/>
      <w:r w:rsidRPr="007344EA">
        <w:rPr>
          <w:lang w:val="en-US"/>
        </w:rPr>
        <w:t xml:space="preserve"> </w:t>
      </w:r>
    </w:p>
  </w:footnote>
  <w:footnote w:id="229">
    <w:p w:rsidR="00393645" w:rsidRPr="007344EA" w:rsidRDefault="00393645">
      <w:pPr>
        <w:pStyle w:val="FootnoteText"/>
      </w:pPr>
      <w:r w:rsidRPr="007344EA">
        <w:rPr>
          <w:rStyle w:val="FootnoteReference"/>
        </w:rPr>
        <w:footnoteRef/>
      </w:r>
      <w:r w:rsidRPr="007344EA">
        <w:t xml:space="preserve"> Byla </w:t>
      </w:r>
      <w:r w:rsidRPr="007344EA">
        <w:rPr>
          <w:lang w:val="pt-PT"/>
        </w:rPr>
        <w:t>C</w:t>
      </w:r>
      <w:r w:rsidRPr="007344EA">
        <w:rPr>
          <w:lang w:val="pt-PT"/>
        </w:rPr>
        <w:noBreakHyphen/>
        <w:t>484/08</w:t>
      </w:r>
      <w:r w:rsidRPr="007344EA">
        <w:rPr>
          <w:i/>
          <w:lang w:val="pt-PT"/>
        </w:rPr>
        <w:t xml:space="preserve"> </w:t>
      </w:r>
      <w:r w:rsidRPr="007344EA">
        <w:rPr>
          <w:bCs/>
          <w:i/>
          <w:lang w:val="es-ES"/>
        </w:rPr>
        <w:t xml:space="preserve">Caja de Ahorros y Monte de Piedad de Madrid </w:t>
      </w:r>
      <w:r w:rsidRPr="007344EA">
        <w:rPr>
          <w:i/>
          <w:lang w:val="es-ES"/>
        </w:rPr>
        <w:t xml:space="preserve">prieš </w:t>
      </w:r>
      <w:r w:rsidRPr="007344EA">
        <w:rPr>
          <w:bCs/>
          <w:i/>
          <w:lang w:val="es-ES"/>
        </w:rPr>
        <w:t>Asociación de Usuarios de Servicios Bancarios (Ausbanc)</w:t>
      </w:r>
      <w:r w:rsidRPr="007344EA">
        <w:rPr>
          <w:bCs/>
          <w:lang w:val="es-ES"/>
        </w:rPr>
        <w:t xml:space="preserve"> [2010] ETA I-</w:t>
      </w:r>
      <w:r w:rsidRPr="007344EA">
        <w:t xml:space="preserve">04785, para.15. </w:t>
      </w:r>
    </w:p>
  </w:footnote>
  <w:footnote w:id="230">
    <w:p w:rsidR="00393645" w:rsidRPr="007344EA" w:rsidRDefault="00393645">
      <w:pPr>
        <w:pStyle w:val="FootnoteText"/>
        <w:rPr>
          <w:lang w:val="pt-PT"/>
        </w:rPr>
      </w:pPr>
      <w:r w:rsidRPr="007344EA">
        <w:rPr>
          <w:rStyle w:val="FootnoteReference"/>
        </w:rPr>
        <w:footnoteRef/>
      </w:r>
      <w:r w:rsidRPr="007344EA">
        <w:t xml:space="preserve"> Case C-144/99 </w:t>
      </w:r>
      <w:r w:rsidRPr="007344EA">
        <w:rPr>
          <w:i/>
        </w:rPr>
        <w:t xml:space="preserve">Commission of the European Communities v .Kingdom of Netherlands </w:t>
      </w:r>
      <w:r w:rsidRPr="007344EA">
        <w:t>[</w:t>
      </w:r>
      <w:r w:rsidRPr="007344EA">
        <w:rPr>
          <w:lang w:val="en-US"/>
        </w:rPr>
        <w:t>2001]</w:t>
      </w:r>
      <w:r w:rsidRPr="007344EA">
        <w:rPr>
          <w:i/>
        </w:rPr>
        <w:t xml:space="preserve"> </w:t>
      </w:r>
      <w:r w:rsidRPr="007344EA">
        <w:t xml:space="preserve">I-03541, para. </w:t>
      </w:r>
      <w:r w:rsidRPr="007344EA">
        <w:rPr>
          <w:lang w:val="pt-PT"/>
        </w:rPr>
        <w:t xml:space="preserve">22. </w:t>
      </w:r>
    </w:p>
  </w:footnote>
  <w:footnote w:id="231">
    <w:p w:rsidR="00393645" w:rsidRPr="007344EA" w:rsidRDefault="00393645">
      <w:pPr>
        <w:pStyle w:val="FootnoteText"/>
      </w:pPr>
      <w:r w:rsidRPr="007344EA">
        <w:rPr>
          <w:rStyle w:val="FootnoteReference"/>
        </w:rPr>
        <w:footnoteRef/>
      </w:r>
      <w:r w:rsidRPr="007344EA">
        <w:t xml:space="preserve"> Byla </w:t>
      </w:r>
      <w:r w:rsidRPr="007344EA">
        <w:rPr>
          <w:lang w:val="pt-PT"/>
        </w:rPr>
        <w:t>C</w:t>
      </w:r>
      <w:r w:rsidRPr="007344EA">
        <w:rPr>
          <w:lang w:val="pt-PT"/>
        </w:rPr>
        <w:noBreakHyphen/>
        <w:t>484/08</w:t>
      </w:r>
      <w:r w:rsidRPr="007344EA">
        <w:rPr>
          <w:i/>
          <w:lang w:val="pt-PT"/>
        </w:rPr>
        <w:t xml:space="preserve"> </w:t>
      </w:r>
      <w:r w:rsidRPr="007344EA">
        <w:rPr>
          <w:bCs/>
          <w:i/>
          <w:lang w:val="es-ES"/>
        </w:rPr>
        <w:t xml:space="preserve">Caja de Ahorros y Monte de Piedad de Madrid </w:t>
      </w:r>
      <w:r w:rsidRPr="007344EA">
        <w:rPr>
          <w:i/>
          <w:lang w:val="es-ES"/>
        </w:rPr>
        <w:t xml:space="preserve">prieš </w:t>
      </w:r>
      <w:r w:rsidRPr="007344EA">
        <w:rPr>
          <w:bCs/>
          <w:i/>
          <w:lang w:val="es-ES"/>
        </w:rPr>
        <w:t>Asociación de Usuarios de Servicios Bancarios (Ausbanc)</w:t>
      </w:r>
      <w:r w:rsidRPr="007344EA">
        <w:rPr>
          <w:bCs/>
          <w:lang w:val="es-ES"/>
        </w:rPr>
        <w:t xml:space="preserve"> [2010] ETA I-</w:t>
      </w:r>
      <w:r w:rsidRPr="007344EA">
        <w:t xml:space="preserve">04785, para. 50. </w:t>
      </w:r>
    </w:p>
  </w:footnote>
  <w:footnote w:id="232">
    <w:p w:rsidR="00393645" w:rsidRPr="007344EA" w:rsidRDefault="00393645">
      <w:pPr>
        <w:pStyle w:val="FootnoteText"/>
      </w:pPr>
      <w:r w:rsidRPr="007344EA">
        <w:rPr>
          <w:rStyle w:val="FootnoteReference"/>
        </w:rPr>
        <w:footnoteRef/>
      </w:r>
      <w:r w:rsidRPr="007344EA">
        <w:t xml:space="preserve"> Byla </w:t>
      </w:r>
      <w:r w:rsidRPr="007344EA">
        <w:rPr>
          <w:lang w:val="pt-PT"/>
        </w:rPr>
        <w:t>C</w:t>
      </w:r>
      <w:r w:rsidRPr="007344EA">
        <w:rPr>
          <w:lang w:val="pt-PT"/>
        </w:rPr>
        <w:noBreakHyphen/>
        <w:t>484/08</w:t>
      </w:r>
      <w:r w:rsidRPr="007344EA">
        <w:rPr>
          <w:i/>
          <w:lang w:val="pt-PT"/>
        </w:rPr>
        <w:t xml:space="preserve"> </w:t>
      </w:r>
      <w:r w:rsidRPr="007344EA">
        <w:rPr>
          <w:bCs/>
          <w:i/>
          <w:lang w:val="es-ES"/>
        </w:rPr>
        <w:t xml:space="preserve">Caja de Ahorros y Monte de Piedad de Madrid </w:t>
      </w:r>
      <w:r w:rsidRPr="007344EA">
        <w:rPr>
          <w:i/>
          <w:lang w:val="es-ES"/>
        </w:rPr>
        <w:t xml:space="preserve">prieš </w:t>
      </w:r>
      <w:r w:rsidRPr="007344EA">
        <w:rPr>
          <w:bCs/>
          <w:i/>
          <w:lang w:val="es-ES"/>
        </w:rPr>
        <w:t>Asociación de Usuarios de Servicios Bancarios (Ausbanc)</w:t>
      </w:r>
      <w:r w:rsidRPr="007344EA">
        <w:rPr>
          <w:bCs/>
          <w:lang w:val="es-ES"/>
        </w:rPr>
        <w:t xml:space="preserve"> [2010] ETA I-</w:t>
      </w:r>
      <w:r w:rsidRPr="007344EA">
        <w:t xml:space="preserve">04785, para. 39. </w:t>
      </w:r>
    </w:p>
  </w:footnote>
  <w:footnote w:id="233">
    <w:p w:rsidR="00393645" w:rsidRPr="007344EA" w:rsidRDefault="00393645">
      <w:pPr>
        <w:pStyle w:val="FootnoteText"/>
      </w:pPr>
      <w:r w:rsidRPr="007344EA">
        <w:rPr>
          <w:rStyle w:val="FootnoteReference"/>
        </w:rPr>
        <w:footnoteRef/>
      </w:r>
      <w:r w:rsidRPr="007344EA">
        <w:t xml:space="preserve"> Pavyzdžiui gerai žinomoje byloje  </w:t>
      </w:r>
      <w:r w:rsidRPr="007344EA">
        <w:rPr>
          <w:i/>
        </w:rPr>
        <w:t>Keck</w:t>
      </w:r>
      <w:r w:rsidRPr="007344EA">
        <w:t xml:space="preserve">  Teisingumo Teismas pripažino savo praktikos netikslumus teigdamas „priešingai nei buvo pasakyta prieš tai“. Žr. Byla</w:t>
      </w:r>
      <w:r w:rsidRPr="007344EA">
        <w:rPr>
          <w:i/>
        </w:rPr>
        <w:t xml:space="preserve"> </w:t>
      </w:r>
      <w:r w:rsidRPr="007344EA">
        <w:t xml:space="preserve">C-267 ir 268/91 </w:t>
      </w:r>
      <w:r w:rsidRPr="007344EA">
        <w:rPr>
          <w:i/>
        </w:rPr>
        <w:t>Baudžiamosios bylos prieš</w:t>
      </w:r>
      <w:r w:rsidRPr="007344EA">
        <w:t xml:space="preserve"> </w:t>
      </w:r>
      <w:r w:rsidRPr="007344EA">
        <w:rPr>
          <w:i/>
        </w:rPr>
        <w:t xml:space="preserve">Keck ir Mithouard. </w:t>
      </w:r>
      <w:r w:rsidRPr="007344EA">
        <w:t xml:space="preserve"> [1992] ECR I-6097, para. 16.</w:t>
      </w:r>
    </w:p>
  </w:footnote>
  <w:footnote w:id="234">
    <w:p w:rsidR="00393645" w:rsidRPr="007344EA" w:rsidRDefault="00393645" w:rsidP="002C175C">
      <w:pPr>
        <w:pStyle w:val="FootnoteText"/>
        <w:rPr>
          <w:lang w:val="en-US"/>
        </w:rPr>
      </w:pPr>
      <w:r w:rsidRPr="007344EA">
        <w:rPr>
          <w:rStyle w:val="FootnoteReference"/>
        </w:rPr>
        <w:footnoteRef/>
      </w:r>
      <w:r w:rsidRPr="007344EA">
        <w:t xml:space="preserve"> Stuyck J. Case  C</w:t>
      </w:r>
      <w:r w:rsidRPr="007344EA">
        <w:noBreakHyphen/>
        <w:t>484/08</w:t>
      </w:r>
      <w:r w:rsidRPr="007344EA">
        <w:rPr>
          <w:i/>
        </w:rPr>
        <w:t xml:space="preserve"> </w:t>
      </w:r>
      <w:r w:rsidRPr="007344EA">
        <w:rPr>
          <w:bCs/>
          <w:i/>
        </w:rPr>
        <w:t xml:space="preserve">Caja de Ahorros y Monte de Piedad de Madrid </w:t>
      </w:r>
      <w:r w:rsidRPr="007344EA">
        <w:rPr>
          <w:i/>
        </w:rPr>
        <w:t xml:space="preserve">v </w:t>
      </w:r>
      <w:r w:rsidRPr="007344EA">
        <w:rPr>
          <w:bCs/>
          <w:i/>
        </w:rPr>
        <w:t>Asociación de Usuarios de Servicios Bancarios (Ausbanc)</w:t>
      </w:r>
      <w:r w:rsidRPr="007344EA">
        <w:t xml:space="preserve">  European Review of Contract Law Volume 6 (Issue 4), 2010, p. </w:t>
      </w:r>
      <w:proofErr w:type="gramStart"/>
      <w:r w:rsidRPr="007344EA">
        <w:rPr>
          <w:lang w:val="en-US"/>
        </w:rPr>
        <w:t>453, 454.</w:t>
      </w:r>
      <w:proofErr w:type="gramEnd"/>
      <w:r w:rsidRPr="007344EA">
        <w:rPr>
          <w:lang w:val="en-US"/>
        </w:rPr>
        <w:t xml:space="preserve"> </w:t>
      </w:r>
    </w:p>
  </w:footnote>
  <w:footnote w:id="235">
    <w:p w:rsidR="00393645" w:rsidRPr="007344EA" w:rsidRDefault="00393645" w:rsidP="00B6613E">
      <w:pPr>
        <w:pStyle w:val="FootnoteText"/>
        <w:jc w:val="both"/>
        <w:rPr>
          <w:lang w:val="en-US"/>
        </w:rPr>
      </w:pPr>
      <w:r w:rsidRPr="007344EA">
        <w:rPr>
          <w:rStyle w:val="FootnoteReference"/>
        </w:rPr>
        <w:footnoteRef/>
      </w:r>
      <w:r w:rsidRPr="007344EA">
        <w:t xml:space="preserve"> Byla C</w:t>
      </w:r>
      <w:r w:rsidRPr="007344EA">
        <w:noBreakHyphen/>
        <w:t>472/10</w:t>
      </w:r>
      <w:r w:rsidRPr="007344EA">
        <w:rPr>
          <w:rFonts w:ascii="Times New Roman" w:hAnsi="Times New Roman"/>
          <w:b/>
          <w:bCs/>
          <w:sz w:val="24"/>
          <w:szCs w:val="24"/>
          <w:lang w:eastAsia="en-GB"/>
        </w:rPr>
        <w:t xml:space="preserve"> </w:t>
      </w:r>
      <w:r w:rsidRPr="007344EA">
        <w:rPr>
          <w:bCs/>
          <w:i/>
        </w:rPr>
        <w:t>Nemzeti Fogyasztóvédelmi Hatóság p</w:t>
      </w:r>
      <w:r w:rsidRPr="007344EA">
        <w:rPr>
          <w:i/>
        </w:rPr>
        <w:t xml:space="preserve">rieš </w:t>
      </w:r>
      <w:r w:rsidRPr="007344EA">
        <w:rPr>
          <w:bCs/>
          <w:i/>
        </w:rPr>
        <w:t>Invitel Távközlési ZrtI</w:t>
      </w:r>
      <w:r w:rsidRPr="007344EA">
        <w:rPr>
          <w:bCs/>
        </w:rPr>
        <w:t xml:space="preserve"> [dar nepaskelbta], p</w:t>
      </w:r>
      <w:r w:rsidRPr="007344EA">
        <w:t xml:space="preserve">ara. </w:t>
      </w:r>
      <w:r w:rsidRPr="007344EA">
        <w:rPr>
          <w:lang w:val="en-US"/>
        </w:rPr>
        <w:t xml:space="preserve">18. </w:t>
      </w:r>
    </w:p>
  </w:footnote>
  <w:footnote w:id="236">
    <w:p w:rsidR="00393645" w:rsidRPr="007344EA" w:rsidRDefault="00393645" w:rsidP="00B6613E">
      <w:pPr>
        <w:pStyle w:val="FootnoteText"/>
        <w:jc w:val="both"/>
        <w:rPr>
          <w:lang w:val="en-US"/>
        </w:rPr>
      </w:pPr>
      <w:r w:rsidRPr="007344EA">
        <w:rPr>
          <w:rStyle w:val="FootnoteReference"/>
        </w:rPr>
        <w:footnoteRef/>
      </w:r>
      <w:r w:rsidRPr="007344EA">
        <w:t xml:space="preserve"> Byla C</w:t>
      </w:r>
      <w:r w:rsidRPr="007344EA">
        <w:noBreakHyphen/>
        <w:t>472/10</w:t>
      </w:r>
      <w:r w:rsidRPr="007344EA">
        <w:rPr>
          <w:rFonts w:ascii="Times New Roman" w:hAnsi="Times New Roman"/>
          <w:b/>
          <w:bCs/>
          <w:sz w:val="24"/>
          <w:szCs w:val="24"/>
          <w:lang w:eastAsia="en-GB"/>
        </w:rPr>
        <w:t xml:space="preserve"> </w:t>
      </w:r>
      <w:r w:rsidRPr="007344EA">
        <w:rPr>
          <w:bCs/>
          <w:i/>
        </w:rPr>
        <w:t>Nemzeti Fogyasztóvédelmi Hatóság p</w:t>
      </w:r>
      <w:r w:rsidRPr="007344EA">
        <w:rPr>
          <w:i/>
        </w:rPr>
        <w:t xml:space="preserve">rieš </w:t>
      </w:r>
      <w:r w:rsidRPr="007344EA">
        <w:rPr>
          <w:bCs/>
          <w:i/>
        </w:rPr>
        <w:t>Invitel Távközlési ZrtI</w:t>
      </w:r>
      <w:r w:rsidRPr="007344EA">
        <w:rPr>
          <w:bCs/>
        </w:rPr>
        <w:t xml:space="preserve"> [dar nepaskelbta], para. </w:t>
      </w:r>
      <w:proofErr w:type="gramStart"/>
      <w:r w:rsidRPr="007344EA">
        <w:rPr>
          <w:lang w:val="en-US"/>
        </w:rPr>
        <w:t>23 ir 24.</w:t>
      </w:r>
      <w:proofErr w:type="gramEnd"/>
      <w:r w:rsidRPr="007344EA">
        <w:rPr>
          <w:lang w:val="en-US"/>
        </w:rPr>
        <w:t xml:space="preserve"> </w:t>
      </w:r>
    </w:p>
  </w:footnote>
  <w:footnote w:id="237">
    <w:p w:rsidR="00393645" w:rsidRPr="007344EA" w:rsidRDefault="00393645" w:rsidP="004D3958">
      <w:pPr>
        <w:pStyle w:val="FootnoteText"/>
        <w:jc w:val="both"/>
        <w:rPr>
          <w:lang w:val="en-US"/>
        </w:rPr>
      </w:pPr>
      <w:r w:rsidRPr="007344EA">
        <w:rPr>
          <w:rStyle w:val="FootnoteReference"/>
        </w:rPr>
        <w:footnoteRef/>
      </w:r>
      <w:r w:rsidRPr="007344EA">
        <w:t xml:space="preserve"> V. Trstenjak</w:t>
      </w:r>
      <w:r>
        <w:t xml:space="preserve"> </w:t>
      </w:r>
      <w:r w:rsidRPr="00A37B76">
        <w:t>8ª</w:t>
      </w:r>
      <w:r>
        <w:t xml:space="preserve"> straipsnio įtraukimą į Direktyvą </w:t>
      </w:r>
      <w:r>
        <w:rPr>
          <w:lang w:val="en-US"/>
        </w:rPr>
        <w:t xml:space="preserve">93/13 </w:t>
      </w:r>
      <w:r w:rsidRPr="007344EA">
        <w:t>vaidina procedūriniu pakeitimu. Žr.: Generalinės advokatės Trstenjak išvada byloje</w:t>
      </w:r>
      <w:r w:rsidRPr="007344EA">
        <w:rPr>
          <w:lang w:val="pt-PT"/>
        </w:rPr>
        <w:t xml:space="preserve"> C</w:t>
      </w:r>
      <w:r w:rsidRPr="007344EA">
        <w:rPr>
          <w:lang w:val="pt-PT"/>
        </w:rPr>
        <w:noBreakHyphen/>
        <w:t>472/10</w:t>
      </w:r>
      <w:r w:rsidRPr="007344EA">
        <w:rPr>
          <w:rFonts w:ascii="Times New Roman" w:hAnsi="Times New Roman"/>
          <w:b/>
          <w:bCs/>
          <w:sz w:val="24"/>
          <w:szCs w:val="24"/>
          <w:lang w:val="pt-PT" w:eastAsia="en-GB"/>
        </w:rPr>
        <w:t xml:space="preserve"> </w:t>
      </w:r>
      <w:r w:rsidRPr="007344EA">
        <w:rPr>
          <w:bCs/>
          <w:i/>
          <w:lang w:val="pt-PT"/>
        </w:rPr>
        <w:t>Nemzeti Fogyasztóvédelmi Hatóság p</w:t>
      </w:r>
      <w:r w:rsidRPr="007344EA">
        <w:rPr>
          <w:i/>
          <w:lang w:val="pt-PT"/>
        </w:rPr>
        <w:t xml:space="preserve">rieš </w:t>
      </w:r>
      <w:r w:rsidRPr="007344EA">
        <w:rPr>
          <w:bCs/>
          <w:i/>
          <w:lang w:val="en-US"/>
        </w:rPr>
        <w:t xml:space="preserve">Invitel Távközlési ZrtI, </w:t>
      </w:r>
      <w:r w:rsidRPr="007344EA">
        <w:rPr>
          <w:bCs/>
        </w:rPr>
        <w:t xml:space="preserve">pateikta </w:t>
      </w:r>
      <w:r w:rsidRPr="007344EA">
        <w:rPr>
          <w:bCs/>
          <w:lang w:val="en-US"/>
        </w:rPr>
        <w:t xml:space="preserve">2011 m. </w:t>
      </w:r>
      <w:proofErr w:type="gramStart"/>
      <w:r w:rsidRPr="007344EA">
        <w:rPr>
          <w:bCs/>
          <w:lang w:val="en-US"/>
        </w:rPr>
        <w:t>gruod</w:t>
      </w:r>
      <w:r w:rsidRPr="007344EA">
        <w:rPr>
          <w:bCs/>
        </w:rPr>
        <w:t>žio</w:t>
      </w:r>
      <w:proofErr w:type="gramEnd"/>
      <w:r w:rsidRPr="007344EA">
        <w:rPr>
          <w:bCs/>
        </w:rPr>
        <w:t xml:space="preserve"> </w:t>
      </w:r>
      <w:r w:rsidRPr="007344EA">
        <w:rPr>
          <w:bCs/>
          <w:lang w:val="en-US"/>
        </w:rPr>
        <w:t>6d.</w:t>
      </w:r>
      <w:r w:rsidRPr="007344EA">
        <w:rPr>
          <w:bCs/>
          <w:i/>
          <w:lang w:val="en-US"/>
        </w:rPr>
        <w:t xml:space="preserve">, </w:t>
      </w:r>
      <w:r w:rsidRPr="007344EA">
        <w:rPr>
          <w:bCs/>
        </w:rPr>
        <w:t>para.</w:t>
      </w:r>
      <w:r w:rsidRPr="007344EA">
        <w:rPr>
          <w:bCs/>
          <w:lang w:val="en-US"/>
        </w:rPr>
        <w:t>1.</w:t>
      </w:r>
    </w:p>
  </w:footnote>
  <w:footnote w:id="238">
    <w:p w:rsidR="00393645" w:rsidRPr="007344EA" w:rsidRDefault="00393645">
      <w:pPr>
        <w:pStyle w:val="FootnoteText"/>
        <w:rPr>
          <w:lang w:val="en-US"/>
        </w:rPr>
      </w:pPr>
      <w:r w:rsidRPr="007344EA">
        <w:rPr>
          <w:rStyle w:val="FootnoteReference"/>
        </w:rPr>
        <w:footnoteRef/>
      </w:r>
      <w:r w:rsidRPr="007344EA">
        <w:t xml:space="preserve"> Byla C-137/08 </w:t>
      </w:r>
      <w:r w:rsidRPr="007344EA">
        <w:rPr>
          <w:bCs/>
          <w:i/>
          <w:lang w:val="pt-PT"/>
        </w:rPr>
        <w:t xml:space="preserve">VB Pénzügyi Lízing Zrt. </w:t>
      </w:r>
      <w:r w:rsidRPr="007344EA">
        <w:rPr>
          <w:i/>
          <w:lang w:val="pt-PT"/>
        </w:rPr>
        <w:t xml:space="preserve">Prieš </w:t>
      </w:r>
      <w:r w:rsidRPr="007344EA">
        <w:rPr>
          <w:bCs/>
          <w:i/>
          <w:lang w:val="pt-PT"/>
        </w:rPr>
        <w:t>Ferenc  Fchneider</w:t>
      </w:r>
      <w:r w:rsidRPr="007344EA">
        <w:rPr>
          <w:bCs/>
          <w:lang w:val="pt-PT"/>
        </w:rPr>
        <w:t xml:space="preserve"> [2010] ETA I-</w:t>
      </w:r>
      <w:r w:rsidRPr="007344EA">
        <w:t>10847, para.</w:t>
      </w:r>
      <w:r w:rsidRPr="007344EA">
        <w:rPr>
          <w:lang w:val="en-US"/>
        </w:rPr>
        <w:t>12.</w:t>
      </w:r>
    </w:p>
  </w:footnote>
  <w:footnote w:id="239">
    <w:p w:rsidR="00393645" w:rsidRPr="007344EA" w:rsidRDefault="00393645">
      <w:pPr>
        <w:pStyle w:val="FootnoteText"/>
        <w:rPr>
          <w:lang w:val="en-US"/>
        </w:rPr>
      </w:pPr>
      <w:r w:rsidRPr="007344EA">
        <w:rPr>
          <w:rStyle w:val="FootnoteReference"/>
        </w:rPr>
        <w:footnoteRef/>
      </w:r>
      <w:r w:rsidRPr="007344EA">
        <w:t xml:space="preserve"> Cases C-240/98- C-244/98 </w:t>
      </w:r>
      <w:r w:rsidRPr="007344EA">
        <w:rPr>
          <w:i/>
        </w:rPr>
        <w:t xml:space="preserve">Océano Grupo Editorial SA , </w:t>
      </w:r>
      <w:r w:rsidRPr="007344EA">
        <w:rPr>
          <w:bCs/>
          <w:i/>
        </w:rPr>
        <w:t xml:space="preserve">Rocío Murciano Quintero </w:t>
      </w:r>
      <w:r w:rsidRPr="007344EA">
        <w:rPr>
          <w:i/>
        </w:rPr>
        <w:t xml:space="preserve">ir </w:t>
      </w:r>
      <w:r w:rsidRPr="007344EA">
        <w:rPr>
          <w:bCs/>
          <w:i/>
        </w:rPr>
        <w:t xml:space="preserve">Salvat Editores SA </w:t>
      </w:r>
      <w:r w:rsidRPr="007344EA">
        <w:rPr>
          <w:i/>
        </w:rPr>
        <w:t xml:space="preserve">v </w:t>
      </w:r>
      <w:r w:rsidRPr="007344EA">
        <w:rPr>
          <w:bCs/>
          <w:i/>
        </w:rPr>
        <w:t>José M. Sánchez Alcón Prades</w:t>
      </w:r>
      <w:r w:rsidRPr="007344EA">
        <w:rPr>
          <w:i/>
        </w:rPr>
        <w:t xml:space="preserve">, </w:t>
      </w:r>
      <w:r w:rsidRPr="007344EA">
        <w:rPr>
          <w:bCs/>
          <w:i/>
          <w:lang w:val="es-ES"/>
        </w:rPr>
        <w:t>José Luis Copano Badillo</w:t>
      </w:r>
      <w:r w:rsidRPr="007344EA">
        <w:rPr>
          <w:i/>
          <w:lang w:val="es-ES"/>
        </w:rPr>
        <w:t xml:space="preserve"> , </w:t>
      </w:r>
      <w:r w:rsidRPr="007344EA">
        <w:rPr>
          <w:bCs/>
          <w:i/>
        </w:rPr>
        <w:t xml:space="preserve">Mohammed Berroane </w:t>
      </w:r>
      <w:r w:rsidRPr="007344EA">
        <w:rPr>
          <w:i/>
        </w:rPr>
        <w:t xml:space="preserve">, </w:t>
      </w:r>
      <w:r w:rsidRPr="007344EA">
        <w:rPr>
          <w:bCs/>
          <w:i/>
        </w:rPr>
        <w:t xml:space="preserve">Emilio Viñas Feliu </w:t>
      </w:r>
      <w:r w:rsidRPr="007344EA">
        <w:rPr>
          <w:bCs/>
        </w:rPr>
        <w:t>[</w:t>
      </w:r>
      <w:r w:rsidRPr="007344EA">
        <w:t xml:space="preserve">2000] ECR I-04941, para. </w:t>
      </w:r>
      <w:r w:rsidRPr="007344EA">
        <w:rPr>
          <w:lang w:val="en-US"/>
        </w:rPr>
        <w:t xml:space="preserve">27. </w:t>
      </w:r>
    </w:p>
  </w:footnote>
  <w:footnote w:id="240">
    <w:p w:rsidR="00393645" w:rsidRPr="007344EA" w:rsidRDefault="00393645">
      <w:pPr>
        <w:pStyle w:val="FootnoteText"/>
      </w:pPr>
      <w:r w:rsidRPr="007344EA">
        <w:rPr>
          <w:rStyle w:val="FootnoteReference"/>
        </w:rPr>
        <w:footnoteRef/>
      </w:r>
      <w:r w:rsidRPr="007344EA">
        <w:t xml:space="preserve"> Cases C-240/98- C-244/98 </w:t>
      </w:r>
      <w:r w:rsidRPr="007344EA">
        <w:rPr>
          <w:i/>
        </w:rPr>
        <w:t xml:space="preserve">Océano Grupo Editorial SA , </w:t>
      </w:r>
      <w:r w:rsidRPr="007344EA">
        <w:rPr>
          <w:bCs/>
          <w:i/>
        </w:rPr>
        <w:t xml:space="preserve">Rocío Murciano Quintero </w:t>
      </w:r>
      <w:r w:rsidRPr="007344EA">
        <w:rPr>
          <w:i/>
        </w:rPr>
        <w:t xml:space="preserve">ir </w:t>
      </w:r>
      <w:r w:rsidRPr="007344EA">
        <w:rPr>
          <w:bCs/>
          <w:i/>
        </w:rPr>
        <w:t xml:space="preserve">Salvat Editores SA </w:t>
      </w:r>
      <w:r w:rsidRPr="007344EA">
        <w:rPr>
          <w:i/>
        </w:rPr>
        <w:t xml:space="preserve">v </w:t>
      </w:r>
      <w:r w:rsidRPr="007344EA">
        <w:rPr>
          <w:bCs/>
          <w:i/>
        </w:rPr>
        <w:t>José M. Sánchez Alcón Prades</w:t>
      </w:r>
      <w:r w:rsidRPr="007344EA">
        <w:rPr>
          <w:i/>
        </w:rPr>
        <w:t xml:space="preserve">, </w:t>
      </w:r>
      <w:r w:rsidRPr="007344EA">
        <w:rPr>
          <w:bCs/>
          <w:i/>
          <w:lang w:val="es-ES"/>
        </w:rPr>
        <w:t>José Luis Copano Badillo</w:t>
      </w:r>
      <w:r w:rsidRPr="007344EA">
        <w:rPr>
          <w:i/>
          <w:lang w:val="es-ES"/>
        </w:rPr>
        <w:t xml:space="preserve"> , </w:t>
      </w:r>
      <w:r w:rsidRPr="007344EA">
        <w:rPr>
          <w:bCs/>
          <w:i/>
        </w:rPr>
        <w:t xml:space="preserve">Mohammed Berroane </w:t>
      </w:r>
      <w:r w:rsidRPr="007344EA">
        <w:rPr>
          <w:i/>
        </w:rPr>
        <w:t xml:space="preserve">, </w:t>
      </w:r>
      <w:r w:rsidRPr="007344EA">
        <w:rPr>
          <w:bCs/>
          <w:i/>
        </w:rPr>
        <w:t xml:space="preserve">Emilio Viñas Feliu </w:t>
      </w:r>
      <w:r w:rsidRPr="007344EA">
        <w:rPr>
          <w:bCs/>
        </w:rPr>
        <w:t>[</w:t>
      </w:r>
      <w:r w:rsidRPr="007344EA">
        <w:t>2000] ECR I-04941.</w:t>
      </w:r>
    </w:p>
  </w:footnote>
  <w:footnote w:id="241">
    <w:p w:rsidR="00393645" w:rsidRPr="007344EA" w:rsidRDefault="00393645">
      <w:pPr>
        <w:pStyle w:val="FootnoteText"/>
        <w:rPr>
          <w:lang w:val="en-US"/>
        </w:rPr>
      </w:pPr>
      <w:r w:rsidRPr="007344EA">
        <w:rPr>
          <w:rStyle w:val="FootnoteReference"/>
        </w:rPr>
        <w:footnoteRef/>
      </w:r>
      <w:r w:rsidRPr="007344EA">
        <w:t xml:space="preserve"> Cases C-240/98- C-244/98 </w:t>
      </w:r>
      <w:r w:rsidRPr="007344EA">
        <w:rPr>
          <w:i/>
        </w:rPr>
        <w:t xml:space="preserve">Océano Grupo Editorial SA , </w:t>
      </w:r>
      <w:r w:rsidRPr="007344EA">
        <w:rPr>
          <w:bCs/>
          <w:i/>
        </w:rPr>
        <w:t xml:space="preserve">Rocío Murciano Quintero </w:t>
      </w:r>
      <w:r w:rsidRPr="007344EA">
        <w:rPr>
          <w:i/>
        </w:rPr>
        <w:t xml:space="preserve">ir </w:t>
      </w:r>
      <w:r w:rsidRPr="007344EA">
        <w:rPr>
          <w:bCs/>
          <w:i/>
        </w:rPr>
        <w:t xml:space="preserve">Salvat Editores SA </w:t>
      </w:r>
      <w:r w:rsidRPr="007344EA">
        <w:rPr>
          <w:i/>
        </w:rPr>
        <w:t xml:space="preserve">v </w:t>
      </w:r>
      <w:r w:rsidRPr="007344EA">
        <w:rPr>
          <w:bCs/>
          <w:i/>
        </w:rPr>
        <w:t>José M. Sánchez Alcón Prades</w:t>
      </w:r>
      <w:r w:rsidRPr="007344EA">
        <w:rPr>
          <w:i/>
        </w:rPr>
        <w:t xml:space="preserve">, </w:t>
      </w:r>
      <w:r w:rsidRPr="007344EA">
        <w:rPr>
          <w:bCs/>
          <w:i/>
          <w:lang w:val="es-ES"/>
        </w:rPr>
        <w:t>José Luis Copano Badillo</w:t>
      </w:r>
      <w:r w:rsidRPr="007344EA">
        <w:rPr>
          <w:i/>
          <w:lang w:val="es-ES"/>
        </w:rPr>
        <w:t xml:space="preserve"> , </w:t>
      </w:r>
      <w:r w:rsidRPr="007344EA">
        <w:rPr>
          <w:bCs/>
          <w:i/>
        </w:rPr>
        <w:t xml:space="preserve">Mohammed Berroane </w:t>
      </w:r>
      <w:r w:rsidRPr="007344EA">
        <w:rPr>
          <w:i/>
        </w:rPr>
        <w:t xml:space="preserve">, </w:t>
      </w:r>
      <w:r w:rsidRPr="007344EA">
        <w:rPr>
          <w:bCs/>
          <w:i/>
        </w:rPr>
        <w:t xml:space="preserve">Emilio Viñas Feliu </w:t>
      </w:r>
      <w:r w:rsidRPr="007344EA">
        <w:rPr>
          <w:bCs/>
        </w:rPr>
        <w:t>[</w:t>
      </w:r>
      <w:r w:rsidRPr="007344EA">
        <w:t xml:space="preserve">2000] ECR I-04941, para. </w:t>
      </w:r>
      <w:r w:rsidRPr="007344EA">
        <w:rPr>
          <w:lang w:val="en-US"/>
        </w:rPr>
        <w:t xml:space="preserve">24. </w:t>
      </w:r>
    </w:p>
  </w:footnote>
  <w:footnote w:id="242">
    <w:p w:rsidR="00393645" w:rsidRPr="007344EA" w:rsidRDefault="00393645">
      <w:pPr>
        <w:pStyle w:val="FootnoteText"/>
        <w:rPr>
          <w:lang w:val="en-US"/>
        </w:rPr>
      </w:pPr>
      <w:r w:rsidRPr="007344EA">
        <w:rPr>
          <w:rStyle w:val="FootnoteReference"/>
        </w:rPr>
        <w:footnoteRef/>
      </w:r>
      <w:r w:rsidRPr="007344EA">
        <w:t xml:space="preserve"> </w:t>
      </w:r>
      <w:r w:rsidRPr="007344EA">
        <w:rPr>
          <w:i/>
        </w:rPr>
        <w:t>Ibid</w:t>
      </w:r>
      <w:r w:rsidRPr="007344EA">
        <w:t xml:space="preserve">., para. </w:t>
      </w:r>
      <w:r w:rsidRPr="007344EA">
        <w:rPr>
          <w:lang w:val="en-US"/>
        </w:rPr>
        <w:t xml:space="preserve">29. </w:t>
      </w:r>
    </w:p>
  </w:footnote>
  <w:footnote w:id="243">
    <w:p w:rsidR="00393645" w:rsidRPr="007344EA" w:rsidRDefault="00393645" w:rsidP="006C4BD1">
      <w:pPr>
        <w:pStyle w:val="FootnoteText"/>
      </w:pPr>
      <w:r w:rsidRPr="007344EA">
        <w:rPr>
          <w:rStyle w:val="FootnoteReference"/>
        </w:rPr>
        <w:footnoteRef/>
      </w:r>
      <w:r w:rsidRPr="007344EA">
        <w:t xml:space="preserve"> Pvz.: case C-237/02 </w:t>
      </w:r>
      <w:r w:rsidRPr="007344EA">
        <w:rPr>
          <w:bCs/>
          <w:i/>
          <w:lang w:val="de-DE"/>
        </w:rPr>
        <w:t>Freiburger Kommunalbauten GmbH Baugesellschaft &amp; Co. KG</w:t>
      </w:r>
      <w:r w:rsidRPr="007344EA">
        <w:rPr>
          <w:i/>
          <w:lang w:val="de-DE"/>
        </w:rPr>
        <w:t xml:space="preserve"> v</w:t>
      </w:r>
      <w:r w:rsidRPr="007344EA">
        <w:rPr>
          <w:i/>
        </w:rPr>
        <w:t xml:space="preserve"> </w:t>
      </w:r>
      <w:r w:rsidRPr="007344EA">
        <w:rPr>
          <w:bCs/>
          <w:i/>
          <w:lang w:val="de-DE"/>
        </w:rPr>
        <w:t>Ludger Hofstetter,</w:t>
      </w:r>
      <w:r w:rsidRPr="007344EA">
        <w:rPr>
          <w:i/>
          <w:lang w:val="de-DE"/>
        </w:rPr>
        <w:t xml:space="preserve"> </w:t>
      </w:r>
      <w:r w:rsidRPr="007344EA">
        <w:rPr>
          <w:bCs/>
          <w:i/>
          <w:lang w:val="de-DE"/>
        </w:rPr>
        <w:t xml:space="preserve">Ulrike Hofstetter </w:t>
      </w:r>
      <w:r w:rsidRPr="007344EA">
        <w:rPr>
          <w:bCs/>
          <w:lang w:val="de-DE"/>
        </w:rPr>
        <w:t>[2004] ECR I-</w:t>
      </w:r>
      <w:r w:rsidRPr="007344EA">
        <w:t>03403, para. 22.</w:t>
      </w:r>
    </w:p>
  </w:footnote>
  <w:footnote w:id="244">
    <w:p w:rsidR="00393645" w:rsidRPr="007344EA" w:rsidRDefault="00393645">
      <w:pPr>
        <w:pStyle w:val="FootnoteText"/>
        <w:rPr>
          <w:lang w:val="en-US"/>
        </w:rPr>
      </w:pPr>
      <w:r w:rsidRPr="007344EA">
        <w:rPr>
          <w:rStyle w:val="FootnoteReference"/>
        </w:rPr>
        <w:footnoteRef/>
      </w:r>
      <w:r w:rsidRPr="007344EA">
        <w:t xml:space="preserve"> Nors ir doktrinoje teigiama, kad „savo teisine prigimtini ieškinio senatis yra mišrus teisės institutas &lt;...&gt;. Mišrus ieškinio senatį reglamentuojančių teisės normų turinys skirtingose valstybėse lėmė šio instituto prisiskirima skirtingoms teisės šakoms- materialinei arba proceso teisei.“ Žr.: </w:t>
      </w:r>
      <w:r w:rsidRPr="007344EA">
        <w:rPr>
          <w:lang w:val="en-US"/>
        </w:rPr>
        <w:t>A. Driukas</w:t>
      </w:r>
      <w:r w:rsidRPr="007344EA">
        <w:t xml:space="preserve"> </w:t>
      </w:r>
      <w:r w:rsidRPr="007344EA">
        <w:rPr>
          <w:lang w:val="en-US"/>
        </w:rPr>
        <w:t xml:space="preserve">Ieškinio senaties instituto raida </w:t>
      </w:r>
      <w:r w:rsidRPr="007344EA">
        <w:t>Lietuvoje: materialiai ir procesiniai teisiniai aspektai.</w:t>
      </w:r>
      <w:r w:rsidRPr="007344EA">
        <w:rPr>
          <w:i/>
        </w:rPr>
        <w:t xml:space="preserve"> Jurisprudencija</w:t>
      </w:r>
      <w:r w:rsidRPr="007344EA">
        <w:t xml:space="preserve">, 2003. </w:t>
      </w:r>
      <w:r w:rsidRPr="007344EA">
        <w:rPr>
          <w:lang w:val="en-US"/>
        </w:rPr>
        <w:t>39(31), p</w:t>
      </w:r>
      <w:r w:rsidRPr="007344EA">
        <w:t>. 9</w:t>
      </w:r>
      <w:r w:rsidRPr="007344EA">
        <w:rPr>
          <w:lang w:val="en-US"/>
        </w:rPr>
        <w:t xml:space="preserve">1. </w:t>
      </w:r>
    </w:p>
  </w:footnote>
  <w:footnote w:id="245">
    <w:p w:rsidR="00393645" w:rsidRPr="007344EA" w:rsidRDefault="00393645">
      <w:pPr>
        <w:pStyle w:val="FootnoteText"/>
        <w:rPr>
          <w:lang w:val="en-US"/>
        </w:rPr>
      </w:pPr>
      <w:r w:rsidRPr="007344EA">
        <w:rPr>
          <w:rStyle w:val="FootnoteReference"/>
        </w:rPr>
        <w:footnoteRef/>
      </w:r>
      <w:r w:rsidRPr="007344EA">
        <w:t>Byla</w:t>
      </w:r>
      <w:r w:rsidRPr="007344EA">
        <w:rPr>
          <w:lang w:val="pt-PT"/>
        </w:rPr>
        <w:t xml:space="preserve"> C</w:t>
      </w:r>
      <w:r w:rsidRPr="007344EA">
        <w:rPr>
          <w:lang w:val="pt-PT"/>
        </w:rPr>
        <w:noBreakHyphen/>
        <w:t xml:space="preserve">168/05 </w:t>
      </w:r>
      <w:r w:rsidRPr="007344EA">
        <w:rPr>
          <w:bCs/>
          <w:i/>
          <w:lang w:val="pt-PT"/>
        </w:rPr>
        <w:t xml:space="preserve">Elisa María Mostaza Claro </w:t>
      </w:r>
      <w:r w:rsidRPr="007344EA">
        <w:rPr>
          <w:i/>
          <w:lang w:val="pt-PT"/>
        </w:rPr>
        <w:t xml:space="preserve">prieš </w:t>
      </w:r>
      <w:r w:rsidRPr="007344EA">
        <w:rPr>
          <w:bCs/>
          <w:i/>
          <w:lang w:val="pt-PT"/>
        </w:rPr>
        <w:t xml:space="preserve">Centro Móvil Milenium SL </w:t>
      </w:r>
      <w:r w:rsidRPr="007344EA">
        <w:rPr>
          <w:bCs/>
          <w:lang w:val="pt-PT"/>
        </w:rPr>
        <w:t>[2006] ETA I-</w:t>
      </w:r>
      <w:r w:rsidRPr="007344EA">
        <w:t xml:space="preserve">10421, para. </w:t>
      </w:r>
      <w:r w:rsidRPr="007344EA">
        <w:rPr>
          <w:lang w:val="en-US"/>
        </w:rPr>
        <w:t xml:space="preserve">40. </w:t>
      </w:r>
    </w:p>
  </w:footnote>
  <w:footnote w:id="246">
    <w:p w:rsidR="00393645" w:rsidRPr="007344EA" w:rsidRDefault="00393645">
      <w:pPr>
        <w:pStyle w:val="FootnoteText"/>
        <w:rPr>
          <w:lang w:val="en-US"/>
        </w:rPr>
      </w:pPr>
      <w:r w:rsidRPr="007344EA">
        <w:rPr>
          <w:rStyle w:val="FootnoteReference"/>
        </w:rPr>
        <w:footnoteRef/>
      </w:r>
      <w:r w:rsidRPr="007344EA">
        <w:t xml:space="preserve"> Byla</w:t>
      </w:r>
      <w:r w:rsidRPr="007344EA">
        <w:rPr>
          <w:lang w:val="pt-PT"/>
        </w:rPr>
        <w:t xml:space="preserve"> C</w:t>
      </w:r>
      <w:r w:rsidRPr="007344EA">
        <w:rPr>
          <w:lang w:val="pt-PT"/>
        </w:rPr>
        <w:noBreakHyphen/>
        <w:t xml:space="preserve">40/08 </w:t>
      </w:r>
      <w:r w:rsidRPr="007344EA">
        <w:rPr>
          <w:bCs/>
          <w:i/>
          <w:lang w:val="pt-PT"/>
        </w:rPr>
        <w:t xml:space="preserve">Asturcom Telecomunicaciones SL </w:t>
      </w:r>
      <w:r w:rsidRPr="007344EA">
        <w:rPr>
          <w:i/>
          <w:lang w:val="pt-PT"/>
        </w:rPr>
        <w:t xml:space="preserve">prieš </w:t>
      </w:r>
      <w:r w:rsidRPr="007344EA">
        <w:rPr>
          <w:bCs/>
          <w:i/>
          <w:lang w:val="pt-PT"/>
        </w:rPr>
        <w:t>Cristina Rodríguez Nogueira</w:t>
      </w:r>
      <w:r w:rsidRPr="007344EA">
        <w:rPr>
          <w:bCs/>
          <w:i/>
        </w:rPr>
        <w:t xml:space="preserve"> </w:t>
      </w:r>
      <w:r w:rsidRPr="007344EA">
        <w:rPr>
          <w:bCs/>
        </w:rPr>
        <w:t>[</w:t>
      </w:r>
      <w:r w:rsidRPr="007344EA">
        <w:rPr>
          <w:bCs/>
          <w:lang w:val="en-US"/>
        </w:rPr>
        <w:t>2009] ETA I-</w:t>
      </w:r>
      <w:r w:rsidRPr="007344EA">
        <w:t xml:space="preserve">09579, para. </w:t>
      </w:r>
      <w:r w:rsidRPr="007344EA">
        <w:rPr>
          <w:lang w:val="en-US"/>
        </w:rPr>
        <w:t xml:space="preserve">59. </w:t>
      </w:r>
    </w:p>
  </w:footnote>
  <w:footnote w:id="247">
    <w:p w:rsidR="00393645" w:rsidRPr="007344EA" w:rsidRDefault="00393645">
      <w:pPr>
        <w:pStyle w:val="FootnoteText"/>
        <w:rPr>
          <w:lang w:val="en-US"/>
        </w:rPr>
      </w:pPr>
      <w:r w:rsidRPr="007344EA">
        <w:rPr>
          <w:rStyle w:val="FootnoteReference"/>
        </w:rPr>
        <w:footnoteRef/>
      </w:r>
      <w:r w:rsidRPr="007344EA">
        <w:t xml:space="preserve"> Mak C. Judgement of the Court (First Chamber) of 6 October 2009, </w:t>
      </w:r>
      <w:r w:rsidRPr="007344EA">
        <w:rPr>
          <w:bCs/>
          <w:i/>
        </w:rPr>
        <w:t xml:space="preserve">Asturcom Telecomunicaciones SL </w:t>
      </w:r>
      <w:r w:rsidRPr="007344EA">
        <w:rPr>
          <w:i/>
        </w:rPr>
        <w:t xml:space="preserve">v </w:t>
      </w:r>
      <w:r w:rsidRPr="007344EA">
        <w:rPr>
          <w:bCs/>
          <w:i/>
        </w:rPr>
        <w:t>Cristina Rodríguez Nogueira, case</w:t>
      </w:r>
      <w:r w:rsidRPr="007344EA">
        <w:t xml:space="preserve"> </w:t>
      </w:r>
      <w:r w:rsidRPr="007344EA">
        <w:rPr>
          <w:i/>
        </w:rPr>
        <w:t>C</w:t>
      </w:r>
      <w:r w:rsidRPr="007344EA">
        <w:rPr>
          <w:i/>
        </w:rPr>
        <w:noBreakHyphen/>
        <w:t>40/08</w:t>
      </w:r>
      <w:r w:rsidRPr="007344EA">
        <w:t xml:space="preserve">. European Review of Contract Law Volume 6 (Issue4) </w:t>
      </w:r>
      <w:r w:rsidRPr="007344EA">
        <w:rPr>
          <w:lang w:val="en-US"/>
        </w:rPr>
        <w:t>2010, p. 438.</w:t>
      </w:r>
    </w:p>
  </w:footnote>
  <w:footnote w:id="248">
    <w:p w:rsidR="00393645" w:rsidRPr="007344EA" w:rsidRDefault="00393645">
      <w:pPr>
        <w:pStyle w:val="FootnoteText"/>
        <w:rPr>
          <w:lang w:val="en-US"/>
        </w:rPr>
      </w:pPr>
      <w:r w:rsidRPr="007344EA">
        <w:rPr>
          <w:rStyle w:val="FootnoteReference"/>
        </w:rPr>
        <w:footnoteRef/>
      </w:r>
      <w:r w:rsidRPr="007344EA">
        <w:t xml:space="preserve"> Byla C</w:t>
      </w:r>
      <w:r w:rsidRPr="007344EA">
        <w:noBreakHyphen/>
        <w:t xml:space="preserve">40/08 </w:t>
      </w:r>
      <w:r w:rsidRPr="007344EA">
        <w:rPr>
          <w:bCs/>
          <w:i/>
        </w:rPr>
        <w:t xml:space="preserve">Asturcom Telecomunicaciones SL </w:t>
      </w:r>
      <w:r w:rsidRPr="007344EA">
        <w:rPr>
          <w:i/>
        </w:rPr>
        <w:t xml:space="preserve">prieš </w:t>
      </w:r>
      <w:r w:rsidRPr="007344EA">
        <w:rPr>
          <w:bCs/>
          <w:i/>
        </w:rPr>
        <w:t xml:space="preserve">Cristina Rodríguez Nogueira </w:t>
      </w:r>
      <w:r w:rsidRPr="007344EA">
        <w:rPr>
          <w:bCs/>
        </w:rPr>
        <w:t>[2009] ETA I-</w:t>
      </w:r>
      <w:r w:rsidRPr="007344EA">
        <w:t xml:space="preserve">09579, para. </w:t>
      </w:r>
      <w:r w:rsidRPr="007344EA">
        <w:rPr>
          <w:lang w:val="en-US"/>
        </w:rPr>
        <w:t xml:space="preserve">59. </w:t>
      </w:r>
    </w:p>
  </w:footnote>
  <w:footnote w:id="249">
    <w:p w:rsidR="00393645" w:rsidRPr="007344EA" w:rsidRDefault="00393645">
      <w:pPr>
        <w:pStyle w:val="FootnoteText"/>
        <w:rPr>
          <w:lang w:val="en-US"/>
        </w:rPr>
      </w:pPr>
      <w:r w:rsidRPr="007344EA">
        <w:rPr>
          <w:rStyle w:val="FootnoteReference"/>
        </w:rPr>
        <w:footnoteRef/>
      </w:r>
      <w:r w:rsidRPr="007344EA">
        <w:t xml:space="preserve"> </w:t>
      </w:r>
      <w:r w:rsidRPr="007344EA">
        <w:rPr>
          <w:i/>
        </w:rPr>
        <w:t>Ibid.,</w:t>
      </w:r>
      <w:r w:rsidRPr="007344EA">
        <w:t xml:space="preserve"> para. </w:t>
      </w:r>
      <w:r w:rsidRPr="007344EA">
        <w:rPr>
          <w:lang w:val="en-US"/>
        </w:rPr>
        <w:t xml:space="preserve">37. </w:t>
      </w:r>
    </w:p>
  </w:footnote>
  <w:footnote w:id="250">
    <w:p w:rsidR="00393645" w:rsidRPr="007344EA" w:rsidRDefault="00393645">
      <w:pPr>
        <w:pStyle w:val="FootnoteText"/>
      </w:pPr>
      <w:r w:rsidRPr="007344EA">
        <w:rPr>
          <w:rStyle w:val="FootnoteReference"/>
        </w:rPr>
        <w:footnoteRef/>
      </w:r>
      <w:r w:rsidRPr="007344EA">
        <w:t xml:space="preserve"> Mak C. Judgement of the Court (First Chamber) of 6 October 2009, </w:t>
      </w:r>
      <w:r w:rsidRPr="007344EA">
        <w:rPr>
          <w:bCs/>
          <w:i/>
        </w:rPr>
        <w:t xml:space="preserve">Asturcom Telecomunicaciones SL </w:t>
      </w:r>
      <w:r w:rsidRPr="007344EA">
        <w:rPr>
          <w:i/>
        </w:rPr>
        <w:t xml:space="preserve">v </w:t>
      </w:r>
      <w:r w:rsidRPr="007344EA">
        <w:rPr>
          <w:bCs/>
          <w:i/>
        </w:rPr>
        <w:t>Cristina Rodríguez Nogueira, case</w:t>
      </w:r>
      <w:r w:rsidRPr="007344EA">
        <w:t xml:space="preserve"> </w:t>
      </w:r>
      <w:r w:rsidRPr="007344EA">
        <w:rPr>
          <w:i/>
        </w:rPr>
        <w:t>C</w:t>
      </w:r>
      <w:r w:rsidRPr="007344EA">
        <w:rPr>
          <w:i/>
        </w:rPr>
        <w:noBreakHyphen/>
        <w:t>40/08</w:t>
      </w:r>
      <w:r w:rsidRPr="007344EA">
        <w:t xml:space="preserve">. </w:t>
      </w:r>
      <w:r w:rsidRPr="007344EA">
        <w:rPr>
          <w:i/>
        </w:rPr>
        <w:t>European Review of Contract Law Volume 6 (Issue4)</w:t>
      </w:r>
      <w:r w:rsidRPr="007344EA">
        <w:t xml:space="preserve"> </w:t>
      </w:r>
      <w:r w:rsidRPr="007344EA">
        <w:rPr>
          <w:lang w:val="en-US"/>
        </w:rPr>
        <w:t>2010, p. 448.</w:t>
      </w:r>
    </w:p>
  </w:footnote>
  <w:footnote w:id="251">
    <w:p w:rsidR="00393645" w:rsidRPr="007344EA" w:rsidRDefault="00393645">
      <w:pPr>
        <w:pStyle w:val="FootnoteText"/>
        <w:rPr>
          <w:lang w:val="en-US"/>
        </w:rPr>
      </w:pPr>
      <w:r w:rsidRPr="007344EA">
        <w:rPr>
          <w:rStyle w:val="FootnoteReference"/>
        </w:rPr>
        <w:footnoteRef/>
      </w:r>
      <w:r w:rsidRPr="007344EA">
        <w:t xml:space="preserve"> Cases C-240/98- C-244/98 </w:t>
      </w:r>
      <w:r w:rsidRPr="007344EA">
        <w:rPr>
          <w:i/>
        </w:rPr>
        <w:t xml:space="preserve">Océano Grupo Editorial SA , </w:t>
      </w:r>
      <w:r w:rsidRPr="007344EA">
        <w:rPr>
          <w:bCs/>
          <w:i/>
        </w:rPr>
        <w:t xml:space="preserve">Rocío Murciano Quintero </w:t>
      </w:r>
      <w:r w:rsidRPr="007344EA">
        <w:rPr>
          <w:i/>
        </w:rPr>
        <w:t xml:space="preserve">ir </w:t>
      </w:r>
      <w:r w:rsidRPr="007344EA">
        <w:rPr>
          <w:bCs/>
          <w:i/>
        </w:rPr>
        <w:t xml:space="preserve">Salvat Editores SA </w:t>
      </w:r>
      <w:r w:rsidRPr="007344EA">
        <w:rPr>
          <w:i/>
        </w:rPr>
        <w:t xml:space="preserve">v </w:t>
      </w:r>
      <w:r w:rsidRPr="007344EA">
        <w:rPr>
          <w:bCs/>
          <w:i/>
        </w:rPr>
        <w:t>José M. Sánchez Alcón Prades</w:t>
      </w:r>
      <w:r w:rsidRPr="007344EA">
        <w:rPr>
          <w:i/>
        </w:rPr>
        <w:t xml:space="preserve">, </w:t>
      </w:r>
      <w:r w:rsidRPr="007344EA">
        <w:rPr>
          <w:bCs/>
          <w:i/>
          <w:lang w:val="es-ES"/>
        </w:rPr>
        <w:t>José Luis Copano Badillo</w:t>
      </w:r>
      <w:r w:rsidRPr="007344EA">
        <w:rPr>
          <w:i/>
          <w:lang w:val="es-ES"/>
        </w:rPr>
        <w:t xml:space="preserve"> , </w:t>
      </w:r>
      <w:r w:rsidRPr="007344EA">
        <w:rPr>
          <w:bCs/>
          <w:i/>
        </w:rPr>
        <w:t xml:space="preserve">Mohammed Berroane </w:t>
      </w:r>
      <w:r w:rsidRPr="007344EA">
        <w:rPr>
          <w:i/>
        </w:rPr>
        <w:t xml:space="preserve">, </w:t>
      </w:r>
      <w:r w:rsidRPr="007344EA">
        <w:rPr>
          <w:bCs/>
          <w:i/>
        </w:rPr>
        <w:t xml:space="preserve">Emilio Viñas Feliu </w:t>
      </w:r>
      <w:r w:rsidRPr="007344EA">
        <w:rPr>
          <w:bCs/>
        </w:rPr>
        <w:t>[</w:t>
      </w:r>
      <w:r w:rsidRPr="007344EA">
        <w:t xml:space="preserve">2000] ECR I-04941, para. </w:t>
      </w:r>
      <w:r w:rsidRPr="007344EA">
        <w:rPr>
          <w:lang w:val="en-US"/>
        </w:rPr>
        <w:t xml:space="preserve">33. </w:t>
      </w:r>
    </w:p>
  </w:footnote>
  <w:footnote w:id="252">
    <w:p w:rsidR="00393645" w:rsidRPr="007344EA" w:rsidRDefault="00393645">
      <w:pPr>
        <w:pStyle w:val="FootnoteText"/>
        <w:rPr>
          <w:lang w:val="en-US"/>
        </w:rPr>
      </w:pPr>
      <w:r w:rsidRPr="007344EA">
        <w:rPr>
          <w:rStyle w:val="FootnoteReference"/>
        </w:rPr>
        <w:footnoteRef/>
      </w:r>
      <w:r w:rsidRPr="007344EA">
        <w:t xml:space="preserve"> Byla</w:t>
      </w:r>
      <w:r w:rsidRPr="007344EA">
        <w:rPr>
          <w:lang w:val="pt-PT"/>
        </w:rPr>
        <w:t xml:space="preserve"> C</w:t>
      </w:r>
      <w:r w:rsidRPr="007344EA">
        <w:rPr>
          <w:lang w:val="pt-PT"/>
        </w:rPr>
        <w:noBreakHyphen/>
        <w:t xml:space="preserve">168/05 </w:t>
      </w:r>
      <w:r w:rsidRPr="007344EA">
        <w:rPr>
          <w:bCs/>
          <w:i/>
          <w:lang w:val="pt-PT"/>
        </w:rPr>
        <w:t xml:space="preserve">Elisa María Mostaza Claro </w:t>
      </w:r>
      <w:r w:rsidRPr="007344EA">
        <w:rPr>
          <w:i/>
          <w:lang w:val="pt-PT"/>
        </w:rPr>
        <w:t xml:space="preserve">prieš </w:t>
      </w:r>
      <w:r w:rsidRPr="007344EA">
        <w:rPr>
          <w:bCs/>
          <w:i/>
          <w:lang w:val="pt-PT"/>
        </w:rPr>
        <w:t xml:space="preserve">Centro Móvil Milenium SL </w:t>
      </w:r>
      <w:r w:rsidRPr="007344EA">
        <w:rPr>
          <w:bCs/>
          <w:lang w:val="pt-PT"/>
        </w:rPr>
        <w:t>[2006] ETA I-</w:t>
      </w:r>
      <w:r w:rsidRPr="007344EA">
        <w:t xml:space="preserve">10421, para. </w:t>
      </w:r>
      <w:r w:rsidRPr="007344EA">
        <w:rPr>
          <w:lang w:val="en-US"/>
        </w:rPr>
        <w:t xml:space="preserve">27. </w:t>
      </w:r>
    </w:p>
  </w:footnote>
  <w:footnote w:id="253">
    <w:p w:rsidR="00393645" w:rsidRPr="007344EA" w:rsidRDefault="00393645">
      <w:pPr>
        <w:pStyle w:val="FootnoteText"/>
        <w:rPr>
          <w:lang w:val="en-US"/>
        </w:rPr>
      </w:pPr>
      <w:r w:rsidRPr="007344EA">
        <w:rPr>
          <w:rStyle w:val="FootnoteReference"/>
        </w:rPr>
        <w:footnoteRef/>
      </w:r>
      <w:r w:rsidRPr="007344EA">
        <w:t xml:space="preserve"> Byla </w:t>
      </w:r>
      <w:r w:rsidRPr="007344EA">
        <w:rPr>
          <w:lang w:val="pt-PT"/>
        </w:rPr>
        <w:t xml:space="preserve">C-243/08 </w:t>
      </w:r>
      <w:r w:rsidRPr="007344EA">
        <w:rPr>
          <w:bCs/>
          <w:i/>
          <w:lang w:val="pt-PT"/>
        </w:rPr>
        <w:t xml:space="preserve">Pannon GSM Zrt. </w:t>
      </w:r>
      <w:r w:rsidRPr="007344EA">
        <w:rPr>
          <w:i/>
          <w:lang w:val="pt-PT"/>
        </w:rPr>
        <w:t xml:space="preserve">Prieš </w:t>
      </w:r>
      <w:r w:rsidRPr="007344EA">
        <w:rPr>
          <w:bCs/>
          <w:i/>
          <w:lang w:val="pt-PT"/>
        </w:rPr>
        <w:t>Erzsébet Sustikné</w:t>
      </w:r>
      <w:r w:rsidRPr="007344EA">
        <w:rPr>
          <w:b/>
          <w:bCs/>
          <w:lang w:val="pt-PT"/>
        </w:rPr>
        <w:t xml:space="preserve"> </w:t>
      </w:r>
      <w:r w:rsidRPr="007344EA">
        <w:rPr>
          <w:bCs/>
          <w:i/>
          <w:lang w:val="pt-PT"/>
        </w:rPr>
        <w:t xml:space="preserve">Győrfi </w:t>
      </w:r>
      <w:r w:rsidRPr="007344EA">
        <w:rPr>
          <w:bCs/>
          <w:lang w:val="en-US"/>
        </w:rPr>
        <w:t>[2009] ETA I-</w:t>
      </w:r>
      <w:r w:rsidRPr="007344EA">
        <w:t xml:space="preserve">04713, para. </w:t>
      </w:r>
      <w:r w:rsidRPr="007344EA">
        <w:rPr>
          <w:lang w:val="en-US"/>
        </w:rPr>
        <w:t>32.</w:t>
      </w:r>
    </w:p>
  </w:footnote>
  <w:footnote w:id="254">
    <w:p w:rsidR="00393645" w:rsidRPr="007344EA" w:rsidRDefault="00393645">
      <w:pPr>
        <w:pStyle w:val="FootnoteText"/>
      </w:pPr>
      <w:r w:rsidRPr="007344EA">
        <w:rPr>
          <w:rStyle w:val="FootnoteReference"/>
        </w:rPr>
        <w:footnoteRef/>
      </w:r>
      <w:r w:rsidRPr="007344EA">
        <w:t xml:space="preserve"> </w:t>
      </w:r>
      <w:r w:rsidRPr="007344EA">
        <w:rPr>
          <w:i/>
        </w:rPr>
        <w:t xml:space="preserve">Ibid. </w:t>
      </w:r>
    </w:p>
  </w:footnote>
  <w:footnote w:id="255">
    <w:p w:rsidR="00393645" w:rsidRPr="007344EA" w:rsidRDefault="00393645">
      <w:pPr>
        <w:pStyle w:val="FootnoteText"/>
      </w:pPr>
      <w:r w:rsidRPr="007344EA">
        <w:rPr>
          <w:rStyle w:val="FootnoteReference"/>
        </w:rPr>
        <w:footnoteRef/>
      </w:r>
      <w:r w:rsidRPr="007344EA">
        <w:t xml:space="preserve"> Bublienė D. </w:t>
      </w:r>
      <w:r w:rsidRPr="007344EA">
        <w:rPr>
          <w:i/>
        </w:rPr>
        <w:t>Vartojimo sutarčių nesąžiningų sąlygų kontrolė</w:t>
      </w:r>
      <w:r w:rsidRPr="007344EA">
        <w:t xml:space="preserve">: monografija. Vilnius: Registrų centras, 2009, p. </w:t>
      </w:r>
      <w:r w:rsidRPr="007344EA">
        <w:rPr>
          <w:lang w:val="en-US"/>
        </w:rPr>
        <w:t>143.</w:t>
      </w:r>
    </w:p>
  </w:footnote>
  <w:footnote w:id="256">
    <w:p w:rsidR="00393645" w:rsidRPr="007344EA" w:rsidRDefault="00393645">
      <w:pPr>
        <w:pStyle w:val="FootnoteText"/>
        <w:rPr>
          <w:lang w:val="en-US"/>
        </w:rPr>
      </w:pPr>
      <w:r w:rsidRPr="007344EA">
        <w:rPr>
          <w:rStyle w:val="FootnoteReference"/>
        </w:rPr>
        <w:footnoteRef/>
      </w:r>
      <w:r w:rsidRPr="007344EA">
        <w:t xml:space="preserve"> Byla </w:t>
      </w:r>
      <w:r w:rsidRPr="007344EA">
        <w:rPr>
          <w:lang w:val="pt-PT"/>
        </w:rPr>
        <w:t xml:space="preserve">C-243/08 </w:t>
      </w:r>
      <w:r w:rsidRPr="007344EA">
        <w:rPr>
          <w:bCs/>
          <w:i/>
          <w:lang w:val="pt-PT"/>
        </w:rPr>
        <w:t xml:space="preserve">Pannon GSM Zrt. </w:t>
      </w:r>
      <w:r w:rsidRPr="007344EA">
        <w:rPr>
          <w:i/>
          <w:lang w:val="pt-PT"/>
        </w:rPr>
        <w:t xml:space="preserve">Prieš </w:t>
      </w:r>
      <w:r w:rsidRPr="007344EA">
        <w:rPr>
          <w:bCs/>
          <w:i/>
          <w:lang w:val="pt-PT"/>
        </w:rPr>
        <w:t>Erzsébet Sustikné</w:t>
      </w:r>
      <w:r w:rsidRPr="007344EA">
        <w:rPr>
          <w:b/>
          <w:bCs/>
          <w:lang w:val="pt-PT"/>
        </w:rPr>
        <w:t xml:space="preserve"> </w:t>
      </w:r>
      <w:r w:rsidRPr="007344EA">
        <w:rPr>
          <w:bCs/>
          <w:i/>
          <w:lang w:val="pt-PT"/>
        </w:rPr>
        <w:t xml:space="preserve">Győrfi </w:t>
      </w:r>
      <w:r w:rsidRPr="007344EA">
        <w:rPr>
          <w:bCs/>
          <w:lang w:val="en-US"/>
        </w:rPr>
        <w:t>[2009] ETA I-</w:t>
      </w:r>
      <w:r w:rsidRPr="007344EA">
        <w:t xml:space="preserve">04713, para </w:t>
      </w:r>
      <w:r w:rsidRPr="007344EA">
        <w:rPr>
          <w:lang w:val="en-US"/>
        </w:rPr>
        <w:t xml:space="preserve">33. </w:t>
      </w:r>
    </w:p>
  </w:footnote>
  <w:footnote w:id="257">
    <w:p w:rsidR="00393645" w:rsidRPr="007344EA" w:rsidRDefault="00393645">
      <w:pPr>
        <w:pStyle w:val="FootnoteText"/>
        <w:rPr>
          <w:lang w:val="en-US"/>
        </w:rPr>
      </w:pPr>
      <w:r w:rsidRPr="007344EA">
        <w:rPr>
          <w:rStyle w:val="FootnoteReference"/>
        </w:rPr>
        <w:footnoteRef/>
      </w:r>
      <w:r w:rsidRPr="007344EA">
        <w:t xml:space="preserve"> Stuyck J. Case  C-243/08 </w:t>
      </w:r>
      <w:r w:rsidRPr="007344EA">
        <w:rPr>
          <w:bCs/>
          <w:i/>
        </w:rPr>
        <w:t>Pannon GSM Zrt. v</w:t>
      </w:r>
      <w:r w:rsidRPr="007344EA">
        <w:rPr>
          <w:i/>
        </w:rPr>
        <w:t xml:space="preserve">. </w:t>
      </w:r>
      <w:r w:rsidRPr="007344EA">
        <w:rPr>
          <w:bCs/>
          <w:i/>
        </w:rPr>
        <w:t>Erzsébet Sustikné</w:t>
      </w:r>
      <w:r w:rsidRPr="007344EA">
        <w:rPr>
          <w:b/>
          <w:bCs/>
        </w:rPr>
        <w:t xml:space="preserve"> </w:t>
      </w:r>
      <w:r w:rsidRPr="007344EA">
        <w:rPr>
          <w:bCs/>
          <w:i/>
        </w:rPr>
        <w:t xml:space="preserve">Győrfi, </w:t>
      </w:r>
      <w:r w:rsidRPr="007344EA">
        <w:rPr>
          <w:bCs/>
        </w:rPr>
        <w:t xml:space="preserve">Judgement of the Court (Fourth Chamber) of </w:t>
      </w:r>
      <w:r w:rsidRPr="007344EA">
        <w:rPr>
          <w:bCs/>
          <w:lang w:val="en-US"/>
        </w:rPr>
        <w:t xml:space="preserve">4 June 2009, not yet reported and Case </w:t>
      </w:r>
      <w:r w:rsidRPr="007344EA">
        <w:noBreakHyphen/>
        <w:t xml:space="preserve">40/08 </w:t>
      </w:r>
      <w:r w:rsidRPr="007344EA">
        <w:rPr>
          <w:bCs/>
          <w:i/>
        </w:rPr>
        <w:t xml:space="preserve">Asturcom Telecomunicaciones SL </w:t>
      </w:r>
      <w:r w:rsidRPr="007344EA">
        <w:rPr>
          <w:i/>
        </w:rPr>
        <w:t xml:space="preserve">v </w:t>
      </w:r>
      <w:r w:rsidRPr="007344EA">
        <w:rPr>
          <w:bCs/>
          <w:i/>
        </w:rPr>
        <w:t xml:space="preserve">Cristina Rodríguez Nogueira, </w:t>
      </w:r>
      <w:r w:rsidRPr="007344EA">
        <w:rPr>
          <w:bCs/>
        </w:rPr>
        <w:t xml:space="preserve">judgement of the Court (First Chamber) of 6 October 2009, not yet reperted. </w:t>
      </w:r>
      <w:r w:rsidRPr="007344EA">
        <w:rPr>
          <w:bCs/>
          <w:i/>
        </w:rPr>
        <w:t xml:space="preserve">Commom market law review 47, </w:t>
      </w:r>
      <w:r w:rsidRPr="007344EA">
        <w:rPr>
          <w:bCs/>
          <w:lang w:val="en-US"/>
        </w:rPr>
        <w:t xml:space="preserve">2010, </w:t>
      </w:r>
      <w:r w:rsidRPr="007344EA">
        <w:rPr>
          <w:lang w:val="en-US"/>
        </w:rPr>
        <w:t xml:space="preserve">p. 879. </w:t>
      </w:r>
    </w:p>
  </w:footnote>
  <w:footnote w:id="258">
    <w:p w:rsidR="00393645" w:rsidRPr="007344EA" w:rsidRDefault="00393645">
      <w:pPr>
        <w:pStyle w:val="FootnoteText"/>
        <w:rPr>
          <w:lang w:val="en-US"/>
        </w:rPr>
      </w:pPr>
      <w:r w:rsidRPr="007344EA">
        <w:rPr>
          <w:rStyle w:val="FootnoteReference"/>
        </w:rPr>
        <w:footnoteRef/>
      </w:r>
      <w:r w:rsidRPr="007344EA">
        <w:t xml:space="preserve"> </w:t>
      </w:r>
      <w:r w:rsidRPr="007344EA">
        <w:rPr>
          <w:i/>
        </w:rPr>
        <w:t>Ibid.</w:t>
      </w:r>
    </w:p>
  </w:footnote>
  <w:footnote w:id="259">
    <w:p w:rsidR="00393645" w:rsidRPr="007344EA" w:rsidRDefault="00393645">
      <w:pPr>
        <w:pStyle w:val="FootnoteText"/>
      </w:pPr>
      <w:r w:rsidRPr="007344EA">
        <w:rPr>
          <w:rStyle w:val="FootnoteReference"/>
        </w:rPr>
        <w:footnoteRef/>
      </w:r>
      <w:r w:rsidRPr="007344EA">
        <w:t xml:space="preserve"> Motyvuota nutartis, o ne sprendimas priimta tuo pagrindu, kad į nacionalinio teismo užduotus prejudicinius klausimus galima remiantis ankstesne teismo praktika. </w:t>
      </w:r>
    </w:p>
  </w:footnote>
  <w:footnote w:id="260">
    <w:p w:rsidR="00393645" w:rsidRPr="00D1341A" w:rsidRDefault="00393645">
      <w:pPr>
        <w:pStyle w:val="FootnoteText"/>
        <w:rPr>
          <w:lang w:val="en-US"/>
        </w:rPr>
      </w:pPr>
      <w:r>
        <w:rPr>
          <w:rStyle w:val="FootnoteReference"/>
        </w:rPr>
        <w:footnoteRef/>
      </w:r>
      <w:r>
        <w:t xml:space="preserve"> </w:t>
      </w:r>
      <w:r w:rsidRPr="00D1341A">
        <w:t>Tarybos 1987 m. gruodžio</w:t>
      </w:r>
      <w:r w:rsidRPr="00D1341A">
        <w:rPr>
          <w:lang w:val="en-US"/>
        </w:rPr>
        <w:t xml:space="preserve"> 22 d.</w:t>
      </w:r>
      <w:r w:rsidRPr="00D1341A">
        <w:t xml:space="preserve"> Direktyva 87/102/EEB dėl valstybių narių įstatymų ir kitų teisės aktų, susijusiu su vartojimo kreditu, suderinimo. [1987] OL L 42.</w:t>
      </w:r>
    </w:p>
  </w:footnote>
  <w:footnote w:id="261">
    <w:p w:rsidR="00393645" w:rsidRPr="007344EA" w:rsidRDefault="00393645">
      <w:pPr>
        <w:pStyle w:val="FootnoteText"/>
        <w:rPr>
          <w:lang w:val="en-US"/>
        </w:rPr>
      </w:pPr>
      <w:r w:rsidRPr="007344EA">
        <w:rPr>
          <w:rStyle w:val="FootnoteReference"/>
        </w:rPr>
        <w:footnoteRef/>
      </w:r>
      <w:r w:rsidRPr="007344EA">
        <w:t xml:space="preserve"> Byla C-137/08 </w:t>
      </w:r>
      <w:r w:rsidRPr="007344EA">
        <w:rPr>
          <w:bCs/>
          <w:i/>
          <w:lang w:val="pt-PT"/>
        </w:rPr>
        <w:t xml:space="preserve">VB Pénzügyi Lízing Zrt. </w:t>
      </w:r>
      <w:r w:rsidRPr="007344EA">
        <w:rPr>
          <w:i/>
          <w:lang w:val="pt-PT"/>
        </w:rPr>
        <w:t xml:space="preserve">Prieš </w:t>
      </w:r>
      <w:r w:rsidRPr="007344EA">
        <w:rPr>
          <w:bCs/>
          <w:i/>
          <w:lang w:val="pt-PT"/>
        </w:rPr>
        <w:t>Ferenc  Fchneider</w:t>
      </w:r>
      <w:r w:rsidRPr="007344EA">
        <w:rPr>
          <w:bCs/>
          <w:lang w:val="pt-PT"/>
        </w:rPr>
        <w:t xml:space="preserve"> [2010] ETA I-</w:t>
      </w:r>
      <w:r w:rsidRPr="007344EA">
        <w:t xml:space="preserve">10847, para. </w:t>
      </w:r>
      <w:r w:rsidRPr="007344EA">
        <w:rPr>
          <w:lang w:val="en-US"/>
        </w:rPr>
        <w:t xml:space="preserve">25. </w:t>
      </w:r>
    </w:p>
  </w:footnote>
  <w:footnote w:id="262">
    <w:p w:rsidR="00393645" w:rsidRPr="007344EA" w:rsidRDefault="00393645">
      <w:pPr>
        <w:pStyle w:val="FootnoteText"/>
      </w:pPr>
      <w:r w:rsidRPr="007344EA">
        <w:rPr>
          <w:rStyle w:val="FootnoteReference"/>
        </w:rPr>
        <w:footnoteRef/>
      </w:r>
      <w:r w:rsidRPr="007344EA">
        <w:t xml:space="preserve"> Byla </w:t>
      </w:r>
      <w:r w:rsidRPr="007344EA">
        <w:rPr>
          <w:lang w:val="pt-PT"/>
        </w:rPr>
        <w:t xml:space="preserve">C-243/08 </w:t>
      </w:r>
      <w:r w:rsidRPr="007344EA">
        <w:rPr>
          <w:bCs/>
          <w:i/>
          <w:lang w:val="pt-PT"/>
        </w:rPr>
        <w:t xml:space="preserve">Pannon GSM Zrt. </w:t>
      </w:r>
      <w:r w:rsidRPr="007344EA">
        <w:rPr>
          <w:i/>
          <w:lang w:val="pt-PT"/>
        </w:rPr>
        <w:t xml:space="preserve">Prieš </w:t>
      </w:r>
      <w:r w:rsidRPr="007344EA">
        <w:rPr>
          <w:bCs/>
          <w:i/>
          <w:lang w:val="pt-PT"/>
        </w:rPr>
        <w:t>Erzsébet Sustikné</w:t>
      </w:r>
      <w:r w:rsidRPr="007344EA">
        <w:rPr>
          <w:b/>
          <w:bCs/>
          <w:lang w:val="pt-PT"/>
        </w:rPr>
        <w:t xml:space="preserve"> </w:t>
      </w:r>
      <w:r w:rsidRPr="007344EA">
        <w:rPr>
          <w:bCs/>
          <w:i/>
          <w:lang w:val="pt-PT"/>
        </w:rPr>
        <w:t xml:space="preserve">Győrfi </w:t>
      </w:r>
      <w:r w:rsidRPr="007344EA">
        <w:rPr>
          <w:bCs/>
          <w:lang w:val="en-US"/>
        </w:rPr>
        <w:t>[2009] ETA I-</w:t>
      </w:r>
      <w:r w:rsidRPr="007344EA">
        <w:t xml:space="preserve">04713, para. 32. </w:t>
      </w:r>
    </w:p>
  </w:footnote>
  <w:footnote w:id="263">
    <w:p w:rsidR="00393645" w:rsidRPr="007344EA" w:rsidRDefault="00393645">
      <w:pPr>
        <w:pStyle w:val="FootnoteText"/>
        <w:rPr>
          <w:lang w:val="en-US"/>
        </w:rPr>
      </w:pPr>
      <w:r w:rsidRPr="007344EA">
        <w:rPr>
          <w:rStyle w:val="FootnoteReference"/>
        </w:rPr>
        <w:footnoteRef/>
      </w:r>
      <w:r w:rsidRPr="007344EA">
        <w:t xml:space="preserve"> Byla C-137/08 </w:t>
      </w:r>
      <w:r w:rsidRPr="007344EA">
        <w:rPr>
          <w:bCs/>
          <w:i/>
          <w:lang w:val="pt-PT"/>
        </w:rPr>
        <w:t xml:space="preserve">VB Pénzügyi Lízing Zrt. </w:t>
      </w:r>
      <w:r w:rsidRPr="007344EA">
        <w:rPr>
          <w:i/>
          <w:lang w:val="pt-PT"/>
        </w:rPr>
        <w:t xml:space="preserve">Prieš </w:t>
      </w:r>
      <w:r w:rsidRPr="007344EA">
        <w:rPr>
          <w:bCs/>
          <w:i/>
          <w:lang w:val="pt-PT"/>
        </w:rPr>
        <w:t>Ferenc  Fchneider</w:t>
      </w:r>
      <w:r w:rsidRPr="007344EA">
        <w:rPr>
          <w:bCs/>
          <w:lang w:val="pt-PT"/>
        </w:rPr>
        <w:t xml:space="preserve"> [2010] ETA I-</w:t>
      </w:r>
      <w:r w:rsidRPr="007344EA">
        <w:t xml:space="preserve">10847, para. </w:t>
      </w:r>
      <w:r w:rsidRPr="007344EA">
        <w:rPr>
          <w:lang w:val="en-US"/>
        </w:rPr>
        <w:t xml:space="preserve">50. </w:t>
      </w:r>
    </w:p>
  </w:footnote>
  <w:footnote w:id="264">
    <w:p w:rsidR="00393645" w:rsidRPr="007344EA" w:rsidRDefault="00393645">
      <w:pPr>
        <w:pStyle w:val="FootnoteText"/>
        <w:rPr>
          <w:lang w:val="en-US"/>
        </w:rPr>
      </w:pPr>
      <w:r w:rsidRPr="007344EA">
        <w:rPr>
          <w:rStyle w:val="FootnoteReference"/>
        </w:rPr>
        <w:footnoteRef/>
      </w:r>
      <w:r w:rsidRPr="007344EA">
        <w:t xml:space="preserve"> </w:t>
      </w:r>
      <w:r w:rsidRPr="007344EA">
        <w:rPr>
          <w:i/>
        </w:rPr>
        <w:t>Ibid.</w:t>
      </w:r>
      <w:r w:rsidRPr="007344EA">
        <w:t xml:space="preserve">, para. </w:t>
      </w:r>
      <w:r w:rsidRPr="007344EA">
        <w:rPr>
          <w:lang w:val="en-US"/>
        </w:rPr>
        <w:t xml:space="preserve">53. </w:t>
      </w:r>
    </w:p>
  </w:footnote>
  <w:footnote w:id="265">
    <w:p w:rsidR="00393645" w:rsidRPr="007344EA" w:rsidRDefault="00393645">
      <w:pPr>
        <w:pStyle w:val="FootnoteText"/>
        <w:rPr>
          <w:lang w:val="en-US"/>
        </w:rPr>
      </w:pPr>
      <w:r w:rsidRPr="007344EA">
        <w:rPr>
          <w:rStyle w:val="FootnoteReference"/>
        </w:rPr>
        <w:footnoteRef/>
      </w:r>
      <w:r w:rsidRPr="007344EA">
        <w:t xml:space="preserve"> </w:t>
      </w:r>
      <w:r w:rsidRPr="007344EA">
        <w:rPr>
          <w:i/>
        </w:rPr>
        <w:t>Ibid.</w:t>
      </w:r>
      <w:r w:rsidRPr="007344EA">
        <w:t xml:space="preserve">, para. </w:t>
      </w:r>
      <w:r w:rsidRPr="007344EA">
        <w:rPr>
          <w:lang w:val="en-US"/>
        </w:rPr>
        <w:t xml:space="preserve">56. </w:t>
      </w:r>
    </w:p>
  </w:footnote>
  <w:footnote w:id="266">
    <w:p w:rsidR="00393645" w:rsidRPr="007344EA" w:rsidRDefault="00393645">
      <w:pPr>
        <w:pStyle w:val="FootnoteText"/>
        <w:rPr>
          <w:lang w:val="en-US"/>
        </w:rPr>
      </w:pPr>
      <w:r w:rsidRPr="007344EA">
        <w:rPr>
          <w:rStyle w:val="FootnoteReference"/>
        </w:rPr>
        <w:footnoteRef/>
      </w:r>
      <w:r w:rsidRPr="007344EA">
        <w:t xml:space="preserve">Byla C-618/10 </w:t>
      </w:r>
      <w:r w:rsidRPr="007344EA">
        <w:rPr>
          <w:i/>
        </w:rPr>
        <w:t xml:space="preserve">Banco Español de Crédito SA prieš Joaquín Calderón Camino, </w:t>
      </w:r>
      <w:r w:rsidRPr="007344EA">
        <w:t xml:space="preserve">[dar nepaskelbta]para. </w:t>
      </w:r>
      <w:r w:rsidRPr="007344EA">
        <w:rPr>
          <w:lang w:val="en-US"/>
        </w:rPr>
        <w:t xml:space="preserve">55. </w:t>
      </w:r>
    </w:p>
  </w:footnote>
  <w:footnote w:id="267">
    <w:p w:rsidR="00393645" w:rsidRPr="007344EA" w:rsidRDefault="00393645">
      <w:pPr>
        <w:pStyle w:val="FootnoteText"/>
        <w:rPr>
          <w:lang w:val="en-US"/>
        </w:rPr>
      </w:pPr>
      <w:r w:rsidRPr="007344EA">
        <w:rPr>
          <w:rStyle w:val="FootnoteReference"/>
        </w:rPr>
        <w:footnoteRef/>
      </w:r>
      <w:r w:rsidRPr="007344EA">
        <w:t xml:space="preserve"> </w:t>
      </w:r>
      <w:r w:rsidRPr="007344EA">
        <w:rPr>
          <w:i/>
        </w:rPr>
        <w:t>Ibid.,</w:t>
      </w:r>
      <w:r w:rsidRPr="007344EA">
        <w:t xml:space="preserve"> para.  </w:t>
      </w:r>
      <w:r w:rsidRPr="007344EA">
        <w:rPr>
          <w:lang w:val="en-US"/>
        </w:rPr>
        <w:t xml:space="preserve">56. </w:t>
      </w:r>
    </w:p>
  </w:footnote>
  <w:footnote w:id="268">
    <w:p w:rsidR="00393645" w:rsidRPr="007344EA" w:rsidRDefault="00393645">
      <w:pPr>
        <w:pStyle w:val="FootnoteText"/>
        <w:rPr>
          <w:lang w:val="en-US"/>
        </w:rPr>
      </w:pPr>
      <w:r w:rsidRPr="007344EA">
        <w:rPr>
          <w:rStyle w:val="FootnoteReference"/>
        </w:rPr>
        <w:footnoteRef/>
      </w:r>
      <w:r w:rsidRPr="007344EA">
        <w:t xml:space="preserve"> </w:t>
      </w:r>
      <w:r w:rsidRPr="007344EA">
        <w:rPr>
          <w:i/>
        </w:rPr>
        <w:t xml:space="preserve">Ibid., </w:t>
      </w:r>
      <w:r w:rsidRPr="007344EA">
        <w:t xml:space="preserve">para. </w:t>
      </w:r>
      <w:r w:rsidRPr="007344EA">
        <w:rPr>
          <w:lang w:val="en-US"/>
        </w:rPr>
        <w:t xml:space="preserve">65. </w:t>
      </w:r>
    </w:p>
  </w:footnote>
  <w:footnote w:id="269">
    <w:p w:rsidR="00393645" w:rsidRPr="007344EA" w:rsidRDefault="00393645">
      <w:pPr>
        <w:pStyle w:val="FootnoteText"/>
        <w:rPr>
          <w:rFonts w:asciiTheme="minorHAnsi" w:hAnsiTheme="minorHAnsi"/>
        </w:rPr>
      </w:pPr>
      <w:r w:rsidRPr="007344EA">
        <w:rPr>
          <w:rStyle w:val="FootnoteReference"/>
        </w:rPr>
        <w:footnoteRef/>
      </w:r>
      <w:r w:rsidRPr="007344EA">
        <w:t xml:space="preserve"> </w:t>
      </w:r>
      <w:r w:rsidRPr="007344EA">
        <w:rPr>
          <w:rFonts w:asciiTheme="minorHAnsi" w:hAnsiTheme="minorHAnsi" w:cstheme="minorHAnsi"/>
        </w:rPr>
        <w:t>Lazauskaitė R. Atsakomybę ribojančių ir pašalinančių susitarimų aiškinimo ir galiojimo probleminiai aspektaiSocialinių mokslų studijos, 2011, 3(2), p. 6</w:t>
      </w:r>
      <w:r w:rsidRPr="007344EA">
        <w:rPr>
          <w:rFonts w:asciiTheme="minorHAnsi" w:hAnsiTheme="minorHAnsi" w:cstheme="minorHAnsi"/>
          <w:lang w:val="en-US"/>
        </w:rPr>
        <w:t>11.</w:t>
      </w:r>
      <w:r w:rsidRPr="007344EA">
        <w:rPr>
          <w:rFonts w:asciiTheme="minorHAnsi" w:hAnsiTheme="minorHAnsi" w:cs="BaskervilleLT"/>
          <w:sz w:val="16"/>
          <w:szCs w:val="16"/>
        </w:rPr>
        <w:t xml:space="preserve"> </w:t>
      </w:r>
    </w:p>
  </w:footnote>
  <w:footnote w:id="270">
    <w:p w:rsidR="00393645" w:rsidRPr="007344EA" w:rsidRDefault="00393645">
      <w:pPr>
        <w:pStyle w:val="FootnoteText"/>
        <w:rPr>
          <w:lang w:val="en-US"/>
        </w:rPr>
      </w:pPr>
      <w:r w:rsidRPr="007344EA">
        <w:rPr>
          <w:rStyle w:val="FootnoteReference"/>
        </w:rPr>
        <w:footnoteRef/>
      </w:r>
      <w:r w:rsidRPr="007344EA">
        <w:t xml:space="preserve"> Case C-144/99 </w:t>
      </w:r>
      <w:r w:rsidRPr="007344EA">
        <w:rPr>
          <w:i/>
        </w:rPr>
        <w:t xml:space="preserve">Commission of the European Communities v .Kingdom of Netherlands </w:t>
      </w:r>
      <w:r w:rsidRPr="007344EA">
        <w:t>[</w:t>
      </w:r>
      <w:r w:rsidRPr="007344EA">
        <w:rPr>
          <w:lang w:val="en-US"/>
        </w:rPr>
        <w:t>2001]</w:t>
      </w:r>
      <w:r w:rsidRPr="007344EA">
        <w:rPr>
          <w:i/>
        </w:rPr>
        <w:t xml:space="preserve"> </w:t>
      </w:r>
      <w:r w:rsidRPr="007344EA">
        <w:t>I-03541,</w:t>
      </w:r>
      <w:r w:rsidRPr="007344EA">
        <w:rPr>
          <w:lang w:val="en-US"/>
        </w:rPr>
        <w:t xml:space="preserve"> para. 21. </w:t>
      </w:r>
    </w:p>
  </w:footnote>
  <w:footnote w:id="271">
    <w:p w:rsidR="00393645" w:rsidRPr="007344EA" w:rsidRDefault="00393645">
      <w:pPr>
        <w:pStyle w:val="FootnoteText"/>
        <w:rPr>
          <w:lang w:val="en-US"/>
        </w:rPr>
      </w:pPr>
      <w:r w:rsidRPr="007344EA">
        <w:rPr>
          <w:rStyle w:val="FootnoteReference"/>
        </w:rPr>
        <w:footnoteRef/>
      </w:r>
      <w:r w:rsidRPr="007344EA">
        <w:t xml:space="preserve"> Byla C-</w:t>
      </w:r>
      <w:r w:rsidRPr="007344EA">
        <w:rPr>
          <w:lang w:val="de-DE"/>
        </w:rPr>
        <w:t xml:space="preserve">70/03 </w:t>
      </w:r>
      <w:r w:rsidRPr="007344EA">
        <w:rPr>
          <w:i/>
        </w:rPr>
        <w:t xml:space="preserve">Europos Bendrijų Komisija  prieš Ispanijos Karalystę </w:t>
      </w:r>
      <w:r w:rsidRPr="007344EA">
        <w:t xml:space="preserve">[2004] ETA I-07999, para </w:t>
      </w:r>
      <w:r w:rsidRPr="007344EA">
        <w:rPr>
          <w:lang w:val="en-US"/>
        </w:rPr>
        <w:t xml:space="preserve">12. </w:t>
      </w:r>
    </w:p>
  </w:footnote>
  <w:footnote w:id="272">
    <w:p w:rsidR="00393645" w:rsidRPr="007344EA" w:rsidRDefault="00393645">
      <w:pPr>
        <w:pStyle w:val="FootnoteText"/>
        <w:rPr>
          <w:lang w:val="en-US"/>
        </w:rPr>
      </w:pPr>
      <w:r w:rsidRPr="007344EA">
        <w:rPr>
          <w:rStyle w:val="FootnoteReference"/>
        </w:rPr>
        <w:footnoteRef/>
      </w:r>
      <w:r w:rsidRPr="007344EA">
        <w:t xml:space="preserve"> </w:t>
      </w:r>
      <w:r w:rsidRPr="007344EA">
        <w:rPr>
          <w:i/>
        </w:rPr>
        <w:t>Ibid.</w:t>
      </w:r>
      <w:r w:rsidRPr="007344EA">
        <w:t xml:space="preserve">,  para. </w:t>
      </w:r>
      <w:r w:rsidRPr="007344EA">
        <w:rPr>
          <w:lang w:val="en-US"/>
        </w:rPr>
        <w:t xml:space="preserve">17. </w:t>
      </w:r>
    </w:p>
  </w:footnote>
  <w:footnote w:id="273">
    <w:p w:rsidR="00393645" w:rsidRPr="007344EA" w:rsidRDefault="00393645">
      <w:pPr>
        <w:pStyle w:val="FootnoteText"/>
        <w:rPr>
          <w:lang w:val="en-US"/>
        </w:rPr>
      </w:pPr>
      <w:r w:rsidRPr="007344EA">
        <w:rPr>
          <w:rStyle w:val="FootnoteReference"/>
        </w:rPr>
        <w:footnoteRef/>
      </w:r>
      <w:r w:rsidRPr="007344EA">
        <w:t xml:space="preserve"> Case C-372/99 </w:t>
      </w:r>
      <w:r w:rsidRPr="007344EA">
        <w:rPr>
          <w:i/>
        </w:rPr>
        <w:t xml:space="preserve">Commission of the European Communities v Italian Republic </w:t>
      </w:r>
      <w:r w:rsidRPr="007344EA">
        <w:t xml:space="preserve">[2001] ECR I-00819, para. </w:t>
      </w:r>
      <w:r w:rsidRPr="007344EA">
        <w:rPr>
          <w:lang w:val="en-US"/>
        </w:rPr>
        <w:t xml:space="preserve">17. </w:t>
      </w:r>
    </w:p>
  </w:footnote>
  <w:footnote w:id="274">
    <w:p w:rsidR="00393645" w:rsidRPr="007344EA" w:rsidRDefault="00393645">
      <w:pPr>
        <w:pStyle w:val="FootnoteText"/>
        <w:rPr>
          <w:lang w:val="en-US"/>
        </w:rPr>
      </w:pPr>
      <w:r w:rsidRPr="007344EA">
        <w:rPr>
          <w:rStyle w:val="FootnoteReference"/>
        </w:rPr>
        <w:footnoteRef/>
      </w:r>
      <w:r w:rsidRPr="007344EA">
        <w:t xml:space="preserve"> Opinion of Advocate General Alber in Case C-372/99</w:t>
      </w:r>
      <w:r w:rsidRPr="007344EA">
        <w:rPr>
          <w:i/>
        </w:rPr>
        <w:t xml:space="preserve"> Commission of the European Communities v Italian Republic, </w:t>
      </w:r>
      <w:r w:rsidRPr="007344EA">
        <w:t xml:space="preserve">delivered on </w:t>
      </w:r>
      <w:r w:rsidRPr="007344EA">
        <w:rPr>
          <w:lang w:val="en-US"/>
        </w:rPr>
        <w:t xml:space="preserve">20 September 2001, </w:t>
      </w:r>
      <w:r w:rsidRPr="007344EA">
        <w:t xml:space="preserve">para. </w:t>
      </w:r>
      <w:r w:rsidRPr="007344EA">
        <w:rPr>
          <w:lang w:val="en-US"/>
        </w:rPr>
        <w:t xml:space="preserve">30. </w:t>
      </w:r>
    </w:p>
  </w:footnote>
  <w:footnote w:id="275">
    <w:p w:rsidR="00393645" w:rsidRPr="007344EA" w:rsidRDefault="00393645" w:rsidP="00895DAE">
      <w:pPr>
        <w:pStyle w:val="FootnoteText"/>
        <w:jc w:val="both"/>
        <w:rPr>
          <w:bCs/>
        </w:rPr>
      </w:pPr>
      <w:r w:rsidRPr="007344EA">
        <w:rPr>
          <w:rStyle w:val="FootnoteReference"/>
        </w:rPr>
        <w:footnoteRef/>
      </w:r>
      <w:r w:rsidRPr="007344EA">
        <w:t xml:space="preserve"> Byla C</w:t>
      </w:r>
      <w:r w:rsidRPr="007344EA">
        <w:noBreakHyphen/>
        <w:t>472/10</w:t>
      </w:r>
      <w:r w:rsidRPr="007344EA">
        <w:rPr>
          <w:rFonts w:ascii="Times New Roman" w:hAnsi="Times New Roman"/>
          <w:b/>
          <w:bCs/>
          <w:sz w:val="24"/>
          <w:szCs w:val="24"/>
          <w:lang w:eastAsia="en-GB"/>
        </w:rPr>
        <w:t xml:space="preserve"> </w:t>
      </w:r>
      <w:r w:rsidRPr="007344EA">
        <w:rPr>
          <w:bCs/>
          <w:i/>
        </w:rPr>
        <w:t>Nemzeti Fogyasztóvédelmi Hatóság p</w:t>
      </w:r>
      <w:r w:rsidRPr="007344EA">
        <w:rPr>
          <w:i/>
        </w:rPr>
        <w:t xml:space="preserve">rieš </w:t>
      </w:r>
      <w:r w:rsidRPr="007344EA">
        <w:rPr>
          <w:bCs/>
          <w:i/>
        </w:rPr>
        <w:t>Invitel Távközlési ZrtI</w:t>
      </w:r>
      <w:r w:rsidRPr="007344EA">
        <w:rPr>
          <w:bCs/>
        </w:rPr>
        <w:t xml:space="preserve"> [dar nepaskelbta],</w:t>
      </w:r>
      <w:r w:rsidRPr="007344EA">
        <w:t xml:space="preserve"> para. </w:t>
      </w:r>
      <w:r w:rsidRPr="007344EA">
        <w:rPr>
          <w:lang w:val="en-US"/>
        </w:rPr>
        <w:t xml:space="preserve">44. </w:t>
      </w:r>
    </w:p>
  </w:footnote>
  <w:footnote w:id="276">
    <w:p w:rsidR="00393645" w:rsidRPr="007344EA" w:rsidRDefault="00393645">
      <w:pPr>
        <w:pStyle w:val="FootnoteText"/>
        <w:rPr>
          <w:lang w:val="en-US"/>
        </w:rPr>
      </w:pPr>
      <w:r w:rsidRPr="007344EA">
        <w:rPr>
          <w:rStyle w:val="FootnoteReference"/>
        </w:rPr>
        <w:footnoteRef/>
      </w:r>
      <w:r w:rsidRPr="007344EA">
        <w:t xml:space="preserve"> Case C-478/99 </w:t>
      </w:r>
      <w:r w:rsidRPr="007344EA">
        <w:rPr>
          <w:i/>
        </w:rPr>
        <w:t xml:space="preserve">Commission of the European Communities v Kingdom of Sweden </w:t>
      </w:r>
      <w:r w:rsidRPr="007344EA">
        <w:t xml:space="preserve">[2002] ECR 04147, para. </w:t>
      </w:r>
      <w:r w:rsidRPr="007344EA">
        <w:rPr>
          <w:lang w:val="en-US"/>
        </w:rPr>
        <w:t xml:space="preserve">23. </w:t>
      </w:r>
    </w:p>
  </w:footnote>
  <w:footnote w:id="277">
    <w:p w:rsidR="00393645" w:rsidRPr="007344EA" w:rsidRDefault="00393645">
      <w:pPr>
        <w:pStyle w:val="FootnoteText"/>
        <w:rPr>
          <w:lang w:val="en-US"/>
        </w:rPr>
      </w:pPr>
      <w:r w:rsidRPr="007344EA">
        <w:rPr>
          <w:rStyle w:val="FootnoteReference"/>
        </w:rPr>
        <w:footnoteRef/>
      </w:r>
      <w:r w:rsidRPr="007344EA">
        <w:t xml:space="preserve"> Case C-478/99 </w:t>
      </w:r>
      <w:r w:rsidRPr="007344EA">
        <w:rPr>
          <w:i/>
        </w:rPr>
        <w:t xml:space="preserve">Commission of the European Communities v Kingdom of Sweden </w:t>
      </w:r>
      <w:r w:rsidRPr="007344EA">
        <w:t>[2002] ECR 04147, para</w:t>
      </w:r>
      <w:r w:rsidRPr="007344EA">
        <w:rPr>
          <w:i/>
        </w:rPr>
        <w:t>.</w:t>
      </w:r>
      <w:r w:rsidRPr="007344EA">
        <w:t>14.</w:t>
      </w:r>
    </w:p>
  </w:footnote>
  <w:footnote w:id="278">
    <w:p w:rsidR="00393645" w:rsidRPr="007344EA" w:rsidRDefault="00393645">
      <w:pPr>
        <w:pStyle w:val="FootnoteText"/>
        <w:rPr>
          <w:lang w:val="en-US"/>
        </w:rPr>
      </w:pPr>
      <w:r w:rsidRPr="007344EA">
        <w:rPr>
          <w:rStyle w:val="FootnoteReference"/>
        </w:rPr>
        <w:footnoteRef/>
      </w:r>
      <w:r w:rsidRPr="007344EA">
        <w:t xml:space="preserve"> </w:t>
      </w:r>
      <w:r w:rsidRPr="007344EA">
        <w:rPr>
          <w:i/>
        </w:rPr>
        <w:t>Ibid.</w:t>
      </w:r>
      <w:r w:rsidRPr="007344EA">
        <w:t xml:space="preserve">, </w:t>
      </w:r>
      <w:r w:rsidRPr="007344EA">
        <w:rPr>
          <w:lang w:val="en-US"/>
        </w:rPr>
        <w:t xml:space="preserve">para.11. </w:t>
      </w:r>
    </w:p>
  </w:footnote>
  <w:footnote w:id="279">
    <w:p w:rsidR="00393645" w:rsidRPr="002C5FE8" w:rsidRDefault="00393645">
      <w:pPr>
        <w:pStyle w:val="FootnoteText"/>
      </w:pPr>
      <w:r w:rsidRPr="007344EA">
        <w:rPr>
          <w:rStyle w:val="FootnoteReference"/>
        </w:rPr>
        <w:footnoteRef/>
      </w:r>
      <w:r w:rsidRPr="007344EA">
        <w:t xml:space="preserve"> </w:t>
      </w:r>
      <w:r w:rsidRPr="007344EA">
        <w:rPr>
          <w:i/>
        </w:rPr>
        <w:t>Ibid.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529F"/>
    <w:multiLevelType w:val="hybridMultilevel"/>
    <w:tmpl w:val="E7F4048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0F55446"/>
    <w:multiLevelType w:val="hybridMultilevel"/>
    <w:tmpl w:val="32FC48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E0807E7"/>
    <w:multiLevelType w:val="hybridMultilevel"/>
    <w:tmpl w:val="9DF2DC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0913212"/>
    <w:multiLevelType w:val="hybridMultilevel"/>
    <w:tmpl w:val="14229CE8"/>
    <w:lvl w:ilvl="0" w:tplc="04270001">
      <w:start w:val="1"/>
      <w:numFmt w:val="bullet"/>
      <w:lvlText w:val=""/>
      <w:lvlJc w:val="left"/>
      <w:pPr>
        <w:ind w:left="2736" w:hanging="360"/>
      </w:pPr>
      <w:rPr>
        <w:rFonts w:ascii="Symbol" w:hAnsi="Symbol" w:hint="default"/>
      </w:rPr>
    </w:lvl>
    <w:lvl w:ilvl="1" w:tplc="04270003" w:tentative="1">
      <w:start w:val="1"/>
      <w:numFmt w:val="bullet"/>
      <w:lvlText w:val="o"/>
      <w:lvlJc w:val="left"/>
      <w:pPr>
        <w:ind w:left="3456" w:hanging="360"/>
      </w:pPr>
      <w:rPr>
        <w:rFonts w:ascii="Courier New" w:hAnsi="Courier New" w:cs="Courier New" w:hint="default"/>
      </w:rPr>
    </w:lvl>
    <w:lvl w:ilvl="2" w:tplc="04270005" w:tentative="1">
      <w:start w:val="1"/>
      <w:numFmt w:val="bullet"/>
      <w:lvlText w:val=""/>
      <w:lvlJc w:val="left"/>
      <w:pPr>
        <w:ind w:left="4176" w:hanging="360"/>
      </w:pPr>
      <w:rPr>
        <w:rFonts w:ascii="Wingdings" w:hAnsi="Wingdings" w:hint="default"/>
      </w:rPr>
    </w:lvl>
    <w:lvl w:ilvl="3" w:tplc="04270001" w:tentative="1">
      <w:start w:val="1"/>
      <w:numFmt w:val="bullet"/>
      <w:lvlText w:val=""/>
      <w:lvlJc w:val="left"/>
      <w:pPr>
        <w:ind w:left="4896" w:hanging="360"/>
      </w:pPr>
      <w:rPr>
        <w:rFonts w:ascii="Symbol" w:hAnsi="Symbol" w:hint="default"/>
      </w:rPr>
    </w:lvl>
    <w:lvl w:ilvl="4" w:tplc="04270003" w:tentative="1">
      <w:start w:val="1"/>
      <w:numFmt w:val="bullet"/>
      <w:lvlText w:val="o"/>
      <w:lvlJc w:val="left"/>
      <w:pPr>
        <w:ind w:left="5616" w:hanging="360"/>
      </w:pPr>
      <w:rPr>
        <w:rFonts w:ascii="Courier New" w:hAnsi="Courier New" w:cs="Courier New" w:hint="default"/>
      </w:rPr>
    </w:lvl>
    <w:lvl w:ilvl="5" w:tplc="04270005" w:tentative="1">
      <w:start w:val="1"/>
      <w:numFmt w:val="bullet"/>
      <w:lvlText w:val=""/>
      <w:lvlJc w:val="left"/>
      <w:pPr>
        <w:ind w:left="6336" w:hanging="360"/>
      </w:pPr>
      <w:rPr>
        <w:rFonts w:ascii="Wingdings" w:hAnsi="Wingdings" w:hint="default"/>
      </w:rPr>
    </w:lvl>
    <w:lvl w:ilvl="6" w:tplc="04270001" w:tentative="1">
      <w:start w:val="1"/>
      <w:numFmt w:val="bullet"/>
      <w:lvlText w:val=""/>
      <w:lvlJc w:val="left"/>
      <w:pPr>
        <w:ind w:left="7056" w:hanging="360"/>
      </w:pPr>
      <w:rPr>
        <w:rFonts w:ascii="Symbol" w:hAnsi="Symbol" w:hint="default"/>
      </w:rPr>
    </w:lvl>
    <w:lvl w:ilvl="7" w:tplc="04270003" w:tentative="1">
      <w:start w:val="1"/>
      <w:numFmt w:val="bullet"/>
      <w:lvlText w:val="o"/>
      <w:lvlJc w:val="left"/>
      <w:pPr>
        <w:ind w:left="7776" w:hanging="360"/>
      </w:pPr>
      <w:rPr>
        <w:rFonts w:ascii="Courier New" w:hAnsi="Courier New" w:cs="Courier New" w:hint="default"/>
      </w:rPr>
    </w:lvl>
    <w:lvl w:ilvl="8" w:tplc="04270005" w:tentative="1">
      <w:start w:val="1"/>
      <w:numFmt w:val="bullet"/>
      <w:lvlText w:val=""/>
      <w:lvlJc w:val="left"/>
      <w:pPr>
        <w:ind w:left="8496" w:hanging="360"/>
      </w:pPr>
      <w:rPr>
        <w:rFonts w:ascii="Wingdings" w:hAnsi="Wingdings" w:hint="default"/>
      </w:rPr>
    </w:lvl>
  </w:abstractNum>
  <w:abstractNum w:abstractNumId="4">
    <w:nsid w:val="148F61EA"/>
    <w:multiLevelType w:val="hybridMultilevel"/>
    <w:tmpl w:val="028271DA"/>
    <w:lvl w:ilvl="0" w:tplc="50E61A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B7352C6"/>
    <w:multiLevelType w:val="hybridMultilevel"/>
    <w:tmpl w:val="8C003C5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DE514E1"/>
    <w:multiLevelType w:val="hybridMultilevel"/>
    <w:tmpl w:val="0A1E7470"/>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7">
    <w:nsid w:val="1F55401A"/>
    <w:multiLevelType w:val="hybridMultilevel"/>
    <w:tmpl w:val="2764A9D4"/>
    <w:lvl w:ilvl="0" w:tplc="73562C92">
      <w:start w:val="1"/>
      <w:numFmt w:val="low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nsid w:val="26D03D3A"/>
    <w:multiLevelType w:val="hybridMultilevel"/>
    <w:tmpl w:val="F8A442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0AE47C5"/>
    <w:multiLevelType w:val="hybridMultilevel"/>
    <w:tmpl w:val="36246D16"/>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0">
    <w:nsid w:val="335623EE"/>
    <w:multiLevelType w:val="multilevel"/>
    <w:tmpl w:val="22405B7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cstheme="minorBidi" w:hint="default"/>
        <w:b/>
      </w:rPr>
    </w:lvl>
    <w:lvl w:ilvl="2">
      <w:start w:val="1"/>
      <w:numFmt w:val="decimal"/>
      <w:isLgl/>
      <w:lvlText w:val="%1.%2.%3."/>
      <w:lvlJc w:val="left"/>
      <w:pPr>
        <w:ind w:left="1080" w:hanging="720"/>
      </w:pPr>
      <w:rPr>
        <w:rFonts w:cstheme="minorBidi" w:hint="default"/>
        <w:b w:val="0"/>
      </w:rPr>
    </w:lvl>
    <w:lvl w:ilvl="3">
      <w:start w:val="1"/>
      <w:numFmt w:val="decimal"/>
      <w:isLgl/>
      <w:lvlText w:val="%1.%2.%3.%4."/>
      <w:lvlJc w:val="left"/>
      <w:pPr>
        <w:ind w:left="1080" w:hanging="720"/>
      </w:pPr>
      <w:rPr>
        <w:rFonts w:cstheme="minorBidi" w:hint="default"/>
        <w:b w:val="0"/>
      </w:rPr>
    </w:lvl>
    <w:lvl w:ilvl="4">
      <w:start w:val="1"/>
      <w:numFmt w:val="decimal"/>
      <w:isLgl/>
      <w:lvlText w:val="%1.%2.%3.%4.%5."/>
      <w:lvlJc w:val="left"/>
      <w:pPr>
        <w:ind w:left="1440" w:hanging="1080"/>
      </w:pPr>
      <w:rPr>
        <w:rFonts w:cstheme="minorBidi" w:hint="default"/>
        <w:b w:val="0"/>
      </w:rPr>
    </w:lvl>
    <w:lvl w:ilvl="5">
      <w:start w:val="1"/>
      <w:numFmt w:val="decimal"/>
      <w:isLgl/>
      <w:lvlText w:val="%1.%2.%3.%4.%5.%6."/>
      <w:lvlJc w:val="left"/>
      <w:pPr>
        <w:ind w:left="1440" w:hanging="1080"/>
      </w:pPr>
      <w:rPr>
        <w:rFonts w:cstheme="minorBidi" w:hint="default"/>
        <w:b w:val="0"/>
      </w:rPr>
    </w:lvl>
    <w:lvl w:ilvl="6">
      <w:start w:val="1"/>
      <w:numFmt w:val="decimal"/>
      <w:isLgl/>
      <w:lvlText w:val="%1.%2.%3.%4.%5.%6.%7."/>
      <w:lvlJc w:val="left"/>
      <w:pPr>
        <w:ind w:left="1800" w:hanging="1440"/>
      </w:pPr>
      <w:rPr>
        <w:rFonts w:cstheme="minorBidi" w:hint="default"/>
        <w:b w:val="0"/>
      </w:rPr>
    </w:lvl>
    <w:lvl w:ilvl="7">
      <w:start w:val="1"/>
      <w:numFmt w:val="decimal"/>
      <w:isLgl/>
      <w:lvlText w:val="%1.%2.%3.%4.%5.%6.%7.%8."/>
      <w:lvlJc w:val="left"/>
      <w:pPr>
        <w:ind w:left="1800" w:hanging="1440"/>
      </w:pPr>
      <w:rPr>
        <w:rFonts w:cstheme="minorBidi" w:hint="default"/>
        <w:b w:val="0"/>
      </w:rPr>
    </w:lvl>
    <w:lvl w:ilvl="8">
      <w:start w:val="1"/>
      <w:numFmt w:val="decimal"/>
      <w:isLgl/>
      <w:lvlText w:val="%1.%2.%3.%4.%5.%6.%7.%8.%9."/>
      <w:lvlJc w:val="left"/>
      <w:pPr>
        <w:ind w:left="2160" w:hanging="1800"/>
      </w:pPr>
      <w:rPr>
        <w:rFonts w:cstheme="minorBidi" w:hint="default"/>
        <w:b w:val="0"/>
      </w:rPr>
    </w:lvl>
  </w:abstractNum>
  <w:abstractNum w:abstractNumId="11">
    <w:nsid w:val="34222EB6"/>
    <w:multiLevelType w:val="hybridMultilevel"/>
    <w:tmpl w:val="7DB4D8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C9557D7"/>
    <w:multiLevelType w:val="hybridMultilevel"/>
    <w:tmpl w:val="5C10406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8897417"/>
    <w:multiLevelType w:val="hybridMultilevel"/>
    <w:tmpl w:val="D11CC7A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89B2E0E"/>
    <w:multiLevelType w:val="hybridMultilevel"/>
    <w:tmpl w:val="3580E270"/>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5">
    <w:nsid w:val="4BC164D5"/>
    <w:multiLevelType w:val="hybridMultilevel"/>
    <w:tmpl w:val="786A02E4"/>
    <w:lvl w:ilvl="0" w:tplc="DBFCE0AA">
      <w:start w:val="1"/>
      <w:numFmt w:val="low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nsid w:val="4BE31116"/>
    <w:multiLevelType w:val="hybridMultilevel"/>
    <w:tmpl w:val="399C877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11B30D5"/>
    <w:multiLevelType w:val="hybridMultilevel"/>
    <w:tmpl w:val="25021B08"/>
    <w:lvl w:ilvl="0" w:tplc="23AA7364">
      <w:start w:val="1"/>
      <w:numFmt w:val="decimal"/>
      <w:lvlText w:val="%1&gt;"/>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nsid w:val="59CE76CE"/>
    <w:multiLevelType w:val="hybridMultilevel"/>
    <w:tmpl w:val="F8441166"/>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9">
    <w:nsid w:val="60C239DE"/>
    <w:multiLevelType w:val="hybridMultilevel"/>
    <w:tmpl w:val="59E285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8F01514"/>
    <w:multiLevelType w:val="hybridMultilevel"/>
    <w:tmpl w:val="B46AF3F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1ED5E83"/>
    <w:multiLevelType w:val="multilevel"/>
    <w:tmpl w:val="607CEB62"/>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nsid w:val="75CC5A37"/>
    <w:multiLevelType w:val="hybridMultilevel"/>
    <w:tmpl w:val="26166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13"/>
  </w:num>
  <w:num w:numId="3">
    <w:abstractNumId w:val="10"/>
  </w:num>
  <w:num w:numId="4">
    <w:abstractNumId w:val="4"/>
  </w:num>
  <w:num w:numId="5">
    <w:abstractNumId w:val="15"/>
  </w:num>
  <w:num w:numId="6">
    <w:abstractNumId w:val="7"/>
  </w:num>
  <w:num w:numId="7">
    <w:abstractNumId w:val="1"/>
  </w:num>
  <w:num w:numId="8">
    <w:abstractNumId w:val="18"/>
  </w:num>
  <w:num w:numId="9">
    <w:abstractNumId w:val="14"/>
  </w:num>
  <w:num w:numId="10">
    <w:abstractNumId w:val="3"/>
  </w:num>
  <w:num w:numId="11">
    <w:abstractNumId w:val="6"/>
  </w:num>
  <w:num w:numId="12">
    <w:abstractNumId w:val="9"/>
  </w:num>
  <w:num w:numId="13">
    <w:abstractNumId w:val="17"/>
  </w:num>
  <w:num w:numId="14">
    <w:abstractNumId w:val="11"/>
  </w:num>
  <w:num w:numId="15">
    <w:abstractNumId w:val="22"/>
  </w:num>
  <w:num w:numId="16">
    <w:abstractNumId w:val="8"/>
  </w:num>
  <w:num w:numId="17">
    <w:abstractNumId w:val="2"/>
  </w:num>
  <w:num w:numId="18">
    <w:abstractNumId w:val="5"/>
  </w:num>
  <w:num w:numId="19">
    <w:abstractNumId w:val="0"/>
  </w:num>
  <w:num w:numId="20">
    <w:abstractNumId w:val="12"/>
  </w:num>
  <w:num w:numId="21">
    <w:abstractNumId w:val="19"/>
  </w:num>
  <w:num w:numId="22">
    <w:abstractNumId w:val="20"/>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96335"/>
    <w:rsid w:val="00000A7F"/>
    <w:rsid w:val="00001242"/>
    <w:rsid w:val="0000286D"/>
    <w:rsid w:val="00002F30"/>
    <w:rsid w:val="0000302D"/>
    <w:rsid w:val="000042CE"/>
    <w:rsid w:val="0000461B"/>
    <w:rsid w:val="00004A24"/>
    <w:rsid w:val="00004A92"/>
    <w:rsid w:val="00004EE6"/>
    <w:rsid w:val="000062CC"/>
    <w:rsid w:val="000071D4"/>
    <w:rsid w:val="00007388"/>
    <w:rsid w:val="000073B8"/>
    <w:rsid w:val="000100A4"/>
    <w:rsid w:val="00011FB7"/>
    <w:rsid w:val="00011FF5"/>
    <w:rsid w:val="000126BF"/>
    <w:rsid w:val="000132B7"/>
    <w:rsid w:val="000132D6"/>
    <w:rsid w:val="00013EC2"/>
    <w:rsid w:val="0001429A"/>
    <w:rsid w:val="000148DC"/>
    <w:rsid w:val="000153F3"/>
    <w:rsid w:val="00017414"/>
    <w:rsid w:val="00017480"/>
    <w:rsid w:val="00017C9E"/>
    <w:rsid w:val="0002211D"/>
    <w:rsid w:val="0002267F"/>
    <w:rsid w:val="00022A27"/>
    <w:rsid w:val="000241EA"/>
    <w:rsid w:val="000243BA"/>
    <w:rsid w:val="00027D8D"/>
    <w:rsid w:val="00030284"/>
    <w:rsid w:val="00032BCF"/>
    <w:rsid w:val="000368E9"/>
    <w:rsid w:val="00036FB9"/>
    <w:rsid w:val="00037405"/>
    <w:rsid w:val="00040BF3"/>
    <w:rsid w:val="00040C02"/>
    <w:rsid w:val="0004107F"/>
    <w:rsid w:val="00041AAC"/>
    <w:rsid w:val="00042908"/>
    <w:rsid w:val="000442A6"/>
    <w:rsid w:val="0004441C"/>
    <w:rsid w:val="000463A7"/>
    <w:rsid w:val="000465F0"/>
    <w:rsid w:val="00047AA7"/>
    <w:rsid w:val="00050395"/>
    <w:rsid w:val="0005120E"/>
    <w:rsid w:val="000519EE"/>
    <w:rsid w:val="00051DF5"/>
    <w:rsid w:val="00054741"/>
    <w:rsid w:val="00055DA4"/>
    <w:rsid w:val="00056125"/>
    <w:rsid w:val="00056C0E"/>
    <w:rsid w:val="00056FB0"/>
    <w:rsid w:val="0005742D"/>
    <w:rsid w:val="00062581"/>
    <w:rsid w:val="00062FA7"/>
    <w:rsid w:val="000640C5"/>
    <w:rsid w:val="00064238"/>
    <w:rsid w:val="00065174"/>
    <w:rsid w:val="000665FA"/>
    <w:rsid w:val="00066758"/>
    <w:rsid w:val="0006787C"/>
    <w:rsid w:val="00067ADC"/>
    <w:rsid w:val="00067F07"/>
    <w:rsid w:val="000703D5"/>
    <w:rsid w:val="000718D6"/>
    <w:rsid w:val="00071F05"/>
    <w:rsid w:val="00072069"/>
    <w:rsid w:val="000735F4"/>
    <w:rsid w:val="00073FD3"/>
    <w:rsid w:val="00074210"/>
    <w:rsid w:val="0007476E"/>
    <w:rsid w:val="00074C6E"/>
    <w:rsid w:val="0007536F"/>
    <w:rsid w:val="00075FC6"/>
    <w:rsid w:val="000764E6"/>
    <w:rsid w:val="00077366"/>
    <w:rsid w:val="00077EBB"/>
    <w:rsid w:val="000804A6"/>
    <w:rsid w:val="00080EC3"/>
    <w:rsid w:val="00081664"/>
    <w:rsid w:val="00081992"/>
    <w:rsid w:val="00082521"/>
    <w:rsid w:val="00082C83"/>
    <w:rsid w:val="0008367F"/>
    <w:rsid w:val="000839CD"/>
    <w:rsid w:val="00084699"/>
    <w:rsid w:val="000853AD"/>
    <w:rsid w:val="000867D3"/>
    <w:rsid w:val="000868A5"/>
    <w:rsid w:val="00087CE8"/>
    <w:rsid w:val="00090ECE"/>
    <w:rsid w:val="00091021"/>
    <w:rsid w:val="0009159A"/>
    <w:rsid w:val="00092165"/>
    <w:rsid w:val="000929DD"/>
    <w:rsid w:val="000937FB"/>
    <w:rsid w:val="00094A4F"/>
    <w:rsid w:val="000A06E3"/>
    <w:rsid w:val="000A0799"/>
    <w:rsid w:val="000A156F"/>
    <w:rsid w:val="000A1D99"/>
    <w:rsid w:val="000A33F6"/>
    <w:rsid w:val="000A4CC0"/>
    <w:rsid w:val="000A65A4"/>
    <w:rsid w:val="000A6760"/>
    <w:rsid w:val="000A6AF8"/>
    <w:rsid w:val="000A7FBE"/>
    <w:rsid w:val="000B09CC"/>
    <w:rsid w:val="000B10EA"/>
    <w:rsid w:val="000B1CA3"/>
    <w:rsid w:val="000B30B7"/>
    <w:rsid w:val="000B390C"/>
    <w:rsid w:val="000B5229"/>
    <w:rsid w:val="000B7D0D"/>
    <w:rsid w:val="000C1E46"/>
    <w:rsid w:val="000C2455"/>
    <w:rsid w:val="000C33A0"/>
    <w:rsid w:val="000C33FA"/>
    <w:rsid w:val="000C3638"/>
    <w:rsid w:val="000C3B66"/>
    <w:rsid w:val="000C3D9F"/>
    <w:rsid w:val="000C43B2"/>
    <w:rsid w:val="000C44D7"/>
    <w:rsid w:val="000C4DED"/>
    <w:rsid w:val="000C4EC8"/>
    <w:rsid w:val="000C6220"/>
    <w:rsid w:val="000C6ADD"/>
    <w:rsid w:val="000C7B37"/>
    <w:rsid w:val="000D07D4"/>
    <w:rsid w:val="000D0AC1"/>
    <w:rsid w:val="000D1258"/>
    <w:rsid w:val="000D211D"/>
    <w:rsid w:val="000D3AD4"/>
    <w:rsid w:val="000D3FF6"/>
    <w:rsid w:val="000D5520"/>
    <w:rsid w:val="000D79DF"/>
    <w:rsid w:val="000E04AA"/>
    <w:rsid w:val="000E0F24"/>
    <w:rsid w:val="000E22F5"/>
    <w:rsid w:val="000E238F"/>
    <w:rsid w:val="000E3588"/>
    <w:rsid w:val="000E35A5"/>
    <w:rsid w:val="000E4163"/>
    <w:rsid w:val="000E45EF"/>
    <w:rsid w:val="000E483A"/>
    <w:rsid w:val="000E616D"/>
    <w:rsid w:val="000E618C"/>
    <w:rsid w:val="000E68D8"/>
    <w:rsid w:val="000E69D5"/>
    <w:rsid w:val="000F0DD7"/>
    <w:rsid w:val="000F29F3"/>
    <w:rsid w:val="000F384B"/>
    <w:rsid w:val="000F5667"/>
    <w:rsid w:val="000F6662"/>
    <w:rsid w:val="000F6BE8"/>
    <w:rsid w:val="000F73E6"/>
    <w:rsid w:val="001035AC"/>
    <w:rsid w:val="001048E5"/>
    <w:rsid w:val="00104975"/>
    <w:rsid w:val="001049D1"/>
    <w:rsid w:val="0010644A"/>
    <w:rsid w:val="00110C6C"/>
    <w:rsid w:val="00111913"/>
    <w:rsid w:val="00112C8D"/>
    <w:rsid w:val="00115686"/>
    <w:rsid w:val="00117D85"/>
    <w:rsid w:val="00117FE6"/>
    <w:rsid w:val="00120E8A"/>
    <w:rsid w:val="00124305"/>
    <w:rsid w:val="00124818"/>
    <w:rsid w:val="001253A3"/>
    <w:rsid w:val="00125451"/>
    <w:rsid w:val="0012669F"/>
    <w:rsid w:val="00127F0E"/>
    <w:rsid w:val="00127F37"/>
    <w:rsid w:val="001337DC"/>
    <w:rsid w:val="00135C28"/>
    <w:rsid w:val="00137C23"/>
    <w:rsid w:val="00140F25"/>
    <w:rsid w:val="0014259E"/>
    <w:rsid w:val="0014375F"/>
    <w:rsid w:val="00144930"/>
    <w:rsid w:val="00146466"/>
    <w:rsid w:val="0014674D"/>
    <w:rsid w:val="001469CE"/>
    <w:rsid w:val="001533C6"/>
    <w:rsid w:val="00153788"/>
    <w:rsid w:val="00155629"/>
    <w:rsid w:val="001562B7"/>
    <w:rsid w:val="001567B2"/>
    <w:rsid w:val="0016060A"/>
    <w:rsid w:val="001621CF"/>
    <w:rsid w:val="00162B5A"/>
    <w:rsid w:val="00162E23"/>
    <w:rsid w:val="00162ECE"/>
    <w:rsid w:val="00163ADA"/>
    <w:rsid w:val="00164ED7"/>
    <w:rsid w:val="00166994"/>
    <w:rsid w:val="00167BF8"/>
    <w:rsid w:val="001703AF"/>
    <w:rsid w:val="00170EFB"/>
    <w:rsid w:val="00171403"/>
    <w:rsid w:val="0017156A"/>
    <w:rsid w:val="0017196B"/>
    <w:rsid w:val="00172598"/>
    <w:rsid w:val="00172CA9"/>
    <w:rsid w:val="001730BC"/>
    <w:rsid w:val="00175628"/>
    <w:rsid w:val="00175892"/>
    <w:rsid w:val="00175933"/>
    <w:rsid w:val="00176A30"/>
    <w:rsid w:val="00177B84"/>
    <w:rsid w:val="00177C48"/>
    <w:rsid w:val="0018104D"/>
    <w:rsid w:val="001821CF"/>
    <w:rsid w:val="00184659"/>
    <w:rsid w:val="00184DF5"/>
    <w:rsid w:val="00186BD9"/>
    <w:rsid w:val="00190BCF"/>
    <w:rsid w:val="00192A64"/>
    <w:rsid w:val="00193CBD"/>
    <w:rsid w:val="00193E8E"/>
    <w:rsid w:val="00195139"/>
    <w:rsid w:val="00196335"/>
    <w:rsid w:val="00196556"/>
    <w:rsid w:val="00196897"/>
    <w:rsid w:val="001A14C2"/>
    <w:rsid w:val="001A1BA8"/>
    <w:rsid w:val="001A2EA1"/>
    <w:rsid w:val="001A771E"/>
    <w:rsid w:val="001B1A30"/>
    <w:rsid w:val="001B3A03"/>
    <w:rsid w:val="001B3A10"/>
    <w:rsid w:val="001B424A"/>
    <w:rsid w:val="001B44C4"/>
    <w:rsid w:val="001B79B7"/>
    <w:rsid w:val="001B7C69"/>
    <w:rsid w:val="001C2120"/>
    <w:rsid w:val="001C732B"/>
    <w:rsid w:val="001C733B"/>
    <w:rsid w:val="001C754A"/>
    <w:rsid w:val="001D03FD"/>
    <w:rsid w:val="001D0B7C"/>
    <w:rsid w:val="001D5459"/>
    <w:rsid w:val="001D5765"/>
    <w:rsid w:val="001D6ED4"/>
    <w:rsid w:val="001E12FF"/>
    <w:rsid w:val="001E1452"/>
    <w:rsid w:val="001E2BC4"/>
    <w:rsid w:val="001E2DB5"/>
    <w:rsid w:val="001E4E28"/>
    <w:rsid w:val="001E56CC"/>
    <w:rsid w:val="001E5A1E"/>
    <w:rsid w:val="001E5F18"/>
    <w:rsid w:val="001E68C1"/>
    <w:rsid w:val="001E6993"/>
    <w:rsid w:val="001E7987"/>
    <w:rsid w:val="001E7FED"/>
    <w:rsid w:val="001F0300"/>
    <w:rsid w:val="001F09CD"/>
    <w:rsid w:val="001F0AC5"/>
    <w:rsid w:val="001F15D7"/>
    <w:rsid w:val="001F1622"/>
    <w:rsid w:val="001F1970"/>
    <w:rsid w:val="001F314B"/>
    <w:rsid w:val="001F4568"/>
    <w:rsid w:val="001F4DD5"/>
    <w:rsid w:val="001F531C"/>
    <w:rsid w:val="001F609C"/>
    <w:rsid w:val="001F739F"/>
    <w:rsid w:val="001F7667"/>
    <w:rsid w:val="001F7684"/>
    <w:rsid w:val="002019E7"/>
    <w:rsid w:val="00203894"/>
    <w:rsid w:val="0020429D"/>
    <w:rsid w:val="0020521C"/>
    <w:rsid w:val="00205A74"/>
    <w:rsid w:val="00206B85"/>
    <w:rsid w:val="00206D7D"/>
    <w:rsid w:val="002104EF"/>
    <w:rsid w:val="00210577"/>
    <w:rsid w:val="0021124E"/>
    <w:rsid w:val="00211378"/>
    <w:rsid w:val="002130B3"/>
    <w:rsid w:val="00215087"/>
    <w:rsid w:val="00215523"/>
    <w:rsid w:val="0021589F"/>
    <w:rsid w:val="002159F3"/>
    <w:rsid w:val="002164FD"/>
    <w:rsid w:val="002165C5"/>
    <w:rsid w:val="002169C5"/>
    <w:rsid w:val="0022167F"/>
    <w:rsid w:val="002216AA"/>
    <w:rsid w:val="00221D46"/>
    <w:rsid w:val="0022403A"/>
    <w:rsid w:val="002246F8"/>
    <w:rsid w:val="00224D1C"/>
    <w:rsid w:val="002259AD"/>
    <w:rsid w:val="00225B8C"/>
    <w:rsid w:val="002261EB"/>
    <w:rsid w:val="00226545"/>
    <w:rsid w:val="00226B55"/>
    <w:rsid w:val="00227D2A"/>
    <w:rsid w:val="00233D3B"/>
    <w:rsid w:val="00233F53"/>
    <w:rsid w:val="002344C2"/>
    <w:rsid w:val="002344FD"/>
    <w:rsid w:val="00234640"/>
    <w:rsid w:val="00234D29"/>
    <w:rsid w:val="0023501E"/>
    <w:rsid w:val="00235983"/>
    <w:rsid w:val="00236DB1"/>
    <w:rsid w:val="002379B7"/>
    <w:rsid w:val="00240916"/>
    <w:rsid w:val="00240CCB"/>
    <w:rsid w:val="00240D78"/>
    <w:rsid w:val="00242BD8"/>
    <w:rsid w:val="00242D2E"/>
    <w:rsid w:val="00242EDB"/>
    <w:rsid w:val="00244070"/>
    <w:rsid w:val="002469B8"/>
    <w:rsid w:val="00246E09"/>
    <w:rsid w:val="00250004"/>
    <w:rsid w:val="0025087D"/>
    <w:rsid w:val="00251AA8"/>
    <w:rsid w:val="00252781"/>
    <w:rsid w:val="00252910"/>
    <w:rsid w:val="0025497E"/>
    <w:rsid w:val="00255C57"/>
    <w:rsid w:val="00256747"/>
    <w:rsid w:val="00260B83"/>
    <w:rsid w:val="002613B6"/>
    <w:rsid w:val="00261704"/>
    <w:rsid w:val="00264E4C"/>
    <w:rsid w:val="00266D11"/>
    <w:rsid w:val="002671C3"/>
    <w:rsid w:val="00267F51"/>
    <w:rsid w:val="00271F91"/>
    <w:rsid w:val="002720DD"/>
    <w:rsid w:val="0027211E"/>
    <w:rsid w:val="00273D39"/>
    <w:rsid w:val="00273DF9"/>
    <w:rsid w:val="00277C60"/>
    <w:rsid w:val="00281542"/>
    <w:rsid w:val="002828E5"/>
    <w:rsid w:val="002838C7"/>
    <w:rsid w:val="0028392A"/>
    <w:rsid w:val="00283CC8"/>
    <w:rsid w:val="00283E83"/>
    <w:rsid w:val="002841FD"/>
    <w:rsid w:val="002847B8"/>
    <w:rsid w:val="00284BEF"/>
    <w:rsid w:val="00284F22"/>
    <w:rsid w:val="00290CA3"/>
    <w:rsid w:val="002944A9"/>
    <w:rsid w:val="002956A8"/>
    <w:rsid w:val="00296CE3"/>
    <w:rsid w:val="00297375"/>
    <w:rsid w:val="002A01D8"/>
    <w:rsid w:val="002A02F0"/>
    <w:rsid w:val="002A034C"/>
    <w:rsid w:val="002A03C1"/>
    <w:rsid w:val="002A3688"/>
    <w:rsid w:val="002A3F70"/>
    <w:rsid w:val="002B042F"/>
    <w:rsid w:val="002B1936"/>
    <w:rsid w:val="002B195C"/>
    <w:rsid w:val="002B33B8"/>
    <w:rsid w:val="002B4D8C"/>
    <w:rsid w:val="002B5471"/>
    <w:rsid w:val="002B5A37"/>
    <w:rsid w:val="002B5AC9"/>
    <w:rsid w:val="002B64BF"/>
    <w:rsid w:val="002B7641"/>
    <w:rsid w:val="002C043F"/>
    <w:rsid w:val="002C04F1"/>
    <w:rsid w:val="002C175C"/>
    <w:rsid w:val="002C17C0"/>
    <w:rsid w:val="002C49EA"/>
    <w:rsid w:val="002C54F7"/>
    <w:rsid w:val="002C5FE8"/>
    <w:rsid w:val="002C6B38"/>
    <w:rsid w:val="002C6D8F"/>
    <w:rsid w:val="002C7429"/>
    <w:rsid w:val="002D2F9F"/>
    <w:rsid w:val="002D560A"/>
    <w:rsid w:val="002D5D15"/>
    <w:rsid w:val="002D79B1"/>
    <w:rsid w:val="002E0D38"/>
    <w:rsid w:val="002E1547"/>
    <w:rsid w:val="002E2D62"/>
    <w:rsid w:val="002E39D0"/>
    <w:rsid w:val="002E4184"/>
    <w:rsid w:val="002E454A"/>
    <w:rsid w:val="002E4F10"/>
    <w:rsid w:val="002E5835"/>
    <w:rsid w:val="002E5C16"/>
    <w:rsid w:val="002E5ED8"/>
    <w:rsid w:val="002E64F3"/>
    <w:rsid w:val="002E71E3"/>
    <w:rsid w:val="002E7512"/>
    <w:rsid w:val="002E7CDD"/>
    <w:rsid w:val="002F1934"/>
    <w:rsid w:val="002F1F53"/>
    <w:rsid w:val="002F2BA6"/>
    <w:rsid w:val="002F531D"/>
    <w:rsid w:val="002F67C6"/>
    <w:rsid w:val="002F6FE8"/>
    <w:rsid w:val="00301369"/>
    <w:rsid w:val="00302BBD"/>
    <w:rsid w:val="0030333E"/>
    <w:rsid w:val="003043D4"/>
    <w:rsid w:val="0030498D"/>
    <w:rsid w:val="00306575"/>
    <w:rsid w:val="00307C50"/>
    <w:rsid w:val="00310118"/>
    <w:rsid w:val="00311563"/>
    <w:rsid w:val="003116EA"/>
    <w:rsid w:val="00311D5F"/>
    <w:rsid w:val="00313F8E"/>
    <w:rsid w:val="00314961"/>
    <w:rsid w:val="00314CF3"/>
    <w:rsid w:val="00315722"/>
    <w:rsid w:val="003165D8"/>
    <w:rsid w:val="00316890"/>
    <w:rsid w:val="003169BA"/>
    <w:rsid w:val="00316ADC"/>
    <w:rsid w:val="003174DC"/>
    <w:rsid w:val="00321B21"/>
    <w:rsid w:val="00322CDA"/>
    <w:rsid w:val="00323912"/>
    <w:rsid w:val="00323D91"/>
    <w:rsid w:val="00325ECA"/>
    <w:rsid w:val="00327467"/>
    <w:rsid w:val="0032777F"/>
    <w:rsid w:val="003309FB"/>
    <w:rsid w:val="00332B8B"/>
    <w:rsid w:val="00332E3E"/>
    <w:rsid w:val="00333016"/>
    <w:rsid w:val="003338FF"/>
    <w:rsid w:val="0033728C"/>
    <w:rsid w:val="00337B4C"/>
    <w:rsid w:val="00337E7C"/>
    <w:rsid w:val="00340EAE"/>
    <w:rsid w:val="00341108"/>
    <w:rsid w:val="00343271"/>
    <w:rsid w:val="003445AF"/>
    <w:rsid w:val="003507FC"/>
    <w:rsid w:val="00351787"/>
    <w:rsid w:val="00351953"/>
    <w:rsid w:val="0035209B"/>
    <w:rsid w:val="00352279"/>
    <w:rsid w:val="00352EF7"/>
    <w:rsid w:val="00353069"/>
    <w:rsid w:val="00354B76"/>
    <w:rsid w:val="00354DC3"/>
    <w:rsid w:val="00355169"/>
    <w:rsid w:val="0035535F"/>
    <w:rsid w:val="003553CC"/>
    <w:rsid w:val="00355562"/>
    <w:rsid w:val="003560FF"/>
    <w:rsid w:val="003564FA"/>
    <w:rsid w:val="00356966"/>
    <w:rsid w:val="00357ECB"/>
    <w:rsid w:val="00360FE7"/>
    <w:rsid w:val="003610EC"/>
    <w:rsid w:val="0036148F"/>
    <w:rsid w:val="00361EC8"/>
    <w:rsid w:val="0036212C"/>
    <w:rsid w:val="00362557"/>
    <w:rsid w:val="00364565"/>
    <w:rsid w:val="003654CD"/>
    <w:rsid w:val="003659A5"/>
    <w:rsid w:val="00366087"/>
    <w:rsid w:val="00367485"/>
    <w:rsid w:val="00367791"/>
    <w:rsid w:val="003701B4"/>
    <w:rsid w:val="00370305"/>
    <w:rsid w:val="00370402"/>
    <w:rsid w:val="0037073E"/>
    <w:rsid w:val="00372DE3"/>
    <w:rsid w:val="003733AD"/>
    <w:rsid w:val="00375B3D"/>
    <w:rsid w:val="00376353"/>
    <w:rsid w:val="00376F3A"/>
    <w:rsid w:val="00377480"/>
    <w:rsid w:val="003778CD"/>
    <w:rsid w:val="00377CDC"/>
    <w:rsid w:val="00377DEC"/>
    <w:rsid w:val="0038058E"/>
    <w:rsid w:val="00380949"/>
    <w:rsid w:val="00383448"/>
    <w:rsid w:val="0038478B"/>
    <w:rsid w:val="00384A08"/>
    <w:rsid w:val="00385DB7"/>
    <w:rsid w:val="003863B8"/>
    <w:rsid w:val="003866F7"/>
    <w:rsid w:val="00386F3E"/>
    <w:rsid w:val="00387AEB"/>
    <w:rsid w:val="0039011B"/>
    <w:rsid w:val="00390BCC"/>
    <w:rsid w:val="003921C5"/>
    <w:rsid w:val="00392953"/>
    <w:rsid w:val="00393645"/>
    <w:rsid w:val="00394293"/>
    <w:rsid w:val="003950F7"/>
    <w:rsid w:val="0039541A"/>
    <w:rsid w:val="003957A5"/>
    <w:rsid w:val="00396767"/>
    <w:rsid w:val="00396783"/>
    <w:rsid w:val="00397328"/>
    <w:rsid w:val="003A0BA8"/>
    <w:rsid w:val="003A28D9"/>
    <w:rsid w:val="003A29FB"/>
    <w:rsid w:val="003A36A3"/>
    <w:rsid w:val="003A3A08"/>
    <w:rsid w:val="003A3EC3"/>
    <w:rsid w:val="003A44CA"/>
    <w:rsid w:val="003A5711"/>
    <w:rsid w:val="003A5F93"/>
    <w:rsid w:val="003A7AAE"/>
    <w:rsid w:val="003B014D"/>
    <w:rsid w:val="003B06DE"/>
    <w:rsid w:val="003B19EC"/>
    <w:rsid w:val="003B1E85"/>
    <w:rsid w:val="003B23D4"/>
    <w:rsid w:val="003B2719"/>
    <w:rsid w:val="003B3A95"/>
    <w:rsid w:val="003B4181"/>
    <w:rsid w:val="003B4431"/>
    <w:rsid w:val="003B5E45"/>
    <w:rsid w:val="003B70BB"/>
    <w:rsid w:val="003C00E1"/>
    <w:rsid w:val="003C0446"/>
    <w:rsid w:val="003C1639"/>
    <w:rsid w:val="003C2F41"/>
    <w:rsid w:val="003C2FB7"/>
    <w:rsid w:val="003C32D6"/>
    <w:rsid w:val="003C41FC"/>
    <w:rsid w:val="003C4E87"/>
    <w:rsid w:val="003C51F5"/>
    <w:rsid w:val="003C6940"/>
    <w:rsid w:val="003C6ECE"/>
    <w:rsid w:val="003D09F8"/>
    <w:rsid w:val="003D0B3E"/>
    <w:rsid w:val="003D2AEB"/>
    <w:rsid w:val="003D2F99"/>
    <w:rsid w:val="003D2FBE"/>
    <w:rsid w:val="003D557F"/>
    <w:rsid w:val="003D5F89"/>
    <w:rsid w:val="003D7CD3"/>
    <w:rsid w:val="003E316A"/>
    <w:rsid w:val="003E4ABB"/>
    <w:rsid w:val="003E51EF"/>
    <w:rsid w:val="003E58F9"/>
    <w:rsid w:val="003E66CE"/>
    <w:rsid w:val="003E7DF5"/>
    <w:rsid w:val="003F0B5B"/>
    <w:rsid w:val="003F2141"/>
    <w:rsid w:val="003F28AC"/>
    <w:rsid w:val="003F351D"/>
    <w:rsid w:val="003F3CCF"/>
    <w:rsid w:val="003F4B73"/>
    <w:rsid w:val="003F5D73"/>
    <w:rsid w:val="003F641F"/>
    <w:rsid w:val="003F6BBE"/>
    <w:rsid w:val="003F6E55"/>
    <w:rsid w:val="003F7F06"/>
    <w:rsid w:val="0040066F"/>
    <w:rsid w:val="00401498"/>
    <w:rsid w:val="00401670"/>
    <w:rsid w:val="0040214E"/>
    <w:rsid w:val="00402632"/>
    <w:rsid w:val="0040298B"/>
    <w:rsid w:val="00403BCF"/>
    <w:rsid w:val="00405620"/>
    <w:rsid w:val="00405B39"/>
    <w:rsid w:val="00410957"/>
    <w:rsid w:val="00412F90"/>
    <w:rsid w:val="00414BE2"/>
    <w:rsid w:val="00415113"/>
    <w:rsid w:val="00420468"/>
    <w:rsid w:val="00420F9A"/>
    <w:rsid w:val="00422378"/>
    <w:rsid w:val="004228C7"/>
    <w:rsid w:val="00423C98"/>
    <w:rsid w:val="00423D88"/>
    <w:rsid w:val="004247C0"/>
    <w:rsid w:val="004255C8"/>
    <w:rsid w:val="00427D09"/>
    <w:rsid w:val="00430805"/>
    <w:rsid w:val="0043362B"/>
    <w:rsid w:val="00433EC5"/>
    <w:rsid w:val="00434162"/>
    <w:rsid w:val="00434CE8"/>
    <w:rsid w:val="00435428"/>
    <w:rsid w:val="00435C78"/>
    <w:rsid w:val="00435DEF"/>
    <w:rsid w:val="00436406"/>
    <w:rsid w:val="004368D4"/>
    <w:rsid w:val="00440985"/>
    <w:rsid w:val="004411DB"/>
    <w:rsid w:val="00442266"/>
    <w:rsid w:val="00446963"/>
    <w:rsid w:val="00446F33"/>
    <w:rsid w:val="004520E7"/>
    <w:rsid w:val="0045330A"/>
    <w:rsid w:val="00453FC9"/>
    <w:rsid w:val="00454DF2"/>
    <w:rsid w:val="00456339"/>
    <w:rsid w:val="004568E1"/>
    <w:rsid w:val="00460185"/>
    <w:rsid w:val="00460283"/>
    <w:rsid w:val="0046074B"/>
    <w:rsid w:val="004607D3"/>
    <w:rsid w:val="00464885"/>
    <w:rsid w:val="00466137"/>
    <w:rsid w:val="00466DAF"/>
    <w:rsid w:val="004706A5"/>
    <w:rsid w:val="0047395C"/>
    <w:rsid w:val="00474B5A"/>
    <w:rsid w:val="00474CA2"/>
    <w:rsid w:val="00475DFA"/>
    <w:rsid w:val="004768FC"/>
    <w:rsid w:val="00477675"/>
    <w:rsid w:val="00477AA1"/>
    <w:rsid w:val="004801E8"/>
    <w:rsid w:val="00482854"/>
    <w:rsid w:val="00482F1B"/>
    <w:rsid w:val="00482F7C"/>
    <w:rsid w:val="00483073"/>
    <w:rsid w:val="0048355C"/>
    <w:rsid w:val="0048462D"/>
    <w:rsid w:val="004849E9"/>
    <w:rsid w:val="00486548"/>
    <w:rsid w:val="00486B88"/>
    <w:rsid w:val="00486E0C"/>
    <w:rsid w:val="0048702D"/>
    <w:rsid w:val="0049180E"/>
    <w:rsid w:val="00493333"/>
    <w:rsid w:val="00493EE0"/>
    <w:rsid w:val="00495EA0"/>
    <w:rsid w:val="00497021"/>
    <w:rsid w:val="00497364"/>
    <w:rsid w:val="004975E6"/>
    <w:rsid w:val="004A0DAB"/>
    <w:rsid w:val="004A1376"/>
    <w:rsid w:val="004A1869"/>
    <w:rsid w:val="004A2432"/>
    <w:rsid w:val="004A317F"/>
    <w:rsid w:val="004A3A9A"/>
    <w:rsid w:val="004A3F5E"/>
    <w:rsid w:val="004A49FE"/>
    <w:rsid w:val="004A5236"/>
    <w:rsid w:val="004A6561"/>
    <w:rsid w:val="004A662B"/>
    <w:rsid w:val="004A6A5B"/>
    <w:rsid w:val="004A7272"/>
    <w:rsid w:val="004B0811"/>
    <w:rsid w:val="004B23FB"/>
    <w:rsid w:val="004B2F1A"/>
    <w:rsid w:val="004B309C"/>
    <w:rsid w:val="004B4228"/>
    <w:rsid w:val="004B5440"/>
    <w:rsid w:val="004C154C"/>
    <w:rsid w:val="004C1D45"/>
    <w:rsid w:val="004C2B8C"/>
    <w:rsid w:val="004C4571"/>
    <w:rsid w:val="004C5E1F"/>
    <w:rsid w:val="004D1FE1"/>
    <w:rsid w:val="004D2A0F"/>
    <w:rsid w:val="004D3958"/>
    <w:rsid w:val="004D43D4"/>
    <w:rsid w:val="004D52F2"/>
    <w:rsid w:val="004D67BA"/>
    <w:rsid w:val="004D7340"/>
    <w:rsid w:val="004D7A2F"/>
    <w:rsid w:val="004D7FB3"/>
    <w:rsid w:val="004E116B"/>
    <w:rsid w:val="004E1F05"/>
    <w:rsid w:val="004E2C47"/>
    <w:rsid w:val="004E377D"/>
    <w:rsid w:val="004E3E00"/>
    <w:rsid w:val="004E460D"/>
    <w:rsid w:val="004E555B"/>
    <w:rsid w:val="004E558B"/>
    <w:rsid w:val="004E6422"/>
    <w:rsid w:val="004E7315"/>
    <w:rsid w:val="004E7A4F"/>
    <w:rsid w:val="004F1240"/>
    <w:rsid w:val="004F4814"/>
    <w:rsid w:val="004F7480"/>
    <w:rsid w:val="004F7E77"/>
    <w:rsid w:val="00500B1F"/>
    <w:rsid w:val="005026F4"/>
    <w:rsid w:val="00503CC7"/>
    <w:rsid w:val="00506AF4"/>
    <w:rsid w:val="005070CB"/>
    <w:rsid w:val="00507436"/>
    <w:rsid w:val="00507F94"/>
    <w:rsid w:val="00512A94"/>
    <w:rsid w:val="00512C2F"/>
    <w:rsid w:val="00513F14"/>
    <w:rsid w:val="00513FCB"/>
    <w:rsid w:val="0051442B"/>
    <w:rsid w:val="005166BF"/>
    <w:rsid w:val="00516C98"/>
    <w:rsid w:val="00516E03"/>
    <w:rsid w:val="00516EBB"/>
    <w:rsid w:val="00516F89"/>
    <w:rsid w:val="00517FCC"/>
    <w:rsid w:val="00521873"/>
    <w:rsid w:val="00521F57"/>
    <w:rsid w:val="0052223F"/>
    <w:rsid w:val="00522E05"/>
    <w:rsid w:val="00524194"/>
    <w:rsid w:val="005248B8"/>
    <w:rsid w:val="00524C58"/>
    <w:rsid w:val="0052550E"/>
    <w:rsid w:val="0052729F"/>
    <w:rsid w:val="0052736D"/>
    <w:rsid w:val="005277B7"/>
    <w:rsid w:val="00527D09"/>
    <w:rsid w:val="00527E18"/>
    <w:rsid w:val="005302E2"/>
    <w:rsid w:val="00531AB6"/>
    <w:rsid w:val="00532BB0"/>
    <w:rsid w:val="00532F59"/>
    <w:rsid w:val="00533DDA"/>
    <w:rsid w:val="00536054"/>
    <w:rsid w:val="00537916"/>
    <w:rsid w:val="00537A25"/>
    <w:rsid w:val="005401E7"/>
    <w:rsid w:val="00541531"/>
    <w:rsid w:val="00541E32"/>
    <w:rsid w:val="00542B64"/>
    <w:rsid w:val="00543D91"/>
    <w:rsid w:val="005447E1"/>
    <w:rsid w:val="00545A80"/>
    <w:rsid w:val="00545D0E"/>
    <w:rsid w:val="0054675C"/>
    <w:rsid w:val="00547C2D"/>
    <w:rsid w:val="0055087A"/>
    <w:rsid w:val="00550E05"/>
    <w:rsid w:val="00552E62"/>
    <w:rsid w:val="00552F5B"/>
    <w:rsid w:val="0055397E"/>
    <w:rsid w:val="00554038"/>
    <w:rsid w:val="005542A9"/>
    <w:rsid w:val="005564AC"/>
    <w:rsid w:val="005577C8"/>
    <w:rsid w:val="00557B5A"/>
    <w:rsid w:val="005600FD"/>
    <w:rsid w:val="005605C0"/>
    <w:rsid w:val="0056089D"/>
    <w:rsid w:val="005618CB"/>
    <w:rsid w:val="00567549"/>
    <w:rsid w:val="005716A0"/>
    <w:rsid w:val="005739A1"/>
    <w:rsid w:val="00573D84"/>
    <w:rsid w:val="0057424D"/>
    <w:rsid w:val="00574766"/>
    <w:rsid w:val="00574E6A"/>
    <w:rsid w:val="005752E4"/>
    <w:rsid w:val="005779EC"/>
    <w:rsid w:val="00580C79"/>
    <w:rsid w:val="0058183B"/>
    <w:rsid w:val="00581D12"/>
    <w:rsid w:val="005857BA"/>
    <w:rsid w:val="005866ED"/>
    <w:rsid w:val="00586E82"/>
    <w:rsid w:val="00587109"/>
    <w:rsid w:val="005907AE"/>
    <w:rsid w:val="0059153B"/>
    <w:rsid w:val="00592079"/>
    <w:rsid w:val="00594F34"/>
    <w:rsid w:val="00595BD2"/>
    <w:rsid w:val="005963D1"/>
    <w:rsid w:val="005A0EB5"/>
    <w:rsid w:val="005A11BC"/>
    <w:rsid w:val="005A16E9"/>
    <w:rsid w:val="005A1B7D"/>
    <w:rsid w:val="005A1ED2"/>
    <w:rsid w:val="005A38E2"/>
    <w:rsid w:val="005A3D3F"/>
    <w:rsid w:val="005A508D"/>
    <w:rsid w:val="005A557C"/>
    <w:rsid w:val="005A7249"/>
    <w:rsid w:val="005A7AD2"/>
    <w:rsid w:val="005A7CB7"/>
    <w:rsid w:val="005B32E9"/>
    <w:rsid w:val="005B3FEA"/>
    <w:rsid w:val="005B6279"/>
    <w:rsid w:val="005B67F5"/>
    <w:rsid w:val="005B7899"/>
    <w:rsid w:val="005C0E18"/>
    <w:rsid w:val="005C123F"/>
    <w:rsid w:val="005C3097"/>
    <w:rsid w:val="005C3400"/>
    <w:rsid w:val="005C34CF"/>
    <w:rsid w:val="005C743B"/>
    <w:rsid w:val="005C7646"/>
    <w:rsid w:val="005D029A"/>
    <w:rsid w:val="005D0C77"/>
    <w:rsid w:val="005D1F60"/>
    <w:rsid w:val="005D2A8F"/>
    <w:rsid w:val="005D2B04"/>
    <w:rsid w:val="005D3132"/>
    <w:rsid w:val="005D3970"/>
    <w:rsid w:val="005D3B66"/>
    <w:rsid w:val="005D47E8"/>
    <w:rsid w:val="005D6235"/>
    <w:rsid w:val="005D6E57"/>
    <w:rsid w:val="005E0522"/>
    <w:rsid w:val="005E135F"/>
    <w:rsid w:val="005E1C94"/>
    <w:rsid w:val="005E26AC"/>
    <w:rsid w:val="005E2889"/>
    <w:rsid w:val="005E2ACE"/>
    <w:rsid w:val="005E2C60"/>
    <w:rsid w:val="005E4548"/>
    <w:rsid w:val="005E572E"/>
    <w:rsid w:val="005E5F8F"/>
    <w:rsid w:val="005E6CBA"/>
    <w:rsid w:val="005E6D83"/>
    <w:rsid w:val="005E7DBB"/>
    <w:rsid w:val="005E7E6A"/>
    <w:rsid w:val="005F15C2"/>
    <w:rsid w:val="005F6B31"/>
    <w:rsid w:val="005F72B9"/>
    <w:rsid w:val="00601B0E"/>
    <w:rsid w:val="00601CCF"/>
    <w:rsid w:val="00602F2D"/>
    <w:rsid w:val="0060455F"/>
    <w:rsid w:val="00604677"/>
    <w:rsid w:val="0060587D"/>
    <w:rsid w:val="00605C3A"/>
    <w:rsid w:val="00605D01"/>
    <w:rsid w:val="00606431"/>
    <w:rsid w:val="006065A7"/>
    <w:rsid w:val="00607BEE"/>
    <w:rsid w:val="00607D0F"/>
    <w:rsid w:val="00610496"/>
    <w:rsid w:val="006108B2"/>
    <w:rsid w:val="00610A7A"/>
    <w:rsid w:val="006114D9"/>
    <w:rsid w:val="00611E16"/>
    <w:rsid w:val="00612948"/>
    <w:rsid w:val="00612D6F"/>
    <w:rsid w:val="00615ADB"/>
    <w:rsid w:val="00615F05"/>
    <w:rsid w:val="006162D8"/>
    <w:rsid w:val="00616CD5"/>
    <w:rsid w:val="0061786B"/>
    <w:rsid w:val="00621472"/>
    <w:rsid w:val="00621AAA"/>
    <w:rsid w:val="006277F8"/>
    <w:rsid w:val="00627B29"/>
    <w:rsid w:val="006304BC"/>
    <w:rsid w:val="006306F5"/>
    <w:rsid w:val="00631812"/>
    <w:rsid w:val="0063348A"/>
    <w:rsid w:val="00634305"/>
    <w:rsid w:val="006355CE"/>
    <w:rsid w:val="006362CD"/>
    <w:rsid w:val="00636DE5"/>
    <w:rsid w:val="0064120E"/>
    <w:rsid w:val="00641B8C"/>
    <w:rsid w:val="00641D55"/>
    <w:rsid w:val="00642344"/>
    <w:rsid w:val="00642C78"/>
    <w:rsid w:val="006430DA"/>
    <w:rsid w:val="0064713F"/>
    <w:rsid w:val="00647901"/>
    <w:rsid w:val="00647F03"/>
    <w:rsid w:val="006513CE"/>
    <w:rsid w:val="00651739"/>
    <w:rsid w:val="00651D0D"/>
    <w:rsid w:val="006521A5"/>
    <w:rsid w:val="00652711"/>
    <w:rsid w:val="006541A1"/>
    <w:rsid w:val="0065483F"/>
    <w:rsid w:val="00655537"/>
    <w:rsid w:val="006562E3"/>
    <w:rsid w:val="0066103E"/>
    <w:rsid w:val="006615E4"/>
    <w:rsid w:val="006618D5"/>
    <w:rsid w:val="00662C7B"/>
    <w:rsid w:val="006630B3"/>
    <w:rsid w:val="00670225"/>
    <w:rsid w:val="00670A8B"/>
    <w:rsid w:val="00671D06"/>
    <w:rsid w:val="00671FDF"/>
    <w:rsid w:val="00672706"/>
    <w:rsid w:val="006730FF"/>
    <w:rsid w:val="00673652"/>
    <w:rsid w:val="00675D6F"/>
    <w:rsid w:val="00676047"/>
    <w:rsid w:val="00677D09"/>
    <w:rsid w:val="006804E0"/>
    <w:rsid w:val="0068093D"/>
    <w:rsid w:val="0068231B"/>
    <w:rsid w:val="00683D3A"/>
    <w:rsid w:val="0068432B"/>
    <w:rsid w:val="0068514F"/>
    <w:rsid w:val="0068583E"/>
    <w:rsid w:val="00686248"/>
    <w:rsid w:val="00691154"/>
    <w:rsid w:val="00691295"/>
    <w:rsid w:val="00691AF3"/>
    <w:rsid w:val="00692AFC"/>
    <w:rsid w:val="006938A6"/>
    <w:rsid w:val="00697188"/>
    <w:rsid w:val="00697570"/>
    <w:rsid w:val="006A021C"/>
    <w:rsid w:val="006A09B3"/>
    <w:rsid w:val="006A300C"/>
    <w:rsid w:val="006A30E5"/>
    <w:rsid w:val="006A433A"/>
    <w:rsid w:val="006A4F85"/>
    <w:rsid w:val="006A511E"/>
    <w:rsid w:val="006A5B73"/>
    <w:rsid w:val="006A732B"/>
    <w:rsid w:val="006A7D67"/>
    <w:rsid w:val="006B0169"/>
    <w:rsid w:val="006B02C6"/>
    <w:rsid w:val="006B03F4"/>
    <w:rsid w:val="006B06A4"/>
    <w:rsid w:val="006B428E"/>
    <w:rsid w:val="006B4B3F"/>
    <w:rsid w:val="006B4C7C"/>
    <w:rsid w:val="006B6B22"/>
    <w:rsid w:val="006B7AAF"/>
    <w:rsid w:val="006C08E2"/>
    <w:rsid w:val="006C14DE"/>
    <w:rsid w:val="006C1F9F"/>
    <w:rsid w:val="006C26DD"/>
    <w:rsid w:val="006C2F26"/>
    <w:rsid w:val="006C4A89"/>
    <w:rsid w:val="006C4ACD"/>
    <w:rsid w:val="006C4BD1"/>
    <w:rsid w:val="006C4CC0"/>
    <w:rsid w:val="006C4E71"/>
    <w:rsid w:val="006C4E83"/>
    <w:rsid w:val="006C5517"/>
    <w:rsid w:val="006C57B8"/>
    <w:rsid w:val="006C5AB3"/>
    <w:rsid w:val="006C5EF7"/>
    <w:rsid w:val="006C6391"/>
    <w:rsid w:val="006C764C"/>
    <w:rsid w:val="006D1129"/>
    <w:rsid w:val="006D2222"/>
    <w:rsid w:val="006D500C"/>
    <w:rsid w:val="006D5229"/>
    <w:rsid w:val="006D5D85"/>
    <w:rsid w:val="006D5F8A"/>
    <w:rsid w:val="006E00E1"/>
    <w:rsid w:val="006E0203"/>
    <w:rsid w:val="006E041B"/>
    <w:rsid w:val="006E0ABC"/>
    <w:rsid w:val="006E0C2C"/>
    <w:rsid w:val="006E0E50"/>
    <w:rsid w:val="006E20EB"/>
    <w:rsid w:val="006E2EF4"/>
    <w:rsid w:val="006E3147"/>
    <w:rsid w:val="006E408F"/>
    <w:rsid w:val="006E4831"/>
    <w:rsid w:val="006E4892"/>
    <w:rsid w:val="006E4ABF"/>
    <w:rsid w:val="006E5F0B"/>
    <w:rsid w:val="006E653C"/>
    <w:rsid w:val="006E6912"/>
    <w:rsid w:val="006E6CD3"/>
    <w:rsid w:val="006F02C4"/>
    <w:rsid w:val="006F060E"/>
    <w:rsid w:val="006F0A41"/>
    <w:rsid w:val="006F11BD"/>
    <w:rsid w:val="006F2699"/>
    <w:rsid w:val="006F2F18"/>
    <w:rsid w:val="006F426B"/>
    <w:rsid w:val="006F61D7"/>
    <w:rsid w:val="006F62AB"/>
    <w:rsid w:val="006F7D3C"/>
    <w:rsid w:val="00700EB7"/>
    <w:rsid w:val="00701856"/>
    <w:rsid w:val="00702149"/>
    <w:rsid w:val="00702A30"/>
    <w:rsid w:val="007035E1"/>
    <w:rsid w:val="00704493"/>
    <w:rsid w:val="00704C12"/>
    <w:rsid w:val="00704DDF"/>
    <w:rsid w:val="00704E7A"/>
    <w:rsid w:val="00704F77"/>
    <w:rsid w:val="007059CC"/>
    <w:rsid w:val="007062E0"/>
    <w:rsid w:val="00706579"/>
    <w:rsid w:val="0070668A"/>
    <w:rsid w:val="00707C98"/>
    <w:rsid w:val="00710058"/>
    <w:rsid w:val="007103B5"/>
    <w:rsid w:val="00710476"/>
    <w:rsid w:val="0071060A"/>
    <w:rsid w:val="00712D63"/>
    <w:rsid w:val="0071330C"/>
    <w:rsid w:val="00713F98"/>
    <w:rsid w:val="007153B1"/>
    <w:rsid w:val="0071583B"/>
    <w:rsid w:val="007166BE"/>
    <w:rsid w:val="007166CC"/>
    <w:rsid w:val="0071733C"/>
    <w:rsid w:val="007200E2"/>
    <w:rsid w:val="007206EC"/>
    <w:rsid w:val="00720CB0"/>
    <w:rsid w:val="0072160E"/>
    <w:rsid w:val="00721E18"/>
    <w:rsid w:val="00722339"/>
    <w:rsid w:val="007224E5"/>
    <w:rsid w:val="00722E14"/>
    <w:rsid w:val="0072448A"/>
    <w:rsid w:val="0072529F"/>
    <w:rsid w:val="00725FFB"/>
    <w:rsid w:val="00726ACD"/>
    <w:rsid w:val="007275B8"/>
    <w:rsid w:val="007316D5"/>
    <w:rsid w:val="00732D9D"/>
    <w:rsid w:val="007335E8"/>
    <w:rsid w:val="007344EA"/>
    <w:rsid w:val="007346B9"/>
    <w:rsid w:val="00734CBF"/>
    <w:rsid w:val="00737F0F"/>
    <w:rsid w:val="00740076"/>
    <w:rsid w:val="007408BB"/>
    <w:rsid w:val="00741E1E"/>
    <w:rsid w:val="00741E95"/>
    <w:rsid w:val="007422B5"/>
    <w:rsid w:val="00744350"/>
    <w:rsid w:val="00744F3A"/>
    <w:rsid w:val="0074604D"/>
    <w:rsid w:val="00746683"/>
    <w:rsid w:val="0074787A"/>
    <w:rsid w:val="00747F22"/>
    <w:rsid w:val="0075086C"/>
    <w:rsid w:val="0075176B"/>
    <w:rsid w:val="00752940"/>
    <w:rsid w:val="00752F08"/>
    <w:rsid w:val="00754E62"/>
    <w:rsid w:val="00754F4D"/>
    <w:rsid w:val="007555DA"/>
    <w:rsid w:val="00756693"/>
    <w:rsid w:val="0075720F"/>
    <w:rsid w:val="007605A2"/>
    <w:rsid w:val="00761477"/>
    <w:rsid w:val="007615E9"/>
    <w:rsid w:val="00761E16"/>
    <w:rsid w:val="0076214E"/>
    <w:rsid w:val="007628F5"/>
    <w:rsid w:val="00763641"/>
    <w:rsid w:val="007636E9"/>
    <w:rsid w:val="007639EF"/>
    <w:rsid w:val="0077122D"/>
    <w:rsid w:val="00772956"/>
    <w:rsid w:val="007738D3"/>
    <w:rsid w:val="007739E4"/>
    <w:rsid w:val="00775C6F"/>
    <w:rsid w:val="00776BD8"/>
    <w:rsid w:val="007775C1"/>
    <w:rsid w:val="00777878"/>
    <w:rsid w:val="00780CC8"/>
    <w:rsid w:val="0078112E"/>
    <w:rsid w:val="00781ACD"/>
    <w:rsid w:val="007821A0"/>
    <w:rsid w:val="007821E5"/>
    <w:rsid w:val="00782247"/>
    <w:rsid w:val="007825C4"/>
    <w:rsid w:val="0078290C"/>
    <w:rsid w:val="00782CB1"/>
    <w:rsid w:val="007874FE"/>
    <w:rsid w:val="007907BE"/>
    <w:rsid w:val="0079145D"/>
    <w:rsid w:val="00792404"/>
    <w:rsid w:val="00792B90"/>
    <w:rsid w:val="00792FB6"/>
    <w:rsid w:val="00793A51"/>
    <w:rsid w:val="007951B5"/>
    <w:rsid w:val="00795C8F"/>
    <w:rsid w:val="007968C9"/>
    <w:rsid w:val="007979AC"/>
    <w:rsid w:val="007A0358"/>
    <w:rsid w:val="007A0EAE"/>
    <w:rsid w:val="007A1AA8"/>
    <w:rsid w:val="007A31EA"/>
    <w:rsid w:val="007A4436"/>
    <w:rsid w:val="007A6486"/>
    <w:rsid w:val="007A6C81"/>
    <w:rsid w:val="007A72A0"/>
    <w:rsid w:val="007A74A8"/>
    <w:rsid w:val="007A76CA"/>
    <w:rsid w:val="007B07F0"/>
    <w:rsid w:val="007B1985"/>
    <w:rsid w:val="007B2685"/>
    <w:rsid w:val="007B2697"/>
    <w:rsid w:val="007B354B"/>
    <w:rsid w:val="007B3EB3"/>
    <w:rsid w:val="007B45E3"/>
    <w:rsid w:val="007B4933"/>
    <w:rsid w:val="007B50F2"/>
    <w:rsid w:val="007C13ED"/>
    <w:rsid w:val="007C31B7"/>
    <w:rsid w:val="007C3F2F"/>
    <w:rsid w:val="007C409F"/>
    <w:rsid w:val="007C4370"/>
    <w:rsid w:val="007C5DED"/>
    <w:rsid w:val="007C600C"/>
    <w:rsid w:val="007D01D8"/>
    <w:rsid w:val="007D0B23"/>
    <w:rsid w:val="007D126C"/>
    <w:rsid w:val="007D138F"/>
    <w:rsid w:val="007D1B35"/>
    <w:rsid w:val="007D1D5E"/>
    <w:rsid w:val="007D2FC9"/>
    <w:rsid w:val="007D6C1B"/>
    <w:rsid w:val="007E06E0"/>
    <w:rsid w:val="007E1CB5"/>
    <w:rsid w:val="007E2C71"/>
    <w:rsid w:val="007E2FD9"/>
    <w:rsid w:val="007E30F7"/>
    <w:rsid w:val="007F1775"/>
    <w:rsid w:val="007F1E60"/>
    <w:rsid w:val="007F2A27"/>
    <w:rsid w:val="007F3359"/>
    <w:rsid w:val="007F4124"/>
    <w:rsid w:val="007F5082"/>
    <w:rsid w:val="007F6D91"/>
    <w:rsid w:val="007F7CA5"/>
    <w:rsid w:val="00800F99"/>
    <w:rsid w:val="00801EA8"/>
    <w:rsid w:val="00802209"/>
    <w:rsid w:val="008055AE"/>
    <w:rsid w:val="00805A4F"/>
    <w:rsid w:val="008064F6"/>
    <w:rsid w:val="00807D45"/>
    <w:rsid w:val="00811B46"/>
    <w:rsid w:val="00814A50"/>
    <w:rsid w:val="00815565"/>
    <w:rsid w:val="008156C3"/>
    <w:rsid w:val="00816E31"/>
    <w:rsid w:val="0081771C"/>
    <w:rsid w:val="008179E1"/>
    <w:rsid w:val="00817C82"/>
    <w:rsid w:val="008205F7"/>
    <w:rsid w:val="00820EDA"/>
    <w:rsid w:val="00821E36"/>
    <w:rsid w:val="00822511"/>
    <w:rsid w:val="008226E3"/>
    <w:rsid w:val="00823E57"/>
    <w:rsid w:val="00824547"/>
    <w:rsid w:val="00825CE1"/>
    <w:rsid w:val="00830D73"/>
    <w:rsid w:val="00832B44"/>
    <w:rsid w:val="008334C3"/>
    <w:rsid w:val="0083361C"/>
    <w:rsid w:val="00834850"/>
    <w:rsid w:val="0083559A"/>
    <w:rsid w:val="00835CBF"/>
    <w:rsid w:val="00837259"/>
    <w:rsid w:val="00837C5D"/>
    <w:rsid w:val="00837CA1"/>
    <w:rsid w:val="00842576"/>
    <w:rsid w:val="00842EE4"/>
    <w:rsid w:val="00845062"/>
    <w:rsid w:val="00845218"/>
    <w:rsid w:val="0084539E"/>
    <w:rsid w:val="00845594"/>
    <w:rsid w:val="00846700"/>
    <w:rsid w:val="008478C2"/>
    <w:rsid w:val="008512AA"/>
    <w:rsid w:val="00853DCE"/>
    <w:rsid w:val="00853F0F"/>
    <w:rsid w:val="00854697"/>
    <w:rsid w:val="00855ACD"/>
    <w:rsid w:val="00856C4F"/>
    <w:rsid w:val="00857895"/>
    <w:rsid w:val="00862AE9"/>
    <w:rsid w:val="008638C7"/>
    <w:rsid w:val="008650AE"/>
    <w:rsid w:val="0086579E"/>
    <w:rsid w:val="00865D80"/>
    <w:rsid w:val="00865E64"/>
    <w:rsid w:val="008677DB"/>
    <w:rsid w:val="00867A70"/>
    <w:rsid w:val="008727D2"/>
    <w:rsid w:val="00872FD2"/>
    <w:rsid w:val="00874C3D"/>
    <w:rsid w:val="008813B7"/>
    <w:rsid w:val="00883D7D"/>
    <w:rsid w:val="008845C5"/>
    <w:rsid w:val="00884C53"/>
    <w:rsid w:val="008859E1"/>
    <w:rsid w:val="008869F1"/>
    <w:rsid w:val="00886DD2"/>
    <w:rsid w:val="00887125"/>
    <w:rsid w:val="00887FFC"/>
    <w:rsid w:val="008917A5"/>
    <w:rsid w:val="008925D6"/>
    <w:rsid w:val="008925EF"/>
    <w:rsid w:val="00892A85"/>
    <w:rsid w:val="00892CF6"/>
    <w:rsid w:val="00893407"/>
    <w:rsid w:val="00894019"/>
    <w:rsid w:val="008946FD"/>
    <w:rsid w:val="00894D01"/>
    <w:rsid w:val="008958E8"/>
    <w:rsid w:val="00895DAE"/>
    <w:rsid w:val="008A1368"/>
    <w:rsid w:val="008A176F"/>
    <w:rsid w:val="008A2F2F"/>
    <w:rsid w:val="008A348F"/>
    <w:rsid w:val="008A6EB5"/>
    <w:rsid w:val="008A7DB7"/>
    <w:rsid w:val="008A7E08"/>
    <w:rsid w:val="008B0CC7"/>
    <w:rsid w:val="008B292A"/>
    <w:rsid w:val="008B35CF"/>
    <w:rsid w:val="008B5B44"/>
    <w:rsid w:val="008B5C21"/>
    <w:rsid w:val="008B5EDD"/>
    <w:rsid w:val="008B6110"/>
    <w:rsid w:val="008B6C0B"/>
    <w:rsid w:val="008C0F3B"/>
    <w:rsid w:val="008C22F0"/>
    <w:rsid w:val="008C2C0D"/>
    <w:rsid w:val="008C5578"/>
    <w:rsid w:val="008C5600"/>
    <w:rsid w:val="008C5B97"/>
    <w:rsid w:val="008C6611"/>
    <w:rsid w:val="008C7F7C"/>
    <w:rsid w:val="008D0B49"/>
    <w:rsid w:val="008D0FAC"/>
    <w:rsid w:val="008D1C64"/>
    <w:rsid w:val="008D2376"/>
    <w:rsid w:val="008D26F3"/>
    <w:rsid w:val="008D3F6D"/>
    <w:rsid w:val="008D3FCC"/>
    <w:rsid w:val="008D44D8"/>
    <w:rsid w:val="008D7FAD"/>
    <w:rsid w:val="008E1CDA"/>
    <w:rsid w:val="008E2829"/>
    <w:rsid w:val="008E2B09"/>
    <w:rsid w:val="008E3DDE"/>
    <w:rsid w:val="008E3E46"/>
    <w:rsid w:val="008E4BA9"/>
    <w:rsid w:val="008E788E"/>
    <w:rsid w:val="008E7D1D"/>
    <w:rsid w:val="008F0B2A"/>
    <w:rsid w:val="008F1ECD"/>
    <w:rsid w:val="008F4476"/>
    <w:rsid w:val="008F5902"/>
    <w:rsid w:val="008F6CFA"/>
    <w:rsid w:val="008F7532"/>
    <w:rsid w:val="00900051"/>
    <w:rsid w:val="00900838"/>
    <w:rsid w:val="009013C5"/>
    <w:rsid w:val="00903168"/>
    <w:rsid w:val="00903AF0"/>
    <w:rsid w:val="0090434B"/>
    <w:rsid w:val="00905AA4"/>
    <w:rsid w:val="00906561"/>
    <w:rsid w:val="009079C7"/>
    <w:rsid w:val="00911065"/>
    <w:rsid w:val="00911CE7"/>
    <w:rsid w:val="009138BA"/>
    <w:rsid w:val="0091556B"/>
    <w:rsid w:val="009156AA"/>
    <w:rsid w:val="00915DC3"/>
    <w:rsid w:val="00920023"/>
    <w:rsid w:val="0092003D"/>
    <w:rsid w:val="0092083E"/>
    <w:rsid w:val="0092152B"/>
    <w:rsid w:val="009215A6"/>
    <w:rsid w:val="009220FF"/>
    <w:rsid w:val="00922D95"/>
    <w:rsid w:val="00925573"/>
    <w:rsid w:val="00925B19"/>
    <w:rsid w:val="00926A6D"/>
    <w:rsid w:val="009319B2"/>
    <w:rsid w:val="00931E9D"/>
    <w:rsid w:val="00933823"/>
    <w:rsid w:val="009343FD"/>
    <w:rsid w:val="00934D59"/>
    <w:rsid w:val="00936326"/>
    <w:rsid w:val="009374C3"/>
    <w:rsid w:val="009401D9"/>
    <w:rsid w:val="00940660"/>
    <w:rsid w:val="00943B0E"/>
    <w:rsid w:val="00943C62"/>
    <w:rsid w:val="00944FD8"/>
    <w:rsid w:val="009468DD"/>
    <w:rsid w:val="00950E29"/>
    <w:rsid w:val="0095128E"/>
    <w:rsid w:val="00952765"/>
    <w:rsid w:val="009549BD"/>
    <w:rsid w:val="0096113C"/>
    <w:rsid w:val="00961ACD"/>
    <w:rsid w:val="00962192"/>
    <w:rsid w:val="009625BA"/>
    <w:rsid w:val="00962C97"/>
    <w:rsid w:val="0096354C"/>
    <w:rsid w:val="00963BF3"/>
    <w:rsid w:val="00965AFD"/>
    <w:rsid w:val="00965E67"/>
    <w:rsid w:val="00966A07"/>
    <w:rsid w:val="00966F8E"/>
    <w:rsid w:val="009703F6"/>
    <w:rsid w:val="0097241F"/>
    <w:rsid w:val="00972FEC"/>
    <w:rsid w:val="009746C2"/>
    <w:rsid w:val="00975365"/>
    <w:rsid w:val="00976E1C"/>
    <w:rsid w:val="00980063"/>
    <w:rsid w:val="00983383"/>
    <w:rsid w:val="00986638"/>
    <w:rsid w:val="00986663"/>
    <w:rsid w:val="00987BB7"/>
    <w:rsid w:val="0099164E"/>
    <w:rsid w:val="0099207E"/>
    <w:rsid w:val="009922F2"/>
    <w:rsid w:val="00992E9C"/>
    <w:rsid w:val="00993427"/>
    <w:rsid w:val="00993D7C"/>
    <w:rsid w:val="009940B7"/>
    <w:rsid w:val="00994E54"/>
    <w:rsid w:val="009952D8"/>
    <w:rsid w:val="009953A1"/>
    <w:rsid w:val="0099594B"/>
    <w:rsid w:val="00995BAA"/>
    <w:rsid w:val="00996B61"/>
    <w:rsid w:val="00997E0A"/>
    <w:rsid w:val="009A0400"/>
    <w:rsid w:val="009A0AF1"/>
    <w:rsid w:val="009A2D1C"/>
    <w:rsid w:val="009A33BF"/>
    <w:rsid w:val="009A40B2"/>
    <w:rsid w:val="009A5D65"/>
    <w:rsid w:val="009B15D3"/>
    <w:rsid w:val="009B238A"/>
    <w:rsid w:val="009B2915"/>
    <w:rsid w:val="009B3531"/>
    <w:rsid w:val="009B5BF6"/>
    <w:rsid w:val="009B70EF"/>
    <w:rsid w:val="009B7C5C"/>
    <w:rsid w:val="009C064E"/>
    <w:rsid w:val="009C080F"/>
    <w:rsid w:val="009C222B"/>
    <w:rsid w:val="009C3996"/>
    <w:rsid w:val="009C3FB1"/>
    <w:rsid w:val="009C4089"/>
    <w:rsid w:val="009C422A"/>
    <w:rsid w:val="009C4433"/>
    <w:rsid w:val="009C4672"/>
    <w:rsid w:val="009C4A2F"/>
    <w:rsid w:val="009C4C9F"/>
    <w:rsid w:val="009C554C"/>
    <w:rsid w:val="009C7C08"/>
    <w:rsid w:val="009C7F89"/>
    <w:rsid w:val="009D1139"/>
    <w:rsid w:val="009D2038"/>
    <w:rsid w:val="009D303A"/>
    <w:rsid w:val="009D4846"/>
    <w:rsid w:val="009D6C50"/>
    <w:rsid w:val="009E1B00"/>
    <w:rsid w:val="009E2C50"/>
    <w:rsid w:val="009E3350"/>
    <w:rsid w:val="009E39B4"/>
    <w:rsid w:val="009E5F9B"/>
    <w:rsid w:val="009E6BF8"/>
    <w:rsid w:val="009E6C35"/>
    <w:rsid w:val="009E728D"/>
    <w:rsid w:val="009F05C3"/>
    <w:rsid w:val="009F139F"/>
    <w:rsid w:val="009F1DCB"/>
    <w:rsid w:val="009F2527"/>
    <w:rsid w:val="009F2FCC"/>
    <w:rsid w:val="009F33CA"/>
    <w:rsid w:val="009F3BDA"/>
    <w:rsid w:val="009F43B2"/>
    <w:rsid w:val="009F4E43"/>
    <w:rsid w:val="009F56F3"/>
    <w:rsid w:val="009F6C78"/>
    <w:rsid w:val="009F6F45"/>
    <w:rsid w:val="009F7F6F"/>
    <w:rsid w:val="00A00B12"/>
    <w:rsid w:val="00A02C8B"/>
    <w:rsid w:val="00A02CAF"/>
    <w:rsid w:val="00A0420E"/>
    <w:rsid w:val="00A04719"/>
    <w:rsid w:val="00A053DE"/>
    <w:rsid w:val="00A07F82"/>
    <w:rsid w:val="00A12B13"/>
    <w:rsid w:val="00A14C13"/>
    <w:rsid w:val="00A166F6"/>
    <w:rsid w:val="00A16B71"/>
    <w:rsid w:val="00A20B68"/>
    <w:rsid w:val="00A21701"/>
    <w:rsid w:val="00A23236"/>
    <w:rsid w:val="00A23473"/>
    <w:rsid w:val="00A2417D"/>
    <w:rsid w:val="00A25F48"/>
    <w:rsid w:val="00A26177"/>
    <w:rsid w:val="00A27EDE"/>
    <w:rsid w:val="00A3029F"/>
    <w:rsid w:val="00A31352"/>
    <w:rsid w:val="00A32244"/>
    <w:rsid w:val="00A3387D"/>
    <w:rsid w:val="00A34AD2"/>
    <w:rsid w:val="00A3564E"/>
    <w:rsid w:val="00A364A4"/>
    <w:rsid w:val="00A36852"/>
    <w:rsid w:val="00A374CE"/>
    <w:rsid w:val="00A375FF"/>
    <w:rsid w:val="00A37B76"/>
    <w:rsid w:val="00A37D90"/>
    <w:rsid w:val="00A4007A"/>
    <w:rsid w:val="00A4038B"/>
    <w:rsid w:val="00A42CBC"/>
    <w:rsid w:val="00A430C4"/>
    <w:rsid w:val="00A43EA2"/>
    <w:rsid w:val="00A458BE"/>
    <w:rsid w:val="00A46BC3"/>
    <w:rsid w:val="00A5088B"/>
    <w:rsid w:val="00A526C3"/>
    <w:rsid w:val="00A52EB1"/>
    <w:rsid w:val="00A530D4"/>
    <w:rsid w:val="00A54D12"/>
    <w:rsid w:val="00A572CA"/>
    <w:rsid w:val="00A57541"/>
    <w:rsid w:val="00A60AF2"/>
    <w:rsid w:val="00A6150D"/>
    <w:rsid w:val="00A618AE"/>
    <w:rsid w:val="00A629F2"/>
    <w:rsid w:val="00A63EE3"/>
    <w:rsid w:val="00A67A63"/>
    <w:rsid w:val="00A70434"/>
    <w:rsid w:val="00A752E3"/>
    <w:rsid w:val="00A76BE8"/>
    <w:rsid w:val="00A76F9A"/>
    <w:rsid w:val="00A77B5A"/>
    <w:rsid w:val="00A77D7F"/>
    <w:rsid w:val="00A82FAB"/>
    <w:rsid w:val="00A849D8"/>
    <w:rsid w:val="00A850D2"/>
    <w:rsid w:val="00A85D11"/>
    <w:rsid w:val="00A86E85"/>
    <w:rsid w:val="00A87019"/>
    <w:rsid w:val="00A87303"/>
    <w:rsid w:val="00A874D6"/>
    <w:rsid w:val="00A90853"/>
    <w:rsid w:val="00A91483"/>
    <w:rsid w:val="00A94E82"/>
    <w:rsid w:val="00A950E7"/>
    <w:rsid w:val="00A96401"/>
    <w:rsid w:val="00A974A8"/>
    <w:rsid w:val="00AA08C2"/>
    <w:rsid w:val="00AA14D1"/>
    <w:rsid w:val="00AA25BD"/>
    <w:rsid w:val="00AA264C"/>
    <w:rsid w:val="00AA6DD0"/>
    <w:rsid w:val="00AA7983"/>
    <w:rsid w:val="00AA7A4A"/>
    <w:rsid w:val="00AA7F2F"/>
    <w:rsid w:val="00AB0148"/>
    <w:rsid w:val="00AB0B73"/>
    <w:rsid w:val="00AB2237"/>
    <w:rsid w:val="00AB3DDF"/>
    <w:rsid w:val="00AB4C93"/>
    <w:rsid w:val="00AB4EE0"/>
    <w:rsid w:val="00AB5039"/>
    <w:rsid w:val="00AB54AF"/>
    <w:rsid w:val="00AB6A38"/>
    <w:rsid w:val="00AB6AA4"/>
    <w:rsid w:val="00AB74E9"/>
    <w:rsid w:val="00AC033E"/>
    <w:rsid w:val="00AC0527"/>
    <w:rsid w:val="00AC164E"/>
    <w:rsid w:val="00AC2131"/>
    <w:rsid w:val="00AC248E"/>
    <w:rsid w:val="00AC2E8A"/>
    <w:rsid w:val="00AC3AB1"/>
    <w:rsid w:val="00AC50F6"/>
    <w:rsid w:val="00AC5F95"/>
    <w:rsid w:val="00AC710B"/>
    <w:rsid w:val="00AC71CA"/>
    <w:rsid w:val="00AC755E"/>
    <w:rsid w:val="00AD0A90"/>
    <w:rsid w:val="00AD22D9"/>
    <w:rsid w:val="00AD2AC9"/>
    <w:rsid w:val="00AD2EC3"/>
    <w:rsid w:val="00AD4FAA"/>
    <w:rsid w:val="00AD5551"/>
    <w:rsid w:val="00AD6475"/>
    <w:rsid w:val="00AD6A79"/>
    <w:rsid w:val="00AD6E40"/>
    <w:rsid w:val="00AD769C"/>
    <w:rsid w:val="00AE028C"/>
    <w:rsid w:val="00AE3168"/>
    <w:rsid w:val="00AE3F58"/>
    <w:rsid w:val="00AE4EEC"/>
    <w:rsid w:val="00AE631B"/>
    <w:rsid w:val="00AF0EDC"/>
    <w:rsid w:val="00AF1D27"/>
    <w:rsid w:val="00AF33F1"/>
    <w:rsid w:val="00AF5388"/>
    <w:rsid w:val="00AF5C03"/>
    <w:rsid w:val="00AF6E7A"/>
    <w:rsid w:val="00AF7FF6"/>
    <w:rsid w:val="00B009A9"/>
    <w:rsid w:val="00B021FA"/>
    <w:rsid w:val="00B0335E"/>
    <w:rsid w:val="00B03837"/>
    <w:rsid w:val="00B03D0D"/>
    <w:rsid w:val="00B04853"/>
    <w:rsid w:val="00B05213"/>
    <w:rsid w:val="00B052B7"/>
    <w:rsid w:val="00B0580F"/>
    <w:rsid w:val="00B05901"/>
    <w:rsid w:val="00B0674B"/>
    <w:rsid w:val="00B07F1D"/>
    <w:rsid w:val="00B104A7"/>
    <w:rsid w:val="00B105C3"/>
    <w:rsid w:val="00B110D5"/>
    <w:rsid w:val="00B13AE0"/>
    <w:rsid w:val="00B13B3F"/>
    <w:rsid w:val="00B14BFC"/>
    <w:rsid w:val="00B15111"/>
    <w:rsid w:val="00B157B7"/>
    <w:rsid w:val="00B15A85"/>
    <w:rsid w:val="00B15E50"/>
    <w:rsid w:val="00B169D0"/>
    <w:rsid w:val="00B16D93"/>
    <w:rsid w:val="00B177E6"/>
    <w:rsid w:val="00B206AE"/>
    <w:rsid w:val="00B210C2"/>
    <w:rsid w:val="00B24067"/>
    <w:rsid w:val="00B24898"/>
    <w:rsid w:val="00B256D4"/>
    <w:rsid w:val="00B25C00"/>
    <w:rsid w:val="00B2628C"/>
    <w:rsid w:val="00B26E32"/>
    <w:rsid w:val="00B30BE1"/>
    <w:rsid w:val="00B30BFE"/>
    <w:rsid w:val="00B32FE1"/>
    <w:rsid w:val="00B33BDB"/>
    <w:rsid w:val="00B34260"/>
    <w:rsid w:val="00B358A1"/>
    <w:rsid w:val="00B35EAE"/>
    <w:rsid w:val="00B36238"/>
    <w:rsid w:val="00B3700A"/>
    <w:rsid w:val="00B3750F"/>
    <w:rsid w:val="00B37A40"/>
    <w:rsid w:val="00B401AD"/>
    <w:rsid w:val="00B40651"/>
    <w:rsid w:val="00B4136E"/>
    <w:rsid w:val="00B41869"/>
    <w:rsid w:val="00B434D9"/>
    <w:rsid w:val="00B43942"/>
    <w:rsid w:val="00B44603"/>
    <w:rsid w:val="00B4501A"/>
    <w:rsid w:val="00B45663"/>
    <w:rsid w:val="00B46B10"/>
    <w:rsid w:val="00B47461"/>
    <w:rsid w:val="00B47A17"/>
    <w:rsid w:val="00B47D24"/>
    <w:rsid w:val="00B5086C"/>
    <w:rsid w:val="00B50AEA"/>
    <w:rsid w:val="00B50FA4"/>
    <w:rsid w:val="00B513A7"/>
    <w:rsid w:val="00B52B8C"/>
    <w:rsid w:val="00B5368C"/>
    <w:rsid w:val="00B54DF1"/>
    <w:rsid w:val="00B56258"/>
    <w:rsid w:val="00B566A5"/>
    <w:rsid w:val="00B57669"/>
    <w:rsid w:val="00B60848"/>
    <w:rsid w:val="00B61C15"/>
    <w:rsid w:val="00B62B8F"/>
    <w:rsid w:val="00B63BCA"/>
    <w:rsid w:val="00B64635"/>
    <w:rsid w:val="00B64C9B"/>
    <w:rsid w:val="00B6613E"/>
    <w:rsid w:val="00B66696"/>
    <w:rsid w:val="00B704C8"/>
    <w:rsid w:val="00B704E9"/>
    <w:rsid w:val="00B7058A"/>
    <w:rsid w:val="00B72718"/>
    <w:rsid w:val="00B73D76"/>
    <w:rsid w:val="00B73D92"/>
    <w:rsid w:val="00B74A9E"/>
    <w:rsid w:val="00B74BCA"/>
    <w:rsid w:val="00B7521D"/>
    <w:rsid w:val="00B76BA9"/>
    <w:rsid w:val="00B8025C"/>
    <w:rsid w:val="00B821E7"/>
    <w:rsid w:val="00B82FB7"/>
    <w:rsid w:val="00B83EC2"/>
    <w:rsid w:val="00B85C8D"/>
    <w:rsid w:val="00B868EF"/>
    <w:rsid w:val="00B86E7D"/>
    <w:rsid w:val="00B91F15"/>
    <w:rsid w:val="00B9230B"/>
    <w:rsid w:val="00B9288A"/>
    <w:rsid w:val="00B92C73"/>
    <w:rsid w:val="00BA01EE"/>
    <w:rsid w:val="00BA0F6F"/>
    <w:rsid w:val="00BA3BB2"/>
    <w:rsid w:val="00BA5A70"/>
    <w:rsid w:val="00BB0121"/>
    <w:rsid w:val="00BB0252"/>
    <w:rsid w:val="00BB03BB"/>
    <w:rsid w:val="00BB14B6"/>
    <w:rsid w:val="00BB1C0C"/>
    <w:rsid w:val="00BB2540"/>
    <w:rsid w:val="00BB316B"/>
    <w:rsid w:val="00BB6AE4"/>
    <w:rsid w:val="00BC2345"/>
    <w:rsid w:val="00BC27E8"/>
    <w:rsid w:val="00BC38E1"/>
    <w:rsid w:val="00BC3FAC"/>
    <w:rsid w:val="00BC4729"/>
    <w:rsid w:val="00BC5004"/>
    <w:rsid w:val="00BC60E7"/>
    <w:rsid w:val="00BC6728"/>
    <w:rsid w:val="00BC6984"/>
    <w:rsid w:val="00BC7D6A"/>
    <w:rsid w:val="00BD2C56"/>
    <w:rsid w:val="00BD3B7E"/>
    <w:rsid w:val="00BD3EBE"/>
    <w:rsid w:val="00BD5BA0"/>
    <w:rsid w:val="00BD5BCE"/>
    <w:rsid w:val="00BE0683"/>
    <w:rsid w:val="00BE2104"/>
    <w:rsid w:val="00BE2F34"/>
    <w:rsid w:val="00BE2FA6"/>
    <w:rsid w:val="00BE4B3D"/>
    <w:rsid w:val="00BE6124"/>
    <w:rsid w:val="00BE6D36"/>
    <w:rsid w:val="00BF0196"/>
    <w:rsid w:val="00BF0235"/>
    <w:rsid w:val="00BF0A70"/>
    <w:rsid w:val="00BF10E1"/>
    <w:rsid w:val="00BF139B"/>
    <w:rsid w:val="00BF1C47"/>
    <w:rsid w:val="00BF5FF2"/>
    <w:rsid w:val="00BF610E"/>
    <w:rsid w:val="00BF6971"/>
    <w:rsid w:val="00C00BC9"/>
    <w:rsid w:val="00C03065"/>
    <w:rsid w:val="00C05867"/>
    <w:rsid w:val="00C05CC0"/>
    <w:rsid w:val="00C0726D"/>
    <w:rsid w:val="00C10797"/>
    <w:rsid w:val="00C125F1"/>
    <w:rsid w:val="00C1286B"/>
    <w:rsid w:val="00C14454"/>
    <w:rsid w:val="00C14868"/>
    <w:rsid w:val="00C14FA0"/>
    <w:rsid w:val="00C162E3"/>
    <w:rsid w:val="00C16FDE"/>
    <w:rsid w:val="00C1703D"/>
    <w:rsid w:val="00C173F8"/>
    <w:rsid w:val="00C17D70"/>
    <w:rsid w:val="00C2379E"/>
    <w:rsid w:val="00C239C2"/>
    <w:rsid w:val="00C23F75"/>
    <w:rsid w:val="00C242AD"/>
    <w:rsid w:val="00C2446C"/>
    <w:rsid w:val="00C271AD"/>
    <w:rsid w:val="00C307A6"/>
    <w:rsid w:val="00C34FCD"/>
    <w:rsid w:val="00C353E8"/>
    <w:rsid w:val="00C35A4E"/>
    <w:rsid w:val="00C40185"/>
    <w:rsid w:val="00C40A16"/>
    <w:rsid w:val="00C41B0B"/>
    <w:rsid w:val="00C41BDA"/>
    <w:rsid w:val="00C41D63"/>
    <w:rsid w:val="00C4219B"/>
    <w:rsid w:val="00C4228C"/>
    <w:rsid w:val="00C42AD8"/>
    <w:rsid w:val="00C44613"/>
    <w:rsid w:val="00C45A0F"/>
    <w:rsid w:val="00C463FD"/>
    <w:rsid w:val="00C46DB7"/>
    <w:rsid w:val="00C51325"/>
    <w:rsid w:val="00C533B3"/>
    <w:rsid w:val="00C53904"/>
    <w:rsid w:val="00C547EF"/>
    <w:rsid w:val="00C55A0C"/>
    <w:rsid w:val="00C568DF"/>
    <w:rsid w:val="00C574DF"/>
    <w:rsid w:val="00C578A2"/>
    <w:rsid w:val="00C609F9"/>
    <w:rsid w:val="00C63D7F"/>
    <w:rsid w:val="00C64A62"/>
    <w:rsid w:val="00C65285"/>
    <w:rsid w:val="00C665C2"/>
    <w:rsid w:val="00C66953"/>
    <w:rsid w:val="00C670B1"/>
    <w:rsid w:val="00C70E33"/>
    <w:rsid w:val="00C71043"/>
    <w:rsid w:val="00C711BC"/>
    <w:rsid w:val="00C724C7"/>
    <w:rsid w:val="00C73B3D"/>
    <w:rsid w:val="00C73CF9"/>
    <w:rsid w:val="00C75098"/>
    <w:rsid w:val="00C7536B"/>
    <w:rsid w:val="00C753A4"/>
    <w:rsid w:val="00C77655"/>
    <w:rsid w:val="00C80B33"/>
    <w:rsid w:val="00C829AF"/>
    <w:rsid w:val="00C82E07"/>
    <w:rsid w:val="00C83411"/>
    <w:rsid w:val="00C83617"/>
    <w:rsid w:val="00C8432D"/>
    <w:rsid w:val="00C843B0"/>
    <w:rsid w:val="00C85FCF"/>
    <w:rsid w:val="00C865AA"/>
    <w:rsid w:val="00C87E84"/>
    <w:rsid w:val="00C92477"/>
    <w:rsid w:val="00C929D3"/>
    <w:rsid w:val="00C93138"/>
    <w:rsid w:val="00C936D3"/>
    <w:rsid w:val="00C94A6B"/>
    <w:rsid w:val="00C96C07"/>
    <w:rsid w:val="00C97584"/>
    <w:rsid w:val="00CA0B76"/>
    <w:rsid w:val="00CA166A"/>
    <w:rsid w:val="00CA1C3F"/>
    <w:rsid w:val="00CA4D17"/>
    <w:rsid w:val="00CA5279"/>
    <w:rsid w:val="00CA70F3"/>
    <w:rsid w:val="00CA7232"/>
    <w:rsid w:val="00CB0514"/>
    <w:rsid w:val="00CB1619"/>
    <w:rsid w:val="00CB2276"/>
    <w:rsid w:val="00CB304D"/>
    <w:rsid w:val="00CB4C23"/>
    <w:rsid w:val="00CB7501"/>
    <w:rsid w:val="00CC005F"/>
    <w:rsid w:val="00CC0F0B"/>
    <w:rsid w:val="00CC1074"/>
    <w:rsid w:val="00CC1F4A"/>
    <w:rsid w:val="00CC269A"/>
    <w:rsid w:val="00CC315E"/>
    <w:rsid w:val="00CC39ED"/>
    <w:rsid w:val="00CC4590"/>
    <w:rsid w:val="00CC4CD9"/>
    <w:rsid w:val="00CC762D"/>
    <w:rsid w:val="00CD0746"/>
    <w:rsid w:val="00CD0CB6"/>
    <w:rsid w:val="00CD1850"/>
    <w:rsid w:val="00CD3CFB"/>
    <w:rsid w:val="00CD40B2"/>
    <w:rsid w:val="00CD53BD"/>
    <w:rsid w:val="00CD5FED"/>
    <w:rsid w:val="00CD71E7"/>
    <w:rsid w:val="00CD733E"/>
    <w:rsid w:val="00CD7A1E"/>
    <w:rsid w:val="00CE0E7B"/>
    <w:rsid w:val="00CE2211"/>
    <w:rsid w:val="00CE2472"/>
    <w:rsid w:val="00CE554D"/>
    <w:rsid w:val="00CE728B"/>
    <w:rsid w:val="00CE79AA"/>
    <w:rsid w:val="00CF1614"/>
    <w:rsid w:val="00CF28D0"/>
    <w:rsid w:val="00CF29FF"/>
    <w:rsid w:val="00CF2C7C"/>
    <w:rsid w:val="00CF3A1B"/>
    <w:rsid w:val="00CF402E"/>
    <w:rsid w:val="00CF4B71"/>
    <w:rsid w:val="00CF5413"/>
    <w:rsid w:val="00CF77B4"/>
    <w:rsid w:val="00D0159F"/>
    <w:rsid w:val="00D044DB"/>
    <w:rsid w:val="00D0589F"/>
    <w:rsid w:val="00D06BC1"/>
    <w:rsid w:val="00D10883"/>
    <w:rsid w:val="00D11E68"/>
    <w:rsid w:val="00D12317"/>
    <w:rsid w:val="00D1341A"/>
    <w:rsid w:val="00D163A5"/>
    <w:rsid w:val="00D16618"/>
    <w:rsid w:val="00D1671F"/>
    <w:rsid w:val="00D16A01"/>
    <w:rsid w:val="00D17729"/>
    <w:rsid w:val="00D20647"/>
    <w:rsid w:val="00D20D9D"/>
    <w:rsid w:val="00D20ED3"/>
    <w:rsid w:val="00D21D20"/>
    <w:rsid w:val="00D21EDD"/>
    <w:rsid w:val="00D22410"/>
    <w:rsid w:val="00D24228"/>
    <w:rsid w:val="00D24564"/>
    <w:rsid w:val="00D257BA"/>
    <w:rsid w:val="00D26082"/>
    <w:rsid w:val="00D2655F"/>
    <w:rsid w:val="00D26C01"/>
    <w:rsid w:val="00D27170"/>
    <w:rsid w:val="00D27789"/>
    <w:rsid w:val="00D27ABA"/>
    <w:rsid w:val="00D30632"/>
    <w:rsid w:val="00D32CBE"/>
    <w:rsid w:val="00D33698"/>
    <w:rsid w:val="00D34076"/>
    <w:rsid w:val="00D341E3"/>
    <w:rsid w:val="00D3445D"/>
    <w:rsid w:val="00D35B44"/>
    <w:rsid w:val="00D403C4"/>
    <w:rsid w:val="00D4060C"/>
    <w:rsid w:val="00D419ED"/>
    <w:rsid w:val="00D41AF4"/>
    <w:rsid w:val="00D41C67"/>
    <w:rsid w:val="00D41E88"/>
    <w:rsid w:val="00D42495"/>
    <w:rsid w:val="00D42736"/>
    <w:rsid w:val="00D44250"/>
    <w:rsid w:val="00D4757D"/>
    <w:rsid w:val="00D505D4"/>
    <w:rsid w:val="00D507EE"/>
    <w:rsid w:val="00D50AE3"/>
    <w:rsid w:val="00D512ED"/>
    <w:rsid w:val="00D5207E"/>
    <w:rsid w:val="00D539D5"/>
    <w:rsid w:val="00D54820"/>
    <w:rsid w:val="00D54DA2"/>
    <w:rsid w:val="00D55E47"/>
    <w:rsid w:val="00D5634B"/>
    <w:rsid w:val="00D579B5"/>
    <w:rsid w:val="00D61ED5"/>
    <w:rsid w:val="00D654F2"/>
    <w:rsid w:val="00D65690"/>
    <w:rsid w:val="00D6770C"/>
    <w:rsid w:val="00D7002F"/>
    <w:rsid w:val="00D718A1"/>
    <w:rsid w:val="00D719FF"/>
    <w:rsid w:val="00D72118"/>
    <w:rsid w:val="00D725CC"/>
    <w:rsid w:val="00D726A2"/>
    <w:rsid w:val="00D732EF"/>
    <w:rsid w:val="00D74960"/>
    <w:rsid w:val="00D74A14"/>
    <w:rsid w:val="00D755A0"/>
    <w:rsid w:val="00D7586D"/>
    <w:rsid w:val="00D758BC"/>
    <w:rsid w:val="00D75AF7"/>
    <w:rsid w:val="00D779F0"/>
    <w:rsid w:val="00D77E6E"/>
    <w:rsid w:val="00D8014C"/>
    <w:rsid w:val="00D805CF"/>
    <w:rsid w:val="00D826AA"/>
    <w:rsid w:val="00D8295D"/>
    <w:rsid w:val="00D8368B"/>
    <w:rsid w:val="00D860DF"/>
    <w:rsid w:val="00D861E5"/>
    <w:rsid w:val="00D86ACB"/>
    <w:rsid w:val="00D917C6"/>
    <w:rsid w:val="00D9795F"/>
    <w:rsid w:val="00DA0729"/>
    <w:rsid w:val="00DA0AB6"/>
    <w:rsid w:val="00DA0BA6"/>
    <w:rsid w:val="00DA1C12"/>
    <w:rsid w:val="00DA1EC8"/>
    <w:rsid w:val="00DA5074"/>
    <w:rsid w:val="00DA66B8"/>
    <w:rsid w:val="00DA6BF5"/>
    <w:rsid w:val="00DA6E13"/>
    <w:rsid w:val="00DA7A76"/>
    <w:rsid w:val="00DB1742"/>
    <w:rsid w:val="00DB2847"/>
    <w:rsid w:val="00DB2997"/>
    <w:rsid w:val="00DB32D6"/>
    <w:rsid w:val="00DB3C10"/>
    <w:rsid w:val="00DB4297"/>
    <w:rsid w:val="00DB4FBF"/>
    <w:rsid w:val="00DB579D"/>
    <w:rsid w:val="00DB672C"/>
    <w:rsid w:val="00DB7D1A"/>
    <w:rsid w:val="00DC01BA"/>
    <w:rsid w:val="00DC12D7"/>
    <w:rsid w:val="00DC1F7B"/>
    <w:rsid w:val="00DC2219"/>
    <w:rsid w:val="00DC2461"/>
    <w:rsid w:val="00DC259A"/>
    <w:rsid w:val="00DC25B1"/>
    <w:rsid w:val="00DC2ABF"/>
    <w:rsid w:val="00DC35D3"/>
    <w:rsid w:val="00DC379D"/>
    <w:rsid w:val="00DC4711"/>
    <w:rsid w:val="00DC4ACA"/>
    <w:rsid w:val="00DC4D6F"/>
    <w:rsid w:val="00DC5C3F"/>
    <w:rsid w:val="00DD23F9"/>
    <w:rsid w:val="00DD2444"/>
    <w:rsid w:val="00DD2C2E"/>
    <w:rsid w:val="00DD3309"/>
    <w:rsid w:val="00DD38DD"/>
    <w:rsid w:val="00DD3A4C"/>
    <w:rsid w:val="00DD44B8"/>
    <w:rsid w:val="00DD651A"/>
    <w:rsid w:val="00DD6913"/>
    <w:rsid w:val="00DE1DEA"/>
    <w:rsid w:val="00DE2673"/>
    <w:rsid w:val="00DE2CD9"/>
    <w:rsid w:val="00DE38AC"/>
    <w:rsid w:val="00DF1DBE"/>
    <w:rsid w:val="00DF244C"/>
    <w:rsid w:val="00DF2E28"/>
    <w:rsid w:val="00DF347C"/>
    <w:rsid w:val="00DF356A"/>
    <w:rsid w:val="00DF4A08"/>
    <w:rsid w:val="00DF52A1"/>
    <w:rsid w:val="00DF601A"/>
    <w:rsid w:val="00DF6060"/>
    <w:rsid w:val="00DF6FD4"/>
    <w:rsid w:val="00DF7649"/>
    <w:rsid w:val="00E01F0D"/>
    <w:rsid w:val="00E02FF3"/>
    <w:rsid w:val="00E03A30"/>
    <w:rsid w:val="00E03D60"/>
    <w:rsid w:val="00E072B7"/>
    <w:rsid w:val="00E076F2"/>
    <w:rsid w:val="00E077FA"/>
    <w:rsid w:val="00E12791"/>
    <w:rsid w:val="00E1296D"/>
    <w:rsid w:val="00E13ECA"/>
    <w:rsid w:val="00E13F20"/>
    <w:rsid w:val="00E14BD3"/>
    <w:rsid w:val="00E22BBF"/>
    <w:rsid w:val="00E243EA"/>
    <w:rsid w:val="00E24B12"/>
    <w:rsid w:val="00E25BC0"/>
    <w:rsid w:val="00E26C40"/>
    <w:rsid w:val="00E3080F"/>
    <w:rsid w:val="00E31B21"/>
    <w:rsid w:val="00E33944"/>
    <w:rsid w:val="00E347A5"/>
    <w:rsid w:val="00E358D2"/>
    <w:rsid w:val="00E35D0D"/>
    <w:rsid w:val="00E367AD"/>
    <w:rsid w:val="00E40274"/>
    <w:rsid w:val="00E40BF0"/>
    <w:rsid w:val="00E41890"/>
    <w:rsid w:val="00E42132"/>
    <w:rsid w:val="00E422EE"/>
    <w:rsid w:val="00E44997"/>
    <w:rsid w:val="00E44E76"/>
    <w:rsid w:val="00E47277"/>
    <w:rsid w:val="00E51927"/>
    <w:rsid w:val="00E52040"/>
    <w:rsid w:val="00E529F0"/>
    <w:rsid w:val="00E54206"/>
    <w:rsid w:val="00E54A67"/>
    <w:rsid w:val="00E5552D"/>
    <w:rsid w:val="00E55B0F"/>
    <w:rsid w:val="00E5607B"/>
    <w:rsid w:val="00E56DF3"/>
    <w:rsid w:val="00E60211"/>
    <w:rsid w:val="00E62D83"/>
    <w:rsid w:val="00E634AE"/>
    <w:rsid w:val="00E638A5"/>
    <w:rsid w:val="00E64238"/>
    <w:rsid w:val="00E64667"/>
    <w:rsid w:val="00E648E9"/>
    <w:rsid w:val="00E651FC"/>
    <w:rsid w:val="00E65CA8"/>
    <w:rsid w:val="00E703DF"/>
    <w:rsid w:val="00E704B9"/>
    <w:rsid w:val="00E70CAE"/>
    <w:rsid w:val="00E717BD"/>
    <w:rsid w:val="00E71B92"/>
    <w:rsid w:val="00E725AB"/>
    <w:rsid w:val="00E730C7"/>
    <w:rsid w:val="00E746C1"/>
    <w:rsid w:val="00E75058"/>
    <w:rsid w:val="00E75119"/>
    <w:rsid w:val="00E76684"/>
    <w:rsid w:val="00E77FDF"/>
    <w:rsid w:val="00E81A27"/>
    <w:rsid w:val="00E8376D"/>
    <w:rsid w:val="00E83F1C"/>
    <w:rsid w:val="00E85788"/>
    <w:rsid w:val="00E8587B"/>
    <w:rsid w:val="00E8622A"/>
    <w:rsid w:val="00E87B89"/>
    <w:rsid w:val="00E91869"/>
    <w:rsid w:val="00E928BB"/>
    <w:rsid w:val="00E939DA"/>
    <w:rsid w:val="00E95E20"/>
    <w:rsid w:val="00E96C5A"/>
    <w:rsid w:val="00EA2557"/>
    <w:rsid w:val="00EA2872"/>
    <w:rsid w:val="00EA2B36"/>
    <w:rsid w:val="00EA3990"/>
    <w:rsid w:val="00EB009D"/>
    <w:rsid w:val="00EB0762"/>
    <w:rsid w:val="00EB1B01"/>
    <w:rsid w:val="00EB207F"/>
    <w:rsid w:val="00EB27DB"/>
    <w:rsid w:val="00EB3DCA"/>
    <w:rsid w:val="00EB6CF6"/>
    <w:rsid w:val="00EB6CFB"/>
    <w:rsid w:val="00EC0F6D"/>
    <w:rsid w:val="00EC390D"/>
    <w:rsid w:val="00EC4572"/>
    <w:rsid w:val="00EC510D"/>
    <w:rsid w:val="00EC51FC"/>
    <w:rsid w:val="00EC65DF"/>
    <w:rsid w:val="00EC6B5C"/>
    <w:rsid w:val="00EC7025"/>
    <w:rsid w:val="00EC7412"/>
    <w:rsid w:val="00EC7557"/>
    <w:rsid w:val="00EC75AA"/>
    <w:rsid w:val="00EC7649"/>
    <w:rsid w:val="00ED1109"/>
    <w:rsid w:val="00ED12A3"/>
    <w:rsid w:val="00ED1641"/>
    <w:rsid w:val="00ED17E5"/>
    <w:rsid w:val="00ED2569"/>
    <w:rsid w:val="00ED30BE"/>
    <w:rsid w:val="00ED4689"/>
    <w:rsid w:val="00ED6048"/>
    <w:rsid w:val="00ED759B"/>
    <w:rsid w:val="00ED791F"/>
    <w:rsid w:val="00ED7CC8"/>
    <w:rsid w:val="00EE070F"/>
    <w:rsid w:val="00EE1003"/>
    <w:rsid w:val="00EE227B"/>
    <w:rsid w:val="00EE4B27"/>
    <w:rsid w:val="00EE55DA"/>
    <w:rsid w:val="00EE5C3E"/>
    <w:rsid w:val="00EE66D7"/>
    <w:rsid w:val="00EE7031"/>
    <w:rsid w:val="00EF109A"/>
    <w:rsid w:val="00EF1FEB"/>
    <w:rsid w:val="00EF3696"/>
    <w:rsid w:val="00EF3BA4"/>
    <w:rsid w:val="00EF4726"/>
    <w:rsid w:val="00EF4F12"/>
    <w:rsid w:val="00EF5001"/>
    <w:rsid w:val="00EF5494"/>
    <w:rsid w:val="00EF67AC"/>
    <w:rsid w:val="00EF71CC"/>
    <w:rsid w:val="00F0085C"/>
    <w:rsid w:val="00F017BA"/>
    <w:rsid w:val="00F0424D"/>
    <w:rsid w:val="00F06571"/>
    <w:rsid w:val="00F07649"/>
    <w:rsid w:val="00F07B6B"/>
    <w:rsid w:val="00F10C2B"/>
    <w:rsid w:val="00F11DA8"/>
    <w:rsid w:val="00F11DAD"/>
    <w:rsid w:val="00F129B9"/>
    <w:rsid w:val="00F12BC0"/>
    <w:rsid w:val="00F14C9E"/>
    <w:rsid w:val="00F20D46"/>
    <w:rsid w:val="00F20F19"/>
    <w:rsid w:val="00F21350"/>
    <w:rsid w:val="00F215C5"/>
    <w:rsid w:val="00F22423"/>
    <w:rsid w:val="00F22C1D"/>
    <w:rsid w:val="00F2391B"/>
    <w:rsid w:val="00F23E44"/>
    <w:rsid w:val="00F24EEF"/>
    <w:rsid w:val="00F26574"/>
    <w:rsid w:val="00F32374"/>
    <w:rsid w:val="00F35999"/>
    <w:rsid w:val="00F37577"/>
    <w:rsid w:val="00F37A76"/>
    <w:rsid w:val="00F37FB5"/>
    <w:rsid w:val="00F40006"/>
    <w:rsid w:val="00F40131"/>
    <w:rsid w:val="00F40555"/>
    <w:rsid w:val="00F42CDF"/>
    <w:rsid w:val="00F43710"/>
    <w:rsid w:val="00F4381A"/>
    <w:rsid w:val="00F43B22"/>
    <w:rsid w:val="00F454E8"/>
    <w:rsid w:val="00F4582D"/>
    <w:rsid w:val="00F50F44"/>
    <w:rsid w:val="00F54C26"/>
    <w:rsid w:val="00F54D73"/>
    <w:rsid w:val="00F563DA"/>
    <w:rsid w:val="00F56784"/>
    <w:rsid w:val="00F57FBA"/>
    <w:rsid w:val="00F60AB6"/>
    <w:rsid w:val="00F6192A"/>
    <w:rsid w:val="00F626C6"/>
    <w:rsid w:val="00F63708"/>
    <w:rsid w:val="00F63A27"/>
    <w:rsid w:val="00F63E8D"/>
    <w:rsid w:val="00F652E5"/>
    <w:rsid w:val="00F65F28"/>
    <w:rsid w:val="00F711C0"/>
    <w:rsid w:val="00F731F5"/>
    <w:rsid w:val="00F73543"/>
    <w:rsid w:val="00F7395F"/>
    <w:rsid w:val="00F74381"/>
    <w:rsid w:val="00F7636D"/>
    <w:rsid w:val="00F76EB9"/>
    <w:rsid w:val="00F774FD"/>
    <w:rsid w:val="00F77955"/>
    <w:rsid w:val="00F80215"/>
    <w:rsid w:val="00F81F3A"/>
    <w:rsid w:val="00F826C3"/>
    <w:rsid w:val="00F83047"/>
    <w:rsid w:val="00F83590"/>
    <w:rsid w:val="00F83C9F"/>
    <w:rsid w:val="00F846B6"/>
    <w:rsid w:val="00F84BE6"/>
    <w:rsid w:val="00F84DCE"/>
    <w:rsid w:val="00F86A65"/>
    <w:rsid w:val="00F86D56"/>
    <w:rsid w:val="00F87FC2"/>
    <w:rsid w:val="00F9000E"/>
    <w:rsid w:val="00F901ED"/>
    <w:rsid w:val="00F90F89"/>
    <w:rsid w:val="00F911C7"/>
    <w:rsid w:val="00F92226"/>
    <w:rsid w:val="00F93AEA"/>
    <w:rsid w:val="00F93B72"/>
    <w:rsid w:val="00F95A9B"/>
    <w:rsid w:val="00F95F26"/>
    <w:rsid w:val="00F960CC"/>
    <w:rsid w:val="00F97523"/>
    <w:rsid w:val="00FA0907"/>
    <w:rsid w:val="00FA17EC"/>
    <w:rsid w:val="00FA1C52"/>
    <w:rsid w:val="00FA277A"/>
    <w:rsid w:val="00FA2935"/>
    <w:rsid w:val="00FA2A62"/>
    <w:rsid w:val="00FA5562"/>
    <w:rsid w:val="00FA6F1D"/>
    <w:rsid w:val="00FA73C6"/>
    <w:rsid w:val="00FA784A"/>
    <w:rsid w:val="00FB05A8"/>
    <w:rsid w:val="00FB084F"/>
    <w:rsid w:val="00FB1377"/>
    <w:rsid w:val="00FB142B"/>
    <w:rsid w:val="00FB1A19"/>
    <w:rsid w:val="00FB269F"/>
    <w:rsid w:val="00FB3B41"/>
    <w:rsid w:val="00FB5350"/>
    <w:rsid w:val="00FB5EF6"/>
    <w:rsid w:val="00FB6B1B"/>
    <w:rsid w:val="00FB7142"/>
    <w:rsid w:val="00FC0BD6"/>
    <w:rsid w:val="00FC166E"/>
    <w:rsid w:val="00FC1F5B"/>
    <w:rsid w:val="00FC2565"/>
    <w:rsid w:val="00FC2AD9"/>
    <w:rsid w:val="00FC318A"/>
    <w:rsid w:val="00FC3A6B"/>
    <w:rsid w:val="00FC55F1"/>
    <w:rsid w:val="00FC624C"/>
    <w:rsid w:val="00FC628E"/>
    <w:rsid w:val="00FC6468"/>
    <w:rsid w:val="00FC6615"/>
    <w:rsid w:val="00FD0F61"/>
    <w:rsid w:val="00FD4567"/>
    <w:rsid w:val="00FD4D16"/>
    <w:rsid w:val="00FD4FED"/>
    <w:rsid w:val="00FD758C"/>
    <w:rsid w:val="00FE31DD"/>
    <w:rsid w:val="00FE32BA"/>
    <w:rsid w:val="00FE409F"/>
    <w:rsid w:val="00FE56C4"/>
    <w:rsid w:val="00FE5A78"/>
    <w:rsid w:val="00FE677E"/>
    <w:rsid w:val="00FE757A"/>
    <w:rsid w:val="00FF0EC5"/>
    <w:rsid w:val="00FF1F55"/>
    <w:rsid w:val="00FF2B8B"/>
    <w:rsid w:val="00FF30D7"/>
    <w:rsid w:val="00FF3865"/>
    <w:rsid w:val="00FF6072"/>
    <w:rsid w:val="00FF6127"/>
    <w:rsid w:val="00FF658E"/>
    <w:rsid w:val="00FF694A"/>
    <w:rsid w:val="00FF776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7D6C1B"/>
  </w:style>
  <w:style w:type="paragraph" w:styleId="Heading1">
    <w:name w:val="heading 1"/>
    <w:basedOn w:val="Normal"/>
    <w:next w:val="Normal"/>
    <w:link w:val="Heading1Char"/>
    <w:uiPriority w:val="9"/>
    <w:qFormat/>
    <w:rsid w:val="001963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66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66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33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99"/>
    <w:qFormat/>
    <w:rsid w:val="00196335"/>
    <w:pPr>
      <w:outlineLvl w:val="9"/>
    </w:pPr>
    <w:rPr>
      <w:rFonts w:ascii="Cambria" w:eastAsia="Times New Roman" w:hAnsi="Cambria" w:cs="Times New Roman"/>
      <w:color w:val="365F91"/>
      <w:lang w:eastAsia="en-US"/>
    </w:rPr>
  </w:style>
  <w:style w:type="paragraph" w:styleId="TOC2">
    <w:name w:val="toc 2"/>
    <w:basedOn w:val="Normal"/>
    <w:next w:val="Normal"/>
    <w:autoRedefine/>
    <w:uiPriority w:val="39"/>
    <w:rsid w:val="00196335"/>
    <w:pPr>
      <w:spacing w:after="100"/>
      <w:ind w:left="220"/>
    </w:pPr>
    <w:rPr>
      <w:rFonts w:ascii="Calibri" w:eastAsia="Times New Roman" w:hAnsi="Calibri" w:cs="Times New Roman"/>
      <w:lang w:eastAsia="en-US"/>
    </w:rPr>
  </w:style>
  <w:style w:type="paragraph" w:styleId="TOC1">
    <w:name w:val="toc 1"/>
    <w:basedOn w:val="Normal"/>
    <w:next w:val="Normal"/>
    <w:autoRedefine/>
    <w:uiPriority w:val="39"/>
    <w:rsid w:val="00196335"/>
    <w:pPr>
      <w:spacing w:after="100"/>
    </w:pPr>
    <w:rPr>
      <w:rFonts w:ascii="Calibri" w:eastAsia="Times New Roman" w:hAnsi="Calibri" w:cs="Times New Roman"/>
      <w:lang w:eastAsia="en-US"/>
    </w:rPr>
  </w:style>
  <w:style w:type="paragraph" w:customStyle="1" w:styleId="Default">
    <w:name w:val="Default"/>
    <w:uiPriority w:val="99"/>
    <w:rsid w:val="002B5AC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rsid w:val="002B5AC9"/>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2B5AC9"/>
    <w:rPr>
      <w:rFonts w:ascii="Calibri" w:eastAsia="Times New Roman" w:hAnsi="Calibri" w:cs="Times New Roman"/>
      <w:sz w:val="20"/>
      <w:szCs w:val="20"/>
    </w:rPr>
  </w:style>
  <w:style w:type="character" w:styleId="FootnoteReference">
    <w:name w:val="footnote reference"/>
    <w:basedOn w:val="DefaultParagraphFont"/>
    <w:uiPriority w:val="99"/>
    <w:semiHidden/>
    <w:rsid w:val="002B5AC9"/>
    <w:rPr>
      <w:rFonts w:cs="Times New Roman"/>
      <w:vertAlign w:val="superscript"/>
    </w:rPr>
  </w:style>
  <w:style w:type="character" w:styleId="CommentReference">
    <w:name w:val="annotation reference"/>
    <w:basedOn w:val="DefaultParagraphFont"/>
    <w:uiPriority w:val="99"/>
    <w:semiHidden/>
    <w:rsid w:val="002B5AC9"/>
    <w:rPr>
      <w:rFonts w:cs="Times New Roman"/>
      <w:sz w:val="16"/>
      <w:szCs w:val="16"/>
    </w:rPr>
  </w:style>
  <w:style w:type="paragraph" w:styleId="CommentText">
    <w:name w:val="annotation text"/>
    <w:basedOn w:val="Normal"/>
    <w:link w:val="CommentTextChar"/>
    <w:uiPriority w:val="99"/>
    <w:semiHidden/>
    <w:rsid w:val="002B5AC9"/>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2B5AC9"/>
    <w:rPr>
      <w:rFonts w:ascii="Calibri" w:eastAsia="Times New Roman" w:hAnsi="Calibri" w:cs="Times New Roman"/>
      <w:sz w:val="20"/>
      <w:szCs w:val="20"/>
    </w:rPr>
  </w:style>
  <w:style w:type="character" w:customStyle="1" w:styleId="apple-style-span">
    <w:name w:val="apple-style-span"/>
    <w:basedOn w:val="DefaultParagraphFont"/>
    <w:rsid w:val="002B5AC9"/>
  </w:style>
  <w:style w:type="paragraph" w:styleId="BalloonText">
    <w:name w:val="Balloon Text"/>
    <w:basedOn w:val="Normal"/>
    <w:link w:val="BalloonTextChar"/>
    <w:uiPriority w:val="99"/>
    <w:semiHidden/>
    <w:unhideWhenUsed/>
    <w:rsid w:val="002B5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AC9"/>
    <w:rPr>
      <w:rFonts w:ascii="Tahoma" w:hAnsi="Tahoma" w:cs="Tahoma"/>
      <w:sz w:val="16"/>
      <w:szCs w:val="16"/>
    </w:rPr>
  </w:style>
  <w:style w:type="paragraph" w:styleId="ListParagraph">
    <w:name w:val="List Paragraph"/>
    <w:basedOn w:val="Normal"/>
    <w:uiPriority w:val="34"/>
    <w:qFormat/>
    <w:rsid w:val="00B8025C"/>
    <w:pPr>
      <w:ind w:left="720"/>
      <w:contextualSpacing/>
    </w:pPr>
  </w:style>
  <w:style w:type="paragraph" w:styleId="CommentSubject">
    <w:name w:val="annotation subject"/>
    <w:basedOn w:val="CommentText"/>
    <w:next w:val="CommentText"/>
    <w:link w:val="CommentSubjectChar"/>
    <w:uiPriority w:val="99"/>
    <w:semiHidden/>
    <w:unhideWhenUsed/>
    <w:rsid w:val="000A4CC0"/>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A4CC0"/>
    <w:rPr>
      <w:b/>
      <w:bCs/>
    </w:rPr>
  </w:style>
  <w:style w:type="character" w:styleId="Hyperlink">
    <w:name w:val="Hyperlink"/>
    <w:basedOn w:val="DefaultParagraphFont"/>
    <w:uiPriority w:val="99"/>
    <w:unhideWhenUsed/>
    <w:rsid w:val="00E03A30"/>
    <w:rPr>
      <w:color w:val="0000FF" w:themeColor="hyperlink"/>
      <w:u w:val="single"/>
    </w:rPr>
  </w:style>
  <w:style w:type="paragraph" w:styleId="NormalWeb">
    <w:name w:val="Normal (Web)"/>
    <w:basedOn w:val="Normal"/>
    <w:uiPriority w:val="99"/>
    <w:semiHidden/>
    <w:unhideWhenUsed/>
    <w:rsid w:val="00E13ECA"/>
    <w:rPr>
      <w:rFonts w:ascii="Times New Roman" w:hAnsi="Times New Roman" w:cs="Times New Roman"/>
      <w:sz w:val="24"/>
      <w:szCs w:val="24"/>
    </w:rPr>
  </w:style>
  <w:style w:type="paragraph" w:styleId="Header">
    <w:name w:val="header"/>
    <w:basedOn w:val="Normal"/>
    <w:link w:val="HeaderChar"/>
    <w:uiPriority w:val="99"/>
    <w:unhideWhenUsed/>
    <w:rsid w:val="0074668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46683"/>
  </w:style>
  <w:style w:type="paragraph" w:styleId="Footer">
    <w:name w:val="footer"/>
    <w:basedOn w:val="Normal"/>
    <w:link w:val="FooterChar"/>
    <w:uiPriority w:val="99"/>
    <w:unhideWhenUsed/>
    <w:rsid w:val="0074668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46683"/>
  </w:style>
  <w:style w:type="paragraph" w:styleId="HTMLPreformatted">
    <w:name w:val="HTML Preformatted"/>
    <w:basedOn w:val="Normal"/>
    <w:link w:val="HTMLPreformattedChar"/>
    <w:uiPriority w:val="99"/>
    <w:semiHidden/>
    <w:unhideWhenUsed/>
    <w:rsid w:val="005A508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A508D"/>
    <w:rPr>
      <w:rFonts w:ascii="Consolas" w:hAnsi="Consolas" w:cs="Consolas"/>
      <w:sz w:val="20"/>
      <w:szCs w:val="20"/>
    </w:rPr>
  </w:style>
  <w:style w:type="character" w:styleId="FollowedHyperlink">
    <w:name w:val="FollowedHyperlink"/>
    <w:basedOn w:val="DefaultParagraphFont"/>
    <w:uiPriority w:val="99"/>
    <w:semiHidden/>
    <w:unhideWhenUsed/>
    <w:rsid w:val="00CC762D"/>
    <w:rPr>
      <w:color w:val="800080" w:themeColor="followedHyperlink"/>
      <w:u w:val="single"/>
    </w:rPr>
  </w:style>
  <w:style w:type="character" w:styleId="Emphasis">
    <w:name w:val="Emphasis"/>
    <w:basedOn w:val="DefaultParagraphFont"/>
    <w:uiPriority w:val="20"/>
    <w:qFormat/>
    <w:rsid w:val="007408BB"/>
    <w:rPr>
      <w:i/>
      <w:iCs/>
    </w:rPr>
  </w:style>
  <w:style w:type="paragraph" w:styleId="Title">
    <w:name w:val="Title"/>
    <w:basedOn w:val="Heading3"/>
    <w:next w:val="Heading3"/>
    <w:link w:val="TitleChar"/>
    <w:uiPriority w:val="10"/>
    <w:qFormat/>
    <w:rsid w:val="000F6662"/>
    <w:pPr>
      <w:pBdr>
        <w:bottom w:val="single" w:sz="8" w:space="4" w:color="4F81BD" w:themeColor="accent1"/>
      </w:pBdr>
      <w:spacing w:after="300" w:line="240" w:lineRule="auto"/>
      <w:contextualSpacing/>
    </w:pPr>
    <w:rPr>
      <w:color w:val="17365D" w:themeColor="text2" w:themeShade="BF"/>
      <w:spacing w:val="5"/>
      <w:kern w:val="28"/>
      <w:sz w:val="52"/>
      <w:szCs w:val="52"/>
    </w:rPr>
  </w:style>
  <w:style w:type="character" w:customStyle="1" w:styleId="TitleChar">
    <w:name w:val="Title Char"/>
    <w:basedOn w:val="DefaultParagraphFont"/>
    <w:link w:val="Title"/>
    <w:uiPriority w:val="10"/>
    <w:rsid w:val="000F6662"/>
    <w:rPr>
      <w:rFonts w:asciiTheme="majorHAnsi" w:eastAsiaTheme="majorEastAsia" w:hAnsiTheme="majorHAnsi" w:cstheme="majorBidi"/>
      <w:b/>
      <w:bCs/>
      <w:color w:val="17365D" w:themeColor="text2" w:themeShade="BF"/>
      <w:spacing w:val="5"/>
      <w:kern w:val="28"/>
      <w:sz w:val="52"/>
      <w:szCs w:val="52"/>
    </w:rPr>
  </w:style>
  <w:style w:type="character" w:customStyle="1" w:styleId="Heading2Char">
    <w:name w:val="Heading 2 Char"/>
    <w:basedOn w:val="DefaultParagraphFont"/>
    <w:link w:val="Heading2"/>
    <w:uiPriority w:val="9"/>
    <w:rsid w:val="000F66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F6662"/>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0F6662"/>
    <w:pPr>
      <w:spacing w:after="100"/>
      <w:ind w:left="440"/>
    </w:pPr>
  </w:style>
  <w:style w:type="character" w:styleId="PlaceholderText">
    <w:name w:val="Placeholder Text"/>
    <w:basedOn w:val="DefaultParagraphFont"/>
    <w:uiPriority w:val="99"/>
    <w:semiHidden/>
    <w:rsid w:val="00FE56C4"/>
    <w:rPr>
      <w:color w:val="808080"/>
    </w:rPr>
  </w:style>
  <w:style w:type="character" w:customStyle="1" w:styleId="hps">
    <w:name w:val="hps"/>
    <w:basedOn w:val="DefaultParagraphFont"/>
    <w:rsid w:val="00434CE8"/>
  </w:style>
</w:styles>
</file>

<file path=word/webSettings.xml><?xml version="1.0" encoding="utf-8"?>
<w:webSettings xmlns:r="http://schemas.openxmlformats.org/officeDocument/2006/relationships" xmlns:w="http://schemas.openxmlformats.org/wordprocessingml/2006/main">
  <w:divs>
    <w:div w:id="20668606">
      <w:bodyDiv w:val="1"/>
      <w:marLeft w:val="0"/>
      <w:marRight w:val="0"/>
      <w:marTop w:val="0"/>
      <w:marBottom w:val="0"/>
      <w:divBdr>
        <w:top w:val="none" w:sz="0" w:space="0" w:color="auto"/>
        <w:left w:val="none" w:sz="0" w:space="0" w:color="auto"/>
        <w:bottom w:val="none" w:sz="0" w:space="0" w:color="auto"/>
        <w:right w:val="none" w:sz="0" w:space="0" w:color="auto"/>
      </w:divBdr>
    </w:div>
    <w:div w:id="151146745">
      <w:bodyDiv w:val="1"/>
      <w:marLeft w:val="0"/>
      <w:marRight w:val="0"/>
      <w:marTop w:val="0"/>
      <w:marBottom w:val="0"/>
      <w:divBdr>
        <w:top w:val="none" w:sz="0" w:space="0" w:color="auto"/>
        <w:left w:val="none" w:sz="0" w:space="0" w:color="auto"/>
        <w:bottom w:val="none" w:sz="0" w:space="0" w:color="auto"/>
        <w:right w:val="none" w:sz="0" w:space="0" w:color="auto"/>
      </w:divBdr>
    </w:div>
    <w:div w:id="253326536">
      <w:bodyDiv w:val="1"/>
      <w:marLeft w:val="0"/>
      <w:marRight w:val="0"/>
      <w:marTop w:val="0"/>
      <w:marBottom w:val="0"/>
      <w:divBdr>
        <w:top w:val="none" w:sz="0" w:space="0" w:color="auto"/>
        <w:left w:val="none" w:sz="0" w:space="0" w:color="auto"/>
        <w:bottom w:val="none" w:sz="0" w:space="0" w:color="auto"/>
        <w:right w:val="none" w:sz="0" w:space="0" w:color="auto"/>
      </w:divBdr>
    </w:div>
    <w:div w:id="378557668">
      <w:bodyDiv w:val="1"/>
      <w:marLeft w:val="0"/>
      <w:marRight w:val="0"/>
      <w:marTop w:val="0"/>
      <w:marBottom w:val="0"/>
      <w:divBdr>
        <w:top w:val="none" w:sz="0" w:space="0" w:color="auto"/>
        <w:left w:val="none" w:sz="0" w:space="0" w:color="auto"/>
        <w:bottom w:val="none" w:sz="0" w:space="0" w:color="auto"/>
        <w:right w:val="none" w:sz="0" w:space="0" w:color="auto"/>
      </w:divBdr>
    </w:div>
    <w:div w:id="587929607">
      <w:bodyDiv w:val="1"/>
      <w:marLeft w:val="0"/>
      <w:marRight w:val="0"/>
      <w:marTop w:val="0"/>
      <w:marBottom w:val="0"/>
      <w:divBdr>
        <w:top w:val="none" w:sz="0" w:space="0" w:color="auto"/>
        <w:left w:val="none" w:sz="0" w:space="0" w:color="auto"/>
        <w:bottom w:val="none" w:sz="0" w:space="0" w:color="auto"/>
        <w:right w:val="none" w:sz="0" w:space="0" w:color="auto"/>
      </w:divBdr>
    </w:div>
    <w:div w:id="1221205628">
      <w:bodyDiv w:val="1"/>
      <w:marLeft w:val="0"/>
      <w:marRight w:val="0"/>
      <w:marTop w:val="0"/>
      <w:marBottom w:val="0"/>
      <w:divBdr>
        <w:top w:val="none" w:sz="0" w:space="0" w:color="auto"/>
        <w:left w:val="none" w:sz="0" w:space="0" w:color="auto"/>
        <w:bottom w:val="none" w:sz="0" w:space="0" w:color="auto"/>
        <w:right w:val="none" w:sz="0" w:space="0" w:color="auto"/>
      </w:divBdr>
    </w:div>
    <w:div w:id="1287813088">
      <w:bodyDiv w:val="1"/>
      <w:marLeft w:val="0"/>
      <w:marRight w:val="0"/>
      <w:marTop w:val="0"/>
      <w:marBottom w:val="0"/>
      <w:divBdr>
        <w:top w:val="none" w:sz="0" w:space="0" w:color="auto"/>
        <w:left w:val="none" w:sz="0" w:space="0" w:color="auto"/>
        <w:bottom w:val="none" w:sz="0" w:space="0" w:color="auto"/>
        <w:right w:val="none" w:sz="0" w:space="0" w:color="auto"/>
      </w:divBdr>
    </w:div>
    <w:div w:id="1805467558">
      <w:bodyDiv w:val="1"/>
      <w:marLeft w:val="0"/>
      <w:marRight w:val="0"/>
      <w:marTop w:val="0"/>
      <w:marBottom w:val="0"/>
      <w:divBdr>
        <w:top w:val="none" w:sz="0" w:space="0" w:color="auto"/>
        <w:left w:val="none" w:sz="0" w:space="0" w:color="auto"/>
        <w:bottom w:val="none" w:sz="0" w:space="0" w:color="auto"/>
        <w:right w:val="none" w:sz="0" w:space="0" w:color="auto"/>
      </w:divBdr>
    </w:div>
    <w:div w:id="2000380315">
      <w:bodyDiv w:val="1"/>
      <w:marLeft w:val="0"/>
      <w:marRight w:val="0"/>
      <w:marTop w:val="0"/>
      <w:marBottom w:val="0"/>
      <w:divBdr>
        <w:top w:val="none" w:sz="0" w:space="0" w:color="auto"/>
        <w:left w:val="none" w:sz="0" w:space="0" w:color="auto"/>
        <w:bottom w:val="none" w:sz="0" w:space="0" w:color="auto"/>
        <w:right w:val="none" w:sz="0" w:space="0" w:color="auto"/>
      </w:divBdr>
    </w:div>
    <w:div w:id="205739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consumers/rights/%20docs/COMM_PDF_COM_2008_0614_F_LT_PROPOSITION_DE_DIRECTIVE.pdf" TargetMode="External"/><Relationship Id="rId13" Type="http://schemas.openxmlformats.org/officeDocument/2006/relationships/hyperlink" Target="http://eur-lex.europa.eu/LexUriServ/LexUriServ.do?uri=COM:2011:0635:FIN:e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rontpage.cbs.dk/law/commission_on_european_contract_law/PECL%20engelsk/engelsk_partI_og_II.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aulius.cem@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ypoccbe2.ntc.be/fileadmin/user_upload/NTCdocument/DCFRpdf1_1262861061.pdf" TargetMode="External"/><Relationship Id="rId5" Type="http://schemas.openxmlformats.org/officeDocument/2006/relationships/webSettings" Target="webSettings.xml"/><Relationship Id="rId15" Type="http://schemas.openxmlformats.org/officeDocument/2006/relationships/hyperlink" Target="http://ec.europa.eu/consumers/rights/docs/consumer_law_compendium_comparative_analysis_en_final.pdf" TargetMode="External"/><Relationship Id="rId10" Type="http://schemas.openxmlformats.org/officeDocument/2006/relationships/hyperlink" Target="http://ec.europa.eu/consumers/cons_int/safe_shop/unf_cont_terms/uct03_e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c.europa.eu/consumers/cons_int/safe_shop/acquis/green-paper_cons_acquis_lt.pdf" TargetMode="External"/><Relationship Id="rId14" Type="http://schemas.openxmlformats.org/officeDocument/2006/relationships/hyperlink" Target="http://www.unidroit.org/english/principles/contracts/principles2010/integralversionprinciples2010-e.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xUriServ/LexUriServ.do?uri=COM:2011:0635:FIN:en:PDF" TargetMode="External"/><Relationship Id="rId13" Type="http://schemas.openxmlformats.org/officeDocument/2006/relationships/hyperlink" Target="http://ec.europa.eu/consumers/rights/docs/consumer_law_compendium_comparative_analysis_en_final.pdf" TargetMode="External"/><Relationship Id="rId3" Type="http://schemas.openxmlformats.org/officeDocument/2006/relationships/hyperlink" Target="http://ec.europa.eu/consumers/rights/docs/consumer_law_compendium_comparative_analysis_en_final.pdf" TargetMode="External"/><Relationship Id="rId7" Type="http://schemas.openxmlformats.org/officeDocument/2006/relationships/hyperlink" Target="http://frontpage.cbs.dk/law/commission_on_european_contract_law/PECL%20engelsk/engelsk_partI_og_II.htm" TargetMode="External"/><Relationship Id="rId12" Type="http://schemas.openxmlformats.org/officeDocument/2006/relationships/hyperlink" Target="http://ec.europa.eu/consumers/rights/docs/consumer_law_compendium_comparative_analysis_en_final.pdf" TargetMode="External"/><Relationship Id="rId2" Type="http://schemas.openxmlformats.org/officeDocument/2006/relationships/hyperlink" Target="http://ec.europa.eu/consumers/cons_int/safe_shop/acquis/green-paper_cons_acquis_lt.pdf" TargetMode="External"/><Relationship Id="rId1" Type="http://schemas.openxmlformats.org/officeDocument/2006/relationships/hyperlink" Target="http://ec.europa.eu/consumers/cons_int/safe_shop/acquis/green-paper_cons_acquis_lt.pdf" TargetMode="External"/><Relationship Id="rId6" Type="http://schemas.openxmlformats.org/officeDocument/2006/relationships/hyperlink" Target="http://typoccbe2.ntc.be/fileadmin/user_upload/NTCdocument/DCFRpdf1_1262861061.pdf" TargetMode="External"/><Relationship Id="rId11" Type="http://schemas.openxmlformats.org/officeDocument/2006/relationships/hyperlink" Target="http://ec.europa.eu/consumers/rights/docs/consumer_law_compendium_comparative_analysis_en_final.pdf" TargetMode="External"/><Relationship Id="rId5" Type="http://schemas.openxmlformats.org/officeDocument/2006/relationships/hyperlink" Target="http://ec.europa.eu/consumers/cons_int/safe_shop/acquis/green-paper_cons_acquis_lt.pdf" TargetMode="External"/><Relationship Id="rId10" Type="http://schemas.openxmlformats.org/officeDocument/2006/relationships/hyperlink" Target="http://ec.europa.eu/consumers/rights/docs/consumer_law_compendium_comparative_analysis_en_final.pdf" TargetMode="External"/><Relationship Id="rId4" Type="http://schemas.openxmlformats.org/officeDocument/2006/relationships/hyperlink" Target="http://ec.europa.eu/consumers/cons_int/safe_shop/acquis/green-paper_cons_acquis_lt.pdf" TargetMode="External"/><Relationship Id="rId9" Type="http://schemas.openxmlformats.org/officeDocument/2006/relationships/hyperlink" Target="http://www.unidroit.org/english/principles/contracts/principles2010/integralversionprinciples2010-e.pdf" TargetMode="External"/><Relationship Id="rId14" Type="http://schemas.openxmlformats.org/officeDocument/2006/relationships/hyperlink" Target="http://ec.europa.eu/consumers/cons_int/safe_shop/unf_cont_terms/uct03_en.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E5B59-2BD1-476B-BCCD-90957085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7264</TotalTime>
  <Pages>89</Pages>
  <Words>141084</Words>
  <Characters>80419</Characters>
  <Application>Microsoft Office Word</Application>
  <DocSecurity>0</DocSecurity>
  <Lines>670</Lines>
  <Paragraphs>442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221061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86</cp:revision>
  <dcterms:created xsi:type="dcterms:W3CDTF">2012-12-12T15:39:00Z</dcterms:created>
  <dcterms:modified xsi:type="dcterms:W3CDTF">2013-01-08T15:15:00Z</dcterms:modified>
</cp:coreProperties>
</file>