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iagrams/drawing2.xml" ContentType="application/vnd.ms-office.drawingml.diagramDrawing+xml"/>
  <Override PartName="/word/diagrams/drawing1.xml" ContentType="application/vnd.ms-office.drawingml.diagramDrawing+xml"/>
  <Default Extension="tiff" ContentType="image/tif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EB4" w:rsidRPr="00BC7D15" w:rsidRDefault="00CB6286" w:rsidP="00201CAE">
      <w:pPr>
        <w:tabs>
          <w:tab w:val="left" w:pos="0"/>
          <w:tab w:val="left" w:pos="3402"/>
        </w:tabs>
        <w:spacing w:line="276" w:lineRule="auto"/>
        <w:jc w:val="center"/>
        <w:rPr>
          <w:color w:val="000000"/>
          <w:sz w:val="32"/>
          <w:szCs w:val="32"/>
        </w:rPr>
      </w:pPr>
      <w:bookmarkStart w:id="0" w:name="_Toc328359406"/>
      <w:bookmarkStart w:id="1" w:name="_Toc328359491"/>
      <w:bookmarkStart w:id="2" w:name="_Toc328359546"/>
      <w:r w:rsidRPr="00CB6286">
        <w:rPr>
          <w:b/>
          <w:noProof/>
          <w:color w:val="000000"/>
          <w:sz w:val="32"/>
          <w:szCs w:val="32"/>
          <w:lang w:eastAsia="lt-LT"/>
        </w:rPr>
        <w:pict>
          <v:rect id="_x0000_s1027" style="position:absolute;left:0;text-align:left;margin-left:245.7pt;margin-top:-64.8pt;width:15.75pt;height:23.25pt;z-index:251662336" stroked="f"/>
        </w:pict>
      </w:r>
      <w:r w:rsidR="00B00EB4" w:rsidRPr="00BC7D15">
        <w:rPr>
          <w:b/>
          <w:color w:val="000000"/>
          <w:sz w:val="32"/>
          <w:szCs w:val="32"/>
        </w:rPr>
        <w:t>MYKOLO ROMERIO UNIVERSITETAS</w:t>
      </w:r>
      <w:r w:rsidR="00B00EB4" w:rsidRPr="00BC7D15">
        <w:rPr>
          <w:color w:val="000000"/>
          <w:sz w:val="32"/>
          <w:szCs w:val="32"/>
        </w:rPr>
        <w:t xml:space="preserve"> </w:t>
      </w:r>
    </w:p>
    <w:p w:rsidR="00B00EB4" w:rsidRPr="00BC7D15" w:rsidRDefault="00B00EB4" w:rsidP="00201CAE">
      <w:pPr>
        <w:tabs>
          <w:tab w:val="left" w:pos="0"/>
          <w:tab w:val="left" w:pos="3402"/>
        </w:tabs>
        <w:spacing w:line="276" w:lineRule="auto"/>
        <w:jc w:val="center"/>
        <w:rPr>
          <w:b/>
          <w:bCs/>
          <w:color w:val="000000"/>
          <w:sz w:val="28"/>
          <w:szCs w:val="28"/>
        </w:rPr>
      </w:pPr>
      <w:r w:rsidRPr="00BC7D15">
        <w:rPr>
          <w:b/>
          <w:bCs/>
          <w:color w:val="000000"/>
          <w:sz w:val="28"/>
          <w:szCs w:val="28"/>
        </w:rPr>
        <w:t>EKONOMIKOS IR FINANSŲ VALDYMO FAKULTETAS</w:t>
      </w:r>
    </w:p>
    <w:p w:rsidR="00B00EB4" w:rsidRPr="00B00EB4" w:rsidRDefault="00B00EB4" w:rsidP="00201CAE">
      <w:pPr>
        <w:tabs>
          <w:tab w:val="left" w:pos="0"/>
          <w:tab w:val="left" w:pos="3402"/>
        </w:tabs>
        <w:spacing w:line="276" w:lineRule="auto"/>
        <w:jc w:val="center"/>
        <w:rPr>
          <w:b/>
          <w:color w:val="000000"/>
          <w:szCs w:val="24"/>
        </w:rPr>
      </w:pPr>
      <w:r w:rsidRPr="00B00EB4">
        <w:rPr>
          <w:b/>
          <w:color w:val="000000"/>
          <w:szCs w:val="24"/>
        </w:rPr>
        <w:t>BANKININKYSTĖS IR INVESTICIJŲ KATEDRA</w:t>
      </w:r>
    </w:p>
    <w:p w:rsidR="00B00EB4" w:rsidRPr="00B00EB4" w:rsidRDefault="00B00EB4" w:rsidP="00B00EB4">
      <w:pPr>
        <w:tabs>
          <w:tab w:val="left" w:pos="0"/>
          <w:tab w:val="left" w:pos="3402"/>
        </w:tabs>
        <w:spacing w:line="240" w:lineRule="auto"/>
        <w:jc w:val="center"/>
        <w:rPr>
          <w:b/>
          <w:color w:val="000000"/>
          <w:szCs w:val="24"/>
        </w:rPr>
      </w:pPr>
    </w:p>
    <w:p w:rsidR="00B00EB4" w:rsidRPr="00B00EB4" w:rsidRDefault="00B00EB4" w:rsidP="00B00EB4">
      <w:pPr>
        <w:tabs>
          <w:tab w:val="left" w:pos="0"/>
          <w:tab w:val="left" w:pos="3402"/>
        </w:tabs>
        <w:spacing w:line="240" w:lineRule="auto"/>
        <w:jc w:val="center"/>
        <w:rPr>
          <w:b/>
          <w:color w:val="000000"/>
          <w:szCs w:val="24"/>
        </w:rPr>
      </w:pPr>
    </w:p>
    <w:p w:rsidR="00B00EB4" w:rsidRDefault="00B00EB4" w:rsidP="00B00EB4">
      <w:pPr>
        <w:tabs>
          <w:tab w:val="left" w:pos="0"/>
          <w:tab w:val="left" w:pos="3402"/>
        </w:tabs>
        <w:spacing w:line="240" w:lineRule="auto"/>
        <w:jc w:val="center"/>
        <w:rPr>
          <w:b/>
          <w:color w:val="000000"/>
          <w:szCs w:val="24"/>
        </w:rPr>
      </w:pPr>
    </w:p>
    <w:p w:rsidR="00B00EB4" w:rsidRDefault="00B00EB4" w:rsidP="00B00EB4">
      <w:pPr>
        <w:tabs>
          <w:tab w:val="left" w:pos="0"/>
          <w:tab w:val="left" w:pos="3402"/>
        </w:tabs>
        <w:spacing w:line="240" w:lineRule="auto"/>
        <w:jc w:val="center"/>
        <w:rPr>
          <w:b/>
          <w:color w:val="000000"/>
          <w:szCs w:val="24"/>
        </w:rPr>
      </w:pPr>
    </w:p>
    <w:p w:rsidR="00B00EB4" w:rsidRDefault="00B00EB4" w:rsidP="00B00EB4">
      <w:pPr>
        <w:tabs>
          <w:tab w:val="left" w:pos="0"/>
          <w:tab w:val="left" w:pos="3402"/>
        </w:tabs>
        <w:spacing w:line="240" w:lineRule="auto"/>
        <w:jc w:val="center"/>
        <w:rPr>
          <w:b/>
          <w:color w:val="000000"/>
          <w:szCs w:val="24"/>
        </w:rPr>
      </w:pPr>
    </w:p>
    <w:p w:rsidR="00B00EB4" w:rsidRDefault="00B00EB4" w:rsidP="00B00EB4">
      <w:pPr>
        <w:tabs>
          <w:tab w:val="left" w:pos="0"/>
          <w:tab w:val="left" w:pos="3402"/>
        </w:tabs>
        <w:spacing w:line="240" w:lineRule="auto"/>
        <w:jc w:val="center"/>
        <w:rPr>
          <w:b/>
          <w:color w:val="000000"/>
          <w:szCs w:val="24"/>
        </w:rPr>
      </w:pPr>
    </w:p>
    <w:p w:rsidR="00B00EB4" w:rsidRPr="00B00EB4" w:rsidRDefault="00B00EB4" w:rsidP="00B00EB4">
      <w:pPr>
        <w:tabs>
          <w:tab w:val="left" w:pos="0"/>
          <w:tab w:val="left" w:pos="3402"/>
        </w:tabs>
        <w:spacing w:line="240" w:lineRule="auto"/>
        <w:jc w:val="center"/>
        <w:rPr>
          <w:b/>
          <w:color w:val="000000"/>
          <w:szCs w:val="24"/>
        </w:rPr>
      </w:pPr>
    </w:p>
    <w:p w:rsidR="00B00EB4" w:rsidRPr="00B00EB4" w:rsidRDefault="00B00EB4" w:rsidP="00B00EB4">
      <w:pPr>
        <w:tabs>
          <w:tab w:val="left" w:pos="0"/>
          <w:tab w:val="left" w:pos="3402"/>
        </w:tabs>
        <w:spacing w:line="240" w:lineRule="auto"/>
        <w:jc w:val="center"/>
        <w:rPr>
          <w:b/>
          <w:color w:val="000000"/>
          <w:szCs w:val="24"/>
        </w:rPr>
      </w:pPr>
    </w:p>
    <w:p w:rsidR="00B00EB4" w:rsidRDefault="00B00EB4" w:rsidP="00B00EB4">
      <w:pPr>
        <w:tabs>
          <w:tab w:val="left" w:pos="0"/>
          <w:tab w:val="left" w:pos="3402"/>
        </w:tabs>
        <w:spacing w:line="240" w:lineRule="auto"/>
        <w:jc w:val="center"/>
        <w:rPr>
          <w:b/>
          <w:color w:val="000000"/>
          <w:szCs w:val="24"/>
        </w:rPr>
      </w:pPr>
    </w:p>
    <w:p w:rsidR="00B00EB4" w:rsidRDefault="00B00EB4" w:rsidP="00B00EB4">
      <w:pPr>
        <w:tabs>
          <w:tab w:val="left" w:pos="0"/>
          <w:tab w:val="left" w:pos="3402"/>
        </w:tabs>
        <w:spacing w:line="240" w:lineRule="auto"/>
        <w:jc w:val="center"/>
        <w:rPr>
          <w:b/>
          <w:color w:val="000000"/>
          <w:szCs w:val="24"/>
        </w:rPr>
      </w:pPr>
    </w:p>
    <w:p w:rsidR="00B00EB4" w:rsidRDefault="00B00EB4" w:rsidP="00B00EB4">
      <w:pPr>
        <w:tabs>
          <w:tab w:val="left" w:pos="0"/>
          <w:tab w:val="left" w:pos="3402"/>
        </w:tabs>
        <w:spacing w:line="240" w:lineRule="auto"/>
        <w:jc w:val="center"/>
        <w:rPr>
          <w:b/>
          <w:color w:val="000000"/>
          <w:sz w:val="32"/>
          <w:szCs w:val="32"/>
        </w:rPr>
      </w:pPr>
      <w:r>
        <w:rPr>
          <w:b/>
          <w:color w:val="000000"/>
          <w:sz w:val="32"/>
          <w:szCs w:val="32"/>
        </w:rPr>
        <w:t>GEDAS GRINIUS</w:t>
      </w:r>
    </w:p>
    <w:p w:rsidR="00B00EB4" w:rsidRPr="00B00EB4" w:rsidRDefault="00B00EB4" w:rsidP="00B00EB4">
      <w:pPr>
        <w:tabs>
          <w:tab w:val="left" w:pos="0"/>
          <w:tab w:val="left" w:pos="3402"/>
        </w:tabs>
        <w:spacing w:line="240" w:lineRule="auto"/>
        <w:jc w:val="center"/>
        <w:rPr>
          <w:b/>
          <w:color w:val="000000"/>
          <w:szCs w:val="24"/>
        </w:rPr>
      </w:pPr>
    </w:p>
    <w:p w:rsidR="00B00EB4" w:rsidRPr="00B00EB4" w:rsidRDefault="00B00EB4" w:rsidP="00B00EB4">
      <w:pPr>
        <w:tabs>
          <w:tab w:val="left" w:pos="0"/>
          <w:tab w:val="left" w:pos="3402"/>
        </w:tabs>
        <w:spacing w:line="240" w:lineRule="auto"/>
        <w:jc w:val="center"/>
        <w:rPr>
          <w:b/>
          <w:color w:val="000000"/>
          <w:szCs w:val="24"/>
        </w:rPr>
      </w:pPr>
    </w:p>
    <w:p w:rsidR="00B00EB4" w:rsidRDefault="00B00EB4" w:rsidP="00B00EB4">
      <w:pPr>
        <w:tabs>
          <w:tab w:val="left" w:pos="0"/>
          <w:tab w:val="left" w:pos="3402"/>
        </w:tabs>
        <w:spacing w:line="240" w:lineRule="auto"/>
        <w:jc w:val="center"/>
        <w:rPr>
          <w:b/>
          <w:color w:val="000000"/>
          <w:szCs w:val="24"/>
        </w:rPr>
      </w:pPr>
    </w:p>
    <w:p w:rsidR="00B00EB4" w:rsidRDefault="00B00EB4" w:rsidP="00B00EB4">
      <w:pPr>
        <w:tabs>
          <w:tab w:val="left" w:pos="0"/>
          <w:tab w:val="left" w:pos="3402"/>
        </w:tabs>
        <w:spacing w:line="240" w:lineRule="auto"/>
        <w:jc w:val="center"/>
        <w:rPr>
          <w:b/>
          <w:color w:val="000000"/>
          <w:szCs w:val="24"/>
        </w:rPr>
      </w:pPr>
    </w:p>
    <w:p w:rsidR="00B00EB4" w:rsidRPr="00B00EB4" w:rsidRDefault="00B00EB4" w:rsidP="00B00EB4">
      <w:pPr>
        <w:tabs>
          <w:tab w:val="left" w:pos="0"/>
          <w:tab w:val="left" w:pos="3402"/>
        </w:tabs>
        <w:spacing w:line="240" w:lineRule="auto"/>
        <w:jc w:val="center"/>
        <w:rPr>
          <w:b/>
          <w:color w:val="000000"/>
          <w:szCs w:val="24"/>
        </w:rPr>
      </w:pPr>
    </w:p>
    <w:p w:rsidR="00B00EB4" w:rsidRPr="00B00EB4" w:rsidRDefault="00B00EB4" w:rsidP="00B00EB4">
      <w:pPr>
        <w:tabs>
          <w:tab w:val="left" w:pos="0"/>
          <w:tab w:val="left" w:pos="3402"/>
        </w:tabs>
        <w:spacing w:line="240" w:lineRule="auto"/>
        <w:jc w:val="center"/>
        <w:rPr>
          <w:b/>
          <w:color w:val="000000"/>
          <w:szCs w:val="24"/>
        </w:rPr>
      </w:pPr>
    </w:p>
    <w:p w:rsidR="00B00EB4" w:rsidRPr="00B00EB4" w:rsidRDefault="00B00EB4" w:rsidP="00B00EB4">
      <w:pPr>
        <w:tabs>
          <w:tab w:val="left" w:pos="0"/>
          <w:tab w:val="left" w:pos="3402"/>
        </w:tabs>
        <w:spacing w:line="240" w:lineRule="auto"/>
        <w:jc w:val="center"/>
        <w:rPr>
          <w:b/>
          <w:color w:val="000000"/>
          <w:szCs w:val="24"/>
        </w:rPr>
      </w:pPr>
    </w:p>
    <w:p w:rsidR="00B00EB4" w:rsidRPr="003E3C05" w:rsidRDefault="00B00EB4" w:rsidP="00201CAE">
      <w:pPr>
        <w:tabs>
          <w:tab w:val="left" w:pos="0"/>
          <w:tab w:val="left" w:pos="3402"/>
        </w:tabs>
        <w:spacing w:line="276" w:lineRule="auto"/>
        <w:ind w:right="-442"/>
        <w:jc w:val="center"/>
        <w:rPr>
          <w:b/>
          <w:color w:val="000000"/>
          <w:sz w:val="40"/>
          <w:szCs w:val="40"/>
        </w:rPr>
      </w:pPr>
      <w:r>
        <w:rPr>
          <w:b/>
          <w:color w:val="000000"/>
          <w:sz w:val="40"/>
          <w:szCs w:val="40"/>
        </w:rPr>
        <w:t>LIETUVOS NE GYVYBĖS DRAUDIMO RINKOS PLĖTROS VEIKSNIŲ VERTINIMAS</w:t>
      </w:r>
    </w:p>
    <w:p w:rsidR="00B00EB4" w:rsidRPr="00BC7D15" w:rsidRDefault="00B00EB4" w:rsidP="00201CAE">
      <w:pPr>
        <w:tabs>
          <w:tab w:val="left" w:pos="0"/>
          <w:tab w:val="left" w:pos="3402"/>
        </w:tabs>
        <w:spacing w:line="276" w:lineRule="auto"/>
        <w:ind w:right="-442"/>
        <w:jc w:val="center"/>
        <w:rPr>
          <w:b/>
          <w:color w:val="000000"/>
          <w:sz w:val="28"/>
          <w:szCs w:val="28"/>
        </w:rPr>
      </w:pPr>
      <w:r w:rsidRPr="003E3C05">
        <w:rPr>
          <w:b/>
          <w:color w:val="000000"/>
          <w:sz w:val="40"/>
          <w:szCs w:val="40"/>
        </w:rPr>
        <w:t xml:space="preserve"> </w:t>
      </w:r>
      <w:r>
        <w:rPr>
          <w:b/>
          <w:color w:val="000000"/>
          <w:sz w:val="28"/>
          <w:szCs w:val="28"/>
        </w:rPr>
        <w:t>Magistro baigiamasis darbas</w:t>
      </w:r>
    </w:p>
    <w:p w:rsidR="00B00EB4" w:rsidRDefault="00B00EB4" w:rsidP="00B00EB4">
      <w:pPr>
        <w:tabs>
          <w:tab w:val="left" w:pos="0"/>
        </w:tabs>
        <w:spacing w:line="240" w:lineRule="auto"/>
        <w:jc w:val="center"/>
        <w:rPr>
          <w:b/>
          <w:color w:val="000000"/>
          <w:sz w:val="22"/>
        </w:rPr>
      </w:pPr>
    </w:p>
    <w:p w:rsidR="00B00EB4" w:rsidRDefault="00B00EB4" w:rsidP="00B00EB4">
      <w:pPr>
        <w:tabs>
          <w:tab w:val="left" w:pos="0"/>
        </w:tabs>
        <w:spacing w:line="240" w:lineRule="auto"/>
        <w:jc w:val="center"/>
        <w:rPr>
          <w:b/>
          <w:color w:val="000000"/>
          <w:sz w:val="22"/>
        </w:rPr>
      </w:pPr>
    </w:p>
    <w:p w:rsidR="00B00EB4" w:rsidRDefault="00B00EB4" w:rsidP="00B00EB4">
      <w:pPr>
        <w:tabs>
          <w:tab w:val="left" w:pos="0"/>
        </w:tabs>
        <w:spacing w:line="240" w:lineRule="auto"/>
        <w:jc w:val="center"/>
        <w:rPr>
          <w:b/>
          <w:color w:val="000000"/>
          <w:sz w:val="22"/>
        </w:rPr>
      </w:pPr>
    </w:p>
    <w:p w:rsidR="00B00EB4" w:rsidRDefault="00B00EB4" w:rsidP="00B00EB4">
      <w:pPr>
        <w:tabs>
          <w:tab w:val="left" w:pos="0"/>
        </w:tabs>
        <w:spacing w:line="240" w:lineRule="auto"/>
        <w:jc w:val="center"/>
        <w:rPr>
          <w:b/>
          <w:color w:val="000000"/>
          <w:sz w:val="22"/>
        </w:rPr>
      </w:pPr>
    </w:p>
    <w:p w:rsidR="00B00EB4" w:rsidRDefault="00B00EB4" w:rsidP="00B00EB4">
      <w:pPr>
        <w:tabs>
          <w:tab w:val="left" w:pos="0"/>
        </w:tabs>
        <w:spacing w:line="240" w:lineRule="auto"/>
        <w:jc w:val="center"/>
        <w:rPr>
          <w:b/>
          <w:color w:val="000000"/>
          <w:sz w:val="22"/>
        </w:rPr>
      </w:pPr>
    </w:p>
    <w:p w:rsidR="00B00EB4" w:rsidRDefault="00B00EB4" w:rsidP="00B00EB4">
      <w:pPr>
        <w:tabs>
          <w:tab w:val="left" w:pos="0"/>
        </w:tabs>
        <w:spacing w:line="240" w:lineRule="auto"/>
        <w:jc w:val="center"/>
        <w:rPr>
          <w:b/>
          <w:color w:val="000000"/>
          <w:sz w:val="22"/>
        </w:rPr>
      </w:pPr>
    </w:p>
    <w:p w:rsidR="000B66A3" w:rsidRDefault="000B66A3" w:rsidP="00B00EB4">
      <w:pPr>
        <w:tabs>
          <w:tab w:val="left" w:pos="0"/>
        </w:tabs>
        <w:spacing w:line="240" w:lineRule="auto"/>
        <w:jc w:val="center"/>
        <w:rPr>
          <w:b/>
          <w:color w:val="000000"/>
          <w:sz w:val="22"/>
        </w:rPr>
      </w:pPr>
    </w:p>
    <w:p w:rsidR="00B00EB4" w:rsidRDefault="00B00EB4" w:rsidP="00B00EB4">
      <w:pPr>
        <w:tabs>
          <w:tab w:val="left" w:pos="0"/>
        </w:tabs>
        <w:spacing w:line="240" w:lineRule="auto"/>
        <w:jc w:val="center"/>
        <w:rPr>
          <w:b/>
          <w:color w:val="000000"/>
          <w:sz w:val="22"/>
        </w:rPr>
      </w:pPr>
    </w:p>
    <w:p w:rsidR="00B00EB4" w:rsidRDefault="00B00EB4" w:rsidP="00B00EB4">
      <w:pPr>
        <w:tabs>
          <w:tab w:val="left" w:pos="0"/>
        </w:tabs>
        <w:spacing w:line="240" w:lineRule="auto"/>
        <w:jc w:val="center"/>
        <w:rPr>
          <w:b/>
          <w:color w:val="000000"/>
          <w:sz w:val="22"/>
        </w:rPr>
      </w:pPr>
    </w:p>
    <w:p w:rsidR="00B00EB4" w:rsidRDefault="00B00EB4" w:rsidP="00B00EB4">
      <w:pPr>
        <w:tabs>
          <w:tab w:val="left" w:pos="0"/>
        </w:tabs>
        <w:spacing w:line="240" w:lineRule="auto"/>
        <w:jc w:val="center"/>
        <w:rPr>
          <w:b/>
          <w:color w:val="000000"/>
          <w:sz w:val="22"/>
        </w:rPr>
      </w:pPr>
    </w:p>
    <w:p w:rsidR="00B00EB4" w:rsidRPr="00BC7D15" w:rsidRDefault="00B00EB4" w:rsidP="00B00EB4">
      <w:pPr>
        <w:tabs>
          <w:tab w:val="left" w:pos="0"/>
        </w:tabs>
        <w:spacing w:line="240" w:lineRule="auto"/>
        <w:ind w:firstLine="5670"/>
        <w:rPr>
          <w:b/>
          <w:color w:val="000000"/>
          <w:szCs w:val="24"/>
        </w:rPr>
      </w:pPr>
    </w:p>
    <w:p w:rsidR="00B00EB4" w:rsidRPr="00BC7D15" w:rsidRDefault="00B00EB4" w:rsidP="00201CAE">
      <w:pPr>
        <w:tabs>
          <w:tab w:val="left" w:pos="0"/>
        </w:tabs>
        <w:spacing w:line="276" w:lineRule="auto"/>
        <w:ind w:firstLine="6379"/>
        <w:rPr>
          <w:b/>
          <w:color w:val="000000"/>
          <w:szCs w:val="24"/>
        </w:rPr>
      </w:pPr>
      <w:r>
        <w:rPr>
          <w:b/>
          <w:color w:val="000000"/>
          <w:szCs w:val="24"/>
        </w:rPr>
        <w:t>Vadovė:</w:t>
      </w:r>
    </w:p>
    <w:p w:rsidR="00B00EB4" w:rsidRPr="00BC7D15" w:rsidRDefault="00B00EB4" w:rsidP="00201CAE">
      <w:pPr>
        <w:tabs>
          <w:tab w:val="left" w:pos="0"/>
        </w:tabs>
        <w:spacing w:line="276" w:lineRule="auto"/>
        <w:ind w:right="28" w:firstLine="6379"/>
        <w:rPr>
          <w:b/>
          <w:color w:val="000000"/>
          <w:szCs w:val="24"/>
        </w:rPr>
      </w:pPr>
      <w:r>
        <w:rPr>
          <w:b/>
          <w:color w:val="000000"/>
          <w:szCs w:val="24"/>
        </w:rPr>
        <w:t>Prof</w:t>
      </w:r>
      <w:r w:rsidRPr="00BC7D15">
        <w:rPr>
          <w:b/>
          <w:color w:val="000000"/>
          <w:szCs w:val="24"/>
        </w:rPr>
        <w:t xml:space="preserve">. dr. I. </w:t>
      </w:r>
      <w:r>
        <w:rPr>
          <w:b/>
          <w:color w:val="000000"/>
          <w:szCs w:val="24"/>
        </w:rPr>
        <w:t>Mačerinskienė</w:t>
      </w:r>
    </w:p>
    <w:p w:rsidR="00B00EB4" w:rsidRDefault="00B00EB4" w:rsidP="00201CAE">
      <w:pPr>
        <w:spacing w:line="276" w:lineRule="auto"/>
        <w:jc w:val="center"/>
        <w:rPr>
          <w:b/>
          <w:color w:val="000000"/>
          <w:sz w:val="28"/>
          <w:szCs w:val="28"/>
        </w:rPr>
      </w:pPr>
    </w:p>
    <w:p w:rsidR="000B66A3" w:rsidRDefault="000B66A3" w:rsidP="00B00EB4">
      <w:pPr>
        <w:spacing w:line="240" w:lineRule="auto"/>
        <w:jc w:val="center"/>
        <w:rPr>
          <w:b/>
          <w:color w:val="000000"/>
          <w:sz w:val="28"/>
          <w:szCs w:val="28"/>
        </w:rPr>
      </w:pPr>
    </w:p>
    <w:p w:rsidR="000B66A3" w:rsidRDefault="000B66A3" w:rsidP="00B00EB4">
      <w:pPr>
        <w:spacing w:line="240" w:lineRule="auto"/>
        <w:jc w:val="center"/>
        <w:rPr>
          <w:b/>
          <w:color w:val="000000"/>
          <w:sz w:val="28"/>
          <w:szCs w:val="28"/>
        </w:rPr>
      </w:pPr>
    </w:p>
    <w:p w:rsidR="00B00EB4" w:rsidRDefault="00B00EB4" w:rsidP="00B00EB4">
      <w:pPr>
        <w:spacing w:line="240" w:lineRule="auto"/>
        <w:jc w:val="center"/>
        <w:rPr>
          <w:b/>
          <w:color w:val="000000"/>
          <w:sz w:val="28"/>
          <w:szCs w:val="28"/>
        </w:rPr>
      </w:pPr>
    </w:p>
    <w:p w:rsidR="00B00EB4" w:rsidRDefault="00B00EB4" w:rsidP="00B00EB4">
      <w:pPr>
        <w:spacing w:line="240" w:lineRule="auto"/>
        <w:jc w:val="center"/>
        <w:rPr>
          <w:b/>
          <w:color w:val="000000"/>
          <w:sz w:val="28"/>
          <w:szCs w:val="28"/>
        </w:rPr>
      </w:pPr>
    </w:p>
    <w:p w:rsidR="00B00EB4" w:rsidRDefault="00B00EB4" w:rsidP="00B00EB4">
      <w:pPr>
        <w:spacing w:line="240" w:lineRule="auto"/>
        <w:jc w:val="center"/>
        <w:rPr>
          <w:b/>
          <w:color w:val="000000"/>
          <w:sz w:val="28"/>
          <w:szCs w:val="28"/>
        </w:rPr>
      </w:pPr>
    </w:p>
    <w:p w:rsidR="00B00EB4" w:rsidRDefault="00B00EB4" w:rsidP="00B00EB4">
      <w:pPr>
        <w:spacing w:line="240" w:lineRule="auto"/>
        <w:jc w:val="center"/>
        <w:rPr>
          <w:b/>
          <w:color w:val="000000"/>
          <w:sz w:val="28"/>
          <w:szCs w:val="28"/>
        </w:rPr>
      </w:pPr>
    </w:p>
    <w:p w:rsidR="00B00EB4" w:rsidRDefault="00B00EB4" w:rsidP="00B00EB4">
      <w:pPr>
        <w:spacing w:line="240" w:lineRule="auto"/>
        <w:jc w:val="center"/>
        <w:rPr>
          <w:b/>
          <w:color w:val="000000"/>
          <w:sz w:val="28"/>
          <w:szCs w:val="28"/>
        </w:rPr>
      </w:pPr>
    </w:p>
    <w:p w:rsidR="00B00EB4" w:rsidRDefault="00B00EB4" w:rsidP="00B00EB4">
      <w:pPr>
        <w:spacing w:line="240" w:lineRule="auto"/>
        <w:jc w:val="center"/>
        <w:rPr>
          <w:b/>
          <w:color w:val="000000"/>
          <w:sz w:val="16"/>
          <w:szCs w:val="16"/>
        </w:rPr>
      </w:pPr>
    </w:p>
    <w:p w:rsidR="00201CAE" w:rsidRDefault="00201CAE" w:rsidP="00B00EB4">
      <w:pPr>
        <w:spacing w:line="240" w:lineRule="auto"/>
        <w:jc w:val="center"/>
        <w:rPr>
          <w:b/>
          <w:color w:val="000000"/>
          <w:sz w:val="16"/>
          <w:szCs w:val="16"/>
        </w:rPr>
      </w:pPr>
    </w:p>
    <w:p w:rsidR="00201CAE" w:rsidRPr="00201CAE" w:rsidRDefault="00201CAE" w:rsidP="00B00EB4">
      <w:pPr>
        <w:spacing w:line="240" w:lineRule="auto"/>
        <w:jc w:val="center"/>
        <w:rPr>
          <w:b/>
          <w:color w:val="000000"/>
          <w:sz w:val="16"/>
          <w:szCs w:val="16"/>
        </w:rPr>
      </w:pPr>
    </w:p>
    <w:p w:rsidR="00B00EB4" w:rsidRDefault="00B00EB4" w:rsidP="00B00EB4">
      <w:pPr>
        <w:spacing w:line="240" w:lineRule="auto"/>
        <w:jc w:val="center"/>
        <w:rPr>
          <w:b/>
          <w:color w:val="000000"/>
          <w:sz w:val="28"/>
          <w:szCs w:val="28"/>
        </w:rPr>
      </w:pPr>
      <w:r>
        <w:rPr>
          <w:b/>
          <w:color w:val="000000"/>
          <w:sz w:val="28"/>
          <w:szCs w:val="28"/>
        </w:rPr>
        <w:t>VILNIUS, 2012</w:t>
      </w:r>
    </w:p>
    <w:p w:rsidR="00AC71D2" w:rsidRPr="00BC7D15" w:rsidRDefault="00B00EB4" w:rsidP="00201CAE">
      <w:pPr>
        <w:spacing w:line="276" w:lineRule="auto"/>
        <w:jc w:val="center"/>
        <w:rPr>
          <w:color w:val="000000"/>
          <w:sz w:val="32"/>
          <w:szCs w:val="32"/>
        </w:rPr>
      </w:pPr>
      <w:r>
        <w:rPr>
          <w:b/>
          <w:color w:val="000000"/>
          <w:sz w:val="32"/>
          <w:szCs w:val="32"/>
        </w:rPr>
        <w:br w:type="page"/>
      </w:r>
      <w:r w:rsidR="00CB6286" w:rsidRPr="00CB6286">
        <w:rPr>
          <w:b/>
          <w:noProof/>
          <w:color w:val="000000"/>
          <w:sz w:val="32"/>
          <w:szCs w:val="32"/>
          <w:lang w:eastAsia="lt-LT"/>
        </w:rPr>
        <w:lastRenderedPageBreak/>
        <w:pict>
          <v:rect id="_x0000_s1026" style="position:absolute;left:0;text-align:left;margin-left:245.7pt;margin-top:-64.8pt;width:15.75pt;height:23.25pt;z-index:251660288" stroked="f"/>
        </w:pict>
      </w:r>
      <w:r w:rsidR="00AC71D2" w:rsidRPr="00BC7D15">
        <w:rPr>
          <w:b/>
          <w:color w:val="000000"/>
          <w:sz w:val="32"/>
          <w:szCs w:val="32"/>
        </w:rPr>
        <w:t>MYKOLO ROMERIO UNIVERSITETAS</w:t>
      </w:r>
    </w:p>
    <w:p w:rsidR="00AC71D2" w:rsidRPr="00BC7D15" w:rsidRDefault="00AC71D2" w:rsidP="00201CAE">
      <w:pPr>
        <w:tabs>
          <w:tab w:val="left" w:pos="0"/>
          <w:tab w:val="left" w:pos="3402"/>
        </w:tabs>
        <w:spacing w:line="276" w:lineRule="auto"/>
        <w:jc w:val="center"/>
        <w:rPr>
          <w:b/>
          <w:bCs/>
          <w:color w:val="000000"/>
          <w:sz w:val="28"/>
          <w:szCs w:val="28"/>
        </w:rPr>
      </w:pPr>
      <w:r w:rsidRPr="00BC7D15">
        <w:rPr>
          <w:b/>
          <w:bCs/>
          <w:color w:val="000000"/>
          <w:sz w:val="28"/>
          <w:szCs w:val="28"/>
        </w:rPr>
        <w:t>EKONOMIKOS IR FINANSŲ VALDYMO FAKULTETAS</w:t>
      </w:r>
    </w:p>
    <w:p w:rsidR="00AC71D2" w:rsidRPr="00B00EB4" w:rsidRDefault="00AC71D2" w:rsidP="00201CAE">
      <w:pPr>
        <w:tabs>
          <w:tab w:val="left" w:pos="0"/>
          <w:tab w:val="left" w:pos="3402"/>
        </w:tabs>
        <w:spacing w:line="276" w:lineRule="auto"/>
        <w:jc w:val="center"/>
        <w:rPr>
          <w:b/>
          <w:color w:val="000000"/>
          <w:szCs w:val="24"/>
        </w:rPr>
      </w:pPr>
      <w:r w:rsidRPr="00B00EB4">
        <w:rPr>
          <w:b/>
          <w:color w:val="000000"/>
          <w:szCs w:val="24"/>
        </w:rPr>
        <w:t>BANKININKYSTĖS IR INVESTICIJŲ KATEDRA</w:t>
      </w:r>
    </w:p>
    <w:p w:rsidR="00AC71D2" w:rsidRDefault="00AC71D2" w:rsidP="000B66A3">
      <w:pPr>
        <w:tabs>
          <w:tab w:val="left" w:pos="0"/>
          <w:tab w:val="left" w:pos="3402"/>
        </w:tabs>
        <w:spacing w:line="240" w:lineRule="auto"/>
        <w:jc w:val="center"/>
        <w:rPr>
          <w:b/>
          <w:color w:val="000000"/>
          <w:sz w:val="22"/>
        </w:rPr>
      </w:pPr>
    </w:p>
    <w:p w:rsidR="000B66A3" w:rsidRDefault="000B66A3" w:rsidP="000B66A3">
      <w:pPr>
        <w:tabs>
          <w:tab w:val="left" w:pos="0"/>
          <w:tab w:val="left" w:pos="3402"/>
        </w:tabs>
        <w:spacing w:line="240" w:lineRule="auto"/>
        <w:jc w:val="center"/>
        <w:rPr>
          <w:b/>
          <w:color w:val="000000"/>
          <w:sz w:val="22"/>
        </w:rPr>
      </w:pPr>
    </w:p>
    <w:p w:rsidR="000B66A3" w:rsidRDefault="000B66A3" w:rsidP="000B66A3">
      <w:pPr>
        <w:tabs>
          <w:tab w:val="left" w:pos="0"/>
          <w:tab w:val="left" w:pos="3402"/>
        </w:tabs>
        <w:spacing w:line="240" w:lineRule="auto"/>
        <w:jc w:val="center"/>
        <w:rPr>
          <w:b/>
          <w:color w:val="000000"/>
          <w:sz w:val="22"/>
        </w:rPr>
      </w:pPr>
    </w:p>
    <w:p w:rsidR="000B66A3" w:rsidRDefault="000B66A3" w:rsidP="000B66A3">
      <w:pPr>
        <w:tabs>
          <w:tab w:val="left" w:pos="0"/>
          <w:tab w:val="left" w:pos="3402"/>
        </w:tabs>
        <w:spacing w:line="240" w:lineRule="auto"/>
        <w:jc w:val="center"/>
        <w:rPr>
          <w:b/>
          <w:color w:val="000000"/>
          <w:sz w:val="22"/>
        </w:rPr>
      </w:pPr>
    </w:p>
    <w:p w:rsidR="00AC71D2" w:rsidRDefault="00AC71D2" w:rsidP="000B66A3">
      <w:pPr>
        <w:tabs>
          <w:tab w:val="left" w:pos="0"/>
          <w:tab w:val="left" w:pos="3402"/>
        </w:tabs>
        <w:spacing w:line="240" w:lineRule="auto"/>
        <w:jc w:val="center"/>
        <w:rPr>
          <w:b/>
          <w:color w:val="000000"/>
          <w:sz w:val="22"/>
        </w:rPr>
      </w:pPr>
    </w:p>
    <w:p w:rsidR="00AC71D2" w:rsidRDefault="00AC71D2" w:rsidP="000B66A3">
      <w:pPr>
        <w:tabs>
          <w:tab w:val="left" w:pos="0"/>
          <w:tab w:val="left" w:pos="3402"/>
        </w:tabs>
        <w:spacing w:line="240" w:lineRule="auto"/>
        <w:jc w:val="center"/>
        <w:rPr>
          <w:b/>
          <w:color w:val="000000"/>
          <w:sz w:val="22"/>
        </w:rPr>
      </w:pPr>
    </w:p>
    <w:p w:rsidR="00AC71D2" w:rsidRDefault="00AC71D2" w:rsidP="000B66A3">
      <w:pPr>
        <w:tabs>
          <w:tab w:val="left" w:pos="0"/>
          <w:tab w:val="left" w:pos="3402"/>
        </w:tabs>
        <w:spacing w:line="240" w:lineRule="auto"/>
        <w:jc w:val="center"/>
        <w:rPr>
          <w:b/>
          <w:color w:val="000000"/>
          <w:sz w:val="22"/>
        </w:rPr>
      </w:pPr>
    </w:p>
    <w:p w:rsidR="00201CAE" w:rsidRDefault="00201CAE" w:rsidP="000B66A3">
      <w:pPr>
        <w:tabs>
          <w:tab w:val="left" w:pos="0"/>
          <w:tab w:val="left" w:pos="3402"/>
        </w:tabs>
        <w:spacing w:line="240" w:lineRule="auto"/>
        <w:jc w:val="center"/>
        <w:rPr>
          <w:b/>
          <w:color w:val="000000"/>
          <w:sz w:val="22"/>
        </w:rPr>
      </w:pPr>
    </w:p>
    <w:p w:rsidR="00201CAE" w:rsidRDefault="00201CAE" w:rsidP="000B66A3">
      <w:pPr>
        <w:tabs>
          <w:tab w:val="left" w:pos="0"/>
          <w:tab w:val="left" w:pos="3402"/>
        </w:tabs>
        <w:spacing w:line="240" w:lineRule="auto"/>
        <w:jc w:val="center"/>
        <w:rPr>
          <w:b/>
          <w:color w:val="000000"/>
          <w:sz w:val="22"/>
        </w:rPr>
      </w:pPr>
    </w:p>
    <w:p w:rsidR="00201CAE" w:rsidRDefault="00201CAE" w:rsidP="000B66A3">
      <w:pPr>
        <w:tabs>
          <w:tab w:val="left" w:pos="0"/>
          <w:tab w:val="left" w:pos="3402"/>
        </w:tabs>
        <w:spacing w:line="240" w:lineRule="auto"/>
        <w:jc w:val="center"/>
        <w:rPr>
          <w:b/>
          <w:color w:val="000000"/>
          <w:sz w:val="22"/>
        </w:rPr>
      </w:pPr>
    </w:p>
    <w:p w:rsidR="00201CAE" w:rsidRDefault="00201CAE" w:rsidP="000B66A3">
      <w:pPr>
        <w:tabs>
          <w:tab w:val="left" w:pos="0"/>
          <w:tab w:val="left" w:pos="3402"/>
        </w:tabs>
        <w:spacing w:line="240" w:lineRule="auto"/>
        <w:jc w:val="center"/>
        <w:rPr>
          <w:b/>
          <w:color w:val="000000"/>
          <w:sz w:val="22"/>
        </w:rPr>
      </w:pPr>
    </w:p>
    <w:p w:rsidR="00AC71D2" w:rsidRDefault="00AC71D2" w:rsidP="000B66A3">
      <w:pPr>
        <w:tabs>
          <w:tab w:val="left" w:pos="0"/>
          <w:tab w:val="left" w:pos="3402"/>
        </w:tabs>
        <w:spacing w:line="240" w:lineRule="auto"/>
        <w:jc w:val="center"/>
        <w:rPr>
          <w:b/>
          <w:color w:val="000000"/>
          <w:sz w:val="32"/>
          <w:szCs w:val="32"/>
        </w:rPr>
      </w:pPr>
    </w:p>
    <w:p w:rsidR="00AC71D2" w:rsidRDefault="00AC71D2" w:rsidP="000B66A3">
      <w:pPr>
        <w:tabs>
          <w:tab w:val="left" w:pos="0"/>
          <w:tab w:val="left" w:pos="3402"/>
        </w:tabs>
        <w:spacing w:line="240" w:lineRule="auto"/>
        <w:jc w:val="center"/>
        <w:rPr>
          <w:b/>
          <w:color w:val="000000"/>
          <w:sz w:val="32"/>
          <w:szCs w:val="32"/>
        </w:rPr>
      </w:pPr>
    </w:p>
    <w:p w:rsidR="00AC71D2" w:rsidRPr="003E3C05" w:rsidRDefault="00AC71D2" w:rsidP="00201CAE">
      <w:pPr>
        <w:tabs>
          <w:tab w:val="left" w:pos="0"/>
          <w:tab w:val="left" w:pos="3402"/>
        </w:tabs>
        <w:spacing w:line="276" w:lineRule="auto"/>
        <w:ind w:right="-442"/>
        <w:jc w:val="center"/>
        <w:rPr>
          <w:b/>
          <w:color w:val="000000"/>
          <w:sz w:val="40"/>
          <w:szCs w:val="40"/>
        </w:rPr>
      </w:pPr>
      <w:r>
        <w:rPr>
          <w:b/>
          <w:color w:val="000000"/>
          <w:sz w:val="40"/>
          <w:szCs w:val="40"/>
        </w:rPr>
        <w:t xml:space="preserve">LIETUVOS NE GYVYBĖS DRAUDIMO RINKOS PLĖTROS </w:t>
      </w:r>
      <w:r w:rsidR="0096684A">
        <w:rPr>
          <w:b/>
          <w:color w:val="000000"/>
          <w:sz w:val="40"/>
          <w:szCs w:val="40"/>
        </w:rPr>
        <w:t>VEIKSNIŲ VERTINIMAS</w:t>
      </w:r>
    </w:p>
    <w:p w:rsidR="00AC71D2" w:rsidRDefault="00AC71D2" w:rsidP="00201CAE">
      <w:pPr>
        <w:tabs>
          <w:tab w:val="left" w:pos="0"/>
          <w:tab w:val="left" w:pos="3402"/>
        </w:tabs>
        <w:spacing w:line="276" w:lineRule="auto"/>
        <w:ind w:right="-442"/>
        <w:jc w:val="center"/>
        <w:rPr>
          <w:b/>
          <w:color w:val="000000"/>
          <w:sz w:val="28"/>
          <w:szCs w:val="28"/>
        </w:rPr>
      </w:pPr>
      <w:r w:rsidRPr="003E3C05">
        <w:rPr>
          <w:b/>
          <w:color w:val="000000"/>
          <w:sz w:val="40"/>
          <w:szCs w:val="40"/>
        </w:rPr>
        <w:t xml:space="preserve"> </w:t>
      </w:r>
      <w:r w:rsidR="000B66A3">
        <w:rPr>
          <w:b/>
          <w:color w:val="000000"/>
          <w:sz w:val="28"/>
          <w:szCs w:val="28"/>
        </w:rPr>
        <w:t>Finansų rinkų m</w:t>
      </w:r>
      <w:r>
        <w:rPr>
          <w:b/>
          <w:color w:val="000000"/>
          <w:sz w:val="28"/>
          <w:szCs w:val="28"/>
        </w:rPr>
        <w:t>agistro baigiamasis darbas</w:t>
      </w:r>
    </w:p>
    <w:p w:rsidR="000B66A3" w:rsidRPr="00BC7D15" w:rsidRDefault="000B66A3" w:rsidP="00201CAE">
      <w:pPr>
        <w:tabs>
          <w:tab w:val="left" w:pos="0"/>
          <w:tab w:val="left" w:pos="3402"/>
        </w:tabs>
        <w:spacing w:line="276" w:lineRule="auto"/>
        <w:ind w:right="-442"/>
        <w:jc w:val="center"/>
        <w:rPr>
          <w:b/>
          <w:color w:val="000000"/>
          <w:sz w:val="28"/>
          <w:szCs w:val="28"/>
        </w:rPr>
      </w:pPr>
      <w:r>
        <w:rPr>
          <w:b/>
          <w:color w:val="000000"/>
          <w:sz w:val="28"/>
          <w:szCs w:val="28"/>
        </w:rPr>
        <w:t xml:space="preserve">Studijų programa </w:t>
      </w:r>
      <w:r w:rsidRPr="000B66A3">
        <w:rPr>
          <w:b/>
          <w:color w:val="000000"/>
          <w:sz w:val="28"/>
          <w:szCs w:val="28"/>
        </w:rPr>
        <w:t>621L10009</w:t>
      </w:r>
    </w:p>
    <w:p w:rsidR="00AC71D2" w:rsidRDefault="00AC71D2" w:rsidP="000B66A3">
      <w:pPr>
        <w:tabs>
          <w:tab w:val="left" w:pos="0"/>
        </w:tabs>
        <w:spacing w:line="240" w:lineRule="auto"/>
        <w:jc w:val="center"/>
        <w:rPr>
          <w:b/>
          <w:color w:val="000000"/>
          <w:sz w:val="22"/>
        </w:rPr>
      </w:pPr>
    </w:p>
    <w:p w:rsidR="00AC71D2" w:rsidRDefault="00AC71D2" w:rsidP="000B66A3">
      <w:pPr>
        <w:tabs>
          <w:tab w:val="left" w:pos="0"/>
        </w:tabs>
        <w:spacing w:line="240" w:lineRule="auto"/>
        <w:jc w:val="center"/>
        <w:rPr>
          <w:b/>
          <w:color w:val="000000"/>
          <w:sz w:val="22"/>
        </w:rPr>
      </w:pPr>
    </w:p>
    <w:p w:rsidR="00AC71D2" w:rsidRDefault="00AC71D2" w:rsidP="000B66A3">
      <w:pPr>
        <w:tabs>
          <w:tab w:val="left" w:pos="0"/>
        </w:tabs>
        <w:spacing w:line="240" w:lineRule="auto"/>
        <w:jc w:val="center"/>
        <w:rPr>
          <w:b/>
          <w:color w:val="000000"/>
          <w:sz w:val="22"/>
        </w:rPr>
      </w:pPr>
    </w:p>
    <w:p w:rsidR="00AC71D2" w:rsidRDefault="00AC71D2" w:rsidP="000B66A3">
      <w:pPr>
        <w:tabs>
          <w:tab w:val="left" w:pos="0"/>
        </w:tabs>
        <w:spacing w:line="240" w:lineRule="auto"/>
        <w:jc w:val="center"/>
        <w:rPr>
          <w:b/>
          <w:color w:val="000000"/>
          <w:sz w:val="22"/>
        </w:rPr>
      </w:pPr>
    </w:p>
    <w:p w:rsidR="00AC71D2" w:rsidRDefault="00AC71D2" w:rsidP="000B66A3">
      <w:pPr>
        <w:tabs>
          <w:tab w:val="left" w:pos="0"/>
        </w:tabs>
        <w:spacing w:line="240" w:lineRule="auto"/>
        <w:jc w:val="center"/>
        <w:rPr>
          <w:b/>
          <w:color w:val="000000"/>
          <w:sz w:val="22"/>
        </w:rPr>
      </w:pPr>
    </w:p>
    <w:p w:rsidR="00AC71D2" w:rsidRDefault="00AC71D2" w:rsidP="000B66A3">
      <w:pPr>
        <w:tabs>
          <w:tab w:val="left" w:pos="0"/>
        </w:tabs>
        <w:spacing w:line="240" w:lineRule="auto"/>
        <w:jc w:val="center"/>
        <w:rPr>
          <w:b/>
          <w:color w:val="000000"/>
          <w:sz w:val="22"/>
        </w:rPr>
      </w:pPr>
    </w:p>
    <w:p w:rsidR="00AC71D2" w:rsidRDefault="00AC71D2" w:rsidP="000B66A3">
      <w:pPr>
        <w:tabs>
          <w:tab w:val="left" w:pos="0"/>
        </w:tabs>
        <w:spacing w:line="240" w:lineRule="auto"/>
        <w:ind w:firstLine="5670"/>
        <w:rPr>
          <w:b/>
          <w:color w:val="000000"/>
          <w:szCs w:val="24"/>
        </w:rPr>
      </w:pPr>
    </w:p>
    <w:p w:rsidR="00201CAE" w:rsidRDefault="00201CAE" w:rsidP="000B66A3">
      <w:pPr>
        <w:tabs>
          <w:tab w:val="left" w:pos="0"/>
        </w:tabs>
        <w:spacing w:line="240" w:lineRule="auto"/>
        <w:ind w:firstLine="5670"/>
        <w:rPr>
          <w:b/>
          <w:color w:val="000000"/>
          <w:szCs w:val="24"/>
        </w:rPr>
      </w:pPr>
    </w:p>
    <w:p w:rsidR="00201CAE" w:rsidRPr="00BC7D15" w:rsidRDefault="00201CAE" w:rsidP="000B66A3">
      <w:pPr>
        <w:tabs>
          <w:tab w:val="left" w:pos="0"/>
        </w:tabs>
        <w:spacing w:line="240" w:lineRule="auto"/>
        <w:ind w:firstLine="5670"/>
        <w:rPr>
          <w:b/>
          <w:color w:val="000000"/>
          <w:szCs w:val="24"/>
        </w:rPr>
      </w:pPr>
    </w:p>
    <w:p w:rsidR="00AC71D2" w:rsidRPr="00BC7D15" w:rsidRDefault="00AC71D2" w:rsidP="000B66A3">
      <w:pPr>
        <w:tabs>
          <w:tab w:val="left" w:pos="0"/>
        </w:tabs>
        <w:spacing w:line="240" w:lineRule="auto"/>
        <w:ind w:firstLine="5670"/>
        <w:rPr>
          <w:b/>
          <w:color w:val="000000"/>
          <w:szCs w:val="24"/>
        </w:rPr>
      </w:pPr>
    </w:p>
    <w:p w:rsidR="00AC71D2" w:rsidRPr="00BC7D15" w:rsidRDefault="00201CAE" w:rsidP="00201CAE">
      <w:pPr>
        <w:tabs>
          <w:tab w:val="left" w:pos="0"/>
        </w:tabs>
        <w:spacing w:line="276" w:lineRule="auto"/>
        <w:ind w:firstLine="5670"/>
        <w:rPr>
          <w:b/>
          <w:color w:val="000000"/>
          <w:szCs w:val="24"/>
        </w:rPr>
      </w:pPr>
      <w:r>
        <w:rPr>
          <w:b/>
          <w:color w:val="000000"/>
          <w:szCs w:val="24"/>
        </w:rPr>
        <w:t>Vadovė</w:t>
      </w:r>
      <w:r w:rsidR="00AC71D2">
        <w:rPr>
          <w:b/>
          <w:color w:val="000000"/>
          <w:szCs w:val="24"/>
        </w:rPr>
        <w:t>:</w:t>
      </w:r>
    </w:p>
    <w:p w:rsidR="00AC71D2" w:rsidRDefault="00AC71D2" w:rsidP="00201CAE">
      <w:pPr>
        <w:tabs>
          <w:tab w:val="left" w:pos="0"/>
        </w:tabs>
        <w:spacing w:line="276" w:lineRule="auto"/>
        <w:ind w:right="28" w:firstLine="5670"/>
        <w:rPr>
          <w:b/>
          <w:color w:val="000000"/>
          <w:szCs w:val="24"/>
        </w:rPr>
      </w:pPr>
      <w:r>
        <w:rPr>
          <w:b/>
          <w:color w:val="000000"/>
          <w:szCs w:val="24"/>
        </w:rPr>
        <w:t>Prof</w:t>
      </w:r>
      <w:r w:rsidRPr="00BC7D15">
        <w:rPr>
          <w:b/>
          <w:color w:val="000000"/>
          <w:szCs w:val="24"/>
        </w:rPr>
        <w:t xml:space="preserve">. dr. I. </w:t>
      </w:r>
      <w:r>
        <w:rPr>
          <w:b/>
          <w:color w:val="000000"/>
          <w:szCs w:val="24"/>
        </w:rPr>
        <w:t>Mačerinskienė</w:t>
      </w:r>
    </w:p>
    <w:p w:rsidR="00201CAE" w:rsidRPr="00BC7D15" w:rsidRDefault="00201CAE" w:rsidP="00201CAE">
      <w:pPr>
        <w:tabs>
          <w:tab w:val="left" w:pos="0"/>
        </w:tabs>
        <w:spacing w:line="276" w:lineRule="auto"/>
        <w:ind w:right="28" w:firstLine="5670"/>
        <w:rPr>
          <w:b/>
          <w:color w:val="000000"/>
          <w:szCs w:val="24"/>
        </w:rPr>
      </w:pPr>
      <w:r>
        <w:rPr>
          <w:b/>
          <w:color w:val="000000"/>
          <w:szCs w:val="24"/>
        </w:rPr>
        <w:t>2012-12-</w:t>
      </w:r>
      <w:r w:rsidR="00DC7620">
        <w:rPr>
          <w:b/>
          <w:color w:val="000000"/>
          <w:szCs w:val="24"/>
        </w:rPr>
        <w:t>___</w:t>
      </w:r>
    </w:p>
    <w:p w:rsidR="00AC71D2" w:rsidRDefault="00AC71D2" w:rsidP="00201CAE">
      <w:pPr>
        <w:spacing w:line="276" w:lineRule="auto"/>
        <w:jc w:val="center"/>
        <w:rPr>
          <w:b/>
          <w:color w:val="000000"/>
          <w:sz w:val="28"/>
          <w:szCs w:val="28"/>
        </w:rPr>
      </w:pPr>
    </w:p>
    <w:p w:rsidR="00201CAE" w:rsidRDefault="00201CAE" w:rsidP="00201CAE">
      <w:pPr>
        <w:spacing w:line="276" w:lineRule="auto"/>
        <w:jc w:val="center"/>
        <w:rPr>
          <w:b/>
          <w:color w:val="000000"/>
          <w:sz w:val="28"/>
          <w:szCs w:val="28"/>
        </w:rPr>
      </w:pPr>
    </w:p>
    <w:tbl>
      <w:tblPr>
        <w:tblW w:w="0" w:type="auto"/>
        <w:tblLook w:val="01E0"/>
      </w:tblPr>
      <w:tblGrid>
        <w:gridCol w:w="4440"/>
        <w:gridCol w:w="4845"/>
      </w:tblGrid>
      <w:tr w:rsidR="00201CAE" w:rsidRPr="00BF7752" w:rsidTr="00A70C4B">
        <w:tc>
          <w:tcPr>
            <w:tcW w:w="4440" w:type="dxa"/>
          </w:tcPr>
          <w:p w:rsidR="00201CAE" w:rsidRPr="00270313" w:rsidRDefault="00201CAE" w:rsidP="00201CAE">
            <w:pPr>
              <w:spacing w:line="276" w:lineRule="auto"/>
              <w:ind w:right="-738"/>
              <w:rPr>
                <w:rFonts w:eastAsia="Calibri" w:cs="Times New Roman"/>
                <w:b/>
              </w:rPr>
            </w:pPr>
            <w:r w:rsidRPr="00270313">
              <w:rPr>
                <w:rFonts w:eastAsia="Calibri" w:cs="Times New Roman"/>
                <w:b/>
              </w:rPr>
              <w:t>Recenzentas</w:t>
            </w:r>
          </w:p>
          <w:p w:rsidR="00201CAE" w:rsidRDefault="00201CAE" w:rsidP="00201CAE">
            <w:pPr>
              <w:spacing w:line="276" w:lineRule="auto"/>
              <w:rPr>
                <w:b/>
              </w:rPr>
            </w:pPr>
          </w:p>
          <w:p w:rsidR="00201CAE" w:rsidRPr="00270313" w:rsidRDefault="00201CAE" w:rsidP="00DC7620">
            <w:pPr>
              <w:spacing w:line="276" w:lineRule="auto"/>
              <w:rPr>
                <w:rFonts w:eastAsia="Calibri" w:cs="Times New Roman"/>
                <w:b/>
              </w:rPr>
            </w:pPr>
            <w:r w:rsidRPr="00BA780C">
              <w:rPr>
                <w:rFonts w:eastAsia="Calibri" w:cs="Times New Roman"/>
                <w:b/>
              </w:rPr>
              <w:t>201</w:t>
            </w:r>
            <w:r w:rsidR="00DC7620">
              <w:rPr>
                <w:b/>
                <w:lang w:val="en-US"/>
              </w:rPr>
              <w:t>___-___-___</w:t>
            </w:r>
          </w:p>
        </w:tc>
        <w:tc>
          <w:tcPr>
            <w:tcW w:w="4845" w:type="dxa"/>
          </w:tcPr>
          <w:p w:rsidR="00201CAE" w:rsidRPr="00AB1627" w:rsidRDefault="00201CAE" w:rsidP="00201CAE">
            <w:pPr>
              <w:spacing w:line="276" w:lineRule="auto"/>
              <w:rPr>
                <w:rFonts w:eastAsia="Calibri" w:cs="Times New Roman"/>
                <w:b/>
              </w:rPr>
            </w:pPr>
            <w:r w:rsidRPr="00AB1627">
              <w:rPr>
                <w:rFonts w:eastAsia="Calibri" w:cs="Times New Roman"/>
                <w:b/>
              </w:rPr>
              <w:t xml:space="preserve">           Atliko </w:t>
            </w:r>
          </w:p>
          <w:p w:rsidR="00201CAE" w:rsidRPr="00AB1627" w:rsidRDefault="00201CAE" w:rsidP="00201CAE">
            <w:pPr>
              <w:spacing w:line="276" w:lineRule="auto"/>
              <w:rPr>
                <w:rFonts w:eastAsia="Calibri" w:cs="Times New Roman"/>
                <w:b/>
              </w:rPr>
            </w:pPr>
            <w:r>
              <w:rPr>
                <w:b/>
              </w:rPr>
              <w:t xml:space="preserve">           FRmns1-01</w:t>
            </w:r>
            <w:r w:rsidRPr="00AB1627">
              <w:rPr>
                <w:rFonts w:eastAsia="Calibri" w:cs="Times New Roman"/>
                <w:b/>
              </w:rPr>
              <w:t xml:space="preserve"> gr. stud.</w:t>
            </w:r>
          </w:p>
          <w:p w:rsidR="00201CAE" w:rsidRPr="00AB1627" w:rsidRDefault="00201CAE" w:rsidP="00201CAE">
            <w:pPr>
              <w:spacing w:line="276" w:lineRule="auto"/>
              <w:rPr>
                <w:rFonts w:eastAsia="Calibri" w:cs="Times New Roman"/>
                <w:b/>
              </w:rPr>
            </w:pPr>
            <w:r w:rsidRPr="00AB1627">
              <w:rPr>
                <w:rFonts w:eastAsia="Calibri" w:cs="Times New Roman"/>
                <w:b/>
              </w:rPr>
              <w:t xml:space="preserve">                                             Gedas Grinius</w:t>
            </w:r>
          </w:p>
          <w:p w:rsidR="00201CAE" w:rsidRPr="00AB1627" w:rsidRDefault="00201CAE" w:rsidP="00201CAE">
            <w:pPr>
              <w:spacing w:line="276" w:lineRule="auto"/>
              <w:rPr>
                <w:rFonts w:eastAsia="Calibri" w:cs="Times New Roman"/>
                <w:b/>
              </w:rPr>
            </w:pPr>
            <w:r w:rsidRPr="00AB1627">
              <w:rPr>
                <w:rFonts w:eastAsia="Calibri" w:cs="Times New Roman"/>
                <w:b/>
              </w:rPr>
              <w:t xml:space="preserve">           201</w:t>
            </w:r>
            <w:r>
              <w:rPr>
                <w:b/>
              </w:rPr>
              <w:t>2-12-</w:t>
            </w:r>
            <w:r w:rsidR="00DC7620">
              <w:rPr>
                <w:b/>
              </w:rPr>
              <w:t>___</w:t>
            </w:r>
          </w:p>
        </w:tc>
      </w:tr>
    </w:tbl>
    <w:p w:rsidR="00AC71D2" w:rsidRDefault="00AC71D2" w:rsidP="00201CAE">
      <w:pPr>
        <w:spacing w:line="276" w:lineRule="auto"/>
        <w:jc w:val="center"/>
        <w:rPr>
          <w:b/>
          <w:color w:val="000000"/>
          <w:sz w:val="28"/>
          <w:szCs w:val="28"/>
        </w:rPr>
      </w:pPr>
    </w:p>
    <w:p w:rsidR="00AC71D2" w:rsidRDefault="00AC71D2" w:rsidP="00201CAE">
      <w:pPr>
        <w:spacing w:line="276" w:lineRule="auto"/>
        <w:jc w:val="center"/>
        <w:rPr>
          <w:b/>
          <w:color w:val="000000"/>
          <w:sz w:val="28"/>
          <w:szCs w:val="28"/>
        </w:rPr>
      </w:pPr>
    </w:p>
    <w:p w:rsidR="00201CAE" w:rsidRDefault="00201CAE" w:rsidP="00201CAE">
      <w:pPr>
        <w:spacing w:line="276" w:lineRule="auto"/>
        <w:jc w:val="center"/>
        <w:rPr>
          <w:b/>
          <w:color w:val="000000"/>
          <w:sz w:val="28"/>
          <w:szCs w:val="28"/>
        </w:rPr>
      </w:pPr>
    </w:p>
    <w:p w:rsidR="00201CAE" w:rsidRDefault="00201CAE" w:rsidP="00201CAE">
      <w:pPr>
        <w:spacing w:line="276" w:lineRule="auto"/>
        <w:jc w:val="center"/>
        <w:rPr>
          <w:b/>
          <w:color w:val="000000"/>
          <w:sz w:val="28"/>
          <w:szCs w:val="28"/>
        </w:rPr>
      </w:pPr>
    </w:p>
    <w:p w:rsidR="00AC71D2" w:rsidRDefault="00AC71D2" w:rsidP="00201CAE">
      <w:pPr>
        <w:spacing w:line="276" w:lineRule="auto"/>
        <w:jc w:val="center"/>
        <w:rPr>
          <w:b/>
          <w:color w:val="000000"/>
          <w:sz w:val="16"/>
          <w:szCs w:val="16"/>
        </w:rPr>
      </w:pPr>
    </w:p>
    <w:p w:rsidR="00201CAE" w:rsidRDefault="00201CAE" w:rsidP="00201CAE">
      <w:pPr>
        <w:spacing w:line="276" w:lineRule="auto"/>
        <w:jc w:val="center"/>
        <w:rPr>
          <w:b/>
          <w:color w:val="000000"/>
          <w:sz w:val="16"/>
          <w:szCs w:val="16"/>
        </w:rPr>
      </w:pPr>
    </w:p>
    <w:p w:rsidR="00201CAE" w:rsidRPr="00201CAE" w:rsidRDefault="00201CAE" w:rsidP="00201CAE">
      <w:pPr>
        <w:spacing w:line="276" w:lineRule="auto"/>
        <w:jc w:val="center"/>
        <w:rPr>
          <w:b/>
          <w:color w:val="000000"/>
          <w:sz w:val="16"/>
          <w:szCs w:val="16"/>
        </w:rPr>
      </w:pPr>
    </w:p>
    <w:p w:rsidR="00201CAE" w:rsidRDefault="00AC71D2" w:rsidP="00201CAE">
      <w:pPr>
        <w:spacing w:line="276" w:lineRule="auto"/>
        <w:jc w:val="center"/>
        <w:rPr>
          <w:b/>
          <w:color w:val="000000"/>
          <w:sz w:val="28"/>
          <w:szCs w:val="28"/>
        </w:rPr>
      </w:pPr>
      <w:r>
        <w:rPr>
          <w:b/>
          <w:color w:val="000000"/>
          <w:sz w:val="28"/>
          <w:szCs w:val="28"/>
        </w:rPr>
        <w:t>VILNIUS, 2012</w:t>
      </w:r>
      <w:r w:rsidR="000B66A3">
        <w:rPr>
          <w:b/>
          <w:color w:val="000000"/>
          <w:sz w:val="28"/>
          <w:szCs w:val="28"/>
        </w:rPr>
        <w:br w:type="page"/>
      </w:r>
    </w:p>
    <w:p w:rsidR="00201CAE" w:rsidRPr="00201CAE" w:rsidRDefault="00201CAE" w:rsidP="00AC31B1">
      <w:pPr>
        <w:jc w:val="center"/>
        <w:rPr>
          <w:b/>
          <w:szCs w:val="24"/>
        </w:rPr>
      </w:pPr>
    </w:p>
    <w:p w:rsidR="00AC71D2" w:rsidRDefault="00AC71D2" w:rsidP="00201CAE">
      <w:pPr>
        <w:spacing w:line="240" w:lineRule="auto"/>
        <w:jc w:val="center"/>
        <w:rPr>
          <w:b/>
          <w:sz w:val="28"/>
          <w:szCs w:val="28"/>
        </w:rPr>
      </w:pPr>
      <w:r>
        <w:rPr>
          <w:b/>
          <w:sz w:val="28"/>
          <w:szCs w:val="28"/>
        </w:rPr>
        <w:t>TURINYS</w:t>
      </w:r>
    </w:p>
    <w:p w:rsidR="00626BAC" w:rsidRDefault="00626BAC" w:rsidP="00B50B35">
      <w:pPr>
        <w:spacing w:before="120"/>
        <w:jc w:val="center"/>
        <w:rPr>
          <w:b/>
          <w:szCs w:val="28"/>
        </w:rPr>
      </w:pPr>
    </w:p>
    <w:sdt>
      <w:sdtPr>
        <w:rPr>
          <w:rFonts w:eastAsiaTheme="minorHAnsi" w:cstheme="minorBidi"/>
          <w:b w:val="0"/>
          <w:bCs/>
          <w:szCs w:val="22"/>
          <w:lang w:eastAsia="en-US"/>
        </w:rPr>
        <w:id w:val="6746047"/>
        <w:docPartObj>
          <w:docPartGallery w:val="Table of Contents"/>
          <w:docPartUnique/>
        </w:docPartObj>
      </w:sdtPr>
      <w:sdtEndPr>
        <w:rPr>
          <w:bCs w:val="0"/>
          <w:szCs w:val="24"/>
        </w:rPr>
      </w:sdtEndPr>
      <w:sdtContent>
        <w:p w:rsidR="00B50B35" w:rsidRPr="00B50B35" w:rsidRDefault="00CB6286" w:rsidP="00B50B35">
          <w:pPr>
            <w:pStyle w:val="TOC1"/>
            <w:rPr>
              <w:rFonts w:asciiTheme="minorHAnsi" w:eastAsiaTheme="minorEastAsia" w:hAnsiTheme="minorHAnsi" w:cstheme="minorBidi"/>
              <w:b w:val="0"/>
              <w:noProof/>
            </w:rPr>
          </w:pPr>
          <w:r w:rsidRPr="00CB6286">
            <w:fldChar w:fldCharType="begin"/>
          </w:r>
          <w:r w:rsidR="00AC71D2" w:rsidRPr="00B50B35">
            <w:instrText xml:space="preserve"> TOC \o "1-3" \h \z \u </w:instrText>
          </w:r>
          <w:r w:rsidRPr="00CB6286">
            <w:fldChar w:fldCharType="separate"/>
          </w:r>
          <w:hyperlink w:anchor="_Toc342859643" w:history="1">
            <w:r w:rsidR="00B50B35" w:rsidRPr="00B50B35">
              <w:rPr>
                <w:rStyle w:val="Hyperlink"/>
                <w:noProof/>
              </w:rPr>
              <w:t>ĮVADAS</w:t>
            </w:r>
            <w:r w:rsidR="00B50B35" w:rsidRPr="00B50B35">
              <w:rPr>
                <w:noProof/>
                <w:webHidden/>
              </w:rPr>
              <w:tab/>
            </w:r>
            <w:r w:rsidRPr="00B50B35">
              <w:rPr>
                <w:noProof/>
                <w:webHidden/>
              </w:rPr>
              <w:fldChar w:fldCharType="begin"/>
            </w:r>
            <w:r w:rsidR="00B50B35" w:rsidRPr="00B50B35">
              <w:rPr>
                <w:noProof/>
                <w:webHidden/>
              </w:rPr>
              <w:instrText xml:space="preserve"> PAGEREF _Toc342859643 \h </w:instrText>
            </w:r>
            <w:r w:rsidRPr="00B50B35">
              <w:rPr>
                <w:noProof/>
                <w:webHidden/>
              </w:rPr>
            </w:r>
            <w:r w:rsidRPr="00B50B35">
              <w:rPr>
                <w:noProof/>
                <w:webHidden/>
              </w:rPr>
              <w:fldChar w:fldCharType="separate"/>
            </w:r>
            <w:r w:rsidR="00B50B35">
              <w:rPr>
                <w:noProof/>
                <w:webHidden/>
              </w:rPr>
              <w:t>7</w:t>
            </w:r>
            <w:r w:rsidRPr="00B50B35">
              <w:rPr>
                <w:noProof/>
                <w:webHidden/>
              </w:rPr>
              <w:fldChar w:fldCharType="end"/>
            </w:r>
          </w:hyperlink>
        </w:p>
        <w:p w:rsidR="00B50B35" w:rsidRPr="00B50B35" w:rsidRDefault="00CB6286" w:rsidP="00B50B35">
          <w:pPr>
            <w:pStyle w:val="TOC1"/>
            <w:tabs>
              <w:tab w:val="left" w:pos="440"/>
            </w:tabs>
            <w:rPr>
              <w:rFonts w:asciiTheme="minorHAnsi" w:eastAsiaTheme="minorEastAsia" w:hAnsiTheme="minorHAnsi" w:cstheme="minorBidi"/>
              <w:b w:val="0"/>
              <w:noProof/>
            </w:rPr>
          </w:pPr>
          <w:hyperlink w:anchor="_Toc342859644" w:history="1">
            <w:r w:rsidR="00B50B35" w:rsidRPr="00B50B35">
              <w:rPr>
                <w:rStyle w:val="Hyperlink"/>
                <w:noProof/>
              </w:rPr>
              <w:t>1.</w:t>
            </w:r>
            <w:r w:rsidR="00B50B35" w:rsidRPr="00B50B35">
              <w:rPr>
                <w:rFonts w:asciiTheme="minorHAnsi" w:eastAsiaTheme="minorEastAsia" w:hAnsiTheme="minorHAnsi" w:cstheme="minorBidi"/>
                <w:b w:val="0"/>
                <w:noProof/>
              </w:rPr>
              <w:tab/>
            </w:r>
            <w:r w:rsidR="00B50B35" w:rsidRPr="00B50B35">
              <w:rPr>
                <w:rStyle w:val="Hyperlink"/>
                <w:noProof/>
              </w:rPr>
              <w:t>DRAUDIMO RINKOS  PLĖTROS VEIKSNIŲ TEORIJA</w:t>
            </w:r>
            <w:r w:rsidR="00B50B35" w:rsidRPr="00B50B35">
              <w:rPr>
                <w:noProof/>
                <w:webHidden/>
              </w:rPr>
              <w:tab/>
            </w:r>
            <w:r w:rsidRPr="00B50B35">
              <w:rPr>
                <w:noProof/>
                <w:webHidden/>
              </w:rPr>
              <w:fldChar w:fldCharType="begin"/>
            </w:r>
            <w:r w:rsidR="00B50B35" w:rsidRPr="00B50B35">
              <w:rPr>
                <w:noProof/>
                <w:webHidden/>
              </w:rPr>
              <w:instrText xml:space="preserve"> PAGEREF _Toc342859644 \h </w:instrText>
            </w:r>
            <w:r w:rsidRPr="00B50B35">
              <w:rPr>
                <w:noProof/>
                <w:webHidden/>
              </w:rPr>
            </w:r>
            <w:r w:rsidRPr="00B50B35">
              <w:rPr>
                <w:noProof/>
                <w:webHidden/>
              </w:rPr>
              <w:fldChar w:fldCharType="separate"/>
            </w:r>
            <w:r w:rsidR="00B50B35">
              <w:rPr>
                <w:noProof/>
                <w:webHidden/>
              </w:rPr>
              <w:t>9</w:t>
            </w:r>
            <w:r w:rsidRPr="00B50B35">
              <w:rPr>
                <w:noProof/>
                <w:webHidden/>
              </w:rPr>
              <w:fldChar w:fldCharType="end"/>
            </w:r>
          </w:hyperlink>
        </w:p>
        <w:p w:rsidR="00B50B35" w:rsidRPr="00B50B35" w:rsidRDefault="00CB6286" w:rsidP="00B50B35">
          <w:pPr>
            <w:pStyle w:val="TOC2"/>
            <w:tabs>
              <w:tab w:val="left" w:pos="880"/>
              <w:tab w:val="right" w:leader="dot" w:pos="9911"/>
            </w:tabs>
            <w:spacing w:line="360" w:lineRule="auto"/>
            <w:rPr>
              <w:rFonts w:asciiTheme="minorHAnsi" w:eastAsiaTheme="minorEastAsia" w:hAnsiTheme="minorHAnsi" w:cstheme="minorBidi"/>
              <w:noProof/>
            </w:rPr>
          </w:pPr>
          <w:hyperlink w:anchor="_Toc342859645" w:history="1">
            <w:r w:rsidR="00B50B35" w:rsidRPr="00B50B35">
              <w:rPr>
                <w:rStyle w:val="Hyperlink"/>
                <w:noProof/>
              </w:rPr>
              <w:t>1.1.</w:t>
            </w:r>
            <w:r w:rsidR="00B50B35" w:rsidRPr="00B50B35">
              <w:rPr>
                <w:rFonts w:asciiTheme="minorHAnsi" w:eastAsiaTheme="minorEastAsia" w:hAnsiTheme="minorHAnsi" w:cstheme="minorBidi"/>
                <w:noProof/>
              </w:rPr>
              <w:tab/>
            </w:r>
            <w:r w:rsidR="00B50B35" w:rsidRPr="00B50B35">
              <w:rPr>
                <w:rStyle w:val="Hyperlink"/>
                <w:noProof/>
              </w:rPr>
              <w:t>Draudimo rinkos koncepcija</w:t>
            </w:r>
            <w:r w:rsidR="00B50B35" w:rsidRPr="00B50B35">
              <w:rPr>
                <w:noProof/>
                <w:webHidden/>
              </w:rPr>
              <w:tab/>
            </w:r>
            <w:r w:rsidRPr="00B50B35">
              <w:rPr>
                <w:noProof/>
                <w:webHidden/>
              </w:rPr>
              <w:fldChar w:fldCharType="begin"/>
            </w:r>
            <w:r w:rsidR="00B50B35" w:rsidRPr="00B50B35">
              <w:rPr>
                <w:noProof/>
                <w:webHidden/>
              </w:rPr>
              <w:instrText xml:space="preserve"> PAGEREF _Toc342859645 \h </w:instrText>
            </w:r>
            <w:r w:rsidRPr="00B50B35">
              <w:rPr>
                <w:noProof/>
                <w:webHidden/>
              </w:rPr>
            </w:r>
            <w:r w:rsidRPr="00B50B35">
              <w:rPr>
                <w:noProof/>
                <w:webHidden/>
              </w:rPr>
              <w:fldChar w:fldCharType="separate"/>
            </w:r>
            <w:r w:rsidR="00B50B35">
              <w:rPr>
                <w:noProof/>
                <w:webHidden/>
              </w:rPr>
              <w:t>9</w:t>
            </w:r>
            <w:r w:rsidRPr="00B50B35">
              <w:rPr>
                <w:noProof/>
                <w:webHidden/>
              </w:rPr>
              <w:fldChar w:fldCharType="end"/>
            </w:r>
          </w:hyperlink>
        </w:p>
        <w:p w:rsidR="00B50B35" w:rsidRPr="00B50B35" w:rsidRDefault="00CB6286" w:rsidP="00B50B35">
          <w:pPr>
            <w:pStyle w:val="TOC2"/>
            <w:tabs>
              <w:tab w:val="left" w:pos="880"/>
              <w:tab w:val="right" w:leader="dot" w:pos="9911"/>
            </w:tabs>
            <w:spacing w:line="360" w:lineRule="auto"/>
            <w:rPr>
              <w:rFonts w:asciiTheme="minorHAnsi" w:eastAsiaTheme="minorEastAsia" w:hAnsiTheme="minorHAnsi" w:cstheme="minorBidi"/>
              <w:noProof/>
            </w:rPr>
          </w:pPr>
          <w:hyperlink w:anchor="_Toc342859648" w:history="1">
            <w:r w:rsidR="00B50B35" w:rsidRPr="00B50B35">
              <w:rPr>
                <w:rStyle w:val="Hyperlink"/>
                <w:noProof/>
              </w:rPr>
              <w:t>1.2.</w:t>
            </w:r>
            <w:r w:rsidR="00B50B35" w:rsidRPr="00B50B35">
              <w:rPr>
                <w:rFonts w:asciiTheme="minorHAnsi" w:eastAsiaTheme="minorEastAsia" w:hAnsiTheme="minorHAnsi" w:cstheme="minorBidi"/>
                <w:noProof/>
              </w:rPr>
              <w:tab/>
            </w:r>
            <w:r w:rsidR="00B50B35" w:rsidRPr="00B50B35">
              <w:rPr>
                <w:rStyle w:val="Hyperlink"/>
                <w:noProof/>
              </w:rPr>
              <w:t>Draudimo rinkų klasifikacija</w:t>
            </w:r>
            <w:r w:rsidR="00B50B35" w:rsidRPr="00B50B35">
              <w:rPr>
                <w:noProof/>
                <w:webHidden/>
              </w:rPr>
              <w:tab/>
            </w:r>
            <w:r w:rsidRPr="00B50B35">
              <w:rPr>
                <w:noProof/>
                <w:webHidden/>
              </w:rPr>
              <w:fldChar w:fldCharType="begin"/>
            </w:r>
            <w:r w:rsidR="00B50B35" w:rsidRPr="00B50B35">
              <w:rPr>
                <w:noProof/>
                <w:webHidden/>
              </w:rPr>
              <w:instrText xml:space="preserve"> PAGEREF _Toc342859648 \h </w:instrText>
            </w:r>
            <w:r w:rsidRPr="00B50B35">
              <w:rPr>
                <w:noProof/>
                <w:webHidden/>
              </w:rPr>
            </w:r>
            <w:r w:rsidRPr="00B50B35">
              <w:rPr>
                <w:noProof/>
                <w:webHidden/>
              </w:rPr>
              <w:fldChar w:fldCharType="separate"/>
            </w:r>
            <w:r w:rsidR="00B50B35">
              <w:rPr>
                <w:noProof/>
                <w:webHidden/>
              </w:rPr>
              <w:t>15</w:t>
            </w:r>
            <w:r w:rsidRPr="00B50B35">
              <w:rPr>
                <w:noProof/>
                <w:webHidden/>
              </w:rPr>
              <w:fldChar w:fldCharType="end"/>
            </w:r>
          </w:hyperlink>
        </w:p>
        <w:p w:rsidR="00B50B35" w:rsidRPr="00B50B35" w:rsidRDefault="00CB6286" w:rsidP="00B50B35">
          <w:pPr>
            <w:pStyle w:val="TOC2"/>
            <w:tabs>
              <w:tab w:val="left" w:pos="880"/>
              <w:tab w:val="right" w:leader="dot" w:pos="9911"/>
            </w:tabs>
            <w:spacing w:line="360" w:lineRule="auto"/>
            <w:rPr>
              <w:rFonts w:asciiTheme="minorHAnsi" w:eastAsiaTheme="minorEastAsia" w:hAnsiTheme="minorHAnsi" w:cstheme="minorBidi"/>
              <w:noProof/>
            </w:rPr>
          </w:pPr>
          <w:hyperlink w:anchor="_Toc342859652" w:history="1">
            <w:r w:rsidR="00B50B35" w:rsidRPr="00B50B35">
              <w:rPr>
                <w:rStyle w:val="Hyperlink"/>
                <w:noProof/>
              </w:rPr>
              <w:t>1.3.</w:t>
            </w:r>
            <w:r w:rsidR="00B50B35" w:rsidRPr="00B50B35">
              <w:rPr>
                <w:rFonts w:asciiTheme="minorHAnsi" w:eastAsiaTheme="minorEastAsia" w:hAnsiTheme="minorHAnsi" w:cstheme="minorBidi"/>
                <w:noProof/>
              </w:rPr>
              <w:tab/>
            </w:r>
            <w:r w:rsidR="00B50B35" w:rsidRPr="00B50B35">
              <w:rPr>
                <w:rStyle w:val="Hyperlink"/>
                <w:noProof/>
              </w:rPr>
              <w:t>Ne gyvybės draudimo rinkos plėtros veiksniai</w:t>
            </w:r>
            <w:r w:rsidR="00B50B35" w:rsidRPr="00B50B35">
              <w:rPr>
                <w:noProof/>
                <w:webHidden/>
              </w:rPr>
              <w:tab/>
            </w:r>
            <w:r w:rsidRPr="00B50B35">
              <w:rPr>
                <w:noProof/>
                <w:webHidden/>
              </w:rPr>
              <w:fldChar w:fldCharType="begin"/>
            </w:r>
            <w:r w:rsidR="00B50B35" w:rsidRPr="00B50B35">
              <w:rPr>
                <w:noProof/>
                <w:webHidden/>
              </w:rPr>
              <w:instrText xml:space="preserve"> PAGEREF _Toc342859652 \h </w:instrText>
            </w:r>
            <w:r w:rsidRPr="00B50B35">
              <w:rPr>
                <w:noProof/>
                <w:webHidden/>
              </w:rPr>
            </w:r>
            <w:r w:rsidRPr="00B50B35">
              <w:rPr>
                <w:noProof/>
                <w:webHidden/>
              </w:rPr>
              <w:fldChar w:fldCharType="separate"/>
            </w:r>
            <w:r w:rsidR="00B50B35">
              <w:rPr>
                <w:noProof/>
                <w:webHidden/>
              </w:rPr>
              <w:t>19</w:t>
            </w:r>
            <w:r w:rsidRPr="00B50B35">
              <w:rPr>
                <w:noProof/>
                <w:webHidden/>
              </w:rPr>
              <w:fldChar w:fldCharType="end"/>
            </w:r>
          </w:hyperlink>
        </w:p>
        <w:p w:rsidR="00B50B35" w:rsidRPr="00B50B35" w:rsidRDefault="00CB6286" w:rsidP="00B50B35">
          <w:pPr>
            <w:pStyle w:val="TOC1"/>
            <w:rPr>
              <w:rFonts w:asciiTheme="minorHAnsi" w:eastAsiaTheme="minorEastAsia" w:hAnsiTheme="minorHAnsi" w:cstheme="minorBidi"/>
              <w:b w:val="0"/>
              <w:noProof/>
            </w:rPr>
          </w:pPr>
          <w:hyperlink w:anchor="_Toc342859655" w:history="1">
            <w:r w:rsidR="00B50B35" w:rsidRPr="00B50B35">
              <w:rPr>
                <w:rStyle w:val="Hyperlink"/>
                <w:noProof/>
              </w:rPr>
              <w:t>2. NE GYVYBĖS DRAUDIMO RINKOS PLĖTROS VEIKSNIŲ VERTINIMO METODOLOGIJA</w:t>
            </w:r>
            <w:r w:rsidR="00B50B35" w:rsidRPr="00B50B35">
              <w:rPr>
                <w:noProof/>
                <w:webHidden/>
              </w:rPr>
              <w:tab/>
            </w:r>
            <w:r w:rsidRPr="00B50B35">
              <w:rPr>
                <w:noProof/>
                <w:webHidden/>
              </w:rPr>
              <w:fldChar w:fldCharType="begin"/>
            </w:r>
            <w:r w:rsidR="00B50B35" w:rsidRPr="00B50B35">
              <w:rPr>
                <w:noProof/>
                <w:webHidden/>
              </w:rPr>
              <w:instrText xml:space="preserve"> PAGEREF _Toc342859655 \h </w:instrText>
            </w:r>
            <w:r w:rsidRPr="00B50B35">
              <w:rPr>
                <w:noProof/>
                <w:webHidden/>
              </w:rPr>
            </w:r>
            <w:r w:rsidRPr="00B50B35">
              <w:rPr>
                <w:noProof/>
                <w:webHidden/>
              </w:rPr>
              <w:fldChar w:fldCharType="separate"/>
            </w:r>
            <w:r w:rsidR="00B50B35">
              <w:rPr>
                <w:noProof/>
                <w:webHidden/>
              </w:rPr>
              <w:t>29</w:t>
            </w:r>
            <w:r w:rsidRPr="00B50B35">
              <w:rPr>
                <w:noProof/>
                <w:webHidden/>
              </w:rPr>
              <w:fldChar w:fldCharType="end"/>
            </w:r>
          </w:hyperlink>
        </w:p>
        <w:p w:rsidR="00B50B35" w:rsidRPr="00B50B35" w:rsidRDefault="00CB6286" w:rsidP="00B50B35">
          <w:pPr>
            <w:pStyle w:val="TOC2"/>
            <w:tabs>
              <w:tab w:val="right" w:leader="dot" w:pos="9911"/>
            </w:tabs>
            <w:spacing w:line="360" w:lineRule="auto"/>
            <w:rPr>
              <w:rFonts w:asciiTheme="minorHAnsi" w:eastAsiaTheme="minorEastAsia" w:hAnsiTheme="minorHAnsi" w:cstheme="minorBidi"/>
              <w:noProof/>
            </w:rPr>
          </w:pPr>
          <w:hyperlink w:anchor="_Toc342859656" w:history="1">
            <w:r w:rsidR="00B50B35" w:rsidRPr="00B50B35">
              <w:rPr>
                <w:rStyle w:val="Hyperlink"/>
                <w:noProof/>
              </w:rPr>
              <w:t>2.1. Ne gyvybės draudimo rinkos tyrimo metodika</w:t>
            </w:r>
            <w:r w:rsidR="00B50B35" w:rsidRPr="00B50B35">
              <w:rPr>
                <w:noProof/>
                <w:webHidden/>
              </w:rPr>
              <w:tab/>
            </w:r>
            <w:r w:rsidRPr="00B50B35">
              <w:rPr>
                <w:noProof/>
                <w:webHidden/>
              </w:rPr>
              <w:fldChar w:fldCharType="begin"/>
            </w:r>
            <w:r w:rsidR="00B50B35" w:rsidRPr="00B50B35">
              <w:rPr>
                <w:noProof/>
                <w:webHidden/>
              </w:rPr>
              <w:instrText xml:space="preserve"> PAGEREF _Toc342859656 \h </w:instrText>
            </w:r>
            <w:r w:rsidRPr="00B50B35">
              <w:rPr>
                <w:noProof/>
                <w:webHidden/>
              </w:rPr>
            </w:r>
            <w:r w:rsidRPr="00B50B35">
              <w:rPr>
                <w:noProof/>
                <w:webHidden/>
              </w:rPr>
              <w:fldChar w:fldCharType="separate"/>
            </w:r>
            <w:r w:rsidR="00B50B35">
              <w:rPr>
                <w:noProof/>
                <w:webHidden/>
              </w:rPr>
              <w:t>29</w:t>
            </w:r>
            <w:r w:rsidRPr="00B50B35">
              <w:rPr>
                <w:noProof/>
                <w:webHidden/>
              </w:rPr>
              <w:fldChar w:fldCharType="end"/>
            </w:r>
          </w:hyperlink>
        </w:p>
        <w:p w:rsidR="00B50B35" w:rsidRPr="00B50B35" w:rsidRDefault="00CB6286" w:rsidP="00B50B35">
          <w:pPr>
            <w:pStyle w:val="TOC2"/>
            <w:tabs>
              <w:tab w:val="right" w:leader="dot" w:pos="9911"/>
            </w:tabs>
            <w:spacing w:line="360" w:lineRule="auto"/>
            <w:rPr>
              <w:rFonts w:asciiTheme="minorHAnsi" w:eastAsiaTheme="minorEastAsia" w:hAnsiTheme="minorHAnsi" w:cstheme="minorBidi"/>
              <w:noProof/>
            </w:rPr>
          </w:pPr>
          <w:hyperlink w:anchor="_Toc342859658" w:history="1">
            <w:r w:rsidR="00B50B35" w:rsidRPr="00B50B35">
              <w:rPr>
                <w:rStyle w:val="Hyperlink"/>
                <w:noProof/>
              </w:rPr>
              <w:t>2.</w:t>
            </w:r>
            <w:r w:rsidR="00B50B35" w:rsidRPr="00B50B35">
              <w:rPr>
                <w:rStyle w:val="Hyperlink"/>
                <w:noProof/>
                <w:lang w:val="en-US"/>
              </w:rPr>
              <w:t>2</w:t>
            </w:r>
            <w:r w:rsidR="00B50B35" w:rsidRPr="00B50B35">
              <w:rPr>
                <w:rStyle w:val="Hyperlink"/>
                <w:noProof/>
              </w:rPr>
              <w:t>. Ne gyvybės draudimo rinkos plėtros veiksnių tyrimo metodika</w:t>
            </w:r>
            <w:r w:rsidR="00B50B35" w:rsidRPr="00B50B35">
              <w:rPr>
                <w:noProof/>
                <w:webHidden/>
              </w:rPr>
              <w:tab/>
            </w:r>
            <w:r w:rsidRPr="00B50B35">
              <w:rPr>
                <w:noProof/>
                <w:webHidden/>
              </w:rPr>
              <w:fldChar w:fldCharType="begin"/>
            </w:r>
            <w:r w:rsidR="00B50B35" w:rsidRPr="00B50B35">
              <w:rPr>
                <w:noProof/>
                <w:webHidden/>
              </w:rPr>
              <w:instrText xml:space="preserve"> PAGEREF _Toc342859658 \h </w:instrText>
            </w:r>
            <w:r w:rsidRPr="00B50B35">
              <w:rPr>
                <w:noProof/>
                <w:webHidden/>
              </w:rPr>
            </w:r>
            <w:r w:rsidRPr="00B50B35">
              <w:rPr>
                <w:noProof/>
                <w:webHidden/>
              </w:rPr>
              <w:fldChar w:fldCharType="separate"/>
            </w:r>
            <w:r w:rsidR="00B50B35">
              <w:rPr>
                <w:noProof/>
                <w:webHidden/>
              </w:rPr>
              <w:t>35</w:t>
            </w:r>
            <w:r w:rsidRPr="00B50B35">
              <w:rPr>
                <w:noProof/>
                <w:webHidden/>
              </w:rPr>
              <w:fldChar w:fldCharType="end"/>
            </w:r>
          </w:hyperlink>
        </w:p>
        <w:p w:rsidR="00B50B35" w:rsidRPr="00B50B35" w:rsidRDefault="00CB6286" w:rsidP="00B50B35">
          <w:pPr>
            <w:pStyle w:val="TOC1"/>
            <w:rPr>
              <w:rFonts w:asciiTheme="minorHAnsi" w:eastAsiaTheme="minorEastAsia" w:hAnsiTheme="minorHAnsi" w:cstheme="minorBidi"/>
              <w:b w:val="0"/>
              <w:noProof/>
            </w:rPr>
          </w:pPr>
          <w:hyperlink w:anchor="_Toc342859660" w:history="1">
            <w:r w:rsidR="00B50B35" w:rsidRPr="00B50B35">
              <w:rPr>
                <w:rStyle w:val="Hyperlink"/>
                <w:noProof/>
                <w:lang w:val="en-US"/>
              </w:rPr>
              <w:t xml:space="preserve">3. </w:t>
            </w:r>
            <w:r w:rsidR="00B50B35" w:rsidRPr="00B50B35">
              <w:rPr>
                <w:rStyle w:val="Hyperlink"/>
                <w:noProof/>
              </w:rPr>
              <w:t xml:space="preserve">LIETUVOS NE GYVYBĖS DRAUDIMO RINKOS SITUACIJA </w:t>
            </w:r>
            <w:r w:rsidR="00D52C98">
              <w:rPr>
                <w:rStyle w:val="Hyperlink"/>
                <w:noProof/>
              </w:rPr>
              <w:t xml:space="preserve">IR </w:t>
            </w:r>
            <w:r w:rsidR="00B50B35" w:rsidRPr="00B50B35">
              <w:rPr>
                <w:rStyle w:val="Hyperlink"/>
                <w:noProof/>
              </w:rPr>
              <w:t>PLĖTROS VEIKSNIŲ ANALIZĖ</w:t>
            </w:r>
            <w:r w:rsidR="00B50B35" w:rsidRPr="00B50B35">
              <w:rPr>
                <w:noProof/>
                <w:webHidden/>
              </w:rPr>
              <w:tab/>
            </w:r>
            <w:r w:rsidRPr="00B50B35">
              <w:rPr>
                <w:noProof/>
                <w:webHidden/>
              </w:rPr>
              <w:fldChar w:fldCharType="begin"/>
            </w:r>
            <w:r w:rsidR="00B50B35" w:rsidRPr="00B50B35">
              <w:rPr>
                <w:noProof/>
                <w:webHidden/>
              </w:rPr>
              <w:instrText xml:space="preserve"> PAGEREF _Toc342859660 \h </w:instrText>
            </w:r>
            <w:r w:rsidRPr="00B50B35">
              <w:rPr>
                <w:noProof/>
                <w:webHidden/>
              </w:rPr>
            </w:r>
            <w:r w:rsidRPr="00B50B35">
              <w:rPr>
                <w:noProof/>
                <w:webHidden/>
              </w:rPr>
              <w:fldChar w:fldCharType="separate"/>
            </w:r>
            <w:r w:rsidR="00B50B35">
              <w:rPr>
                <w:noProof/>
                <w:webHidden/>
              </w:rPr>
              <w:t>38</w:t>
            </w:r>
            <w:r w:rsidRPr="00B50B35">
              <w:rPr>
                <w:noProof/>
                <w:webHidden/>
              </w:rPr>
              <w:fldChar w:fldCharType="end"/>
            </w:r>
          </w:hyperlink>
        </w:p>
        <w:p w:rsidR="00B50B35" w:rsidRPr="00B50B35" w:rsidRDefault="00CB6286" w:rsidP="00B50B35">
          <w:pPr>
            <w:pStyle w:val="TOC2"/>
            <w:tabs>
              <w:tab w:val="right" w:leader="dot" w:pos="9911"/>
            </w:tabs>
            <w:spacing w:line="360" w:lineRule="auto"/>
            <w:rPr>
              <w:rFonts w:asciiTheme="minorHAnsi" w:eastAsiaTheme="minorEastAsia" w:hAnsiTheme="minorHAnsi" w:cstheme="minorBidi"/>
              <w:noProof/>
            </w:rPr>
          </w:pPr>
          <w:hyperlink w:anchor="_Toc342859661" w:history="1">
            <w:r w:rsidR="00B50B35" w:rsidRPr="00B50B35">
              <w:rPr>
                <w:rStyle w:val="Hyperlink"/>
                <w:noProof/>
              </w:rPr>
              <w:t>3.1. Lietuvos ne gyvybės draudimo rinkos situacijos vertinimas</w:t>
            </w:r>
            <w:r w:rsidR="00B50B35" w:rsidRPr="00B50B35">
              <w:rPr>
                <w:noProof/>
                <w:webHidden/>
              </w:rPr>
              <w:tab/>
            </w:r>
            <w:r w:rsidRPr="00B50B35">
              <w:rPr>
                <w:noProof/>
                <w:webHidden/>
              </w:rPr>
              <w:fldChar w:fldCharType="begin"/>
            </w:r>
            <w:r w:rsidR="00B50B35" w:rsidRPr="00B50B35">
              <w:rPr>
                <w:noProof/>
                <w:webHidden/>
              </w:rPr>
              <w:instrText xml:space="preserve"> PAGEREF _Toc342859661 \h </w:instrText>
            </w:r>
            <w:r w:rsidRPr="00B50B35">
              <w:rPr>
                <w:noProof/>
                <w:webHidden/>
              </w:rPr>
            </w:r>
            <w:r w:rsidRPr="00B50B35">
              <w:rPr>
                <w:noProof/>
                <w:webHidden/>
              </w:rPr>
              <w:fldChar w:fldCharType="separate"/>
            </w:r>
            <w:r w:rsidR="00B50B35">
              <w:rPr>
                <w:noProof/>
                <w:webHidden/>
              </w:rPr>
              <w:t>38</w:t>
            </w:r>
            <w:r w:rsidRPr="00B50B35">
              <w:rPr>
                <w:noProof/>
                <w:webHidden/>
              </w:rPr>
              <w:fldChar w:fldCharType="end"/>
            </w:r>
          </w:hyperlink>
        </w:p>
        <w:p w:rsidR="00B50B35" w:rsidRPr="00B50B35" w:rsidRDefault="00CB6286" w:rsidP="00B50B35">
          <w:pPr>
            <w:pStyle w:val="TOC2"/>
            <w:tabs>
              <w:tab w:val="right" w:leader="dot" w:pos="9911"/>
            </w:tabs>
            <w:spacing w:line="360" w:lineRule="auto"/>
            <w:rPr>
              <w:rFonts w:asciiTheme="minorHAnsi" w:eastAsiaTheme="minorEastAsia" w:hAnsiTheme="minorHAnsi" w:cstheme="minorBidi"/>
              <w:noProof/>
            </w:rPr>
          </w:pPr>
          <w:hyperlink w:anchor="_Toc342859672" w:history="1">
            <w:r w:rsidR="00B50B35" w:rsidRPr="00B50B35">
              <w:rPr>
                <w:rStyle w:val="Hyperlink"/>
                <w:noProof/>
              </w:rPr>
              <w:t>3.2. PEST analizė</w:t>
            </w:r>
            <w:r w:rsidR="00B50B35" w:rsidRPr="00B50B35">
              <w:rPr>
                <w:noProof/>
                <w:webHidden/>
              </w:rPr>
              <w:tab/>
            </w:r>
            <w:r w:rsidRPr="00B50B35">
              <w:rPr>
                <w:noProof/>
                <w:webHidden/>
              </w:rPr>
              <w:fldChar w:fldCharType="begin"/>
            </w:r>
            <w:r w:rsidR="00B50B35" w:rsidRPr="00B50B35">
              <w:rPr>
                <w:noProof/>
                <w:webHidden/>
              </w:rPr>
              <w:instrText xml:space="preserve"> PAGEREF _Toc342859672 \h </w:instrText>
            </w:r>
            <w:r w:rsidRPr="00B50B35">
              <w:rPr>
                <w:noProof/>
                <w:webHidden/>
              </w:rPr>
            </w:r>
            <w:r w:rsidRPr="00B50B35">
              <w:rPr>
                <w:noProof/>
                <w:webHidden/>
              </w:rPr>
              <w:fldChar w:fldCharType="separate"/>
            </w:r>
            <w:r w:rsidR="00B50B35">
              <w:rPr>
                <w:noProof/>
                <w:webHidden/>
              </w:rPr>
              <w:t>53</w:t>
            </w:r>
            <w:r w:rsidRPr="00B50B35">
              <w:rPr>
                <w:noProof/>
                <w:webHidden/>
              </w:rPr>
              <w:fldChar w:fldCharType="end"/>
            </w:r>
          </w:hyperlink>
        </w:p>
        <w:p w:rsidR="00B50B35" w:rsidRPr="00B50B35" w:rsidRDefault="00CB6286" w:rsidP="00B50B35">
          <w:pPr>
            <w:pStyle w:val="TOC2"/>
            <w:tabs>
              <w:tab w:val="right" w:leader="dot" w:pos="9911"/>
            </w:tabs>
            <w:spacing w:line="360" w:lineRule="auto"/>
            <w:rPr>
              <w:rFonts w:asciiTheme="minorHAnsi" w:eastAsiaTheme="minorEastAsia" w:hAnsiTheme="minorHAnsi" w:cstheme="minorBidi"/>
              <w:noProof/>
            </w:rPr>
          </w:pPr>
          <w:hyperlink w:anchor="_Toc342859673" w:history="1">
            <w:r w:rsidR="00B50B35" w:rsidRPr="00B50B35">
              <w:rPr>
                <w:rStyle w:val="Hyperlink"/>
                <w:noProof/>
              </w:rPr>
              <w:t>3.</w:t>
            </w:r>
            <w:r w:rsidR="00B50B35" w:rsidRPr="00B50B35">
              <w:rPr>
                <w:rStyle w:val="Hyperlink"/>
                <w:noProof/>
                <w:lang w:val="en-US"/>
              </w:rPr>
              <w:t>3</w:t>
            </w:r>
            <w:r w:rsidR="00B50B35" w:rsidRPr="00B50B35">
              <w:rPr>
                <w:rStyle w:val="Hyperlink"/>
                <w:noProof/>
              </w:rPr>
              <w:t>. Lietuvos ne gyvybės draudimo rinkos plėtros veiksnių analizė</w:t>
            </w:r>
            <w:r w:rsidR="00B50B35" w:rsidRPr="00B50B35">
              <w:rPr>
                <w:noProof/>
                <w:webHidden/>
              </w:rPr>
              <w:tab/>
            </w:r>
            <w:r w:rsidRPr="00B50B35">
              <w:rPr>
                <w:noProof/>
                <w:webHidden/>
              </w:rPr>
              <w:fldChar w:fldCharType="begin"/>
            </w:r>
            <w:r w:rsidR="00B50B35" w:rsidRPr="00B50B35">
              <w:rPr>
                <w:noProof/>
                <w:webHidden/>
              </w:rPr>
              <w:instrText xml:space="preserve"> PAGEREF _Toc342859673 \h </w:instrText>
            </w:r>
            <w:r w:rsidRPr="00B50B35">
              <w:rPr>
                <w:noProof/>
                <w:webHidden/>
              </w:rPr>
            </w:r>
            <w:r w:rsidRPr="00B50B35">
              <w:rPr>
                <w:noProof/>
                <w:webHidden/>
              </w:rPr>
              <w:fldChar w:fldCharType="separate"/>
            </w:r>
            <w:r w:rsidR="00B50B35">
              <w:rPr>
                <w:noProof/>
                <w:webHidden/>
              </w:rPr>
              <w:t>59</w:t>
            </w:r>
            <w:r w:rsidRPr="00B50B35">
              <w:rPr>
                <w:noProof/>
                <w:webHidden/>
              </w:rPr>
              <w:fldChar w:fldCharType="end"/>
            </w:r>
          </w:hyperlink>
        </w:p>
        <w:p w:rsidR="00B50B35" w:rsidRPr="00B50B35" w:rsidRDefault="00CB6286" w:rsidP="00B50B35">
          <w:pPr>
            <w:pStyle w:val="TOC1"/>
            <w:rPr>
              <w:rFonts w:asciiTheme="minorHAnsi" w:eastAsiaTheme="minorEastAsia" w:hAnsiTheme="minorHAnsi" w:cstheme="minorBidi"/>
              <w:b w:val="0"/>
              <w:noProof/>
            </w:rPr>
          </w:pPr>
          <w:hyperlink w:anchor="_Toc342859677" w:history="1">
            <w:r w:rsidR="00B50B35" w:rsidRPr="00B50B35">
              <w:rPr>
                <w:rStyle w:val="Hyperlink"/>
                <w:noProof/>
              </w:rPr>
              <w:t>IŠVADOS IR REKOMENDACIJOS</w:t>
            </w:r>
            <w:r w:rsidR="00B50B35" w:rsidRPr="00B50B35">
              <w:rPr>
                <w:noProof/>
                <w:webHidden/>
              </w:rPr>
              <w:tab/>
            </w:r>
            <w:r w:rsidRPr="00B50B35">
              <w:rPr>
                <w:noProof/>
                <w:webHidden/>
              </w:rPr>
              <w:fldChar w:fldCharType="begin"/>
            </w:r>
            <w:r w:rsidR="00B50B35" w:rsidRPr="00B50B35">
              <w:rPr>
                <w:noProof/>
                <w:webHidden/>
              </w:rPr>
              <w:instrText xml:space="preserve"> PAGEREF _Toc342859677 \h </w:instrText>
            </w:r>
            <w:r w:rsidRPr="00B50B35">
              <w:rPr>
                <w:noProof/>
                <w:webHidden/>
              </w:rPr>
            </w:r>
            <w:r w:rsidRPr="00B50B35">
              <w:rPr>
                <w:noProof/>
                <w:webHidden/>
              </w:rPr>
              <w:fldChar w:fldCharType="separate"/>
            </w:r>
            <w:r w:rsidR="00B50B35">
              <w:rPr>
                <w:noProof/>
                <w:webHidden/>
              </w:rPr>
              <w:t>66</w:t>
            </w:r>
            <w:r w:rsidRPr="00B50B35">
              <w:rPr>
                <w:noProof/>
                <w:webHidden/>
              </w:rPr>
              <w:fldChar w:fldCharType="end"/>
            </w:r>
          </w:hyperlink>
        </w:p>
        <w:p w:rsidR="00B50B35" w:rsidRPr="00B50B35" w:rsidRDefault="00CB6286" w:rsidP="00B50B35">
          <w:pPr>
            <w:pStyle w:val="TOC1"/>
            <w:rPr>
              <w:rFonts w:asciiTheme="minorHAnsi" w:eastAsiaTheme="minorEastAsia" w:hAnsiTheme="minorHAnsi" w:cstheme="minorBidi"/>
              <w:b w:val="0"/>
              <w:noProof/>
            </w:rPr>
          </w:pPr>
          <w:hyperlink w:anchor="_Toc342859678" w:history="1">
            <w:r w:rsidR="00B50B35" w:rsidRPr="00B50B35">
              <w:rPr>
                <w:rStyle w:val="Hyperlink"/>
                <w:noProof/>
              </w:rPr>
              <w:t>LITERATŪRA</w:t>
            </w:r>
            <w:r w:rsidR="00B50B35" w:rsidRPr="00B50B35">
              <w:rPr>
                <w:noProof/>
                <w:webHidden/>
              </w:rPr>
              <w:tab/>
            </w:r>
            <w:r w:rsidRPr="00B50B35">
              <w:rPr>
                <w:noProof/>
                <w:webHidden/>
              </w:rPr>
              <w:fldChar w:fldCharType="begin"/>
            </w:r>
            <w:r w:rsidR="00B50B35" w:rsidRPr="00B50B35">
              <w:rPr>
                <w:noProof/>
                <w:webHidden/>
              </w:rPr>
              <w:instrText xml:space="preserve"> PAGEREF _Toc342859678 \h </w:instrText>
            </w:r>
            <w:r w:rsidRPr="00B50B35">
              <w:rPr>
                <w:noProof/>
                <w:webHidden/>
              </w:rPr>
            </w:r>
            <w:r w:rsidRPr="00B50B35">
              <w:rPr>
                <w:noProof/>
                <w:webHidden/>
              </w:rPr>
              <w:fldChar w:fldCharType="separate"/>
            </w:r>
            <w:r w:rsidR="00B50B35">
              <w:rPr>
                <w:noProof/>
                <w:webHidden/>
              </w:rPr>
              <w:t>68</w:t>
            </w:r>
            <w:r w:rsidRPr="00B50B35">
              <w:rPr>
                <w:noProof/>
                <w:webHidden/>
              </w:rPr>
              <w:fldChar w:fldCharType="end"/>
            </w:r>
          </w:hyperlink>
        </w:p>
        <w:p w:rsidR="00B50B35" w:rsidRPr="00B50B35" w:rsidRDefault="00CB6286" w:rsidP="00B50B35">
          <w:pPr>
            <w:pStyle w:val="TOC1"/>
            <w:rPr>
              <w:rFonts w:asciiTheme="minorHAnsi" w:eastAsiaTheme="minorEastAsia" w:hAnsiTheme="minorHAnsi" w:cstheme="minorBidi"/>
              <w:b w:val="0"/>
              <w:noProof/>
            </w:rPr>
          </w:pPr>
          <w:hyperlink w:anchor="_Toc342859679" w:history="1">
            <w:r w:rsidR="00B50B35" w:rsidRPr="00B50B35">
              <w:rPr>
                <w:rStyle w:val="Hyperlink"/>
                <w:noProof/>
              </w:rPr>
              <w:t>ANOTACIJA</w:t>
            </w:r>
            <w:r w:rsidR="00B50B35" w:rsidRPr="00B50B35">
              <w:rPr>
                <w:noProof/>
                <w:webHidden/>
              </w:rPr>
              <w:tab/>
            </w:r>
            <w:r w:rsidRPr="00B50B35">
              <w:rPr>
                <w:noProof/>
                <w:webHidden/>
              </w:rPr>
              <w:fldChar w:fldCharType="begin"/>
            </w:r>
            <w:r w:rsidR="00B50B35" w:rsidRPr="00B50B35">
              <w:rPr>
                <w:noProof/>
                <w:webHidden/>
              </w:rPr>
              <w:instrText xml:space="preserve"> PAGEREF _Toc342859679 \h </w:instrText>
            </w:r>
            <w:r w:rsidRPr="00B50B35">
              <w:rPr>
                <w:noProof/>
                <w:webHidden/>
              </w:rPr>
            </w:r>
            <w:r w:rsidRPr="00B50B35">
              <w:rPr>
                <w:noProof/>
                <w:webHidden/>
              </w:rPr>
              <w:fldChar w:fldCharType="separate"/>
            </w:r>
            <w:r w:rsidR="00B50B35">
              <w:rPr>
                <w:noProof/>
                <w:webHidden/>
              </w:rPr>
              <w:t>76</w:t>
            </w:r>
            <w:r w:rsidRPr="00B50B35">
              <w:rPr>
                <w:noProof/>
                <w:webHidden/>
              </w:rPr>
              <w:fldChar w:fldCharType="end"/>
            </w:r>
          </w:hyperlink>
        </w:p>
        <w:p w:rsidR="00B50B35" w:rsidRPr="00B50B35" w:rsidRDefault="00CB6286" w:rsidP="00B50B35">
          <w:pPr>
            <w:pStyle w:val="TOC1"/>
            <w:rPr>
              <w:rFonts w:asciiTheme="minorHAnsi" w:eastAsiaTheme="minorEastAsia" w:hAnsiTheme="minorHAnsi" w:cstheme="minorBidi"/>
              <w:b w:val="0"/>
              <w:noProof/>
            </w:rPr>
          </w:pPr>
          <w:hyperlink w:anchor="_Toc342859680" w:history="1">
            <w:r w:rsidR="00B50B35" w:rsidRPr="00B50B35">
              <w:rPr>
                <w:rStyle w:val="Hyperlink"/>
                <w:noProof/>
              </w:rPr>
              <w:t>ANNOTATION</w:t>
            </w:r>
            <w:r w:rsidR="00B50B35" w:rsidRPr="00B50B35">
              <w:rPr>
                <w:noProof/>
                <w:webHidden/>
              </w:rPr>
              <w:tab/>
            </w:r>
            <w:r w:rsidRPr="00B50B35">
              <w:rPr>
                <w:noProof/>
                <w:webHidden/>
              </w:rPr>
              <w:fldChar w:fldCharType="begin"/>
            </w:r>
            <w:r w:rsidR="00B50B35" w:rsidRPr="00B50B35">
              <w:rPr>
                <w:noProof/>
                <w:webHidden/>
              </w:rPr>
              <w:instrText xml:space="preserve"> PAGEREF _Toc342859680 \h </w:instrText>
            </w:r>
            <w:r w:rsidRPr="00B50B35">
              <w:rPr>
                <w:noProof/>
                <w:webHidden/>
              </w:rPr>
            </w:r>
            <w:r w:rsidRPr="00B50B35">
              <w:rPr>
                <w:noProof/>
                <w:webHidden/>
              </w:rPr>
              <w:fldChar w:fldCharType="separate"/>
            </w:r>
            <w:r w:rsidR="00B50B35">
              <w:rPr>
                <w:noProof/>
                <w:webHidden/>
              </w:rPr>
              <w:t>77</w:t>
            </w:r>
            <w:r w:rsidRPr="00B50B35">
              <w:rPr>
                <w:noProof/>
                <w:webHidden/>
              </w:rPr>
              <w:fldChar w:fldCharType="end"/>
            </w:r>
          </w:hyperlink>
        </w:p>
        <w:p w:rsidR="00B50B35" w:rsidRPr="00B50B35" w:rsidRDefault="00CB6286" w:rsidP="00B50B35">
          <w:pPr>
            <w:pStyle w:val="TOC1"/>
            <w:rPr>
              <w:rFonts w:asciiTheme="minorHAnsi" w:eastAsiaTheme="minorEastAsia" w:hAnsiTheme="minorHAnsi" w:cstheme="minorBidi"/>
              <w:b w:val="0"/>
              <w:noProof/>
            </w:rPr>
          </w:pPr>
          <w:hyperlink w:anchor="_Toc342859681" w:history="1">
            <w:r w:rsidR="00B50B35" w:rsidRPr="00B50B35">
              <w:rPr>
                <w:rStyle w:val="Hyperlink"/>
                <w:noProof/>
              </w:rPr>
              <w:t>SANTRAUKA</w:t>
            </w:r>
            <w:r w:rsidR="00B50B35" w:rsidRPr="00B50B35">
              <w:rPr>
                <w:noProof/>
                <w:webHidden/>
              </w:rPr>
              <w:tab/>
            </w:r>
            <w:r w:rsidRPr="00B50B35">
              <w:rPr>
                <w:noProof/>
                <w:webHidden/>
              </w:rPr>
              <w:fldChar w:fldCharType="begin"/>
            </w:r>
            <w:r w:rsidR="00B50B35" w:rsidRPr="00B50B35">
              <w:rPr>
                <w:noProof/>
                <w:webHidden/>
              </w:rPr>
              <w:instrText xml:space="preserve"> PAGEREF _Toc342859681 \h </w:instrText>
            </w:r>
            <w:r w:rsidRPr="00B50B35">
              <w:rPr>
                <w:noProof/>
                <w:webHidden/>
              </w:rPr>
            </w:r>
            <w:r w:rsidRPr="00B50B35">
              <w:rPr>
                <w:noProof/>
                <w:webHidden/>
              </w:rPr>
              <w:fldChar w:fldCharType="separate"/>
            </w:r>
            <w:r w:rsidR="00B50B35">
              <w:rPr>
                <w:noProof/>
                <w:webHidden/>
              </w:rPr>
              <w:t>78</w:t>
            </w:r>
            <w:r w:rsidRPr="00B50B35">
              <w:rPr>
                <w:noProof/>
                <w:webHidden/>
              </w:rPr>
              <w:fldChar w:fldCharType="end"/>
            </w:r>
          </w:hyperlink>
        </w:p>
        <w:p w:rsidR="00B50B35" w:rsidRPr="00B50B35" w:rsidRDefault="00CB6286" w:rsidP="00B50B35">
          <w:pPr>
            <w:pStyle w:val="TOC1"/>
            <w:rPr>
              <w:rFonts w:asciiTheme="minorHAnsi" w:eastAsiaTheme="minorEastAsia" w:hAnsiTheme="minorHAnsi" w:cstheme="minorBidi"/>
              <w:b w:val="0"/>
              <w:noProof/>
            </w:rPr>
          </w:pPr>
          <w:hyperlink w:anchor="_Toc342859682" w:history="1">
            <w:r w:rsidR="00B50B35" w:rsidRPr="00B50B35">
              <w:rPr>
                <w:rStyle w:val="Hyperlink"/>
                <w:noProof/>
              </w:rPr>
              <w:t>SUMMARY</w:t>
            </w:r>
            <w:r w:rsidR="00B50B35" w:rsidRPr="00B50B35">
              <w:rPr>
                <w:noProof/>
                <w:webHidden/>
              </w:rPr>
              <w:tab/>
            </w:r>
            <w:r w:rsidRPr="00B50B35">
              <w:rPr>
                <w:noProof/>
                <w:webHidden/>
              </w:rPr>
              <w:fldChar w:fldCharType="begin"/>
            </w:r>
            <w:r w:rsidR="00B50B35" w:rsidRPr="00B50B35">
              <w:rPr>
                <w:noProof/>
                <w:webHidden/>
              </w:rPr>
              <w:instrText xml:space="preserve"> PAGEREF _Toc342859682 \h </w:instrText>
            </w:r>
            <w:r w:rsidRPr="00B50B35">
              <w:rPr>
                <w:noProof/>
                <w:webHidden/>
              </w:rPr>
            </w:r>
            <w:r w:rsidRPr="00B50B35">
              <w:rPr>
                <w:noProof/>
                <w:webHidden/>
              </w:rPr>
              <w:fldChar w:fldCharType="separate"/>
            </w:r>
            <w:r w:rsidR="00B50B35">
              <w:rPr>
                <w:noProof/>
                <w:webHidden/>
              </w:rPr>
              <w:t>80</w:t>
            </w:r>
            <w:r w:rsidRPr="00B50B35">
              <w:rPr>
                <w:noProof/>
                <w:webHidden/>
              </w:rPr>
              <w:fldChar w:fldCharType="end"/>
            </w:r>
          </w:hyperlink>
        </w:p>
        <w:p w:rsidR="00B50B35" w:rsidRPr="00B50B35" w:rsidRDefault="00CB6286" w:rsidP="00B50B35">
          <w:pPr>
            <w:pStyle w:val="TOC1"/>
            <w:rPr>
              <w:rFonts w:asciiTheme="minorHAnsi" w:eastAsiaTheme="minorEastAsia" w:hAnsiTheme="minorHAnsi" w:cstheme="minorBidi"/>
              <w:b w:val="0"/>
              <w:noProof/>
            </w:rPr>
          </w:pPr>
          <w:hyperlink w:anchor="_Toc342859683" w:history="1">
            <w:r w:rsidR="00B50B35" w:rsidRPr="00B50B35">
              <w:rPr>
                <w:rStyle w:val="Hyperlink"/>
                <w:noProof/>
              </w:rPr>
              <w:t>PRIEDAI</w:t>
            </w:r>
            <w:r w:rsidR="00B50B35" w:rsidRPr="00B50B35">
              <w:rPr>
                <w:noProof/>
                <w:webHidden/>
              </w:rPr>
              <w:tab/>
            </w:r>
            <w:r w:rsidRPr="00B50B35">
              <w:rPr>
                <w:noProof/>
                <w:webHidden/>
              </w:rPr>
              <w:fldChar w:fldCharType="begin"/>
            </w:r>
            <w:r w:rsidR="00B50B35" w:rsidRPr="00B50B35">
              <w:rPr>
                <w:noProof/>
                <w:webHidden/>
              </w:rPr>
              <w:instrText xml:space="preserve"> PAGEREF _Toc342859683 \h </w:instrText>
            </w:r>
            <w:r w:rsidRPr="00B50B35">
              <w:rPr>
                <w:noProof/>
                <w:webHidden/>
              </w:rPr>
            </w:r>
            <w:r w:rsidRPr="00B50B35">
              <w:rPr>
                <w:noProof/>
                <w:webHidden/>
              </w:rPr>
              <w:fldChar w:fldCharType="separate"/>
            </w:r>
            <w:r w:rsidR="00B50B35">
              <w:rPr>
                <w:noProof/>
                <w:webHidden/>
              </w:rPr>
              <w:t>82</w:t>
            </w:r>
            <w:r w:rsidRPr="00B50B35">
              <w:rPr>
                <w:noProof/>
                <w:webHidden/>
              </w:rPr>
              <w:fldChar w:fldCharType="end"/>
            </w:r>
          </w:hyperlink>
        </w:p>
        <w:p w:rsidR="00AC71D2" w:rsidRPr="00B50B35" w:rsidRDefault="00CB6286" w:rsidP="00365288">
          <w:pPr>
            <w:rPr>
              <w:szCs w:val="24"/>
            </w:rPr>
          </w:pPr>
          <w:r w:rsidRPr="00B50B35">
            <w:rPr>
              <w:szCs w:val="24"/>
            </w:rPr>
            <w:fldChar w:fldCharType="end"/>
          </w:r>
        </w:p>
      </w:sdtContent>
    </w:sdt>
    <w:p w:rsidR="00AC71D2" w:rsidRPr="00F54BAA" w:rsidRDefault="00AC71D2" w:rsidP="00AC71D2">
      <w:pPr>
        <w:jc w:val="center"/>
        <w:rPr>
          <w:b/>
          <w:sz w:val="28"/>
          <w:szCs w:val="28"/>
        </w:rPr>
      </w:pPr>
    </w:p>
    <w:p w:rsidR="00AC71D2" w:rsidRDefault="00AC71D2" w:rsidP="00AC71D2">
      <w:pPr>
        <w:jc w:val="center"/>
        <w:rPr>
          <w:sz w:val="28"/>
          <w:szCs w:val="28"/>
        </w:rPr>
      </w:pPr>
    </w:p>
    <w:p w:rsidR="00AC71D2" w:rsidRDefault="00AC71D2" w:rsidP="00AC71D2">
      <w:pPr>
        <w:spacing w:after="200" w:line="276" w:lineRule="auto"/>
        <w:rPr>
          <w:rFonts w:asciiTheme="majorHAnsi" w:eastAsiaTheme="majorEastAsia" w:hAnsiTheme="majorHAnsi" w:cstheme="majorBidi"/>
          <w:b/>
          <w:bCs/>
          <w:color w:val="365F91" w:themeColor="accent1" w:themeShade="BF"/>
          <w:sz w:val="28"/>
          <w:szCs w:val="28"/>
          <w:lang w:val="en-US"/>
        </w:rPr>
      </w:pPr>
      <w:r>
        <w:br w:type="page"/>
      </w:r>
    </w:p>
    <w:p w:rsidR="00AC71D2" w:rsidRPr="00BF56CD" w:rsidRDefault="00AC71D2" w:rsidP="00AC71D2">
      <w:pPr>
        <w:jc w:val="center"/>
        <w:rPr>
          <w:b/>
          <w:szCs w:val="24"/>
        </w:rPr>
      </w:pPr>
    </w:p>
    <w:p w:rsidR="00AC71D2" w:rsidRDefault="00AC71D2" w:rsidP="00AC71D2">
      <w:pPr>
        <w:jc w:val="center"/>
        <w:rPr>
          <w:b/>
          <w:sz w:val="28"/>
          <w:szCs w:val="28"/>
        </w:rPr>
      </w:pPr>
      <w:r>
        <w:rPr>
          <w:b/>
          <w:sz w:val="28"/>
          <w:szCs w:val="28"/>
        </w:rPr>
        <w:t>LENTELĖS</w:t>
      </w:r>
    </w:p>
    <w:p w:rsidR="00AC71D2" w:rsidRPr="00C2321C" w:rsidRDefault="00AC71D2" w:rsidP="00AC71D2">
      <w:pPr>
        <w:jc w:val="center"/>
        <w:rPr>
          <w:b/>
          <w:szCs w:val="28"/>
        </w:rPr>
      </w:pPr>
    </w:p>
    <w:p w:rsidR="00AC71D2" w:rsidRPr="00AC71D2" w:rsidRDefault="00CB6286" w:rsidP="000A31E5">
      <w:pPr>
        <w:pStyle w:val="TOC1"/>
        <w:rPr>
          <w:rFonts w:asciiTheme="minorHAnsi" w:eastAsiaTheme="minorEastAsia" w:hAnsiTheme="minorHAnsi" w:cstheme="minorBidi"/>
          <w:noProof/>
          <w:sz w:val="22"/>
          <w:szCs w:val="22"/>
        </w:rPr>
      </w:pPr>
      <w:r w:rsidRPr="00CB6286">
        <w:rPr>
          <w:sz w:val="28"/>
          <w:szCs w:val="28"/>
        </w:rPr>
        <w:fldChar w:fldCharType="begin"/>
      </w:r>
      <w:r w:rsidR="00AC71D2" w:rsidRPr="00AC71D2">
        <w:rPr>
          <w:sz w:val="28"/>
          <w:szCs w:val="28"/>
        </w:rPr>
        <w:instrText xml:space="preserve"> TOC \o "1-3" \h \z \u </w:instrText>
      </w:r>
      <w:r w:rsidRPr="00CB6286">
        <w:rPr>
          <w:sz w:val="28"/>
          <w:szCs w:val="28"/>
        </w:rPr>
        <w:fldChar w:fldCharType="separate"/>
      </w:r>
      <w:hyperlink w:anchor="_Toc340574382" w:history="1">
        <w:r w:rsidR="00AC71D2" w:rsidRPr="00AC71D2">
          <w:rPr>
            <w:rStyle w:val="Hyperlink"/>
            <w:noProof/>
          </w:rPr>
          <w:t>1 lentelė. Lietuvos ne gyvybės draudimo rinkos analizė PEST metodu</w:t>
        </w:r>
        <w:r w:rsidR="00AC71D2" w:rsidRPr="00AC71D2">
          <w:rPr>
            <w:noProof/>
            <w:webHidden/>
          </w:rPr>
          <w:tab/>
        </w:r>
        <w:r w:rsidRPr="00AC71D2">
          <w:rPr>
            <w:noProof/>
            <w:webHidden/>
          </w:rPr>
          <w:fldChar w:fldCharType="begin"/>
        </w:r>
        <w:r w:rsidR="00AC71D2" w:rsidRPr="00AC71D2">
          <w:rPr>
            <w:noProof/>
            <w:webHidden/>
          </w:rPr>
          <w:instrText xml:space="preserve"> PAGEREF _Toc340574382 \h </w:instrText>
        </w:r>
        <w:r w:rsidRPr="00AC71D2">
          <w:rPr>
            <w:noProof/>
            <w:webHidden/>
          </w:rPr>
        </w:r>
        <w:r w:rsidRPr="00AC71D2">
          <w:rPr>
            <w:noProof/>
            <w:webHidden/>
          </w:rPr>
          <w:fldChar w:fldCharType="separate"/>
        </w:r>
        <w:r w:rsidR="00B50B35">
          <w:rPr>
            <w:noProof/>
            <w:webHidden/>
          </w:rPr>
          <w:t>34</w:t>
        </w:r>
        <w:r w:rsidRPr="00AC71D2">
          <w:rPr>
            <w:noProof/>
            <w:webHidden/>
          </w:rPr>
          <w:fldChar w:fldCharType="end"/>
        </w:r>
      </w:hyperlink>
    </w:p>
    <w:p w:rsidR="00AC71D2" w:rsidRPr="00AC71D2" w:rsidRDefault="00CB6286" w:rsidP="000A31E5">
      <w:pPr>
        <w:pStyle w:val="TOC2"/>
        <w:tabs>
          <w:tab w:val="right" w:leader="dot" w:pos="9911"/>
        </w:tabs>
        <w:spacing w:line="360" w:lineRule="auto"/>
        <w:ind w:left="0"/>
        <w:rPr>
          <w:rFonts w:asciiTheme="minorHAnsi" w:eastAsiaTheme="minorEastAsia" w:hAnsiTheme="minorHAnsi" w:cstheme="minorBidi"/>
          <w:b/>
          <w:noProof/>
          <w:sz w:val="22"/>
          <w:szCs w:val="22"/>
        </w:rPr>
      </w:pPr>
      <w:hyperlink w:anchor="_Toc340574384" w:history="1">
        <w:r w:rsidR="00AC71D2" w:rsidRPr="00AC71D2">
          <w:rPr>
            <w:rStyle w:val="Hyperlink"/>
            <w:b/>
            <w:noProof/>
          </w:rPr>
          <w:t>2 lentelė. Koreliacijos stiprumo interpretacija</w:t>
        </w:r>
        <w:r w:rsidR="00AC71D2" w:rsidRPr="00AC71D2">
          <w:rPr>
            <w:b/>
            <w:noProof/>
            <w:webHidden/>
          </w:rPr>
          <w:tab/>
        </w:r>
        <w:r w:rsidRPr="00AC71D2">
          <w:rPr>
            <w:b/>
            <w:noProof/>
            <w:webHidden/>
          </w:rPr>
          <w:fldChar w:fldCharType="begin"/>
        </w:r>
        <w:r w:rsidR="00AC71D2" w:rsidRPr="00AC71D2">
          <w:rPr>
            <w:b/>
            <w:noProof/>
            <w:webHidden/>
          </w:rPr>
          <w:instrText xml:space="preserve"> PAGEREF _Toc340574384 \h </w:instrText>
        </w:r>
        <w:r w:rsidRPr="00AC71D2">
          <w:rPr>
            <w:b/>
            <w:noProof/>
            <w:webHidden/>
          </w:rPr>
        </w:r>
        <w:r w:rsidRPr="00AC71D2">
          <w:rPr>
            <w:b/>
            <w:noProof/>
            <w:webHidden/>
          </w:rPr>
          <w:fldChar w:fldCharType="separate"/>
        </w:r>
        <w:r w:rsidR="00B50B35">
          <w:rPr>
            <w:b/>
            <w:noProof/>
            <w:webHidden/>
          </w:rPr>
          <w:t>35</w:t>
        </w:r>
        <w:r w:rsidRPr="00AC71D2">
          <w:rPr>
            <w:b/>
            <w:noProof/>
            <w:webHidden/>
          </w:rPr>
          <w:fldChar w:fldCharType="end"/>
        </w:r>
      </w:hyperlink>
    </w:p>
    <w:p w:rsidR="00AC71D2" w:rsidRPr="00AC71D2" w:rsidRDefault="00CB6286" w:rsidP="000A31E5">
      <w:pPr>
        <w:pStyle w:val="TOC2"/>
        <w:tabs>
          <w:tab w:val="right" w:leader="dot" w:pos="9911"/>
        </w:tabs>
        <w:spacing w:line="360" w:lineRule="auto"/>
        <w:ind w:left="0"/>
        <w:rPr>
          <w:rFonts w:asciiTheme="minorHAnsi" w:eastAsiaTheme="minorEastAsia" w:hAnsiTheme="minorHAnsi" w:cstheme="minorBidi"/>
          <w:b/>
          <w:noProof/>
          <w:sz w:val="22"/>
          <w:szCs w:val="22"/>
        </w:rPr>
      </w:pPr>
      <w:hyperlink w:anchor="_Toc340574392" w:history="1">
        <w:r w:rsidR="00AC71D2" w:rsidRPr="00AC71D2">
          <w:rPr>
            <w:rStyle w:val="Hyperlink"/>
            <w:b/>
            <w:noProof/>
          </w:rPr>
          <w:t xml:space="preserve">3 lentelė. Ne gyvybės draudimo tankio bei skvarbos dinamika pasaulyje </w:t>
        </w:r>
        <w:r w:rsidR="00AC71D2" w:rsidRPr="00AC71D2">
          <w:rPr>
            <w:rStyle w:val="Hyperlink"/>
            <w:b/>
            <w:noProof/>
            <w:lang w:val="en-US"/>
          </w:rPr>
          <w:t>2009-2011 m.</w:t>
        </w:r>
        <w:r w:rsidR="00AC71D2" w:rsidRPr="00AC71D2">
          <w:rPr>
            <w:b/>
            <w:noProof/>
            <w:webHidden/>
          </w:rPr>
          <w:tab/>
        </w:r>
        <w:r w:rsidRPr="00AC71D2">
          <w:rPr>
            <w:b/>
            <w:noProof/>
            <w:webHidden/>
          </w:rPr>
          <w:fldChar w:fldCharType="begin"/>
        </w:r>
        <w:r w:rsidR="00AC71D2" w:rsidRPr="00AC71D2">
          <w:rPr>
            <w:b/>
            <w:noProof/>
            <w:webHidden/>
          </w:rPr>
          <w:instrText xml:space="preserve"> PAGEREF _Toc340574392 \h </w:instrText>
        </w:r>
        <w:r w:rsidRPr="00AC71D2">
          <w:rPr>
            <w:b/>
            <w:noProof/>
            <w:webHidden/>
          </w:rPr>
        </w:r>
        <w:r w:rsidRPr="00AC71D2">
          <w:rPr>
            <w:b/>
            <w:noProof/>
            <w:webHidden/>
          </w:rPr>
          <w:fldChar w:fldCharType="separate"/>
        </w:r>
        <w:r w:rsidR="00B50B35">
          <w:rPr>
            <w:b/>
            <w:noProof/>
            <w:webHidden/>
          </w:rPr>
          <w:t>46</w:t>
        </w:r>
        <w:r w:rsidRPr="00AC71D2">
          <w:rPr>
            <w:b/>
            <w:noProof/>
            <w:webHidden/>
          </w:rPr>
          <w:fldChar w:fldCharType="end"/>
        </w:r>
      </w:hyperlink>
    </w:p>
    <w:p w:rsidR="00AC71D2" w:rsidRPr="00AC71D2" w:rsidRDefault="00CB6286" w:rsidP="000A31E5">
      <w:pPr>
        <w:pStyle w:val="TOC2"/>
        <w:tabs>
          <w:tab w:val="right" w:leader="dot" w:pos="9911"/>
        </w:tabs>
        <w:spacing w:line="360" w:lineRule="auto"/>
        <w:ind w:left="0"/>
        <w:rPr>
          <w:rFonts w:asciiTheme="minorHAnsi" w:eastAsiaTheme="minorEastAsia" w:hAnsiTheme="minorHAnsi" w:cstheme="minorBidi"/>
          <w:b/>
          <w:noProof/>
          <w:sz w:val="22"/>
          <w:szCs w:val="22"/>
        </w:rPr>
      </w:pPr>
      <w:hyperlink w:anchor="_Toc340574399" w:history="1">
        <w:r w:rsidR="00AC71D2" w:rsidRPr="00AC71D2">
          <w:rPr>
            <w:rStyle w:val="Hyperlink"/>
            <w:b/>
            <w:noProof/>
          </w:rPr>
          <w:t xml:space="preserve">4 lentelė. Koreliacijos koeficientai </w:t>
        </w:r>
        <w:r w:rsidR="00AC71D2" w:rsidRPr="00AC71D2">
          <w:rPr>
            <w:rStyle w:val="Hyperlink"/>
            <w:b/>
            <w:i/>
            <w:noProof/>
          </w:rPr>
          <w:t>r</w:t>
        </w:r>
        <w:r w:rsidR="00AC71D2" w:rsidRPr="00AC71D2">
          <w:rPr>
            <w:rStyle w:val="Hyperlink"/>
            <w:b/>
            <w:noProof/>
          </w:rPr>
          <w:t xml:space="preserve"> bei jų </w:t>
        </w:r>
        <w:r w:rsidR="00AC71D2" w:rsidRPr="00AC71D2">
          <w:rPr>
            <w:rStyle w:val="Hyperlink"/>
            <w:b/>
            <w:i/>
            <w:noProof/>
          </w:rPr>
          <w:t>t</w:t>
        </w:r>
        <w:r w:rsidR="00AC71D2" w:rsidRPr="00AC71D2">
          <w:rPr>
            <w:rStyle w:val="Hyperlink"/>
            <w:b/>
            <w:noProof/>
          </w:rPr>
          <w:t xml:space="preserve"> kriterijai</w:t>
        </w:r>
        <w:r w:rsidR="00AC71D2" w:rsidRPr="00AC71D2">
          <w:rPr>
            <w:b/>
            <w:noProof/>
            <w:webHidden/>
          </w:rPr>
          <w:tab/>
        </w:r>
        <w:r w:rsidRPr="00AC71D2">
          <w:rPr>
            <w:b/>
            <w:noProof/>
            <w:webHidden/>
          </w:rPr>
          <w:fldChar w:fldCharType="begin"/>
        </w:r>
        <w:r w:rsidR="00AC71D2" w:rsidRPr="00AC71D2">
          <w:rPr>
            <w:b/>
            <w:noProof/>
            <w:webHidden/>
          </w:rPr>
          <w:instrText xml:space="preserve"> PAGEREF _Toc340574399 \h </w:instrText>
        </w:r>
        <w:r w:rsidRPr="00AC71D2">
          <w:rPr>
            <w:b/>
            <w:noProof/>
            <w:webHidden/>
          </w:rPr>
        </w:r>
        <w:r w:rsidRPr="00AC71D2">
          <w:rPr>
            <w:b/>
            <w:noProof/>
            <w:webHidden/>
          </w:rPr>
          <w:fldChar w:fldCharType="separate"/>
        </w:r>
        <w:r w:rsidR="00B50B35">
          <w:rPr>
            <w:b/>
            <w:noProof/>
            <w:webHidden/>
          </w:rPr>
          <w:t>61</w:t>
        </w:r>
        <w:r w:rsidRPr="00AC71D2">
          <w:rPr>
            <w:b/>
            <w:noProof/>
            <w:webHidden/>
          </w:rPr>
          <w:fldChar w:fldCharType="end"/>
        </w:r>
      </w:hyperlink>
    </w:p>
    <w:p w:rsidR="00AC71D2" w:rsidRPr="00AC71D2" w:rsidRDefault="00CB6286" w:rsidP="000A31E5">
      <w:pPr>
        <w:pStyle w:val="TOC2"/>
        <w:tabs>
          <w:tab w:val="right" w:leader="dot" w:pos="9911"/>
        </w:tabs>
        <w:spacing w:line="360" w:lineRule="auto"/>
        <w:ind w:left="0"/>
        <w:rPr>
          <w:rFonts w:asciiTheme="minorHAnsi" w:eastAsiaTheme="minorEastAsia" w:hAnsiTheme="minorHAnsi" w:cstheme="minorBidi"/>
          <w:b/>
          <w:noProof/>
          <w:sz w:val="22"/>
          <w:szCs w:val="22"/>
        </w:rPr>
      </w:pPr>
      <w:hyperlink w:anchor="_Toc340574400" w:history="1">
        <w:r w:rsidR="00AC71D2" w:rsidRPr="00AC71D2">
          <w:rPr>
            <w:rStyle w:val="Hyperlink"/>
            <w:b/>
            <w:noProof/>
          </w:rPr>
          <w:t>5 lentelė. Kintamųjų p-reikšmė atlikus Jarque-Bera testą</w:t>
        </w:r>
        <w:r w:rsidR="00AC71D2" w:rsidRPr="00AC71D2">
          <w:rPr>
            <w:b/>
            <w:noProof/>
            <w:webHidden/>
          </w:rPr>
          <w:tab/>
        </w:r>
        <w:r w:rsidRPr="00AC71D2">
          <w:rPr>
            <w:b/>
            <w:noProof/>
            <w:webHidden/>
          </w:rPr>
          <w:fldChar w:fldCharType="begin"/>
        </w:r>
        <w:r w:rsidR="00AC71D2" w:rsidRPr="00AC71D2">
          <w:rPr>
            <w:b/>
            <w:noProof/>
            <w:webHidden/>
          </w:rPr>
          <w:instrText xml:space="preserve"> PAGEREF _Toc340574400 \h </w:instrText>
        </w:r>
        <w:r w:rsidRPr="00AC71D2">
          <w:rPr>
            <w:b/>
            <w:noProof/>
            <w:webHidden/>
          </w:rPr>
        </w:r>
        <w:r w:rsidRPr="00AC71D2">
          <w:rPr>
            <w:b/>
            <w:noProof/>
            <w:webHidden/>
          </w:rPr>
          <w:fldChar w:fldCharType="separate"/>
        </w:r>
        <w:r w:rsidR="00B50B35">
          <w:rPr>
            <w:b/>
            <w:noProof/>
            <w:webHidden/>
          </w:rPr>
          <w:t>62</w:t>
        </w:r>
        <w:r w:rsidRPr="00AC71D2">
          <w:rPr>
            <w:b/>
            <w:noProof/>
            <w:webHidden/>
          </w:rPr>
          <w:fldChar w:fldCharType="end"/>
        </w:r>
      </w:hyperlink>
    </w:p>
    <w:p w:rsidR="00AC71D2" w:rsidRDefault="00CB6286" w:rsidP="000A31E5">
      <w:pPr>
        <w:jc w:val="center"/>
        <w:rPr>
          <w:b/>
          <w:sz w:val="28"/>
          <w:szCs w:val="28"/>
        </w:rPr>
      </w:pPr>
      <w:r w:rsidRPr="00AC71D2">
        <w:rPr>
          <w:b/>
          <w:sz w:val="28"/>
          <w:szCs w:val="28"/>
        </w:rPr>
        <w:fldChar w:fldCharType="end"/>
      </w:r>
    </w:p>
    <w:p w:rsidR="00AC71D2" w:rsidRDefault="00AC71D2">
      <w:pPr>
        <w:spacing w:after="200" w:line="276" w:lineRule="auto"/>
      </w:pPr>
      <w:r>
        <w:br w:type="page"/>
      </w:r>
    </w:p>
    <w:p w:rsidR="00AC71D2" w:rsidRPr="00BF56CD" w:rsidRDefault="00AC71D2" w:rsidP="00AC71D2">
      <w:pPr>
        <w:jc w:val="center"/>
        <w:rPr>
          <w:b/>
          <w:szCs w:val="24"/>
        </w:rPr>
      </w:pPr>
    </w:p>
    <w:p w:rsidR="00AC71D2" w:rsidRDefault="00AC71D2" w:rsidP="00AC71D2">
      <w:pPr>
        <w:jc w:val="center"/>
        <w:rPr>
          <w:b/>
          <w:sz w:val="28"/>
          <w:szCs w:val="28"/>
        </w:rPr>
      </w:pPr>
      <w:r>
        <w:rPr>
          <w:b/>
          <w:sz w:val="28"/>
          <w:szCs w:val="28"/>
        </w:rPr>
        <w:t>PAVEIKSLAI</w:t>
      </w:r>
    </w:p>
    <w:p w:rsidR="00365288" w:rsidRPr="00365288" w:rsidRDefault="00CB6286" w:rsidP="00365288">
      <w:pPr>
        <w:pStyle w:val="TOC1"/>
        <w:rPr>
          <w:rFonts w:asciiTheme="minorHAnsi" w:eastAsiaTheme="minorEastAsia" w:hAnsiTheme="minorHAnsi" w:cstheme="minorBidi"/>
          <w:noProof/>
          <w:szCs w:val="22"/>
        </w:rPr>
      </w:pPr>
      <w:r w:rsidRPr="00CB6286">
        <w:fldChar w:fldCharType="begin"/>
      </w:r>
      <w:r w:rsidR="00AC71D2" w:rsidRPr="00AC71D2">
        <w:instrText xml:space="preserve"> TOC \o "1-3" \h \z \u </w:instrText>
      </w:r>
      <w:r w:rsidRPr="00CB6286">
        <w:fldChar w:fldCharType="separate"/>
      </w:r>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58" w:history="1">
        <w:r w:rsidR="00365288" w:rsidRPr="00365288">
          <w:rPr>
            <w:rStyle w:val="Hyperlink"/>
            <w:b/>
            <w:noProof/>
          </w:rPr>
          <w:t>1 pav. Lietuvos draudimo rinkos vieta ekonomikoje</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_Toc341641358 \h </w:instrText>
        </w:r>
        <w:r w:rsidRPr="00365288">
          <w:rPr>
            <w:b/>
            <w:noProof/>
            <w:webHidden/>
          </w:rPr>
        </w:r>
        <w:r w:rsidRPr="00365288">
          <w:rPr>
            <w:b/>
            <w:noProof/>
            <w:webHidden/>
          </w:rPr>
          <w:fldChar w:fldCharType="separate"/>
        </w:r>
        <w:r w:rsidR="00B50B35">
          <w:rPr>
            <w:b/>
            <w:noProof/>
            <w:webHidden/>
          </w:rPr>
          <w:t>14</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59" w:history="1">
        <w:r w:rsidR="00365288" w:rsidRPr="00365288">
          <w:rPr>
            <w:rStyle w:val="Hyperlink"/>
            <w:b/>
            <w:noProof/>
          </w:rPr>
          <w:t>2 pav. Finansų rinkų klasifikacija</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_Toc341641359 \h </w:instrText>
        </w:r>
        <w:r w:rsidRPr="00365288">
          <w:rPr>
            <w:b/>
            <w:noProof/>
            <w:webHidden/>
          </w:rPr>
        </w:r>
        <w:r w:rsidRPr="00365288">
          <w:rPr>
            <w:b/>
            <w:noProof/>
            <w:webHidden/>
          </w:rPr>
          <w:fldChar w:fldCharType="separate"/>
        </w:r>
        <w:r w:rsidR="00B50B35">
          <w:rPr>
            <w:b/>
            <w:noProof/>
            <w:webHidden/>
          </w:rPr>
          <w:t>15</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61" w:history="1">
        <w:r w:rsidR="00365288" w:rsidRPr="00365288">
          <w:rPr>
            <w:rStyle w:val="Hyperlink"/>
            <w:b/>
            <w:noProof/>
          </w:rPr>
          <w:t>3 pav. Draudimo veiklos skirstymas</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_Toc341641361 \h </w:instrText>
        </w:r>
        <w:r w:rsidRPr="00365288">
          <w:rPr>
            <w:b/>
            <w:noProof/>
            <w:webHidden/>
          </w:rPr>
        </w:r>
        <w:r w:rsidRPr="00365288">
          <w:rPr>
            <w:b/>
            <w:noProof/>
            <w:webHidden/>
          </w:rPr>
          <w:fldChar w:fldCharType="separate"/>
        </w:r>
        <w:r w:rsidR="00B50B35">
          <w:rPr>
            <w:b/>
            <w:noProof/>
            <w:webHidden/>
          </w:rPr>
          <w:t>16</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62" w:history="1">
        <w:r w:rsidR="00365288" w:rsidRPr="00365288">
          <w:rPr>
            <w:rStyle w:val="Hyperlink"/>
            <w:b/>
            <w:noProof/>
          </w:rPr>
          <w:t>4 pav. Draudimo rinkos skirstymas pagal hierarchiją</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_Toc341641362 \h </w:instrText>
        </w:r>
        <w:r w:rsidRPr="00365288">
          <w:rPr>
            <w:b/>
            <w:noProof/>
            <w:webHidden/>
          </w:rPr>
        </w:r>
        <w:r w:rsidRPr="00365288">
          <w:rPr>
            <w:b/>
            <w:noProof/>
            <w:webHidden/>
          </w:rPr>
          <w:fldChar w:fldCharType="separate"/>
        </w:r>
        <w:r w:rsidR="00B50B35">
          <w:rPr>
            <w:b/>
            <w:noProof/>
            <w:webHidden/>
          </w:rPr>
          <w:t>17</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63" w:history="1">
        <w:r w:rsidR="00365288" w:rsidRPr="00365288">
          <w:rPr>
            <w:rStyle w:val="Hyperlink"/>
            <w:b/>
            <w:noProof/>
          </w:rPr>
          <w:t>5 pav. Draudimo šakų grupės pagal Lietuvos draudimo įstatymą</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_Toc341641363 \h </w:instrText>
        </w:r>
        <w:r w:rsidRPr="00365288">
          <w:rPr>
            <w:b/>
            <w:noProof/>
            <w:webHidden/>
          </w:rPr>
        </w:r>
        <w:r w:rsidRPr="00365288">
          <w:rPr>
            <w:b/>
            <w:noProof/>
            <w:webHidden/>
          </w:rPr>
          <w:fldChar w:fldCharType="separate"/>
        </w:r>
        <w:r w:rsidR="00B50B35">
          <w:rPr>
            <w:b/>
            <w:noProof/>
            <w:webHidden/>
          </w:rPr>
          <w:t>18</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65" w:history="1">
        <w:r w:rsidR="00365288" w:rsidRPr="00365288">
          <w:rPr>
            <w:rStyle w:val="Hyperlink"/>
            <w:b/>
            <w:noProof/>
          </w:rPr>
          <w:t>6 pav. Draudimo verslo aplinkos veiksnių modelis</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_Toc341641365 \h </w:instrText>
        </w:r>
        <w:r w:rsidRPr="00365288">
          <w:rPr>
            <w:b/>
            <w:noProof/>
            <w:webHidden/>
          </w:rPr>
        </w:r>
        <w:r w:rsidRPr="00365288">
          <w:rPr>
            <w:b/>
            <w:noProof/>
            <w:webHidden/>
          </w:rPr>
          <w:fldChar w:fldCharType="separate"/>
        </w:r>
        <w:r w:rsidR="00B50B35">
          <w:rPr>
            <w:b/>
            <w:noProof/>
            <w:webHidden/>
          </w:rPr>
          <w:t>21</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66" w:history="1">
        <w:r w:rsidR="00365288" w:rsidRPr="00365288">
          <w:rPr>
            <w:rStyle w:val="Hyperlink"/>
            <w:b/>
            <w:noProof/>
          </w:rPr>
          <w:t>7 pav. Draudimo įmonės šakos aplinka</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_Toc341641366 \h </w:instrText>
        </w:r>
        <w:r w:rsidRPr="00365288">
          <w:rPr>
            <w:b/>
            <w:noProof/>
            <w:webHidden/>
          </w:rPr>
        </w:r>
        <w:r w:rsidRPr="00365288">
          <w:rPr>
            <w:b/>
            <w:noProof/>
            <w:webHidden/>
          </w:rPr>
          <w:fldChar w:fldCharType="separate"/>
        </w:r>
        <w:r w:rsidR="00B50B35">
          <w:rPr>
            <w:b/>
            <w:noProof/>
            <w:webHidden/>
          </w:rPr>
          <w:t>22</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74" w:history="1">
        <w:r w:rsidR="00365288" w:rsidRPr="00365288">
          <w:rPr>
            <w:rStyle w:val="Hyperlink"/>
            <w:b/>
            <w:noProof/>
          </w:rPr>
          <w:t xml:space="preserve">8 pav. Lietuvos ne gyvybės draudimo įmonių (įskaitant kitų ES ir EE valstybių narių draudimo įmonių filialus) skaičiaus dinamika </w:t>
        </w:r>
        <w:r w:rsidR="00365288" w:rsidRPr="00365288">
          <w:rPr>
            <w:rStyle w:val="Hyperlink"/>
            <w:b/>
            <w:noProof/>
            <w:lang w:val="en-US"/>
          </w:rPr>
          <w:t>1997-2012 m.</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_Toc341641374 \h </w:instrText>
        </w:r>
        <w:r w:rsidRPr="00365288">
          <w:rPr>
            <w:b/>
            <w:noProof/>
            <w:webHidden/>
          </w:rPr>
        </w:r>
        <w:r w:rsidRPr="00365288">
          <w:rPr>
            <w:b/>
            <w:noProof/>
            <w:webHidden/>
          </w:rPr>
          <w:fldChar w:fldCharType="separate"/>
        </w:r>
        <w:r w:rsidR="00B50B35">
          <w:rPr>
            <w:b/>
            <w:noProof/>
            <w:webHidden/>
          </w:rPr>
          <w:t>38</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75" w:history="1">
        <w:r w:rsidR="00365288" w:rsidRPr="00365288">
          <w:rPr>
            <w:rStyle w:val="Hyperlink"/>
            <w:b/>
            <w:noProof/>
          </w:rPr>
          <w:t xml:space="preserve">9 pav. Draudimo šakų pasiskirstymas (procentais) Lietuvoje  </w:t>
        </w:r>
        <w:r w:rsidR="00365288" w:rsidRPr="00365288">
          <w:rPr>
            <w:rStyle w:val="Hyperlink"/>
            <w:b/>
            <w:noProof/>
            <w:lang w:val="en-US"/>
          </w:rPr>
          <w:t>2002-2012 m.</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_Toc341641375 \h </w:instrText>
        </w:r>
        <w:r w:rsidRPr="00365288">
          <w:rPr>
            <w:b/>
            <w:noProof/>
            <w:webHidden/>
          </w:rPr>
        </w:r>
        <w:r w:rsidRPr="00365288">
          <w:rPr>
            <w:b/>
            <w:noProof/>
            <w:webHidden/>
          </w:rPr>
          <w:fldChar w:fldCharType="separate"/>
        </w:r>
        <w:r w:rsidR="00B50B35">
          <w:rPr>
            <w:b/>
            <w:noProof/>
            <w:webHidden/>
          </w:rPr>
          <w:t>39</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76" w:history="1">
        <w:r w:rsidR="00365288" w:rsidRPr="00365288">
          <w:rPr>
            <w:rStyle w:val="Hyperlink"/>
            <w:b/>
            <w:noProof/>
          </w:rPr>
          <w:t xml:space="preserve">10 pav. Ne gyvybės draudimo pasirašytos įmokų, išmokos (skalė kairėje) bei jų pokyčiai per metus (skalė dešinėje) Lietuvoje </w:t>
        </w:r>
        <w:r w:rsidR="00365288" w:rsidRPr="00365288">
          <w:rPr>
            <w:rStyle w:val="Hyperlink"/>
            <w:b/>
            <w:noProof/>
            <w:lang w:val="en-US"/>
          </w:rPr>
          <w:t>2002-2011 m.</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_Toc341641376 \h </w:instrText>
        </w:r>
        <w:r w:rsidRPr="00365288">
          <w:rPr>
            <w:b/>
            <w:noProof/>
            <w:webHidden/>
          </w:rPr>
        </w:r>
        <w:r w:rsidRPr="00365288">
          <w:rPr>
            <w:b/>
            <w:noProof/>
            <w:webHidden/>
          </w:rPr>
          <w:fldChar w:fldCharType="separate"/>
        </w:r>
        <w:r w:rsidR="00B50B35">
          <w:rPr>
            <w:b/>
            <w:noProof/>
            <w:webHidden/>
          </w:rPr>
          <w:t>41</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77" w:history="1">
        <w:r w:rsidR="00365288" w:rsidRPr="00365288">
          <w:rPr>
            <w:rStyle w:val="Hyperlink"/>
            <w:b/>
            <w:noProof/>
          </w:rPr>
          <w:t xml:space="preserve">11 pav. Ne gyvybės draudimo sudarytos sutartys bei jų metinis pokytis Lietuvoje </w:t>
        </w:r>
        <w:r w:rsidR="00365288" w:rsidRPr="00365288">
          <w:rPr>
            <w:rStyle w:val="Hyperlink"/>
            <w:b/>
            <w:noProof/>
            <w:lang w:val="en-US"/>
          </w:rPr>
          <w:t>2002-2011 m.</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_Toc341641377 \h </w:instrText>
        </w:r>
        <w:r w:rsidRPr="00365288">
          <w:rPr>
            <w:b/>
            <w:noProof/>
            <w:webHidden/>
          </w:rPr>
        </w:r>
        <w:r w:rsidRPr="00365288">
          <w:rPr>
            <w:b/>
            <w:noProof/>
            <w:webHidden/>
          </w:rPr>
          <w:fldChar w:fldCharType="separate"/>
        </w:r>
        <w:r w:rsidR="00B50B35">
          <w:rPr>
            <w:b/>
            <w:noProof/>
            <w:webHidden/>
          </w:rPr>
          <w:t>43</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78" w:history="1">
        <w:r w:rsidR="00365288" w:rsidRPr="00365288">
          <w:rPr>
            <w:rStyle w:val="Hyperlink"/>
            <w:b/>
            <w:noProof/>
          </w:rPr>
          <w:t xml:space="preserve">12 pav. Ne gyvybės draudimo tankis (skalė kairėje), skvarba (skalė dešinėje) Lietuvoje </w:t>
        </w:r>
        <w:r w:rsidR="00365288" w:rsidRPr="00365288">
          <w:rPr>
            <w:rStyle w:val="Hyperlink"/>
            <w:b/>
            <w:noProof/>
            <w:lang w:val="en-US"/>
          </w:rPr>
          <w:t>2002-2011 m.</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_Toc341641378 \h </w:instrText>
        </w:r>
        <w:r w:rsidRPr="00365288">
          <w:rPr>
            <w:b/>
            <w:noProof/>
            <w:webHidden/>
          </w:rPr>
        </w:r>
        <w:r w:rsidRPr="00365288">
          <w:rPr>
            <w:b/>
            <w:noProof/>
            <w:webHidden/>
          </w:rPr>
          <w:fldChar w:fldCharType="separate"/>
        </w:r>
        <w:r w:rsidR="00B50B35">
          <w:rPr>
            <w:b/>
            <w:noProof/>
            <w:webHidden/>
          </w:rPr>
          <w:t>45</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80" w:history="1">
        <w:r w:rsidR="00365288" w:rsidRPr="00365288">
          <w:rPr>
            <w:rStyle w:val="Hyperlink"/>
            <w:b/>
            <w:noProof/>
          </w:rPr>
          <w:t xml:space="preserve">13 pav. Ne gyvybės draudimo įmonių koncentracija (skalė kairėje) bei išsiplėtimas (skalė dešinėje) Lietuvoje </w:t>
        </w:r>
        <w:r w:rsidR="00365288" w:rsidRPr="00365288">
          <w:rPr>
            <w:rStyle w:val="Hyperlink"/>
            <w:b/>
            <w:noProof/>
            <w:lang w:val="en-US"/>
          </w:rPr>
          <w:t>2002-2011 m.</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_Toc341641380 \h </w:instrText>
        </w:r>
        <w:r w:rsidRPr="00365288">
          <w:rPr>
            <w:b/>
            <w:noProof/>
            <w:webHidden/>
          </w:rPr>
        </w:r>
        <w:r w:rsidRPr="00365288">
          <w:rPr>
            <w:b/>
            <w:noProof/>
            <w:webHidden/>
          </w:rPr>
          <w:fldChar w:fldCharType="separate"/>
        </w:r>
        <w:r w:rsidR="00B50B35">
          <w:rPr>
            <w:b/>
            <w:noProof/>
            <w:webHidden/>
          </w:rPr>
          <w:t>47</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81" w:history="1">
        <w:r w:rsidR="00365288" w:rsidRPr="00365288">
          <w:rPr>
            <w:rStyle w:val="Hyperlink"/>
            <w:b/>
            <w:noProof/>
          </w:rPr>
          <w:t>14 pav. Ne gyvybės draudimo įmonių techninių atidėjinių (neišskaičiavus perdraudikų dalies), turto ir nuosavo kapitalo dinamika Lietuvoje 2002-2011 m. (mln. Lt)</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_Toc341641381 \h </w:instrText>
        </w:r>
        <w:r w:rsidRPr="00365288">
          <w:rPr>
            <w:b/>
            <w:noProof/>
            <w:webHidden/>
          </w:rPr>
        </w:r>
        <w:r w:rsidRPr="00365288">
          <w:rPr>
            <w:b/>
            <w:noProof/>
            <w:webHidden/>
          </w:rPr>
          <w:fldChar w:fldCharType="separate"/>
        </w:r>
        <w:r w:rsidR="00B50B35">
          <w:rPr>
            <w:b/>
            <w:noProof/>
            <w:webHidden/>
          </w:rPr>
          <w:t>48</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82" w:history="1">
        <w:r w:rsidR="00365288" w:rsidRPr="00365288">
          <w:rPr>
            <w:rStyle w:val="Hyperlink"/>
            <w:b/>
            <w:noProof/>
          </w:rPr>
          <w:t xml:space="preserve">15 pav. Agreguoti ne gyvybės draudikų bendrojo pelningumo, nuosavo kapitalo bei turto grąžos rodikliai </w:t>
        </w:r>
        <w:r w:rsidR="00365288" w:rsidRPr="00365288">
          <w:rPr>
            <w:rStyle w:val="Hyperlink"/>
            <w:b/>
            <w:noProof/>
            <w:lang w:val="en-US"/>
          </w:rPr>
          <w:t>2006-2011 m.</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_Toc341641382 \h </w:instrText>
        </w:r>
        <w:r w:rsidRPr="00365288">
          <w:rPr>
            <w:b/>
            <w:noProof/>
            <w:webHidden/>
          </w:rPr>
        </w:r>
        <w:r w:rsidRPr="00365288">
          <w:rPr>
            <w:b/>
            <w:noProof/>
            <w:webHidden/>
          </w:rPr>
          <w:fldChar w:fldCharType="separate"/>
        </w:r>
        <w:r w:rsidR="00B50B35">
          <w:rPr>
            <w:b/>
            <w:noProof/>
            <w:webHidden/>
          </w:rPr>
          <w:t>50</w:t>
        </w:r>
        <w:r w:rsidRPr="00365288">
          <w:rPr>
            <w:b/>
            <w:noProof/>
            <w:webHidden/>
          </w:rPr>
          <w:fldChar w:fldCharType="end"/>
        </w:r>
      </w:hyperlink>
    </w:p>
    <w:p w:rsidR="00365288" w:rsidRPr="00365288" w:rsidRDefault="00CB6286" w:rsidP="00365288">
      <w:pPr>
        <w:pStyle w:val="TOC2"/>
        <w:tabs>
          <w:tab w:val="right" w:leader="dot" w:pos="9911"/>
        </w:tabs>
        <w:spacing w:line="360" w:lineRule="auto"/>
        <w:rPr>
          <w:rFonts w:asciiTheme="minorHAnsi" w:eastAsiaTheme="minorEastAsia" w:hAnsiTheme="minorHAnsi" w:cstheme="minorBidi"/>
          <w:b/>
          <w:noProof/>
          <w:sz w:val="22"/>
          <w:szCs w:val="22"/>
        </w:rPr>
      </w:pPr>
      <w:hyperlink w:anchor="_Toc341641383" w:history="1">
        <w:r w:rsidR="00365288" w:rsidRPr="00365288">
          <w:rPr>
            <w:rStyle w:val="Hyperlink"/>
            <w:b/>
            <w:noProof/>
          </w:rPr>
          <w:t xml:space="preserve">16 pav. Agreguotas ne gyvybės draudimo rinkos mokumo koeficientas </w:t>
        </w:r>
        <w:r w:rsidR="00365288" w:rsidRPr="00365288">
          <w:rPr>
            <w:rStyle w:val="Hyperlink"/>
            <w:b/>
            <w:noProof/>
            <w:lang w:val="en-US"/>
          </w:rPr>
          <w:t>2006-2011 m.</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_Toc341641383 \h </w:instrText>
        </w:r>
        <w:r w:rsidRPr="00365288">
          <w:rPr>
            <w:b/>
            <w:noProof/>
            <w:webHidden/>
          </w:rPr>
        </w:r>
        <w:r w:rsidRPr="00365288">
          <w:rPr>
            <w:b/>
            <w:noProof/>
            <w:webHidden/>
          </w:rPr>
          <w:fldChar w:fldCharType="separate"/>
        </w:r>
        <w:r w:rsidR="00B50B35">
          <w:rPr>
            <w:b/>
            <w:noProof/>
            <w:webHidden/>
          </w:rPr>
          <w:t>52</w:t>
        </w:r>
        <w:r w:rsidRPr="00365288">
          <w:rPr>
            <w:b/>
            <w:noProof/>
            <w:webHidden/>
          </w:rPr>
          <w:fldChar w:fldCharType="end"/>
        </w:r>
      </w:hyperlink>
    </w:p>
    <w:p w:rsidR="00365288" w:rsidRDefault="00CB6286" w:rsidP="00365288">
      <w:pPr>
        <w:pStyle w:val="TOC2"/>
        <w:tabs>
          <w:tab w:val="right" w:leader="dot" w:pos="9911"/>
        </w:tabs>
        <w:spacing w:line="360" w:lineRule="auto"/>
        <w:rPr>
          <w:rFonts w:asciiTheme="minorHAnsi" w:eastAsiaTheme="minorEastAsia" w:hAnsiTheme="minorHAnsi" w:cstheme="minorBidi"/>
          <w:noProof/>
          <w:sz w:val="22"/>
          <w:szCs w:val="22"/>
        </w:rPr>
      </w:pPr>
      <w:hyperlink w:anchor="_Toc341641388" w:history="1">
        <w:r w:rsidR="00365288" w:rsidRPr="00365288">
          <w:rPr>
            <w:rStyle w:val="Hyperlink"/>
            <w:b/>
            <w:noProof/>
          </w:rPr>
          <w:t>17 pav. Pasirašytų ne gyvybės draudimo įmokų (Y) palyginimas su modelio prognozėmis</w:t>
        </w:r>
        <w:r w:rsidR="00365288" w:rsidRPr="00365288">
          <w:rPr>
            <w:b/>
            <w:noProof/>
            <w:webHidden/>
          </w:rPr>
          <w:tab/>
        </w:r>
        <w:r w:rsidRPr="00365288">
          <w:rPr>
            <w:b/>
            <w:noProof/>
            <w:webHidden/>
          </w:rPr>
          <w:fldChar w:fldCharType="begin"/>
        </w:r>
        <w:r w:rsidR="00365288" w:rsidRPr="00365288">
          <w:rPr>
            <w:b/>
            <w:noProof/>
            <w:webHidden/>
          </w:rPr>
          <w:instrText xml:space="preserve"> PAGEREF _Toc341641388 \h </w:instrText>
        </w:r>
        <w:r w:rsidRPr="00365288">
          <w:rPr>
            <w:b/>
            <w:noProof/>
            <w:webHidden/>
          </w:rPr>
        </w:r>
        <w:r w:rsidRPr="00365288">
          <w:rPr>
            <w:b/>
            <w:noProof/>
            <w:webHidden/>
          </w:rPr>
          <w:fldChar w:fldCharType="separate"/>
        </w:r>
        <w:r w:rsidR="00B50B35">
          <w:rPr>
            <w:b/>
            <w:noProof/>
            <w:webHidden/>
          </w:rPr>
          <w:t>63</w:t>
        </w:r>
        <w:r w:rsidRPr="00365288">
          <w:rPr>
            <w:b/>
            <w:noProof/>
            <w:webHidden/>
          </w:rPr>
          <w:fldChar w:fldCharType="end"/>
        </w:r>
      </w:hyperlink>
    </w:p>
    <w:p w:rsidR="00AC71D2" w:rsidRDefault="00CB6286" w:rsidP="00AC71D2">
      <w:pPr>
        <w:spacing w:after="200"/>
        <w:rPr>
          <w:b/>
          <w:sz w:val="28"/>
          <w:szCs w:val="28"/>
        </w:rPr>
      </w:pPr>
      <w:r w:rsidRPr="00AC71D2">
        <w:rPr>
          <w:b/>
          <w:sz w:val="28"/>
          <w:szCs w:val="28"/>
        </w:rPr>
        <w:fldChar w:fldCharType="end"/>
      </w:r>
    </w:p>
    <w:p w:rsidR="00AC71D2" w:rsidRDefault="00AC71D2" w:rsidP="00AC71D2">
      <w:pPr>
        <w:spacing w:after="200" w:line="276" w:lineRule="auto"/>
        <w:rPr>
          <w:rFonts w:cs="Times New Roman"/>
          <w:b/>
          <w:sz w:val="28"/>
          <w:szCs w:val="28"/>
        </w:rPr>
      </w:pPr>
      <w:r>
        <w:rPr>
          <w:rFonts w:cs="Times New Roman"/>
          <w:b/>
          <w:sz w:val="28"/>
          <w:szCs w:val="28"/>
        </w:rPr>
        <w:br w:type="page"/>
      </w:r>
    </w:p>
    <w:p w:rsidR="00AC71D2" w:rsidRPr="00BF56CD" w:rsidRDefault="00AC71D2" w:rsidP="00AC71D2">
      <w:pPr>
        <w:jc w:val="center"/>
        <w:rPr>
          <w:rFonts w:cs="Times New Roman"/>
          <w:b/>
          <w:szCs w:val="24"/>
        </w:rPr>
      </w:pPr>
    </w:p>
    <w:p w:rsidR="00AC71D2" w:rsidRPr="00BA0CC4" w:rsidRDefault="00AC71D2" w:rsidP="00AC71D2">
      <w:pPr>
        <w:pStyle w:val="Heading1"/>
      </w:pPr>
      <w:bookmarkStart w:id="3" w:name="_Toc328359405"/>
      <w:bookmarkStart w:id="4" w:name="_Toc328359490"/>
      <w:bookmarkStart w:id="5" w:name="_Toc328359545"/>
      <w:bookmarkStart w:id="6" w:name="_Toc340573822"/>
      <w:bookmarkStart w:id="7" w:name="_Toc340574092"/>
      <w:bookmarkStart w:id="8" w:name="_Toc340574367"/>
      <w:bookmarkStart w:id="9" w:name="_Toc340574683"/>
      <w:bookmarkStart w:id="10" w:name="_Toc340792004"/>
      <w:bookmarkStart w:id="11" w:name="_Toc341641103"/>
      <w:bookmarkStart w:id="12" w:name="_Toc341641354"/>
      <w:bookmarkStart w:id="13" w:name="_Toc342859642"/>
      <w:r>
        <w:t>SANTRUMPOS</w:t>
      </w:r>
      <w:bookmarkEnd w:id="3"/>
      <w:bookmarkEnd w:id="4"/>
      <w:bookmarkEnd w:id="5"/>
      <w:bookmarkEnd w:id="6"/>
      <w:bookmarkEnd w:id="7"/>
      <w:bookmarkEnd w:id="8"/>
      <w:bookmarkEnd w:id="9"/>
      <w:bookmarkEnd w:id="10"/>
      <w:bookmarkEnd w:id="11"/>
      <w:bookmarkEnd w:id="12"/>
      <w:bookmarkEnd w:id="13"/>
    </w:p>
    <w:p w:rsidR="00AC71D2" w:rsidRPr="00BF56CD" w:rsidRDefault="00AC71D2" w:rsidP="00AC71D2">
      <w:pPr>
        <w:jc w:val="center"/>
        <w:rPr>
          <w:rFonts w:cs="Times New Roman"/>
          <w:b/>
          <w:szCs w:val="24"/>
        </w:rPr>
      </w:pPr>
    </w:p>
    <w:p w:rsidR="00E8478B" w:rsidRDefault="00E8478B" w:rsidP="00AC71D2">
      <w:pPr>
        <w:ind w:left="426" w:hanging="360"/>
        <w:rPr>
          <w:rFonts w:cs="Times New Roman"/>
        </w:rPr>
      </w:pPr>
      <w:r>
        <w:rPr>
          <w:rFonts w:cs="Times New Roman"/>
        </w:rPr>
        <w:t>CK – Lietuvos Respublikos civilinis kodeksas</w:t>
      </w:r>
    </w:p>
    <w:p w:rsidR="00AC71D2" w:rsidRDefault="00AC71D2" w:rsidP="00AC71D2">
      <w:pPr>
        <w:ind w:left="426" w:hanging="360"/>
        <w:rPr>
          <w:rFonts w:cs="Times New Roman"/>
        </w:rPr>
      </w:pPr>
      <w:r>
        <w:rPr>
          <w:rFonts w:cs="Times New Roman"/>
        </w:rPr>
        <w:t>DPK – Lietuvos Respublikos draudimo priežiūros komisija</w:t>
      </w:r>
    </w:p>
    <w:p w:rsidR="00AC71D2" w:rsidRDefault="00AC71D2" w:rsidP="00AC71D2">
      <w:pPr>
        <w:ind w:left="426" w:hanging="360"/>
        <w:rPr>
          <w:rFonts w:cs="Times New Roman"/>
        </w:rPr>
      </w:pPr>
      <w:r>
        <w:rPr>
          <w:rFonts w:cs="Times New Roman"/>
        </w:rPr>
        <w:t>DVV – draudimo verslo veikla</w:t>
      </w:r>
    </w:p>
    <w:p w:rsidR="00AC71D2" w:rsidRDefault="00AC71D2" w:rsidP="00AC71D2">
      <w:pPr>
        <w:ind w:left="426" w:hanging="360"/>
        <w:rPr>
          <w:rFonts w:cs="Times New Roman"/>
        </w:rPr>
      </w:pPr>
      <w:r>
        <w:rPr>
          <w:rFonts w:cs="Times New Roman"/>
        </w:rPr>
        <w:t>LB – Lietuvos bankas</w:t>
      </w:r>
    </w:p>
    <w:p w:rsidR="00AC71D2" w:rsidRDefault="00AC71D2" w:rsidP="00AC71D2">
      <w:pPr>
        <w:ind w:left="426" w:hanging="360"/>
        <w:rPr>
          <w:rFonts w:cs="Times New Roman"/>
        </w:rPr>
      </w:pPr>
      <w:r>
        <w:rPr>
          <w:rFonts w:cs="Times New Roman"/>
        </w:rPr>
        <w:t>LDA – Lietuvos draudikų asociacija</w:t>
      </w:r>
    </w:p>
    <w:p w:rsidR="00AC71D2" w:rsidRDefault="00AC71D2" w:rsidP="00AC71D2">
      <w:pPr>
        <w:ind w:left="426" w:hanging="360"/>
        <w:rPr>
          <w:rFonts w:cs="Times New Roman"/>
        </w:rPr>
      </w:pPr>
      <w:r>
        <w:rPr>
          <w:rFonts w:cs="Times New Roman"/>
        </w:rPr>
        <w:t>MMA – minimali mėnesinė alga</w:t>
      </w:r>
    </w:p>
    <w:p w:rsidR="00AC71D2" w:rsidRDefault="00AC71D2" w:rsidP="00AC71D2">
      <w:pPr>
        <w:ind w:left="426" w:hanging="360"/>
        <w:rPr>
          <w:rFonts w:cs="Times New Roman"/>
        </w:rPr>
      </w:pPr>
      <w:r>
        <w:t xml:space="preserve">NITA – </w:t>
      </w:r>
      <w:r w:rsidRPr="008422C6">
        <w:t>numatomų išmokėjimų techninis atidėjinys</w:t>
      </w:r>
    </w:p>
    <w:p w:rsidR="00AC71D2" w:rsidRDefault="00AC71D2" w:rsidP="00AC71D2">
      <w:pPr>
        <w:ind w:left="426" w:hanging="360"/>
        <w:rPr>
          <w:rFonts w:cs="Times New Roman"/>
        </w:rPr>
      </w:pPr>
      <w:r>
        <w:rPr>
          <w:rFonts w:cs="Times New Roman"/>
        </w:rPr>
        <w:t>NSITA – nuostolių svyravimo išlyginimo techninis atidėjinys</w:t>
      </w:r>
    </w:p>
    <w:p w:rsidR="00AC71D2" w:rsidRDefault="00AC71D2" w:rsidP="00AC71D2">
      <w:pPr>
        <w:ind w:left="426" w:hanging="360"/>
        <w:rPr>
          <w:rFonts w:cs="Times New Roman"/>
        </w:rPr>
      </w:pPr>
      <w:r>
        <w:rPr>
          <w:rFonts w:cs="Times New Roman"/>
        </w:rPr>
        <w:t>PPO – Pasaulio prekybos organizacija</w:t>
      </w:r>
    </w:p>
    <w:p w:rsidR="00AC71D2" w:rsidRDefault="00AC71D2" w:rsidP="00AC71D2">
      <w:pPr>
        <w:ind w:left="426" w:hanging="360"/>
        <w:rPr>
          <w:rFonts w:cs="Times New Roman"/>
        </w:rPr>
      </w:pPr>
      <w:r>
        <w:rPr>
          <w:rFonts w:cs="Times New Roman"/>
        </w:rPr>
        <w:t>PĮTA – perkeltų įmokų techninis atidėjinys</w:t>
      </w:r>
    </w:p>
    <w:p w:rsidR="00AC71D2" w:rsidRDefault="00AC71D2" w:rsidP="00AC71D2">
      <w:pPr>
        <w:ind w:left="426" w:hanging="360"/>
        <w:rPr>
          <w:rFonts w:cs="Times New Roman"/>
        </w:rPr>
      </w:pPr>
      <w:r>
        <w:rPr>
          <w:rFonts w:cs="Times New Roman"/>
        </w:rPr>
        <w:t>SD – Lietuvos statistikos departamentas</w:t>
      </w:r>
    </w:p>
    <w:p w:rsidR="00AC71D2" w:rsidRDefault="00AC71D2" w:rsidP="00AC71D2">
      <w:pPr>
        <w:ind w:left="426" w:hanging="360"/>
        <w:rPr>
          <w:rFonts w:cs="Times New Roman"/>
        </w:rPr>
      </w:pPr>
      <w:r>
        <w:rPr>
          <w:rFonts w:cs="Times New Roman"/>
        </w:rPr>
        <w:t>TPVCA – transporto priemonių valdytojų civilinė atsakomybė</w:t>
      </w:r>
    </w:p>
    <w:p w:rsidR="00AC71D2" w:rsidRDefault="00AC71D2" w:rsidP="00AC71D2">
      <w:pPr>
        <w:ind w:left="426" w:hanging="360"/>
        <w:rPr>
          <w:rFonts w:cs="Times New Roman"/>
        </w:rPr>
      </w:pPr>
      <w:r>
        <w:rPr>
          <w:rFonts w:cs="Times New Roman"/>
        </w:rPr>
        <w:t>TUI – tiesioginės užsienio investicijos</w:t>
      </w:r>
    </w:p>
    <w:p w:rsidR="00AC71D2" w:rsidRDefault="00AC71D2" w:rsidP="00AC71D2">
      <w:pPr>
        <w:ind w:left="426" w:hanging="360"/>
        <w:rPr>
          <w:rFonts w:cs="Times New Roman"/>
        </w:rPr>
      </w:pPr>
      <w:r>
        <w:rPr>
          <w:rFonts w:cs="Times New Roman"/>
        </w:rPr>
        <w:t>VPK – Lietuvos Respublikos vertybinių popierių komisija</w:t>
      </w:r>
    </w:p>
    <w:p w:rsidR="00AC71D2" w:rsidRDefault="00AC71D2" w:rsidP="00AC71D2">
      <w:pPr>
        <w:ind w:left="426" w:hanging="360"/>
        <w:rPr>
          <w:rFonts w:cs="Times New Roman"/>
        </w:rPr>
      </w:pPr>
      <w:r>
        <w:rPr>
          <w:rFonts w:cs="Times New Roman"/>
        </w:rPr>
        <w:t>VP – vertybiniai popieriai</w:t>
      </w:r>
    </w:p>
    <w:p w:rsidR="00AC71D2" w:rsidRDefault="00AC71D2" w:rsidP="00AC71D2">
      <w:pPr>
        <w:ind w:left="426" w:hanging="360"/>
        <w:rPr>
          <w:rFonts w:cs="Times New Roman"/>
        </w:rPr>
      </w:pPr>
      <w:r>
        <w:rPr>
          <w:rFonts w:cs="Times New Roman"/>
        </w:rPr>
        <w:t>VRE – Vidurio ir Rytų Europa</w:t>
      </w:r>
    </w:p>
    <w:p w:rsidR="00AC71D2" w:rsidRDefault="00AC71D2" w:rsidP="00AC71D2">
      <w:pPr>
        <w:ind w:left="426" w:hanging="360"/>
        <w:rPr>
          <w:rFonts w:cs="Times New Roman"/>
        </w:rPr>
      </w:pPr>
      <w:r>
        <w:rPr>
          <w:rFonts w:cs="Times New Roman"/>
        </w:rPr>
        <w:t>VVP – Vyriausybės vertybiniai popieriai</w:t>
      </w:r>
    </w:p>
    <w:p w:rsidR="00AC71D2" w:rsidRDefault="00AC71D2" w:rsidP="00AC71D2">
      <w:pPr>
        <w:spacing w:after="200" w:line="276" w:lineRule="auto"/>
        <w:rPr>
          <w:rFonts w:cs="Times New Roman"/>
          <w:b/>
          <w:sz w:val="28"/>
          <w:szCs w:val="28"/>
        </w:rPr>
      </w:pPr>
    </w:p>
    <w:p w:rsidR="00AC71D2" w:rsidRDefault="00AC71D2" w:rsidP="00AC71D2">
      <w:pPr>
        <w:spacing w:after="200" w:line="276" w:lineRule="auto"/>
        <w:rPr>
          <w:rFonts w:eastAsiaTheme="majorEastAsia" w:cstheme="majorBidi"/>
          <w:b/>
          <w:bCs/>
          <w:szCs w:val="24"/>
        </w:rPr>
      </w:pPr>
      <w:r>
        <w:rPr>
          <w:szCs w:val="24"/>
        </w:rPr>
        <w:br w:type="page"/>
      </w:r>
    </w:p>
    <w:p w:rsidR="00AC71D2" w:rsidRPr="00124F2D" w:rsidRDefault="00AC71D2" w:rsidP="00FF1BAB">
      <w:pPr>
        <w:pStyle w:val="Heading1"/>
        <w:rPr>
          <w:sz w:val="24"/>
          <w:szCs w:val="24"/>
        </w:rPr>
      </w:pPr>
    </w:p>
    <w:p w:rsidR="00AC71D2" w:rsidRPr="00BA0CC4" w:rsidRDefault="00AC71D2" w:rsidP="00AC71D2">
      <w:pPr>
        <w:pStyle w:val="Heading1"/>
      </w:pPr>
      <w:bookmarkStart w:id="14" w:name="_Toc340574368"/>
      <w:bookmarkStart w:id="15" w:name="_Toc340574684"/>
      <w:bookmarkStart w:id="16" w:name="_Toc341641355"/>
      <w:bookmarkStart w:id="17" w:name="_Toc342859643"/>
      <w:r>
        <w:t>ĮVADAS</w:t>
      </w:r>
      <w:bookmarkEnd w:id="0"/>
      <w:bookmarkEnd w:id="1"/>
      <w:bookmarkEnd w:id="2"/>
      <w:bookmarkEnd w:id="14"/>
      <w:bookmarkEnd w:id="15"/>
      <w:bookmarkEnd w:id="16"/>
      <w:bookmarkEnd w:id="17"/>
    </w:p>
    <w:p w:rsidR="00AC71D2" w:rsidRPr="005B2E8B" w:rsidRDefault="00AC71D2" w:rsidP="00AC71D2">
      <w:pPr>
        <w:rPr>
          <w:rFonts w:cs="Times New Roman"/>
        </w:rPr>
      </w:pPr>
    </w:p>
    <w:p w:rsidR="00AC71D2" w:rsidRPr="00DC7A7E" w:rsidRDefault="00AC71D2" w:rsidP="00AC71D2">
      <w:pPr>
        <w:ind w:firstLine="567"/>
        <w:jc w:val="both"/>
        <w:rPr>
          <w:rFonts w:cs="Times New Roman"/>
        </w:rPr>
      </w:pPr>
      <w:r w:rsidRPr="005B2E8B">
        <w:rPr>
          <w:rFonts w:cs="Times New Roman"/>
          <w:b/>
        </w:rPr>
        <w:t>Tyrimo aktualumas</w:t>
      </w:r>
      <w:r>
        <w:rPr>
          <w:rFonts w:cs="Times New Roman"/>
          <w:b/>
        </w:rPr>
        <w:t xml:space="preserve"> ir naujumas</w:t>
      </w:r>
      <w:r w:rsidRPr="005B2E8B">
        <w:rPr>
          <w:rFonts w:cs="Times New Roman"/>
          <w:b/>
        </w:rPr>
        <w:t>.</w:t>
      </w:r>
      <w:r>
        <w:rPr>
          <w:rFonts w:cs="Times New Roman"/>
          <w:b/>
        </w:rPr>
        <w:t xml:space="preserve"> </w:t>
      </w:r>
      <w:r w:rsidR="00775C24" w:rsidRPr="00775C24">
        <w:rPr>
          <w:rFonts w:cs="Times New Roman"/>
        </w:rPr>
        <w:t>Pagal Lietuvos draudimo įstatymą, d</w:t>
      </w:r>
      <w:r>
        <w:rPr>
          <w:rFonts w:cs="Times New Roman"/>
        </w:rPr>
        <w:t>raudimas – tai ū</w:t>
      </w:r>
      <w:r w:rsidR="00C2321C">
        <w:rPr>
          <w:rFonts w:cs="Times New Roman"/>
        </w:rPr>
        <w:t xml:space="preserve">kinė komercinė veikla. </w:t>
      </w:r>
      <w:r w:rsidR="00C2321C" w:rsidRPr="00DC7A7E">
        <w:rPr>
          <w:rFonts w:cs="Times New Roman"/>
        </w:rPr>
        <w:t>Draudimo veikla</w:t>
      </w:r>
      <w:r w:rsidRPr="00DC7A7E">
        <w:rPr>
          <w:rFonts w:cs="Times New Roman"/>
        </w:rPr>
        <w:t xml:space="preserve">, ypač ne gyvybės, yra itin svarbi ekonominės veiklos sritis kiekvienoje rinkos ekonomikoje, suteikianti stabilumo bei užtikrintumo tiek fiziniams asmenims, tiek ir verslui. Draudimas – vienas iš plačiausiai naudojamų rizikos perdavimo </w:t>
      </w:r>
      <w:r w:rsidR="00760408" w:rsidRPr="00DC7A7E">
        <w:rPr>
          <w:rFonts w:cs="Times New Roman"/>
        </w:rPr>
        <w:t xml:space="preserve">bei valdymo </w:t>
      </w:r>
      <w:r w:rsidRPr="00DC7A7E">
        <w:rPr>
          <w:rFonts w:cs="Times New Roman"/>
        </w:rPr>
        <w:t xml:space="preserve">būdų kone visame pasaulyje. Ne gyvybės draudimas Lietuvoje ypač išpopuliarėjo per pastarąjį dešimtmetį, o šio sektoriaus plėtra buvo itin sparti (gerokai spartesnė negu viso šalies ūkio plėtra) iki pat ekonomikos krizės </w:t>
      </w:r>
      <w:r w:rsidR="00F06808" w:rsidRPr="00DC7A7E">
        <w:rPr>
          <w:rFonts w:cs="Times New Roman"/>
        </w:rPr>
        <w:t>pradžios</w:t>
      </w:r>
      <w:r w:rsidR="00A443FA" w:rsidRPr="00DC7A7E">
        <w:rPr>
          <w:rFonts w:cs="Times New Roman"/>
        </w:rPr>
        <w:t>.</w:t>
      </w:r>
      <w:r w:rsidR="00F06808" w:rsidRPr="00DC7A7E">
        <w:rPr>
          <w:rFonts w:cs="Times New Roman"/>
        </w:rPr>
        <w:t xml:space="preserve"> </w:t>
      </w:r>
      <w:r w:rsidR="00A443FA" w:rsidRPr="00DC7A7E">
        <w:rPr>
          <w:rFonts w:cs="Times New Roman"/>
        </w:rPr>
        <w:t>I</w:t>
      </w:r>
      <w:r w:rsidRPr="00DC7A7E">
        <w:rPr>
          <w:rFonts w:cs="Times New Roman"/>
        </w:rPr>
        <w:t>r</w:t>
      </w:r>
      <w:r w:rsidR="00496DA4" w:rsidRPr="00DC7A7E">
        <w:rPr>
          <w:rFonts w:cs="Times New Roman"/>
        </w:rPr>
        <w:t>,</w:t>
      </w:r>
      <w:r w:rsidRPr="00DC7A7E">
        <w:rPr>
          <w:rFonts w:cs="Times New Roman"/>
        </w:rPr>
        <w:t xml:space="preserve"> nors sunkmečiu ne gyvybės draudimo pasirašytos įmokos krito beveik trečdaliu</w:t>
      </w:r>
      <w:r w:rsidR="00496DA4" w:rsidRPr="00DC7A7E">
        <w:rPr>
          <w:rFonts w:cs="Times New Roman"/>
        </w:rPr>
        <w:t>,</w:t>
      </w:r>
      <w:r w:rsidRPr="00DC7A7E">
        <w:rPr>
          <w:rFonts w:cs="Times New Roman"/>
        </w:rPr>
        <w:t xml:space="preserve"> nuo 2010 m. rinka vėl ėmė augti. </w:t>
      </w:r>
    </w:p>
    <w:p w:rsidR="00594772" w:rsidRPr="00DC7A7E" w:rsidRDefault="00F95848" w:rsidP="00AC71D2">
      <w:pPr>
        <w:ind w:firstLine="567"/>
        <w:jc w:val="both"/>
        <w:rPr>
          <w:rFonts w:cs="Times New Roman"/>
        </w:rPr>
      </w:pPr>
      <w:r w:rsidRPr="00DC7A7E">
        <w:rPr>
          <w:rFonts w:cs="Times New Roman"/>
        </w:rPr>
        <w:t>Dauguma mokslininkų</w:t>
      </w:r>
      <w:r w:rsidR="00BD0084" w:rsidRPr="00DC7A7E">
        <w:rPr>
          <w:rFonts w:cs="Times New Roman"/>
        </w:rPr>
        <w:t xml:space="preserve"> (Buškevičiūtė ir Poželaitė, </w:t>
      </w:r>
      <w:r w:rsidR="00BD0084" w:rsidRPr="00DC7A7E">
        <w:rPr>
          <w:rFonts w:cs="Times New Roman"/>
          <w:lang w:val="en-US"/>
        </w:rPr>
        <w:t xml:space="preserve">2001, </w:t>
      </w:r>
      <w:r w:rsidR="00BD0084" w:rsidRPr="00DC7A7E">
        <w:rPr>
          <w:rFonts w:cs="Times New Roman"/>
        </w:rPr>
        <w:t>Lezgovko ir Lastauskas, 2008, Bagdonavičius, 2000, Aidukienė ir Simanavičienė, 2010, Lezgovko ir Jablonskienė, 2012) bei draudimo rinką analizuojančių institucijų (</w:t>
      </w:r>
      <w:r w:rsidR="0023250D" w:rsidRPr="00DC7A7E">
        <w:rPr>
          <w:rFonts w:cs="Times New Roman"/>
        </w:rPr>
        <w:t xml:space="preserve">Europos centrinis bankas, </w:t>
      </w:r>
      <w:r w:rsidR="00BD0084" w:rsidRPr="00DC7A7E">
        <w:rPr>
          <w:rFonts w:cs="Times New Roman"/>
        </w:rPr>
        <w:t xml:space="preserve">Lietuvos bankas, likviduota Lietuvos Respublikos draudimo priežiūros komisija, Swiss Re) išskiria, analizuoja bei vertina tokius svarbiausius ne gyvybės draudimo rinkos </w:t>
      </w:r>
      <w:r w:rsidR="00760408" w:rsidRPr="00DC7A7E">
        <w:rPr>
          <w:rFonts w:cs="Times New Roman"/>
        </w:rPr>
        <w:t>situaciją bei plėtros tendenciją atspindinčius</w:t>
      </w:r>
      <w:r w:rsidR="00BD0084" w:rsidRPr="00DC7A7E">
        <w:rPr>
          <w:rFonts w:cs="Times New Roman"/>
        </w:rPr>
        <w:t xml:space="preserve"> rodiklius kaip gyvybės ir ne gyvybės draudimo šakų pasiskirstymas rinkoje, draudimo įmokų, išmokų bei pasirašytų sutarčių dinamika (tiesioginiai rodikliai), draudimo tankis, skvarba, išsiplėtimas bei koncentracija (netiesioginiai). Šių rodiklių dinamika parodo, jog</w:t>
      </w:r>
      <w:r w:rsidR="00AC71D2" w:rsidRPr="00DC7A7E">
        <w:rPr>
          <w:rFonts w:cs="Times New Roman"/>
        </w:rPr>
        <w:t xml:space="preserve"> mūsų šalies </w:t>
      </w:r>
      <w:r w:rsidR="00BD0084" w:rsidRPr="00DC7A7E">
        <w:rPr>
          <w:rFonts w:cs="Times New Roman"/>
        </w:rPr>
        <w:t xml:space="preserve">ne gyvybės </w:t>
      </w:r>
      <w:r w:rsidR="00AC71D2" w:rsidRPr="00DC7A7E">
        <w:rPr>
          <w:rFonts w:cs="Times New Roman"/>
        </w:rPr>
        <w:t xml:space="preserve">draudimo rinka dar smarkiai atsilieka ne tik nuo ekonomiškai stiprių pasaulio šalių, bet ir nuo Vidurio bei Rytų Europos regiono, kuriam patys ir priklausome, valstybių. </w:t>
      </w:r>
    </w:p>
    <w:p w:rsidR="00AC71D2" w:rsidRPr="00E569B9" w:rsidRDefault="00FF1BAB" w:rsidP="00AC71D2">
      <w:pPr>
        <w:ind w:firstLine="567"/>
        <w:jc w:val="both"/>
        <w:rPr>
          <w:rFonts w:cs="Times New Roman"/>
          <w:b/>
        </w:rPr>
      </w:pPr>
      <w:r w:rsidRPr="00DC7A7E">
        <w:rPr>
          <w:rFonts w:cs="Times New Roman"/>
        </w:rPr>
        <w:t xml:space="preserve">Siekiant spartesnio draudimo rinkos augimo </w:t>
      </w:r>
      <w:r w:rsidR="00F95848" w:rsidRPr="00DC7A7E">
        <w:rPr>
          <w:rFonts w:cs="Times New Roman"/>
        </w:rPr>
        <w:t xml:space="preserve">įvairūs </w:t>
      </w:r>
      <w:r w:rsidRPr="00DC7A7E">
        <w:rPr>
          <w:rFonts w:cs="Times New Roman"/>
        </w:rPr>
        <w:t xml:space="preserve">mokslininkai </w:t>
      </w:r>
      <w:r w:rsidR="00594772" w:rsidRPr="00DC7A7E">
        <w:rPr>
          <w:rFonts w:cs="Times New Roman"/>
        </w:rPr>
        <w:t>(</w:t>
      </w:r>
      <w:r w:rsidRPr="00DC7A7E">
        <w:rPr>
          <w:rFonts w:cs="Times New Roman"/>
          <w:lang w:val="en-US"/>
        </w:rPr>
        <w:t>Bernat</w:t>
      </w:r>
      <w:r w:rsidRPr="00DC7A7E">
        <w:rPr>
          <w:rFonts w:cs="Times New Roman"/>
        </w:rPr>
        <w:t xml:space="preserve"> ir </w:t>
      </w:r>
      <w:r w:rsidRPr="00DC7A7E">
        <w:rPr>
          <w:rFonts w:cs="Times New Roman"/>
          <w:lang w:val="en-US"/>
        </w:rPr>
        <w:t>Grundey</w:t>
      </w:r>
      <w:r w:rsidRPr="00DC7A7E">
        <w:rPr>
          <w:rFonts w:cs="Times New Roman"/>
        </w:rPr>
        <w:t xml:space="preserve">, </w:t>
      </w:r>
      <w:r w:rsidRPr="00DC7A7E">
        <w:rPr>
          <w:rFonts w:cs="Times New Roman"/>
          <w:lang w:val="en-US"/>
        </w:rPr>
        <w:t xml:space="preserve">2007, </w:t>
      </w:r>
      <w:r w:rsidR="00594772" w:rsidRPr="00DC7A7E">
        <w:rPr>
          <w:rFonts w:cs="Times New Roman"/>
          <w:lang w:val="en-US"/>
        </w:rPr>
        <w:t xml:space="preserve">Hussels et al., 2005, Browne et al., 2000, Ward ir Zurbruegg, 2000, Beck </w:t>
      </w:r>
      <w:r w:rsidR="00594772" w:rsidRPr="00DC7A7E">
        <w:rPr>
          <w:rFonts w:cs="Times New Roman"/>
        </w:rPr>
        <w:t>ir</w:t>
      </w:r>
      <w:r w:rsidR="00594772" w:rsidRPr="00DC7A7E">
        <w:rPr>
          <w:rFonts w:cs="Times New Roman"/>
          <w:lang w:val="en-US"/>
        </w:rPr>
        <w:t xml:space="preserve"> Webb</w:t>
      </w:r>
      <w:r w:rsidR="00594772">
        <w:rPr>
          <w:rFonts w:cs="Times New Roman"/>
          <w:lang w:val="en-US"/>
        </w:rPr>
        <w:t xml:space="preserve">, 2003, </w:t>
      </w:r>
      <w:r w:rsidR="00594772" w:rsidRPr="00F25419">
        <w:rPr>
          <w:rFonts w:cs="Times New Roman"/>
          <w:lang w:val="en-US"/>
        </w:rPr>
        <w:t>Esho</w:t>
      </w:r>
      <w:r w:rsidR="00594772">
        <w:rPr>
          <w:rFonts w:cs="Times New Roman"/>
          <w:lang w:val="en-US"/>
        </w:rPr>
        <w:t xml:space="preserve"> et al., 2004</w:t>
      </w:r>
      <w:r w:rsidR="00AC71D2">
        <w:rPr>
          <w:rFonts w:cs="Times New Roman"/>
        </w:rPr>
        <w:t>,</w:t>
      </w:r>
      <w:r w:rsidR="00594772" w:rsidRPr="00594772">
        <w:t xml:space="preserve"> </w:t>
      </w:r>
      <w:r w:rsidR="00594772" w:rsidRPr="00F25419">
        <w:rPr>
          <w:lang w:val="en-US"/>
        </w:rPr>
        <w:t>Azman-Saini</w:t>
      </w:r>
      <w:r w:rsidR="00594772">
        <w:t xml:space="preserve"> ir </w:t>
      </w:r>
      <w:r w:rsidR="00594772" w:rsidRPr="00F25419">
        <w:rPr>
          <w:lang w:val="en-US"/>
        </w:rPr>
        <w:t>Smith</w:t>
      </w:r>
      <w:r w:rsidR="00594772">
        <w:t xml:space="preserve">, </w:t>
      </w:r>
      <w:r w:rsidR="00594772" w:rsidRPr="00A40AB4">
        <w:t>2011</w:t>
      </w:r>
      <w:r w:rsidR="00594772">
        <w:t>,</w:t>
      </w:r>
      <w:r w:rsidR="0015388D">
        <w:t xml:space="preserve"> Levine et al., 2000,</w:t>
      </w:r>
      <w:r w:rsidR="00594772">
        <w:rPr>
          <w:rFonts w:cs="Times New Roman"/>
        </w:rPr>
        <w:t xml:space="preserve"> Buškevičiūtė ir Poželaitė, </w:t>
      </w:r>
      <w:r w:rsidR="00594772">
        <w:rPr>
          <w:rFonts w:cs="Times New Roman"/>
          <w:lang w:val="en-US"/>
        </w:rPr>
        <w:t>2001</w:t>
      </w:r>
      <w:r>
        <w:rPr>
          <w:rFonts w:cs="Times New Roman"/>
          <w:lang w:val="en-US"/>
        </w:rPr>
        <w:t xml:space="preserve">, Lezgovko </w:t>
      </w:r>
      <w:r w:rsidRPr="00F25419">
        <w:rPr>
          <w:rFonts w:cs="Times New Roman"/>
        </w:rPr>
        <w:t>ir</w:t>
      </w:r>
      <w:r>
        <w:rPr>
          <w:rFonts w:cs="Times New Roman"/>
          <w:lang w:val="en-US"/>
        </w:rPr>
        <w:t xml:space="preserve"> Lastauskas, 2008, </w:t>
      </w:r>
      <w:r w:rsidR="0015388D" w:rsidRPr="00344783">
        <w:rPr>
          <w:rFonts w:cs="Times New Roman"/>
        </w:rPr>
        <w:t>Aidukienė ir Simanavičienė</w:t>
      </w:r>
      <w:r w:rsidR="0015388D">
        <w:rPr>
          <w:rFonts w:cs="Times New Roman"/>
        </w:rPr>
        <w:t>,</w:t>
      </w:r>
      <w:r w:rsidR="0015388D" w:rsidRPr="00344783">
        <w:rPr>
          <w:rFonts w:cs="Times New Roman"/>
        </w:rPr>
        <w:t xml:space="preserve"> 2010</w:t>
      </w:r>
      <w:r w:rsidR="00594772">
        <w:rPr>
          <w:rFonts w:cs="Times New Roman"/>
          <w:lang w:val="en-US"/>
        </w:rPr>
        <w:t>)</w:t>
      </w:r>
      <w:r>
        <w:rPr>
          <w:rFonts w:cs="Times New Roman"/>
          <w:lang w:val="en-US"/>
        </w:rPr>
        <w:t xml:space="preserve"> </w:t>
      </w:r>
      <w:r w:rsidR="00D508A0">
        <w:rPr>
          <w:rFonts w:cs="Times New Roman"/>
        </w:rPr>
        <w:t>analizuoja ne tik esamą draudimo sektoriaus situaciją, bet ir</w:t>
      </w:r>
      <w:r>
        <w:rPr>
          <w:rFonts w:cs="Times New Roman"/>
        </w:rPr>
        <w:t xml:space="preserve"> </w:t>
      </w:r>
      <w:r w:rsidR="00D508A0">
        <w:rPr>
          <w:rFonts w:cs="Times New Roman"/>
        </w:rPr>
        <w:t>bando identifikuoti</w:t>
      </w:r>
      <w:r>
        <w:rPr>
          <w:rFonts w:cs="Times New Roman"/>
        </w:rPr>
        <w:t xml:space="preserve"> veiksnius, sąlygojančius </w:t>
      </w:r>
      <w:r w:rsidR="00AC71D2">
        <w:rPr>
          <w:rFonts w:cs="Times New Roman"/>
        </w:rPr>
        <w:t xml:space="preserve">draudimo rinkos </w:t>
      </w:r>
      <w:r>
        <w:rPr>
          <w:rFonts w:cs="Times New Roman"/>
        </w:rPr>
        <w:t xml:space="preserve">plėtrą. Įvairių autorių nuomone ne gyvybės draudimo rinkos </w:t>
      </w:r>
      <w:r w:rsidR="00AC71D2">
        <w:rPr>
          <w:rFonts w:cs="Times New Roman"/>
        </w:rPr>
        <w:t>bei vis</w:t>
      </w:r>
      <w:r w:rsidR="00594772">
        <w:rPr>
          <w:rFonts w:cs="Times New Roman"/>
        </w:rPr>
        <w:t>os šalies ūkio išsivystymo lygį atspindintys veiksniai bei rodikliai</w:t>
      </w:r>
      <w:r w:rsidR="00AC71D2">
        <w:rPr>
          <w:rFonts w:cs="Times New Roman"/>
        </w:rPr>
        <w:t xml:space="preserve"> </w:t>
      </w:r>
      <w:r w:rsidR="00BD0084">
        <w:rPr>
          <w:rFonts w:cs="Times New Roman"/>
        </w:rPr>
        <w:t>sąlygoja vienas kitą</w:t>
      </w:r>
      <w:r w:rsidR="00AC71D2">
        <w:rPr>
          <w:rFonts w:cs="Times New Roman"/>
        </w:rPr>
        <w:t xml:space="preserve">, </w:t>
      </w:r>
      <w:r w:rsidR="00BD0084">
        <w:rPr>
          <w:rFonts w:cs="Times New Roman"/>
        </w:rPr>
        <w:t xml:space="preserve">tad </w:t>
      </w:r>
      <w:r w:rsidR="00AC71D2">
        <w:rPr>
          <w:rFonts w:cs="Times New Roman"/>
        </w:rPr>
        <w:t xml:space="preserve">ekonomiškai stipriose valstybėse draudimo rinka </w:t>
      </w:r>
      <w:r w:rsidR="00BD0084">
        <w:rPr>
          <w:rFonts w:cs="Times New Roman"/>
        </w:rPr>
        <w:t xml:space="preserve">paprastai </w:t>
      </w:r>
      <w:r w:rsidR="00AC71D2">
        <w:rPr>
          <w:rFonts w:cs="Times New Roman"/>
        </w:rPr>
        <w:t>išvystyta</w:t>
      </w:r>
      <w:r w:rsidR="00AC71D2" w:rsidRPr="005B2E8B">
        <w:rPr>
          <w:rFonts w:cs="Times New Roman"/>
        </w:rPr>
        <w:t xml:space="preserve"> geriau</w:t>
      </w:r>
      <w:r w:rsidR="00AC71D2">
        <w:rPr>
          <w:rFonts w:cs="Times New Roman"/>
        </w:rPr>
        <w:t xml:space="preserve"> negu </w:t>
      </w:r>
      <w:r w:rsidR="00AC71D2" w:rsidRPr="005B2E8B">
        <w:rPr>
          <w:rFonts w:cs="Times New Roman"/>
        </w:rPr>
        <w:t>besivystan</w:t>
      </w:r>
      <w:r w:rsidR="00AC71D2">
        <w:rPr>
          <w:rFonts w:cs="Times New Roman"/>
        </w:rPr>
        <w:t>čiose ekonomikose, kur šios rinkos</w:t>
      </w:r>
      <w:r w:rsidR="00AC71D2" w:rsidRPr="005B2E8B">
        <w:rPr>
          <w:rFonts w:cs="Times New Roman"/>
        </w:rPr>
        <w:t xml:space="preserve"> įtaka vis</w:t>
      </w:r>
      <w:r w:rsidR="00AC71D2">
        <w:rPr>
          <w:rFonts w:cs="Times New Roman"/>
        </w:rPr>
        <w:t xml:space="preserve">am šalies ūkiui gerokai mažesnė. </w:t>
      </w:r>
      <w:r w:rsidR="00760408" w:rsidRPr="00DC7A7E">
        <w:rPr>
          <w:rFonts w:cs="Times New Roman"/>
        </w:rPr>
        <w:t>D</w:t>
      </w:r>
      <w:r w:rsidR="00AC71D2" w:rsidRPr="00DC7A7E">
        <w:rPr>
          <w:rFonts w:cs="Times New Roman"/>
        </w:rPr>
        <w:t>idžiulis Lietuvos draudimo sektoriaus išsivystymo lygio atsilikimas net ir nuo kaimyninių valstybių leidžia formuluoti prielaidą, jog mūsų šalyje draudimas dar turi didžiulių augimo perspektyvų. Tačiau norint paspartinti ne gyvybės draudimo plėtrą Lietuvoje būtina identifikuoti svarbiausius veiksnius, skatinančius bei sąlygoj</w:t>
      </w:r>
      <w:r w:rsidR="00FA53F5" w:rsidRPr="00DC7A7E">
        <w:rPr>
          <w:rFonts w:cs="Times New Roman"/>
        </w:rPr>
        <w:t>ančius šio sektoriaus vystymąsi bei</w:t>
      </w:r>
      <w:r w:rsidR="00AC71D2" w:rsidRPr="00DC7A7E">
        <w:rPr>
          <w:rFonts w:cs="Times New Roman"/>
        </w:rPr>
        <w:t xml:space="preserve"> kuo efektyviau </w:t>
      </w:r>
      <w:r w:rsidR="008A5A57" w:rsidRPr="00DC7A7E">
        <w:rPr>
          <w:rFonts w:cs="Times New Roman"/>
        </w:rPr>
        <w:t xml:space="preserve">juos </w:t>
      </w:r>
      <w:r w:rsidR="00AC71D2" w:rsidRPr="00DC7A7E">
        <w:rPr>
          <w:rFonts w:cs="Times New Roman"/>
        </w:rPr>
        <w:t>išnaudoti</w:t>
      </w:r>
      <w:r w:rsidR="00FA53F5" w:rsidRPr="00DC7A7E">
        <w:rPr>
          <w:rFonts w:cs="Times New Roman"/>
        </w:rPr>
        <w:t>. Taip pat svarbu nustatyti potencialias</w:t>
      </w:r>
      <w:r w:rsidR="008330B8" w:rsidRPr="00DC7A7E">
        <w:rPr>
          <w:rFonts w:cs="Times New Roman"/>
        </w:rPr>
        <w:t>, dar neišnaudotas</w:t>
      </w:r>
      <w:r w:rsidR="00154119" w:rsidRPr="00DC7A7E">
        <w:rPr>
          <w:rFonts w:cs="Times New Roman"/>
        </w:rPr>
        <w:t xml:space="preserve"> </w:t>
      </w:r>
      <w:r w:rsidR="001A5EDA" w:rsidRPr="00DC7A7E">
        <w:rPr>
          <w:rFonts w:cs="Times New Roman"/>
        </w:rPr>
        <w:t xml:space="preserve">ne gyvybės draudimo rinkos </w:t>
      </w:r>
      <w:r w:rsidR="008330B8" w:rsidRPr="00DC7A7E">
        <w:rPr>
          <w:rFonts w:cs="Times New Roman"/>
        </w:rPr>
        <w:t xml:space="preserve">plėtros </w:t>
      </w:r>
      <w:r w:rsidR="00106A74" w:rsidRPr="00DC7A7E">
        <w:rPr>
          <w:rFonts w:cs="Times New Roman"/>
        </w:rPr>
        <w:t>galimybes</w:t>
      </w:r>
      <w:r w:rsidR="001A5EDA" w:rsidRPr="00DC7A7E">
        <w:rPr>
          <w:rFonts w:cs="Times New Roman"/>
        </w:rPr>
        <w:t xml:space="preserve"> bei nišas</w:t>
      </w:r>
      <w:r w:rsidR="00AC71D2" w:rsidRPr="00DC7A7E">
        <w:rPr>
          <w:rFonts w:cs="Times New Roman"/>
        </w:rPr>
        <w:t>.</w:t>
      </w:r>
    </w:p>
    <w:p w:rsidR="00AC71D2" w:rsidRDefault="00AC71D2" w:rsidP="00AC71D2">
      <w:pPr>
        <w:ind w:firstLine="567"/>
        <w:jc w:val="both"/>
        <w:rPr>
          <w:rFonts w:cs="Times New Roman"/>
        </w:rPr>
      </w:pPr>
      <w:r w:rsidRPr="005B2E8B">
        <w:rPr>
          <w:rFonts w:cs="Times New Roman"/>
          <w:b/>
        </w:rPr>
        <w:lastRenderedPageBreak/>
        <w:t>Tyrimo problema.</w:t>
      </w:r>
      <w:r w:rsidRPr="005B2E8B">
        <w:rPr>
          <w:rFonts w:cs="Times New Roman"/>
        </w:rPr>
        <w:t xml:space="preserve"> </w:t>
      </w:r>
      <w:r>
        <w:rPr>
          <w:rFonts w:cs="Times New Roman"/>
        </w:rPr>
        <w:t>Kokie veiksniai ir kokią įtaką turi ne gyvybės draudimo sektoriaus plėtrai Lietuvoje?</w:t>
      </w:r>
    </w:p>
    <w:p w:rsidR="00AC71D2" w:rsidRPr="005B2E8B" w:rsidRDefault="00AC71D2" w:rsidP="00AC71D2">
      <w:pPr>
        <w:ind w:firstLine="567"/>
        <w:jc w:val="both"/>
        <w:rPr>
          <w:rFonts w:cs="Times New Roman"/>
        </w:rPr>
      </w:pPr>
      <w:r w:rsidRPr="005B2E8B">
        <w:rPr>
          <w:rFonts w:cs="Times New Roman"/>
          <w:b/>
        </w:rPr>
        <w:t>Tyrimo objektas.</w:t>
      </w:r>
      <w:r w:rsidRPr="005B2E8B">
        <w:rPr>
          <w:rFonts w:cs="Times New Roman"/>
        </w:rPr>
        <w:t xml:space="preserve"> Li</w:t>
      </w:r>
      <w:r>
        <w:rPr>
          <w:rFonts w:cs="Times New Roman"/>
        </w:rPr>
        <w:t>etuvos ne gyvybės draudimo rinką sąlygojantys veiksniai</w:t>
      </w:r>
      <w:r w:rsidR="003D47E4">
        <w:rPr>
          <w:rFonts w:cs="Times New Roman"/>
        </w:rPr>
        <w:t>.</w:t>
      </w:r>
    </w:p>
    <w:p w:rsidR="00AC71D2" w:rsidRPr="005B2E8B" w:rsidRDefault="00AC71D2" w:rsidP="00AC71D2">
      <w:pPr>
        <w:ind w:firstLine="567"/>
        <w:jc w:val="both"/>
        <w:rPr>
          <w:rFonts w:cs="Times New Roman"/>
        </w:rPr>
      </w:pPr>
      <w:r w:rsidRPr="005B2E8B">
        <w:rPr>
          <w:rFonts w:cs="Times New Roman"/>
          <w:b/>
        </w:rPr>
        <w:t>Tyrimo tikslas.</w:t>
      </w:r>
      <w:r w:rsidRPr="005B2E8B">
        <w:rPr>
          <w:rFonts w:cs="Times New Roman"/>
        </w:rPr>
        <w:t xml:space="preserve"> </w:t>
      </w:r>
      <w:r w:rsidR="00515533">
        <w:rPr>
          <w:rFonts w:cs="Times New Roman"/>
        </w:rPr>
        <w:t>Išanalizuoti</w:t>
      </w:r>
      <w:r w:rsidRPr="005B2E8B">
        <w:rPr>
          <w:rFonts w:cs="Times New Roman"/>
        </w:rPr>
        <w:t xml:space="preserve"> Lietuvos ne gyvybės d</w:t>
      </w:r>
      <w:r>
        <w:rPr>
          <w:rFonts w:cs="Times New Roman"/>
        </w:rPr>
        <w:t>raudimo rinką sąlygojančius</w:t>
      </w:r>
      <w:r w:rsidRPr="005B2E8B">
        <w:rPr>
          <w:rFonts w:cs="Times New Roman"/>
        </w:rPr>
        <w:t xml:space="preserve"> </w:t>
      </w:r>
      <w:r>
        <w:rPr>
          <w:rFonts w:cs="Times New Roman"/>
        </w:rPr>
        <w:t xml:space="preserve">veiksnius ir identifikuoti </w:t>
      </w:r>
      <w:r w:rsidR="00515533">
        <w:rPr>
          <w:rFonts w:cs="Times New Roman"/>
        </w:rPr>
        <w:t xml:space="preserve">rinkos </w:t>
      </w:r>
      <w:r>
        <w:rPr>
          <w:rFonts w:cs="Times New Roman"/>
        </w:rPr>
        <w:t>plėtros galimybes</w:t>
      </w:r>
      <w:r w:rsidRPr="005B2E8B">
        <w:rPr>
          <w:rFonts w:cs="Times New Roman"/>
        </w:rPr>
        <w:t>.</w:t>
      </w:r>
    </w:p>
    <w:p w:rsidR="00AC71D2" w:rsidRPr="005B2E8B" w:rsidRDefault="00AC71D2" w:rsidP="00AC71D2">
      <w:pPr>
        <w:ind w:firstLine="567"/>
        <w:jc w:val="both"/>
        <w:rPr>
          <w:rFonts w:cs="Times New Roman"/>
          <w:b/>
        </w:rPr>
      </w:pPr>
      <w:r w:rsidRPr="005B2E8B">
        <w:rPr>
          <w:rFonts w:cs="Times New Roman"/>
          <w:b/>
        </w:rPr>
        <w:t>Tyrimo uždaviniai:</w:t>
      </w:r>
    </w:p>
    <w:p w:rsidR="00E90D49" w:rsidRDefault="00DE2A5D" w:rsidP="00AC71D2">
      <w:pPr>
        <w:pStyle w:val="ListParagraph"/>
        <w:numPr>
          <w:ilvl w:val="0"/>
          <w:numId w:val="1"/>
        </w:numPr>
        <w:jc w:val="both"/>
        <w:rPr>
          <w:rFonts w:cs="Times New Roman"/>
        </w:rPr>
      </w:pPr>
      <w:r>
        <w:rPr>
          <w:rFonts w:cs="Times New Roman"/>
        </w:rPr>
        <w:t>Pateikti</w:t>
      </w:r>
      <w:r w:rsidR="00E90D49">
        <w:rPr>
          <w:rFonts w:cs="Times New Roman"/>
        </w:rPr>
        <w:t xml:space="preserve"> draudimo rinkos plėtros veiksnių teoriją.</w:t>
      </w:r>
    </w:p>
    <w:p w:rsidR="00AC71D2" w:rsidRDefault="00AC71D2" w:rsidP="00AC71D2">
      <w:pPr>
        <w:pStyle w:val="ListParagraph"/>
        <w:numPr>
          <w:ilvl w:val="0"/>
          <w:numId w:val="1"/>
        </w:numPr>
        <w:jc w:val="both"/>
        <w:rPr>
          <w:rFonts w:cs="Times New Roman"/>
        </w:rPr>
      </w:pPr>
      <w:r w:rsidRPr="00273F16">
        <w:rPr>
          <w:rFonts w:cs="Times New Roman"/>
        </w:rPr>
        <w:t xml:space="preserve">Identifikuoti ne gyvybės draudimo </w:t>
      </w:r>
      <w:r w:rsidR="00E90D49">
        <w:rPr>
          <w:rFonts w:cs="Times New Roman"/>
        </w:rPr>
        <w:t>rinką sąlygojančius veiksnius</w:t>
      </w:r>
      <w:r w:rsidRPr="00273F16">
        <w:rPr>
          <w:rFonts w:cs="Times New Roman"/>
        </w:rPr>
        <w:t>.</w:t>
      </w:r>
    </w:p>
    <w:p w:rsidR="00E90D49" w:rsidRPr="00273F16" w:rsidRDefault="00E90D49" w:rsidP="00AC71D2">
      <w:pPr>
        <w:pStyle w:val="ListParagraph"/>
        <w:numPr>
          <w:ilvl w:val="0"/>
          <w:numId w:val="1"/>
        </w:numPr>
        <w:jc w:val="both"/>
        <w:rPr>
          <w:rFonts w:cs="Times New Roman"/>
        </w:rPr>
      </w:pPr>
      <w:r>
        <w:rPr>
          <w:rFonts w:cs="Times New Roman"/>
        </w:rPr>
        <w:t>Parengti ne gyvybės draudimo rinkos plėtros veiksnių vertinimo metodologiją.</w:t>
      </w:r>
    </w:p>
    <w:p w:rsidR="00AC71D2" w:rsidRPr="005B2E8B" w:rsidRDefault="00AC71D2" w:rsidP="00AC71D2">
      <w:pPr>
        <w:pStyle w:val="ListParagraph"/>
        <w:numPr>
          <w:ilvl w:val="0"/>
          <w:numId w:val="1"/>
        </w:numPr>
        <w:jc w:val="both"/>
        <w:rPr>
          <w:rFonts w:cs="Times New Roman"/>
        </w:rPr>
      </w:pPr>
      <w:r w:rsidRPr="005B2E8B">
        <w:rPr>
          <w:rFonts w:cs="Times New Roman"/>
        </w:rPr>
        <w:t>Įvertinti Lietuvos ne gyvybės draudimo rinkos situaciją.</w:t>
      </w:r>
    </w:p>
    <w:p w:rsidR="00AC71D2" w:rsidRPr="005B2E8B" w:rsidRDefault="00AC71D2" w:rsidP="00AC71D2">
      <w:pPr>
        <w:pStyle w:val="ListParagraph"/>
        <w:numPr>
          <w:ilvl w:val="0"/>
          <w:numId w:val="1"/>
        </w:numPr>
        <w:jc w:val="both"/>
        <w:rPr>
          <w:rFonts w:cs="Times New Roman"/>
        </w:rPr>
      </w:pPr>
      <w:r>
        <w:rPr>
          <w:rFonts w:cs="Times New Roman"/>
        </w:rPr>
        <w:t xml:space="preserve">Nustatyti, kokie veiksniai ir kaip sąlygoja </w:t>
      </w:r>
      <w:r w:rsidRPr="005B2E8B">
        <w:rPr>
          <w:rFonts w:cs="Times New Roman"/>
        </w:rPr>
        <w:t>Lie</w:t>
      </w:r>
      <w:r>
        <w:rPr>
          <w:rFonts w:cs="Times New Roman"/>
        </w:rPr>
        <w:t>tuvos ne gyvybės draudimo rinkos plėtrą</w:t>
      </w:r>
      <w:r w:rsidRPr="005B2E8B">
        <w:rPr>
          <w:rFonts w:cs="Times New Roman"/>
        </w:rPr>
        <w:t>.</w:t>
      </w:r>
    </w:p>
    <w:p w:rsidR="00AC71D2" w:rsidRPr="005B2E8B" w:rsidRDefault="00AC71D2" w:rsidP="00AC71D2">
      <w:pPr>
        <w:ind w:firstLine="567"/>
        <w:jc w:val="both"/>
        <w:rPr>
          <w:rFonts w:cs="Times New Roman"/>
          <w:b/>
        </w:rPr>
      </w:pPr>
      <w:r w:rsidRPr="005B2E8B">
        <w:rPr>
          <w:rFonts w:cs="Times New Roman"/>
          <w:b/>
        </w:rPr>
        <w:t>Tyrimo metodai:</w:t>
      </w:r>
    </w:p>
    <w:p w:rsidR="00AC71D2" w:rsidRPr="005B2E8B" w:rsidRDefault="00655255" w:rsidP="00AC71D2">
      <w:pPr>
        <w:pStyle w:val="ListParagraph"/>
        <w:numPr>
          <w:ilvl w:val="0"/>
          <w:numId w:val="2"/>
        </w:numPr>
        <w:jc w:val="both"/>
        <w:rPr>
          <w:rFonts w:cs="Times New Roman"/>
        </w:rPr>
      </w:pPr>
      <w:r>
        <w:rPr>
          <w:rFonts w:cs="Times New Roman"/>
        </w:rPr>
        <w:t>Mokslinės literatūros analizė ir apibendrinimas;</w:t>
      </w:r>
    </w:p>
    <w:p w:rsidR="00AC71D2" w:rsidRPr="005B2E8B" w:rsidRDefault="00AC71D2" w:rsidP="00AC71D2">
      <w:pPr>
        <w:pStyle w:val="ListParagraph"/>
        <w:numPr>
          <w:ilvl w:val="0"/>
          <w:numId w:val="2"/>
        </w:numPr>
        <w:jc w:val="both"/>
        <w:rPr>
          <w:rFonts w:cs="Times New Roman"/>
        </w:rPr>
      </w:pPr>
      <w:r w:rsidRPr="005B2E8B">
        <w:rPr>
          <w:rFonts w:cs="Times New Roman"/>
        </w:rPr>
        <w:t xml:space="preserve">Statistinių duomenų </w:t>
      </w:r>
      <w:r>
        <w:rPr>
          <w:rFonts w:cs="Times New Roman"/>
        </w:rPr>
        <w:t xml:space="preserve">bei grafinė </w:t>
      </w:r>
      <w:r w:rsidRPr="005B2E8B">
        <w:rPr>
          <w:rFonts w:cs="Times New Roman"/>
        </w:rPr>
        <w:t>analizė;</w:t>
      </w:r>
    </w:p>
    <w:p w:rsidR="00AC71D2" w:rsidRPr="005B2E8B" w:rsidRDefault="00AC71D2" w:rsidP="00AC71D2">
      <w:pPr>
        <w:pStyle w:val="ListParagraph"/>
        <w:numPr>
          <w:ilvl w:val="0"/>
          <w:numId w:val="2"/>
        </w:numPr>
        <w:jc w:val="both"/>
        <w:rPr>
          <w:rFonts w:cs="Times New Roman"/>
        </w:rPr>
      </w:pPr>
      <w:r w:rsidRPr="005B2E8B">
        <w:rPr>
          <w:rFonts w:cs="Times New Roman"/>
        </w:rPr>
        <w:t>Teisinių dokumentų analizė;</w:t>
      </w:r>
    </w:p>
    <w:p w:rsidR="00AC71D2" w:rsidRPr="005B2E8B" w:rsidRDefault="00AC71D2" w:rsidP="00AC71D2">
      <w:pPr>
        <w:pStyle w:val="ListParagraph"/>
        <w:numPr>
          <w:ilvl w:val="0"/>
          <w:numId w:val="2"/>
        </w:numPr>
        <w:jc w:val="both"/>
        <w:rPr>
          <w:rFonts w:cs="Times New Roman"/>
        </w:rPr>
      </w:pPr>
      <w:r>
        <w:rPr>
          <w:rFonts w:cs="Times New Roman"/>
        </w:rPr>
        <w:t>PEST analizė;</w:t>
      </w:r>
    </w:p>
    <w:p w:rsidR="00AC71D2" w:rsidRPr="005B2E8B" w:rsidRDefault="00AC71D2" w:rsidP="00AC71D2">
      <w:pPr>
        <w:pStyle w:val="ListParagraph"/>
        <w:numPr>
          <w:ilvl w:val="0"/>
          <w:numId w:val="2"/>
        </w:numPr>
        <w:jc w:val="both"/>
        <w:rPr>
          <w:rFonts w:cs="Times New Roman"/>
        </w:rPr>
      </w:pPr>
      <w:r w:rsidRPr="005B2E8B">
        <w:rPr>
          <w:rFonts w:cs="Times New Roman"/>
        </w:rPr>
        <w:t>Koreliacinė</w:t>
      </w:r>
      <w:r>
        <w:rPr>
          <w:rFonts w:cs="Times New Roman"/>
        </w:rPr>
        <w:t xml:space="preserve"> bei tiesinė regresinė</w:t>
      </w:r>
      <w:r w:rsidRPr="005B2E8B">
        <w:rPr>
          <w:rFonts w:cs="Times New Roman"/>
        </w:rPr>
        <w:t xml:space="preserve"> analizė.</w:t>
      </w:r>
    </w:p>
    <w:p w:rsidR="00EE43F4" w:rsidRPr="00C148A0" w:rsidRDefault="00AC71D2" w:rsidP="00EE43F4">
      <w:pPr>
        <w:ind w:firstLine="567"/>
        <w:jc w:val="both"/>
        <w:rPr>
          <w:rFonts w:cs="Times New Roman"/>
        </w:rPr>
      </w:pPr>
      <w:r w:rsidRPr="005B2E8B">
        <w:rPr>
          <w:rFonts w:cs="Times New Roman"/>
          <w:b/>
        </w:rPr>
        <w:t>Darbo struktūra.</w:t>
      </w:r>
      <w:r w:rsidR="00735373">
        <w:rPr>
          <w:rFonts w:cs="Times New Roman"/>
        </w:rPr>
        <w:t xml:space="preserve"> </w:t>
      </w:r>
      <w:r w:rsidR="00EE43F4" w:rsidRPr="00A953A0">
        <w:rPr>
          <w:rFonts w:cs="Times New Roman"/>
        </w:rPr>
        <w:t xml:space="preserve">Magistro baigiamąjį darbą sudaro įvadas, trys skyriai, išvados bei rekomendacijos, panaudotos literatūros sąrašas, anotacija lietuvių ir anglų kalbomis, santrauka lietuvių ir anglų kalbomis bei priedai. Darbe pateiktos </w:t>
      </w:r>
      <w:r w:rsidR="00EE43F4" w:rsidRPr="00A953A0">
        <w:rPr>
          <w:rFonts w:cs="Times New Roman"/>
          <w:lang w:val="en-US"/>
        </w:rPr>
        <w:t xml:space="preserve">22 </w:t>
      </w:r>
      <w:r w:rsidR="00EE43F4" w:rsidRPr="00A953A0">
        <w:rPr>
          <w:rFonts w:cs="Times New Roman"/>
        </w:rPr>
        <w:t xml:space="preserve">vaizdinės priemonės, tarp kurių </w:t>
      </w:r>
      <w:r w:rsidR="00EE43F4" w:rsidRPr="00A953A0">
        <w:rPr>
          <w:rFonts w:cs="Times New Roman"/>
          <w:lang w:val="en-US"/>
        </w:rPr>
        <w:t xml:space="preserve">5 </w:t>
      </w:r>
      <w:r w:rsidR="00EE43F4" w:rsidRPr="00A953A0">
        <w:rPr>
          <w:rFonts w:cs="Times New Roman"/>
        </w:rPr>
        <w:t xml:space="preserve">lentelės ir </w:t>
      </w:r>
      <w:r w:rsidR="00EE43F4" w:rsidRPr="00A953A0">
        <w:rPr>
          <w:rFonts w:cs="Times New Roman"/>
          <w:lang w:val="en-US"/>
        </w:rPr>
        <w:t xml:space="preserve">17 </w:t>
      </w:r>
      <w:r w:rsidR="00EE43F4" w:rsidRPr="00A953A0">
        <w:rPr>
          <w:rFonts w:cs="Times New Roman"/>
        </w:rPr>
        <w:t xml:space="preserve">paveikslų. Darbe pateikti </w:t>
      </w:r>
      <w:r w:rsidR="00EE43F4" w:rsidRPr="00A953A0">
        <w:rPr>
          <w:rFonts w:cs="Times New Roman"/>
          <w:lang w:val="en-US"/>
        </w:rPr>
        <w:t xml:space="preserve">3 </w:t>
      </w:r>
      <w:r w:rsidR="00EE43F4" w:rsidRPr="00A953A0">
        <w:rPr>
          <w:rFonts w:cs="Times New Roman"/>
        </w:rPr>
        <w:t xml:space="preserve">priedai. Magistro baigiamojo darbo apimtis – 81 </w:t>
      </w:r>
      <w:r w:rsidR="00EE43F4">
        <w:rPr>
          <w:rFonts w:cs="Times New Roman"/>
        </w:rPr>
        <w:t>puslapis</w:t>
      </w:r>
      <w:r w:rsidR="00EE43F4" w:rsidRPr="00A953A0">
        <w:rPr>
          <w:rFonts w:cs="Times New Roman"/>
        </w:rPr>
        <w:t xml:space="preserve">. Darbe panaudoti </w:t>
      </w:r>
      <w:r w:rsidR="00EE43F4" w:rsidRPr="00A953A0">
        <w:rPr>
          <w:rFonts w:cs="Times New Roman"/>
          <w:lang w:val="en-US"/>
        </w:rPr>
        <w:t xml:space="preserve">106 </w:t>
      </w:r>
      <w:r w:rsidR="00EE43F4" w:rsidRPr="00A953A0">
        <w:rPr>
          <w:rFonts w:cs="Times New Roman"/>
        </w:rPr>
        <w:t>literatūros šaltiniai.</w:t>
      </w:r>
    </w:p>
    <w:p w:rsidR="00735373" w:rsidRDefault="006C7882" w:rsidP="00735373">
      <w:pPr>
        <w:ind w:firstLine="567"/>
        <w:jc w:val="both"/>
        <w:rPr>
          <w:rFonts w:cs="Times New Roman"/>
        </w:rPr>
      </w:pPr>
      <w:r>
        <w:rPr>
          <w:rFonts w:cs="Times New Roman"/>
        </w:rPr>
        <w:t>Magistro baigiamojo darbo p</w:t>
      </w:r>
      <w:r w:rsidR="00735373">
        <w:rPr>
          <w:rFonts w:cs="Times New Roman"/>
        </w:rPr>
        <w:t>irmame</w:t>
      </w:r>
      <w:r w:rsidR="00735373" w:rsidRPr="00735373">
        <w:rPr>
          <w:rFonts w:cs="Times New Roman"/>
        </w:rPr>
        <w:t xml:space="preserve"> </w:t>
      </w:r>
      <w:r w:rsidR="00735373">
        <w:rPr>
          <w:rFonts w:cs="Times New Roman"/>
        </w:rPr>
        <w:t xml:space="preserve">skyriuje </w:t>
      </w:r>
      <w:r w:rsidR="00735373" w:rsidRPr="00735373">
        <w:rPr>
          <w:rFonts w:cs="Times New Roman"/>
        </w:rPr>
        <w:t xml:space="preserve">pateikiama draudimo rinkos plėtros veiksnių teorija: tiriama draudimo rinkos koncepcija, draudimo rinkų klasifikacija, identifikuoti ne gyvybės draudimo rinką </w:t>
      </w:r>
      <w:r w:rsidR="00735373">
        <w:rPr>
          <w:rFonts w:cs="Times New Roman"/>
        </w:rPr>
        <w:t xml:space="preserve">sąlygojantys veiksniai. Antrame skyriuje </w:t>
      </w:r>
      <w:r w:rsidR="00735373" w:rsidRPr="00735373">
        <w:rPr>
          <w:rFonts w:cs="Times New Roman"/>
        </w:rPr>
        <w:t>pateikta ne gyvybės draudimo rinkos plėtros veiksnių vertinimo metodologija: suformuota bei atskleista ne gyvybės draudimo rinkos bei jos plėtros ve</w:t>
      </w:r>
      <w:r w:rsidR="00735373">
        <w:rPr>
          <w:rFonts w:cs="Times New Roman"/>
        </w:rPr>
        <w:t>iksnių tyrimo metodika. Trečiame skyriuje</w:t>
      </w:r>
      <w:r w:rsidR="00735373" w:rsidRPr="00735373">
        <w:rPr>
          <w:rFonts w:cs="Times New Roman"/>
        </w:rPr>
        <w:t xml:space="preserve"> </w:t>
      </w:r>
      <w:r w:rsidR="00735373">
        <w:rPr>
          <w:rFonts w:cs="Times New Roman"/>
        </w:rPr>
        <w:t xml:space="preserve">išanalizuota </w:t>
      </w:r>
      <w:r w:rsidR="00735373" w:rsidRPr="00735373">
        <w:rPr>
          <w:rFonts w:cs="Times New Roman"/>
        </w:rPr>
        <w:t xml:space="preserve">bei </w:t>
      </w:r>
      <w:r w:rsidR="00735373">
        <w:rPr>
          <w:rFonts w:cs="Times New Roman"/>
        </w:rPr>
        <w:t xml:space="preserve">įvertinta </w:t>
      </w:r>
      <w:r w:rsidR="00735373" w:rsidRPr="00735373">
        <w:rPr>
          <w:rFonts w:cs="Times New Roman"/>
        </w:rPr>
        <w:t xml:space="preserve">Lietuvos ne gyvybės draudimo rinkos situacija, atlikta PEST </w:t>
      </w:r>
      <w:r w:rsidR="00735373">
        <w:rPr>
          <w:rFonts w:cs="Times New Roman"/>
        </w:rPr>
        <w:t>analizė,</w:t>
      </w:r>
      <w:r w:rsidR="00735373" w:rsidRPr="00735373">
        <w:rPr>
          <w:rFonts w:cs="Times New Roman"/>
        </w:rPr>
        <w:t xml:space="preserve"> koreliacinės bei tiesinės regresinės analizės metodu atlikta Lietuvos ne gyvybės draudimo rinkos plėtros veiksnių analizė.</w:t>
      </w:r>
    </w:p>
    <w:p w:rsidR="00AC71D2" w:rsidRPr="005B2E8B" w:rsidRDefault="00AC71D2" w:rsidP="00AC71D2">
      <w:pPr>
        <w:ind w:firstLine="567"/>
        <w:jc w:val="both"/>
        <w:rPr>
          <w:rFonts w:cs="Times New Roman"/>
        </w:rPr>
      </w:pPr>
    </w:p>
    <w:p w:rsidR="00AC71D2" w:rsidRDefault="00AC71D2" w:rsidP="00AC71D2">
      <w:pPr>
        <w:spacing w:after="200" w:line="276" w:lineRule="auto"/>
        <w:rPr>
          <w:b/>
          <w:sz w:val="28"/>
          <w:szCs w:val="28"/>
        </w:rPr>
      </w:pPr>
      <w:r>
        <w:rPr>
          <w:b/>
          <w:sz w:val="28"/>
          <w:szCs w:val="28"/>
        </w:rPr>
        <w:br w:type="page"/>
      </w:r>
    </w:p>
    <w:p w:rsidR="003F5FD0" w:rsidRPr="00124F2D" w:rsidRDefault="003F5FD0" w:rsidP="00756AE7">
      <w:pPr>
        <w:pStyle w:val="Heading1"/>
        <w:rPr>
          <w:sz w:val="24"/>
          <w:szCs w:val="24"/>
        </w:rPr>
      </w:pPr>
    </w:p>
    <w:p w:rsidR="003F5FD0" w:rsidRPr="00A40AB4" w:rsidRDefault="003F5FD0" w:rsidP="004F0933">
      <w:pPr>
        <w:pStyle w:val="Heading1"/>
        <w:numPr>
          <w:ilvl w:val="0"/>
          <w:numId w:val="6"/>
        </w:numPr>
        <w:ind w:left="426"/>
      </w:pPr>
      <w:bookmarkStart w:id="18" w:name="_Toc303717691"/>
      <w:bookmarkStart w:id="19" w:name="_Toc328358578"/>
      <w:bookmarkStart w:id="20" w:name="_Toc328359407"/>
      <w:bookmarkStart w:id="21" w:name="_Toc328359492"/>
      <w:bookmarkStart w:id="22" w:name="_Toc328359547"/>
      <w:bookmarkStart w:id="23" w:name="_Toc340574369"/>
      <w:bookmarkStart w:id="24" w:name="_Toc340574685"/>
      <w:bookmarkStart w:id="25" w:name="_Toc341641356"/>
      <w:bookmarkStart w:id="26" w:name="_Toc342859644"/>
      <w:r w:rsidRPr="00A40AB4">
        <w:t xml:space="preserve">DRAUDIMO RINKOS </w:t>
      </w:r>
      <w:r w:rsidR="0096684A">
        <w:t xml:space="preserve"> PLĖTROS VEIKSNIŲ </w:t>
      </w:r>
      <w:r w:rsidRPr="00A40AB4">
        <w:t>TEORIJA</w:t>
      </w:r>
      <w:bookmarkEnd w:id="18"/>
      <w:bookmarkEnd w:id="19"/>
      <w:bookmarkEnd w:id="20"/>
      <w:bookmarkEnd w:id="21"/>
      <w:bookmarkEnd w:id="22"/>
      <w:bookmarkEnd w:id="23"/>
      <w:bookmarkEnd w:id="24"/>
      <w:bookmarkEnd w:id="25"/>
      <w:bookmarkEnd w:id="26"/>
    </w:p>
    <w:p w:rsidR="00144A3A" w:rsidRPr="00A40AB4" w:rsidRDefault="00144A3A" w:rsidP="00144A3A"/>
    <w:p w:rsidR="003F5FD0" w:rsidRPr="00A40AB4" w:rsidRDefault="003F5FD0" w:rsidP="004F0933">
      <w:pPr>
        <w:pStyle w:val="Heading2"/>
        <w:numPr>
          <w:ilvl w:val="1"/>
          <w:numId w:val="6"/>
        </w:numPr>
        <w:spacing w:line="360" w:lineRule="auto"/>
        <w:jc w:val="both"/>
        <w:rPr>
          <w:sz w:val="28"/>
        </w:rPr>
      </w:pPr>
      <w:bookmarkStart w:id="27" w:name="_Toc303717692"/>
      <w:bookmarkStart w:id="28" w:name="_Toc328358579"/>
      <w:bookmarkStart w:id="29" w:name="_Toc328359408"/>
      <w:bookmarkStart w:id="30" w:name="_Toc328359493"/>
      <w:bookmarkStart w:id="31" w:name="_Toc328359548"/>
      <w:bookmarkStart w:id="32" w:name="_Toc340574370"/>
      <w:bookmarkStart w:id="33" w:name="_Toc340574686"/>
      <w:bookmarkStart w:id="34" w:name="_Toc341641357"/>
      <w:bookmarkStart w:id="35" w:name="_Toc342859645"/>
      <w:r w:rsidRPr="00A40AB4">
        <w:rPr>
          <w:sz w:val="28"/>
        </w:rPr>
        <w:t>Draudimo rink</w:t>
      </w:r>
      <w:r w:rsidR="00FD4918" w:rsidRPr="00A40AB4">
        <w:rPr>
          <w:sz w:val="28"/>
        </w:rPr>
        <w:t>os</w:t>
      </w:r>
      <w:r w:rsidR="005B5E33" w:rsidRPr="00A40AB4">
        <w:rPr>
          <w:sz w:val="28"/>
        </w:rPr>
        <w:t xml:space="preserve"> </w:t>
      </w:r>
      <w:r w:rsidR="0096684A">
        <w:rPr>
          <w:sz w:val="28"/>
        </w:rPr>
        <w:t>koncepcija</w:t>
      </w:r>
      <w:bookmarkEnd w:id="27"/>
      <w:bookmarkEnd w:id="28"/>
      <w:bookmarkEnd w:id="29"/>
      <w:bookmarkEnd w:id="30"/>
      <w:bookmarkEnd w:id="31"/>
      <w:bookmarkEnd w:id="32"/>
      <w:bookmarkEnd w:id="33"/>
      <w:bookmarkEnd w:id="34"/>
      <w:bookmarkEnd w:id="35"/>
    </w:p>
    <w:p w:rsidR="00144A3A" w:rsidRPr="00A40AB4" w:rsidRDefault="00144A3A" w:rsidP="00144A3A"/>
    <w:p w:rsidR="0035144C" w:rsidRPr="00A40AB4" w:rsidRDefault="0035144C" w:rsidP="0035144C">
      <w:pPr>
        <w:ind w:firstLine="567"/>
        <w:jc w:val="both"/>
      </w:pPr>
      <w:r w:rsidRPr="00A40AB4">
        <w:t xml:space="preserve">Draudimas – itin sena </w:t>
      </w:r>
      <w:r w:rsidR="009915AC">
        <w:t>veikla finansų srityje</w:t>
      </w:r>
      <w:r w:rsidRPr="00A40AB4">
        <w:t xml:space="preserve">. Žmonės jau nuo senovės svarstė apie </w:t>
      </w:r>
      <w:r w:rsidR="00152024">
        <w:t xml:space="preserve">metodus, kurie leistų </w:t>
      </w:r>
      <w:r w:rsidRPr="00A40AB4">
        <w:t>užtikrinti pragyvenimą</w:t>
      </w:r>
      <w:r w:rsidR="00D04EA7">
        <w:t>, valdyti riziką</w:t>
      </w:r>
      <w:r w:rsidRPr="00A40AB4">
        <w:t xml:space="preserve"> bei neprarasti </w:t>
      </w:r>
      <w:r w:rsidR="00D04EA7">
        <w:t xml:space="preserve">savo </w:t>
      </w:r>
      <w:r w:rsidRPr="00A40AB4">
        <w:t xml:space="preserve">turto </w:t>
      </w:r>
      <w:r w:rsidR="00D04EA7">
        <w:t xml:space="preserve">nelaimingo atsitikimo </w:t>
      </w:r>
      <w:r w:rsidRPr="00A40AB4">
        <w:t xml:space="preserve">atveju. Istorijos šaltiniai mena,  kad draudimas atsirado </w:t>
      </w:r>
      <w:r w:rsidR="00455858">
        <w:t xml:space="preserve">senovėje, </w:t>
      </w:r>
      <w:r w:rsidRPr="00A40AB4">
        <w:t xml:space="preserve">kai pirkliai įkurdavo laikinas sąjungas, kurios nariai, nuskendus vieno iš jų laivui, </w:t>
      </w:r>
      <w:r w:rsidR="009915AC">
        <w:t>bendromis lėšomis kompensuodavo patirtus nuostolius</w:t>
      </w:r>
      <w:r w:rsidRPr="00A40AB4">
        <w:t xml:space="preserve">. Viduramžiais </w:t>
      </w:r>
      <w:r w:rsidR="003632B7">
        <w:t>ėmė kurtis</w:t>
      </w:r>
      <w:r w:rsidRPr="00A40AB4">
        <w:t xml:space="preserve"> įvairios amatininkų draugijos</w:t>
      </w:r>
      <w:r w:rsidR="003632B7">
        <w:t xml:space="preserve"> ir</w:t>
      </w:r>
      <w:r w:rsidRPr="00A40AB4">
        <w:t xml:space="preserve"> kolegijos. Dar vėliau vystėsi gildijos, kurios rėmėsi brolystės principu ir </w:t>
      </w:r>
      <w:r w:rsidR="003632B7">
        <w:t xml:space="preserve">teikė </w:t>
      </w:r>
      <w:r w:rsidRPr="00A40AB4">
        <w:t>pagalbą kiekvienam gildij</w:t>
      </w:r>
      <w:r w:rsidR="003632B7">
        <w:t>os nariui iš bendro narių įnašo.</w:t>
      </w:r>
    </w:p>
    <w:p w:rsidR="00977168" w:rsidRPr="00A40AB4" w:rsidRDefault="0035144C" w:rsidP="0017625A">
      <w:pPr>
        <w:ind w:firstLine="567"/>
        <w:jc w:val="both"/>
        <w:rPr>
          <w:rFonts w:cs="Times New Roman"/>
          <w:szCs w:val="24"/>
        </w:rPr>
      </w:pPr>
      <w:r w:rsidRPr="00A40AB4">
        <w:rPr>
          <w:rFonts w:cs="Times New Roman"/>
          <w:szCs w:val="24"/>
        </w:rPr>
        <w:t xml:space="preserve">Mokslininkai pastoviai diskutuoja apie draudimo veiklos teorinius bei praktinius aspektus, vystymosi tendencijas nuolat kintančiomis ekonomikos sąlygomis. </w:t>
      </w:r>
      <w:r w:rsidR="00536EA5">
        <w:rPr>
          <w:rFonts w:cs="Times New Roman"/>
          <w:szCs w:val="24"/>
        </w:rPr>
        <w:t xml:space="preserve">Pasak </w:t>
      </w:r>
      <w:r w:rsidR="00536EA5" w:rsidRPr="00A40AB4">
        <w:rPr>
          <w:rFonts w:cs="Times New Roman"/>
          <w:szCs w:val="24"/>
        </w:rPr>
        <w:t>Aidukienė</w:t>
      </w:r>
      <w:r w:rsidR="00536EA5">
        <w:rPr>
          <w:rFonts w:cs="Times New Roman"/>
          <w:szCs w:val="24"/>
        </w:rPr>
        <w:t>s</w:t>
      </w:r>
      <w:r w:rsidR="00536EA5" w:rsidRPr="00A40AB4">
        <w:rPr>
          <w:rFonts w:cs="Times New Roman"/>
          <w:szCs w:val="24"/>
        </w:rPr>
        <w:t xml:space="preserve"> ir Simanavičienė</w:t>
      </w:r>
      <w:r w:rsidR="00536EA5">
        <w:rPr>
          <w:rFonts w:cs="Times New Roman"/>
          <w:szCs w:val="24"/>
        </w:rPr>
        <w:t>s</w:t>
      </w:r>
      <w:r w:rsidR="00536EA5" w:rsidRPr="00A40AB4">
        <w:rPr>
          <w:rFonts w:cs="Times New Roman"/>
          <w:szCs w:val="24"/>
        </w:rPr>
        <w:t xml:space="preserve">, </w:t>
      </w:r>
      <w:r w:rsidR="00536EA5">
        <w:rPr>
          <w:rFonts w:cs="Times New Roman"/>
          <w:szCs w:val="24"/>
        </w:rPr>
        <w:t>(</w:t>
      </w:r>
      <w:r w:rsidR="00536EA5" w:rsidRPr="00A40AB4">
        <w:rPr>
          <w:rFonts w:cs="Times New Roman"/>
          <w:szCs w:val="24"/>
        </w:rPr>
        <w:t>2010)</w:t>
      </w:r>
      <w:r w:rsidR="00536EA5">
        <w:rPr>
          <w:rFonts w:cs="Times New Roman"/>
          <w:szCs w:val="24"/>
        </w:rPr>
        <w:t>, i</w:t>
      </w:r>
      <w:r w:rsidR="00977168" w:rsidRPr="00A40AB4">
        <w:rPr>
          <w:rFonts w:cs="Times New Roman"/>
          <w:szCs w:val="24"/>
        </w:rPr>
        <w:t xml:space="preserve">šsivysčiusiose pasaulio valstybėse vis labiau ryškėja finansinių paslaugų vaidmuo. Viena jų – draudimo paslaugos. Kiekvienas žmogus nori apsaugoti </w:t>
      </w:r>
      <w:r w:rsidR="005B741F" w:rsidRPr="00A40AB4">
        <w:rPr>
          <w:rFonts w:cs="Times New Roman"/>
          <w:szCs w:val="24"/>
        </w:rPr>
        <w:t>save, artimuosius, turtą ir kt.</w:t>
      </w:r>
      <w:r w:rsidR="00977168" w:rsidRPr="00A40AB4">
        <w:rPr>
          <w:rFonts w:cs="Times New Roman"/>
          <w:szCs w:val="24"/>
        </w:rPr>
        <w:t xml:space="preserve"> </w:t>
      </w:r>
      <w:r w:rsidR="005B741F" w:rsidRPr="00A40AB4">
        <w:rPr>
          <w:rFonts w:cs="Times New Roman"/>
          <w:szCs w:val="24"/>
        </w:rPr>
        <w:t>T</w:t>
      </w:r>
      <w:r w:rsidR="00977168" w:rsidRPr="00A40AB4">
        <w:rPr>
          <w:rFonts w:cs="Times New Roman"/>
          <w:szCs w:val="24"/>
        </w:rPr>
        <w:t>aigi draudimo paslaugų verslas vis plečiasi, didėja jo vaidmuo socialiniame ir ekonominiame valstybės gyvenime.</w:t>
      </w:r>
    </w:p>
    <w:p w:rsidR="00EA0C5F" w:rsidRPr="00A40AB4" w:rsidRDefault="00EA0C5F" w:rsidP="0017625A">
      <w:pPr>
        <w:ind w:firstLine="567"/>
        <w:jc w:val="both"/>
        <w:rPr>
          <w:rFonts w:cs="Times New Roman"/>
          <w:szCs w:val="24"/>
        </w:rPr>
      </w:pPr>
      <w:r w:rsidRPr="00A40AB4">
        <w:rPr>
          <w:rFonts w:cs="Times New Roman"/>
          <w:szCs w:val="24"/>
        </w:rPr>
        <w:t xml:space="preserve">Norint ištirti Lietuvos </w:t>
      </w:r>
      <w:r w:rsidR="000F5C37" w:rsidRPr="00A40AB4">
        <w:rPr>
          <w:rFonts w:cs="Times New Roman"/>
          <w:szCs w:val="24"/>
        </w:rPr>
        <w:t>ne gyvybės draudimo rinką bei jos</w:t>
      </w:r>
      <w:r w:rsidRPr="00A40AB4">
        <w:rPr>
          <w:rFonts w:cs="Times New Roman"/>
          <w:szCs w:val="24"/>
        </w:rPr>
        <w:t xml:space="preserve"> situaciją pirmiausia būtina apibrėžti, kas yra </w:t>
      </w:r>
      <w:r w:rsidR="007845A0" w:rsidRPr="00A40AB4">
        <w:rPr>
          <w:rFonts w:cs="Times New Roman"/>
          <w:szCs w:val="24"/>
        </w:rPr>
        <w:t>draudimas bei draudimo rinka</w:t>
      </w:r>
      <w:r w:rsidR="00CE585C">
        <w:rPr>
          <w:rFonts w:cs="Times New Roman"/>
          <w:szCs w:val="24"/>
        </w:rPr>
        <w:t>, suvokti draudimo koncepciją</w:t>
      </w:r>
      <w:r w:rsidR="007845A0" w:rsidRPr="00A40AB4">
        <w:rPr>
          <w:rFonts w:cs="Times New Roman"/>
          <w:szCs w:val="24"/>
        </w:rPr>
        <w:t>. Tam taip pat reikia nustatyti draudimo požymius, funkcijas bei vietą visoje finansų sistemoje.</w:t>
      </w:r>
    </w:p>
    <w:p w:rsidR="00134888" w:rsidRPr="00A40AB4" w:rsidRDefault="00134888" w:rsidP="0017625A">
      <w:pPr>
        <w:ind w:firstLine="567"/>
        <w:jc w:val="both"/>
        <w:rPr>
          <w:rFonts w:cs="Times New Roman"/>
          <w:szCs w:val="24"/>
        </w:rPr>
      </w:pPr>
    </w:p>
    <w:p w:rsidR="003F5FD0" w:rsidRPr="00A40AB4" w:rsidRDefault="0017625A" w:rsidP="0017625A">
      <w:pPr>
        <w:ind w:firstLine="567"/>
        <w:jc w:val="both"/>
        <w:rPr>
          <w:rFonts w:cs="Times New Roman"/>
          <w:b/>
          <w:szCs w:val="24"/>
        </w:rPr>
      </w:pPr>
      <w:r w:rsidRPr="00A40AB4">
        <w:rPr>
          <w:rFonts w:cs="Times New Roman"/>
          <w:b/>
          <w:szCs w:val="24"/>
        </w:rPr>
        <w:t xml:space="preserve">Draudimo </w:t>
      </w:r>
      <w:r w:rsidR="0096684A">
        <w:rPr>
          <w:rFonts w:cs="Times New Roman"/>
          <w:b/>
          <w:szCs w:val="24"/>
        </w:rPr>
        <w:t>ir</w:t>
      </w:r>
      <w:r w:rsidR="000B30B5" w:rsidRPr="00A40AB4">
        <w:rPr>
          <w:rFonts w:cs="Times New Roman"/>
          <w:b/>
          <w:szCs w:val="24"/>
        </w:rPr>
        <w:t xml:space="preserve"> </w:t>
      </w:r>
      <w:r w:rsidR="0096684A">
        <w:rPr>
          <w:rFonts w:cs="Times New Roman"/>
          <w:b/>
          <w:szCs w:val="24"/>
        </w:rPr>
        <w:t xml:space="preserve">draudimo </w:t>
      </w:r>
      <w:r w:rsidR="000B30B5" w:rsidRPr="00A40AB4">
        <w:rPr>
          <w:rFonts w:cs="Times New Roman"/>
          <w:b/>
          <w:szCs w:val="24"/>
        </w:rPr>
        <w:t xml:space="preserve">veiklos </w:t>
      </w:r>
      <w:r w:rsidR="0096684A">
        <w:rPr>
          <w:rFonts w:cs="Times New Roman"/>
          <w:b/>
          <w:szCs w:val="24"/>
        </w:rPr>
        <w:t>koncepcija</w:t>
      </w:r>
    </w:p>
    <w:p w:rsidR="00260BBF" w:rsidRPr="00A40AB4" w:rsidRDefault="00B56ACF" w:rsidP="00260BBF">
      <w:pPr>
        <w:ind w:firstLine="567"/>
        <w:jc w:val="both"/>
        <w:rPr>
          <w:rFonts w:cs="Times New Roman"/>
          <w:szCs w:val="24"/>
        </w:rPr>
      </w:pPr>
      <w:r>
        <w:rPr>
          <w:rFonts w:cs="Times New Roman"/>
          <w:szCs w:val="24"/>
        </w:rPr>
        <w:t>Anot Čibinskienės (</w:t>
      </w:r>
      <w:r>
        <w:rPr>
          <w:rFonts w:cs="Times New Roman"/>
          <w:szCs w:val="24"/>
          <w:lang w:val="en-US"/>
        </w:rPr>
        <w:t xml:space="preserve">2005) </w:t>
      </w:r>
      <w:r>
        <w:rPr>
          <w:rFonts w:cs="Times New Roman"/>
          <w:szCs w:val="24"/>
        </w:rPr>
        <w:t>ir kt., d</w:t>
      </w:r>
      <w:r w:rsidR="00980BCC" w:rsidRPr="00A40AB4">
        <w:rPr>
          <w:rFonts w:cs="Times New Roman"/>
          <w:szCs w:val="24"/>
        </w:rPr>
        <w:t xml:space="preserve">raudimo apibrėžimus įvairiais </w:t>
      </w:r>
      <w:r w:rsidR="009F49B5" w:rsidRPr="00A40AB4">
        <w:rPr>
          <w:rFonts w:cs="Times New Roman"/>
          <w:szCs w:val="24"/>
        </w:rPr>
        <w:t>aspektais</w:t>
      </w:r>
      <w:r w:rsidR="00980BCC" w:rsidRPr="00A40AB4">
        <w:rPr>
          <w:rFonts w:cs="Times New Roman"/>
          <w:szCs w:val="24"/>
        </w:rPr>
        <w:t xml:space="preserve"> yra pateikę daugybė autorių –</w:t>
      </w:r>
      <w:r w:rsidR="00025B24" w:rsidRPr="00A40AB4">
        <w:rPr>
          <w:rFonts w:cs="Times New Roman"/>
          <w:szCs w:val="24"/>
        </w:rPr>
        <w:t xml:space="preserve"> </w:t>
      </w:r>
      <w:r w:rsidR="00AB7CDE" w:rsidRPr="00C030FB">
        <w:rPr>
          <w:rFonts w:cs="Times New Roman"/>
          <w:szCs w:val="24"/>
          <w:lang w:val="en-US"/>
        </w:rPr>
        <w:t xml:space="preserve">Koch, </w:t>
      </w:r>
      <w:r w:rsidR="00980BCC" w:rsidRPr="00C030FB">
        <w:rPr>
          <w:rFonts w:cs="Times New Roman"/>
          <w:szCs w:val="24"/>
          <w:lang w:val="sq-AL"/>
        </w:rPr>
        <w:t>Vagner</w:t>
      </w:r>
      <w:r w:rsidR="00980BCC" w:rsidRPr="00C030FB">
        <w:rPr>
          <w:rFonts w:cs="Times New Roman"/>
          <w:szCs w:val="24"/>
          <w:lang w:val="en-US"/>
        </w:rPr>
        <w:t>,</w:t>
      </w:r>
      <w:r w:rsidR="002D2313" w:rsidRPr="00C030FB">
        <w:rPr>
          <w:rFonts w:cs="Times New Roman"/>
          <w:szCs w:val="24"/>
          <w:lang w:val="en-US"/>
        </w:rPr>
        <w:t xml:space="preserve"> </w:t>
      </w:r>
      <w:r w:rsidR="00980BCC" w:rsidRPr="00C030FB">
        <w:rPr>
          <w:rFonts w:cs="Times New Roman"/>
          <w:szCs w:val="24"/>
          <w:lang w:val="en-US"/>
        </w:rPr>
        <w:t>Bland</w:t>
      </w:r>
      <w:r w:rsidR="00980BCC" w:rsidRPr="00A40AB4">
        <w:rPr>
          <w:rFonts w:cs="Times New Roman"/>
          <w:szCs w:val="24"/>
        </w:rPr>
        <w:t xml:space="preserve">, </w:t>
      </w:r>
      <w:r w:rsidR="00AB7CDE" w:rsidRPr="00C030FB">
        <w:rPr>
          <w:rFonts w:cs="Times New Roman"/>
          <w:szCs w:val="24"/>
          <w:lang w:val="sq-AL"/>
        </w:rPr>
        <w:t>Kolomin</w:t>
      </w:r>
      <w:r w:rsidR="00AB7CDE" w:rsidRPr="00A40AB4">
        <w:rPr>
          <w:rFonts w:cs="Times New Roman"/>
          <w:szCs w:val="24"/>
        </w:rPr>
        <w:t xml:space="preserve">, </w:t>
      </w:r>
      <w:r w:rsidR="00980BCC" w:rsidRPr="00C030FB">
        <w:rPr>
          <w:rFonts w:cs="Times New Roman"/>
          <w:szCs w:val="24"/>
          <w:lang w:val="sq-AL"/>
        </w:rPr>
        <w:t>Bagdonavočius</w:t>
      </w:r>
      <w:r w:rsidR="00F4367F">
        <w:rPr>
          <w:rFonts w:cs="Times New Roman"/>
          <w:szCs w:val="24"/>
        </w:rPr>
        <w:t xml:space="preserve"> (2000)</w:t>
      </w:r>
      <w:r w:rsidR="00980BCC" w:rsidRPr="00A40AB4">
        <w:rPr>
          <w:rFonts w:cs="Times New Roman"/>
          <w:szCs w:val="24"/>
        </w:rPr>
        <w:t xml:space="preserve">, </w:t>
      </w:r>
      <w:r w:rsidR="00980BCC" w:rsidRPr="00C030FB">
        <w:rPr>
          <w:rFonts w:cs="Times New Roman"/>
          <w:szCs w:val="24"/>
          <w:lang w:val="sq-AL"/>
        </w:rPr>
        <w:t>Plikynas</w:t>
      </w:r>
      <w:r w:rsidR="00980BCC" w:rsidRPr="00A40AB4">
        <w:rPr>
          <w:rFonts w:cs="Times New Roman"/>
          <w:szCs w:val="24"/>
        </w:rPr>
        <w:t xml:space="preserve"> ir kiti</w:t>
      </w:r>
      <w:r>
        <w:rPr>
          <w:rFonts w:cs="Times New Roman"/>
          <w:szCs w:val="24"/>
        </w:rPr>
        <w:t>.</w:t>
      </w:r>
      <w:r w:rsidR="00AB7CDE">
        <w:rPr>
          <w:rFonts w:cs="Times New Roman"/>
          <w:szCs w:val="24"/>
        </w:rPr>
        <w:t xml:space="preserve"> </w:t>
      </w:r>
      <w:r w:rsidR="00470992" w:rsidRPr="00A40AB4">
        <w:rPr>
          <w:rFonts w:cs="Times New Roman"/>
          <w:szCs w:val="24"/>
        </w:rPr>
        <w:t xml:space="preserve">Dėl nuomonių skirtingumo </w:t>
      </w:r>
      <w:r w:rsidR="00260BBF" w:rsidRPr="00C030FB">
        <w:rPr>
          <w:rFonts w:cs="Times New Roman"/>
          <w:szCs w:val="24"/>
          <w:lang w:val="sq-AL"/>
        </w:rPr>
        <w:t>Čibinskienė</w:t>
      </w:r>
      <w:r w:rsidR="00260BBF" w:rsidRPr="00A40AB4">
        <w:rPr>
          <w:rFonts w:cs="Times New Roman"/>
          <w:szCs w:val="24"/>
        </w:rPr>
        <w:t xml:space="preserve"> </w:t>
      </w:r>
      <w:r w:rsidR="00662C22" w:rsidRPr="00A40AB4">
        <w:rPr>
          <w:rFonts w:cs="Times New Roman"/>
          <w:szCs w:val="24"/>
        </w:rPr>
        <w:t>(2005)</w:t>
      </w:r>
      <w:r w:rsidR="00662C22">
        <w:rPr>
          <w:rFonts w:cs="Times New Roman"/>
          <w:szCs w:val="24"/>
        </w:rPr>
        <w:t xml:space="preserve"> </w:t>
      </w:r>
      <w:r w:rsidR="00260BBF" w:rsidRPr="00A40AB4">
        <w:rPr>
          <w:rFonts w:cs="Times New Roman"/>
          <w:szCs w:val="24"/>
        </w:rPr>
        <w:t>ir kt.</w:t>
      </w:r>
      <w:r w:rsidR="00470992" w:rsidRPr="00A40AB4">
        <w:rPr>
          <w:rFonts w:cs="Times New Roman"/>
          <w:szCs w:val="24"/>
        </w:rPr>
        <w:t xml:space="preserve"> atsižvelgdami į dvireikšmį finansų</w:t>
      </w:r>
      <w:r w:rsidR="00D75D95" w:rsidRPr="00A40AB4">
        <w:rPr>
          <w:rFonts w:cs="Times New Roman"/>
          <w:szCs w:val="24"/>
        </w:rPr>
        <w:t xml:space="preserve"> </w:t>
      </w:r>
      <w:r w:rsidR="00470992" w:rsidRPr="00A40AB4">
        <w:rPr>
          <w:rFonts w:cs="Times New Roman"/>
          <w:szCs w:val="24"/>
        </w:rPr>
        <w:t xml:space="preserve">suvokimą mano, jog  į draudimą reikėtų žvelgti sistemiškai, taigi autoriai </w:t>
      </w:r>
      <w:r w:rsidR="00260BBF" w:rsidRPr="00A40AB4">
        <w:rPr>
          <w:rFonts w:cs="Times New Roman"/>
          <w:szCs w:val="24"/>
        </w:rPr>
        <w:t>draudimą apib</w:t>
      </w:r>
      <w:r w:rsidR="009D4FB7" w:rsidRPr="00A40AB4">
        <w:rPr>
          <w:rFonts w:cs="Times New Roman"/>
          <w:szCs w:val="24"/>
        </w:rPr>
        <w:t>rėžia dvejopai: siaurąja prasme</w:t>
      </w:r>
      <w:r w:rsidR="00260BBF" w:rsidRPr="00A40AB4">
        <w:rPr>
          <w:rFonts w:cs="Times New Roman"/>
          <w:szCs w:val="24"/>
        </w:rPr>
        <w:t xml:space="preserve"> kaip tam tikrą draudimo r</w:t>
      </w:r>
      <w:r w:rsidR="009D4FB7" w:rsidRPr="00A40AB4">
        <w:rPr>
          <w:rFonts w:cs="Times New Roman"/>
          <w:szCs w:val="24"/>
        </w:rPr>
        <w:t>ūšių visumą bei plačiąja prasme</w:t>
      </w:r>
      <w:r w:rsidR="00260BBF" w:rsidRPr="00A40AB4">
        <w:rPr>
          <w:rFonts w:cs="Times New Roman"/>
          <w:szCs w:val="24"/>
        </w:rPr>
        <w:t xml:space="preserve"> kaip tikslinio draudimo fondo sudarymo, paskirstymo ir panaudojimo sistemą:</w:t>
      </w:r>
    </w:p>
    <w:p w:rsidR="00260BBF" w:rsidRPr="00A40AB4" w:rsidRDefault="00F900D5" w:rsidP="00A149F5">
      <w:pPr>
        <w:pStyle w:val="ListParagraph"/>
        <w:numPr>
          <w:ilvl w:val="0"/>
          <w:numId w:val="8"/>
        </w:numPr>
        <w:ind w:left="993"/>
        <w:jc w:val="both"/>
        <w:rPr>
          <w:rFonts w:cs="Times New Roman"/>
          <w:szCs w:val="24"/>
        </w:rPr>
      </w:pPr>
      <w:r w:rsidRPr="00A40AB4">
        <w:rPr>
          <w:rFonts w:cs="Times New Roman"/>
          <w:szCs w:val="24"/>
          <w:u w:val="single"/>
        </w:rPr>
        <w:t>Siaurąja prasme</w:t>
      </w:r>
      <w:r w:rsidRPr="00A40AB4">
        <w:rPr>
          <w:rFonts w:cs="Times New Roman"/>
          <w:szCs w:val="24"/>
        </w:rPr>
        <w:t xml:space="preserve"> draudimas </w:t>
      </w:r>
      <w:r w:rsidR="00A55938" w:rsidRPr="00A40AB4">
        <w:rPr>
          <w:rFonts w:cs="Times New Roman"/>
          <w:szCs w:val="24"/>
        </w:rPr>
        <w:t>yra</w:t>
      </w:r>
      <w:r w:rsidR="00546C20" w:rsidRPr="00A40AB4">
        <w:rPr>
          <w:rFonts w:cs="Times New Roman"/>
          <w:szCs w:val="24"/>
        </w:rPr>
        <w:t xml:space="preserve"> </w:t>
      </w:r>
      <w:r w:rsidR="00260BBF" w:rsidRPr="00A40AB4">
        <w:rPr>
          <w:rFonts w:cs="Times New Roman"/>
          <w:szCs w:val="24"/>
        </w:rPr>
        <w:t>ekonominiai finansiniai santykiai,</w:t>
      </w:r>
      <w:r w:rsidR="00546C20" w:rsidRPr="00A40AB4">
        <w:rPr>
          <w:rFonts w:cs="Times New Roman"/>
          <w:szCs w:val="24"/>
        </w:rPr>
        <w:t xml:space="preserve"> reguliuojami</w:t>
      </w:r>
      <w:r w:rsidR="00260BBF" w:rsidRPr="00A40AB4">
        <w:rPr>
          <w:rFonts w:cs="Times New Roman"/>
          <w:szCs w:val="24"/>
        </w:rPr>
        <w:t xml:space="preserve"> </w:t>
      </w:r>
      <w:r w:rsidR="00546C20" w:rsidRPr="00A40AB4">
        <w:rPr>
          <w:rFonts w:cs="Times New Roman"/>
          <w:szCs w:val="24"/>
        </w:rPr>
        <w:t xml:space="preserve">draudimo įstatymu, kurie yra toje srityje </w:t>
      </w:r>
      <w:r w:rsidR="00260BBF" w:rsidRPr="00A40AB4">
        <w:rPr>
          <w:rFonts w:cs="Times New Roman"/>
          <w:szCs w:val="24"/>
        </w:rPr>
        <w:t>specializuotų organizacijų (</w:t>
      </w:r>
      <w:r w:rsidR="00546C20" w:rsidRPr="00A40AB4">
        <w:rPr>
          <w:rFonts w:cs="Times New Roman"/>
          <w:szCs w:val="24"/>
        </w:rPr>
        <w:t xml:space="preserve">t.y. </w:t>
      </w:r>
      <w:r w:rsidR="00260BBF" w:rsidRPr="00A40AB4">
        <w:rPr>
          <w:rFonts w:cs="Times New Roman"/>
          <w:szCs w:val="24"/>
        </w:rPr>
        <w:t>draudimo įmonių) apmokamos</w:t>
      </w:r>
      <w:r w:rsidR="00546C20" w:rsidRPr="00A40AB4">
        <w:rPr>
          <w:rFonts w:cs="Times New Roman"/>
          <w:szCs w:val="24"/>
        </w:rPr>
        <w:t xml:space="preserve"> ir pelningos</w:t>
      </w:r>
      <w:r w:rsidR="00260BBF" w:rsidRPr="00A40AB4">
        <w:rPr>
          <w:rFonts w:cs="Times New Roman"/>
          <w:szCs w:val="24"/>
        </w:rPr>
        <w:t xml:space="preserve"> veiklos objektai</w:t>
      </w:r>
      <w:r w:rsidR="00546C20" w:rsidRPr="00A40AB4">
        <w:rPr>
          <w:rFonts w:cs="Times New Roman"/>
          <w:szCs w:val="24"/>
        </w:rPr>
        <w:t>.</w:t>
      </w:r>
    </w:p>
    <w:p w:rsidR="00260BBF" w:rsidRPr="00A40AB4" w:rsidRDefault="00260BBF" w:rsidP="00A149F5">
      <w:pPr>
        <w:pStyle w:val="ListParagraph"/>
        <w:numPr>
          <w:ilvl w:val="0"/>
          <w:numId w:val="8"/>
        </w:numPr>
        <w:ind w:left="993"/>
        <w:jc w:val="both"/>
        <w:rPr>
          <w:rFonts w:cs="Times New Roman"/>
          <w:szCs w:val="24"/>
        </w:rPr>
      </w:pPr>
      <w:r w:rsidRPr="00A40AB4">
        <w:rPr>
          <w:rFonts w:cs="Times New Roman"/>
          <w:szCs w:val="24"/>
          <w:u w:val="single"/>
        </w:rPr>
        <w:t>Plačiąja prasme</w:t>
      </w:r>
      <w:r w:rsidRPr="00A40AB4">
        <w:rPr>
          <w:rFonts w:cs="Times New Roman"/>
          <w:szCs w:val="24"/>
        </w:rPr>
        <w:t xml:space="preserve"> draudimas </w:t>
      </w:r>
      <w:r w:rsidR="00A55938" w:rsidRPr="00A40AB4">
        <w:rPr>
          <w:rFonts w:cs="Times New Roman"/>
          <w:szCs w:val="24"/>
        </w:rPr>
        <w:t xml:space="preserve">– </w:t>
      </w:r>
      <w:r w:rsidRPr="00A40AB4">
        <w:rPr>
          <w:rFonts w:cs="Times New Roman"/>
          <w:szCs w:val="24"/>
        </w:rPr>
        <w:t>„</w:t>
      </w:r>
      <w:r w:rsidRPr="00A40AB4">
        <w:rPr>
          <w:rFonts w:cs="Times New Roman"/>
          <w:i/>
          <w:szCs w:val="24"/>
        </w:rPr>
        <w:t xml:space="preserve">tokia ekonominių, finansinių ir socialinių santykių visuma, kurią reguliuoja ypatinga šalies teisinė bazė ir kuri formuoja specialų tikslingą fondą iš namų ūkio, gamybinio, kreditinio, valstybinio sektorių bei tarptautinių organizacijų </w:t>
      </w:r>
      <w:r w:rsidRPr="00A40AB4">
        <w:rPr>
          <w:rFonts w:cs="Times New Roman"/>
          <w:i/>
          <w:szCs w:val="24"/>
        </w:rPr>
        <w:lastRenderedPageBreak/>
        <w:t>piniginių lėšų, kurios vėliau perskirstomos ir panaudojamos to fondo dalyvių patirtų nuostolių dėl nepalankių bet aptartų sąlygų atlyginimui (kompensavimui)</w:t>
      </w:r>
      <w:r w:rsidRPr="00A40AB4">
        <w:rPr>
          <w:rFonts w:cs="Times New Roman"/>
          <w:szCs w:val="24"/>
        </w:rPr>
        <w:t>“</w:t>
      </w:r>
      <w:r w:rsidR="008245EE" w:rsidRPr="00A40AB4">
        <w:rPr>
          <w:rFonts w:cs="Times New Roman"/>
          <w:szCs w:val="24"/>
        </w:rPr>
        <w:t xml:space="preserve"> (p. 35</w:t>
      </w:r>
      <w:r w:rsidR="00D75D95" w:rsidRPr="00A40AB4">
        <w:rPr>
          <w:rFonts w:cs="Times New Roman"/>
          <w:szCs w:val="24"/>
        </w:rPr>
        <w:t>)“</w:t>
      </w:r>
      <w:r w:rsidRPr="00A40AB4">
        <w:rPr>
          <w:rFonts w:cs="Times New Roman"/>
          <w:szCs w:val="24"/>
        </w:rPr>
        <w:t>.</w:t>
      </w:r>
    </w:p>
    <w:p w:rsidR="00BF679A" w:rsidRPr="00C70EC1" w:rsidRDefault="00956453" w:rsidP="00BF679A">
      <w:pPr>
        <w:ind w:firstLine="567"/>
        <w:jc w:val="both"/>
        <w:rPr>
          <w:rFonts w:cs="Times New Roman"/>
          <w:szCs w:val="24"/>
        </w:rPr>
      </w:pPr>
      <w:r w:rsidRPr="00C70EC1">
        <w:rPr>
          <w:rFonts w:cs="Times New Roman"/>
          <w:szCs w:val="24"/>
        </w:rPr>
        <w:t xml:space="preserve">Lezgovko (2010) pateikia </w:t>
      </w:r>
      <w:r w:rsidR="003279BB" w:rsidRPr="00C70EC1">
        <w:rPr>
          <w:rFonts w:cs="Times New Roman"/>
          <w:szCs w:val="24"/>
        </w:rPr>
        <w:t xml:space="preserve">tokį </w:t>
      </w:r>
      <w:r w:rsidRPr="00C70EC1">
        <w:rPr>
          <w:rFonts w:cs="Times New Roman"/>
          <w:szCs w:val="24"/>
        </w:rPr>
        <w:t>draudimo sąvokos apibrėžimą: draudimas – tai rizikos valdymo priemonė už atitinkamą draudimo įmoką perduodant tam tikrą riziką draudimo bendrovei</w:t>
      </w:r>
      <w:r w:rsidR="00F47FAB" w:rsidRPr="00C70EC1">
        <w:rPr>
          <w:rFonts w:cs="Times New Roman"/>
          <w:szCs w:val="24"/>
        </w:rPr>
        <w:t>, veikiančiai pagal specialius teisės aktus ir besinaudojančiai specifine draudimo technika,</w:t>
      </w:r>
      <w:r w:rsidRPr="00C70EC1">
        <w:rPr>
          <w:rFonts w:cs="Times New Roman"/>
          <w:szCs w:val="24"/>
        </w:rPr>
        <w:t xml:space="preserve"> siekiant sumažinti nuostolius dėl galimos tos rizikos realizacijos ir iš to sekančių pasekmių</w:t>
      </w:r>
      <w:r w:rsidR="00F47FAB" w:rsidRPr="00C70EC1">
        <w:rPr>
          <w:rFonts w:cs="Times New Roman"/>
          <w:szCs w:val="24"/>
        </w:rPr>
        <w:t>. Autorė pažymi, kad draudimas visiškai neapsaugo, tačiau gali sumažinti patiriamą nuostolį, kai šis būna netikėtas ir nelauktas.</w:t>
      </w:r>
    </w:p>
    <w:p w:rsidR="007935D5" w:rsidRPr="004A1A84" w:rsidRDefault="00A862E1" w:rsidP="00BF679A">
      <w:pPr>
        <w:ind w:firstLine="567"/>
        <w:jc w:val="both"/>
        <w:rPr>
          <w:rFonts w:cs="Times New Roman"/>
          <w:szCs w:val="24"/>
        </w:rPr>
      </w:pPr>
      <w:r w:rsidRPr="004A1A84">
        <w:rPr>
          <w:rFonts w:cs="Times New Roman"/>
          <w:szCs w:val="24"/>
        </w:rPr>
        <w:t>Aleknevičienė (2005) teigia, jog per draudimą pasireiškia specifiniai perskirstomieji santykiai, kurių dėka suformuojami bei naudojami tiksliniai pinigų fondai, kurių tikslas – apsaugoti fizinių ir juridinių asmenų turtinius interesus bei atlyginti materialią žalą draudžiamojo įvykio atveju.</w:t>
      </w:r>
    </w:p>
    <w:p w:rsidR="00C70EC1" w:rsidRDefault="00C70EC1" w:rsidP="00BF679A">
      <w:pPr>
        <w:ind w:firstLine="567"/>
        <w:jc w:val="both"/>
        <w:rPr>
          <w:rFonts w:cs="Times New Roman"/>
          <w:szCs w:val="24"/>
        </w:rPr>
      </w:pPr>
      <w:r w:rsidRPr="0009284B">
        <w:rPr>
          <w:rFonts w:cs="Times New Roman"/>
          <w:szCs w:val="24"/>
          <w:lang w:val="en-US"/>
        </w:rPr>
        <w:t>Vaughan</w:t>
      </w:r>
      <w:r w:rsidRPr="00C70EC1">
        <w:rPr>
          <w:rFonts w:cs="Times New Roman"/>
          <w:szCs w:val="24"/>
        </w:rPr>
        <w:t xml:space="preserve"> (2008) draudimą apibrėžia </w:t>
      </w:r>
      <w:r>
        <w:rPr>
          <w:rFonts w:cs="Times New Roman"/>
          <w:szCs w:val="24"/>
        </w:rPr>
        <w:t xml:space="preserve">dviem aspektais – individo bei visuomenės: </w:t>
      </w:r>
    </w:p>
    <w:p w:rsidR="00C70EC1" w:rsidRDefault="00C70EC1" w:rsidP="00967263">
      <w:pPr>
        <w:pStyle w:val="ListParagraph"/>
        <w:numPr>
          <w:ilvl w:val="0"/>
          <w:numId w:val="42"/>
        </w:numPr>
        <w:ind w:left="993"/>
        <w:jc w:val="both"/>
        <w:rPr>
          <w:rFonts w:cs="Times New Roman"/>
          <w:szCs w:val="24"/>
        </w:rPr>
      </w:pPr>
      <w:r w:rsidRPr="00C70EC1">
        <w:rPr>
          <w:rFonts w:cs="Times New Roman"/>
          <w:szCs w:val="24"/>
        </w:rPr>
        <w:t>Individ</w:t>
      </w:r>
      <w:r w:rsidR="0069093F">
        <w:rPr>
          <w:rFonts w:cs="Times New Roman"/>
          <w:szCs w:val="24"/>
        </w:rPr>
        <w:t>o</w:t>
      </w:r>
      <w:r w:rsidRPr="00C70EC1">
        <w:rPr>
          <w:rFonts w:cs="Times New Roman"/>
          <w:szCs w:val="24"/>
        </w:rPr>
        <w:t xml:space="preserve"> požiūriu draudimas – tai ekonominė priemonė, kuria asmuo iškeičia apibrėžtą ir mažą kainą (įmoką) mainais už didelį neapibrėžtą finansinį praradimą dėl nenumatyto atvejo.</w:t>
      </w:r>
    </w:p>
    <w:p w:rsidR="00C70EC1" w:rsidRPr="00C70EC1" w:rsidRDefault="00C70EC1" w:rsidP="00967263">
      <w:pPr>
        <w:pStyle w:val="ListParagraph"/>
        <w:numPr>
          <w:ilvl w:val="0"/>
          <w:numId w:val="42"/>
        </w:numPr>
        <w:ind w:left="993"/>
        <w:jc w:val="both"/>
        <w:rPr>
          <w:rFonts w:cs="Times New Roman"/>
          <w:szCs w:val="24"/>
        </w:rPr>
      </w:pPr>
      <w:r>
        <w:rPr>
          <w:rFonts w:cs="Times New Roman"/>
          <w:szCs w:val="24"/>
        </w:rPr>
        <w:t>Visuomenės požiūriu draudimas – ekonominė priemonė sumažinanti ar eliminuojanti riziką per tos pačios rizikos veikiamų objektų</w:t>
      </w:r>
      <w:r w:rsidR="009A6B01">
        <w:rPr>
          <w:rFonts w:cs="Times New Roman"/>
          <w:szCs w:val="24"/>
        </w:rPr>
        <w:t xml:space="preserve"> grupės apjungimo procesą, siekiant numatyti ir apskaičiuoti </w:t>
      </w:r>
      <w:r w:rsidR="00BE4A5C">
        <w:rPr>
          <w:rFonts w:cs="Times New Roman"/>
          <w:szCs w:val="24"/>
        </w:rPr>
        <w:t xml:space="preserve">galimus tos grupės </w:t>
      </w:r>
      <w:r w:rsidR="009A6B01">
        <w:rPr>
          <w:rFonts w:cs="Times New Roman"/>
          <w:szCs w:val="24"/>
        </w:rPr>
        <w:t>nuostolius.</w:t>
      </w:r>
    </w:p>
    <w:p w:rsidR="00EC07EC" w:rsidRPr="00A40AB4" w:rsidRDefault="007935D5" w:rsidP="00BF679A">
      <w:pPr>
        <w:ind w:firstLine="567"/>
        <w:jc w:val="both"/>
        <w:rPr>
          <w:rFonts w:cs="Times New Roman"/>
          <w:szCs w:val="24"/>
        </w:rPr>
      </w:pPr>
      <w:r w:rsidRPr="00A40AB4">
        <w:rPr>
          <w:rFonts w:cs="Times New Roman"/>
          <w:szCs w:val="24"/>
        </w:rPr>
        <w:t>Tikslinga apibrėžti pačią draudimo veiklą</w:t>
      </w:r>
      <w:r w:rsidR="007D178F" w:rsidRPr="00A40AB4">
        <w:rPr>
          <w:rFonts w:cs="Times New Roman"/>
          <w:szCs w:val="24"/>
        </w:rPr>
        <w:t xml:space="preserve"> bei ją apibūdinančius požymius</w:t>
      </w:r>
      <w:r w:rsidRPr="00A40AB4">
        <w:rPr>
          <w:rFonts w:cs="Times New Roman"/>
          <w:szCs w:val="24"/>
        </w:rPr>
        <w:t xml:space="preserve">. </w:t>
      </w:r>
      <w:r w:rsidR="00EC07EC" w:rsidRPr="00A40AB4">
        <w:rPr>
          <w:rFonts w:cs="Times New Roman"/>
          <w:szCs w:val="24"/>
        </w:rPr>
        <w:t xml:space="preserve">Pagal Lietuvos draudimo įstatymą draudimo veikla – </w:t>
      </w:r>
      <w:r w:rsidR="007D5369" w:rsidRPr="00A40AB4">
        <w:rPr>
          <w:rFonts w:cs="Times New Roman"/>
        </w:rPr>
        <w:t>tai ūkinė komercinė veikla, kuomet draudikas prisiima kito asmens nuostolių riziką dėl draudžiamųjų įvykių, tuos nuostolius padengiant techniniais atidėjiniais ir kitu draudiko turtu už tam tikrą sumokėtą draudimo įmoką.</w:t>
      </w:r>
    </w:p>
    <w:p w:rsidR="00CE6965" w:rsidRDefault="007D5369" w:rsidP="00BF679A">
      <w:pPr>
        <w:ind w:firstLine="567"/>
        <w:jc w:val="both"/>
        <w:rPr>
          <w:rFonts w:cs="Times New Roman"/>
          <w:szCs w:val="24"/>
        </w:rPr>
      </w:pPr>
      <w:r w:rsidRPr="00A40AB4">
        <w:rPr>
          <w:rFonts w:cs="Times New Roman"/>
          <w:szCs w:val="24"/>
        </w:rPr>
        <w:t xml:space="preserve">Linartas (2012) </w:t>
      </w:r>
      <w:r w:rsidR="00C81139" w:rsidRPr="00A40AB4">
        <w:rPr>
          <w:rFonts w:cs="Times New Roman"/>
          <w:szCs w:val="24"/>
        </w:rPr>
        <w:t>draudimo kaip veiklos</w:t>
      </w:r>
      <w:r w:rsidRPr="00A40AB4">
        <w:rPr>
          <w:rFonts w:cs="Times New Roman"/>
          <w:szCs w:val="24"/>
        </w:rPr>
        <w:t xml:space="preserve"> terminą apibūdina kiek paprasčiau. Anot autoriaus, d</w:t>
      </w:r>
      <w:r w:rsidR="00CE6965" w:rsidRPr="00A40AB4">
        <w:rPr>
          <w:rFonts w:cs="Times New Roman"/>
          <w:szCs w:val="24"/>
        </w:rPr>
        <w:t xml:space="preserve">raudimo veikla – tai </w:t>
      </w:r>
      <w:r w:rsidR="00393981" w:rsidRPr="00A40AB4">
        <w:rPr>
          <w:rFonts w:cs="Times New Roman"/>
          <w:szCs w:val="24"/>
        </w:rPr>
        <w:t xml:space="preserve">tokia </w:t>
      </w:r>
      <w:r w:rsidR="00CE6965" w:rsidRPr="00A40AB4">
        <w:rPr>
          <w:rFonts w:cs="Times New Roman"/>
          <w:szCs w:val="24"/>
        </w:rPr>
        <w:t>veikla, kuri yra susijusi su iš anksto nenumatyto atsitiktinio įvykio p</w:t>
      </w:r>
      <w:r w:rsidRPr="00A40AB4">
        <w:rPr>
          <w:rFonts w:cs="Times New Roman"/>
          <w:szCs w:val="24"/>
        </w:rPr>
        <w:t>adarytų nuostolių kompensavimu</w:t>
      </w:r>
      <w:r w:rsidR="00524A1E" w:rsidRPr="00A40AB4">
        <w:rPr>
          <w:rFonts w:cs="Times New Roman"/>
          <w:szCs w:val="24"/>
        </w:rPr>
        <w:t>.</w:t>
      </w:r>
    </w:p>
    <w:p w:rsidR="00A11970" w:rsidRPr="00A40AB4" w:rsidRDefault="00A11970" w:rsidP="00BF679A">
      <w:pPr>
        <w:ind w:firstLine="567"/>
        <w:jc w:val="both"/>
        <w:rPr>
          <w:rFonts w:cs="Times New Roman"/>
          <w:szCs w:val="24"/>
        </w:rPr>
      </w:pPr>
      <w:r>
        <w:rPr>
          <w:rFonts w:cs="Times New Roman"/>
          <w:szCs w:val="24"/>
        </w:rPr>
        <w:t>Taigi vieni mokslininkai apibrėždami draudimą akcentuoja draudimo, kaip</w:t>
      </w:r>
      <w:r w:rsidR="004F0449">
        <w:rPr>
          <w:rFonts w:cs="Times New Roman"/>
          <w:szCs w:val="24"/>
        </w:rPr>
        <w:t xml:space="preserve"> ūkinės</w:t>
      </w:r>
      <w:r>
        <w:rPr>
          <w:rFonts w:cs="Times New Roman"/>
          <w:szCs w:val="24"/>
        </w:rPr>
        <w:t xml:space="preserve"> veiklos,</w:t>
      </w:r>
      <w:r w:rsidR="004F0449">
        <w:rPr>
          <w:rFonts w:cs="Times New Roman"/>
          <w:szCs w:val="24"/>
        </w:rPr>
        <w:t xml:space="preserve"> verslo</w:t>
      </w:r>
      <w:r>
        <w:rPr>
          <w:rFonts w:cs="Times New Roman"/>
          <w:szCs w:val="24"/>
        </w:rPr>
        <w:t xml:space="preserve"> svarbą bei procesą. Kiti savo ruožtu pabrėžia draudimo naudą draudėjui per rizikos dėl netikėtų įvykių valdymą bei patirtų nuostolių kompensavimą</w:t>
      </w:r>
      <w:r w:rsidR="004F0449">
        <w:rPr>
          <w:rFonts w:cs="Times New Roman"/>
          <w:szCs w:val="24"/>
        </w:rPr>
        <w:t xml:space="preserve"> ar bent jau sumažinimą iki minimumo</w:t>
      </w:r>
      <w:r>
        <w:rPr>
          <w:rFonts w:cs="Times New Roman"/>
          <w:szCs w:val="24"/>
        </w:rPr>
        <w:t>.</w:t>
      </w:r>
    </w:p>
    <w:p w:rsidR="00134888" w:rsidRPr="00A40AB4" w:rsidRDefault="00134888" w:rsidP="00BF679A">
      <w:pPr>
        <w:ind w:firstLine="567"/>
        <w:jc w:val="both"/>
        <w:rPr>
          <w:rFonts w:cs="Times New Roman"/>
          <w:szCs w:val="24"/>
        </w:rPr>
      </w:pPr>
    </w:p>
    <w:p w:rsidR="00EE39E5" w:rsidRPr="00A40AB4" w:rsidRDefault="00EE39E5" w:rsidP="00BF679A">
      <w:pPr>
        <w:ind w:firstLine="567"/>
        <w:jc w:val="both"/>
        <w:rPr>
          <w:rFonts w:cs="Times New Roman"/>
          <w:b/>
          <w:szCs w:val="24"/>
        </w:rPr>
      </w:pPr>
      <w:r w:rsidRPr="00A40AB4">
        <w:rPr>
          <w:rFonts w:cs="Times New Roman"/>
          <w:b/>
          <w:szCs w:val="24"/>
        </w:rPr>
        <w:t>Draudimo veiklos pož</w:t>
      </w:r>
      <w:r w:rsidR="005613EE" w:rsidRPr="00A40AB4">
        <w:rPr>
          <w:rFonts w:cs="Times New Roman"/>
          <w:b/>
          <w:szCs w:val="24"/>
        </w:rPr>
        <w:t>ymiai</w:t>
      </w:r>
    </w:p>
    <w:p w:rsidR="00EE39E5" w:rsidRPr="000E0FC1" w:rsidRDefault="00EE39E5" w:rsidP="00BF679A">
      <w:pPr>
        <w:ind w:firstLine="567"/>
        <w:jc w:val="both"/>
        <w:rPr>
          <w:rFonts w:cs="Times New Roman"/>
          <w:szCs w:val="24"/>
        </w:rPr>
      </w:pPr>
      <w:r w:rsidRPr="00A40AB4">
        <w:rPr>
          <w:rFonts w:cs="Times New Roman"/>
          <w:szCs w:val="24"/>
        </w:rPr>
        <w:t xml:space="preserve">Buškevičiūtė ir Poželaitė (2001) pažymi, jog ūkio subjektų veiklą galima vadinti draudimine tik tuomet, jei ji atitinka tam tikrus draudimo požymius. </w:t>
      </w:r>
      <w:r w:rsidR="00A71A02">
        <w:rPr>
          <w:rFonts w:cs="Times New Roman"/>
          <w:szCs w:val="24"/>
        </w:rPr>
        <w:t>Pasak autorių, d</w:t>
      </w:r>
      <w:r w:rsidRPr="000E0FC1">
        <w:rPr>
          <w:rFonts w:cs="Times New Roman"/>
          <w:szCs w:val="24"/>
        </w:rPr>
        <w:t>raudiminę veiklą nuo draudimui artimos ar su draudimu nesusijusios veiklos galima atskirti pagal šešis požymius:</w:t>
      </w:r>
    </w:p>
    <w:p w:rsidR="00EE39E5" w:rsidRPr="000E0FC1" w:rsidRDefault="00EE39E5" w:rsidP="00A149F5">
      <w:pPr>
        <w:pStyle w:val="ListParagraph"/>
        <w:numPr>
          <w:ilvl w:val="0"/>
          <w:numId w:val="15"/>
        </w:numPr>
        <w:ind w:left="993"/>
        <w:jc w:val="both"/>
        <w:rPr>
          <w:rFonts w:cs="Times New Roman"/>
          <w:szCs w:val="24"/>
        </w:rPr>
      </w:pPr>
      <w:r w:rsidRPr="000E0FC1">
        <w:rPr>
          <w:rFonts w:cs="Times New Roman"/>
          <w:szCs w:val="24"/>
          <w:u w:val="single"/>
        </w:rPr>
        <w:t>Kolektyviškumas</w:t>
      </w:r>
      <w:r w:rsidR="000E0FC1" w:rsidRPr="000E0FC1">
        <w:rPr>
          <w:rFonts w:cs="Times New Roman"/>
          <w:szCs w:val="24"/>
        </w:rPr>
        <w:t xml:space="preserve"> –</w:t>
      </w:r>
      <w:r w:rsidRPr="000E0FC1">
        <w:rPr>
          <w:rFonts w:cs="Times New Roman"/>
          <w:szCs w:val="24"/>
        </w:rPr>
        <w:t xml:space="preserve"> </w:t>
      </w:r>
      <w:r w:rsidR="000E0FC1" w:rsidRPr="000E0FC1">
        <w:rPr>
          <w:rFonts w:cs="Times New Roman"/>
          <w:szCs w:val="24"/>
        </w:rPr>
        <w:t>t</w:t>
      </w:r>
      <w:r w:rsidR="003D359D" w:rsidRPr="000E0FC1">
        <w:rPr>
          <w:rFonts w:cs="Times New Roman"/>
          <w:szCs w:val="24"/>
        </w:rPr>
        <w:t>os</w:t>
      </w:r>
      <w:r w:rsidR="000E0FC1" w:rsidRPr="000E0FC1">
        <w:rPr>
          <w:rFonts w:cs="Times New Roman"/>
          <w:szCs w:val="24"/>
        </w:rPr>
        <w:t xml:space="preserve"> pačios rizikos veikiami ūkio subjektai</w:t>
      </w:r>
      <w:r w:rsidR="003D359D" w:rsidRPr="000E0FC1">
        <w:rPr>
          <w:rFonts w:cs="Times New Roman"/>
          <w:szCs w:val="24"/>
        </w:rPr>
        <w:t xml:space="preserve"> buriasi į draudimo grupę su tikslu kolektyviai patenkinti dėl tam tikrų įvykių atsiradusius poreikius.</w:t>
      </w:r>
    </w:p>
    <w:p w:rsidR="003D359D" w:rsidRPr="000E0FC1" w:rsidRDefault="003D359D" w:rsidP="00A149F5">
      <w:pPr>
        <w:pStyle w:val="ListParagraph"/>
        <w:numPr>
          <w:ilvl w:val="0"/>
          <w:numId w:val="15"/>
        </w:numPr>
        <w:ind w:left="993"/>
        <w:jc w:val="both"/>
        <w:rPr>
          <w:rFonts w:cs="Times New Roman"/>
          <w:szCs w:val="24"/>
        </w:rPr>
      </w:pPr>
      <w:r w:rsidRPr="000E0FC1">
        <w:rPr>
          <w:rFonts w:cs="Times New Roman"/>
          <w:szCs w:val="24"/>
          <w:u w:val="single"/>
        </w:rPr>
        <w:lastRenderedPageBreak/>
        <w:t>Ekonomiškumas</w:t>
      </w:r>
      <w:r w:rsidR="000E0FC1" w:rsidRPr="000E0FC1">
        <w:rPr>
          <w:rFonts w:cs="Times New Roman"/>
          <w:szCs w:val="24"/>
        </w:rPr>
        <w:t xml:space="preserve"> - akcentuojama</w:t>
      </w:r>
      <w:r w:rsidRPr="000E0FC1">
        <w:rPr>
          <w:rFonts w:cs="Times New Roman"/>
          <w:szCs w:val="24"/>
        </w:rPr>
        <w:t xml:space="preserve"> </w:t>
      </w:r>
      <w:r w:rsidR="000E0FC1" w:rsidRPr="000E0FC1">
        <w:rPr>
          <w:rFonts w:cs="Times New Roman"/>
          <w:szCs w:val="24"/>
        </w:rPr>
        <w:t>sistemiškumas, poreikio tenkinimo tęstinumas bei tai, jog draudimo apsauga suteikiama už tam tikrą įmoką (</w:t>
      </w:r>
      <w:r w:rsidRPr="000E0FC1">
        <w:rPr>
          <w:rFonts w:cs="Times New Roman"/>
          <w:szCs w:val="24"/>
        </w:rPr>
        <w:t>dažniausiai grupės nario sumokėtos įmokos arba viršija, arba yra mažesnės už jam išmokėtas draudimo išmokas</w:t>
      </w:r>
      <w:r w:rsidR="000E0FC1" w:rsidRPr="000E0FC1">
        <w:rPr>
          <w:rFonts w:cs="Times New Roman"/>
          <w:szCs w:val="24"/>
        </w:rPr>
        <w:t>)</w:t>
      </w:r>
      <w:r w:rsidRPr="000E0FC1">
        <w:rPr>
          <w:rFonts w:cs="Times New Roman"/>
          <w:szCs w:val="24"/>
        </w:rPr>
        <w:t>.</w:t>
      </w:r>
    </w:p>
    <w:p w:rsidR="000E0FC1" w:rsidRPr="00C104EF" w:rsidRDefault="00AD5BB7" w:rsidP="00A149F5">
      <w:pPr>
        <w:pStyle w:val="ListParagraph"/>
        <w:numPr>
          <w:ilvl w:val="0"/>
          <w:numId w:val="15"/>
        </w:numPr>
        <w:ind w:left="993"/>
        <w:jc w:val="both"/>
        <w:rPr>
          <w:rFonts w:cs="Times New Roman"/>
          <w:szCs w:val="24"/>
        </w:rPr>
      </w:pPr>
      <w:r w:rsidRPr="000E0FC1">
        <w:rPr>
          <w:rFonts w:cs="Times New Roman"/>
          <w:szCs w:val="24"/>
          <w:u w:val="single"/>
        </w:rPr>
        <w:t>Poreikio egzistavimas</w:t>
      </w:r>
      <w:r w:rsidR="00C104EF">
        <w:rPr>
          <w:rFonts w:cs="Times New Roman"/>
          <w:szCs w:val="24"/>
        </w:rPr>
        <w:t xml:space="preserve"> </w:t>
      </w:r>
      <w:r w:rsidR="00C104EF" w:rsidRPr="00C104EF">
        <w:rPr>
          <w:rFonts w:cs="Times New Roman"/>
          <w:szCs w:val="24"/>
        </w:rPr>
        <w:t>– atsiranda žala dėl kurios kyla poreikis kompensuoti patirtus nuostolius</w:t>
      </w:r>
      <w:r w:rsidR="00C104EF">
        <w:rPr>
          <w:rFonts w:cs="Times New Roman"/>
          <w:szCs w:val="24"/>
        </w:rPr>
        <w:t>.</w:t>
      </w:r>
    </w:p>
    <w:p w:rsidR="00AD5BB7" w:rsidRPr="000E0FC1" w:rsidRDefault="00AD5BB7" w:rsidP="00A149F5">
      <w:pPr>
        <w:pStyle w:val="ListParagraph"/>
        <w:numPr>
          <w:ilvl w:val="0"/>
          <w:numId w:val="15"/>
        </w:numPr>
        <w:ind w:left="993"/>
        <w:jc w:val="both"/>
        <w:rPr>
          <w:rFonts w:cs="Times New Roman"/>
          <w:szCs w:val="24"/>
        </w:rPr>
      </w:pPr>
      <w:r w:rsidRPr="000E0FC1">
        <w:rPr>
          <w:rFonts w:cs="Times New Roman"/>
          <w:szCs w:val="24"/>
          <w:u w:val="single"/>
        </w:rPr>
        <w:t>Atsitiktinumas</w:t>
      </w:r>
      <w:r w:rsidRPr="000E0FC1">
        <w:rPr>
          <w:rFonts w:cs="Times New Roman"/>
          <w:szCs w:val="24"/>
        </w:rPr>
        <w:t xml:space="preserve"> </w:t>
      </w:r>
      <w:r w:rsidR="000E0FC1">
        <w:rPr>
          <w:rFonts w:cs="Times New Roman"/>
          <w:szCs w:val="24"/>
        </w:rPr>
        <w:t>– d</w:t>
      </w:r>
      <w:r w:rsidRPr="000E0FC1">
        <w:rPr>
          <w:rFonts w:cs="Times New Roman"/>
          <w:szCs w:val="24"/>
        </w:rPr>
        <w:t>raudžiamasis įvykis turi būti atsitiktinis ir neturi būti įtakoj</w:t>
      </w:r>
      <w:r w:rsidR="000E0FC1">
        <w:rPr>
          <w:rFonts w:cs="Times New Roman"/>
          <w:szCs w:val="24"/>
        </w:rPr>
        <w:t>amas draudėjo valios arba norų.</w:t>
      </w:r>
    </w:p>
    <w:p w:rsidR="00F71B83" w:rsidRPr="000E0FC1" w:rsidRDefault="00F71B83" w:rsidP="00A149F5">
      <w:pPr>
        <w:pStyle w:val="ListParagraph"/>
        <w:numPr>
          <w:ilvl w:val="0"/>
          <w:numId w:val="15"/>
        </w:numPr>
        <w:ind w:left="993"/>
        <w:jc w:val="both"/>
        <w:rPr>
          <w:rFonts w:cs="Times New Roman"/>
          <w:szCs w:val="24"/>
        </w:rPr>
      </w:pPr>
      <w:r w:rsidRPr="000E0FC1">
        <w:rPr>
          <w:rFonts w:cs="Times New Roman"/>
          <w:szCs w:val="24"/>
          <w:u w:val="single"/>
        </w:rPr>
        <w:t>Išmatuojamumas</w:t>
      </w:r>
      <w:r w:rsidR="000E0FC1">
        <w:rPr>
          <w:rFonts w:cs="Times New Roman"/>
          <w:szCs w:val="24"/>
        </w:rPr>
        <w:t xml:space="preserve"> –</w:t>
      </w:r>
      <w:r w:rsidRPr="000E0FC1">
        <w:rPr>
          <w:rFonts w:cs="Times New Roman"/>
          <w:szCs w:val="24"/>
        </w:rPr>
        <w:t xml:space="preserve"> </w:t>
      </w:r>
      <w:r w:rsidR="00E65412">
        <w:rPr>
          <w:rFonts w:cs="Times New Roman"/>
          <w:szCs w:val="24"/>
        </w:rPr>
        <w:t>drausti galima tik išmatuojamas</w:t>
      </w:r>
      <w:r w:rsidR="004D39BD" w:rsidRPr="000E0FC1">
        <w:rPr>
          <w:rFonts w:cs="Times New Roman"/>
          <w:szCs w:val="24"/>
        </w:rPr>
        <w:t xml:space="preserve"> </w:t>
      </w:r>
      <w:r w:rsidR="00E65412">
        <w:rPr>
          <w:rFonts w:cs="Times New Roman"/>
          <w:szCs w:val="24"/>
        </w:rPr>
        <w:t>rizikas</w:t>
      </w:r>
      <w:r w:rsidR="004D39BD" w:rsidRPr="000E0FC1">
        <w:rPr>
          <w:rFonts w:cs="Times New Roman"/>
          <w:szCs w:val="24"/>
        </w:rPr>
        <w:t xml:space="preserve">. </w:t>
      </w:r>
      <w:r w:rsidR="00E65412">
        <w:rPr>
          <w:rFonts w:cs="Times New Roman"/>
          <w:szCs w:val="24"/>
        </w:rPr>
        <w:t xml:space="preserve">Materialiniam poreikiui </w:t>
      </w:r>
      <w:r w:rsidR="006B5683">
        <w:rPr>
          <w:rFonts w:cs="Times New Roman"/>
          <w:szCs w:val="24"/>
        </w:rPr>
        <w:t>išmatuoti naudojami</w:t>
      </w:r>
      <w:r w:rsidR="004D39BD" w:rsidRPr="000E0FC1">
        <w:rPr>
          <w:rFonts w:cs="Times New Roman"/>
          <w:szCs w:val="24"/>
        </w:rPr>
        <w:t xml:space="preserve"> praeities įvykių </w:t>
      </w:r>
      <w:r w:rsidR="006B5683">
        <w:rPr>
          <w:rFonts w:cs="Times New Roman"/>
          <w:szCs w:val="24"/>
        </w:rPr>
        <w:t>duomenys, pagal kuriuos bandoma</w:t>
      </w:r>
      <w:r w:rsidR="004D39BD" w:rsidRPr="000E0FC1">
        <w:rPr>
          <w:rFonts w:cs="Times New Roman"/>
          <w:szCs w:val="24"/>
        </w:rPr>
        <w:t xml:space="preserve"> </w:t>
      </w:r>
      <w:r w:rsidR="000E0FC1">
        <w:rPr>
          <w:rFonts w:cs="Times New Roman"/>
          <w:szCs w:val="24"/>
        </w:rPr>
        <w:t>progno</w:t>
      </w:r>
      <w:r w:rsidR="006B5683">
        <w:rPr>
          <w:rFonts w:cs="Times New Roman"/>
          <w:szCs w:val="24"/>
        </w:rPr>
        <w:t>zuoti bei spėti</w:t>
      </w:r>
      <w:r w:rsidR="00825AD7">
        <w:rPr>
          <w:rFonts w:cs="Times New Roman"/>
          <w:szCs w:val="24"/>
        </w:rPr>
        <w:t xml:space="preserve"> ateities išmokų poreikį</w:t>
      </w:r>
      <w:r w:rsidR="004D39BD" w:rsidRPr="000E0FC1">
        <w:rPr>
          <w:rFonts w:cs="Times New Roman"/>
          <w:szCs w:val="24"/>
        </w:rPr>
        <w:t>. Nematerialios</w:t>
      </w:r>
      <w:r w:rsidR="000E0FC1">
        <w:rPr>
          <w:rFonts w:cs="Times New Roman"/>
          <w:szCs w:val="24"/>
        </w:rPr>
        <w:t>, neišmatuojamos</w:t>
      </w:r>
      <w:r w:rsidR="004D39BD" w:rsidRPr="000E0FC1">
        <w:rPr>
          <w:rFonts w:cs="Times New Roman"/>
          <w:szCs w:val="24"/>
        </w:rPr>
        <w:t xml:space="preserve"> rizikos </w:t>
      </w:r>
      <w:r w:rsidR="000E0FC1">
        <w:rPr>
          <w:rFonts w:cs="Times New Roman"/>
          <w:szCs w:val="24"/>
        </w:rPr>
        <w:t xml:space="preserve">nėra </w:t>
      </w:r>
      <w:r w:rsidR="004D39BD" w:rsidRPr="000E0FC1">
        <w:rPr>
          <w:rFonts w:cs="Times New Roman"/>
          <w:szCs w:val="24"/>
        </w:rPr>
        <w:t>draudžiamos.</w:t>
      </w:r>
    </w:p>
    <w:p w:rsidR="004D39BD" w:rsidRDefault="004D39BD" w:rsidP="00A149F5">
      <w:pPr>
        <w:pStyle w:val="ListParagraph"/>
        <w:numPr>
          <w:ilvl w:val="0"/>
          <w:numId w:val="15"/>
        </w:numPr>
        <w:ind w:left="993"/>
        <w:jc w:val="both"/>
        <w:rPr>
          <w:rFonts w:cs="Times New Roman"/>
          <w:szCs w:val="24"/>
        </w:rPr>
      </w:pPr>
      <w:r w:rsidRPr="000E0FC1">
        <w:rPr>
          <w:rFonts w:cs="Times New Roman"/>
          <w:szCs w:val="24"/>
          <w:u w:val="single"/>
        </w:rPr>
        <w:t>Tos pačios rizikos egzistavimas</w:t>
      </w:r>
      <w:r w:rsidR="0009581D">
        <w:rPr>
          <w:rFonts w:cs="Times New Roman"/>
          <w:szCs w:val="24"/>
        </w:rPr>
        <w:t xml:space="preserve"> –</w:t>
      </w:r>
      <w:r w:rsidRPr="000E0FC1">
        <w:rPr>
          <w:rFonts w:cs="Times New Roman"/>
          <w:szCs w:val="24"/>
        </w:rPr>
        <w:t xml:space="preserve"> visus draudimo rinkos subjektus </w:t>
      </w:r>
      <w:r w:rsidR="0009581D">
        <w:rPr>
          <w:rFonts w:cs="Times New Roman"/>
          <w:szCs w:val="24"/>
        </w:rPr>
        <w:t>turi veikti</w:t>
      </w:r>
      <w:r w:rsidRPr="000E0FC1">
        <w:rPr>
          <w:rFonts w:cs="Times New Roman"/>
          <w:szCs w:val="24"/>
        </w:rPr>
        <w:t xml:space="preserve"> ta pati rizika. </w:t>
      </w:r>
      <w:r w:rsidR="0009581D">
        <w:rPr>
          <w:rFonts w:cs="Times New Roman"/>
          <w:szCs w:val="24"/>
        </w:rPr>
        <w:t>Tai yra viena iš priežasčių, kodėl</w:t>
      </w:r>
      <w:r w:rsidRPr="000E0FC1">
        <w:rPr>
          <w:rFonts w:cs="Times New Roman"/>
          <w:szCs w:val="24"/>
        </w:rPr>
        <w:t xml:space="preserve"> daugumoje valstybių draudimo šakos yra atskirtos</w:t>
      </w:r>
      <w:r w:rsidR="0009581D">
        <w:rPr>
          <w:rFonts w:cs="Times New Roman"/>
          <w:szCs w:val="24"/>
        </w:rPr>
        <w:t xml:space="preserve"> teisės aktais</w:t>
      </w:r>
      <w:r w:rsidRPr="000E0FC1">
        <w:rPr>
          <w:rFonts w:cs="Times New Roman"/>
          <w:szCs w:val="24"/>
        </w:rPr>
        <w:t>.</w:t>
      </w:r>
    </w:p>
    <w:p w:rsidR="002C7747" w:rsidRPr="00A40AB4" w:rsidRDefault="002C7747" w:rsidP="002C7747">
      <w:pPr>
        <w:jc w:val="both"/>
        <w:rPr>
          <w:rFonts w:cs="Times New Roman"/>
          <w:szCs w:val="24"/>
        </w:rPr>
      </w:pPr>
    </w:p>
    <w:p w:rsidR="00FB2D85" w:rsidRPr="00A40AB4" w:rsidRDefault="005613EE" w:rsidP="00FB2D85">
      <w:pPr>
        <w:tabs>
          <w:tab w:val="left" w:pos="4111"/>
        </w:tabs>
        <w:ind w:firstLine="567"/>
        <w:jc w:val="both"/>
        <w:rPr>
          <w:rFonts w:cs="Times New Roman"/>
          <w:b/>
          <w:szCs w:val="24"/>
        </w:rPr>
      </w:pPr>
      <w:r w:rsidRPr="00A40AB4">
        <w:rPr>
          <w:rFonts w:cs="Times New Roman"/>
          <w:b/>
          <w:szCs w:val="24"/>
        </w:rPr>
        <w:t>Draudimo funkcijos</w:t>
      </w:r>
    </w:p>
    <w:p w:rsidR="00FB2D85" w:rsidRPr="00996F62" w:rsidRDefault="00FE48FC" w:rsidP="00FB2D85">
      <w:pPr>
        <w:tabs>
          <w:tab w:val="left" w:pos="4111"/>
        </w:tabs>
        <w:ind w:firstLine="567"/>
        <w:jc w:val="both"/>
        <w:rPr>
          <w:rFonts w:cs="Times New Roman"/>
          <w:szCs w:val="24"/>
        </w:rPr>
      </w:pPr>
      <w:r w:rsidRPr="00996F62">
        <w:rPr>
          <w:rFonts w:cs="Times New Roman"/>
          <w:szCs w:val="24"/>
        </w:rPr>
        <w:t xml:space="preserve">Kaip jau rašyta, draudimas užima svarbią vietą ekonomikoje. Taigi draudimas </w:t>
      </w:r>
      <w:r w:rsidR="003955E5" w:rsidRPr="00996F62">
        <w:rPr>
          <w:rFonts w:cs="Times New Roman"/>
          <w:szCs w:val="24"/>
        </w:rPr>
        <w:t xml:space="preserve">atlieka </w:t>
      </w:r>
      <w:r w:rsidRPr="00996F62">
        <w:rPr>
          <w:rFonts w:cs="Times New Roman"/>
          <w:szCs w:val="24"/>
        </w:rPr>
        <w:t xml:space="preserve">ir tam tikras funkcijas </w:t>
      </w:r>
      <w:r w:rsidR="003955E5" w:rsidRPr="00996F62">
        <w:rPr>
          <w:rFonts w:cs="Times New Roman"/>
          <w:szCs w:val="24"/>
        </w:rPr>
        <w:t xml:space="preserve">visoje </w:t>
      </w:r>
      <w:r w:rsidRPr="00996F62">
        <w:rPr>
          <w:rFonts w:cs="Times New Roman"/>
          <w:szCs w:val="24"/>
        </w:rPr>
        <w:t>finansų sistemoje.</w:t>
      </w:r>
      <w:r w:rsidR="003955E5" w:rsidRPr="00996F62">
        <w:rPr>
          <w:rFonts w:cs="Times New Roman"/>
          <w:szCs w:val="24"/>
        </w:rPr>
        <w:t xml:space="preserve"> </w:t>
      </w:r>
      <w:r w:rsidR="003F755C" w:rsidRPr="00996F62">
        <w:rPr>
          <w:rFonts w:cs="Times New Roman"/>
          <w:szCs w:val="24"/>
        </w:rPr>
        <w:t xml:space="preserve">Remiantis įvairiais mokslininkais (Aleknevičienė, 2005, Buškevičiūtė ir Leškevičiūtė, 2008, Lezgovko ir Lastauskas, 2008, </w:t>
      </w:r>
      <w:r w:rsidR="003F755C" w:rsidRPr="00996F62">
        <w:rPr>
          <w:rFonts w:cs="Times New Roman"/>
          <w:szCs w:val="24"/>
          <w:lang w:val="en-US"/>
        </w:rPr>
        <w:t>Vaughan</w:t>
      </w:r>
      <w:r w:rsidR="003F755C" w:rsidRPr="00996F62">
        <w:rPr>
          <w:rFonts w:cs="Times New Roman"/>
          <w:szCs w:val="24"/>
        </w:rPr>
        <w:t xml:space="preserve">, 2008, </w:t>
      </w:r>
      <w:r w:rsidR="003F755C" w:rsidRPr="00996F62">
        <w:rPr>
          <w:szCs w:val="24"/>
          <w:lang w:val="en-US"/>
        </w:rPr>
        <w:t>Haiss</w:t>
      </w:r>
      <w:r w:rsidR="003F755C" w:rsidRPr="00996F62">
        <w:rPr>
          <w:szCs w:val="24"/>
        </w:rPr>
        <w:t xml:space="preserve"> ir </w:t>
      </w:r>
      <w:r w:rsidR="003F755C" w:rsidRPr="00996F62">
        <w:rPr>
          <w:szCs w:val="24"/>
          <w:lang w:val="en-US"/>
        </w:rPr>
        <w:t>Sümegi</w:t>
      </w:r>
      <w:r w:rsidR="003F755C" w:rsidRPr="00996F62">
        <w:rPr>
          <w:szCs w:val="24"/>
        </w:rPr>
        <w:t xml:space="preserve">, 2006, </w:t>
      </w:r>
      <w:r w:rsidR="003F755C" w:rsidRPr="00996F62">
        <w:rPr>
          <w:szCs w:val="24"/>
          <w:lang w:val="en-US"/>
        </w:rPr>
        <w:t>Hussels</w:t>
      </w:r>
      <w:r w:rsidR="003F755C" w:rsidRPr="00996F62">
        <w:rPr>
          <w:szCs w:val="24"/>
        </w:rPr>
        <w:t xml:space="preserve"> et al., 2005 ir kt.)</w:t>
      </w:r>
      <w:r w:rsidR="003F755C" w:rsidRPr="00996F62">
        <w:rPr>
          <w:b/>
          <w:szCs w:val="24"/>
        </w:rPr>
        <w:t xml:space="preserve"> </w:t>
      </w:r>
      <w:r w:rsidR="003F755C" w:rsidRPr="00996F62">
        <w:rPr>
          <w:rFonts w:cs="Times New Roman"/>
          <w:szCs w:val="24"/>
        </w:rPr>
        <w:t>galima išskirti šias draudimo funkcijas:</w:t>
      </w:r>
    </w:p>
    <w:p w:rsidR="00297192" w:rsidRPr="00297192" w:rsidRDefault="00297192" w:rsidP="00A149F5">
      <w:pPr>
        <w:pStyle w:val="ListParagraph"/>
        <w:numPr>
          <w:ilvl w:val="0"/>
          <w:numId w:val="13"/>
        </w:numPr>
        <w:tabs>
          <w:tab w:val="left" w:pos="4111"/>
        </w:tabs>
        <w:ind w:left="993"/>
        <w:jc w:val="both"/>
        <w:rPr>
          <w:rFonts w:cs="Times New Roman"/>
          <w:szCs w:val="24"/>
        </w:rPr>
      </w:pPr>
      <w:r w:rsidRPr="00297192">
        <w:rPr>
          <w:rFonts w:cs="Times New Roman"/>
          <w:i/>
          <w:szCs w:val="24"/>
        </w:rPr>
        <w:t>Rizikos perdavimo bei nuostolių pasidalijimo</w:t>
      </w:r>
      <w:r>
        <w:rPr>
          <w:rFonts w:cs="Times New Roman"/>
          <w:szCs w:val="24"/>
        </w:rPr>
        <w:t xml:space="preserve"> funkcija. Pati svarbiausia draudimo funkcija yra perduoti riziką nuo vieno subjekto visai subjektų grupei bei paskirstyti nuostolius vienodai tarp visų tos grupės narių. Per šią funkciją, apibrėžiančią draudimo esmę, pasireiškia ir kitos draudimo funkcijos.</w:t>
      </w:r>
    </w:p>
    <w:p w:rsidR="00F640ED" w:rsidRPr="00556612" w:rsidRDefault="00910A1D" w:rsidP="00A149F5">
      <w:pPr>
        <w:pStyle w:val="ListParagraph"/>
        <w:numPr>
          <w:ilvl w:val="0"/>
          <w:numId w:val="13"/>
        </w:numPr>
        <w:ind w:left="993"/>
        <w:jc w:val="both"/>
        <w:rPr>
          <w:rFonts w:cs="Times New Roman"/>
          <w:szCs w:val="24"/>
        </w:rPr>
      </w:pPr>
      <w:r w:rsidRPr="00556612">
        <w:rPr>
          <w:rFonts w:cs="Times New Roman"/>
          <w:i/>
          <w:szCs w:val="24"/>
        </w:rPr>
        <w:t>G</w:t>
      </w:r>
      <w:r w:rsidR="00F640ED" w:rsidRPr="00556612">
        <w:rPr>
          <w:rFonts w:cs="Times New Roman"/>
          <w:i/>
          <w:szCs w:val="24"/>
        </w:rPr>
        <w:t>erovės palaikymo</w:t>
      </w:r>
      <w:r w:rsidR="00556612" w:rsidRPr="00556612">
        <w:rPr>
          <w:rFonts w:cs="Times New Roman"/>
          <w:szCs w:val="24"/>
        </w:rPr>
        <w:t xml:space="preserve"> funkcija.</w:t>
      </w:r>
      <w:r w:rsidR="00F640ED" w:rsidRPr="00556612">
        <w:rPr>
          <w:rFonts w:cs="Times New Roman"/>
          <w:szCs w:val="24"/>
        </w:rPr>
        <w:t xml:space="preserve"> </w:t>
      </w:r>
      <w:r w:rsidR="00556612" w:rsidRPr="00556612">
        <w:rPr>
          <w:rFonts w:cs="Times New Roman"/>
          <w:szCs w:val="24"/>
        </w:rPr>
        <w:t xml:space="preserve">Draudimą galima suvokti kaip vieną iš žmonių prisitaikymo prie neapibrėžtumo bei rizikos būdų. </w:t>
      </w:r>
      <w:r w:rsidR="00556612">
        <w:rPr>
          <w:rFonts w:cs="Times New Roman"/>
          <w:szCs w:val="24"/>
        </w:rPr>
        <w:t>B</w:t>
      </w:r>
      <w:r w:rsidR="00F640ED" w:rsidRPr="00556612">
        <w:rPr>
          <w:rFonts w:cs="Times New Roman"/>
          <w:szCs w:val="24"/>
        </w:rPr>
        <w:t xml:space="preserve">e draudimo </w:t>
      </w:r>
      <w:r w:rsidRPr="00556612">
        <w:rPr>
          <w:rFonts w:cs="Times New Roman"/>
          <w:szCs w:val="24"/>
        </w:rPr>
        <w:t>reikšminga</w:t>
      </w:r>
      <w:r w:rsidR="00F640ED" w:rsidRPr="00556612">
        <w:rPr>
          <w:rFonts w:cs="Times New Roman"/>
          <w:szCs w:val="24"/>
        </w:rPr>
        <w:t xml:space="preserve"> dalis </w:t>
      </w:r>
      <w:r w:rsidRPr="00556612">
        <w:rPr>
          <w:rFonts w:cs="Times New Roman"/>
          <w:szCs w:val="24"/>
        </w:rPr>
        <w:t xml:space="preserve">nelaimės ištiktų </w:t>
      </w:r>
      <w:r w:rsidR="00F640ED" w:rsidRPr="00556612">
        <w:rPr>
          <w:rFonts w:cs="Times New Roman"/>
          <w:szCs w:val="24"/>
        </w:rPr>
        <w:t>žmonių</w:t>
      </w:r>
      <w:r w:rsidRPr="00556612">
        <w:rPr>
          <w:rFonts w:cs="Times New Roman"/>
          <w:szCs w:val="24"/>
        </w:rPr>
        <w:t xml:space="preserve"> susidurtų su didžiuliais finansiniais sunkumais, netgi </w:t>
      </w:r>
      <w:r w:rsidR="00F640ED" w:rsidRPr="00556612">
        <w:rPr>
          <w:rFonts w:cs="Times New Roman"/>
          <w:szCs w:val="24"/>
        </w:rPr>
        <w:t xml:space="preserve">taptų našta visuomenei, tad </w:t>
      </w:r>
      <w:r w:rsidRPr="00556612">
        <w:rPr>
          <w:rFonts w:cs="Times New Roman"/>
          <w:szCs w:val="24"/>
        </w:rPr>
        <w:t>tam tikra prasme draudimą</w:t>
      </w:r>
      <w:r w:rsidR="00F640ED" w:rsidRPr="00556612">
        <w:rPr>
          <w:rFonts w:cs="Times New Roman"/>
          <w:szCs w:val="24"/>
        </w:rPr>
        <w:t xml:space="preserve"> galima vertinti kaip </w:t>
      </w:r>
      <w:r w:rsidR="00556612" w:rsidRPr="00556612">
        <w:rPr>
          <w:rFonts w:cs="Times New Roman"/>
          <w:szCs w:val="24"/>
        </w:rPr>
        <w:t xml:space="preserve">gerovės bei </w:t>
      </w:r>
      <w:r w:rsidR="00F640ED" w:rsidRPr="00556612">
        <w:rPr>
          <w:rFonts w:cs="Times New Roman"/>
          <w:szCs w:val="24"/>
        </w:rPr>
        <w:t>turtinių skirtumų mažinimo priemone</w:t>
      </w:r>
      <w:r w:rsidR="00556612" w:rsidRPr="00556612">
        <w:rPr>
          <w:rFonts w:cs="Times New Roman"/>
          <w:szCs w:val="24"/>
        </w:rPr>
        <w:t xml:space="preserve"> per nuostolių kompensavimą</w:t>
      </w:r>
      <w:r w:rsidR="00F640ED" w:rsidRPr="00556612">
        <w:rPr>
          <w:rFonts w:cs="Times New Roman"/>
          <w:szCs w:val="24"/>
        </w:rPr>
        <w:t>.</w:t>
      </w:r>
    </w:p>
    <w:p w:rsidR="00556612" w:rsidRPr="00FB2EC8" w:rsidRDefault="00E040E9" w:rsidP="00556612">
      <w:pPr>
        <w:pStyle w:val="ListParagraph"/>
        <w:numPr>
          <w:ilvl w:val="0"/>
          <w:numId w:val="13"/>
        </w:numPr>
        <w:tabs>
          <w:tab w:val="left" w:pos="4111"/>
        </w:tabs>
        <w:ind w:left="993"/>
        <w:jc w:val="both"/>
        <w:rPr>
          <w:rFonts w:cs="Times New Roman"/>
          <w:szCs w:val="24"/>
        </w:rPr>
      </w:pPr>
      <w:r w:rsidRPr="00FB2EC8">
        <w:rPr>
          <w:rFonts w:cs="Times New Roman"/>
          <w:i/>
          <w:szCs w:val="24"/>
        </w:rPr>
        <w:t>E</w:t>
      </w:r>
      <w:r w:rsidR="00F640ED" w:rsidRPr="00FB2EC8">
        <w:rPr>
          <w:rFonts w:cs="Times New Roman"/>
          <w:i/>
          <w:szCs w:val="24"/>
        </w:rPr>
        <w:t>konomikos vystymosi</w:t>
      </w:r>
      <w:r w:rsidR="00556612" w:rsidRPr="00FB2EC8">
        <w:rPr>
          <w:rFonts w:cs="Times New Roman"/>
          <w:i/>
          <w:szCs w:val="24"/>
        </w:rPr>
        <w:t>,</w:t>
      </w:r>
      <w:r w:rsidR="00F640ED" w:rsidRPr="00FB2EC8">
        <w:rPr>
          <w:rFonts w:cs="Times New Roman"/>
          <w:i/>
          <w:szCs w:val="24"/>
        </w:rPr>
        <w:t xml:space="preserve"> klestėjimo </w:t>
      </w:r>
      <w:r w:rsidRPr="00FB2EC8">
        <w:rPr>
          <w:rFonts w:cs="Times New Roman"/>
          <w:i/>
          <w:szCs w:val="24"/>
        </w:rPr>
        <w:t>palaikymo</w:t>
      </w:r>
      <w:r w:rsidR="00556612" w:rsidRPr="00FB2EC8">
        <w:rPr>
          <w:rFonts w:cs="Times New Roman"/>
          <w:i/>
          <w:szCs w:val="24"/>
        </w:rPr>
        <w:t>, stabilumo</w:t>
      </w:r>
      <w:r w:rsidRPr="00FB2EC8">
        <w:rPr>
          <w:rFonts w:cs="Times New Roman"/>
          <w:i/>
          <w:szCs w:val="24"/>
        </w:rPr>
        <w:t xml:space="preserve"> </w:t>
      </w:r>
      <w:r w:rsidRPr="00FB2EC8">
        <w:rPr>
          <w:rFonts w:cs="Times New Roman"/>
          <w:szCs w:val="24"/>
        </w:rPr>
        <w:t>funkcija</w:t>
      </w:r>
      <w:r w:rsidR="00F640ED" w:rsidRPr="00FB2EC8">
        <w:rPr>
          <w:rFonts w:cs="Times New Roman"/>
          <w:szCs w:val="24"/>
        </w:rPr>
        <w:t xml:space="preserve">. </w:t>
      </w:r>
      <w:r w:rsidRPr="00FB2EC8">
        <w:rPr>
          <w:rFonts w:cs="Times New Roman"/>
          <w:szCs w:val="24"/>
        </w:rPr>
        <w:t>Draudimo apsauga verslui leidžia prisiimti didesnę riziką, imtis pelningesnių projektų. Be draudimo įmonės nebūtų stabilios, kadangi kiekvienos didesnės nelaimės atveju grėstų bankrotas</w:t>
      </w:r>
      <w:r w:rsidR="006F18F5" w:rsidRPr="00FB2EC8">
        <w:rPr>
          <w:rFonts w:cs="Times New Roman"/>
          <w:szCs w:val="24"/>
        </w:rPr>
        <w:t>, t</w:t>
      </w:r>
      <w:r w:rsidR="00F640ED" w:rsidRPr="00FB2EC8">
        <w:rPr>
          <w:rFonts w:cs="Times New Roman"/>
          <w:szCs w:val="24"/>
        </w:rPr>
        <w:t>aigi šalies ūkio plėtra neišvengiamai sulėtėtų.</w:t>
      </w:r>
      <w:r w:rsidR="00FB2EC8" w:rsidRPr="00FB2EC8">
        <w:rPr>
          <w:rFonts w:cs="Times New Roman"/>
          <w:szCs w:val="24"/>
        </w:rPr>
        <w:t xml:space="preserve"> </w:t>
      </w:r>
      <w:r w:rsidR="00556612" w:rsidRPr="00FB2EC8">
        <w:rPr>
          <w:rFonts w:cs="Times New Roman"/>
          <w:szCs w:val="24"/>
        </w:rPr>
        <w:t xml:space="preserve">Haiss ir Sümegi (2006) pabrėžia, kad draudimas yra svarbi finansinio tarpininkavimo grandis ir draudimo paslaugų prieinamumas yra būtinas norint užtikrinti ekonominį stabilumą. Autoriai tvirtina, jog draudimas perkeldamas dalį draudėjų </w:t>
      </w:r>
      <w:r w:rsidR="00556612" w:rsidRPr="00FB2EC8">
        <w:rPr>
          <w:rFonts w:cs="Times New Roman"/>
          <w:szCs w:val="24"/>
        </w:rPr>
        <w:lastRenderedPageBreak/>
        <w:t>lėšų į kapitalo rinką prisideda prie ekonomikos augimo ir būdamas rizikos perkėlimo mechanizmu, įgalina įmones veikti rentabiliai.</w:t>
      </w:r>
    </w:p>
    <w:p w:rsidR="00F640ED" w:rsidRPr="00910A1D" w:rsidRDefault="00F640ED" w:rsidP="00A149F5">
      <w:pPr>
        <w:pStyle w:val="ListParagraph"/>
        <w:numPr>
          <w:ilvl w:val="0"/>
          <w:numId w:val="13"/>
        </w:numPr>
        <w:tabs>
          <w:tab w:val="left" w:pos="4111"/>
        </w:tabs>
        <w:ind w:left="993"/>
        <w:jc w:val="both"/>
        <w:rPr>
          <w:rFonts w:cs="Times New Roman"/>
          <w:szCs w:val="24"/>
        </w:rPr>
      </w:pPr>
      <w:r w:rsidRPr="00910A1D">
        <w:rPr>
          <w:rFonts w:cs="Times New Roman"/>
          <w:i/>
          <w:szCs w:val="24"/>
        </w:rPr>
        <w:t>Kapitalo ir pajamų išsaugojimo</w:t>
      </w:r>
      <w:r w:rsidRPr="00910A1D">
        <w:rPr>
          <w:rFonts w:cs="Times New Roman"/>
          <w:szCs w:val="24"/>
        </w:rPr>
        <w:t xml:space="preserve"> funkcija pasireiškia per patiriamų nuostolių greitą padengimą draudimo išmokomis. </w:t>
      </w:r>
      <w:r w:rsidR="006F18F5">
        <w:rPr>
          <w:rFonts w:cs="Times New Roman"/>
          <w:szCs w:val="24"/>
        </w:rPr>
        <w:t>Į</w:t>
      </w:r>
      <w:r w:rsidRPr="00910A1D">
        <w:rPr>
          <w:rFonts w:cs="Times New Roman"/>
          <w:szCs w:val="24"/>
        </w:rPr>
        <w:t xml:space="preserve">vykus įvykiui įmonė </w:t>
      </w:r>
      <w:r w:rsidR="006F18F5">
        <w:rPr>
          <w:rFonts w:cs="Times New Roman"/>
          <w:szCs w:val="24"/>
        </w:rPr>
        <w:t>gali greitai atkurti veiklą</w:t>
      </w:r>
      <w:r w:rsidRPr="00910A1D">
        <w:rPr>
          <w:rFonts w:cs="Times New Roman"/>
          <w:szCs w:val="24"/>
        </w:rPr>
        <w:t>,</w:t>
      </w:r>
      <w:r w:rsidR="006F18F5">
        <w:rPr>
          <w:rFonts w:cs="Times New Roman"/>
          <w:szCs w:val="24"/>
        </w:rPr>
        <w:t xml:space="preserve"> neprarasti pajamų</w:t>
      </w:r>
      <w:r w:rsidRPr="00910A1D">
        <w:rPr>
          <w:rFonts w:cs="Times New Roman"/>
          <w:szCs w:val="24"/>
        </w:rPr>
        <w:t xml:space="preserve">. </w:t>
      </w:r>
      <w:r w:rsidR="00556612">
        <w:rPr>
          <w:rFonts w:cs="Times New Roman"/>
          <w:szCs w:val="24"/>
        </w:rPr>
        <w:t>I</w:t>
      </w:r>
      <w:r w:rsidRPr="00910A1D">
        <w:rPr>
          <w:rFonts w:cs="Times New Roman"/>
          <w:szCs w:val="24"/>
        </w:rPr>
        <w:t>š gautų išmokų galima greitai atstatyti veiklą</w:t>
      </w:r>
      <w:r w:rsidR="00556612">
        <w:rPr>
          <w:rFonts w:cs="Times New Roman"/>
          <w:szCs w:val="24"/>
        </w:rPr>
        <w:t>, tad</w:t>
      </w:r>
      <w:r w:rsidR="00556612" w:rsidRPr="00556612">
        <w:rPr>
          <w:rFonts w:cs="Times New Roman"/>
          <w:szCs w:val="24"/>
        </w:rPr>
        <w:t xml:space="preserve"> </w:t>
      </w:r>
      <w:r w:rsidR="00556612">
        <w:rPr>
          <w:rFonts w:cs="Times New Roman"/>
          <w:szCs w:val="24"/>
        </w:rPr>
        <w:t>d</w:t>
      </w:r>
      <w:r w:rsidR="00556612" w:rsidRPr="00910A1D">
        <w:rPr>
          <w:rFonts w:cs="Times New Roman"/>
          <w:szCs w:val="24"/>
        </w:rPr>
        <w:t>raudimo dėka išsaugomos darbo vietos</w:t>
      </w:r>
      <w:r w:rsidR="00556612">
        <w:rPr>
          <w:rFonts w:cs="Times New Roman"/>
          <w:szCs w:val="24"/>
        </w:rPr>
        <w:t>,</w:t>
      </w:r>
      <w:r w:rsidR="00556612" w:rsidRPr="00910A1D">
        <w:rPr>
          <w:rFonts w:cs="Times New Roman"/>
          <w:szCs w:val="24"/>
        </w:rPr>
        <w:t xml:space="preserve"> įmonės pajamos,</w:t>
      </w:r>
      <w:r w:rsidR="00556612">
        <w:rPr>
          <w:rFonts w:cs="Times New Roman"/>
          <w:szCs w:val="24"/>
        </w:rPr>
        <w:t xml:space="preserve"> toliau mokami mokesčiai į valstybės biudžetą</w:t>
      </w:r>
      <w:r w:rsidRPr="00910A1D">
        <w:rPr>
          <w:rFonts w:cs="Times New Roman"/>
          <w:szCs w:val="24"/>
        </w:rPr>
        <w:t>.</w:t>
      </w:r>
      <w:r w:rsidR="00641CDD">
        <w:rPr>
          <w:rFonts w:cs="Times New Roman"/>
          <w:szCs w:val="24"/>
        </w:rPr>
        <w:t xml:space="preserve"> Šią funkciją atlieka ir nekomercinis draudimas, pvz. apgadinto gyvenamojo būsto atveju draudimas kompensuoja nuostolius ir galima efektyviai likviduoti nelaimės padarinius. Tuo tarpu be draudimo grėstų rizika netekti sukaupto turto.</w:t>
      </w:r>
      <w:r w:rsidR="00556612">
        <w:rPr>
          <w:rFonts w:cs="Times New Roman"/>
          <w:szCs w:val="24"/>
        </w:rPr>
        <w:t xml:space="preserve"> Be to, draudimą </w:t>
      </w:r>
      <w:r w:rsidR="00556612" w:rsidRPr="0099532E">
        <w:rPr>
          <w:rFonts w:cs="Times New Roman"/>
          <w:szCs w:val="24"/>
        </w:rPr>
        <w:t>galima efektyviai pritaikyti siekiant taupyti ar investuoti lėšas</w:t>
      </w:r>
      <w:r w:rsidR="00556612">
        <w:rPr>
          <w:rFonts w:cs="Times New Roman"/>
          <w:szCs w:val="24"/>
        </w:rPr>
        <w:t xml:space="preserve"> (pvz. gyvybės draudimas)</w:t>
      </w:r>
    </w:p>
    <w:p w:rsidR="000F3ABC" w:rsidRPr="00641CDD" w:rsidRDefault="00641CDD" w:rsidP="0057204D">
      <w:pPr>
        <w:pStyle w:val="ListParagraph"/>
        <w:numPr>
          <w:ilvl w:val="0"/>
          <w:numId w:val="14"/>
        </w:numPr>
        <w:tabs>
          <w:tab w:val="left" w:pos="4111"/>
        </w:tabs>
        <w:ind w:left="993"/>
        <w:jc w:val="both"/>
        <w:rPr>
          <w:rFonts w:cs="Times New Roman"/>
          <w:szCs w:val="24"/>
        </w:rPr>
      </w:pPr>
      <w:r w:rsidRPr="00641CDD">
        <w:rPr>
          <w:rFonts w:cs="Times New Roman"/>
          <w:i/>
          <w:szCs w:val="24"/>
        </w:rPr>
        <w:t xml:space="preserve">Darbo vietų </w:t>
      </w:r>
      <w:r>
        <w:rPr>
          <w:rFonts w:cs="Times New Roman"/>
          <w:i/>
          <w:szCs w:val="24"/>
        </w:rPr>
        <w:t>su</w:t>
      </w:r>
      <w:r w:rsidRPr="00641CDD">
        <w:rPr>
          <w:rFonts w:cs="Times New Roman"/>
          <w:i/>
          <w:szCs w:val="24"/>
        </w:rPr>
        <w:t>kūrimas</w:t>
      </w:r>
      <w:r w:rsidRPr="00641CDD">
        <w:rPr>
          <w:rFonts w:cs="Times New Roman"/>
          <w:szCs w:val="24"/>
        </w:rPr>
        <w:t>. Kiekvienai ūkinei veiklai vystyti reikia darbuotojų. Be to, d</w:t>
      </w:r>
      <w:r w:rsidR="000F3ABC" w:rsidRPr="00641CDD">
        <w:rPr>
          <w:rFonts w:cs="Times New Roman"/>
          <w:szCs w:val="24"/>
        </w:rPr>
        <w:t>raudimo veikla reikalauja įvai</w:t>
      </w:r>
      <w:r w:rsidRPr="00641CDD">
        <w:rPr>
          <w:rFonts w:cs="Times New Roman"/>
          <w:szCs w:val="24"/>
        </w:rPr>
        <w:t>rios kvalifikacijos specialistų. Taigi</w:t>
      </w:r>
      <w:r w:rsidR="000F3ABC" w:rsidRPr="00641CDD">
        <w:rPr>
          <w:rFonts w:cs="Times New Roman"/>
          <w:szCs w:val="24"/>
        </w:rPr>
        <w:t xml:space="preserve"> sukuria</w:t>
      </w:r>
      <w:r w:rsidRPr="00641CDD">
        <w:rPr>
          <w:rFonts w:cs="Times New Roman"/>
          <w:szCs w:val="24"/>
        </w:rPr>
        <w:t>mos darbo vietos,</w:t>
      </w:r>
      <w:r w:rsidR="000F3ABC" w:rsidRPr="00641CDD">
        <w:rPr>
          <w:rFonts w:cs="Times New Roman"/>
          <w:szCs w:val="24"/>
        </w:rPr>
        <w:t xml:space="preserve"> moka</w:t>
      </w:r>
      <w:r w:rsidRPr="00641CDD">
        <w:rPr>
          <w:rFonts w:cs="Times New Roman"/>
          <w:szCs w:val="24"/>
        </w:rPr>
        <w:t>mi mokesčiai</w:t>
      </w:r>
      <w:r w:rsidR="000F3ABC" w:rsidRPr="00641CDD">
        <w:rPr>
          <w:rFonts w:cs="Times New Roman"/>
          <w:szCs w:val="24"/>
        </w:rPr>
        <w:t xml:space="preserve"> į valstybės biudžetą.</w:t>
      </w:r>
    </w:p>
    <w:p w:rsidR="00E00C69" w:rsidRDefault="00E00C69" w:rsidP="0057204D">
      <w:pPr>
        <w:pStyle w:val="ListParagraph"/>
        <w:numPr>
          <w:ilvl w:val="0"/>
          <w:numId w:val="14"/>
        </w:numPr>
        <w:tabs>
          <w:tab w:val="left" w:pos="4111"/>
        </w:tabs>
        <w:ind w:left="993"/>
        <w:jc w:val="both"/>
        <w:rPr>
          <w:rFonts w:cs="Times New Roman"/>
          <w:szCs w:val="24"/>
        </w:rPr>
      </w:pPr>
      <w:r w:rsidRPr="00E00C69">
        <w:rPr>
          <w:rFonts w:cs="Times New Roman"/>
          <w:i/>
          <w:szCs w:val="24"/>
        </w:rPr>
        <w:t>Finansų rinkų suaktyvinimas</w:t>
      </w:r>
      <w:r w:rsidRPr="00E00C69">
        <w:rPr>
          <w:rFonts w:cs="Times New Roman"/>
          <w:szCs w:val="24"/>
        </w:rPr>
        <w:t xml:space="preserve">. </w:t>
      </w:r>
      <w:r w:rsidR="00D3709F" w:rsidRPr="00E00C69">
        <w:rPr>
          <w:rFonts w:cs="Times New Roman"/>
          <w:szCs w:val="24"/>
        </w:rPr>
        <w:t xml:space="preserve">Draudikai gautas draudimo įmokas investuoja į įvairių šalių </w:t>
      </w:r>
      <w:r w:rsidRPr="00E00C69">
        <w:rPr>
          <w:rFonts w:cs="Times New Roman"/>
          <w:szCs w:val="24"/>
        </w:rPr>
        <w:t xml:space="preserve">VVP, </w:t>
      </w:r>
      <w:r w:rsidR="00D3709F" w:rsidRPr="00E00C69">
        <w:rPr>
          <w:rFonts w:cs="Times New Roman"/>
          <w:szCs w:val="24"/>
        </w:rPr>
        <w:t xml:space="preserve">verslo subjektų vertybinius popierius. Taigi draudimo bendrovės tampa instituciniais investuotojais, kurie </w:t>
      </w:r>
      <w:r w:rsidRPr="00E00C69">
        <w:rPr>
          <w:rFonts w:cs="Times New Roman"/>
          <w:szCs w:val="24"/>
        </w:rPr>
        <w:t>gali finansuoti</w:t>
      </w:r>
      <w:r w:rsidR="00D3709F" w:rsidRPr="00E00C69">
        <w:rPr>
          <w:rFonts w:cs="Times New Roman"/>
          <w:szCs w:val="24"/>
        </w:rPr>
        <w:t xml:space="preserve"> </w:t>
      </w:r>
      <w:r w:rsidRPr="00E00C69">
        <w:rPr>
          <w:rFonts w:cs="Times New Roman"/>
          <w:szCs w:val="24"/>
        </w:rPr>
        <w:t xml:space="preserve">tiek viešąjį, tiek ir </w:t>
      </w:r>
      <w:r>
        <w:rPr>
          <w:rFonts w:cs="Times New Roman"/>
          <w:szCs w:val="24"/>
        </w:rPr>
        <w:t>privatų sektorių. Taip pat tai padeda palaikyti finansų rinkų likvidumą, didinti efektyvumą.</w:t>
      </w:r>
    </w:p>
    <w:p w:rsidR="006F660A" w:rsidRDefault="00967263" w:rsidP="006F660A">
      <w:pPr>
        <w:pStyle w:val="ListParagraph"/>
        <w:numPr>
          <w:ilvl w:val="0"/>
          <w:numId w:val="14"/>
        </w:numPr>
        <w:tabs>
          <w:tab w:val="left" w:pos="4111"/>
        </w:tabs>
        <w:ind w:left="993"/>
        <w:jc w:val="both"/>
        <w:rPr>
          <w:rFonts w:cs="Times New Roman"/>
          <w:szCs w:val="24"/>
        </w:rPr>
      </w:pPr>
      <w:r w:rsidRPr="00967263">
        <w:rPr>
          <w:rFonts w:cs="Times New Roman"/>
          <w:i/>
          <w:szCs w:val="24"/>
        </w:rPr>
        <w:t>Prevencinių priemonių pritaikymo skatinimo</w:t>
      </w:r>
      <w:r w:rsidRPr="00967263">
        <w:rPr>
          <w:rFonts w:cs="Times New Roman"/>
          <w:szCs w:val="24"/>
        </w:rPr>
        <w:t xml:space="preserve"> funkcija. Nors draudikai ir kompensuoja žalą, </w:t>
      </w:r>
      <w:r w:rsidR="00AD4DDA" w:rsidRPr="00967263">
        <w:rPr>
          <w:rFonts w:cs="Times New Roman"/>
          <w:szCs w:val="24"/>
        </w:rPr>
        <w:t xml:space="preserve">makroekonominiu aspektu visuomenės patirti nuostoliai </w:t>
      </w:r>
      <w:r w:rsidRPr="00967263">
        <w:rPr>
          <w:rFonts w:cs="Times New Roman"/>
          <w:szCs w:val="24"/>
        </w:rPr>
        <w:t xml:space="preserve">išlieka. Siekdamos kuo didesnio pelno draudimo bendrovės </w:t>
      </w:r>
      <w:r>
        <w:rPr>
          <w:rFonts w:cs="Times New Roman"/>
          <w:szCs w:val="24"/>
        </w:rPr>
        <w:t>yra suinteresuotos</w:t>
      </w:r>
      <w:r w:rsidR="00AD4DDA" w:rsidRPr="00967263">
        <w:rPr>
          <w:rFonts w:cs="Times New Roman"/>
          <w:szCs w:val="24"/>
        </w:rPr>
        <w:t xml:space="preserve">, kad būtų </w:t>
      </w:r>
      <w:r>
        <w:rPr>
          <w:rFonts w:cs="Times New Roman"/>
          <w:szCs w:val="24"/>
        </w:rPr>
        <w:t>patiriama kuo mažiau nuostolių, taigi įvairiais teisės aktais, draudimo taisyklėmis, sutartimis bei įmokų skaičiavimo metodikos pagalba sudaro tokias sąlygas, kurios skatina draudėjus kuo labiau saugotis patiems ir stengtis patirti kuo mažiau nuostolių.</w:t>
      </w:r>
    </w:p>
    <w:p w:rsidR="00D47782" w:rsidRPr="00D47782" w:rsidRDefault="004D7A35" w:rsidP="00D47782">
      <w:pPr>
        <w:tabs>
          <w:tab w:val="left" w:pos="4111"/>
        </w:tabs>
        <w:ind w:firstLine="567"/>
        <w:jc w:val="both"/>
        <w:rPr>
          <w:rFonts w:cs="Times New Roman"/>
          <w:szCs w:val="24"/>
        </w:rPr>
      </w:pPr>
      <w:r>
        <w:rPr>
          <w:rFonts w:cs="Times New Roman"/>
          <w:szCs w:val="24"/>
        </w:rPr>
        <w:t>Taigi galima konstatuoti, jog draudimas per savo funkcijų vykdymą visokeriopai prisideda prie visuomenės gerovės: pagyvina ūkį bei skatina ekonomikos augimą bei veikia kaip esamo turto išsaugojimo akstinas, suteikia finansinį stabilumą įvairiems ūkio subjektams, aprūpina gyventojus darbo vietomis, didina užimtumą.</w:t>
      </w:r>
    </w:p>
    <w:p w:rsidR="00967263" w:rsidRPr="00967263" w:rsidRDefault="00967263" w:rsidP="00967263">
      <w:pPr>
        <w:tabs>
          <w:tab w:val="left" w:pos="4111"/>
        </w:tabs>
        <w:jc w:val="both"/>
        <w:rPr>
          <w:rFonts w:cs="Times New Roman"/>
          <w:szCs w:val="24"/>
        </w:rPr>
      </w:pPr>
    </w:p>
    <w:p w:rsidR="00CE1E84" w:rsidRPr="00A40AB4" w:rsidRDefault="00CE1E84" w:rsidP="00CE6965">
      <w:pPr>
        <w:tabs>
          <w:tab w:val="left" w:pos="4111"/>
        </w:tabs>
        <w:ind w:firstLine="567"/>
        <w:jc w:val="both"/>
        <w:rPr>
          <w:rFonts w:cs="Times New Roman"/>
          <w:szCs w:val="24"/>
        </w:rPr>
      </w:pPr>
      <w:r w:rsidRPr="00A40AB4">
        <w:rPr>
          <w:rFonts w:cs="Times New Roman"/>
          <w:b/>
          <w:szCs w:val="24"/>
        </w:rPr>
        <w:t>Draudimo rinkos</w:t>
      </w:r>
      <w:r w:rsidR="00FF2BB5" w:rsidRPr="00A40AB4">
        <w:rPr>
          <w:rFonts w:cs="Times New Roman"/>
          <w:b/>
          <w:szCs w:val="24"/>
        </w:rPr>
        <w:t xml:space="preserve"> </w:t>
      </w:r>
      <w:r w:rsidR="0096684A">
        <w:rPr>
          <w:rFonts w:cs="Times New Roman"/>
          <w:b/>
          <w:szCs w:val="24"/>
        </w:rPr>
        <w:t>koncepcija</w:t>
      </w:r>
    </w:p>
    <w:p w:rsidR="000257D1" w:rsidRPr="00A40AB4" w:rsidRDefault="005E3527" w:rsidP="000257D1">
      <w:pPr>
        <w:ind w:firstLine="567"/>
        <w:jc w:val="both"/>
        <w:rPr>
          <w:rFonts w:cs="Times New Roman"/>
          <w:szCs w:val="24"/>
        </w:rPr>
      </w:pPr>
      <w:r w:rsidRPr="00A40AB4">
        <w:rPr>
          <w:rFonts w:cs="Times New Roman"/>
          <w:szCs w:val="24"/>
        </w:rPr>
        <w:t>Siekiant išanalizuoti draudimo rinką t</w:t>
      </w:r>
      <w:r w:rsidR="003C2165" w:rsidRPr="00A40AB4">
        <w:rPr>
          <w:rFonts w:cs="Times New Roman"/>
          <w:szCs w:val="24"/>
        </w:rPr>
        <w:t xml:space="preserve">ikslinga </w:t>
      </w:r>
      <w:r w:rsidR="00C33BA1" w:rsidRPr="00A40AB4">
        <w:rPr>
          <w:rFonts w:cs="Times New Roman"/>
          <w:szCs w:val="24"/>
        </w:rPr>
        <w:t>nustatyti rinkos apibrėžimą.</w:t>
      </w:r>
      <w:r w:rsidR="007C5656" w:rsidRPr="00A40AB4">
        <w:rPr>
          <w:rFonts w:cs="Times New Roman"/>
          <w:szCs w:val="24"/>
        </w:rPr>
        <w:t xml:space="preserve"> Rinka mokslinėje literatūroje nagrinėjama įvairiais aspektais</w:t>
      </w:r>
      <w:r w:rsidR="003A02D8" w:rsidRPr="00A40AB4">
        <w:rPr>
          <w:rFonts w:cs="Times New Roman"/>
          <w:szCs w:val="24"/>
        </w:rPr>
        <w:t>, kadangi norint api</w:t>
      </w:r>
      <w:r w:rsidR="00015DA0" w:rsidRPr="00A40AB4">
        <w:rPr>
          <w:rFonts w:cs="Times New Roman"/>
          <w:szCs w:val="24"/>
        </w:rPr>
        <w:t>brėžti rinką, reikia suvokti jos specifiką.</w:t>
      </w:r>
    </w:p>
    <w:p w:rsidR="00734089" w:rsidRPr="00202C27" w:rsidRDefault="00734089" w:rsidP="000257D1">
      <w:pPr>
        <w:ind w:firstLine="567"/>
        <w:jc w:val="both"/>
        <w:rPr>
          <w:rFonts w:cs="Times New Roman"/>
          <w:szCs w:val="24"/>
        </w:rPr>
      </w:pPr>
      <w:r w:rsidRPr="00202C27">
        <w:rPr>
          <w:rFonts w:cs="Times New Roman"/>
          <w:szCs w:val="24"/>
        </w:rPr>
        <w:t>Dažniausiai literatūroje rinka apibrėžiama kaip „pirkėjų ir pardavėjų susitikimo vieta, kur prekių mainų proceso metu veikia pasiūlos ir paklausos pusiausvyros mechanizmas, išreiškiamas kaina“ (Alborovienė, 2002).</w:t>
      </w:r>
    </w:p>
    <w:p w:rsidR="00A8153A" w:rsidRPr="006F5846" w:rsidRDefault="00FC31DF" w:rsidP="000257D1">
      <w:pPr>
        <w:ind w:firstLine="567"/>
        <w:jc w:val="both"/>
        <w:rPr>
          <w:rFonts w:cs="Times New Roman"/>
          <w:szCs w:val="24"/>
        </w:rPr>
      </w:pPr>
      <w:r w:rsidRPr="006F5846">
        <w:rPr>
          <w:rFonts w:cs="Times New Roman"/>
          <w:szCs w:val="24"/>
        </w:rPr>
        <w:lastRenderedPageBreak/>
        <w:t xml:space="preserve">Įvairūs mokslininkai, nagrinėjantys draudimo veiklą </w:t>
      </w:r>
      <w:r w:rsidR="00202C27">
        <w:rPr>
          <w:rFonts w:cs="Times New Roman"/>
          <w:szCs w:val="24"/>
        </w:rPr>
        <w:t xml:space="preserve">įvairiai </w:t>
      </w:r>
      <w:r w:rsidRPr="006F5846">
        <w:rPr>
          <w:rFonts w:cs="Times New Roman"/>
          <w:szCs w:val="24"/>
        </w:rPr>
        <w:t xml:space="preserve">apibrėžia draudimo rinkos sampratą. </w:t>
      </w:r>
      <w:r w:rsidR="00B70F9E" w:rsidRPr="006F5846">
        <w:rPr>
          <w:rFonts w:cs="Times New Roman"/>
          <w:szCs w:val="24"/>
        </w:rPr>
        <w:t>Anot Čibinskienė</w:t>
      </w:r>
      <w:r w:rsidR="00927FB4" w:rsidRPr="006F5846">
        <w:rPr>
          <w:rFonts w:cs="Times New Roman"/>
          <w:szCs w:val="24"/>
        </w:rPr>
        <w:t>s</w:t>
      </w:r>
      <w:r w:rsidR="00B70F9E" w:rsidRPr="006F5846">
        <w:rPr>
          <w:rFonts w:cs="Times New Roman"/>
          <w:szCs w:val="24"/>
        </w:rPr>
        <w:t xml:space="preserve"> (2005)</w:t>
      </w:r>
      <w:r w:rsidR="006F5846" w:rsidRPr="006F5846">
        <w:rPr>
          <w:rFonts w:cs="Times New Roman"/>
          <w:szCs w:val="24"/>
        </w:rPr>
        <w:t xml:space="preserve"> ir kt.</w:t>
      </w:r>
      <w:r w:rsidR="00B70F9E" w:rsidRPr="006F5846">
        <w:rPr>
          <w:rFonts w:cs="Times New Roman"/>
          <w:szCs w:val="24"/>
        </w:rPr>
        <w:t>, m</w:t>
      </w:r>
      <w:r w:rsidR="00A8153A" w:rsidRPr="006F5846">
        <w:rPr>
          <w:rFonts w:cs="Times New Roman"/>
          <w:szCs w:val="24"/>
        </w:rPr>
        <w:t>okslinėje literatūroje draudimo rinka bendrąja prasme nusakoma kaip finansų rinkos dalis, kuri apima visus tam tikroje ekonominėje aplinkoje veikiančius draudimo veiklos vykdytojus, kaip svarbiausius draudimo rinkos subjektus, draudimo tarpininkus bei tarpusavio priklausomybės ryšius su aplinkos ūkio subjektai</w:t>
      </w:r>
      <w:r w:rsidR="00B70F9E" w:rsidRPr="006F5846">
        <w:rPr>
          <w:rFonts w:cs="Times New Roman"/>
          <w:szCs w:val="24"/>
        </w:rPr>
        <w:t>s.</w:t>
      </w:r>
      <w:r w:rsidR="001C1C63" w:rsidRPr="006F5846">
        <w:rPr>
          <w:rFonts w:cs="Times New Roman"/>
          <w:szCs w:val="24"/>
        </w:rPr>
        <w:t xml:space="preserve"> </w:t>
      </w:r>
      <w:r w:rsidR="006F5846" w:rsidRPr="006F5846">
        <w:rPr>
          <w:rFonts w:cs="Times New Roman"/>
          <w:szCs w:val="24"/>
        </w:rPr>
        <w:t>Mokslininkai</w:t>
      </w:r>
      <w:r w:rsidR="001C1C63" w:rsidRPr="006F5846">
        <w:rPr>
          <w:rFonts w:cs="Times New Roman"/>
          <w:szCs w:val="24"/>
        </w:rPr>
        <w:t xml:space="preserve"> loginės sintezės būdu įvertino bendruosius rinkos susidarymo ir traktavimo principus bei siūlo tokį draudimo rinkos apibrėžimą</w:t>
      </w:r>
      <w:r w:rsidR="006F5846">
        <w:rPr>
          <w:rFonts w:cs="Times New Roman"/>
          <w:szCs w:val="24"/>
        </w:rPr>
        <w:t xml:space="preserve"> </w:t>
      </w:r>
      <w:r w:rsidR="006F5846" w:rsidRPr="006F5846">
        <w:rPr>
          <w:szCs w:val="24"/>
        </w:rPr>
        <w:t>(Čibinskienė, 2005, p. 36):</w:t>
      </w:r>
      <w:r w:rsidR="001C1C63" w:rsidRPr="006F5846">
        <w:rPr>
          <w:rFonts w:cs="Times New Roman"/>
          <w:szCs w:val="24"/>
        </w:rPr>
        <w:t xml:space="preserve"> „</w:t>
      </w:r>
      <w:r w:rsidR="001C1C63" w:rsidRPr="006F5846">
        <w:rPr>
          <w:rFonts w:cs="Times New Roman"/>
          <w:i/>
          <w:szCs w:val="24"/>
        </w:rPr>
        <w:t>draudimo rinka – tai finansų rinkoje veikiantis mainų mechanizmas, suvedantis draudimo paslaugų pardavėjus (draudimo įmonės ir tarpininkai) ir pirkėjus (egzistuojantys motyvuoti ekonomikos subjektai: namų ūkiai, gamybinis, kreditinis, valstybinis sektoriai ir tarptautinės organizacijos), taip suformuojant draudimo paslaugų pasiūlą ir paklausą, kurią reguliuoja ypatinga piniginių santykių forma „draudimo įmoka – draudimo išmoka“ ir kuri leidžia šios rinkos dalyviams realizuoti savo tikslus bei kartu užtikrinti šalies ekonominės ir socialinės raidos tikslingumą bei efektyvumą</w:t>
      </w:r>
      <w:r w:rsidR="001C1C63" w:rsidRPr="006F5846">
        <w:rPr>
          <w:rFonts w:cs="Times New Roman"/>
          <w:szCs w:val="24"/>
        </w:rPr>
        <w:t>“.</w:t>
      </w:r>
    </w:p>
    <w:p w:rsidR="00C1120A" w:rsidRPr="00A40AB4" w:rsidRDefault="00BF292D" w:rsidP="000257D1">
      <w:pPr>
        <w:ind w:firstLine="567"/>
        <w:jc w:val="both"/>
        <w:rPr>
          <w:rFonts w:cs="Times New Roman"/>
          <w:szCs w:val="24"/>
        </w:rPr>
      </w:pPr>
      <w:r w:rsidRPr="00202C27">
        <w:rPr>
          <w:rFonts w:cs="Times New Roman"/>
          <w:szCs w:val="24"/>
        </w:rPr>
        <w:t>Lezgovko (</w:t>
      </w:r>
      <w:r w:rsidR="00202C27" w:rsidRPr="00202C27">
        <w:rPr>
          <w:rFonts w:cs="Times New Roman"/>
          <w:szCs w:val="24"/>
        </w:rPr>
        <w:t>2010</w:t>
      </w:r>
      <w:r w:rsidRPr="00202C27">
        <w:rPr>
          <w:rFonts w:cs="Times New Roman"/>
          <w:szCs w:val="24"/>
        </w:rPr>
        <w:t xml:space="preserve">) pateikia kiek paprastesnį draudimo </w:t>
      </w:r>
      <w:r w:rsidR="004D3999" w:rsidRPr="00202C27">
        <w:rPr>
          <w:rFonts w:cs="Times New Roman"/>
          <w:szCs w:val="24"/>
        </w:rPr>
        <w:t>rinkos apibrėžimą ir ją apibūdina kaip</w:t>
      </w:r>
      <w:r w:rsidRPr="00202C27">
        <w:rPr>
          <w:rFonts w:cs="Times New Roman"/>
          <w:szCs w:val="24"/>
        </w:rPr>
        <w:t xml:space="preserve"> </w:t>
      </w:r>
      <w:r w:rsidR="004D3999" w:rsidRPr="00202C27">
        <w:rPr>
          <w:rFonts w:cs="Times New Roman"/>
          <w:szCs w:val="24"/>
        </w:rPr>
        <w:t>ekonominę socialinę struktūrą</w:t>
      </w:r>
      <w:r w:rsidRPr="00202C27">
        <w:rPr>
          <w:rFonts w:cs="Times New Roman"/>
          <w:szCs w:val="24"/>
        </w:rPr>
        <w:t xml:space="preserve">, kurioje piniginių santykių </w:t>
      </w:r>
      <w:r w:rsidR="004D3999" w:rsidRPr="00202C27">
        <w:rPr>
          <w:rFonts w:cs="Times New Roman"/>
          <w:szCs w:val="24"/>
        </w:rPr>
        <w:t xml:space="preserve">draudimo įmoka – </w:t>
      </w:r>
      <w:r w:rsidRPr="00202C27">
        <w:rPr>
          <w:rFonts w:cs="Times New Roman"/>
          <w:szCs w:val="24"/>
        </w:rPr>
        <w:t xml:space="preserve">išmoka organizavimo forma </w:t>
      </w:r>
      <w:r w:rsidR="004D3999" w:rsidRPr="00202C27">
        <w:rPr>
          <w:rFonts w:cs="Times New Roman"/>
          <w:szCs w:val="24"/>
        </w:rPr>
        <w:t>draudimo įmonėse sudaromas fondas (</w:t>
      </w:r>
      <w:r w:rsidRPr="00202C27">
        <w:rPr>
          <w:rFonts w:cs="Times New Roman"/>
          <w:szCs w:val="24"/>
        </w:rPr>
        <w:t>tiesiogiai ar</w:t>
      </w:r>
      <w:r w:rsidR="004D3999" w:rsidRPr="00202C27">
        <w:rPr>
          <w:rFonts w:cs="Times New Roman"/>
          <w:szCs w:val="24"/>
        </w:rPr>
        <w:t>ba</w:t>
      </w:r>
      <w:r w:rsidRPr="00202C27">
        <w:rPr>
          <w:rFonts w:cs="Times New Roman"/>
          <w:szCs w:val="24"/>
        </w:rPr>
        <w:t xml:space="preserve"> per tarpininkus</w:t>
      </w:r>
      <w:r w:rsidR="004D3999" w:rsidRPr="00202C27">
        <w:rPr>
          <w:rFonts w:cs="Times New Roman"/>
          <w:szCs w:val="24"/>
        </w:rPr>
        <w:t>)</w:t>
      </w:r>
      <w:r w:rsidRPr="00202C27">
        <w:rPr>
          <w:rFonts w:cs="Times New Roman"/>
          <w:szCs w:val="24"/>
        </w:rPr>
        <w:t xml:space="preserve"> ir paskirstomas</w:t>
      </w:r>
      <w:r w:rsidR="004D3999" w:rsidRPr="00202C27">
        <w:rPr>
          <w:rFonts w:cs="Times New Roman"/>
          <w:szCs w:val="24"/>
        </w:rPr>
        <w:t xml:space="preserve"> taip</w:t>
      </w:r>
      <w:r w:rsidRPr="00202C27">
        <w:rPr>
          <w:rFonts w:cs="Times New Roman"/>
          <w:szCs w:val="24"/>
        </w:rPr>
        <w:t>,</w:t>
      </w:r>
      <w:r w:rsidR="004D3999" w:rsidRPr="00202C27">
        <w:rPr>
          <w:rFonts w:cs="Times New Roman"/>
          <w:szCs w:val="24"/>
        </w:rPr>
        <w:t xml:space="preserve"> jog visuomenei galėtų užtikrinti draudimo</w:t>
      </w:r>
      <w:r w:rsidRPr="00202C27">
        <w:rPr>
          <w:rFonts w:cs="Times New Roman"/>
          <w:szCs w:val="24"/>
        </w:rPr>
        <w:t xml:space="preserve"> apsaugą.</w:t>
      </w:r>
    </w:p>
    <w:p w:rsidR="00FC31DF" w:rsidRPr="00A604B0" w:rsidRDefault="009334D7" w:rsidP="000257D1">
      <w:pPr>
        <w:ind w:firstLine="567"/>
        <w:jc w:val="both"/>
        <w:rPr>
          <w:rFonts w:cs="Times New Roman"/>
          <w:szCs w:val="24"/>
        </w:rPr>
      </w:pPr>
      <w:r w:rsidRPr="00A604B0">
        <w:rPr>
          <w:rFonts w:cs="Times New Roman"/>
          <w:szCs w:val="24"/>
        </w:rPr>
        <w:t>Anot Krutiko ir Nikitinos</w:t>
      </w:r>
      <w:r w:rsidR="00501970" w:rsidRPr="00A604B0">
        <w:rPr>
          <w:rFonts w:cs="Times New Roman"/>
          <w:szCs w:val="24"/>
        </w:rPr>
        <w:t xml:space="preserve"> (cit. pagal Kindurys, 2002)</w:t>
      </w:r>
      <w:r w:rsidRPr="00A604B0">
        <w:rPr>
          <w:rFonts w:cs="Times New Roman"/>
          <w:szCs w:val="24"/>
        </w:rPr>
        <w:t>, draudimo rinka –</w:t>
      </w:r>
      <w:r w:rsidR="00BB4457" w:rsidRPr="00A604B0">
        <w:rPr>
          <w:rFonts w:cs="Times New Roman"/>
          <w:szCs w:val="24"/>
        </w:rPr>
        <w:t xml:space="preserve"> </w:t>
      </w:r>
      <w:r w:rsidRPr="00A604B0">
        <w:rPr>
          <w:rFonts w:cs="Times New Roman"/>
          <w:szCs w:val="24"/>
        </w:rPr>
        <w:t>ypatinga piniginių santykių forma, kai specifinė paslauga (draudimo apsaug</w:t>
      </w:r>
      <w:r w:rsidR="00ED6570" w:rsidRPr="00A604B0">
        <w:rPr>
          <w:rFonts w:cs="Times New Roman"/>
          <w:szCs w:val="24"/>
        </w:rPr>
        <w:t>ojimas</w:t>
      </w:r>
      <w:r w:rsidRPr="00A604B0">
        <w:rPr>
          <w:rFonts w:cs="Times New Roman"/>
          <w:szCs w:val="24"/>
        </w:rPr>
        <w:t>) yra pirkimo-pardavimo objektas ir taip susiklosto jos pasiūla bei paklausa.</w:t>
      </w:r>
    </w:p>
    <w:p w:rsidR="009334D7" w:rsidRPr="00A604B0" w:rsidRDefault="00ED6570" w:rsidP="000257D1">
      <w:pPr>
        <w:ind w:firstLine="567"/>
        <w:jc w:val="both"/>
        <w:rPr>
          <w:rFonts w:cs="Times New Roman"/>
          <w:szCs w:val="24"/>
        </w:rPr>
      </w:pPr>
      <w:r w:rsidRPr="00A604B0">
        <w:rPr>
          <w:rFonts w:cs="Times New Roman"/>
          <w:szCs w:val="24"/>
        </w:rPr>
        <w:t>Šachovo nuomone</w:t>
      </w:r>
      <w:r w:rsidR="00F45305" w:rsidRPr="00A604B0">
        <w:rPr>
          <w:rFonts w:cs="Times New Roman"/>
          <w:szCs w:val="24"/>
        </w:rPr>
        <w:t xml:space="preserve"> </w:t>
      </w:r>
      <w:r w:rsidR="007A7537" w:rsidRPr="00A604B0">
        <w:rPr>
          <w:rFonts w:cs="Times New Roman"/>
          <w:szCs w:val="24"/>
        </w:rPr>
        <w:t>(cit. pagal Kindurys, 2002)</w:t>
      </w:r>
      <w:r w:rsidRPr="00A604B0">
        <w:rPr>
          <w:rFonts w:cs="Times New Roman"/>
          <w:szCs w:val="24"/>
        </w:rPr>
        <w:t>, draudimo rinka – tam tikra ekonominių santykių sritis, ypatinga socialinė-ekonominė terpė, kur pirkimo-pardavimo objektas – draudiminė apsauga bei jo formuojama paklausa ir pasiūla.</w:t>
      </w:r>
    </w:p>
    <w:p w:rsidR="00C1657C" w:rsidRPr="00A604B0" w:rsidRDefault="00C1657C" w:rsidP="000257D1">
      <w:pPr>
        <w:ind w:firstLine="567"/>
        <w:jc w:val="both"/>
        <w:rPr>
          <w:rFonts w:cs="Times New Roman"/>
          <w:szCs w:val="24"/>
        </w:rPr>
      </w:pPr>
      <w:r w:rsidRPr="00A604B0">
        <w:rPr>
          <w:rFonts w:cs="Times New Roman"/>
          <w:szCs w:val="24"/>
        </w:rPr>
        <w:t xml:space="preserve">Gvozdenko </w:t>
      </w:r>
      <w:r w:rsidR="00AF4A00" w:rsidRPr="00A604B0">
        <w:rPr>
          <w:rFonts w:cs="Times New Roman"/>
          <w:szCs w:val="24"/>
        </w:rPr>
        <w:t xml:space="preserve">(cit. pagal Kindurys, 2002) </w:t>
      </w:r>
      <w:r w:rsidRPr="00A604B0">
        <w:rPr>
          <w:rFonts w:cs="Times New Roman"/>
          <w:szCs w:val="24"/>
        </w:rPr>
        <w:t>draudimo rinką apibūdina kaip ekonominių santykių, kurie susiklosto perkant ir parduodant draudimo paslaugas, visumą, pasireiškiančią fizinių ir juridinių asmenų turtinių interesų apsauga draudėjų lėšomis (įmokomis) įvykus draudžiamajam įvykiui.</w:t>
      </w:r>
    </w:p>
    <w:p w:rsidR="007B59D7" w:rsidRPr="00A40AB4" w:rsidRDefault="0049187C" w:rsidP="000257D1">
      <w:pPr>
        <w:ind w:firstLine="567"/>
        <w:jc w:val="both"/>
        <w:rPr>
          <w:rFonts w:cs="Times New Roman"/>
          <w:szCs w:val="24"/>
        </w:rPr>
      </w:pPr>
      <w:r w:rsidRPr="00A40AB4">
        <w:rPr>
          <w:rFonts w:cs="Times New Roman"/>
          <w:szCs w:val="24"/>
        </w:rPr>
        <w:t xml:space="preserve">Pagal </w:t>
      </w:r>
      <w:r w:rsidRPr="00A40AB4">
        <w:rPr>
          <w:rFonts w:cs="Times New Roman"/>
          <w:i/>
          <w:szCs w:val="24"/>
        </w:rPr>
        <w:t>Financial</w:t>
      </w:r>
      <w:r w:rsidR="000B3647" w:rsidRPr="00A40AB4">
        <w:rPr>
          <w:rFonts w:cs="Times New Roman"/>
          <w:i/>
          <w:szCs w:val="24"/>
        </w:rPr>
        <w:t xml:space="preserve"> </w:t>
      </w:r>
      <w:r w:rsidRPr="00A40AB4">
        <w:rPr>
          <w:rFonts w:cs="Times New Roman"/>
          <w:i/>
          <w:szCs w:val="24"/>
        </w:rPr>
        <w:t>Times</w:t>
      </w:r>
      <w:r w:rsidRPr="00A40AB4">
        <w:rPr>
          <w:rFonts w:cs="Times New Roman"/>
          <w:szCs w:val="24"/>
        </w:rPr>
        <w:t xml:space="preserve"> žodyną, draudimo rinka – tai tiesiog draudimo pirkimas ir pardavimas. </w:t>
      </w:r>
      <w:r w:rsidR="00EA56D2" w:rsidRPr="00A40AB4">
        <w:rPr>
          <w:rFonts w:cs="Times New Roman"/>
          <w:szCs w:val="24"/>
        </w:rPr>
        <w:t>Kitaip tariant, v</w:t>
      </w:r>
      <w:r w:rsidRPr="00A40AB4">
        <w:rPr>
          <w:rFonts w:cs="Times New Roman"/>
          <w:szCs w:val="24"/>
        </w:rPr>
        <w:t>artotojai ar jų grupės perka iš draudikų specifinių rizikų padengimo draudimą rizikos valdymo sumetimais.</w:t>
      </w:r>
      <w:r w:rsidR="00B9165E" w:rsidRPr="00A40AB4">
        <w:rPr>
          <w:rFonts w:cs="Times New Roman"/>
          <w:szCs w:val="24"/>
        </w:rPr>
        <w:t xml:space="preserve"> </w:t>
      </w:r>
    </w:p>
    <w:p w:rsidR="0049187C" w:rsidRPr="00A40AB4" w:rsidRDefault="00B9165E" w:rsidP="000257D1">
      <w:pPr>
        <w:ind w:firstLine="567"/>
        <w:jc w:val="both"/>
        <w:rPr>
          <w:rFonts w:cs="Times New Roman"/>
          <w:szCs w:val="24"/>
        </w:rPr>
      </w:pPr>
      <w:r w:rsidRPr="00A40AB4">
        <w:rPr>
          <w:rFonts w:cs="Times New Roman"/>
          <w:szCs w:val="24"/>
        </w:rPr>
        <w:t xml:space="preserve">Taigi </w:t>
      </w:r>
      <w:r w:rsidR="007B59D7" w:rsidRPr="00A40AB4">
        <w:rPr>
          <w:rFonts w:cs="Times New Roman"/>
          <w:szCs w:val="24"/>
        </w:rPr>
        <w:t>iš pirmo žvilgsnio</w:t>
      </w:r>
      <w:r w:rsidR="00B47B4F" w:rsidRPr="00A40AB4">
        <w:rPr>
          <w:rFonts w:cs="Times New Roman"/>
          <w:szCs w:val="24"/>
        </w:rPr>
        <w:t xml:space="preserve"> gali pasirodyti</w:t>
      </w:r>
      <w:r w:rsidR="007B59D7" w:rsidRPr="00A40AB4">
        <w:rPr>
          <w:rFonts w:cs="Times New Roman"/>
          <w:szCs w:val="24"/>
        </w:rPr>
        <w:t>,</w:t>
      </w:r>
      <w:r w:rsidR="00B47B4F" w:rsidRPr="00A40AB4">
        <w:rPr>
          <w:rFonts w:cs="Times New Roman"/>
          <w:szCs w:val="24"/>
        </w:rPr>
        <w:t xml:space="preserve"> jog</w:t>
      </w:r>
      <w:r w:rsidR="007B59D7" w:rsidRPr="00A40AB4">
        <w:rPr>
          <w:rFonts w:cs="Times New Roman"/>
          <w:szCs w:val="24"/>
        </w:rPr>
        <w:t xml:space="preserve"> įvairūs </w:t>
      </w:r>
      <w:r w:rsidRPr="00A40AB4">
        <w:rPr>
          <w:rFonts w:cs="Times New Roman"/>
          <w:szCs w:val="24"/>
        </w:rPr>
        <w:t xml:space="preserve">autoriai </w:t>
      </w:r>
      <w:r w:rsidR="007B59D7" w:rsidRPr="00A40AB4">
        <w:rPr>
          <w:rFonts w:cs="Times New Roman"/>
          <w:szCs w:val="24"/>
        </w:rPr>
        <w:t xml:space="preserve">skirtingai apibrėžia </w:t>
      </w:r>
      <w:r w:rsidRPr="00A40AB4">
        <w:rPr>
          <w:rFonts w:cs="Times New Roman"/>
          <w:szCs w:val="24"/>
        </w:rPr>
        <w:t xml:space="preserve">draudimo rinką </w:t>
      </w:r>
      <w:r w:rsidR="007B59D7" w:rsidRPr="00A40AB4">
        <w:rPr>
          <w:rFonts w:cs="Times New Roman"/>
          <w:szCs w:val="24"/>
        </w:rPr>
        <w:t xml:space="preserve">– nuo labai plataus iki pakankamai siauro aiškinimo. Vis dėlto, </w:t>
      </w:r>
      <w:r w:rsidRPr="00A40AB4">
        <w:rPr>
          <w:rFonts w:cs="Times New Roman"/>
          <w:szCs w:val="24"/>
        </w:rPr>
        <w:t xml:space="preserve">esminiai </w:t>
      </w:r>
      <w:r w:rsidR="00AE69B4" w:rsidRPr="00A40AB4">
        <w:rPr>
          <w:rFonts w:cs="Times New Roman"/>
          <w:szCs w:val="24"/>
        </w:rPr>
        <w:t>draudimo rinką apibūdinantys</w:t>
      </w:r>
      <w:r w:rsidR="007B59D7" w:rsidRPr="00A40AB4">
        <w:rPr>
          <w:rFonts w:cs="Times New Roman"/>
          <w:szCs w:val="24"/>
        </w:rPr>
        <w:t xml:space="preserve"> </w:t>
      </w:r>
      <w:r w:rsidR="00AE69B4" w:rsidRPr="00A40AB4">
        <w:rPr>
          <w:rFonts w:cs="Times New Roman"/>
          <w:szCs w:val="24"/>
        </w:rPr>
        <w:t xml:space="preserve">bruožai išlaiko savo esmę </w:t>
      </w:r>
      <w:r w:rsidR="007B59D7" w:rsidRPr="00A40AB4">
        <w:rPr>
          <w:rFonts w:cs="Times New Roman"/>
          <w:szCs w:val="24"/>
        </w:rPr>
        <w:t>kiekviename apibrėžime</w:t>
      </w:r>
      <w:r w:rsidR="00A604B0">
        <w:rPr>
          <w:rFonts w:cs="Times New Roman"/>
          <w:szCs w:val="24"/>
        </w:rPr>
        <w:t>: tam, jog egzistuotų draudimo rinka reikia draudimo paklausos bei pasiūlos, pardavėjų bei pirkėjų; tuomet iš draudimo įmokų sudaromas piniginis fondas, kurio paskirtis – mokėti draudimo išmokas.</w:t>
      </w:r>
    </w:p>
    <w:p w:rsidR="009876EE" w:rsidRPr="00A40AB4" w:rsidRDefault="009876EE" w:rsidP="000257D1">
      <w:pPr>
        <w:ind w:firstLine="567"/>
        <w:jc w:val="both"/>
        <w:rPr>
          <w:rFonts w:cs="Times New Roman"/>
          <w:szCs w:val="24"/>
        </w:rPr>
      </w:pPr>
    </w:p>
    <w:p w:rsidR="00503271" w:rsidRPr="00A40AB4" w:rsidRDefault="00503271" w:rsidP="000257D1">
      <w:pPr>
        <w:ind w:firstLine="567"/>
        <w:jc w:val="both"/>
        <w:rPr>
          <w:rFonts w:cs="Times New Roman"/>
          <w:szCs w:val="24"/>
        </w:rPr>
      </w:pPr>
      <w:r w:rsidRPr="00A40AB4">
        <w:rPr>
          <w:rFonts w:cs="Times New Roman"/>
          <w:b/>
          <w:szCs w:val="24"/>
        </w:rPr>
        <w:lastRenderedPageBreak/>
        <w:t>Draudimo rinkos vieta finansų sistemoje</w:t>
      </w:r>
    </w:p>
    <w:p w:rsidR="009E0370" w:rsidRPr="00716F4A" w:rsidRDefault="009D3CD8" w:rsidP="000257D1">
      <w:pPr>
        <w:ind w:firstLine="567"/>
        <w:jc w:val="both"/>
        <w:rPr>
          <w:rFonts w:cs="Times New Roman"/>
          <w:noProof/>
          <w:szCs w:val="24"/>
          <w:lang w:eastAsia="lt-LT"/>
        </w:rPr>
      </w:pPr>
      <w:r w:rsidRPr="00716F4A">
        <w:rPr>
          <w:rFonts w:cs="Times New Roman"/>
          <w:noProof/>
          <w:szCs w:val="24"/>
          <w:lang w:eastAsia="lt-LT"/>
        </w:rPr>
        <w:t xml:space="preserve">Apibrėžus draudimo rinką </w:t>
      </w:r>
      <w:r w:rsidR="00323900" w:rsidRPr="00716F4A">
        <w:rPr>
          <w:rFonts w:cs="Times New Roman"/>
          <w:noProof/>
          <w:szCs w:val="24"/>
          <w:lang w:eastAsia="lt-LT"/>
        </w:rPr>
        <w:t>derėtų</w:t>
      </w:r>
      <w:r w:rsidRPr="00716F4A">
        <w:rPr>
          <w:rFonts w:cs="Times New Roman"/>
          <w:noProof/>
          <w:szCs w:val="24"/>
          <w:lang w:eastAsia="lt-LT"/>
        </w:rPr>
        <w:t xml:space="preserve"> identifiku</w:t>
      </w:r>
      <w:r w:rsidR="00877D15" w:rsidRPr="00716F4A">
        <w:rPr>
          <w:rFonts w:cs="Times New Roman"/>
          <w:noProof/>
          <w:szCs w:val="24"/>
          <w:lang w:eastAsia="lt-LT"/>
        </w:rPr>
        <w:t>oti jos vietą visoje ekonomikos</w:t>
      </w:r>
      <w:r w:rsidRPr="00716F4A">
        <w:rPr>
          <w:rFonts w:cs="Times New Roman"/>
          <w:noProof/>
          <w:szCs w:val="24"/>
          <w:lang w:eastAsia="lt-LT"/>
        </w:rPr>
        <w:t xml:space="preserve"> sistemoje.</w:t>
      </w:r>
      <w:r w:rsidR="00AE436C" w:rsidRPr="00716F4A">
        <w:rPr>
          <w:rFonts w:cs="Times New Roman"/>
          <w:noProof/>
          <w:szCs w:val="24"/>
          <w:lang w:eastAsia="lt-LT"/>
        </w:rPr>
        <w:t xml:space="preserve"> </w:t>
      </w:r>
      <w:r w:rsidR="00716F4A">
        <w:rPr>
          <w:rFonts w:cs="Times New Roman"/>
          <w:noProof/>
          <w:szCs w:val="24"/>
          <w:lang w:eastAsia="lt-LT"/>
        </w:rPr>
        <w:t>Anot Aidukienės ir Simanavičienės (</w:t>
      </w:r>
      <w:r w:rsidR="00716F4A">
        <w:rPr>
          <w:rFonts w:cs="Times New Roman"/>
          <w:noProof/>
          <w:szCs w:val="24"/>
          <w:lang w:val="en-US" w:eastAsia="lt-LT"/>
        </w:rPr>
        <w:t>2010), d</w:t>
      </w:r>
      <w:r w:rsidR="00AE436C" w:rsidRPr="00716F4A">
        <w:rPr>
          <w:rFonts w:cs="Times New Roman"/>
          <w:noProof/>
          <w:szCs w:val="24"/>
          <w:lang w:eastAsia="lt-LT"/>
        </w:rPr>
        <w:t xml:space="preserve">raudimo rinką </w:t>
      </w:r>
      <w:r w:rsidR="00716F4A">
        <w:rPr>
          <w:rFonts w:cs="Times New Roman"/>
          <w:noProof/>
          <w:szCs w:val="24"/>
          <w:lang w:eastAsia="lt-LT"/>
        </w:rPr>
        <w:t xml:space="preserve">tikslinga </w:t>
      </w:r>
      <w:r w:rsidR="00AE436C" w:rsidRPr="00716F4A">
        <w:rPr>
          <w:rFonts w:cs="Times New Roman"/>
          <w:noProof/>
          <w:szCs w:val="24"/>
          <w:lang w:eastAsia="lt-LT"/>
        </w:rPr>
        <w:t>analizuoti ją supančių sistemų aplinkoje (</w:t>
      </w:r>
      <w:r w:rsidR="00940621">
        <w:rPr>
          <w:rFonts w:cs="Times New Roman"/>
          <w:noProof/>
          <w:szCs w:val="24"/>
          <w:lang w:eastAsia="lt-LT"/>
        </w:rPr>
        <w:t xml:space="preserve">žr. </w:t>
      </w:r>
      <w:r w:rsidR="00913155">
        <w:rPr>
          <w:rFonts w:cs="Times New Roman"/>
          <w:noProof/>
          <w:szCs w:val="24"/>
          <w:lang w:eastAsia="lt-LT"/>
        </w:rPr>
        <w:t>1</w:t>
      </w:r>
      <w:r w:rsidR="00FD5F6C" w:rsidRPr="00716F4A">
        <w:rPr>
          <w:rFonts w:cs="Times New Roman"/>
          <w:noProof/>
          <w:szCs w:val="24"/>
          <w:lang w:eastAsia="lt-LT"/>
        </w:rPr>
        <w:t xml:space="preserve"> pav</w:t>
      </w:r>
      <w:r w:rsidR="00AE436C" w:rsidRPr="00716F4A">
        <w:rPr>
          <w:rFonts w:cs="Times New Roman"/>
          <w:noProof/>
          <w:szCs w:val="24"/>
          <w:lang w:eastAsia="lt-LT"/>
        </w:rPr>
        <w:t>.)</w:t>
      </w:r>
      <w:r w:rsidRPr="00716F4A">
        <w:rPr>
          <w:rFonts w:cs="Times New Roman"/>
          <w:noProof/>
          <w:szCs w:val="24"/>
          <w:lang w:eastAsia="lt-LT"/>
        </w:rPr>
        <w:t>.</w:t>
      </w:r>
    </w:p>
    <w:p w:rsidR="006D12C8" w:rsidRPr="00A40AB4" w:rsidRDefault="006D12C8" w:rsidP="000257D1">
      <w:pPr>
        <w:ind w:firstLine="567"/>
        <w:jc w:val="both"/>
        <w:rPr>
          <w:rFonts w:cs="Times New Roman"/>
          <w:noProof/>
          <w:szCs w:val="24"/>
          <w:lang w:eastAsia="lt-LT"/>
        </w:rPr>
      </w:pPr>
    </w:p>
    <w:p w:rsidR="009D3CD8" w:rsidRPr="00A40AB4" w:rsidRDefault="00AE436C" w:rsidP="00D82E1D">
      <w:pPr>
        <w:jc w:val="center"/>
        <w:rPr>
          <w:rFonts w:cs="Times New Roman"/>
          <w:noProof/>
          <w:szCs w:val="24"/>
          <w:lang w:eastAsia="lt-LT"/>
        </w:rPr>
      </w:pPr>
      <w:r w:rsidRPr="00A40AB4">
        <w:rPr>
          <w:rFonts w:cs="Times New Roman"/>
          <w:noProof/>
          <w:szCs w:val="24"/>
          <w:lang w:eastAsia="lt-LT"/>
        </w:rPr>
        <w:drawing>
          <wp:inline distT="0" distB="0" distL="0" distR="0">
            <wp:extent cx="4366632" cy="2768755"/>
            <wp:effectExtent l="19050" t="19050" r="14868" b="3159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71692" w:rsidRPr="00A40AB4" w:rsidRDefault="00171692" w:rsidP="00B973A4">
      <w:pPr>
        <w:jc w:val="center"/>
        <w:rPr>
          <w:rFonts w:cs="Times New Roman"/>
          <w:sz w:val="20"/>
          <w:szCs w:val="20"/>
        </w:rPr>
      </w:pPr>
      <w:r w:rsidRPr="00A40AB4">
        <w:rPr>
          <w:rFonts w:cs="Times New Roman"/>
          <w:b/>
          <w:sz w:val="20"/>
          <w:szCs w:val="20"/>
        </w:rPr>
        <w:t>Šaltinis:</w:t>
      </w:r>
      <w:r w:rsidR="00D70E2E" w:rsidRPr="00A40AB4">
        <w:rPr>
          <w:rFonts w:cs="Times New Roman"/>
          <w:b/>
          <w:sz w:val="20"/>
          <w:szCs w:val="20"/>
        </w:rPr>
        <w:t xml:space="preserve"> </w:t>
      </w:r>
      <w:r w:rsidR="00716F4A">
        <w:rPr>
          <w:rFonts w:cs="Times New Roman"/>
          <w:sz w:val="20"/>
          <w:szCs w:val="20"/>
        </w:rPr>
        <w:t>Aidukienė</w:t>
      </w:r>
      <w:r w:rsidR="00863BB4">
        <w:rPr>
          <w:rFonts w:cs="Times New Roman"/>
          <w:sz w:val="20"/>
          <w:szCs w:val="20"/>
        </w:rPr>
        <w:t xml:space="preserve"> L.,</w:t>
      </w:r>
      <w:r w:rsidR="00716F4A">
        <w:rPr>
          <w:rFonts w:cs="Times New Roman"/>
          <w:sz w:val="20"/>
          <w:szCs w:val="20"/>
        </w:rPr>
        <w:t xml:space="preserve"> Simanavičienė</w:t>
      </w:r>
      <w:r w:rsidR="00863BB4">
        <w:rPr>
          <w:rFonts w:cs="Times New Roman"/>
          <w:sz w:val="20"/>
          <w:szCs w:val="20"/>
        </w:rPr>
        <w:t xml:space="preserve"> A.</w:t>
      </w:r>
      <w:r w:rsidR="00716F4A">
        <w:rPr>
          <w:rFonts w:cs="Times New Roman"/>
          <w:sz w:val="20"/>
          <w:szCs w:val="20"/>
        </w:rPr>
        <w:t xml:space="preserve">, </w:t>
      </w:r>
      <w:r w:rsidR="00716F4A">
        <w:rPr>
          <w:rFonts w:cs="Times New Roman"/>
          <w:sz w:val="20"/>
          <w:szCs w:val="20"/>
          <w:lang w:val="en-US"/>
        </w:rPr>
        <w:t>2010</w:t>
      </w:r>
      <w:r w:rsidRPr="00A40AB4">
        <w:rPr>
          <w:rFonts w:cs="Times New Roman"/>
          <w:sz w:val="20"/>
          <w:szCs w:val="20"/>
        </w:rPr>
        <w:t>.</w:t>
      </w:r>
    </w:p>
    <w:p w:rsidR="00783235" w:rsidRPr="00A40AB4" w:rsidRDefault="00913155" w:rsidP="00783235">
      <w:pPr>
        <w:pStyle w:val="Heading2"/>
        <w:spacing w:line="360" w:lineRule="auto"/>
        <w:ind w:firstLine="0"/>
      </w:pPr>
      <w:bookmarkStart w:id="36" w:name="_Toc303717693"/>
      <w:bookmarkStart w:id="37" w:name="_Toc328358581"/>
      <w:bookmarkStart w:id="38" w:name="_Toc328359410"/>
      <w:bookmarkStart w:id="39" w:name="_Toc328359495"/>
      <w:bookmarkStart w:id="40" w:name="_Toc328359550"/>
      <w:bookmarkStart w:id="41" w:name="_Toc340573827"/>
      <w:bookmarkStart w:id="42" w:name="_Toc340574097"/>
      <w:bookmarkStart w:id="43" w:name="_Toc340574372"/>
      <w:bookmarkStart w:id="44" w:name="_Toc340792009"/>
      <w:bookmarkStart w:id="45" w:name="_Toc341641107"/>
      <w:bookmarkStart w:id="46" w:name="_Toc341641358"/>
      <w:bookmarkStart w:id="47" w:name="_Toc342859646"/>
      <w:r>
        <w:t>1</w:t>
      </w:r>
      <w:r w:rsidR="00783235" w:rsidRPr="00A40AB4">
        <w:t xml:space="preserve"> pav. Lietuvos draudimo rinkos vieta ekonomikoje</w:t>
      </w:r>
      <w:bookmarkEnd w:id="36"/>
      <w:bookmarkEnd w:id="37"/>
      <w:bookmarkEnd w:id="38"/>
      <w:bookmarkEnd w:id="39"/>
      <w:bookmarkEnd w:id="40"/>
      <w:bookmarkEnd w:id="41"/>
      <w:bookmarkEnd w:id="42"/>
      <w:bookmarkEnd w:id="43"/>
      <w:bookmarkEnd w:id="44"/>
      <w:bookmarkEnd w:id="45"/>
      <w:bookmarkEnd w:id="46"/>
      <w:bookmarkEnd w:id="47"/>
    </w:p>
    <w:p w:rsidR="009E0370" w:rsidRPr="00A40AB4" w:rsidRDefault="009E0370" w:rsidP="009E0370">
      <w:pPr>
        <w:ind w:firstLine="567"/>
        <w:jc w:val="both"/>
        <w:rPr>
          <w:rFonts w:cs="Times New Roman"/>
          <w:noProof/>
          <w:szCs w:val="24"/>
          <w:lang w:eastAsia="lt-LT"/>
        </w:rPr>
      </w:pPr>
    </w:p>
    <w:p w:rsidR="009E0370" w:rsidRPr="00A40AB4" w:rsidRDefault="009E0370" w:rsidP="009E0370">
      <w:pPr>
        <w:ind w:firstLine="567"/>
        <w:jc w:val="both"/>
        <w:rPr>
          <w:rFonts w:cs="Times New Roman"/>
          <w:noProof/>
          <w:szCs w:val="24"/>
          <w:lang w:eastAsia="lt-LT"/>
        </w:rPr>
      </w:pPr>
      <w:r w:rsidRPr="00A40AB4">
        <w:rPr>
          <w:rFonts w:cs="Times New Roman"/>
          <w:noProof/>
          <w:szCs w:val="24"/>
          <w:lang w:eastAsia="lt-LT"/>
        </w:rPr>
        <w:t xml:space="preserve">Draudimo sistemą laikant atskaitos tašku finansų sistema yra pirmoji, šalies makroekonomika – antroji, valstybė – trečioji, o Europos Sąjunga – ketvirtoji gaubiančioji sistema. Aukštesnio lygio gaubiančiosios sistemos elementas apibrėžia žemesnių lygių sistemų valdančiųjų elementų veiklos ribas ir kryptis. Taigi kiekviena gaubiančioji sistema nustato funkcijas žemesnių lygių sistemoms. Iš </w:t>
      </w:r>
      <w:r w:rsidRPr="00A40AB4">
        <w:rPr>
          <w:rFonts w:cs="Times New Roman"/>
          <w:szCs w:val="24"/>
          <w:lang w:eastAsia="lt-LT"/>
        </w:rPr>
        <w:t>paveikslo</w:t>
      </w:r>
      <w:r w:rsidRPr="00A40AB4">
        <w:rPr>
          <w:rFonts w:cs="Times New Roman"/>
          <w:noProof/>
          <w:szCs w:val="24"/>
          <w:lang w:eastAsia="lt-LT"/>
        </w:rPr>
        <w:t xml:space="preserve"> matyti, kad draudimo rinką vienaip ar kitaip įtakoja ES, valstybė, šalies makroekonomika, finansų sistema. Verta paminėti, jog draudimo sistemai įtaką daro ir šios rinkos dalyviai: draudimo įmonės, draudėjai, draudimo tarpininkai (brokeriai bei agentai), DPK, VPK, draudikų bei draudimo brokerių asociacijos.</w:t>
      </w:r>
    </w:p>
    <w:p w:rsidR="009E0370" w:rsidRPr="00A40AB4" w:rsidRDefault="009E0370" w:rsidP="009E0370">
      <w:pPr>
        <w:ind w:firstLine="567"/>
        <w:jc w:val="both"/>
        <w:rPr>
          <w:rFonts w:cs="Times New Roman"/>
          <w:noProof/>
          <w:szCs w:val="24"/>
          <w:lang w:eastAsia="lt-LT"/>
        </w:rPr>
      </w:pPr>
      <w:r w:rsidRPr="00A40AB4">
        <w:rPr>
          <w:rFonts w:cs="Times New Roman"/>
          <w:noProof/>
          <w:szCs w:val="24"/>
          <w:lang w:eastAsia="lt-LT"/>
        </w:rPr>
        <w:t>Buškevičiūtė ir Poželaitė (2001) laikosi nuomonės, jog kiekvienos valstybės draudimo sistemą veikia ne tik 2 paveiksle pavaizduotos gaubiančiosios sistemos, tačiau ir pasaulinė draudimo sistema, įvairūs užsienio įvykiai, užsienio valstybių politika, globalizacija, terorizmas ir pan.</w:t>
      </w:r>
    </w:p>
    <w:p w:rsidR="00F02B0C" w:rsidRPr="00A40AB4" w:rsidRDefault="00EF27DC" w:rsidP="00D44822">
      <w:pPr>
        <w:ind w:firstLine="567"/>
        <w:jc w:val="both"/>
        <w:rPr>
          <w:rFonts w:cs="Times New Roman"/>
          <w:szCs w:val="24"/>
        </w:rPr>
      </w:pPr>
      <w:r w:rsidRPr="00A40AB4">
        <w:rPr>
          <w:rFonts w:cs="Times New Roman"/>
          <w:szCs w:val="24"/>
        </w:rPr>
        <w:t>Draudimo rinkos vietą reikėtų apibrėžti ir</w:t>
      </w:r>
      <w:r w:rsidR="00F0783C" w:rsidRPr="00A40AB4">
        <w:rPr>
          <w:rFonts w:cs="Times New Roman"/>
          <w:szCs w:val="24"/>
        </w:rPr>
        <w:t xml:space="preserve"> finansų rinkų aspektu</w:t>
      </w:r>
      <w:r w:rsidRPr="00A40AB4">
        <w:rPr>
          <w:rFonts w:cs="Times New Roman"/>
          <w:szCs w:val="24"/>
        </w:rPr>
        <w:t xml:space="preserve"> </w:t>
      </w:r>
      <w:r w:rsidR="00516A1A">
        <w:rPr>
          <w:rFonts w:cs="Times New Roman"/>
          <w:szCs w:val="24"/>
        </w:rPr>
        <w:t xml:space="preserve">(žr. </w:t>
      </w:r>
      <w:r w:rsidR="00913155">
        <w:rPr>
          <w:rFonts w:cs="Times New Roman"/>
          <w:szCs w:val="24"/>
        </w:rPr>
        <w:t>2</w:t>
      </w:r>
      <w:r w:rsidR="00FD5F6C" w:rsidRPr="00A40AB4">
        <w:rPr>
          <w:rFonts w:cs="Times New Roman"/>
          <w:szCs w:val="24"/>
        </w:rPr>
        <w:t xml:space="preserve"> pav</w:t>
      </w:r>
      <w:r w:rsidRPr="00A40AB4">
        <w:rPr>
          <w:rFonts w:cs="Times New Roman"/>
          <w:szCs w:val="24"/>
        </w:rPr>
        <w:t>.</w:t>
      </w:r>
      <w:r w:rsidR="00516A1A">
        <w:rPr>
          <w:rFonts w:cs="Times New Roman"/>
          <w:szCs w:val="24"/>
        </w:rPr>
        <w:t>).</w:t>
      </w:r>
    </w:p>
    <w:p w:rsidR="00B0327A" w:rsidRPr="00A40AB4" w:rsidRDefault="00B0327A" w:rsidP="00D44822">
      <w:pPr>
        <w:ind w:firstLine="567"/>
        <w:jc w:val="both"/>
        <w:rPr>
          <w:rFonts w:cs="Times New Roman"/>
          <w:szCs w:val="24"/>
        </w:rPr>
      </w:pPr>
    </w:p>
    <w:p w:rsidR="00A02226" w:rsidRPr="00A40AB4" w:rsidRDefault="00A02226" w:rsidP="00E44537">
      <w:pPr>
        <w:jc w:val="center"/>
        <w:rPr>
          <w:rFonts w:cs="Times New Roman"/>
          <w:szCs w:val="24"/>
        </w:rPr>
      </w:pPr>
      <w:r w:rsidRPr="00A40AB4">
        <w:rPr>
          <w:rFonts w:cs="Times New Roman"/>
          <w:noProof/>
          <w:szCs w:val="24"/>
          <w:lang w:eastAsia="lt-LT"/>
        </w:rPr>
        <w:lastRenderedPageBreak/>
        <w:drawing>
          <wp:inline distT="0" distB="0" distL="0" distR="0">
            <wp:extent cx="4202076" cy="2796363"/>
            <wp:effectExtent l="19050" t="0" r="27024" b="3987"/>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02226" w:rsidRPr="00A40AB4" w:rsidRDefault="00A02226" w:rsidP="00B973A4">
      <w:pPr>
        <w:jc w:val="center"/>
        <w:rPr>
          <w:rFonts w:cs="Times New Roman"/>
          <w:sz w:val="20"/>
          <w:szCs w:val="20"/>
        </w:rPr>
      </w:pPr>
      <w:r w:rsidRPr="00A40AB4">
        <w:rPr>
          <w:rFonts w:cs="Times New Roman"/>
          <w:b/>
          <w:sz w:val="20"/>
          <w:szCs w:val="20"/>
        </w:rPr>
        <w:t xml:space="preserve">Šaltinis: </w:t>
      </w:r>
      <w:r w:rsidR="001F5EC4" w:rsidRPr="00A40AB4">
        <w:rPr>
          <w:rFonts w:cs="Times New Roman"/>
          <w:sz w:val="20"/>
          <w:szCs w:val="20"/>
        </w:rPr>
        <w:t>Linartas A., 2012</w:t>
      </w:r>
      <w:r w:rsidRPr="00A40AB4">
        <w:rPr>
          <w:rFonts w:cs="Times New Roman"/>
          <w:sz w:val="20"/>
          <w:szCs w:val="20"/>
        </w:rPr>
        <w:t>.</w:t>
      </w:r>
    </w:p>
    <w:p w:rsidR="00783235" w:rsidRPr="00A40AB4" w:rsidRDefault="00913155" w:rsidP="00783235">
      <w:pPr>
        <w:pStyle w:val="Heading2"/>
        <w:spacing w:line="360" w:lineRule="auto"/>
        <w:ind w:firstLine="0"/>
      </w:pPr>
      <w:bookmarkStart w:id="48" w:name="_Toc328358582"/>
      <w:bookmarkStart w:id="49" w:name="_Toc328359411"/>
      <w:bookmarkStart w:id="50" w:name="_Toc328359496"/>
      <w:bookmarkStart w:id="51" w:name="_Toc328359551"/>
      <w:bookmarkStart w:id="52" w:name="_Toc340573828"/>
      <w:bookmarkStart w:id="53" w:name="_Toc340574098"/>
      <w:bookmarkStart w:id="54" w:name="_Toc340574373"/>
      <w:bookmarkStart w:id="55" w:name="_Toc340792010"/>
      <w:bookmarkStart w:id="56" w:name="_Toc341641108"/>
      <w:bookmarkStart w:id="57" w:name="_Toc341641359"/>
      <w:bookmarkStart w:id="58" w:name="_Toc342859647"/>
      <w:r>
        <w:t>2</w:t>
      </w:r>
      <w:r w:rsidR="00783235" w:rsidRPr="00A40AB4">
        <w:t xml:space="preserve"> pav. Finansų rinkų klasifikacija</w:t>
      </w:r>
      <w:bookmarkEnd w:id="48"/>
      <w:bookmarkEnd w:id="49"/>
      <w:bookmarkEnd w:id="50"/>
      <w:bookmarkEnd w:id="51"/>
      <w:bookmarkEnd w:id="52"/>
      <w:bookmarkEnd w:id="53"/>
      <w:bookmarkEnd w:id="54"/>
      <w:bookmarkEnd w:id="55"/>
      <w:bookmarkEnd w:id="56"/>
      <w:bookmarkEnd w:id="57"/>
      <w:bookmarkEnd w:id="58"/>
    </w:p>
    <w:p w:rsidR="00EF27DC" w:rsidRPr="00A40AB4" w:rsidRDefault="00EF27DC" w:rsidP="00EF27DC">
      <w:pPr>
        <w:ind w:firstLine="567"/>
        <w:jc w:val="both"/>
        <w:rPr>
          <w:rFonts w:cs="Times New Roman"/>
          <w:szCs w:val="24"/>
        </w:rPr>
      </w:pPr>
    </w:p>
    <w:p w:rsidR="00EF27DC" w:rsidRDefault="00EF27DC" w:rsidP="00EF27DC">
      <w:pPr>
        <w:ind w:firstLine="567"/>
        <w:jc w:val="both"/>
        <w:rPr>
          <w:rFonts w:cs="Times New Roman"/>
          <w:szCs w:val="24"/>
        </w:rPr>
      </w:pPr>
      <w:r w:rsidRPr="00A40AB4">
        <w:rPr>
          <w:rFonts w:cs="Times New Roman"/>
          <w:szCs w:val="24"/>
        </w:rPr>
        <w:t>Kaip matyti</w:t>
      </w:r>
      <w:r w:rsidR="000E553D">
        <w:rPr>
          <w:rFonts w:cs="Times New Roman"/>
          <w:szCs w:val="24"/>
        </w:rPr>
        <w:t xml:space="preserve"> iš </w:t>
      </w:r>
      <w:r w:rsidR="00913155">
        <w:rPr>
          <w:rFonts w:cs="Times New Roman"/>
          <w:szCs w:val="24"/>
        </w:rPr>
        <w:t>2</w:t>
      </w:r>
      <w:r w:rsidR="000E553D">
        <w:rPr>
          <w:rFonts w:cs="Times New Roman"/>
          <w:szCs w:val="24"/>
          <w:lang w:val="en-US"/>
        </w:rPr>
        <w:t xml:space="preserve"> </w:t>
      </w:r>
      <w:r w:rsidR="00491D0A" w:rsidRPr="00A40AB4">
        <w:rPr>
          <w:rFonts w:cs="Times New Roman"/>
          <w:szCs w:val="24"/>
        </w:rPr>
        <w:t>pav</w:t>
      </w:r>
      <w:r w:rsidR="001D014F">
        <w:rPr>
          <w:rFonts w:cs="Times New Roman"/>
          <w:szCs w:val="24"/>
        </w:rPr>
        <w:t>eikslo</w:t>
      </w:r>
      <w:r w:rsidRPr="00A40AB4">
        <w:rPr>
          <w:rFonts w:cs="Times New Roman"/>
          <w:szCs w:val="24"/>
        </w:rPr>
        <w:t xml:space="preserve">, finansų rinka skirstoma į draudimo, bankinę bei vertybinių popierių rinkas. </w:t>
      </w:r>
      <w:r w:rsidR="007209A3">
        <w:rPr>
          <w:rFonts w:cs="Times New Roman"/>
          <w:szCs w:val="24"/>
        </w:rPr>
        <w:t>Pasak Linarto (</w:t>
      </w:r>
      <w:r w:rsidR="007209A3">
        <w:rPr>
          <w:rFonts w:cs="Times New Roman"/>
          <w:szCs w:val="24"/>
          <w:lang w:val="en-US"/>
        </w:rPr>
        <w:t>2012), b</w:t>
      </w:r>
      <w:r w:rsidRPr="00A40AB4">
        <w:rPr>
          <w:rFonts w:cs="Times New Roman"/>
          <w:szCs w:val="24"/>
        </w:rPr>
        <w:t>ankinė rinka apima tokias institucijas kaip komerciniai bankai, kredito unijos, taupymo kasos, lizingo ir faktoringo įmonės. Vertybinių popierių rinkos dalyvės – finansų maklerių ir valdymo įmonės, kolektyvinio investavimo subjektai, investiciniai bankai, pensijų bei alternatyvūs fondai. Draudimo rinkai priskiriamos gyvybės, ne gyvybės, perdraudimo įmonės, savidraudos draugijos, Lloyd‘s. Paveiksle parodytos rinkos gali kirstis su tam tikrais kitų finansų rinkų siūlomais produktais, t.y. egzistuoja tokie produktai-substitutai, kuriuos siūlo dvi ar net visos trys paminėtos rinkos.</w:t>
      </w:r>
    </w:p>
    <w:p w:rsidR="00FC20A8" w:rsidRPr="00FC20A8" w:rsidRDefault="00FC20A8" w:rsidP="00EF27DC">
      <w:pPr>
        <w:ind w:firstLine="567"/>
        <w:jc w:val="both"/>
        <w:rPr>
          <w:rFonts w:cs="Times New Roman"/>
          <w:szCs w:val="24"/>
        </w:rPr>
      </w:pPr>
      <w:r w:rsidRPr="00FC20A8">
        <w:rPr>
          <w:rFonts w:cs="Times New Roman"/>
          <w:szCs w:val="24"/>
        </w:rPr>
        <w:t xml:space="preserve">Taigi Linartas (2012) </w:t>
      </w:r>
      <w:r>
        <w:rPr>
          <w:rFonts w:cs="Times New Roman"/>
          <w:szCs w:val="24"/>
        </w:rPr>
        <w:t>atskleidžia, jog draudimo rinka – svarbi finansų rinkų dalis. Autorius taip pat pabrėžia, jog visos trys finansų rinkos stipriai siejasi tarpusavyje, kartais netgi kertasi bei iš dalies yra priklausomos viena nuo kitos.</w:t>
      </w:r>
    </w:p>
    <w:p w:rsidR="0096684A" w:rsidRPr="00A40AB4" w:rsidRDefault="0096684A" w:rsidP="00EF27DC">
      <w:pPr>
        <w:ind w:firstLine="567"/>
        <w:jc w:val="both"/>
        <w:rPr>
          <w:rFonts w:cs="Times New Roman"/>
          <w:szCs w:val="24"/>
        </w:rPr>
      </w:pPr>
    </w:p>
    <w:p w:rsidR="0096684A" w:rsidRPr="008D6D11" w:rsidRDefault="0096684A" w:rsidP="004F0933">
      <w:pPr>
        <w:pStyle w:val="Heading2"/>
        <w:numPr>
          <w:ilvl w:val="1"/>
          <w:numId w:val="6"/>
        </w:numPr>
        <w:spacing w:line="360" w:lineRule="auto"/>
        <w:jc w:val="both"/>
        <w:rPr>
          <w:sz w:val="28"/>
        </w:rPr>
      </w:pPr>
      <w:bookmarkStart w:id="59" w:name="_Toc341641360"/>
      <w:bookmarkStart w:id="60" w:name="_Toc342859648"/>
      <w:r w:rsidRPr="008D6D11">
        <w:rPr>
          <w:sz w:val="28"/>
        </w:rPr>
        <w:t>Draudimo rinkų klasifikacija</w:t>
      </w:r>
      <w:bookmarkEnd w:id="59"/>
      <w:bookmarkEnd w:id="60"/>
    </w:p>
    <w:p w:rsidR="00C14E23" w:rsidRPr="00A40AB4" w:rsidRDefault="00C14E23" w:rsidP="00EF27DC">
      <w:pPr>
        <w:ind w:firstLine="567"/>
        <w:jc w:val="both"/>
        <w:rPr>
          <w:rFonts w:cs="Times New Roman"/>
          <w:szCs w:val="24"/>
        </w:rPr>
      </w:pPr>
    </w:p>
    <w:p w:rsidR="00411306" w:rsidRDefault="00A157DD" w:rsidP="00A66C5A">
      <w:pPr>
        <w:ind w:firstLine="567"/>
        <w:jc w:val="both"/>
        <w:rPr>
          <w:rFonts w:cs="Times New Roman"/>
          <w:noProof/>
          <w:szCs w:val="24"/>
          <w:lang w:eastAsia="lt-LT"/>
        </w:rPr>
      </w:pPr>
      <w:r w:rsidRPr="00EA09ED">
        <w:rPr>
          <w:rFonts w:cs="Times New Roman"/>
          <w:noProof/>
          <w:szCs w:val="24"/>
          <w:lang w:eastAsia="lt-LT"/>
        </w:rPr>
        <w:t>Apibrėžus</w:t>
      </w:r>
      <w:r w:rsidR="000577E4" w:rsidRPr="00EA09ED">
        <w:rPr>
          <w:rFonts w:cs="Times New Roman"/>
          <w:noProof/>
          <w:szCs w:val="24"/>
          <w:lang w:eastAsia="lt-LT"/>
        </w:rPr>
        <w:t xml:space="preserve"> svarbiausias sąvokas bei identifikavus draudimo rinkos vietą ekonomikoje </w:t>
      </w:r>
      <w:r w:rsidR="00A40A0C">
        <w:rPr>
          <w:rFonts w:cs="Times New Roman"/>
          <w:noProof/>
          <w:szCs w:val="24"/>
          <w:lang w:eastAsia="lt-LT"/>
        </w:rPr>
        <w:t>tikslinga</w:t>
      </w:r>
      <w:r w:rsidR="000577E4" w:rsidRPr="00EA09ED">
        <w:rPr>
          <w:rFonts w:cs="Times New Roman"/>
          <w:noProof/>
          <w:szCs w:val="24"/>
          <w:lang w:eastAsia="lt-LT"/>
        </w:rPr>
        <w:t xml:space="preserve"> pereiti prie </w:t>
      </w:r>
      <w:r w:rsidR="006E34B3" w:rsidRPr="00EA09ED">
        <w:rPr>
          <w:rFonts w:cs="Times New Roman"/>
          <w:noProof/>
          <w:szCs w:val="24"/>
          <w:lang w:eastAsia="lt-LT"/>
        </w:rPr>
        <w:t xml:space="preserve">jos </w:t>
      </w:r>
      <w:r w:rsidR="000577E4" w:rsidRPr="00EA09ED">
        <w:rPr>
          <w:rFonts w:cs="Times New Roman"/>
          <w:noProof/>
          <w:szCs w:val="24"/>
          <w:lang w:eastAsia="lt-LT"/>
        </w:rPr>
        <w:t>klasifikacijos.</w:t>
      </w:r>
      <w:r w:rsidR="00BA5B9E" w:rsidRPr="00EA09ED">
        <w:rPr>
          <w:rFonts w:cs="Times New Roman"/>
          <w:noProof/>
          <w:szCs w:val="24"/>
          <w:lang w:eastAsia="lt-LT"/>
        </w:rPr>
        <w:t xml:space="preserve"> Pasak Lezgovko (2010</w:t>
      </w:r>
      <w:r w:rsidR="006F5846" w:rsidRPr="00EA09ED">
        <w:rPr>
          <w:rFonts w:cs="Times New Roman"/>
          <w:noProof/>
          <w:szCs w:val="24"/>
          <w:lang w:eastAsia="lt-LT"/>
        </w:rPr>
        <w:t xml:space="preserve">, p. </w:t>
      </w:r>
      <w:r w:rsidR="006F5846" w:rsidRPr="00EA09ED">
        <w:rPr>
          <w:rFonts w:cs="Times New Roman"/>
          <w:noProof/>
          <w:szCs w:val="24"/>
          <w:lang w:val="en-US" w:eastAsia="lt-LT"/>
        </w:rPr>
        <w:t>70</w:t>
      </w:r>
      <w:r w:rsidR="00A71A02">
        <w:rPr>
          <w:rFonts w:cs="Times New Roman"/>
          <w:noProof/>
          <w:szCs w:val="24"/>
          <w:lang w:eastAsia="lt-LT"/>
        </w:rPr>
        <w:t>)</w:t>
      </w:r>
      <w:r w:rsidR="00BA5B9E" w:rsidRPr="00EA09ED">
        <w:rPr>
          <w:rFonts w:cs="Times New Roman"/>
          <w:noProof/>
          <w:szCs w:val="24"/>
          <w:lang w:eastAsia="lt-LT"/>
        </w:rPr>
        <w:t xml:space="preserve"> „draudimo klasifikacija – tai mokslinė draudimo skirstymo sistema pagal veiklos sferas, šakas, rūšis, porūšius ir būdus“</w:t>
      </w:r>
      <w:r w:rsidR="006F5846" w:rsidRPr="00EA09ED">
        <w:rPr>
          <w:rFonts w:cs="Times New Roman"/>
          <w:noProof/>
          <w:szCs w:val="24"/>
          <w:lang w:eastAsia="lt-LT"/>
        </w:rPr>
        <w:t>.</w:t>
      </w:r>
      <w:r w:rsidR="00BA5B9E" w:rsidRPr="00ED2DD6">
        <w:rPr>
          <w:rFonts w:cs="Times New Roman"/>
          <w:noProof/>
          <w:color w:val="548DD4" w:themeColor="text2" w:themeTint="99"/>
          <w:szCs w:val="24"/>
          <w:lang w:eastAsia="lt-LT"/>
        </w:rPr>
        <w:t xml:space="preserve"> </w:t>
      </w:r>
      <w:r w:rsidR="00793866" w:rsidRPr="00EA09ED">
        <w:rPr>
          <w:rFonts w:cs="Times New Roman"/>
          <w:noProof/>
          <w:szCs w:val="24"/>
          <w:lang w:eastAsia="lt-LT"/>
        </w:rPr>
        <w:t>Paprastai klasifikuojama atsižvelgiant į pasirinktą principą, kuris labiausiai identifikoja esminį klasifikuojamos visumos bruožą. Kadangi draudimo veiklos paskirtis – valdyti rizikas, atskiros draudimo šakos išskiriamos pagal rizikų panašumo principą.</w:t>
      </w:r>
      <w:r w:rsidR="00745A04" w:rsidRPr="00EA09ED">
        <w:rPr>
          <w:rFonts w:cs="Times New Roman"/>
          <w:noProof/>
          <w:szCs w:val="24"/>
          <w:lang w:eastAsia="lt-LT"/>
        </w:rPr>
        <w:t xml:space="preserve"> </w:t>
      </w:r>
    </w:p>
    <w:p w:rsidR="00874736" w:rsidRDefault="00874736" w:rsidP="00874736">
      <w:pPr>
        <w:ind w:firstLine="567"/>
        <w:jc w:val="both"/>
        <w:rPr>
          <w:noProof/>
          <w:szCs w:val="24"/>
          <w:lang w:eastAsia="lt-LT"/>
        </w:rPr>
      </w:pPr>
      <w:r w:rsidRPr="00A40AB4">
        <w:rPr>
          <w:noProof/>
          <w:szCs w:val="24"/>
          <w:lang w:eastAsia="lt-LT"/>
        </w:rPr>
        <w:lastRenderedPageBreak/>
        <w:t xml:space="preserve">Lietuvos draudimo veiklą galima skirstyti labai įvairiai. </w:t>
      </w:r>
      <w:r w:rsidR="007675FF">
        <w:rPr>
          <w:noProof/>
          <w:szCs w:val="24"/>
          <w:lang w:eastAsia="lt-LT"/>
        </w:rPr>
        <w:t>Vienas iš galimų šios veiklos skirstymų</w:t>
      </w:r>
      <w:r w:rsidRPr="00A40AB4">
        <w:rPr>
          <w:noProof/>
          <w:szCs w:val="24"/>
          <w:lang w:eastAsia="lt-LT"/>
        </w:rPr>
        <w:t xml:space="preserve"> </w:t>
      </w:r>
      <w:r w:rsidR="00D2374E">
        <w:rPr>
          <w:noProof/>
          <w:szCs w:val="24"/>
          <w:lang w:eastAsia="lt-LT"/>
        </w:rPr>
        <w:t>pavaizduotas 3</w:t>
      </w:r>
      <w:r w:rsidRPr="00A40AB4">
        <w:rPr>
          <w:noProof/>
          <w:szCs w:val="24"/>
          <w:lang w:eastAsia="lt-LT"/>
        </w:rPr>
        <w:t xml:space="preserve"> paveiksle.</w:t>
      </w:r>
    </w:p>
    <w:p w:rsidR="00874736" w:rsidRPr="00A40AB4" w:rsidRDefault="00874736" w:rsidP="00874736">
      <w:pPr>
        <w:ind w:firstLine="567"/>
        <w:jc w:val="both"/>
        <w:rPr>
          <w:noProof/>
          <w:szCs w:val="24"/>
          <w:lang w:eastAsia="lt-LT"/>
        </w:rPr>
      </w:pPr>
    </w:p>
    <w:p w:rsidR="00874736" w:rsidRPr="00EA09ED" w:rsidRDefault="00874736" w:rsidP="00874736">
      <w:pPr>
        <w:ind w:right="-2"/>
        <w:jc w:val="center"/>
        <w:rPr>
          <w:rFonts w:cs="Times New Roman"/>
          <w:noProof/>
          <w:szCs w:val="24"/>
          <w:lang w:eastAsia="lt-LT"/>
        </w:rPr>
      </w:pPr>
      <w:r>
        <w:rPr>
          <w:noProof/>
          <w:szCs w:val="24"/>
          <w:lang w:eastAsia="lt-LT"/>
        </w:rPr>
        <w:drawing>
          <wp:inline distT="0" distB="0" distL="0" distR="0">
            <wp:extent cx="6210935" cy="5977255"/>
            <wp:effectExtent l="19050" t="19050" r="18415" b="23495"/>
            <wp:docPr id="3" name="Picture 3" descr="draudimui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udimui0002.jpg"/>
                    <pic:cNvPicPr>
                      <a:picLocks noChangeAspect="1" noChangeArrowheads="1"/>
                    </pic:cNvPicPr>
                  </pic:nvPicPr>
                  <pic:blipFill>
                    <a:blip r:embed="rId16"/>
                    <a:srcRect/>
                    <a:stretch>
                      <a:fillRect/>
                    </a:stretch>
                  </pic:blipFill>
                  <pic:spPr bwMode="auto">
                    <a:xfrm>
                      <a:off x="0" y="0"/>
                      <a:ext cx="6210935" cy="5977255"/>
                    </a:xfrm>
                    <a:prstGeom prst="rect">
                      <a:avLst/>
                    </a:prstGeom>
                    <a:noFill/>
                    <a:ln w="9525" cmpd="sng">
                      <a:solidFill>
                        <a:srgbClr val="000000"/>
                      </a:solidFill>
                      <a:miter lim="800000"/>
                      <a:headEnd/>
                      <a:tailEnd/>
                    </a:ln>
                    <a:effectLst/>
                  </pic:spPr>
                </pic:pic>
              </a:graphicData>
            </a:graphic>
          </wp:inline>
        </w:drawing>
      </w:r>
    </w:p>
    <w:p w:rsidR="00874736" w:rsidRPr="00A40AB4" w:rsidRDefault="00874736" w:rsidP="00874736">
      <w:pPr>
        <w:jc w:val="center"/>
        <w:rPr>
          <w:sz w:val="20"/>
          <w:szCs w:val="20"/>
        </w:rPr>
      </w:pPr>
      <w:r w:rsidRPr="00A40AB4">
        <w:rPr>
          <w:b/>
          <w:sz w:val="20"/>
          <w:szCs w:val="20"/>
        </w:rPr>
        <w:t xml:space="preserve">Šaltinis: </w:t>
      </w:r>
      <w:r w:rsidRPr="00A40AB4">
        <w:rPr>
          <w:sz w:val="20"/>
          <w:szCs w:val="20"/>
        </w:rPr>
        <w:t>Lezgovko A., 2010.</w:t>
      </w:r>
    </w:p>
    <w:p w:rsidR="00874736" w:rsidRPr="00874736" w:rsidRDefault="00D2374E" w:rsidP="00874736">
      <w:pPr>
        <w:pStyle w:val="Heading2"/>
        <w:spacing w:line="360" w:lineRule="auto"/>
        <w:ind w:firstLine="0"/>
      </w:pPr>
      <w:bookmarkStart w:id="61" w:name="_Toc328358583"/>
      <w:bookmarkStart w:id="62" w:name="_Toc328359412"/>
      <w:bookmarkStart w:id="63" w:name="_Toc328359497"/>
      <w:bookmarkStart w:id="64" w:name="_Toc328359552"/>
      <w:bookmarkStart w:id="65" w:name="_Toc340573829"/>
      <w:bookmarkStart w:id="66" w:name="_Toc340574099"/>
      <w:bookmarkStart w:id="67" w:name="_Toc340574374"/>
      <w:bookmarkStart w:id="68" w:name="_Toc340792012"/>
      <w:bookmarkStart w:id="69" w:name="_Toc341641110"/>
      <w:bookmarkStart w:id="70" w:name="_Toc341641361"/>
      <w:bookmarkStart w:id="71" w:name="_Toc342859649"/>
      <w:r>
        <w:t>3</w:t>
      </w:r>
      <w:r w:rsidR="00874736" w:rsidRPr="00874736">
        <w:t xml:space="preserve"> pav. Draudimo veiklos skirstymas</w:t>
      </w:r>
      <w:bookmarkEnd w:id="61"/>
      <w:bookmarkEnd w:id="62"/>
      <w:bookmarkEnd w:id="63"/>
      <w:bookmarkEnd w:id="64"/>
      <w:bookmarkEnd w:id="65"/>
      <w:bookmarkEnd w:id="66"/>
      <w:bookmarkEnd w:id="67"/>
      <w:bookmarkEnd w:id="68"/>
      <w:bookmarkEnd w:id="69"/>
      <w:bookmarkEnd w:id="70"/>
      <w:bookmarkEnd w:id="71"/>
    </w:p>
    <w:p w:rsidR="00874736" w:rsidRDefault="00874736" w:rsidP="00A157DD">
      <w:pPr>
        <w:ind w:firstLine="567"/>
        <w:jc w:val="both"/>
        <w:rPr>
          <w:rFonts w:cs="Times New Roman"/>
          <w:noProof/>
          <w:szCs w:val="24"/>
          <w:lang w:eastAsia="lt-LT"/>
        </w:rPr>
      </w:pPr>
    </w:p>
    <w:p w:rsidR="00F17FB4" w:rsidRDefault="00F17FB4" w:rsidP="00B969BA">
      <w:pPr>
        <w:ind w:firstLine="567"/>
        <w:jc w:val="both"/>
        <w:rPr>
          <w:noProof/>
          <w:szCs w:val="24"/>
          <w:lang w:eastAsia="lt-LT"/>
        </w:rPr>
      </w:pPr>
      <w:r>
        <w:rPr>
          <w:noProof/>
          <w:szCs w:val="24"/>
          <w:lang w:eastAsia="lt-LT"/>
        </w:rPr>
        <w:t xml:space="preserve">Iš </w:t>
      </w:r>
      <w:r w:rsidR="00D2374E">
        <w:rPr>
          <w:noProof/>
          <w:szCs w:val="24"/>
          <w:lang w:eastAsia="lt-LT"/>
        </w:rPr>
        <w:t>3</w:t>
      </w:r>
      <w:r>
        <w:rPr>
          <w:noProof/>
          <w:szCs w:val="24"/>
          <w:lang w:eastAsia="lt-LT"/>
        </w:rPr>
        <w:t xml:space="preserve"> pav. m</w:t>
      </w:r>
      <w:r w:rsidRPr="00A40AB4">
        <w:rPr>
          <w:noProof/>
          <w:szCs w:val="24"/>
          <w:lang w:eastAsia="lt-LT"/>
        </w:rPr>
        <w:t xml:space="preserve">atyti, kad draudimo veiklą galima suskirstyti įvairiais pjūviais. </w:t>
      </w:r>
      <w:r>
        <w:rPr>
          <w:noProof/>
          <w:szCs w:val="24"/>
          <w:lang w:eastAsia="lt-LT"/>
        </w:rPr>
        <w:t>Anot Lezgovko (</w:t>
      </w:r>
      <w:r>
        <w:rPr>
          <w:noProof/>
          <w:szCs w:val="24"/>
          <w:lang w:val="en-US" w:eastAsia="lt-LT"/>
        </w:rPr>
        <w:t>2010), p</w:t>
      </w:r>
      <w:r w:rsidRPr="00A40AB4">
        <w:rPr>
          <w:noProof/>
          <w:szCs w:val="24"/>
          <w:lang w:eastAsia="lt-LT"/>
        </w:rPr>
        <w:t xml:space="preserve">agal veiklos sferas draudimas gali būti individualus, socialinis, privalomasis ir savanoriškas, pagal sutarties galiojimo laiką – trumpalaikis arba ilgalaikis, pagal viena sutartimi draudžiamų objektų skaičių – vienetinis arba kolektyvinis, pagal draudimo išmokos nustatymo būdą – sumos arba nuostolių, pagal draudimo objekto nuosavybę – nuosavas arba svetimas ir t.t. Tačiau </w:t>
      </w:r>
      <w:r w:rsidR="00D2374E">
        <w:rPr>
          <w:noProof/>
          <w:szCs w:val="24"/>
          <w:lang w:eastAsia="lt-LT"/>
        </w:rPr>
        <w:t xml:space="preserve">plėtojant ne gyvybės draudimo rinkos veiksnių vertinimo temą, magistranto nuomone, aktualiausias </w:t>
      </w:r>
      <w:r w:rsidRPr="00A40AB4">
        <w:rPr>
          <w:noProof/>
          <w:szCs w:val="24"/>
          <w:lang w:eastAsia="lt-LT"/>
        </w:rPr>
        <w:t>skirstymas</w:t>
      </w:r>
      <w:r w:rsidR="00D2374E">
        <w:rPr>
          <w:noProof/>
          <w:szCs w:val="24"/>
          <w:lang w:eastAsia="lt-LT"/>
        </w:rPr>
        <w:t xml:space="preserve"> </w:t>
      </w:r>
      <w:r w:rsidRPr="00A40AB4">
        <w:rPr>
          <w:noProof/>
          <w:szCs w:val="24"/>
          <w:lang w:eastAsia="lt-LT"/>
        </w:rPr>
        <w:t xml:space="preserve">yra </w:t>
      </w:r>
      <w:r w:rsidRPr="00A40AB4">
        <w:rPr>
          <w:noProof/>
          <w:szCs w:val="24"/>
          <w:lang w:eastAsia="lt-LT"/>
        </w:rPr>
        <w:lastRenderedPageBreak/>
        <w:t>pagal draudimo šakas – į gyvybės ir ne gyvybės draudimą bei pagal draudžiamąjį objektą – asmens, turto civilinės atsakomybės bei finansinių nuostolių draudimą.</w:t>
      </w:r>
    </w:p>
    <w:p w:rsidR="00B969BA" w:rsidRDefault="00B969BA" w:rsidP="00B969BA">
      <w:pPr>
        <w:ind w:firstLine="567"/>
        <w:jc w:val="both"/>
        <w:rPr>
          <w:rFonts w:cs="Times New Roman"/>
          <w:noProof/>
          <w:szCs w:val="24"/>
          <w:lang w:eastAsia="lt-LT"/>
        </w:rPr>
      </w:pPr>
      <w:r>
        <w:rPr>
          <w:rFonts w:cs="Times New Roman"/>
          <w:noProof/>
          <w:szCs w:val="24"/>
          <w:lang w:eastAsia="lt-LT"/>
        </w:rPr>
        <w:t xml:space="preserve">Remiantis Lietuvos draudimo įstatymu bei </w:t>
      </w:r>
      <w:r w:rsidRPr="00355EED">
        <w:rPr>
          <w:rFonts w:cs="Times New Roman"/>
          <w:noProof/>
          <w:szCs w:val="24"/>
          <w:lang w:eastAsia="lt-LT"/>
        </w:rPr>
        <w:t>Lezgovko (2010)</w:t>
      </w:r>
      <w:r>
        <w:rPr>
          <w:rFonts w:cs="Times New Roman"/>
          <w:noProof/>
          <w:szCs w:val="24"/>
          <w:lang w:eastAsia="lt-LT"/>
        </w:rPr>
        <w:t>,</w:t>
      </w:r>
      <w:r w:rsidRPr="00355EED">
        <w:rPr>
          <w:rFonts w:cs="Times New Roman"/>
          <w:noProof/>
          <w:szCs w:val="24"/>
          <w:lang w:eastAsia="lt-LT"/>
        </w:rPr>
        <w:t xml:space="preserve"> pagal </w:t>
      </w:r>
      <w:r>
        <w:rPr>
          <w:rFonts w:cs="Times New Roman"/>
          <w:noProof/>
          <w:szCs w:val="24"/>
          <w:lang w:eastAsia="lt-LT"/>
        </w:rPr>
        <w:t xml:space="preserve">draudžiamąjį objektą </w:t>
      </w:r>
      <w:r w:rsidRPr="00355EED">
        <w:rPr>
          <w:rFonts w:cs="Times New Roman"/>
          <w:noProof/>
          <w:szCs w:val="24"/>
          <w:lang w:eastAsia="lt-LT"/>
        </w:rPr>
        <w:t xml:space="preserve">ne gyvybės draudimą </w:t>
      </w:r>
      <w:r>
        <w:rPr>
          <w:rFonts w:cs="Times New Roman"/>
          <w:noProof/>
          <w:szCs w:val="24"/>
          <w:lang w:eastAsia="lt-LT"/>
        </w:rPr>
        <w:t>galima suskirstyti į asmens, turto</w:t>
      </w:r>
      <w:r w:rsidR="00F769E0">
        <w:rPr>
          <w:rFonts w:cs="Times New Roman"/>
          <w:noProof/>
          <w:szCs w:val="24"/>
          <w:lang w:eastAsia="lt-LT"/>
        </w:rPr>
        <w:t xml:space="preserve"> bei finansinių nuostolių bei atsakomybės draudimą</w:t>
      </w:r>
      <w:r>
        <w:rPr>
          <w:rFonts w:cs="Times New Roman"/>
          <w:noProof/>
          <w:szCs w:val="24"/>
          <w:lang w:eastAsia="lt-LT"/>
        </w:rPr>
        <w:t xml:space="preserve"> :</w:t>
      </w:r>
    </w:p>
    <w:p w:rsidR="00B969BA" w:rsidRDefault="00B969BA" w:rsidP="00B969BA">
      <w:pPr>
        <w:pStyle w:val="ListParagraph"/>
        <w:numPr>
          <w:ilvl w:val="0"/>
          <w:numId w:val="43"/>
        </w:numPr>
        <w:ind w:left="993"/>
        <w:jc w:val="both"/>
        <w:rPr>
          <w:rFonts w:cs="Times New Roman"/>
          <w:noProof/>
          <w:szCs w:val="24"/>
          <w:lang w:eastAsia="lt-LT"/>
        </w:rPr>
      </w:pPr>
      <w:r w:rsidRPr="00B969BA">
        <w:rPr>
          <w:rFonts w:cs="Times New Roman"/>
          <w:i/>
          <w:noProof/>
          <w:szCs w:val="24"/>
          <w:lang w:eastAsia="lt-LT"/>
        </w:rPr>
        <w:t>Asmens draudimas</w:t>
      </w:r>
      <w:r w:rsidRPr="00D419DE">
        <w:rPr>
          <w:rFonts w:cs="Times New Roman"/>
          <w:noProof/>
          <w:szCs w:val="24"/>
          <w:lang w:eastAsia="lt-LT"/>
        </w:rPr>
        <w:t xml:space="preserve"> – tai tos draudimo grupės, kurios siejasi su žmogaus gyvybe bei sveikata.</w:t>
      </w:r>
    </w:p>
    <w:p w:rsidR="00B969BA" w:rsidRDefault="00283BE8" w:rsidP="00B969BA">
      <w:pPr>
        <w:pStyle w:val="ListParagraph"/>
        <w:numPr>
          <w:ilvl w:val="0"/>
          <w:numId w:val="43"/>
        </w:numPr>
        <w:ind w:left="993"/>
        <w:jc w:val="both"/>
        <w:rPr>
          <w:rFonts w:cs="Times New Roman"/>
          <w:noProof/>
          <w:szCs w:val="24"/>
          <w:lang w:eastAsia="lt-LT"/>
        </w:rPr>
      </w:pPr>
      <w:r>
        <w:rPr>
          <w:rFonts w:cs="Times New Roman"/>
          <w:i/>
          <w:noProof/>
          <w:szCs w:val="24"/>
          <w:lang w:eastAsia="lt-LT"/>
        </w:rPr>
        <w:t>T</w:t>
      </w:r>
      <w:r w:rsidR="00B969BA" w:rsidRPr="00283BE8">
        <w:rPr>
          <w:rFonts w:cs="Times New Roman"/>
          <w:i/>
          <w:noProof/>
          <w:szCs w:val="24"/>
          <w:lang w:eastAsia="lt-LT"/>
        </w:rPr>
        <w:t>urto draudimo</w:t>
      </w:r>
      <w:r w:rsidR="00B969BA">
        <w:rPr>
          <w:rFonts w:cs="Times New Roman"/>
          <w:noProof/>
          <w:szCs w:val="24"/>
          <w:lang w:eastAsia="lt-LT"/>
        </w:rPr>
        <w:t xml:space="preserve"> objektu</w:t>
      </w:r>
      <w:r>
        <w:rPr>
          <w:rFonts w:cs="Times New Roman"/>
          <w:noProof/>
          <w:szCs w:val="24"/>
          <w:lang w:eastAsia="lt-LT"/>
        </w:rPr>
        <w:t>, įvairių mokslininkų nuomone,</w:t>
      </w:r>
      <w:r w:rsidR="00B969BA">
        <w:rPr>
          <w:rFonts w:cs="Times New Roman"/>
          <w:noProof/>
          <w:szCs w:val="24"/>
          <w:lang w:eastAsia="lt-LT"/>
        </w:rPr>
        <w:t xml:space="preserve"> galima laikyti</w:t>
      </w:r>
      <w:r w:rsidR="00B969BA" w:rsidRPr="00D419DE">
        <w:rPr>
          <w:rFonts w:cs="Times New Roman"/>
          <w:noProof/>
          <w:szCs w:val="24"/>
          <w:lang w:eastAsia="lt-LT"/>
        </w:rPr>
        <w:t xml:space="preserve"> </w:t>
      </w:r>
      <w:r w:rsidR="00B969BA">
        <w:rPr>
          <w:rFonts w:cs="Times New Roman"/>
          <w:noProof/>
          <w:szCs w:val="24"/>
          <w:lang w:eastAsia="lt-LT"/>
        </w:rPr>
        <w:t>apdraustojo asmens turtinius interesus</w:t>
      </w:r>
      <w:r w:rsidR="00B969BA" w:rsidRPr="00D419DE">
        <w:rPr>
          <w:rFonts w:cs="Times New Roman"/>
          <w:noProof/>
          <w:szCs w:val="24"/>
          <w:lang w:eastAsia="lt-LT"/>
        </w:rPr>
        <w:t xml:space="preserve">, kurie susiję su apdrausto turto valdymu bei naudojimu </w:t>
      </w:r>
      <w:r w:rsidR="00B969BA">
        <w:rPr>
          <w:rFonts w:cs="Times New Roman"/>
          <w:noProof/>
          <w:szCs w:val="24"/>
          <w:lang w:eastAsia="lt-LT"/>
        </w:rPr>
        <w:t>(Čepinskis ir Raškinis, 2004)</w:t>
      </w:r>
      <w:r w:rsidR="00B969BA" w:rsidRPr="00D419DE">
        <w:rPr>
          <w:rFonts w:cs="Times New Roman"/>
          <w:noProof/>
          <w:szCs w:val="24"/>
          <w:lang w:eastAsia="lt-LT"/>
        </w:rPr>
        <w:t xml:space="preserve">. </w:t>
      </w:r>
      <w:r w:rsidR="00B969BA">
        <w:rPr>
          <w:rFonts w:cs="Times New Roman"/>
          <w:noProof/>
          <w:szCs w:val="24"/>
          <w:lang w:eastAsia="lt-LT"/>
        </w:rPr>
        <w:t>T</w:t>
      </w:r>
      <w:r w:rsidR="00B969BA" w:rsidRPr="00D419DE">
        <w:rPr>
          <w:rFonts w:cs="Times New Roman"/>
          <w:noProof/>
          <w:szCs w:val="24"/>
          <w:lang w:eastAsia="lt-LT"/>
        </w:rPr>
        <w:t xml:space="preserve">urto draudimo objektu </w:t>
      </w:r>
      <w:r w:rsidR="00B969BA">
        <w:rPr>
          <w:rFonts w:cs="Times New Roman"/>
          <w:noProof/>
          <w:szCs w:val="24"/>
          <w:lang w:eastAsia="lt-LT"/>
        </w:rPr>
        <w:t xml:space="preserve">taip pat </w:t>
      </w:r>
      <w:r w:rsidR="00B969BA" w:rsidRPr="00D419DE">
        <w:rPr>
          <w:rFonts w:cs="Times New Roman"/>
          <w:noProof/>
          <w:szCs w:val="24"/>
          <w:lang w:eastAsia="lt-LT"/>
        </w:rPr>
        <w:t xml:space="preserve">gali būti laikomas </w:t>
      </w:r>
      <w:r w:rsidR="00B969BA">
        <w:rPr>
          <w:rFonts w:cs="Times New Roman"/>
          <w:noProof/>
          <w:szCs w:val="24"/>
          <w:lang w:eastAsia="lt-LT"/>
        </w:rPr>
        <w:t xml:space="preserve">ir </w:t>
      </w:r>
      <w:r w:rsidR="00B969BA" w:rsidRPr="00D419DE">
        <w:rPr>
          <w:rFonts w:cs="Times New Roman"/>
          <w:noProof/>
          <w:szCs w:val="24"/>
          <w:lang w:eastAsia="lt-LT"/>
        </w:rPr>
        <w:t xml:space="preserve">materialus daiktas arba gyvūnas </w:t>
      </w:r>
      <w:r w:rsidR="00B969BA">
        <w:rPr>
          <w:rFonts w:cs="Times New Roman"/>
          <w:noProof/>
          <w:szCs w:val="24"/>
          <w:lang w:eastAsia="lt-LT"/>
        </w:rPr>
        <w:t xml:space="preserve">(Lezgovko, </w:t>
      </w:r>
      <w:r w:rsidR="00B969BA" w:rsidRPr="00D419DE">
        <w:rPr>
          <w:rFonts w:cs="Times New Roman"/>
          <w:noProof/>
          <w:szCs w:val="24"/>
          <w:lang w:eastAsia="lt-LT"/>
        </w:rPr>
        <w:t>2010).</w:t>
      </w:r>
    </w:p>
    <w:p w:rsidR="00F769E0" w:rsidRDefault="00B969BA" w:rsidP="00B969BA">
      <w:pPr>
        <w:pStyle w:val="ListParagraph"/>
        <w:numPr>
          <w:ilvl w:val="0"/>
          <w:numId w:val="43"/>
        </w:numPr>
        <w:ind w:left="993"/>
        <w:jc w:val="both"/>
        <w:rPr>
          <w:rFonts w:cs="Times New Roman"/>
          <w:noProof/>
          <w:szCs w:val="24"/>
          <w:lang w:eastAsia="lt-LT"/>
        </w:rPr>
      </w:pPr>
      <w:r w:rsidRPr="00D419DE">
        <w:rPr>
          <w:rFonts w:cs="Times New Roman"/>
          <w:noProof/>
          <w:szCs w:val="24"/>
          <w:lang w:eastAsia="lt-LT"/>
        </w:rPr>
        <w:t xml:space="preserve"> </w:t>
      </w:r>
      <w:r w:rsidRPr="00283BE8">
        <w:rPr>
          <w:rFonts w:cs="Times New Roman"/>
          <w:i/>
          <w:noProof/>
          <w:szCs w:val="24"/>
          <w:lang w:eastAsia="lt-LT"/>
        </w:rPr>
        <w:t>Finansinių nuostolių draudimo</w:t>
      </w:r>
      <w:r>
        <w:rPr>
          <w:rFonts w:cs="Times New Roman"/>
          <w:noProof/>
          <w:szCs w:val="24"/>
          <w:lang w:eastAsia="lt-LT"/>
        </w:rPr>
        <w:t xml:space="preserve"> objektas </w:t>
      </w:r>
      <w:r w:rsidRPr="00D419DE">
        <w:rPr>
          <w:rFonts w:cs="Times New Roman"/>
          <w:noProof/>
          <w:szCs w:val="24"/>
          <w:lang w:eastAsia="lt-LT"/>
        </w:rPr>
        <w:t>– tai finansiniai nuostoliai atsiradę įvykus draudžiamajam įvykiui</w:t>
      </w:r>
      <w:r w:rsidRPr="00B60F25">
        <w:rPr>
          <w:rFonts w:cs="Times New Roman"/>
          <w:noProof/>
          <w:szCs w:val="24"/>
          <w:lang w:eastAsia="lt-LT"/>
        </w:rPr>
        <w:t xml:space="preserve"> </w:t>
      </w:r>
      <w:r>
        <w:rPr>
          <w:rFonts w:cs="Times New Roman"/>
          <w:noProof/>
          <w:szCs w:val="24"/>
          <w:lang w:eastAsia="lt-LT"/>
        </w:rPr>
        <w:t>(</w:t>
      </w:r>
      <w:r w:rsidRPr="00D419DE">
        <w:rPr>
          <w:rFonts w:cs="Times New Roman"/>
          <w:noProof/>
          <w:szCs w:val="24"/>
          <w:lang w:eastAsia="lt-LT"/>
        </w:rPr>
        <w:t>Lezgovko</w:t>
      </w:r>
      <w:r>
        <w:rPr>
          <w:rFonts w:cs="Times New Roman"/>
          <w:noProof/>
          <w:szCs w:val="24"/>
          <w:lang w:eastAsia="lt-LT"/>
        </w:rPr>
        <w:t>,</w:t>
      </w:r>
      <w:r w:rsidRPr="00D419DE">
        <w:rPr>
          <w:rFonts w:cs="Times New Roman"/>
          <w:noProof/>
          <w:szCs w:val="24"/>
          <w:lang w:eastAsia="lt-LT"/>
        </w:rPr>
        <w:t xml:space="preserve"> 2010). </w:t>
      </w:r>
    </w:p>
    <w:p w:rsidR="00B969BA" w:rsidRPr="00D419DE" w:rsidRDefault="00B969BA" w:rsidP="00B969BA">
      <w:pPr>
        <w:pStyle w:val="ListParagraph"/>
        <w:numPr>
          <w:ilvl w:val="0"/>
          <w:numId w:val="43"/>
        </w:numPr>
        <w:ind w:left="993"/>
        <w:jc w:val="both"/>
        <w:rPr>
          <w:rFonts w:cs="Times New Roman"/>
          <w:noProof/>
          <w:szCs w:val="24"/>
          <w:lang w:eastAsia="lt-LT"/>
        </w:rPr>
      </w:pPr>
      <w:r w:rsidRPr="00283BE8">
        <w:rPr>
          <w:rFonts w:cs="Times New Roman"/>
          <w:i/>
          <w:noProof/>
          <w:szCs w:val="24"/>
          <w:lang w:eastAsia="lt-LT"/>
        </w:rPr>
        <w:t>Atsakomybės draudimo</w:t>
      </w:r>
      <w:r w:rsidRPr="00D419DE">
        <w:rPr>
          <w:rFonts w:cs="Times New Roman"/>
          <w:noProof/>
          <w:szCs w:val="24"/>
          <w:lang w:eastAsia="lt-LT"/>
        </w:rPr>
        <w:t xml:space="preserve"> objektas – turtiniai asmenų interesai, kai būtina kompensuoti tretiesiems asmenims padarytą žalą (Čepinskis ir Raškinis, 2004).</w:t>
      </w:r>
    </w:p>
    <w:p w:rsidR="006D234B" w:rsidRPr="00A40AB4" w:rsidRDefault="00B724E2" w:rsidP="00CA3360">
      <w:pPr>
        <w:ind w:firstLine="567"/>
        <w:jc w:val="both"/>
        <w:rPr>
          <w:rFonts w:cs="Times New Roman"/>
          <w:noProof/>
          <w:szCs w:val="24"/>
          <w:lang w:eastAsia="lt-LT"/>
        </w:rPr>
      </w:pPr>
      <w:r w:rsidRPr="00A40AB4">
        <w:rPr>
          <w:rFonts w:cs="Times New Roman"/>
          <w:noProof/>
          <w:szCs w:val="24"/>
          <w:lang w:eastAsia="lt-LT"/>
        </w:rPr>
        <w:t>Remiantis</w:t>
      </w:r>
      <w:r w:rsidR="005E295A" w:rsidRPr="00A40AB4">
        <w:rPr>
          <w:rFonts w:cs="Times New Roman"/>
          <w:noProof/>
          <w:szCs w:val="24"/>
          <w:lang w:eastAsia="lt-LT"/>
        </w:rPr>
        <w:t xml:space="preserve"> Lietuvos draudimo įstatymu, </w:t>
      </w:r>
      <w:r w:rsidR="007F679B" w:rsidRPr="00A40AB4">
        <w:rPr>
          <w:rFonts w:cs="Times New Roman"/>
          <w:noProof/>
          <w:szCs w:val="24"/>
          <w:lang w:eastAsia="lt-LT"/>
        </w:rPr>
        <w:t xml:space="preserve">Lietuvos draudimo rinką galima </w:t>
      </w:r>
      <w:r w:rsidR="00660CA7">
        <w:rPr>
          <w:rFonts w:cs="Times New Roman"/>
          <w:noProof/>
          <w:szCs w:val="24"/>
          <w:lang w:eastAsia="lt-LT"/>
        </w:rPr>
        <w:t>suskirstyti</w:t>
      </w:r>
      <w:r w:rsidR="00BF0953" w:rsidRPr="00A40AB4">
        <w:rPr>
          <w:rFonts w:cs="Times New Roman"/>
          <w:noProof/>
          <w:szCs w:val="24"/>
          <w:lang w:eastAsia="lt-LT"/>
        </w:rPr>
        <w:t xml:space="preserve"> pagal hierarchiją</w:t>
      </w:r>
      <w:r w:rsidR="00CA3360" w:rsidRPr="00A40AB4">
        <w:rPr>
          <w:rFonts w:cs="Times New Roman"/>
          <w:noProof/>
          <w:szCs w:val="24"/>
          <w:lang w:eastAsia="lt-LT"/>
        </w:rPr>
        <w:t xml:space="preserve">. Tai </w:t>
      </w:r>
      <w:r w:rsidRPr="00A40AB4">
        <w:rPr>
          <w:rFonts w:cs="Times New Roman"/>
          <w:noProof/>
          <w:szCs w:val="24"/>
          <w:lang w:eastAsia="lt-LT"/>
        </w:rPr>
        <w:t>pavaizduota</w:t>
      </w:r>
      <w:r w:rsidR="007F679B" w:rsidRPr="00A40AB4">
        <w:rPr>
          <w:rFonts w:cs="Times New Roman"/>
          <w:noProof/>
          <w:szCs w:val="24"/>
          <w:lang w:eastAsia="lt-LT"/>
        </w:rPr>
        <w:t xml:space="preserve"> </w:t>
      </w:r>
      <w:r w:rsidR="0015266F">
        <w:rPr>
          <w:rFonts w:cs="Times New Roman"/>
          <w:noProof/>
          <w:szCs w:val="24"/>
          <w:lang w:eastAsia="lt-LT"/>
        </w:rPr>
        <w:t>4</w:t>
      </w:r>
      <w:r w:rsidR="00FD5F6C" w:rsidRPr="00A40AB4">
        <w:rPr>
          <w:rFonts w:cs="Times New Roman"/>
          <w:noProof/>
          <w:szCs w:val="24"/>
          <w:lang w:eastAsia="lt-LT"/>
        </w:rPr>
        <w:t xml:space="preserve"> pav</w:t>
      </w:r>
      <w:r w:rsidR="00BF0953" w:rsidRPr="00A40AB4">
        <w:rPr>
          <w:rFonts w:cs="Times New Roman"/>
          <w:noProof/>
          <w:szCs w:val="24"/>
          <w:lang w:eastAsia="lt-LT"/>
        </w:rPr>
        <w:t>.</w:t>
      </w:r>
    </w:p>
    <w:p w:rsidR="00B724E2" w:rsidRPr="00A40AB4" w:rsidRDefault="00B724E2" w:rsidP="006D234B">
      <w:pPr>
        <w:ind w:firstLine="567"/>
        <w:jc w:val="both"/>
        <w:rPr>
          <w:rFonts w:cs="Times New Roman"/>
          <w:noProof/>
          <w:szCs w:val="24"/>
          <w:lang w:eastAsia="lt-LT"/>
        </w:rPr>
      </w:pPr>
    </w:p>
    <w:p w:rsidR="00047B9C" w:rsidRPr="00A40AB4" w:rsidRDefault="00047B9C" w:rsidP="00A1047C">
      <w:pPr>
        <w:jc w:val="center"/>
        <w:rPr>
          <w:rFonts w:cs="Times New Roman"/>
          <w:noProof/>
          <w:szCs w:val="24"/>
          <w:lang w:eastAsia="lt-LT"/>
        </w:rPr>
      </w:pPr>
      <w:r w:rsidRPr="00A40AB4">
        <w:rPr>
          <w:rFonts w:cs="Times New Roman"/>
          <w:noProof/>
          <w:szCs w:val="24"/>
          <w:lang w:eastAsia="lt-LT"/>
        </w:rPr>
        <w:drawing>
          <wp:inline distT="0" distB="0" distL="0" distR="0">
            <wp:extent cx="3080989" cy="1683834"/>
            <wp:effectExtent l="19050" t="0" r="24161"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BF0953" w:rsidRPr="00A40AB4" w:rsidRDefault="00BF0953" w:rsidP="00B973A4">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 xml:space="preserve">sudaryta </w:t>
      </w:r>
      <w:r w:rsidR="004536C2" w:rsidRPr="00A40AB4">
        <w:rPr>
          <w:rFonts w:cs="Times New Roman"/>
          <w:sz w:val="20"/>
          <w:szCs w:val="20"/>
        </w:rPr>
        <w:t>remiantis</w:t>
      </w:r>
      <w:r w:rsidR="00A94BE5" w:rsidRPr="00A40AB4">
        <w:rPr>
          <w:rFonts w:cs="Times New Roman"/>
          <w:sz w:val="20"/>
          <w:szCs w:val="20"/>
        </w:rPr>
        <w:t xml:space="preserve"> </w:t>
      </w:r>
      <w:r w:rsidRPr="00A40AB4">
        <w:rPr>
          <w:rFonts w:cs="Times New Roman"/>
          <w:sz w:val="20"/>
          <w:szCs w:val="20"/>
        </w:rPr>
        <w:t>Lietuvos draudimo įstatym</w:t>
      </w:r>
      <w:r w:rsidR="004536C2" w:rsidRPr="00A40AB4">
        <w:rPr>
          <w:rFonts w:cs="Times New Roman"/>
          <w:sz w:val="20"/>
          <w:szCs w:val="20"/>
        </w:rPr>
        <w:t>u</w:t>
      </w:r>
      <w:r w:rsidR="001567AC" w:rsidRPr="00A40AB4">
        <w:rPr>
          <w:rFonts w:cs="Times New Roman"/>
          <w:sz w:val="20"/>
          <w:szCs w:val="20"/>
        </w:rPr>
        <w:t>.</w:t>
      </w:r>
    </w:p>
    <w:p w:rsidR="00783235" w:rsidRPr="00A40AB4" w:rsidRDefault="0015266F" w:rsidP="00783235">
      <w:pPr>
        <w:pStyle w:val="Heading2"/>
        <w:spacing w:line="360" w:lineRule="auto"/>
        <w:ind w:firstLine="0"/>
      </w:pPr>
      <w:bookmarkStart w:id="72" w:name="_Toc328358584"/>
      <w:bookmarkStart w:id="73" w:name="_Toc328359413"/>
      <w:bookmarkStart w:id="74" w:name="_Toc328359498"/>
      <w:bookmarkStart w:id="75" w:name="_Toc328359553"/>
      <w:bookmarkStart w:id="76" w:name="_Toc340573830"/>
      <w:bookmarkStart w:id="77" w:name="_Toc340574100"/>
      <w:bookmarkStart w:id="78" w:name="_Toc340574375"/>
      <w:bookmarkStart w:id="79" w:name="_Toc340792013"/>
      <w:bookmarkStart w:id="80" w:name="_Toc341641111"/>
      <w:bookmarkStart w:id="81" w:name="_Toc341641362"/>
      <w:bookmarkStart w:id="82" w:name="_Toc342859650"/>
      <w:r>
        <w:t>4</w:t>
      </w:r>
      <w:r w:rsidR="00783235" w:rsidRPr="00A40AB4">
        <w:t xml:space="preserve"> pav. Draudimo rinkos </w:t>
      </w:r>
      <w:r w:rsidR="00216C94">
        <w:t>skirstymas</w:t>
      </w:r>
      <w:r w:rsidR="00783235" w:rsidRPr="00A40AB4">
        <w:t xml:space="preserve"> pagal hierarchiją</w:t>
      </w:r>
      <w:bookmarkEnd w:id="72"/>
      <w:bookmarkEnd w:id="73"/>
      <w:bookmarkEnd w:id="74"/>
      <w:bookmarkEnd w:id="75"/>
      <w:bookmarkEnd w:id="76"/>
      <w:bookmarkEnd w:id="77"/>
      <w:bookmarkEnd w:id="78"/>
      <w:bookmarkEnd w:id="79"/>
      <w:bookmarkEnd w:id="80"/>
      <w:bookmarkEnd w:id="81"/>
      <w:bookmarkEnd w:id="82"/>
    </w:p>
    <w:p w:rsidR="00CA3360" w:rsidRPr="00D2374E" w:rsidRDefault="00CA3360" w:rsidP="00CA3360">
      <w:pPr>
        <w:ind w:firstLine="567"/>
        <w:jc w:val="both"/>
        <w:rPr>
          <w:rFonts w:cs="Times New Roman"/>
          <w:noProof/>
          <w:szCs w:val="24"/>
          <w:lang w:val="en-US" w:eastAsia="lt-LT"/>
        </w:rPr>
      </w:pPr>
    </w:p>
    <w:p w:rsidR="00CA3360" w:rsidRPr="00A40AB4" w:rsidRDefault="0015266F" w:rsidP="00CA3360">
      <w:pPr>
        <w:ind w:firstLine="567"/>
        <w:jc w:val="both"/>
        <w:rPr>
          <w:rFonts w:cs="Times New Roman"/>
          <w:noProof/>
          <w:szCs w:val="24"/>
          <w:lang w:eastAsia="lt-LT"/>
        </w:rPr>
      </w:pPr>
      <w:r>
        <w:rPr>
          <w:rFonts w:cs="Times New Roman"/>
          <w:noProof/>
          <w:szCs w:val="24"/>
          <w:lang w:eastAsia="lt-LT"/>
        </w:rPr>
        <w:t xml:space="preserve">Kaip matyti iš </w:t>
      </w:r>
      <w:r>
        <w:rPr>
          <w:rFonts w:cs="Times New Roman"/>
          <w:noProof/>
          <w:szCs w:val="24"/>
          <w:lang w:val="en-US" w:eastAsia="lt-LT"/>
        </w:rPr>
        <w:t>4 paveikslo, d</w:t>
      </w:r>
      <w:r w:rsidR="00660CA7">
        <w:rPr>
          <w:rFonts w:cs="Times New Roman"/>
          <w:noProof/>
          <w:szCs w:val="24"/>
          <w:lang w:eastAsia="lt-LT"/>
        </w:rPr>
        <w:t>raudimo rinka Lietuvoje, kaip ir daugelyje valstybių, Lietuvos draudimo įstatymu išskirta</w:t>
      </w:r>
      <w:r w:rsidR="00CA3360" w:rsidRPr="00A40AB4">
        <w:rPr>
          <w:rFonts w:cs="Times New Roman"/>
          <w:noProof/>
          <w:szCs w:val="24"/>
          <w:lang w:eastAsia="lt-LT"/>
        </w:rPr>
        <w:t xml:space="preserve"> į draudimo šakas</w:t>
      </w:r>
      <w:r>
        <w:rPr>
          <w:rFonts w:cs="Times New Roman"/>
          <w:noProof/>
          <w:szCs w:val="24"/>
          <w:lang w:eastAsia="lt-LT"/>
        </w:rPr>
        <w:t xml:space="preserve"> (paprastai dvi – gyvybės ir ne gyvybės)</w:t>
      </w:r>
      <w:r w:rsidR="00CA3360" w:rsidRPr="00A40AB4">
        <w:rPr>
          <w:rFonts w:cs="Times New Roman"/>
          <w:noProof/>
          <w:szCs w:val="24"/>
          <w:lang w:eastAsia="lt-LT"/>
        </w:rPr>
        <w:t xml:space="preserve">. Šios šakos skirstomos į grupes, o pastarąsias atitinkamai </w:t>
      </w:r>
      <w:r w:rsidR="00660CA7">
        <w:rPr>
          <w:rFonts w:cs="Times New Roman"/>
          <w:noProof/>
          <w:szCs w:val="24"/>
          <w:lang w:eastAsia="lt-LT"/>
        </w:rPr>
        <w:t xml:space="preserve">dar </w:t>
      </w:r>
      <w:r w:rsidR="00CA3360" w:rsidRPr="00A40AB4">
        <w:rPr>
          <w:rFonts w:cs="Times New Roman"/>
          <w:noProof/>
          <w:szCs w:val="24"/>
          <w:lang w:eastAsia="lt-LT"/>
        </w:rPr>
        <w:t>galima skaidyti į galutinius produktus (draudimo paslaugas), kuriuos perka vartotojai.</w:t>
      </w:r>
    </w:p>
    <w:p w:rsidR="00DA08C1" w:rsidRPr="00A40AB4" w:rsidRDefault="00434AE7" w:rsidP="00CA3360">
      <w:pPr>
        <w:ind w:firstLine="567"/>
        <w:jc w:val="both"/>
        <w:rPr>
          <w:rFonts w:cs="Times New Roman"/>
          <w:noProof/>
          <w:szCs w:val="24"/>
          <w:lang w:eastAsia="lt-LT"/>
        </w:rPr>
      </w:pPr>
      <w:r>
        <w:rPr>
          <w:rFonts w:cs="Times New Roman"/>
          <w:noProof/>
          <w:szCs w:val="24"/>
          <w:lang w:eastAsia="lt-LT"/>
        </w:rPr>
        <w:t>5 pav.</w:t>
      </w:r>
      <w:r w:rsidR="00CE5B6A" w:rsidRPr="00A40AB4">
        <w:rPr>
          <w:rFonts w:cs="Times New Roman"/>
          <w:noProof/>
          <w:szCs w:val="24"/>
          <w:lang w:eastAsia="lt-LT"/>
        </w:rPr>
        <w:t xml:space="preserve"> pateiktas draudimo šakų skirstymas į grupes</w:t>
      </w:r>
      <w:r w:rsidR="0091146B">
        <w:rPr>
          <w:rFonts w:cs="Times New Roman"/>
          <w:noProof/>
          <w:szCs w:val="24"/>
          <w:lang w:eastAsia="lt-LT"/>
        </w:rPr>
        <w:t xml:space="preserve"> pagal Lietuvos draudimo įstatymą</w:t>
      </w:r>
      <w:r w:rsidR="00CE5B6A" w:rsidRPr="00A40AB4">
        <w:rPr>
          <w:rFonts w:cs="Times New Roman"/>
          <w:noProof/>
          <w:szCs w:val="24"/>
          <w:lang w:eastAsia="lt-LT"/>
        </w:rPr>
        <w:t>.</w:t>
      </w:r>
    </w:p>
    <w:p w:rsidR="00CE5B6A" w:rsidRPr="00A40AB4" w:rsidRDefault="00CE5B6A" w:rsidP="00CA3360">
      <w:pPr>
        <w:ind w:firstLine="567"/>
        <w:jc w:val="both"/>
        <w:rPr>
          <w:rFonts w:cs="Times New Roman"/>
          <w:noProof/>
          <w:szCs w:val="24"/>
          <w:lang w:eastAsia="lt-LT"/>
        </w:rPr>
      </w:pPr>
      <w:r w:rsidRPr="00A40AB4">
        <w:rPr>
          <w:rFonts w:cs="Times New Roman"/>
          <w:noProof/>
          <w:szCs w:val="24"/>
          <w:lang w:eastAsia="lt-LT"/>
        </w:rPr>
        <w:t xml:space="preserve"> </w:t>
      </w:r>
    </w:p>
    <w:p w:rsidR="00AE3EA0" w:rsidRPr="00A40AB4" w:rsidRDefault="004D5115" w:rsidP="00A1047C">
      <w:pPr>
        <w:jc w:val="center"/>
        <w:rPr>
          <w:rFonts w:cs="Times New Roman"/>
          <w:szCs w:val="24"/>
        </w:rPr>
      </w:pPr>
      <w:r w:rsidRPr="00A40AB4">
        <w:rPr>
          <w:rFonts w:cs="Times New Roman"/>
          <w:noProof/>
          <w:szCs w:val="24"/>
          <w:lang w:eastAsia="lt-LT"/>
        </w:rPr>
        <w:lastRenderedPageBreak/>
        <w:drawing>
          <wp:inline distT="0" distB="0" distL="0" distR="0">
            <wp:extent cx="5511676" cy="3211551"/>
            <wp:effectExtent l="19050" t="0" r="12824" b="7899"/>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4E6828" w:rsidRPr="00353F05" w:rsidRDefault="004E6828" w:rsidP="008A35FB">
      <w:pPr>
        <w:jc w:val="center"/>
        <w:rPr>
          <w:rFonts w:cs="Times New Roman"/>
          <w:sz w:val="20"/>
          <w:szCs w:val="20"/>
        </w:rPr>
      </w:pPr>
      <w:r w:rsidRPr="00A40AB4">
        <w:rPr>
          <w:rFonts w:cs="Times New Roman"/>
          <w:b/>
          <w:sz w:val="20"/>
          <w:szCs w:val="20"/>
        </w:rPr>
        <w:t xml:space="preserve">Šaltinis: </w:t>
      </w:r>
      <w:r w:rsidR="000737B6" w:rsidRPr="00A40AB4">
        <w:rPr>
          <w:rFonts w:cs="Times New Roman"/>
          <w:sz w:val="20"/>
          <w:szCs w:val="20"/>
        </w:rPr>
        <w:t xml:space="preserve">sudaryta </w:t>
      </w:r>
      <w:r w:rsidR="00F25C6E">
        <w:rPr>
          <w:rFonts w:cs="Times New Roman"/>
          <w:sz w:val="20"/>
          <w:szCs w:val="20"/>
        </w:rPr>
        <w:t>remiantis</w:t>
      </w:r>
      <w:r w:rsidR="000737B6" w:rsidRPr="00A40AB4">
        <w:rPr>
          <w:rFonts w:cs="Times New Roman"/>
          <w:sz w:val="20"/>
          <w:szCs w:val="20"/>
        </w:rPr>
        <w:t xml:space="preserve"> </w:t>
      </w:r>
      <w:r w:rsidRPr="00A40AB4">
        <w:rPr>
          <w:rFonts w:cs="Times New Roman"/>
          <w:sz w:val="20"/>
          <w:szCs w:val="20"/>
        </w:rPr>
        <w:t xml:space="preserve">Lietuvos draudimo </w:t>
      </w:r>
      <w:r w:rsidR="00F25C6E">
        <w:rPr>
          <w:rFonts w:cs="Times New Roman"/>
          <w:sz w:val="20"/>
          <w:szCs w:val="20"/>
        </w:rPr>
        <w:t>įstatymu</w:t>
      </w:r>
      <w:r w:rsidR="00353F05">
        <w:rPr>
          <w:rFonts w:cs="Times New Roman"/>
          <w:sz w:val="20"/>
          <w:szCs w:val="20"/>
          <w:lang w:val="en-US"/>
        </w:rPr>
        <w:t>.</w:t>
      </w:r>
    </w:p>
    <w:p w:rsidR="00783235" w:rsidRPr="00A40AB4" w:rsidRDefault="00434AE7" w:rsidP="00783235">
      <w:pPr>
        <w:pStyle w:val="Heading2"/>
        <w:spacing w:line="360" w:lineRule="auto"/>
      </w:pPr>
      <w:bookmarkStart w:id="83" w:name="_Toc328358585"/>
      <w:bookmarkStart w:id="84" w:name="_Toc328359414"/>
      <w:bookmarkStart w:id="85" w:name="_Toc328359499"/>
      <w:bookmarkStart w:id="86" w:name="_Toc328359554"/>
      <w:bookmarkStart w:id="87" w:name="_Toc340573831"/>
      <w:bookmarkStart w:id="88" w:name="_Toc340574101"/>
      <w:bookmarkStart w:id="89" w:name="_Toc340574376"/>
      <w:bookmarkStart w:id="90" w:name="_Toc340792014"/>
      <w:bookmarkStart w:id="91" w:name="_Toc341641112"/>
      <w:bookmarkStart w:id="92" w:name="_Toc341641363"/>
      <w:bookmarkStart w:id="93" w:name="_Toc342859651"/>
      <w:r>
        <w:t>5</w:t>
      </w:r>
      <w:r w:rsidR="00783235" w:rsidRPr="00A40AB4">
        <w:t xml:space="preserve"> pav. Draudim</w:t>
      </w:r>
      <w:r w:rsidR="00740918">
        <w:t>o šak</w:t>
      </w:r>
      <w:r w:rsidR="000C2326">
        <w:t>ų</w:t>
      </w:r>
      <w:r w:rsidR="00740918">
        <w:t xml:space="preserve"> </w:t>
      </w:r>
      <w:r w:rsidR="00783235" w:rsidRPr="00A40AB4">
        <w:t>grupės</w:t>
      </w:r>
      <w:bookmarkEnd w:id="83"/>
      <w:bookmarkEnd w:id="84"/>
      <w:bookmarkEnd w:id="85"/>
      <w:bookmarkEnd w:id="86"/>
      <w:bookmarkEnd w:id="87"/>
      <w:bookmarkEnd w:id="88"/>
      <w:bookmarkEnd w:id="89"/>
      <w:bookmarkEnd w:id="90"/>
      <w:r w:rsidR="000C2326">
        <w:t xml:space="preserve"> pagal Lietuvos draudimo įstatymą</w:t>
      </w:r>
      <w:bookmarkEnd w:id="91"/>
      <w:bookmarkEnd w:id="92"/>
      <w:bookmarkEnd w:id="93"/>
    </w:p>
    <w:p w:rsidR="006E3401" w:rsidRPr="00A40AB4" w:rsidRDefault="006E3401" w:rsidP="00E85DB9">
      <w:pPr>
        <w:ind w:firstLine="567"/>
        <w:jc w:val="both"/>
        <w:rPr>
          <w:rFonts w:cs="Times New Roman"/>
          <w:noProof/>
          <w:szCs w:val="24"/>
          <w:lang w:eastAsia="lt-LT"/>
        </w:rPr>
      </w:pPr>
    </w:p>
    <w:p w:rsidR="00E85DB9" w:rsidRDefault="00434AE7" w:rsidP="00E85DB9">
      <w:pPr>
        <w:ind w:firstLine="567"/>
        <w:jc w:val="both"/>
        <w:rPr>
          <w:rFonts w:cs="Times New Roman"/>
          <w:noProof/>
          <w:szCs w:val="24"/>
          <w:lang w:eastAsia="lt-LT"/>
        </w:rPr>
      </w:pPr>
      <w:r>
        <w:rPr>
          <w:rFonts w:cs="Times New Roman"/>
          <w:noProof/>
          <w:szCs w:val="24"/>
          <w:lang w:eastAsia="lt-LT"/>
        </w:rPr>
        <w:t>5</w:t>
      </w:r>
      <w:r w:rsidR="007A66DD">
        <w:rPr>
          <w:rFonts w:cs="Times New Roman"/>
          <w:noProof/>
          <w:szCs w:val="24"/>
          <w:lang w:eastAsia="lt-LT"/>
        </w:rPr>
        <w:t xml:space="preserve"> p</w:t>
      </w:r>
      <w:r w:rsidR="006B5CA6" w:rsidRPr="00A40AB4">
        <w:rPr>
          <w:rFonts w:cs="Times New Roman"/>
          <w:noProof/>
          <w:szCs w:val="24"/>
          <w:lang w:eastAsia="lt-LT"/>
        </w:rPr>
        <w:t>av</w:t>
      </w:r>
      <w:r w:rsidR="007A66DD">
        <w:rPr>
          <w:rFonts w:cs="Times New Roman"/>
          <w:noProof/>
          <w:szCs w:val="24"/>
          <w:lang w:eastAsia="lt-LT"/>
        </w:rPr>
        <w:t xml:space="preserve">. </w:t>
      </w:r>
      <w:r w:rsidR="006B5CA6" w:rsidRPr="00A40AB4">
        <w:rPr>
          <w:rFonts w:cs="Times New Roman"/>
          <w:noProof/>
          <w:szCs w:val="24"/>
          <w:lang w:eastAsia="lt-LT"/>
        </w:rPr>
        <w:t>matyti, jog g</w:t>
      </w:r>
      <w:r w:rsidR="00E85DB9" w:rsidRPr="00A40AB4">
        <w:rPr>
          <w:rFonts w:cs="Times New Roman"/>
          <w:noProof/>
          <w:szCs w:val="24"/>
          <w:lang w:eastAsia="lt-LT"/>
        </w:rPr>
        <w:t xml:space="preserve">yvybės draudimo šaka </w:t>
      </w:r>
      <w:r w:rsidR="00142E31">
        <w:rPr>
          <w:rFonts w:cs="Times New Roman"/>
          <w:noProof/>
          <w:szCs w:val="24"/>
          <w:lang w:eastAsia="lt-LT"/>
        </w:rPr>
        <w:t xml:space="preserve">pagal Lietuvos draudimo įstatymą </w:t>
      </w:r>
      <w:r w:rsidR="00E85DB9" w:rsidRPr="00A40AB4">
        <w:rPr>
          <w:rFonts w:cs="Times New Roman"/>
          <w:noProof/>
          <w:szCs w:val="24"/>
          <w:lang w:eastAsia="lt-LT"/>
        </w:rPr>
        <w:t>klasifikuojama į sutuoktuvių ir giminių draudimą, gyvybės draudimą, susijusį su investiciniais fondais, tontinas, pensijų kaupimo veiklą bei kitą gyvybės draudimą, kurio neapima keturios prieš tai išv</w:t>
      </w:r>
      <w:r w:rsidR="00355EED">
        <w:rPr>
          <w:rFonts w:cs="Times New Roman"/>
          <w:noProof/>
          <w:szCs w:val="24"/>
          <w:lang w:eastAsia="lt-LT"/>
        </w:rPr>
        <w:t>ardintos grupės.</w:t>
      </w:r>
      <w:r w:rsidR="00E85DB9" w:rsidRPr="00A40AB4">
        <w:rPr>
          <w:rFonts w:cs="Times New Roman"/>
          <w:noProof/>
          <w:szCs w:val="24"/>
          <w:lang w:eastAsia="lt-LT"/>
        </w:rPr>
        <w:t xml:space="preserve"> </w:t>
      </w:r>
      <w:r w:rsidR="00455858">
        <w:rPr>
          <w:rFonts w:cs="Times New Roman"/>
          <w:noProof/>
          <w:szCs w:val="24"/>
          <w:lang w:eastAsia="lt-LT"/>
        </w:rPr>
        <w:t>G</w:t>
      </w:r>
      <w:r w:rsidR="00E85DB9" w:rsidRPr="00A40AB4">
        <w:rPr>
          <w:rFonts w:cs="Times New Roman"/>
          <w:noProof/>
          <w:szCs w:val="24"/>
          <w:lang w:eastAsia="lt-LT"/>
        </w:rPr>
        <w:t xml:space="preserve">yvybės draudimo šaka </w:t>
      </w:r>
      <w:r w:rsidR="0022636F">
        <w:rPr>
          <w:rFonts w:cs="Times New Roman"/>
          <w:noProof/>
          <w:szCs w:val="24"/>
          <w:lang w:eastAsia="lt-LT"/>
        </w:rPr>
        <w:t xml:space="preserve">nėra magistro baigiamojo darbo </w:t>
      </w:r>
      <w:r w:rsidR="00E85DB9" w:rsidRPr="00A40AB4">
        <w:rPr>
          <w:rFonts w:cs="Times New Roman"/>
          <w:noProof/>
          <w:szCs w:val="24"/>
          <w:lang w:eastAsia="lt-LT"/>
        </w:rPr>
        <w:t xml:space="preserve">objektas, </w:t>
      </w:r>
      <w:r w:rsidR="00455858">
        <w:rPr>
          <w:rFonts w:cs="Times New Roman"/>
          <w:noProof/>
          <w:szCs w:val="24"/>
          <w:lang w:eastAsia="lt-LT"/>
        </w:rPr>
        <w:t xml:space="preserve">tad </w:t>
      </w:r>
      <w:r w:rsidR="00E85DB9" w:rsidRPr="00A40AB4">
        <w:rPr>
          <w:rFonts w:cs="Times New Roman"/>
          <w:noProof/>
          <w:szCs w:val="24"/>
          <w:lang w:eastAsia="lt-LT"/>
        </w:rPr>
        <w:t>ji plačiau nagrinėjama nebus.</w:t>
      </w:r>
    </w:p>
    <w:p w:rsidR="00965B29" w:rsidRDefault="00142E31" w:rsidP="00E85DB9">
      <w:pPr>
        <w:ind w:firstLine="567"/>
        <w:jc w:val="both"/>
        <w:rPr>
          <w:rFonts w:cs="Times New Roman"/>
          <w:noProof/>
          <w:szCs w:val="24"/>
          <w:lang w:eastAsia="lt-LT"/>
        </w:rPr>
      </w:pPr>
      <w:r>
        <w:rPr>
          <w:rFonts w:cs="Times New Roman"/>
          <w:noProof/>
          <w:szCs w:val="24"/>
          <w:lang w:eastAsia="lt-LT"/>
        </w:rPr>
        <w:t>Remiantis Lietuvos draudimo įstatymu ne gyvybės draudimas Lietuvoje skirstomas į draudimą nuo nelaimingų atsitikimų ir ligos atveju (sveikatos draudimą), motorinį, jūrinį bei transporto, aviacijos, civilinės atsakomybės, kredito ir laidavimo draudimą, taip pat turto draudimą nuo gaisro ir kitokio turto sugadinimo (sunaikinimo)</w:t>
      </w:r>
      <w:r w:rsidR="00965B29">
        <w:rPr>
          <w:rFonts w:cs="Times New Roman"/>
          <w:noProof/>
          <w:szCs w:val="24"/>
          <w:lang w:eastAsia="lt-LT"/>
        </w:rPr>
        <w:t xml:space="preserve"> (žr. </w:t>
      </w:r>
      <w:r w:rsidR="00434AE7">
        <w:rPr>
          <w:rFonts w:cs="Times New Roman"/>
          <w:noProof/>
          <w:szCs w:val="24"/>
          <w:lang w:val="en-US" w:eastAsia="lt-LT"/>
        </w:rPr>
        <w:t>5</w:t>
      </w:r>
      <w:r w:rsidR="00965B29">
        <w:rPr>
          <w:rFonts w:cs="Times New Roman"/>
          <w:noProof/>
          <w:szCs w:val="24"/>
          <w:lang w:val="en-US" w:eastAsia="lt-LT"/>
        </w:rPr>
        <w:t xml:space="preserve"> pav.)</w:t>
      </w:r>
      <w:r>
        <w:rPr>
          <w:rFonts w:cs="Times New Roman"/>
          <w:noProof/>
          <w:szCs w:val="24"/>
          <w:lang w:eastAsia="lt-LT"/>
        </w:rPr>
        <w:t>.</w:t>
      </w:r>
      <w:r w:rsidR="00965B29">
        <w:rPr>
          <w:rFonts w:cs="Times New Roman"/>
          <w:noProof/>
          <w:szCs w:val="24"/>
          <w:lang w:eastAsia="lt-LT"/>
        </w:rPr>
        <w:t xml:space="preserve"> </w:t>
      </w:r>
    </w:p>
    <w:p w:rsidR="00E85DB9" w:rsidRPr="00A40AB4" w:rsidRDefault="00965B29" w:rsidP="00E85DB9">
      <w:pPr>
        <w:ind w:firstLine="567"/>
        <w:jc w:val="both"/>
        <w:rPr>
          <w:rFonts w:cs="Times New Roman"/>
          <w:noProof/>
          <w:szCs w:val="24"/>
          <w:lang w:eastAsia="lt-LT"/>
        </w:rPr>
      </w:pPr>
      <w:r>
        <w:rPr>
          <w:rFonts w:cs="Times New Roman"/>
          <w:noProof/>
          <w:szCs w:val="24"/>
          <w:lang w:eastAsia="lt-LT"/>
        </w:rPr>
        <w:t xml:space="preserve">Šios stambios grupės </w:t>
      </w:r>
      <w:r w:rsidR="00571A8C">
        <w:rPr>
          <w:rFonts w:cs="Times New Roman"/>
          <w:noProof/>
          <w:szCs w:val="24"/>
          <w:lang w:eastAsia="lt-LT"/>
        </w:rPr>
        <w:t xml:space="preserve">mūsų šalyje </w:t>
      </w:r>
      <w:r>
        <w:rPr>
          <w:rFonts w:cs="Times New Roman"/>
          <w:noProof/>
          <w:szCs w:val="24"/>
          <w:lang w:eastAsia="lt-LT"/>
        </w:rPr>
        <w:t>skirstomos dar</w:t>
      </w:r>
      <w:r w:rsidR="00E85DB9" w:rsidRPr="00A40AB4">
        <w:rPr>
          <w:rFonts w:cs="Times New Roman"/>
          <w:noProof/>
          <w:szCs w:val="24"/>
          <w:lang w:eastAsia="lt-LT"/>
        </w:rPr>
        <w:t xml:space="preserve"> į aštuoniolika </w:t>
      </w:r>
      <w:r>
        <w:rPr>
          <w:rFonts w:cs="Times New Roman"/>
          <w:noProof/>
          <w:szCs w:val="24"/>
          <w:lang w:eastAsia="lt-LT"/>
        </w:rPr>
        <w:t xml:space="preserve">ne gyvybės draudimo šakos </w:t>
      </w:r>
      <w:r w:rsidR="00E85DB9" w:rsidRPr="00A40AB4">
        <w:rPr>
          <w:rFonts w:cs="Times New Roman"/>
          <w:noProof/>
          <w:szCs w:val="24"/>
          <w:lang w:eastAsia="lt-LT"/>
        </w:rPr>
        <w:t>grupių: draudimas nuo nelaimingų atsitikimų, draudimas ligos atvejui, sausumos transporto priemonių, išskyrus geležinkelio transporto priemones, geležinkelio transporto priemonių, skraidymo aparatų, laivų (jūrų ir vidaus vandenų), vežamų krovinių, turto (išskyrus transporto priemonių bei krovinių draudimą) draudimas nuo gaisro ar gamtinių jėgų, turto draudimas nuo kitų rizikų, su sausumos transporto priemonių valdymu susijusios civilinės atsakomybės, su skraidymo aparatų valdymu susijusios civilinės atsakomybės, su laivų (jūrų ir vidaus vandenų) valdymu susijusios civilinės atsakomybės bei bendrosios civilinės atsakomybės draudimas, kredito, laidavimo, finansinių nuostolių, teisinių išlaidų, pagalbos draudimas.</w:t>
      </w:r>
    </w:p>
    <w:p w:rsidR="00E85DB9" w:rsidRPr="00A40AB4" w:rsidRDefault="00E85DB9" w:rsidP="00E85DB9">
      <w:pPr>
        <w:ind w:firstLine="567"/>
        <w:jc w:val="both"/>
        <w:rPr>
          <w:rFonts w:cs="Times New Roman"/>
          <w:noProof/>
          <w:szCs w:val="24"/>
          <w:lang w:eastAsia="lt-LT"/>
        </w:rPr>
      </w:pPr>
      <w:r w:rsidRPr="00A40AB4">
        <w:rPr>
          <w:rFonts w:cs="Times New Roman"/>
          <w:noProof/>
          <w:szCs w:val="24"/>
          <w:lang w:eastAsia="lt-LT"/>
        </w:rPr>
        <w:t>Visos aštuoniolika paminėtų draudimo grupių skirstomos į smulkesnius objektus – draudimo produktus. Verta paminėti, jog atskirai į ne gyvybės draudimo produktų sąrašą būtų galima įtraukti tokius kaip būsto paskolų negrąžinimo, indėlių ir investicijų bei prekinių kreditų draudimą.</w:t>
      </w:r>
    </w:p>
    <w:p w:rsidR="004424BA" w:rsidRDefault="008E1179" w:rsidP="00181483">
      <w:pPr>
        <w:ind w:firstLine="567"/>
        <w:jc w:val="both"/>
        <w:rPr>
          <w:rFonts w:cs="Times New Roman"/>
          <w:noProof/>
          <w:szCs w:val="24"/>
          <w:lang w:eastAsia="lt-LT"/>
        </w:rPr>
      </w:pPr>
      <w:r w:rsidRPr="00A40AB4">
        <w:rPr>
          <w:rFonts w:cs="Times New Roman"/>
          <w:noProof/>
          <w:szCs w:val="24"/>
          <w:lang w:eastAsia="lt-LT"/>
        </w:rPr>
        <w:lastRenderedPageBreak/>
        <w:t xml:space="preserve">Vertėtų </w:t>
      </w:r>
      <w:r w:rsidR="002917B3" w:rsidRPr="00A40AB4">
        <w:rPr>
          <w:rFonts w:cs="Times New Roman"/>
          <w:noProof/>
          <w:szCs w:val="24"/>
          <w:lang w:eastAsia="lt-LT"/>
        </w:rPr>
        <w:t xml:space="preserve">atkreipti </w:t>
      </w:r>
      <w:r w:rsidRPr="00A40AB4">
        <w:rPr>
          <w:rFonts w:cs="Times New Roman"/>
          <w:noProof/>
          <w:szCs w:val="24"/>
          <w:lang w:eastAsia="lt-LT"/>
        </w:rPr>
        <w:t xml:space="preserve">dėmesį </w:t>
      </w:r>
      <w:r w:rsidR="002917B3" w:rsidRPr="00A40AB4">
        <w:rPr>
          <w:rFonts w:cs="Times New Roman"/>
          <w:noProof/>
          <w:szCs w:val="24"/>
          <w:lang w:eastAsia="lt-LT"/>
        </w:rPr>
        <w:t xml:space="preserve">į </w:t>
      </w:r>
      <w:r w:rsidR="00B10ABD" w:rsidRPr="00A40AB4">
        <w:rPr>
          <w:rFonts w:cs="Times New Roman"/>
          <w:noProof/>
          <w:szCs w:val="24"/>
          <w:lang w:eastAsia="lt-LT"/>
        </w:rPr>
        <w:t>vieną</w:t>
      </w:r>
      <w:r w:rsidR="001607BD" w:rsidRPr="00A40AB4">
        <w:rPr>
          <w:rFonts w:cs="Times New Roman"/>
          <w:noProof/>
          <w:szCs w:val="24"/>
          <w:lang w:eastAsia="lt-LT"/>
        </w:rPr>
        <w:t xml:space="preserve"> </w:t>
      </w:r>
      <w:r w:rsidR="00DE4287" w:rsidRPr="00A40AB4">
        <w:rPr>
          <w:rFonts w:cs="Times New Roman"/>
          <w:noProof/>
          <w:szCs w:val="24"/>
          <w:lang w:eastAsia="lt-LT"/>
        </w:rPr>
        <w:t xml:space="preserve">Lietuvos draudimo rinkai būdingą </w:t>
      </w:r>
      <w:r w:rsidR="000E5BDB" w:rsidRPr="00A40AB4">
        <w:rPr>
          <w:rFonts w:cs="Times New Roman"/>
          <w:noProof/>
          <w:szCs w:val="24"/>
          <w:lang w:eastAsia="lt-LT"/>
        </w:rPr>
        <w:t>ypatybę. DPK</w:t>
      </w:r>
      <w:r w:rsidRPr="00A40AB4">
        <w:rPr>
          <w:rFonts w:cs="Times New Roman"/>
          <w:noProof/>
          <w:szCs w:val="24"/>
          <w:lang w:eastAsia="lt-LT"/>
        </w:rPr>
        <w:t xml:space="preserve"> </w:t>
      </w:r>
      <w:r w:rsidR="00181483" w:rsidRPr="00A40AB4">
        <w:rPr>
          <w:rFonts w:cs="Times New Roman"/>
          <w:noProof/>
          <w:szCs w:val="24"/>
          <w:lang w:eastAsia="lt-LT"/>
        </w:rPr>
        <w:t xml:space="preserve">remdamasi Europos Sąjungos direktyvomis </w:t>
      </w:r>
      <w:r w:rsidRPr="00A40AB4">
        <w:rPr>
          <w:rFonts w:cs="Times New Roman"/>
          <w:noProof/>
          <w:szCs w:val="24"/>
          <w:lang w:eastAsia="lt-LT"/>
        </w:rPr>
        <w:t>tvirtina</w:t>
      </w:r>
      <w:r w:rsidR="000E5BDB" w:rsidRPr="00A40AB4">
        <w:rPr>
          <w:rFonts w:cs="Times New Roman"/>
          <w:noProof/>
          <w:szCs w:val="24"/>
          <w:lang w:eastAsia="lt-LT"/>
        </w:rPr>
        <w:t>,</w:t>
      </w:r>
      <w:r w:rsidRPr="00A40AB4">
        <w:rPr>
          <w:rFonts w:cs="Times New Roman"/>
          <w:noProof/>
          <w:szCs w:val="24"/>
          <w:lang w:eastAsia="lt-LT"/>
        </w:rPr>
        <w:t xml:space="preserve"> kad</w:t>
      </w:r>
      <w:r w:rsidR="000E5BDB" w:rsidRPr="00A40AB4">
        <w:rPr>
          <w:rFonts w:cs="Times New Roman"/>
          <w:noProof/>
          <w:szCs w:val="24"/>
          <w:lang w:eastAsia="lt-LT"/>
        </w:rPr>
        <w:t xml:space="preserve"> gyvybės draudimo kompanijos turi </w:t>
      </w:r>
      <w:r w:rsidR="00963607">
        <w:rPr>
          <w:rFonts w:cs="Times New Roman"/>
          <w:noProof/>
          <w:szCs w:val="24"/>
          <w:lang w:eastAsia="lt-LT"/>
        </w:rPr>
        <w:t xml:space="preserve">lincenziją vykdyti dalį </w:t>
      </w:r>
      <w:r w:rsidR="000E5BDB" w:rsidRPr="00A40AB4">
        <w:rPr>
          <w:rFonts w:cs="Times New Roman"/>
          <w:noProof/>
          <w:szCs w:val="24"/>
          <w:lang w:eastAsia="lt-LT"/>
        </w:rPr>
        <w:t xml:space="preserve">ne gyvybės draudimo kompanijų veiklos – teikti draudimo nuo nelaimingų atsitikimų bei draudimo ligos atveju paslaugas. </w:t>
      </w:r>
      <w:r w:rsidR="00963607">
        <w:rPr>
          <w:rFonts w:cs="Times New Roman"/>
          <w:noProof/>
          <w:szCs w:val="24"/>
          <w:lang w:eastAsia="lt-LT"/>
        </w:rPr>
        <w:t xml:space="preserve">Tuo tarpu </w:t>
      </w:r>
      <w:r w:rsidR="007B08F3" w:rsidRPr="00A40AB4">
        <w:rPr>
          <w:rFonts w:cs="Times New Roman"/>
          <w:noProof/>
          <w:szCs w:val="24"/>
          <w:lang w:eastAsia="lt-LT"/>
        </w:rPr>
        <w:t>n</w:t>
      </w:r>
      <w:r w:rsidR="000E5BDB" w:rsidRPr="00A40AB4">
        <w:rPr>
          <w:rFonts w:cs="Times New Roman"/>
          <w:noProof/>
          <w:szCs w:val="24"/>
          <w:lang w:eastAsia="lt-LT"/>
        </w:rPr>
        <w:t xml:space="preserve">e gyvybės draudimo kompanijos </w:t>
      </w:r>
      <w:r w:rsidR="007B08F3" w:rsidRPr="00A40AB4">
        <w:rPr>
          <w:rFonts w:cs="Times New Roman"/>
          <w:noProof/>
          <w:szCs w:val="24"/>
          <w:lang w:eastAsia="lt-LT"/>
        </w:rPr>
        <w:t xml:space="preserve">– atvirkščiai – </w:t>
      </w:r>
      <w:r w:rsidR="000E5BDB" w:rsidRPr="00A40AB4">
        <w:rPr>
          <w:rFonts w:cs="Times New Roman"/>
          <w:noProof/>
          <w:szCs w:val="24"/>
          <w:lang w:eastAsia="lt-LT"/>
        </w:rPr>
        <w:t xml:space="preserve">neturi </w:t>
      </w:r>
      <w:r w:rsidR="00963607">
        <w:rPr>
          <w:rFonts w:cs="Times New Roman"/>
          <w:noProof/>
          <w:szCs w:val="24"/>
          <w:lang w:eastAsia="lt-LT"/>
        </w:rPr>
        <w:t xml:space="preserve">licenzijos ir negali </w:t>
      </w:r>
      <w:r w:rsidR="000E5BDB" w:rsidRPr="00A40AB4">
        <w:rPr>
          <w:rFonts w:cs="Times New Roman"/>
          <w:noProof/>
          <w:szCs w:val="24"/>
          <w:lang w:eastAsia="lt-LT"/>
        </w:rPr>
        <w:t xml:space="preserve">vykdyti </w:t>
      </w:r>
      <w:r w:rsidR="0085268E" w:rsidRPr="00A40AB4">
        <w:rPr>
          <w:rFonts w:cs="Times New Roman"/>
          <w:noProof/>
          <w:szCs w:val="24"/>
          <w:lang w:eastAsia="lt-LT"/>
        </w:rPr>
        <w:t>jokios gyvybės draudimui priskiriamos veiklos</w:t>
      </w:r>
      <w:r w:rsidR="000E5BDB" w:rsidRPr="00A40AB4">
        <w:rPr>
          <w:rFonts w:cs="Times New Roman"/>
          <w:noProof/>
          <w:szCs w:val="24"/>
          <w:lang w:eastAsia="lt-LT"/>
        </w:rPr>
        <w:t>.</w:t>
      </w:r>
    </w:p>
    <w:p w:rsidR="00D8159B" w:rsidRPr="00633ED6" w:rsidRDefault="00D8159B" w:rsidP="00181483">
      <w:pPr>
        <w:ind w:firstLine="567"/>
        <w:jc w:val="both"/>
        <w:rPr>
          <w:rFonts w:cs="Times New Roman"/>
          <w:noProof/>
          <w:szCs w:val="24"/>
          <w:lang w:eastAsia="lt-LT"/>
        </w:rPr>
      </w:pPr>
      <w:r>
        <w:rPr>
          <w:rFonts w:cs="Times New Roman"/>
          <w:noProof/>
          <w:szCs w:val="24"/>
          <w:lang w:eastAsia="lt-LT"/>
        </w:rPr>
        <w:t>Kaip matome, draudimą galima klasifikuoti daugybe įvairių pjūvių</w:t>
      </w:r>
      <w:r w:rsidR="00FC20A8">
        <w:rPr>
          <w:rFonts w:cs="Times New Roman"/>
          <w:noProof/>
          <w:szCs w:val="24"/>
          <w:lang w:eastAsia="lt-LT"/>
        </w:rPr>
        <w:t>: pagal veiklos sferas, sutarties galiojimo laiką, draudžiamąjį objektą, išmokos nustatymo būdą ir kt. Svarbiausias skirstymas, kuriuo remiasi ir magistro baigiamasis darbas, yra apibrėžtas Lietuvos draudimo įstatym</w:t>
      </w:r>
      <w:r w:rsidR="005669C3">
        <w:rPr>
          <w:rFonts w:cs="Times New Roman"/>
          <w:noProof/>
          <w:szCs w:val="24"/>
          <w:lang w:eastAsia="lt-LT"/>
        </w:rPr>
        <w:t>u</w:t>
      </w:r>
      <w:r w:rsidR="00FC20A8">
        <w:rPr>
          <w:rFonts w:cs="Times New Roman"/>
          <w:noProof/>
          <w:szCs w:val="24"/>
          <w:lang w:eastAsia="lt-LT"/>
        </w:rPr>
        <w:t xml:space="preserve"> – skirstymas į gyvybės bei ne gyvybės draudimo šakas.</w:t>
      </w:r>
      <w:r w:rsidR="005669C3">
        <w:rPr>
          <w:rFonts w:cs="Times New Roman"/>
          <w:noProof/>
          <w:szCs w:val="24"/>
          <w:lang w:eastAsia="lt-LT"/>
        </w:rPr>
        <w:t xml:space="preserve"> Dėl savo kompleksiškumo ne gyvybės draudimo šaką dar galima išskirti į</w:t>
      </w:r>
      <w:r w:rsidR="00633ED6">
        <w:rPr>
          <w:rFonts w:cs="Times New Roman"/>
          <w:noProof/>
          <w:szCs w:val="24"/>
          <w:lang w:eastAsia="lt-LT"/>
        </w:rPr>
        <w:t xml:space="preserve"> tris</w:t>
      </w:r>
      <w:r w:rsidR="005669C3">
        <w:rPr>
          <w:rFonts w:cs="Times New Roman"/>
          <w:noProof/>
          <w:szCs w:val="24"/>
          <w:lang w:eastAsia="lt-LT"/>
        </w:rPr>
        <w:t xml:space="preserve"> </w:t>
      </w:r>
      <w:r w:rsidR="00633ED6">
        <w:rPr>
          <w:rFonts w:cs="Times New Roman"/>
          <w:noProof/>
          <w:szCs w:val="24"/>
          <w:lang w:eastAsia="lt-LT"/>
        </w:rPr>
        <w:t>stambias grupes pagal draudžiamąjį objektą: asmens (draudimas nuo nelaimingų atsitikimų, ligos atveju, sveikatos), turto bei finansinių nuostolių (motorinis, jūrinis ir transporto, aviacijos draudimas, turto draudimas nuo gaisro ir kitokio sugadinimo, kredito ir laidavimo) bei civilinės atsakomybės. Šios stambios ne gyvybės draudimo grupės Lietuvos draudimo įstatyme dar klasifikuojamos į aštuoniolika grupių, o pastarosios – į galutinius ne gyvybės draudimo siūlomus produktus.</w:t>
      </w:r>
    </w:p>
    <w:p w:rsidR="00144A3A" w:rsidRDefault="00144A3A" w:rsidP="00181483">
      <w:pPr>
        <w:ind w:firstLine="567"/>
        <w:jc w:val="both"/>
        <w:rPr>
          <w:rFonts w:cs="Times New Roman"/>
          <w:noProof/>
          <w:szCs w:val="24"/>
          <w:lang w:eastAsia="lt-LT"/>
        </w:rPr>
      </w:pPr>
    </w:p>
    <w:p w:rsidR="00B44192" w:rsidRPr="00A40AB4" w:rsidRDefault="005E7673" w:rsidP="004F0933">
      <w:pPr>
        <w:pStyle w:val="Heading2"/>
        <w:numPr>
          <w:ilvl w:val="1"/>
          <w:numId w:val="6"/>
        </w:numPr>
        <w:spacing w:line="360" w:lineRule="auto"/>
        <w:jc w:val="both"/>
        <w:rPr>
          <w:sz w:val="28"/>
        </w:rPr>
      </w:pPr>
      <w:bookmarkStart w:id="94" w:name="_Toc328358586"/>
      <w:bookmarkStart w:id="95" w:name="_Toc328359415"/>
      <w:bookmarkStart w:id="96" w:name="_Toc328359500"/>
      <w:bookmarkStart w:id="97" w:name="_Toc328359555"/>
      <w:bookmarkStart w:id="98" w:name="_Toc340574377"/>
      <w:bookmarkStart w:id="99" w:name="_Toc340574693"/>
      <w:bookmarkStart w:id="100" w:name="_Toc341641364"/>
      <w:bookmarkStart w:id="101" w:name="_Toc342859652"/>
      <w:r w:rsidRPr="00A40AB4">
        <w:rPr>
          <w:sz w:val="28"/>
        </w:rPr>
        <w:t>Ne gyvybės d</w:t>
      </w:r>
      <w:r w:rsidR="00B44192" w:rsidRPr="00A40AB4">
        <w:rPr>
          <w:sz w:val="28"/>
        </w:rPr>
        <w:t>raudimo rinkos plėtros veiksniai</w:t>
      </w:r>
      <w:bookmarkEnd w:id="94"/>
      <w:bookmarkEnd w:id="95"/>
      <w:bookmarkEnd w:id="96"/>
      <w:bookmarkEnd w:id="97"/>
      <w:bookmarkEnd w:id="98"/>
      <w:bookmarkEnd w:id="99"/>
      <w:bookmarkEnd w:id="100"/>
      <w:bookmarkEnd w:id="101"/>
    </w:p>
    <w:p w:rsidR="00817D7B" w:rsidRPr="00A40AB4" w:rsidRDefault="00817D7B" w:rsidP="00817D7B"/>
    <w:p w:rsidR="00F1644B" w:rsidRPr="00A40AB4" w:rsidRDefault="00F1644B" w:rsidP="007B41E6">
      <w:pPr>
        <w:ind w:firstLine="567"/>
        <w:jc w:val="both"/>
      </w:pPr>
      <w:r w:rsidRPr="00A40AB4">
        <w:t>Norint nustatyti kokias galimybes plėstis turi Lietuvos ne gyvybės draudimo rinka būtina identifikuoti veiksnius, darančius įtaką finansiniam sektoriui bei pačiai ne gyvybės draudimo rinkai Lietuvoje, nustatyti šalies ūkio augimo santykį su draudimo sektoriumi. Toliau nagrinėjamas veiksnių, lemiančių draudimo rinkos vystymąsi, skirstymas pagal įvairius autorius.</w:t>
      </w:r>
    </w:p>
    <w:p w:rsidR="00A62CD7" w:rsidRPr="00A40AB4" w:rsidRDefault="007B41E6" w:rsidP="007B41E6">
      <w:pPr>
        <w:ind w:firstLine="567"/>
        <w:jc w:val="both"/>
      </w:pPr>
      <w:r w:rsidRPr="00A40AB4">
        <w:t xml:space="preserve">Didelė dalis ekonomistų tvirtina, jog finansinių paslaugų, tokių kaip bankininkystė ir draudimas, vystymasis teigiamai įtakoja ir kitų ūkio šakų augimą. </w:t>
      </w:r>
      <w:r w:rsidR="00A62CD7" w:rsidRPr="00A40AB4">
        <w:t>Schumpeter dar 1934 m. tvirtino, jog finansų tarpininkų siūlomos paslaugos yra reikšminga paskata vystytis technologijoms bei ekonominiam augimui (cit. pagal Azman-Saini ir Smith, 2011).</w:t>
      </w:r>
    </w:p>
    <w:p w:rsidR="001B4432" w:rsidRPr="00A40AB4" w:rsidRDefault="001B4432" w:rsidP="007B41E6">
      <w:pPr>
        <w:ind w:firstLine="567"/>
        <w:jc w:val="both"/>
      </w:pPr>
    </w:p>
    <w:p w:rsidR="007A7046" w:rsidRPr="00A40AB4" w:rsidRDefault="007A7046" w:rsidP="007A7046">
      <w:pPr>
        <w:ind w:firstLine="567"/>
        <w:jc w:val="both"/>
        <w:rPr>
          <w:b/>
        </w:rPr>
      </w:pPr>
      <w:r w:rsidRPr="00A40AB4">
        <w:rPr>
          <w:b/>
        </w:rPr>
        <w:t>Ne gyvybės draudimo rinkai įta</w:t>
      </w:r>
      <w:r w:rsidR="008A35FB" w:rsidRPr="00A40AB4">
        <w:rPr>
          <w:b/>
        </w:rPr>
        <w:t>ką darančių veiksnių skirstymas</w:t>
      </w:r>
    </w:p>
    <w:p w:rsidR="001A48EC" w:rsidRPr="00A40AB4" w:rsidRDefault="00BB2AB1" w:rsidP="007B41E6">
      <w:pPr>
        <w:ind w:firstLine="567"/>
        <w:jc w:val="both"/>
      </w:pPr>
      <w:r w:rsidRPr="00A40AB4">
        <w:t xml:space="preserve">Įvairūs autoriai nevienodai skirsto finansiniam bei draudimo sektoriui įtaką darančius veiksnius. </w:t>
      </w:r>
      <w:r w:rsidR="001A48EC" w:rsidRPr="00A40AB4">
        <w:t>Bernat ir Grundey (2007) išskiria esminius veiksnius, lėmusius šiuo metu susiformavusią finansinių paslaugų rinką pasaulyje:</w:t>
      </w:r>
    </w:p>
    <w:p w:rsidR="00DF3E90" w:rsidRPr="00A40AB4" w:rsidRDefault="00DF3E90" w:rsidP="00817D7B">
      <w:pPr>
        <w:pStyle w:val="ListParagraph"/>
        <w:numPr>
          <w:ilvl w:val="0"/>
          <w:numId w:val="17"/>
        </w:numPr>
        <w:ind w:left="993"/>
        <w:jc w:val="both"/>
      </w:pPr>
      <w:r w:rsidRPr="00A40AB4">
        <w:t>Neatitikimas (finansine prasme) tarp skolos bei kapitalo;</w:t>
      </w:r>
    </w:p>
    <w:p w:rsidR="00DF3E90" w:rsidRPr="00A40AB4" w:rsidRDefault="00DF3E90" w:rsidP="00817D7B">
      <w:pPr>
        <w:pStyle w:val="ListParagraph"/>
        <w:numPr>
          <w:ilvl w:val="0"/>
          <w:numId w:val="17"/>
        </w:numPr>
        <w:ind w:left="993"/>
        <w:jc w:val="both"/>
      </w:pPr>
      <w:r w:rsidRPr="00A40AB4">
        <w:t xml:space="preserve">Teisinio reguliavimo sumažėjimas pasaulio rinkose, kuris </w:t>
      </w:r>
      <w:r w:rsidR="008E03B9" w:rsidRPr="00A40AB4">
        <w:t xml:space="preserve">nulėmė </w:t>
      </w:r>
      <w:r w:rsidRPr="00A40AB4">
        <w:t>liberalizacij</w:t>
      </w:r>
      <w:r w:rsidR="008E03B9" w:rsidRPr="00A40AB4">
        <w:t>ą, demonopolizaciją, patekimo į rinką barjerų sumažėjimą bei</w:t>
      </w:r>
      <w:r w:rsidRPr="00A40AB4">
        <w:t xml:space="preserve"> išaugusi</w:t>
      </w:r>
      <w:r w:rsidR="008E03B9" w:rsidRPr="00A40AB4">
        <w:t>ą</w:t>
      </w:r>
      <w:r w:rsidRPr="00A40AB4">
        <w:t xml:space="preserve"> konkurencij</w:t>
      </w:r>
      <w:r w:rsidR="008E03B9" w:rsidRPr="00A40AB4">
        <w:t>ą</w:t>
      </w:r>
      <w:r w:rsidRPr="00A40AB4">
        <w:t>;</w:t>
      </w:r>
    </w:p>
    <w:p w:rsidR="00DF3E90" w:rsidRPr="00A40AB4" w:rsidRDefault="008E03B9" w:rsidP="00817D7B">
      <w:pPr>
        <w:pStyle w:val="ListParagraph"/>
        <w:numPr>
          <w:ilvl w:val="0"/>
          <w:numId w:val="17"/>
        </w:numPr>
        <w:ind w:left="993"/>
        <w:jc w:val="both"/>
      </w:pPr>
      <w:r w:rsidRPr="00A40AB4">
        <w:lastRenderedPageBreak/>
        <w:t>Globalizacija, įskantant naująsias technologijas, finansų rinkų integraciją bei tarptautinių finansinių konglomeratų (bankų, draudikų, įvairių fondų) susikūrimą;</w:t>
      </w:r>
    </w:p>
    <w:p w:rsidR="008E03B9" w:rsidRPr="00A40AB4" w:rsidRDefault="008E03B9" w:rsidP="00817D7B">
      <w:pPr>
        <w:pStyle w:val="ListParagraph"/>
        <w:numPr>
          <w:ilvl w:val="0"/>
          <w:numId w:val="17"/>
        </w:numPr>
        <w:ind w:left="993"/>
        <w:jc w:val="both"/>
      </w:pPr>
      <w:r w:rsidRPr="00A40AB4">
        <w:t>Technologiniai procesai, susiję su vis augančia interneto įtaka ekonomikai;</w:t>
      </w:r>
    </w:p>
    <w:p w:rsidR="008E03B9" w:rsidRPr="00A40AB4" w:rsidRDefault="008E03B9" w:rsidP="00817D7B">
      <w:pPr>
        <w:pStyle w:val="ListParagraph"/>
        <w:numPr>
          <w:ilvl w:val="0"/>
          <w:numId w:val="17"/>
        </w:numPr>
        <w:ind w:left="993"/>
        <w:jc w:val="both"/>
      </w:pPr>
      <w:r w:rsidRPr="00A40AB4">
        <w:t>Akcininkų įtaka jų turimų įmonių pelningumui;</w:t>
      </w:r>
    </w:p>
    <w:p w:rsidR="008E03B9" w:rsidRPr="00A40AB4" w:rsidRDefault="008E03B9" w:rsidP="00817D7B">
      <w:pPr>
        <w:pStyle w:val="ListParagraph"/>
        <w:numPr>
          <w:ilvl w:val="0"/>
          <w:numId w:val="17"/>
        </w:numPr>
        <w:ind w:left="993"/>
        <w:jc w:val="both"/>
      </w:pPr>
      <w:r w:rsidRPr="00A40AB4">
        <w:t xml:space="preserve"> </w:t>
      </w:r>
      <w:r w:rsidR="00DA083A" w:rsidRPr="00A40AB4">
        <w:t>Ženklus lėšų išaugimas įvairiuose fonduose – ypač pensijų fondų.</w:t>
      </w:r>
    </w:p>
    <w:p w:rsidR="0056661E" w:rsidRPr="00A40AB4" w:rsidRDefault="00643590" w:rsidP="007B41E6">
      <w:pPr>
        <w:ind w:firstLine="567"/>
        <w:jc w:val="both"/>
      </w:pPr>
      <w:r w:rsidRPr="00A40AB4">
        <w:t xml:space="preserve">Hussels et al. (2005) tvirtina, jog identifikuojant </w:t>
      </w:r>
      <w:r w:rsidR="00302152">
        <w:t>veiksnius</w:t>
      </w:r>
      <w:r w:rsidRPr="00A40AB4">
        <w:t>, skatinančius finansinių paslaugų paklausos augimą, galima išskirti tuos, kurie lemia draudimo rinkos ir, tuo pačiu, visos ekonomikos augimą. Autoriai išskiria empirinius Browne et al.</w:t>
      </w:r>
      <w:r w:rsidR="0064012D" w:rsidRPr="00A40AB4">
        <w:t xml:space="preserve"> (2000), Ward ir Zurbruegg (2000</w:t>
      </w:r>
      <w:r w:rsidRPr="00A40AB4">
        <w:t>), Beck ir Webb (2003) bei Esho et al. (2004) atliktus draudimo rinkos tyrimus, kuriais išskiriami</w:t>
      </w:r>
      <w:r w:rsidR="00302152">
        <w:t xml:space="preserve"> veiksniai, lemiantys</w:t>
      </w:r>
      <w:r w:rsidRPr="00A40AB4">
        <w:t xml:space="preserve"> draudimo plėtrą – ekonominiai, teisiniai, politiniai bei socialiniai.</w:t>
      </w:r>
    </w:p>
    <w:p w:rsidR="003B60D5" w:rsidRPr="00A40AB4" w:rsidRDefault="003B60D5" w:rsidP="003B60D5">
      <w:pPr>
        <w:ind w:firstLine="567"/>
        <w:jc w:val="both"/>
      </w:pPr>
      <w:r w:rsidRPr="00A40AB4">
        <w:t>Meidan (1996) pažymi, jog draudimo paslaugų poreikis didėja dėl trijų sistemų, kurios lemia rizikos bei netikrumo atsiradimą:</w:t>
      </w:r>
    </w:p>
    <w:p w:rsidR="003B60D5" w:rsidRPr="00A40AB4" w:rsidRDefault="003B60D5" w:rsidP="003B60D5">
      <w:pPr>
        <w:pStyle w:val="ListParagraph"/>
        <w:numPr>
          <w:ilvl w:val="0"/>
          <w:numId w:val="18"/>
        </w:numPr>
        <w:jc w:val="both"/>
      </w:pPr>
      <w:r w:rsidRPr="00A40AB4">
        <w:t>Socialinė sistema – netikrumą sukelia vagystės, įsilaužimai, padegimai, maištai, streikai, vaikų pagrobimai ir pan.</w:t>
      </w:r>
    </w:p>
    <w:p w:rsidR="003B60D5" w:rsidRPr="00A40AB4" w:rsidRDefault="003B60D5" w:rsidP="003B60D5">
      <w:pPr>
        <w:pStyle w:val="ListParagraph"/>
        <w:numPr>
          <w:ilvl w:val="0"/>
          <w:numId w:val="18"/>
        </w:numPr>
        <w:jc w:val="both"/>
      </w:pPr>
      <w:r w:rsidRPr="00A40AB4">
        <w:t>Gamtinė sistema – įvairių gamtos reiškinių keliamas pavojus – potvyniai, audros, uraganai, žaibai, ugnikalnio išsiveržimai ir t.t.</w:t>
      </w:r>
    </w:p>
    <w:p w:rsidR="003B60D5" w:rsidRPr="00A40AB4" w:rsidRDefault="003B60D5" w:rsidP="003B60D5">
      <w:pPr>
        <w:pStyle w:val="ListParagraph"/>
        <w:numPr>
          <w:ilvl w:val="0"/>
          <w:numId w:val="18"/>
        </w:numPr>
        <w:jc w:val="both"/>
      </w:pPr>
      <w:r w:rsidRPr="00A40AB4">
        <w:t>Techninė sistema – tai pačių žmonių sukurti bei naudojami įrenginiai, dėl kurių kyla gaisro, sprogimo, radiacijos, užterštumo, griūties ar kitokios avarijos, susidūrimo rizika.</w:t>
      </w:r>
    </w:p>
    <w:p w:rsidR="00DC3280" w:rsidRPr="005560D4" w:rsidRDefault="007F7330" w:rsidP="007B41E6">
      <w:pPr>
        <w:ind w:firstLine="567"/>
        <w:jc w:val="both"/>
      </w:pPr>
      <w:r w:rsidRPr="005560D4">
        <w:t xml:space="preserve">Kindurys (2002, p. 82) </w:t>
      </w:r>
      <w:r w:rsidR="00DC3280" w:rsidRPr="005560D4">
        <w:t xml:space="preserve">išskiria tokius veiksnius, </w:t>
      </w:r>
      <w:r w:rsidR="00D7745F" w:rsidRPr="005560D4">
        <w:t xml:space="preserve">turinčius </w:t>
      </w:r>
      <w:r w:rsidR="00DC3280" w:rsidRPr="005560D4">
        <w:t xml:space="preserve">įtakos draudimo paslaugų </w:t>
      </w:r>
      <w:r w:rsidR="00914632" w:rsidRPr="005560D4">
        <w:t xml:space="preserve">rinkai visuminės </w:t>
      </w:r>
      <w:r w:rsidR="00DC3280" w:rsidRPr="005560D4">
        <w:t>paklaus</w:t>
      </w:r>
      <w:r w:rsidR="00914632" w:rsidRPr="005560D4">
        <w:t>os aspektu</w:t>
      </w:r>
      <w:r w:rsidR="00DC3280" w:rsidRPr="005560D4">
        <w:t>:</w:t>
      </w:r>
    </w:p>
    <w:p w:rsidR="00DC3280" w:rsidRPr="005560D4" w:rsidRDefault="00BA47D2" w:rsidP="00817D7B">
      <w:pPr>
        <w:pStyle w:val="ListParagraph"/>
        <w:numPr>
          <w:ilvl w:val="0"/>
          <w:numId w:val="16"/>
        </w:numPr>
        <w:ind w:left="993"/>
        <w:jc w:val="both"/>
      </w:pPr>
      <w:r w:rsidRPr="005560D4">
        <w:t>„</w:t>
      </w:r>
      <w:r w:rsidR="00DC3280" w:rsidRPr="005560D4">
        <w:t>Substitutų (pakaitalų) ir komplementarių (papildančių) prekių kainos;</w:t>
      </w:r>
    </w:p>
    <w:p w:rsidR="00DC3280" w:rsidRPr="005560D4" w:rsidRDefault="00DC3280" w:rsidP="00817D7B">
      <w:pPr>
        <w:pStyle w:val="ListParagraph"/>
        <w:numPr>
          <w:ilvl w:val="0"/>
          <w:numId w:val="16"/>
        </w:numPr>
        <w:ind w:left="993"/>
        <w:jc w:val="both"/>
      </w:pPr>
      <w:r w:rsidRPr="005560D4">
        <w:t>Teisiniai veiksniai;</w:t>
      </w:r>
    </w:p>
    <w:p w:rsidR="00DC3280" w:rsidRPr="005560D4" w:rsidRDefault="00DC3280" w:rsidP="00817D7B">
      <w:pPr>
        <w:pStyle w:val="ListParagraph"/>
        <w:numPr>
          <w:ilvl w:val="0"/>
          <w:numId w:val="16"/>
        </w:numPr>
        <w:ind w:left="993"/>
        <w:jc w:val="both"/>
      </w:pPr>
      <w:r w:rsidRPr="005560D4">
        <w:t>Mokesčių lengvatos;</w:t>
      </w:r>
    </w:p>
    <w:p w:rsidR="00DC3280" w:rsidRPr="005560D4" w:rsidRDefault="00DC3280" w:rsidP="00817D7B">
      <w:pPr>
        <w:pStyle w:val="ListParagraph"/>
        <w:numPr>
          <w:ilvl w:val="0"/>
          <w:numId w:val="16"/>
        </w:numPr>
        <w:ind w:left="993"/>
        <w:jc w:val="both"/>
      </w:pPr>
      <w:r w:rsidRPr="005560D4">
        <w:t>Ekonominiai veiksniai;</w:t>
      </w:r>
    </w:p>
    <w:p w:rsidR="00DC3280" w:rsidRPr="005560D4" w:rsidRDefault="00DC3280" w:rsidP="00817D7B">
      <w:pPr>
        <w:pStyle w:val="ListParagraph"/>
        <w:numPr>
          <w:ilvl w:val="0"/>
          <w:numId w:val="16"/>
        </w:numPr>
        <w:ind w:left="993"/>
        <w:jc w:val="both"/>
      </w:pPr>
      <w:r w:rsidRPr="005560D4">
        <w:t>Gamtiniai veiksniai;</w:t>
      </w:r>
    </w:p>
    <w:p w:rsidR="00DC3280" w:rsidRPr="005560D4" w:rsidRDefault="00DC3280" w:rsidP="00817D7B">
      <w:pPr>
        <w:pStyle w:val="ListParagraph"/>
        <w:numPr>
          <w:ilvl w:val="0"/>
          <w:numId w:val="16"/>
        </w:numPr>
        <w:ind w:left="993"/>
        <w:jc w:val="both"/>
      </w:pPr>
      <w:r w:rsidRPr="005560D4">
        <w:t>Konkurencinė aplinka;</w:t>
      </w:r>
    </w:p>
    <w:p w:rsidR="00DC3280" w:rsidRPr="005560D4" w:rsidRDefault="00DC3280" w:rsidP="00817D7B">
      <w:pPr>
        <w:pStyle w:val="ListParagraph"/>
        <w:numPr>
          <w:ilvl w:val="0"/>
          <w:numId w:val="16"/>
        </w:numPr>
        <w:ind w:left="993"/>
        <w:jc w:val="both"/>
        <w:rPr>
          <w:i/>
        </w:rPr>
      </w:pPr>
      <w:r w:rsidRPr="005560D4">
        <w:t>Draudimo įmonių bendradarbiavimas su kitomis finansų institucijomis</w:t>
      </w:r>
      <w:r w:rsidR="00AE2D7B" w:rsidRPr="005560D4">
        <w:t>.</w:t>
      </w:r>
      <w:r w:rsidR="00C21666" w:rsidRPr="005560D4">
        <w:t>“</w:t>
      </w:r>
      <w:r w:rsidRPr="005560D4">
        <w:t xml:space="preserve"> </w:t>
      </w:r>
    </w:p>
    <w:p w:rsidR="00B80BF2" w:rsidRPr="005560D4" w:rsidRDefault="00700D0F" w:rsidP="007B41E6">
      <w:pPr>
        <w:ind w:firstLine="567"/>
        <w:jc w:val="both"/>
      </w:pPr>
      <w:r w:rsidRPr="005560D4">
        <w:t xml:space="preserve">Kindurys (2002) </w:t>
      </w:r>
      <w:r w:rsidR="00906F3A" w:rsidRPr="005560D4">
        <w:t>apibrėžia ir draudimo rinkos pasiūlai įtaką darančius veiksnius.</w:t>
      </w:r>
      <w:r w:rsidR="00B80BF2" w:rsidRPr="005560D4">
        <w:t xml:space="preserve"> </w:t>
      </w:r>
      <w:r w:rsidR="00B020E1" w:rsidRPr="005560D4">
        <w:t>Autoriaus nuomone</w:t>
      </w:r>
      <w:r w:rsidR="00B80BF2" w:rsidRPr="005560D4">
        <w:t xml:space="preserve">, </w:t>
      </w:r>
      <w:r w:rsidR="00906F3A" w:rsidRPr="005560D4">
        <w:t>draudikai pirmiausia turėtų identifikuoti savo siūlomų produktų kainos ir kokybės lygį. Svarbiausi išskiriami draudimo kainą formuojantys veiksniai – šalies kainų politika, rinkos konjunktūra, draudimo įmonių monopoliniai susitarimai, paskolų palūkanų normos dinamika ir t.t.</w:t>
      </w:r>
      <w:r w:rsidR="004C0A5B" w:rsidRPr="005560D4">
        <w:t xml:space="preserve"> </w:t>
      </w:r>
      <w:r w:rsidR="00B80BF2" w:rsidRPr="005560D4">
        <w:t xml:space="preserve">Išskiriamas ir kitas svarbus draudimo pasiūlą formuojantis veiksnys – norint keisti tam tikro draudimo produkto kainą reikia atsižvelgti į to produkto elastingumą, t.y. draudėjo turimų alternatyvų skaičių, kur jis galėtų apsidrausti nuo tokios pat rizikos. </w:t>
      </w:r>
    </w:p>
    <w:p w:rsidR="00DC3280" w:rsidRPr="00A40AB4" w:rsidRDefault="00D44426" w:rsidP="007B41E6">
      <w:pPr>
        <w:ind w:firstLine="567"/>
        <w:jc w:val="both"/>
      </w:pPr>
      <w:r w:rsidRPr="00A40AB4">
        <w:lastRenderedPageBreak/>
        <w:t>Aidukienė ir Simanavičienė (2010</w:t>
      </w:r>
      <w:r w:rsidR="00290207">
        <w:t xml:space="preserve">, </w:t>
      </w:r>
      <w:r w:rsidR="00290207" w:rsidRPr="00A40AB4">
        <w:t>p. 6</w:t>
      </w:r>
      <w:r w:rsidRPr="00A40AB4">
        <w:t xml:space="preserve">) išskiria tokias veiksnių grupes, kurios daro įtaką tiek Europos, tiek </w:t>
      </w:r>
      <w:r w:rsidR="0030532F" w:rsidRPr="00A40AB4">
        <w:t xml:space="preserve">ir </w:t>
      </w:r>
      <w:r w:rsidRPr="00A40AB4">
        <w:t>Li</w:t>
      </w:r>
      <w:r w:rsidR="00290207">
        <w:t>etuvos draudimo rinkos plėtrai</w:t>
      </w:r>
      <w:r w:rsidRPr="00A40AB4">
        <w:t>:</w:t>
      </w:r>
    </w:p>
    <w:p w:rsidR="00D44426" w:rsidRPr="00A40AB4" w:rsidRDefault="00D44426" w:rsidP="00817D7B">
      <w:pPr>
        <w:pStyle w:val="ListParagraph"/>
        <w:numPr>
          <w:ilvl w:val="0"/>
          <w:numId w:val="19"/>
        </w:numPr>
        <w:ind w:left="993"/>
        <w:jc w:val="both"/>
      </w:pPr>
      <w:r w:rsidRPr="00A40AB4">
        <w:t>„Pokyčiai pasaulinėje finansų rinkoje;</w:t>
      </w:r>
    </w:p>
    <w:p w:rsidR="00D44426" w:rsidRPr="00A40AB4" w:rsidRDefault="00D44426" w:rsidP="00817D7B">
      <w:pPr>
        <w:pStyle w:val="ListParagraph"/>
        <w:numPr>
          <w:ilvl w:val="0"/>
          <w:numId w:val="19"/>
        </w:numPr>
        <w:ind w:left="993"/>
        <w:jc w:val="both"/>
      </w:pPr>
      <w:r w:rsidRPr="00A40AB4">
        <w:t>Vyriausybės fiskalinės politikos ir monetarinės politikos priemonės, sprendimai ir jų įtaka vartojimui;</w:t>
      </w:r>
    </w:p>
    <w:p w:rsidR="00D44426" w:rsidRPr="00A40AB4" w:rsidRDefault="00D44426" w:rsidP="00817D7B">
      <w:pPr>
        <w:pStyle w:val="ListParagraph"/>
        <w:numPr>
          <w:ilvl w:val="0"/>
          <w:numId w:val="19"/>
        </w:numPr>
        <w:ind w:left="993"/>
        <w:jc w:val="both"/>
      </w:pPr>
      <w:r w:rsidRPr="00A40AB4">
        <w:t>Makroekonominiai procesai: ekonominis augimas, nedarbas, infliacija, biudžeto deficitas, kainų indeksai. Jų poveikis vartotojo galimybėms ir sprendimams.“</w:t>
      </w:r>
    </w:p>
    <w:p w:rsidR="00CC41A3" w:rsidRPr="00A40AB4" w:rsidRDefault="005A0DDE" w:rsidP="00A3175A">
      <w:pPr>
        <w:ind w:firstLine="567"/>
        <w:jc w:val="both"/>
      </w:pPr>
      <w:r w:rsidRPr="00A40AB4">
        <w:t>Buškevičiūtė ir Poželaitė (2001) teigia, kad draudimo sistemą pirmiausia įtakoja gaubiančiosios sistemos</w:t>
      </w:r>
      <w:r w:rsidR="001B4432" w:rsidRPr="00A40AB4">
        <w:t xml:space="preserve"> (žr. </w:t>
      </w:r>
      <w:r w:rsidR="00913155">
        <w:t>1</w:t>
      </w:r>
      <w:r w:rsidR="001B4432" w:rsidRPr="00A40AB4">
        <w:t xml:space="preserve"> pav.)</w:t>
      </w:r>
      <w:r w:rsidRPr="00A40AB4">
        <w:t xml:space="preserve">: Europos Sąjunga, valstybė, ekonomika bei finansų sistema, tačiau ne tik jos. Autorės laikosi nuomonės, jog kiekvienos valstybės draudimo rinką veikia globali draudimo sistema, įvykiai bei politika užsienio valstybėse, globalizacija, terorizmas ir pan. Autorės tvirtina, kad draudimo rinką veikia ne tik gaubiančiosios sistemos, kurių rinkos dalyviai neturi galimybių kontroliuoti, tačiau ir šakos aplinkos veiksniai, kuriuos esant tam tikroms sąlygoms įmanoma valdyti. Taigi pirmiausia Buškevičiūtė ir Poželaitė </w:t>
      </w:r>
      <w:r w:rsidR="00B636F0" w:rsidRPr="00A40AB4">
        <w:t xml:space="preserve">(2001) </w:t>
      </w:r>
      <w:r w:rsidRPr="00A40AB4">
        <w:t>draudimo rinką veikiančius veiksnius</w:t>
      </w:r>
      <w:r w:rsidR="00DA2297" w:rsidRPr="00A40AB4">
        <w:t xml:space="preserve"> remiantis draudimo specifika bei aplinkos veiksnių klasifikacija</w:t>
      </w:r>
      <w:r w:rsidRPr="00A40AB4">
        <w:t xml:space="preserve"> skirsto</w:t>
      </w:r>
      <w:r w:rsidR="00DA2297" w:rsidRPr="00A40AB4">
        <w:t xml:space="preserve"> į</w:t>
      </w:r>
      <w:r w:rsidR="00A3175A">
        <w:t xml:space="preserve"> </w:t>
      </w:r>
      <w:r w:rsidR="00A3175A" w:rsidRPr="00995B60">
        <w:rPr>
          <w:i/>
        </w:rPr>
        <w:t>m</w:t>
      </w:r>
      <w:r w:rsidRPr="00995B60">
        <w:rPr>
          <w:i/>
        </w:rPr>
        <w:t>akroaplinkos</w:t>
      </w:r>
      <w:r w:rsidRPr="00A40AB4">
        <w:t xml:space="preserve"> (bendr</w:t>
      </w:r>
      <w:r w:rsidR="00DA2297" w:rsidRPr="00A40AB4">
        <w:t>uosius</w:t>
      </w:r>
      <w:r w:rsidRPr="00A40AB4">
        <w:t>)</w:t>
      </w:r>
      <w:r w:rsidR="00DA2297" w:rsidRPr="00A40AB4">
        <w:t xml:space="preserve"> </w:t>
      </w:r>
      <w:r w:rsidR="00A3175A">
        <w:t xml:space="preserve">bei </w:t>
      </w:r>
      <w:r w:rsidR="00A3175A" w:rsidRPr="00995B60">
        <w:rPr>
          <w:i/>
        </w:rPr>
        <w:t>š</w:t>
      </w:r>
      <w:r w:rsidRPr="00995B60">
        <w:rPr>
          <w:i/>
        </w:rPr>
        <w:t>akos aplinkos</w:t>
      </w:r>
      <w:r w:rsidRPr="00A40AB4">
        <w:t xml:space="preserve"> (specifini</w:t>
      </w:r>
      <w:r w:rsidR="00DA2297" w:rsidRPr="00A40AB4">
        <w:t>us</w:t>
      </w:r>
      <w:r w:rsidRPr="00A40AB4">
        <w:t>)</w:t>
      </w:r>
      <w:r w:rsidR="00DA2297" w:rsidRPr="00A40AB4">
        <w:t xml:space="preserve"> veiksnius</w:t>
      </w:r>
      <w:r w:rsidRPr="00A40AB4">
        <w:t>.</w:t>
      </w:r>
    </w:p>
    <w:p w:rsidR="00D95799" w:rsidRPr="00A40AB4" w:rsidRDefault="00C9333A" w:rsidP="00016149">
      <w:pPr>
        <w:ind w:firstLine="567"/>
        <w:jc w:val="both"/>
      </w:pPr>
      <w:r w:rsidRPr="00A40AB4">
        <w:t>Draudimo verslo makroaplinkos</w:t>
      </w:r>
      <w:r w:rsidR="00016149" w:rsidRPr="00A40AB4">
        <w:t>, t.y.</w:t>
      </w:r>
      <w:r w:rsidRPr="00A40AB4">
        <w:t xml:space="preserve"> </w:t>
      </w:r>
      <w:r w:rsidR="006E2DBD" w:rsidRPr="00A40AB4">
        <w:t xml:space="preserve">bendrieji </w:t>
      </w:r>
      <w:r w:rsidR="00434AE7">
        <w:t>veiksniai pavaizduoti 6</w:t>
      </w:r>
      <w:r w:rsidRPr="00A40AB4">
        <w:t xml:space="preserve"> </w:t>
      </w:r>
      <w:r w:rsidR="00932045">
        <w:t>pav</w:t>
      </w:r>
      <w:r w:rsidR="00F570C4" w:rsidRPr="00A40AB4">
        <w:t xml:space="preserve">. </w:t>
      </w:r>
    </w:p>
    <w:p w:rsidR="00016149" w:rsidRPr="00A40AB4" w:rsidRDefault="00016149" w:rsidP="00016149">
      <w:pPr>
        <w:ind w:firstLine="567"/>
        <w:jc w:val="both"/>
      </w:pPr>
    </w:p>
    <w:p w:rsidR="004F4C77" w:rsidRPr="00A40AB4" w:rsidRDefault="000E64F7" w:rsidP="000E64F7">
      <w:pPr>
        <w:jc w:val="center"/>
      </w:pPr>
      <w:r w:rsidRPr="00A40AB4">
        <w:rPr>
          <w:noProof/>
          <w:lang w:eastAsia="lt-LT"/>
        </w:rPr>
        <w:drawing>
          <wp:inline distT="0" distB="0" distL="0" distR="0">
            <wp:extent cx="6270237" cy="3691053"/>
            <wp:effectExtent l="19050" t="0" r="0" b="0"/>
            <wp:docPr id="1" name="Picture 0" descr="7 pa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pav.tif"/>
                    <pic:cNvPicPr/>
                  </pic:nvPicPr>
                  <pic:blipFill>
                    <a:blip r:embed="rId25"/>
                    <a:stretch>
                      <a:fillRect/>
                    </a:stretch>
                  </pic:blipFill>
                  <pic:spPr>
                    <a:xfrm>
                      <a:off x="0" y="0"/>
                      <a:ext cx="6270237" cy="3691053"/>
                    </a:xfrm>
                    <a:prstGeom prst="rect">
                      <a:avLst/>
                    </a:prstGeom>
                  </pic:spPr>
                </pic:pic>
              </a:graphicData>
            </a:graphic>
          </wp:inline>
        </w:drawing>
      </w:r>
    </w:p>
    <w:p w:rsidR="000E64F7" w:rsidRPr="00A40AB4" w:rsidRDefault="000E64F7" w:rsidP="00361823">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Buškevičiūtė E., Poželaitė R., 2001.</w:t>
      </w:r>
    </w:p>
    <w:p w:rsidR="004F0933" w:rsidRPr="00A40AB4" w:rsidRDefault="00434AE7" w:rsidP="004F0933">
      <w:pPr>
        <w:pStyle w:val="Heading2"/>
        <w:spacing w:line="360" w:lineRule="auto"/>
        <w:ind w:firstLine="0"/>
      </w:pPr>
      <w:bookmarkStart w:id="102" w:name="_Toc328358587"/>
      <w:bookmarkStart w:id="103" w:name="_Toc328359416"/>
      <w:bookmarkStart w:id="104" w:name="_Toc328359501"/>
      <w:bookmarkStart w:id="105" w:name="_Toc328359556"/>
      <w:bookmarkStart w:id="106" w:name="_Toc340573833"/>
      <w:bookmarkStart w:id="107" w:name="_Toc340574103"/>
      <w:bookmarkStart w:id="108" w:name="_Toc340574378"/>
      <w:bookmarkStart w:id="109" w:name="_Toc340792016"/>
      <w:bookmarkStart w:id="110" w:name="_Toc341641114"/>
      <w:bookmarkStart w:id="111" w:name="_Toc341641365"/>
      <w:bookmarkStart w:id="112" w:name="_Toc342859653"/>
      <w:r>
        <w:t>6</w:t>
      </w:r>
      <w:r w:rsidR="004F0933" w:rsidRPr="00A40AB4">
        <w:t xml:space="preserve"> pav. Draudimo verslo aplinkos veiksnių modelis</w:t>
      </w:r>
      <w:bookmarkEnd w:id="102"/>
      <w:bookmarkEnd w:id="103"/>
      <w:bookmarkEnd w:id="104"/>
      <w:bookmarkEnd w:id="105"/>
      <w:bookmarkEnd w:id="106"/>
      <w:bookmarkEnd w:id="107"/>
      <w:bookmarkEnd w:id="108"/>
      <w:bookmarkEnd w:id="109"/>
      <w:bookmarkEnd w:id="110"/>
      <w:bookmarkEnd w:id="111"/>
      <w:bookmarkEnd w:id="112"/>
    </w:p>
    <w:p w:rsidR="00016149" w:rsidRPr="00A40AB4" w:rsidRDefault="00016149" w:rsidP="00016149">
      <w:pPr>
        <w:ind w:firstLine="567"/>
        <w:jc w:val="both"/>
      </w:pPr>
    </w:p>
    <w:p w:rsidR="00016149" w:rsidRPr="00A40AB4" w:rsidRDefault="00016149" w:rsidP="00016149">
      <w:pPr>
        <w:ind w:firstLine="567"/>
        <w:jc w:val="both"/>
      </w:pPr>
      <w:r w:rsidRPr="00A40AB4">
        <w:lastRenderedPageBreak/>
        <w:t xml:space="preserve">Iš </w:t>
      </w:r>
      <w:r w:rsidR="00EB5318">
        <w:rPr>
          <w:lang w:val="en-US"/>
        </w:rPr>
        <w:t xml:space="preserve">6 </w:t>
      </w:r>
      <w:r w:rsidRPr="00A40AB4">
        <w:t>paveikslo matyti, jog visi DVV vykdytojai veikia pačios draudimo šakos viduje. Draudimo rinkai bei joje esantiems dalyviams įtaką daro tarpusavyje sąveikaujančios jėgos, kurias būtina deramai įvertinti norint sėkmingai vystyti draudimo verslą:</w:t>
      </w:r>
    </w:p>
    <w:p w:rsidR="00016149" w:rsidRPr="00A40AB4" w:rsidRDefault="00016149" w:rsidP="00817D7B">
      <w:pPr>
        <w:pStyle w:val="ListParagraph"/>
        <w:numPr>
          <w:ilvl w:val="0"/>
          <w:numId w:val="21"/>
        </w:numPr>
        <w:ind w:left="993"/>
        <w:jc w:val="both"/>
      </w:pPr>
      <w:r w:rsidRPr="00A40AB4">
        <w:t>Politinės;</w:t>
      </w:r>
    </w:p>
    <w:p w:rsidR="00016149" w:rsidRPr="00A40AB4" w:rsidRDefault="00016149" w:rsidP="00817D7B">
      <w:pPr>
        <w:pStyle w:val="ListParagraph"/>
        <w:numPr>
          <w:ilvl w:val="0"/>
          <w:numId w:val="21"/>
        </w:numPr>
        <w:ind w:left="993"/>
        <w:jc w:val="both"/>
      </w:pPr>
      <w:r w:rsidRPr="00A40AB4">
        <w:t>Ekonominės;</w:t>
      </w:r>
    </w:p>
    <w:p w:rsidR="00016149" w:rsidRPr="00A40AB4" w:rsidRDefault="00016149" w:rsidP="00817D7B">
      <w:pPr>
        <w:pStyle w:val="ListParagraph"/>
        <w:numPr>
          <w:ilvl w:val="0"/>
          <w:numId w:val="21"/>
        </w:numPr>
        <w:ind w:left="993"/>
        <w:jc w:val="both"/>
      </w:pPr>
      <w:r w:rsidRPr="00A40AB4">
        <w:t>Socialinės;</w:t>
      </w:r>
    </w:p>
    <w:p w:rsidR="00016149" w:rsidRPr="00A40AB4" w:rsidRDefault="00016149" w:rsidP="00817D7B">
      <w:pPr>
        <w:pStyle w:val="ListParagraph"/>
        <w:numPr>
          <w:ilvl w:val="0"/>
          <w:numId w:val="21"/>
        </w:numPr>
        <w:ind w:left="993"/>
        <w:jc w:val="both"/>
      </w:pPr>
      <w:r w:rsidRPr="00A40AB4">
        <w:t>Technologinės.</w:t>
      </w:r>
    </w:p>
    <w:p w:rsidR="00016149" w:rsidRPr="00A40AB4" w:rsidRDefault="00016149" w:rsidP="00016149">
      <w:pPr>
        <w:ind w:firstLine="567"/>
        <w:jc w:val="both"/>
      </w:pPr>
      <w:r w:rsidRPr="00A40AB4">
        <w:t xml:space="preserve">Buškevičiūtė ir Poželaitė (2001) pažymi, jog ekonominės aplinkos </w:t>
      </w:r>
      <w:r w:rsidR="0058403A">
        <w:t>veiksnius</w:t>
      </w:r>
      <w:r w:rsidRPr="00A40AB4">
        <w:t xml:space="preserve"> reikėtų sieti su šalies ekonomikos rodikliais. </w:t>
      </w:r>
      <w:r w:rsidR="008919D6">
        <w:t>I</w:t>
      </w:r>
      <w:r w:rsidRPr="00A40AB4">
        <w:t>šskiria</w:t>
      </w:r>
      <w:r w:rsidR="008919D6">
        <w:t>mi tokie svarbiausi</w:t>
      </w:r>
      <w:r w:rsidRPr="00A40AB4">
        <w:t xml:space="preserve"> </w:t>
      </w:r>
      <w:r w:rsidR="008919D6">
        <w:t>šalies ekonomiką apibūdinantys</w:t>
      </w:r>
      <w:r w:rsidR="00EF6BE2" w:rsidRPr="00A40AB4">
        <w:t xml:space="preserve"> </w:t>
      </w:r>
      <w:r w:rsidR="008919D6">
        <w:t>rodikliai</w:t>
      </w:r>
      <w:r w:rsidRPr="00A40AB4">
        <w:t xml:space="preserve"> kaip BVP, pirkėjų pajamos, taupymo lygis, infliacija, kredito gavimo galimybės.</w:t>
      </w:r>
    </w:p>
    <w:p w:rsidR="00EF6BE2" w:rsidRPr="00A40AB4" w:rsidRDefault="00387D6D" w:rsidP="00016149">
      <w:pPr>
        <w:ind w:firstLine="567"/>
        <w:jc w:val="both"/>
      </w:pPr>
      <w:r w:rsidRPr="00A40AB4">
        <w:t>D</w:t>
      </w:r>
      <w:r w:rsidR="00016149" w:rsidRPr="00A40AB4">
        <w:t>raudimo įmonės šakos ap</w:t>
      </w:r>
      <w:r w:rsidRPr="00A40AB4">
        <w:t xml:space="preserve">linkos, t.y. specifiniai veiksniai parodyti </w:t>
      </w:r>
      <w:r w:rsidR="00434AE7">
        <w:t>7</w:t>
      </w:r>
      <w:r w:rsidR="00A316E7" w:rsidRPr="00A40AB4">
        <w:t xml:space="preserve"> paveiksle.</w:t>
      </w:r>
    </w:p>
    <w:p w:rsidR="00BC051E" w:rsidRPr="00A40AB4" w:rsidRDefault="00BC051E" w:rsidP="007B41E6">
      <w:pPr>
        <w:ind w:firstLine="567"/>
        <w:jc w:val="both"/>
      </w:pPr>
    </w:p>
    <w:p w:rsidR="00011E7B" w:rsidRPr="00A40AB4" w:rsidRDefault="00011E7B" w:rsidP="00011E7B">
      <w:pPr>
        <w:jc w:val="center"/>
      </w:pPr>
      <w:r w:rsidRPr="00A40AB4">
        <w:rPr>
          <w:noProof/>
          <w:lang w:eastAsia="lt-LT"/>
        </w:rPr>
        <w:drawing>
          <wp:inline distT="0" distB="0" distL="0" distR="0">
            <wp:extent cx="3904364" cy="1514240"/>
            <wp:effectExtent l="19050" t="0" r="886" b="0"/>
            <wp:docPr id="9" name="Picture 8"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26"/>
                    <a:stretch>
                      <a:fillRect/>
                    </a:stretch>
                  </pic:blipFill>
                  <pic:spPr>
                    <a:xfrm>
                      <a:off x="0" y="0"/>
                      <a:ext cx="3904364" cy="1514240"/>
                    </a:xfrm>
                    <a:prstGeom prst="rect">
                      <a:avLst/>
                    </a:prstGeom>
                  </pic:spPr>
                </pic:pic>
              </a:graphicData>
            </a:graphic>
          </wp:inline>
        </w:drawing>
      </w:r>
    </w:p>
    <w:p w:rsidR="00011E7B" w:rsidRPr="00A40AB4" w:rsidRDefault="00011E7B" w:rsidP="00BC051E">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Buškevičiūtė E., Poželaitė R., 2001.</w:t>
      </w:r>
    </w:p>
    <w:p w:rsidR="004F0933" w:rsidRPr="00A40AB4" w:rsidRDefault="00434AE7" w:rsidP="004F0933">
      <w:pPr>
        <w:pStyle w:val="Heading2"/>
        <w:spacing w:line="360" w:lineRule="auto"/>
        <w:ind w:firstLine="0"/>
      </w:pPr>
      <w:bookmarkStart w:id="113" w:name="_Toc328358588"/>
      <w:bookmarkStart w:id="114" w:name="_Toc328359417"/>
      <w:bookmarkStart w:id="115" w:name="_Toc328359502"/>
      <w:bookmarkStart w:id="116" w:name="_Toc328359557"/>
      <w:bookmarkStart w:id="117" w:name="_Toc340573834"/>
      <w:bookmarkStart w:id="118" w:name="_Toc340574104"/>
      <w:bookmarkStart w:id="119" w:name="_Toc340574379"/>
      <w:bookmarkStart w:id="120" w:name="_Toc340792017"/>
      <w:bookmarkStart w:id="121" w:name="_Toc341641115"/>
      <w:bookmarkStart w:id="122" w:name="_Toc341641366"/>
      <w:bookmarkStart w:id="123" w:name="_Toc342859654"/>
      <w:r>
        <w:t>7</w:t>
      </w:r>
      <w:r w:rsidR="004F0933" w:rsidRPr="00A40AB4">
        <w:t xml:space="preserve"> pav. Draudimo įmonės šakos aplinka</w:t>
      </w:r>
      <w:bookmarkEnd w:id="113"/>
      <w:bookmarkEnd w:id="114"/>
      <w:bookmarkEnd w:id="115"/>
      <w:bookmarkEnd w:id="116"/>
      <w:bookmarkEnd w:id="117"/>
      <w:bookmarkEnd w:id="118"/>
      <w:bookmarkEnd w:id="119"/>
      <w:bookmarkEnd w:id="120"/>
      <w:bookmarkEnd w:id="121"/>
      <w:bookmarkEnd w:id="122"/>
      <w:bookmarkEnd w:id="123"/>
    </w:p>
    <w:p w:rsidR="00011E7B" w:rsidRPr="00A40AB4" w:rsidRDefault="00011E7B" w:rsidP="00011E7B"/>
    <w:p w:rsidR="00A316E7" w:rsidRPr="00A40AB4" w:rsidRDefault="00A316E7" w:rsidP="00A316E7">
      <w:pPr>
        <w:ind w:firstLine="567"/>
        <w:jc w:val="both"/>
      </w:pPr>
      <w:r w:rsidRPr="00A40AB4">
        <w:t xml:space="preserve">Kaip parodyta </w:t>
      </w:r>
      <w:r w:rsidR="00434AE7">
        <w:t>7</w:t>
      </w:r>
      <w:r w:rsidR="009127A7">
        <w:rPr>
          <w:lang w:val="en-US"/>
        </w:rPr>
        <w:t xml:space="preserve"> </w:t>
      </w:r>
      <w:r w:rsidRPr="00A40AB4">
        <w:t>pav</w:t>
      </w:r>
      <w:r w:rsidR="00BF0C54">
        <w:t>.</w:t>
      </w:r>
      <w:r w:rsidRPr="00A40AB4">
        <w:t xml:space="preserve">, </w:t>
      </w:r>
      <w:r w:rsidR="00EF6BE2" w:rsidRPr="00A40AB4">
        <w:t>Buškevičiūtė ir Poželaitė (2001)</w:t>
      </w:r>
      <w:r w:rsidR="002F62F7">
        <w:t xml:space="preserve"> tvirtina, jog</w:t>
      </w:r>
      <w:r w:rsidR="00EF6BE2" w:rsidRPr="00A40AB4">
        <w:t xml:space="preserve"> </w:t>
      </w:r>
      <w:r w:rsidR="002F62F7" w:rsidRPr="00A40AB4">
        <w:t>šakos aplinka pasireiškia per išorinių jėgų visumą, kuriai įmonė gali daryti įtaką norėdama pasiekti savo tikslų.</w:t>
      </w:r>
      <w:r w:rsidR="002F62F7">
        <w:t xml:space="preserve"> Autorės </w:t>
      </w:r>
      <w:r w:rsidR="00EF6BE2" w:rsidRPr="00A40AB4">
        <w:t>svarbiausiais šakos aplinkos kriterijais laiko draudimo šakos aplinkos ekonomines ypatybes bei konkurenciją. Matyti, jog ši aplinka susideda daugiausia iš pačios draudimo rinkos dalyvių – draudėjų, draudikų bei tarpininkų (brokeriai ir agentai). Draudikai bei tarpininkai gali veikti tiek kaip verslo partneriai, tiek ir kaip konkurentai. Autorės teigia, jog tam tikro draudimo verslo subjekto konkurencinę padėtį nusako naujų konkurentų, draudimo paslaugų pakaitalų grėsmės, tiekėjų ir pirkėjų derybiniai sugebėjimai, įvairios kitos konkurencinės sąlygos. Norėdama išlikti konkurencinga draudimo bendrovė turi identifikuoti bei suvokti šių veiksnių poveikį pačiai įmonei bei visai šakai, sugebėti laiku priimti atitinkamus sprendimus.</w:t>
      </w:r>
      <w:r w:rsidRPr="00A40AB4">
        <w:t xml:space="preserve"> </w:t>
      </w:r>
    </w:p>
    <w:p w:rsidR="00817D7B" w:rsidRPr="00A40AB4" w:rsidRDefault="00817D7B" w:rsidP="007B41E6">
      <w:pPr>
        <w:ind w:firstLine="567"/>
        <w:jc w:val="both"/>
        <w:rPr>
          <w:b/>
        </w:rPr>
      </w:pPr>
    </w:p>
    <w:p w:rsidR="00520E07" w:rsidRPr="00A40AB4" w:rsidRDefault="007E0C14" w:rsidP="007B41E6">
      <w:pPr>
        <w:ind w:firstLine="567"/>
        <w:jc w:val="both"/>
        <w:rPr>
          <w:b/>
        </w:rPr>
      </w:pPr>
      <w:r w:rsidRPr="00A40AB4">
        <w:rPr>
          <w:b/>
        </w:rPr>
        <w:t>Ekonominiai veiksniai</w:t>
      </w:r>
    </w:p>
    <w:p w:rsidR="002E720E" w:rsidRPr="00A40AB4" w:rsidRDefault="002E720E" w:rsidP="002E720E">
      <w:pPr>
        <w:ind w:firstLine="567"/>
        <w:jc w:val="both"/>
      </w:pPr>
      <w:r w:rsidRPr="00A40AB4">
        <w:t xml:space="preserve">Dauguma autorių pripažįsta stiprų finansinio sektoriaus bei ekonomikos augimo ryšį. Jie laikosi nuomonės, jog gerai funkcionuojančios finansinės institucijos, pvz. draudimo bendrovės, padeda </w:t>
      </w:r>
      <w:r w:rsidRPr="00A40AB4">
        <w:lastRenderedPageBreak/>
        <w:t>efektyviau paskirstyti kapitalą, skatina taupymą, kapitalo formavimą, kas galiausiai nulemia produktyvesnę, sparčiau augančią ekonomiką (Hussels et al., 2005).</w:t>
      </w:r>
    </w:p>
    <w:p w:rsidR="002E720E" w:rsidRPr="00A40AB4" w:rsidRDefault="002E720E" w:rsidP="002E720E">
      <w:pPr>
        <w:ind w:firstLine="567"/>
        <w:jc w:val="both"/>
      </w:pPr>
      <w:r w:rsidRPr="00A40AB4">
        <w:t xml:space="preserve">Draudimo rinkos plėtra ekonomikos vystymosi kontekste tyrinėta ir kitų autorių (Outreville, </w:t>
      </w:r>
      <w:r w:rsidR="0064012D" w:rsidRPr="00A40AB4">
        <w:t>1990 bei Ward ir Zurbruegg, 2000</w:t>
      </w:r>
      <w:r w:rsidRPr="00A40AB4">
        <w:t>). Iš šių tyrimų daromos išvados, jog draudimo šaka glaudžiai siejasi su ekonomikos augimu dėl rizikos perdavimo, finansinio tarpininkavimo bei teigiamų išorinių efektų kitiems ūkio sektoriams.</w:t>
      </w:r>
    </w:p>
    <w:p w:rsidR="00520E07" w:rsidRPr="00A40AB4" w:rsidRDefault="00520E07" w:rsidP="00520E07">
      <w:pPr>
        <w:ind w:firstLine="567"/>
        <w:jc w:val="both"/>
      </w:pPr>
      <w:r w:rsidRPr="00A40AB4">
        <w:t>Beenstock et al. (1988) pažymi turto bei atsakomybės draudimo teigiamą ryšį su nacionalinėmis pajamomis industrinėse šalyse. Autoriai teigia, jog kuo nacionalinės pajamos didesnės, tuo daugiau išleidžiama turto bei atsakomybės draudimui.</w:t>
      </w:r>
    </w:p>
    <w:p w:rsidR="00520E07" w:rsidRPr="00A40AB4" w:rsidRDefault="00520E07" w:rsidP="00520E07">
      <w:pPr>
        <w:ind w:firstLine="567"/>
        <w:jc w:val="both"/>
      </w:pPr>
      <w:r w:rsidRPr="00A40AB4">
        <w:t>Browne et al. (2000) analizavo transporto priemonių bei atsakomybės draudimą Tarptautinei ekonominio bendradarbiavimo ir plėtros organizacijai (TEBPO) priklausančiose šalyse.</w:t>
      </w:r>
      <w:r w:rsidR="007068F4" w:rsidRPr="00A40AB4">
        <w:t xml:space="preserve"> Nustatyta, jog egzistuoja statistiškai reikšmingas ryšys tarp draudimo įmokų bei bendrojo nacionalinio produkto, tenkančio vienam gyventojui. Visgi </w:t>
      </w:r>
      <w:r w:rsidR="000B632E" w:rsidRPr="00A40AB4">
        <w:t xml:space="preserve">pajamų paklausos </w:t>
      </w:r>
      <w:r w:rsidR="007068F4" w:rsidRPr="00A40AB4">
        <w:t>elastingum</w:t>
      </w:r>
      <w:r w:rsidR="000B632E" w:rsidRPr="00A40AB4">
        <w:t>as yra didesnis</w:t>
      </w:r>
      <w:r w:rsidR="007068F4" w:rsidRPr="00A40AB4">
        <w:t xml:space="preserve"> transporto priemonių, o ne atsakomybės draudim</w:t>
      </w:r>
      <w:r w:rsidR="000B632E" w:rsidRPr="00A40AB4">
        <w:t>o atžvilgiu</w:t>
      </w:r>
      <w:r w:rsidR="007068F4" w:rsidRPr="00A40AB4">
        <w:t>. Kadangi tiek transporto priemonių, tiek atsakomybės draudimas daugelyje šalių yra privalomi, autoriai šią tendenciją aiškina tuo, kad didėjančios pajamos tiesiogiai skatina pirkti daugiau automobilių.</w:t>
      </w:r>
    </w:p>
    <w:p w:rsidR="00624397" w:rsidRPr="00A40AB4" w:rsidRDefault="001B6CE1" w:rsidP="00520E07">
      <w:pPr>
        <w:ind w:firstLine="567"/>
        <w:jc w:val="both"/>
      </w:pPr>
      <w:r w:rsidRPr="00A40AB4">
        <w:t>Esho et al. (2004) tyrė nacionalinių pajamų įtaką ne gyvybės draudimui analizuodamas</w:t>
      </w:r>
      <w:r w:rsidR="0005728F" w:rsidRPr="00A40AB4">
        <w:t xml:space="preserve"> 1984-1998 m. duomenis </w:t>
      </w:r>
      <w:r w:rsidRPr="00A40AB4">
        <w:t>išsivysčiusiose ir besivystančiose šalyse</w:t>
      </w:r>
      <w:r w:rsidR="0005728F" w:rsidRPr="00A40AB4">
        <w:t>.</w:t>
      </w:r>
      <w:r w:rsidR="00732219" w:rsidRPr="00A40AB4">
        <w:t xml:space="preserve"> Autorių tyrimo rezultatai patvirtina, jog egzistuoja stiprus teigiamas ryšys tarp nacionalinių pajamų bei ne gyvybės draudimo.</w:t>
      </w:r>
      <w:r w:rsidR="00F06AC6" w:rsidRPr="00A40AB4">
        <w:t xml:space="preserve"> Esho et al. taip pat nustatė stiprų neigiamą ryšį tarp ne gyvybės draudimo kainų bei paklausos, kas parodo, jog kaina vaidina svarbų vaidmenį šios draudimo šakos rinkoje.</w:t>
      </w:r>
    </w:p>
    <w:p w:rsidR="00EF77B5" w:rsidRPr="00A40AB4" w:rsidRDefault="00EF77B5" w:rsidP="00520E07">
      <w:pPr>
        <w:ind w:firstLine="567"/>
        <w:jc w:val="both"/>
      </w:pPr>
      <w:r w:rsidRPr="00A40AB4">
        <w:t xml:space="preserve">Azman-Saini ir Smith (2011) </w:t>
      </w:r>
      <w:r w:rsidR="005805E9" w:rsidRPr="00A40AB4">
        <w:t>atliko tyrimą, kuriuo empiriškai įrodė stiprų teigiamą ryšį tarp draudimo sektoriaus vystymosi bei ekonomikos augimo nagrinėdami penkiasdešimt vienos išsivysčiusiusios bei besivystančios valstybės duomenimis, sukauptais per 1981-2005 m. laikotarpį.</w:t>
      </w:r>
      <w:r w:rsidR="00251603" w:rsidRPr="00A40AB4">
        <w:t xml:space="preserve"> </w:t>
      </w:r>
      <w:r w:rsidR="00C8377D" w:rsidRPr="00A40AB4">
        <w:t>Autoriai pabrėžia, kad draudimo sektoriaus įtaka ekonomikos augimui nepriklauso nuo bankinės bei vertybinių popierių rinkos rodiklių. Jie pabrėžia stiprų teigiamą egzistuojantį draudimo rinkos augimo poveikį viso ūkio plėtrai per kapitalo kaupimo bei produktyvumo padidėjimą</w:t>
      </w:r>
      <w:r w:rsidR="00B35E25" w:rsidRPr="00A40AB4">
        <w:t>.</w:t>
      </w:r>
      <w:r w:rsidR="00205752" w:rsidRPr="00A40AB4">
        <w:t xml:space="preserve"> Teigiama, jog išsivysčiusiose šalyse draudimo rinka labiausiai skatina produktyvumo, o besivystančiose – kapitalo kaupimo išaugimą.</w:t>
      </w:r>
      <w:r w:rsidR="006F4E24" w:rsidRPr="00A40AB4">
        <w:t xml:space="preserve"> Draudimo plėtros augimas besivystančiose valstybėse praktiškai pasireiškia tik tuomet, kai šalis pasiekia tam tikrą išsivysčiusioms valstybėms priskiriamą pajamų lygį.</w:t>
      </w:r>
      <w:r w:rsidR="00C814B3" w:rsidRPr="00A40AB4">
        <w:t xml:space="preserve"> Azman-Saini ir Smith taip pat pažymi stiprų teigiamą draudimo rinkos plėtros poveikį skatinant išteklių bei kapitalo paskirstymą.</w:t>
      </w:r>
    </w:p>
    <w:p w:rsidR="001B6CE1" w:rsidRPr="00A40AB4" w:rsidRDefault="00AA1763" w:rsidP="00520E07">
      <w:pPr>
        <w:ind w:firstLine="567"/>
        <w:jc w:val="both"/>
      </w:pPr>
      <w:r w:rsidRPr="00A40AB4">
        <w:t xml:space="preserve">Pasaulio bankas (cit. pagal Hussels et al., 2005) </w:t>
      </w:r>
      <w:r w:rsidR="00624397" w:rsidRPr="00A40AB4">
        <w:t xml:space="preserve">tik </w:t>
      </w:r>
      <w:r w:rsidRPr="00A40AB4">
        <w:t xml:space="preserve">patvirtina </w:t>
      </w:r>
      <w:r w:rsidR="00624397" w:rsidRPr="00A40AB4">
        <w:t>aukščiau minėtų tyrimų rezultatus. Šios įstaigos atstovai laikosi nuomonės</w:t>
      </w:r>
      <w:r w:rsidRPr="00A40AB4">
        <w:t xml:space="preserve">, kad ne gyvybės draudimas gali būti laikomas </w:t>
      </w:r>
      <w:r w:rsidR="000C0ED3" w:rsidRPr="00A40AB4">
        <w:t>įprasta</w:t>
      </w:r>
      <w:r w:rsidR="00DA01E1" w:rsidRPr="00A40AB4">
        <w:t xml:space="preserve"> (normalia) </w:t>
      </w:r>
      <w:r w:rsidRPr="00A40AB4">
        <w:t>paslauga atsižvelgiant į tai, jog draudimo paklausa kyla didėjant pajamoms.</w:t>
      </w:r>
    </w:p>
    <w:p w:rsidR="00AA1763" w:rsidRPr="00A40AB4" w:rsidRDefault="001A244E" w:rsidP="00520E07">
      <w:pPr>
        <w:ind w:firstLine="567"/>
        <w:jc w:val="both"/>
      </w:pPr>
      <w:r w:rsidRPr="00A40AB4">
        <w:lastRenderedPageBreak/>
        <w:t>Outreville (1996) nagrinėjo monopolinės rinkos struktūrą bei užsienio kapitalo įmonių buvimą įvairiose besivystančiose šalyse. Padaryta išvada, jog konkurencingos rinkos yra žymiai labiau išsivysčiusios negu monopolinės. Autorius taip pat tvirtina, jog konkurencingų užsienio bendrovių dalyvavimo rinkoje nebuvimas dažniausiai sąlygoja žemesnės kokybės paslaugas aukštesnėmis kainomis.</w:t>
      </w:r>
    </w:p>
    <w:p w:rsidR="000716BC" w:rsidRPr="00434AE7" w:rsidRDefault="002D0884" w:rsidP="00520E07">
      <w:pPr>
        <w:ind w:firstLine="567"/>
        <w:jc w:val="both"/>
      </w:pPr>
      <w:r w:rsidRPr="00434AE7">
        <w:t>Kindurys (2002) teigia, jog draudimo paslaugų rinka auga sparčiai ir tolydžiai tuomet, kai šalyje vyrauja stabili politinė ir ekonominė padėtis, ką atspindi tokie gerėjantys šalies makroekonominiai rodikliai kaip augantys BVP, eksportas, inv</w:t>
      </w:r>
      <w:r w:rsidR="007E3411" w:rsidRPr="00434AE7">
        <w:t>esticijos į svarbias ūkio šakas</w:t>
      </w:r>
      <w:r w:rsidRPr="00434AE7">
        <w:t>. Autorius taip pat tvirtina, kad dėl įvairių finansinių krizių mažėja šalies ekonominis aktyvumas, tuo pačiu</w:t>
      </w:r>
      <w:r w:rsidR="00813FFD" w:rsidRPr="00434AE7">
        <w:t xml:space="preserve"> traukiasi ir draudimo rinka</w:t>
      </w:r>
      <w:r w:rsidRPr="00434AE7">
        <w:t>, kadangi prastėjant finansinei padėčiai vartotojai (tiek fiziniai, tiek ir juridiniai asmenys) pirmiausia visuomet atsisako tų paslaugų, kurios nėra būtiniausios (pvz. draudimas).</w:t>
      </w:r>
    </w:p>
    <w:p w:rsidR="000D3F31" w:rsidRPr="00434AE7" w:rsidRDefault="00FB1AC7" w:rsidP="000D3F31">
      <w:pPr>
        <w:ind w:firstLine="567"/>
        <w:jc w:val="both"/>
      </w:pPr>
      <w:r w:rsidRPr="00434AE7">
        <w:t xml:space="preserve">Draudimo paslaugų pasiūlos aspektu, kaip jau minėta, Kindurys (2002) išskiria draudimo produkto kainos bei kokybės lygį. Anot autoriaus, svarbiausi draudimo paslaugos kainą formuojantys ekonominiai veiksniai - rinkos konjunktūra bei paskolų palūkanų normos dinamika. </w:t>
      </w:r>
      <w:r w:rsidR="000D3F31" w:rsidRPr="00434AE7">
        <w:t>Be to, surenkamos draudimo įmokos  nėra vien tik pelno formavimo, tačiau ir tolimesnės investicinės veiklos finansavimo šaltinis. Taigi galima sakyti, jog draudiko investicinės veiklos galimybės bei rezultatai gali nulemti siūlomos kainos minimumą.</w:t>
      </w:r>
      <w:r w:rsidRPr="00434AE7">
        <w:t xml:space="preserve"> Autorius taip pat tvirtina, jog draudimo paslaugos elastingumas – svarbus veiksnys, sprendžiant apie draudimo kainos keitimą: jei draudimo rūšis yra elastinga, verta mažinti kainas, kadangi nuo to turėtų padidėti įmokų apimtis; ir atvirkščiai – jei draudimo rūšis nėra elastinga, kainų mažinti neapsimoka.</w:t>
      </w:r>
    </w:p>
    <w:p w:rsidR="00672881" w:rsidRPr="00A40AB4" w:rsidRDefault="00A1078C" w:rsidP="00520E07">
      <w:pPr>
        <w:ind w:firstLine="567"/>
        <w:jc w:val="both"/>
      </w:pPr>
      <w:r w:rsidRPr="00A40AB4">
        <w:t>Buškevičiūtė</w:t>
      </w:r>
      <w:r w:rsidR="00DA01E1" w:rsidRPr="00A40AB4">
        <w:t>s</w:t>
      </w:r>
      <w:r w:rsidRPr="00A40AB4">
        <w:t xml:space="preserve"> ir Poželaitė</w:t>
      </w:r>
      <w:r w:rsidR="00DA01E1" w:rsidRPr="00A40AB4">
        <w:t>s</w:t>
      </w:r>
      <w:r w:rsidRPr="00A40AB4">
        <w:t xml:space="preserve"> (2001)</w:t>
      </w:r>
      <w:r w:rsidR="00F400B8" w:rsidRPr="00A40AB4">
        <w:t xml:space="preserve"> </w:t>
      </w:r>
      <w:r w:rsidR="00DA01E1" w:rsidRPr="00A40AB4">
        <w:t>nuomone</w:t>
      </w:r>
      <w:r w:rsidR="00F400B8" w:rsidRPr="00A40AB4">
        <w:t xml:space="preserve">, viena iš keturių draudimo verslo makroaplinkos jėgų – ekonominė. Autorės skiria šešis svarbiausius </w:t>
      </w:r>
      <w:r w:rsidR="006C26B7">
        <w:t>veiksnius</w:t>
      </w:r>
      <w:r w:rsidR="00F400B8" w:rsidRPr="00A40AB4">
        <w:t xml:space="preserve"> bei rodiklius, atspindinčius draudimo rinkos plėtrą per ekonominių veiksnių prizmę: BVP, vartojimo kainų indeksas (infliacija), nedarbo lygis, palūkanų norma, užsienio investicijos bei vartotojų disponuojamos pajamos</w:t>
      </w:r>
      <w:r w:rsidR="00434AE7">
        <w:t xml:space="preserve"> (žr. 6</w:t>
      </w:r>
      <w:r w:rsidR="005D3D1A" w:rsidRPr="00A40AB4">
        <w:t xml:space="preserve"> pav.).</w:t>
      </w:r>
    </w:p>
    <w:p w:rsidR="00E63A0A" w:rsidRPr="00A40AB4" w:rsidRDefault="00E63A0A" w:rsidP="00520E07">
      <w:pPr>
        <w:ind w:firstLine="567"/>
        <w:jc w:val="both"/>
      </w:pPr>
    </w:p>
    <w:p w:rsidR="000D3F31" w:rsidRPr="00A40AB4" w:rsidRDefault="007F1EF8" w:rsidP="00520E07">
      <w:pPr>
        <w:ind w:firstLine="567"/>
        <w:jc w:val="both"/>
        <w:rPr>
          <w:b/>
        </w:rPr>
      </w:pPr>
      <w:r w:rsidRPr="00A40AB4">
        <w:rPr>
          <w:b/>
        </w:rPr>
        <w:t xml:space="preserve">Politiniai ir </w:t>
      </w:r>
      <w:r w:rsidR="005D729E" w:rsidRPr="00A40AB4">
        <w:rPr>
          <w:b/>
        </w:rPr>
        <w:t>teisiniai</w:t>
      </w:r>
      <w:r w:rsidR="007E0C14" w:rsidRPr="00A40AB4">
        <w:rPr>
          <w:b/>
        </w:rPr>
        <w:t xml:space="preserve"> veiksniai</w:t>
      </w:r>
    </w:p>
    <w:p w:rsidR="007F1EF8" w:rsidRPr="00A40AB4" w:rsidRDefault="00B84F28" w:rsidP="00520E07">
      <w:pPr>
        <w:ind w:firstLine="567"/>
        <w:jc w:val="both"/>
      </w:pPr>
      <w:r w:rsidRPr="00A40AB4">
        <w:t>Hussels et al. (2005) teigia, jog didžiausią įtaką politinių bei teisinių draudimo rinkos veiksnių tema parašyti straipsniai – La Porta et al (1997, 2000) bei Levine (1998,</w:t>
      </w:r>
      <w:r w:rsidR="00530606" w:rsidRPr="00A40AB4">
        <w:t xml:space="preserve"> </w:t>
      </w:r>
      <w:r w:rsidRPr="00A40AB4">
        <w:t>1999).</w:t>
      </w:r>
      <w:r w:rsidR="00AD3775" w:rsidRPr="00A40AB4">
        <w:t xml:space="preserve"> </w:t>
      </w:r>
      <w:r w:rsidR="005C3CD2" w:rsidRPr="00A40AB4">
        <w:t>Pasak autoriaus, š</w:t>
      </w:r>
      <w:r w:rsidR="00F93C1A" w:rsidRPr="00A40AB4">
        <w:t>ių mokslininkų tyrinėjimai atskleidė, jog palanki teisinė aplinka, suteikianti investuotojams tinkamą apsaugą, skatina finansinio tarpininkavimo sektoriaus plėtrą bei viso šalies ūkio augimą</w:t>
      </w:r>
      <w:r w:rsidR="00CB1478" w:rsidRPr="00A40AB4">
        <w:t>.</w:t>
      </w:r>
    </w:p>
    <w:p w:rsidR="00865399" w:rsidRPr="00A40AB4" w:rsidRDefault="00865399" w:rsidP="00865399">
      <w:pPr>
        <w:ind w:firstLine="567"/>
        <w:jc w:val="both"/>
      </w:pPr>
      <w:r w:rsidRPr="00A40AB4">
        <w:t>Hussels et al. (2005) taip pat teigia, jog efektyvi teisinė sistema atlieka draudimo sektoriaus apsaugos funkciją, t.y. draudėjai turi galimybę lengviau įrodyti teisę į nuosavybę, o draudikams atsiranda galimybė lengviau išieškoti skolas iš trečiųjų šalių, kai reikia atlyginti nuostolius, padarytus draudimo kompanijų klientams, dėl trečiųjų šalių didelio neatsargumo ar aplaidumo.</w:t>
      </w:r>
    </w:p>
    <w:p w:rsidR="008733B7" w:rsidRPr="00A40AB4" w:rsidRDefault="00771ED1" w:rsidP="00520E07">
      <w:pPr>
        <w:ind w:firstLine="567"/>
        <w:jc w:val="both"/>
      </w:pPr>
      <w:r w:rsidRPr="00A40AB4">
        <w:lastRenderedPageBreak/>
        <w:t>Knack ir Keefer (1995, 2000</w:t>
      </w:r>
      <w:r w:rsidR="005C7F85" w:rsidRPr="00A40AB4">
        <w:t xml:space="preserve">, cit. pagal Hussels et al., </w:t>
      </w:r>
      <w:r w:rsidR="005C7F85" w:rsidRPr="00A40AB4">
        <w:rPr>
          <w:lang w:val="en-US"/>
        </w:rPr>
        <w:t>2005</w:t>
      </w:r>
      <w:r w:rsidRPr="00A40AB4">
        <w:t>)</w:t>
      </w:r>
      <w:r w:rsidR="00124F2D" w:rsidRPr="00A40AB4">
        <w:t xml:space="preserve"> pasirinko penkis su valdžia susijusius rodiklius iš Tarptautinio valstybės rizikos gido (angl. </w:t>
      </w:r>
      <w:r w:rsidR="00124F2D" w:rsidRPr="00A40AB4">
        <w:rPr>
          <w:i/>
        </w:rPr>
        <w:t>International Country Risk Guide</w:t>
      </w:r>
      <w:r w:rsidR="00124F2D" w:rsidRPr="00A40AB4">
        <w:t>)</w:t>
      </w:r>
      <w:r w:rsidR="00B114C5" w:rsidRPr="00A40AB4">
        <w:t xml:space="preserve">. Šie rodikliai parodo korupcijos lygį, įstatymo galią, konfiskavimo riziką, sutarčių su valstybinėmis institucijomis anuliavimo riziką bei biurokratijos kokybę. </w:t>
      </w:r>
      <w:r w:rsidR="0065005A" w:rsidRPr="00A40AB4">
        <w:t xml:space="preserve">Atlikta regresinė analizė atskleidė, jog šalys, kurių rodikliai įvertinti aukštesniais balais, pasižymėjo </w:t>
      </w:r>
      <w:r w:rsidR="00B53BD4" w:rsidRPr="00A40AB4">
        <w:t xml:space="preserve">ir </w:t>
      </w:r>
      <w:r w:rsidR="0065005A" w:rsidRPr="00A40AB4">
        <w:t>aukštesniais ekonomikos augimo, tuo pačiu ir draudimo rinkos, tempais.</w:t>
      </w:r>
    </w:p>
    <w:p w:rsidR="00865399" w:rsidRPr="00A40AB4" w:rsidRDefault="00530606" w:rsidP="00520E07">
      <w:pPr>
        <w:ind w:firstLine="567"/>
        <w:jc w:val="both"/>
      </w:pPr>
      <w:r w:rsidRPr="00A40AB4">
        <w:t xml:space="preserve">Levine et al. (2000) pabrėžia, jog valstybėse, kuriose vyrauja geresnės kreditorių teisės, griežtesni teisėtvarkos užtikrinimo metodai bei suteikiama patikimesnė apskaitos informacija, paprastai finansinio tarpininkavimo sektorius yra geriau išsivystęs. </w:t>
      </w:r>
      <w:r w:rsidR="00C947D6" w:rsidRPr="00A40AB4">
        <w:t>Tai galima sieti ir su draudimo paslaugų rinka, kur vartotojai gali tapti draudikų oportunistinio elgesio aukomis, pvz. draudimo įmonė gali atsisakyti mokėti draudimo išmoką pateisindama tai veiklos politikos pasikeitimais.</w:t>
      </w:r>
    </w:p>
    <w:p w:rsidR="00865399" w:rsidRPr="00A40AB4" w:rsidRDefault="007B0E0B">
      <w:pPr>
        <w:ind w:firstLine="567"/>
        <w:jc w:val="both"/>
      </w:pPr>
      <w:r w:rsidRPr="00A40AB4">
        <w:t xml:space="preserve">Kitas svarbus teisinės sistemos aspektas, tiesiogiai susijęs su ne gyvybės draudimu – nuosavybės teisių užtikrinimas (Hussels et al., 2005). </w:t>
      </w:r>
      <w:r w:rsidR="000E2A0A" w:rsidRPr="00A40AB4">
        <w:t xml:space="preserve">Teigiama, jog tinkama nuosavybės apsauga bei sutarčių vykdymo užtikrinimas </w:t>
      </w:r>
      <w:r w:rsidR="00BF0756" w:rsidRPr="00A40AB4">
        <w:t xml:space="preserve">yra </w:t>
      </w:r>
      <w:r w:rsidR="00B70121">
        <w:t>veiksnys</w:t>
      </w:r>
      <w:r w:rsidR="00BF0756" w:rsidRPr="00A40AB4">
        <w:t xml:space="preserve">, </w:t>
      </w:r>
      <w:r w:rsidR="004D4926" w:rsidRPr="00A40AB4">
        <w:t>teigiamai veikiantis ne gyvybės draudimo rinkos augimą</w:t>
      </w:r>
      <w:r w:rsidR="00CA56B2" w:rsidRPr="00A40AB4">
        <w:t>.</w:t>
      </w:r>
      <w:r w:rsidR="00881EA3" w:rsidRPr="00A40AB4">
        <w:t xml:space="preserve"> Nuosavybės teisių užtikrinimas, anot autorių, motyvuoja įsigyti turto, o tuo pačiu jį ir apdrausti, kadangi valdžia bei susiformavusi palanki teisinė aplinka padeda apsaugoti žmones bei įmones nuo žalos tam turtui. </w:t>
      </w:r>
      <w:r w:rsidR="005C60D5" w:rsidRPr="00A40AB4">
        <w:t>Esho et al. (</w:t>
      </w:r>
      <w:r w:rsidR="005C60D5" w:rsidRPr="00A40AB4">
        <w:rPr>
          <w:lang w:val="en-US"/>
        </w:rPr>
        <w:t xml:space="preserve">2004) </w:t>
      </w:r>
      <w:r w:rsidR="005C60D5" w:rsidRPr="00A40AB4">
        <w:t>savo tyrime įrodė stiprų teigiamą ryšį tarp nuosavybės apsaugos bei ne gyvybės draudimo paklausos.</w:t>
      </w:r>
    </w:p>
    <w:p w:rsidR="004D1E79" w:rsidRPr="00455858" w:rsidRDefault="00241654">
      <w:pPr>
        <w:ind w:firstLine="567"/>
        <w:jc w:val="both"/>
      </w:pPr>
      <w:r w:rsidRPr="00455858">
        <w:t>Kindurys (</w:t>
      </w:r>
      <w:r w:rsidRPr="00455858">
        <w:rPr>
          <w:lang w:val="en-US"/>
        </w:rPr>
        <w:t xml:space="preserve">2002) </w:t>
      </w:r>
      <w:r w:rsidR="00514C75" w:rsidRPr="00455858">
        <w:t>rašo, jog siekiant</w:t>
      </w:r>
      <w:r w:rsidRPr="00455858">
        <w:t xml:space="preserve"> </w:t>
      </w:r>
      <w:r w:rsidR="00514C75" w:rsidRPr="00455858">
        <w:t>draudimo sistemos stabilumo</w:t>
      </w:r>
      <w:r w:rsidR="001A1B21" w:rsidRPr="00455858">
        <w:t xml:space="preserve"> efektyvi bei saugi</w:t>
      </w:r>
      <w:r w:rsidRPr="00455858">
        <w:t xml:space="preserve"> draudimo veikla yra gana griežtai reglamentuojama teisės aktais </w:t>
      </w:r>
      <w:r w:rsidR="001A1B21" w:rsidRPr="00455858">
        <w:t>palyginti su kitomis ūkio šakomis</w:t>
      </w:r>
      <w:r w:rsidRPr="00455858">
        <w:t>. Įstatymais nustatomi draudimo įmonių steigimo, reorganizavimo, likvidavimo ypatumai, reglamentuojami draudimo rinkos dalyvių tarpusavio santykiai.</w:t>
      </w:r>
      <w:r w:rsidR="007161C5" w:rsidRPr="00455858">
        <w:t xml:space="preserve"> </w:t>
      </w:r>
      <w:r w:rsidR="004D1E79" w:rsidRPr="00455858">
        <w:t xml:space="preserve">Taip pat draudimo rinkai reikalingos valstybinės priežiūros institucijos, kurių pagrindinis tikslas – apsaugoti rinką nuo draudikų tarpusavio susitarimų bei kitų veiksmų, pvz. rinkos pasidalijimo norint apriboti konkurenciją, išstumti konkurentus tam tikrose rinkose, kliūčių sudarymas patekimui į rinką ir pan. </w:t>
      </w:r>
    </w:p>
    <w:p w:rsidR="00DF6E2D" w:rsidRPr="00455858" w:rsidRDefault="00E235E1">
      <w:pPr>
        <w:ind w:firstLine="567"/>
        <w:jc w:val="both"/>
      </w:pPr>
      <w:r w:rsidRPr="00455858">
        <w:t xml:space="preserve">Kindurys (2002) taip pat </w:t>
      </w:r>
      <w:r w:rsidR="007161C5" w:rsidRPr="00455858">
        <w:t>teigia, kad nors dažniausiai draudimas remiasi savanoriškumo principu, pasaulyje yra nusistovėjusi tendencija privalomai drausti tam tikrus visuomenei ir valstybei svarbius draudimo objektus, pvz. tam tikrų profesijų civilinę atsakomybę, taip siekiant apsaugoti ūkio subjektus nuo didelių finansinių nuostolių.</w:t>
      </w:r>
      <w:r w:rsidR="00002186" w:rsidRPr="00455858">
        <w:t xml:space="preserve"> Kindurio nuomone, draudimo kompanijos iš to išlošia, nes privalomas draudimas didina draudimo apimtis bei užtikrina draudikui stabilias pajamas.</w:t>
      </w:r>
      <w:r w:rsidR="00FB2425" w:rsidRPr="00455858">
        <w:t xml:space="preserve"> Tiesa, praktikoje pasitaiko ir tarptautinių susitarimų dėl draudimo teisinių santykių</w:t>
      </w:r>
      <w:r w:rsidR="009567D2" w:rsidRPr="00455858">
        <w:t xml:space="preserve">, </w:t>
      </w:r>
      <w:r w:rsidR="00C44997" w:rsidRPr="00455858">
        <w:t xml:space="preserve">labiausiai žinomas </w:t>
      </w:r>
      <w:r w:rsidR="009567D2" w:rsidRPr="00455858">
        <w:t>to pavyzdys –</w:t>
      </w:r>
      <w:r w:rsidR="00FB2425" w:rsidRPr="00455858">
        <w:t xml:space="preserve"> transporto priemonių savininkų ir valdytojų civilinės atsakomybės draudimas.</w:t>
      </w:r>
    </w:p>
    <w:p w:rsidR="00C6444E" w:rsidRPr="00434AE7" w:rsidRDefault="00C6444E" w:rsidP="00C6444E">
      <w:pPr>
        <w:ind w:firstLine="567"/>
        <w:jc w:val="both"/>
        <w:rPr>
          <w:b/>
        </w:rPr>
      </w:pPr>
      <w:r w:rsidRPr="00A40AB4">
        <w:t xml:space="preserve">Buškevičiūtė ir Poželaitė (2001) kaip svarbiausius politinės bei teisinės aplinkos veiksnius, darančius įtaką draudimo rinkai, išskiria mokesčių politiką, draudimo veiklą reguliuojančius įstatymus, </w:t>
      </w:r>
      <w:r w:rsidRPr="00A40AB4">
        <w:lastRenderedPageBreak/>
        <w:t>valstybinį reguliavimą bei vyriausybės politiką ir stabilumą</w:t>
      </w:r>
      <w:r w:rsidR="004B7540" w:rsidRPr="00A40AB4">
        <w:t xml:space="preserve"> (</w:t>
      </w:r>
      <w:r w:rsidR="00434AE7">
        <w:t xml:space="preserve">žr. </w:t>
      </w:r>
      <w:r w:rsidR="00434AE7" w:rsidRPr="00434AE7">
        <w:t>6</w:t>
      </w:r>
      <w:r w:rsidR="004B7540" w:rsidRPr="00434AE7">
        <w:t xml:space="preserve"> pav.).</w:t>
      </w:r>
      <w:r w:rsidRPr="00434AE7">
        <w:t xml:space="preserve"> Vis tik </w:t>
      </w:r>
      <w:r w:rsidR="0004551F" w:rsidRPr="00434AE7">
        <w:t xml:space="preserve">magistranto </w:t>
      </w:r>
      <w:r w:rsidR="00EE275C" w:rsidRPr="00434AE7">
        <w:t xml:space="preserve">nuomone, </w:t>
      </w:r>
      <w:r w:rsidRPr="00434AE7">
        <w:t>mokesčių politika reikšmingesnę įtaką turi gyvybės draudimo rinkai.</w:t>
      </w:r>
    </w:p>
    <w:p w:rsidR="004C5669" w:rsidRPr="00A40AB4" w:rsidRDefault="00580966">
      <w:pPr>
        <w:ind w:firstLine="567"/>
        <w:jc w:val="both"/>
      </w:pPr>
      <w:r w:rsidRPr="00A40AB4">
        <w:t>Lezgovko ir Lastauskas (</w:t>
      </w:r>
      <w:r w:rsidRPr="00A40AB4">
        <w:rPr>
          <w:lang w:val="en-US"/>
        </w:rPr>
        <w:t xml:space="preserve">2008) </w:t>
      </w:r>
      <w:r w:rsidRPr="00A40AB4">
        <w:t xml:space="preserve">tvirtina, jog valstybės neretai imasi kainų reguliavimo mechanizmo įgyvendinimo, kadangi tai galima įgyvendinti be didelių sąnaudų ir gana paprastai. </w:t>
      </w:r>
      <w:r w:rsidR="00C1267C" w:rsidRPr="00A40AB4">
        <w:t>Visgi autoriai kritikuoja kainų suvaržymą, teigdami, jog draudikai paprasčiausiai keičia strategiją bei orientuojasi į nekaininę konkurenciją. Taigi smunka vartotojo gerovė, o rinkoje būna sutrikdyta pusiausvyra: rinkoje atsiranda arba draudimo trūkumas arba per didelė kaina, dėl kurios kenčia vartotojai.</w:t>
      </w:r>
    </w:p>
    <w:p w:rsidR="006763C7" w:rsidRPr="00A40AB4" w:rsidRDefault="00F138F1">
      <w:pPr>
        <w:ind w:firstLine="567"/>
        <w:jc w:val="both"/>
      </w:pPr>
      <w:r w:rsidRPr="00A40AB4">
        <w:t xml:space="preserve">Kitas svarbus teisinis aspektas, lemiantis tiek gyvybės, tiek ir </w:t>
      </w:r>
      <w:r w:rsidR="00277708" w:rsidRPr="00A40AB4">
        <w:t>ne gyvybės draudimo perspektyvą</w:t>
      </w:r>
      <w:r w:rsidRPr="00A40AB4">
        <w:t xml:space="preserve"> Lietuvoje – draudimo įmonių mokumo vertinimo sistema.</w:t>
      </w:r>
      <w:r w:rsidR="00724C9F" w:rsidRPr="00A40AB4">
        <w:t xml:space="preserve"> Lezgovko ir Lastauskas (2008) rašo, jog draudikų mokumo reikalavimai atsirado dar praeito amžiaus aštuntajame dešimtmetyje (Mokumas I), tačiau jie jau nebeatitinka šiuolaikinės draudimo rinkos poreikių. Europos Sąjunga sukūrė naują projektą – Mokumas II</w:t>
      </w:r>
      <w:r w:rsidR="003C4F8B" w:rsidRPr="00A40AB4">
        <w:t>, kuris, anot autorių sustiprins draudimo rinkos stabilumą, padės tinkamai reformuoti draudimo reguliavimą bei suteiks saugumo garantą draudimo rinkos klientams.</w:t>
      </w:r>
      <w:r w:rsidR="00564ED4" w:rsidRPr="00A40AB4">
        <w:t xml:space="preserve"> Spalio </w:t>
      </w:r>
      <w:r w:rsidR="00564ED4" w:rsidRPr="00A40AB4">
        <w:rPr>
          <w:lang w:val="en-US"/>
        </w:rPr>
        <w:t xml:space="preserve">16 d. </w:t>
      </w:r>
      <w:r w:rsidR="00564ED4" w:rsidRPr="00A40AB4">
        <w:t>buvo priimta nauja Draudimo įstatymo redakcija, kuria stiprinami draudikų mokumo reikalavimai pagal Mokumas II direktyvą.</w:t>
      </w:r>
    </w:p>
    <w:p w:rsidR="00853F0C" w:rsidRPr="00A40AB4" w:rsidRDefault="00853F0C" w:rsidP="00250274">
      <w:pPr>
        <w:ind w:firstLine="567"/>
        <w:jc w:val="both"/>
        <w:rPr>
          <w:b/>
        </w:rPr>
      </w:pPr>
    </w:p>
    <w:p w:rsidR="00802F5B" w:rsidRPr="00A40AB4" w:rsidRDefault="007E0C14" w:rsidP="00250274">
      <w:pPr>
        <w:ind w:firstLine="567"/>
        <w:jc w:val="both"/>
        <w:rPr>
          <w:b/>
        </w:rPr>
      </w:pPr>
      <w:r w:rsidRPr="00A40AB4">
        <w:rPr>
          <w:b/>
        </w:rPr>
        <w:t>Socialiniai veiksniai</w:t>
      </w:r>
    </w:p>
    <w:p w:rsidR="00D52B88" w:rsidRPr="00A40AB4" w:rsidRDefault="001E31F5" w:rsidP="00D52B88">
      <w:pPr>
        <w:ind w:firstLine="567"/>
        <w:jc w:val="both"/>
      </w:pPr>
      <w:r w:rsidRPr="00A40AB4">
        <w:t>Anot Hofstede (</w:t>
      </w:r>
      <w:r w:rsidRPr="00A40AB4">
        <w:rPr>
          <w:lang w:val="en-US"/>
        </w:rPr>
        <w:t xml:space="preserve">1995), </w:t>
      </w:r>
      <w:r w:rsidRPr="00A40AB4">
        <w:t xml:space="preserve">draudimą vartotojai gali vertinti labai individualiai ir subjektyviai. </w:t>
      </w:r>
      <w:r w:rsidR="00AC7F49" w:rsidRPr="00A40AB4">
        <w:t>Jis tvirtina, jog d</w:t>
      </w:r>
      <w:r w:rsidRPr="00A40AB4">
        <w:t>raudimo poreikis priklauso nuo šalies kultūros bei poreikio naudotis draudimu kaip rizikos valdymo priemone.</w:t>
      </w:r>
      <w:r w:rsidR="00AC7F49" w:rsidRPr="00A40AB4">
        <w:t xml:space="preserve"> </w:t>
      </w:r>
      <w:r w:rsidR="00D52B88" w:rsidRPr="00A40AB4">
        <w:t>Outreville (</w:t>
      </w:r>
      <w:r w:rsidR="00D52B88" w:rsidRPr="00A40AB4">
        <w:rPr>
          <w:lang w:val="en-US"/>
        </w:rPr>
        <w:t>1996)</w:t>
      </w:r>
      <w:r w:rsidR="00D52B88" w:rsidRPr="00A40AB4">
        <w:t xml:space="preserve"> pabrėžė</w:t>
      </w:r>
      <w:r w:rsidR="003D21E1" w:rsidRPr="00A40AB4">
        <w:t xml:space="preserve"> išsilavinimo svarbą – jo teigimu</w:t>
      </w:r>
      <w:r w:rsidR="00D52B88" w:rsidRPr="00A40AB4">
        <w:t>, išsilavinimas padeda žmonėms labiau suvokti riziką ir prisideda prie draudimo paklausos augimo.</w:t>
      </w:r>
      <w:r w:rsidR="00576282" w:rsidRPr="00A40AB4">
        <w:t xml:space="preserve"> Pastarajam teiginiui pritaria Hussels et al. (</w:t>
      </w:r>
      <w:r w:rsidR="00576282" w:rsidRPr="00A40AB4">
        <w:rPr>
          <w:lang w:val="en-US"/>
        </w:rPr>
        <w:t>2005).</w:t>
      </w:r>
      <w:r w:rsidR="00576282" w:rsidRPr="00A40AB4">
        <w:t xml:space="preserve"> Autorių teigimu, šalyse, kuriose raštingumo rodiklis (kuris atspindi ir bendrą šalies ekonomikos bei socialinį išsivystymą) geresnis, didesnis ir </w:t>
      </w:r>
      <w:r w:rsidR="006F58C7" w:rsidRPr="00A40AB4">
        <w:t xml:space="preserve">ne gyvybės </w:t>
      </w:r>
      <w:r w:rsidR="00576282" w:rsidRPr="00A40AB4">
        <w:t xml:space="preserve">draudimo poreikis dėl </w:t>
      </w:r>
      <w:r w:rsidR="00583B89" w:rsidRPr="00A40AB4">
        <w:t>gilesnio</w:t>
      </w:r>
      <w:r w:rsidR="002C76C4" w:rsidRPr="00A40AB4">
        <w:t xml:space="preserve"> </w:t>
      </w:r>
      <w:r w:rsidR="00576282" w:rsidRPr="00A40AB4">
        <w:t>rizikos suvokimo.</w:t>
      </w:r>
    </w:p>
    <w:p w:rsidR="00AC7F49" w:rsidRPr="00A40AB4" w:rsidRDefault="00D52B88" w:rsidP="00D52B88">
      <w:pPr>
        <w:ind w:firstLine="567"/>
        <w:jc w:val="both"/>
      </w:pPr>
      <w:r w:rsidRPr="00A40AB4">
        <w:t xml:space="preserve"> </w:t>
      </w:r>
      <w:r w:rsidR="003D21E1" w:rsidRPr="00A40AB4">
        <w:t>Esho et al. (2004) atliko tyrimą panaudodami neapibrėžtumo vengimo bei išsilavinimo rodiklius. Šie mokslininkai nustatė, jog rizikos baimė reikšmingai įtakoja ne gyvybės draudimo paklausą, tačiau atmetė kultūrinius faktorius, kaip iš esmės nereikšmingus draudimo paklausai. Pastarajam teiginiui pritaria ir Park et al. (</w:t>
      </w:r>
      <w:r w:rsidR="003D21E1" w:rsidRPr="00A40AB4">
        <w:rPr>
          <w:lang w:val="en-US"/>
        </w:rPr>
        <w:t>2002, cit. pagal Hussels et al., 2005)</w:t>
      </w:r>
      <w:r w:rsidR="003D21E1" w:rsidRPr="00A40AB4">
        <w:t>. Šie autoriai nenustatė nacionalinių kultūros ypatumų reikšmingos įtakos draudimo rinkai nė vienoje konkrečioje šalyje.</w:t>
      </w:r>
    </w:p>
    <w:p w:rsidR="00D25D0A" w:rsidRPr="00A40AB4" w:rsidRDefault="00D25D0A" w:rsidP="00D52B88">
      <w:pPr>
        <w:ind w:firstLine="567"/>
        <w:jc w:val="both"/>
      </w:pPr>
      <w:r w:rsidRPr="00A40AB4">
        <w:t xml:space="preserve">Įvairūs mokslininkai (Zelizer, </w:t>
      </w:r>
      <w:r w:rsidRPr="00A40AB4">
        <w:rPr>
          <w:lang w:val="en-US"/>
        </w:rPr>
        <w:t>1979, Wasaw ir Hill, 1986, Browne ir Kim, 1993, Enz, 2000, Ward ir Zurbruegg, 2002)</w:t>
      </w:r>
      <w:r w:rsidRPr="00A40AB4">
        <w:t xml:space="preserve"> nagrinėjo religijos įtaką draudimui. Nustatyta, jog šalyse, kuriose vyraujanti religija – islamas, gyvybės draudimas yra mažiau populiarus (cit. pagal Hussels et al. </w:t>
      </w:r>
      <w:r w:rsidRPr="00A40AB4">
        <w:rPr>
          <w:lang w:val="en-US"/>
        </w:rPr>
        <w:t>2005).</w:t>
      </w:r>
    </w:p>
    <w:p w:rsidR="006942E3" w:rsidRPr="00A40AB4" w:rsidRDefault="004B7540" w:rsidP="00D52B88">
      <w:pPr>
        <w:ind w:firstLine="567"/>
        <w:jc w:val="both"/>
      </w:pPr>
      <w:r w:rsidRPr="00A40AB4">
        <w:t>Buškevičiūtė ir Poželaitė (2001)</w:t>
      </w:r>
      <w:r w:rsidR="00373249" w:rsidRPr="00A40AB4">
        <w:t xml:space="preserve"> svarbiausiais socialiniais veiksniais, lemiančiais draudimo rinką laiko gyventojų demografinę padėtį bei jos tendencijas (gyventojų pasiskirstymas, migracija ir pan.), </w:t>
      </w:r>
      <w:r w:rsidR="00373249" w:rsidRPr="00A40AB4">
        <w:lastRenderedPageBreak/>
        <w:t>asmenų prioritetus paskirstant savo pajamas. Autorės taip pat išskiria gyvenimo stiliaus bei vertybių pasikeitimo įtaką draudimo rinkai</w:t>
      </w:r>
      <w:r w:rsidR="00434AE7">
        <w:t xml:space="preserve"> (žr. 6</w:t>
      </w:r>
      <w:r w:rsidR="00CF111D" w:rsidRPr="00A40AB4">
        <w:t xml:space="preserve"> </w:t>
      </w:r>
      <w:r w:rsidR="00BC5E55" w:rsidRPr="00A40AB4">
        <w:t>pav.).</w:t>
      </w:r>
    </w:p>
    <w:p w:rsidR="00AB6D72" w:rsidRPr="00455858" w:rsidRDefault="00CF111D" w:rsidP="00D52B88">
      <w:pPr>
        <w:ind w:firstLine="567"/>
        <w:jc w:val="both"/>
      </w:pPr>
      <w:r w:rsidRPr="00455858">
        <w:t xml:space="preserve">Kindurys </w:t>
      </w:r>
      <w:r w:rsidRPr="00455858">
        <w:rPr>
          <w:lang w:val="en-US"/>
        </w:rPr>
        <w:t>(2002)</w:t>
      </w:r>
      <w:r w:rsidRPr="00455858">
        <w:t xml:space="preserve"> laikosi nuomonės, jog draudimo rinkos perspektyvas lemia tokie socialiniai </w:t>
      </w:r>
      <w:r w:rsidR="006C26B7" w:rsidRPr="00455858">
        <w:t>veiksniai</w:t>
      </w:r>
      <w:r w:rsidRPr="00455858">
        <w:t xml:space="preserve"> kaip draudėjų kultūrinis išprusimas, išsilavinimo lygis, draudimo paslaugos įsigijimo tikslas ir pan.</w:t>
      </w:r>
      <w:r w:rsidR="006942E3" w:rsidRPr="00455858">
        <w:t xml:space="preserve"> DPK komisijos pirmininkas M. Šalčius (cit. pagal MarketNews.lt,</w:t>
      </w:r>
      <w:r w:rsidR="006942E3" w:rsidRPr="00455858">
        <w:rPr>
          <w:lang w:val="en-US"/>
        </w:rPr>
        <w:t xml:space="preserve"> 2009</w:t>
      </w:r>
      <w:r w:rsidR="006942E3" w:rsidRPr="00455858">
        <w:t xml:space="preserve">) taip pat mano, jog finansinis draudėjų neišprusimas yra vienas iš draudimo rinką neigiamai veikiančių socialinių veiksnių. Šalčius taip pat siūlo draudikams didesnį dėmesį skirti esamų klientų išlaikymui daugiau su jais komunikuojant. </w:t>
      </w:r>
    </w:p>
    <w:p w:rsidR="00853F0C" w:rsidRPr="00A40AB4" w:rsidRDefault="00853F0C" w:rsidP="00D52B88">
      <w:pPr>
        <w:ind w:firstLine="567"/>
        <w:jc w:val="both"/>
      </w:pPr>
    </w:p>
    <w:p w:rsidR="00373249" w:rsidRPr="00A40AB4" w:rsidRDefault="007E0C14" w:rsidP="00D52B88">
      <w:pPr>
        <w:ind w:firstLine="567"/>
        <w:jc w:val="both"/>
        <w:rPr>
          <w:b/>
        </w:rPr>
      </w:pPr>
      <w:r w:rsidRPr="00A40AB4">
        <w:rPr>
          <w:b/>
        </w:rPr>
        <w:t>Technologiniai veiksniai</w:t>
      </w:r>
    </w:p>
    <w:p w:rsidR="00744E4F" w:rsidRPr="00A40AB4" w:rsidRDefault="00C84FB7" w:rsidP="001B6655">
      <w:pPr>
        <w:ind w:firstLine="567"/>
        <w:jc w:val="both"/>
      </w:pPr>
      <w:r w:rsidRPr="00A40AB4">
        <w:t>Buškevičiūtė ir Poželaitė (2001) išskiria mokslinę, technologinę pažangą, technines naujoves kaip reikšmingą draudimo rinką lemiantį faktorių. Autorės pažymi, jog reiktų atsižvelgti į šių technologijų kintamumo spartą bei jų prieinamumą.</w:t>
      </w:r>
      <w:r w:rsidR="001B6655" w:rsidRPr="00A40AB4">
        <w:t xml:space="preserve"> </w:t>
      </w:r>
      <w:r w:rsidR="005A28A1" w:rsidRPr="00A40AB4">
        <w:t>Jos tvirtina, kad technologiniai faktoriai pasireiškia per naujų produktų kūrimą bei esamų tobulinimą, kas nulemia įvairius pokyčius: kainų, reklamos ir t.t.</w:t>
      </w:r>
    </w:p>
    <w:p w:rsidR="00C84FB7" w:rsidRPr="00A40AB4" w:rsidRDefault="001B6655" w:rsidP="001B6655">
      <w:pPr>
        <w:ind w:firstLine="567"/>
        <w:jc w:val="both"/>
      </w:pPr>
      <w:r w:rsidRPr="00A40AB4">
        <w:t>Magistranto nuomone, verta išskirti milžinišką interneto įtaką. Interneto dėka atsirado nauji draudimo pardavimo bei reklamos kanalai, itin išaugo informacijos sklaida bei sparta, atsirado galimybė sumažinti draudimo pardavimo kaštus, taigi ir kainą galutiniam draudimo paslaugos vartotojui.</w:t>
      </w:r>
    </w:p>
    <w:p w:rsidR="009A03FF" w:rsidRDefault="00D3443C" w:rsidP="009A03FF">
      <w:pPr>
        <w:ind w:firstLine="567"/>
        <w:jc w:val="both"/>
      </w:pPr>
      <w:r w:rsidRPr="00A40AB4">
        <w:t>Kitas technologinis veiksnys, kuris turėtų daryti itin reikšmingą įtaką ne gyvybės draudimo rinkai –</w:t>
      </w:r>
      <w:r w:rsidR="005A28A1" w:rsidRPr="00A40AB4">
        <w:t xml:space="preserve"> </w:t>
      </w:r>
      <w:r w:rsidRPr="00A40AB4">
        <w:t>transporto</w:t>
      </w:r>
      <w:r w:rsidR="005A28A1" w:rsidRPr="00A40AB4">
        <w:t xml:space="preserve"> vystymasis</w:t>
      </w:r>
      <w:r w:rsidRPr="00A40AB4">
        <w:t>.</w:t>
      </w:r>
      <w:r w:rsidR="005A28A1" w:rsidRPr="00A40AB4">
        <w:t xml:space="preserve"> Augant gyvenimo tempams, didėja transporto reikšmė. Taigi tobulinamos technologijos, padarančios transporto priemones vis patogesnėmis bei komfortiškesnėmis, taip skatinama jas pirkti.</w:t>
      </w:r>
      <w:r w:rsidRPr="00A40AB4">
        <w:t xml:space="preserve"> </w:t>
      </w:r>
      <w:r w:rsidR="00FF6F1F" w:rsidRPr="00A40AB4">
        <w:t>Vis tik Lezgovko ir Lastauskas (</w:t>
      </w:r>
      <w:r w:rsidR="00FF6F1F" w:rsidRPr="00A40AB4">
        <w:rPr>
          <w:lang w:val="en-US"/>
        </w:rPr>
        <w:t xml:space="preserve">2008) </w:t>
      </w:r>
      <w:r w:rsidR="00FF6F1F" w:rsidRPr="00A40AB4">
        <w:t xml:space="preserve">teigia, kad transporto priemonių augimas </w:t>
      </w:r>
      <w:r w:rsidR="0017064A" w:rsidRPr="00A40AB4">
        <w:t xml:space="preserve">nepadeda </w:t>
      </w:r>
      <w:r w:rsidR="00FF6F1F" w:rsidRPr="00A40AB4">
        <w:t>ne gyvybės draudimo įmonių gerovei bei plėtrai. Autoriai teigia, jog dėl TPVCA draudimo privalomumo draudikai priversti konkuruoti mažindami draudimo kainas, taip siekdami pritraukti daugiau klient</w:t>
      </w:r>
      <w:r w:rsidR="005A28A1" w:rsidRPr="00A40AB4">
        <w:t>ų, tačiau mažindami savo maržą.</w:t>
      </w:r>
    </w:p>
    <w:p w:rsidR="0082724D" w:rsidRDefault="0082724D" w:rsidP="00DA22AC">
      <w:pPr>
        <w:ind w:firstLine="567"/>
        <w:jc w:val="both"/>
      </w:pPr>
    </w:p>
    <w:p w:rsidR="0082724D" w:rsidRDefault="00DA22AC" w:rsidP="0082724D">
      <w:pPr>
        <w:ind w:firstLine="567"/>
        <w:jc w:val="both"/>
        <w:rPr>
          <w:szCs w:val="24"/>
        </w:rPr>
      </w:pPr>
      <w:r w:rsidRPr="006870A4">
        <w:rPr>
          <w:szCs w:val="24"/>
        </w:rPr>
        <w:t>Mokslinėje literatūroje išskiriami įvairūs ne gyvybės draudimo rinką sąlygojantys</w:t>
      </w:r>
      <w:r w:rsidRPr="006870A4">
        <w:t xml:space="preserve"> veiksniai: vieni mokslininkai pabrėžia teisinio reguliavimo mažėjimą, globalizaciją bei technologijų vystymąsi (Bernat ir Grundey, 2007, Meidan, 1996), kiti akcentuoja makroekonominių procesų, finansų rinkų bei vartojimo įtaką (Aidukienė ir Simanavičienė, 2010). Vis dėlto, apibendrinus nagrinėtą mokslinę literatūrą, galima išskirti šias d</w:t>
      </w:r>
      <w:r w:rsidRPr="006870A4">
        <w:rPr>
          <w:szCs w:val="24"/>
        </w:rPr>
        <w:t>ažniausiai minimas grupes – ekonominės, politinės, teisinės, socialinės, kultūrinės bei technologinės</w:t>
      </w:r>
      <w:r w:rsidR="006870A4" w:rsidRPr="006870A4">
        <w:rPr>
          <w:szCs w:val="24"/>
        </w:rPr>
        <w:t xml:space="preserve"> (Hussels et al., 2005, Browne et al., 2000, Ward ir Zurbruegg, 2000, Beck ir Webb, 2003, Esho et al., 2004, Kindurys, 2002, Buškevičiūtė ir Poželaitė, 2001)</w:t>
      </w:r>
      <w:r w:rsidRPr="00A13923">
        <w:rPr>
          <w:szCs w:val="24"/>
        </w:rPr>
        <w:t xml:space="preserve">. Svarbiausi mokslinėje literatūroje išskiriami </w:t>
      </w:r>
      <w:r w:rsidR="006870A4">
        <w:rPr>
          <w:szCs w:val="24"/>
        </w:rPr>
        <w:t xml:space="preserve">tokie </w:t>
      </w:r>
      <w:r w:rsidRPr="006870A4">
        <w:rPr>
          <w:szCs w:val="24"/>
        </w:rPr>
        <w:t>ekonominiai veiksniai</w:t>
      </w:r>
      <w:r w:rsidR="006870A4">
        <w:rPr>
          <w:szCs w:val="24"/>
        </w:rPr>
        <w:t xml:space="preserve"> kaip</w:t>
      </w:r>
      <w:r w:rsidRPr="00A13923">
        <w:rPr>
          <w:szCs w:val="24"/>
        </w:rPr>
        <w:t xml:space="preserve"> BVP, infliacija, palūkanų norma, </w:t>
      </w:r>
      <w:r w:rsidRPr="00A13923">
        <w:rPr>
          <w:szCs w:val="24"/>
        </w:rPr>
        <w:lastRenderedPageBreak/>
        <w:t xml:space="preserve">nedarbo lygis, vartotojų pajamos, užsienio investicijos, eksportas, </w:t>
      </w:r>
      <w:r w:rsidR="006870A4">
        <w:rPr>
          <w:szCs w:val="24"/>
        </w:rPr>
        <w:t>transporto priemonių skaičiaus dinamika</w:t>
      </w:r>
      <w:r w:rsidRPr="00A13923">
        <w:rPr>
          <w:szCs w:val="24"/>
        </w:rPr>
        <w:t>, drau</w:t>
      </w:r>
      <w:r w:rsidR="006870A4">
        <w:rPr>
          <w:szCs w:val="24"/>
        </w:rPr>
        <w:t>dimo paslaugos kaina bei kokybė. Autoriai išskiria tokius esminius</w:t>
      </w:r>
      <w:r w:rsidRPr="006870A4">
        <w:rPr>
          <w:szCs w:val="24"/>
        </w:rPr>
        <w:t xml:space="preserve"> </w:t>
      </w:r>
      <w:r w:rsidR="006870A4">
        <w:rPr>
          <w:szCs w:val="24"/>
        </w:rPr>
        <w:t>politinius ir teisinius veiksnius</w:t>
      </w:r>
      <w:r w:rsidRPr="00A13923">
        <w:rPr>
          <w:szCs w:val="24"/>
        </w:rPr>
        <w:t>: vyriausybės stabilumas ir politika, mokesčių politika, draudimo veiklą reglamentuojantys įstatymai, valstybinis reguliavimas bei valstybinių institucijų priežiūra, nuosavybės teisių, sutarčių vykdymo bei turto apsaugos užtikrinimas, tam tikrų objektų draudimo privalomumas, draudikų mokumo vertinimo sistema</w:t>
      </w:r>
      <w:r w:rsidR="006870A4">
        <w:rPr>
          <w:szCs w:val="24"/>
        </w:rPr>
        <w:t>. Svarbiausiais</w:t>
      </w:r>
      <w:r w:rsidRPr="00A13923">
        <w:rPr>
          <w:szCs w:val="24"/>
        </w:rPr>
        <w:t xml:space="preserve"> </w:t>
      </w:r>
      <w:r w:rsidRPr="006870A4">
        <w:rPr>
          <w:szCs w:val="24"/>
        </w:rPr>
        <w:t>socialiniai</w:t>
      </w:r>
      <w:r w:rsidR="006870A4">
        <w:rPr>
          <w:szCs w:val="24"/>
        </w:rPr>
        <w:t>s</w:t>
      </w:r>
      <w:r w:rsidRPr="006870A4">
        <w:rPr>
          <w:szCs w:val="24"/>
        </w:rPr>
        <w:t xml:space="preserve"> ir kultūriniai</w:t>
      </w:r>
      <w:r w:rsidR="006870A4">
        <w:rPr>
          <w:szCs w:val="24"/>
        </w:rPr>
        <w:t>s</w:t>
      </w:r>
      <w:r w:rsidRPr="006870A4">
        <w:rPr>
          <w:szCs w:val="24"/>
        </w:rPr>
        <w:t xml:space="preserve"> veiksniai</w:t>
      </w:r>
      <w:r w:rsidR="006870A4">
        <w:rPr>
          <w:szCs w:val="24"/>
        </w:rPr>
        <w:t>s laikomi</w:t>
      </w:r>
      <w:r w:rsidRPr="00A13923">
        <w:rPr>
          <w:szCs w:val="24"/>
        </w:rPr>
        <w:t xml:space="preserve"> demografiniai, vertybių bei gyvenimo būdo pokyčiai, pajamų pasiskirstymas, draudimo paslaugos vieta gyventojų išlaidų struktūroje, išsilavinimo lygis, finansinis i</w:t>
      </w:r>
      <w:r w:rsidR="006870A4">
        <w:rPr>
          <w:szCs w:val="24"/>
        </w:rPr>
        <w:t>šprusimas, švietimo tendencijos. Išskiriami tokie</w:t>
      </w:r>
      <w:r w:rsidRPr="00A13923">
        <w:rPr>
          <w:szCs w:val="24"/>
        </w:rPr>
        <w:t xml:space="preserve"> </w:t>
      </w:r>
      <w:r w:rsidRPr="006870A4">
        <w:rPr>
          <w:szCs w:val="24"/>
        </w:rPr>
        <w:t>technologiniai veiksniai</w:t>
      </w:r>
      <w:r w:rsidR="006870A4">
        <w:rPr>
          <w:szCs w:val="24"/>
        </w:rPr>
        <w:t xml:space="preserve"> kaip</w:t>
      </w:r>
      <w:r w:rsidRPr="00A13923">
        <w:rPr>
          <w:szCs w:val="24"/>
        </w:rPr>
        <w:t xml:space="preserve"> mokslo, technologinė bei techninė pažanga, jų kitimo sparta bei prieinamumas.</w:t>
      </w:r>
    </w:p>
    <w:p w:rsidR="0082724D" w:rsidRPr="0082724D" w:rsidRDefault="0082724D" w:rsidP="0082724D">
      <w:pPr>
        <w:ind w:firstLine="567"/>
        <w:jc w:val="both"/>
        <w:rPr>
          <w:szCs w:val="24"/>
        </w:rPr>
      </w:pPr>
      <w:r>
        <w:br w:type="page"/>
      </w:r>
    </w:p>
    <w:p w:rsidR="003B716A" w:rsidRPr="00A40AB4" w:rsidRDefault="003B716A" w:rsidP="001B6655">
      <w:pPr>
        <w:ind w:firstLine="567"/>
        <w:jc w:val="both"/>
      </w:pPr>
    </w:p>
    <w:p w:rsidR="00376B15" w:rsidRPr="00A40AB4" w:rsidRDefault="00376B15" w:rsidP="004F0933">
      <w:pPr>
        <w:pStyle w:val="Heading1"/>
      </w:pPr>
      <w:bookmarkStart w:id="124" w:name="_Toc328358589"/>
      <w:bookmarkStart w:id="125" w:name="_Toc328359418"/>
      <w:bookmarkStart w:id="126" w:name="_Toc328359503"/>
      <w:bookmarkStart w:id="127" w:name="_Toc328359558"/>
      <w:bookmarkStart w:id="128" w:name="_Toc340574380"/>
      <w:bookmarkStart w:id="129" w:name="_Toc340574696"/>
      <w:bookmarkStart w:id="130" w:name="_Toc341641367"/>
      <w:bookmarkStart w:id="131" w:name="_Toc342859655"/>
      <w:r w:rsidRPr="00A40AB4">
        <w:t xml:space="preserve">2. NE GYVYBĖS DRAUDIMO RINKOS PLĖTROS </w:t>
      </w:r>
      <w:r w:rsidR="00C24E5D">
        <w:t xml:space="preserve">VEIKSNIŲ VERTINIMO </w:t>
      </w:r>
      <w:r w:rsidRPr="00A40AB4">
        <w:t>METODOLOGIJA</w:t>
      </w:r>
      <w:bookmarkEnd w:id="124"/>
      <w:bookmarkEnd w:id="125"/>
      <w:bookmarkEnd w:id="126"/>
      <w:bookmarkEnd w:id="127"/>
      <w:bookmarkEnd w:id="128"/>
      <w:bookmarkEnd w:id="129"/>
      <w:bookmarkEnd w:id="130"/>
      <w:bookmarkEnd w:id="131"/>
    </w:p>
    <w:p w:rsidR="00144A3A" w:rsidRPr="00A40AB4" w:rsidRDefault="00144A3A" w:rsidP="00144A3A"/>
    <w:p w:rsidR="00376B15" w:rsidRPr="00A40AB4" w:rsidRDefault="00376B15" w:rsidP="004F0933">
      <w:pPr>
        <w:pStyle w:val="Heading2"/>
        <w:spacing w:line="360" w:lineRule="auto"/>
        <w:ind w:left="567" w:firstLine="0"/>
        <w:jc w:val="both"/>
        <w:rPr>
          <w:sz w:val="28"/>
        </w:rPr>
      </w:pPr>
      <w:bookmarkStart w:id="132" w:name="_Toc328358590"/>
      <w:bookmarkStart w:id="133" w:name="_Toc328359419"/>
      <w:bookmarkStart w:id="134" w:name="_Toc328359504"/>
      <w:bookmarkStart w:id="135" w:name="_Toc328359559"/>
      <w:bookmarkStart w:id="136" w:name="_Toc340574381"/>
      <w:bookmarkStart w:id="137" w:name="_Toc340574697"/>
      <w:bookmarkStart w:id="138" w:name="_Toc341641368"/>
      <w:bookmarkStart w:id="139" w:name="_Toc342859656"/>
      <w:bookmarkStart w:id="140" w:name="OLE_LINK1"/>
      <w:bookmarkStart w:id="141" w:name="OLE_LINK2"/>
      <w:r w:rsidRPr="00A40AB4">
        <w:rPr>
          <w:sz w:val="28"/>
        </w:rPr>
        <w:t xml:space="preserve">2.1. </w:t>
      </w:r>
      <w:r w:rsidR="004F5612">
        <w:rPr>
          <w:sz w:val="28"/>
        </w:rPr>
        <w:t>N</w:t>
      </w:r>
      <w:r w:rsidRPr="00A40AB4">
        <w:rPr>
          <w:sz w:val="28"/>
        </w:rPr>
        <w:t xml:space="preserve">e gyvybės draudimo rinkos </w:t>
      </w:r>
      <w:bookmarkEnd w:id="132"/>
      <w:bookmarkEnd w:id="133"/>
      <w:bookmarkEnd w:id="134"/>
      <w:bookmarkEnd w:id="135"/>
      <w:bookmarkEnd w:id="136"/>
      <w:bookmarkEnd w:id="137"/>
      <w:bookmarkEnd w:id="138"/>
      <w:r w:rsidR="00AD3C6D">
        <w:rPr>
          <w:sz w:val="28"/>
        </w:rPr>
        <w:t>tyrimo metodika</w:t>
      </w:r>
      <w:bookmarkEnd w:id="139"/>
    </w:p>
    <w:p w:rsidR="00144A3A" w:rsidRPr="00A40AB4" w:rsidRDefault="00144A3A" w:rsidP="00144A3A"/>
    <w:bookmarkEnd w:id="140"/>
    <w:bookmarkEnd w:id="141"/>
    <w:p w:rsidR="00843214" w:rsidRPr="00A40AB4" w:rsidRDefault="009D5C17" w:rsidP="00A0083B">
      <w:pPr>
        <w:ind w:firstLine="567"/>
        <w:jc w:val="both"/>
        <w:rPr>
          <w:rFonts w:cs="Times New Roman"/>
        </w:rPr>
      </w:pPr>
      <w:r>
        <w:rPr>
          <w:rFonts w:cs="Times New Roman"/>
        </w:rPr>
        <w:t>N</w:t>
      </w:r>
      <w:r w:rsidR="00FB4E73">
        <w:rPr>
          <w:rFonts w:cs="Times New Roman"/>
        </w:rPr>
        <w:t xml:space="preserve">e gyvybės draudimo </w:t>
      </w:r>
      <w:r w:rsidR="00843214" w:rsidRPr="00A40AB4">
        <w:rPr>
          <w:rFonts w:cs="Times New Roman"/>
        </w:rPr>
        <w:t>rinkai įtaką daro daugybė įvairių veiksnių. Vieni jų gali būti įvertinami kiekybiškai, kiti kokybiškai.</w:t>
      </w:r>
      <w:r w:rsidR="00B605F6" w:rsidRPr="00A40AB4">
        <w:rPr>
          <w:rFonts w:cs="Times New Roman"/>
        </w:rPr>
        <w:t xml:space="preserve"> </w:t>
      </w:r>
      <w:r w:rsidR="00843214" w:rsidRPr="00A40AB4">
        <w:rPr>
          <w:rFonts w:cs="Times New Roman"/>
        </w:rPr>
        <w:t xml:space="preserve">Norint tinkamai identifikuoti Lietuvos ne gyvybės draudimo rinkos plėtros galimybes tikslinga įvertinti tiek kiekybinius, tiek ir kokybinius veiksnius. </w:t>
      </w:r>
    </w:p>
    <w:p w:rsidR="00536D8D" w:rsidRPr="00A40AB4" w:rsidRDefault="007060B9" w:rsidP="00A0083B">
      <w:pPr>
        <w:ind w:firstLine="567"/>
        <w:jc w:val="both"/>
        <w:rPr>
          <w:rFonts w:cs="Times New Roman"/>
        </w:rPr>
      </w:pPr>
      <w:r w:rsidRPr="00A40AB4">
        <w:rPr>
          <w:rFonts w:cs="Times New Roman"/>
        </w:rPr>
        <w:t>S</w:t>
      </w:r>
      <w:r w:rsidR="00A0083B" w:rsidRPr="00A40AB4">
        <w:rPr>
          <w:rFonts w:cs="Times New Roman"/>
        </w:rPr>
        <w:t xml:space="preserve">iekiant įvertinti dabartinę rinkos situaciją </w:t>
      </w:r>
      <w:r w:rsidR="006926F4" w:rsidRPr="00A40AB4">
        <w:rPr>
          <w:rFonts w:cs="Times New Roman"/>
        </w:rPr>
        <w:t>šiame darbe</w:t>
      </w:r>
      <w:r w:rsidR="00A0083B" w:rsidRPr="00A40AB4">
        <w:rPr>
          <w:rFonts w:cs="Times New Roman"/>
        </w:rPr>
        <w:t xml:space="preserve"> </w:t>
      </w:r>
      <w:r w:rsidR="00F353BC" w:rsidRPr="00A40AB4">
        <w:rPr>
          <w:rFonts w:cs="Times New Roman"/>
        </w:rPr>
        <w:t xml:space="preserve">pirmiausia </w:t>
      </w:r>
      <w:r w:rsidR="00A0083B" w:rsidRPr="00A40AB4">
        <w:rPr>
          <w:rFonts w:cs="Times New Roman"/>
        </w:rPr>
        <w:t xml:space="preserve">vertinami ją atspindintys </w:t>
      </w:r>
      <w:r w:rsidR="00843214" w:rsidRPr="00A40AB4">
        <w:rPr>
          <w:rFonts w:cs="Times New Roman"/>
        </w:rPr>
        <w:t>kiekybiniai veiksniai</w:t>
      </w:r>
      <w:r w:rsidR="00B605F6" w:rsidRPr="00A40AB4">
        <w:rPr>
          <w:rFonts w:cs="Times New Roman"/>
        </w:rPr>
        <w:t>. Anot Tidikio (</w:t>
      </w:r>
      <w:r w:rsidR="00B605F6" w:rsidRPr="00A40AB4">
        <w:rPr>
          <w:rFonts w:cs="Times New Roman"/>
          <w:lang w:val="en-US"/>
        </w:rPr>
        <w:t>2003)</w:t>
      </w:r>
      <w:r w:rsidR="00B605F6" w:rsidRPr="00A40AB4">
        <w:rPr>
          <w:rFonts w:cs="Times New Roman"/>
        </w:rPr>
        <w:t>, kiekybiniai tyrimo metodai yra tie, kurių galutiniai tyrimo rezultatai išreiškiami skaičiais.</w:t>
      </w:r>
      <w:r w:rsidR="00843214" w:rsidRPr="00A40AB4">
        <w:rPr>
          <w:rFonts w:cs="Times New Roman"/>
        </w:rPr>
        <w:t xml:space="preserve"> </w:t>
      </w:r>
      <w:r w:rsidR="00B605F6" w:rsidRPr="00A40AB4">
        <w:rPr>
          <w:rFonts w:cs="Times New Roman"/>
        </w:rPr>
        <w:t>Šiame darbe tai rodikliai, atspindintys</w:t>
      </w:r>
      <w:r w:rsidR="003D5D29" w:rsidRPr="00A40AB4">
        <w:rPr>
          <w:rFonts w:cs="Times New Roman"/>
        </w:rPr>
        <w:t xml:space="preserve"> </w:t>
      </w:r>
      <w:r w:rsidR="00B605F6" w:rsidRPr="00A40AB4">
        <w:rPr>
          <w:rFonts w:cs="Times New Roman"/>
        </w:rPr>
        <w:t>n</w:t>
      </w:r>
      <w:r w:rsidR="003D5D29" w:rsidRPr="00A40AB4">
        <w:rPr>
          <w:rFonts w:cs="Times New Roman"/>
        </w:rPr>
        <w:t>e gyvybės draudimo rinką</w:t>
      </w:r>
      <w:r w:rsidR="00B605F6" w:rsidRPr="00A40AB4">
        <w:rPr>
          <w:rFonts w:cs="Times New Roman"/>
        </w:rPr>
        <w:t>.</w:t>
      </w:r>
      <w:r w:rsidR="003D5D29" w:rsidRPr="00A40AB4">
        <w:rPr>
          <w:rFonts w:cs="Times New Roman"/>
        </w:rPr>
        <w:t xml:space="preserve"> </w:t>
      </w:r>
      <w:r w:rsidR="00B605F6" w:rsidRPr="00A40AB4">
        <w:rPr>
          <w:rFonts w:cs="Times New Roman"/>
        </w:rPr>
        <w:t xml:space="preserve">Šiuos </w:t>
      </w:r>
      <w:r w:rsidR="003D5D29" w:rsidRPr="00A40AB4">
        <w:rPr>
          <w:rFonts w:cs="Times New Roman"/>
        </w:rPr>
        <w:t>rodiklius būtų galima suskirstyti į tiesioginius, netiesioginius (išvestinius) bei finansinius.</w:t>
      </w:r>
      <w:r w:rsidR="00371A09" w:rsidRPr="00A40AB4">
        <w:rPr>
          <w:rFonts w:cs="Times New Roman"/>
        </w:rPr>
        <w:t xml:space="preserve"> Toliau darbe detaliau aptariamos visos trys rodiklių grupės.</w:t>
      </w:r>
    </w:p>
    <w:p w:rsidR="00EF7B91" w:rsidRPr="00A40AB4" w:rsidRDefault="00EF7B91" w:rsidP="00EF7B91">
      <w:pPr>
        <w:ind w:firstLine="567"/>
        <w:jc w:val="both"/>
        <w:rPr>
          <w:rFonts w:cs="Times New Roman"/>
        </w:rPr>
      </w:pPr>
      <w:r w:rsidRPr="00344783">
        <w:rPr>
          <w:rFonts w:cs="Times New Roman"/>
        </w:rPr>
        <w:t>Mokslinėje literatūroje autoriai gana vieningai sutaria dėl svarbiausių draudimo rinkos plėtros įvertinimo rodiklių. Daugelis mokslininkų išskiria panašius draudimo rinkos plėtrą nusakančius</w:t>
      </w:r>
      <w:r w:rsidR="005E2B64">
        <w:rPr>
          <w:rFonts w:cs="Times New Roman"/>
        </w:rPr>
        <w:t xml:space="preserve"> rodiklius:</w:t>
      </w:r>
      <w:r w:rsidRPr="00344783">
        <w:rPr>
          <w:rFonts w:cs="Times New Roman"/>
        </w:rPr>
        <w:t xml:space="preserve"> </w:t>
      </w:r>
      <w:r w:rsidR="00A370AA">
        <w:rPr>
          <w:rFonts w:cs="Times New Roman"/>
        </w:rPr>
        <w:t>Buškevičiūtė ir Poželaitė (</w:t>
      </w:r>
      <w:r w:rsidR="00A370AA">
        <w:rPr>
          <w:rFonts w:cs="Times New Roman"/>
          <w:lang w:val="en-US"/>
        </w:rPr>
        <w:t xml:space="preserve">2001), </w:t>
      </w:r>
      <w:r w:rsidRPr="00344783">
        <w:rPr>
          <w:rFonts w:cs="Times New Roman"/>
        </w:rPr>
        <w:t>Lezgovko ir Lastauskas (2008), Bagdonavičius (2000), Aidukienė ir Simanavičienė (2010)</w:t>
      </w:r>
      <w:r w:rsidR="00344783" w:rsidRPr="00344783">
        <w:rPr>
          <w:rFonts w:cs="Times New Roman"/>
        </w:rPr>
        <w:t xml:space="preserve">, Lezgovko ir Jablonskienė </w:t>
      </w:r>
      <w:r w:rsidR="00344783">
        <w:rPr>
          <w:rFonts w:cs="Times New Roman"/>
        </w:rPr>
        <w:t>(</w:t>
      </w:r>
      <w:r w:rsidR="00344783" w:rsidRPr="00344783">
        <w:rPr>
          <w:rFonts w:cs="Times New Roman"/>
        </w:rPr>
        <w:t>2012</w:t>
      </w:r>
      <w:r w:rsidR="00344783">
        <w:rPr>
          <w:rFonts w:cs="Times New Roman"/>
        </w:rPr>
        <w:t>)</w:t>
      </w:r>
      <w:r w:rsidRPr="00A40AB4">
        <w:rPr>
          <w:rFonts w:cs="Times New Roman"/>
        </w:rPr>
        <w:t xml:space="preserve">. </w:t>
      </w:r>
      <w:r w:rsidR="0044532D">
        <w:rPr>
          <w:rFonts w:cs="Times New Roman"/>
        </w:rPr>
        <w:t xml:space="preserve">Analizuojant Lietuvos draudimo rinką į panašius rodiklius daugiausia dėmesio skiria ir tokios institucijos kaip jau likviduota Lietuvos Respublikos draudimo priežiūros komisija bei Lietuvos bankas. </w:t>
      </w:r>
      <w:r>
        <w:rPr>
          <w:rFonts w:cs="Times New Roman"/>
        </w:rPr>
        <w:t xml:space="preserve">Remiantis </w:t>
      </w:r>
      <w:r w:rsidR="009276CF">
        <w:rPr>
          <w:rFonts w:cs="Times New Roman"/>
        </w:rPr>
        <w:t>minėtų mokslininkų darbais</w:t>
      </w:r>
      <w:r>
        <w:rPr>
          <w:rFonts w:cs="Times New Roman"/>
        </w:rPr>
        <w:t xml:space="preserve"> </w:t>
      </w:r>
      <w:r w:rsidR="009276CF">
        <w:rPr>
          <w:rFonts w:cs="Times New Roman"/>
        </w:rPr>
        <w:t xml:space="preserve">ne gyvybės draudimo rinką apibūdinančius </w:t>
      </w:r>
      <w:r w:rsidR="005E2B64" w:rsidRPr="00344783">
        <w:rPr>
          <w:rFonts w:cs="Times New Roman"/>
        </w:rPr>
        <w:t xml:space="preserve">rodiklius </w:t>
      </w:r>
      <w:r w:rsidR="005E2B64">
        <w:rPr>
          <w:rFonts w:cs="Times New Roman"/>
        </w:rPr>
        <w:t xml:space="preserve">galima suskirstyti </w:t>
      </w:r>
      <w:r w:rsidR="005E2B64" w:rsidRPr="00344783">
        <w:rPr>
          <w:rFonts w:cs="Times New Roman"/>
        </w:rPr>
        <w:t>į</w:t>
      </w:r>
      <w:r w:rsidR="005E2B64">
        <w:rPr>
          <w:rFonts w:cs="Times New Roman"/>
        </w:rPr>
        <w:t xml:space="preserve"> tiesioginius ir netiesioginius. Pagal šį skirstymą</w:t>
      </w:r>
      <w:r>
        <w:rPr>
          <w:rFonts w:cs="Times New Roman"/>
        </w:rPr>
        <w:t xml:space="preserve"> </w:t>
      </w:r>
      <w:r w:rsidR="009276CF">
        <w:rPr>
          <w:rFonts w:cs="Times New Roman"/>
        </w:rPr>
        <w:t xml:space="preserve">ne </w:t>
      </w:r>
      <w:r>
        <w:rPr>
          <w:rFonts w:cs="Times New Roman"/>
        </w:rPr>
        <w:t xml:space="preserve">gyvybės draudimo </w:t>
      </w:r>
      <w:r w:rsidR="009276CF">
        <w:rPr>
          <w:rFonts w:cs="Times New Roman"/>
        </w:rPr>
        <w:t xml:space="preserve">šakos </w:t>
      </w:r>
      <w:r>
        <w:rPr>
          <w:rFonts w:cs="Times New Roman"/>
        </w:rPr>
        <w:t xml:space="preserve">situacijos vertinimas atliekamas analizuojant toliau pateiktus bei </w:t>
      </w:r>
      <w:r w:rsidR="005E2B64">
        <w:rPr>
          <w:rFonts w:cs="Times New Roman"/>
        </w:rPr>
        <w:t xml:space="preserve">aprašytus </w:t>
      </w:r>
      <w:r>
        <w:rPr>
          <w:rFonts w:cs="Times New Roman"/>
        </w:rPr>
        <w:t>rodiklius.</w:t>
      </w:r>
    </w:p>
    <w:p w:rsidR="00D16328" w:rsidRPr="00A40AB4" w:rsidRDefault="00D16328" w:rsidP="00A0083B">
      <w:pPr>
        <w:ind w:firstLine="567"/>
        <w:jc w:val="both"/>
        <w:rPr>
          <w:rFonts w:cs="Times New Roman"/>
        </w:rPr>
      </w:pPr>
    </w:p>
    <w:p w:rsidR="00D16328" w:rsidRPr="00A40AB4" w:rsidRDefault="00D16328" w:rsidP="00A0083B">
      <w:pPr>
        <w:ind w:firstLine="567"/>
        <w:jc w:val="both"/>
        <w:rPr>
          <w:rFonts w:cs="Times New Roman"/>
          <w:b/>
        </w:rPr>
      </w:pPr>
      <w:bookmarkStart w:id="142" w:name="OLE_LINK6"/>
      <w:bookmarkStart w:id="143" w:name="OLE_LINK7"/>
      <w:r w:rsidRPr="00A40AB4">
        <w:rPr>
          <w:rFonts w:cs="Times New Roman"/>
          <w:b/>
        </w:rPr>
        <w:t>Tiesioginiai draudimo rinkos</w:t>
      </w:r>
      <w:r w:rsidR="00EF7B91">
        <w:rPr>
          <w:rFonts w:cs="Times New Roman"/>
          <w:b/>
        </w:rPr>
        <w:t xml:space="preserve"> išsivystymo</w:t>
      </w:r>
      <w:r w:rsidRPr="00A40AB4">
        <w:rPr>
          <w:rFonts w:cs="Times New Roman"/>
          <w:b/>
        </w:rPr>
        <w:t xml:space="preserve"> rodikliai</w:t>
      </w:r>
    </w:p>
    <w:bookmarkEnd w:id="142"/>
    <w:bookmarkEnd w:id="143"/>
    <w:p w:rsidR="00376B15" w:rsidRPr="00A40AB4" w:rsidRDefault="00D67F13" w:rsidP="008502FA">
      <w:pPr>
        <w:pStyle w:val="ListParagraph"/>
        <w:numPr>
          <w:ilvl w:val="0"/>
          <w:numId w:val="26"/>
        </w:numPr>
        <w:ind w:left="993"/>
        <w:jc w:val="both"/>
      </w:pPr>
      <w:r w:rsidRPr="00A40AB4">
        <w:rPr>
          <w:u w:val="single"/>
        </w:rPr>
        <w:t>Gyvybės ir ne gyvybės d</w:t>
      </w:r>
      <w:r w:rsidR="00E7314D" w:rsidRPr="00A40AB4">
        <w:rPr>
          <w:u w:val="single"/>
        </w:rPr>
        <w:t xml:space="preserve">raudimo šakų </w:t>
      </w:r>
      <w:r w:rsidRPr="00A40AB4">
        <w:rPr>
          <w:u w:val="single"/>
        </w:rPr>
        <w:t>pasiskirstymas rinkoje</w:t>
      </w:r>
      <w:r w:rsidRPr="00A40AB4">
        <w:t>, t.y. kokia rinkos struktūra, kokią dalį visos draudimo rinkos užima viena, ir kokią dalį kita šaka.</w:t>
      </w:r>
      <w:r w:rsidR="00E67CE6" w:rsidRPr="00A40AB4">
        <w:t xml:space="preserve"> Paprastai aukšto ekonominio išsivystymo šalyse gyvybės draudimo šaka užima didesnę dalį, tad laikoma, jog kuo didesnę dalį rinkoje užima pastaroji šaka, tuo labiau tos šalies draudimo rinka išsivysčiusi.</w:t>
      </w:r>
    </w:p>
    <w:p w:rsidR="008102FF" w:rsidRPr="00A40AB4" w:rsidRDefault="00E7314D" w:rsidP="008502FA">
      <w:pPr>
        <w:pStyle w:val="ListParagraph"/>
        <w:numPr>
          <w:ilvl w:val="0"/>
          <w:numId w:val="26"/>
        </w:numPr>
        <w:ind w:left="993"/>
        <w:jc w:val="both"/>
      </w:pPr>
      <w:r w:rsidRPr="00A40AB4">
        <w:rPr>
          <w:u w:val="single"/>
        </w:rPr>
        <w:t xml:space="preserve">Draudimo įmokų </w:t>
      </w:r>
      <w:r w:rsidR="00D67F13" w:rsidRPr="00A40AB4">
        <w:rPr>
          <w:u w:val="single"/>
        </w:rPr>
        <w:t>(premijų) dinamika.</w:t>
      </w:r>
      <w:r w:rsidR="00D67F13" w:rsidRPr="00A40AB4">
        <w:t xml:space="preserve"> </w:t>
      </w:r>
      <w:r w:rsidR="008F70A8">
        <w:t xml:space="preserve">Lietuvos draudimo įstatymas </w:t>
      </w:r>
      <w:r w:rsidR="005151A2">
        <w:t>draudimo įmokos</w:t>
      </w:r>
      <w:r w:rsidR="008F70A8">
        <w:t xml:space="preserve"> sąvoką apibrėžia taip: </w:t>
      </w:r>
      <w:r w:rsidR="005151A2">
        <w:t>tai „</w:t>
      </w:r>
      <w:r w:rsidR="008F70A8">
        <w:t xml:space="preserve">draudimo sutartyje nurodyta pinigų suma, kurią draudėjas draudimo sutarties sąlygomis moka draudikui už draudimo apsaugą“. Draudimo įmoka </w:t>
      </w:r>
      <w:r w:rsidR="00B338AD" w:rsidRPr="00A40AB4">
        <w:t>gali būti vienkartinė arba periodinė. Draudimo įmokos</w:t>
      </w:r>
      <w:r w:rsidR="00E85287">
        <w:t xml:space="preserve"> literatūroje</w:t>
      </w:r>
      <w:r w:rsidR="00B338AD" w:rsidRPr="00A40AB4">
        <w:t xml:space="preserve"> skirstomos </w:t>
      </w:r>
      <w:r w:rsidR="008102FF" w:rsidRPr="00A40AB4">
        <w:t xml:space="preserve">į pasirašytas, </w:t>
      </w:r>
      <w:r w:rsidR="008102FF" w:rsidRPr="00A40AB4">
        <w:lastRenderedPageBreak/>
        <w:t>gautas ir uždirbtas draudimo įmokas.</w:t>
      </w:r>
      <w:bookmarkStart w:id="144" w:name="OLE_LINK3"/>
      <w:r w:rsidR="008102FF" w:rsidRPr="00A40AB4">
        <w:t xml:space="preserve"> </w:t>
      </w:r>
      <w:r w:rsidR="001F6EDE">
        <w:t xml:space="preserve">Tradiciškai mokslinėje literatūroje nagrinėjamos </w:t>
      </w:r>
      <w:r w:rsidR="00E85287">
        <w:t xml:space="preserve">ir magistro baigiamajame darbe analizuojamos </w:t>
      </w:r>
      <w:r w:rsidR="001F6EDE">
        <w:t>pasirašytos draudimo įmokos</w:t>
      </w:r>
      <w:r w:rsidR="00E85287">
        <w:t xml:space="preserve"> (Lietuvos draudimo įstatyme pateiktas būtent pasirašytų draudimo įmokų apibrėžimas)</w:t>
      </w:r>
      <w:r w:rsidR="001F6EDE">
        <w:t xml:space="preserve">. </w:t>
      </w:r>
      <w:r w:rsidR="00E85287" w:rsidRPr="00A40AB4">
        <w:t>Ši</w:t>
      </w:r>
      <w:r w:rsidR="00E85287">
        <w:t>os įmokos</w:t>
      </w:r>
      <w:r w:rsidR="00E85287" w:rsidRPr="00A40AB4">
        <w:t xml:space="preserve"> gali nesutapti </w:t>
      </w:r>
      <w:r w:rsidR="00E85287">
        <w:t>su realiai gautomis</w:t>
      </w:r>
      <w:r w:rsidR="00E85287" w:rsidRPr="00A40AB4">
        <w:t>, kadangi įmokos gali būti mokamos ne iš karto, o dalimis</w:t>
      </w:r>
      <w:r w:rsidR="00E85287">
        <w:t>; sutarties galiojimo metu draudėjas gali nutraukti sutartį ir t.t</w:t>
      </w:r>
      <w:r w:rsidR="00E85287" w:rsidRPr="00A40AB4">
        <w:t>.</w:t>
      </w:r>
      <w:r w:rsidR="00E85287">
        <w:t xml:space="preserve"> </w:t>
      </w:r>
      <w:r w:rsidR="001F6EDE">
        <w:t>Magistranto nuomone, pasirašytos įmokos labiausiai atskleidžia draudimo rinkos aktyvumą, kadangi apima visas sudarytas sutartis, eliminuojami trumpalaikius svyravimus sukelti bei realią draudimo rinkos padėtį galintys iškreipti veiksniai (pvz. įmonė gali tapti nemoki ir nutraukti sutartis, nors tai ir nesąlygoja realaus draudimo paklausos sumažėjimo rinkoje ir pan.).</w:t>
      </w:r>
    </w:p>
    <w:bookmarkEnd w:id="144"/>
    <w:p w:rsidR="00DD5B34" w:rsidRDefault="007F6063" w:rsidP="008502FA">
      <w:pPr>
        <w:pStyle w:val="ListParagraph"/>
        <w:numPr>
          <w:ilvl w:val="0"/>
          <w:numId w:val="26"/>
        </w:numPr>
        <w:ind w:left="993"/>
        <w:jc w:val="both"/>
      </w:pPr>
      <w:r w:rsidRPr="00DD5B34">
        <w:rPr>
          <w:u w:val="single"/>
        </w:rPr>
        <w:t>Draudimo išmokų dinamika.</w:t>
      </w:r>
      <w:r w:rsidRPr="00A40AB4">
        <w:t xml:space="preserve"> </w:t>
      </w:r>
      <w:r w:rsidR="002D5C2A">
        <w:t xml:space="preserve">Pagal Lietuvos draudimo įstatymą „draudimo išmoka – pinigų suma, kurią įvykus draudžiamajam įvykiui draudikas privalo išmokėti draudėjui ar kitam asmeniui, turinčiam teisę į draudimo išmoką, arba kita draudimo sutartyje nustatyta išmokos mokėjimo forma.“ </w:t>
      </w:r>
      <w:r w:rsidR="00114395" w:rsidRPr="00A40AB4">
        <w:t>Šis rodiklis parodo, kiek draudėjų patirtų nuostolių dengiama draudikų turtu (</w:t>
      </w:r>
      <w:r w:rsidR="00DD5B34">
        <w:t>dažniausiai draudimo</w:t>
      </w:r>
      <w:r w:rsidR="00114395" w:rsidRPr="00A40AB4">
        <w:t xml:space="preserve"> įmokomis) ir paprastai </w:t>
      </w:r>
      <w:r w:rsidR="00DD5B34">
        <w:t>glaudžiai susijęs su įmokomis.</w:t>
      </w:r>
    </w:p>
    <w:p w:rsidR="00E7314D" w:rsidRPr="00A40AB4" w:rsidRDefault="00E7314D" w:rsidP="008502FA">
      <w:pPr>
        <w:pStyle w:val="ListParagraph"/>
        <w:numPr>
          <w:ilvl w:val="0"/>
          <w:numId w:val="26"/>
        </w:numPr>
        <w:ind w:left="993"/>
        <w:jc w:val="both"/>
      </w:pPr>
      <w:r w:rsidRPr="00E2291B">
        <w:rPr>
          <w:u w:val="single"/>
        </w:rPr>
        <w:t>Su</w:t>
      </w:r>
      <w:r w:rsidR="00B01CC0" w:rsidRPr="00E2291B">
        <w:rPr>
          <w:u w:val="single"/>
        </w:rPr>
        <w:t>darytų draudimo sutarčių kiekis.</w:t>
      </w:r>
      <w:r w:rsidR="00B01CC0" w:rsidRPr="00A40AB4">
        <w:t xml:space="preserve"> </w:t>
      </w:r>
      <w:r w:rsidR="00E8478B">
        <w:t>CK (</w:t>
      </w:r>
      <w:r w:rsidR="00E8478B" w:rsidRPr="00E2291B">
        <w:rPr>
          <w:lang w:val="en-US"/>
        </w:rPr>
        <w:t>6.987 str.)</w:t>
      </w:r>
      <w:r w:rsidR="00E8478B">
        <w:t xml:space="preserve"> pateikia tokią draudimo sutarties sampratą:</w:t>
      </w:r>
      <w:r w:rsidR="00E8478B" w:rsidRPr="00E8478B">
        <w:t xml:space="preserve"> </w:t>
      </w:r>
      <w:r w:rsidR="00E8478B">
        <w:t>„</w:t>
      </w:r>
      <w:r w:rsidR="00E8478B" w:rsidRPr="00E2291B">
        <w:rPr>
          <w:i/>
        </w:rPr>
        <w:t>Draudimo sutartimi viena šalis (draudikas) įsipareigoja už sutartyje nustatytą draudimo įmoką (premiją) sumokėti kitai šaliai (draudėjui) arba trečiajam asmeniui, kurio naudai sudaryta sutartis, įstatyme ar draudimo sutartyje nustatytą draudimo išmoką, apskaičiuotą įstatyme ar draudimo sutartyje nustatyta tvarka, jeigu įvyksta įstatyme ar draudimo sutartyje nustatytas draudiminis įvykis.</w:t>
      </w:r>
      <w:r w:rsidR="00E8478B" w:rsidRPr="00E8478B">
        <w:t>“</w:t>
      </w:r>
      <w:r w:rsidR="00E8478B">
        <w:t xml:space="preserve"> </w:t>
      </w:r>
      <w:r w:rsidR="005548C6">
        <w:t xml:space="preserve">Draudimo sutarties forma turi būti rašytinė – ją patvirtina draudimo liudijimas. (CK, </w:t>
      </w:r>
      <w:r w:rsidR="005548C6" w:rsidRPr="00E2291B">
        <w:rPr>
          <w:lang w:val="en-US"/>
        </w:rPr>
        <w:t>6.989 str.).</w:t>
      </w:r>
      <w:r w:rsidR="00E2291B" w:rsidRPr="00E2291B">
        <w:rPr>
          <w:lang w:val="en-US"/>
        </w:rPr>
        <w:t xml:space="preserve"> </w:t>
      </w:r>
      <w:r w:rsidR="006132F3" w:rsidRPr="00A40AB4">
        <w:t xml:space="preserve">Kaip ir </w:t>
      </w:r>
      <w:r w:rsidR="00E2291B">
        <w:t xml:space="preserve">pasirašytos </w:t>
      </w:r>
      <w:r w:rsidR="006132F3" w:rsidRPr="00A40AB4">
        <w:t xml:space="preserve">draudimo įmokos, sutarčių kiekis yra vienas iš draudimo rinkos aktyvumą atskleidžiančių </w:t>
      </w:r>
      <w:r w:rsidR="00E2291B">
        <w:t>rodiklių, tad šį rodiklį svarbu įtraukti norint įvertinti draudimo rinkos situaciją bei plėtros veiksnius.</w:t>
      </w:r>
    </w:p>
    <w:p w:rsidR="00D16328" w:rsidRPr="00A40AB4" w:rsidRDefault="00D16328" w:rsidP="0004470B">
      <w:pPr>
        <w:ind w:firstLine="567"/>
        <w:jc w:val="both"/>
        <w:rPr>
          <w:rFonts w:cs="Times New Roman"/>
        </w:rPr>
      </w:pPr>
    </w:p>
    <w:p w:rsidR="00D16328" w:rsidRPr="00A40AB4" w:rsidRDefault="00D16328" w:rsidP="00D16328">
      <w:pPr>
        <w:ind w:firstLine="567"/>
        <w:jc w:val="both"/>
        <w:rPr>
          <w:rFonts w:cs="Times New Roman"/>
          <w:b/>
        </w:rPr>
      </w:pPr>
      <w:r w:rsidRPr="00A40AB4">
        <w:rPr>
          <w:rFonts w:cs="Times New Roman"/>
          <w:b/>
        </w:rPr>
        <w:t xml:space="preserve">Netiesioginiai draudimo rinkos </w:t>
      </w:r>
      <w:r w:rsidR="00EF7B91">
        <w:rPr>
          <w:rFonts w:cs="Times New Roman"/>
          <w:b/>
        </w:rPr>
        <w:t xml:space="preserve">išsivystymo </w:t>
      </w:r>
      <w:r w:rsidRPr="00A40AB4">
        <w:rPr>
          <w:rFonts w:cs="Times New Roman"/>
          <w:b/>
        </w:rPr>
        <w:t>rodikliai</w:t>
      </w:r>
    </w:p>
    <w:p w:rsidR="0067713E" w:rsidRPr="00A40AB4" w:rsidRDefault="0067713E" w:rsidP="008502FA">
      <w:pPr>
        <w:pStyle w:val="ListParagraph"/>
        <w:numPr>
          <w:ilvl w:val="0"/>
          <w:numId w:val="27"/>
        </w:numPr>
        <w:ind w:left="993"/>
        <w:jc w:val="both"/>
        <w:rPr>
          <w:rFonts w:cs="Times New Roman"/>
        </w:rPr>
      </w:pPr>
      <w:r w:rsidRPr="00D82B2E">
        <w:rPr>
          <w:rFonts w:cs="Times New Roman"/>
          <w:u w:val="single"/>
        </w:rPr>
        <w:t>Draudimo tankis</w:t>
      </w:r>
      <w:r w:rsidRPr="00D82B2E">
        <w:rPr>
          <w:rFonts w:cs="Times New Roman"/>
        </w:rPr>
        <w:t xml:space="preserve"> – </w:t>
      </w:r>
      <w:r w:rsidR="00922FB9" w:rsidRPr="00D82B2E">
        <w:rPr>
          <w:rFonts w:cs="Times New Roman"/>
        </w:rPr>
        <w:t>parodo pasirašytų draudimo bruto įmokų dalį, tenkančią vienam šalies gyventojui</w:t>
      </w:r>
      <w:r w:rsidR="00D82B2E" w:rsidRPr="00D82B2E">
        <w:rPr>
          <w:rFonts w:cs="Times New Roman"/>
        </w:rPr>
        <w:t>, jis atskleidžia draudimo potencialą</w:t>
      </w:r>
      <w:r w:rsidR="00922FB9" w:rsidRPr="00D82B2E">
        <w:rPr>
          <w:rFonts w:cs="Times New Roman"/>
        </w:rPr>
        <w:t xml:space="preserve"> (</w:t>
      </w:r>
      <w:r w:rsidR="00D82B2E" w:rsidRPr="00D82B2E">
        <w:rPr>
          <w:rFonts w:cs="Times New Roman"/>
        </w:rPr>
        <w:t>Aidukienė ir Simanavičienė</w:t>
      </w:r>
      <w:r w:rsidR="00922FB9" w:rsidRPr="00D82B2E">
        <w:rPr>
          <w:rFonts w:cs="Times New Roman"/>
        </w:rPr>
        <w:t>, 2010)</w:t>
      </w:r>
      <w:r w:rsidR="00D82B2E" w:rsidRPr="00D82B2E">
        <w:rPr>
          <w:rFonts w:cs="Times New Roman"/>
        </w:rPr>
        <w:t>. Draudimo tankis</w:t>
      </w:r>
      <w:r w:rsidR="00004B5A" w:rsidRPr="00D82B2E">
        <w:rPr>
          <w:rFonts w:cs="Times New Roman"/>
        </w:rPr>
        <w:t xml:space="preserve"> </w:t>
      </w:r>
      <w:r w:rsidR="00004B5A" w:rsidRPr="00A40AB4">
        <w:rPr>
          <w:rFonts w:cs="Times New Roman"/>
        </w:rPr>
        <w:t>apskaičiuojamas pasirašytas bruto įmokas padalinus iš visos šalies populiacijos. Vis dėlto,</w:t>
      </w:r>
      <w:r w:rsidR="0042585C">
        <w:rPr>
          <w:rFonts w:cs="Times New Roman"/>
        </w:rPr>
        <w:t xml:space="preserve"> anot Lezgovko ir Lastausko</w:t>
      </w:r>
      <w:r w:rsidR="0042585C" w:rsidRPr="00A40AB4">
        <w:rPr>
          <w:rFonts w:cs="Times New Roman"/>
        </w:rPr>
        <w:t xml:space="preserve"> </w:t>
      </w:r>
      <w:r w:rsidR="0042585C">
        <w:rPr>
          <w:rFonts w:cs="Times New Roman"/>
        </w:rPr>
        <w:t>(</w:t>
      </w:r>
      <w:r w:rsidR="0042585C" w:rsidRPr="00A40AB4">
        <w:rPr>
          <w:rFonts w:cs="Times New Roman"/>
          <w:lang w:val="en-US"/>
        </w:rPr>
        <w:t>2008</w:t>
      </w:r>
      <w:r w:rsidR="0042585C">
        <w:rPr>
          <w:rFonts w:cs="Times New Roman"/>
          <w:lang w:val="en-US"/>
        </w:rPr>
        <w:t>),</w:t>
      </w:r>
      <w:r w:rsidR="00004B5A" w:rsidRPr="00A40AB4">
        <w:rPr>
          <w:rFonts w:cs="Times New Roman"/>
        </w:rPr>
        <w:t xml:space="preserve"> </w:t>
      </w:r>
      <w:r w:rsidR="0042585C">
        <w:rPr>
          <w:rFonts w:cs="Times New Roman"/>
        </w:rPr>
        <w:t xml:space="preserve">šis </w:t>
      </w:r>
      <w:r w:rsidR="00004B5A" w:rsidRPr="00A40AB4">
        <w:rPr>
          <w:rFonts w:cs="Times New Roman"/>
        </w:rPr>
        <w:t>rodiklis turėtų būti vertinamas atsargiai, kadangi draudimo polisus gali nupirkti kitų šalių piliečiai, pasitaiko esminių šalių išsivystymo bei gyvenimo</w:t>
      </w:r>
      <w:r w:rsidR="0042585C">
        <w:rPr>
          <w:rFonts w:cs="Times New Roman"/>
        </w:rPr>
        <w:t xml:space="preserve"> lygio (tad ir kaštų) skirtumų.</w:t>
      </w:r>
    </w:p>
    <w:p w:rsidR="00370479" w:rsidRPr="00A40AB4" w:rsidRDefault="0067713E" w:rsidP="008502FA">
      <w:pPr>
        <w:pStyle w:val="ListParagraph"/>
        <w:numPr>
          <w:ilvl w:val="0"/>
          <w:numId w:val="27"/>
        </w:numPr>
        <w:ind w:left="993"/>
        <w:jc w:val="both"/>
        <w:rPr>
          <w:rFonts w:cs="Times New Roman"/>
        </w:rPr>
      </w:pPr>
      <w:r w:rsidRPr="00BA013A">
        <w:rPr>
          <w:rFonts w:cs="Times New Roman"/>
          <w:u w:val="single"/>
        </w:rPr>
        <w:t>Draudimo prasiskverbimas (skvarba)</w:t>
      </w:r>
      <w:r w:rsidRPr="00BA013A">
        <w:rPr>
          <w:rFonts w:cs="Times New Roman"/>
        </w:rPr>
        <w:t xml:space="preserve"> – tai per ataskaitinį laikotarpį pasirašytų draudimo bruto įmokų bei tos šalies BVP santykis.</w:t>
      </w:r>
      <w:r w:rsidR="00A528D6" w:rsidRPr="00BA013A">
        <w:rPr>
          <w:rFonts w:cs="Times New Roman"/>
        </w:rPr>
        <w:t xml:space="preserve"> </w:t>
      </w:r>
      <w:r w:rsidR="00BA013A" w:rsidRPr="00BA013A">
        <w:rPr>
          <w:rFonts w:cs="Times New Roman"/>
        </w:rPr>
        <w:t>Šis rodiklis parodo draudimo sektoriaus svarbą bei vietą šalies ekonomikos sistemoje (Aidukienė ir Simanavičienė, 2010). Lezgovko ir Lastauskas (2008) tvirtina, jog š</w:t>
      </w:r>
      <w:r w:rsidR="00A528D6" w:rsidRPr="00BA013A">
        <w:rPr>
          <w:rFonts w:cs="Times New Roman"/>
        </w:rPr>
        <w:t>io rodiklio dėka galima palyginti draudimo vei</w:t>
      </w:r>
      <w:r w:rsidR="00A528D6" w:rsidRPr="00A40AB4">
        <w:rPr>
          <w:rFonts w:cs="Times New Roman"/>
        </w:rPr>
        <w:t xml:space="preserve">klos skvarbą </w:t>
      </w:r>
      <w:r w:rsidR="00A528D6" w:rsidRPr="00A40AB4">
        <w:rPr>
          <w:rFonts w:cs="Times New Roman"/>
        </w:rPr>
        <w:lastRenderedPageBreak/>
        <w:t xml:space="preserve">visoje šalies ekonomikoje, </w:t>
      </w:r>
      <w:r w:rsidR="00BA013A">
        <w:rPr>
          <w:rFonts w:cs="Times New Roman"/>
        </w:rPr>
        <w:t xml:space="preserve">jis </w:t>
      </w:r>
      <w:r w:rsidR="00A528D6" w:rsidRPr="00A40AB4">
        <w:rPr>
          <w:rFonts w:cs="Times New Roman"/>
        </w:rPr>
        <w:t>padeda stebėti draudimo rinkos plėtrą, tačiau neparodo drau</w:t>
      </w:r>
      <w:r w:rsidR="00BA013A">
        <w:rPr>
          <w:rFonts w:cs="Times New Roman"/>
        </w:rPr>
        <w:t>dimo įtakos BVP kitimui.</w:t>
      </w:r>
    </w:p>
    <w:p w:rsidR="00A528D6" w:rsidRPr="00A40AB4" w:rsidRDefault="009331A3" w:rsidP="008502FA">
      <w:pPr>
        <w:pStyle w:val="ListParagraph"/>
        <w:numPr>
          <w:ilvl w:val="0"/>
          <w:numId w:val="27"/>
        </w:numPr>
        <w:ind w:left="993"/>
        <w:jc w:val="both"/>
        <w:rPr>
          <w:rFonts w:cs="Times New Roman"/>
        </w:rPr>
      </w:pPr>
      <w:r w:rsidRPr="00A40AB4">
        <w:rPr>
          <w:rFonts w:cs="Times New Roman"/>
          <w:u w:val="single"/>
        </w:rPr>
        <w:t>Draudimo išsiplėtimas</w:t>
      </w:r>
      <w:r w:rsidRPr="00A40AB4">
        <w:rPr>
          <w:rFonts w:cs="Times New Roman"/>
          <w:i/>
        </w:rPr>
        <w:t xml:space="preserve"> </w:t>
      </w:r>
      <w:r w:rsidRPr="00A40AB4">
        <w:rPr>
          <w:rFonts w:cs="Times New Roman"/>
        </w:rPr>
        <w:t>– tai per ataskaitinį laikotarpį sudarytų draudimo sutarčių bei šalyje esančių gyventojų skaičiaus santykis.</w:t>
      </w:r>
      <w:r w:rsidR="00452BAB" w:rsidRPr="00A40AB4">
        <w:rPr>
          <w:rFonts w:cs="Times New Roman"/>
        </w:rPr>
        <w:t xml:space="preserve"> Visgi Lezgovko ir Lastauskas (</w:t>
      </w:r>
      <w:r w:rsidR="00452BAB" w:rsidRPr="00A40AB4">
        <w:rPr>
          <w:rFonts w:cs="Times New Roman"/>
          <w:lang w:val="en-US"/>
        </w:rPr>
        <w:t xml:space="preserve">2008) </w:t>
      </w:r>
      <w:r w:rsidR="00452BAB" w:rsidRPr="00A40AB4">
        <w:rPr>
          <w:rFonts w:cs="Times New Roman"/>
        </w:rPr>
        <w:t>pabrėžia, jog šis rodiklis nors ir turėtų parodyti draudimo rinkos išsivystymą, kyla abejonių, ar draudimo sutartys gali apibūdinti rinką (t.y. neatspindimos vidutinės draudimo sumos, įmokų santykiai pajamose). Autoriai teigia, jog norint panaudoti šį rodiklį reikia išmanyti tos šalies ypatybes.</w:t>
      </w:r>
    </w:p>
    <w:p w:rsidR="008D4E0F" w:rsidRPr="00A40AB4" w:rsidRDefault="008D4E0F" w:rsidP="008502FA">
      <w:pPr>
        <w:pStyle w:val="ListParagraph"/>
        <w:numPr>
          <w:ilvl w:val="0"/>
          <w:numId w:val="27"/>
        </w:numPr>
        <w:ind w:left="993"/>
        <w:jc w:val="both"/>
        <w:rPr>
          <w:rFonts w:cs="Times New Roman"/>
        </w:rPr>
      </w:pPr>
      <w:r w:rsidRPr="00A40AB4">
        <w:rPr>
          <w:rFonts w:cs="Times New Roman"/>
          <w:u w:val="single"/>
        </w:rPr>
        <w:t>Koncentracija</w:t>
      </w:r>
      <w:r w:rsidRPr="00A40AB4">
        <w:rPr>
          <w:rFonts w:cs="Times New Roman"/>
          <w:i/>
        </w:rPr>
        <w:t xml:space="preserve"> </w:t>
      </w:r>
      <w:r w:rsidRPr="00A40AB4">
        <w:rPr>
          <w:rFonts w:cs="Times New Roman"/>
        </w:rPr>
        <w:t xml:space="preserve">– tai svarbiausias rinkos struktūrą parodantis rodiklis (Lezgovko ir Lastauskas, </w:t>
      </w:r>
      <w:r w:rsidRPr="00A40AB4">
        <w:rPr>
          <w:rFonts w:cs="Times New Roman"/>
          <w:lang w:val="en-US"/>
        </w:rPr>
        <w:t xml:space="preserve">2008). </w:t>
      </w:r>
      <w:r w:rsidRPr="00A40AB4">
        <w:rPr>
          <w:rFonts w:cs="Times New Roman"/>
        </w:rPr>
        <w:t>Anot autorių, draudimo įmonių susijungimai yra gana populiari praktika Europoje, padedanti pasiekti masto ekonomiją bei išsilaikyti rinkoje. Vis dėlto, remiantis struktūros-elgesio-pasirodymo hipoteze autoriai tikina, jog koncentracija neigiamai atsiliepia konkurencijai, tampa argumentu kovoti su monopolija. Koncentracijos rodiklis nusakomas pasirinktų didžiausių draudimo bendrovių užimamos rinkos dalies suma.</w:t>
      </w:r>
    </w:p>
    <w:p w:rsidR="00344E36" w:rsidRPr="00A40AB4" w:rsidRDefault="00344E36" w:rsidP="007F34FE">
      <w:pPr>
        <w:ind w:firstLine="567"/>
        <w:jc w:val="both"/>
        <w:rPr>
          <w:rFonts w:cs="Times New Roman"/>
        </w:rPr>
      </w:pPr>
    </w:p>
    <w:p w:rsidR="00344E36" w:rsidRPr="00A40AB4" w:rsidRDefault="00D80721" w:rsidP="00344E36">
      <w:pPr>
        <w:ind w:firstLine="567"/>
        <w:jc w:val="both"/>
        <w:rPr>
          <w:rFonts w:cs="Times New Roman"/>
          <w:b/>
        </w:rPr>
      </w:pPr>
      <w:r w:rsidRPr="00A40AB4">
        <w:rPr>
          <w:rFonts w:cs="Times New Roman"/>
          <w:b/>
        </w:rPr>
        <w:t>F</w:t>
      </w:r>
      <w:r w:rsidR="00344E36" w:rsidRPr="00A40AB4">
        <w:rPr>
          <w:rFonts w:cs="Times New Roman"/>
          <w:b/>
        </w:rPr>
        <w:t>inansiniai rodikliai</w:t>
      </w:r>
    </w:p>
    <w:p w:rsidR="00491C4E" w:rsidRPr="00A40AB4" w:rsidRDefault="00D80721" w:rsidP="00491C4E">
      <w:pPr>
        <w:ind w:firstLine="567"/>
        <w:jc w:val="both"/>
        <w:rPr>
          <w:rFonts w:cs="Times New Roman"/>
        </w:rPr>
      </w:pPr>
      <w:r w:rsidRPr="00A40AB4">
        <w:rPr>
          <w:rFonts w:cs="Times New Roman"/>
        </w:rPr>
        <w:t>F</w:t>
      </w:r>
      <w:r w:rsidR="00362716" w:rsidRPr="00A40AB4">
        <w:rPr>
          <w:rFonts w:cs="Times New Roman"/>
        </w:rPr>
        <w:t>inansinė analizė apibrėžiama kaip „visapusis, objektyvus ir nuoseklus įmonės finansinės ir kitų su ja susijusių veiklų tyrimas siekiant padėti įmonės vadovybei priimti teisingus valdymo sprendimus ir įgyvendinti numatytus tikslus</w:t>
      </w:r>
      <w:r w:rsidR="000D36EA" w:rsidRPr="00A40AB4">
        <w:rPr>
          <w:rFonts w:cs="Times New Roman"/>
        </w:rPr>
        <w:t>“</w:t>
      </w:r>
      <w:r w:rsidR="00362716" w:rsidRPr="00A40AB4">
        <w:rPr>
          <w:rFonts w:cs="Times New Roman"/>
        </w:rPr>
        <w:t xml:space="preserve"> (Mackevičius ir kt., 2011, p. 8).</w:t>
      </w:r>
      <w:r w:rsidR="00554512" w:rsidRPr="00A40AB4">
        <w:rPr>
          <w:rFonts w:cs="Times New Roman"/>
        </w:rPr>
        <w:t xml:space="preserve">Finansinėje analizėje skaičiuojami absoliutūs bei santykiniai finansiniai rodikliai. </w:t>
      </w:r>
      <w:r w:rsidR="00C349DF" w:rsidRPr="00A40AB4">
        <w:rPr>
          <w:rFonts w:cs="Times New Roman"/>
        </w:rPr>
        <w:t>Pasak Mackevičiaus ir kt. (</w:t>
      </w:r>
      <w:r w:rsidR="00C349DF" w:rsidRPr="00A40AB4">
        <w:rPr>
          <w:rFonts w:cs="Times New Roman"/>
          <w:lang w:val="en-US"/>
        </w:rPr>
        <w:t>2011)</w:t>
      </w:r>
      <w:r w:rsidR="00C349DF" w:rsidRPr="00A40AB4">
        <w:rPr>
          <w:rFonts w:cs="Times New Roman"/>
        </w:rPr>
        <w:t>, a</w:t>
      </w:r>
      <w:r w:rsidR="00554512" w:rsidRPr="00A40AB4">
        <w:rPr>
          <w:rFonts w:cs="Times New Roman"/>
        </w:rPr>
        <w:t>bsoliutūs finansiniai rodikliai remiantis buhalterinės apskaitos duomenimis yra apskaičiuoti vertine išraiška ir pateikiami finansinėse ataskaitose.</w:t>
      </w:r>
      <w:r w:rsidR="0057700C" w:rsidRPr="00A40AB4">
        <w:rPr>
          <w:rFonts w:cs="Times New Roman"/>
        </w:rPr>
        <w:t xml:space="preserve"> Autorių kolektyvas taip pat tvirtina, jog santykiniai rodikliai </w:t>
      </w:r>
      <w:r w:rsidRPr="00A40AB4">
        <w:rPr>
          <w:rFonts w:cs="Times New Roman"/>
        </w:rPr>
        <w:t xml:space="preserve">padeda atspindėti </w:t>
      </w:r>
      <w:r w:rsidR="0057700C" w:rsidRPr="00A40AB4">
        <w:rPr>
          <w:rFonts w:cs="Times New Roman"/>
        </w:rPr>
        <w:t xml:space="preserve">finansinę tiriamos įmonės situaciją daug akivaizdžiau ir reikšmingiau, kadangi </w:t>
      </w:r>
      <w:r w:rsidRPr="00A40AB4">
        <w:rPr>
          <w:rFonts w:cs="Times New Roman"/>
        </w:rPr>
        <w:t xml:space="preserve">jie </w:t>
      </w:r>
      <w:r w:rsidR="0057700C" w:rsidRPr="00A40AB4">
        <w:rPr>
          <w:rFonts w:cs="Times New Roman"/>
        </w:rPr>
        <w:t xml:space="preserve">skaičiuojami lyginant du ar daugiau </w:t>
      </w:r>
      <w:r w:rsidRPr="00A40AB4">
        <w:rPr>
          <w:rFonts w:cs="Times New Roman"/>
        </w:rPr>
        <w:t xml:space="preserve">absoliučių </w:t>
      </w:r>
      <w:r w:rsidR="0057700C" w:rsidRPr="00A40AB4">
        <w:rPr>
          <w:rFonts w:cs="Times New Roman"/>
        </w:rPr>
        <w:t>rodiklių.</w:t>
      </w:r>
      <w:r w:rsidR="002303D4" w:rsidRPr="00A40AB4">
        <w:rPr>
          <w:rFonts w:cs="Times New Roman"/>
        </w:rPr>
        <w:t xml:space="preserve"> </w:t>
      </w:r>
      <w:r w:rsidR="00A914B1" w:rsidRPr="00A40AB4">
        <w:rPr>
          <w:rFonts w:cs="Times New Roman"/>
        </w:rPr>
        <w:t xml:space="preserve">Santykinius rodiklius galima skaidyti į </w:t>
      </w:r>
      <w:r w:rsidR="00713E77" w:rsidRPr="00A40AB4">
        <w:rPr>
          <w:rFonts w:cs="Times New Roman"/>
        </w:rPr>
        <w:t xml:space="preserve">įvairias </w:t>
      </w:r>
      <w:r w:rsidR="00A914B1" w:rsidRPr="00A40AB4">
        <w:rPr>
          <w:rFonts w:cs="Times New Roman"/>
        </w:rPr>
        <w:t xml:space="preserve">grupes. Apibendrinus žymiausių finansinės analizės specialistų nuomones galima išskirti pelningumo, mokumo, veiklos efektyvumo, kapitalo rinkos, pinigų srautų bei veiklos tęstinumo ir plėtros rodiklių grupes (Mackevičius ir kt., </w:t>
      </w:r>
      <w:r w:rsidR="00A914B1" w:rsidRPr="00A40AB4">
        <w:rPr>
          <w:rFonts w:cs="Times New Roman"/>
          <w:lang w:val="en-US"/>
        </w:rPr>
        <w:t>2011).</w:t>
      </w:r>
      <w:r w:rsidR="00491C4E" w:rsidRPr="00A40AB4">
        <w:rPr>
          <w:rFonts w:cs="Times New Roman"/>
        </w:rPr>
        <w:t xml:space="preserve"> </w:t>
      </w:r>
    </w:p>
    <w:p w:rsidR="005C2998" w:rsidRPr="00A40AB4" w:rsidRDefault="005D4877" w:rsidP="005C2998">
      <w:pPr>
        <w:ind w:firstLine="567"/>
        <w:jc w:val="both"/>
        <w:rPr>
          <w:rFonts w:cs="Times New Roman"/>
        </w:rPr>
      </w:pPr>
      <w:r w:rsidRPr="00A40AB4">
        <w:rPr>
          <w:rFonts w:cs="Times New Roman"/>
        </w:rPr>
        <w:t>S</w:t>
      </w:r>
      <w:r w:rsidR="00491C4E" w:rsidRPr="00A40AB4">
        <w:rPr>
          <w:rFonts w:cs="Times New Roman"/>
        </w:rPr>
        <w:t>iekiant įvertinti visų Lietuvos ne gyvybės draudimo rinkos įmonių finansinę padėtį į pagalbą pasitelkiamas agreguotas ne gyvybės draudimo įmonių balansas bei pelno (nuostolių) ataskaita.</w:t>
      </w:r>
      <w:r w:rsidR="00BC39B0" w:rsidRPr="00A40AB4">
        <w:rPr>
          <w:rFonts w:cs="Times New Roman"/>
        </w:rPr>
        <w:t xml:space="preserve"> Remiantis šiais duomenimis, skaičiuojami ir vertinami keletas svarbiausių </w:t>
      </w:r>
      <w:r w:rsidR="00D80721" w:rsidRPr="00A40AB4">
        <w:rPr>
          <w:rFonts w:cs="Times New Roman"/>
        </w:rPr>
        <w:t xml:space="preserve">absoliučių bei santykinių (mokumo ir pelningumo grupėje) </w:t>
      </w:r>
      <w:r w:rsidR="00BC39B0" w:rsidRPr="00A40AB4">
        <w:rPr>
          <w:rFonts w:cs="Times New Roman"/>
        </w:rPr>
        <w:t>rodiklių</w:t>
      </w:r>
      <w:r w:rsidR="005C2998" w:rsidRPr="00A40AB4">
        <w:rPr>
          <w:rFonts w:cs="Times New Roman"/>
        </w:rPr>
        <w:t>:</w:t>
      </w:r>
    </w:p>
    <w:p w:rsidR="00D80721" w:rsidRPr="00A40AB4" w:rsidRDefault="001F76F6" w:rsidP="008502FA">
      <w:pPr>
        <w:pStyle w:val="ListParagraph"/>
        <w:numPr>
          <w:ilvl w:val="0"/>
          <w:numId w:val="26"/>
        </w:numPr>
        <w:ind w:left="993"/>
        <w:jc w:val="both"/>
      </w:pPr>
      <w:r w:rsidRPr="00A40AB4">
        <w:rPr>
          <w:u w:val="single"/>
        </w:rPr>
        <w:t>Turto dinamika</w:t>
      </w:r>
      <w:r w:rsidR="00ED1DEC" w:rsidRPr="00A40AB4">
        <w:t>.</w:t>
      </w:r>
      <w:r w:rsidR="00D80721" w:rsidRPr="00A40AB4">
        <w:t xml:space="preserve"> </w:t>
      </w:r>
      <w:r w:rsidR="00ED1DEC" w:rsidRPr="00A40AB4">
        <w:t>T</w:t>
      </w:r>
      <w:r w:rsidR="00D80721" w:rsidRPr="00A40AB4">
        <w:t>urtas yra savininką turintys ekonominiai ištekliai, kuriais disponuodama įmonė tikisi gauti ekonominės naudos ateityje</w:t>
      </w:r>
      <w:r w:rsidR="00ED1DEC" w:rsidRPr="00A40AB4">
        <w:t xml:space="preserve"> (Bikienė ir Pučkienė, 2012)</w:t>
      </w:r>
      <w:r w:rsidR="00D80721" w:rsidRPr="00A40AB4">
        <w:rPr>
          <w:lang w:val="en-US"/>
        </w:rPr>
        <w:t>.</w:t>
      </w:r>
    </w:p>
    <w:p w:rsidR="00D80721" w:rsidRPr="00A40AB4" w:rsidRDefault="001F76F6" w:rsidP="008502FA">
      <w:pPr>
        <w:pStyle w:val="ListParagraph"/>
        <w:numPr>
          <w:ilvl w:val="0"/>
          <w:numId w:val="26"/>
        </w:numPr>
        <w:ind w:left="993"/>
        <w:jc w:val="both"/>
      </w:pPr>
      <w:r w:rsidRPr="00A40AB4">
        <w:rPr>
          <w:u w:val="single"/>
        </w:rPr>
        <w:t>Nuosavo</w:t>
      </w:r>
      <w:r w:rsidR="00D80721" w:rsidRPr="00A40AB4">
        <w:rPr>
          <w:u w:val="single"/>
        </w:rPr>
        <w:t xml:space="preserve"> kapital</w:t>
      </w:r>
      <w:r w:rsidRPr="00A40AB4">
        <w:rPr>
          <w:u w:val="single"/>
        </w:rPr>
        <w:t>o dinamika</w:t>
      </w:r>
      <w:r w:rsidR="00851B72" w:rsidRPr="00A40AB4">
        <w:t xml:space="preserve">. Nuosavas kapitalas – tai </w:t>
      </w:r>
      <w:r w:rsidR="00D80721" w:rsidRPr="00A40AB4">
        <w:t xml:space="preserve">įmonės turto dalis, kuri lieka iš viso įmonės turto atėmus įsipareigojimus. Nuosavą kapitalą sudaro apmokėto įstatinio kapitalo </w:t>
      </w:r>
      <w:r w:rsidR="00D80721" w:rsidRPr="00A40AB4">
        <w:lastRenderedPageBreak/>
        <w:t>dydis, , akcijų priedai, rezervai bei rezultatas – pelnas arba nuostoliai (Bikienė ir Pučkienė, 2012).</w:t>
      </w:r>
    </w:p>
    <w:p w:rsidR="001F76F6" w:rsidRPr="00A40AB4" w:rsidRDefault="001F76F6" w:rsidP="008502FA">
      <w:pPr>
        <w:pStyle w:val="ListParagraph"/>
        <w:numPr>
          <w:ilvl w:val="0"/>
          <w:numId w:val="26"/>
        </w:numPr>
        <w:ind w:left="993"/>
        <w:jc w:val="both"/>
      </w:pPr>
      <w:r w:rsidRPr="00A40AB4">
        <w:rPr>
          <w:u w:val="single"/>
        </w:rPr>
        <w:t>Techninių atidėjinių dinamika.</w:t>
      </w:r>
      <w:r w:rsidRPr="00A40AB4">
        <w:t xml:space="preserve"> </w:t>
      </w:r>
      <w:r w:rsidR="004E6B62">
        <w:t xml:space="preserve">Pagal Lietuvos draudimo įstatymą draudimo techniniai atidėjiniai yra „teisės aktų nustatyta tvarka apskaičiuoti draudiko įsipareigojimai, atsirandantys iš draudimo ir (ar) perdraudimo sutarčių ar susiję su jomis.“ Pagal </w:t>
      </w:r>
      <w:r w:rsidR="004E6B62" w:rsidRPr="00A40AB4">
        <w:t xml:space="preserve">Lezgovko </w:t>
      </w:r>
      <w:r w:rsidR="004E6B62">
        <w:t>(</w:t>
      </w:r>
      <w:r w:rsidR="004E6B62" w:rsidRPr="00A40AB4">
        <w:t>2010)</w:t>
      </w:r>
      <w:r w:rsidR="004E6B62">
        <w:t>, t</w:t>
      </w:r>
      <w:r w:rsidRPr="00A40AB4">
        <w:t>echniniai atidėjiniai – tai draudimo įmonės rezervai, t.y. fondai, sudaromi iš gautų draudimo įmokų ir skirti draudimo įsipareigojimams vykdyti pagal įstatymų numatytas sąlygas bei sudarytą draudimo sutartį. Rodiklis atspindi draudikų prisiimtų įsipareigojimų draudėjams dydį. Paprastai draudikai suformuoja bent keletą techniniai atidėjinių: perkeltų įmokų, numatytų išmokėjimų ir t.t. Keli techniniai atidėjiniai formuojami, kadangi draudimo kompanijos turi įvairius skirtingus įsipareigojimus.</w:t>
      </w:r>
    </w:p>
    <w:p w:rsidR="00A10A1E" w:rsidRPr="00A40AB4" w:rsidRDefault="0093195B" w:rsidP="00B62EB4">
      <w:pPr>
        <w:pStyle w:val="ListParagraph"/>
        <w:numPr>
          <w:ilvl w:val="0"/>
          <w:numId w:val="36"/>
        </w:numPr>
        <w:tabs>
          <w:tab w:val="left" w:pos="567"/>
        </w:tabs>
        <w:ind w:left="993"/>
        <w:jc w:val="both"/>
        <w:rPr>
          <w:rFonts w:cs="Times New Roman"/>
        </w:rPr>
      </w:pPr>
      <w:r w:rsidRPr="00A40AB4">
        <w:rPr>
          <w:rFonts w:cs="Times New Roman"/>
          <w:u w:val="single"/>
        </w:rPr>
        <w:t>Mokumas</w:t>
      </w:r>
      <w:r w:rsidR="004E6B62">
        <w:rPr>
          <w:rFonts w:cs="Times New Roman"/>
        </w:rPr>
        <w:t xml:space="preserve"> </w:t>
      </w:r>
      <w:r w:rsidR="00585CE9" w:rsidRPr="00A40AB4">
        <w:rPr>
          <w:rFonts w:cs="Times New Roman"/>
        </w:rPr>
        <w:t xml:space="preserve">– </w:t>
      </w:r>
      <w:r w:rsidR="004E6B62">
        <w:rPr>
          <w:rFonts w:cs="Times New Roman"/>
        </w:rPr>
        <w:t>vienas iš svarbiausių kiekvienos įmonės, taigi ir draudikų</w:t>
      </w:r>
      <w:r w:rsidR="00585CE9" w:rsidRPr="00A40AB4">
        <w:rPr>
          <w:rFonts w:cs="Times New Roman"/>
        </w:rPr>
        <w:t xml:space="preserve"> finansinio stabilumo bei patikimumo rodiklis.</w:t>
      </w:r>
      <w:r w:rsidR="006950D8" w:rsidRPr="00A40AB4">
        <w:rPr>
          <w:rFonts w:cs="Times New Roman"/>
        </w:rPr>
        <w:t xml:space="preserve"> </w:t>
      </w:r>
      <w:r w:rsidR="00416522">
        <w:rPr>
          <w:rFonts w:cs="Times New Roman"/>
        </w:rPr>
        <w:t xml:space="preserve">Anot </w:t>
      </w:r>
      <w:r w:rsidR="004E6B62">
        <w:rPr>
          <w:rFonts w:cs="Times New Roman"/>
        </w:rPr>
        <w:t>Lezgovko (</w:t>
      </w:r>
      <w:r w:rsidR="004E6B62">
        <w:rPr>
          <w:rFonts w:cs="Times New Roman"/>
          <w:lang w:val="en-US"/>
        </w:rPr>
        <w:t>2010)</w:t>
      </w:r>
      <w:r w:rsidR="006950D8" w:rsidRPr="00A40AB4">
        <w:rPr>
          <w:rFonts w:cs="Times New Roman"/>
        </w:rPr>
        <w:t>, organizacijos mokumas pasireiškia jos sugebėjimu įvykdyti savo įsipareigojimus bet kuriuo metu. Draudiko mokumas suvokiamas kaip sugebėjimas pirmiausia įvykdyti visus savo draudiminius įsipareigojimus.</w:t>
      </w:r>
      <w:r w:rsidR="00225A10" w:rsidRPr="00A40AB4">
        <w:rPr>
          <w:rFonts w:cs="Times New Roman"/>
        </w:rPr>
        <w:t xml:space="preserve"> Autorės nuomone, draudimo įmonės mokumas daug svarbesnis už finansinį stabilumą, kadangi numatomi papildomi reikalavimai įmonės aktyvams (t.y. reikalingas ne tik pakankamas jų kiekis, bet ir likvidumas, užtikrinantis draudimo įsipareigojimų vykdymą bet kuriuo metu).</w:t>
      </w:r>
      <w:r w:rsidR="001A06C2" w:rsidRPr="00A40AB4">
        <w:rPr>
          <w:rFonts w:cs="Times New Roman"/>
        </w:rPr>
        <w:t xml:space="preserve"> Kaip jau rašyta, mokumą apibūdinantis rodiklis šiame darbe – mokumo koeficientas. Pagal</w:t>
      </w:r>
      <w:r w:rsidR="003543B4" w:rsidRPr="00A40AB4">
        <w:rPr>
          <w:rFonts w:cs="Times New Roman"/>
        </w:rPr>
        <w:t xml:space="preserve"> DPK (2009),</w:t>
      </w:r>
      <w:r w:rsidR="00D7587C" w:rsidRPr="00A40AB4">
        <w:rPr>
          <w:rFonts w:cs="Times New Roman"/>
        </w:rPr>
        <w:t xml:space="preserve"> </w:t>
      </w:r>
      <w:r w:rsidR="003543B4" w:rsidRPr="00A40AB4">
        <w:rPr>
          <w:rFonts w:cs="Times New Roman"/>
          <w:u w:val="single"/>
        </w:rPr>
        <w:t>n</w:t>
      </w:r>
      <w:r w:rsidR="00D7587C" w:rsidRPr="00A40AB4">
        <w:rPr>
          <w:rFonts w:cs="Times New Roman"/>
          <w:u w:val="single"/>
        </w:rPr>
        <w:t>e gyvybės draudimo įmonių mokumo koeficientas</w:t>
      </w:r>
      <w:r w:rsidR="00D7587C" w:rsidRPr="00A40AB4">
        <w:rPr>
          <w:rFonts w:cs="Times New Roman"/>
        </w:rPr>
        <w:t xml:space="preserve"> – tai koeficientas, kuris parodo, ar draudikai turi pakankamai nuosavo kapitalo padengti prisiimtai rizikai.</w:t>
      </w:r>
      <w:r w:rsidR="00AE439E" w:rsidRPr="00A40AB4">
        <w:rPr>
          <w:rFonts w:cs="Times New Roman"/>
        </w:rPr>
        <w:t xml:space="preserve"> DPK 2004 m. nutarimas (bei 2009 m. šio nutarimo pakeitimas ir papildymas) numato, jog draudimo įmonės mokumo koeficientas apskaičiuojamas kaip turimos bei būtinosios mokumo atsargų santykis. Turima mokumo atsarga – tai turto, viršijančio draudiko įsipareigojimus, dydis, gautas sudedant mokumo atsargos elementus“. Būtinoji mokumo atsarga – tai reikalaujamas atsargos dydis, kuris atitinka draudimo įmonės veiklos specifiką bei apimtį. </w:t>
      </w:r>
      <w:r w:rsidR="00170B09" w:rsidRPr="00A40AB4">
        <w:rPr>
          <w:rFonts w:cs="Times New Roman"/>
        </w:rPr>
        <w:t>Remiantis DPK (</w:t>
      </w:r>
      <w:r w:rsidR="00170B09" w:rsidRPr="00A40AB4">
        <w:rPr>
          <w:rFonts w:cs="Times New Roman"/>
          <w:lang w:val="en-US"/>
        </w:rPr>
        <w:t xml:space="preserve">2009), </w:t>
      </w:r>
      <w:r w:rsidR="00170B09" w:rsidRPr="00A40AB4">
        <w:rPr>
          <w:rFonts w:cs="Times New Roman"/>
        </w:rPr>
        <w:t xml:space="preserve">Lietuvoje </w:t>
      </w:r>
      <w:r w:rsidR="00170B09" w:rsidRPr="00A40AB4">
        <w:rPr>
          <w:rFonts w:cs="Times New Roman"/>
          <w:lang w:val="en-US"/>
        </w:rPr>
        <w:t>į</w:t>
      </w:r>
      <w:r w:rsidR="00170B09" w:rsidRPr="00A40AB4">
        <w:rPr>
          <w:rFonts w:cs="Times New Roman"/>
        </w:rPr>
        <w:t>statymais nustatytas minimalus koeficientas - 1. Mokumo reikšmei viršijant 2 draudimo rinka vertinama kaip stabili.</w:t>
      </w:r>
    </w:p>
    <w:p w:rsidR="0000731B" w:rsidRPr="00A40AB4" w:rsidRDefault="0032147B" w:rsidP="008502FA">
      <w:pPr>
        <w:pStyle w:val="ListParagraph"/>
        <w:numPr>
          <w:ilvl w:val="0"/>
          <w:numId w:val="36"/>
        </w:numPr>
        <w:ind w:left="993"/>
        <w:jc w:val="both"/>
        <w:rPr>
          <w:rFonts w:cs="Times New Roman"/>
        </w:rPr>
      </w:pPr>
      <w:r w:rsidRPr="00A40AB4">
        <w:rPr>
          <w:rFonts w:cs="Times New Roman"/>
          <w:u w:val="single"/>
        </w:rPr>
        <w:t>Bendrasis</w:t>
      </w:r>
      <w:r w:rsidR="0000731B" w:rsidRPr="00A40AB4">
        <w:rPr>
          <w:rFonts w:cs="Times New Roman"/>
          <w:u w:val="single"/>
        </w:rPr>
        <w:t xml:space="preserve"> pelningumas.</w:t>
      </w:r>
      <w:r w:rsidR="0000731B" w:rsidRPr="00A40AB4">
        <w:rPr>
          <w:rFonts w:cs="Times New Roman"/>
        </w:rPr>
        <w:t xml:space="preserve"> Šis rodiklis atspindi įmonės (</w:t>
      </w:r>
      <w:r w:rsidR="004E6B62">
        <w:rPr>
          <w:rFonts w:cs="Times New Roman"/>
        </w:rPr>
        <w:t>magistro baigiamajame</w:t>
      </w:r>
      <w:r w:rsidR="0000731B" w:rsidRPr="00A40AB4">
        <w:rPr>
          <w:rFonts w:cs="Times New Roman"/>
        </w:rPr>
        <w:t xml:space="preserve"> darbe – visų ne gyvybės draudimo įmonių) finansinį rezultatą bei veiklos efektyvumą.</w:t>
      </w:r>
      <w:r w:rsidR="00B17BAB" w:rsidRPr="00A40AB4">
        <w:rPr>
          <w:rFonts w:cs="Times New Roman"/>
        </w:rPr>
        <w:t xml:space="preserve"> Tai vienas iš svarbiausių ir plačiausiai vertinamų santykinių rodiklių, atskleidžiantis kiek </w:t>
      </w:r>
      <w:r w:rsidRPr="00A40AB4">
        <w:rPr>
          <w:rFonts w:cs="Times New Roman"/>
        </w:rPr>
        <w:t>bendrojo</w:t>
      </w:r>
      <w:r w:rsidR="00B17BAB" w:rsidRPr="00A40AB4">
        <w:rPr>
          <w:rFonts w:cs="Times New Roman"/>
        </w:rPr>
        <w:t xml:space="preserve"> pelno tenka vienam pardavimo litui</w:t>
      </w:r>
      <w:r w:rsidR="00A23E1B" w:rsidRPr="00A40AB4">
        <w:rPr>
          <w:rFonts w:cs="Times New Roman"/>
        </w:rPr>
        <w:t xml:space="preserve"> (Mackevičius ir kt., 2011).</w:t>
      </w:r>
      <w:r w:rsidR="00EA5BA9" w:rsidRPr="00A40AB4">
        <w:rPr>
          <w:rFonts w:cs="Times New Roman"/>
        </w:rPr>
        <w:t xml:space="preserve"> </w:t>
      </w:r>
      <w:r w:rsidRPr="00A40AB4">
        <w:rPr>
          <w:rFonts w:cs="Times New Roman"/>
        </w:rPr>
        <w:t xml:space="preserve">Bendrasis </w:t>
      </w:r>
      <w:r w:rsidR="00EA5BA9" w:rsidRPr="00A40AB4">
        <w:rPr>
          <w:rFonts w:cs="Times New Roman"/>
        </w:rPr>
        <w:t xml:space="preserve">pelningumas išreiškiamas </w:t>
      </w:r>
      <w:r w:rsidRPr="00A40AB4">
        <w:rPr>
          <w:rFonts w:cs="Times New Roman"/>
        </w:rPr>
        <w:t>bendrojo</w:t>
      </w:r>
      <w:r w:rsidR="00EA5BA9" w:rsidRPr="00A40AB4">
        <w:rPr>
          <w:rFonts w:cs="Times New Roman"/>
        </w:rPr>
        <w:t xml:space="preserve"> pelno ir pardavimo pajamų </w:t>
      </w:r>
      <w:r w:rsidR="007338E4" w:rsidRPr="00A40AB4">
        <w:rPr>
          <w:rFonts w:cs="Times New Roman"/>
        </w:rPr>
        <w:t>(t.y. pasirašytų įmokų atėmus perdraudikų</w:t>
      </w:r>
      <w:r w:rsidR="00D730BB" w:rsidRPr="00A40AB4">
        <w:rPr>
          <w:rFonts w:cs="Times New Roman"/>
        </w:rPr>
        <w:t xml:space="preserve"> dalį</w:t>
      </w:r>
      <w:r w:rsidR="00E47863" w:rsidRPr="00A40AB4">
        <w:rPr>
          <w:rFonts w:cs="Times New Roman"/>
        </w:rPr>
        <w:t>)</w:t>
      </w:r>
      <w:r w:rsidR="003D7CD8" w:rsidRPr="00A40AB4">
        <w:rPr>
          <w:rFonts w:cs="Times New Roman"/>
        </w:rPr>
        <w:t xml:space="preserve"> santykiu</w:t>
      </w:r>
      <w:r w:rsidR="00EA5BA9" w:rsidRPr="00A40AB4">
        <w:rPr>
          <w:rFonts w:cs="Times New Roman"/>
        </w:rPr>
        <w:t>.</w:t>
      </w:r>
    </w:p>
    <w:p w:rsidR="005C2998" w:rsidRPr="00A40AB4" w:rsidRDefault="000E3A56" w:rsidP="008502FA">
      <w:pPr>
        <w:pStyle w:val="ListParagraph"/>
        <w:numPr>
          <w:ilvl w:val="0"/>
          <w:numId w:val="36"/>
        </w:numPr>
        <w:ind w:left="993"/>
        <w:jc w:val="both"/>
        <w:rPr>
          <w:rFonts w:cs="Times New Roman"/>
        </w:rPr>
      </w:pPr>
      <w:r w:rsidRPr="00A40AB4">
        <w:rPr>
          <w:rFonts w:cs="Times New Roman"/>
          <w:u w:val="single"/>
        </w:rPr>
        <w:lastRenderedPageBreak/>
        <w:t>Turto grąža</w:t>
      </w:r>
      <w:r w:rsidRPr="00A40AB4">
        <w:rPr>
          <w:rFonts w:cs="Times New Roman"/>
        </w:rPr>
        <w:t xml:space="preserve"> (</w:t>
      </w:r>
      <w:r w:rsidRPr="00A40AB4">
        <w:rPr>
          <w:rFonts w:cs="Times New Roman"/>
          <w:i/>
        </w:rPr>
        <w:t>angl. ROA – Return On Assets</w:t>
      </w:r>
      <w:r w:rsidRPr="00A40AB4">
        <w:rPr>
          <w:rFonts w:cs="Times New Roman"/>
        </w:rPr>
        <w:t>)</w:t>
      </w:r>
      <w:r w:rsidR="005C2998" w:rsidRPr="00A40AB4">
        <w:rPr>
          <w:rFonts w:cs="Times New Roman"/>
        </w:rPr>
        <w:t xml:space="preserve"> parodo kaip efektyviai bei veiksmingai naudojamas turtas. Turto grąža skaičiuojama kaip grynojo pelno ir turto santykis. Šis rodiklis atspindi, kiek grynojo pelno tenka vienam turto litui. </w:t>
      </w:r>
    </w:p>
    <w:p w:rsidR="000E3A56" w:rsidRPr="00A40AB4" w:rsidRDefault="005D122F" w:rsidP="008502FA">
      <w:pPr>
        <w:pStyle w:val="ListParagraph"/>
        <w:numPr>
          <w:ilvl w:val="0"/>
          <w:numId w:val="36"/>
        </w:numPr>
        <w:ind w:left="993"/>
        <w:jc w:val="both"/>
        <w:rPr>
          <w:rFonts w:cs="Times New Roman"/>
        </w:rPr>
      </w:pPr>
      <w:r w:rsidRPr="00A40AB4">
        <w:rPr>
          <w:rFonts w:cs="Times New Roman"/>
          <w:u w:val="single"/>
        </w:rPr>
        <w:t>Nuosavo k</w:t>
      </w:r>
      <w:r w:rsidR="000E3A56" w:rsidRPr="00A40AB4">
        <w:rPr>
          <w:rFonts w:cs="Times New Roman"/>
          <w:u w:val="single"/>
        </w:rPr>
        <w:t>apitalo grąža</w:t>
      </w:r>
      <w:r w:rsidR="000E3A56" w:rsidRPr="00A40AB4">
        <w:rPr>
          <w:rFonts w:cs="Times New Roman"/>
        </w:rPr>
        <w:t xml:space="preserve"> (</w:t>
      </w:r>
      <w:r w:rsidR="000E3A56" w:rsidRPr="00A40AB4">
        <w:rPr>
          <w:rFonts w:cs="Times New Roman"/>
          <w:i/>
        </w:rPr>
        <w:t>angl. ROE – Return On Equity</w:t>
      </w:r>
      <w:r w:rsidR="000E3A56" w:rsidRPr="00A40AB4">
        <w:rPr>
          <w:rFonts w:cs="Times New Roman"/>
        </w:rPr>
        <w:t>)</w:t>
      </w:r>
      <w:r w:rsidR="008135C2" w:rsidRPr="00A40AB4">
        <w:rPr>
          <w:rFonts w:cs="Times New Roman"/>
        </w:rPr>
        <w:t xml:space="preserve"> atskleidžia įmonės savininkų investuoto kapitalo panaudojimo veiksmingumą. Rodiklis apskaičiuojamas kaip grynojo pelno ir nuosavo kapitalo santykis ir parodo, kiek vienam nuosavo kapitalo litui tenka grynojo pelno.</w:t>
      </w:r>
    </w:p>
    <w:p w:rsidR="000D3267" w:rsidRPr="00A40AB4" w:rsidRDefault="000D3267" w:rsidP="00C036A0">
      <w:pPr>
        <w:jc w:val="both"/>
        <w:rPr>
          <w:rFonts w:cs="Times New Roman"/>
        </w:rPr>
      </w:pPr>
    </w:p>
    <w:p w:rsidR="00103E4C" w:rsidRPr="00A40AB4" w:rsidRDefault="00103E4C" w:rsidP="00103E4C">
      <w:pPr>
        <w:ind w:firstLine="567"/>
        <w:jc w:val="both"/>
        <w:rPr>
          <w:rFonts w:cs="Times New Roman"/>
          <w:b/>
        </w:rPr>
      </w:pPr>
      <w:r w:rsidRPr="00A40AB4">
        <w:rPr>
          <w:rFonts w:cs="Times New Roman"/>
          <w:b/>
        </w:rPr>
        <w:t>PEST analizė</w:t>
      </w:r>
    </w:p>
    <w:p w:rsidR="00B76794" w:rsidRPr="00A40AB4" w:rsidRDefault="00404098" w:rsidP="00C036A0">
      <w:pPr>
        <w:ind w:firstLine="567"/>
        <w:jc w:val="both"/>
        <w:rPr>
          <w:rFonts w:cs="Times New Roman"/>
          <w:lang w:val="en-US"/>
        </w:rPr>
      </w:pPr>
      <w:r w:rsidRPr="00A40AB4">
        <w:rPr>
          <w:rFonts w:cs="Times New Roman"/>
        </w:rPr>
        <w:t>Norint tinkamai įvertinti Liet</w:t>
      </w:r>
      <w:r w:rsidR="00B62EB4" w:rsidRPr="00A40AB4">
        <w:rPr>
          <w:rFonts w:cs="Times New Roman"/>
        </w:rPr>
        <w:t>uvos ne gyvybės draudimo rinką</w:t>
      </w:r>
      <w:r w:rsidRPr="00A40AB4">
        <w:rPr>
          <w:rFonts w:cs="Times New Roman"/>
        </w:rPr>
        <w:t xml:space="preserve"> tikslinga </w:t>
      </w:r>
      <w:r w:rsidR="00B62EB4" w:rsidRPr="00A40AB4">
        <w:rPr>
          <w:rFonts w:cs="Times New Roman"/>
        </w:rPr>
        <w:t xml:space="preserve">identifikuoti </w:t>
      </w:r>
      <w:r w:rsidRPr="00A40AB4">
        <w:rPr>
          <w:rFonts w:cs="Times New Roman"/>
        </w:rPr>
        <w:t xml:space="preserve">ne tik kiekybinius, tačiau ir kokybinius draudimo rinką veikiančius veiksnius. </w:t>
      </w:r>
      <w:r w:rsidR="00DC7671">
        <w:rPr>
          <w:rFonts w:cs="Times New Roman"/>
        </w:rPr>
        <w:t>Pagal Tidikį</w:t>
      </w:r>
      <w:r w:rsidR="00DC7671" w:rsidRPr="00A40AB4">
        <w:rPr>
          <w:rFonts w:cs="Times New Roman"/>
        </w:rPr>
        <w:t xml:space="preserve"> </w:t>
      </w:r>
      <w:r w:rsidR="00DC7671">
        <w:rPr>
          <w:rFonts w:cs="Times New Roman"/>
        </w:rPr>
        <w:t>(</w:t>
      </w:r>
      <w:r w:rsidR="00DC7671" w:rsidRPr="00A40AB4">
        <w:rPr>
          <w:rFonts w:cs="Times New Roman"/>
          <w:lang w:val="en-US"/>
        </w:rPr>
        <w:t>2003, p. 355</w:t>
      </w:r>
      <w:r w:rsidR="00DC7671">
        <w:rPr>
          <w:rFonts w:cs="Times New Roman"/>
          <w:lang w:val="en-US"/>
        </w:rPr>
        <w:t>) k</w:t>
      </w:r>
      <w:r w:rsidR="00B76794" w:rsidRPr="00A40AB4">
        <w:rPr>
          <w:rFonts w:cs="Times New Roman"/>
        </w:rPr>
        <w:t>okybinė analizė – tai „įsisąmoninta ypatingų metodų ir būdų paieška, socialinių reiškinių, procesų ir sistemų kok</w:t>
      </w:r>
      <w:r w:rsidR="00DC7671">
        <w:rPr>
          <w:rFonts w:cs="Times New Roman"/>
        </w:rPr>
        <w:t>ybinių bruožų charakteristika“</w:t>
      </w:r>
      <w:r w:rsidR="00B76794" w:rsidRPr="00A40AB4">
        <w:rPr>
          <w:rFonts w:cs="Times New Roman"/>
          <w:lang w:val="en-US"/>
        </w:rPr>
        <w:t>.</w:t>
      </w:r>
    </w:p>
    <w:p w:rsidR="00AB4D60" w:rsidRPr="00A40AB4" w:rsidRDefault="00AB4D60" w:rsidP="00C036A0">
      <w:pPr>
        <w:ind w:firstLine="567"/>
        <w:jc w:val="both"/>
        <w:rPr>
          <w:rFonts w:cs="Times New Roman"/>
        </w:rPr>
      </w:pPr>
      <w:r w:rsidRPr="00A40AB4">
        <w:rPr>
          <w:rFonts w:cs="Times New Roman"/>
        </w:rPr>
        <w:t>Anot Lynch (</w:t>
      </w:r>
      <w:r w:rsidRPr="00A40AB4">
        <w:rPr>
          <w:rFonts w:cs="Times New Roman"/>
          <w:lang w:val="en-US"/>
        </w:rPr>
        <w:t xml:space="preserve">2009), </w:t>
      </w:r>
      <w:r w:rsidRPr="00A40AB4">
        <w:rPr>
          <w:rFonts w:cs="Times New Roman"/>
        </w:rPr>
        <w:t xml:space="preserve">esminiams veiksniams, </w:t>
      </w:r>
      <w:r w:rsidR="00883CC4">
        <w:rPr>
          <w:rFonts w:cs="Times New Roman"/>
        </w:rPr>
        <w:t xml:space="preserve">kurie sąlygoja </w:t>
      </w:r>
      <w:r w:rsidRPr="00A40AB4">
        <w:rPr>
          <w:rFonts w:cs="Times New Roman"/>
        </w:rPr>
        <w:t>įmonės (arba rinkos) aplinkai nustatyti vienas iš geriausių metodų – PEST technika. Autori</w:t>
      </w:r>
      <w:r w:rsidR="00883CC4">
        <w:rPr>
          <w:rFonts w:cs="Times New Roman"/>
        </w:rPr>
        <w:t>us tvirtina, jog naudojantis šiuo metodu</w:t>
      </w:r>
      <w:r w:rsidRPr="00A40AB4">
        <w:rPr>
          <w:rFonts w:cs="Times New Roman"/>
        </w:rPr>
        <w:t xml:space="preserve"> galima nustatyti svarbiausius įtaką darančius veiksnius, numatyti veiksnių tendencijas (jei </w:t>
      </w:r>
      <w:r w:rsidR="002E4E50">
        <w:rPr>
          <w:rFonts w:cs="Times New Roman"/>
        </w:rPr>
        <w:t xml:space="preserve">tai </w:t>
      </w:r>
      <w:r w:rsidRPr="00A40AB4">
        <w:rPr>
          <w:rFonts w:cs="Times New Roman"/>
        </w:rPr>
        <w:t>įmanoma) bei suprasti įvykių ir veiksnių tarpusavio sąryšį.</w:t>
      </w:r>
    </w:p>
    <w:p w:rsidR="00404098" w:rsidRPr="00A40AB4" w:rsidRDefault="00F87297" w:rsidP="00C036A0">
      <w:pPr>
        <w:ind w:firstLine="567"/>
        <w:jc w:val="both"/>
        <w:rPr>
          <w:rFonts w:cs="Times New Roman"/>
        </w:rPr>
      </w:pPr>
      <w:r w:rsidRPr="00A40AB4">
        <w:rPr>
          <w:rFonts w:cs="Times New Roman"/>
        </w:rPr>
        <w:t>Taigi p</w:t>
      </w:r>
      <w:r w:rsidR="00B76794" w:rsidRPr="00A40AB4">
        <w:rPr>
          <w:rFonts w:cs="Times New Roman"/>
        </w:rPr>
        <w:t xml:space="preserve">asirinktam </w:t>
      </w:r>
      <w:r w:rsidR="00404098" w:rsidRPr="00A40AB4">
        <w:rPr>
          <w:rFonts w:cs="Times New Roman"/>
        </w:rPr>
        <w:t xml:space="preserve">tyrimui </w:t>
      </w:r>
      <w:r w:rsidR="00D25ECC" w:rsidRPr="00A40AB4">
        <w:rPr>
          <w:rFonts w:cs="Times New Roman"/>
        </w:rPr>
        <w:t xml:space="preserve">atlikti </w:t>
      </w:r>
      <w:r w:rsidR="00404098" w:rsidRPr="00A40AB4">
        <w:rPr>
          <w:rFonts w:cs="Times New Roman"/>
        </w:rPr>
        <w:t xml:space="preserve">puikiai tinka </w:t>
      </w:r>
      <w:r w:rsidR="00D25ECC" w:rsidRPr="00A40AB4">
        <w:rPr>
          <w:rFonts w:cs="Times New Roman"/>
        </w:rPr>
        <w:t>PEST analizės metodas</w:t>
      </w:r>
      <w:r w:rsidR="00404098" w:rsidRPr="00A40AB4">
        <w:rPr>
          <w:rFonts w:cs="Times New Roman"/>
        </w:rPr>
        <w:t>.</w:t>
      </w:r>
      <w:r w:rsidR="00C64E55" w:rsidRPr="00A40AB4">
        <w:rPr>
          <w:rFonts w:cs="Times New Roman"/>
        </w:rPr>
        <w:t xml:space="preserve"> PEST analizė </w:t>
      </w:r>
      <w:r w:rsidR="00C33EDE" w:rsidRPr="00A40AB4">
        <w:rPr>
          <w:rFonts w:cs="Times New Roman"/>
        </w:rPr>
        <w:t>– tai sistema, vertinanti makro</w:t>
      </w:r>
      <w:r w:rsidR="00C64E55" w:rsidRPr="00A40AB4">
        <w:rPr>
          <w:rFonts w:cs="Times New Roman"/>
        </w:rPr>
        <w:t>aplinkos veiksnius ir jų komponentus strateginiame valdyme.</w:t>
      </w:r>
      <w:r w:rsidR="00404098" w:rsidRPr="00A40AB4">
        <w:rPr>
          <w:rFonts w:cs="Times New Roman"/>
        </w:rPr>
        <w:t xml:space="preserve"> Taikant šį metodą</w:t>
      </w:r>
      <w:r w:rsidR="00D25ECC" w:rsidRPr="00A40AB4">
        <w:rPr>
          <w:rFonts w:cs="Times New Roman"/>
        </w:rPr>
        <w:t xml:space="preserve"> ne gyvybės dra</w:t>
      </w:r>
      <w:r w:rsidR="00404098" w:rsidRPr="00A40AB4">
        <w:rPr>
          <w:rFonts w:cs="Times New Roman"/>
        </w:rPr>
        <w:t>udimo rinką Lietuvoje lemiantys veiksniai suskirstomi į keturias grupes (aplinkas):</w:t>
      </w:r>
    </w:p>
    <w:p w:rsidR="00404098" w:rsidRPr="00A40AB4" w:rsidRDefault="00404098" w:rsidP="00B62EB4">
      <w:pPr>
        <w:pStyle w:val="ListParagraph"/>
        <w:numPr>
          <w:ilvl w:val="0"/>
          <w:numId w:val="37"/>
        </w:numPr>
        <w:ind w:left="993"/>
        <w:jc w:val="both"/>
        <w:rPr>
          <w:rFonts w:cs="Times New Roman"/>
        </w:rPr>
      </w:pPr>
      <w:r w:rsidRPr="00A40AB4">
        <w:rPr>
          <w:rFonts w:cs="Times New Roman"/>
          <w:u w:val="single"/>
        </w:rPr>
        <w:t>Politinė ir teisinė (P)</w:t>
      </w:r>
      <w:r w:rsidR="0008432A" w:rsidRPr="00A40AB4">
        <w:rPr>
          <w:rFonts w:cs="Times New Roman"/>
        </w:rPr>
        <w:t xml:space="preserve"> – </w:t>
      </w:r>
      <w:r w:rsidR="007F3F76" w:rsidRPr="00A40AB4">
        <w:rPr>
          <w:rFonts w:cs="Times New Roman"/>
        </w:rPr>
        <w:t xml:space="preserve">apibrėžia kaip ir kiek giliai valdžia reguliuoja šalies ekonomiką, kiek valdžia bei įstatymai </w:t>
      </w:r>
      <w:r w:rsidR="0008432A" w:rsidRPr="00A40AB4">
        <w:rPr>
          <w:rFonts w:cs="Times New Roman"/>
        </w:rPr>
        <w:t>turi įtakos draudimo veiklos reguliavimui.</w:t>
      </w:r>
      <w:r w:rsidR="006B2085" w:rsidRPr="00A40AB4">
        <w:rPr>
          <w:rFonts w:cs="Times New Roman"/>
        </w:rPr>
        <w:t xml:space="preserve"> </w:t>
      </w:r>
      <w:r w:rsidR="00ED5272" w:rsidRPr="00A40AB4">
        <w:rPr>
          <w:rFonts w:cs="Times New Roman"/>
        </w:rPr>
        <w:t xml:space="preserve">Kaip teigia </w:t>
      </w:r>
      <w:r w:rsidR="006B2085" w:rsidRPr="00A40AB4">
        <w:rPr>
          <w:rFonts w:cs="Times New Roman"/>
        </w:rPr>
        <w:t>Lynch (</w:t>
      </w:r>
      <w:r w:rsidR="006B2085" w:rsidRPr="00A40AB4">
        <w:rPr>
          <w:rFonts w:cs="Times New Roman"/>
          <w:lang w:val="en-US"/>
        </w:rPr>
        <w:t>2009)</w:t>
      </w:r>
      <w:r w:rsidR="006B2085" w:rsidRPr="00A40AB4">
        <w:rPr>
          <w:rFonts w:cs="Times New Roman"/>
        </w:rPr>
        <w:t>, politiniai sprendimai visuomet buvo svarbus įvairių ūkio šakų augim</w:t>
      </w:r>
      <w:r w:rsidR="00ED5272" w:rsidRPr="00A40AB4">
        <w:rPr>
          <w:rFonts w:cs="Times New Roman"/>
        </w:rPr>
        <w:t>ą lemiantis</w:t>
      </w:r>
      <w:r w:rsidR="006B2085" w:rsidRPr="00A40AB4">
        <w:rPr>
          <w:rFonts w:cs="Times New Roman"/>
        </w:rPr>
        <w:t xml:space="preserve"> veiksnys, tad rinkoje veikiančios įmonės privalo ištirti galimybes bei grėsmes, kylančias iš tokių </w:t>
      </w:r>
      <w:r w:rsidR="00ED5272" w:rsidRPr="00A40AB4">
        <w:rPr>
          <w:rFonts w:cs="Times New Roman"/>
        </w:rPr>
        <w:t xml:space="preserve">priimtų </w:t>
      </w:r>
      <w:r w:rsidR="006B2085" w:rsidRPr="00A40AB4">
        <w:rPr>
          <w:rFonts w:cs="Times New Roman"/>
        </w:rPr>
        <w:t xml:space="preserve">sprendimų. Taigi </w:t>
      </w:r>
      <w:r w:rsidR="0008432A" w:rsidRPr="00A40AB4">
        <w:rPr>
          <w:rFonts w:cs="Times New Roman"/>
        </w:rPr>
        <w:t xml:space="preserve"> </w:t>
      </w:r>
      <w:r w:rsidR="006B2085" w:rsidRPr="00A40AB4">
        <w:rPr>
          <w:rFonts w:cs="Times New Roman"/>
        </w:rPr>
        <w:t>t</w:t>
      </w:r>
      <w:r w:rsidR="0008432A" w:rsidRPr="00A40AB4">
        <w:rPr>
          <w:rFonts w:cs="Times New Roman"/>
        </w:rPr>
        <w:t>iriami veiksniai, darantys tiek teigiamą, tiek ir neigiamą įtaką ne gyvybės draudimo veiklos vystymuisi</w:t>
      </w:r>
      <w:r w:rsidR="007F3F76" w:rsidRPr="00A40AB4">
        <w:rPr>
          <w:rFonts w:cs="Times New Roman"/>
        </w:rPr>
        <w:t>, pvz. šalies politinis stabilumas, mokesčių politika, darbo teisė ir kt.</w:t>
      </w:r>
    </w:p>
    <w:p w:rsidR="00404098" w:rsidRPr="00A40AB4" w:rsidRDefault="00404098" w:rsidP="00B62EB4">
      <w:pPr>
        <w:pStyle w:val="ListParagraph"/>
        <w:numPr>
          <w:ilvl w:val="0"/>
          <w:numId w:val="37"/>
        </w:numPr>
        <w:ind w:left="993"/>
        <w:jc w:val="both"/>
        <w:rPr>
          <w:rFonts w:cs="Times New Roman"/>
        </w:rPr>
      </w:pPr>
      <w:r w:rsidRPr="00A40AB4">
        <w:rPr>
          <w:rFonts w:cs="Times New Roman"/>
          <w:u w:val="single"/>
        </w:rPr>
        <w:t>Ekonominė (E)</w:t>
      </w:r>
      <w:r w:rsidR="0008432A" w:rsidRPr="00A40AB4">
        <w:rPr>
          <w:rFonts w:cs="Times New Roman"/>
        </w:rPr>
        <w:t xml:space="preserve"> aplinka</w:t>
      </w:r>
      <w:r w:rsidR="00F86C78" w:rsidRPr="00A40AB4">
        <w:rPr>
          <w:rFonts w:cs="Times New Roman"/>
        </w:rPr>
        <w:t xml:space="preserve"> apibūdinama per didžiulę įtaką šalies verslui darančius veiksnius, kurie</w:t>
      </w:r>
      <w:r w:rsidR="0008432A" w:rsidRPr="00A40AB4">
        <w:rPr>
          <w:rFonts w:cs="Times New Roman"/>
        </w:rPr>
        <w:t xml:space="preserve"> atspindi šalies ūkio bei ne gyvybės d</w:t>
      </w:r>
      <w:r w:rsidR="00D1429E" w:rsidRPr="00A40AB4">
        <w:rPr>
          <w:rFonts w:cs="Times New Roman"/>
        </w:rPr>
        <w:t>raudimo veiklos Lietuvoje raidą: BVP, disponuojamosios pajamos, infliacija, nedarbas ir t.t.</w:t>
      </w:r>
      <w:r w:rsidR="00ED5E14" w:rsidRPr="00A40AB4">
        <w:rPr>
          <w:rFonts w:cs="Times New Roman"/>
        </w:rPr>
        <w:t xml:space="preserve"> Verta paminėti ir transporto priemonių skaičiaus kaitą šalyje, kadangi kasko bei TPVCA draudimai sudaro didžiausią pasirašytų įmokų dalį.</w:t>
      </w:r>
    </w:p>
    <w:p w:rsidR="00404098" w:rsidRPr="00A40AB4" w:rsidRDefault="00404098" w:rsidP="00B62EB4">
      <w:pPr>
        <w:pStyle w:val="ListParagraph"/>
        <w:numPr>
          <w:ilvl w:val="0"/>
          <w:numId w:val="37"/>
        </w:numPr>
        <w:ind w:left="993"/>
        <w:jc w:val="both"/>
        <w:rPr>
          <w:rFonts w:cs="Times New Roman"/>
        </w:rPr>
      </w:pPr>
      <w:r w:rsidRPr="00A40AB4">
        <w:rPr>
          <w:rFonts w:cs="Times New Roman"/>
          <w:u w:val="single"/>
        </w:rPr>
        <w:t>S</w:t>
      </w:r>
      <w:r w:rsidR="00D25ECC" w:rsidRPr="00A40AB4">
        <w:rPr>
          <w:rFonts w:cs="Times New Roman"/>
          <w:u w:val="single"/>
        </w:rPr>
        <w:t>ocialinė</w:t>
      </w:r>
      <w:r w:rsidR="00DA1617" w:rsidRPr="00A40AB4">
        <w:rPr>
          <w:rFonts w:cs="Times New Roman"/>
          <w:u w:val="single"/>
        </w:rPr>
        <w:t xml:space="preserve"> ir kultūrinė</w:t>
      </w:r>
      <w:r w:rsidR="00B81E0C" w:rsidRPr="00A40AB4">
        <w:rPr>
          <w:rFonts w:cs="Times New Roman"/>
          <w:u w:val="single"/>
        </w:rPr>
        <w:t xml:space="preserve"> (S)</w:t>
      </w:r>
      <w:r w:rsidR="0008432A" w:rsidRPr="00A40AB4">
        <w:rPr>
          <w:rFonts w:cs="Times New Roman"/>
        </w:rPr>
        <w:t xml:space="preserve"> aplinka nusakoma įvairiais demografiniais, vertybių, gyvenimo būdo, ekologiniais ir kultūriniais pokyčiais, kurie būdingi tam tikram visuomenės raidos </w:t>
      </w:r>
      <w:r w:rsidR="0008432A" w:rsidRPr="00A40AB4">
        <w:rPr>
          <w:rFonts w:cs="Times New Roman"/>
        </w:rPr>
        <w:lastRenderedPageBreak/>
        <w:t>etapui.</w:t>
      </w:r>
      <w:r w:rsidR="00C64E55" w:rsidRPr="00A40AB4">
        <w:rPr>
          <w:rFonts w:cs="Times New Roman"/>
        </w:rPr>
        <w:t xml:space="preserve"> Socialinių faktorių tendencijos gali stipriai paveikti draudimo įmonių siūlomų produktų paklausą.</w:t>
      </w:r>
    </w:p>
    <w:p w:rsidR="00404098" w:rsidRPr="00A40AB4" w:rsidRDefault="00404098" w:rsidP="00B62EB4">
      <w:pPr>
        <w:pStyle w:val="ListParagraph"/>
        <w:numPr>
          <w:ilvl w:val="0"/>
          <w:numId w:val="37"/>
        </w:numPr>
        <w:ind w:left="993"/>
        <w:jc w:val="both"/>
        <w:rPr>
          <w:rFonts w:cs="Times New Roman"/>
        </w:rPr>
      </w:pPr>
      <w:r w:rsidRPr="00A40AB4">
        <w:rPr>
          <w:rFonts w:cs="Times New Roman"/>
          <w:u w:val="single"/>
        </w:rPr>
        <w:t>Technologinė (T)</w:t>
      </w:r>
      <w:r w:rsidR="00462892" w:rsidRPr="00A40AB4">
        <w:rPr>
          <w:rFonts w:cs="Times New Roman"/>
        </w:rPr>
        <w:t xml:space="preserve"> aplinka svarbi įvertinant naujųjų technologijų bei informacijos srautų įtaką</w:t>
      </w:r>
      <w:r w:rsidR="005D4087" w:rsidRPr="00A40AB4">
        <w:rPr>
          <w:rFonts w:cs="Times New Roman"/>
        </w:rPr>
        <w:t xml:space="preserve"> ne gyvybės draudimo rinkai. Taip pat tiriama, kaip sparčiai technologinius pokyčius rinka geba adaptuoti</w:t>
      </w:r>
      <w:r w:rsidR="00462892" w:rsidRPr="00A40AB4">
        <w:rPr>
          <w:rFonts w:cs="Times New Roman"/>
        </w:rPr>
        <w:t>.</w:t>
      </w:r>
    </w:p>
    <w:p w:rsidR="000F6486" w:rsidRPr="00A40AB4" w:rsidRDefault="0008432A" w:rsidP="00404098">
      <w:pPr>
        <w:ind w:firstLine="567"/>
        <w:jc w:val="both"/>
        <w:rPr>
          <w:rFonts w:cs="Times New Roman"/>
        </w:rPr>
      </w:pPr>
      <w:r w:rsidRPr="00A40AB4">
        <w:rPr>
          <w:rFonts w:cs="Times New Roman"/>
        </w:rPr>
        <w:t>T</w:t>
      </w:r>
      <w:r w:rsidR="00AB00DA" w:rsidRPr="00A40AB4">
        <w:rPr>
          <w:rFonts w:cs="Times New Roman"/>
        </w:rPr>
        <w:t>yrimo instrumentarijus</w:t>
      </w:r>
      <w:r w:rsidR="0067200D" w:rsidRPr="00A40AB4">
        <w:rPr>
          <w:rFonts w:cs="Times New Roman"/>
        </w:rPr>
        <w:t>, t.y. klausimai, į kuriuos reikia atsakyti norint atlikti PEST analizę,</w:t>
      </w:r>
      <w:r w:rsidR="00DA1617" w:rsidRPr="00A40AB4">
        <w:rPr>
          <w:rFonts w:cs="Times New Roman"/>
        </w:rPr>
        <w:t xml:space="preserve"> </w:t>
      </w:r>
      <w:r w:rsidR="00810005" w:rsidRPr="00A40AB4">
        <w:rPr>
          <w:rFonts w:cs="Times New Roman"/>
        </w:rPr>
        <w:t>pavaizduoti</w:t>
      </w:r>
      <w:r w:rsidR="00AB00DA" w:rsidRPr="00A40AB4">
        <w:rPr>
          <w:rFonts w:cs="Times New Roman"/>
        </w:rPr>
        <w:t xml:space="preserve"> 1 lentelėje.</w:t>
      </w:r>
    </w:p>
    <w:p w:rsidR="003D0F15" w:rsidRPr="00A40AB4" w:rsidRDefault="003D0F15" w:rsidP="00C036A0">
      <w:pPr>
        <w:ind w:firstLine="567"/>
        <w:jc w:val="both"/>
        <w:rPr>
          <w:rFonts w:cs="Times New Roman"/>
        </w:rPr>
      </w:pPr>
    </w:p>
    <w:p w:rsidR="00251D00" w:rsidRPr="00A40AB4" w:rsidRDefault="00251D00" w:rsidP="00251D00">
      <w:pPr>
        <w:pStyle w:val="Heading2"/>
        <w:spacing w:line="360" w:lineRule="auto"/>
        <w:ind w:firstLine="0"/>
      </w:pPr>
      <w:bookmarkStart w:id="145" w:name="_Toc328358592"/>
      <w:bookmarkStart w:id="146" w:name="_Toc328359421"/>
      <w:bookmarkStart w:id="147" w:name="_Toc328359506"/>
      <w:bookmarkStart w:id="148" w:name="_Toc328359561"/>
      <w:bookmarkStart w:id="149" w:name="_Toc340573837"/>
      <w:bookmarkStart w:id="150" w:name="_Toc340574107"/>
      <w:bookmarkStart w:id="151" w:name="_Toc340574382"/>
      <w:bookmarkStart w:id="152" w:name="_Toc340574698"/>
      <w:bookmarkStart w:id="153" w:name="_Toc340792020"/>
      <w:bookmarkStart w:id="154" w:name="_Toc341641118"/>
      <w:bookmarkStart w:id="155" w:name="_Toc341641369"/>
      <w:bookmarkStart w:id="156" w:name="_Toc342859657"/>
      <w:r w:rsidRPr="00A40AB4">
        <w:t>1 lentelė. Lietuvos ne gyvybės draudimo rinkos analizė PEST metodu</w:t>
      </w:r>
      <w:bookmarkEnd w:id="145"/>
      <w:bookmarkEnd w:id="146"/>
      <w:bookmarkEnd w:id="147"/>
      <w:bookmarkEnd w:id="148"/>
      <w:bookmarkEnd w:id="149"/>
      <w:bookmarkEnd w:id="150"/>
      <w:bookmarkEnd w:id="151"/>
      <w:bookmarkEnd w:id="152"/>
      <w:bookmarkEnd w:id="153"/>
      <w:bookmarkEnd w:id="154"/>
      <w:bookmarkEnd w:id="155"/>
      <w:bookmarkEnd w:id="156"/>
    </w:p>
    <w:tbl>
      <w:tblPr>
        <w:tblStyle w:val="TableGrid"/>
        <w:tblW w:w="0" w:type="auto"/>
        <w:tblInd w:w="108" w:type="dxa"/>
        <w:tblLook w:val="04A0"/>
      </w:tblPr>
      <w:tblGrid>
        <w:gridCol w:w="1418"/>
        <w:gridCol w:w="2410"/>
        <w:gridCol w:w="6095"/>
      </w:tblGrid>
      <w:tr w:rsidR="001A0FF2" w:rsidRPr="00A40AB4" w:rsidTr="006F072B">
        <w:tc>
          <w:tcPr>
            <w:tcW w:w="1418" w:type="dxa"/>
            <w:vAlign w:val="center"/>
          </w:tcPr>
          <w:p w:rsidR="001A0FF2" w:rsidRPr="00A40AB4" w:rsidRDefault="001A0FF2" w:rsidP="001A0FF2">
            <w:pPr>
              <w:rPr>
                <w:rFonts w:cs="Times New Roman"/>
                <w:b/>
              </w:rPr>
            </w:pPr>
            <w:r w:rsidRPr="00A40AB4">
              <w:rPr>
                <w:rFonts w:cs="Times New Roman"/>
                <w:b/>
              </w:rPr>
              <w:t>Veiksnių grupės</w:t>
            </w:r>
          </w:p>
        </w:tc>
        <w:tc>
          <w:tcPr>
            <w:tcW w:w="2410" w:type="dxa"/>
            <w:vAlign w:val="center"/>
          </w:tcPr>
          <w:p w:rsidR="001A0FF2" w:rsidRPr="00A40AB4" w:rsidRDefault="001A0FF2" w:rsidP="001A0FF2">
            <w:pPr>
              <w:rPr>
                <w:rFonts w:cs="Times New Roman"/>
                <w:b/>
              </w:rPr>
            </w:pPr>
            <w:r w:rsidRPr="00A40AB4">
              <w:rPr>
                <w:rFonts w:cs="Times New Roman"/>
                <w:b/>
              </w:rPr>
              <w:t>Kriterijus</w:t>
            </w:r>
          </w:p>
        </w:tc>
        <w:tc>
          <w:tcPr>
            <w:tcW w:w="6095" w:type="dxa"/>
            <w:vAlign w:val="center"/>
          </w:tcPr>
          <w:p w:rsidR="001A0FF2" w:rsidRPr="00A40AB4" w:rsidRDefault="001A0FF2" w:rsidP="001A0FF2">
            <w:pPr>
              <w:rPr>
                <w:rFonts w:cs="Times New Roman"/>
                <w:b/>
              </w:rPr>
            </w:pPr>
            <w:r w:rsidRPr="00A40AB4">
              <w:rPr>
                <w:rFonts w:cs="Times New Roman"/>
                <w:b/>
              </w:rPr>
              <w:t>Tyrimo klausimai</w:t>
            </w:r>
          </w:p>
        </w:tc>
      </w:tr>
      <w:tr w:rsidR="001A0FF2" w:rsidRPr="00A40AB4" w:rsidTr="006F072B">
        <w:tc>
          <w:tcPr>
            <w:tcW w:w="1418" w:type="dxa"/>
            <w:vAlign w:val="center"/>
          </w:tcPr>
          <w:p w:rsidR="001A0FF2" w:rsidRPr="00A40AB4" w:rsidRDefault="00DA1617" w:rsidP="00DA1617">
            <w:pPr>
              <w:rPr>
                <w:rFonts w:cs="Times New Roman"/>
                <w:b/>
              </w:rPr>
            </w:pPr>
            <w:r w:rsidRPr="00A40AB4">
              <w:rPr>
                <w:rFonts w:cs="Times New Roman"/>
                <w:b/>
              </w:rPr>
              <w:t xml:space="preserve">P – politinė ir teisinė </w:t>
            </w:r>
          </w:p>
        </w:tc>
        <w:tc>
          <w:tcPr>
            <w:tcW w:w="2410" w:type="dxa"/>
            <w:vAlign w:val="center"/>
          </w:tcPr>
          <w:p w:rsidR="00DA1617" w:rsidRPr="00A40AB4" w:rsidRDefault="006F072B" w:rsidP="006F072B">
            <w:pPr>
              <w:rPr>
                <w:rFonts w:cs="Times New Roman"/>
              </w:rPr>
            </w:pPr>
            <w:r>
              <w:rPr>
                <w:rFonts w:cs="Times New Roman"/>
              </w:rPr>
              <w:t>Vyriausybės politika ir stabilumas, d</w:t>
            </w:r>
            <w:r w:rsidR="00DA1617" w:rsidRPr="00A40AB4">
              <w:rPr>
                <w:rFonts w:cs="Times New Roman"/>
              </w:rPr>
              <w:t>raudimo verslą reguliuojantys įstatymai</w:t>
            </w:r>
            <w:r w:rsidR="00421FD3" w:rsidRPr="00A40AB4">
              <w:rPr>
                <w:rFonts w:cs="Times New Roman"/>
              </w:rPr>
              <w:t>.</w:t>
            </w:r>
          </w:p>
        </w:tc>
        <w:tc>
          <w:tcPr>
            <w:tcW w:w="6095" w:type="dxa"/>
            <w:vAlign w:val="center"/>
          </w:tcPr>
          <w:p w:rsidR="000253CF" w:rsidRPr="00A40AB4" w:rsidRDefault="000253CF" w:rsidP="00DA1617">
            <w:pPr>
              <w:rPr>
                <w:rFonts w:cs="Times New Roman"/>
              </w:rPr>
            </w:pPr>
            <w:r w:rsidRPr="00A40AB4">
              <w:rPr>
                <w:rFonts w:cs="Times New Roman"/>
              </w:rPr>
              <w:t>Ar Lietuvoje politinė situacija</w:t>
            </w:r>
            <w:r w:rsidR="00B05914" w:rsidRPr="00A40AB4">
              <w:rPr>
                <w:rFonts w:cs="Times New Roman"/>
              </w:rPr>
              <w:t xml:space="preserve"> stabili</w:t>
            </w:r>
            <w:r w:rsidRPr="00A40AB4">
              <w:rPr>
                <w:rFonts w:cs="Times New Roman"/>
              </w:rPr>
              <w:t>?</w:t>
            </w:r>
          </w:p>
          <w:p w:rsidR="001A0FF2" w:rsidRPr="00A40AB4" w:rsidRDefault="00DA1617" w:rsidP="00DA1617">
            <w:pPr>
              <w:rPr>
                <w:rFonts w:cs="Times New Roman"/>
              </w:rPr>
            </w:pPr>
            <w:r w:rsidRPr="00A40AB4">
              <w:rPr>
                <w:rFonts w:cs="Times New Roman"/>
              </w:rPr>
              <w:t>Kokie įstatymai ir kaip reglamentuoja</w:t>
            </w:r>
            <w:r w:rsidR="00421FD3" w:rsidRPr="00A40AB4">
              <w:rPr>
                <w:rFonts w:cs="Times New Roman"/>
              </w:rPr>
              <w:t xml:space="preserve"> ne gyvybės draudimo rinką?</w:t>
            </w:r>
          </w:p>
          <w:p w:rsidR="00421FD3" w:rsidRPr="00A40AB4" w:rsidRDefault="00421FD3" w:rsidP="00DA1617">
            <w:pPr>
              <w:rPr>
                <w:rFonts w:cs="Times New Roman"/>
              </w:rPr>
            </w:pPr>
            <w:r w:rsidRPr="00A40AB4">
              <w:rPr>
                <w:rFonts w:cs="Times New Roman"/>
              </w:rPr>
              <w:t>Kokia nuosavybės teises bei turto apsaugą užtikrinančių įstatymų padėtis?</w:t>
            </w:r>
          </w:p>
        </w:tc>
      </w:tr>
      <w:tr w:rsidR="001A0FF2" w:rsidRPr="00A40AB4" w:rsidTr="006F072B">
        <w:tc>
          <w:tcPr>
            <w:tcW w:w="1418" w:type="dxa"/>
            <w:vAlign w:val="center"/>
          </w:tcPr>
          <w:p w:rsidR="001A0FF2" w:rsidRPr="00A40AB4" w:rsidRDefault="00DA1617" w:rsidP="00DA1617">
            <w:pPr>
              <w:rPr>
                <w:rFonts w:cs="Times New Roman"/>
                <w:b/>
              </w:rPr>
            </w:pPr>
            <w:r w:rsidRPr="00A40AB4">
              <w:rPr>
                <w:rFonts w:cs="Times New Roman"/>
                <w:b/>
              </w:rPr>
              <w:t xml:space="preserve">E – ekonominė </w:t>
            </w:r>
          </w:p>
        </w:tc>
        <w:tc>
          <w:tcPr>
            <w:tcW w:w="2410" w:type="dxa"/>
            <w:vAlign w:val="center"/>
          </w:tcPr>
          <w:p w:rsidR="00421FD3" w:rsidRPr="00A40AB4" w:rsidRDefault="00421FD3" w:rsidP="006F072B">
            <w:pPr>
              <w:rPr>
                <w:rFonts w:cs="Times New Roman"/>
              </w:rPr>
            </w:pPr>
            <w:r w:rsidRPr="00A40AB4">
              <w:rPr>
                <w:rFonts w:cs="Times New Roman"/>
              </w:rPr>
              <w:t>BVP, infliacija, nedarbo lygis, palūkanų norma, užsienio investicijos, disponuojamos pajamos</w:t>
            </w:r>
            <w:r w:rsidR="006F072B">
              <w:rPr>
                <w:rFonts w:cs="Times New Roman"/>
              </w:rPr>
              <w:t>, transporto priemonių skaičius šalyje</w:t>
            </w:r>
            <w:r w:rsidR="00533EC8" w:rsidRPr="00A40AB4">
              <w:rPr>
                <w:rFonts w:cs="Times New Roman"/>
              </w:rPr>
              <w:t>.</w:t>
            </w:r>
          </w:p>
        </w:tc>
        <w:tc>
          <w:tcPr>
            <w:tcW w:w="6095" w:type="dxa"/>
            <w:vAlign w:val="center"/>
          </w:tcPr>
          <w:p w:rsidR="00ED5E14" w:rsidRPr="00A40AB4" w:rsidRDefault="00ED5E14" w:rsidP="00ED5E14">
            <w:pPr>
              <w:rPr>
                <w:rFonts w:cs="Times New Roman"/>
              </w:rPr>
            </w:pPr>
            <w:r w:rsidRPr="00A40AB4">
              <w:rPr>
                <w:rFonts w:cs="Times New Roman"/>
              </w:rPr>
              <w:t xml:space="preserve">Kokios Lietuvos BVP bei vienam gyventojui </w:t>
            </w:r>
            <w:r w:rsidR="00D06F7B">
              <w:rPr>
                <w:rFonts w:cs="Times New Roman"/>
              </w:rPr>
              <w:t xml:space="preserve">tenkančio BVP </w:t>
            </w:r>
            <w:r w:rsidRPr="00A40AB4">
              <w:rPr>
                <w:rFonts w:cs="Times New Roman"/>
              </w:rPr>
              <w:t>tendencijos?</w:t>
            </w:r>
          </w:p>
          <w:p w:rsidR="00ED5E14" w:rsidRPr="00A40AB4" w:rsidRDefault="00C20BD1" w:rsidP="00ED5E14">
            <w:pPr>
              <w:rPr>
                <w:rFonts w:cs="Times New Roman"/>
              </w:rPr>
            </w:pPr>
            <w:r>
              <w:rPr>
                <w:rFonts w:cs="Times New Roman"/>
              </w:rPr>
              <w:t>Kokia vidutinio darbo užmokesčio bei užimtumo Lietuvoje dinamika</w:t>
            </w:r>
            <w:r w:rsidR="00ED5E14" w:rsidRPr="00A40AB4">
              <w:rPr>
                <w:rFonts w:cs="Times New Roman"/>
              </w:rPr>
              <w:t>?</w:t>
            </w:r>
          </w:p>
          <w:p w:rsidR="00ED5E14" w:rsidRPr="00A40AB4" w:rsidRDefault="00ED5E14" w:rsidP="00ED5E14">
            <w:pPr>
              <w:rPr>
                <w:rFonts w:cs="Times New Roman"/>
              </w:rPr>
            </w:pPr>
            <w:r w:rsidRPr="00A40AB4">
              <w:rPr>
                <w:rFonts w:cs="Times New Roman"/>
              </w:rPr>
              <w:t>Koki</w:t>
            </w:r>
            <w:r w:rsidR="00C20BD1">
              <w:rPr>
                <w:rFonts w:cs="Times New Roman"/>
              </w:rPr>
              <w:t xml:space="preserve">os infliacijos bei </w:t>
            </w:r>
            <w:r w:rsidRPr="00A40AB4">
              <w:rPr>
                <w:rFonts w:cs="Times New Roman"/>
              </w:rPr>
              <w:t>palūkanų normos tendencijos Lietuvoje?</w:t>
            </w:r>
          </w:p>
          <w:p w:rsidR="00ED5E14" w:rsidRPr="00A40AB4" w:rsidRDefault="00ED5E14" w:rsidP="00ED5E14">
            <w:pPr>
              <w:rPr>
                <w:rFonts w:cs="Times New Roman"/>
              </w:rPr>
            </w:pPr>
            <w:r w:rsidRPr="00A40AB4">
              <w:rPr>
                <w:rFonts w:cs="Times New Roman"/>
              </w:rPr>
              <w:t>Kaip kinta užsienio investicijų apimtis?</w:t>
            </w:r>
          </w:p>
          <w:p w:rsidR="00533EC8" w:rsidRPr="00A40AB4" w:rsidRDefault="00ED5E14" w:rsidP="00ED5E14">
            <w:pPr>
              <w:rPr>
                <w:rFonts w:cs="Times New Roman"/>
              </w:rPr>
            </w:pPr>
            <w:r w:rsidRPr="00A40AB4">
              <w:rPr>
                <w:rFonts w:cs="Times New Roman"/>
              </w:rPr>
              <w:t>Kokios naujai užregistruotų transporto priemonių skaičiaus tendencijos Lietuvoje?</w:t>
            </w:r>
          </w:p>
        </w:tc>
      </w:tr>
      <w:tr w:rsidR="001A0FF2" w:rsidRPr="00A40AB4" w:rsidTr="006F072B">
        <w:tc>
          <w:tcPr>
            <w:tcW w:w="1418" w:type="dxa"/>
            <w:vAlign w:val="center"/>
          </w:tcPr>
          <w:p w:rsidR="001A0FF2" w:rsidRPr="00A40AB4" w:rsidRDefault="00DA1617" w:rsidP="001A0FF2">
            <w:pPr>
              <w:rPr>
                <w:rFonts w:cs="Times New Roman"/>
                <w:b/>
              </w:rPr>
            </w:pPr>
            <w:r w:rsidRPr="00A40AB4">
              <w:rPr>
                <w:rFonts w:cs="Times New Roman"/>
                <w:b/>
              </w:rPr>
              <w:t>S – socialinė ir kultūrinė</w:t>
            </w:r>
          </w:p>
        </w:tc>
        <w:tc>
          <w:tcPr>
            <w:tcW w:w="2410" w:type="dxa"/>
            <w:vAlign w:val="center"/>
          </w:tcPr>
          <w:p w:rsidR="001A0FF2" w:rsidRPr="00A40AB4" w:rsidRDefault="00533EC8" w:rsidP="00533EC8">
            <w:pPr>
              <w:rPr>
                <w:rFonts w:cs="Times New Roman"/>
              </w:rPr>
            </w:pPr>
            <w:r w:rsidRPr="00A40AB4">
              <w:rPr>
                <w:rFonts w:cs="Times New Roman"/>
              </w:rPr>
              <w:t xml:space="preserve">Gyventojų demografinė padėtis, pajamų </w:t>
            </w:r>
            <w:r w:rsidR="006D6CD2">
              <w:rPr>
                <w:rFonts w:cs="Times New Roman"/>
              </w:rPr>
              <w:t>pasi</w:t>
            </w:r>
            <w:r w:rsidRPr="00A40AB4">
              <w:rPr>
                <w:rFonts w:cs="Times New Roman"/>
              </w:rPr>
              <w:t>skirstymas, vertybių pasikeitimas.</w:t>
            </w:r>
          </w:p>
        </w:tc>
        <w:tc>
          <w:tcPr>
            <w:tcW w:w="6095" w:type="dxa"/>
            <w:vAlign w:val="center"/>
          </w:tcPr>
          <w:p w:rsidR="00A036B5" w:rsidRPr="00A40AB4" w:rsidRDefault="00A036B5" w:rsidP="00A036B5">
            <w:pPr>
              <w:rPr>
                <w:rFonts w:cs="Times New Roman"/>
              </w:rPr>
            </w:pPr>
            <w:r w:rsidRPr="00A40AB4">
              <w:rPr>
                <w:rFonts w:cs="Times New Roman"/>
              </w:rPr>
              <w:t>Kaip kinta Lietuvos demografinė padėtis?</w:t>
            </w:r>
          </w:p>
          <w:p w:rsidR="00A036B5" w:rsidRPr="00A40AB4" w:rsidRDefault="00A036B5" w:rsidP="00A036B5">
            <w:pPr>
              <w:rPr>
                <w:rFonts w:cs="Times New Roman"/>
              </w:rPr>
            </w:pPr>
            <w:r w:rsidRPr="00A40AB4">
              <w:rPr>
                <w:rFonts w:cs="Times New Roman"/>
              </w:rPr>
              <w:t>Koks pajamų pasiskirstymas tarp gyventojų?</w:t>
            </w:r>
          </w:p>
          <w:p w:rsidR="00A036B5" w:rsidRPr="00A40AB4" w:rsidRDefault="00A036B5" w:rsidP="00A036B5">
            <w:pPr>
              <w:rPr>
                <w:rFonts w:cs="Times New Roman"/>
              </w:rPr>
            </w:pPr>
            <w:r w:rsidRPr="00A40AB4">
              <w:rPr>
                <w:rFonts w:cs="Times New Roman"/>
              </w:rPr>
              <w:t>Kokių produktų įsigijimui žmonės skiria daugiausia lėšų, kokia draudimo svarba?</w:t>
            </w:r>
          </w:p>
          <w:p w:rsidR="00A036B5" w:rsidRPr="00A40AB4" w:rsidRDefault="00A036B5" w:rsidP="00A036B5">
            <w:pPr>
              <w:rPr>
                <w:rFonts w:cs="Times New Roman"/>
              </w:rPr>
            </w:pPr>
            <w:r w:rsidRPr="00A40AB4">
              <w:rPr>
                <w:rFonts w:cs="Times New Roman"/>
              </w:rPr>
              <w:t>Kaip keičiasi gyventojų vertybės, gyvenimo būdas?</w:t>
            </w:r>
          </w:p>
          <w:p w:rsidR="003A0738" w:rsidRPr="00A40AB4" w:rsidRDefault="00A036B5" w:rsidP="00A036B5">
            <w:pPr>
              <w:rPr>
                <w:rFonts w:cs="Times New Roman"/>
              </w:rPr>
            </w:pPr>
            <w:r w:rsidRPr="00A40AB4">
              <w:rPr>
                <w:rFonts w:cs="Times New Roman"/>
              </w:rPr>
              <w:t>Kokios švietimo tendencijos Lietuvoje?</w:t>
            </w:r>
          </w:p>
        </w:tc>
      </w:tr>
      <w:tr w:rsidR="001A0FF2" w:rsidRPr="00A40AB4" w:rsidTr="006F072B">
        <w:tc>
          <w:tcPr>
            <w:tcW w:w="1418" w:type="dxa"/>
            <w:vAlign w:val="center"/>
          </w:tcPr>
          <w:p w:rsidR="001A0FF2" w:rsidRPr="00A40AB4" w:rsidRDefault="00DA1617" w:rsidP="001A0FF2">
            <w:pPr>
              <w:rPr>
                <w:rFonts w:cs="Times New Roman"/>
                <w:b/>
              </w:rPr>
            </w:pPr>
            <w:r w:rsidRPr="00A40AB4">
              <w:rPr>
                <w:rFonts w:cs="Times New Roman"/>
                <w:b/>
              </w:rPr>
              <w:t>T - technologinė</w:t>
            </w:r>
          </w:p>
        </w:tc>
        <w:tc>
          <w:tcPr>
            <w:tcW w:w="2410" w:type="dxa"/>
            <w:vAlign w:val="center"/>
          </w:tcPr>
          <w:p w:rsidR="001A0FF2" w:rsidRPr="00A40AB4" w:rsidRDefault="00533EC8" w:rsidP="001A0FF2">
            <w:pPr>
              <w:rPr>
                <w:rFonts w:cs="Times New Roman"/>
              </w:rPr>
            </w:pPr>
            <w:r w:rsidRPr="00A40AB4">
              <w:rPr>
                <w:rFonts w:cs="Times New Roman"/>
              </w:rPr>
              <w:t>Mokslo, technikos, technologinė pažanga</w:t>
            </w:r>
          </w:p>
        </w:tc>
        <w:tc>
          <w:tcPr>
            <w:tcW w:w="6095" w:type="dxa"/>
            <w:vAlign w:val="center"/>
          </w:tcPr>
          <w:p w:rsidR="00C20BD1" w:rsidRDefault="00533EC8" w:rsidP="00533EC8">
            <w:pPr>
              <w:rPr>
                <w:rFonts w:cs="Times New Roman"/>
              </w:rPr>
            </w:pPr>
            <w:r w:rsidRPr="00A40AB4">
              <w:rPr>
                <w:rFonts w:cs="Times New Roman"/>
              </w:rPr>
              <w:t xml:space="preserve">Kokios technologijos daro didžiausią įtaką ne gyvybės draudimo plėtrai? </w:t>
            </w:r>
          </w:p>
          <w:p w:rsidR="001A0FF2" w:rsidRPr="00A40AB4" w:rsidRDefault="00533EC8" w:rsidP="00533EC8">
            <w:pPr>
              <w:rPr>
                <w:rFonts w:cs="Times New Roman"/>
              </w:rPr>
            </w:pPr>
            <w:r w:rsidRPr="00A40AB4">
              <w:rPr>
                <w:rFonts w:cs="Times New Roman"/>
              </w:rPr>
              <w:t>Kuo ši įtaka pasireiškia?</w:t>
            </w:r>
          </w:p>
        </w:tc>
      </w:tr>
    </w:tbl>
    <w:p w:rsidR="00B8120F" w:rsidRPr="00A40AB4" w:rsidRDefault="00B8120F" w:rsidP="00251D00">
      <w:pPr>
        <w:spacing w:before="120"/>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sudaryta autoriaus remiantis</w:t>
      </w:r>
      <w:r w:rsidRPr="00A40AB4">
        <w:rPr>
          <w:rFonts w:cs="Times New Roman"/>
          <w:b/>
          <w:sz w:val="20"/>
          <w:szCs w:val="20"/>
        </w:rPr>
        <w:t xml:space="preserve"> </w:t>
      </w:r>
      <w:r w:rsidR="000C3EA9" w:rsidRPr="00A40AB4">
        <w:rPr>
          <w:rFonts w:cs="Times New Roman"/>
          <w:sz w:val="20"/>
          <w:szCs w:val="20"/>
        </w:rPr>
        <w:t>Buškevičiūte E., Poželaite</w:t>
      </w:r>
      <w:r w:rsidRPr="00A40AB4">
        <w:rPr>
          <w:rFonts w:cs="Times New Roman"/>
          <w:sz w:val="20"/>
          <w:szCs w:val="20"/>
        </w:rPr>
        <w:t xml:space="preserve"> R., 2001</w:t>
      </w:r>
      <w:r w:rsidR="008206AA" w:rsidRPr="00A40AB4">
        <w:rPr>
          <w:rFonts w:cs="Times New Roman"/>
          <w:sz w:val="20"/>
          <w:szCs w:val="20"/>
        </w:rPr>
        <w:t xml:space="preserve"> bei Lynch</w:t>
      </w:r>
      <w:r w:rsidR="0060642F" w:rsidRPr="00A40AB4">
        <w:rPr>
          <w:rFonts w:cs="Times New Roman"/>
          <w:sz w:val="20"/>
          <w:szCs w:val="20"/>
        </w:rPr>
        <w:t xml:space="preserve"> R.</w:t>
      </w:r>
      <w:r w:rsidR="008206AA" w:rsidRPr="00A40AB4">
        <w:rPr>
          <w:rFonts w:cs="Times New Roman"/>
          <w:sz w:val="20"/>
          <w:szCs w:val="20"/>
        </w:rPr>
        <w:t xml:space="preserve">, </w:t>
      </w:r>
      <w:r w:rsidR="008206AA" w:rsidRPr="00A40AB4">
        <w:rPr>
          <w:rFonts w:cs="Times New Roman"/>
          <w:sz w:val="20"/>
          <w:szCs w:val="20"/>
          <w:lang w:val="en-US"/>
        </w:rPr>
        <w:t>2009</w:t>
      </w:r>
      <w:r w:rsidRPr="00A40AB4">
        <w:rPr>
          <w:rFonts w:cs="Times New Roman"/>
          <w:sz w:val="20"/>
          <w:szCs w:val="20"/>
        </w:rPr>
        <w:t>.</w:t>
      </w:r>
    </w:p>
    <w:p w:rsidR="00FC7F67" w:rsidRDefault="00FC7F67" w:rsidP="003D0F15">
      <w:pPr>
        <w:ind w:firstLine="567"/>
        <w:jc w:val="both"/>
        <w:rPr>
          <w:rFonts w:cs="Times New Roman"/>
        </w:rPr>
      </w:pPr>
    </w:p>
    <w:p w:rsidR="00203D11" w:rsidRPr="00A40AB4" w:rsidRDefault="00203D11" w:rsidP="003D0F15">
      <w:pPr>
        <w:ind w:firstLine="567"/>
        <w:jc w:val="both"/>
        <w:rPr>
          <w:rFonts w:cs="Times New Roman"/>
        </w:rPr>
      </w:pPr>
    </w:p>
    <w:p w:rsidR="003D0F15" w:rsidRPr="00A40AB4" w:rsidRDefault="003D0F15" w:rsidP="00A232C5">
      <w:pPr>
        <w:pStyle w:val="Heading2"/>
        <w:spacing w:line="360" w:lineRule="auto"/>
        <w:ind w:left="567" w:firstLine="0"/>
        <w:jc w:val="both"/>
        <w:rPr>
          <w:sz w:val="28"/>
        </w:rPr>
      </w:pPr>
      <w:bookmarkStart w:id="157" w:name="_Toc340574383"/>
      <w:bookmarkStart w:id="158" w:name="_Toc340574699"/>
      <w:bookmarkStart w:id="159" w:name="_Toc341641370"/>
      <w:bookmarkStart w:id="160" w:name="_Toc342859658"/>
      <w:r w:rsidRPr="00A40AB4">
        <w:rPr>
          <w:sz w:val="28"/>
        </w:rPr>
        <w:lastRenderedPageBreak/>
        <w:t>2.</w:t>
      </w:r>
      <w:r w:rsidRPr="00A40AB4">
        <w:rPr>
          <w:sz w:val="28"/>
          <w:lang w:val="en-US"/>
        </w:rPr>
        <w:t>2</w:t>
      </w:r>
      <w:r w:rsidRPr="00A40AB4">
        <w:rPr>
          <w:sz w:val="28"/>
        </w:rPr>
        <w:t xml:space="preserve">. </w:t>
      </w:r>
      <w:r w:rsidR="00C24E5D">
        <w:rPr>
          <w:sz w:val="28"/>
        </w:rPr>
        <w:t>N</w:t>
      </w:r>
      <w:r w:rsidRPr="00A40AB4">
        <w:rPr>
          <w:sz w:val="28"/>
        </w:rPr>
        <w:t xml:space="preserve">e gyvybės draudimo rinkos plėtros </w:t>
      </w:r>
      <w:bookmarkEnd w:id="157"/>
      <w:bookmarkEnd w:id="158"/>
      <w:r w:rsidR="004F5612">
        <w:rPr>
          <w:sz w:val="28"/>
        </w:rPr>
        <w:t xml:space="preserve">veiksnių </w:t>
      </w:r>
      <w:bookmarkEnd w:id="159"/>
      <w:r w:rsidR="00AD3C6D">
        <w:rPr>
          <w:sz w:val="28"/>
        </w:rPr>
        <w:t>tyrimo metodika</w:t>
      </w:r>
      <w:bookmarkEnd w:id="160"/>
    </w:p>
    <w:p w:rsidR="003D0F15" w:rsidRPr="00A40AB4" w:rsidRDefault="003D0F15" w:rsidP="003D0F15">
      <w:pPr>
        <w:ind w:firstLine="567"/>
        <w:jc w:val="both"/>
        <w:rPr>
          <w:rFonts w:cs="Times New Roman"/>
        </w:rPr>
      </w:pPr>
    </w:p>
    <w:p w:rsidR="003D0F15" w:rsidRDefault="003D0F15" w:rsidP="003D0F15">
      <w:pPr>
        <w:ind w:firstLine="567"/>
        <w:jc w:val="both"/>
        <w:rPr>
          <w:rFonts w:cs="Times New Roman"/>
          <w:lang w:val="en-US"/>
        </w:rPr>
      </w:pPr>
      <w:r w:rsidRPr="00A40AB4">
        <w:rPr>
          <w:rFonts w:cs="Times New Roman"/>
        </w:rPr>
        <w:t>Analizuojant faktorius, lemiančius ne gyvybės draudimo rinkos plėtros vystymąsi tikslinga panaudoti kiekybinį metodą</w:t>
      </w:r>
      <w:r w:rsidR="004F5612">
        <w:rPr>
          <w:rFonts w:cs="Times New Roman"/>
        </w:rPr>
        <w:t xml:space="preserve"> bei sudaryti </w:t>
      </w:r>
      <w:r w:rsidR="00FF04B7">
        <w:rPr>
          <w:rFonts w:cs="Times New Roman"/>
        </w:rPr>
        <w:t xml:space="preserve">veiksnių </w:t>
      </w:r>
      <w:r w:rsidR="004F5612">
        <w:rPr>
          <w:rFonts w:cs="Times New Roman"/>
        </w:rPr>
        <w:t>vertinimo modelį</w:t>
      </w:r>
      <w:r w:rsidRPr="00A40AB4">
        <w:rPr>
          <w:rFonts w:cs="Times New Roman"/>
        </w:rPr>
        <w:t xml:space="preserve">. </w:t>
      </w:r>
      <w:r w:rsidR="004F5612">
        <w:rPr>
          <w:rFonts w:cs="Times New Roman"/>
        </w:rPr>
        <w:t>Norint nustatyti labiausiai pasirašytų</w:t>
      </w:r>
      <w:r w:rsidRPr="00A40AB4">
        <w:rPr>
          <w:rFonts w:cs="Times New Roman"/>
        </w:rPr>
        <w:t xml:space="preserve"> draudimo įmokų dinamiką </w:t>
      </w:r>
      <w:r w:rsidR="004F5612">
        <w:rPr>
          <w:rFonts w:cs="Times New Roman"/>
        </w:rPr>
        <w:t xml:space="preserve">nusakantį modelį bus </w:t>
      </w:r>
      <w:r w:rsidRPr="00A40AB4">
        <w:rPr>
          <w:rFonts w:cs="Times New Roman"/>
        </w:rPr>
        <w:t xml:space="preserve">naudojama koreliacinė ir </w:t>
      </w:r>
      <w:r w:rsidR="004F5612">
        <w:rPr>
          <w:rFonts w:cs="Times New Roman"/>
        </w:rPr>
        <w:t xml:space="preserve">tiesinė </w:t>
      </w:r>
      <w:r w:rsidRPr="00A40AB4">
        <w:rPr>
          <w:rFonts w:cs="Times New Roman"/>
        </w:rPr>
        <w:t xml:space="preserve">regresinė analizė. </w:t>
      </w:r>
      <w:r w:rsidR="004F5612">
        <w:rPr>
          <w:rFonts w:cs="Times New Roman"/>
        </w:rPr>
        <w:t xml:space="preserve">Skaičiavimai </w:t>
      </w:r>
      <w:r w:rsidR="004B1A59">
        <w:rPr>
          <w:rFonts w:cs="Times New Roman"/>
        </w:rPr>
        <w:t xml:space="preserve">bus </w:t>
      </w:r>
      <w:r w:rsidR="004F5612">
        <w:rPr>
          <w:rFonts w:cs="Times New Roman"/>
        </w:rPr>
        <w:t xml:space="preserve">atlikti bei modelis sudarytas naudojantis </w:t>
      </w:r>
      <w:r w:rsidRPr="00A40AB4">
        <w:rPr>
          <w:rFonts w:cs="Times New Roman"/>
        </w:rPr>
        <w:t xml:space="preserve">statistiniu paketu GRETL </w:t>
      </w:r>
      <w:r w:rsidRPr="00A40AB4">
        <w:rPr>
          <w:rFonts w:cs="Times New Roman"/>
          <w:lang w:val="en-US"/>
        </w:rPr>
        <w:t>1.9.10.</w:t>
      </w:r>
    </w:p>
    <w:p w:rsidR="001A284D" w:rsidRPr="00A40AB4" w:rsidRDefault="001A284D" w:rsidP="003D0F15">
      <w:pPr>
        <w:ind w:firstLine="567"/>
        <w:jc w:val="both"/>
        <w:rPr>
          <w:rFonts w:cs="Times New Roman"/>
        </w:rPr>
      </w:pPr>
    </w:p>
    <w:p w:rsidR="001A284D" w:rsidRDefault="00FF04B7" w:rsidP="003D0F15">
      <w:pPr>
        <w:ind w:firstLine="567"/>
        <w:jc w:val="both"/>
        <w:rPr>
          <w:rFonts w:cs="Times New Roman"/>
        </w:rPr>
      </w:pPr>
      <w:r w:rsidRPr="001A284D">
        <w:rPr>
          <w:rFonts w:cs="Times New Roman"/>
          <w:b/>
        </w:rPr>
        <w:t>Koreliacinė</w:t>
      </w:r>
      <w:r w:rsidR="003D0F15" w:rsidRPr="001A284D">
        <w:rPr>
          <w:rFonts w:cs="Times New Roman"/>
          <w:b/>
        </w:rPr>
        <w:t xml:space="preserve"> </w:t>
      </w:r>
      <w:r w:rsidRPr="001A284D">
        <w:rPr>
          <w:rFonts w:cs="Times New Roman"/>
          <w:b/>
        </w:rPr>
        <w:t>analizė</w:t>
      </w:r>
    </w:p>
    <w:p w:rsidR="003D0F15" w:rsidRPr="00A40AB4" w:rsidRDefault="003D0F15" w:rsidP="003D0F15">
      <w:pPr>
        <w:ind w:firstLine="567"/>
        <w:jc w:val="both"/>
        <w:rPr>
          <w:rFonts w:cs="Times New Roman"/>
        </w:rPr>
      </w:pPr>
      <w:r w:rsidRPr="00A40AB4">
        <w:rPr>
          <w:rFonts w:cs="Times New Roman"/>
        </w:rPr>
        <w:t>Atliekant socialinių mokslų tyrimus tikslinga prognozuoti bei įvertinti rodiklių ryšius su kitais socialiniais ar ekonominiais rodikliais, nustatyti jų kaitos nuo laiko priklausomybę. Pasak Rudzkienės (2005)</w:t>
      </w:r>
      <w:r w:rsidR="00FE5B60">
        <w:rPr>
          <w:rFonts w:cs="Times New Roman"/>
        </w:rPr>
        <w:t>,</w:t>
      </w:r>
      <w:r w:rsidRPr="00A40AB4">
        <w:rPr>
          <w:rFonts w:cs="Times New Roman"/>
        </w:rPr>
        <w:t xml:space="preserve"> sąvokos „koreliacija“ pradinė reikšmė – tarpusavio ryšys. </w:t>
      </w:r>
      <w:r w:rsidR="00A31EDC">
        <w:rPr>
          <w:rFonts w:cs="Times New Roman"/>
        </w:rPr>
        <w:t>D</w:t>
      </w:r>
      <w:r w:rsidRPr="00A40AB4">
        <w:rPr>
          <w:rFonts w:cs="Times New Roman"/>
        </w:rPr>
        <w:t xml:space="preserve">viejų kintamųjų tarpusavio ryšį nusako koreliacijos koeficientas. Reikia pažymėti, jog šis koeficientas nurodo tik tiesinį ryšį. </w:t>
      </w:r>
      <w:r w:rsidR="00E745A3">
        <w:rPr>
          <w:rFonts w:cs="Times New Roman"/>
        </w:rPr>
        <w:t xml:space="preserve">Jis bus naudojamas pirmajame etape siekiant nustatyti, kurie nepriklausomi veiksniai daro didžiausią įtaką ne gyvybės draudimo pasirašytų įmokų kaitai. </w:t>
      </w:r>
      <w:r w:rsidR="00B441DA">
        <w:rPr>
          <w:rFonts w:cs="Times New Roman"/>
        </w:rPr>
        <w:t>Dydži</w:t>
      </w:r>
      <w:r w:rsidR="00551F44">
        <w:rPr>
          <w:rFonts w:cs="Times New Roman"/>
        </w:rPr>
        <w:t>ų</w:t>
      </w:r>
      <w:r w:rsidR="00B441DA">
        <w:rPr>
          <w:rFonts w:cs="Times New Roman"/>
        </w:rPr>
        <w:t>, pasiskirsčiusi</w:t>
      </w:r>
      <w:r w:rsidR="00551F44">
        <w:rPr>
          <w:rFonts w:cs="Times New Roman"/>
        </w:rPr>
        <w:t>ų</w:t>
      </w:r>
      <w:r w:rsidR="00B441DA">
        <w:rPr>
          <w:rFonts w:cs="Times New Roman"/>
        </w:rPr>
        <w:t xml:space="preserve"> pagal normalųjį skirstinį</w:t>
      </w:r>
      <w:r w:rsidR="00551F44">
        <w:rPr>
          <w:rFonts w:cs="Times New Roman"/>
        </w:rPr>
        <w:t>, tarpusavio priklausomybei matuoti</w:t>
      </w:r>
      <w:r w:rsidR="00B441DA">
        <w:rPr>
          <w:rFonts w:cs="Times New Roman"/>
        </w:rPr>
        <w:t xml:space="preserve"> paprastai </w:t>
      </w:r>
      <w:r w:rsidRPr="00A40AB4">
        <w:rPr>
          <w:rFonts w:cs="Times New Roman"/>
        </w:rPr>
        <w:t xml:space="preserve">naudojamas Pirsono koreliacijos koeficientas </w:t>
      </w:r>
      <w:r w:rsidRPr="00A40AB4">
        <w:rPr>
          <w:rFonts w:cs="Times New Roman"/>
          <w:i/>
        </w:rPr>
        <w:t>r</w:t>
      </w:r>
      <w:r w:rsidRPr="00A40AB4">
        <w:rPr>
          <w:rFonts w:cs="Times New Roman"/>
        </w:rPr>
        <w:t>, kuris apskaičiuojamas pagal formulę:</w:t>
      </w:r>
    </w:p>
    <w:p w:rsidR="003D0F15" w:rsidRPr="00A40AB4" w:rsidRDefault="003D0F15" w:rsidP="003D0F15">
      <w:pPr>
        <w:ind w:firstLine="567"/>
        <w:jc w:val="both"/>
        <w:rPr>
          <w:rFonts w:cs="Times New Roman"/>
        </w:rPr>
      </w:pPr>
    </w:p>
    <w:p w:rsidR="003D0F15" w:rsidRPr="00A40AB4" w:rsidRDefault="003D0F15" w:rsidP="003D0F15">
      <w:pPr>
        <w:ind w:firstLine="567"/>
        <w:rPr>
          <w:rFonts w:eastAsiaTheme="minorEastAsia" w:cs="Times New Roman"/>
        </w:rPr>
      </w:pPr>
      <m:oMath>
        <m:r>
          <w:rPr>
            <w:rFonts w:ascii="Cambria Math" w:hAnsi="Cambria Math"/>
          </w:rPr>
          <m:t>r=</m:t>
        </m:r>
        <m:f>
          <m:fPr>
            <m:ctrlPr>
              <w:rPr>
                <w:rFonts w:ascii="Cambria Math" w:hAnsi="Cambria Math"/>
                <w:i/>
              </w:rPr>
            </m:ctrlPr>
          </m:fPr>
          <m:num>
            <m:f>
              <m:fPr>
                <m:ctrlPr>
                  <w:rPr>
                    <w:rFonts w:ascii="Cambria Math" w:hAnsi="Cambria Math"/>
                    <w:i/>
                  </w:rPr>
                </m:ctrlPr>
              </m:fPr>
              <m:num>
                <m:r>
                  <w:rPr>
                    <w:rFonts w:ascii="Cambria Math" w:hAnsi="Cambria Math"/>
                    <w:lang w:val="en-US"/>
                  </w:rPr>
                  <m:t>1</m:t>
                </m:r>
              </m:num>
              <m:den>
                <m:r>
                  <w:rPr>
                    <w:rFonts w:ascii="Cambria Math" w:hAnsi="Cambria Math"/>
                  </w:rPr>
                  <m:t>n-1</m:t>
                </m:r>
              </m:den>
            </m:f>
            <m:nary>
              <m:naryPr>
                <m:chr m:val="∑"/>
                <m:limLoc m:val="undOvr"/>
                <m:subHide m:val="on"/>
                <m:supHide m:val="on"/>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m:t>
                    </m:r>
                    <m:bar>
                      <m:barPr>
                        <m:pos m:val="top"/>
                        <m:ctrlPr>
                          <w:rPr>
                            <w:rFonts w:ascii="Cambria Math" w:hAnsi="Cambria Math"/>
                            <w:i/>
                          </w:rPr>
                        </m:ctrlPr>
                      </m:barPr>
                      <m:e>
                        <m:r>
                          <w:rPr>
                            <w:rFonts w:ascii="Cambria Math" w:hAnsi="Cambria Math"/>
                          </w:rPr>
                          <m:t>x</m:t>
                        </m:r>
                      </m:e>
                    </m:bar>
                    <m:r>
                      <w:rPr>
                        <w:rFonts w:ascii="Cambria Math" w:hAnsi="Cambria Math"/>
                      </w:rPr>
                      <m:t>)(y</m:t>
                    </m:r>
                  </m:e>
                  <m:sub>
                    <m:r>
                      <w:rPr>
                        <w:rFonts w:ascii="Cambria Math" w:hAnsi="Cambria Math"/>
                      </w:rPr>
                      <m:t>i</m:t>
                    </m:r>
                  </m:sub>
                </m:sSub>
                <m:r>
                  <w:rPr>
                    <w:rFonts w:ascii="Cambria Math" w:hAnsi="Cambria Math"/>
                  </w:rPr>
                  <m:t>-</m:t>
                </m:r>
                <m:bar>
                  <m:barPr>
                    <m:pos m:val="top"/>
                    <m:ctrlPr>
                      <w:rPr>
                        <w:rFonts w:ascii="Cambria Math" w:hAnsi="Cambria Math"/>
                        <w:i/>
                      </w:rPr>
                    </m:ctrlPr>
                  </m:barPr>
                  <m:e>
                    <m:r>
                      <w:rPr>
                        <w:rFonts w:ascii="Cambria Math" w:hAnsi="Cambria Math"/>
                      </w:rPr>
                      <m:t>y</m:t>
                    </m:r>
                  </m:e>
                </m:bar>
                <m:r>
                  <w:rPr>
                    <w:rFonts w:ascii="Cambria Math" w:hAnsi="Cambria Math"/>
                  </w:rPr>
                  <m:t>)</m:t>
                </m:r>
              </m:e>
            </m:nary>
          </m:num>
          <m:den>
            <m:sSub>
              <m:sSubPr>
                <m:ctrlPr>
                  <w:rPr>
                    <w:rFonts w:ascii="Cambria Math" w:hAnsi="Cambria Math"/>
                    <w:i/>
                  </w:rPr>
                </m:ctrlPr>
              </m:sSubPr>
              <m:e>
                <m:r>
                  <w:rPr>
                    <w:rFonts w:ascii="Cambria Math" w:hAnsi="Cambria Math"/>
                  </w:rPr>
                  <m:t>s</m:t>
                </m:r>
              </m:e>
              <m:sub>
                <m:r>
                  <w:rPr>
                    <w:rFonts w:ascii="Cambria Math" w:hAnsi="Cambria Math"/>
                  </w:rPr>
                  <m:t>x</m:t>
                </m:r>
              </m:sub>
            </m:sSub>
            <m:sSub>
              <m:sSubPr>
                <m:ctrlPr>
                  <w:rPr>
                    <w:rFonts w:ascii="Cambria Math" w:hAnsi="Cambria Math"/>
                    <w:i/>
                  </w:rPr>
                </m:ctrlPr>
              </m:sSubPr>
              <m:e>
                <m:r>
                  <w:rPr>
                    <w:rFonts w:ascii="Cambria Math" w:hAnsi="Cambria Math"/>
                  </w:rPr>
                  <m:t>s</m:t>
                </m:r>
              </m:e>
              <m:sub>
                <m:r>
                  <w:rPr>
                    <w:rFonts w:ascii="Cambria Math" w:hAnsi="Cambria Math"/>
                  </w:rPr>
                  <m:t>y</m:t>
                </m:r>
              </m:sub>
            </m:sSub>
          </m:den>
        </m:f>
        <m:r>
          <w:rPr>
            <w:rFonts w:ascii="Cambria Math" w:hAnsi="Cambria Math"/>
          </w:rPr>
          <m:t>;</m:t>
        </m:r>
      </m:oMath>
      <w:r w:rsidRPr="00A40AB4">
        <w:rPr>
          <w:rFonts w:eastAsiaTheme="minorEastAsia" w:cs="Times New Roman"/>
        </w:rPr>
        <w:tab/>
      </w:r>
      <w:r w:rsidRPr="00A40AB4">
        <w:rPr>
          <w:rFonts w:eastAsiaTheme="minorEastAsia" w:cs="Times New Roman"/>
        </w:rPr>
        <w:tab/>
      </w:r>
      <w:r w:rsidRPr="00A40AB4">
        <w:rPr>
          <w:rFonts w:eastAsiaTheme="minorEastAsia" w:cs="Times New Roman"/>
        </w:rPr>
        <w:tab/>
      </w:r>
      <w:r w:rsidRPr="00A40AB4">
        <w:rPr>
          <w:rFonts w:eastAsiaTheme="minorEastAsia" w:cs="Times New Roman"/>
        </w:rPr>
        <w:tab/>
      </w:r>
      <w:r w:rsidRPr="00A40AB4">
        <w:rPr>
          <w:rFonts w:eastAsiaTheme="minorEastAsia" w:cs="Times New Roman"/>
        </w:rPr>
        <w:tab/>
        <w:t>(1)</w:t>
      </w:r>
    </w:p>
    <w:p w:rsidR="003D0F15" w:rsidRPr="00A40AB4" w:rsidRDefault="003D0F15" w:rsidP="003D0F15">
      <w:pPr>
        <w:ind w:firstLine="567"/>
        <w:rPr>
          <w:rFonts w:cs="Times New Roman"/>
        </w:rPr>
      </w:pPr>
    </w:p>
    <w:p w:rsidR="003D0F15" w:rsidRPr="00A40AB4" w:rsidRDefault="003D0F15" w:rsidP="003D0F15">
      <w:pPr>
        <w:ind w:firstLine="567"/>
        <w:jc w:val="both"/>
        <w:rPr>
          <w:rFonts w:eastAsiaTheme="minorEastAsia" w:cs="Times New Roman"/>
        </w:rPr>
      </w:pPr>
      <w:r w:rsidRPr="00A40AB4">
        <w:rPr>
          <w:rFonts w:cs="Times New Roman"/>
        </w:rPr>
        <w:t xml:space="preserve">čia </w:t>
      </w:r>
      <m:oMath>
        <m:bar>
          <m:barPr>
            <m:pos m:val="top"/>
            <m:ctrlPr>
              <w:rPr>
                <w:rFonts w:ascii="Cambria Math" w:hAnsi="Cambria Math" w:cs="Times New Roman"/>
                <w:i/>
              </w:rPr>
            </m:ctrlPr>
          </m:barPr>
          <m:e>
            <m:r>
              <w:rPr>
                <w:rFonts w:ascii="Cambria Math" w:hAnsi="Cambria Math" w:cs="Times New Roman"/>
              </w:rPr>
              <m:t>x</m:t>
            </m:r>
          </m:e>
        </m:bar>
      </m:oMath>
      <w:r w:rsidRPr="00A40AB4">
        <w:rPr>
          <w:rFonts w:eastAsiaTheme="minorEastAsia" w:cs="Times New Roman"/>
        </w:rPr>
        <w:t xml:space="preserve"> ir </w:t>
      </w:r>
      <m:oMath>
        <m:bar>
          <m:barPr>
            <m:pos m:val="top"/>
            <m:ctrlPr>
              <w:rPr>
                <w:rFonts w:ascii="Cambria Math" w:hAnsi="Cambria Math" w:cs="Times New Roman"/>
                <w:i/>
              </w:rPr>
            </m:ctrlPr>
          </m:barPr>
          <m:e>
            <m:r>
              <w:rPr>
                <w:rFonts w:ascii="Cambria Math" w:hAnsi="Cambria Math" w:cs="Times New Roman"/>
              </w:rPr>
              <m:t>y</m:t>
            </m:r>
          </m:e>
        </m:bar>
      </m:oMath>
      <w:r w:rsidRPr="00A40AB4">
        <w:rPr>
          <w:rFonts w:eastAsiaTheme="minorEastAsia" w:cs="Times New Roman"/>
        </w:rPr>
        <w:t xml:space="preserve"> yra stebėjimų x ir y vidurkiai, o </w:t>
      </w:r>
      <w:r w:rsidRPr="00A40AB4">
        <w:rPr>
          <w:rFonts w:eastAsiaTheme="minorEastAsia" w:cs="Times New Roman"/>
          <w:i/>
        </w:rPr>
        <w:t>s</w:t>
      </w:r>
      <w:r w:rsidRPr="00A40AB4">
        <w:rPr>
          <w:rFonts w:eastAsiaTheme="minorEastAsia" w:cs="Times New Roman"/>
          <w:i/>
          <w:vertAlign w:val="subscript"/>
        </w:rPr>
        <w:t>x</w:t>
      </w:r>
      <w:r w:rsidRPr="00A40AB4">
        <w:rPr>
          <w:rFonts w:eastAsiaTheme="minorEastAsia" w:cs="Times New Roman"/>
        </w:rPr>
        <w:t xml:space="preserve"> ir </w:t>
      </w:r>
      <w:r w:rsidRPr="00A40AB4">
        <w:rPr>
          <w:rFonts w:eastAsiaTheme="minorEastAsia" w:cs="Times New Roman"/>
          <w:i/>
        </w:rPr>
        <w:t>s</w:t>
      </w:r>
      <w:r w:rsidRPr="00A40AB4">
        <w:rPr>
          <w:rFonts w:eastAsiaTheme="minorEastAsia" w:cs="Times New Roman"/>
          <w:i/>
          <w:vertAlign w:val="subscript"/>
        </w:rPr>
        <w:t>y</w:t>
      </w:r>
      <w:r w:rsidRPr="00A40AB4">
        <w:rPr>
          <w:rFonts w:eastAsiaTheme="minorEastAsia" w:cs="Times New Roman"/>
        </w:rPr>
        <w:t xml:space="preserve"> – standartiniai nuokrypiai.</w:t>
      </w:r>
    </w:p>
    <w:p w:rsidR="003D0F15" w:rsidRPr="00A40AB4" w:rsidRDefault="003D0F15" w:rsidP="003D0F15">
      <w:pPr>
        <w:ind w:firstLine="567"/>
        <w:jc w:val="both"/>
        <w:rPr>
          <w:rFonts w:eastAsiaTheme="minorEastAsia" w:cs="Times New Roman"/>
        </w:rPr>
      </w:pPr>
      <w:r w:rsidRPr="00A40AB4">
        <w:rPr>
          <w:rFonts w:eastAsiaTheme="minorEastAsia" w:cs="Times New Roman"/>
        </w:rPr>
        <w:t xml:space="preserve">Koreliacijos koeficientas kinta intervale nuo -1 iki 1. </w:t>
      </w:r>
      <w:r w:rsidR="00A31EDC">
        <w:rPr>
          <w:rFonts w:eastAsiaTheme="minorEastAsia" w:cs="Times New Roman"/>
        </w:rPr>
        <w:t>Šio</w:t>
      </w:r>
      <w:r w:rsidRPr="00A40AB4">
        <w:rPr>
          <w:rFonts w:eastAsiaTheme="minorEastAsia" w:cs="Times New Roman"/>
        </w:rPr>
        <w:t xml:space="preserve"> koeficiento stiprumo interpretacija pavaizduota 2 lentelėje.</w:t>
      </w:r>
    </w:p>
    <w:p w:rsidR="003D0F15" w:rsidRPr="00A40AB4" w:rsidRDefault="003D0F15" w:rsidP="003D0F15">
      <w:pPr>
        <w:ind w:firstLine="567"/>
        <w:jc w:val="both"/>
        <w:rPr>
          <w:rFonts w:eastAsiaTheme="minorEastAsia" w:cs="Times New Roman"/>
        </w:rPr>
      </w:pPr>
    </w:p>
    <w:p w:rsidR="003D0F15" w:rsidRPr="00A40AB4" w:rsidRDefault="003D0F15" w:rsidP="003D0F15">
      <w:pPr>
        <w:pStyle w:val="Heading2"/>
        <w:spacing w:line="360" w:lineRule="auto"/>
        <w:ind w:firstLine="0"/>
      </w:pPr>
      <w:bookmarkStart w:id="161" w:name="_Toc340573839"/>
      <w:bookmarkStart w:id="162" w:name="_Toc340574109"/>
      <w:bookmarkStart w:id="163" w:name="_Toc340574384"/>
      <w:bookmarkStart w:id="164" w:name="_Toc340574700"/>
      <w:bookmarkStart w:id="165" w:name="_Toc340792022"/>
      <w:bookmarkStart w:id="166" w:name="_Toc341641120"/>
      <w:bookmarkStart w:id="167" w:name="_Toc341641371"/>
      <w:bookmarkStart w:id="168" w:name="_Toc342859659"/>
      <w:r w:rsidRPr="00A40AB4">
        <w:t>2 lentelė. Koreliacijos stiprumo interpretacija</w:t>
      </w:r>
      <w:bookmarkEnd w:id="161"/>
      <w:bookmarkEnd w:id="162"/>
      <w:bookmarkEnd w:id="163"/>
      <w:bookmarkEnd w:id="164"/>
      <w:bookmarkEnd w:id="165"/>
      <w:bookmarkEnd w:id="166"/>
      <w:bookmarkEnd w:id="167"/>
      <w:bookmarkEnd w:id="168"/>
    </w:p>
    <w:tbl>
      <w:tblPr>
        <w:tblStyle w:val="TableGrid"/>
        <w:tblW w:w="0" w:type="auto"/>
        <w:jc w:val="center"/>
        <w:tblLook w:val="04A0"/>
      </w:tblPr>
      <w:tblGrid>
        <w:gridCol w:w="3794"/>
        <w:gridCol w:w="2835"/>
      </w:tblGrid>
      <w:tr w:rsidR="003D0F15" w:rsidRPr="00A40AB4" w:rsidTr="00DF01AC">
        <w:trPr>
          <w:jc w:val="center"/>
        </w:trPr>
        <w:tc>
          <w:tcPr>
            <w:tcW w:w="3794" w:type="dxa"/>
          </w:tcPr>
          <w:p w:rsidR="003D0F15" w:rsidRPr="00A40AB4" w:rsidRDefault="003D0F15" w:rsidP="00DF01AC">
            <w:pPr>
              <w:rPr>
                <w:b/>
              </w:rPr>
            </w:pPr>
            <w:r w:rsidRPr="00A40AB4">
              <w:rPr>
                <w:b/>
              </w:rPr>
              <w:t>Koreliacijos koeficiento reikšmė</w:t>
            </w:r>
          </w:p>
        </w:tc>
        <w:tc>
          <w:tcPr>
            <w:tcW w:w="2835" w:type="dxa"/>
          </w:tcPr>
          <w:p w:rsidR="003D0F15" w:rsidRPr="00A40AB4" w:rsidRDefault="003D0F15" w:rsidP="00DF01AC">
            <w:pPr>
              <w:rPr>
                <w:b/>
              </w:rPr>
            </w:pPr>
            <w:r w:rsidRPr="00A40AB4">
              <w:rPr>
                <w:b/>
              </w:rPr>
              <w:t>Interpretacija</w:t>
            </w:r>
          </w:p>
        </w:tc>
      </w:tr>
      <w:tr w:rsidR="003D0F15" w:rsidRPr="00A40AB4" w:rsidTr="00DF01AC">
        <w:trPr>
          <w:jc w:val="center"/>
        </w:trPr>
        <w:tc>
          <w:tcPr>
            <w:tcW w:w="3794" w:type="dxa"/>
          </w:tcPr>
          <w:p w:rsidR="003D0F15" w:rsidRPr="00A40AB4" w:rsidRDefault="003D0F15" w:rsidP="00DF01AC">
            <w:r w:rsidRPr="00A40AB4">
              <w:t>Nuo 0,9 iki 1 arba nuo -0,9 iki -1</w:t>
            </w:r>
          </w:p>
        </w:tc>
        <w:tc>
          <w:tcPr>
            <w:tcW w:w="2835" w:type="dxa"/>
          </w:tcPr>
          <w:p w:rsidR="003D0F15" w:rsidRPr="00A40AB4" w:rsidRDefault="003D0F15" w:rsidP="00DF01AC">
            <w:r w:rsidRPr="00A40AB4">
              <w:t>Labai stipri koreliacija</w:t>
            </w:r>
          </w:p>
        </w:tc>
      </w:tr>
      <w:tr w:rsidR="003D0F15" w:rsidRPr="00A40AB4" w:rsidTr="00DF01AC">
        <w:trPr>
          <w:jc w:val="center"/>
        </w:trPr>
        <w:tc>
          <w:tcPr>
            <w:tcW w:w="3794" w:type="dxa"/>
          </w:tcPr>
          <w:p w:rsidR="003D0F15" w:rsidRPr="00A40AB4" w:rsidRDefault="003D0F15" w:rsidP="00DF01AC">
            <w:r w:rsidRPr="00A40AB4">
              <w:t>Nuo 0,7 iki 0,9 arba nuo -0,7 iki -0,9</w:t>
            </w:r>
          </w:p>
        </w:tc>
        <w:tc>
          <w:tcPr>
            <w:tcW w:w="2835" w:type="dxa"/>
          </w:tcPr>
          <w:p w:rsidR="003D0F15" w:rsidRPr="00A40AB4" w:rsidRDefault="003D0F15" w:rsidP="00DF01AC">
            <w:r w:rsidRPr="00A40AB4">
              <w:t>Stipri koreliacija</w:t>
            </w:r>
          </w:p>
        </w:tc>
      </w:tr>
      <w:tr w:rsidR="003D0F15" w:rsidRPr="00A40AB4" w:rsidTr="00DF01AC">
        <w:trPr>
          <w:jc w:val="center"/>
        </w:trPr>
        <w:tc>
          <w:tcPr>
            <w:tcW w:w="3794" w:type="dxa"/>
          </w:tcPr>
          <w:p w:rsidR="003D0F15" w:rsidRPr="00A40AB4" w:rsidRDefault="003D0F15" w:rsidP="00DF01AC">
            <w:r w:rsidRPr="00A40AB4">
              <w:t>Nuo 0,5 iki 0,7 arba nuo -0,5 iki -0,7</w:t>
            </w:r>
          </w:p>
        </w:tc>
        <w:tc>
          <w:tcPr>
            <w:tcW w:w="2835" w:type="dxa"/>
          </w:tcPr>
          <w:p w:rsidR="003D0F15" w:rsidRPr="00A40AB4" w:rsidRDefault="003D0F15" w:rsidP="00DF01AC">
            <w:r w:rsidRPr="00A40AB4">
              <w:t>Vidutinė koreliacija</w:t>
            </w:r>
          </w:p>
        </w:tc>
      </w:tr>
      <w:tr w:rsidR="003D0F15" w:rsidRPr="00A40AB4" w:rsidTr="00DF01AC">
        <w:trPr>
          <w:jc w:val="center"/>
        </w:trPr>
        <w:tc>
          <w:tcPr>
            <w:tcW w:w="3794" w:type="dxa"/>
          </w:tcPr>
          <w:p w:rsidR="003D0F15" w:rsidRPr="00A40AB4" w:rsidRDefault="003D0F15" w:rsidP="00DF01AC">
            <w:r w:rsidRPr="00A40AB4">
              <w:t>Nuo 0,3 iki 0,5 arba nuo -0,3 iki -0,5</w:t>
            </w:r>
          </w:p>
        </w:tc>
        <w:tc>
          <w:tcPr>
            <w:tcW w:w="2835" w:type="dxa"/>
          </w:tcPr>
          <w:p w:rsidR="003D0F15" w:rsidRPr="00A40AB4" w:rsidRDefault="003D0F15" w:rsidP="00DF01AC">
            <w:r w:rsidRPr="00A40AB4">
              <w:t>Silpna koreliacija</w:t>
            </w:r>
          </w:p>
        </w:tc>
      </w:tr>
      <w:tr w:rsidR="003D0F15" w:rsidRPr="00A40AB4" w:rsidTr="00DF01AC">
        <w:trPr>
          <w:trHeight w:val="264"/>
          <w:jc w:val="center"/>
        </w:trPr>
        <w:tc>
          <w:tcPr>
            <w:tcW w:w="3794" w:type="dxa"/>
          </w:tcPr>
          <w:p w:rsidR="003D0F15" w:rsidRPr="00A40AB4" w:rsidRDefault="003D0F15" w:rsidP="00DF01AC">
            <w:r w:rsidRPr="00A40AB4">
              <w:t>Nuo 0,3 iki -0,3</w:t>
            </w:r>
          </w:p>
        </w:tc>
        <w:tc>
          <w:tcPr>
            <w:tcW w:w="2835" w:type="dxa"/>
          </w:tcPr>
          <w:p w:rsidR="003D0F15" w:rsidRPr="00A40AB4" w:rsidRDefault="003D0F15" w:rsidP="00DF01AC">
            <w:r w:rsidRPr="00A40AB4">
              <w:t>Koreliacija nereikšminga</w:t>
            </w:r>
          </w:p>
        </w:tc>
      </w:tr>
    </w:tbl>
    <w:p w:rsidR="003D0F15" w:rsidRPr="00A40AB4" w:rsidRDefault="003D0F15" w:rsidP="003D0F15">
      <w:pPr>
        <w:spacing w:before="120"/>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 xml:space="preserve">Rudzkienė V., </w:t>
      </w:r>
      <w:r w:rsidRPr="00A40AB4">
        <w:rPr>
          <w:rFonts w:cs="Times New Roman"/>
          <w:sz w:val="20"/>
          <w:szCs w:val="20"/>
          <w:lang w:val="en-US"/>
        </w:rPr>
        <w:t>2005.</w:t>
      </w:r>
    </w:p>
    <w:p w:rsidR="003D0F15" w:rsidRPr="00A40AB4" w:rsidRDefault="003D0F15" w:rsidP="003D0F15">
      <w:pPr>
        <w:ind w:firstLine="567"/>
        <w:jc w:val="both"/>
        <w:rPr>
          <w:rFonts w:eastAsiaTheme="minorEastAsia" w:cs="Times New Roman"/>
        </w:rPr>
      </w:pPr>
    </w:p>
    <w:p w:rsidR="003D0F15" w:rsidRPr="00A40AB4" w:rsidRDefault="003D0F15" w:rsidP="003D0F15">
      <w:pPr>
        <w:ind w:firstLine="567"/>
        <w:jc w:val="both"/>
        <w:rPr>
          <w:rFonts w:eastAsiaTheme="minorEastAsia" w:cs="Times New Roman"/>
        </w:rPr>
      </w:pPr>
      <w:r w:rsidRPr="00A40AB4">
        <w:rPr>
          <w:rFonts w:eastAsiaTheme="minorEastAsia" w:cs="Times New Roman"/>
        </w:rPr>
        <w:t xml:space="preserve">Reikšmingumo tikrinimas. Norint patikrinti, ar koreliacijos koeficientas reikšmingas, reikia suformuluoti statistinę hipotezę (Rudzkienė, </w:t>
      </w:r>
      <w:r w:rsidRPr="00A40AB4">
        <w:rPr>
          <w:rFonts w:eastAsiaTheme="minorEastAsia" w:cs="Times New Roman"/>
          <w:lang w:val="en-US"/>
        </w:rPr>
        <w:t>2005):</w:t>
      </w:r>
    </w:p>
    <w:p w:rsidR="003D0F15" w:rsidRPr="00A40AB4" w:rsidRDefault="003D0F15" w:rsidP="003D0F15">
      <w:pPr>
        <w:ind w:firstLine="567"/>
        <w:jc w:val="both"/>
        <w:rPr>
          <w:rFonts w:eastAsiaTheme="minorEastAsia" w:cs="Times New Roman"/>
        </w:rPr>
      </w:pPr>
      <w:r w:rsidRPr="00A40AB4">
        <w:rPr>
          <w:rFonts w:eastAsiaTheme="minorEastAsia" w:cs="Times New Roman"/>
        </w:rPr>
        <w:lastRenderedPageBreak/>
        <w:t>Hipotezė H</w:t>
      </w:r>
      <w:r w:rsidRPr="00A40AB4">
        <w:rPr>
          <w:rFonts w:eastAsiaTheme="minorEastAsia" w:cs="Times New Roman"/>
          <w:vertAlign w:val="subscript"/>
        </w:rPr>
        <w:t>0</w:t>
      </w:r>
      <w:r w:rsidRPr="00A40AB4">
        <w:rPr>
          <w:rFonts w:eastAsiaTheme="minorEastAsia" w:cs="Times New Roman"/>
        </w:rPr>
        <w:t xml:space="preserve"> teigia, kad koreliacijos koeficientas lygus nuliui.</w:t>
      </w:r>
    </w:p>
    <w:p w:rsidR="003D0F15" w:rsidRPr="00A40AB4" w:rsidRDefault="003D0F15" w:rsidP="003D0F15">
      <w:pPr>
        <w:ind w:firstLine="567"/>
        <w:jc w:val="both"/>
        <w:rPr>
          <w:rFonts w:eastAsiaTheme="minorEastAsia" w:cs="Times New Roman"/>
        </w:rPr>
      </w:pPr>
      <w:r w:rsidRPr="00A40AB4">
        <w:rPr>
          <w:rFonts w:eastAsiaTheme="minorEastAsia" w:cs="Times New Roman"/>
        </w:rPr>
        <w:t>Alternatyvioji hipotezė H</w:t>
      </w:r>
      <w:r w:rsidRPr="00A40AB4">
        <w:rPr>
          <w:rFonts w:eastAsiaTheme="minorEastAsia" w:cs="Times New Roman"/>
          <w:vertAlign w:val="subscript"/>
          <w:lang w:val="en-US"/>
        </w:rPr>
        <w:t>1</w:t>
      </w:r>
      <w:r w:rsidRPr="00A40AB4">
        <w:rPr>
          <w:rFonts w:eastAsiaTheme="minorEastAsia" w:cs="Times New Roman"/>
          <w:lang w:val="en-US"/>
        </w:rPr>
        <w:t xml:space="preserve"> </w:t>
      </w:r>
      <w:r w:rsidRPr="00A40AB4">
        <w:rPr>
          <w:rFonts w:eastAsiaTheme="minorEastAsia" w:cs="Times New Roman"/>
        </w:rPr>
        <w:t>teigia, kad koreliacijos koeficientas nelygus nuliui.</w:t>
      </w:r>
    </w:p>
    <w:p w:rsidR="003D0F15" w:rsidRPr="00A40AB4" w:rsidRDefault="003D0F15" w:rsidP="003D0F15">
      <w:pPr>
        <w:ind w:firstLine="567"/>
        <w:jc w:val="both"/>
        <w:rPr>
          <w:rFonts w:eastAsiaTheme="minorEastAsia" w:cs="Times New Roman"/>
        </w:rPr>
      </w:pPr>
      <w:r w:rsidRPr="00A40AB4">
        <w:rPr>
          <w:rFonts w:eastAsiaTheme="minorEastAsia" w:cs="Times New Roman"/>
        </w:rPr>
        <w:t>Patikrinti hipotezę H</w:t>
      </w:r>
      <w:r w:rsidRPr="00A40AB4">
        <w:rPr>
          <w:rFonts w:eastAsiaTheme="minorEastAsia" w:cs="Times New Roman"/>
          <w:vertAlign w:val="subscript"/>
        </w:rPr>
        <w:t>0</w:t>
      </w:r>
      <w:r w:rsidRPr="00A40AB4">
        <w:rPr>
          <w:rFonts w:eastAsiaTheme="minorEastAsia" w:cs="Times New Roman"/>
        </w:rPr>
        <w:t xml:space="preserve"> galime panaudodami </w:t>
      </w:r>
      <w:r w:rsidRPr="00A40AB4">
        <w:rPr>
          <w:rFonts w:eastAsiaTheme="minorEastAsia" w:cs="Times New Roman"/>
          <w:i/>
        </w:rPr>
        <w:t>t</w:t>
      </w:r>
      <w:r w:rsidRPr="00A40AB4">
        <w:rPr>
          <w:rFonts w:eastAsiaTheme="minorEastAsia" w:cs="Times New Roman"/>
        </w:rPr>
        <w:t xml:space="preserve"> kriterijų, kuris apskaičiuojamas taip:</w:t>
      </w:r>
    </w:p>
    <w:p w:rsidR="003D0F15" w:rsidRPr="00A40AB4" w:rsidRDefault="003D0F15" w:rsidP="003D0F15">
      <w:pPr>
        <w:ind w:firstLine="567"/>
        <w:jc w:val="both"/>
        <w:rPr>
          <w:rFonts w:eastAsiaTheme="minorEastAsia" w:cs="Times New Roman"/>
        </w:rPr>
      </w:pPr>
    </w:p>
    <w:p w:rsidR="003D0F15" w:rsidRPr="00A40AB4" w:rsidRDefault="003D0F15" w:rsidP="003D0F15">
      <w:pPr>
        <w:ind w:firstLine="567"/>
        <w:rPr>
          <w:rFonts w:eastAsiaTheme="minorEastAsia" w:cs="Times New Roman"/>
          <w:lang w:val="en-US"/>
        </w:rPr>
      </w:pPr>
      <m:oMath>
        <m:r>
          <w:rPr>
            <w:rFonts w:ascii="Cambria Math" w:hAnsi="Cambria Math"/>
          </w:rPr>
          <m:t>t=r</m:t>
        </m:r>
        <m:rad>
          <m:radPr>
            <m:degHide m:val="on"/>
            <m:ctrlPr>
              <w:rPr>
                <w:rFonts w:ascii="Cambria Math" w:hAnsi="Cambria Math"/>
                <w:i/>
              </w:rPr>
            </m:ctrlPr>
          </m:radPr>
          <m:deg/>
          <m:e>
            <m:f>
              <m:fPr>
                <m:ctrlPr>
                  <w:rPr>
                    <w:rFonts w:ascii="Cambria Math" w:hAnsi="Cambria Math"/>
                    <w:i/>
                  </w:rPr>
                </m:ctrlPr>
              </m:fPr>
              <m:num>
                <m:r>
                  <w:rPr>
                    <w:rFonts w:ascii="Cambria Math" w:hAnsi="Cambria Math"/>
                  </w:rPr>
                  <m:t>n-2</m:t>
                </m:r>
              </m:num>
              <m:den>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 xml:space="preserve">    ;</m:t>
            </m:r>
          </m:e>
        </m:rad>
      </m:oMath>
      <w:r w:rsidRPr="00A40AB4">
        <w:rPr>
          <w:rFonts w:eastAsiaTheme="minorEastAsia" w:cs="Times New Roman"/>
        </w:rPr>
        <w:tab/>
      </w:r>
      <w:r w:rsidRPr="00A40AB4">
        <w:rPr>
          <w:rFonts w:eastAsiaTheme="minorEastAsia" w:cs="Times New Roman"/>
        </w:rPr>
        <w:tab/>
      </w:r>
      <w:r w:rsidRPr="00A40AB4">
        <w:rPr>
          <w:rFonts w:eastAsiaTheme="minorEastAsia" w:cs="Times New Roman"/>
        </w:rPr>
        <w:tab/>
      </w:r>
      <w:r w:rsidRPr="00A40AB4">
        <w:rPr>
          <w:rFonts w:eastAsiaTheme="minorEastAsia" w:cs="Times New Roman"/>
        </w:rPr>
        <w:tab/>
      </w:r>
      <w:r w:rsidRPr="00A40AB4">
        <w:rPr>
          <w:rFonts w:eastAsiaTheme="minorEastAsia" w:cs="Times New Roman"/>
        </w:rPr>
        <w:tab/>
      </w:r>
      <w:r w:rsidRPr="00A40AB4">
        <w:rPr>
          <w:rFonts w:eastAsiaTheme="minorEastAsia" w:cs="Times New Roman"/>
        </w:rPr>
        <w:tab/>
        <w:t>(</w:t>
      </w:r>
      <w:r w:rsidRPr="00A40AB4">
        <w:rPr>
          <w:rFonts w:eastAsiaTheme="minorEastAsia" w:cs="Times New Roman"/>
          <w:lang w:val="en-US"/>
        </w:rPr>
        <w:t>2)</w:t>
      </w:r>
    </w:p>
    <w:p w:rsidR="003D0F15" w:rsidRPr="00A40AB4" w:rsidRDefault="003D0F15" w:rsidP="003D0F15">
      <w:pPr>
        <w:ind w:firstLine="567"/>
        <w:jc w:val="both"/>
        <w:rPr>
          <w:rFonts w:eastAsiaTheme="minorEastAsia" w:cs="Times New Roman"/>
        </w:rPr>
      </w:pPr>
    </w:p>
    <w:p w:rsidR="003D0F15" w:rsidRPr="00A40AB4" w:rsidRDefault="003D0F15" w:rsidP="003D0F15">
      <w:pPr>
        <w:ind w:firstLine="567"/>
        <w:jc w:val="both"/>
        <w:rPr>
          <w:rFonts w:eastAsiaTheme="minorEastAsia" w:cs="Times New Roman"/>
        </w:rPr>
      </w:pPr>
      <w:r w:rsidRPr="00A40AB4">
        <w:rPr>
          <w:rFonts w:eastAsiaTheme="minorEastAsia" w:cs="Times New Roman"/>
        </w:rPr>
        <w:t xml:space="preserve">čia </w:t>
      </w:r>
      <w:r w:rsidRPr="00A40AB4">
        <w:rPr>
          <w:rFonts w:eastAsiaTheme="minorEastAsia" w:cs="Times New Roman"/>
          <w:i/>
        </w:rPr>
        <w:t>n</w:t>
      </w:r>
      <w:r w:rsidRPr="00A40AB4">
        <w:rPr>
          <w:rFonts w:eastAsiaTheme="minorEastAsia" w:cs="Times New Roman"/>
        </w:rPr>
        <w:t xml:space="preserve"> – išmatuotų reikšmių kiekis.</w:t>
      </w:r>
    </w:p>
    <w:p w:rsidR="003D0F15" w:rsidRDefault="003D0F15" w:rsidP="003D0F15">
      <w:pPr>
        <w:ind w:firstLine="567"/>
        <w:jc w:val="both"/>
        <w:rPr>
          <w:rFonts w:eastAsiaTheme="minorEastAsia" w:cs="Times New Roman"/>
        </w:rPr>
      </w:pPr>
      <w:r w:rsidRPr="00A40AB4">
        <w:rPr>
          <w:rFonts w:eastAsiaTheme="minorEastAsia" w:cs="Times New Roman"/>
        </w:rPr>
        <w:t>Hipotezė H</w:t>
      </w:r>
      <w:r w:rsidRPr="00A40AB4">
        <w:rPr>
          <w:rFonts w:eastAsiaTheme="minorEastAsia" w:cs="Times New Roman"/>
          <w:vertAlign w:val="subscript"/>
        </w:rPr>
        <w:t>0</w:t>
      </w:r>
      <w:r w:rsidRPr="00A40AB4">
        <w:rPr>
          <w:rFonts w:eastAsiaTheme="minorEastAsia" w:cs="Times New Roman"/>
        </w:rPr>
        <w:t xml:space="preserve"> bus atmetama, jei absoliuti t reikšmė bus didesnė negu dydis </w:t>
      </w:r>
      <m:oMath>
        <m:sSub>
          <m:sSubPr>
            <m:ctrlPr>
              <w:rPr>
                <w:rFonts w:ascii="Cambria Math" w:hAnsi="Cambria Math"/>
                <w:i/>
              </w:rPr>
            </m:ctrlPr>
          </m:sSubPr>
          <m:e>
            <m:r>
              <w:rPr>
                <w:rFonts w:ascii="Cambria Math" w:hAnsi="Cambria Math"/>
              </w:rPr>
              <m:t>t</m:t>
            </m:r>
          </m:e>
          <m:sub>
            <m:f>
              <m:fPr>
                <m:ctrlPr>
                  <w:rPr>
                    <w:rFonts w:ascii="Cambria Math" w:hAnsi="Cambria Math"/>
                    <w:i/>
                  </w:rPr>
                </m:ctrlPr>
              </m:fPr>
              <m:num>
                <m:r>
                  <w:rPr>
                    <w:rFonts w:ascii="Cambria Math" w:hAnsi="Cambria Math"/>
                  </w:rPr>
                  <m:t>α</m:t>
                </m:r>
              </m:num>
              <m:den>
                <m:r>
                  <w:rPr>
                    <w:rFonts w:ascii="Cambria Math" w:hAnsi="Cambria Math"/>
                  </w:rPr>
                  <m:t>2</m:t>
                </m:r>
              </m:den>
            </m:f>
          </m:sub>
        </m:sSub>
        <m:r>
          <w:rPr>
            <w:rFonts w:ascii="Cambria Math" w:hAnsi="Cambria Math"/>
          </w:rPr>
          <m:t>(n-2)</m:t>
        </m:r>
      </m:oMath>
      <w:r w:rsidRPr="00A40AB4">
        <w:rPr>
          <w:rFonts w:eastAsiaTheme="minorEastAsia" w:cs="Times New Roman"/>
        </w:rPr>
        <w:t xml:space="preserve"> - Stjudento skirstinio su (n-</w:t>
      </w:r>
      <w:r w:rsidRPr="00A40AB4">
        <w:rPr>
          <w:rFonts w:eastAsiaTheme="minorEastAsia" w:cs="Times New Roman"/>
          <w:lang w:val="en-US"/>
        </w:rPr>
        <w:t>2)</w:t>
      </w:r>
      <w:r w:rsidRPr="00A40AB4">
        <w:rPr>
          <w:rFonts w:eastAsiaTheme="minorEastAsia" w:cs="Times New Roman"/>
        </w:rPr>
        <w:t xml:space="preserve"> laisvės laipsniais α/</w:t>
      </w:r>
      <w:r w:rsidRPr="00A40AB4">
        <w:rPr>
          <w:rFonts w:eastAsiaTheme="minorEastAsia" w:cs="Times New Roman"/>
          <w:lang w:val="en-US"/>
        </w:rPr>
        <w:t>2</w:t>
      </w:r>
      <w:r w:rsidRPr="00A40AB4">
        <w:rPr>
          <w:rFonts w:eastAsiaTheme="minorEastAsia" w:cs="Times New Roman"/>
        </w:rPr>
        <w:t xml:space="preserve"> kritinė reikšmė, α – pasirinktas reikšmingumo lygmuo (Rudzkienė, </w:t>
      </w:r>
      <w:r w:rsidRPr="00A40AB4">
        <w:rPr>
          <w:rFonts w:eastAsiaTheme="minorEastAsia" w:cs="Times New Roman"/>
          <w:lang w:val="en-US"/>
        </w:rPr>
        <w:t>2005</w:t>
      </w:r>
      <w:r w:rsidRPr="00A40AB4">
        <w:rPr>
          <w:rFonts w:eastAsiaTheme="minorEastAsia" w:cs="Times New Roman"/>
        </w:rPr>
        <w:t>).</w:t>
      </w:r>
    </w:p>
    <w:p w:rsidR="001A284D" w:rsidRPr="00A40AB4" w:rsidRDefault="001A284D" w:rsidP="003D0F15">
      <w:pPr>
        <w:ind w:firstLine="567"/>
        <w:jc w:val="both"/>
        <w:rPr>
          <w:rFonts w:eastAsiaTheme="minorEastAsia" w:cs="Times New Roman"/>
        </w:rPr>
      </w:pPr>
    </w:p>
    <w:p w:rsidR="001A284D" w:rsidRPr="001A284D" w:rsidRDefault="0032490D" w:rsidP="003D0F15">
      <w:pPr>
        <w:ind w:firstLine="567"/>
        <w:jc w:val="both"/>
        <w:rPr>
          <w:rFonts w:eastAsiaTheme="minorEastAsia" w:cs="Times New Roman"/>
          <w:b/>
        </w:rPr>
      </w:pPr>
      <w:r w:rsidRPr="001A284D">
        <w:rPr>
          <w:rFonts w:eastAsiaTheme="minorEastAsia" w:cs="Times New Roman"/>
          <w:b/>
        </w:rPr>
        <w:t>Regresinė analizė</w:t>
      </w:r>
    </w:p>
    <w:p w:rsidR="003D0F15" w:rsidRPr="00A40AB4" w:rsidRDefault="003D0F15" w:rsidP="003D0F15">
      <w:pPr>
        <w:ind w:firstLine="567"/>
        <w:jc w:val="both"/>
        <w:rPr>
          <w:rFonts w:eastAsiaTheme="minorEastAsia" w:cs="Times New Roman"/>
        </w:rPr>
      </w:pPr>
      <w:r w:rsidRPr="00A40AB4">
        <w:rPr>
          <w:rFonts w:eastAsiaTheme="minorEastAsia" w:cs="Times New Roman"/>
        </w:rPr>
        <w:t xml:space="preserve">Koreliacijos koeficiento nepakanka norint </w:t>
      </w:r>
      <w:r w:rsidR="004C61AB">
        <w:rPr>
          <w:rFonts w:eastAsiaTheme="minorEastAsia" w:cs="Times New Roman"/>
        </w:rPr>
        <w:t xml:space="preserve">sudaryti modelį, aprašantį tiriamojo dydžio dinamiką bei </w:t>
      </w:r>
      <w:r w:rsidRPr="00A40AB4">
        <w:rPr>
          <w:rFonts w:eastAsiaTheme="minorEastAsia" w:cs="Times New Roman"/>
        </w:rPr>
        <w:t xml:space="preserve">prognozuoti. Tačiau tai galima padaryti regresinės analizės pagalba – regresijos funkcija aprašomas kintamojo vidurkio priklausomumas nuo kitų rodiklių reikšmių pasikeitimo ir sudaromas modelis (Rudzkienė, </w:t>
      </w:r>
      <w:r w:rsidRPr="00A40AB4">
        <w:rPr>
          <w:rFonts w:eastAsiaTheme="minorEastAsia" w:cs="Times New Roman"/>
          <w:lang w:val="en-US"/>
        </w:rPr>
        <w:t>2005</w:t>
      </w:r>
      <w:r w:rsidRPr="00A40AB4">
        <w:rPr>
          <w:rFonts w:eastAsiaTheme="minorEastAsia" w:cs="Times New Roman"/>
        </w:rPr>
        <w:t>). Autorė taip pat teigia, jog tiesinės regresijos modelis dažnai taikomas socialiniuose moksluose, kadangi paprastai procesai visuomenėje keičiasi lėtai, tad taikant tiesinį modelį jie prognozuojami gana gerai. Tiesinė kintamojo priklausomybė nuo kito kintamojo išreiškiama lygtimi:</w:t>
      </w:r>
    </w:p>
    <w:p w:rsidR="003D0F15" w:rsidRPr="00A40AB4" w:rsidRDefault="003D0F15" w:rsidP="003D0F15">
      <w:pPr>
        <w:ind w:firstLine="567"/>
        <w:jc w:val="both"/>
        <w:rPr>
          <w:rFonts w:eastAsiaTheme="minorEastAsia" w:cs="Times New Roman"/>
        </w:rPr>
      </w:pPr>
    </w:p>
    <w:p w:rsidR="003D0F15" w:rsidRPr="00A40AB4" w:rsidRDefault="003D0F15" w:rsidP="003D0F15">
      <w:pPr>
        <w:ind w:firstLine="567"/>
        <w:jc w:val="both"/>
        <w:rPr>
          <w:rFonts w:eastAsiaTheme="minorEastAsia" w:cs="Times New Roman"/>
          <w:lang w:val="en-US"/>
        </w:rPr>
      </w:pPr>
      <m:oMath>
        <m:r>
          <w:rPr>
            <w:rFonts w:ascii="Cambria Math" w:eastAsiaTheme="minorEastAsia" w:hAnsi="Cambria Math" w:cs="Times New Roman"/>
          </w:rPr>
          <m:t>y</m:t>
        </m:r>
        <m:r>
          <w:rPr>
            <w:rFonts w:ascii="Cambria Math" w:eastAsiaTheme="minorEastAsia" w:hAnsi="Cambria Math" w:cs="Times New Roman"/>
            <w:lang w:val="en-US"/>
          </w:rPr>
          <m:t>=α+βx+ε;</m:t>
        </m:r>
      </m:oMath>
      <w:r w:rsidRPr="00A40AB4">
        <w:rPr>
          <w:rFonts w:eastAsiaTheme="minorEastAsia" w:cs="Times New Roman"/>
        </w:rPr>
        <w:tab/>
      </w:r>
      <w:r w:rsidRPr="00A40AB4">
        <w:rPr>
          <w:rFonts w:eastAsiaTheme="minorEastAsia" w:cs="Times New Roman"/>
        </w:rPr>
        <w:tab/>
      </w:r>
      <w:r w:rsidRPr="00A40AB4">
        <w:rPr>
          <w:rFonts w:eastAsiaTheme="minorEastAsia" w:cs="Times New Roman"/>
        </w:rPr>
        <w:tab/>
      </w:r>
      <w:r w:rsidRPr="00A40AB4">
        <w:rPr>
          <w:rFonts w:eastAsiaTheme="minorEastAsia" w:cs="Times New Roman"/>
        </w:rPr>
        <w:tab/>
      </w:r>
      <w:r w:rsidRPr="00A40AB4">
        <w:rPr>
          <w:rFonts w:eastAsiaTheme="minorEastAsia" w:cs="Times New Roman"/>
        </w:rPr>
        <w:tab/>
      </w:r>
      <w:r w:rsidRPr="00A40AB4">
        <w:rPr>
          <w:rFonts w:eastAsiaTheme="minorEastAsia" w:cs="Times New Roman"/>
        </w:rPr>
        <w:tab/>
        <w:t>(</w:t>
      </w:r>
      <w:r w:rsidRPr="00A40AB4">
        <w:rPr>
          <w:rFonts w:eastAsiaTheme="minorEastAsia" w:cs="Times New Roman"/>
          <w:lang w:val="en-US"/>
        </w:rPr>
        <w:t>3)</w:t>
      </w:r>
    </w:p>
    <w:p w:rsidR="003D0F15" w:rsidRPr="00A40AB4" w:rsidRDefault="003D0F15" w:rsidP="003D0F15">
      <w:pPr>
        <w:ind w:firstLine="567"/>
        <w:jc w:val="both"/>
        <w:rPr>
          <w:rFonts w:eastAsiaTheme="minorEastAsia" w:cs="Times New Roman"/>
          <w:lang w:val="en-US"/>
        </w:rPr>
      </w:pPr>
    </w:p>
    <w:p w:rsidR="003D0F15" w:rsidRPr="00A40AB4" w:rsidRDefault="003D0F15" w:rsidP="003D0F15">
      <w:pPr>
        <w:ind w:firstLine="567"/>
        <w:jc w:val="both"/>
        <w:rPr>
          <w:rFonts w:eastAsiaTheme="minorEastAsia" w:cs="Times New Roman"/>
        </w:rPr>
      </w:pPr>
      <w:r w:rsidRPr="00A40AB4">
        <w:rPr>
          <w:rFonts w:eastAsiaTheme="minorEastAsia" w:cs="Times New Roman"/>
        </w:rPr>
        <w:t xml:space="preserve">čia </w:t>
      </w:r>
      <w:r w:rsidRPr="00A40AB4">
        <w:rPr>
          <w:rFonts w:eastAsiaTheme="minorEastAsia" w:cs="Times New Roman"/>
          <w:i/>
        </w:rPr>
        <w:t>α</w:t>
      </w:r>
      <w:r w:rsidRPr="00A40AB4">
        <w:rPr>
          <w:rFonts w:eastAsiaTheme="minorEastAsia" w:cs="Times New Roman"/>
        </w:rPr>
        <w:t xml:space="preserve"> ir </w:t>
      </w:r>
      <w:r w:rsidRPr="00A40AB4">
        <w:rPr>
          <w:rFonts w:eastAsiaTheme="minorEastAsia" w:cs="Times New Roman"/>
          <w:i/>
        </w:rPr>
        <w:t>β</w:t>
      </w:r>
      <w:r w:rsidRPr="00A40AB4">
        <w:rPr>
          <w:rFonts w:eastAsiaTheme="minorEastAsia" w:cs="Times New Roman"/>
        </w:rPr>
        <w:t xml:space="preserve">- nežinomi koeficientai (konstantos), </w:t>
      </w:r>
      <w:r w:rsidRPr="00A40AB4">
        <w:rPr>
          <w:rFonts w:eastAsiaTheme="minorEastAsia" w:cs="Times New Roman"/>
          <w:i/>
        </w:rPr>
        <w:t>ε</w:t>
      </w:r>
      <w:r w:rsidRPr="00A40AB4">
        <w:rPr>
          <w:rFonts w:eastAsiaTheme="minorEastAsia" w:cs="Times New Roman"/>
        </w:rPr>
        <w:t xml:space="preserve"> – atsitiktinė paklaida.</w:t>
      </w:r>
    </w:p>
    <w:p w:rsidR="003D0F15" w:rsidRPr="00A40AB4" w:rsidRDefault="003D0F15" w:rsidP="003D0F15">
      <w:pPr>
        <w:ind w:firstLine="567"/>
        <w:jc w:val="both"/>
        <w:rPr>
          <w:rFonts w:eastAsiaTheme="minorEastAsia" w:cs="Times New Roman"/>
        </w:rPr>
      </w:pPr>
      <w:r w:rsidRPr="00A40AB4">
        <w:rPr>
          <w:rFonts w:eastAsiaTheme="minorEastAsia" w:cs="Times New Roman"/>
        </w:rPr>
        <w:t>Kitas rodiklis, svarbus atliekant regresinę analizę – determinacijos koeficientas, parodantis, „kuri vieno požymio bendro kitimo dalis gali būti paaiškinta kito požymio reikšmių kitimu“ (Rudzkienė, 2005, p. 200). Autorė taip pat teigia, kad statistikai šį koeficientą naudoja dažniau negu koreliacijos. Determinacijos koeficientas lygus koreliacijos koeficiento kvadratui ir gali būti išreikštas taip:</w:t>
      </w:r>
    </w:p>
    <w:p w:rsidR="003D0F15" w:rsidRPr="00A40AB4" w:rsidRDefault="003D0F15" w:rsidP="003D0F15">
      <w:pPr>
        <w:ind w:firstLine="567"/>
        <w:jc w:val="both"/>
        <w:rPr>
          <w:rFonts w:eastAsiaTheme="minorEastAsia" w:cs="Times New Roman"/>
        </w:rPr>
      </w:pPr>
    </w:p>
    <w:p w:rsidR="003D0F15" w:rsidRPr="00A40AB4" w:rsidRDefault="00CB6286" w:rsidP="003D0F15">
      <w:pPr>
        <w:ind w:firstLine="567"/>
        <w:jc w:val="both"/>
        <w:rPr>
          <w:rFonts w:eastAsiaTheme="minorEastAsia" w:cs="Times New Roman"/>
          <w:lang w:val="en-US"/>
        </w:rPr>
      </w:pPr>
      <m:oMath>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lang w:val="en-US"/>
              </w:rPr>
              <m:t>2</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xy</m:t>
            </m:r>
          </m:sub>
          <m:sup>
            <m:r>
              <w:rPr>
                <w:rFonts w:ascii="Cambria Math" w:eastAsiaTheme="minorEastAsia" w:hAnsi="Cambria Math" w:cs="Times New Roman"/>
              </w:rPr>
              <m:t>2</m:t>
            </m:r>
          </m:sup>
        </m:sSubSup>
        <m:r>
          <w:rPr>
            <w:rFonts w:ascii="Cambria Math" w:eastAsiaTheme="minorEastAsia" w:hAnsi="Cambria Math" w:cs="Times New Roman"/>
          </w:rPr>
          <m:t>=1-</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ϵ</m:t>
                </m:r>
              </m:sub>
              <m:sup>
                <m:r>
                  <w:rPr>
                    <w:rFonts w:ascii="Cambria Math" w:eastAsiaTheme="minorEastAsia" w:hAnsi="Cambria Math" w:cs="Times New Roman"/>
                  </w:rPr>
                  <m:t>2</m:t>
                </m:r>
              </m:sup>
            </m:sSubSup>
          </m:num>
          <m:den>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y</m:t>
                </m:r>
              </m:sub>
              <m:sup>
                <m:r>
                  <w:rPr>
                    <w:rFonts w:ascii="Cambria Math" w:eastAsiaTheme="minorEastAsia" w:hAnsi="Cambria Math" w:cs="Times New Roman"/>
                  </w:rPr>
                  <m:t>2</m:t>
                </m:r>
              </m:sup>
            </m:sSubSup>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Variacijos dalis,   kurią paaiškina modelis</m:t>
            </m:r>
          </m:num>
          <m:den>
            <m:r>
              <w:rPr>
                <w:rFonts w:ascii="Cambria Math" w:eastAsiaTheme="minorEastAsia" w:hAnsi="Cambria Math" w:cs="Times New Roman"/>
              </w:rPr>
              <m:t>Visa variacija</m:t>
            </m:r>
          </m:den>
        </m:f>
        <m:r>
          <w:rPr>
            <w:rFonts w:ascii="Cambria Math" w:eastAsiaTheme="minorEastAsia" w:hAnsi="Cambria Math" w:cs="Times New Roman"/>
          </w:rPr>
          <m:t>;</m:t>
        </m:r>
      </m:oMath>
      <w:r w:rsidR="003D0F15" w:rsidRPr="00A40AB4">
        <w:rPr>
          <w:rFonts w:eastAsiaTheme="minorEastAsia" w:cs="Times New Roman"/>
        </w:rPr>
        <w:t xml:space="preserve"> </w:t>
      </w:r>
      <w:r w:rsidR="003D0F15" w:rsidRPr="00A40AB4">
        <w:rPr>
          <w:rFonts w:eastAsiaTheme="minorEastAsia" w:cs="Times New Roman"/>
        </w:rPr>
        <w:tab/>
      </w:r>
      <w:r w:rsidR="003D0F15" w:rsidRPr="00A40AB4">
        <w:rPr>
          <w:rFonts w:eastAsiaTheme="minorEastAsia" w:cs="Times New Roman"/>
        </w:rPr>
        <w:tab/>
      </w:r>
      <w:r w:rsidR="003D0F15" w:rsidRPr="00A40AB4">
        <w:rPr>
          <w:rFonts w:eastAsiaTheme="minorEastAsia" w:cs="Times New Roman"/>
        </w:rPr>
        <w:tab/>
        <w:t>(</w:t>
      </w:r>
      <w:r w:rsidR="003D0F15" w:rsidRPr="00A40AB4">
        <w:rPr>
          <w:rFonts w:eastAsiaTheme="minorEastAsia" w:cs="Times New Roman"/>
          <w:lang w:val="en-US"/>
        </w:rPr>
        <w:t>4)</w:t>
      </w:r>
    </w:p>
    <w:p w:rsidR="003D0F15" w:rsidRPr="00A40AB4" w:rsidRDefault="003D0F15" w:rsidP="003D0F15">
      <w:pPr>
        <w:ind w:firstLine="567"/>
        <w:jc w:val="both"/>
        <w:rPr>
          <w:rFonts w:eastAsiaTheme="minorEastAsia" w:cs="Times New Roman"/>
        </w:rPr>
      </w:pPr>
    </w:p>
    <w:p w:rsidR="003D0F15" w:rsidRPr="00A40AB4" w:rsidRDefault="003D0F15" w:rsidP="003D0F15">
      <w:pPr>
        <w:ind w:firstLine="567"/>
        <w:jc w:val="both"/>
        <w:rPr>
          <w:rFonts w:eastAsiaTheme="minorEastAsia" w:cs="Times New Roman"/>
        </w:rPr>
      </w:pPr>
      <w:r w:rsidRPr="00A40AB4">
        <w:rPr>
          <w:rFonts w:eastAsiaTheme="minorEastAsia" w:cs="Times New Roman"/>
        </w:rPr>
        <w:t xml:space="preserve">čia </w:t>
      </w:r>
      <m:oMath>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ϵ</m:t>
            </m:r>
          </m:sub>
          <m:sup>
            <m:r>
              <w:rPr>
                <w:rFonts w:ascii="Cambria Math" w:eastAsiaTheme="minorEastAsia" w:hAnsi="Cambria Math" w:cs="Times New Roman"/>
              </w:rPr>
              <m:t>2</m:t>
            </m:r>
          </m:sup>
        </m:sSubSup>
      </m:oMath>
      <w:r w:rsidRPr="00A40AB4">
        <w:rPr>
          <w:rFonts w:eastAsiaTheme="minorEastAsia" w:cs="Times New Roman"/>
        </w:rPr>
        <w:t xml:space="preserve"> – liekanų (</w:t>
      </w:r>
      <w:r w:rsidRPr="00A40AB4">
        <w:rPr>
          <w:rFonts w:eastAsiaTheme="minorEastAsia" w:cs="Times New Roman"/>
          <w:i/>
        </w:rPr>
        <w:t>ε</w:t>
      </w:r>
      <w:r w:rsidRPr="00A40AB4">
        <w:rPr>
          <w:rFonts w:eastAsiaTheme="minorEastAsia" w:cs="Times New Roman"/>
        </w:rPr>
        <w:t xml:space="preserve">) dispersija, </w:t>
      </w:r>
      <m:oMath>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y</m:t>
            </m:r>
          </m:sub>
          <m:sup>
            <m:r>
              <w:rPr>
                <w:rFonts w:ascii="Cambria Math" w:eastAsiaTheme="minorEastAsia" w:hAnsi="Cambria Math" w:cs="Times New Roman"/>
              </w:rPr>
              <m:t>2</m:t>
            </m:r>
          </m:sup>
        </m:sSubSup>
      </m:oMath>
      <w:r w:rsidRPr="00A40AB4">
        <w:rPr>
          <w:rFonts w:eastAsiaTheme="minorEastAsia" w:cs="Times New Roman"/>
        </w:rPr>
        <w:t xml:space="preserve"> – stebima </w:t>
      </w:r>
      <w:r w:rsidRPr="00A40AB4">
        <w:rPr>
          <w:rFonts w:eastAsiaTheme="minorEastAsia" w:cs="Times New Roman"/>
          <w:i/>
        </w:rPr>
        <w:t>Y</w:t>
      </w:r>
      <w:r w:rsidRPr="00A40AB4">
        <w:rPr>
          <w:rFonts w:eastAsiaTheme="minorEastAsia" w:cs="Times New Roman"/>
        </w:rPr>
        <w:t xml:space="preserve"> reikšmių dispersija.</w:t>
      </w:r>
    </w:p>
    <w:p w:rsidR="003D0F15" w:rsidRPr="00A40AB4" w:rsidRDefault="003D0F15" w:rsidP="003D0F15">
      <w:pPr>
        <w:ind w:firstLine="567"/>
        <w:jc w:val="both"/>
        <w:rPr>
          <w:rFonts w:eastAsiaTheme="minorEastAsia" w:cs="Times New Roman"/>
        </w:rPr>
      </w:pPr>
      <w:r w:rsidRPr="00A40AB4">
        <w:rPr>
          <w:rFonts w:eastAsiaTheme="minorEastAsia" w:cs="Times New Roman"/>
        </w:rPr>
        <w:t xml:space="preserve">Taip pat svarbu nustatyti, ar regresinei analizei naudojami duomenys pasiskirstę pagal normalųjį skirstinį. Tai galima atlikti keliais skirtingais testais. Su GRETL programa bus atliktas Jarque-Bera </w:t>
      </w:r>
      <w:r w:rsidRPr="00A40AB4">
        <w:rPr>
          <w:rFonts w:eastAsiaTheme="minorEastAsia" w:cs="Times New Roman"/>
        </w:rPr>
        <w:lastRenderedPageBreak/>
        <w:t>normalumo testas: jei stebimas</w:t>
      </w:r>
      <w:r w:rsidR="0055237F">
        <w:rPr>
          <w:rFonts w:eastAsiaTheme="minorEastAsia" w:cs="Times New Roman"/>
        </w:rPr>
        <w:t>is</w:t>
      </w:r>
      <w:r w:rsidRPr="00A40AB4">
        <w:rPr>
          <w:rFonts w:eastAsiaTheme="minorEastAsia" w:cs="Times New Roman"/>
        </w:rPr>
        <w:t xml:space="preserve"> reikšmingumo lygmuo (p-reikšmė) bus didesnis už pasirinktą </w:t>
      </w:r>
      <w:r w:rsidR="0048711D">
        <w:rPr>
          <w:rFonts w:eastAsiaTheme="minorEastAsia" w:cs="Times New Roman"/>
        </w:rPr>
        <w:t xml:space="preserve">reikšmingumo </w:t>
      </w:r>
      <w:r w:rsidRPr="00A40AB4">
        <w:rPr>
          <w:rFonts w:eastAsiaTheme="minorEastAsia" w:cs="Times New Roman"/>
        </w:rPr>
        <w:t xml:space="preserve">lygmenį </w:t>
      </w:r>
      <w:r w:rsidRPr="00A40AB4">
        <w:rPr>
          <w:rFonts w:eastAsiaTheme="minorEastAsia" w:cs="Times New Roman"/>
          <w:i/>
        </w:rPr>
        <w:t>α</w:t>
      </w:r>
      <w:r w:rsidRPr="00A40AB4">
        <w:rPr>
          <w:rFonts w:eastAsiaTheme="minorEastAsia" w:cs="Times New Roman"/>
        </w:rPr>
        <w:t>, kintamieji pasiskirstę pagal normalųjį skirstinį.</w:t>
      </w:r>
    </w:p>
    <w:p w:rsidR="003D0F15" w:rsidRPr="00A40AB4" w:rsidRDefault="000D5EE0" w:rsidP="003D0F15">
      <w:pPr>
        <w:ind w:firstLine="567"/>
        <w:jc w:val="both"/>
        <w:rPr>
          <w:rFonts w:eastAsiaTheme="minorEastAsia" w:cs="Times New Roman"/>
          <w:lang w:val="en-US"/>
        </w:rPr>
      </w:pPr>
      <w:r>
        <w:rPr>
          <w:rFonts w:eastAsiaTheme="minorEastAsia" w:cs="Times New Roman"/>
        </w:rPr>
        <w:t>T</w:t>
      </w:r>
      <w:r w:rsidR="003D0F15" w:rsidRPr="00A40AB4">
        <w:rPr>
          <w:rFonts w:eastAsiaTheme="minorEastAsia" w:cs="Times New Roman"/>
        </w:rPr>
        <w:t xml:space="preserve">ikslinga apibrėžti ir pačią p-reikšmę. Čekanavičius ir Murauskas (2001) p-reikšmę apibrėžia kaip tikimybę, jog kriterijaus statistika </w:t>
      </w:r>
      <w:r w:rsidR="003D0F15" w:rsidRPr="00A40AB4">
        <w:rPr>
          <w:rFonts w:eastAsiaTheme="minorEastAsia" w:cs="Times New Roman"/>
          <w:i/>
        </w:rPr>
        <w:t>T</w:t>
      </w:r>
      <w:r w:rsidR="003D0F15" w:rsidRPr="00A40AB4">
        <w:rPr>
          <w:rFonts w:eastAsiaTheme="minorEastAsia" w:cs="Times New Roman"/>
        </w:rPr>
        <w:t xml:space="preserve"> (kai </w:t>
      </w:r>
      <w:r w:rsidR="003D0F15" w:rsidRPr="00A40AB4">
        <w:rPr>
          <w:rFonts w:eastAsiaTheme="minorEastAsia" w:cs="Times New Roman"/>
          <w:i/>
        </w:rPr>
        <w:t>H</w:t>
      </w:r>
      <w:r w:rsidR="003D0F15" w:rsidRPr="00A40AB4">
        <w:rPr>
          <w:rFonts w:eastAsiaTheme="minorEastAsia" w:cs="Times New Roman"/>
          <w:i/>
          <w:vertAlign w:val="subscript"/>
        </w:rPr>
        <w:t>0</w:t>
      </w:r>
      <w:r w:rsidR="003D0F15" w:rsidRPr="00A40AB4">
        <w:rPr>
          <w:rFonts w:eastAsiaTheme="minorEastAsia" w:cs="Times New Roman"/>
        </w:rPr>
        <w:t xml:space="preserve"> teisinga) ne mažesnė už stebimą realizaciją </w:t>
      </w:r>
      <w:r w:rsidR="003D0F15" w:rsidRPr="00A40AB4">
        <w:rPr>
          <w:rFonts w:eastAsiaTheme="minorEastAsia" w:cs="Times New Roman"/>
          <w:i/>
        </w:rPr>
        <w:t>t*</w:t>
      </w:r>
      <w:r w:rsidR="003D0F15" w:rsidRPr="00A40AB4">
        <w:rPr>
          <w:rFonts w:eastAsiaTheme="minorEastAsia" w:cs="Times New Roman"/>
        </w:rPr>
        <w:t xml:space="preserve">. Pasak autorių, p-reikšmė dar gali būti vadinama skirstinio uodegos tikimybe ir ją galima panaudoti priimant arba atmetant hipotezę. </w:t>
      </w:r>
      <w:r w:rsidR="007F4EB1">
        <w:rPr>
          <w:rFonts w:eastAsiaTheme="minorEastAsia" w:cs="Times New Roman"/>
        </w:rPr>
        <w:t xml:space="preserve">Jie </w:t>
      </w:r>
      <w:r w:rsidR="003D0F15" w:rsidRPr="00A40AB4">
        <w:rPr>
          <w:rFonts w:eastAsiaTheme="minorEastAsia" w:cs="Times New Roman"/>
        </w:rPr>
        <w:t xml:space="preserve">teigia, jog galima suformuluoti bendrą taisyklę, kuri tinka visų rūšių nulinėms hipotezėms </w:t>
      </w:r>
      <w:r w:rsidR="003D0F15" w:rsidRPr="00A40AB4">
        <w:rPr>
          <w:rFonts w:eastAsiaTheme="minorEastAsia" w:cs="Times New Roman"/>
          <w:i/>
        </w:rPr>
        <w:t>H</w:t>
      </w:r>
      <w:r w:rsidR="003D0F15" w:rsidRPr="00A40AB4">
        <w:rPr>
          <w:rFonts w:eastAsiaTheme="minorEastAsia" w:cs="Times New Roman"/>
          <w:i/>
          <w:vertAlign w:val="subscript"/>
        </w:rPr>
        <w:t>0</w:t>
      </w:r>
      <w:r w:rsidR="003D0F15" w:rsidRPr="00A40AB4">
        <w:rPr>
          <w:rFonts w:eastAsiaTheme="minorEastAsia" w:cs="Times New Roman"/>
        </w:rPr>
        <w:t xml:space="preserve"> bei </w:t>
      </w:r>
      <w:r w:rsidR="001056A7">
        <w:rPr>
          <w:rFonts w:eastAsiaTheme="minorEastAsia" w:cs="Times New Roman"/>
        </w:rPr>
        <w:t xml:space="preserve">jų </w:t>
      </w:r>
      <w:r w:rsidR="003D0F15" w:rsidRPr="00A40AB4">
        <w:rPr>
          <w:rFonts w:eastAsiaTheme="minorEastAsia" w:cs="Times New Roman"/>
        </w:rPr>
        <w:t>alternatyvoms</w:t>
      </w:r>
      <w:r w:rsidR="003D0F15" w:rsidRPr="00A40AB4">
        <w:rPr>
          <w:rFonts w:eastAsiaTheme="minorEastAsia" w:cs="Times New Roman"/>
          <w:i/>
        </w:rPr>
        <w:t xml:space="preserve"> H</w:t>
      </w:r>
      <w:r w:rsidR="003D0F15" w:rsidRPr="00A40AB4">
        <w:rPr>
          <w:rFonts w:eastAsiaTheme="minorEastAsia" w:cs="Times New Roman"/>
          <w:i/>
          <w:vertAlign w:val="subscript"/>
          <w:lang w:val="en-US"/>
        </w:rPr>
        <w:t>1</w:t>
      </w:r>
      <w:r w:rsidR="003D0F15" w:rsidRPr="00A40AB4">
        <w:rPr>
          <w:rFonts w:eastAsiaTheme="minorEastAsia" w:cs="Times New Roman"/>
          <w:lang w:val="en-US"/>
        </w:rPr>
        <w:t>.</w:t>
      </w:r>
    </w:p>
    <w:p w:rsidR="003D0F15" w:rsidRPr="00A40AB4" w:rsidRDefault="003D0F15" w:rsidP="003D0F15">
      <w:pPr>
        <w:ind w:firstLine="567"/>
        <w:jc w:val="both"/>
        <w:rPr>
          <w:rFonts w:eastAsiaTheme="minorEastAsia" w:cs="Times New Roman"/>
        </w:rPr>
      </w:pPr>
      <w:r w:rsidRPr="00A40AB4">
        <w:rPr>
          <w:rFonts w:eastAsiaTheme="minorEastAsia" w:cs="Times New Roman"/>
        </w:rPr>
        <w:t>Tegul α – reikšmingumo lygmuo, p – p-reikšmė.</w:t>
      </w:r>
    </w:p>
    <w:p w:rsidR="003D0F15" w:rsidRPr="00A40AB4" w:rsidRDefault="003D0F15" w:rsidP="003D0F15">
      <w:pPr>
        <w:ind w:firstLine="567"/>
        <w:jc w:val="both"/>
        <w:rPr>
          <w:rFonts w:eastAsiaTheme="minorEastAsia" w:cs="Times New Roman"/>
        </w:rPr>
      </w:pPr>
      <w:r w:rsidRPr="00A40AB4">
        <w:rPr>
          <w:rFonts w:eastAsiaTheme="minorEastAsia" w:cs="Times New Roman"/>
        </w:rPr>
        <w:t>Jeigu</w:t>
      </w:r>
      <m:oMath>
        <m:r>
          <w:rPr>
            <w:rFonts w:ascii="Cambria Math" w:eastAsiaTheme="minorEastAsia" w:hAnsi="Cambria Math" w:cs="Times New Roman"/>
          </w:rPr>
          <m:t xml:space="preserve"> p&lt;α</m:t>
        </m:r>
      </m:oMath>
      <w:r w:rsidRPr="00A40AB4">
        <w:rPr>
          <w:rFonts w:eastAsiaTheme="minorEastAsia" w:cs="Times New Roman"/>
        </w:rPr>
        <w:t xml:space="preserve">, tai hipotezė </w:t>
      </w:r>
      <w:r w:rsidRPr="00A40AB4">
        <w:rPr>
          <w:rFonts w:eastAsiaTheme="minorEastAsia" w:cs="Times New Roman"/>
          <w:i/>
        </w:rPr>
        <w:t>H</w:t>
      </w:r>
      <w:r w:rsidRPr="00A40AB4">
        <w:rPr>
          <w:rFonts w:eastAsiaTheme="minorEastAsia" w:cs="Times New Roman"/>
          <w:i/>
          <w:vertAlign w:val="subscript"/>
        </w:rPr>
        <w:t>0</w:t>
      </w:r>
      <w:r w:rsidRPr="00A40AB4">
        <w:rPr>
          <w:rFonts w:eastAsiaTheme="minorEastAsia" w:cs="Times New Roman"/>
        </w:rPr>
        <w:t xml:space="preserve"> atmetama.</w:t>
      </w:r>
    </w:p>
    <w:p w:rsidR="003D0F15" w:rsidRPr="00A40AB4" w:rsidRDefault="003D0F15" w:rsidP="003D0F15">
      <w:pPr>
        <w:ind w:firstLine="567"/>
        <w:jc w:val="both"/>
        <w:rPr>
          <w:rFonts w:eastAsiaTheme="minorEastAsia" w:cs="Times New Roman"/>
        </w:rPr>
      </w:pPr>
      <w:r w:rsidRPr="00A40AB4">
        <w:rPr>
          <w:rFonts w:eastAsiaTheme="minorEastAsia" w:cs="Times New Roman"/>
        </w:rPr>
        <w:t xml:space="preserve">Jeigu </w:t>
      </w:r>
      <m:oMath>
        <m:r>
          <w:rPr>
            <w:rFonts w:ascii="Cambria Math" w:eastAsiaTheme="minorEastAsia" w:hAnsi="Cambria Math" w:cs="Times New Roman"/>
          </w:rPr>
          <m:t>p≥α</m:t>
        </m:r>
      </m:oMath>
      <w:r w:rsidRPr="00A40AB4">
        <w:rPr>
          <w:rFonts w:eastAsiaTheme="minorEastAsia" w:cs="Times New Roman"/>
        </w:rPr>
        <w:t xml:space="preserve">, hipotezė </w:t>
      </w:r>
      <w:r w:rsidRPr="00A40AB4">
        <w:rPr>
          <w:rFonts w:eastAsiaTheme="minorEastAsia" w:cs="Times New Roman"/>
          <w:i/>
        </w:rPr>
        <w:t>H</w:t>
      </w:r>
      <w:r w:rsidRPr="00A40AB4">
        <w:rPr>
          <w:rFonts w:eastAsiaTheme="minorEastAsia" w:cs="Times New Roman"/>
          <w:i/>
          <w:vertAlign w:val="subscript"/>
        </w:rPr>
        <w:t>0</w:t>
      </w:r>
      <w:r w:rsidRPr="00A40AB4">
        <w:rPr>
          <w:rFonts w:eastAsiaTheme="minorEastAsia" w:cs="Times New Roman"/>
        </w:rPr>
        <w:t xml:space="preserve"> neatmetama.</w:t>
      </w:r>
    </w:p>
    <w:p w:rsidR="003D0F15" w:rsidRPr="00A40AB4" w:rsidRDefault="003D0F15" w:rsidP="003D0F15">
      <w:pPr>
        <w:ind w:firstLine="567"/>
        <w:jc w:val="both"/>
        <w:rPr>
          <w:rFonts w:eastAsiaTheme="minorEastAsia" w:cs="Times New Roman"/>
        </w:rPr>
      </w:pPr>
      <w:r w:rsidRPr="00A40AB4">
        <w:rPr>
          <w:rFonts w:eastAsiaTheme="minorEastAsia" w:cs="Times New Roman"/>
        </w:rPr>
        <w:t>Ši taisyklė bus taikoma siekiant atmesti arba priimti hipotezes, gautas statistikos paketu GRETL.</w:t>
      </w:r>
    </w:p>
    <w:p w:rsidR="003D0F15" w:rsidRDefault="003D0F15" w:rsidP="003D0F15">
      <w:pPr>
        <w:ind w:firstLine="567"/>
        <w:jc w:val="both"/>
        <w:rPr>
          <w:rFonts w:eastAsiaTheme="minorEastAsia" w:cs="Times New Roman"/>
        </w:rPr>
      </w:pPr>
      <w:r w:rsidRPr="00A40AB4">
        <w:rPr>
          <w:rFonts w:eastAsiaTheme="minorEastAsia" w:cs="Times New Roman"/>
        </w:rPr>
        <w:t xml:space="preserve">Siekiant patikrinti gautos regresijos homoskedastiškumą bus naudojamas Breutsch-Pagan testas, kuris parodo ar gautos regresijos lygties liekanos yra priklausomos nuo nepriklausomų kintamųjų. Taip pat modelio prognozės bus </w:t>
      </w:r>
      <w:r w:rsidR="00FC7F67">
        <w:rPr>
          <w:rFonts w:eastAsiaTheme="minorEastAsia" w:cs="Times New Roman"/>
        </w:rPr>
        <w:t>tikrinamos</w:t>
      </w:r>
      <w:r w:rsidRPr="00A40AB4">
        <w:rPr>
          <w:rFonts w:eastAsiaTheme="minorEastAsia" w:cs="Times New Roman"/>
        </w:rPr>
        <w:t xml:space="preserve"> remiantis 2012 m. III ketv. faktiniais duomenimis (t.y. ar faktiniai pasirašytų įmokų rezultatai patenka į prognozės pasikliautinąjį intervalą).</w:t>
      </w:r>
    </w:p>
    <w:p w:rsidR="00A02BD8" w:rsidRDefault="00A02BD8" w:rsidP="003D0F15">
      <w:pPr>
        <w:ind w:firstLine="567"/>
        <w:jc w:val="both"/>
        <w:rPr>
          <w:rFonts w:eastAsiaTheme="minorEastAsia" w:cs="Times New Roman"/>
        </w:rPr>
      </w:pPr>
    </w:p>
    <w:p w:rsidR="00A02BD8" w:rsidRDefault="00A02BD8" w:rsidP="003D0F15">
      <w:pPr>
        <w:ind w:firstLine="567"/>
        <w:jc w:val="both"/>
        <w:rPr>
          <w:rFonts w:eastAsiaTheme="minorEastAsia" w:cs="Times New Roman"/>
          <w:b/>
        </w:rPr>
      </w:pPr>
      <w:r w:rsidRPr="00A02BD8">
        <w:rPr>
          <w:rFonts w:eastAsiaTheme="minorEastAsia" w:cs="Times New Roman"/>
          <w:b/>
        </w:rPr>
        <w:t>Hipotezės</w:t>
      </w:r>
    </w:p>
    <w:p w:rsidR="00A02BD8" w:rsidRDefault="00AC3A6D" w:rsidP="00A02BD8">
      <w:pPr>
        <w:ind w:firstLine="567"/>
        <w:jc w:val="both"/>
        <w:rPr>
          <w:rFonts w:eastAsiaTheme="minorEastAsia" w:cs="Times New Roman"/>
        </w:rPr>
      </w:pPr>
      <w:r>
        <w:rPr>
          <w:rFonts w:eastAsiaTheme="minorEastAsia" w:cs="Times New Roman"/>
        </w:rPr>
        <w:t xml:space="preserve">Remiantis </w:t>
      </w:r>
      <w:r w:rsidR="002845D6">
        <w:rPr>
          <w:rFonts w:eastAsiaTheme="minorEastAsia" w:cs="Times New Roman"/>
        </w:rPr>
        <w:t xml:space="preserve">atlikta literatūros analize bei </w:t>
      </w:r>
      <w:r>
        <w:rPr>
          <w:rFonts w:eastAsiaTheme="minorEastAsia" w:cs="Times New Roman"/>
        </w:rPr>
        <w:t xml:space="preserve">aprašyta metodologija toliau </w:t>
      </w:r>
      <w:r w:rsidR="008C069D">
        <w:rPr>
          <w:rFonts w:eastAsiaTheme="minorEastAsia" w:cs="Times New Roman"/>
        </w:rPr>
        <w:t xml:space="preserve">darbe atliekama analizė bei tyrimas, kuriais </w:t>
      </w:r>
      <w:r>
        <w:rPr>
          <w:rFonts w:eastAsiaTheme="minorEastAsia" w:cs="Times New Roman"/>
        </w:rPr>
        <w:t>bandoma patvirtinti darbe suformuluotas hipotezes</w:t>
      </w:r>
      <w:r w:rsidR="008C069D">
        <w:rPr>
          <w:rFonts w:eastAsiaTheme="minorEastAsia" w:cs="Times New Roman"/>
        </w:rPr>
        <w:t>.</w:t>
      </w:r>
    </w:p>
    <w:p w:rsidR="00B51964" w:rsidRDefault="0058183C" w:rsidP="00A02BD8">
      <w:pPr>
        <w:ind w:firstLine="567"/>
        <w:jc w:val="both"/>
        <w:rPr>
          <w:rFonts w:eastAsiaTheme="minorEastAsia" w:cs="Times New Roman"/>
        </w:rPr>
      </w:pPr>
      <w:r w:rsidRPr="002845D6">
        <w:rPr>
          <w:rFonts w:eastAsiaTheme="minorEastAsia" w:cs="Times New Roman"/>
          <w:u w:val="single"/>
        </w:rPr>
        <w:t>Pirmoji hipotezė (</w:t>
      </w:r>
      <w:r w:rsidR="00AC3A6D" w:rsidRPr="002845D6">
        <w:rPr>
          <w:rFonts w:eastAsiaTheme="minorEastAsia" w:cs="Times New Roman"/>
          <w:u w:val="single"/>
        </w:rPr>
        <w:t>H</w:t>
      </w:r>
      <w:r w:rsidRPr="002845D6">
        <w:rPr>
          <w:rFonts w:eastAsiaTheme="minorEastAsia" w:cs="Times New Roman"/>
          <w:u w:val="single"/>
          <w:vertAlign w:val="subscript"/>
          <w:lang w:val="en-US"/>
        </w:rPr>
        <w:t>1</w:t>
      </w:r>
      <w:r w:rsidRPr="002845D6">
        <w:rPr>
          <w:rFonts w:eastAsiaTheme="minorEastAsia" w:cs="Times New Roman"/>
          <w:u w:val="single"/>
        </w:rPr>
        <w:t>)</w:t>
      </w:r>
      <w:r w:rsidR="006A4F8F">
        <w:rPr>
          <w:rFonts w:eastAsiaTheme="minorEastAsia" w:cs="Times New Roman"/>
        </w:rPr>
        <w:t>:</w:t>
      </w:r>
      <w:r w:rsidR="00AC3A6D">
        <w:rPr>
          <w:rFonts w:eastAsiaTheme="minorEastAsia" w:cs="Times New Roman"/>
        </w:rPr>
        <w:t xml:space="preserve"> </w:t>
      </w:r>
      <w:r w:rsidR="00B51964">
        <w:rPr>
          <w:rFonts w:eastAsiaTheme="minorEastAsia" w:cs="Times New Roman"/>
        </w:rPr>
        <w:t>Lietuvos ne gyvybės draudimo sektoriaus plėtrą sąlygoja ne tik ekonominė, bet ir politinė, teisinė, socialinė, kultūrinė bei technologinė aplinkos.</w:t>
      </w:r>
    </w:p>
    <w:p w:rsidR="00AC3A6D" w:rsidRDefault="00B51964" w:rsidP="00A02BD8">
      <w:pPr>
        <w:ind w:firstLine="567"/>
        <w:jc w:val="both"/>
        <w:rPr>
          <w:rFonts w:eastAsiaTheme="minorEastAsia" w:cs="Times New Roman"/>
        </w:rPr>
      </w:pPr>
      <w:r>
        <w:rPr>
          <w:rFonts w:eastAsiaTheme="minorEastAsia" w:cs="Times New Roman"/>
          <w:u w:val="single"/>
        </w:rPr>
        <w:t>Antroji</w:t>
      </w:r>
      <w:r w:rsidRPr="002845D6">
        <w:rPr>
          <w:rFonts w:eastAsiaTheme="minorEastAsia" w:cs="Times New Roman"/>
          <w:u w:val="single"/>
        </w:rPr>
        <w:t xml:space="preserve"> hipotezė (H</w:t>
      </w:r>
      <w:r>
        <w:rPr>
          <w:rFonts w:eastAsiaTheme="minorEastAsia" w:cs="Times New Roman"/>
          <w:u w:val="single"/>
          <w:vertAlign w:val="subscript"/>
          <w:lang w:val="en-US"/>
        </w:rPr>
        <w:t>2</w:t>
      </w:r>
      <w:r w:rsidRPr="002845D6">
        <w:rPr>
          <w:rFonts w:eastAsiaTheme="minorEastAsia" w:cs="Times New Roman"/>
          <w:u w:val="single"/>
        </w:rPr>
        <w:t>)</w:t>
      </w:r>
      <w:r>
        <w:rPr>
          <w:rFonts w:eastAsiaTheme="minorEastAsia" w:cs="Times New Roman"/>
        </w:rPr>
        <w:t xml:space="preserve">: </w:t>
      </w:r>
      <w:r w:rsidR="007F667D">
        <w:rPr>
          <w:rFonts w:eastAsiaTheme="minorEastAsia" w:cs="Times New Roman"/>
        </w:rPr>
        <w:t xml:space="preserve">svarbiausias </w:t>
      </w:r>
      <w:r>
        <w:rPr>
          <w:rFonts w:eastAsiaTheme="minorEastAsia" w:cs="Times New Roman"/>
        </w:rPr>
        <w:t xml:space="preserve">ekonominis </w:t>
      </w:r>
      <w:r w:rsidR="008C069D">
        <w:rPr>
          <w:rFonts w:eastAsiaTheme="minorEastAsia" w:cs="Times New Roman"/>
        </w:rPr>
        <w:t>Lietuvos ne gyvybės draudimo plėtr</w:t>
      </w:r>
      <w:r w:rsidR="007F667D">
        <w:rPr>
          <w:rFonts w:eastAsiaTheme="minorEastAsia" w:cs="Times New Roman"/>
        </w:rPr>
        <w:t>ą lemiantis veiksnys</w:t>
      </w:r>
      <w:r w:rsidR="008C069D">
        <w:rPr>
          <w:rFonts w:eastAsiaTheme="minorEastAsia" w:cs="Times New Roman"/>
        </w:rPr>
        <w:t xml:space="preserve"> </w:t>
      </w:r>
      <w:r w:rsidR="007F667D">
        <w:rPr>
          <w:rFonts w:eastAsiaTheme="minorEastAsia" w:cs="Times New Roman"/>
        </w:rPr>
        <w:t xml:space="preserve">– </w:t>
      </w:r>
      <w:r w:rsidR="008C069D">
        <w:rPr>
          <w:rFonts w:eastAsiaTheme="minorEastAsia" w:cs="Times New Roman"/>
        </w:rPr>
        <w:t>BVP</w:t>
      </w:r>
      <w:r w:rsidR="007F667D">
        <w:rPr>
          <w:rFonts w:eastAsiaTheme="minorEastAsia" w:cs="Times New Roman"/>
        </w:rPr>
        <w:t xml:space="preserve"> ir jo</w:t>
      </w:r>
      <w:r w:rsidR="008C069D">
        <w:rPr>
          <w:rFonts w:eastAsiaTheme="minorEastAsia" w:cs="Times New Roman"/>
        </w:rPr>
        <w:t xml:space="preserve"> dinamika.</w:t>
      </w:r>
    </w:p>
    <w:p w:rsidR="001A284D" w:rsidRDefault="001A284D" w:rsidP="00A02BD8">
      <w:pPr>
        <w:ind w:firstLine="567"/>
        <w:jc w:val="both"/>
        <w:rPr>
          <w:rFonts w:eastAsiaTheme="minorEastAsia" w:cs="Times New Roman"/>
        </w:rPr>
      </w:pPr>
    </w:p>
    <w:p w:rsidR="001A284D" w:rsidRPr="00A40AB4" w:rsidRDefault="001A284D" w:rsidP="00A02BD8">
      <w:pPr>
        <w:ind w:firstLine="567"/>
        <w:jc w:val="both"/>
        <w:rPr>
          <w:rFonts w:eastAsiaTheme="minorEastAsia" w:cs="Times New Roman"/>
        </w:rPr>
      </w:pPr>
      <w:r>
        <w:rPr>
          <w:rFonts w:eastAsiaTheme="minorEastAsia" w:cs="Times New Roman"/>
        </w:rPr>
        <w:t xml:space="preserve">Taigi šiame skyriuje pateikta ne gyvybės draudimo rinkos plėtros veiksnių metodologija: pirmiausia remiantis įvairių mokslininkų – </w:t>
      </w:r>
      <w:r>
        <w:rPr>
          <w:rFonts w:cs="Times New Roman"/>
        </w:rPr>
        <w:t>Buškevičiūtė ir Poželaitė (</w:t>
      </w:r>
      <w:r>
        <w:rPr>
          <w:rFonts w:cs="Times New Roman"/>
          <w:lang w:val="en-US"/>
        </w:rPr>
        <w:t xml:space="preserve">2001), </w:t>
      </w:r>
      <w:r w:rsidRPr="00344783">
        <w:rPr>
          <w:rFonts w:cs="Times New Roman"/>
        </w:rPr>
        <w:t xml:space="preserve">Lezgovko ir Lastauskas (2008), Bagdonavičius (2000), Aidukienė ir Simanavičienė (2010), Lezgovko ir Jablonskienė </w:t>
      </w:r>
      <w:r>
        <w:rPr>
          <w:rFonts w:cs="Times New Roman"/>
        </w:rPr>
        <w:t>(</w:t>
      </w:r>
      <w:r w:rsidRPr="00344783">
        <w:rPr>
          <w:rFonts w:cs="Times New Roman"/>
        </w:rPr>
        <w:t>2012</w:t>
      </w:r>
      <w:r>
        <w:rPr>
          <w:rFonts w:cs="Times New Roman"/>
        </w:rPr>
        <w:t xml:space="preserve">) – bei tokių institucijų kaip DPK bei LB </w:t>
      </w:r>
      <w:r>
        <w:rPr>
          <w:rFonts w:eastAsiaTheme="minorEastAsia" w:cs="Times New Roman"/>
        </w:rPr>
        <w:t xml:space="preserve">išskiriamais svarbiausiais ne gyvybės draudimo rinką apibūdinančiais tiesioginiais bei netiesioginiais, taip pat finansiniais draudimo rinkos rodikliais magistro baigiamajame darbe analizuojama bei vertinama esama ne gyvybės draudimo </w:t>
      </w:r>
      <w:r w:rsidR="00A549E1">
        <w:rPr>
          <w:rFonts w:eastAsiaTheme="minorEastAsia" w:cs="Times New Roman"/>
        </w:rPr>
        <w:t xml:space="preserve">rinkos </w:t>
      </w:r>
      <w:r>
        <w:rPr>
          <w:rFonts w:eastAsiaTheme="minorEastAsia" w:cs="Times New Roman"/>
        </w:rPr>
        <w:t>padėtis mūsų šalyje.</w:t>
      </w:r>
      <w:r w:rsidR="00077FED">
        <w:rPr>
          <w:rFonts w:eastAsiaTheme="minorEastAsia" w:cs="Times New Roman"/>
        </w:rPr>
        <w:t xml:space="preserve"> Siekiant įtraukti kokybinius veiksnius, sąlygojančius ne gyvybės draudimo rinkos situaciją bei plėtros perspektyvas naudojamas PEST metodas. Norint atlikti ne gyvybės draudimo rinkos plėtros veiksnių analizę pasitelkiama koreliacinė bei tiesinė regresinė analizė. Šiame skyriuje iškeltos ir dvi hipotezės.</w:t>
      </w:r>
    </w:p>
    <w:p w:rsidR="007A7133" w:rsidRPr="00A40AB4" w:rsidRDefault="007A7133">
      <w:pPr>
        <w:spacing w:after="200" w:line="276" w:lineRule="auto"/>
        <w:rPr>
          <w:rFonts w:eastAsiaTheme="majorEastAsia" w:cstheme="majorBidi"/>
          <w:b/>
          <w:bCs/>
          <w:szCs w:val="24"/>
          <w:lang w:val="en-US"/>
        </w:rPr>
      </w:pPr>
      <w:r w:rsidRPr="00A40AB4">
        <w:rPr>
          <w:rFonts w:eastAsiaTheme="majorEastAsia" w:cstheme="majorBidi"/>
          <w:b/>
          <w:bCs/>
          <w:szCs w:val="24"/>
          <w:lang w:val="en-US"/>
        </w:rPr>
        <w:br w:type="page"/>
      </w:r>
    </w:p>
    <w:p w:rsidR="00CD2B6E" w:rsidRPr="00A40AB4" w:rsidRDefault="00CD2B6E" w:rsidP="00CD2B6E">
      <w:pPr>
        <w:rPr>
          <w:rFonts w:eastAsiaTheme="majorEastAsia" w:cstheme="majorBidi"/>
          <w:b/>
          <w:bCs/>
          <w:szCs w:val="24"/>
          <w:lang w:val="en-US"/>
        </w:rPr>
      </w:pPr>
    </w:p>
    <w:p w:rsidR="00622770" w:rsidRPr="00A40AB4" w:rsidRDefault="00085EDB" w:rsidP="004F0933">
      <w:pPr>
        <w:pStyle w:val="Heading1"/>
      </w:pPr>
      <w:bookmarkStart w:id="169" w:name="_Toc340574385"/>
      <w:bookmarkStart w:id="170" w:name="_Toc340574701"/>
      <w:bookmarkStart w:id="171" w:name="_Toc341641372"/>
      <w:bookmarkStart w:id="172" w:name="_Toc342859660"/>
      <w:r w:rsidRPr="00A40AB4">
        <w:rPr>
          <w:lang w:val="en-US"/>
        </w:rPr>
        <w:t>3</w:t>
      </w:r>
      <w:r w:rsidR="00622770" w:rsidRPr="00A40AB4">
        <w:rPr>
          <w:lang w:val="en-US"/>
        </w:rPr>
        <w:t xml:space="preserve">. </w:t>
      </w:r>
      <w:r w:rsidR="00811301" w:rsidRPr="00A40AB4">
        <w:t xml:space="preserve">LIETUVOS NE GYVYBĖS DRAUDIMO RINKOS </w:t>
      </w:r>
      <w:r w:rsidR="00EC3B70">
        <w:t xml:space="preserve">SITUACIJA </w:t>
      </w:r>
      <w:r w:rsidR="00D52C98">
        <w:t>IR</w:t>
      </w:r>
      <w:r w:rsidR="00EC3B70">
        <w:t xml:space="preserve"> </w:t>
      </w:r>
      <w:r w:rsidR="00811301" w:rsidRPr="00A40AB4">
        <w:t xml:space="preserve">PLĖTROS </w:t>
      </w:r>
      <w:bookmarkEnd w:id="169"/>
      <w:bookmarkEnd w:id="170"/>
      <w:r w:rsidR="00EC3B70">
        <w:t xml:space="preserve">VEIKSNIŲ </w:t>
      </w:r>
      <w:bookmarkEnd w:id="171"/>
      <w:r w:rsidR="00D33D49">
        <w:t>ANALIZĖ</w:t>
      </w:r>
      <w:bookmarkEnd w:id="172"/>
    </w:p>
    <w:p w:rsidR="00622770" w:rsidRPr="00A40AB4" w:rsidRDefault="00622770" w:rsidP="00CD2B6E">
      <w:pPr>
        <w:rPr>
          <w:rFonts w:cs="Times New Roman"/>
        </w:rPr>
      </w:pPr>
    </w:p>
    <w:p w:rsidR="00267FA0" w:rsidRPr="00A40AB4" w:rsidRDefault="00133BF9" w:rsidP="004F0933">
      <w:pPr>
        <w:pStyle w:val="Heading2"/>
        <w:spacing w:line="360" w:lineRule="auto"/>
        <w:ind w:left="567" w:firstLine="0"/>
        <w:jc w:val="both"/>
        <w:rPr>
          <w:sz w:val="28"/>
        </w:rPr>
      </w:pPr>
      <w:bookmarkStart w:id="173" w:name="_Toc340574386"/>
      <w:bookmarkStart w:id="174" w:name="_Toc340574702"/>
      <w:bookmarkStart w:id="175" w:name="_Toc341641373"/>
      <w:bookmarkStart w:id="176" w:name="_Toc342859661"/>
      <w:r w:rsidRPr="00A40AB4">
        <w:rPr>
          <w:sz w:val="28"/>
        </w:rPr>
        <w:t>3.1. Lietuvos ne gyvybės draudimo rinkos situacijos vertinimas</w:t>
      </w:r>
      <w:bookmarkEnd w:id="173"/>
      <w:bookmarkEnd w:id="174"/>
      <w:bookmarkEnd w:id="175"/>
      <w:bookmarkEnd w:id="176"/>
    </w:p>
    <w:p w:rsidR="00267FA0" w:rsidRPr="00A40AB4" w:rsidRDefault="00267FA0" w:rsidP="00CD2B6E"/>
    <w:p w:rsidR="008D1732" w:rsidRPr="00A40AB4" w:rsidRDefault="008D1732" w:rsidP="00267FA0">
      <w:pPr>
        <w:ind w:firstLine="567"/>
        <w:jc w:val="both"/>
        <w:rPr>
          <w:lang w:val="en-US"/>
        </w:rPr>
      </w:pPr>
      <w:r w:rsidRPr="00A40AB4">
        <w:t>1990 m. Lietuvoje priimtas pirmasis draudimo įstatymas pažymėjo atkurtos nepriklausomos Lietuvos draudimo istorijos pradžią.</w:t>
      </w:r>
      <w:r w:rsidR="009564F3">
        <w:t xml:space="preserve"> Lezgovko (</w:t>
      </w:r>
      <w:r w:rsidR="009564F3">
        <w:rPr>
          <w:lang w:val="en-US"/>
        </w:rPr>
        <w:t>2010)</w:t>
      </w:r>
      <w:r w:rsidR="009564F3">
        <w:t>, tvirtina, jog p</w:t>
      </w:r>
      <w:r w:rsidRPr="00A40AB4">
        <w:t xml:space="preserve">raėjus vos keletui metų </w:t>
      </w:r>
      <w:r w:rsidR="000D5DB0" w:rsidRPr="00A40AB4">
        <w:t xml:space="preserve">šalyje </w:t>
      </w:r>
      <w:r w:rsidRPr="00A40AB4">
        <w:t>ėmė steigtis daugybė draudimo bendrovių (34 draudikai 1993-1994 m.), tačiau labai greitai pasipylė ir pirmoji bankrotų banga</w:t>
      </w:r>
      <w:r w:rsidR="00E8012E" w:rsidRPr="00A40AB4">
        <w:t>, „išgryninusi</w:t>
      </w:r>
      <w:r w:rsidR="0030488B" w:rsidRPr="00A40AB4">
        <w:t>“ rinką. 1996 m. įsigaliojo</w:t>
      </w:r>
      <w:r w:rsidRPr="00A40AB4">
        <w:t xml:space="preserve"> naujas draudimo įstatymas, </w:t>
      </w:r>
      <w:r w:rsidR="0030488B" w:rsidRPr="00A40AB4">
        <w:t xml:space="preserve">pažymėjęs </w:t>
      </w:r>
      <w:r w:rsidRPr="00A40AB4">
        <w:t>profesionalaus draudimo reglamentavimo pradžią Lietuvoje – atskiriamos gyvybės ir ne gyvybės draudimo šakos</w:t>
      </w:r>
      <w:r w:rsidR="0035144C" w:rsidRPr="00A40AB4">
        <w:t xml:space="preserve"> bei reorganizuojama Valstybinė draudimo priežiūros komisija</w:t>
      </w:r>
      <w:r w:rsidRPr="00A40AB4">
        <w:t xml:space="preserve">. </w:t>
      </w:r>
      <w:r w:rsidR="009564F3">
        <w:t>Lezgovko (</w:t>
      </w:r>
      <w:r w:rsidR="009564F3">
        <w:rPr>
          <w:lang w:val="en-US"/>
        </w:rPr>
        <w:t>2010)</w:t>
      </w:r>
      <w:r w:rsidR="009564F3">
        <w:t xml:space="preserve"> teigimu, </w:t>
      </w:r>
      <w:r w:rsidRPr="00A40AB4">
        <w:t xml:space="preserve">1998 m. </w:t>
      </w:r>
      <w:r w:rsidR="00771300" w:rsidRPr="00A40AB4">
        <w:t>tapo</w:t>
      </w:r>
      <w:r w:rsidRPr="00A40AB4">
        <w:t xml:space="preserve"> užsienio kapitalo atėjimu į Lietuvos draudimo rinką</w:t>
      </w:r>
      <w:r w:rsidR="00771300" w:rsidRPr="00A40AB4">
        <w:t xml:space="preserve"> metais</w:t>
      </w:r>
      <w:r w:rsidRPr="00A40AB4">
        <w:t xml:space="preserve">, o 2002 m. pavasarį </w:t>
      </w:r>
      <w:r w:rsidR="00E20775" w:rsidRPr="00A40AB4">
        <w:t xml:space="preserve">įvestas </w:t>
      </w:r>
      <w:r w:rsidR="000510F3" w:rsidRPr="00A40AB4">
        <w:t xml:space="preserve">transporto priemonių valdytojų </w:t>
      </w:r>
      <w:r w:rsidRPr="00A40AB4">
        <w:t xml:space="preserve">civilinės atsakomybės </w:t>
      </w:r>
      <w:r w:rsidR="009D1446" w:rsidRPr="00A40AB4">
        <w:t xml:space="preserve">(TPVCA) </w:t>
      </w:r>
      <w:r w:rsidR="000510F3" w:rsidRPr="00A40AB4">
        <w:t xml:space="preserve">privalomasis </w:t>
      </w:r>
      <w:r w:rsidRPr="00A40AB4">
        <w:t xml:space="preserve">draudimas. </w:t>
      </w:r>
      <w:r w:rsidR="00D2450A" w:rsidRPr="00A40AB4">
        <w:t>Dar p</w:t>
      </w:r>
      <w:r w:rsidR="00474CC7" w:rsidRPr="00A40AB4">
        <w:t xml:space="preserve">o dviejų </w:t>
      </w:r>
      <w:r w:rsidRPr="00A40AB4">
        <w:t>metų</w:t>
      </w:r>
      <w:r w:rsidR="003C438E" w:rsidRPr="00A40AB4">
        <w:t xml:space="preserve"> </w:t>
      </w:r>
      <w:r w:rsidR="00462886" w:rsidRPr="00A40AB4">
        <w:t xml:space="preserve">mūsų šaliai </w:t>
      </w:r>
      <w:r w:rsidR="003C438E" w:rsidRPr="00A40AB4">
        <w:t xml:space="preserve">įstojus </w:t>
      </w:r>
      <w:r w:rsidRPr="00A40AB4">
        <w:t xml:space="preserve">į ES </w:t>
      </w:r>
      <w:r w:rsidR="00462886" w:rsidRPr="00A40AB4">
        <w:t xml:space="preserve">Lietuvoje darkart </w:t>
      </w:r>
      <w:r w:rsidRPr="00A40AB4">
        <w:t>prii</w:t>
      </w:r>
      <w:r w:rsidR="00462886" w:rsidRPr="00A40AB4">
        <w:t>mtas</w:t>
      </w:r>
      <w:r w:rsidR="008B32B8" w:rsidRPr="00A40AB4">
        <w:t xml:space="preserve"> naujas draudimo įstatymas</w:t>
      </w:r>
      <w:r w:rsidR="008B32B8" w:rsidRPr="00A40AB4">
        <w:rPr>
          <w:lang w:val="en-US"/>
        </w:rPr>
        <w:t>.</w:t>
      </w:r>
    </w:p>
    <w:p w:rsidR="00734C35" w:rsidRPr="00A40AB4" w:rsidRDefault="00C9523B" w:rsidP="00267FA0">
      <w:pPr>
        <w:ind w:firstLine="567"/>
        <w:jc w:val="both"/>
      </w:pPr>
      <w:r>
        <w:t>8</w:t>
      </w:r>
      <w:r w:rsidR="00B01000">
        <w:t xml:space="preserve"> pav.</w:t>
      </w:r>
      <w:r w:rsidR="00734C35" w:rsidRPr="00A40AB4">
        <w:t xml:space="preserve"> pavaizduota, kaip kito ne gyvybės draudimo įmonių skaičius Lietuvoje po gyvybės ir ne gyvybės draudimo šakų atskyrimo</w:t>
      </w:r>
      <w:r w:rsidR="008F203B" w:rsidRPr="00A40AB4">
        <w:t xml:space="preserve">, </w:t>
      </w:r>
      <w:r w:rsidR="008223CE" w:rsidRPr="00A40AB4">
        <w:t>į</w:t>
      </w:r>
      <w:r w:rsidR="008F203B" w:rsidRPr="00A40AB4">
        <w:t>skaičiuojant tiek  Lietuvoje įregistruotas įmones, tiek ir kitų ES ir EEE valstybių narių draudimo įmonių filialus.</w:t>
      </w:r>
    </w:p>
    <w:p w:rsidR="004F0933" w:rsidRPr="00A40AB4" w:rsidRDefault="004F0933" w:rsidP="00267FA0">
      <w:pPr>
        <w:ind w:firstLine="567"/>
        <w:jc w:val="both"/>
        <w:rPr>
          <w:lang w:val="en-US"/>
        </w:rPr>
      </w:pPr>
    </w:p>
    <w:p w:rsidR="003B0F3D" w:rsidRPr="00A40AB4" w:rsidRDefault="003B0F3D" w:rsidP="003B0F3D">
      <w:pPr>
        <w:jc w:val="center"/>
        <w:rPr>
          <w:rFonts w:cs="Times New Roman"/>
        </w:rPr>
      </w:pPr>
      <w:r w:rsidRPr="00A40AB4">
        <w:rPr>
          <w:rFonts w:cs="Times New Roman"/>
          <w:noProof/>
          <w:lang w:eastAsia="lt-LT"/>
        </w:rPr>
        <w:drawing>
          <wp:inline distT="0" distB="0" distL="0" distR="0">
            <wp:extent cx="6066418" cy="2765502"/>
            <wp:effectExtent l="19050" t="0" r="10532"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E5CA2" w:rsidRPr="00A40AB4" w:rsidRDefault="003B0F3D" w:rsidP="00BE5CA2">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sudaryta pagal DPK ir LB duomenis</w:t>
      </w:r>
      <w:r w:rsidR="00AC3B45" w:rsidRPr="00A40AB4">
        <w:rPr>
          <w:rFonts w:cs="Times New Roman"/>
          <w:sz w:val="20"/>
          <w:szCs w:val="20"/>
        </w:rPr>
        <w:t>.</w:t>
      </w:r>
    </w:p>
    <w:p w:rsidR="004F0933" w:rsidRPr="00A40AB4" w:rsidRDefault="00C9523B" w:rsidP="004F0933">
      <w:pPr>
        <w:pStyle w:val="Heading2"/>
        <w:spacing w:line="360" w:lineRule="auto"/>
        <w:ind w:firstLine="0"/>
        <w:rPr>
          <w:lang w:val="en-US"/>
        </w:rPr>
      </w:pPr>
      <w:bookmarkStart w:id="177" w:name="_Toc340573842"/>
      <w:bookmarkStart w:id="178" w:name="_Toc340574112"/>
      <w:bookmarkStart w:id="179" w:name="_Toc340574387"/>
      <w:bookmarkStart w:id="180" w:name="_Toc340792025"/>
      <w:bookmarkStart w:id="181" w:name="_Toc341641123"/>
      <w:bookmarkStart w:id="182" w:name="_Toc341641374"/>
      <w:bookmarkStart w:id="183" w:name="_Toc342859662"/>
      <w:r>
        <w:t>8</w:t>
      </w:r>
      <w:r w:rsidR="004F0933" w:rsidRPr="00A40AB4">
        <w:t xml:space="preserve"> pav. Lietuvos ne gyvybės draudimo įmonių (įskaitant kitų ES ir EE valstybių narių draudimo įmonių filialus) skaičiaus dinamika </w:t>
      </w:r>
      <w:r w:rsidR="004F0933" w:rsidRPr="00A40AB4">
        <w:rPr>
          <w:lang w:val="en-US"/>
        </w:rPr>
        <w:t>1997-2012</w:t>
      </w:r>
      <w:r w:rsidR="004F0933" w:rsidRPr="00A40AB4">
        <w:rPr>
          <w:rStyle w:val="FootnoteReference"/>
          <w:lang w:val="en-US"/>
        </w:rPr>
        <w:footnoteReference w:id="2"/>
      </w:r>
      <w:r w:rsidR="004F0933" w:rsidRPr="00A40AB4">
        <w:rPr>
          <w:lang w:val="en-US"/>
        </w:rPr>
        <w:t xml:space="preserve"> m.</w:t>
      </w:r>
      <w:bookmarkEnd w:id="177"/>
      <w:bookmarkEnd w:id="178"/>
      <w:bookmarkEnd w:id="179"/>
      <w:bookmarkEnd w:id="180"/>
      <w:bookmarkEnd w:id="181"/>
      <w:bookmarkEnd w:id="182"/>
      <w:bookmarkEnd w:id="183"/>
    </w:p>
    <w:p w:rsidR="004F0933" w:rsidRDefault="004F0933" w:rsidP="00267FA0">
      <w:pPr>
        <w:ind w:firstLine="567"/>
        <w:jc w:val="both"/>
        <w:rPr>
          <w:rFonts w:cs="Times New Roman"/>
        </w:rPr>
      </w:pPr>
    </w:p>
    <w:p w:rsidR="00734C35" w:rsidRPr="00A40AB4" w:rsidRDefault="00077FED" w:rsidP="00267FA0">
      <w:pPr>
        <w:ind w:firstLine="567"/>
        <w:jc w:val="both"/>
        <w:rPr>
          <w:rFonts w:cs="Times New Roman"/>
        </w:rPr>
      </w:pPr>
      <w:r>
        <w:rPr>
          <w:rFonts w:cs="Times New Roman"/>
        </w:rPr>
        <w:lastRenderedPageBreak/>
        <w:t xml:space="preserve">Kaip matyti iš </w:t>
      </w:r>
      <w:r w:rsidR="00C9523B">
        <w:rPr>
          <w:rFonts w:cs="Times New Roman"/>
        </w:rPr>
        <w:t>8</w:t>
      </w:r>
      <w:r>
        <w:rPr>
          <w:rFonts w:cs="Times New Roman"/>
          <w:lang w:val="en-US"/>
        </w:rPr>
        <w:t xml:space="preserve"> </w:t>
      </w:r>
      <w:r w:rsidR="00B01000">
        <w:rPr>
          <w:rFonts w:cs="Times New Roman"/>
        </w:rPr>
        <w:t>pav.</w:t>
      </w:r>
      <w:r w:rsidR="008F35D5" w:rsidRPr="00A40AB4">
        <w:rPr>
          <w:rFonts w:cs="Times New Roman"/>
        </w:rPr>
        <w:t xml:space="preserve"> ne gyvybės draudikų</w:t>
      </w:r>
      <w:r w:rsidR="00DD23EA" w:rsidRPr="00A40AB4">
        <w:rPr>
          <w:rFonts w:cs="Times New Roman"/>
        </w:rPr>
        <w:t xml:space="preserve"> (įskaitant užsienio valstybių įkurtus filialus)</w:t>
      </w:r>
      <w:r w:rsidR="008F35D5" w:rsidRPr="00A40AB4">
        <w:rPr>
          <w:rFonts w:cs="Times New Roman"/>
        </w:rPr>
        <w:t xml:space="preserve"> skaičius </w:t>
      </w:r>
      <w:r w:rsidR="009E080A" w:rsidRPr="00A40AB4">
        <w:rPr>
          <w:rFonts w:cs="Times New Roman"/>
        </w:rPr>
        <w:t xml:space="preserve">Lietuvoje turi mažėjimo tendenciją ir per 15 metų sumažėjo daugiau nei </w:t>
      </w:r>
      <w:r w:rsidR="008F35D5" w:rsidRPr="00A40AB4">
        <w:rPr>
          <w:rFonts w:cs="Times New Roman"/>
        </w:rPr>
        <w:t>perpus – nuo 32 iki 15</w:t>
      </w:r>
      <w:r w:rsidR="0095624A" w:rsidRPr="00A40AB4">
        <w:rPr>
          <w:rFonts w:cs="Times New Roman"/>
        </w:rPr>
        <w:t>.</w:t>
      </w:r>
      <w:r w:rsidR="009E080A" w:rsidRPr="00A40AB4">
        <w:rPr>
          <w:rFonts w:cs="Times New Roman"/>
        </w:rPr>
        <w:t xml:space="preserve"> Matyti, jog rinka pradėjo koncentruotis 2001 m. dėl padidėjusios konkurencijos Lietuvai įstojus į PPO.</w:t>
      </w:r>
      <w:r w:rsidR="0026632C" w:rsidRPr="00A40AB4">
        <w:rPr>
          <w:rFonts w:cs="Times New Roman"/>
        </w:rPr>
        <w:t xml:space="preserve"> Įmonių skaičiaus mažėjimą rinkoje taip pat įtakojo nuolatinis įstatinio kapitalo ne gyvybės draudimo įmonėms didėjimas: remiantis Lezgovko (2010), 1993 m. pradžioje </w:t>
      </w:r>
      <w:r w:rsidR="003D201C" w:rsidRPr="00A40AB4">
        <w:rPr>
          <w:rFonts w:cs="Times New Roman"/>
        </w:rPr>
        <w:t xml:space="preserve">minimalus </w:t>
      </w:r>
      <w:r w:rsidR="0026632C" w:rsidRPr="00A40AB4">
        <w:rPr>
          <w:rFonts w:cs="Times New Roman"/>
        </w:rPr>
        <w:t xml:space="preserve">įstatinis draudiko kapitalas </w:t>
      </w:r>
      <w:r w:rsidR="003D201C" w:rsidRPr="00A40AB4">
        <w:rPr>
          <w:rFonts w:cs="Times New Roman"/>
        </w:rPr>
        <w:t>siekė</w:t>
      </w:r>
      <w:r w:rsidR="0026632C" w:rsidRPr="00A40AB4">
        <w:rPr>
          <w:rFonts w:cs="Times New Roman"/>
        </w:rPr>
        <w:t xml:space="preserve"> vos 30 tūkst. Lt, 1996 m. – jau 1 mln. Lt, 1997 m. – 2 mln</w:t>
      </w:r>
      <w:r w:rsidR="0054413B" w:rsidRPr="00A40AB4">
        <w:rPr>
          <w:rFonts w:cs="Times New Roman"/>
        </w:rPr>
        <w:t>.</w:t>
      </w:r>
      <w:r w:rsidR="0026632C" w:rsidRPr="00A40AB4">
        <w:rPr>
          <w:rFonts w:cs="Times New Roman"/>
        </w:rPr>
        <w:t xml:space="preserve"> Lt, 1999 m. – 7 mln. Lt, o nuo 2010 m. minimalus garantinio fondo dydis ne gyvybės draudimo įmonėms, kurios vykdo nors vieną civilinės atsakomybės, kredito ar laidavimo draudimo grupės veiklą – net 3,5 mln. Lt.</w:t>
      </w:r>
      <w:r w:rsidR="00F056C1" w:rsidRPr="00A40AB4">
        <w:rPr>
          <w:rFonts w:cs="Times New Roman"/>
        </w:rPr>
        <w:t xml:space="preserve"> 2009 m. jungtis draudikus skatino ir Lietuvos ūkį smarkiai paveikusi ekonomikos krizė.</w:t>
      </w:r>
    </w:p>
    <w:p w:rsidR="00EE6E2D" w:rsidRDefault="00EE6E2D" w:rsidP="00267FA0">
      <w:pPr>
        <w:ind w:firstLine="567"/>
        <w:jc w:val="both"/>
        <w:rPr>
          <w:rFonts w:cs="Times New Roman"/>
        </w:rPr>
      </w:pPr>
      <w:r w:rsidRPr="00A40AB4">
        <w:rPr>
          <w:rFonts w:cs="Times New Roman"/>
        </w:rPr>
        <w:t xml:space="preserve">Kaip jau minėta </w:t>
      </w:r>
      <w:r w:rsidRPr="00A40AB4">
        <w:rPr>
          <w:rFonts w:cs="Times New Roman"/>
          <w:lang w:val="en-US"/>
        </w:rPr>
        <w:t xml:space="preserve">2.1 </w:t>
      </w:r>
      <w:r w:rsidRPr="00A40AB4">
        <w:rPr>
          <w:rFonts w:cs="Times New Roman"/>
        </w:rPr>
        <w:t xml:space="preserve">skyriuje, </w:t>
      </w:r>
      <w:r w:rsidR="00690014" w:rsidRPr="00A40AB4">
        <w:rPr>
          <w:rFonts w:cs="Times New Roman"/>
        </w:rPr>
        <w:t xml:space="preserve">norint tinkamai įvertinti </w:t>
      </w:r>
      <w:r w:rsidRPr="00A40AB4">
        <w:rPr>
          <w:rFonts w:cs="Times New Roman"/>
        </w:rPr>
        <w:t xml:space="preserve">Lietuvos </w:t>
      </w:r>
      <w:r w:rsidR="00690014" w:rsidRPr="00A40AB4">
        <w:rPr>
          <w:rFonts w:cs="Times New Roman"/>
        </w:rPr>
        <w:t>ne gyvybės draudimo rinkos būklę,</w:t>
      </w:r>
      <w:r w:rsidRPr="00A40AB4">
        <w:rPr>
          <w:rFonts w:cs="Times New Roman"/>
        </w:rPr>
        <w:t xml:space="preserve"> </w:t>
      </w:r>
      <w:r w:rsidR="00690014" w:rsidRPr="00A40AB4">
        <w:rPr>
          <w:rFonts w:cs="Times New Roman"/>
        </w:rPr>
        <w:t xml:space="preserve">į pagalbą reikia pasitelkti kiekybinius metodus, t.y. </w:t>
      </w:r>
      <w:r w:rsidR="009B6536" w:rsidRPr="00A40AB4">
        <w:rPr>
          <w:rFonts w:cs="Times New Roman"/>
        </w:rPr>
        <w:t>iš</w:t>
      </w:r>
      <w:r w:rsidR="00690014" w:rsidRPr="00A40AB4">
        <w:rPr>
          <w:rFonts w:cs="Times New Roman"/>
        </w:rPr>
        <w:t>analizuoti</w:t>
      </w:r>
      <w:r w:rsidRPr="00A40AB4">
        <w:rPr>
          <w:rFonts w:cs="Times New Roman"/>
        </w:rPr>
        <w:t xml:space="preserve"> rodiklius, atspindinčius rinkos situaciją. Tame pačiame skyriuje rodikliai suskirstyti į tris grupes – tiesioginius, netiesioginius (išvestinius) bei finansinius. Toliau darbe </w:t>
      </w:r>
      <w:r w:rsidR="00BF5878" w:rsidRPr="00A40AB4">
        <w:rPr>
          <w:rFonts w:cs="Times New Roman"/>
        </w:rPr>
        <w:t>Lietuvos ne gyvybės draudimo rinkos situacija analizuojama pagal šių rodiklių grupe</w:t>
      </w:r>
      <w:r w:rsidRPr="00A40AB4">
        <w:rPr>
          <w:rFonts w:cs="Times New Roman"/>
        </w:rPr>
        <w:t>s.</w:t>
      </w:r>
    </w:p>
    <w:p w:rsidR="00C606AC" w:rsidRPr="00A40AB4" w:rsidRDefault="00C606AC" w:rsidP="00267FA0">
      <w:pPr>
        <w:ind w:firstLine="567"/>
        <w:jc w:val="both"/>
        <w:rPr>
          <w:rFonts w:cs="Times New Roman"/>
        </w:rPr>
      </w:pPr>
    </w:p>
    <w:p w:rsidR="003622AC" w:rsidRPr="00A40AB4" w:rsidRDefault="003622AC" w:rsidP="003622AC">
      <w:pPr>
        <w:ind w:firstLine="567"/>
        <w:jc w:val="both"/>
        <w:rPr>
          <w:rFonts w:cs="Times New Roman"/>
          <w:b/>
        </w:rPr>
      </w:pPr>
      <w:r w:rsidRPr="00A40AB4">
        <w:rPr>
          <w:rFonts w:cs="Times New Roman"/>
          <w:b/>
        </w:rPr>
        <w:t>Tiesio</w:t>
      </w:r>
      <w:r w:rsidR="00EE6E2D" w:rsidRPr="00A40AB4">
        <w:rPr>
          <w:rFonts w:cs="Times New Roman"/>
          <w:b/>
        </w:rPr>
        <w:t>ginių</w:t>
      </w:r>
      <w:r w:rsidRPr="00A40AB4">
        <w:rPr>
          <w:rFonts w:cs="Times New Roman"/>
          <w:b/>
        </w:rPr>
        <w:t xml:space="preserve"> draudimo rinkos rodiklių analizė</w:t>
      </w:r>
    </w:p>
    <w:p w:rsidR="001F2A71" w:rsidRPr="00A40AB4" w:rsidRDefault="00C56CD1" w:rsidP="003622AC">
      <w:pPr>
        <w:ind w:firstLine="567"/>
        <w:jc w:val="both"/>
        <w:rPr>
          <w:lang w:val="en-US"/>
        </w:rPr>
      </w:pPr>
      <w:r w:rsidRPr="00761AF1">
        <w:rPr>
          <w:b/>
          <w:u w:val="single"/>
        </w:rPr>
        <w:t>Gyvybės ir ne gyvybės draudimo šakų pasiskirstymas rinkoje.</w:t>
      </w:r>
      <w:r w:rsidRPr="00A40AB4">
        <w:t xml:space="preserve"> </w:t>
      </w:r>
      <w:r w:rsidR="00B1709B" w:rsidRPr="00A40AB4">
        <w:t>Vienas iš draudimo rinkos išsivystymo rodiklių –</w:t>
      </w:r>
      <w:r w:rsidR="00953528" w:rsidRPr="00A40AB4">
        <w:t xml:space="preserve"> </w:t>
      </w:r>
      <w:r w:rsidR="00B1709B" w:rsidRPr="00A40AB4">
        <w:t xml:space="preserve">gyvybės draudimo šakos dalis visoje </w:t>
      </w:r>
      <w:r w:rsidR="00864477" w:rsidRPr="00A40AB4">
        <w:t xml:space="preserve">šalies </w:t>
      </w:r>
      <w:r w:rsidR="00B1709B" w:rsidRPr="00A40AB4">
        <w:t>draudimo rinkoje. Paprastai laikoma, jog kuo didesnę rinkos dalį užima gyvybės draudimas, tuo labiau šalies draudimo rinka</w:t>
      </w:r>
      <w:r w:rsidR="000937AE" w:rsidRPr="00A40AB4">
        <w:t xml:space="preserve"> </w:t>
      </w:r>
      <w:r w:rsidR="00B1709B" w:rsidRPr="00A40AB4">
        <w:t xml:space="preserve">išsivysčiusi. </w:t>
      </w:r>
      <w:r w:rsidR="00114772" w:rsidRPr="00A40AB4">
        <w:t>Šių dviejų</w:t>
      </w:r>
      <w:r w:rsidR="00055EED" w:rsidRPr="00A40AB4">
        <w:t xml:space="preserve"> draudimo šakų pasiskirstymo</w:t>
      </w:r>
      <w:r w:rsidR="00B1709B" w:rsidRPr="00A40AB4">
        <w:t xml:space="preserve"> </w:t>
      </w:r>
      <w:r w:rsidR="00055EED" w:rsidRPr="00A40AB4">
        <w:t xml:space="preserve">raida </w:t>
      </w:r>
      <w:r w:rsidR="00B1709B" w:rsidRPr="00A40AB4">
        <w:t xml:space="preserve">Lietuvoje </w:t>
      </w:r>
      <w:r w:rsidR="00055EED" w:rsidRPr="00A40AB4">
        <w:t xml:space="preserve">pavaizduota </w:t>
      </w:r>
      <w:r w:rsidR="00C9523B">
        <w:rPr>
          <w:lang w:val="en-US"/>
        </w:rPr>
        <w:t>9 pav</w:t>
      </w:r>
      <w:r w:rsidR="00055EED" w:rsidRPr="00A40AB4">
        <w:rPr>
          <w:lang w:val="en-US"/>
        </w:rPr>
        <w:t>.</w:t>
      </w:r>
    </w:p>
    <w:p w:rsidR="00055EED" w:rsidRPr="00A40AB4" w:rsidRDefault="00055EED" w:rsidP="003622AC">
      <w:pPr>
        <w:ind w:firstLine="567"/>
        <w:jc w:val="both"/>
        <w:rPr>
          <w:rFonts w:cs="Times New Roman"/>
          <w:lang w:val="en-US"/>
        </w:rPr>
      </w:pPr>
    </w:p>
    <w:p w:rsidR="007C3A22" w:rsidRPr="00A40AB4" w:rsidRDefault="001F2A71" w:rsidP="00E93118">
      <w:pPr>
        <w:jc w:val="center"/>
        <w:rPr>
          <w:rFonts w:cs="Times New Roman"/>
        </w:rPr>
      </w:pPr>
      <w:r w:rsidRPr="00A40AB4">
        <w:rPr>
          <w:rFonts w:cs="Times New Roman"/>
          <w:noProof/>
          <w:lang w:eastAsia="lt-LT"/>
        </w:rPr>
        <w:drawing>
          <wp:inline distT="0" distB="0" distL="0" distR="0">
            <wp:extent cx="5133805" cy="2609385"/>
            <wp:effectExtent l="19050" t="0" r="9695" b="46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F2A71" w:rsidRPr="00A40AB4" w:rsidRDefault="001F2A71" w:rsidP="001F2A71">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sudaryta pagal DPK, 2007, 2011</w:t>
      </w:r>
      <w:r w:rsidR="00AC3B45" w:rsidRPr="00A40AB4">
        <w:rPr>
          <w:rFonts w:cs="Times New Roman"/>
          <w:sz w:val="20"/>
          <w:szCs w:val="20"/>
        </w:rPr>
        <w:t>.</w:t>
      </w:r>
    </w:p>
    <w:p w:rsidR="00C606AC" w:rsidRPr="00A40AB4" w:rsidRDefault="00C9523B" w:rsidP="00C606AC">
      <w:pPr>
        <w:pStyle w:val="Heading2"/>
        <w:spacing w:line="360" w:lineRule="auto"/>
        <w:ind w:firstLine="0"/>
        <w:rPr>
          <w:lang w:val="en-US"/>
        </w:rPr>
      </w:pPr>
      <w:bookmarkStart w:id="184" w:name="_Toc340573843"/>
      <w:bookmarkStart w:id="185" w:name="_Toc340574113"/>
      <w:bookmarkStart w:id="186" w:name="_Toc340574388"/>
      <w:bookmarkStart w:id="187" w:name="_Toc340792026"/>
      <w:bookmarkStart w:id="188" w:name="_Toc341641124"/>
      <w:bookmarkStart w:id="189" w:name="_Toc341641375"/>
      <w:bookmarkStart w:id="190" w:name="_Toc342859663"/>
      <w:r>
        <w:t>9 pav</w:t>
      </w:r>
      <w:r w:rsidR="00C606AC" w:rsidRPr="00A40AB4">
        <w:t xml:space="preserve">. Draudimo šakų pasiskirstymas (procentais) Lietuvoje  </w:t>
      </w:r>
      <w:r w:rsidR="00C606AC" w:rsidRPr="00A40AB4">
        <w:rPr>
          <w:lang w:val="en-US"/>
        </w:rPr>
        <w:t>2002-2012</w:t>
      </w:r>
      <w:r w:rsidR="00C606AC" w:rsidRPr="00A40AB4">
        <w:rPr>
          <w:rStyle w:val="FootnoteReference"/>
          <w:lang w:val="en-US"/>
        </w:rPr>
        <w:footnoteReference w:id="3"/>
      </w:r>
      <w:r w:rsidR="00C606AC" w:rsidRPr="00A40AB4">
        <w:rPr>
          <w:lang w:val="en-US"/>
        </w:rPr>
        <w:t xml:space="preserve"> m.</w:t>
      </w:r>
      <w:bookmarkEnd w:id="184"/>
      <w:bookmarkEnd w:id="185"/>
      <w:bookmarkEnd w:id="186"/>
      <w:bookmarkEnd w:id="187"/>
      <w:bookmarkEnd w:id="188"/>
      <w:bookmarkEnd w:id="189"/>
      <w:bookmarkEnd w:id="190"/>
    </w:p>
    <w:p w:rsidR="00C606AC" w:rsidRDefault="00C606AC" w:rsidP="00F224E9">
      <w:pPr>
        <w:ind w:firstLine="567"/>
        <w:jc w:val="both"/>
      </w:pPr>
    </w:p>
    <w:p w:rsidR="00F224E9" w:rsidRPr="00A40AB4" w:rsidRDefault="00B1709B" w:rsidP="00F224E9">
      <w:pPr>
        <w:ind w:firstLine="567"/>
        <w:jc w:val="both"/>
      </w:pPr>
      <w:r w:rsidRPr="00A40AB4">
        <w:lastRenderedPageBreak/>
        <w:t xml:space="preserve">Kaip matyti iš </w:t>
      </w:r>
      <w:r w:rsidR="00C9523B">
        <w:t>9 pav</w:t>
      </w:r>
      <w:r w:rsidR="000D75E5" w:rsidRPr="00A40AB4">
        <w:t>.</w:t>
      </w:r>
      <w:r w:rsidRPr="00A40AB4">
        <w:t xml:space="preserve">, </w:t>
      </w:r>
      <w:r w:rsidR="00C768EF" w:rsidRPr="00A40AB4">
        <w:t>per pastaruosius 10 m</w:t>
      </w:r>
      <w:r w:rsidR="00077FED">
        <w:t>etų</w:t>
      </w:r>
      <w:r w:rsidR="00C768EF" w:rsidRPr="00A40AB4">
        <w:t xml:space="preserve"> Lietuvoje dominavo ne gyvybės draudimo šaka, o 2002 m. </w:t>
      </w:r>
      <w:r w:rsidRPr="00A40AB4">
        <w:t>gyvybės draudimo dalis Lietuvoje sudarė vos 18 %</w:t>
      </w:r>
      <w:r w:rsidR="00C768EF" w:rsidRPr="00A40AB4">
        <w:t>. Vis dėlto, gana sparčiai augant ekonomikai</w:t>
      </w:r>
      <w:r w:rsidR="00FC63E4" w:rsidRPr="00A40AB4">
        <w:t xml:space="preserve"> ir gyventojams imant vis daugiau lėšų skirti ne tik draudimuisi nuo gresiančių rizikų, bet ir kaupimui,</w:t>
      </w:r>
      <w:r w:rsidR="00C768EF" w:rsidRPr="00A40AB4">
        <w:t xml:space="preserve"> 2007 m. mūsų šalies gyvybės draudimo </w:t>
      </w:r>
      <w:r w:rsidR="001E7A98" w:rsidRPr="00A40AB4">
        <w:t xml:space="preserve">šaka </w:t>
      </w:r>
      <w:r w:rsidR="001E7A99" w:rsidRPr="00A40AB4">
        <w:t xml:space="preserve">sudarė net </w:t>
      </w:r>
      <w:r w:rsidR="00C768EF" w:rsidRPr="00A40AB4">
        <w:t>38 %</w:t>
      </w:r>
      <w:r w:rsidR="001E7A99" w:rsidRPr="00A40AB4">
        <w:t xml:space="preserve"> visos rinkos</w:t>
      </w:r>
      <w:r w:rsidR="00C768EF" w:rsidRPr="00A40AB4">
        <w:t>.</w:t>
      </w:r>
      <w:r w:rsidR="005A370F" w:rsidRPr="00A40AB4">
        <w:t xml:space="preserve"> Dej</w:t>
      </w:r>
      <w:r w:rsidR="00D714BB" w:rsidRPr="00A40AB4">
        <w:t>a, užklupus pasauline</w:t>
      </w:r>
      <w:r w:rsidR="005A370F" w:rsidRPr="00A40AB4">
        <w:t>i finansų krizei smuko vertybinių popierių kainos, tad nepasiteisino draudėjų lūkesčiai uždirbti iš investicijų. Dėl šios priežasties investicinio gyvybės draudimo patrauklumas krito, kas nulėmė gyvybės draudimo šakos dalies rinkoje grįžimą į 2005 m. lygį.</w:t>
      </w:r>
      <w:r w:rsidR="001B5331" w:rsidRPr="00A40AB4">
        <w:t xml:space="preserve"> 2009 m. gyvybės draudimo šakos svoris padidėjo net penkiais procentiniais punktais, tačiau taip įvyko ne dėl šios šakos augimo, tačiau dėl net 24,3 % smukusios ne gyvybės draudimo dalies rinkoje. Užpernai atsigaunant finansų rinkoms gyvybės draudimo svoris buvo vėl išaugęs</w:t>
      </w:r>
      <w:r w:rsidR="00C768EF" w:rsidRPr="00A40AB4">
        <w:t xml:space="preserve"> </w:t>
      </w:r>
      <w:r w:rsidR="001B5331" w:rsidRPr="00A40AB4">
        <w:t xml:space="preserve">net iki 35 %, tačiau atsigaunant šalies ekonomikai sparčiai vystytis ėmė ne gyvybės draudimo rinka ir sumažino gyvybės draudimo rinkos dalį iki </w:t>
      </w:r>
      <w:r w:rsidR="001B5331" w:rsidRPr="00A40AB4">
        <w:rPr>
          <w:lang w:val="en-US"/>
        </w:rPr>
        <w:t>30 %</w:t>
      </w:r>
      <w:r w:rsidR="0039386D" w:rsidRPr="00A40AB4">
        <w:rPr>
          <w:lang w:val="en-US"/>
        </w:rPr>
        <w:t xml:space="preserve"> </w:t>
      </w:r>
      <w:r w:rsidR="0039386D" w:rsidRPr="00A40AB4">
        <w:t>(</w:t>
      </w:r>
      <w:r w:rsidR="0039386D" w:rsidRPr="00A40AB4">
        <w:rPr>
          <w:lang w:val="en-US"/>
        </w:rPr>
        <w:t xml:space="preserve">2012 m. </w:t>
      </w:r>
      <w:r w:rsidR="0039386D" w:rsidRPr="00A40AB4">
        <w:t>I pusmečio duomenimis)</w:t>
      </w:r>
      <w:r w:rsidR="001B5331" w:rsidRPr="00A40AB4">
        <w:rPr>
          <w:lang w:val="en-US"/>
        </w:rPr>
        <w:t>.</w:t>
      </w:r>
    </w:p>
    <w:p w:rsidR="00B54F5F" w:rsidRPr="00A40AB4" w:rsidRDefault="002D43F2" w:rsidP="00F224E9">
      <w:pPr>
        <w:ind w:firstLine="567"/>
        <w:jc w:val="both"/>
      </w:pPr>
      <w:r w:rsidRPr="00A40AB4">
        <w:t xml:space="preserve">Remiantis </w:t>
      </w:r>
      <w:r w:rsidR="00B54F5F" w:rsidRPr="00A40AB4">
        <w:t xml:space="preserve">Swiss Re (2002-2012) duomenimis, </w:t>
      </w:r>
      <w:r w:rsidR="004A6FCC" w:rsidRPr="00A40AB4">
        <w:t>industrinėse</w:t>
      </w:r>
      <w:r w:rsidR="00B54F5F" w:rsidRPr="00A40AB4">
        <w:t xml:space="preserve"> valstybėse</w:t>
      </w:r>
      <w:r w:rsidR="003B6BC8" w:rsidRPr="00A40AB4">
        <w:rPr>
          <w:rStyle w:val="FootnoteReference"/>
        </w:rPr>
        <w:footnoteReference w:id="4"/>
      </w:r>
      <w:r w:rsidR="006D3AB3" w:rsidRPr="00A40AB4">
        <w:t xml:space="preserve"> </w:t>
      </w:r>
      <w:r w:rsidR="00B54F5F" w:rsidRPr="00A40AB4">
        <w:t xml:space="preserve">per pastarąjį dešimtmetį gyvybės draudimo dalis visoje rinkoje svyravo </w:t>
      </w:r>
      <w:r w:rsidR="0096692B" w:rsidRPr="00A40AB4">
        <w:t xml:space="preserve">gana </w:t>
      </w:r>
      <w:r w:rsidR="00B54F5F" w:rsidRPr="00A40AB4">
        <w:t>nežymiai ir sudarė 57-60 %</w:t>
      </w:r>
      <w:r w:rsidR="00BF5A30" w:rsidRPr="00A40AB4">
        <w:t xml:space="preserve">. </w:t>
      </w:r>
      <w:r w:rsidR="0042651B" w:rsidRPr="00A40AB4">
        <w:t>Tuo tarpu Vidurio bei Rytų Europoje</w:t>
      </w:r>
      <w:r w:rsidR="006D3AB3" w:rsidRPr="00A40AB4">
        <w:t xml:space="preserve"> (VRE), įskaitant Lietuvą,</w:t>
      </w:r>
      <w:r w:rsidR="0042651B" w:rsidRPr="00A40AB4">
        <w:t xml:space="preserve"> gyvybės draudimo dalis 2002 m. sudarė beveik trečdalį (32 %), tačiau</w:t>
      </w:r>
      <w:r w:rsidR="002D438B" w:rsidRPr="00A40AB4">
        <w:t xml:space="preserve"> smarkiai augant ūkiui šiame regione gyvybės draudimas „nepasivijo“ itin sparčių ne gyvybės draudimo šakos augimo tempų ir pastaruosius keletą metų </w:t>
      </w:r>
      <w:r w:rsidR="006D3AB3" w:rsidRPr="00A40AB4">
        <w:t xml:space="preserve">pakankamai </w:t>
      </w:r>
      <w:r w:rsidR="002D438B" w:rsidRPr="00A40AB4">
        <w:t>stabiliai laikosi ties 23 % riba (2010-2011 m.).</w:t>
      </w:r>
      <w:r w:rsidR="006D3AB3" w:rsidRPr="00A40AB4">
        <w:t xml:space="preserve"> Taigi lyginant mūsų šalies gyvybės draudimo užimamą dalį rinkoje su visu VRE regionu matyti, jog ši rinka Lietuvoje turi užimamos dalies didėjimo kryptį ir lenkia viso regiono vidurkį. Vis tik lyginant su </w:t>
      </w:r>
      <w:r w:rsidR="004A6FCC" w:rsidRPr="00A40AB4">
        <w:t>industrinėmis valstybėmis</w:t>
      </w:r>
      <w:r w:rsidR="006D3AB3" w:rsidRPr="00A40AB4">
        <w:t xml:space="preserve"> (2010-2011 m. – 58 %), Lietuva dar atsilieka kone perpus.</w:t>
      </w:r>
      <w:r w:rsidR="00391A76" w:rsidRPr="00A40AB4">
        <w:t xml:space="preserve"> Taigi galima tvirtinti, jog ilguoju laikotarpiu gyvybės draudimas turėtų augti sparčiau negu ne gyvybės ir įgyti vis didesnę svarbą.</w:t>
      </w:r>
    </w:p>
    <w:p w:rsidR="00CA2520" w:rsidRPr="00A40AB4" w:rsidRDefault="005B3395" w:rsidP="00F224E9">
      <w:pPr>
        <w:ind w:firstLine="567"/>
        <w:jc w:val="both"/>
      </w:pPr>
      <w:r w:rsidRPr="00761AF1">
        <w:rPr>
          <w:b/>
          <w:u w:val="single"/>
        </w:rPr>
        <w:t>Pasirašytos ne gyvybės draudimo įmokos</w:t>
      </w:r>
      <w:r w:rsidR="00583CA6" w:rsidRPr="00761AF1">
        <w:rPr>
          <w:b/>
          <w:u w:val="single"/>
        </w:rPr>
        <w:t xml:space="preserve"> bei išmokėtos išmokos</w:t>
      </w:r>
      <w:r w:rsidRPr="00761AF1">
        <w:rPr>
          <w:b/>
          <w:u w:val="single"/>
        </w:rPr>
        <w:t>.</w:t>
      </w:r>
      <w:r w:rsidRPr="00A40AB4">
        <w:t xml:space="preserve"> </w:t>
      </w:r>
      <w:r w:rsidR="00FE4749" w:rsidRPr="00A40AB4">
        <w:t xml:space="preserve">Kitas </w:t>
      </w:r>
      <w:r w:rsidR="003669AE" w:rsidRPr="00A40AB4">
        <w:t xml:space="preserve">svarbus </w:t>
      </w:r>
      <w:r w:rsidR="00FE4749" w:rsidRPr="00A40AB4">
        <w:t>tiesioginis draudimo rinkos rodiklis</w:t>
      </w:r>
      <w:r w:rsidR="004B2B6F" w:rsidRPr="00A40AB4">
        <w:t xml:space="preserve"> yra pagrindinis draudimo įmonių pajamų šaltinis </w:t>
      </w:r>
      <w:r w:rsidR="00FE4749" w:rsidRPr="00A40AB4">
        <w:t>– pasirašytos ne gyvybės draudimo rinkos įmokos</w:t>
      </w:r>
      <w:r w:rsidR="004B2B6F" w:rsidRPr="00A40AB4">
        <w:t>. Kartu su sudarytų sutarčių skaičiumi pasirašytos įmokos parodo</w:t>
      </w:r>
      <w:r w:rsidR="003669AE" w:rsidRPr="00A40AB4">
        <w:t xml:space="preserve"> draudimo </w:t>
      </w:r>
      <w:r w:rsidRPr="00A40AB4">
        <w:t>rinkos aktyvumą</w:t>
      </w:r>
      <w:r w:rsidR="004B2B6F" w:rsidRPr="00A40AB4">
        <w:t xml:space="preserve">. Ne ką mažiau svarbus rodiklis – </w:t>
      </w:r>
      <w:r w:rsidR="00594F73" w:rsidRPr="00A40AB4">
        <w:t>išmokėtos išmokos</w:t>
      </w:r>
      <w:r w:rsidR="003669AE" w:rsidRPr="00A40AB4">
        <w:t xml:space="preserve">, atspindinčios </w:t>
      </w:r>
      <w:r w:rsidRPr="00A40AB4">
        <w:t xml:space="preserve">iš </w:t>
      </w:r>
      <w:r w:rsidR="003669AE" w:rsidRPr="00A40AB4">
        <w:t xml:space="preserve">draudimo </w:t>
      </w:r>
      <w:r w:rsidRPr="00A40AB4">
        <w:t xml:space="preserve">veiklos patiriamus nuostolius. </w:t>
      </w:r>
      <w:r w:rsidR="00927154">
        <w:t>Taigi l</w:t>
      </w:r>
      <w:r w:rsidRPr="00A40AB4">
        <w:t>abai svarbu atsižvelgti į šių rodiklių dinamiką</w:t>
      </w:r>
      <w:r w:rsidR="00FE4749" w:rsidRPr="00A40AB4">
        <w:t>.</w:t>
      </w:r>
      <w:r w:rsidR="00AF4DFE" w:rsidRPr="00A40AB4">
        <w:t xml:space="preserve"> </w:t>
      </w:r>
      <w:r w:rsidRPr="00A40AB4">
        <w:t>Pastarojo dešimtmečio pasirašytos ne gyvybės draudimo įmokos, išmokėtos išmokos bei jų dinamika pavaizduota</w:t>
      </w:r>
      <w:r w:rsidR="00FE4749" w:rsidRPr="00A40AB4">
        <w:t xml:space="preserve"> </w:t>
      </w:r>
      <w:r w:rsidR="00C9523B">
        <w:rPr>
          <w:lang w:val="en-US"/>
        </w:rPr>
        <w:t xml:space="preserve">10 </w:t>
      </w:r>
      <w:r w:rsidR="00C9523B" w:rsidRPr="00365288">
        <w:t>pav</w:t>
      </w:r>
      <w:r w:rsidR="00FE4749" w:rsidRPr="00365288">
        <w:t>eiksle</w:t>
      </w:r>
      <w:r w:rsidR="00FE4749" w:rsidRPr="00A40AB4">
        <w:t>.</w:t>
      </w:r>
    </w:p>
    <w:p w:rsidR="00740053" w:rsidRPr="00A40AB4" w:rsidRDefault="00740053" w:rsidP="00F224E9">
      <w:pPr>
        <w:ind w:firstLine="567"/>
        <w:jc w:val="both"/>
      </w:pPr>
    </w:p>
    <w:p w:rsidR="00CA2520" w:rsidRPr="00A40AB4" w:rsidRDefault="000258B3" w:rsidP="00CA2520">
      <w:pPr>
        <w:jc w:val="center"/>
      </w:pPr>
      <w:r w:rsidRPr="00A40AB4">
        <w:rPr>
          <w:noProof/>
          <w:lang w:eastAsia="lt-LT"/>
        </w:rPr>
        <w:lastRenderedPageBreak/>
        <w:drawing>
          <wp:inline distT="0" distB="0" distL="0" distR="0">
            <wp:extent cx="6116738" cy="3323063"/>
            <wp:effectExtent l="19050" t="0" r="17362"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E7F61" w:rsidRPr="00A40AB4" w:rsidRDefault="005E7F61" w:rsidP="005E7F61">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 xml:space="preserve">sudaryta </w:t>
      </w:r>
      <w:r w:rsidR="007C3F82" w:rsidRPr="00A40AB4">
        <w:rPr>
          <w:rFonts w:cs="Times New Roman"/>
          <w:sz w:val="20"/>
          <w:szCs w:val="20"/>
        </w:rPr>
        <w:t>pagal</w:t>
      </w:r>
      <w:r w:rsidR="00994AD5" w:rsidRPr="00A40AB4">
        <w:rPr>
          <w:rFonts w:cs="Times New Roman"/>
          <w:sz w:val="20"/>
          <w:szCs w:val="20"/>
        </w:rPr>
        <w:t xml:space="preserve"> </w:t>
      </w:r>
      <w:r w:rsidRPr="00A40AB4">
        <w:rPr>
          <w:rFonts w:cs="Times New Roman"/>
          <w:sz w:val="20"/>
          <w:szCs w:val="20"/>
        </w:rPr>
        <w:t>DPK</w:t>
      </w:r>
      <w:r w:rsidR="00EF7C58" w:rsidRPr="00A40AB4">
        <w:rPr>
          <w:rFonts w:cs="Times New Roman"/>
          <w:sz w:val="20"/>
          <w:szCs w:val="20"/>
        </w:rPr>
        <w:t>,</w:t>
      </w:r>
      <w:r w:rsidR="002E10F8" w:rsidRPr="00A40AB4">
        <w:rPr>
          <w:rFonts w:cs="Times New Roman"/>
          <w:sz w:val="20"/>
          <w:szCs w:val="20"/>
        </w:rPr>
        <w:t xml:space="preserve"> </w:t>
      </w:r>
      <w:r w:rsidR="002E10F8" w:rsidRPr="00A40AB4">
        <w:rPr>
          <w:rFonts w:cs="Times New Roman"/>
          <w:sz w:val="20"/>
          <w:szCs w:val="20"/>
          <w:lang w:val="en-US"/>
        </w:rPr>
        <w:t>2004,</w:t>
      </w:r>
      <w:r w:rsidR="005F5FAE" w:rsidRPr="00A40AB4">
        <w:rPr>
          <w:rFonts w:cs="Times New Roman"/>
          <w:sz w:val="20"/>
          <w:szCs w:val="20"/>
          <w:lang w:val="en-US"/>
        </w:rPr>
        <w:t xml:space="preserve"> 2005,</w:t>
      </w:r>
      <w:r w:rsidR="00984C90" w:rsidRPr="00A40AB4">
        <w:rPr>
          <w:rFonts w:cs="Times New Roman"/>
          <w:sz w:val="20"/>
          <w:szCs w:val="20"/>
          <w:lang w:val="en-US"/>
        </w:rPr>
        <w:t xml:space="preserve"> 2010,</w:t>
      </w:r>
      <w:r w:rsidR="002E10F8" w:rsidRPr="00A40AB4">
        <w:rPr>
          <w:rFonts w:cs="Times New Roman"/>
          <w:sz w:val="20"/>
          <w:szCs w:val="20"/>
          <w:lang w:val="en-US"/>
        </w:rPr>
        <w:t xml:space="preserve"> 2011, 2012.</w:t>
      </w:r>
    </w:p>
    <w:p w:rsidR="0000122E" w:rsidRPr="00A40AB4" w:rsidRDefault="00C9523B" w:rsidP="0000122E">
      <w:pPr>
        <w:pStyle w:val="Heading2"/>
        <w:spacing w:line="360" w:lineRule="auto"/>
        <w:ind w:firstLine="0"/>
        <w:rPr>
          <w:lang w:val="en-US"/>
        </w:rPr>
      </w:pPr>
      <w:bookmarkStart w:id="191" w:name="_Toc340573844"/>
      <w:bookmarkStart w:id="192" w:name="_Toc340574114"/>
      <w:bookmarkStart w:id="193" w:name="_Toc340574389"/>
      <w:bookmarkStart w:id="194" w:name="_Toc340792027"/>
      <w:bookmarkStart w:id="195" w:name="_Toc341641125"/>
      <w:bookmarkStart w:id="196" w:name="_Toc341641376"/>
      <w:bookmarkStart w:id="197" w:name="_Toc342859664"/>
      <w:r>
        <w:t>10 pav</w:t>
      </w:r>
      <w:r w:rsidR="0000122E" w:rsidRPr="00A40AB4">
        <w:t xml:space="preserve">. Ne gyvybės draudimo pasirašytos įmokų, išmokos (skalė kairėje) bei jų pokyčiai per metus (skalė dešinėje) Lietuvoje </w:t>
      </w:r>
      <w:r w:rsidR="0000122E" w:rsidRPr="00A40AB4">
        <w:rPr>
          <w:lang w:val="en-US"/>
        </w:rPr>
        <w:t>2002-2011 m.</w:t>
      </w:r>
      <w:bookmarkEnd w:id="191"/>
      <w:bookmarkEnd w:id="192"/>
      <w:bookmarkEnd w:id="193"/>
      <w:bookmarkEnd w:id="194"/>
      <w:bookmarkEnd w:id="195"/>
      <w:bookmarkEnd w:id="196"/>
      <w:bookmarkEnd w:id="197"/>
    </w:p>
    <w:p w:rsidR="005E7F61" w:rsidRPr="00A40AB4" w:rsidRDefault="005E7F61" w:rsidP="00CA2520">
      <w:pPr>
        <w:jc w:val="center"/>
      </w:pPr>
    </w:p>
    <w:p w:rsidR="00FA726B" w:rsidRPr="00A40AB4" w:rsidRDefault="00583CA6" w:rsidP="00BF39E2">
      <w:pPr>
        <w:ind w:firstLine="567"/>
        <w:jc w:val="both"/>
      </w:pPr>
      <w:r w:rsidRPr="00761AF1">
        <w:rPr>
          <w:b/>
          <w:u w:val="single"/>
        </w:rPr>
        <w:t>Pasirašytos įmokos.</w:t>
      </w:r>
      <w:r w:rsidRPr="00761AF1">
        <w:rPr>
          <w:b/>
        </w:rPr>
        <w:t xml:space="preserve"> </w:t>
      </w:r>
      <w:r w:rsidR="00AF4DFE" w:rsidRPr="00A40AB4">
        <w:t xml:space="preserve">Pirmiausia, verta paminėti, jog </w:t>
      </w:r>
      <w:r w:rsidR="002B088F" w:rsidRPr="00A40AB4">
        <w:t xml:space="preserve">per </w:t>
      </w:r>
      <w:r w:rsidR="00AF4DFE" w:rsidRPr="00A40AB4">
        <w:t>2002 m. tiek draudimo įmokos, tiek ir išmokos išaugo apie</w:t>
      </w:r>
      <w:r w:rsidR="009A3EE8" w:rsidRPr="00A40AB4">
        <w:t xml:space="preserve"> du trečdalius (atitinkamai 65 ir 6</w:t>
      </w:r>
      <w:r w:rsidR="009A3EE8" w:rsidRPr="00A40AB4">
        <w:rPr>
          <w:lang w:val="en-US"/>
        </w:rPr>
        <w:t>4</w:t>
      </w:r>
      <w:r w:rsidR="00AF4DFE" w:rsidRPr="00A40AB4">
        <w:t xml:space="preserve"> %) dėl įvesto </w:t>
      </w:r>
      <w:r w:rsidR="00EC71B8" w:rsidRPr="00A40AB4">
        <w:t xml:space="preserve">TPVCA privalomojo draudimo. </w:t>
      </w:r>
      <w:r w:rsidR="003973E1" w:rsidRPr="00A40AB4">
        <w:t xml:space="preserve">2003 m. rinka nežymiai smuko, 2004-2005 m. gana nuosaikiai augo, o 2006-2008 m. žymi ne gyvybės draudimo plėtros Lietuvoje bumą, kai </w:t>
      </w:r>
      <w:r w:rsidR="001B4D5E" w:rsidRPr="00A40AB4">
        <w:t>augimas siekė</w:t>
      </w:r>
      <w:r w:rsidR="003973E1" w:rsidRPr="00A40AB4">
        <w:t xml:space="preserve"> po 16-35 % per metus.</w:t>
      </w:r>
      <w:r w:rsidR="000C220F" w:rsidRPr="00A40AB4">
        <w:t xml:space="preserve"> </w:t>
      </w:r>
      <w:r w:rsidR="001F29AC" w:rsidRPr="00A40AB4">
        <w:t xml:space="preserve">Tokia sparti plėtra </w:t>
      </w:r>
      <w:r w:rsidR="000C220F" w:rsidRPr="00A40AB4">
        <w:t xml:space="preserve">atspindėjo </w:t>
      </w:r>
      <w:r w:rsidR="00073E45" w:rsidRPr="00A40AB4">
        <w:t xml:space="preserve">ir </w:t>
      </w:r>
      <w:r w:rsidR="005463DD" w:rsidRPr="00A40AB4">
        <w:t xml:space="preserve">itin greitą </w:t>
      </w:r>
      <w:r w:rsidR="000C220F" w:rsidRPr="00A40AB4">
        <w:t xml:space="preserve">šalies ekonomikos augimą </w:t>
      </w:r>
      <w:r w:rsidR="00B15943" w:rsidRPr="00A40AB4">
        <w:t>bei</w:t>
      </w:r>
      <w:r w:rsidR="000C220F" w:rsidRPr="00A40AB4">
        <w:t xml:space="preserve"> artėjimą perkaitimo link: </w:t>
      </w:r>
      <w:r w:rsidR="00C556C6" w:rsidRPr="00A40AB4">
        <w:t>augant</w:t>
      </w:r>
      <w:r w:rsidR="000C220F" w:rsidRPr="00A40AB4">
        <w:t xml:space="preserve"> šalyje esančiam turtui, </w:t>
      </w:r>
      <w:r w:rsidR="00D55C38" w:rsidRPr="00A40AB4">
        <w:t xml:space="preserve">reikėjo </w:t>
      </w:r>
      <w:r w:rsidR="000C220F" w:rsidRPr="00A40AB4">
        <w:t xml:space="preserve">jį apsaugoti. Labiausiai </w:t>
      </w:r>
      <w:r w:rsidR="00C556C6" w:rsidRPr="00A40AB4">
        <w:t>šį draudimo</w:t>
      </w:r>
      <w:r w:rsidR="005F4A9F" w:rsidRPr="00A40AB4">
        <w:t xml:space="preserve"> sektoriaus</w:t>
      </w:r>
      <w:r w:rsidR="000C220F" w:rsidRPr="00A40AB4">
        <w:t xml:space="preserve"> augimą </w:t>
      </w:r>
      <w:r w:rsidR="00CD11FF" w:rsidRPr="00A40AB4">
        <w:t xml:space="preserve">sąlygojo </w:t>
      </w:r>
      <w:r w:rsidR="000C220F" w:rsidRPr="00A40AB4">
        <w:t>didžiausią draudikų portfelio dalį sudarantys produktai</w:t>
      </w:r>
      <w:r w:rsidR="006A009B" w:rsidRPr="00A40AB4">
        <w:t xml:space="preserve">, </w:t>
      </w:r>
      <w:r w:rsidR="00D11841" w:rsidRPr="00A40AB4">
        <w:t>t.y.</w:t>
      </w:r>
      <w:r w:rsidR="00D55C38" w:rsidRPr="00A40AB4">
        <w:t xml:space="preserve"> </w:t>
      </w:r>
      <w:r w:rsidR="006A009B" w:rsidRPr="00A40AB4">
        <w:t xml:space="preserve">pirmiausia </w:t>
      </w:r>
      <w:r w:rsidR="00D11841" w:rsidRPr="00A40AB4">
        <w:t xml:space="preserve">su </w:t>
      </w:r>
      <w:r w:rsidR="006A009B" w:rsidRPr="00A40AB4">
        <w:t>transporto priemonė</w:t>
      </w:r>
      <w:r w:rsidR="00D11841" w:rsidRPr="00A40AB4">
        <w:t>mi</w:t>
      </w:r>
      <w:r w:rsidR="006A009B" w:rsidRPr="00A40AB4">
        <w:t>s</w:t>
      </w:r>
      <w:r w:rsidR="00D11841" w:rsidRPr="00A40AB4">
        <w:t xml:space="preserve"> susiję produktai</w:t>
      </w:r>
      <w:r w:rsidR="006A009B" w:rsidRPr="00A40AB4">
        <w:t>:</w:t>
      </w:r>
      <w:r w:rsidR="000C220F" w:rsidRPr="00A40AB4">
        <w:t xml:space="preserve"> TPVCA </w:t>
      </w:r>
      <w:r w:rsidR="006A009B" w:rsidRPr="00A40AB4">
        <w:t xml:space="preserve">draudimas </w:t>
      </w:r>
      <w:r w:rsidR="000C220F" w:rsidRPr="00A40AB4">
        <w:t xml:space="preserve">2006-2008 m. augo atitinkamai 39, 23 ir 8 </w:t>
      </w:r>
      <w:r w:rsidR="006A009B" w:rsidRPr="00A40AB4">
        <w:t>%</w:t>
      </w:r>
      <w:r w:rsidR="000C220F" w:rsidRPr="00A40AB4">
        <w:t>,</w:t>
      </w:r>
      <w:r w:rsidR="006A009B" w:rsidRPr="00A40AB4">
        <w:t xml:space="preserve"> </w:t>
      </w:r>
      <w:r w:rsidR="00BF081A" w:rsidRPr="00A40AB4">
        <w:t>kasko</w:t>
      </w:r>
      <w:r w:rsidR="006A009B" w:rsidRPr="00A40AB4">
        <w:t xml:space="preserve"> draudimas</w:t>
      </w:r>
      <w:r w:rsidR="000C220F" w:rsidRPr="00A40AB4">
        <w:t xml:space="preserve"> 2006 m. </w:t>
      </w:r>
      <w:r w:rsidR="006A009B" w:rsidRPr="00A40AB4">
        <w:t>padidėjo 24,5 %</w:t>
      </w:r>
      <w:r w:rsidR="00AD67EF" w:rsidRPr="00A40AB4">
        <w:t>, po metų –</w:t>
      </w:r>
      <w:r w:rsidR="00AD67EF" w:rsidRPr="00A40AB4">
        <w:rPr>
          <w:lang w:val="en-US"/>
        </w:rPr>
        <w:t>37 %</w:t>
      </w:r>
      <w:r w:rsidR="006A009B" w:rsidRPr="00A40AB4">
        <w:t>.</w:t>
      </w:r>
      <w:r w:rsidR="00E40548" w:rsidRPr="00A40AB4">
        <w:t xml:space="preserve"> Tai nulėmė spartus transporto priemonių skaičiaus augimas šalyje.</w:t>
      </w:r>
      <w:r w:rsidR="000C220F" w:rsidRPr="00A40AB4">
        <w:t xml:space="preserve"> </w:t>
      </w:r>
      <w:r w:rsidR="006A009B" w:rsidRPr="00A40AB4">
        <w:t>T</w:t>
      </w:r>
      <w:r w:rsidR="000C220F" w:rsidRPr="00A40AB4">
        <w:t xml:space="preserve">urto </w:t>
      </w:r>
      <w:r w:rsidR="006A009B" w:rsidRPr="00A40AB4">
        <w:t>d</w:t>
      </w:r>
      <w:r w:rsidR="00C82CCA" w:rsidRPr="00A40AB4">
        <w:t>raudimo pasirašytos įmokos</w:t>
      </w:r>
      <w:r w:rsidR="006A009B" w:rsidRPr="00A40AB4">
        <w:t xml:space="preserve"> </w:t>
      </w:r>
      <w:r w:rsidR="000C220F" w:rsidRPr="00A40AB4">
        <w:t>2006</w:t>
      </w:r>
      <w:r w:rsidR="00FA447A" w:rsidRPr="00A40AB4">
        <w:t>-200</w:t>
      </w:r>
      <w:r w:rsidR="00FA447A" w:rsidRPr="00A40AB4">
        <w:rPr>
          <w:lang w:val="en-US"/>
        </w:rPr>
        <w:t>8</w:t>
      </w:r>
      <w:r w:rsidR="00FA447A" w:rsidRPr="00A40AB4">
        <w:t xml:space="preserve"> m. atitinkamai augo 31,</w:t>
      </w:r>
      <w:r w:rsidR="006A009B" w:rsidRPr="00A40AB4">
        <w:t xml:space="preserve"> 33 </w:t>
      </w:r>
      <w:r w:rsidR="00FA447A" w:rsidRPr="00A40AB4">
        <w:t xml:space="preserve">ir 58 </w:t>
      </w:r>
      <w:r w:rsidR="006A009B" w:rsidRPr="00A40AB4">
        <w:t>%</w:t>
      </w:r>
      <w:r w:rsidR="000C220F" w:rsidRPr="00A40AB4">
        <w:t>.</w:t>
      </w:r>
      <w:r w:rsidR="006A009B" w:rsidRPr="00A40AB4">
        <w:t xml:space="preserve"> Vis</w:t>
      </w:r>
      <w:r w:rsidR="00AD67EF" w:rsidRPr="00A40AB4">
        <w:t>gi</w:t>
      </w:r>
      <w:r w:rsidR="006A009B" w:rsidRPr="00A40AB4">
        <w:t xml:space="preserve">, </w:t>
      </w:r>
      <w:r w:rsidR="00D55C38" w:rsidRPr="00A40AB4">
        <w:t>pažymėtina</w:t>
      </w:r>
      <w:r w:rsidR="00E40548" w:rsidRPr="00A40AB4">
        <w:t xml:space="preserve">, jog </w:t>
      </w:r>
      <w:r w:rsidR="00E87374" w:rsidRPr="00A40AB4">
        <w:t xml:space="preserve">tai </w:t>
      </w:r>
      <w:r w:rsidR="00AD67EF" w:rsidRPr="00A40AB4">
        <w:t xml:space="preserve">labai </w:t>
      </w:r>
      <w:r w:rsidR="00E87374" w:rsidRPr="00A40AB4">
        <w:t>sąlygojo</w:t>
      </w:r>
      <w:r w:rsidR="00E40548" w:rsidRPr="00A40AB4">
        <w:t xml:space="preserve"> didžiulis n</w:t>
      </w:r>
      <w:r w:rsidR="00FA447A" w:rsidRPr="00A40AB4">
        <w:t xml:space="preserve">ekilnojamojo turto kainų šuolis bei padidėjusi draudimo apimtis žemės ūkio sektoriuje. </w:t>
      </w:r>
      <w:r w:rsidR="000C220F" w:rsidRPr="00A40AB4">
        <w:t xml:space="preserve">Verta pabrėžti ir tai, jog, kaip ir visoje Europoje, tuo metu Lietuvoje imtasi labiau rūpintis gyventojų sveikata bei poreikiu jaustis finansiškai saugiems ligos ar nelaimingų atsitikimų atveju: </w:t>
      </w:r>
      <w:r w:rsidR="006A009B" w:rsidRPr="00A40AB4">
        <w:t>sveikatos draudimas per šiuos trejus metus augo vidutiniškai po 25 % kasmet.</w:t>
      </w:r>
      <w:r w:rsidR="003E7000" w:rsidRPr="00A40AB4">
        <w:t xml:space="preserve"> Taip pat 2007 m. daugumai šalies įmonių rodant puikius rezultatus, pastarosios </w:t>
      </w:r>
      <w:r w:rsidR="00F061F0" w:rsidRPr="00A40AB4">
        <w:t>ėmė investuoti į savo atsakomybės draudimą</w:t>
      </w:r>
      <w:r w:rsidR="003E7000" w:rsidRPr="00A40AB4">
        <w:t>, tad smarkiai išaugo bendrosios civilinės atsakomybės (BCA) draudimas – net 38 %.</w:t>
      </w:r>
      <w:r w:rsidR="005F69F8" w:rsidRPr="00A40AB4">
        <w:t xml:space="preserve"> </w:t>
      </w:r>
    </w:p>
    <w:p w:rsidR="0036751D" w:rsidRPr="00A40AB4" w:rsidRDefault="005F69F8" w:rsidP="00BF39E2">
      <w:pPr>
        <w:ind w:firstLine="567"/>
        <w:jc w:val="both"/>
      </w:pPr>
      <w:r w:rsidRPr="00A40AB4">
        <w:t xml:space="preserve">2009 m. </w:t>
      </w:r>
      <w:r w:rsidR="00127AC1" w:rsidRPr="00A40AB4">
        <w:t>įsivyravus ekonominei krizei Lietuvoje</w:t>
      </w:r>
      <w:r w:rsidR="00394BAB">
        <w:t xml:space="preserve"> bei</w:t>
      </w:r>
      <w:r w:rsidR="00E81E5E" w:rsidRPr="00A40AB4">
        <w:t xml:space="preserve"> traukiantis kitiems šalies sektoriams, </w:t>
      </w:r>
      <w:r w:rsidR="00394BAB">
        <w:t xml:space="preserve">taip pat </w:t>
      </w:r>
      <w:r w:rsidR="00E81E5E" w:rsidRPr="00A40AB4">
        <w:t>didėjant nedarbui</w:t>
      </w:r>
      <w:r w:rsidRPr="00A40AB4">
        <w:t xml:space="preserve"> ne gyvybės draudimo rinka susitraukė </w:t>
      </w:r>
      <w:r w:rsidR="00127AC1" w:rsidRPr="00A40AB4">
        <w:t xml:space="preserve">net </w:t>
      </w:r>
      <w:r w:rsidRPr="00A40AB4">
        <w:t>beveik 30 %</w:t>
      </w:r>
      <w:r w:rsidR="00127AC1" w:rsidRPr="00A40AB4">
        <w:t xml:space="preserve"> ir </w:t>
      </w:r>
      <w:r w:rsidR="00A015C8" w:rsidRPr="00A40AB4">
        <w:t xml:space="preserve">pasirašytos įmokos smuko </w:t>
      </w:r>
      <w:r w:rsidR="00A015C8" w:rsidRPr="00A40AB4">
        <w:lastRenderedPageBreak/>
        <w:t>į 2006 m. lygį.</w:t>
      </w:r>
      <w:r w:rsidR="00FA726B" w:rsidRPr="00A40AB4">
        <w:t xml:space="preserve"> Labiausiai šį kritimą </w:t>
      </w:r>
      <w:r w:rsidR="00D242F7" w:rsidRPr="00A40AB4">
        <w:t>nulėmė</w:t>
      </w:r>
      <w:r w:rsidR="00FA726B" w:rsidRPr="00A40AB4">
        <w:t xml:space="preserve"> </w:t>
      </w:r>
      <w:r w:rsidR="00BF081A" w:rsidRPr="00A40AB4">
        <w:t>kasko</w:t>
      </w:r>
      <w:r w:rsidR="00FA726B" w:rsidRPr="00A40AB4">
        <w:t xml:space="preserve"> draudimo k</w:t>
      </w:r>
      <w:r w:rsidR="00A83DF5" w:rsidRPr="00A40AB4">
        <w:t>ritimas net 39 % (</w:t>
      </w:r>
      <w:r w:rsidR="00394BAB">
        <w:t xml:space="preserve">tuo tarpu </w:t>
      </w:r>
      <w:r w:rsidR="00A83DF5" w:rsidRPr="00A40AB4">
        <w:t>šio produkto nuostolingumas padidėjo</w:t>
      </w:r>
      <w:r w:rsidR="00DA1CA1" w:rsidRPr="00A40AB4">
        <w:t xml:space="preserve"> nuo 66 iki 93 %</w:t>
      </w:r>
      <w:r w:rsidR="00A83DF5" w:rsidRPr="00A40AB4">
        <w:t>)</w:t>
      </w:r>
      <w:r w:rsidR="00DA1CA1" w:rsidRPr="00A40AB4">
        <w:t>,</w:t>
      </w:r>
      <w:r w:rsidR="00394BAB">
        <w:t xml:space="preserve"> kadangi mažėjant pajamoms žmonės pirmiausia ėmė atsisakyti šio mūsų šalyje kone vis dar prabangos preke laikomo draudimo. </w:t>
      </w:r>
      <w:r w:rsidR="00FA726B" w:rsidRPr="00A40AB4">
        <w:t xml:space="preserve">TPVCA </w:t>
      </w:r>
      <w:r w:rsidR="00394BAB">
        <w:t>draudimas smuko</w:t>
      </w:r>
      <w:r w:rsidR="00FA726B" w:rsidRPr="00A40AB4">
        <w:t xml:space="preserve"> 22 %</w:t>
      </w:r>
      <w:r w:rsidR="00394BAB">
        <w:t xml:space="preserve"> (sumažėjo transporto priemonių paklausa, galima daryti prielaidą, jog dalis gyventojų ėmė rizikuoti ir važinėjo be šio draudimo)</w:t>
      </w:r>
      <w:r w:rsidR="00FA726B" w:rsidRPr="00A40AB4">
        <w:t>, bei turto draudimas</w:t>
      </w:r>
      <w:r w:rsidR="00672CFE">
        <w:t xml:space="preserve"> smukęs </w:t>
      </w:r>
      <w:r w:rsidR="00672CFE">
        <w:rPr>
          <w:lang w:val="en-US"/>
        </w:rPr>
        <w:t>35 %</w:t>
      </w:r>
      <w:r w:rsidR="00672CFE">
        <w:t xml:space="preserve"> -</w:t>
      </w:r>
      <w:r w:rsidR="00FA726B" w:rsidRPr="00A40AB4">
        <w:t xml:space="preserve"> </w:t>
      </w:r>
      <w:r w:rsidR="00672CFE">
        <w:t xml:space="preserve">didele dalimi dėl </w:t>
      </w:r>
      <w:r w:rsidR="00FA726B" w:rsidRPr="00A40AB4">
        <w:t>staiga kritusių būstų kainų</w:t>
      </w:r>
      <w:r w:rsidR="00672CFE">
        <w:t>.</w:t>
      </w:r>
      <w:r w:rsidR="00FA726B" w:rsidRPr="00A40AB4">
        <w:t xml:space="preserve"> </w:t>
      </w:r>
      <w:r w:rsidR="00DA1CA1" w:rsidRPr="00A40AB4">
        <w:t xml:space="preserve">Verta pažymėti ir kredito draudimą, kuris dar prieš metus augo 52 %: </w:t>
      </w:r>
      <w:r w:rsidR="00715DCF" w:rsidRPr="00A40AB4">
        <w:t xml:space="preserve">2009 m. draudikai </w:t>
      </w:r>
      <w:r w:rsidR="00990782" w:rsidRPr="00A40AB4">
        <w:t xml:space="preserve">ėmėsi griežtinti reikalavimus įmonėms, mažino arba net atšaukė kredito limitus ir </w:t>
      </w:r>
      <w:r w:rsidR="00715DCF" w:rsidRPr="00A40AB4">
        <w:t>sumažino š</w:t>
      </w:r>
      <w:r w:rsidR="004E1488" w:rsidRPr="00A40AB4">
        <w:t>ios grupės apimtis iki minimumo. Vis dėlto,</w:t>
      </w:r>
      <w:r w:rsidR="00715DCF" w:rsidRPr="00A40AB4">
        <w:t xml:space="preserve"> </w:t>
      </w:r>
      <w:r w:rsidR="004E1488" w:rsidRPr="00A40AB4">
        <w:t xml:space="preserve">šios grupės </w:t>
      </w:r>
      <w:r w:rsidR="00715DCF" w:rsidRPr="00A40AB4">
        <w:t>išmokos net 6,5 karto viršijo įmokas.</w:t>
      </w:r>
    </w:p>
    <w:p w:rsidR="00BF39E2" w:rsidRPr="00A40AB4" w:rsidRDefault="000563F5" w:rsidP="00BF39E2">
      <w:pPr>
        <w:ind w:firstLine="567"/>
        <w:jc w:val="both"/>
      </w:pPr>
      <w:r w:rsidRPr="00A40AB4">
        <w:t xml:space="preserve">2010 m. </w:t>
      </w:r>
      <w:r w:rsidR="00BF081A" w:rsidRPr="00A40AB4">
        <w:t xml:space="preserve">Lietuvos ekonomikai </w:t>
      </w:r>
      <w:r w:rsidR="00672CFE">
        <w:t>dar tik</w:t>
      </w:r>
      <w:r w:rsidR="00740053" w:rsidRPr="00A40AB4">
        <w:t xml:space="preserve"> </w:t>
      </w:r>
      <w:r w:rsidR="00BF081A" w:rsidRPr="00A40AB4">
        <w:t xml:space="preserve">pradedant atsigauti </w:t>
      </w:r>
      <w:r w:rsidRPr="00A40AB4">
        <w:t xml:space="preserve">draudimo rinka krito beveik 5 %, </w:t>
      </w:r>
      <w:r w:rsidR="00740053" w:rsidRPr="00A40AB4">
        <w:t xml:space="preserve">bet </w:t>
      </w:r>
      <w:r w:rsidRPr="00A40AB4">
        <w:t>pernai</w:t>
      </w:r>
      <w:r w:rsidR="00672CFE">
        <w:t xml:space="preserve"> dėl sparčiai augančio</w:t>
      </w:r>
      <w:r w:rsidR="00BF081A" w:rsidRPr="00A40AB4">
        <w:t xml:space="preserve"> turto, kasko bei sveikatos draudimo (15-17 %) </w:t>
      </w:r>
      <w:r w:rsidR="00EC52DF" w:rsidRPr="00A40AB4">
        <w:t xml:space="preserve">ji </w:t>
      </w:r>
      <w:r w:rsidR="00DC2CB6" w:rsidRPr="00A40AB4">
        <w:t xml:space="preserve">jau </w:t>
      </w:r>
      <w:r w:rsidR="00BF081A" w:rsidRPr="00A40AB4">
        <w:t xml:space="preserve">kilo </w:t>
      </w:r>
      <w:r w:rsidRPr="00A40AB4">
        <w:t>13 %</w:t>
      </w:r>
      <w:r w:rsidR="00672CFE">
        <w:t>, kas byloja apie augančias potencialių draudėjų pajamas</w:t>
      </w:r>
      <w:r w:rsidRPr="00A40AB4">
        <w:t>.</w:t>
      </w:r>
      <w:r w:rsidR="00330B60" w:rsidRPr="00A40AB4">
        <w:t xml:space="preserve"> Per šių metų pirmąjį pusmetį užfiksuotas nuosaikus 4 % kilimas: į viršų draudimo rinką </w:t>
      </w:r>
      <w:r w:rsidR="00091588" w:rsidRPr="00A40AB4">
        <w:t>traukė atitinkamai 15 bei 13 % augęs kasko ir sveikatos draudimas, tačiau žemyn tempė 11 % smukęs turto draudimas. Tai nulemta išaugusių pasėlio draudimo kainų bei sugriežtintų draudimo sąlygų šiam produktui.</w:t>
      </w:r>
    </w:p>
    <w:p w:rsidR="0036751D" w:rsidRPr="00A40AB4" w:rsidRDefault="001174E9" w:rsidP="00BF39E2">
      <w:pPr>
        <w:ind w:firstLine="567"/>
        <w:jc w:val="both"/>
      </w:pPr>
      <w:r>
        <w:rPr>
          <w:b/>
          <w:u w:val="single"/>
        </w:rPr>
        <w:t>Draudimo i</w:t>
      </w:r>
      <w:r w:rsidR="00583CA6" w:rsidRPr="00761AF1">
        <w:rPr>
          <w:b/>
          <w:u w:val="single"/>
        </w:rPr>
        <w:t>šmokos.</w:t>
      </w:r>
      <w:r w:rsidR="00583CA6" w:rsidRPr="00A40AB4">
        <w:t xml:space="preserve"> </w:t>
      </w:r>
      <w:r w:rsidR="00EC52DF" w:rsidRPr="00A40AB4">
        <w:t>Per pastarąjį</w:t>
      </w:r>
      <w:r w:rsidR="00CE1F15" w:rsidRPr="00A40AB4">
        <w:t xml:space="preserve"> </w:t>
      </w:r>
      <w:r w:rsidR="00EC52DF" w:rsidRPr="00A40AB4">
        <w:t xml:space="preserve">dešimtmetį </w:t>
      </w:r>
      <w:r w:rsidR="00CE1F15" w:rsidRPr="00A40AB4">
        <w:t>ne gyvybės draudimo išmokų pokyčiai buvo nuosaikesni negu pasirašytų įmokų</w:t>
      </w:r>
      <w:r w:rsidR="008A59ED" w:rsidRPr="00A40AB4">
        <w:t>.</w:t>
      </w:r>
      <w:r w:rsidR="00A324AF" w:rsidRPr="00A40AB4">
        <w:t xml:space="preserve"> </w:t>
      </w:r>
      <w:r w:rsidR="00C01C89" w:rsidRPr="00A40AB4">
        <w:t xml:space="preserve">Kaip jau minėta, </w:t>
      </w:r>
      <w:r w:rsidR="00CE1F15" w:rsidRPr="00A40AB4">
        <w:t xml:space="preserve">didžiausias </w:t>
      </w:r>
      <w:r w:rsidR="00A6120D" w:rsidRPr="00A40AB4">
        <w:t>draudimo išmokų šuolis procentais užfiksuotas 2002 m., kai įvedus TPVCA draudimą išmokos padidėjo net 64 %</w:t>
      </w:r>
      <w:r w:rsidR="008A59ED" w:rsidRPr="00A40AB4">
        <w:t xml:space="preserve"> (žr. </w:t>
      </w:r>
      <w:r w:rsidR="00C9523B">
        <w:t>10 pav</w:t>
      </w:r>
      <w:r w:rsidR="008A59ED" w:rsidRPr="00A40AB4">
        <w:t>.)</w:t>
      </w:r>
      <w:r w:rsidR="00A6120D" w:rsidRPr="00A40AB4">
        <w:t>.</w:t>
      </w:r>
      <w:r w:rsidR="00CE1F15" w:rsidRPr="00A40AB4">
        <w:t xml:space="preserve"> Kitas didesnis išmokų šuolis sutapo su staigiu pasirašytų draudimo įmokų </w:t>
      </w:r>
      <w:r w:rsidR="00035A0B">
        <w:t>išaugimu</w:t>
      </w:r>
      <w:r w:rsidR="00CE1F15" w:rsidRPr="00A40AB4">
        <w:t xml:space="preserve"> ir užfiksuotas 2006</w:t>
      </w:r>
      <w:r w:rsidR="00CC5845" w:rsidRPr="00A40AB4">
        <w:t>-2008</w:t>
      </w:r>
      <w:r w:rsidR="00CE1F15" w:rsidRPr="00A40AB4">
        <w:t xml:space="preserve"> m.</w:t>
      </w:r>
      <w:r w:rsidR="00FC431B" w:rsidRPr="00A40AB4">
        <w:t xml:space="preserve"> laikotarpiu</w:t>
      </w:r>
      <w:r w:rsidR="00CE1F15" w:rsidRPr="00A40AB4">
        <w:t xml:space="preserve"> –</w:t>
      </w:r>
      <w:r w:rsidR="00CC5845" w:rsidRPr="00A40AB4">
        <w:t xml:space="preserve"> atitinkamai</w:t>
      </w:r>
      <w:r w:rsidR="00CE1F15" w:rsidRPr="00A40AB4">
        <w:t xml:space="preserve"> 31</w:t>
      </w:r>
      <w:r w:rsidR="00CC5845" w:rsidRPr="00A40AB4">
        <w:t>, 32 ir 27</w:t>
      </w:r>
      <w:r w:rsidR="00CE1F15" w:rsidRPr="00A40AB4">
        <w:t xml:space="preserve"> %. </w:t>
      </w:r>
      <w:r w:rsidR="00907A89" w:rsidRPr="00A40AB4">
        <w:t xml:space="preserve">Iš dalies tokius pokyčius nulėmė </w:t>
      </w:r>
      <w:r w:rsidR="00911813" w:rsidRPr="00A40AB4">
        <w:t xml:space="preserve">didėjanti </w:t>
      </w:r>
      <w:r w:rsidR="00907A89" w:rsidRPr="00A40AB4">
        <w:t>infliacija (2008 m. pasiekė beveik 11 %)</w:t>
      </w:r>
      <w:r w:rsidR="009244CC" w:rsidRPr="00A40AB4">
        <w:t xml:space="preserve">, </w:t>
      </w:r>
      <w:r w:rsidR="00035A0B">
        <w:t>ir</w:t>
      </w:r>
      <w:r w:rsidR="00DB2645" w:rsidRPr="00A40AB4">
        <w:t xml:space="preserve"> </w:t>
      </w:r>
      <w:r w:rsidR="009244CC" w:rsidRPr="00A40AB4">
        <w:t xml:space="preserve">ypač </w:t>
      </w:r>
      <w:r w:rsidR="00035A0B">
        <w:t xml:space="preserve">sparčiai </w:t>
      </w:r>
      <w:r w:rsidR="009244CC" w:rsidRPr="00A40AB4">
        <w:t>kylančios nekilnojamojo turto kainos</w:t>
      </w:r>
      <w:r w:rsidR="00907A89" w:rsidRPr="00A40AB4">
        <w:t xml:space="preserve">. </w:t>
      </w:r>
      <w:r w:rsidR="00035A0B">
        <w:t>Tradiciškai</w:t>
      </w:r>
      <w:r w:rsidR="009620C2" w:rsidRPr="00A40AB4">
        <w:t xml:space="preserve"> dėl dominuojančios dalies </w:t>
      </w:r>
      <w:r w:rsidR="00035A0B">
        <w:t xml:space="preserve">ne gyvybės </w:t>
      </w:r>
      <w:r w:rsidR="009620C2" w:rsidRPr="00A40AB4">
        <w:t>draudikų portfelyje</w:t>
      </w:r>
      <w:r w:rsidR="00225CFA" w:rsidRPr="00A40AB4">
        <w:t xml:space="preserve"> tam didžiausią įtaką padarė TPVCA</w:t>
      </w:r>
      <w:r w:rsidR="00B11943" w:rsidRPr="00A40AB4">
        <w:t>,</w:t>
      </w:r>
      <w:r w:rsidR="00225CFA" w:rsidRPr="00A40AB4">
        <w:t xml:space="preserve"> kasko </w:t>
      </w:r>
      <w:r w:rsidR="00B11943" w:rsidRPr="00A40AB4">
        <w:t xml:space="preserve">bei turto </w:t>
      </w:r>
      <w:r w:rsidR="00035A0B">
        <w:t>draudimo produktų nuostoliai,</w:t>
      </w:r>
      <w:r w:rsidR="00B11943" w:rsidRPr="00A40AB4">
        <w:t xml:space="preserve"> šiuo laikotarpiu sudarę net 87-90 % visų išmokų</w:t>
      </w:r>
      <w:r w:rsidR="00225CFA" w:rsidRPr="00A40AB4">
        <w:t>.</w:t>
      </w:r>
      <w:r w:rsidR="009620C2" w:rsidRPr="00A40AB4">
        <w:t xml:space="preserve"> </w:t>
      </w:r>
      <w:r w:rsidR="00A324AF" w:rsidRPr="00A40AB4">
        <w:t>2006 m. TPVCA išmokų augimas viršijo 40 %, po metų siekė 28 %, o po dviejų – 14 %.</w:t>
      </w:r>
      <w:r w:rsidR="00811BE7">
        <w:t xml:space="preserve"> Tiesa, TPVCA nuostolingumo augimas lėtėjo šalyje įgyvendinant įvairias priemones, skirtas eismo įvykių kelyje skaičiaus mažinimui.</w:t>
      </w:r>
      <w:r w:rsidR="00A324AF" w:rsidRPr="00A40AB4">
        <w:t xml:space="preserve"> Kasko draudimas 2006-2007 m. didėjo po 29 %, o 2008 m. -24 %</w:t>
      </w:r>
      <w:r w:rsidR="00CC2646">
        <w:t xml:space="preserve"> - tai nulemta vis dar didelio eismo įvykių skaičiaus šalyje bei didėjančio kasko draudimo populiarumo</w:t>
      </w:r>
      <w:r w:rsidR="00A324AF" w:rsidRPr="00A40AB4">
        <w:t>.</w:t>
      </w:r>
      <w:r w:rsidR="00CC2646">
        <w:t xml:space="preserve"> Taigi</w:t>
      </w:r>
      <w:r w:rsidR="00A324AF" w:rsidRPr="00A40AB4">
        <w:t xml:space="preserve"> matyti, </w:t>
      </w:r>
      <w:r w:rsidR="00CC2646">
        <w:t xml:space="preserve">jog </w:t>
      </w:r>
      <w:r w:rsidR="00A324AF" w:rsidRPr="00A40AB4">
        <w:t>su sausum</w:t>
      </w:r>
      <w:r w:rsidR="00CC2646">
        <w:t>os transporto priemonėmis susijusių draudimo produktų nuostolingum</w:t>
      </w:r>
      <w:r w:rsidR="00D50734">
        <w:t>o augimas ėmė lėtėti</w:t>
      </w:r>
      <w:r w:rsidR="00907A89" w:rsidRPr="00A40AB4">
        <w:t>.</w:t>
      </w:r>
      <w:r w:rsidR="001234E7" w:rsidRPr="00A40AB4">
        <w:t xml:space="preserve"> Tam įtaką </w:t>
      </w:r>
      <w:r w:rsidR="00D50734">
        <w:t xml:space="preserve">taip pat </w:t>
      </w:r>
      <w:r w:rsidR="001234E7" w:rsidRPr="00A40AB4">
        <w:t>padarė</w:t>
      </w:r>
      <w:r w:rsidR="00D50734">
        <w:t>, DPK (</w:t>
      </w:r>
      <w:r w:rsidR="00D50734">
        <w:rPr>
          <w:lang w:val="en-US"/>
        </w:rPr>
        <w:t>2009)</w:t>
      </w:r>
      <w:r w:rsidR="00D50734">
        <w:t xml:space="preserve"> duomenimis,</w:t>
      </w:r>
      <w:r w:rsidR="001234E7" w:rsidRPr="00A40AB4">
        <w:t xml:space="preserve"> </w:t>
      </w:r>
      <w:r w:rsidR="00D50734">
        <w:t xml:space="preserve">ir </w:t>
      </w:r>
      <w:r w:rsidR="001234E7" w:rsidRPr="00A40AB4">
        <w:t xml:space="preserve">draudikų rizikos vertinimo bei valdymo, siekiant pelningesnio augimo, peržiūrėjimas: klientų analizė, draudimo portfelių reitingavimas ir pan. Taigi nemažai draudimo įmonių ėmėsi portfelių restruktūrizavimo, siekdami sumažinti itin nuostolingų transporto priemonių draudimo produktų lyginamąjį svorį. 2007 m. </w:t>
      </w:r>
      <w:r w:rsidR="00740053" w:rsidRPr="00A40AB4">
        <w:t xml:space="preserve">kiek </w:t>
      </w:r>
      <w:r w:rsidR="001234E7" w:rsidRPr="00A40AB4">
        <w:t>daugiau nei dvigubai pašoko turto draudimo grupės nuostolingumas. 2008 m. pastaroji grupė ir toliau augo išmokėtų išmokų atžvilgiu – padidėjo 24 %.</w:t>
      </w:r>
      <w:r w:rsidR="00907A89" w:rsidRPr="00A40AB4">
        <w:t xml:space="preserve"> </w:t>
      </w:r>
      <w:r w:rsidR="00F701B6" w:rsidRPr="00A40AB4">
        <w:t xml:space="preserve">Verta paminėti </w:t>
      </w:r>
      <w:r w:rsidR="009620C2" w:rsidRPr="00A40AB4">
        <w:t>sveikatos draudim</w:t>
      </w:r>
      <w:r w:rsidR="00F701B6" w:rsidRPr="00A40AB4">
        <w:t>ą, kuris pagal draudimo išmokas 2006 m. augo daugiau nei 30 %</w:t>
      </w:r>
      <w:r w:rsidR="009620C2" w:rsidRPr="00A40AB4">
        <w:t>.</w:t>
      </w:r>
      <w:r w:rsidR="00F701B6" w:rsidRPr="00A40AB4">
        <w:t xml:space="preserve">, 2007 m. – 19 %, o 2008 m. padidėjo </w:t>
      </w:r>
      <w:r w:rsidR="00BA1C99" w:rsidRPr="00A40AB4">
        <w:t>dvigubai</w:t>
      </w:r>
      <w:r w:rsidR="00D50734">
        <w:t xml:space="preserve"> – mažėjant pajamoms draudėjai ėmė kaip įmanoma labiau išnaudoti sveikatos draudimo siūlomas paslaugas.</w:t>
      </w:r>
    </w:p>
    <w:p w:rsidR="00BA1C99" w:rsidRPr="00A40AB4" w:rsidRDefault="001D68B5" w:rsidP="00BF39E2">
      <w:pPr>
        <w:ind w:firstLine="567"/>
        <w:jc w:val="both"/>
      </w:pPr>
      <w:r w:rsidRPr="00A40AB4">
        <w:lastRenderedPageBreak/>
        <w:t>2009 m. ne gyvybės draudimo šakai Lietuvoje buvo, ko gero, patys sudėtingiausi.</w:t>
      </w:r>
      <w:r w:rsidR="00722428" w:rsidRPr="00A40AB4">
        <w:t xml:space="preserve"> Nepaisant to, jog visa ne gyvybės draudimo rinka smuko beveik 30 %</w:t>
      </w:r>
      <w:r w:rsidR="00CE1835" w:rsidRPr="00A40AB4">
        <w:t xml:space="preserve"> ir būtų </w:t>
      </w:r>
      <w:r w:rsidR="00F92A4A">
        <w:t>tendencinga</w:t>
      </w:r>
      <w:r w:rsidR="00CE1835" w:rsidRPr="00A40AB4">
        <w:t xml:space="preserve"> tikėtis draudimo išmokų sumažėjimo</w:t>
      </w:r>
      <w:r w:rsidR="00722428" w:rsidRPr="00A40AB4">
        <w:t xml:space="preserve">, </w:t>
      </w:r>
      <w:r w:rsidR="00CE1835" w:rsidRPr="00A40AB4">
        <w:t xml:space="preserve">jos </w:t>
      </w:r>
      <w:r w:rsidR="00F92A4A">
        <w:t xml:space="preserve">net paaugo </w:t>
      </w:r>
      <w:r w:rsidR="00A12AB9" w:rsidRPr="00A40AB4">
        <w:t>10 %</w:t>
      </w:r>
      <w:r w:rsidR="00C92E05" w:rsidRPr="00A40AB4">
        <w:t xml:space="preserve"> (žr. </w:t>
      </w:r>
      <w:r w:rsidR="00C9523B">
        <w:t>10 pav</w:t>
      </w:r>
      <w:r w:rsidR="00C92E05" w:rsidRPr="00A40AB4">
        <w:t>.)</w:t>
      </w:r>
      <w:r w:rsidR="00A12AB9" w:rsidRPr="00A40AB4">
        <w:t xml:space="preserve">. </w:t>
      </w:r>
      <w:r w:rsidR="001A75DF" w:rsidRPr="00A40AB4">
        <w:t>Nors ir sumažėjo, tačiau didžiausią dalį išmokų standartiškai sudarė TPVCA bei kasko draudimas. Ekonominės krizės piko metu</w:t>
      </w:r>
      <w:r w:rsidR="00D3533B" w:rsidRPr="00A40AB4">
        <w:t xml:space="preserve"> daugiausia dėl neatsiskaitymų tarp verslo subjektų</w:t>
      </w:r>
      <w:r w:rsidR="001A75DF" w:rsidRPr="00A40AB4">
        <w:t xml:space="preserve"> net 5 kartus išaugusios kredito draudimo išmokos pasiekė 154 mln. Lt ir netgi viršijo iš turto draudimo patirtus nuostolius (atitinkamai 123 mln. Lt).</w:t>
      </w:r>
      <w:r w:rsidR="00D3533B" w:rsidRPr="00A40AB4">
        <w:t xml:space="preserve"> Taigi galima daryti išvadą, jog ne gyvybės draudimo įmonės sušvelnino neigiamas ekonominės krizės pasekmes </w:t>
      </w:r>
      <w:r w:rsidR="00A759E2" w:rsidRPr="00A40AB4">
        <w:t xml:space="preserve">šalies </w:t>
      </w:r>
      <w:r w:rsidR="00D3533B" w:rsidRPr="00A40AB4">
        <w:t>verslui.</w:t>
      </w:r>
      <w:r w:rsidR="00DE0FF5" w:rsidRPr="00A40AB4">
        <w:t xml:space="preserve"> 2010 m. ne gyvybės draudimui Lietuvoje vis dar smukus beveik 5 % išmokėta buvo jau </w:t>
      </w:r>
      <w:r w:rsidR="00600E3B" w:rsidRPr="00A40AB4">
        <w:t>12,5 % mažiau išmokų negu prieš metus.</w:t>
      </w:r>
      <w:r w:rsidR="00583DE0" w:rsidRPr="00A40AB4">
        <w:t xml:space="preserve"> Labiausiai tai nulėmė ir toliau smunkančios TPVCA bei kasko draudimo grupių išmokos bei, šiek tiek gerėjant Lietuvos ekonominei būklei, trečdaliu susitraukusios kredito draudimo išmokos (14 % visų ne gyvybės draudimo išmokų).</w:t>
      </w:r>
    </w:p>
    <w:p w:rsidR="00D04E64" w:rsidRPr="00A40AB4" w:rsidRDefault="00D04E64" w:rsidP="00BF39E2">
      <w:pPr>
        <w:ind w:firstLine="567"/>
        <w:jc w:val="both"/>
      </w:pPr>
      <w:r w:rsidRPr="00A40AB4">
        <w:t>2011 m. atsigaunant visos šalies ūkiui bei ne gyvybės draudimo rinkai išmokos paaugo 2 %. Didžiausi stebėti pokyčiai buvo kredito bei turto draudimo srityse: kredito draudimo išmokos, stabilizuojantis Lietuvos ekonomikai, sumažėjo 49 %, tačiau turto draudimo grupė išaugo net 40 % – daugiaus</w:t>
      </w:r>
      <w:r w:rsidR="005F3738">
        <w:t>ia dėl metų viduryje išmokėtos rekordinės</w:t>
      </w:r>
      <w:r w:rsidRPr="00A40AB4">
        <w:t xml:space="preserve"> pasėlių draudimo išmokų sumos (virš 50 mln. Lt).</w:t>
      </w:r>
      <w:r w:rsidR="009A57F2" w:rsidRPr="00A40AB4">
        <w:t xml:space="preserve"> Per šių metų </w:t>
      </w:r>
      <w:r w:rsidR="005F3738">
        <w:t xml:space="preserve">I pusm. </w:t>
      </w:r>
      <w:r w:rsidR="009A57F2" w:rsidRPr="00A40AB4">
        <w:t xml:space="preserve">(palyginti su </w:t>
      </w:r>
      <w:r w:rsidR="005F3738">
        <w:t>2011 m. I pusm.</w:t>
      </w:r>
      <w:r w:rsidR="009A57F2" w:rsidRPr="00A40AB4">
        <w:t xml:space="preserve">) išmokėta 15 % mažiau išmokų. Labiausiai </w:t>
      </w:r>
      <w:r w:rsidR="009053DE">
        <w:t xml:space="preserve">draudimo </w:t>
      </w:r>
      <w:r w:rsidR="009A57F2" w:rsidRPr="00A40AB4">
        <w:t>iš</w:t>
      </w:r>
      <w:r w:rsidR="009053DE">
        <w:t xml:space="preserve">mokos mažėjo dėl dešimtadaliu </w:t>
      </w:r>
      <w:r w:rsidR="009A57F2" w:rsidRPr="00A40AB4">
        <w:t>kritusių kasko bei  57 % sumažėjusių turto draudimo grupės išmokų (vėlgi daugiausia dėl beveik perpus susitraukusių pasėlių išmokų). Nuostoli</w:t>
      </w:r>
      <w:r w:rsidR="005F3738">
        <w:t>us didino</w:t>
      </w:r>
      <w:r w:rsidR="009053DE">
        <w:t xml:space="preserve"> dėl padidėjusių šių draudimų apimčių</w:t>
      </w:r>
      <w:r w:rsidR="005F3738">
        <w:t xml:space="preserve"> 31 %</w:t>
      </w:r>
      <w:r w:rsidR="009053DE">
        <w:t xml:space="preserve"> išaugusios </w:t>
      </w:r>
      <w:r w:rsidR="009A57F2" w:rsidRPr="00A40AB4">
        <w:t xml:space="preserve">sveikatos </w:t>
      </w:r>
      <w:r w:rsidR="009053DE">
        <w:t xml:space="preserve">ir </w:t>
      </w:r>
      <w:r w:rsidR="009A57F2" w:rsidRPr="00A40AB4">
        <w:t xml:space="preserve">15 % – kredito </w:t>
      </w:r>
      <w:r w:rsidR="009053DE">
        <w:t>draudimo išmokos</w:t>
      </w:r>
      <w:r w:rsidR="009A57F2" w:rsidRPr="00A40AB4">
        <w:t>.</w:t>
      </w:r>
    </w:p>
    <w:p w:rsidR="009F41B3" w:rsidRPr="00A40AB4" w:rsidRDefault="009F41B3" w:rsidP="00BF39E2">
      <w:pPr>
        <w:ind w:firstLine="567"/>
        <w:jc w:val="both"/>
      </w:pPr>
      <w:r w:rsidRPr="00761AF1">
        <w:rPr>
          <w:b/>
          <w:u w:val="single"/>
        </w:rPr>
        <w:t>Sudarytų draudimo sutarčių kiekis.</w:t>
      </w:r>
      <w:r w:rsidRPr="00A40AB4">
        <w:t xml:space="preserve"> </w:t>
      </w:r>
      <w:r w:rsidR="004F6545" w:rsidRPr="00A40AB4">
        <w:t>P</w:t>
      </w:r>
      <w:r w:rsidR="009C066A" w:rsidRPr="00A40AB4">
        <w:t>asirašytų draudimo įmokų bei sudarytų sutarčių rodikliai papildo vienas kitą bei atspindi draudimo rinkos aktyvumą</w:t>
      </w:r>
      <w:r w:rsidR="004F6545" w:rsidRPr="00A40AB4">
        <w:t xml:space="preserve"> (</w:t>
      </w:r>
      <w:r w:rsidR="00A232C5">
        <w:t xml:space="preserve">žr. </w:t>
      </w:r>
      <w:r w:rsidR="00C9523B">
        <w:t>11 pav</w:t>
      </w:r>
      <w:r w:rsidR="004F6545" w:rsidRPr="00A40AB4">
        <w:t>.)</w:t>
      </w:r>
      <w:r w:rsidR="009C066A" w:rsidRPr="00A40AB4">
        <w:t>.</w:t>
      </w:r>
      <w:r w:rsidR="00BF72ED" w:rsidRPr="00A40AB4">
        <w:t xml:space="preserve"> </w:t>
      </w:r>
    </w:p>
    <w:p w:rsidR="004F6545" w:rsidRPr="00A40AB4" w:rsidRDefault="004F6545" w:rsidP="00BF39E2">
      <w:pPr>
        <w:ind w:firstLine="567"/>
        <w:jc w:val="both"/>
      </w:pPr>
    </w:p>
    <w:p w:rsidR="00BF39E2" w:rsidRPr="00A40AB4" w:rsidRDefault="00984C90" w:rsidP="00CA2520">
      <w:pPr>
        <w:jc w:val="center"/>
      </w:pPr>
      <w:r w:rsidRPr="00A40AB4">
        <w:rPr>
          <w:noProof/>
          <w:lang w:eastAsia="lt-LT"/>
        </w:rPr>
        <w:drawing>
          <wp:inline distT="0" distB="0" distL="0" distR="0">
            <wp:extent cx="5567711" cy="2676293"/>
            <wp:effectExtent l="19050" t="0" r="13939"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84C90" w:rsidRPr="00A40AB4" w:rsidRDefault="00984C90" w:rsidP="00984C90">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sudaryta pagal DPK</w:t>
      </w:r>
      <w:r w:rsidR="00EF7C58" w:rsidRPr="00A40AB4">
        <w:rPr>
          <w:rFonts w:cs="Times New Roman"/>
          <w:sz w:val="20"/>
          <w:szCs w:val="20"/>
        </w:rPr>
        <w:t>,</w:t>
      </w:r>
      <w:r w:rsidRPr="00A40AB4">
        <w:rPr>
          <w:rFonts w:cs="Times New Roman"/>
          <w:sz w:val="20"/>
          <w:szCs w:val="20"/>
          <w:lang w:val="en-US"/>
        </w:rPr>
        <w:t xml:space="preserve"> 2005, 2010, 2011, 2012.</w:t>
      </w:r>
    </w:p>
    <w:p w:rsidR="0000122E" w:rsidRPr="00A40AB4" w:rsidRDefault="00C9523B" w:rsidP="0000122E">
      <w:pPr>
        <w:pStyle w:val="Heading2"/>
        <w:spacing w:line="360" w:lineRule="auto"/>
        <w:ind w:firstLine="0"/>
        <w:rPr>
          <w:lang w:val="en-US"/>
        </w:rPr>
      </w:pPr>
      <w:bookmarkStart w:id="198" w:name="_Toc340573845"/>
      <w:bookmarkStart w:id="199" w:name="_Toc340574115"/>
      <w:bookmarkStart w:id="200" w:name="_Toc340574390"/>
      <w:bookmarkStart w:id="201" w:name="_Toc340792028"/>
      <w:bookmarkStart w:id="202" w:name="_Toc341641126"/>
      <w:bookmarkStart w:id="203" w:name="_Toc341641377"/>
      <w:bookmarkStart w:id="204" w:name="_Toc342859665"/>
      <w:r>
        <w:t>11 pav</w:t>
      </w:r>
      <w:r w:rsidR="0000122E" w:rsidRPr="00A40AB4">
        <w:t xml:space="preserve">. Ne gyvybės draudimo sudarytos sutartys bei jų metinis pokytis Lietuvoje </w:t>
      </w:r>
      <w:r w:rsidR="0000122E" w:rsidRPr="00A40AB4">
        <w:rPr>
          <w:lang w:val="en-US"/>
        </w:rPr>
        <w:t>2002-2011 m.</w:t>
      </w:r>
      <w:bookmarkEnd w:id="198"/>
      <w:bookmarkEnd w:id="199"/>
      <w:bookmarkEnd w:id="200"/>
      <w:bookmarkEnd w:id="201"/>
      <w:bookmarkEnd w:id="202"/>
      <w:bookmarkEnd w:id="203"/>
      <w:bookmarkEnd w:id="204"/>
    </w:p>
    <w:p w:rsidR="00984C90" w:rsidRPr="00A40AB4" w:rsidRDefault="00984C90" w:rsidP="00CA2520">
      <w:pPr>
        <w:jc w:val="center"/>
      </w:pPr>
    </w:p>
    <w:p w:rsidR="0003115C" w:rsidRPr="00A40AB4" w:rsidRDefault="004B2DFE" w:rsidP="0003115C">
      <w:pPr>
        <w:ind w:firstLine="567"/>
        <w:jc w:val="both"/>
      </w:pPr>
      <w:r w:rsidRPr="00A40AB4">
        <w:lastRenderedPageBreak/>
        <w:t xml:space="preserve">Beveik visą pastarąjį dešimtmetį ne gyvybės draudime sudaromų sutarčių </w:t>
      </w:r>
      <w:r w:rsidR="004F6545" w:rsidRPr="00A40AB4">
        <w:t xml:space="preserve">skaičius augo </w:t>
      </w:r>
      <w:r w:rsidR="008B4292" w:rsidRPr="00A40AB4">
        <w:t>(išskyrus 2005 ir 2008 m.). D</w:t>
      </w:r>
      <w:r w:rsidRPr="00A40AB4">
        <w:t>idžiausias šuolis užfiksuotas 2002 m., kai dėl atsiradusio TPVCA draudimo įmokų skaičius per metus išaugo 1,95 karto.</w:t>
      </w:r>
      <w:r w:rsidR="008A32E6" w:rsidRPr="00A40AB4">
        <w:t xml:space="preserve"> Tokią didžiulę šio draudimo produkto paklausą sąlygojo </w:t>
      </w:r>
      <w:r w:rsidR="00D83511" w:rsidRPr="00A40AB4">
        <w:t xml:space="preserve">ne tik </w:t>
      </w:r>
      <w:r w:rsidR="008A32E6" w:rsidRPr="00A40AB4">
        <w:t>privalomumas drausti savo transporto priemonę</w:t>
      </w:r>
      <w:r w:rsidR="00D83511" w:rsidRPr="00A40AB4">
        <w:t xml:space="preserve"> (nors baudos už nesilaikymą ir buvo nedidelės)</w:t>
      </w:r>
      <w:r w:rsidR="008A32E6" w:rsidRPr="00A40AB4">
        <w:t xml:space="preserve">, </w:t>
      </w:r>
      <w:r w:rsidR="00D83511" w:rsidRPr="00A40AB4">
        <w:t>tačiau ir patraukli produkto kaina bei gaunamos naudos suvokimas.</w:t>
      </w:r>
      <w:r w:rsidR="00ED7034" w:rsidRPr="00A40AB4">
        <w:t xml:space="preserve"> </w:t>
      </w:r>
      <w:r w:rsidR="009C3DB0" w:rsidRPr="00A40AB4">
        <w:t>2003 ir 2004 m. pagal sudarytų sutarčių skaičių draudimo rinka augo nežymiai – atitinkamai 3,6 ir 3,4 %.</w:t>
      </w:r>
    </w:p>
    <w:p w:rsidR="009C3DB0" w:rsidRPr="00A40AB4" w:rsidRDefault="00F220C6" w:rsidP="0003115C">
      <w:pPr>
        <w:ind w:firstLine="567"/>
        <w:jc w:val="both"/>
      </w:pPr>
      <w:r w:rsidRPr="00A40AB4">
        <w:t xml:space="preserve">2005 m. sparčiai augant mūsų šalies ekonomikai ir atnaujinant automobilių parką net 19 % padaugėjo kasko sudaromų sutarčių. Žmonės taip pat ėmė labiau rūpintis savo sveikata, kas atsispindi draudimo ligos atveju produkte, paaugusiame 21 %. Visgi dėl tos pačios priežasties (spartaus ūkio augimo) </w:t>
      </w:r>
      <w:r w:rsidR="00173AF7" w:rsidRPr="00A40AB4">
        <w:t>26</w:t>
      </w:r>
      <w:r w:rsidRPr="00A40AB4">
        <w:t xml:space="preserve"> %  sumažėjo laidavimo draudimo sudaromų sutarčių kiekis. TPVCA draudimo</w:t>
      </w:r>
      <w:r w:rsidR="00173AF7" w:rsidRPr="00A40AB4">
        <w:t xml:space="preserve"> paklausa taip pat sumažėjo (17 %)</w:t>
      </w:r>
      <w:r w:rsidR="00AF5BBD" w:rsidRPr="00A40AB4">
        <w:t>, o sudaryta sutarčių iš viso buvo 10 % mažiau nei praėjusiais metais.</w:t>
      </w:r>
    </w:p>
    <w:p w:rsidR="00957673" w:rsidRPr="00A40AB4" w:rsidRDefault="00957673" w:rsidP="0003115C">
      <w:pPr>
        <w:ind w:firstLine="567"/>
        <w:jc w:val="both"/>
      </w:pPr>
      <w:r w:rsidRPr="00A40AB4">
        <w:t xml:space="preserve">Dar kitąmet </w:t>
      </w:r>
      <w:r w:rsidR="00AF5167" w:rsidRPr="00A40AB4">
        <w:t xml:space="preserve">buvo </w:t>
      </w:r>
      <w:r w:rsidRPr="00A40AB4">
        <w:t xml:space="preserve">sudaryta net 21 % daugiau sutarčių. Pirmiausia tai </w:t>
      </w:r>
      <w:r w:rsidR="00EC1EC1" w:rsidRPr="00A40AB4">
        <w:t>sąlygota</w:t>
      </w:r>
      <w:r w:rsidRPr="00A40AB4">
        <w:t xml:space="preserve"> vėl išaugusių (21 %) TPVCA draudimo sudarytų sutarčių skaičiaus. Kita itin populiarėjanti draudimo paslauga</w:t>
      </w:r>
      <w:r w:rsidR="007A13AD" w:rsidRPr="00A40AB4">
        <w:t xml:space="preserve"> </w:t>
      </w:r>
      <w:r w:rsidRPr="00A40AB4">
        <w:t xml:space="preserve">– sveikatos draudimas – 2006 m. išaugo net 39 %. </w:t>
      </w:r>
      <w:r w:rsidR="000E141C" w:rsidRPr="00A40AB4">
        <w:t>Ši draudimo rūšis</w:t>
      </w:r>
      <w:r w:rsidRPr="00A40AB4">
        <w:t xml:space="preserve"> laikoma</w:t>
      </w:r>
      <w:r w:rsidR="000E141C" w:rsidRPr="00A40AB4">
        <w:t xml:space="preserve"> papildoma </w:t>
      </w:r>
      <w:r w:rsidR="00036E14" w:rsidRPr="00A40AB4">
        <w:t>motyvavimo</w:t>
      </w:r>
      <w:r w:rsidR="000E141C" w:rsidRPr="00A40AB4">
        <w:t xml:space="preserve"> priemone </w:t>
      </w:r>
      <w:r w:rsidR="00C96B60" w:rsidRPr="00A40AB4">
        <w:t>įmonių</w:t>
      </w:r>
      <w:r w:rsidR="000E141C" w:rsidRPr="00A40AB4">
        <w:t xml:space="preserve"> darbuotojams, o pačiai kompanijai tai naudinga dėl mažesnių sumokamų mokesčių</w:t>
      </w:r>
      <w:r w:rsidR="001F6A82" w:rsidRPr="00A40AB4">
        <w:t xml:space="preserve"> (sveikatos draudimo išlaidas galima traktuoti kaip patirtas sąnaudas)</w:t>
      </w:r>
      <w:r w:rsidR="000E141C" w:rsidRPr="00A40AB4">
        <w:t>.</w:t>
      </w:r>
      <w:r w:rsidR="007A13AD" w:rsidRPr="00A40AB4">
        <w:t xml:space="preserve"> Taigi sparčiai kylant atlyginimams, vers</w:t>
      </w:r>
      <w:r w:rsidR="00E2644D" w:rsidRPr="00A40AB4">
        <w:t>las skyrė papildomų lėšų darbuotojų motyvavimo priemonės</w:t>
      </w:r>
      <w:r w:rsidR="007A13AD" w:rsidRPr="00A40AB4">
        <w:t>, kas paskatino sveikatos d</w:t>
      </w:r>
      <w:r w:rsidR="00DE2B41" w:rsidRPr="00A40AB4">
        <w:t>raudimo populiarumo padidėjimą.</w:t>
      </w:r>
    </w:p>
    <w:p w:rsidR="00065EE5" w:rsidRPr="00A40AB4" w:rsidRDefault="00065EE5" w:rsidP="0003115C">
      <w:pPr>
        <w:ind w:firstLine="567"/>
        <w:jc w:val="both"/>
        <w:rPr>
          <w:lang w:val="en-US"/>
        </w:rPr>
      </w:pPr>
      <w:r w:rsidRPr="00A40AB4">
        <w:t xml:space="preserve">Nors </w:t>
      </w:r>
      <w:r w:rsidRPr="00A40AB4">
        <w:rPr>
          <w:lang w:val="en-US"/>
        </w:rPr>
        <w:t>2007 m</w:t>
      </w:r>
      <w:r w:rsidR="00D55D96" w:rsidRPr="00A40AB4">
        <w:rPr>
          <w:lang w:val="en-US"/>
        </w:rPr>
        <w:t xml:space="preserve">. </w:t>
      </w:r>
      <w:r w:rsidR="00D55D96" w:rsidRPr="00A40AB4">
        <w:t xml:space="preserve">pasirašytos draudimo įmokos išaugo kone trečdaliu, sudarytų sutarčių buvo tik </w:t>
      </w:r>
      <w:r w:rsidR="00D55D96" w:rsidRPr="00A40AB4">
        <w:rPr>
          <w:lang w:val="en-US"/>
        </w:rPr>
        <w:t xml:space="preserve">12 % </w:t>
      </w:r>
      <w:r w:rsidR="00D55D96" w:rsidRPr="00A40AB4">
        <w:t xml:space="preserve">daugiau. Toks skirtumas iš esmės susidarė dėl infliacijos bei spartaus turto augimo. Labiausiai sudarytų sutarčių padaugėjo kasko draudime – </w:t>
      </w:r>
      <w:r w:rsidR="00D55D96" w:rsidRPr="00A40AB4">
        <w:rPr>
          <w:lang w:val="en-US"/>
        </w:rPr>
        <w:t xml:space="preserve">26 %. </w:t>
      </w:r>
      <w:r w:rsidR="00D55D96" w:rsidRPr="00A40AB4">
        <w:t xml:space="preserve">Daugiau sutarčių buvo </w:t>
      </w:r>
      <w:r w:rsidR="00997BF8" w:rsidRPr="00A40AB4">
        <w:t>pasirašyta</w:t>
      </w:r>
      <w:r w:rsidR="00D55D96" w:rsidRPr="00A40AB4">
        <w:t xml:space="preserve"> ir TPVCA, sveikatos, turto bei laidavimo draudime, tačiau šie augimai nebuvo tokie ženklūs (</w:t>
      </w:r>
      <w:r w:rsidR="00D55D96" w:rsidRPr="00A40AB4">
        <w:rPr>
          <w:lang w:val="en-US"/>
        </w:rPr>
        <w:t>6-13 %)</w:t>
      </w:r>
      <w:r w:rsidR="00D55D96" w:rsidRPr="00A40AB4">
        <w:t>.</w:t>
      </w:r>
      <w:r w:rsidRPr="00A40AB4">
        <w:rPr>
          <w:lang w:val="en-US"/>
        </w:rPr>
        <w:t xml:space="preserve"> </w:t>
      </w:r>
    </w:p>
    <w:p w:rsidR="003007BE" w:rsidRPr="00A40AB4" w:rsidRDefault="003007BE" w:rsidP="0003115C">
      <w:pPr>
        <w:ind w:firstLine="567"/>
        <w:jc w:val="both"/>
      </w:pPr>
      <w:r w:rsidRPr="00A40AB4">
        <w:t>2008 m. ne gyvybės draudimas susitraukė 7 %. Daugiausia įtakos tam turėjo beveik 14 % sumenkusios sveikatos bei 8 % TPVCA draudimo sutartys. Nežymus augimas buvo fiksuojamas turto draudimo grupėje, tačiau tai nekompensavo bendro</w:t>
      </w:r>
      <w:r w:rsidR="005F5EE3">
        <w:t xml:space="preserve"> </w:t>
      </w:r>
      <w:r w:rsidRPr="00A40AB4">
        <w:t>rinkos kritimo.</w:t>
      </w:r>
      <w:r w:rsidR="00B02E44" w:rsidRPr="00A40AB4">
        <w:t xml:space="preserve"> Dar po metų, pačiu krizės piko laikotarpiu ne gyvybės draudimas Lietuvoje pagal sudarytas sutartis netgi sugebėjo ūgtelėti 2 %. Vis dėlto, anot DPK (2010), taip nutiko daugiausia dėl pakeistos turto bei sveikatos draudimo sutarčių apskaitos metodikos.</w:t>
      </w:r>
    </w:p>
    <w:p w:rsidR="009957A7" w:rsidRPr="00A40AB4" w:rsidRDefault="00C35778" w:rsidP="00E409DE">
      <w:pPr>
        <w:ind w:firstLine="567"/>
        <w:jc w:val="both"/>
      </w:pPr>
      <w:r w:rsidRPr="00A40AB4">
        <w:t xml:space="preserve">2010 m. – 2012 m. I pusm. </w:t>
      </w:r>
      <w:r w:rsidR="00702F42" w:rsidRPr="00A40AB4">
        <w:t>pasirašomų</w:t>
      </w:r>
      <w:r w:rsidRPr="00A40AB4">
        <w:t xml:space="preserve"> sutarčių kiekis įgavo nežymaus augimo </w:t>
      </w:r>
      <w:r w:rsidR="00843FEA">
        <w:t>trendą</w:t>
      </w:r>
      <w:r w:rsidRPr="00A40AB4">
        <w:t xml:space="preserve">. Užpernai </w:t>
      </w:r>
      <w:r w:rsidR="00843FEA">
        <w:t xml:space="preserve">Lietuvos </w:t>
      </w:r>
      <w:r w:rsidRPr="00A40AB4">
        <w:t xml:space="preserve">ekonomikai </w:t>
      </w:r>
      <w:r w:rsidR="00843FEA">
        <w:t xml:space="preserve">jau </w:t>
      </w:r>
      <w:r w:rsidRPr="00A40AB4">
        <w:t xml:space="preserve">rodant pirmuosius atsigavimo ženklus didžiausias sudarytų sutarčių augimas buvo užfiksuotas finansinių nuostolių (78 %), vežamų krovinių (30 %) bei BCA (21 %) </w:t>
      </w:r>
      <w:r w:rsidR="003A7DCB">
        <w:t xml:space="preserve">draudimo </w:t>
      </w:r>
      <w:r w:rsidRPr="00A40AB4">
        <w:t>grupėse</w:t>
      </w:r>
      <w:r w:rsidR="003A7DCB">
        <w:t xml:space="preserve"> – labiausiai dėl to, jog krizės metu šių produktų paklausa itin smarkiai krito</w:t>
      </w:r>
      <w:r w:rsidRPr="00A40AB4">
        <w:t xml:space="preserve">. Pernai dėl </w:t>
      </w:r>
      <w:r w:rsidR="003A7DCB">
        <w:t>padažnėjusių</w:t>
      </w:r>
      <w:r w:rsidRPr="00A40AB4">
        <w:t xml:space="preserve"> ekstremalių gamtos reiškinių išaugo turto, o dėl </w:t>
      </w:r>
      <w:r w:rsidR="003A7DCB">
        <w:t xml:space="preserve">toliau sėkmingai </w:t>
      </w:r>
      <w:r w:rsidRPr="00A40AB4">
        <w:t xml:space="preserve">augančio transporto priemonių </w:t>
      </w:r>
      <w:r w:rsidR="003A7DCB">
        <w:t xml:space="preserve">kiekio </w:t>
      </w:r>
      <w:r w:rsidRPr="00A40AB4">
        <w:t>šalyje – TPVCA draudimo populiarumas</w:t>
      </w:r>
      <w:r w:rsidR="00036E14" w:rsidRPr="00A40AB4">
        <w:t xml:space="preserve">. Sparčiau augant šalies ūkiui daugiau nei penktadaliu padidėjo BCA draudimas, o 12 % daugiau sudaromų sveikatos draudimo sutarčių atskleidė </w:t>
      </w:r>
      <w:r w:rsidR="00036E14" w:rsidRPr="00A40AB4">
        <w:lastRenderedPageBreak/>
        <w:t>teigiamą verslo nusiteikimą bei norą investuoti į darbuotojų motyvavimo priemones.</w:t>
      </w:r>
      <w:r w:rsidR="00153BD6" w:rsidRPr="00A40AB4">
        <w:t xml:space="preserve"> Šiemet per pirmąjį pusmetį </w:t>
      </w:r>
      <w:r w:rsidR="004B172E" w:rsidRPr="00A40AB4">
        <w:t xml:space="preserve">išvis </w:t>
      </w:r>
      <w:r w:rsidR="00153BD6" w:rsidRPr="00A40AB4">
        <w:t>buvo sudaryta 2,4 % daugiau sutarčių nei pernai tuo pat metu. Tai nulemta atsigaunančios kasko draudimo grupės (15 %) bei toliau sėkmingai populiarėjančio sveikatos draudimo (5 % augimas).</w:t>
      </w:r>
    </w:p>
    <w:p w:rsidR="006D1EC2" w:rsidRPr="00A40AB4" w:rsidRDefault="006D1EC2" w:rsidP="006D1EC2">
      <w:pPr>
        <w:ind w:firstLine="567"/>
        <w:jc w:val="both"/>
      </w:pPr>
    </w:p>
    <w:p w:rsidR="00C33EDE" w:rsidRPr="00A40AB4" w:rsidRDefault="00C33EDE" w:rsidP="00C33EDE">
      <w:pPr>
        <w:ind w:firstLine="567"/>
        <w:jc w:val="both"/>
        <w:rPr>
          <w:rFonts w:cs="Times New Roman"/>
          <w:b/>
        </w:rPr>
      </w:pPr>
      <w:r w:rsidRPr="00A40AB4">
        <w:rPr>
          <w:rFonts w:cs="Times New Roman"/>
          <w:b/>
        </w:rPr>
        <w:t>Netiesioginių draudimo rinkos rodiklių analizė</w:t>
      </w:r>
    </w:p>
    <w:p w:rsidR="00C33EDE" w:rsidRPr="00843FEA" w:rsidRDefault="00C33EDE" w:rsidP="00C33EDE">
      <w:pPr>
        <w:ind w:firstLine="567"/>
        <w:jc w:val="both"/>
        <w:rPr>
          <w:rFonts w:cs="Times New Roman"/>
        </w:rPr>
      </w:pPr>
      <w:r w:rsidRPr="00843FEA">
        <w:rPr>
          <w:rFonts w:cs="Times New Roman"/>
          <w:b/>
          <w:u w:val="single"/>
        </w:rPr>
        <w:t>Draudimo tankis.</w:t>
      </w:r>
      <w:r w:rsidRPr="00843FEA">
        <w:rPr>
          <w:rFonts w:cs="Times New Roman"/>
        </w:rPr>
        <w:t xml:space="preserve"> Kaip minėta, draudimo tankis</w:t>
      </w:r>
      <w:r w:rsidR="001C04AE" w:rsidRPr="00843FEA">
        <w:rPr>
          <w:rFonts w:cs="Times New Roman"/>
        </w:rPr>
        <w:t xml:space="preserve"> – svarbus draudimo rinkos išsivystymo rodiklis. Jis</w:t>
      </w:r>
      <w:r w:rsidRPr="00843FEA">
        <w:rPr>
          <w:rFonts w:cs="Times New Roman"/>
        </w:rPr>
        <w:t xml:space="preserve"> parodo, kokia bruto įmokų dalis</w:t>
      </w:r>
      <w:r w:rsidR="003A7DCB" w:rsidRPr="00843FEA">
        <w:rPr>
          <w:rFonts w:cs="Times New Roman"/>
        </w:rPr>
        <w:t xml:space="preserve"> tenka vienam šalies gyventojui</w:t>
      </w:r>
      <w:r w:rsidR="00843FEA" w:rsidRPr="00843FEA">
        <w:rPr>
          <w:rFonts w:cs="Times New Roman"/>
        </w:rPr>
        <w:t>.</w:t>
      </w:r>
      <w:r w:rsidR="00843FEA" w:rsidRPr="00843FEA">
        <w:t xml:space="preserve"> Lietuvos ne gyvybės draudikų pastarojo dešimtmečio tankio (bei skvarbos) dinamika pavaizduota 12 pav.</w:t>
      </w:r>
    </w:p>
    <w:p w:rsidR="00C33EDE" w:rsidRPr="00A40AB4" w:rsidRDefault="00C33EDE" w:rsidP="00C33EDE">
      <w:pPr>
        <w:jc w:val="both"/>
        <w:rPr>
          <w:rFonts w:cs="Times New Roman"/>
        </w:rPr>
      </w:pPr>
    </w:p>
    <w:p w:rsidR="00C33EDE" w:rsidRPr="00A40AB4" w:rsidRDefault="009F151D" w:rsidP="00EF7C58">
      <w:pPr>
        <w:jc w:val="center"/>
        <w:rPr>
          <w:rFonts w:cs="Times New Roman"/>
        </w:rPr>
      </w:pPr>
      <w:r w:rsidRPr="00A40AB4">
        <w:rPr>
          <w:rFonts w:cs="Times New Roman"/>
          <w:noProof/>
          <w:lang w:eastAsia="lt-LT"/>
        </w:rPr>
        <w:drawing>
          <wp:inline distT="0" distB="0" distL="0" distR="0">
            <wp:extent cx="4641246" cy="2553630"/>
            <wp:effectExtent l="19050" t="0" r="26004" b="0"/>
            <wp:docPr id="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F7C58" w:rsidRPr="00A40AB4" w:rsidRDefault="00EF7C58" w:rsidP="00EF7C58">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sudaryta pagal DPK, 2006, 2007, 2011, 2012 bei SD,</w:t>
      </w:r>
      <w:r w:rsidRPr="00A40AB4">
        <w:rPr>
          <w:rFonts w:cs="Times New Roman"/>
          <w:sz w:val="20"/>
          <w:szCs w:val="20"/>
          <w:lang w:val="en-US"/>
        </w:rPr>
        <w:t xml:space="preserve"> 2012.</w:t>
      </w:r>
    </w:p>
    <w:p w:rsidR="0000122E" w:rsidRPr="00A40AB4" w:rsidRDefault="00C9523B" w:rsidP="0000122E">
      <w:pPr>
        <w:pStyle w:val="Heading2"/>
        <w:spacing w:line="360" w:lineRule="auto"/>
        <w:ind w:firstLine="0"/>
        <w:rPr>
          <w:lang w:val="en-US"/>
        </w:rPr>
      </w:pPr>
      <w:bookmarkStart w:id="205" w:name="_Toc340573846"/>
      <w:bookmarkStart w:id="206" w:name="_Toc340574116"/>
      <w:bookmarkStart w:id="207" w:name="_Toc340574391"/>
      <w:bookmarkStart w:id="208" w:name="_Toc340792029"/>
      <w:bookmarkStart w:id="209" w:name="_Toc341641127"/>
      <w:bookmarkStart w:id="210" w:name="_Toc341641378"/>
      <w:bookmarkStart w:id="211" w:name="_Toc342859666"/>
      <w:r>
        <w:t>12 pav</w:t>
      </w:r>
      <w:r w:rsidR="0000122E" w:rsidRPr="00A40AB4">
        <w:t>. Ne gyvybės draudimo tankis (skalė kairėje)</w:t>
      </w:r>
      <w:r w:rsidR="00843FEA">
        <w:t>,</w:t>
      </w:r>
      <w:r w:rsidR="0000122E" w:rsidRPr="00A40AB4">
        <w:t xml:space="preserve"> skvarba (skalė dešinėje) Lietuvoje </w:t>
      </w:r>
      <w:r w:rsidR="0000122E" w:rsidRPr="00A40AB4">
        <w:rPr>
          <w:lang w:val="en-US"/>
        </w:rPr>
        <w:t>2002-2011 m.</w:t>
      </w:r>
      <w:bookmarkEnd w:id="205"/>
      <w:bookmarkEnd w:id="206"/>
      <w:bookmarkEnd w:id="207"/>
      <w:bookmarkEnd w:id="208"/>
      <w:bookmarkEnd w:id="209"/>
      <w:bookmarkEnd w:id="210"/>
      <w:bookmarkEnd w:id="211"/>
    </w:p>
    <w:p w:rsidR="00C33EDE" w:rsidRPr="00A40AB4" w:rsidRDefault="00C33EDE" w:rsidP="00C33EDE">
      <w:pPr>
        <w:jc w:val="both"/>
        <w:rPr>
          <w:rFonts w:cs="Times New Roman"/>
        </w:rPr>
      </w:pPr>
    </w:p>
    <w:p w:rsidR="00303CF9" w:rsidRPr="00A40AB4" w:rsidRDefault="00D3305D" w:rsidP="00303CF9">
      <w:pPr>
        <w:ind w:firstLine="567"/>
        <w:jc w:val="both"/>
      </w:pPr>
      <w:r w:rsidRPr="00A40AB4">
        <w:t xml:space="preserve">Iš </w:t>
      </w:r>
      <w:r w:rsidR="003A7DCB">
        <w:rPr>
          <w:lang w:val="en-US"/>
        </w:rPr>
        <w:t xml:space="preserve">12 </w:t>
      </w:r>
      <w:r w:rsidR="003A7DCB">
        <w:t>pav</w:t>
      </w:r>
      <w:r w:rsidR="00B772ED">
        <w:t>eikslo</w:t>
      </w:r>
      <w:r w:rsidRPr="00A40AB4">
        <w:t xml:space="preserve"> matyti, jog nuo 2002 m. iki 2008 m. sparčiai augant pasirašytoms draudimo įmokoms,</w:t>
      </w:r>
      <w:r w:rsidR="00AF479C">
        <w:t xml:space="preserve"> draudimo</w:t>
      </w:r>
      <w:r w:rsidRPr="00A40AB4">
        <w:t xml:space="preserve"> tankis išaugo beveik 2,5 karto (nuo 183 iki 448 Lt). Vis dėlto, </w:t>
      </w:r>
      <w:r w:rsidR="000919B1" w:rsidRPr="00A40AB4">
        <w:t xml:space="preserve">2009 m. rinkos susitraukimas </w:t>
      </w:r>
      <w:r w:rsidR="00AF479C">
        <w:t xml:space="preserve">net </w:t>
      </w:r>
      <w:r w:rsidR="000919B1" w:rsidRPr="00A40AB4">
        <w:t xml:space="preserve">30 % atsispindi </w:t>
      </w:r>
      <w:r w:rsidR="00AF479C">
        <w:t xml:space="preserve">ir </w:t>
      </w:r>
      <w:r w:rsidR="000919B1" w:rsidRPr="00A40AB4">
        <w:t xml:space="preserve">tankio rodiklyje – šis sumažėjo atitinkamai iki 317 Lt. 2011 m. atsigaunant </w:t>
      </w:r>
      <w:r w:rsidR="00AF479C">
        <w:t xml:space="preserve">Lietuvos </w:t>
      </w:r>
      <w:r w:rsidR="000919B1" w:rsidRPr="00A40AB4">
        <w:t xml:space="preserve">ekonomikai bei </w:t>
      </w:r>
      <w:r w:rsidR="00AF479C">
        <w:t xml:space="preserve">pačiai ne gyvybės </w:t>
      </w:r>
      <w:r w:rsidR="000919B1" w:rsidRPr="00A40AB4">
        <w:t xml:space="preserve">draudimo rinkai </w:t>
      </w:r>
      <w:r w:rsidR="00AF479C">
        <w:t xml:space="preserve">draudimo </w:t>
      </w:r>
      <w:r w:rsidR="000919B1" w:rsidRPr="00A40AB4">
        <w:t xml:space="preserve">tankis jau beveik siekė 2007 m. lygį ir </w:t>
      </w:r>
      <w:r w:rsidR="00AF479C">
        <w:t xml:space="preserve">sudarė </w:t>
      </w:r>
      <w:r w:rsidR="000919B1" w:rsidRPr="00A40AB4">
        <w:t>378 Lt.</w:t>
      </w:r>
      <w:r w:rsidR="00D64991" w:rsidRPr="00A40AB4">
        <w:t xml:space="preserve"> Tačiau norint tinkamai įvertinti derėtų šiuos rodiklius palyginti su kitais pasa</w:t>
      </w:r>
      <w:r w:rsidR="00C60CF1" w:rsidRPr="00A40AB4">
        <w:t>ulio bei Europos regionais (</w:t>
      </w:r>
      <w:r w:rsidR="00953BF2">
        <w:t xml:space="preserve">žr. </w:t>
      </w:r>
      <w:r w:rsidR="005539BB" w:rsidRPr="00A40AB4">
        <w:t>3 lent</w:t>
      </w:r>
      <w:r w:rsidR="00AF479C">
        <w:t>.</w:t>
      </w:r>
      <w:r w:rsidR="00D64991" w:rsidRPr="00A40AB4">
        <w:t>).</w:t>
      </w:r>
    </w:p>
    <w:p w:rsidR="00C33EDE" w:rsidRDefault="00C33EDE" w:rsidP="00C33EDE">
      <w:pPr>
        <w:jc w:val="both"/>
        <w:rPr>
          <w:rFonts w:cs="Times New Roman"/>
        </w:rPr>
      </w:pPr>
    </w:p>
    <w:p w:rsidR="00C84453" w:rsidRDefault="00C84453" w:rsidP="00C33EDE">
      <w:pPr>
        <w:jc w:val="both"/>
        <w:rPr>
          <w:rFonts w:cs="Times New Roman"/>
        </w:rPr>
      </w:pPr>
    </w:p>
    <w:p w:rsidR="00C84453" w:rsidRDefault="00C84453" w:rsidP="00C33EDE">
      <w:pPr>
        <w:jc w:val="both"/>
        <w:rPr>
          <w:rFonts w:cs="Times New Roman"/>
        </w:rPr>
      </w:pPr>
    </w:p>
    <w:p w:rsidR="00C84453" w:rsidRPr="00A40AB4" w:rsidRDefault="00C84453" w:rsidP="00C33EDE">
      <w:pPr>
        <w:jc w:val="both"/>
        <w:rPr>
          <w:rFonts w:cs="Times New Roman"/>
        </w:rPr>
      </w:pPr>
    </w:p>
    <w:p w:rsidR="005B42B2" w:rsidRPr="00A40AB4" w:rsidRDefault="005539BB" w:rsidP="005B42B2">
      <w:pPr>
        <w:pStyle w:val="Heading2"/>
        <w:spacing w:line="360" w:lineRule="auto"/>
        <w:ind w:firstLine="0"/>
      </w:pPr>
      <w:bookmarkStart w:id="212" w:name="_Toc340573847"/>
      <w:bookmarkStart w:id="213" w:name="_Toc340574117"/>
      <w:bookmarkStart w:id="214" w:name="_Toc340574392"/>
      <w:bookmarkStart w:id="215" w:name="_Toc340574708"/>
      <w:bookmarkStart w:id="216" w:name="_Toc340792030"/>
      <w:bookmarkStart w:id="217" w:name="_Toc341641128"/>
      <w:bookmarkStart w:id="218" w:name="_Toc341641379"/>
      <w:bookmarkStart w:id="219" w:name="_Toc342859667"/>
      <w:r w:rsidRPr="00A40AB4">
        <w:lastRenderedPageBreak/>
        <w:t>3 lentel</w:t>
      </w:r>
      <w:r w:rsidR="005B42B2" w:rsidRPr="00A40AB4">
        <w:t xml:space="preserve">ė. </w:t>
      </w:r>
      <w:r w:rsidR="00DD145F" w:rsidRPr="00A40AB4">
        <w:t xml:space="preserve">Ne gyvybės draudimo tankio bei skvarbos dinamika </w:t>
      </w:r>
      <w:r w:rsidR="004C0EAE" w:rsidRPr="00A40AB4">
        <w:t xml:space="preserve">pasaulyje </w:t>
      </w:r>
      <w:r w:rsidR="00DD145F" w:rsidRPr="00A40AB4">
        <w:rPr>
          <w:lang w:val="en-US"/>
        </w:rPr>
        <w:t>2009-2011 m.</w:t>
      </w:r>
      <w:bookmarkEnd w:id="212"/>
      <w:bookmarkEnd w:id="213"/>
      <w:bookmarkEnd w:id="214"/>
      <w:bookmarkEnd w:id="215"/>
      <w:bookmarkEnd w:id="216"/>
      <w:bookmarkEnd w:id="217"/>
      <w:bookmarkEnd w:id="218"/>
      <w:bookmarkEnd w:id="219"/>
    </w:p>
    <w:tbl>
      <w:tblPr>
        <w:tblW w:w="6500" w:type="dxa"/>
        <w:jc w:val="center"/>
        <w:tblLook w:val="04A0"/>
      </w:tblPr>
      <w:tblGrid>
        <w:gridCol w:w="968"/>
        <w:gridCol w:w="2328"/>
        <w:gridCol w:w="1068"/>
        <w:gridCol w:w="1068"/>
        <w:gridCol w:w="1068"/>
      </w:tblGrid>
      <w:tr w:rsidR="005B42B2" w:rsidRPr="00A40AB4" w:rsidTr="005B42B2">
        <w:trPr>
          <w:trHeight w:val="315"/>
          <w:jc w:val="center"/>
        </w:trPr>
        <w:tc>
          <w:tcPr>
            <w:tcW w:w="968" w:type="dxa"/>
            <w:tcBorders>
              <w:top w:val="single" w:sz="8" w:space="0" w:color="auto"/>
              <w:left w:val="single" w:sz="8" w:space="0" w:color="auto"/>
              <w:bottom w:val="single" w:sz="8" w:space="0" w:color="auto"/>
              <w:right w:val="nil"/>
            </w:tcBorders>
            <w:shd w:val="clear" w:color="000000" w:fill="538ED5"/>
            <w:noWrap/>
            <w:vAlign w:val="bottom"/>
            <w:hideMark/>
          </w:tcPr>
          <w:p w:rsidR="005B42B2" w:rsidRPr="00A40AB4" w:rsidRDefault="005B42B2" w:rsidP="005B42B2">
            <w:pPr>
              <w:spacing w:line="240" w:lineRule="auto"/>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 </w:t>
            </w:r>
          </w:p>
        </w:tc>
        <w:tc>
          <w:tcPr>
            <w:tcW w:w="2328" w:type="dxa"/>
            <w:tcBorders>
              <w:top w:val="single" w:sz="8" w:space="0" w:color="auto"/>
              <w:left w:val="nil"/>
              <w:bottom w:val="single" w:sz="8" w:space="0" w:color="auto"/>
              <w:right w:val="single" w:sz="8" w:space="0" w:color="auto"/>
            </w:tcBorders>
            <w:shd w:val="clear" w:color="000000" w:fill="538ED5"/>
            <w:noWrap/>
            <w:vAlign w:val="bottom"/>
            <w:hideMark/>
          </w:tcPr>
          <w:p w:rsidR="005B42B2" w:rsidRPr="00A40AB4" w:rsidRDefault="005B42B2" w:rsidP="005B42B2">
            <w:pPr>
              <w:spacing w:line="240" w:lineRule="auto"/>
              <w:rPr>
                <w:rFonts w:ascii="Calibri" w:eastAsia="Times New Roman" w:hAnsi="Calibri" w:cs="Times New Roman"/>
                <w:b/>
                <w:bCs/>
                <w:color w:val="FFFFFF"/>
                <w:lang w:eastAsia="lt-LT"/>
              </w:rPr>
            </w:pPr>
          </w:p>
        </w:tc>
        <w:tc>
          <w:tcPr>
            <w:tcW w:w="1068" w:type="dxa"/>
            <w:tcBorders>
              <w:top w:val="single" w:sz="8" w:space="0" w:color="auto"/>
              <w:left w:val="single" w:sz="8" w:space="0" w:color="auto"/>
              <w:bottom w:val="single" w:sz="8" w:space="0" w:color="auto"/>
              <w:right w:val="single" w:sz="4" w:space="0" w:color="auto"/>
            </w:tcBorders>
            <w:shd w:val="clear" w:color="4F81BD" w:fill="4F81BD"/>
            <w:noWrap/>
            <w:vAlign w:val="bottom"/>
            <w:hideMark/>
          </w:tcPr>
          <w:p w:rsidR="005B42B2" w:rsidRPr="00A40AB4" w:rsidRDefault="005B42B2" w:rsidP="005B42B2">
            <w:pPr>
              <w:spacing w:line="240" w:lineRule="auto"/>
              <w:jc w:val="center"/>
              <w:rPr>
                <w:rFonts w:ascii="Calibri" w:eastAsia="Times New Roman" w:hAnsi="Calibri" w:cs="Times New Roman"/>
                <w:b/>
                <w:bCs/>
                <w:color w:val="FFFFFF"/>
                <w:lang w:eastAsia="lt-LT"/>
              </w:rPr>
            </w:pPr>
            <w:r w:rsidRPr="00A40AB4">
              <w:rPr>
                <w:rFonts w:ascii="Calibri" w:eastAsia="Times New Roman" w:hAnsi="Calibri" w:cs="Times New Roman"/>
                <w:b/>
                <w:bCs/>
                <w:color w:val="FFFFFF"/>
                <w:sz w:val="22"/>
                <w:lang w:eastAsia="lt-LT"/>
              </w:rPr>
              <w:t>2009 m.</w:t>
            </w:r>
          </w:p>
        </w:tc>
        <w:tc>
          <w:tcPr>
            <w:tcW w:w="1068" w:type="dxa"/>
            <w:tcBorders>
              <w:top w:val="single" w:sz="8" w:space="0" w:color="auto"/>
              <w:left w:val="single" w:sz="4" w:space="0" w:color="auto"/>
              <w:bottom w:val="single" w:sz="8" w:space="0" w:color="auto"/>
              <w:right w:val="single" w:sz="4" w:space="0" w:color="auto"/>
            </w:tcBorders>
            <w:shd w:val="clear" w:color="4F81BD" w:fill="4F81BD"/>
            <w:noWrap/>
            <w:vAlign w:val="bottom"/>
            <w:hideMark/>
          </w:tcPr>
          <w:p w:rsidR="005B42B2" w:rsidRPr="00A40AB4" w:rsidRDefault="005B42B2" w:rsidP="005B42B2">
            <w:pPr>
              <w:spacing w:line="240" w:lineRule="auto"/>
              <w:jc w:val="center"/>
              <w:rPr>
                <w:rFonts w:ascii="Calibri" w:eastAsia="Times New Roman" w:hAnsi="Calibri" w:cs="Times New Roman"/>
                <w:b/>
                <w:bCs/>
                <w:color w:val="FFFFFF"/>
                <w:lang w:eastAsia="lt-LT"/>
              </w:rPr>
            </w:pPr>
            <w:r w:rsidRPr="00A40AB4">
              <w:rPr>
                <w:rFonts w:ascii="Calibri" w:eastAsia="Times New Roman" w:hAnsi="Calibri" w:cs="Times New Roman"/>
                <w:b/>
                <w:bCs/>
                <w:color w:val="FFFFFF"/>
                <w:sz w:val="22"/>
                <w:lang w:eastAsia="lt-LT"/>
              </w:rPr>
              <w:t>2010 m.</w:t>
            </w:r>
          </w:p>
        </w:tc>
        <w:tc>
          <w:tcPr>
            <w:tcW w:w="1068" w:type="dxa"/>
            <w:tcBorders>
              <w:top w:val="single" w:sz="8" w:space="0" w:color="auto"/>
              <w:left w:val="single" w:sz="4" w:space="0" w:color="auto"/>
              <w:bottom w:val="single" w:sz="8" w:space="0" w:color="auto"/>
              <w:right w:val="single" w:sz="8" w:space="0" w:color="auto"/>
            </w:tcBorders>
            <w:shd w:val="clear" w:color="4F81BD" w:fill="4F81BD"/>
            <w:noWrap/>
            <w:vAlign w:val="bottom"/>
            <w:hideMark/>
          </w:tcPr>
          <w:p w:rsidR="005B42B2" w:rsidRPr="00A40AB4" w:rsidRDefault="005B42B2" w:rsidP="005B42B2">
            <w:pPr>
              <w:spacing w:line="240" w:lineRule="auto"/>
              <w:jc w:val="center"/>
              <w:rPr>
                <w:rFonts w:ascii="Calibri" w:eastAsia="Times New Roman" w:hAnsi="Calibri" w:cs="Times New Roman"/>
                <w:b/>
                <w:bCs/>
                <w:color w:val="FFFFFF"/>
                <w:lang w:eastAsia="lt-LT"/>
              </w:rPr>
            </w:pPr>
            <w:r w:rsidRPr="00A40AB4">
              <w:rPr>
                <w:rFonts w:ascii="Calibri" w:eastAsia="Times New Roman" w:hAnsi="Calibri" w:cs="Times New Roman"/>
                <w:b/>
                <w:bCs/>
                <w:color w:val="FFFFFF"/>
                <w:sz w:val="22"/>
                <w:lang w:eastAsia="lt-LT"/>
              </w:rPr>
              <w:t>2011 m.</w:t>
            </w:r>
          </w:p>
        </w:tc>
      </w:tr>
      <w:tr w:rsidR="005B42B2" w:rsidRPr="00A40AB4" w:rsidTr="005B42B2">
        <w:trPr>
          <w:trHeight w:val="300"/>
          <w:jc w:val="center"/>
        </w:trPr>
        <w:tc>
          <w:tcPr>
            <w:tcW w:w="968" w:type="dxa"/>
            <w:vMerge w:val="restart"/>
            <w:tcBorders>
              <w:top w:val="nil"/>
              <w:left w:val="single" w:sz="8" w:space="0" w:color="auto"/>
              <w:bottom w:val="single" w:sz="8" w:space="0" w:color="000000"/>
              <w:right w:val="single" w:sz="4" w:space="0" w:color="auto"/>
            </w:tcBorders>
            <w:shd w:val="clear" w:color="000000" w:fill="F2DDDC"/>
            <w:noWrap/>
            <w:vAlign w:val="center"/>
            <w:hideMark/>
          </w:tcPr>
          <w:p w:rsidR="005B42B2" w:rsidRPr="00A40AB4" w:rsidRDefault="005B42B2" w:rsidP="005B42B2">
            <w:pPr>
              <w:spacing w:line="240" w:lineRule="auto"/>
              <w:jc w:val="center"/>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Skvarba</w:t>
            </w:r>
          </w:p>
        </w:tc>
        <w:tc>
          <w:tcPr>
            <w:tcW w:w="2328" w:type="dxa"/>
            <w:tcBorders>
              <w:top w:val="single" w:sz="8"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Pasaulis</w:t>
            </w:r>
          </w:p>
        </w:tc>
        <w:tc>
          <w:tcPr>
            <w:tcW w:w="1068" w:type="dxa"/>
            <w:tcBorders>
              <w:top w:val="single" w:sz="8"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3,0%</w:t>
            </w:r>
          </w:p>
        </w:tc>
        <w:tc>
          <w:tcPr>
            <w:tcW w:w="1068" w:type="dxa"/>
            <w:tcBorders>
              <w:top w:val="single" w:sz="8"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2,9%</w:t>
            </w:r>
          </w:p>
        </w:tc>
        <w:tc>
          <w:tcPr>
            <w:tcW w:w="1068" w:type="dxa"/>
            <w:tcBorders>
              <w:top w:val="single" w:sz="8" w:space="0" w:color="auto"/>
              <w:left w:val="single" w:sz="4" w:space="0" w:color="auto"/>
              <w:bottom w:val="single" w:sz="4" w:space="0" w:color="auto"/>
              <w:right w:val="single" w:sz="8"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2,8%</w:t>
            </w:r>
          </w:p>
        </w:tc>
      </w:tr>
      <w:tr w:rsidR="005B42B2" w:rsidRPr="00A40AB4" w:rsidTr="005B42B2">
        <w:trPr>
          <w:trHeight w:val="300"/>
          <w:jc w:val="center"/>
        </w:trPr>
        <w:tc>
          <w:tcPr>
            <w:tcW w:w="968" w:type="dxa"/>
            <w:vMerge/>
            <w:tcBorders>
              <w:top w:val="nil"/>
              <w:left w:val="single" w:sz="8" w:space="0" w:color="auto"/>
              <w:bottom w:val="single" w:sz="8" w:space="0" w:color="000000"/>
              <w:right w:val="single" w:sz="4" w:space="0" w:color="auto"/>
            </w:tcBorders>
            <w:vAlign w:val="center"/>
            <w:hideMark/>
          </w:tcPr>
          <w:p w:rsidR="005B42B2" w:rsidRPr="00A40AB4" w:rsidRDefault="005B42B2" w:rsidP="005B42B2">
            <w:pPr>
              <w:spacing w:line="240" w:lineRule="auto"/>
              <w:rPr>
                <w:rFonts w:ascii="Calibri" w:eastAsia="Times New Roman" w:hAnsi="Calibri" w:cs="Times New Roman"/>
                <w:color w:val="000000"/>
                <w:lang w:eastAsia="lt-LT"/>
              </w:rPr>
            </w:pPr>
          </w:p>
        </w:tc>
        <w:tc>
          <w:tcPr>
            <w:tcW w:w="2328"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5B42B2" w:rsidRPr="00A40AB4" w:rsidRDefault="005B42B2" w:rsidP="005B42B2">
            <w:pPr>
              <w:spacing w:line="240" w:lineRule="auto"/>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Industrinės valstybės</w:t>
            </w:r>
          </w:p>
        </w:tc>
        <w:tc>
          <w:tcPr>
            <w:tcW w:w="1068"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3,6%</w:t>
            </w:r>
          </w:p>
        </w:tc>
        <w:tc>
          <w:tcPr>
            <w:tcW w:w="1068"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3,6%</w:t>
            </w:r>
          </w:p>
        </w:tc>
        <w:tc>
          <w:tcPr>
            <w:tcW w:w="1068" w:type="dxa"/>
            <w:tcBorders>
              <w:top w:val="single" w:sz="4" w:space="0" w:color="auto"/>
              <w:left w:val="single" w:sz="4" w:space="0" w:color="auto"/>
              <w:bottom w:val="single" w:sz="4" w:space="0" w:color="auto"/>
              <w:right w:val="single" w:sz="8"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3,6%</w:t>
            </w:r>
          </w:p>
        </w:tc>
      </w:tr>
      <w:tr w:rsidR="005B42B2" w:rsidRPr="00A40AB4" w:rsidTr="005B42B2">
        <w:trPr>
          <w:trHeight w:val="300"/>
          <w:jc w:val="center"/>
        </w:trPr>
        <w:tc>
          <w:tcPr>
            <w:tcW w:w="968" w:type="dxa"/>
            <w:vMerge/>
            <w:tcBorders>
              <w:top w:val="nil"/>
              <w:left w:val="single" w:sz="8" w:space="0" w:color="auto"/>
              <w:bottom w:val="single" w:sz="8" w:space="0" w:color="000000"/>
              <w:right w:val="single" w:sz="4" w:space="0" w:color="auto"/>
            </w:tcBorders>
            <w:vAlign w:val="center"/>
            <w:hideMark/>
          </w:tcPr>
          <w:p w:rsidR="005B42B2" w:rsidRPr="00A40AB4" w:rsidRDefault="005B42B2" w:rsidP="005B42B2">
            <w:pPr>
              <w:spacing w:line="240" w:lineRule="auto"/>
              <w:rPr>
                <w:rFonts w:ascii="Calibri" w:eastAsia="Times New Roman" w:hAnsi="Calibri" w:cs="Times New Roman"/>
                <w:color w:val="000000"/>
                <w:lang w:eastAsia="lt-LT"/>
              </w:rPr>
            </w:pPr>
          </w:p>
        </w:tc>
        <w:tc>
          <w:tcPr>
            <w:tcW w:w="2328"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VRE</w:t>
            </w:r>
          </w:p>
        </w:tc>
        <w:tc>
          <w:tcPr>
            <w:tcW w:w="1068"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2,1%</w:t>
            </w:r>
          </w:p>
        </w:tc>
        <w:tc>
          <w:tcPr>
            <w:tcW w:w="1068"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2,0%</w:t>
            </w:r>
          </w:p>
        </w:tc>
        <w:tc>
          <w:tcPr>
            <w:tcW w:w="1068" w:type="dxa"/>
            <w:tcBorders>
              <w:top w:val="single" w:sz="4" w:space="0" w:color="auto"/>
              <w:left w:val="single" w:sz="4" w:space="0" w:color="auto"/>
              <w:bottom w:val="single" w:sz="4" w:space="0" w:color="auto"/>
              <w:right w:val="single" w:sz="8"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2,0%</w:t>
            </w:r>
          </w:p>
        </w:tc>
      </w:tr>
      <w:tr w:rsidR="005B42B2" w:rsidRPr="00A40AB4" w:rsidTr="005B42B2">
        <w:trPr>
          <w:trHeight w:val="315"/>
          <w:jc w:val="center"/>
        </w:trPr>
        <w:tc>
          <w:tcPr>
            <w:tcW w:w="968" w:type="dxa"/>
            <w:vMerge/>
            <w:tcBorders>
              <w:top w:val="nil"/>
              <w:left w:val="single" w:sz="8" w:space="0" w:color="auto"/>
              <w:bottom w:val="single" w:sz="8" w:space="0" w:color="000000"/>
              <w:right w:val="single" w:sz="4" w:space="0" w:color="auto"/>
            </w:tcBorders>
            <w:vAlign w:val="center"/>
            <w:hideMark/>
          </w:tcPr>
          <w:p w:rsidR="005B42B2" w:rsidRPr="00A40AB4" w:rsidRDefault="005B42B2" w:rsidP="005B42B2">
            <w:pPr>
              <w:spacing w:line="240" w:lineRule="auto"/>
              <w:rPr>
                <w:rFonts w:ascii="Calibri" w:eastAsia="Times New Roman" w:hAnsi="Calibri" w:cs="Times New Roman"/>
                <w:color w:val="000000"/>
                <w:lang w:eastAsia="lt-LT"/>
              </w:rPr>
            </w:pPr>
          </w:p>
        </w:tc>
        <w:tc>
          <w:tcPr>
            <w:tcW w:w="2328" w:type="dxa"/>
            <w:tcBorders>
              <w:top w:val="single" w:sz="4" w:space="0" w:color="auto"/>
              <w:left w:val="single" w:sz="4" w:space="0" w:color="auto"/>
              <w:bottom w:val="single" w:sz="8" w:space="0" w:color="auto"/>
              <w:right w:val="single" w:sz="4" w:space="0" w:color="auto"/>
            </w:tcBorders>
            <w:shd w:val="clear" w:color="DBE5F1" w:fill="DBE5F1"/>
            <w:noWrap/>
            <w:vAlign w:val="bottom"/>
            <w:hideMark/>
          </w:tcPr>
          <w:p w:rsidR="005B42B2" w:rsidRPr="00A40AB4" w:rsidRDefault="005B42B2" w:rsidP="005B42B2">
            <w:pPr>
              <w:spacing w:line="240" w:lineRule="auto"/>
              <w:rPr>
                <w:rFonts w:ascii="Calibri" w:eastAsia="Times New Roman" w:hAnsi="Calibri" w:cs="Times New Roman"/>
                <w:b/>
                <w:bCs/>
                <w:color w:val="1F497D"/>
                <w:lang w:eastAsia="lt-LT"/>
              </w:rPr>
            </w:pPr>
            <w:r w:rsidRPr="00A40AB4">
              <w:rPr>
                <w:rFonts w:ascii="Calibri" w:eastAsia="Times New Roman" w:hAnsi="Calibri" w:cs="Times New Roman"/>
                <w:b/>
                <w:bCs/>
                <w:color w:val="1F497D"/>
                <w:sz w:val="22"/>
                <w:lang w:eastAsia="lt-LT"/>
              </w:rPr>
              <w:t>Lietuva</w:t>
            </w:r>
          </w:p>
        </w:tc>
        <w:tc>
          <w:tcPr>
            <w:tcW w:w="1068" w:type="dxa"/>
            <w:tcBorders>
              <w:top w:val="single" w:sz="4" w:space="0" w:color="auto"/>
              <w:left w:val="single" w:sz="4" w:space="0" w:color="auto"/>
              <w:bottom w:val="single" w:sz="8" w:space="0" w:color="auto"/>
              <w:right w:val="single" w:sz="4"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b/>
                <w:bCs/>
                <w:color w:val="1F497D"/>
                <w:lang w:eastAsia="lt-LT"/>
              </w:rPr>
            </w:pPr>
            <w:r w:rsidRPr="00A40AB4">
              <w:rPr>
                <w:rFonts w:ascii="Calibri" w:eastAsia="Times New Roman" w:hAnsi="Calibri" w:cs="Times New Roman"/>
                <w:b/>
                <w:bCs/>
                <w:color w:val="1F497D"/>
                <w:sz w:val="22"/>
                <w:lang w:eastAsia="lt-LT"/>
              </w:rPr>
              <w:t>1,2%</w:t>
            </w:r>
          </w:p>
        </w:tc>
        <w:tc>
          <w:tcPr>
            <w:tcW w:w="1068" w:type="dxa"/>
            <w:tcBorders>
              <w:top w:val="single" w:sz="4" w:space="0" w:color="auto"/>
              <w:left w:val="single" w:sz="4" w:space="0" w:color="auto"/>
              <w:bottom w:val="single" w:sz="8" w:space="0" w:color="auto"/>
              <w:right w:val="single" w:sz="4"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b/>
                <w:bCs/>
                <w:color w:val="1F497D"/>
                <w:lang w:eastAsia="lt-LT"/>
              </w:rPr>
            </w:pPr>
            <w:r w:rsidRPr="00A40AB4">
              <w:rPr>
                <w:rFonts w:ascii="Calibri" w:eastAsia="Times New Roman" w:hAnsi="Calibri" w:cs="Times New Roman"/>
                <w:b/>
                <w:bCs/>
                <w:color w:val="1F497D"/>
                <w:sz w:val="22"/>
                <w:lang w:eastAsia="lt-LT"/>
              </w:rPr>
              <w:t>1,1%</w:t>
            </w:r>
          </w:p>
        </w:tc>
        <w:tc>
          <w:tcPr>
            <w:tcW w:w="1068" w:type="dxa"/>
            <w:tcBorders>
              <w:top w:val="single" w:sz="4" w:space="0" w:color="auto"/>
              <w:left w:val="single" w:sz="4" w:space="0" w:color="auto"/>
              <w:bottom w:val="single" w:sz="8" w:space="0" w:color="auto"/>
              <w:right w:val="single" w:sz="8"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b/>
                <w:bCs/>
                <w:color w:val="1F497D"/>
                <w:lang w:eastAsia="lt-LT"/>
              </w:rPr>
            </w:pPr>
            <w:r w:rsidRPr="00A40AB4">
              <w:rPr>
                <w:rFonts w:ascii="Calibri" w:eastAsia="Times New Roman" w:hAnsi="Calibri" w:cs="Times New Roman"/>
                <w:b/>
                <w:bCs/>
                <w:color w:val="1F497D"/>
                <w:sz w:val="22"/>
                <w:lang w:eastAsia="lt-LT"/>
              </w:rPr>
              <w:t>1,1%</w:t>
            </w:r>
          </w:p>
        </w:tc>
      </w:tr>
      <w:tr w:rsidR="005B42B2" w:rsidRPr="00A40AB4" w:rsidTr="005B42B2">
        <w:trPr>
          <w:trHeight w:val="300"/>
          <w:jc w:val="center"/>
        </w:trPr>
        <w:tc>
          <w:tcPr>
            <w:tcW w:w="968" w:type="dxa"/>
            <w:vMerge w:val="restart"/>
            <w:tcBorders>
              <w:top w:val="nil"/>
              <w:left w:val="single" w:sz="8" w:space="0" w:color="auto"/>
              <w:bottom w:val="single" w:sz="8" w:space="0" w:color="000000"/>
              <w:right w:val="single" w:sz="4" w:space="0" w:color="auto"/>
            </w:tcBorders>
            <w:shd w:val="clear" w:color="000000" w:fill="F2DDDC"/>
            <w:noWrap/>
            <w:vAlign w:val="center"/>
            <w:hideMark/>
          </w:tcPr>
          <w:p w:rsidR="005B42B2" w:rsidRPr="00A40AB4" w:rsidRDefault="005B42B2" w:rsidP="005B42B2">
            <w:pPr>
              <w:spacing w:line="240" w:lineRule="auto"/>
              <w:jc w:val="center"/>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Tankis</w:t>
            </w:r>
          </w:p>
        </w:tc>
        <w:tc>
          <w:tcPr>
            <w:tcW w:w="2328" w:type="dxa"/>
            <w:tcBorders>
              <w:top w:val="single" w:sz="8"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Pasaulis</w:t>
            </w:r>
          </w:p>
        </w:tc>
        <w:tc>
          <w:tcPr>
            <w:tcW w:w="1068" w:type="dxa"/>
            <w:tcBorders>
              <w:top w:val="single" w:sz="8"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661 Lt</w:t>
            </w:r>
          </w:p>
        </w:tc>
        <w:tc>
          <w:tcPr>
            <w:tcW w:w="1068" w:type="dxa"/>
            <w:tcBorders>
              <w:top w:val="single" w:sz="8"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686 Lt</w:t>
            </w:r>
          </w:p>
        </w:tc>
        <w:tc>
          <w:tcPr>
            <w:tcW w:w="1068" w:type="dxa"/>
            <w:tcBorders>
              <w:top w:val="single" w:sz="8" w:space="0" w:color="auto"/>
              <w:left w:val="single" w:sz="4" w:space="0" w:color="auto"/>
              <w:bottom w:val="single" w:sz="4" w:space="0" w:color="auto"/>
              <w:right w:val="single" w:sz="8"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756 Lt</w:t>
            </w:r>
          </w:p>
        </w:tc>
      </w:tr>
      <w:tr w:rsidR="005B42B2" w:rsidRPr="00A40AB4" w:rsidTr="005B42B2">
        <w:trPr>
          <w:trHeight w:val="300"/>
          <w:jc w:val="center"/>
        </w:trPr>
        <w:tc>
          <w:tcPr>
            <w:tcW w:w="968" w:type="dxa"/>
            <w:vMerge/>
            <w:tcBorders>
              <w:top w:val="nil"/>
              <w:left w:val="single" w:sz="8" w:space="0" w:color="auto"/>
              <w:bottom w:val="single" w:sz="8" w:space="0" w:color="000000"/>
              <w:right w:val="single" w:sz="4" w:space="0" w:color="auto"/>
            </w:tcBorders>
            <w:vAlign w:val="center"/>
            <w:hideMark/>
          </w:tcPr>
          <w:p w:rsidR="005B42B2" w:rsidRPr="00A40AB4" w:rsidRDefault="005B42B2" w:rsidP="005B42B2">
            <w:pPr>
              <w:spacing w:line="240" w:lineRule="auto"/>
              <w:rPr>
                <w:rFonts w:ascii="Calibri" w:eastAsia="Times New Roman" w:hAnsi="Calibri" w:cs="Times New Roman"/>
                <w:color w:val="000000"/>
                <w:lang w:eastAsia="lt-LT"/>
              </w:rPr>
            </w:pPr>
          </w:p>
        </w:tc>
        <w:tc>
          <w:tcPr>
            <w:tcW w:w="2328"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5B42B2" w:rsidRPr="00A40AB4" w:rsidRDefault="005B42B2" w:rsidP="005B42B2">
            <w:pPr>
              <w:spacing w:line="240" w:lineRule="auto"/>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Industrinės valstybės</w:t>
            </w:r>
          </w:p>
        </w:tc>
        <w:tc>
          <w:tcPr>
            <w:tcW w:w="1068"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3.445 Lt</w:t>
            </w:r>
          </w:p>
        </w:tc>
        <w:tc>
          <w:tcPr>
            <w:tcW w:w="1068"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3.825 Lt</w:t>
            </w:r>
          </w:p>
        </w:tc>
        <w:tc>
          <w:tcPr>
            <w:tcW w:w="1068" w:type="dxa"/>
            <w:tcBorders>
              <w:top w:val="single" w:sz="4" w:space="0" w:color="auto"/>
              <w:left w:val="single" w:sz="4" w:space="0" w:color="auto"/>
              <w:bottom w:val="single" w:sz="4" w:space="0" w:color="auto"/>
              <w:right w:val="single" w:sz="8"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4.157 Lt</w:t>
            </w:r>
          </w:p>
        </w:tc>
      </w:tr>
      <w:tr w:rsidR="005B42B2" w:rsidRPr="00A40AB4" w:rsidTr="005B42B2">
        <w:trPr>
          <w:trHeight w:val="300"/>
          <w:jc w:val="center"/>
        </w:trPr>
        <w:tc>
          <w:tcPr>
            <w:tcW w:w="968" w:type="dxa"/>
            <w:vMerge/>
            <w:tcBorders>
              <w:top w:val="nil"/>
              <w:left w:val="single" w:sz="8" w:space="0" w:color="auto"/>
              <w:bottom w:val="single" w:sz="8" w:space="0" w:color="000000"/>
              <w:right w:val="single" w:sz="4" w:space="0" w:color="auto"/>
            </w:tcBorders>
            <w:vAlign w:val="center"/>
            <w:hideMark/>
          </w:tcPr>
          <w:p w:rsidR="005B42B2" w:rsidRPr="00A40AB4" w:rsidRDefault="005B42B2" w:rsidP="005B42B2">
            <w:pPr>
              <w:spacing w:line="240" w:lineRule="auto"/>
              <w:rPr>
                <w:rFonts w:ascii="Calibri" w:eastAsia="Times New Roman" w:hAnsi="Calibri" w:cs="Times New Roman"/>
                <w:color w:val="000000"/>
                <w:lang w:eastAsia="lt-LT"/>
              </w:rPr>
            </w:pPr>
          </w:p>
        </w:tc>
        <w:tc>
          <w:tcPr>
            <w:tcW w:w="2328"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VRE</w:t>
            </w:r>
          </w:p>
        </w:tc>
        <w:tc>
          <w:tcPr>
            <w:tcW w:w="1068"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499 Lt</w:t>
            </w:r>
          </w:p>
        </w:tc>
        <w:tc>
          <w:tcPr>
            <w:tcW w:w="1068"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549 Lt</w:t>
            </w:r>
          </w:p>
        </w:tc>
        <w:tc>
          <w:tcPr>
            <w:tcW w:w="1068" w:type="dxa"/>
            <w:tcBorders>
              <w:top w:val="single" w:sz="4" w:space="0" w:color="auto"/>
              <w:left w:val="single" w:sz="4" w:space="0" w:color="auto"/>
              <w:bottom w:val="single" w:sz="4" w:space="0" w:color="auto"/>
              <w:right w:val="single" w:sz="8" w:space="0" w:color="auto"/>
            </w:tcBorders>
            <w:shd w:val="clear" w:color="B8CCE4" w:fill="B8CCE4"/>
            <w:noWrap/>
            <w:vAlign w:val="bottom"/>
            <w:hideMark/>
          </w:tcPr>
          <w:p w:rsidR="005B42B2" w:rsidRPr="00A40AB4" w:rsidRDefault="005B42B2" w:rsidP="005B42B2">
            <w:pPr>
              <w:spacing w:line="240" w:lineRule="auto"/>
              <w:jc w:val="right"/>
              <w:rPr>
                <w:rFonts w:ascii="Calibri" w:eastAsia="Times New Roman" w:hAnsi="Calibri" w:cs="Times New Roman"/>
                <w:color w:val="000000"/>
                <w:lang w:eastAsia="lt-LT"/>
              </w:rPr>
            </w:pPr>
            <w:r w:rsidRPr="00A40AB4">
              <w:rPr>
                <w:rFonts w:ascii="Calibri" w:eastAsia="Times New Roman" w:hAnsi="Calibri" w:cs="Times New Roman"/>
                <w:color w:val="000000"/>
                <w:sz w:val="22"/>
                <w:lang w:eastAsia="lt-LT"/>
              </w:rPr>
              <w:t>593 Lt</w:t>
            </w:r>
          </w:p>
        </w:tc>
      </w:tr>
      <w:tr w:rsidR="005B42B2" w:rsidRPr="00A40AB4" w:rsidTr="005B42B2">
        <w:trPr>
          <w:trHeight w:val="315"/>
          <w:jc w:val="center"/>
        </w:trPr>
        <w:tc>
          <w:tcPr>
            <w:tcW w:w="968" w:type="dxa"/>
            <w:vMerge/>
            <w:tcBorders>
              <w:top w:val="nil"/>
              <w:left w:val="single" w:sz="8" w:space="0" w:color="auto"/>
              <w:bottom w:val="single" w:sz="8" w:space="0" w:color="000000"/>
              <w:right w:val="single" w:sz="4" w:space="0" w:color="auto"/>
            </w:tcBorders>
            <w:vAlign w:val="center"/>
            <w:hideMark/>
          </w:tcPr>
          <w:p w:rsidR="005B42B2" w:rsidRPr="00A40AB4" w:rsidRDefault="005B42B2" w:rsidP="005B42B2">
            <w:pPr>
              <w:spacing w:line="240" w:lineRule="auto"/>
              <w:rPr>
                <w:rFonts w:ascii="Calibri" w:eastAsia="Times New Roman" w:hAnsi="Calibri" w:cs="Times New Roman"/>
                <w:color w:val="000000"/>
                <w:lang w:eastAsia="lt-LT"/>
              </w:rPr>
            </w:pPr>
          </w:p>
        </w:tc>
        <w:tc>
          <w:tcPr>
            <w:tcW w:w="2328" w:type="dxa"/>
            <w:tcBorders>
              <w:top w:val="single" w:sz="4" w:space="0" w:color="auto"/>
              <w:left w:val="single" w:sz="4" w:space="0" w:color="auto"/>
              <w:bottom w:val="single" w:sz="8" w:space="0" w:color="auto"/>
              <w:right w:val="single" w:sz="4" w:space="0" w:color="auto"/>
            </w:tcBorders>
            <w:shd w:val="clear" w:color="DBE5F1" w:fill="DBE5F1"/>
            <w:noWrap/>
            <w:vAlign w:val="bottom"/>
            <w:hideMark/>
          </w:tcPr>
          <w:p w:rsidR="005B42B2" w:rsidRPr="00A40AB4" w:rsidRDefault="005B42B2" w:rsidP="005B42B2">
            <w:pPr>
              <w:spacing w:line="240" w:lineRule="auto"/>
              <w:rPr>
                <w:rFonts w:ascii="Calibri" w:eastAsia="Times New Roman" w:hAnsi="Calibri" w:cs="Times New Roman"/>
                <w:b/>
                <w:bCs/>
                <w:color w:val="1F497D"/>
                <w:lang w:eastAsia="lt-LT"/>
              </w:rPr>
            </w:pPr>
            <w:r w:rsidRPr="00A40AB4">
              <w:rPr>
                <w:rFonts w:ascii="Calibri" w:eastAsia="Times New Roman" w:hAnsi="Calibri" w:cs="Times New Roman"/>
                <w:b/>
                <w:bCs/>
                <w:color w:val="1F497D"/>
                <w:sz w:val="22"/>
                <w:lang w:eastAsia="lt-LT"/>
              </w:rPr>
              <w:t>Lietuva</w:t>
            </w:r>
          </w:p>
        </w:tc>
        <w:tc>
          <w:tcPr>
            <w:tcW w:w="1068" w:type="dxa"/>
            <w:tcBorders>
              <w:top w:val="single" w:sz="4" w:space="0" w:color="auto"/>
              <w:left w:val="single" w:sz="4" w:space="0" w:color="auto"/>
              <w:bottom w:val="single" w:sz="8" w:space="0" w:color="auto"/>
              <w:right w:val="single" w:sz="4"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b/>
                <w:bCs/>
                <w:color w:val="1F497D"/>
                <w:lang w:eastAsia="lt-LT"/>
              </w:rPr>
            </w:pPr>
            <w:r w:rsidRPr="00A40AB4">
              <w:rPr>
                <w:rFonts w:ascii="Calibri" w:eastAsia="Times New Roman" w:hAnsi="Calibri" w:cs="Times New Roman"/>
                <w:b/>
                <w:bCs/>
                <w:color w:val="1F497D"/>
                <w:sz w:val="22"/>
                <w:lang w:eastAsia="lt-LT"/>
              </w:rPr>
              <w:t>317 Lt</w:t>
            </w:r>
          </w:p>
        </w:tc>
        <w:tc>
          <w:tcPr>
            <w:tcW w:w="1068" w:type="dxa"/>
            <w:tcBorders>
              <w:top w:val="single" w:sz="4" w:space="0" w:color="auto"/>
              <w:left w:val="single" w:sz="4" w:space="0" w:color="auto"/>
              <w:bottom w:val="single" w:sz="8" w:space="0" w:color="auto"/>
              <w:right w:val="single" w:sz="4"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b/>
                <w:bCs/>
                <w:color w:val="1F497D"/>
                <w:lang w:eastAsia="lt-LT"/>
              </w:rPr>
            </w:pPr>
            <w:r w:rsidRPr="00A40AB4">
              <w:rPr>
                <w:rFonts w:ascii="Calibri" w:eastAsia="Times New Roman" w:hAnsi="Calibri" w:cs="Times New Roman"/>
                <w:b/>
                <w:bCs/>
                <w:color w:val="1F497D"/>
                <w:sz w:val="22"/>
                <w:lang w:eastAsia="lt-LT"/>
              </w:rPr>
              <w:t>307 Lt</w:t>
            </w:r>
          </w:p>
        </w:tc>
        <w:tc>
          <w:tcPr>
            <w:tcW w:w="1068" w:type="dxa"/>
            <w:tcBorders>
              <w:top w:val="single" w:sz="4" w:space="0" w:color="auto"/>
              <w:left w:val="single" w:sz="4" w:space="0" w:color="auto"/>
              <w:bottom w:val="single" w:sz="8" w:space="0" w:color="auto"/>
              <w:right w:val="single" w:sz="8" w:space="0" w:color="auto"/>
            </w:tcBorders>
            <w:shd w:val="clear" w:color="DBE5F1" w:fill="DBE5F1"/>
            <w:noWrap/>
            <w:vAlign w:val="bottom"/>
            <w:hideMark/>
          </w:tcPr>
          <w:p w:rsidR="005B42B2" w:rsidRPr="00A40AB4" w:rsidRDefault="005B42B2" w:rsidP="005B42B2">
            <w:pPr>
              <w:spacing w:line="240" w:lineRule="auto"/>
              <w:jc w:val="right"/>
              <w:rPr>
                <w:rFonts w:ascii="Calibri" w:eastAsia="Times New Roman" w:hAnsi="Calibri" w:cs="Times New Roman"/>
                <w:b/>
                <w:bCs/>
                <w:color w:val="1F497D"/>
                <w:lang w:eastAsia="lt-LT"/>
              </w:rPr>
            </w:pPr>
            <w:r w:rsidRPr="00A40AB4">
              <w:rPr>
                <w:rFonts w:ascii="Calibri" w:eastAsia="Times New Roman" w:hAnsi="Calibri" w:cs="Times New Roman"/>
                <w:b/>
                <w:bCs/>
                <w:color w:val="1F497D"/>
                <w:sz w:val="22"/>
                <w:lang w:eastAsia="lt-LT"/>
              </w:rPr>
              <w:t>378 Lt</w:t>
            </w:r>
          </w:p>
        </w:tc>
      </w:tr>
    </w:tbl>
    <w:p w:rsidR="005B42B2" w:rsidRPr="00A40AB4" w:rsidRDefault="005B42B2" w:rsidP="00B95DAB">
      <w:pPr>
        <w:spacing w:before="120"/>
        <w:jc w:val="center"/>
        <w:rPr>
          <w:rFonts w:cs="Times New Roman"/>
          <w:sz w:val="20"/>
          <w:szCs w:val="20"/>
        </w:rPr>
      </w:pPr>
      <w:r w:rsidRPr="00A40AB4">
        <w:rPr>
          <w:rFonts w:cs="Times New Roman"/>
          <w:b/>
          <w:sz w:val="20"/>
          <w:szCs w:val="20"/>
        </w:rPr>
        <w:t xml:space="preserve">Šaltinis: </w:t>
      </w:r>
      <w:r w:rsidR="00590B15" w:rsidRPr="00A40AB4">
        <w:rPr>
          <w:rFonts w:cs="Times New Roman"/>
          <w:sz w:val="20"/>
          <w:szCs w:val="20"/>
        </w:rPr>
        <w:t>apskaičiuota ir s</w:t>
      </w:r>
      <w:r w:rsidRPr="00A40AB4">
        <w:rPr>
          <w:rFonts w:cs="Times New Roman"/>
          <w:sz w:val="20"/>
          <w:szCs w:val="20"/>
        </w:rPr>
        <w:t>udaryta</w:t>
      </w:r>
      <w:r w:rsidR="0054650B" w:rsidRPr="00A40AB4">
        <w:rPr>
          <w:rFonts w:cs="Times New Roman"/>
          <w:sz w:val="20"/>
          <w:szCs w:val="20"/>
        </w:rPr>
        <w:t xml:space="preserve"> </w:t>
      </w:r>
      <w:r w:rsidR="005674BE" w:rsidRPr="00A40AB4">
        <w:rPr>
          <w:rFonts w:cs="Times New Roman"/>
          <w:sz w:val="20"/>
          <w:szCs w:val="20"/>
        </w:rPr>
        <w:t>pagal Swiss Re, 2010</w:t>
      </w:r>
      <w:r w:rsidR="000C0A1F" w:rsidRPr="00A40AB4">
        <w:rPr>
          <w:rFonts w:cs="Times New Roman"/>
          <w:sz w:val="20"/>
          <w:szCs w:val="20"/>
        </w:rPr>
        <w:t xml:space="preserve">, 2011, </w:t>
      </w:r>
      <w:r w:rsidR="005674BE" w:rsidRPr="00A40AB4">
        <w:rPr>
          <w:rFonts w:cs="Times New Roman"/>
          <w:sz w:val="20"/>
          <w:szCs w:val="20"/>
        </w:rPr>
        <w:t xml:space="preserve">2012 bei </w:t>
      </w:r>
      <w:r w:rsidR="00C9523B">
        <w:rPr>
          <w:rFonts w:cs="Times New Roman"/>
          <w:sz w:val="20"/>
          <w:szCs w:val="20"/>
        </w:rPr>
        <w:t>12 pav</w:t>
      </w:r>
      <w:r w:rsidR="005674BE" w:rsidRPr="00A40AB4">
        <w:rPr>
          <w:rFonts w:cs="Times New Roman"/>
          <w:sz w:val="20"/>
          <w:szCs w:val="20"/>
        </w:rPr>
        <w:t>. duomenis</w:t>
      </w:r>
      <w:r w:rsidRPr="00A40AB4">
        <w:rPr>
          <w:rFonts w:cs="Times New Roman"/>
          <w:sz w:val="20"/>
          <w:szCs w:val="20"/>
        </w:rPr>
        <w:t>.</w:t>
      </w:r>
    </w:p>
    <w:p w:rsidR="005B42B2" w:rsidRPr="00A40AB4" w:rsidRDefault="005B42B2" w:rsidP="005B42B2"/>
    <w:p w:rsidR="005D72A4" w:rsidRPr="00A40AB4" w:rsidRDefault="00DD145F" w:rsidP="005D72A4">
      <w:pPr>
        <w:ind w:firstLine="567"/>
        <w:jc w:val="both"/>
      </w:pPr>
      <w:r w:rsidRPr="00A40AB4">
        <w:t xml:space="preserve">Kaip matyti iš </w:t>
      </w:r>
      <w:r w:rsidR="0014142A">
        <w:rPr>
          <w:lang w:val="en-US"/>
        </w:rPr>
        <w:t xml:space="preserve">3 </w:t>
      </w:r>
      <w:r w:rsidRPr="00A40AB4">
        <w:t xml:space="preserve">lentelėje pateiktų duomenų, mūsų šalis pagal ne gyvybės draudimo tankį </w:t>
      </w:r>
      <w:r w:rsidR="00713D72" w:rsidRPr="00A40AB4">
        <w:t xml:space="preserve">labiausiai atsilieka nuo industrinių pasaulio šalių – net </w:t>
      </w:r>
      <w:r w:rsidR="00C32998" w:rsidRPr="00A40AB4">
        <w:t xml:space="preserve">11 kartų. Už viso pasaulio draudimo tankį </w:t>
      </w:r>
      <w:r w:rsidR="00E1759A" w:rsidRPr="00A40AB4">
        <w:t xml:space="preserve">Lietuvos </w:t>
      </w:r>
      <w:r w:rsidR="001D5D2C" w:rsidRPr="00A40AB4">
        <w:t xml:space="preserve">pernai buvo </w:t>
      </w:r>
      <w:r w:rsidR="00C32998" w:rsidRPr="00A40AB4">
        <w:t>mažesnis lygiai dukart (tiesa, atotrūkis šiek tiek sumažėjo palyginti su ankstesniais metais).</w:t>
      </w:r>
      <w:r w:rsidR="001D5D2C" w:rsidRPr="00A40AB4">
        <w:t xml:space="preserve"> Palyginti su VRE šalimis Lietuvos tankio rodiklis užpernai metais atsiliko 1,8 karto. 2011 m. šis atotrūkis sumažėjo </w:t>
      </w:r>
      <w:r w:rsidR="00742EFC" w:rsidRPr="00A40AB4">
        <w:t xml:space="preserve">ir </w:t>
      </w:r>
      <w:r w:rsidR="001D5D2C" w:rsidRPr="00A40AB4">
        <w:t>siekė 1,6 karto</w:t>
      </w:r>
      <w:r w:rsidR="0082032F" w:rsidRPr="00A40AB4">
        <w:t xml:space="preserve">. </w:t>
      </w:r>
    </w:p>
    <w:p w:rsidR="00B328C1" w:rsidRPr="00A40AB4" w:rsidRDefault="00B328C1" w:rsidP="00B328C1">
      <w:pPr>
        <w:ind w:firstLine="567"/>
        <w:jc w:val="both"/>
        <w:rPr>
          <w:rFonts w:cs="Times New Roman"/>
        </w:rPr>
      </w:pPr>
      <w:r w:rsidRPr="00761AF1">
        <w:rPr>
          <w:rFonts w:cs="Times New Roman"/>
          <w:b/>
          <w:u w:val="single"/>
        </w:rPr>
        <w:t>Draudimo skvarba</w:t>
      </w:r>
      <w:r w:rsidRPr="00A40AB4">
        <w:rPr>
          <w:rFonts w:cs="Times New Roman"/>
        </w:rPr>
        <w:t xml:space="preserve"> – pasirašytų draudimo bruto įmokų bei šalies BVP santykis. Šio rodiklio kaita 2002-2011 m. pavaizduota </w:t>
      </w:r>
      <w:r w:rsidR="00C9523B">
        <w:rPr>
          <w:rFonts w:cs="Times New Roman"/>
        </w:rPr>
        <w:t>12 pav</w:t>
      </w:r>
      <w:r w:rsidRPr="00A40AB4">
        <w:rPr>
          <w:rFonts w:cs="Times New Roman"/>
        </w:rPr>
        <w:t>.</w:t>
      </w:r>
      <w:r w:rsidR="004366E0" w:rsidRPr="00A40AB4">
        <w:rPr>
          <w:rFonts w:cs="Times New Roman"/>
        </w:rPr>
        <w:t xml:space="preserve"> Matyti, jog rodiklis svyravo siaurame 1,1 – 1,3 % intervale bei neturi nei mažėjimo, nei augimo tendencijos.</w:t>
      </w:r>
      <w:r w:rsidR="0080074E" w:rsidRPr="00A40AB4">
        <w:rPr>
          <w:rFonts w:cs="Times New Roman"/>
        </w:rPr>
        <w:t xml:space="preserve"> Iš to galima daryti prielaidą, jog Lietuvos ne gyvybės draudimo bei BVP kitimas </w:t>
      </w:r>
      <w:r w:rsidR="005B5260" w:rsidRPr="00A40AB4">
        <w:rPr>
          <w:rFonts w:cs="Times New Roman"/>
        </w:rPr>
        <w:t>gan</w:t>
      </w:r>
      <w:r w:rsidR="008F6BD7" w:rsidRPr="00A40AB4">
        <w:rPr>
          <w:rFonts w:cs="Times New Roman"/>
        </w:rPr>
        <w:t xml:space="preserve">a </w:t>
      </w:r>
      <w:r w:rsidR="0080074E" w:rsidRPr="00A40AB4">
        <w:rPr>
          <w:rFonts w:cs="Times New Roman"/>
        </w:rPr>
        <w:t>glaudžiai siejasi tarpusavyje ir</w:t>
      </w:r>
      <w:r w:rsidR="006305F2" w:rsidRPr="00A40AB4">
        <w:rPr>
          <w:rFonts w:cs="Times New Roman"/>
        </w:rPr>
        <w:t>, tikėtina, turi stiprų</w:t>
      </w:r>
      <w:r w:rsidR="0080074E" w:rsidRPr="00A40AB4">
        <w:rPr>
          <w:rFonts w:cs="Times New Roman"/>
        </w:rPr>
        <w:t xml:space="preserve"> </w:t>
      </w:r>
      <w:r w:rsidR="006305F2" w:rsidRPr="00A40AB4">
        <w:rPr>
          <w:rFonts w:cs="Times New Roman"/>
        </w:rPr>
        <w:t>koreliacinį ryšį</w:t>
      </w:r>
      <w:r w:rsidR="0080074E" w:rsidRPr="00A40AB4">
        <w:rPr>
          <w:rFonts w:cs="Times New Roman"/>
        </w:rPr>
        <w:t xml:space="preserve"> (</w:t>
      </w:r>
      <w:r w:rsidR="00AC3A6D">
        <w:rPr>
          <w:rFonts w:cs="Times New Roman"/>
        </w:rPr>
        <w:t>ši hipotezė</w:t>
      </w:r>
      <w:r w:rsidR="0080074E" w:rsidRPr="00A40AB4">
        <w:rPr>
          <w:rFonts w:cs="Times New Roman"/>
        </w:rPr>
        <w:t xml:space="preserve"> </w:t>
      </w:r>
      <w:r w:rsidR="00F83EDB">
        <w:rPr>
          <w:rFonts w:cs="Times New Roman"/>
        </w:rPr>
        <w:t xml:space="preserve">statistiškai </w:t>
      </w:r>
      <w:r w:rsidR="0080074E" w:rsidRPr="00A40AB4">
        <w:rPr>
          <w:rFonts w:cs="Times New Roman"/>
        </w:rPr>
        <w:t xml:space="preserve">tikrinama vėlesniame skyriuje). Mažiausią reikšmę (1,1 %) draudimo skvarba turėjo 2003 m., kai pasirašytų įmokų dydis smuko, 2004-2005 m., kai augo pakankamai nuosaikiai bei 2010-2011 m. po staigaus kritimo dėl ekonominės krizės. </w:t>
      </w:r>
      <w:r w:rsidR="00047AB6" w:rsidRPr="00A40AB4">
        <w:rPr>
          <w:rFonts w:cs="Times New Roman"/>
        </w:rPr>
        <w:t>Didžiausią reikšmę draudimo skvarba buvo įgijusi 2007-2008 m., t.y. spartaus visos šalies ūkio bei draudimo rinkos vystymosi laikotarpiu.</w:t>
      </w:r>
      <w:r w:rsidR="0004384F" w:rsidRPr="00A40AB4">
        <w:rPr>
          <w:rFonts w:cs="Times New Roman"/>
        </w:rPr>
        <w:t xml:space="preserve"> </w:t>
      </w:r>
    </w:p>
    <w:p w:rsidR="00590B15" w:rsidRPr="00A40AB4" w:rsidRDefault="00590B15" w:rsidP="00B328C1">
      <w:pPr>
        <w:ind w:firstLine="567"/>
        <w:jc w:val="both"/>
        <w:rPr>
          <w:rFonts w:cs="Times New Roman"/>
        </w:rPr>
      </w:pPr>
      <w:r w:rsidRPr="00A40AB4">
        <w:rPr>
          <w:rFonts w:cs="Times New Roman"/>
        </w:rPr>
        <w:t xml:space="preserve">Žvelgiant į mūsų šalies ne gyvybės draudimo įmonių skvarbą pasauliniame kontekste (žr. </w:t>
      </w:r>
      <w:r w:rsidR="00C84453">
        <w:rPr>
          <w:rFonts w:cs="Times New Roman"/>
        </w:rPr>
        <w:t>3 lent.</w:t>
      </w:r>
      <w:r w:rsidRPr="00A40AB4">
        <w:rPr>
          <w:rFonts w:cs="Times New Roman"/>
        </w:rPr>
        <w:t xml:space="preserve">), matyti, jog </w:t>
      </w:r>
      <w:r w:rsidR="00E03F6A" w:rsidRPr="00A40AB4">
        <w:rPr>
          <w:rFonts w:cs="Times New Roman"/>
        </w:rPr>
        <w:t xml:space="preserve">Lietuva </w:t>
      </w:r>
      <w:r w:rsidRPr="00A40AB4">
        <w:rPr>
          <w:rFonts w:cs="Times New Roman"/>
        </w:rPr>
        <w:t>dar smarkiai atsilieka.</w:t>
      </w:r>
      <w:r w:rsidR="00E03F6A" w:rsidRPr="00A40AB4">
        <w:rPr>
          <w:rFonts w:cs="Times New Roman"/>
        </w:rPr>
        <w:t xml:space="preserve"> Mūsų šalyje ne gyvybės draudimo prasiskverbimas ekonomikoje pernai metais buvo daugiau negu tris kartus mažesnis nei industrinėse šalyse</w:t>
      </w:r>
      <w:r w:rsidR="00464B6F" w:rsidRPr="00A40AB4">
        <w:rPr>
          <w:rFonts w:cs="Times New Roman"/>
        </w:rPr>
        <w:t xml:space="preserve"> bei </w:t>
      </w:r>
      <w:r w:rsidR="00464B6F" w:rsidRPr="00A40AB4">
        <w:rPr>
          <w:rFonts w:cs="Times New Roman"/>
          <w:lang w:val="en-US"/>
        </w:rPr>
        <w:t xml:space="preserve">2,5 </w:t>
      </w:r>
      <w:r w:rsidR="00464B6F" w:rsidRPr="00A40AB4">
        <w:rPr>
          <w:rFonts w:cs="Times New Roman"/>
        </w:rPr>
        <w:t xml:space="preserve">karto mažesnis lyginant su visu pasauliu. </w:t>
      </w:r>
      <w:r w:rsidR="00E03F6A" w:rsidRPr="00A40AB4">
        <w:rPr>
          <w:rFonts w:cs="Times New Roman"/>
        </w:rPr>
        <w:t>VRE regiono</w:t>
      </w:r>
      <w:r w:rsidR="00E16056" w:rsidRPr="00A40AB4">
        <w:rPr>
          <w:rFonts w:cs="Times New Roman"/>
        </w:rPr>
        <w:t xml:space="preserve"> kontekste</w:t>
      </w:r>
      <w:r w:rsidR="00E03F6A" w:rsidRPr="00A40AB4">
        <w:rPr>
          <w:rFonts w:cs="Times New Roman"/>
        </w:rPr>
        <w:t xml:space="preserve"> </w:t>
      </w:r>
      <w:r w:rsidR="00464B6F" w:rsidRPr="00A40AB4">
        <w:rPr>
          <w:rFonts w:cs="Times New Roman"/>
        </w:rPr>
        <w:t xml:space="preserve">šis </w:t>
      </w:r>
      <w:r w:rsidR="00E03F6A" w:rsidRPr="00A40AB4">
        <w:rPr>
          <w:rFonts w:cs="Times New Roman"/>
        </w:rPr>
        <w:t xml:space="preserve">atsilikimas siekė </w:t>
      </w:r>
      <w:r w:rsidR="00E03F6A" w:rsidRPr="00A40AB4">
        <w:rPr>
          <w:rFonts w:cs="Times New Roman"/>
          <w:lang w:val="en-US"/>
        </w:rPr>
        <w:t xml:space="preserve">1,8 </w:t>
      </w:r>
      <w:r w:rsidR="00E03F6A" w:rsidRPr="00A40AB4">
        <w:rPr>
          <w:rFonts w:cs="Times New Roman"/>
        </w:rPr>
        <w:t>karto.</w:t>
      </w:r>
    </w:p>
    <w:p w:rsidR="00464B6F" w:rsidRPr="00A40AB4" w:rsidRDefault="008473E6" w:rsidP="00B328C1">
      <w:pPr>
        <w:ind w:firstLine="567"/>
        <w:jc w:val="both"/>
        <w:rPr>
          <w:rFonts w:cs="Times New Roman"/>
        </w:rPr>
      </w:pPr>
      <w:r w:rsidRPr="00A40AB4">
        <w:t>Atžvelgiant į draudimo tankio bei prasiskverbimo rodiklius g</w:t>
      </w:r>
      <w:r w:rsidR="00464B6F" w:rsidRPr="00A40AB4">
        <w:t>alima daryti išvadą, jog Lietuvos ne gyvybės draudimo rinka smarkiai atsilieka nuo regiono, kuriame esame. Dar labiau šis atotrūkis matyti lyginant mūsų šalies bei viso pasaulio agreguotus duomenis</w:t>
      </w:r>
      <w:r w:rsidRPr="00A40AB4">
        <w:t>, o</w:t>
      </w:r>
      <w:r w:rsidR="00464B6F" w:rsidRPr="00A40AB4">
        <w:t xml:space="preserve"> </w:t>
      </w:r>
      <w:r w:rsidRPr="00A40AB4">
        <w:t>l</w:t>
      </w:r>
      <w:r w:rsidR="00464B6F" w:rsidRPr="00A40AB4">
        <w:t>abiausiai Lietuva atsilieka nuo industrinėms priskiriamų valstybių.</w:t>
      </w:r>
      <w:r w:rsidRPr="00A40AB4">
        <w:t xml:space="preserve"> Taigi, galima daryti prielaidą, jog Lietuvos ne gyvybės draudimo sektorius turi daug potencialo plėstis ir </w:t>
      </w:r>
      <w:r w:rsidR="006B1E2D" w:rsidRPr="00A40AB4">
        <w:t xml:space="preserve">artėti prie VRE regionui priskiriamų </w:t>
      </w:r>
      <w:r w:rsidR="00B263CE" w:rsidRPr="00A40AB4">
        <w:t>valstybių</w:t>
      </w:r>
      <w:r w:rsidR="006B1E2D" w:rsidRPr="00A40AB4">
        <w:t xml:space="preserve"> </w:t>
      </w:r>
      <w:r w:rsidR="00E16056" w:rsidRPr="00A40AB4">
        <w:t xml:space="preserve">vidurkio </w:t>
      </w:r>
      <w:r w:rsidR="006B1E2D" w:rsidRPr="00A40AB4">
        <w:t xml:space="preserve">bei </w:t>
      </w:r>
      <w:r w:rsidR="00E16056" w:rsidRPr="00A40AB4">
        <w:t>gerinti padėtį pasauliniame kontekste</w:t>
      </w:r>
      <w:r w:rsidRPr="00A40AB4">
        <w:t>.</w:t>
      </w:r>
    </w:p>
    <w:p w:rsidR="00B328C1" w:rsidRPr="00A40AB4" w:rsidRDefault="0004384F" w:rsidP="00B328C1">
      <w:pPr>
        <w:ind w:firstLine="567"/>
        <w:jc w:val="both"/>
        <w:rPr>
          <w:rFonts w:cs="Times New Roman"/>
        </w:rPr>
      </w:pPr>
      <w:r w:rsidRPr="00761AF1">
        <w:rPr>
          <w:rFonts w:cs="Times New Roman"/>
          <w:b/>
          <w:u w:val="single"/>
        </w:rPr>
        <w:t>Draudimo išsiplėtimas.</w:t>
      </w:r>
      <w:r w:rsidRPr="00A40AB4">
        <w:rPr>
          <w:rFonts w:cs="Times New Roman"/>
        </w:rPr>
        <w:t xml:space="preserve"> </w:t>
      </w:r>
      <w:r w:rsidR="00677199" w:rsidRPr="00A40AB4">
        <w:rPr>
          <w:rFonts w:cs="Times New Roman"/>
        </w:rPr>
        <w:t xml:space="preserve">Kaip jau rašyta </w:t>
      </w:r>
      <w:r w:rsidR="007C4D8D" w:rsidRPr="00A40AB4">
        <w:rPr>
          <w:rFonts w:cs="Times New Roman"/>
        </w:rPr>
        <w:t>ankstesnėje dalyje</w:t>
      </w:r>
      <w:r w:rsidR="00677199" w:rsidRPr="00A40AB4">
        <w:rPr>
          <w:rFonts w:cs="Times New Roman"/>
        </w:rPr>
        <w:t>, šis rodiklis parodo per tam tikrą laikotarpį sudarytų draudimo sutarčių bei šalyje esančių gyventojų skaičiaus santykį.</w:t>
      </w:r>
      <w:r w:rsidR="00181C13" w:rsidRPr="00A40AB4">
        <w:rPr>
          <w:rFonts w:cs="Times New Roman"/>
        </w:rPr>
        <w:t xml:space="preserve"> Lietuvos ne </w:t>
      </w:r>
      <w:r w:rsidR="00181C13" w:rsidRPr="00A40AB4">
        <w:rPr>
          <w:rFonts w:cs="Times New Roman"/>
        </w:rPr>
        <w:lastRenderedPageBreak/>
        <w:t>gyvybės draudimo rinkos išsiplėtimo rodiklio dinamika 2002-2011 m. laikotarpiu (taip pat</w:t>
      </w:r>
      <w:r w:rsidR="003D70EF" w:rsidRPr="00A40AB4">
        <w:rPr>
          <w:rFonts w:cs="Times New Roman"/>
        </w:rPr>
        <w:t xml:space="preserve"> ir</w:t>
      </w:r>
      <w:r w:rsidR="00181C13" w:rsidRPr="00A40AB4">
        <w:rPr>
          <w:rFonts w:cs="Times New Roman"/>
        </w:rPr>
        <w:t xml:space="preserve"> koncentracija) pavaizduotas </w:t>
      </w:r>
      <w:r w:rsidR="00C9523B">
        <w:rPr>
          <w:rFonts w:cs="Times New Roman"/>
        </w:rPr>
        <w:t>13 pav</w:t>
      </w:r>
      <w:r w:rsidR="00181C13" w:rsidRPr="00A40AB4">
        <w:rPr>
          <w:rFonts w:cs="Times New Roman"/>
        </w:rPr>
        <w:t>.</w:t>
      </w:r>
    </w:p>
    <w:p w:rsidR="00B328C1" w:rsidRPr="00A40AB4" w:rsidRDefault="00B328C1" w:rsidP="00B328C1">
      <w:pPr>
        <w:ind w:firstLine="567"/>
        <w:jc w:val="both"/>
        <w:rPr>
          <w:rFonts w:cs="Times New Roman"/>
        </w:rPr>
      </w:pPr>
    </w:p>
    <w:p w:rsidR="005B42B2" w:rsidRPr="00A40AB4" w:rsidRDefault="00CB7E4A" w:rsidP="00CB7E4A">
      <w:pPr>
        <w:jc w:val="center"/>
        <w:rPr>
          <w:rFonts w:cs="Times New Roman"/>
        </w:rPr>
      </w:pPr>
      <w:r w:rsidRPr="00A40AB4">
        <w:rPr>
          <w:rFonts w:cs="Times New Roman"/>
          <w:noProof/>
          <w:lang w:eastAsia="lt-LT"/>
        </w:rPr>
        <w:drawing>
          <wp:inline distT="0" distB="0" distL="0" distR="0">
            <wp:extent cx="4973877" cy="2609385"/>
            <wp:effectExtent l="19050" t="0" r="17223" b="465"/>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B7E4A" w:rsidRPr="00A40AB4" w:rsidRDefault="00CB7E4A" w:rsidP="00CB7E4A">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apskaičiuota ir sudaryta pagal DPK, 2006,</w:t>
      </w:r>
      <w:r w:rsidRPr="00A40AB4">
        <w:rPr>
          <w:rFonts w:cs="Times New Roman"/>
          <w:sz w:val="20"/>
          <w:szCs w:val="20"/>
          <w:lang w:val="en-US"/>
        </w:rPr>
        <w:t xml:space="preserve"> 2007, 2009,</w:t>
      </w:r>
      <w:r w:rsidRPr="00A40AB4">
        <w:rPr>
          <w:rFonts w:cs="Times New Roman"/>
          <w:sz w:val="20"/>
          <w:szCs w:val="20"/>
        </w:rPr>
        <w:t xml:space="preserve"> 2011, 2012 bei SD,</w:t>
      </w:r>
      <w:r w:rsidRPr="00A40AB4">
        <w:rPr>
          <w:rFonts w:cs="Times New Roman"/>
          <w:sz w:val="20"/>
          <w:szCs w:val="20"/>
          <w:lang w:val="en-US"/>
        </w:rPr>
        <w:t xml:space="preserve"> 2012.</w:t>
      </w:r>
    </w:p>
    <w:p w:rsidR="0000122E" w:rsidRPr="00A40AB4" w:rsidRDefault="00C9523B" w:rsidP="0000122E">
      <w:pPr>
        <w:pStyle w:val="Heading2"/>
        <w:spacing w:line="360" w:lineRule="auto"/>
        <w:ind w:firstLine="0"/>
        <w:rPr>
          <w:lang w:val="en-US"/>
        </w:rPr>
      </w:pPr>
      <w:bookmarkStart w:id="220" w:name="_Toc340573848"/>
      <w:bookmarkStart w:id="221" w:name="_Toc340574118"/>
      <w:bookmarkStart w:id="222" w:name="_Toc340574393"/>
      <w:bookmarkStart w:id="223" w:name="_Toc340792031"/>
      <w:bookmarkStart w:id="224" w:name="_Toc341641129"/>
      <w:bookmarkStart w:id="225" w:name="_Toc341641380"/>
      <w:bookmarkStart w:id="226" w:name="_Toc342859668"/>
      <w:r>
        <w:t>13 pav</w:t>
      </w:r>
      <w:r w:rsidR="0000122E" w:rsidRPr="00A40AB4">
        <w:t xml:space="preserve">. Ne gyvybės draudimo įmonių koncentracija (skalė kairėje) bei išsiplėtimas (skalė dešinėje) Lietuvoje </w:t>
      </w:r>
      <w:r w:rsidR="0000122E" w:rsidRPr="00A40AB4">
        <w:rPr>
          <w:lang w:val="en-US"/>
        </w:rPr>
        <w:t>2002-2011 m.</w:t>
      </w:r>
      <w:bookmarkEnd w:id="220"/>
      <w:bookmarkEnd w:id="221"/>
      <w:bookmarkEnd w:id="222"/>
      <w:bookmarkEnd w:id="223"/>
      <w:bookmarkEnd w:id="224"/>
      <w:bookmarkEnd w:id="225"/>
      <w:bookmarkEnd w:id="226"/>
    </w:p>
    <w:p w:rsidR="00CB7E4A" w:rsidRPr="00A40AB4" w:rsidRDefault="00CB7E4A" w:rsidP="00CB7E4A">
      <w:pPr>
        <w:jc w:val="center"/>
        <w:rPr>
          <w:rFonts w:cs="Times New Roman"/>
        </w:rPr>
      </w:pPr>
    </w:p>
    <w:p w:rsidR="00252FD2" w:rsidRPr="00A40AB4" w:rsidRDefault="00252FD2" w:rsidP="00252FD2">
      <w:pPr>
        <w:ind w:firstLine="567"/>
        <w:jc w:val="both"/>
        <w:rPr>
          <w:rFonts w:cs="Times New Roman"/>
        </w:rPr>
      </w:pPr>
      <w:r w:rsidRPr="00A40AB4">
        <w:rPr>
          <w:rFonts w:cs="Times New Roman"/>
        </w:rPr>
        <w:t xml:space="preserve">Kaip matyti iš </w:t>
      </w:r>
      <w:r w:rsidR="00C9523B">
        <w:rPr>
          <w:rFonts w:cs="Times New Roman"/>
        </w:rPr>
        <w:t>13 pav</w:t>
      </w:r>
      <w:r w:rsidR="0014142A">
        <w:rPr>
          <w:rFonts w:cs="Times New Roman"/>
        </w:rPr>
        <w:t>.</w:t>
      </w:r>
      <w:r w:rsidRPr="00A40AB4">
        <w:rPr>
          <w:rFonts w:cs="Times New Roman"/>
        </w:rPr>
        <w:t>, draudimo rinkos išsiplėtimo rodiklis turi augimo trendą ir per dešimtmetį padidėjo nuo 1 iki 1,6. Kitaip tariant, 2002 m. vienam Lietuvos gyventojui vidutiniškai tekdavo viena ne gyvybės draudimo sutartis, o pernai – jau 1,6 sutarties. Pirmiausia tai įtakojo, jog pasirašytų sutarčių skaičius išaugo nuo 3,5 iki 4,8 mln. Lt. Antra, per dešimt metų gyventojų Lietuvoje sumažėjo beveik 13 % - nuo 3,47 mln. Iki 3,03 mln. Tokie duomenys atskleidžia, jog ne gyvybės draudimo sektoriuje pasirašoma vis daugiau sutarčių, t.y. draudimas iš esmės populiarėja. Vis dėlto, šiame rodiklyje neatsispindi draudimo įmokų dydis bei tai, kurią dalį šių sutarčių pasirašo įvairūs juridiniai asmenys, kurių dinamika nebūtinai turi koreliuoti su gyventojų skaičiumi.</w:t>
      </w:r>
    </w:p>
    <w:p w:rsidR="00C33EDE" w:rsidRPr="00A40AB4" w:rsidRDefault="00F1285D" w:rsidP="00661F45">
      <w:pPr>
        <w:ind w:firstLine="567"/>
        <w:jc w:val="both"/>
        <w:rPr>
          <w:rFonts w:cs="Times New Roman"/>
        </w:rPr>
      </w:pPr>
      <w:r w:rsidRPr="00761AF1">
        <w:rPr>
          <w:rFonts w:cs="Times New Roman"/>
          <w:b/>
          <w:u w:val="single"/>
        </w:rPr>
        <w:t>Koncentracija.</w:t>
      </w:r>
      <w:r w:rsidRPr="00A40AB4">
        <w:rPr>
          <w:rFonts w:cs="Times New Roman"/>
        </w:rPr>
        <w:t xml:space="preserve"> Trijų didžiausių draudimo </w:t>
      </w:r>
      <w:r w:rsidR="00E81E5E" w:rsidRPr="00A40AB4">
        <w:rPr>
          <w:rFonts w:cs="Times New Roman"/>
        </w:rPr>
        <w:t>įmonių</w:t>
      </w:r>
      <w:r w:rsidRPr="00A40AB4">
        <w:rPr>
          <w:rFonts w:cs="Times New Roman"/>
        </w:rPr>
        <w:t xml:space="preserve"> užimamos rinkos dalies pagal pasirašytas įmokas suma pavaizduota </w:t>
      </w:r>
      <w:r w:rsidR="00C9523B">
        <w:rPr>
          <w:rFonts w:cs="Times New Roman"/>
        </w:rPr>
        <w:t>13 pav</w:t>
      </w:r>
      <w:r w:rsidRPr="00A40AB4">
        <w:rPr>
          <w:rFonts w:cs="Times New Roman"/>
        </w:rPr>
        <w:t xml:space="preserve">. </w:t>
      </w:r>
      <w:r w:rsidR="00841A6B" w:rsidRPr="00A40AB4">
        <w:rPr>
          <w:rFonts w:cs="Times New Roman"/>
        </w:rPr>
        <w:t xml:space="preserve">Matyti, kad </w:t>
      </w:r>
      <w:r w:rsidR="002056DB" w:rsidRPr="00A40AB4">
        <w:rPr>
          <w:rFonts w:cs="Times New Roman"/>
        </w:rPr>
        <w:t xml:space="preserve">Lietuvoje </w:t>
      </w:r>
      <w:r w:rsidR="00841A6B" w:rsidRPr="00A40AB4">
        <w:rPr>
          <w:rFonts w:cs="Times New Roman"/>
        </w:rPr>
        <w:t xml:space="preserve">koncentracija </w:t>
      </w:r>
      <w:r w:rsidR="003B03FA" w:rsidRPr="00A40AB4">
        <w:rPr>
          <w:rFonts w:cs="Times New Roman"/>
        </w:rPr>
        <w:t xml:space="preserve">šiuo laikotarpiu išliko </w:t>
      </w:r>
      <w:r w:rsidR="002056DB" w:rsidRPr="00A40AB4">
        <w:rPr>
          <w:rFonts w:cs="Times New Roman"/>
        </w:rPr>
        <w:t>didelė. P</w:t>
      </w:r>
      <w:r w:rsidR="00841A6B" w:rsidRPr="00A40AB4">
        <w:rPr>
          <w:rFonts w:cs="Times New Roman"/>
        </w:rPr>
        <w:t xml:space="preserve">er praėjusius dešimt metų </w:t>
      </w:r>
      <w:r w:rsidR="002056DB" w:rsidRPr="00A40AB4">
        <w:rPr>
          <w:rFonts w:cs="Times New Roman"/>
        </w:rPr>
        <w:t xml:space="preserve">ji </w:t>
      </w:r>
      <w:r w:rsidR="00841A6B" w:rsidRPr="00A40AB4">
        <w:rPr>
          <w:rFonts w:cs="Times New Roman"/>
        </w:rPr>
        <w:t>svyravo 54</w:t>
      </w:r>
      <w:r w:rsidR="002E072B" w:rsidRPr="00A40AB4">
        <w:rPr>
          <w:rFonts w:cs="Times New Roman"/>
        </w:rPr>
        <w:t>-</w:t>
      </w:r>
      <w:r w:rsidR="00841A6B" w:rsidRPr="00A40AB4">
        <w:rPr>
          <w:rFonts w:cs="Times New Roman"/>
        </w:rPr>
        <w:t>64 % intervale</w:t>
      </w:r>
      <w:r w:rsidR="002056DB" w:rsidRPr="00A40AB4">
        <w:rPr>
          <w:rFonts w:cs="Times New Roman"/>
        </w:rPr>
        <w:t xml:space="preserve"> </w:t>
      </w:r>
      <w:r w:rsidR="00841A6B" w:rsidRPr="00A40AB4">
        <w:rPr>
          <w:rFonts w:cs="Times New Roman"/>
        </w:rPr>
        <w:t>ir vyravo nežymus mažėjimo trendas.</w:t>
      </w:r>
      <w:r w:rsidR="00320714" w:rsidRPr="00A40AB4">
        <w:rPr>
          <w:rFonts w:cs="Times New Roman"/>
        </w:rPr>
        <w:t xml:space="preserve"> </w:t>
      </w:r>
      <w:r w:rsidR="00D24E4B" w:rsidRPr="00A40AB4">
        <w:rPr>
          <w:rFonts w:cs="Times New Roman"/>
        </w:rPr>
        <w:t>Pasak DPK (2006)</w:t>
      </w:r>
      <w:r w:rsidR="009F3BA2" w:rsidRPr="00A40AB4">
        <w:rPr>
          <w:rFonts w:cs="Times New Roman"/>
        </w:rPr>
        <w:t>,</w:t>
      </w:r>
      <w:r w:rsidR="00C84453">
        <w:rPr>
          <w:rFonts w:cs="Times New Roman"/>
        </w:rPr>
        <w:t xml:space="preserve"> ES šalyse</w:t>
      </w:r>
      <w:r w:rsidR="00D24E4B" w:rsidRPr="00A40AB4">
        <w:rPr>
          <w:rFonts w:cs="Times New Roman"/>
        </w:rPr>
        <w:t xml:space="preserve"> </w:t>
      </w:r>
      <w:r w:rsidR="00C84453">
        <w:rPr>
          <w:rFonts w:cs="Times New Roman"/>
        </w:rPr>
        <w:t>(</w:t>
      </w:r>
      <w:r w:rsidR="00D24E4B" w:rsidRPr="00A40AB4">
        <w:rPr>
          <w:rFonts w:cs="Times New Roman"/>
        </w:rPr>
        <w:t>ypač mažesnėse</w:t>
      </w:r>
      <w:r w:rsidR="00C84453">
        <w:rPr>
          <w:rFonts w:cs="Times New Roman"/>
        </w:rPr>
        <w:t>)</w:t>
      </w:r>
      <w:r w:rsidR="00D24E4B" w:rsidRPr="00A40AB4">
        <w:rPr>
          <w:rFonts w:cs="Times New Roman"/>
        </w:rPr>
        <w:t xml:space="preserve"> draudimo rinkos paprastai pasižymi didele koncentracija. </w:t>
      </w:r>
      <w:r w:rsidR="00320714" w:rsidRPr="00A40AB4">
        <w:rPr>
          <w:rFonts w:cs="Times New Roman"/>
        </w:rPr>
        <w:t xml:space="preserve">2002-2004 m. koncentracija kryptingai mažėjo ir 2004 m. pasiekė 54 %. Tačiau </w:t>
      </w:r>
      <w:r w:rsidR="00FC2FB5" w:rsidRPr="00A40AB4">
        <w:rPr>
          <w:rFonts w:cs="Times New Roman"/>
        </w:rPr>
        <w:t xml:space="preserve">2005 m. </w:t>
      </w:r>
      <w:r w:rsidR="005C3D18" w:rsidRPr="00A40AB4">
        <w:rPr>
          <w:rFonts w:cs="Times New Roman"/>
        </w:rPr>
        <w:t>rodiklis</w:t>
      </w:r>
      <w:r w:rsidR="00FC2FB5" w:rsidRPr="00A40AB4">
        <w:rPr>
          <w:rFonts w:cs="Times New Roman"/>
        </w:rPr>
        <w:t xml:space="preserve"> vėl šoktelėjo į 2002 m. lygį ir siekė 64 %</w:t>
      </w:r>
      <w:r w:rsidR="00F14346" w:rsidRPr="00A40AB4">
        <w:rPr>
          <w:rFonts w:cs="Times New Roman"/>
        </w:rPr>
        <w:t>, kadangi net</w:t>
      </w:r>
      <w:r w:rsidR="00304E3D" w:rsidRPr="00A40AB4">
        <w:rPr>
          <w:rFonts w:cs="Times New Roman"/>
        </w:rPr>
        <w:t xml:space="preserve"> penkios iš devynių ne gyvybės draudimo kompanijų padidino savo užimamos rinkos dalį</w:t>
      </w:r>
      <w:r w:rsidR="00D24E4B" w:rsidRPr="00A40AB4">
        <w:rPr>
          <w:rFonts w:cs="Times New Roman"/>
        </w:rPr>
        <w:t>.</w:t>
      </w:r>
      <w:r w:rsidR="00F14346" w:rsidRPr="00A40AB4">
        <w:rPr>
          <w:rFonts w:cs="Times New Roman"/>
        </w:rPr>
        <w:t xml:space="preserve"> Labiausiai tam įtakos turėjo</w:t>
      </w:r>
      <w:r w:rsidR="007F10EB" w:rsidRPr="00A40AB4">
        <w:rPr>
          <w:rFonts w:cs="Times New Roman"/>
        </w:rPr>
        <w:t xml:space="preserve"> didžiausią portfelio dalį užimančio </w:t>
      </w:r>
      <w:r w:rsidR="00F14346" w:rsidRPr="00A40AB4">
        <w:rPr>
          <w:rFonts w:cs="Times New Roman"/>
        </w:rPr>
        <w:t xml:space="preserve">TPVCA draudimo koncentracijos išaugimas nuo 51 iki 61 %. </w:t>
      </w:r>
      <w:r w:rsidR="00E81E5E" w:rsidRPr="00A40AB4">
        <w:rPr>
          <w:rFonts w:cs="Times New Roman"/>
        </w:rPr>
        <w:t xml:space="preserve">2007-2008 m. sparčiai kylanti ekonomika leido trims didžiausiems draudikams išlaikyti bendrą 62 % rinkos dalį, tačiau 2009 m. </w:t>
      </w:r>
      <w:r w:rsidR="00F56C3B" w:rsidRPr="00A40AB4">
        <w:rPr>
          <w:rFonts w:cs="Times New Roman"/>
        </w:rPr>
        <w:t>dėl ekonominės krizės smunkanti draudimo paklausa</w:t>
      </w:r>
      <w:r w:rsidR="00C84453">
        <w:rPr>
          <w:rFonts w:cs="Times New Roman"/>
        </w:rPr>
        <w:t>, anot DPK (</w:t>
      </w:r>
      <w:r w:rsidR="00C84453">
        <w:rPr>
          <w:rFonts w:cs="Times New Roman"/>
          <w:lang w:val="en-US"/>
        </w:rPr>
        <w:t>2010),</w:t>
      </w:r>
      <w:r w:rsidR="00F56C3B" w:rsidRPr="00A40AB4">
        <w:rPr>
          <w:rFonts w:cs="Times New Roman"/>
        </w:rPr>
        <w:t xml:space="preserve"> privertė įmones aršiai konkuruoti</w:t>
      </w:r>
      <w:r w:rsidR="002C7C31" w:rsidRPr="00A40AB4">
        <w:rPr>
          <w:rFonts w:cs="Times New Roman"/>
        </w:rPr>
        <w:t xml:space="preserve"> </w:t>
      </w:r>
      <w:r w:rsidR="002C7C31" w:rsidRPr="00A40AB4">
        <w:rPr>
          <w:rFonts w:cs="Times New Roman"/>
        </w:rPr>
        <w:lastRenderedPageBreak/>
        <w:t xml:space="preserve">dėl klientų, tad norėdamos išsaugoti užimamos rinkos dalį jos pasiūlė draudėjams naujų, mažiau kompleksinių bei </w:t>
      </w:r>
      <w:r w:rsidR="008C7AF5" w:rsidRPr="00A40AB4">
        <w:rPr>
          <w:rFonts w:cs="Times New Roman"/>
        </w:rPr>
        <w:t>besitraukiančios</w:t>
      </w:r>
      <w:r w:rsidR="002C7C31" w:rsidRPr="00A40AB4">
        <w:rPr>
          <w:rFonts w:cs="Times New Roman"/>
        </w:rPr>
        <w:t xml:space="preserve"> rinkos sąlygas labiau atitinkančių produktų. Vis dėlto, išaugus konkurencijai tai atsiliepė koncentracijos sumažėjimu iki </w:t>
      </w:r>
      <w:r w:rsidR="002C7C31" w:rsidRPr="00A40AB4">
        <w:rPr>
          <w:rFonts w:cs="Times New Roman"/>
          <w:lang w:val="en-US"/>
        </w:rPr>
        <w:t xml:space="preserve">58 %. </w:t>
      </w:r>
      <w:r w:rsidR="002C7C31" w:rsidRPr="00A40AB4">
        <w:rPr>
          <w:rFonts w:cs="Times New Roman"/>
        </w:rPr>
        <w:t>Pernai metais draudikai ėmė leistis į dar didesnius kompromisus</w:t>
      </w:r>
      <w:r w:rsidR="00AD4FC0" w:rsidRPr="00A40AB4">
        <w:rPr>
          <w:rFonts w:cs="Times New Roman"/>
        </w:rPr>
        <w:t xml:space="preserve"> su klientais</w:t>
      </w:r>
      <w:r w:rsidR="002C7C31" w:rsidRPr="00A40AB4">
        <w:rPr>
          <w:rFonts w:cs="Times New Roman"/>
        </w:rPr>
        <w:t xml:space="preserve">, ypač </w:t>
      </w:r>
      <w:r w:rsidR="003D74C5">
        <w:rPr>
          <w:rFonts w:cs="Times New Roman"/>
        </w:rPr>
        <w:t>nekomercinio draudimo sektoriuje</w:t>
      </w:r>
      <w:r w:rsidR="002C7C31" w:rsidRPr="00A40AB4">
        <w:rPr>
          <w:rFonts w:cs="Times New Roman"/>
        </w:rPr>
        <w:t>, kuris labiausiai smuko per krizę. Jie ėmėsi tokių priemonių kaip kainų mažinimas, lankstesnių sąlygų siūlymas, nors tai ir neigiamai atsiliepė draudikų nuostolingumui.</w:t>
      </w:r>
    </w:p>
    <w:p w:rsidR="00661F45" w:rsidRPr="00A40AB4" w:rsidRDefault="00661F45" w:rsidP="00661F45">
      <w:pPr>
        <w:ind w:firstLine="567"/>
        <w:jc w:val="both"/>
        <w:rPr>
          <w:rFonts w:cs="Times New Roman"/>
        </w:rPr>
      </w:pPr>
    </w:p>
    <w:p w:rsidR="003B5E12" w:rsidRPr="00A40AB4" w:rsidRDefault="000251CD" w:rsidP="00661F45">
      <w:pPr>
        <w:ind w:firstLine="567"/>
        <w:jc w:val="both"/>
        <w:rPr>
          <w:rFonts w:cs="Times New Roman"/>
          <w:b/>
        </w:rPr>
      </w:pPr>
      <w:r>
        <w:rPr>
          <w:rFonts w:cs="Times New Roman"/>
          <w:b/>
        </w:rPr>
        <w:t>Draudimo rinkos f</w:t>
      </w:r>
      <w:r w:rsidR="003B5E12" w:rsidRPr="00A40AB4">
        <w:rPr>
          <w:rFonts w:cs="Times New Roman"/>
          <w:b/>
        </w:rPr>
        <w:t>inansinių rodiklių analizė</w:t>
      </w:r>
    </w:p>
    <w:p w:rsidR="00B31F7D" w:rsidRPr="00A40AB4" w:rsidRDefault="00B31F7D" w:rsidP="00B31F7D">
      <w:pPr>
        <w:ind w:firstLine="567"/>
        <w:jc w:val="both"/>
      </w:pPr>
      <w:r w:rsidRPr="003D74C5">
        <w:t xml:space="preserve">Pirmiausia apžvelgiami absoliutūs draudikų finansinę būklę atspindintys rodikliai. </w:t>
      </w:r>
      <w:r w:rsidR="00BE4748" w:rsidRPr="003D74C5">
        <w:t>A</w:t>
      </w:r>
      <w:r w:rsidRPr="003D74C5">
        <w:t xml:space="preserve">greguota Lietuvos ne gyvybės draudimo įmonių turto, nuosavo kapitalo bei techninių atidėjinių dinamika </w:t>
      </w:r>
      <w:r w:rsidR="0002229A" w:rsidRPr="003D74C5">
        <w:t xml:space="preserve">2002-2011 m. </w:t>
      </w:r>
      <w:r w:rsidRPr="003D74C5">
        <w:t xml:space="preserve">pavaizduota </w:t>
      </w:r>
      <w:r w:rsidR="00C9523B" w:rsidRPr="003D74C5">
        <w:t>14 pav</w:t>
      </w:r>
      <w:r w:rsidRPr="003D74C5">
        <w:t>eiksle</w:t>
      </w:r>
      <w:r w:rsidRPr="00A40AB4">
        <w:t>.</w:t>
      </w:r>
    </w:p>
    <w:p w:rsidR="003B5E12" w:rsidRPr="00A40AB4" w:rsidRDefault="003B5E12" w:rsidP="00661F45">
      <w:pPr>
        <w:ind w:firstLine="567"/>
        <w:jc w:val="both"/>
        <w:rPr>
          <w:rFonts w:cs="Times New Roman"/>
        </w:rPr>
      </w:pPr>
    </w:p>
    <w:p w:rsidR="003B5E12" w:rsidRPr="00A40AB4" w:rsidRDefault="003B5E12" w:rsidP="003B5E12">
      <w:pPr>
        <w:jc w:val="center"/>
      </w:pPr>
      <w:r w:rsidRPr="00A40AB4">
        <w:rPr>
          <w:noProof/>
          <w:lang w:eastAsia="lt-LT"/>
        </w:rPr>
        <w:drawing>
          <wp:inline distT="0" distB="0" distL="0" distR="0">
            <wp:extent cx="5619378" cy="2653990"/>
            <wp:effectExtent l="19050" t="0" r="19422"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B5E12" w:rsidRPr="00A40AB4" w:rsidRDefault="003B5E12" w:rsidP="003B5E12">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sudaryta pagal DPK,</w:t>
      </w:r>
      <w:r w:rsidRPr="00A40AB4">
        <w:rPr>
          <w:rFonts w:cs="Times New Roman"/>
          <w:sz w:val="20"/>
          <w:szCs w:val="20"/>
          <w:lang w:val="en-US"/>
        </w:rPr>
        <w:t xml:space="preserve"> 2006, 2007, 2008, 2009, 2011, 2012.</w:t>
      </w:r>
    </w:p>
    <w:p w:rsidR="0000122E" w:rsidRPr="003D74C5" w:rsidRDefault="00C9523B" w:rsidP="0000122E">
      <w:pPr>
        <w:pStyle w:val="Heading2"/>
        <w:spacing w:line="360" w:lineRule="auto"/>
        <w:ind w:firstLine="0"/>
      </w:pPr>
      <w:bookmarkStart w:id="227" w:name="_Toc340573849"/>
      <w:bookmarkStart w:id="228" w:name="_Toc340574119"/>
      <w:bookmarkStart w:id="229" w:name="_Toc340574394"/>
      <w:bookmarkStart w:id="230" w:name="_Toc340792032"/>
      <w:bookmarkStart w:id="231" w:name="_Toc341641130"/>
      <w:bookmarkStart w:id="232" w:name="_Toc341641381"/>
      <w:bookmarkStart w:id="233" w:name="_Toc342859669"/>
      <w:r w:rsidRPr="003D74C5">
        <w:t>14 pav</w:t>
      </w:r>
      <w:r w:rsidR="0000122E" w:rsidRPr="003D74C5">
        <w:t>. Ne gyvybės draudimo įmonių techninių atidėjinių (neišskaičiavus perdraudikų dalies), turto ir nuosavo kapitalo dinamika Lietuvoje 2002-2011 m. (mln. Lt)</w:t>
      </w:r>
      <w:bookmarkEnd w:id="227"/>
      <w:bookmarkEnd w:id="228"/>
      <w:bookmarkEnd w:id="229"/>
      <w:bookmarkEnd w:id="230"/>
      <w:bookmarkEnd w:id="231"/>
      <w:bookmarkEnd w:id="232"/>
      <w:bookmarkEnd w:id="233"/>
    </w:p>
    <w:p w:rsidR="00B31F7D" w:rsidRPr="00A40AB4" w:rsidRDefault="00B31F7D" w:rsidP="003B5E12">
      <w:pPr>
        <w:ind w:firstLine="567"/>
        <w:jc w:val="both"/>
      </w:pPr>
    </w:p>
    <w:p w:rsidR="004959C8" w:rsidRPr="00A40AB4" w:rsidRDefault="004959C8" w:rsidP="004959C8">
      <w:pPr>
        <w:ind w:firstLine="567"/>
        <w:jc w:val="both"/>
      </w:pPr>
      <w:r w:rsidRPr="00761AF1">
        <w:rPr>
          <w:b/>
          <w:u w:val="single"/>
        </w:rPr>
        <w:t>Turtas.</w:t>
      </w:r>
      <w:r w:rsidRPr="00A40AB4">
        <w:t xml:space="preserve"> Iš </w:t>
      </w:r>
      <w:r w:rsidR="008679FB">
        <w:rPr>
          <w:lang w:val="en-US"/>
        </w:rPr>
        <w:t xml:space="preserve">14 </w:t>
      </w:r>
      <w:r w:rsidR="008679FB">
        <w:t>pav.</w:t>
      </w:r>
      <w:r w:rsidRPr="00A40AB4">
        <w:t xml:space="preserve"> matyti, jog 2003-2005 m. ne gyvybės draudikų turtas </w:t>
      </w:r>
      <w:r w:rsidR="00837E4F" w:rsidRPr="00A40AB4">
        <w:t xml:space="preserve">padidėjo </w:t>
      </w:r>
      <w:r w:rsidRPr="00A40AB4">
        <w:t xml:space="preserve">8-13 %, t.y. kiek sparčiau nei visa šalies ekonomika. 2006 bei 2007 m. draudimo įmonių turtas augo atitinkamai 22 ir 20 %. Daugiausia tai nulemta investicijų, ypač į VVP, spartaus didėjimo. 2008 m. dėl artėjančios finansų krizės turto augimas sumažėjo iki 8 %, o 2009 m. draudikų turtas </w:t>
      </w:r>
      <w:r w:rsidR="00892912" w:rsidRPr="00A40AB4">
        <w:t>jau</w:t>
      </w:r>
      <w:r w:rsidR="00753A79" w:rsidRPr="00A40AB4">
        <w:t xml:space="preserve"> </w:t>
      </w:r>
      <w:r w:rsidR="00A12033" w:rsidRPr="00A40AB4">
        <w:t>smuko</w:t>
      </w:r>
      <w:r w:rsidRPr="00A40AB4">
        <w:t xml:space="preserve"> net 23 %. Pasak DPK (2010), viena iš pagrindinių to priežasčių  - mažėjantis įmonių skaičius dėl susijungimų bei įmonių reorganizavimo į kitos ES valstybės narės draudimo kompanijos filialą. Iš agreguoto balanso matyti, jog daugiausia turto mažėjimą nulėmė </w:t>
      </w:r>
      <w:r w:rsidR="00A12033" w:rsidRPr="00A40AB4">
        <w:t>nukritusi</w:t>
      </w:r>
      <w:r w:rsidRPr="00A40AB4">
        <w:t xml:space="preserve"> pastatų vertė bei kitas nekilnojamasis turtas. 16 % sumažėjo VP vertė, beveik perpus – indėlių kredito įsta</w:t>
      </w:r>
      <w:r w:rsidR="00043637" w:rsidRPr="00A40AB4">
        <w:t>igose. Taip pat dėl</w:t>
      </w:r>
      <w:r w:rsidR="00D555D0">
        <w:t xml:space="preserve"> ekonominės</w:t>
      </w:r>
      <w:r w:rsidR="00043637" w:rsidRPr="00A40AB4">
        <w:t xml:space="preserve"> krizės </w:t>
      </w:r>
      <w:r w:rsidR="004C3E9C">
        <w:t xml:space="preserve"> ir suprastėjusio draudėjų mokumo </w:t>
      </w:r>
      <w:r w:rsidR="00043637" w:rsidRPr="00A40AB4">
        <w:t>net</w:t>
      </w:r>
      <w:r w:rsidRPr="00A40AB4">
        <w:t xml:space="preserve"> 52 % sumažėjo gautinos sumos. Apie 30 % </w:t>
      </w:r>
      <w:r w:rsidR="004C3E9C">
        <w:t>sumenko</w:t>
      </w:r>
      <w:r w:rsidRPr="00A40AB4">
        <w:t xml:space="preserve"> materialaus </w:t>
      </w:r>
      <w:r w:rsidRPr="00A40AB4">
        <w:lastRenderedPageBreak/>
        <w:t xml:space="preserve">turto bei pinigų sąskaitoje ir kasoje. Užpernai </w:t>
      </w:r>
      <w:r w:rsidR="004C3E9C">
        <w:t xml:space="preserve">draudikų </w:t>
      </w:r>
      <w:r w:rsidRPr="00A40AB4">
        <w:t xml:space="preserve">turto vertė beveik nesikeitė, o praėjusiais metais </w:t>
      </w:r>
      <w:r w:rsidR="00906572" w:rsidRPr="00A40AB4">
        <w:t xml:space="preserve">smuko </w:t>
      </w:r>
      <w:r w:rsidRPr="00A40AB4">
        <w:t xml:space="preserve">penktadaliu. Tai vėlgi labiausiai nulemta </w:t>
      </w:r>
      <w:r w:rsidRPr="00A40AB4">
        <w:rPr>
          <w:lang w:val="en-US"/>
        </w:rPr>
        <w:t xml:space="preserve">22 % </w:t>
      </w:r>
      <w:r w:rsidRPr="00A40AB4">
        <w:t xml:space="preserve">sumažėjusių investicijų: smuko investicijos į akcijas, VVP bei kitų ūkio subjektų VP, net </w:t>
      </w:r>
      <w:r w:rsidRPr="00A40AB4">
        <w:rPr>
          <w:lang w:val="en-US"/>
        </w:rPr>
        <w:t xml:space="preserve">60 % </w:t>
      </w:r>
      <w:r w:rsidRPr="00A40AB4">
        <w:t>sumažėjo indėlių kredito įstaigose.</w:t>
      </w:r>
    </w:p>
    <w:p w:rsidR="004959C8" w:rsidRPr="00A40AB4" w:rsidRDefault="004959C8" w:rsidP="004959C8">
      <w:pPr>
        <w:ind w:firstLine="567"/>
        <w:jc w:val="both"/>
      </w:pPr>
      <w:r w:rsidRPr="00761AF1">
        <w:rPr>
          <w:b/>
          <w:u w:val="single"/>
        </w:rPr>
        <w:t>Nuosavas kapitalas.</w:t>
      </w:r>
      <w:r w:rsidRPr="00A40AB4">
        <w:t xml:space="preserve"> Šis rodiklis iš esmės parodo, kokia įmonės turto dalis finansuojama nuosavomis lėšomis. Kaip matyti iš </w:t>
      </w:r>
      <w:r w:rsidR="00C9523B">
        <w:t>14 pav</w:t>
      </w:r>
      <w:r w:rsidR="00AA37A1">
        <w:t>eikslo</w:t>
      </w:r>
      <w:r w:rsidRPr="00A40AB4">
        <w:t xml:space="preserve">, 2002-2005 m. reikšmingų pokyčių neįvyko, o 2006-2007 m., dėl itin sparčiai augančios draudimo rinkos bei jos pelningumo, nuosavo kapitalo augimas siekė atitinkamai 18 ir 21 %. 2008 m. šis rodiklis augo </w:t>
      </w:r>
      <w:r w:rsidR="0098275B" w:rsidRPr="00A40AB4">
        <w:t xml:space="preserve">dar </w:t>
      </w:r>
      <w:r w:rsidRPr="00A40AB4">
        <w:t xml:space="preserve">10 %, tačiau 2009-2011 m. traukėsi atitinkamai 16, 4 bei 14 %. 2009 m. </w:t>
      </w:r>
      <w:r w:rsidR="00986441" w:rsidRPr="00A40AB4">
        <w:t xml:space="preserve">tai sąlygojo </w:t>
      </w:r>
      <w:r w:rsidRPr="00A40AB4">
        <w:t>vienos iš dra</w:t>
      </w:r>
      <w:r w:rsidR="0044434E" w:rsidRPr="00A40AB4">
        <w:t>udimo įmonių akcininkų sprendimas</w:t>
      </w:r>
      <w:r w:rsidRPr="00A40AB4">
        <w:t xml:space="preserve"> sumažinti įstatinį kapitalą bei </w:t>
      </w:r>
      <w:r w:rsidR="0044434E" w:rsidRPr="00A40AB4">
        <w:t>mažėjantis ne gyvybės draudikų skaiči</w:t>
      </w:r>
      <w:r w:rsidRPr="00A40AB4">
        <w:t xml:space="preserve">us Lietuvoje (DPK, 2010). Taigi agreguotas įstatinis kapitalas sumažėjo net 37 %, rezervai – 41 %. 2009 m. daugiau nei perpus (54 %) sumažėjo </w:t>
      </w:r>
      <w:r w:rsidR="008E7BF8" w:rsidRPr="00A40AB4">
        <w:t>ataskaitinių</w:t>
      </w:r>
      <w:r w:rsidRPr="00A40AB4">
        <w:t xml:space="preserve"> metų nepaskirstytasis pelnas. Nuosavo kapitalo susitraukimą švelnino 40 % išaugęs ankstesnių laikotarpių nepaskirstytasis pelnas. DPK (2011) </w:t>
      </w:r>
      <w:r w:rsidR="007706BD" w:rsidRPr="00A40AB4">
        <w:t>duomenimis</w:t>
      </w:r>
      <w:r w:rsidR="007706BD">
        <w:t>,</w:t>
      </w:r>
      <w:r w:rsidR="007706BD" w:rsidRPr="00A40AB4">
        <w:t xml:space="preserve"> </w:t>
      </w:r>
      <w:r w:rsidRPr="00A40AB4">
        <w:t>2010 m. net tys draudimo įmo</w:t>
      </w:r>
      <w:r w:rsidR="009E77AA">
        <w:t>nės padidino įstatinį kapitalą (</w:t>
      </w:r>
      <w:r w:rsidRPr="00A40AB4">
        <w:t>iš viso virš 93 mln. Lt</w:t>
      </w:r>
      <w:r w:rsidR="009E77AA">
        <w:t>)</w:t>
      </w:r>
      <w:r w:rsidRPr="00A40AB4">
        <w:t xml:space="preserve">, dėl ko </w:t>
      </w:r>
      <w:r w:rsidR="009E77AA">
        <w:t xml:space="preserve">bendras </w:t>
      </w:r>
      <w:r w:rsidR="0080106F">
        <w:t xml:space="preserve">ne gyvybės </w:t>
      </w:r>
      <w:r w:rsidR="009E77AA">
        <w:t xml:space="preserve">draudikų </w:t>
      </w:r>
      <w:r w:rsidRPr="00A40AB4">
        <w:t>įstatinis kapitalas padidėjo 42 %. Vis dėlto, 2010 m. ne gyvybės draudimo rinkai buvo nuostolingi – agreguoti nuostoliai viršijo 18 mln. Lt. Prie to prisidėjo ir beveik trečdaliu sumažėjęs ankstesnių ataskaitinių metų nepaskirstytasis pelnas. Praėjusiais metais nuosavą kapitalą labiausiai mažino net iki beveik 48 mln. Lt padidėję ataskaitinių metų nuostoliai.</w:t>
      </w:r>
    </w:p>
    <w:p w:rsidR="004959C8" w:rsidRPr="00A40AB4" w:rsidRDefault="004959C8" w:rsidP="004959C8">
      <w:pPr>
        <w:ind w:firstLine="567"/>
        <w:jc w:val="both"/>
        <w:rPr>
          <w:lang w:val="en-US"/>
        </w:rPr>
      </w:pPr>
      <w:r w:rsidRPr="00761AF1">
        <w:rPr>
          <w:b/>
          <w:u w:val="single"/>
        </w:rPr>
        <w:t>Techniniai atidėjiniai.</w:t>
      </w:r>
      <w:r w:rsidRPr="00A40AB4">
        <w:t xml:space="preserve"> </w:t>
      </w:r>
      <w:r w:rsidR="00237181" w:rsidRPr="00A40AB4">
        <w:t>Iš absoliučių finansinių rodiklių t</w:t>
      </w:r>
      <w:r w:rsidRPr="00A40AB4">
        <w:t xml:space="preserve">ikslinga apžvelgti </w:t>
      </w:r>
      <w:r w:rsidR="00237181" w:rsidRPr="00A40AB4">
        <w:t xml:space="preserve">ir </w:t>
      </w:r>
      <w:r w:rsidRPr="00A40AB4">
        <w:t>draudimo įmonių techninius atidėjinius bei jų dinamiką. Pagal investavimo struktūrą atidėjiniai neanalizuojami detaliai, kadangi pagal šiuo metu ES galioja</w:t>
      </w:r>
      <w:r w:rsidR="003079B8">
        <w:t>nčią</w:t>
      </w:r>
      <w:r w:rsidR="00237181" w:rsidRPr="00A40AB4">
        <w:t xml:space="preserve"> </w:t>
      </w:r>
      <w:r w:rsidR="003079B8">
        <w:t xml:space="preserve">mokumo sistemą </w:t>
      </w:r>
      <w:r w:rsidR="00237181" w:rsidRPr="00A40AB4">
        <w:t>kiekviena valstybė</w:t>
      </w:r>
      <w:r w:rsidRPr="00A40AB4">
        <w:t xml:space="preserve"> teisės aktais  reglamentuoja draudimo techninių atidėjinių suformavimą bei panaudojimą, tad struktūra pagal investavimą </w:t>
      </w:r>
      <w:r w:rsidR="00322677" w:rsidRPr="00A40AB4">
        <w:t xml:space="preserve">radikaliai </w:t>
      </w:r>
      <w:r w:rsidR="003079B8">
        <w:t>nesikeitė.</w:t>
      </w:r>
    </w:p>
    <w:p w:rsidR="006308D9" w:rsidRPr="00A40AB4" w:rsidRDefault="003B5E12" w:rsidP="006308D9">
      <w:pPr>
        <w:ind w:firstLine="567"/>
        <w:jc w:val="both"/>
      </w:pPr>
      <w:r w:rsidRPr="00A40AB4">
        <w:t xml:space="preserve">Kaip matyti iš </w:t>
      </w:r>
      <w:r w:rsidR="00C9523B">
        <w:t>14 pav</w:t>
      </w:r>
      <w:r w:rsidRPr="00A40AB4">
        <w:t xml:space="preserve">., draudimo įmonių techninių atidėjinių </w:t>
      </w:r>
      <w:r w:rsidR="00237181" w:rsidRPr="00A40AB4">
        <w:t>(</w:t>
      </w:r>
      <w:r w:rsidR="009F332E" w:rsidRPr="00A40AB4">
        <w:t>įskaičiuojant perdraudik</w:t>
      </w:r>
      <w:r w:rsidR="00237181" w:rsidRPr="00A40AB4">
        <w:t xml:space="preserve">ų dalį) </w:t>
      </w:r>
      <w:r w:rsidR="000B0ABC" w:rsidRPr="00A40AB4">
        <w:t>pokyčiai</w:t>
      </w:r>
      <w:r w:rsidRPr="00A40AB4">
        <w:t xml:space="preserve"> 2002-2011 m. buvo </w:t>
      </w:r>
      <w:r w:rsidR="000B0ABC" w:rsidRPr="00A40AB4">
        <w:t>panašū</w:t>
      </w:r>
      <w:r w:rsidRPr="00A40AB4">
        <w:t xml:space="preserve">s į turto. 2002-2008 m. sparčiai plėtojantis mūsų šalies ūkiui bei ne gyvybės draudimo rinkai augo įsipareigojimai pagal draudimo sutartis. Taigi techniniai atidėjiniai svyravo nuo 60 iki 68 % </w:t>
      </w:r>
      <w:r w:rsidR="00BB7FA9" w:rsidRPr="00A40AB4">
        <w:t>nuo disponuojamo turto dalies ir turėjo augimo tendenciją</w:t>
      </w:r>
      <w:r w:rsidR="007F1811" w:rsidRPr="00A40AB4">
        <w:t>. 2009</w:t>
      </w:r>
      <w:r w:rsidRPr="00A40AB4">
        <w:t>, sudė</w:t>
      </w:r>
      <w:r w:rsidR="00565F2D" w:rsidRPr="00A40AB4">
        <w:t>tingiausi</w:t>
      </w:r>
      <w:r w:rsidR="007F1811" w:rsidRPr="00A40AB4">
        <w:t>ais</w:t>
      </w:r>
      <w:r w:rsidR="00565F2D" w:rsidRPr="00A40AB4">
        <w:t xml:space="preserve"> ekonominės krizės metai</w:t>
      </w:r>
      <w:r w:rsidR="007F1811" w:rsidRPr="00A40AB4">
        <w:t>s</w:t>
      </w:r>
      <w:r w:rsidRPr="00A40AB4">
        <w:t xml:space="preserve">, dėl besitraukančios ne gyvybės draudimo rinkos, techniniai atidėjiniai susitraukė net 27 % (iki 869 mln. Lt). Tą labiausiai </w:t>
      </w:r>
      <w:r w:rsidR="00E80813" w:rsidRPr="00A40AB4">
        <w:t xml:space="preserve">paveikė </w:t>
      </w:r>
      <w:r w:rsidRPr="00A40AB4">
        <w:t xml:space="preserve">38 % smukęs </w:t>
      </w:r>
      <w:r w:rsidR="009F036C" w:rsidRPr="00A40AB4">
        <w:t>PĮTA</w:t>
      </w:r>
      <w:r w:rsidRPr="00A40AB4">
        <w:t xml:space="preserve">, kuriam didžiausią įtaką daro pasirašytų įmokų svyravimai (tais metais sumažėjo 30 % - žr. </w:t>
      </w:r>
      <w:r w:rsidR="00C9523B">
        <w:t>10 pav</w:t>
      </w:r>
      <w:r w:rsidRPr="00A40AB4">
        <w:t xml:space="preserve">.). Kitąmet </w:t>
      </w:r>
      <w:r w:rsidR="006A21DD" w:rsidRPr="00A40AB4">
        <w:t xml:space="preserve">techniniai atidėjiniai </w:t>
      </w:r>
      <w:r w:rsidRPr="00A40AB4">
        <w:t xml:space="preserve">dar šiek tiek susitraukė (iki 855 mln. Lt), ką nulėmė 5 % mažesnis suformuotas </w:t>
      </w:r>
      <w:r w:rsidR="009F036C" w:rsidRPr="00A40AB4">
        <w:t>PĮTA</w:t>
      </w:r>
      <w:r w:rsidRPr="00A40AB4">
        <w:t xml:space="preserve">. Pernai metais kiek netikėtai </w:t>
      </w:r>
      <w:r w:rsidR="006A21DD" w:rsidRPr="00A40AB4">
        <w:t xml:space="preserve">atidėjiniai </w:t>
      </w:r>
      <w:r w:rsidRPr="00A40AB4">
        <w:t xml:space="preserve">vėl smuktelėjo – iki 645 mln. Lt. Tokį pokytį labiausiai nulėmė daugiau negu penktadaliu mažesnis suformuotas </w:t>
      </w:r>
      <w:r w:rsidR="009F036C" w:rsidRPr="00A40AB4">
        <w:t>NITA</w:t>
      </w:r>
      <w:r w:rsidRPr="00A40AB4">
        <w:t xml:space="preserve">, kuris parodo visus galimus išmokėjimus, įskaitant sureguliuoti žaloms skirtas sumas. 11 % susitraukė ne gyvybės draudimo rinkos </w:t>
      </w:r>
      <w:r w:rsidR="009F036C" w:rsidRPr="00A40AB4">
        <w:t>PĮTA</w:t>
      </w:r>
      <w:r w:rsidRPr="00A40AB4">
        <w:t>. Kai kurie kiti suformuoti rezervai, nors ir kito gana smarkiai, dėl savo mažo lyginamojo svorio didelės įtakos suformuotų rezervų dydžiui pernai nedarė.</w:t>
      </w:r>
      <w:r w:rsidR="006308D9" w:rsidRPr="00A40AB4">
        <w:t xml:space="preserve"> </w:t>
      </w:r>
    </w:p>
    <w:p w:rsidR="006308D9" w:rsidRDefault="0032147B" w:rsidP="006308D9">
      <w:pPr>
        <w:ind w:firstLine="567"/>
        <w:jc w:val="both"/>
        <w:rPr>
          <w:rFonts w:cs="Times New Roman"/>
        </w:rPr>
      </w:pPr>
      <w:r w:rsidRPr="003079B8">
        <w:rPr>
          <w:rFonts w:cs="Times New Roman"/>
          <w:b/>
          <w:u w:val="single"/>
        </w:rPr>
        <w:lastRenderedPageBreak/>
        <w:t>Bendrasis pelningumas.</w:t>
      </w:r>
      <w:r w:rsidRPr="003079B8">
        <w:rPr>
          <w:rFonts w:cs="Times New Roman"/>
        </w:rPr>
        <w:t xml:space="preserve"> </w:t>
      </w:r>
      <w:r w:rsidR="006308D9" w:rsidRPr="003079B8">
        <w:rPr>
          <w:rFonts w:cs="Times New Roman"/>
        </w:rPr>
        <w:t xml:space="preserve">Jis parodo, kiek bendrojo pelno tenka vienam pardavimų litui. Bendrojo pelningumo, turto bei nuosavo kapitalo grąžos rodikliai 2006-2011 m. pavaizduoti </w:t>
      </w:r>
      <w:r w:rsidR="00C9523B" w:rsidRPr="003079B8">
        <w:rPr>
          <w:rFonts w:cs="Times New Roman"/>
        </w:rPr>
        <w:t>15 pav</w:t>
      </w:r>
      <w:r w:rsidR="006308D9" w:rsidRPr="003079B8">
        <w:rPr>
          <w:rFonts w:cs="Times New Roman"/>
        </w:rPr>
        <w:t>.</w:t>
      </w:r>
    </w:p>
    <w:p w:rsidR="003079B8" w:rsidRPr="003079B8" w:rsidRDefault="003079B8" w:rsidP="006308D9">
      <w:pPr>
        <w:ind w:firstLine="567"/>
        <w:jc w:val="both"/>
        <w:rPr>
          <w:rFonts w:cs="Times New Roman"/>
        </w:rPr>
      </w:pPr>
    </w:p>
    <w:p w:rsidR="006308D9" w:rsidRPr="00A40AB4" w:rsidRDefault="006308D9" w:rsidP="006308D9">
      <w:pPr>
        <w:jc w:val="center"/>
      </w:pPr>
      <w:r w:rsidRPr="00A40AB4">
        <w:rPr>
          <w:noProof/>
          <w:lang w:eastAsia="lt-LT"/>
        </w:rPr>
        <w:drawing>
          <wp:inline distT="0" distB="0" distL="0" distR="0">
            <wp:extent cx="5333536" cy="2946818"/>
            <wp:effectExtent l="19050" t="0" r="19514" b="5932"/>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308D9" w:rsidRPr="00A40AB4" w:rsidRDefault="006308D9" w:rsidP="006308D9">
      <w:pPr>
        <w:jc w:val="center"/>
        <w:rPr>
          <w:rFonts w:cs="Times New Roman"/>
          <w:sz w:val="20"/>
          <w:szCs w:val="20"/>
        </w:rPr>
      </w:pPr>
      <w:r w:rsidRPr="00A40AB4">
        <w:rPr>
          <w:rFonts w:cs="Times New Roman"/>
          <w:b/>
          <w:sz w:val="20"/>
          <w:szCs w:val="20"/>
        </w:rPr>
        <w:t xml:space="preserve">Šaltinis: </w:t>
      </w:r>
      <w:r w:rsidR="00FC5312" w:rsidRPr="00A40AB4">
        <w:rPr>
          <w:rFonts w:cs="Times New Roman"/>
          <w:sz w:val="20"/>
          <w:szCs w:val="20"/>
        </w:rPr>
        <w:t>apskaičiuota ir s</w:t>
      </w:r>
      <w:r w:rsidRPr="00A40AB4">
        <w:rPr>
          <w:rFonts w:cs="Times New Roman"/>
          <w:sz w:val="20"/>
          <w:szCs w:val="20"/>
        </w:rPr>
        <w:t>udaryta pagal DPK,</w:t>
      </w:r>
      <w:r w:rsidRPr="00A40AB4">
        <w:rPr>
          <w:rFonts w:cs="Times New Roman"/>
          <w:sz w:val="20"/>
          <w:szCs w:val="20"/>
          <w:lang w:val="en-US"/>
        </w:rPr>
        <w:t xml:space="preserve"> 2011, 2012.</w:t>
      </w:r>
    </w:p>
    <w:p w:rsidR="0000122E" w:rsidRPr="00A40AB4" w:rsidRDefault="00C9523B" w:rsidP="0000122E">
      <w:pPr>
        <w:pStyle w:val="Heading2"/>
        <w:spacing w:line="360" w:lineRule="auto"/>
        <w:ind w:firstLine="0"/>
      </w:pPr>
      <w:bookmarkStart w:id="234" w:name="_Toc340573850"/>
      <w:bookmarkStart w:id="235" w:name="_Toc340574120"/>
      <w:bookmarkStart w:id="236" w:name="_Toc340574395"/>
      <w:bookmarkStart w:id="237" w:name="_Toc340792033"/>
      <w:bookmarkStart w:id="238" w:name="_Toc341641131"/>
      <w:bookmarkStart w:id="239" w:name="_Toc341641382"/>
      <w:bookmarkStart w:id="240" w:name="_Toc342859670"/>
      <w:r>
        <w:t>15 pav</w:t>
      </w:r>
      <w:r w:rsidR="0000122E" w:rsidRPr="00A40AB4">
        <w:t xml:space="preserve">. Agreguoti ne gyvybės draudikų bendrojo pelningumo, nuosavo kapitalo bei turto grąžos rodikliai </w:t>
      </w:r>
      <w:r w:rsidR="0000122E" w:rsidRPr="00A40AB4">
        <w:rPr>
          <w:lang w:val="en-US"/>
        </w:rPr>
        <w:t>2006-2011 m.</w:t>
      </w:r>
      <w:bookmarkEnd w:id="234"/>
      <w:bookmarkEnd w:id="235"/>
      <w:bookmarkEnd w:id="236"/>
      <w:bookmarkEnd w:id="237"/>
      <w:bookmarkEnd w:id="238"/>
      <w:bookmarkEnd w:id="239"/>
      <w:bookmarkEnd w:id="240"/>
    </w:p>
    <w:p w:rsidR="006308D9" w:rsidRPr="00A40AB4" w:rsidRDefault="006308D9" w:rsidP="006308D9">
      <w:pPr>
        <w:ind w:firstLine="567"/>
        <w:jc w:val="both"/>
        <w:rPr>
          <w:rFonts w:cs="Times New Roman"/>
        </w:rPr>
      </w:pPr>
    </w:p>
    <w:p w:rsidR="00F651E7" w:rsidRPr="002133FB" w:rsidRDefault="00F651E7" w:rsidP="006308D9">
      <w:pPr>
        <w:ind w:firstLine="567"/>
        <w:jc w:val="both"/>
        <w:rPr>
          <w:rFonts w:cs="Times New Roman"/>
        </w:rPr>
      </w:pPr>
      <w:r w:rsidRPr="002133FB">
        <w:rPr>
          <w:rFonts w:cs="Times New Roman"/>
        </w:rPr>
        <w:t xml:space="preserve">Iš </w:t>
      </w:r>
      <w:r w:rsidR="00C9523B" w:rsidRPr="002133FB">
        <w:rPr>
          <w:rFonts w:cs="Times New Roman"/>
        </w:rPr>
        <w:t>15 pav</w:t>
      </w:r>
      <w:r w:rsidR="00B17C89" w:rsidRPr="002133FB">
        <w:rPr>
          <w:rFonts w:cs="Times New Roman"/>
        </w:rPr>
        <w:t>.</w:t>
      </w:r>
      <w:r w:rsidRPr="002133FB">
        <w:rPr>
          <w:rFonts w:cs="Times New Roman"/>
        </w:rPr>
        <w:t xml:space="preserve"> matyti, jog bendrasis pelningumas per 2006-2011 m. svyravo </w:t>
      </w:r>
      <w:r w:rsidR="007B4B5E" w:rsidRPr="002133FB">
        <w:rPr>
          <w:rFonts w:cs="Times New Roman"/>
        </w:rPr>
        <w:t xml:space="preserve">nuo </w:t>
      </w:r>
      <w:r w:rsidRPr="002133FB">
        <w:rPr>
          <w:rFonts w:cs="Times New Roman"/>
        </w:rPr>
        <w:t>9,2</w:t>
      </w:r>
      <w:r w:rsidR="007B4B5E" w:rsidRPr="002133FB">
        <w:rPr>
          <w:rFonts w:cs="Times New Roman"/>
        </w:rPr>
        <w:t xml:space="preserve"> % </w:t>
      </w:r>
      <w:r w:rsidR="003C6D17" w:rsidRPr="002133FB">
        <w:rPr>
          <w:rFonts w:cs="Times New Roman"/>
        </w:rPr>
        <w:t xml:space="preserve">patiriamų </w:t>
      </w:r>
      <w:r w:rsidR="007B4B5E" w:rsidRPr="002133FB">
        <w:rPr>
          <w:rFonts w:cs="Times New Roman"/>
        </w:rPr>
        <w:t>nuostoli</w:t>
      </w:r>
      <w:r w:rsidR="003C6D17" w:rsidRPr="002133FB">
        <w:rPr>
          <w:rFonts w:cs="Times New Roman"/>
        </w:rPr>
        <w:t>ų</w:t>
      </w:r>
      <w:r w:rsidRPr="002133FB">
        <w:rPr>
          <w:rFonts w:cs="Times New Roman"/>
        </w:rPr>
        <w:t xml:space="preserve"> </w:t>
      </w:r>
      <w:r w:rsidR="007B4B5E" w:rsidRPr="002133FB">
        <w:rPr>
          <w:rFonts w:cs="Times New Roman"/>
        </w:rPr>
        <w:t>iki</w:t>
      </w:r>
      <w:r w:rsidRPr="002133FB">
        <w:rPr>
          <w:rFonts w:cs="Times New Roman"/>
        </w:rPr>
        <w:t xml:space="preserve"> 10 %</w:t>
      </w:r>
      <w:r w:rsidR="007B4B5E" w:rsidRPr="002133FB">
        <w:rPr>
          <w:rFonts w:cs="Times New Roman"/>
        </w:rPr>
        <w:t xml:space="preserve"> </w:t>
      </w:r>
      <w:r w:rsidR="009C64E5" w:rsidRPr="002133FB">
        <w:rPr>
          <w:rFonts w:cs="Times New Roman"/>
        </w:rPr>
        <w:t>gauto</w:t>
      </w:r>
      <w:r w:rsidR="00ED0220" w:rsidRPr="002133FB">
        <w:rPr>
          <w:rFonts w:cs="Times New Roman"/>
        </w:rPr>
        <w:t xml:space="preserve"> </w:t>
      </w:r>
      <w:r w:rsidR="007B4B5E" w:rsidRPr="002133FB">
        <w:rPr>
          <w:rFonts w:cs="Times New Roman"/>
        </w:rPr>
        <w:t>pelno</w:t>
      </w:r>
      <w:r w:rsidRPr="002133FB">
        <w:rPr>
          <w:rFonts w:cs="Times New Roman"/>
        </w:rPr>
        <w:t xml:space="preserve">. </w:t>
      </w:r>
      <w:r w:rsidR="00644F05" w:rsidRPr="002133FB">
        <w:rPr>
          <w:rFonts w:cs="Times New Roman"/>
        </w:rPr>
        <w:t>2007 m. pasiektą 10 % pelningumą nulėmė net 5 kartus didesnis pelnas</w:t>
      </w:r>
      <w:r w:rsidR="00540A90" w:rsidRPr="002133FB">
        <w:rPr>
          <w:rFonts w:cs="Times New Roman"/>
        </w:rPr>
        <w:t xml:space="preserve"> (83 mln. Lt)</w:t>
      </w:r>
      <w:r w:rsidR="00644F05" w:rsidRPr="002133FB">
        <w:rPr>
          <w:rFonts w:cs="Times New Roman"/>
        </w:rPr>
        <w:t xml:space="preserve"> nei prieš metus.</w:t>
      </w:r>
      <w:r w:rsidR="00EA52DE" w:rsidRPr="002133FB">
        <w:rPr>
          <w:rFonts w:cs="Times New Roman"/>
        </w:rPr>
        <w:t xml:space="preserve"> </w:t>
      </w:r>
      <w:r w:rsidR="00F82F27" w:rsidRPr="002133FB">
        <w:rPr>
          <w:rFonts w:cs="Times New Roman"/>
        </w:rPr>
        <w:t>Remiantis</w:t>
      </w:r>
      <w:r w:rsidR="003C4C31" w:rsidRPr="002133FB">
        <w:rPr>
          <w:rFonts w:cs="Times New Roman"/>
        </w:rPr>
        <w:t xml:space="preserve"> DPK (2008), net 44 % draudimo veiklos pelno įtakojo NSITA, kurį įpareigota iki 2009 m. panaikinti visose, išskyrus kredito, draudimo grupėse, sumažinimas.</w:t>
      </w:r>
      <w:r w:rsidR="00F82F27" w:rsidRPr="002133FB">
        <w:rPr>
          <w:rFonts w:cs="Times New Roman"/>
        </w:rPr>
        <w:t xml:space="preserve"> </w:t>
      </w:r>
      <w:r w:rsidR="00C2711E" w:rsidRPr="002133FB">
        <w:rPr>
          <w:rFonts w:cs="Times New Roman"/>
        </w:rPr>
        <w:t xml:space="preserve">2008 m. draudikai uždirbo jau 38 % mažiau bendrojo pelno palyginti su ankstesniais metais. </w:t>
      </w:r>
      <w:r w:rsidR="00681581" w:rsidRPr="002133FB">
        <w:rPr>
          <w:rFonts w:cs="Times New Roman"/>
        </w:rPr>
        <w:t>Teigiamai pelningumo rodiklį paveikė</w:t>
      </w:r>
      <w:r w:rsidR="00137FC0" w:rsidRPr="002133FB">
        <w:rPr>
          <w:rFonts w:cs="Times New Roman"/>
        </w:rPr>
        <w:t xml:space="preserve"> dar</w:t>
      </w:r>
      <w:r w:rsidR="00681581" w:rsidRPr="002133FB">
        <w:rPr>
          <w:rFonts w:cs="Times New Roman"/>
        </w:rPr>
        <w:t xml:space="preserve"> 35 % sumažintas NSITA</w:t>
      </w:r>
      <w:r w:rsidR="00B5310D" w:rsidRPr="002133FB">
        <w:rPr>
          <w:rFonts w:cs="Times New Roman"/>
        </w:rPr>
        <w:t>, o neigiamai – 8,3 mln. Lt nuostolis iš investicinės veiklos</w:t>
      </w:r>
      <w:r w:rsidR="00681581" w:rsidRPr="002133FB">
        <w:rPr>
          <w:rFonts w:cs="Times New Roman"/>
        </w:rPr>
        <w:t>.</w:t>
      </w:r>
      <w:r w:rsidR="008B58DC" w:rsidRPr="002133FB">
        <w:rPr>
          <w:rFonts w:cs="Times New Roman"/>
        </w:rPr>
        <w:t xml:space="preserve"> Bendrasis šių metų pelningumas </w:t>
      </w:r>
      <w:r w:rsidR="00E74534" w:rsidRPr="002133FB">
        <w:rPr>
          <w:rFonts w:cs="Times New Roman"/>
        </w:rPr>
        <w:t>–</w:t>
      </w:r>
      <w:r w:rsidR="008B58DC" w:rsidRPr="002133FB">
        <w:rPr>
          <w:rFonts w:cs="Times New Roman"/>
        </w:rPr>
        <w:t xml:space="preserve"> </w:t>
      </w:r>
      <w:r w:rsidR="00E74534" w:rsidRPr="002133FB">
        <w:rPr>
          <w:rFonts w:cs="Times New Roman"/>
        </w:rPr>
        <w:t>6,2 %.</w:t>
      </w:r>
      <w:r w:rsidR="00681581" w:rsidRPr="002133FB">
        <w:rPr>
          <w:rFonts w:cs="Times New Roman"/>
        </w:rPr>
        <w:t xml:space="preserve"> </w:t>
      </w:r>
      <w:r w:rsidR="00420D70" w:rsidRPr="002133FB">
        <w:rPr>
          <w:rFonts w:cs="Times New Roman"/>
        </w:rPr>
        <w:t xml:space="preserve">2009 m. pasirašytų įmokų buvo 30 % mažiau, o išmokų 10 % daugiau, </w:t>
      </w:r>
      <w:r w:rsidR="00B5310D" w:rsidRPr="002133FB">
        <w:rPr>
          <w:rFonts w:cs="Times New Roman"/>
        </w:rPr>
        <w:t xml:space="preserve">tad nestebina faktas, jog draudimo veikla buvo nuostolinga. Vis dėlto, </w:t>
      </w:r>
      <w:r w:rsidR="00420D70" w:rsidRPr="002133FB">
        <w:rPr>
          <w:rFonts w:cs="Times New Roman"/>
        </w:rPr>
        <w:t xml:space="preserve">sektorius sugebėjo </w:t>
      </w:r>
      <w:r w:rsidR="00656BE2" w:rsidRPr="002133FB">
        <w:rPr>
          <w:rFonts w:cs="Times New Roman"/>
        </w:rPr>
        <w:t>pasiekti 4,8 % bendrąjį pelningumą</w:t>
      </w:r>
      <w:r w:rsidR="00420D70" w:rsidRPr="002133FB">
        <w:rPr>
          <w:rFonts w:cs="Times New Roman"/>
        </w:rPr>
        <w:t xml:space="preserve">. Tai nulemta NSITA </w:t>
      </w:r>
      <w:r w:rsidR="00B5310D" w:rsidRPr="002133FB">
        <w:rPr>
          <w:rFonts w:cs="Times New Roman"/>
        </w:rPr>
        <w:t>mažinimo 18,7 mln. Lt per metus bei sėkmingos investicinės veiklos, iš kurios uždirbta 72,7 mln. Lt pelno.</w:t>
      </w:r>
      <w:r w:rsidR="00C32E5B" w:rsidRPr="002133FB">
        <w:rPr>
          <w:rFonts w:cs="Times New Roman"/>
        </w:rPr>
        <w:t xml:space="preserve"> Ekonominės krizės užklupti draudikai 2009</w:t>
      </w:r>
      <w:r w:rsidR="00D14485" w:rsidRPr="002133FB">
        <w:rPr>
          <w:rFonts w:cs="Times New Roman"/>
        </w:rPr>
        <w:t>-2010</w:t>
      </w:r>
      <w:r w:rsidR="00C32E5B" w:rsidRPr="002133FB">
        <w:rPr>
          <w:rFonts w:cs="Times New Roman"/>
        </w:rPr>
        <w:t xml:space="preserve"> m. taip pat ėmėsi administracinių sąnaudų mažinimo.</w:t>
      </w:r>
      <w:r w:rsidR="008627A4" w:rsidRPr="002133FB">
        <w:rPr>
          <w:rFonts w:cs="Times New Roman"/>
        </w:rPr>
        <w:t xml:space="preserve"> 2010 m. parodė, jog draudikų finansinės būklės pablogėjimas krizės metu atsispindi vėlesniuose laikotarpiuose – </w:t>
      </w:r>
      <w:r w:rsidR="00C24977" w:rsidRPr="002133FB">
        <w:rPr>
          <w:rFonts w:cs="Times New Roman"/>
        </w:rPr>
        <w:t xml:space="preserve">nutrūkus naujų sutarčių sudarymo srautui kurį laiką dar buvo gaunamos pajamos iš anksčiau sudarytų sutarčių, o susitraukusi draudimo rinka suteikė draudikams lankstumo per techninių atidėjinių mažinimą, leidusi atlaisvinti lėšas </w:t>
      </w:r>
      <w:r w:rsidR="00D12A17" w:rsidRPr="002133FB">
        <w:rPr>
          <w:rFonts w:cs="Times New Roman"/>
        </w:rPr>
        <w:t>patiriamų sąnaudų padengimui</w:t>
      </w:r>
      <w:r w:rsidR="00A56FA9" w:rsidRPr="002133FB">
        <w:rPr>
          <w:rFonts w:cs="Times New Roman"/>
        </w:rPr>
        <w:t xml:space="preserve"> (DPK, 2011)</w:t>
      </w:r>
      <w:r w:rsidR="00C24977" w:rsidRPr="002133FB">
        <w:rPr>
          <w:rFonts w:cs="Times New Roman"/>
        </w:rPr>
        <w:t xml:space="preserve">. Taigi užpernai </w:t>
      </w:r>
      <w:r w:rsidR="008627A4" w:rsidRPr="002133FB">
        <w:rPr>
          <w:rFonts w:cs="Times New Roman"/>
        </w:rPr>
        <w:t>buvo patirtas 18 mln. Lt nuostolis</w:t>
      </w:r>
      <w:r w:rsidR="00E74534" w:rsidRPr="002133FB">
        <w:rPr>
          <w:rFonts w:cs="Times New Roman"/>
        </w:rPr>
        <w:t>, o bendrasis pelningumas tapo neigiamas (-2,1 %)</w:t>
      </w:r>
      <w:r w:rsidR="008627A4" w:rsidRPr="002133FB">
        <w:rPr>
          <w:rFonts w:cs="Times New Roman"/>
        </w:rPr>
        <w:t>.</w:t>
      </w:r>
      <w:r w:rsidR="00F423A5" w:rsidRPr="002133FB">
        <w:rPr>
          <w:rFonts w:cs="Times New Roman"/>
        </w:rPr>
        <w:t xml:space="preserve"> </w:t>
      </w:r>
      <w:r w:rsidR="008627A4" w:rsidRPr="002133FB">
        <w:rPr>
          <w:rFonts w:cs="Times New Roman"/>
        </w:rPr>
        <w:t>D</w:t>
      </w:r>
      <w:r w:rsidR="00F423A5" w:rsidRPr="002133FB">
        <w:rPr>
          <w:rFonts w:cs="Times New Roman"/>
        </w:rPr>
        <w:t xml:space="preserve">raudimo veiklos </w:t>
      </w:r>
      <w:r w:rsidR="008627A4" w:rsidRPr="002133FB">
        <w:rPr>
          <w:rFonts w:cs="Times New Roman"/>
        </w:rPr>
        <w:t xml:space="preserve">nuostolis </w:t>
      </w:r>
      <w:r w:rsidR="00F423A5" w:rsidRPr="002133FB">
        <w:rPr>
          <w:rFonts w:cs="Times New Roman"/>
        </w:rPr>
        <w:t>išaugo 2,7 karto – iki 68 mln. Lt</w:t>
      </w:r>
      <w:r w:rsidR="008627A4" w:rsidRPr="002133FB">
        <w:rPr>
          <w:rFonts w:cs="Times New Roman"/>
        </w:rPr>
        <w:t xml:space="preserve">. </w:t>
      </w:r>
      <w:r w:rsidR="00C24977" w:rsidRPr="002133FB">
        <w:rPr>
          <w:rFonts w:cs="Times New Roman"/>
        </w:rPr>
        <w:t xml:space="preserve">Tai nulemta dar 5 % </w:t>
      </w:r>
      <w:r w:rsidR="00A064CC" w:rsidRPr="002133FB">
        <w:rPr>
          <w:rFonts w:cs="Times New Roman"/>
        </w:rPr>
        <w:t xml:space="preserve">pagal pasirašytas </w:t>
      </w:r>
      <w:r w:rsidR="00A064CC" w:rsidRPr="002133FB">
        <w:rPr>
          <w:rFonts w:cs="Times New Roman"/>
        </w:rPr>
        <w:lastRenderedPageBreak/>
        <w:t xml:space="preserve">įmokas </w:t>
      </w:r>
      <w:r w:rsidR="00C24977" w:rsidRPr="002133FB">
        <w:rPr>
          <w:rFonts w:cs="Times New Roman"/>
        </w:rPr>
        <w:t>susitraukusio sektoriaus. Nuostoliams dengti skirti rezervai jau buvo išnaudoti</w:t>
      </w:r>
      <w:r w:rsidR="002133FB">
        <w:rPr>
          <w:rFonts w:cs="Times New Roman"/>
        </w:rPr>
        <w:t xml:space="preserve"> iki 2009 m. pabaigos</w:t>
      </w:r>
      <w:r w:rsidR="00C24977" w:rsidRPr="002133FB">
        <w:rPr>
          <w:rFonts w:cs="Times New Roman"/>
        </w:rPr>
        <w:t>, tad tai neleido amortizuoti patiriamo nuostolio. Investicinėje veikloje draudimo įmonėms pavyko pasiekti 50 mln. Lt pelno, tačiau to neužteko padengti susidariusių nuostolių.</w:t>
      </w:r>
      <w:r w:rsidR="00F568D9" w:rsidRPr="002133FB">
        <w:rPr>
          <w:rFonts w:cs="Times New Roman"/>
        </w:rPr>
        <w:t xml:space="preserve"> Pernai draudikų patirtas bendras nuostolis siekė beveik 48 mln. Lt.</w:t>
      </w:r>
      <w:r w:rsidR="008B58DC" w:rsidRPr="002133FB">
        <w:rPr>
          <w:rFonts w:cs="Times New Roman"/>
        </w:rPr>
        <w:t xml:space="preserve"> Tai </w:t>
      </w:r>
      <w:r w:rsidR="00C47327">
        <w:rPr>
          <w:rFonts w:cs="Times New Roman"/>
        </w:rPr>
        <w:t>sąlygojo</w:t>
      </w:r>
      <w:r w:rsidR="008B58DC" w:rsidRPr="002133FB">
        <w:rPr>
          <w:rFonts w:cs="Times New Roman"/>
        </w:rPr>
        <w:t>, kaip minėta</w:t>
      </w:r>
      <w:r w:rsidR="00A651E2" w:rsidRPr="002133FB">
        <w:rPr>
          <w:rFonts w:cs="Times New Roman"/>
        </w:rPr>
        <w:t>, draudimo</w:t>
      </w:r>
      <w:r w:rsidR="008B58DC" w:rsidRPr="002133FB">
        <w:rPr>
          <w:rFonts w:cs="Times New Roman"/>
        </w:rPr>
        <w:t xml:space="preserve"> ekonomikos ciklo</w:t>
      </w:r>
      <w:r w:rsidR="00A651E2" w:rsidRPr="002133FB">
        <w:rPr>
          <w:rFonts w:cs="Times New Roman"/>
        </w:rPr>
        <w:t xml:space="preserve"> atsilikimas nuo visos šalies ūkio</w:t>
      </w:r>
      <w:r w:rsidR="008B58DC" w:rsidRPr="002133FB">
        <w:rPr>
          <w:rFonts w:cs="Times New Roman"/>
        </w:rPr>
        <w:t xml:space="preserve">. </w:t>
      </w:r>
      <w:r w:rsidR="00F270DB" w:rsidRPr="002133FB">
        <w:rPr>
          <w:rFonts w:cs="Times New Roman"/>
        </w:rPr>
        <w:t>Taigi n</w:t>
      </w:r>
      <w:r w:rsidR="008B58DC" w:rsidRPr="002133FB">
        <w:rPr>
          <w:rFonts w:cs="Times New Roman"/>
        </w:rPr>
        <w:t>ors 2011 m. draudimo rinka jau aug</w:t>
      </w:r>
      <w:r w:rsidR="00F270DB" w:rsidRPr="002133FB">
        <w:rPr>
          <w:rFonts w:cs="Times New Roman"/>
        </w:rPr>
        <w:t>o</w:t>
      </w:r>
      <w:r w:rsidR="008B58DC" w:rsidRPr="002133FB">
        <w:rPr>
          <w:rFonts w:cs="Times New Roman"/>
        </w:rPr>
        <w:t xml:space="preserve"> </w:t>
      </w:r>
      <w:r w:rsidR="00F270DB" w:rsidRPr="002133FB">
        <w:rPr>
          <w:rFonts w:cs="Times New Roman"/>
        </w:rPr>
        <w:t xml:space="preserve">ir </w:t>
      </w:r>
      <w:r w:rsidR="007A6DAE" w:rsidRPr="002133FB">
        <w:rPr>
          <w:rFonts w:cs="Times New Roman"/>
        </w:rPr>
        <w:t xml:space="preserve">atsigaunančios rinkos draudimo veiklos nuostoliai sumažėjo iki 38 mln. Lt (44 %), investicinės veiklos rezultatas  susitraukė net 5,4 karto, kas nulėmė ir </w:t>
      </w:r>
      <w:r w:rsidR="00F42831" w:rsidRPr="002133FB">
        <w:rPr>
          <w:rFonts w:cs="Times New Roman"/>
        </w:rPr>
        <w:t xml:space="preserve">neigiamą </w:t>
      </w:r>
      <w:r w:rsidR="007A6DAE" w:rsidRPr="002133FB">
        <w:rPr>
          <w:rFonts w:cs="Times New Roman"/>
        </w:rPr>
        <w:t xml:space="preserve">bendrojo pelningumo rodiklio reikšmę </w:t>
      </w:r>
      <w:r w:rsidR="00F42831" w:rsidRPr="002133FB">
        <w:rPr>
          <w:rFonts w:cs="Times New Roman"/>
        </w:rPr>
        <w:t>(</w:t>
      </w:r>
      <w:r w:rsidR="007A6DAE" w:rsidRPr="002133FB">
        <w:rPr>
          <w:rFonts w:cs="Times New Roman"/>
        </w:rPr>
        <w:t>-9,2 %</w:t>
      </w:r>
      <w:r w:rsidR="00F42831" w:rsidRPr="002133FB">
        <w:rPr>
          <w:rFonts w:cs="Times New Roman"/>
        </w:rPr>
        <w:t>)</w:t>
      </w:r>
      <w:r w:rsidR="007A6DAE" w:rsidRPr="002133FB">
        <w:rPr>
          <w:rFonts w:cs="Times New Roman"/>
        </w:rPr>
        <w:t>.</w:t>
      </w:r>
    </w:p>
    <w:p w:rsidR="009539D2" w:rsidRPr="00A40AB4" w:rsidRDefault="005D122F" w:rsidP="009539D2">
      <w:pPr>
        <w:ind w:firstLine="567"/>
        <w:jc w:val="both"/>
        <w:rPr>
          <w:rFonts w:cs="Times New Roman"/>
        </w:rPr>
      </w:pPr>
      <w:r w:rsidRPr="00761AF1">
        <w:rPr>
          <w:rFonts w:cs="Times New Roman"/>
          <w:b/>
          <w:u w:val="single"/>
        </w:rPr>
        <w:t>Nuosavo k</w:t>
      </w:r>
      <w:r w:rsidR="00B31F7D" w:rsidRPr="00761AF1">
        <w:rPr>
          <w:rFonts w:cs="Times New Roman"/>
          <w:b/>
          <w:u w:val="single"/>
        </w:rPr>
        <w:t>apitalo grąž</w:t>
      </w:r>
      <w:r w:rsidR="00C334C4" w:rsidRPr="00761AF1">
        <w:rPr>
          <w:rFonts w:cs="Times New Roman"/>
          <w:b/>
          <w:u w:val="single"/>
        </w:rPr>
        <w:t>a.</w:t>
      </w:r>
      <w:r w:rsidR="00027696" w:rsidRPr="00A40AB4">
        <w:rPr>
          <w:rFonts w:cs="Times New Roman"/>
        </w:rPr>
        <w:t xml:space="preserve"> </w:t>
      </w:r>
      <w:r w:rsidR="00C334C4" w:rsidRPr="00A40AB4">
        <w:rPr>
          <w:rFonts w:cs="Times New Roman"/>
        </w:rPr>
        <w:t xml:space="preserve">Šio </w:t>
      </w:r>
      <w:r w:rsidR="00027696" w:rsidRPr="00A40AB4">
        <w:rPr>
          <w:rFonts w:cs="Times New Roman"/>
        </w:rPr>
        <w:t xml:space="preserve">rodiklio dinamika 2006-2011 m. pavaizduota </w:t>
      </w:r>
      <w:r w:rsidR="00C9523B">
        <w:rPr>
          <w:rFonts w:cs="Times New Roman"/>
        </w:rPr>
        <w:t>15 pav</w:t>
      </w:r>
      <w:r w:rsidR="00C47327">
        <w:rPr>
          <w:rFonts w:cs="Times New Roman"/>
        </w:rPr>
        <w:t>eiksle</w:t>
      </w:r>
      <w:r w:rsidR="00027696" w:rsidRPr="00A40AB4">
        <w:rPr>
          <w:rFonts w:cs="Times New Roman"/>
        </w:rPr>
        <w:t>.</w:t>
      </w:r>
      <w:r w:rsidR="00134F4A" w:rsidRPr="00A40AB4">
        <w:rPr>
          <w:rFonts w:cs="Times New Roman"/>
        </w:rPr>
        <w:t xml:space="preserve"> </w:t>
      </w:r>
      <w:r w:rsidR="00540A90" w:rsidRPr="00A40AB4">
        <w:rPr>
          <w:rFonts w:cs="Times New Roman"/>
        </w:rPr>
        <w:t xml:space="preserve">2007 m. ne gyvybės draudikams uždirbus </w:t>
      </w:r>
      <w:r w:rsidR="00707645">
        <w:rPr>
          <w:rFonts w:cs="Times New Roman"/>
        </w:rPr>
        <w:t xml:space="preserve">net </w:t>
      </w:r>
      <w:r w:rsidR="00540A90" w:rsidRPr="00A40AB4">
        <w:rPr>
          <w:rFonts w:cs="Times New Roman"/>
        </w:rPr>
        <w:t xml:space="preserve">5 kartus daugiau pelno nuosavo kapitalo grąžos rodiklis tapo geras ir sudarė 19,1 %. </w:t>
      </w:r>
      <w:r w:rsidR="00554C9E" w:rsidRPr="00A40AB4">
        <w:rPr>
          <w:rFonts w:cs="Times New Roman"/>
        </w:rPr>
        <w:t xml:space="preserve">2008 m. sumažėjus pelnui atitinkamai </w:t>
      </w:r>
      <w:r w:rsidR="00707645">
        <w:rPr>
          <w:rFonts w:cs="Times New Roman"/>
        </w:rPr>
        <w:t xml:space="preserve">susitraukė </w:t>
      </w:r>
      <w:r w:rsidR="00554C9E" w:rsidRPr="00A40AB4">
        <w:rPr>
          <w:rFonts w:cs="Times New Roman"/>
        </w:rPr>
        <w:t xml:space="preserve">ir šis rodiklis – iki </w:t>
      </w:r>
      <w:r w:rsidR="009B04B6" w:rsidRPr="00A40AB4">
        <w:rPr>
          <w:rFonts w:cs="Times New Roman"/>
        </w:rPr>
        <w:t>12,8 %.</w:t>
      </w:r>
      <w:r w:rsidR="00E907FB" w:rsidRPr="00A40AB4">
        <w:rPr>
          <w:rFonts w:cs="Times New Roman"/>
        </w:rPr>
        <w:t xml:space="preserve"> </w:t>
      </w:r>
      <w:r w:rsidR="005268E4" w:rsidRPr="00A40AB4">
        <w:rPr>
          <w:rFonts w:cs="Times New Roman"/>
        </w:rPr>
        <w:t>2009 m. dėl sumažėjusio įstatinio kapitalo, atitinkamai susitraukė ir nuosavas kapitalas. Tačiau daugiau nei dukart mažiau uždirbto pelno nulėmė kapitalo grąžos sumažėjimą iki 7,5 %</w:t>
      </w:r>
      <w:r w:rsidR="000E3864" w:rsidRPr="00A40AB4">
        <w:rPr>
          <w:rFonts w:cs="Times New Roman"/>
        </w:rPr>
        <w:t xml:space="preserve">, t.y. nepatenkinamos ribos. </w:t>
      </w:r>
      <w:r w:rsidR="00CB45CF" w:rsidRPr="00A40AB4">
        <w:rPr>
          <w:rFonts w:cs="Times New Roman"/>
        </w:rPr>
        <w:t xml:space="preserve">Užpernai nuosavas kapitalas dar šiek tiek sumažėjo, o pelną pakeitė nuostolis, tad grąžos rodiklis tapo neigiamas (-3,3 %). </w:t>
      </w:r>
      <w:r w:rsidR="009539D2" w:rsidRPr="00A40AB4">
        <w:rPr>
          <w:rFonts w:cs="Times New Roman"/>
        </w:rPr>
        <w:t>2011 m. dėl didelio patirto nuostolio kapitalo pelningumo rodiklis dar labiau suprastėjo ir siekė</w:t>
      </w:r>
      <w:r w:rsidR="00160C14" w:rsidRPr="00A40AB4">
        <w:rPr>
          <w:rFonts w:cs="Times New Roman"/>
        </w:rPr>
        <w:t xml:space="preserve"> -</w:t>
      </w:r>
      <w:r w:rsidR="009539D2" w:rsidRPr="00A40AB4">
        <w:rPr>
          <w:rFonts w:cs="Times New Roman"/>
        </w:rPr>
        <w:t>11,9 %.</w:t>
      </w:r>
    </w:p>
    <w:p w:rsidR="00027696" w:rsidRPr="00A40AB4" w:rsidRDefault="00027696" w:rsidP="009539D2">
      <w:pPr>
        <w:ind w:firstLine="567"/>
        <w:jc w:val="both"/>
        <w:rPr>
          <w:rFonts w:cs="Times New Roman"/>
          <w:lang w:val="en-US"/>
        </w:rPr>
      </w:pPr>
      <w:r w:rsidRPr="00761AF1">
        <w:rPr>
          <w:rFonts w:cs="Times New Roman"/>
          <w:b/>
          <w:u w:val="single"/>
        </w:rPr>
        <w:t>Turto grąža</w:t>
      </w:r>
      <w:r w:rsidR="009539D2" w:rsidRPr="00761AF1">
        <w:rPr>
          <w:rFonts w:cs="Times New Roman"/>
          <w:b/>
          <w:u w:val="single"/>
        </w:rPr>
        <w:t>.</w:t>
      </w:r>
      <w:r w:rsidRPr="00A40AB4">
        <w:rPr>
          <w:rFonts w:cs="Times New Roman"/>
        </w:rPr>
        <w:t xml:space="preserve"> </w:t>
      </w:r>
      <w:r w:rsidR="009539D2" w:rsidRPr="00A40AB4">
        <w:rPr>
          <w:rFonts w:cs="Times New Roman"/>
        </w:rPr>
        <w:t>Šis rodiklis, parodantis</w:t>
      </w:r>
      <w:r w:rsidRPr="00A40AB4">
        <w:rPr>
          <w:rFonts w:cs="Times New Roman"/>
        </w:rPr>
        <w:t xml:space="preserve"> kaip efektyviai naudojamas turtas</w:t>
      </w:r>
      <w:r w:rsidR="009539D2" w:rsidRPr="00A40AB4">
        <w:rPr>
          <w:rFonts w:cs="Times New Roman"/>
        </w:rPr>
        <w:t xml:space="preserve">, taip pat parodytas </w:t>
      </w:r>
      <w:r w:rsidR="00C9523B">
        <w:rPr>
          <w:rFonts w:cs="Times New Roman"/>
        </w:rPr>
        <w:t>15 pav</w:t>
      </w:r>
      <w:r w:rsidR="0058643A">
        <w:rPr>
          <w:rFonts w:cs="Times New Roman"/>
        </w:rPr>
        <w:t>eiksle</w:t>
      </w:r>
      <w:r w:rsidR="009539D2" w:rsidRPr="00A40AB4">
        <w:rPr>
          <w:rFonts w:cs="Times New Roman"/>
        </w:rPr>
        <w:t xml:space="preserve">. </w:t>
      </w:r>
      <w:r w:rsidR="005975E4" w:rsidRPr="00A40AB4">
        <w:rPr>
          <w:rFonts w:cs="Times New Roman"/>
        </w:rPr>
        <w:t>2007 m., dėl tos pačios priežasties kaip ir be</w:t>
      </w:r>
      <w:r w:rsidR="0058643A">
        <w:rPr>
          <w:rFonts w:cs="Times New Roman"/>
        </w:rPr>
        <w:t>ndrasis bei kapitalo pelningumas</w:t>
      </w:r>
      <w:r w:rsidR="005975E4" w:rsidRPr="00A40AB4">
        <w:rPr>
          <w:rFonts w:cs="Times New Roman"/>
        </w:rPr>
        <w:t xml:space="preserve">, t.y. </w:t>
      </w:r>
      <w:r w:rsidR="0058643A">
        <w:rPr>
          <w:rFonts w:cs="Times New Roman"/>
        </w:rPr>
        <w:t xml:space="preserve">net </w:t>
      </w:r>
      <w:r w:rsidR="005975E4" w:rsidRPr="00A40AB4">
        <w:rPr>
          <w:rFonts w:cs="Times New Roman"/>
        </w:rPr>
        <w:t xml:space="preserve">5 kartus išaugusio pelno, turto grąžos rodiklis buvo didžiausias per visą 2006-2011 m. laikotarpį – 5,6 %. Vis dėlto, net ir </w:t>
      </w:r>
      <w:r w:rsidR="001E1969">
        <w:rPr>
          <w:rFonts w:cs="Times New Roman"/>
        </w:rPr>
        <w:t>tokia šio rodiklio reikšmė laikoma nepatenkinama</w:t>
      </w:r>
      <w:r w:rsidR="005975E4" w:rsidRPr="00A40AB4">
        <w:rPr>
          <w:rFonts w:cs="Times New Roman"/>
        </w:rPr>
        <w:t>. 2008 m. draudikų turtas išaugo, o pelnas sumažė</w:t>
      </w:r>
      <w:r w:rsidR="009972DD" w:rsidRPr="00A40AB4">
        <w:rPr>
          <w:rFonts w:cs="Times New Roman"/>
        </w:rPr>
        <w:t xml:space="preserve">jo, kas nulėmė 3,8 % turto grąžos rodiklį. </w:t>
      </w:r>
      <w:r w:rsidR="00BD53AC" w:rsidRPr="00A40AB4">
        <w:rPr>
          <w:rFonts w:cs="Times New Roman"/>
        </w:rPr>
        <w:t>Dar po metų turtas susitraukė kone ketvirtadaliu, tačiau pelnui ir toliau sparčiai mažėjant</w:t>
      </w:r>
      <w:r w:rsidR="00275F14" w:rsidRPr="00A40AB4">
        <w:rPr>
          <w:rFonts w:cs="Times New Roman"/>
        </w:rPr>
        <w:t>, ypač dėl augančių nuostolingumo rodiklių</w:t>
      </w:r>
      <w:r w:rsidR="00F9747E" w:rsidRPr="00A40AB4">
        <w:rPr>
          <w:rFonts w:cs="Times New Roman"/>
        </w:rPr>
        <w:t xml:space="preserve"> (sudėtinis </w:t>
      </w:r>
      <w:r w:rsidR="00193601" w:rsidRPr="00A40AB4">
        <w:rPr>
          <w:rFonts w:cs="Times New Roman"/>
        </w:rPr>
        <w:t xml:space="preserve">sąnaudų </w:t>
      </w:r>
      <w:r w:rsidR="00F9747E" w:rsidRPr="00A40AB4">
        <w:rPr>
          <w:rFonts w:cs="Times New Roman"/>
        </w:rPr>
        <w:t xml:space="preserve">rodiklis siekė 103,4 % – </w:t>
      </w:r>
      <w:r w:rsidR="00275F14" w:rsidRPr="00A40AB4">
        <w:rPr>
          <w:rFonts w:cs="Times New Roman"/>
        </w:rPr>
        <w:t>DPK</w:t>
      </w:r>
      <w:r w:rsidR="00F9747E" w:rsidRPr="00A40AB4">
        <w:rPr>
          <w:rFonts w:cs="Times New Roman"/>
        </w:rPr>
        <w:t>,</w:t>
      </w:r>
      <w:r w:rsidR="00275F14" w:rsidRPr="00A40AB4">
        <w:rPr>
          <w:rFonts w:cs="Times New Roman"/>
        </w:rPr>
        <w:t xml:space="preserve"> 2010)</w:t>
      </w:r>
      <w:r w:rsidR="00BD53AC" w:rsidRPr="00A40AB4">
        <w:rPr>
          <w:rFonts w:cs="Times New Roman"/>
        </w:rPr>
        <w:t xml:space="preserve"> turto grąža nukrito iki 2,5 %. </w:t>
      </w:r>
      <w:r w:rsidR="00193601" w:rsidRPr="00A40AB4">
        <w:rPr>
          <w:rFonts w:cs="Times New Roman"/>
        </w:rPr>
        <w:t xml:space="preserve">2010 m. turto </w:t>
      </w:r>
      <w:r w:rsidR="003A2A9B" w:rsidRPr="00A40AB4">
        <w:rPr>
          <w:rFonts w:cs="Times New Roman"/>
        </w:rPr>
        <w:t xml:space="preserve">vertė </w:t>
      </w:r>
      <w:r w:rsidR="00E132E7" w:rsidRPr="00A40AB4">
        <w:rPr>
          <w:rFonts w:cs="Times New Roman"/>
        </w:rPr>
        <w:t>išliko tokia pat</w:t>
      </w:r>
      <w:r w:rsidR="00193601" w:rsidRPr="00A40AB4">
        <w:rPr>
          <w:rFonts w:cs="Times New Roman"/>
        </w:rPr>
        <w:t>, tačiau pelną pakeitė 18 mln. Lt nuostolis. Be to, sudėtinis sąnaudų rodiklis pablogėjo iki 108,6 % (DPK, 2011).</w:t>
      </w:r>
      <w:r w:rsidR="008B1B11" w:rsidRPr="00A40AB4">
        <w:rPr>
          <w:rFonts w:cs="Times New Roman"/>
        </w:rPr>
        <w:t xml:space="preserve"> Taigi, savaime suprantama, turto grąža tapo neigiama ir sudarė -1,1 %.</w:t>
      </w:r>
      <w:r w:rsidR="00E132E7" w:rsidRPr="00A40AB4">
        <w:rPr>
          <w:rFonts w:cs="Times New Roman"/>
        </w:rPr>
        <w:t xml:space="preserve"> Pernai metais turtas sumažėjo dar penktadaliu, o nuostolis išaugo </w:t>
      </w:r>
      <w:r w:rsidR="00E132E7" w:rsidRPr="00A40AB4">
        <w:rPr>
          <w:rFonts w:cs="Times New Roman"/>
          <w:lang w:val="en-US"/>
        </w:rPr>
        <w:t xml:space="preserve">2,7 </w:t>
      </w:r>
      <w:r w:rsidR="00E132E7" w:rsidRPr="00A40AB4">
        <w:rPr>
          <w:rFonts w:cs="Times New Roman"/>
        </w:rPr>
        <w:t xml:space="preserve">karto, kas nulėmė blogiausią turto grąžos rodiklį per visą </w:t>
      </w:r>
      <w:r w:rsidR="00E132E7" w:rsidRPr="00A40AB4">
        <w:rPr>
          <w:rFonts w:cs="Times New Roman"/>
          <w:lang w:val="en-US"/>
        </w:rPr>
        <w:t xml:space="preserve">2006-2011 m. </w:t>
      </w:r>
      <w:r w:rsidR="00E132E7" w:rsidRPr="00A40AB4">
        <w:rPr>
          <w:rFonts w:cs="Times New Roman"/>
        </w:rPr>
        <w:t>laikotarpį (-4 %).</w:t>
      </w:r>
    </w:p>
    <w:p w:rsidR="00BF11F0" w:rsidRPr="00A40AB4" w:rsidRDefault="00160C14" w:rsidP="00BF11F0">
      <w:pPr>
        <w:ind w:firstLine="567"/>
        <w:jc w:val="both"/>
        <w:rPr>
          <w:rFonts w:cs="Times New Roman"/>
        </w:rPr>
      </w:pPr>
      <w:r w:rsidRPr="00A40AB4">
        <w:rPr>
          <w:rFonts w:cs="Times New Roman"/>
        </w:rPr>
        <w:t>Apibendrinant bendrojo, nuosavo kapitalo bei turto pelningumo rodiklius galima teigti, jog jie 2006-2011 m. kito panašiomis tendencijomis. 2007-2009 m. šie rodikliai atrodė visai neblogai, tačiau tai didele dalimi buvo įtakota nutarimo, pagal kurį per šiuos metus reikėjo palaipsniui panaikinti NSITA, kas atlaisvino dalį draudikų lėšų</w:t>
      </w:r>
      <w:r w:rsidR="00EE46F8" w:rsidRPr="00A40AB4">
        <w:rPr>
          <w:rFonts w:cs="Times New Roman"/>
        </w:rPr>
        <w:t xml:space="preserve"> bei mažino sąnaudas</w:t>
      </w:r>
      <w:r w:rsidRPr="00A40AB4">
        <w:rPr>
          <w:rFonts w:cs="Times New Roman"/>
        </w:rPr>
        <w:t xml:space="preserve">. Kita priežastis – draudimo ekonominio ciklo vėlavimas nuo </w:t>
      </w:r>
      <w:r w:rsidR="00EE46F8" w:rsidRPr="00A40AB4">
        <w:rPr>
          <w:rFonts w:cs="Times New Roman"/>
        </w:rPr>
        <w:t xml:space="preserve">šalies </w:t>
      </w:r>
      <w:r w:rsidRPr="00A40AB4">
        <w:rPr>
          <w:rFonts w:cs="Times New Roman"/>
        </w:rPr>
        <w:t xml:space="preserve">ekonomikos tendencijų. Tai matyti ir žvelgiant į </w:t>
      </w:r>
      <w:r w:rsidR="00EE46F8" w:rsidRPr="00A40AB4">
        <w:rPr>
          <w:rFonts w:cs="Times New Roman"/>
        </w:rPr>
        <w:t>2010-2011 m</w:t>
      </w:r>
      <w:r w:rsidRPr="00A40AB4">
        <w:rPr>
          <w:rFonts w:cs="Times New Roman"/>
        </w:rPr>
        <w:t>.</w:t>
      </w:r>
      <w:r w:rsidR="00EE46F8" w:rsidRPr="00A40AB4">
        <w:rPr>
          <w:rFonts w:cs="Times New Roman"/>
        </w:rPr>
        <w:t>, kai visi minėti rodikliai tapo neigiami, kadangi prieš tai buvusį pelną keitė didžiulis nuostolis iš draudimo veiklos ir gelbėjo tik pelninga investicinė veikla.</w:t>
      </w:r>
      <w:r w:rsidRPr="00A40AB4">
        <w:rPr>
          <w:rFonts w:cs="Times New Roman"/>
        </w:rPr>
        <w:t xml:space="preserve"> </w:t>
      </w:r>
      <w:r w:rsidR="00EE46F8" w:rsidRPr="00A40AB4">
        <w:rPr>
          <w:rFonts w:cs="Times New Roman"/>
        </w:rPr>
        <w:t>Taigi</w:t>
      </w:r>
      <w:r w:rsidRPr="00A40AB4">
        <w:rPr>
          <w:rFonts w:cs="Times New Roman"/>
        </w:rPr>
        <w:t xml:space="preserve"> tikėtina, jog 2012 m. </w:t>
      </w:r>
      <w:r w:rsidR="00EE46F8" w:rsidRPr="00A40AB4">
        <w:rPr>
          <w:rFonts w:cs="Times New Roman"/>
        </w:rPr>
        <w:t>bendrojo, kapitalo bei turto pelningumai turėtų išaugti</w:t>
      </w:r>
      <w:r w:rsidR="003C727C" w:rsidRPr="00A40AB4">
        <w:rPr>
          <w:rFonts w:cs="Times New Roman"/>
        </w:rPr>
        <w:t>,</w:t>
      </w:r>
      <w:r w:rsidR="00EE46F8" w:rsidRPr="00A40AB4">
        <w:rPr>
          <w:rFonts w:cs="Times New Roman"/>
        </w:rPr>
        <w:t xml:space="preserve"> </w:t>
      </w:r>
      <w:r w:rsidRPr="00A40AB4">
        <w:rPr>
          <w:rFonts w:cs="Times New Roman"/>
        </w:rPr>
        <w:t>kadangi pernai ne gyvybės draudimo rinka jau demonstravo atsigavimą</w:t>
      </w:r>
      <w:r w:rsidR="003C727C" w:rsidRPr="00A40AB4">
        <w:rPr>
          <w:rFonts w:cs="Times New Roman"/>
        </w:rPr>
        <w:t xml:space="preserve"> ir augimą</w:t>
      </w:r>
      <w:r w:rsidRPr="00A40AB4">
        <w:rPr>
          <w:rFonts w:cs="Times New Roman"/>
        </w:rPr>
        <w:t>.</w:t>
      </w:r>
    </w:p>
    <w:p w:rsidR="00BF11F0" w:rsidRDefault="006308D9" w:rsidP="00BF11F0">
      <w:pPr>
        <w:ind w:firstLine="567"/>
        <w:jc w:val="both"/>
        <w:rPr>
          <w:rFonts w:cs="Times New Roman"/>
        </w:rPr>
      </w:pPr>
      <w:r w:rsidRPr="00761AF1">
        <w:rPr>
          <w:rFonts w:cs="Times New Roman"/>
          <w:b/>
          <w:u w:val="single"/>
        </w:rPr>
        <w:lastRenderedPageBreak/>
        <w:t>Mokumas</w:t>
      </w:r>
      <w:r w:rsidR="00567870">
        <w:rPr>
          <w:rFonts w:cs="Times New Roman"/>
        </w:rPr>
        <w:t xml:space="preserve"> </w:t>
      </w:r>
      <w:r w:rsidR="00BF11F0" w:rsidRPr="00A40AB4">
        <w:rPr>
          <w:rFonts w:cs="Times New Roman"/>
        </w:rPr>
        <w:t xml:space="preserve">– </w:t>
      </w:r>
      <w:r w:rsidR="004D2ACA">
        <w:rPr>
          <w:rFonts w:cs="Times New Roman"/>
        </w:rPr>
        <w:t>vienas iš svarbiausių</w:t>
      </w:r>
      <w:r w:rsidR="00BF11F0" w:rsidRPr="00A40AB4">
        <w:rPr>
          <w:rFonts w:cs="Times New Roman"/>
        </w:rPr>
        <w:t xml:space="preserve"> draudikų finansinio s</w:t>
      </w:r>
      <w:r w:rsidR="004D2ACA">
        <w:rPr>
          <w:rFonts w:cs="Times New Roman"/>
        </w:rPr>
        <w:t>tabilumo bei patikimumo rodiklių</w:t>
      </w:r>
      <w:r w:rsidR="00BF11F0" w:rsidRPr="00A40AB4">
        <w:rPr>
          <w:rFonts w:cs="Times New Roman"/>
        </w:rPr>
        <w:t>.</w:t>
      </w:r>
      <w:r w:rsidR="00163112" w:rsidRPr="00A40AB4">
        <w:rPr>
          <w:rFonts w:cs="Times New Roman"/>
        </w:rPr>
        <w:t xml:space="preserve"> </w:t>
      </w:r>
      <w:r w:rsidR="00403101">
        <w:rPr>
          <w:rFonts w:cs="Times New Roman"/>
        </w:rPr>
        <w:t>Šis rodiklis</w:t>
      </w:r>
      <w:r w:rsidR="00163112" w:rsidRPr="00A40AB4">
        <w:rPr>
          <w:rFonts w:cs="Times New Roman"/>
        </w:rPr>
        <w:t xml:space="preserve"> </w:t>
      </w:r>
      <w:r w:rsidR="00567870">
        <w:rPr>
          <w:rFonts w:cs="Times New Roman"/>
        </w:rPr>
        <w:t>ap</w:t>
      </w:r>
      <w:r w:rsidR="00163112" w:rsidRPr="00A40AB4">
        <w:rPr>
          <w:rFonts w:cs="Times New Roman"/>
        </w:rPr>
        <w:t>s</w:t>
      </w:r>
      <w:r w:rsidR="00567870">
        <w:rPr>
          <w:rFonts w:cs="Times New Roman"/>
        </w:rPr>
        <w:t>kaičiuojamas pagal DPK išleistų nutarimų metodiką</w:t>
      </w:r>
      <w:r w:rsidR="00163112" w:rsidRPr="00A40AB4">
        <w:rPr>
          <w:rFonts w:cs="Times New Roman"/>
        </w:rPr>
        <w:t xml:space="preserve"> turimą mokumo atsargą dalinant iš būtinosios. Lietuvos ne gyvybės draudikų mokumo koeficientas parodytas </w:t>
      </w:r>
      <w:r w:rsidR="00C9523B">
        <w:rPr>
          <w:rFonts w:cs="Times New Roman"/>
        </w:rPr>
        <w:t>16 pav</w:t>
      </w:r>
      <w:r w:rsidR="00163112" w:rsidRPr="00A40AB4">
        <w:rPr>
          <w:rFonts w:cs="Times New Roman"/>
        </w:rPr>
        <w:t>.</w:t>
      </w:r>
    </w:p>
    <w:p w:rsidR="004D2ACA" w:rsidRPr="00A40AB4" w:rsidRDefault="004D2ACA" w:rsidP="00BF11F0">
      <w:pPr>
        <w:ind w:firstLine="567"/>
        <w:jc w:val="both"/>
        <w:rPr>
          <w:rFonts w:cs="Times New Roman"/>
        </w:rPr>
      </w:pPr>
    </w:p>
    <w:p w:rsidR="004773CE" w:rsidRPr="00A40AB4" w:rsidRDefault="004773CE" w:rsidP="004773CE">
      <w:pPr>
        <w:jc w:val="center"/>
      </w:pPr>
      <w:r w:rsidRPr="00A40AB4">
        <w:rPr>
          <w:noProof/>
          <w:lang w:eastAsia="lt-LT"/>
        </w:rPr>
        <w:drawing>
          <wp:inline distT="0" distB="0" distL="0" distR="0">
            <wp:extent cx="4045151" cy="2107581"/>
            <wp:effectExtent l="19050" t="0" r="12499" b="6969"/>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773CE" w:rsidRPr="00A40AB4" w:rsidRDefault="004773CE" w:rsidP="004773CE">
      <w:pPr>
        <w:jc w:val="center"/>
        <w:rPr>
          <w:rFonts w:cs="Times New Roman"/>
          <w:sz w:val="20"/>
          <w:szCs w:val="20"/>
        </w:rPr>
      </w:pPr>
      <w:r w:rsidRPr="00A40AB4">
        <w:rPr>
          <w:rFonts w:cs="Times New Roman"/>
          <w:b/>
          <w:sz w:val="20"/>
          <w:szCs w:val="20"/>
        </w:rPr>
        <w:t xml:space="preserve">Šaltinis: </w:t>
      </w:r>
      <w:r w:rsidRPr="00A40AB4">
        <w:rPr>
          <w:rFonts w:cs="Times New Roman"/>
          <w:sz w:val="20"/>
          <w:szCs w:val="20"/>
        </w:rPr>
        <w:t>apskaičiuota ir sudaryta remiantis DPK,</w:t>
      </w:r>
      <w:r w:rsidRPr="00A40AB4">
        <w:rPr>
          <w:rFonts w:cs="Times New Roman"/>
          <w:sz w:val="20"/>
          <w:szCs w:val="20"/>
          <w:lang w:val="en-US"/>
        </w:rPr>
        <w:t xml:space="preserve"> 2004, 2009, 2011, 2012.</w:t>
      </w:r>
    </w:p>
    <w:p w:rsidR="0000122E" w:rsidRPr="00A40AB4" w:rsidRDefault="00C9523B" w:rsidP="0000122E">
      <w:pPr>
        <w:pStyle w:val="Heading2"/>
        <w:spacing w:line="360" w:lineRule="auto"/>
        <w:ind w:firstLine="0"/>
      </w:pPr>
      <w:bookmarkStart w:id="241" w:name="_Toc340573851"/>
      <w:bookmarkStart w:id="242" w:name="_Toc340574121"/>
      <w:bookmarkStart w:id="243" w:name="_Toc340574396"/>
      <w:bookmarkStart w:id="244" w:name="_Toc340792034"/>
      <w:bookmarkStart w:id="245" w:name="_Toc341641132"/>
      <w:bookmarkStart w:id="246" w:name="_Toc341641383"/>
      <w:bookmarkStart w:id="247" w:name="_Toc342859671"/>
      <w:r>
        <w:t>16 pav</w:t>
      </w:r>
      <w:r w:rsidR="0000122E" w:rsidRPr="00A40AB4">
        <w:t xml:space="preserve">. Agreguotas ne gyvybės draudimo rinkos mokumo koeficientas </w:t>
      </w:r>
      <w:r w:rsidR="0000122E" w:rsidRPr="00A40AB4">
        <w:rPr>
          <w:lang w:val="en-US"/>
        </w:rPr>
        <w:t>2006-2011 m.</w:t>
      </w:r>
      <w:bookmarkEnd w:id="241"/>
      <w:bookmarkEnd w:id="242"/>
      <w:bookmarkEnd w:id="243"/>
      <w:bookmarkEnd w:id="244"/>
      <w:bookmarkEnd w:id="245"/>
      <w:bookmarkEnd w:id="246"/>
      <w:bookmarkEnd w:id="247"/>
    </w:p>
    <w:p w:rsidR="00BF11F0" w:rsidRPr="00A40AB4" w:rsidRDefault="00BF11F0" w:rsidP="00BF11F0">
      <w:pPr>
        <w:ind w:firstLine="567"/>
        <w:jc w:val="both"/>
        <w:rPr>
          <w:rFonts w:cs="Times New Roman"/>
        </w:rPr>
      </w:pPr>
    </w:p>
    <w:p w:rsidR="007048BC" w:rsidRPr="00A40AB4" w:rsidRDefault="00AD7AF0" w:rsidP="00BF11F0">
      <w:pPr>
        <w:ind w:firstLine="567"/>
        <w:jc w:val="both"/>
        <w:rPr>
          <w:rFonts w:cs="Times New Roman"/>
        </w:rPr>
      </w:pPr>
      <w:r w:rsidRPr="00A40AB4">
        <w:rPr>
          <w:rFonts w:cs="Times New Roman"/>
        </w:rPr>
        <w:t xml:space="preserve">Iš </w:t>
      </w:r>
      <w:r w:rsidR="00C9523B">
        <w:rPr>
          <w:rFonts w:cs="Times New Roman"/>
        </w:rPr>
        <w:t>16 pav</w:t>
      </w:r>
      <w:r w:rsidRPr="00A40AB4">
        <w:rPr>
          <w:rFonts w:cs="Times New Roman"/>
        </w:rPr>
        <w:t>eikslo galima matyti, jog ne gyvybės draudikų agreguotas mokumo koeficientas per pastaruosius 6 metus svyravo 2,2</w:t>
      </w:r>
      <w:r w:rsidR="00B276FC" w:rsidRPr="00A40AB4">
        <w:rPr>
          <w:rFonts w:cs="Times New Roman"/>
        </w:rPr>
        <w:t>-</w:t>
      </w:r>
      <w:r w:rsidRPr="00A40AB4">
        <w:rPr>
          <w:rFonts w:cs="Times New Roman"/>
        </w:rPr>
        <w:t>2,5 intervale</w:t>
      </w:r>
      <w:r w:rsidR="00044B14" w:rsidRPr="00A40AB4">
        <w:rPr>
          <w:rFonts w:cs="Times New Roman"/>
        </w:rPr>
        <w:t xml:space="preserve"> ir, nepaisant ekonominės krizės, turi augimo tendenciją</w:t>
      </w:r>
      <w:r w:rsidR="00905F02" w:rsidRPr="00A40AB4">
        <w:rPr>
          <w:rFonts w:cs="Times New Roman"/>
        </w:rPr>
        <w:t xml:space="preserve">. </w:t>
      </w:r>
      <w:r w:rsidR="007048BC" w:rsidRPr="00A40AB4">
        <w:rPr>
          <w:rFonts w:cs="Times New Roman"/>
        </w:rPr>
        <w:t>2006</w:t>
      </w:r>
      <w:r w:rsidR="00F47004" w:rsidRPr="00A40AB4">
        <w:rPr>
          <w:rFonts w:cs="Times New Roman"/>
        </w:rPr>
        <w:t xml:space="preserve">-2008 m. mokumo rodiklį palaikė aukštas nuosavo kapitalo lygis, didinantis turimą mokumo atsargą. 2009 m. koeficientui tik nežymiai nukristi leido </w:t>
      </w:r>
      <w:r w:rsidR="00035E26" w:rsidRPr="00A40AB4">
        <w:rPr>
          <w:rFonts w:cs="Times New Roman"/>
        </w:rPr>
        <w:t>besitraukianti draudimo rinka</w:t>
      </w:r>
      <w:r w:rsidR="00F47004" w:rsidRPr="00A40AB4">
        <w:rPr>
          <w:rFonts w:cs="Times New Roman"/>
        </w:rPr>
        <w:t xml:space="preserve">, </w:t>
      </w:r>
      <w:r w:rsidR="001E4136" w:rsidRPr="00A40AB4">
        <w:rPr>
          <w:rFonts w:cs="Times New Roman"/>
        </w:rPr>
        <w:t xml:space="preserve">kas </w:t>
      </w:r>
      <w:r w:rsidR="00F47004" w:rsidRPr="00A40AB4">
        <w:rPr>
          <w:rFonts w:cs="Times New Roman"/>
        </w:rPr>
        <w:t>mažina būtinąją mokumo atsargą bei gana žemas nematerialiojo turto, mažinančio turimą atsargą, dydis.</w:t>
      </w:r>
      <w:r w:rsidR="00035E26" w:rsidRPr="00A40AB4">
        <w:rPr>
          <w:rFonts w:cs="Times New Roman"/>
        </w:rPr>
        <w:t xml:space="preserve"> 2010 ir 2011 m. įmonės padidino programinės įrangos dalį (t.y. nematerialusis turtas), tačiau iš esmės mokumo rodiklis padidėjo mažėjant draudimo veiklos apimčiai.</w:t>
      </w:r>
    </w:p>
    <w:p w:rsidR="00FA4F26" w:rsidRPr="00A40AB4" w:rsidRDefault="001E4136" w:rsidP="00FB21D8">
      <w:pPr>
        <w:ind w:firstLine="567"/>
        <w:jc w:val="both"/>
        <w:rPr>
          <w:rFonts w:cs="Times New Roman"/>
        </w:rPr>
      </w:pPr>
      <w:r w:rsidRPr="00A40AB4">
        <w:rPr>
          <w:rFonts w:cs="Times New Roman"/>
        </w:rPr>
        <w:t xml:space="preserve">Mokumo </w:t>
      </w:r>
      <w:r w:rsidR="00905F02" w:rsidRPr="00A40AB4">
        <w:rPr>
          <w:rFonts w:cs="Times New Roman"/>
        </w:rPr>
        <w:t xml:space="preserve">koeficientas </w:t>
      </w:r>
      <w:r w:rsidR="00F37D2A" w:rsidRPr="00A40AB4">
        <w:rPr>
          <w:rFonts w:cs="Times New Roman"/>
        </w:rPr>
        <w:t xml:space="preserve">visą 2006-2011 m. laikotarpį </w:t>
      </w:r>
      <w:r w:rsidR="00801D7A" w:rsidRPr="00A40AB4">
        <w:rPr>
          <w:rFonts w:cs="Times New Roman"/>
        </w:rPr>
        <w:t>viršijo 2.</w:t>
      </w:r>
      <w:r w:rsidR="002142C4" w:rsidRPr="00A40AB4">
        <w:rPr>
          <w:rFonts w:cs="Times New Roman"/>
        </w:rPr>
        <w:t xml:space="preserve"> </w:t>
      </w:r>
      <w:r w:rsidR="00801D7A" w:rsidRPr="00A40AB4">
        <w:rPr>
          <w:rFonts w:cs="Times New Roman"/>
        </w:rPr>
        <w:t xml:space="preserve">Taigi rodiklis daugiau nei dukart viršijo minimalų leistiną, o </w:t>
      </w:r>
      <w:r w:rsidR="002142C4" w:rsidRPr="00A40AB4">
        <w:rPr>
          <w:rFonts w:cs="Times New Roman"/>
        </w:rPr>
        <w:t>draudimo rinką galima vertinti</w:t>
      </w:r>
      <w:r w:rsidR="00905F02" w:rsidRPr="00A40AB4">
        <w:rPr>
          <w:rFonts w:cs="Times New Roman"/>
        </w:rPr>
        <w:t xml:space="preserve"> kaip stabili</w:t>
      </w:r>
      <w:r w:rsidR="002142C4" w:rsidRPr="00A40AB4">
        <w:rPr>
          <w:rFonts w:cs="Times New Roman"/>
        </w:rPr>
        <w:t>ą</w:t>
      </w:r>
      <w:r w:rsidR="00905F02" w:rsidRPr="00A40AB4">
        <w:rPr>
          <w:rFonts w:cs="Times New Roman"/>
        </w:rPr>
        <w:t>.</w:t>
      </w:r>
      <w:r w:rsidR="00044B14" w:rsidRPr="00A40AB4">
        <w:rPr>
          <w:rFonts w:cs="Times New Roman"/>
        </w:rPr>
        <w:t xml:space="preserve"> </w:t>
      </w:r>
      <w:r w:rsidR="00B24C2D" w:rsidRPr="00A40AB4">
        <w:rPr>
          <w:rFonts w:cs="Times New Roman"/>
        </w:rPr>
        <w:t>Š</w:t>
      </w:r>
      <w:r w:rsidR="00905F02" w:rsidRPr="00A40AB4">
        <w:rPr>
          <w:rFonts w:cs="Times New Roman"/>
        </w:rPr>
        <w:t>io rodiklio dinamika byloja</w:t>
      </w:r>
      <w:r w:rsidR="00044B14" w:rsidRPr="00A40AB4">
        <w:rPr>
          <w:rFonts w:cs="Times New Roman"/>
        </w:rPr>
        <w:t xml:space="preserve"> apie didėjantį ne gyvybės draudimo sektoriaus finansinį stabilumą</w:t>
      </w:r>
      <w:r w:rsidR="00905F02" w:rsidRPr="00A40AB4">
        <w:rPr>
          <w:rFonts w:cs="Times New Roman"/>
        </w:rPr>
        <w:t xml:space="preserve"> ir rodo, kad draudikai</w:t>
      </w:r>
      <w:r w:rsidR="00B24C2D" w:rsidRPr="00A40AB4">
        <w:rPr>
          <w:rFonts w:cs="Times New Roman"/>
        </w:rPr>
        <w:t>, nepaisant šalį sukrėtusios ekonominės krizės,</w:t>
      </w:r>
      <w:r w:rsidR="00905F02" w:rsidRPr="00A40AB4">
        <w:rPr>
          <w:rFonts w:cs="Times New Roman"/>
        </w:rPr>
        <w:t xml:space="preserve"> turi pakankamai kapitalo atsargų bei jas efektyviai valdo, taip užtikrindami tinkamą </w:t>
      </w:r>
      <w:r w:rsidR="005B3787" w:rsidRPr="00A40AB4">
        <w:rPr>
          <w:rFonts w:cs="Times New Roman"/>
        </w:rPr>
        <w:t>su draudimo sutartimis susijusių</w:t>
      </w:r>
      <w:r w:rsidR="00905F02" w:rsidRPr="00A40AB4">
        <w:rPr>
          <w:rFonts w:cs="Times New Roman"/>
        </w:rPr>
        <w:t xml:space="preserve"> įsipareigojimų vykdymą.</w:t>
      </w:r>
    </w:p>
    <w:p w:rsidR="004F1199" w:rsidRDefault="004F1199" w:rsidP="00473CC1">
      <w:pPr>
        <w:ind w:firstLine="567"/>
        <w:jc w:val="both"/>
        <w:rPr>
          <w:rFonts w:cs="Times New Roman"/>
        </w:rPr>
      </w:pPr>
      <w:bookmarkStart w:id="248" w:name="OLE_LINK5"/>
      <w:bookmarkStart w:id="249" w:name="OLE_LINK8"/>
    </w:p>
    <w:p w:rsidR="00473CC1" w:rsidRPr="00A40AB4" w:rsidRDefault="00473CC1" w:rsidP="00473CC1">
      <w:pPr>
        <w:ind w:firstLine="567"/>
        <w:jc w:val="both"/>
        <w:rPr>
          <w:rFonts w:cs="Times New Roman"/>
        </w:rPr>
      </w:pPr>
      <w:r w:rsidRPr="00A40AB4">
        <w:rPr>
          <w:rFonts w:cs="Times New Roman"/>
        </w:rPr>
        <w:t xml:space="preserve">Apibendrinant situaciją, galima konstatuoti, jog </w:t>
      </w:r>
      <w:r w:rsidR="00176065">
        <w:rPr>
          <w:rFonts w:cs="Times New Roman"/>
        </w:rPr>
        <w:t xml:space="preserve">mūsų šalies ne gyvybės draudimo sektorius </w:t>
      </w:r>
      <w:r w:rsidRPr="00A40AB4">
        <w:rPr>
          <w:rFonts w:cs="Times New Roman"/>
        </w:rPr>
        <w:t xml:space="preserve">išlaikė dominuojančią padėtį gyvybės draudimo </w:t>
      </w:r>
      <w:r w:rsidR="00176065">
        <w:rPr>
          <w:rFonts w:cs="Times New Roman"/>
        </w:rPr>
        <w:t xml:space="preserve">rinkos </w:t>
      </w:r>
      <w:r w:rsidRPr="00A40AB4">
        <w:rPr>
          <w:rFonts w:cs="Times New Roman"/>
        </w:rPr>
        <w:t xml:space="preserve">atžvilgiu. Po itin spartaus augimo ekonomikos pakilimo laikotarpiu 2009 m. ypač skaudžiai sudavė šiam sektoriui ir jis susitraukė net 30 %. 2010 m. rinka atlaikiusi krizę stabilizavosi ir pradėjo vėl augti. Vertėtų pažymėti, jog ne gyvybės draudimo sektorius netgi padėjo absorbuoti dalį neigiamų krizės padarinių kitoms šalies ūkio šakoms per komercinio draudimo produktus. Draudikai krizės metu išliko mokūs ir vykdė visus su draudimo sutartimis susijusius įsipareigojimus, kas byloja apie sektoriaus stabilumą, pakankamą kapitalo atsargų </w:t>
      </w:r>
      <w:r w:rsidRPr="00A40AB4">
        <w:rPr>
          <w:rFonts w:cs="Times New Roman"/>
        </w:rPr>
        <w:lastRenderedPageBreak/>
        <w:t xml:space="preserve">kiekį bei jų efektyvų valdymą. Sušvelninti krizės padarinius draudikams padėjo tai, jog net ir sumažėjus naujai sudaromoms sutartims pajamos buvo uždirbamos iš sudarytų anksčiau. Kitas veiksnys – dėl susitraukusios draudimo rinkos sumažėję techniniai atidėjiniai, leidę atlaisvinti dalį lėšų, taip pat palaipsniui </w:t>
      </w:r>
      <w:r w:rsidRPr="00A40AB4">
        <w:rPr>
          <w:rFonts w:cs="Times New Roman"/>
          <w:lang w:val="en-US"/>
        </w:rPr>
        <w:t xml:space="preserve">2007-2009 m. </w:t>
      </w:r>
      <w:r w:rsidRPr="00A40AB4">
        <w:rPr>
          <w:rFonts w:cs="Times New Roman"/>
        </w:rPr>
        <w:t>vykdytas NSITA panaikinimas. Sumažinti nuostolius krizės metu draudimo įmonėms padėjo ir pakankamai sėkminga investicinė veikla.</w:t>
      </w:r>
    </w:p>
    <w:p w:rsidR="00473CC1" w:rsidRPr="00A40AB4" w:rsidRDefault="00473CC1" w:rsidP="00473CC1">
      <w:pPr>
        <w:ind w:firstLine="567"/>
        <w:jc w:val="both"/>
        <w:rPr>
          <w:rFonts w:cs="Times New Roman"/>
        </w:rPr>
      </w:pPr>
      <w:r w:rsidRPr="00A40AB4">
        <w:rPr>
          <w:rFonts w:cs="Times New Roman"/>
        </w:rPr>
        <w:t xml:space="preserve">Nors nuo </w:t>
      </w:r>
      <w:r w:rsidRPr="00A40AB4">
        <w:rPr>
          <w:rFonts w:cs="Times New Roman"/>
          <w:lang w:val="en-US"/>
        </w:rPr>
        <w:t xml:space="preserve">2010 m. </w:t>
      </w:r>
      <w:r w:rsidRPr="00A40AB4">
        <w:rPr>
          <w:rFonts w:cs="Times New Roman"/>
        </w:rPr>
        <w:t>šis sektorius ir vėl ėmė augti, netiesioginiai draudimo rinkos išsivystymo rodikliai byloja apie tai, jog mūsų šalies ne gyvybės draudimo rinka smarkiai atsilieka ne tik pasaulio, bet ir VRE regiono kontekste. Taigi rinka turi didelį plėtros potencialą ir palaipsniui turėtų bent jau priartėti prie VRE regiono vidurkio.</w:t>
      </w:r>
    </w:p>
    <w:bookmarkEnd w:id="248"/>
    <w:bookmarkEnd w:id="249"/>
    <w:p w:rsidR="00EE6597" w:rsidRPr="00A40AB4" w:rsidRDefault="00EE6597" w:rsidP="00FB21D8">
      <w:pPr>
        <w:ind w:firstLine="567"/>
        <w:jc w:val="both"/>
        <w:rPr>
          <w:rFonts w:cs="Times New Roman"/>
        </w:rPr>
      </w:pPr>
    </w:p>
    <w:p w:rsidR="00EE6597" w:rsidRDefault="00EE6597" w:rsidP="0000122E">
      <w:pPr>
        <w:pStyle w:val="Heading2"/>
        <w:spacing w:line="360" w:lineRule="auto"/>
        <w:ind w:left="567" w:firstLine="0"/>
        <w:jc w:val="both"/>
        <w:rPr>
          <w:sz w:val="28"/>
        </w:rPr>
      </w:pPr>
      <w:bookmarkStart w:id="250" w:name="_Toc340574397"/>
      <w:bookmarkStart w:id="251" w:name="_Toc340574713"/>
      <w:bookmarkStart w:id="252" w:name="_Toc341641384"/>
      <w:bookmarkStart w:id="253" w:name="_Toc342859672"/>
      <w:r w:rsidRPr="00A40AB4">
        <w:rPr>
          <w:sz w:val="28"/>
        </w:rPr>
        <w:t>3.</w:t>
      </w:r>
      <w:r w:rsidR="00CE68D5">
        <w:rPr>
          <w:sz w:val="28"/>
        </w:rPr>
        <w:t>2</w:t>
      </w:r>
      <w:r w:rsidRPr="00A40AB4">
        <w:rPr>
          <w:sz w:val="28"/>
        </w:rPr>
        <w:t xml:space="preserve">. </w:t>
      </w:r>
      <w:r>
        <w:rPr>
          <w:sz w:val="28"/>
        </w:rPr>
        <w:t>PEST</w:t>
      </w:r>
      <w:r w:rsidRPr="00A40AB4">
        <w:rPr>
          <w:sz w:val="28"/>
        </w:rPr>
        <w:t xml:space="preserve"> analizė</w:t>
      </w:r>
      <w:bookmarkEnd w:id="250"/>
      <w:bookmarkEnd w:id="251"/>
      <w:bookmarkEnd w:id="252"/>
      <w:bookmarkEnd w:id="253"/>
    </w:p>
    <w:p w:rsidR="00EE6597" w:rsidRPr="00EE6597" w:rsidRDefault="00EE6597" w:rsidP="00EE6597"/>
    <w:p w:rsidR="00E06B50" w:rsidRPr="00A40AB4" w:rsidRDefault="00E06B50" w:rsidP="0069503A">
      <w:pPr>
        <w:ind w:firstLine="567"/>
        <w:jc w:val="both"/>
        <w:rPr>
          <w:rFonts w:cs="Times New Roman"/>
        </w:rPr>
      </w:pPr>
      <w:r w:rsidRPr="00A40AB4">
        <w:rPr>
          <w:rFonts w:cs="Times New Roman"/>
        </w:rPr>
        <w:t xml:space="preserve">Remiantis apžvelgta literatūra bei </w:t>
      </w:r>
      <w:r w:rsidR="003176F0" w:rsidRPr="00A40AB4">
        <w:rPr>
          <w:rFonts w:cs="Times New Roman"/>
        </w:rPr>
        <w:t>1 lentelėje nurodytais klausimais toliau darbe apžvelgiami politiniai bei teisiniai, ekonominiai, socialiniai bei kultūriniai, technologiniai veiksniai, sąlygojantys ne gyvybės draudi</w:t>
      </w:r>
      <w:r w:rsidR="00B95674">
        <w:rPr>
          <w:rFonts w:cs="Times New Roman"/>
        </w:rPr>
        <w:t>mo sektoriaus plėtrą Lietuvoje.</w:t>
      </w:r>
    </w:p>
    <w:p w:rsidR="000F0C14" w:rsidRPr="009E3614" w:rsidRDefault="00564ED4" w:rsidP="00FB21D8">
      <w:pPr>
        <w:ind w:firstLine="567"/>
        <w:jc w:val="both"/>
      </w:pPr>
      <w:r w:rsidRPr="00C16925">
        <w:rPr>
          <w:b/>
          <w:u w:val="single"/>
        </w:rPr>
        <w:t>Politinė ir teisinė aplinka</w:t>
      </w:r>
      <w:r w:rsidR="00F3529C" w:rsidRPr="00C16925">
        <w:rPr>
          <w:b/>
          <w:u w:val="single"/>
        </w:rPr>
        <w:t>.</w:t>
      </w:r>
      <w:r w:rsidR="004D7C93" w:rsidRPr="009E3614">
        <w:t xml:space="preserve"> Lietuvos politinė aplinka yra gana nestabili. Per 22 nepriklausomybės metus kone po kiekvienų rinkimų keitėsi politinės jėgos – </w:t>
      </w:r>
      <w:r w:rsidR="003664E4">
        <w:t>dešiniosios partijos, kurios</w:t>
      </w:r>
      <w:r w:rsidR="004D7C93" w:rsidRPr="009E3614">
        <w:t xml:space="preserve"> orientuojasi į kapi</w:t>
      </w:r>
      <w:r w:rsidR="003664E4">
        <w:t xml:space="preserve">talo politiką, </w:t>
      </w:r>
      <w:r w:rsidR="00277649">
        <w:t xml:space="preserve">vyriausybėje </w:t>
      </w:r>
      <w:r w:rsidR="003664E4">
        <w:t>keitė kairiąsias, besiorientuojančia</w:t>
      </w:r>
      <w:r w:rsidR="004D7C93" w:rsidRPr="009E3614">
        <w:t>s į socialinę politiką, ir atvirkščiai.</w:t>
      </w:r>
      <w:r w:rsidR="003A0738" w:rsidRPr="009E3614">
        <w:t xml:space="preserve"> Istorija parodė, jog besikeičiančios </w:t>
      </w:r>
      <w:r w:rsidR="00A01776" w:rsidRPr="009E3614">
        <w:t>valdančiosios partijos dažnai gana radikaliai keitė prieš tai buvusios vyriausybės mokesčių politiką, likviduodavo ir keisdavo kitais valstybei strategiškai svarbius projektus (pvz. energetikos srityje)</w:t>
      </w:r>
      <w:r w:rsidR="00A9301F" w:rsidRPr="009E3614">
        <w:t xml:space="preserve">. Prieš artėjančius rinkimus </w:t>
      </w:r>
      <w:r w:rsidR="008807D0" w:rsidRPr="009E3614">
        <w:t xml:space="preserve">nevengta </w:t>
      </w:r>
      <w:r w:rsidR="00A9301F" w:rsidRPr="009E3614">
        <w:t>populistin</w:t>
      </w:r>
      <w:r w:rsidR="008807D0" w:rsidRPr="009E3614">
        <w:t xml:space="preserve">ių, tačiau </w:t>
      </w:r>
      <w:r w:rsidR="009B3C67">
        <w:t xml:space="preserve">šalies </w:t>
      </w:r>
      <w:r w:rsidR="008807D0" w:rsidRPr="009E3614">
        <w:t>ekonomikai</w:t>
      </w:r>
      <w:r w:rsidR="00A9301F" w:rsidRPr="009E3614">
        <w:t xml:space="preserve"> </w:t>
      </w:r>
      <w:r w:rsidR="00F92215" w:rsidRPr="009E3614">
        <w:t xml:space="preserve">nenaudingų </w:t>
      </w:r>
      <w:r w:rsidR="00A9301F" w:rsidRPr="009E3614">
        <w:t xml:space="preserve">sprendimų (pensijų, </w:t>
      </w:r>
      <w:r w:rsidR="0053034B" w:rsidRPr="009E3614">
        <w:t xml:space="preserve">MMA </w:t>
      </w:r>
      <w:r w:rsidR="00A9301F" w:rsidRPr="009E3614">
        <w:t>didinimas, ir pan.). D</w:t>
      </w:r>
      <w:r w:rsidR="00BD7782" w:rsidRPr="009E3614">
        <w:t>eja</w:t>
      </w:r>
      <w:r w:rsidR="008807D0" w:rsidRPr="009E3614">
        <w:t>, situacija artimiausiu metu greičiausiai nesikeis</w:t>
      </w:r>
      <w:r w:rsidR="0053034B" w:rsidRPr="009E3614">
        <w:t xml:space="preserve">: </w:t>
      </w:r>
      <w:r w:rsidR="008807D0" w:rsidRPr="009E3614">
        <w:t xml:space="preserve">labiausiai tikėtina, jog naują </w:t>
      </w:r>
      <w:r w:rsidR="0053034B" w:rsidRPr="009E3614">
        <w:t xml:space="preserve">vyriausybę formuosiančios kairiosios partijos </w:t>
      </w:r>
      <w:r w:rsidR="008807D0" w:rsidRPr="009E3614">
        <w:t xml:space="preserve">imsis </w:t>
      </w:r>
      <w:r w:rsidR="009577ED" w:rsidRPr="009E3614">
        <w:t xml:space="preserve">tokių veiksmų, kaip </w:t>
      </w:r>
      <w:r w:rsidR="0053034B" w:rsidRPr="009E3614">
        <w:t xml:space="preserve">MMA </w:t>
      </w:r>
      <w:r w:rsidR="009577ED" w:rsidRPr="009E3614">
        <w:t xml:space="preserve">didinimas </w:t>
      </w:r>
      <w:r w:rsidR="00DB1D7A" w:rsidRPr="009E3614">
        <w:t>ar progresinės mokesčių sistemos, apie kurią nepalanki</w:t>
      </w:r>
      <w:r w:rsidR="00A769DA">
        <w:t xml:space="preserve">ai atsiliepia verslas, įvedimas. </w:t>
      </w:r>
      <w:r w:rsidR="00DB1D7A" w:rsidRPr="009E3614">
        <w:t>Finansų ministerijos skaičiavimais</w:t>
      </w:r>
      <w:r w:rsidR="0078035E">
        <w:t xml:space="preserve"> (2012)</w:t>
      </w:r>
      <w:r w:rsidR="00DB1D7A" w:rsidRPr="009E3614">
        <w:t>, MMA padidinimas iki 1000 Lt iš valstybės biudžeto pareikalautų papildomai 223,3 mln. Lt lėšų.</w:t>
      </w:r>
      <w:r w:rsidR="00D6238A" w:rsidRPr="009E3614">
        <w:t xml:space="preserve"> </w:t>
      </w:r>
      <w:r w:rsidR="00910215" w:rsidRPr="009E3614">
        <w:t>Magistranto nuomone, tokie sprendimai gali neigiamai atsiliepti šalies verslui bei paskatinti nedarbo augimą. Mažiausias pajamas gaunantys gyventoja</w:t>
      </w:r>
      <w:r w:rsidR="008807D0" w:rsidRPr="009E3614">
        <w:t>i ne gyvybės draudimo sektoriuje</w:t>
      </w:r>
      <w:r w:rsidR="00910215" w:rsidRPr="009E3614">
        <w:t xml:space="preserve"> sudaro tik nežymią dalį, kadangi didžiąją dalį savo pajamų jie išleidžia būtiniausioms prekėms. Taigi tokios politikos </w:t>
      </w:r>
      <w:r w:rsidR="008C5302" w:rsidRPr="009E3614">
        <w:t xml:space="preserve">netiesioginė </w:t>
      </w:r>
      <w:r w:rsidR="00910215" w:rsidRPr="009E3614">
        <w:t xml:space="preserve">pasekmė gali būti lėčiau augantis </w:t>
      </w:r>
      <w:r w:rsidR="008C5302" w:rsidRPr="009E3614">
        <w:t xml:space="preserve">šalies </w:t>
      </w:r>
      <w:r w:rsidR="00910215" w:rsidRPr="009E3614">
        <w:t>turtas, kuris yra potencialus draudimo objektas. Kita</w:t>
      </w:r>
      <w:r w:rsidR="008C5302" w:rsidRPr="009E3614">
        <w:t xml:space="preserve"> vertus, mažinant socialinę</w:t>
      </w:r>
      <w:r w:rsidR="00910215" w:rsidRPr="009E3614">
        <w:t xml:space="preserve"> atskirtį gali padaugėti besidraudžiančių asmenų mažesnes pajamas gaunančiuose sluoksniuose.</w:t>
      </w:r>
      <w:r w:rsidR="00BA0BD7" w:rsidRPr="009E3614">
        <w:t xml:space="preserve"> </w:t>
      </w:r>
    </w:p>
    <w:p w:rsidR="00FB21D8" w:rsidRPr="00A40AB4" w:rsidRDefault="00A01776" w:rsidP="00FB21D8">
      <w:pPr>
        <w:ind w:firstLine="567"/>
        <w:jc w:val="both"/>
      </w:pPr>
      <w:r w:rsidRPr="00A40AB4">
        <w:t>Pastaraisiais metais atsakingai vykdoma viešųjų finansų politika padėjo Lietuvai susigrąžinti finansų rinkų pasitikėjimą (</w:t>
      </w:r>
      <w:r w:rsidRPr="00580205">
        <w:rPr>
          <w:lang w:val="en-US"/>
        </w:rPr>
        <w:t>Lund</w:t>
      </w:r>
      <w:r w:rsidRPr="00A40AB4">
        <w:t>, 2012).</w:t>
      </w:r>
      <w:r w:rsidR="00245835" w:rsidRPr="00A40AB4">
        <w:t xml:space="preserve"> </w:t>
      </w:r>
      <w:r w:rsidR="00893EFC" w:rsidRPr="00A40AB4">
        <w:t xml:space="preserve">2009 m. biudžeto deficitas siekė 9,4 % BVP, tad mažėjo Lietuvos skolinimosi reitingai, brango skolinimasis kapitalo rinkose. Taigi mokesčiai buvo didinami, </w:t>
      </w:r>
      <w:r w:rsidR="00893EFC" w:rsidRPr="00A40AB4">
        <w:lastRenderedPageBreak/>
        <w:t xml:space="preserve">išlaidos mažinamos, kas darė įtaką visam šalies ūkio, taigi ir draudimo, susitraukimui. </w:t>
      </w:r>
      <w:r w:rsidR="00245835" w:rsidRPr="00A40AB4">
        <w:t>Vis dėlto</w:t>
      </w:r>
      <w:r w:rsidR="000D03B3" w:rsidRPr="00A40AB4">
        <w:t>,</w:t>
      </w:r>
      <w:r w:rsidR="00245835" w:rsidRPr="00A40AB4">
        <w:t xml:space="preserve"> ekspertų vertinimu,</w:t>
      </w:r>
      <w:r w:rsidR="000D03B3" w:rsidRPr="00A40AB4">
        <w:t xml:space="preserve"> nors esama vyriausybė ir vykdė palankią užsienio investuotojams politiką,</w:t>
      </w:r>
      <w:r w:rsidR="00245835" w:rsidRPr="00A40AB4">
        <w:t xml:space="preserve"> dėl nestabilios politinės padėties</w:t>
      </w:r>
      <w:r w:rsidR="000D03B3" w:rsidRPr="00A40AB4">
        <w:t>,</w:t>
      </w:r>
      <w:r w:rsidR="00245835" w:rsidRPr="00A40AB4">
        <w:t xml:space="preserve"> </w:t>
      </w:r>
      <w:r w:rsidR="000D03B3" w:rsidRPr="00A40AB4">
        <w:t xml:space="preserve">t.y. galimybės, jog politika stipriai keisis po rinkimų, </w:t>
      </w:r>
      <w:r w:rsidR="00245835" w:rsidRPr="00A40AB4">
        <w:t xml:space="preserve">Lietuva išlieka nepatraukli užsienio investuotojams (Rudzkis, 2010, cit. pagal </w:t>
      </w:r>
      <w:r w:rsidR="005B149C" w:rsidRPr="00A40AB4">
        <w:t>VE</w:t>
      </w:r>
      <w:r w:rsidR="00245835" w:rsidRPr="00A40AB4">
        <w:t>.lt)</w:t>
      </w:r>
      <w:r w:rsidR="000D03B3" w:rsidRPr="00A40AB4">
        <w:t>.</w:t>
      </w:r>
      <w:r w:rsidR="00900FBB" w:rsidRPr="00A40AB4">
        <w:t xml:space="preserve"> Taigi nestabili politinė padėtis, remiantis anksčiau aptartų autorių tyrimais, yra veiksnys, galintis neigiamai paveikti ne gyvybės draudimo rinkos augimą</w:t>
      </w:r>
    </w:p>
    <w:p w:rsidR="000F0C14" w:rsidRPr="00A40AB4" w:rsidRDefault="000F0C14" w:rsidP="00FB21D8">
      <w:pPr>
        <w:ind w:firstLine="567"/>
        <w:jc w:val="both"/>
        <w:rPr>
          <w:lang w:val="en-US"/>
        </w:rPr>
      </w:pPr>
      <w:r w:rsidRPr="00A40AB4">
        <w:t xml:space="preserve">Kalbant apie draudimo rinkos reguliavimą, pažymėtina tai, jog nuo </w:t>
      </w:r>
      <w:r w:rsidRPr="00A40AB4">
        <w:rPr>
          <w:lang w:val="en-US"/>
        </w:rPr>
        <w:t xml:space="preserve">2012 m. </w:t>
      </w:r>
      <w:r w:rsidRPr="00A40AB4">
        <w:t xml:space="preserve">sausio </w:t>
      </w:r>
      <w:r w:rsidRPr="00A40AB4">
        <w:rPr>
          <w:lang w:val="en-US"/>
        </w:rPr>
        <w:t xml:space="preserve">1 d. </w:t>
      </w:r>
      <w:r w:rsidRPr="00A40AB4">
        <w:t xml:space="preserve">buvo likviduota DPK, o jos atliekamos priežiūros </w:t>
      </w:r>
      <w:r w:rsidR="00CC53C1">
        <w:t>funkcijos perduotos LB siekiant</w:t>
      </w:r>
      <w:r w:rsidRPr="00A40AB4">
        <w:t xml:space="preserve"> </w:t>
      </w:r>
      <w:r w:rsidR="00890DA4" w:rsidRPr="00A40AB4">
        <w:t xml:space="preserve">efektyvinti valstybės biudžeto lėšų panaudojimą bei tai, </w:t>
      </w:r>
      <w:r w:rsidRPr="00A40AB4">
        <w:t>jog priimti įstatymai užtikrintų vienodą finansų rinkos dalyvių priežiūrą bei v</w:t>
      </w:r>
      <w:r w:rsidR="00EB5DAD" w:rsidRPr="00A40AB4">
        <w:t>isos finansų sistemos stabilumą.</w:t>
      </w:r>
    </w:p>
    <w:p w:rsidR="008C5302" w:rsidRPr="00A40AB4" w:rsidRDefault="006A3260" w:rsidP="001368ED">
      <w:pPr>
        <w:ind w:firstLine="567"/>
        <w:jc w:val="both"/>
      </w:pPr>
      <w:r w:rsidRPr="00A40AB4">
        <w:t>Draudimo veiklą reglamentuojantys teisės aktai Lietuvoje per pastaruosius keliolika metų buvo sparčiai tobulinami.</w:t>
      </w:r>
      <w:r w:rsidR="000B1FF2" w:rsidRPr="00A40AB4">
        <w:t xml:space="preserve"> Pirmiausia, nuolat atnaujinamas</w:t>
      </w:r>
      <w:r w:rsidR="008C5302" w:rsidRPr="00A40AB4">
        <w:t xml:space="preserve"> svarbiausias draudimo veiklą Lietuvoje reglamentuojantis </w:t>
      </w:r>
      <w:r w:rsidR="000B1FF2" w:rsidRPr="00A40AB4">
        <w:t xml:space="preserve">Draudimo įstatymas. </w:t>
      </w:r>
      <w:r w:rsidR="00F350EA" w:rsidRPr="00A40AB4">
        <w:t>Siekiant harmonizuoti mokumo sistemą Europos mastu, n</w:t>
      </w:r>
      <w:r w:rsidR="000B1FF2" w:rsidRPr="00A40AB4">
        <w:t xml:space="preserve">aujausia jo redakcija priimta 2012 m. spalio 16 d. </w:t>
      </w:r>
      <w:r w:rsidR="00805F81">
        <w:t>Kaip teigia EK, i</w:t>
      </w:r>
      <w:r w:rsidR="00F350EA" w:rsidRPr="00A40AB4">
        <w:t>ki tol galiojusi sistema Mokumas I apėmė tik draudimo rizikos vertinimą, tuo tarpu visiškai įsigaliojus Mokumas II sistemai, vertinama platesnė rizika. Taigi</w:t>
      </w:r>
      <w:r w:rsidR="000B1FF2" w:rsidRPr="00A40AB4">
        <w:t xml:space="preserve"> nauja</w:t>
      </w:r>
      <w:r w:rsidR="00F350EA" w:rsidRPr="00A40AB4">
        <w:t>i priimtas</w:t>
      </w:r>
      <w:r w:rsidR="000B1FF2" w:rsidRPr="00A40AB4">
        <w:t xml:space="preserve"> įstatymas leis sustiprinti draudikų mokumo reikalavimus pagal ES direktyvą Mokumas II bei taps dar stipresniu vartotojų finansinių interesų apsaugos garantu</w:t>
      </w:r>
      <w:r w:rsidR="00467B4B" w:rsidRPr="00A40AB4">
        <w:t>, užtikrins draudimo rinkos stabilumą ir augimą</w:t>
      </w:r>
      <w:r w:rsidR="000B1FF2" w:rsidRPr="00A40AB4">
        <w:t>.</w:t>
      </w:r>
      <w:r w:rsidR="00467B4B" w:rsidRPr="00A40AB4">
        <w:t xml:space="preserve"> Įstatymu nustatyti griežtesni finansiniai ir atskleidimo reikalavimai draudimo įmonėms,</w:t>
      </w:r>
      <w:r w:rsidR="00F350EA" w:rsidRPr="00A40AB4">
        <w:t xml:space="preserve"> siekiant aiškiai reglamentuoti skaidrumo principus, vartotojai turės galimybę viešai matyti visą draudiko finansinę būklę. </w:t>
      </w:r>
      <w:r w:rsidR="002F1CEE">
        <w:t>2014 m. D</w:t>
      </w:r>
      <w:r w:rsidR="001368ED" w:rsidRPr="00A40AB4">
        <w:t xml:space="preserve">raudimo įstatymas vėl bus koreguojamas. </w:t>
      </w:r>
      <w:r w:rsidR="00DC628E" w:rsidRPr="00A40AB4">
        <w:t xml:space="preserve">LDA tvirtinimu, </w:t>
      </w:r>
      <w:r w:rsidR="00F53D76">
        <w:t>d</w:t>
      </w:r>
      <w:r w:rsidR="001368ED" w:rsidRPr="00A40AB4">
        <w:t>ėl kintančios finansų rinkos reikia pasitelkti naujausius rizikos vertinimo principus, tad įsigaliojus naujam įstatymui mokumo reikalavimai turės atitikti ekonominį kapitalą, taip mažinant draudimo kompanijos bankroto per vienerius metus tikimybę iki 0,5 %.</w:t>
      </w:r>
      <w:r w:rsidR="00B044F5" w:rsidRPr="00A40AB4">
        <w:t xml:space="preserve"> </w:t>
      </w:r>
      <w:r w:rsidR="00C4380A" w:rsidRPr="00A40AB4">
        <w:t xml:space="preserve">Vis dėlto, Draudimo įstatymas bei DPK nutarimas „Dėl draudimo įmonės draudimo techninių atidėjinių padengimo turtu taisyklių patvirtinimo“ gana griežtai </w:t>
      </w:r>
      <w:r w:rsidR="00335F90" w:rsidRPr="00A40AB4">
        <w:t xml:space="preserve">reglamentuoja </w:t>
      </w:r>
      <w:r w:rsidR="00C4380A" w:rsidRPr="00A40AB4">
        <w:t>draudikų kapitalo investavimo galimybes</w:t>
      </w:r>
      <w:r w:rsidR="00335F90" w:rsidRPr="00A40AB4">
        <w:t>. Tai naudinga tuo, jog apribojant riziką didėja draudikų finansinis stabilumas, tačiau finansin</w:t>
      </w:r>
      <w:r w:rsidR="003A00FF" w:rsidRPr="00A40AB4">
        <w:t>ės</w:t>
      </w:r>
      <w:r w:rsidR="00335F90" w:rsidRPr="00A40AB4">
        <w:t xml:space="preserve"> laisvės apribojimas atima galimybę uždirbti daugiau pelno.</w:t>
      </w:r>
    </w:p>
    <w:p w:rsidR="00B044F5" w:rsidRPr="00A40AB4" w:rsidRDefault="00B044F5" w:rsidP="001368ED">
      <w:pPr>
        <w:ind w:firstLine="567"/>
        <w:jc w:val="both"/>
      </w:pPr>
      <w:r w:rsidRPr="00A40AB4">
        <w:t>TPVCA</w:t>
      </w:r>
      <w:r w:rsidR="0052777D" w:rsidRPr="00A40AB4">
        <w:t>,</w:t>
      </w:r>
      <w:r w:rsidRPr="00A40AB4">
        <w:t xml:space="preserve"> tam tikrų profesijų</w:t>
      </w:r>
      <w:r w:rsidR="0052777D" w:rsidRPr="00A40AB4">
        <w:t xml:space="preserve"> (pvz. advokatų, antstolių, notarų) bei tam tikrą veiklą vykdančių įmonių (pvz. audito, sveikatos priežiūros įstaigų)</w:t>
      </w:r>
      <w:r w:rsidRPr="00A40AB4">
        <w:t xml:space="preserve"> civilinės atsakomybės draudimai yra privalomi. Jie draudikams naudingi tuo, jog užtikrina pastovias ir stabilias pajamas. Tą įrodo ir statistika – </w:t>
      </w:r>
      <w:r w:rsidR="005464B4" w:rsidRPr="00A40AB4">
        <w:t xml:space="preserve">nuo pat atsiradimo pradžios ne gyvybės draudime iš TPVCA būdavo surenkama daugiausia įmokų, o pernai </w:t>
      </w:r>
      <w:r w:rsidRPr="00A40AB4">
        <w:t xml:space="preserve">TPVCA įmokų </w:t>
      </w:r>
      <w:r w:rsidR="005464B4" w:rsidRPr="00A40AB4">
        <w:t xml:space="preserve">pasirašyta </w:t>
      </w:r>
      <w:r w:rsidRPr="00A40AB4">
        <w:t xml:space="preserve">už </w:t>
      </w:r>
      <w:r w:rsidRPr="00A40AB4">
        <w:rPr>
          <w:lang w:val="en-US"/>
        </w:rPr>
        <w:t xml:space="preserve">390 </w:t>
      </w:r>
      <w:r w:rsidRPr="00A40AB4">
        <w:t>mln. Lt, kas sudaro kiek daugiau negu trečdalį visų įmokų.</w:t>
      </w:r>
      <w:r w:rsidR="00C73E1A" w:rsidRPr="00A40AB4">
        <w:t xml:space="preserve"> Kitų privalomųjų draudimų lyginamasis svoris </w:t>
      </w:r>
      <w:r w:rsidR="00336DCB" w:rsidRPr="00A40AB4">
        <w:t xml:space="preserve">gerokai </w:t>
      </w:r>
      <w:r w:rsidR="00C73E1A" w:rsidRPr="00A40AB4">
        <w:t>mažesnis</w:t>
      </w:r>
      <w:r w:rsidR="00336DCB" w:rsidRPr="00A40AB4">
        <w:t xml:space="preserve"> ir reikšmingos dalies nesudaro</w:t>
      </w:r>
      <w:r w:rsidR="00C73E1A" w:rsidRPr="00A40AB4">
        <w:t>.</w:t>
      </w:r>
    </w:p>
    <w:p w:rsidR="008206AA" w:rsidRPr="00A40AB4" w:rsidRDefault="004128AC" w:rsidP="0031728C">
      <w:pPr>
        <w:ind w:firstLine="567"/>
        <w:jc w:val="both"/>
      </w:pPr>
      <w:r w:rsidRPr="00A40AB4">
        <w:t>Kitas draudimo veiklą mūsų šalyje reglamentuojantis įstatymas – Civilinis kodeksas. Jis ne tik nustato bendrus klausimus, susijusius su sutartimis bei reguliuoja draudimo santykius</w:t>
      </w:r>
      <w:r w:rsidR="00C10A06" w:rsidRPr="00A40AB4">
        <w:t xml:space="preserve"> (šeštasis </w:t>
      </w:r>
      <w:r w:rsidR="00C10A06" w:rsidRPr="00A40AB4">
        <w:lastRenderedPageBreak/>
        <w:t>skirsnis)</w:t>
      </w:r>
      <w:r w:rsidRPr="00A40AB4">
        <w:t xml:space="preserve">, tačiau ir </w:t>
      </w:r>
      <w:r w:rsidR="00C10A06" w:rsidRPr="00A40AB4">
        <w:t xml:space="preserve">užtikrina tinkamą nuosavybės teisių apsaugą (ketvirtasis skirsnis), kas, anot kai kurių anksčiau </w:t>
      </w:r>
      <w:r w:rsidR="008B75F1" w:rsidRPr="00A40AB4">
        <w:t xml:space="preserve">minėtų mokslininkų teigimu, </w:t>
      </w:r>
      <w:r w:rsidR="00CB2546" w:rsidRPr="00A40AB4">
        <w:t>skatina įsigyti daugiau turto bei jį drausti</w:t>
      </w:r>
      <w:r w:rsidR="008B75F1" w:rsidRPr="00A40AB4">
        <w:t>.</w:t>
      </w:r>
    </w:p>
    <w:p w:rsidR="001E5B45" w:rsidRPr="00A40AB4" w:rsidRDefault="001E5B45" w:rsidP="0031728C">
      <w:pPr>
        <w:ind w:firstLine="567"/>
        <w:jc w:val="both"/>
      </w:pPr>
      <w:r w:rsidRPr="00A40AB4">
        <w:t xml:space="preserve">Apibendrinant </w:t>
      </w:r>
      <w:r w:rsidR="00C9232E" w:rsidRPr="00A40AB4">
        <w:t xml:space="preserve">politinius bei teisinius </w:t>
      </w:r>
      <w:r w:rsidRPr="00A40AB4">
        <w:t>veiksnius derėtų pabrėžti, jog politinė aplinka Lietuvoje jau daug metų yra nestabili, taigi nepalanki ne gyvybės draudimo sektoriaus vystymuisi. Teisinė aplinka gana palanki, tad skatina draudimo verslo plėtrą.</w:t>
      </w:r>
    </w:p>
    <w:p w:rsidR="0031728C" w:rsidRPr="00A40AB4" w:rsidRDefault="001555DC" w:rsidP="0031728C">
      <w:pPr>
        <w:ind w:firstLine="567"/>
        <w:jc w:val="both"/>
      </w:pPr>
      <w:r w:rsidRPr="00C16925">
        <w:rPr>
          <w:b/>
          <w:u w:val="single"/>
        </w:rPr>
        <w:t>Ekonominė aplinka.</w:t>
      </w:r>
      <w:r w:rsidRPr="00A40AB4">
        <w:t xml:space="preserve"> </w:t>
      </w:r>
      <w:r w:rsidR="00477906" w:rsidRPr="00A40AB4">
        <w:t xml:space="preserve">Ekonominė krizė 2009 m. patvirtino anksčiau paminėtų mokslininkų teiginius, jog ne gyvybės draudimo rinkos ir BVP dinamika panaši: smunkant šalies ūkiui, smarkiai susitraukė ir draudimo sektorius. Tiesa, pastebima, jog ne gyvybės draudimo rinkos ekonominis ciklas šiek tiek atsilieka nuo visos šalies ūkio tendencijų. </w:t>
      </w:r>
      <w:r w:rsidR="00030EA1" w:rsidRPr="00A40AB4">
        <w:t>2010 m. Lietuvos BVP jau šiek tiek augo, o pernai padidėjo net 5,9 % (palyginamosiomis kainomis).</w:t>
      </w:r>
      <w:r w:rsidR="008B4BF5" w:rsidRPr="00A40AB4">
        <w:t xml:space="preserve"> Tiesa, 2012 m. per pirmus tris ketvirčius BVP augimas</w:t>
      </w:r>
      <w:r w:rsidR="00C54953" w:rsidRPr="00A40AB4">
        <w:t>, veikiamas sumažėjusios užsienio ir vidaus paklausos plėtros</w:t>
      </w:r>
      <w:r w:rsidR="008B4BF5" w:rsidRPr="00A40AB4">
        <w:t xml:space="preserve"> sulė</w:t>
      </w:r>
      <w:r w:rsidR="004F563D" w:rsidRPr="00A40AB4">
        <w:t>tėjo iki 3,5 %</w:t>
      </w:r>
      <w:r w:rsidR="008B4BF5" w:rsidRPr="00A40AB4">
        <w:t>,</w:t>
      </w:r>
      <w:r w:rsidR="00C54953" w:rsidRPr="00A40AB4">
        <w:t xml:space="preserve"> kartu</w:t>
      </w:r>
      <w:r w:rsidR="008B4BF5" w:rsidRPr="00A40AB4">
        <w:t xml:space="preserve"> atspindėdamas ekonominę krizę ES</w:t>
      </w:r>
      <w:r w:rsidR="004F563D" w:rsidRPr="00A40AB4">
        <w:t xml:space="preserve"> (2011 m. visoje ES fiksuotas 0,3 % BVP smukimas). LB (2012) </w:t>
      </w:r>
      <w:r w:rsidR="00ED74F7" w:rsidRPr="00A40AB4">
        <w:t xml:space="preserve">teigia, jog išorinė aplinka neigiamai paveiks šalies eksportą, kuris turi daug įtakos BVP dinamikai. Taigi LB </w:t>
      </w:r>
      <w:r w:rsidR="004F563D" w:rsidRPr="00A40AB4">
        <w:t>prognozuoja BVP augimą 3 % 2012 m. bei 3,4 % 2013 m.</w:t>
      </w:r>
      <w:r w:rsidR="00DB2A3C" w:rsidRPr="00A40AB4">
        <w:t xml:space="preserve"> BVP, tenkantis vienam gyventojui</w:t>
      </w:r>
      <w:r w:rsidR="005C6032" w:rsidRPr="00A40AB4">
        <w:t xml:space="preserve"> ir atskleidžiantis šalies produktyvumą</w:t>
      </w:r>
      <w:r w:rsidR="00DB2A3C" w:rsidRPr="00A40AB4">
        <w:t xml:space="preserve"> smuk</w:t>
      </w:r>
      <w:r w:rsidR="005C6032" w:rsidRPr="00A40AB4">
        <w:t>o</w:t>
      </w:r>
      <w:r w:rsidR="00DB2A3C" w:rsidRPr="00A40AB4">
        <w:t xml:space="preserve"> 2009 m.</w:t>
      </w:r>
      <w:r w:rsidR="005C6032" w:rsidRPr="00A40AB4">
        <w:t>, tačiau pastaraisiais metais jau rodė</w:t>
      </w:r>
      <w:r w:rsidR="00DB2A3C" w:rsidRPr="00A40AB4">
        <w:t xml:space="preserve"> augimą: užpernai – 3,5 %, pernai – 8,1 %. </w:t>
      </w:r>
      <w:r w:rsidR="002344E9" w:rsidRPr="00A40AB4">
        <w:t xml:space="preserve">Per šių metų I-III ketv. rodiklis </w:t>
      </w:r>
      <w:r w:rsidR="00974BA0" w:rsidRPr="00A40AB4">
        <w:t>pa</w:t>
      </w:r>
      <w:r w:rsidR="002344E9" w:rsidRPr="00A40AB4">
        <w:t xml:space="preserve">augo </w:t>
      </w:r>
      <w:r w:rsidR="00EB3BE5" w:rsidRPr="00A40AB4">
        <w:t xml:space="preserve">dar </w:t>
      </w:r>
      <w:r w:rsidR="002344E9" w:rsidRPr="00A40AB4">
        <w:t>6,7 %.</w:t>
      </w:r>
      <w:r w:rsidR="005C6032" w:rsidRPr="00A40AB4">
        <w:t xml:space="preserve"> </w:t>
      </w:r>
      <w:r w:rsidR="00B618B8" w:rsidRPr="00A40AB4">
        <w:t>Remiantis Eurostat duomenimis, Lietuvos padėtis Europos kontekste gerėja: dar 2009 m. mūsų šalies BVP vienam gyventojui (vertinant pagal perkamosios galios paritetą) siekė tik 55 % visų ES valstybių vidurkio, o pernai šis rodiklis siekė jau 62 %. Tokia statistika yra geras ženklas draudimo rinkai.</w:t>
      </w:r>
    </w:p>
    <w:p w:rsidR="00467A3F" w:rsidRPr="00A40AB4" w:rsidRDefault="00467A3F" w:rsidP="0031728C">
      <w:pPr>
        <w:ind w:firstLine="567"/>
        <w:jc w:val="both"/>
      </w:pPr>
      <w:r w:rsidRPr="00A40AB4">
        <w:t xml:space="preserve">Užimtumo statistika pastaraisiais metais taip pat gerėjo. 2010 m. Lietuvoje buvęs 17,8 % nedarbas pernai sumažėjo iki 15,4 %, o šiemet II ketv. jau besiekė 13,3 %. </w:t>
      </w:r>
      <w:r w:rsidR="00677FE7" w:rsidRPr="00A40AB4">
        <w:t>Gerėjanti padėtis darbo rinkoje yra draudimo sektoriaus augimo akstinas.</w:t>
      </w:r>
    </w:p>
    <w:p w:rsidR="0086151B" w:rsidRPr="00A40AB4" w:rsidRDefault="00A72BA4" w:rsidP="0031728C">
      <w:pPr>
        <w:ind w:firstLine="567"/>
        <w:jc w:val="both"/>
      </w:pPr>
      <w:r w:rsidRPr="00A40AB4">
        <w:t>Žvelgiant į v</w:t>
      </w:r>
      <w:r w:rsidR="008028A0" w:rsidRPr="00A40AB4">
        <w:t>idutini</w:t>
      </w:r>
      <w:r w:rsidRPr="00A40AB4">
        <w:t>o</w:t>
      </w:r>
      <w:r w:rsidR="008028A0" w:rsidRPr="00A40AB4">
        <w:t xml:space="preserve"> mėnesini</w:t>
      </w:r>
      <w:r w:rsidRPr="00A40AB4">
        <w:t>o</w:t>
      </w:r>
      <w:r w:rsidR="008028A0" w:rsidRPr="00A40AB4">
        <w:t xml:space="preserve"> darbo užmokes</w:t>
      </w:r>
      <w:r w:rsidRPr="00A40AB4">
        <w:t>čio dinamiką, ekonomikos atsigavimo dar nematyti</w:t>
      </w:r>
      <w:r w:rsidR="008028A0" w:rsidRPr="00A40AB4">
        <w:t>.</w:t>
      </w:r>
      <w:r w:rsidRPr="00A40AB4">
        <w:t xml:space="preserve"> Nors</w:t>
      </w:r>
      <w:r w:rsidR="008028A0" w:rsidRPr="00A40AB4">
        <w:t xml:space="preserve"> </w:t>
      </w:r>
      <w:r w:rsidRPr="00A40AB4">
        <w:t xml:space="preserve">pernai bruto darbo užmokestis jau augo 2,9 %, nuo 2009 m. realusis darbo užmokestis mažėjo </w:t>
      </w:r>
      <w:r w:rsidR="008028A0" w:rsidRPr="00A40AB4">
        <w:t xml:space="preserve">atitinkamai </w:t>
      </w:r>
      <w:r w:rsidRPr="00A40AB4">
        <w:t>8,2, 4,3 ir 1,3</w:t>
      </w:r>
      <w:r w:rsidR="008028A0" w:rsidRPr="00A40AB4">
        <w:t xml:space="preserve"> %., o šiemet I</w:t>
      </w:r>
      <w:r w:rsidRPr="00A40AB4">
        <w:t xml:space="preserve">  pusm</w:t>
      </w:r>
      <w:r w:rsidR="008028A0" w:rsidRPr="00A40AB4">
        <w:t xml:space="preserve">. – dar  </w:t>
      </w:r>
      <w:r w:rsidRPr="00A40AB4">
        <w:t xml:space="preserve">0,7 </w:t>
      </w:r>
      <w:r w:rsidR="008028A0" w:rsidRPr="00A40AB4">
        <w:t xml:space="preserve">%. </w:t>
      </w:r>
      <w:r w:rsidRPr="00A40AB4">
        <w:t>Tai nulemta spartesnio</w:t>
      </w:r>
      <w:r w:rsidR="00A91430" w:rsidRPr="00A40AB4">
        <w:t xml:space="preserve"> negu atlyginimai</w:t>
      </w:r>
      <w:r w:rsidRPr="00A40AB4">
        <w:t xml:space="preserve"> infliacijos augimo.</w:t>
      </w:r>
      <w:r w:rsidR="00374AD9" w:rsidRPr="00A40AB4">
        <w:t xml:space="preserve"> Vis dėlto, 2012-2013 m. prognozuojamas infliacijos lėtėjimas bei spartesnė bruto darbo užmokesčio dinamika</w:t>
      </w:r>
      <w:r w:rsidR="0017541F" w:rsidRPr="00A40AB4">
        <w:t>.</w:t>
      </w:r>
      <w:r w:rsidR="00374AD9" w:rsidRPr="00A40AB4">
        <w:t xml:space="preserve"> </w:t>
      </w:r>
      <w:r w:rsidR="0017541F" w:rsidRPr="00A40AB4">
        <w:t>N</w:t>
      </w:r>
      <w:r w:rsidR="00374AD9" w:rsidRPr="00A40AB4">
        <w:t xml:space="preserve">aujoji vyriausybė </w:t>
      </w:r>
      <w:r w:rsidR="0017541F" w:rsidRPr="00A40AB4">
        <w:t xml:space="preserve">taip pat </w:t>
      </w:r>
      <w:r w:rsidR="00374AD9" w:rsidRPr="00A40AB4">
        <w:t>ketina minimalią algą nuo 2013 m. pakelti nuo 850 iki 1000 Lt</w:t>
      </w:r>
      <w:r w:rsidR="0017541F" w:rsidRPr="00A40AB4">
        <w:t xml:space="preserve">. </w:t>
      </w:r>
      <w:r w:rsidR="002C0ED8">
        <w:t xml:space="preserve">Remiantis </w:t>
      </w:r>
      <w:r w:rsidR="00DB1D7A" w:rsidRPr="00A40AB4">
        <w:t xml:space="preserve">SD duomenimis </w:t>
      </w:r>
      <w:r w:rsidR="0017541F" w:rsidRPr="00A40AB4">
        <w:t xml:space="preserve">minimalią algą </w:t>
      </w:r>
      <w:r w:rsidR="00DB1D7A" w:rsidRPr="00A40AB4">
        <w:t xml:space="preserve">privačiame sektoriuje šiemet gauna </w:t>
      </w:r>
      <w:r w:rsidR="00DB1D7A" w:rsidRPr="00A40AB4">
        <w:rPr>
          <w:lang w:val="en-US"/>
        </w:rPr>
        <w:t xml:space="preserve">25,6 % </w:t>
      </w:r>
      <w:r w:rsidR="00DB1D7A" w:rsidRPr="00A40AB4">
        <w:t>dirbančių asmenų</w:t>
      </w:r>
      <w:r w:rsidR="0017541F" w:rsidRPr="00A40AB4">
        <w:t>,</w:t>
      </w:r>
      <w:r w:rsidR="0017541F" w:rsidRPr="00A40AB4">
        <w:rPr>
          <w:lang w:val="en-US"/>
        </w:rPr>
        <w:t xml:space="preserve"> </w:t>
      </w:r>
      <w:r w:rsidR="00374AD9" w:rsidRPr="00A40AB4">
        <w:t xml:space="preserve">tad disponuojamosios pajamos artimiausioje ateityje turėtų </w:t>
      </w:r>
      <w:r w:rsidR="0017541F" w:rsidRPr="00A40AB4">
        <w:t xml:space="preserve">gana ženkliai </w:t>
      </w:r>
      <w:r w:rsidR="00374AD9" w:rsidRPr="00A40AB4">
        <w:t>padidėti</w:t>
      </w:r>
      <w:r w:rsidR="00957FAC" w:rsidRPr="00A40AB4">
        <w:t xml:space="preserve"> ir teigiamai </w:t>
      </w:r>
      <w:r w:rsidR="006205D2" w:rsidRPr="00A40AB4">
        <w:t>pa</w:t>
      </w:r>
      <w:r w:rsidR="00957FAC" w:rsidRPr="00A40AB4">
        <w:t>veikti draudimo verslą.</w:t>
      </w:r>
    </w:p>
    <w:p w:rsidR="00D821AA" w:rsidRPr="00A40AB4" w:rsidRDefault="00D821AA" w:rsidP="0031728C">
      <w:pPr>
        <w:ind w:firstLine="567"/>
        <w:jc w:val="both"/>
      </w:pPr>
      <w:r w:rsidRPr="00A40AB4">
        <w:t>Vidutinė metinė infliacija 2011 m. siekė 4,1 %, taip mažindama gyventojų realiąsias disponuojamas pajamas. Vis dėlto, šiemet</w:t>
      </w:r>
      <w:r w:rsidR="005A4263" w:rsidRPr="00A40AB4">
        <w:t xml:space="preserve"> mažėjant pasaulinėms kainoms, lėčiau augant maisto kainoms infliacija lėtėja. Taigi šiemet LB prognozuoja 2,9 %, o kitąmet – 2,4 % infliaciją. Lėtėjantis kainų kilimas turėtų teigiamai paveikti disponuojamąsias pajamas, o tai teigiamas signalas ne gyvybės draudimo sektoriui.</w:t>
      </w:r>
    </w:p>
    <w:p w:rsidR="00355F19" w:rsidRPr="00A40AB4" w:rsidRDefault="00E079CD" w:rsidP="0031728C">
      <w:pPr>
        <w:ind w:firstLine="567"/>
        <w:jc w:val="both"/>
      </w:pPr>
      <w:r w:rsidRPr="00A40AB4">
        <w:lastRenderedPageBreak/>
        <w:t>Žvelgiant į palūkanų normos dinamiką, matyti, jog LB, kaip ir kiti įvairūs pasaulio centriniai bankai, vykdo skatinančią politiką ir palūkanų normas laiko labai žemas</w:t>
      </w:r>
      <w:r w:rsidR="00894440" w:rsidRPr="00A40AB4">
        <w:t xml:space="preserve"> </w:t>
      </w:r>
      <w:r w:rsidR="002C2FEA">
        <w:t>– 2012 m. lapkričio 9</w:t>
      </w:r>
      <w:r w:rsidRPr="00A40AB4">
        <w:t xml:space="preserve"> d. 6 mėn. VILIBOR</w:t>
      </w:r>
      <w:r w:rsidR="002C2FEA">
        <w:t xml:space="preserve"> siekė rekordines žemumas – 0,97</w:t>
      </w:r>
      <w:r w:rsidRPr="00A40AB4">
        <w:t xml:space="preserve"> %.</w:t>
      </w:r>
      <w:r w:rsidR="00894440" w:rsidRPr="00A40AB4">
        <w:t xml:space="preserve"> </w:t>
      </w:r>
      <w:r w:rsidR="009D36AB" w:rsidRPr="00A40AB4">
        <w:t xml:space="preserve">Tą pačią dieną </w:t>
      </w:r>
      <w:r w:rsidR="00894440" w:rsidRPr="00A40AB4">
        <w:t xml:space="preserve">nė vieno komercinio banko siūlomos palūkanų normos už terminuotąjį indėlį nesiekė </w:t>
      </w:r>
      <w:r w:rsidR="00894440" w:rsidRPr="00A40AB4">
        <w:rPr>
          <w:lang w:val="en-US"/>
        </w:rPr>
        <w:t>3 %</w:t>
      </w:r>
      <w:r w:rsidR="00894440" w:rsidRPr="00A40AB4">
        <w:t xml:space="preserve">. </w:t>
      </w:r>
      <w:r w:rsidR="00355F19" w:rsidRPr="00A40AB4">
        <w:t>Palūkanų normos dinamika ne gyvybės draudimo sektoriuje pasireiškia dvejopai.</w:t>
      </w:r>
      <w:r w:rsidR="00894440" w:rsidRPr="00A40AB4">
        <w:t xml:space="preserve"> Viena vertus, žemos palūkanų normos, ypač žemesnės negu infliacija, skatina vartojimą, o tuo pačiu tiesiogiai ir netiesiogiai (per kitas ūkio šakas) didina draudimo produktų paklausą bei pigina skolinimąsi patiems draudikams. </w:t>
      </w:r>
      <w:r w:rsidR="009D36AB" w:rsidRPr="00A40AB4">
        <w:t>Kita vertus, dėl apribotos investavimo laisvės draudikai esant žemoms palūkanų normoms draudikai praranda galimybę daugiau uždirbti investuojant techninius atidėjinius, tuo pačiu apribojama galimybė investavimo rezultatų sąskaita sumažinti draudimo produktų kainą. Vis dėlto, pirmasis veiksnys nusveria antrąjį ir žema palūkanų norma laikytina palankiu veiksniu ne gyvybės draudimo rinkai.</w:t>
      </w:r>
    </w:p>
    <w:p w:rsidR="009D36AB" w:rsidRPr="00A40AB4" w:rsidRDefault="00DE69A9" w:rsidP="0031728C">
      <w:pPr>
        <w:ind w:firstLine="567"/>
        <w:jc w:val="both"/>
      </w:pPr>
      <w:r w:rsidRPr="00A40AB4">
        <w:t xml:space="preserve">Tiesioginių užsienio investicijų apimtis po smukimo </w:t>
      </w:r>
      <w:r w:rsidRPr="00A40AB4">
        <w:rPr>
          <w:lang w:val="en-US"/>
        </w:rPr>
        <w:t>2008 m.</w:t>
      </w:r>
      <w:r w:rsidRPr="00A40AB4">
        <w:t xml:space="preserve"> užpernai </w:t>
      </w:r>
      <w:r w:rsidR="0093356D">
        <w:t xml:space="preserve">jau </w:t>
      </w:r>
      <w:r w:rsidRPr="00A40AB4">
        <w:t>augo 9 %, o pernai – 9,9 %, taip viršydamos 2007 m. lygį.</w:t>
      </w:r>
      <w:r w:rsidR="00A206CD" w:rsidRPr="00A40AB4">
        <w:t xml:space="preserve"> Šiemet taip pat fiksuotas augimas, nors ne toks žymus. Vis dėlto, ekspertų vertinimu (DNB, </w:t>
      </w:r>
      <w:r w:rsidR="00A206CD" w:rsidRPr="00A40AB4">
        <w:rPr>
          <w:lang w:val="en-US"/>
        </w:rPr>
        <w:t>2012)</w:t>
      </w:r>
      <w:r w:rsidR="00A206CD" w:rsidRPr="00A40AB4">
        <w:t>, investicijų kiekis Lietuvoje atsilieka nuo VRE šalių ir norint išlikti konkurencingai mūsų šaliai reikia mažinti šį atotrūkį</w:t>
      </w:r>
      <w:r w:rsidR="00090975" w:rsidRPr="00A40AB4">
        <w:t xml:space="preserve"> ne tik sutelkiant pastangas į išorę, bet ir mažinant biurokratines kliūtis verslui bei kovojant su korupcija savivaldybių lygmenyje.</w:t>
      </w:r>
    </w:p>
    <w:p w:rsidR="00CC1169" w:rsidRPr="00A40AB4" w:rsidRDefault="00CC1169" w:rsidP="0031728C">
      <w:pPr>
        <w:ind w:firstLine="567"/>
        <w:jc w:val="both"/>
      </w:pPr>
      <w:r w:rsidRPr="00A40AB4">
        <w:t>Kitas svarbus ekonominis faktorius, veikiantis ne gyvybės draudimo rinką</w:t>
      </w:r>
      <w:r w:rsidR="00DB7CB7" w:rsidRPr="00A40AB4">
        <w:t>, anot kai kurių anksčiau paminėtų autorių,</w:t>
      </w:r>
      <w:r w:rsidRPr="00A40AB4">
        <w:t xml:space="preserve"> yra naujai užregistruotų transporto priemonių skaičius šalyje. Statistika rodo, jog jau daugelį metų TPVCA bei kasko draudimo pasirašytų įmokų dalis svyruoja nuo 57 iki 66 %. </w:t>
      </w:r>
      <w:r w:rsidR="002800B1" w:rsidRPr="00A40AB4">
        <w:t xml:space="preserve">2010 m. šis rodiklis siekė 59 %, pernai – 57 %, o šių metų III ketv. vėl padidėjo iki 59 % nuo visų pasirašytų įmokų. </w:t>
      </w:r>
      <w:r w:rsidR="00703AF3" w:rsidRPr="00A40AB4">
        <w:t xml:space="preserve">Tokie skaičiai byloja apie transporto priemonių skaičiaus augimo teigiamą įtaką ne gyvybės draudimo sektoriui. SD duomenimis, </w:t>
      </w:r>
      <w:r w:rsidR="00DB7CB7" w:rsidRPr="00A40AB4">
        <w:t xml:space="preserve">naujai registruotų </w:t>
      </w:r>
      <w:r w:rsidR="00703AF3" w:rsidRPr="00A40AB4">
        <w:t xml:space="preserve">lengvųjų automobilių skaičius </w:t>
      </w:r>
      <w:r w:rsidR="00DB7CB7" w:rsidRPr="00A40AB4">
        <w:t>šalyje 2009 m. sumažėjo net 45 %, užpernai jau augo 4 %, o pernai – net 28,5 %.</w:t>
      </w:r>
      <w:r w:rsidR="00E169D9" w:rsidRPr="00A40AB4">
        <w:t xml:space="preserve"> Tokios tendencijos rodo didelį ne gyvybės draudimo rinkos augimo potencialą ateityje.</w:t>
      </w:r>
    </w:p>
    <w:p w:rsidR="0086151B" w:rsidRPr="00A40AB4" w:rsidRDefault="00970886" w:rsidP="009B13D4">
      <w:pPr>
        <w:ind w:firstLine="567"/>
        <w:jc w:val="both"/>
      </w:pPr>
      <w:r w:rsidRPr="00A40AB4">
        <w:t xml:space="preserve">Apibendrinant galima teigti, jog ekonominė aplinka Lietuvoje šiuo metu palanki ne gyvybės draudimo sektoriaus plėtrai: šalyje didėja BVP, našumas, </w:t>
      </w:r>
      <w:r w:rsidR="007E3411">
        <w:t xml:space="preserve">o </w:t>
      </w:r>
      <w:r w:rsidRPr="00A40AB4">
        <w:t xml:space="preserve">palūkanų normos, esančios rekordinėse žemumose, skatina vartojimą. Artimiausioje ateityje turėtų augti vidutinis darbo užmokestis, mažėti infliacija bei nedarbas. Didėja TUI bei naujai užregistruotų lengvųjų automobilių skaičius šalyje. Taigi iš esmės visi </w:t>
      </w:r>
      <w:r w:rsidR="00E23A59" w:rsidRPr="00A40AB4">
        <w:t xml:space="preserve">svarbiausi šalies makroekonominiai rodikliai, taip pat draudimo rinkai didelę įtaką turinčių lengvųjų automobilių dinamika </w:t>
      </w:r>
      <w:r w:rsidRPr="00A40AB4">
        <w:t xml:space="preserve">keičiasi </w:t>
      </w:r>
      <w:r w:rsidR="00E23A59" w:rsidRPr="00A40AB4">
        <w:t>ne gyvybės draudimo sektoriui naudinga linkme.</w:t>
      </w:r>
    </w:p>
    <w:p w:rsidR="001F2C14" w:rsidRPr="00A40AB4" w:rsidRDefault="001F2C14" w:rsidP="009B13D4">
      <w:pPr>
        <w:ind w:firstLine="567"/>
        <w:jc w:val="both"/>
      </w:pPr>
      <w:r w:rsidRPr="00C16925">
        <w:rPr>
          <w:b/>
          <w:u w:val="single"/>
        </w:rPr>
        <w:t>Socialinė ir kultūrinė aplinka.</w:t>
      </w:r>
      <w:r w:rsidR="00F0120A" w:rsidRPr="00C16925">
        <w:rPr>
          <w:b/>
        </w:rPr>
        <w:t xml:space="preserve"> </w:t>
      </w:r>
      <w:r w:rsidR="00F0120A" w:rsidRPr="00A40AB4">
        <w:t>Vienas svarbiausių socialinę aplinką apibūdinančių rodiklių – šalies demografinės padėties dinamika. Deja, ši statistika Lietuvoje nepalanki: dar nuo 1992 m. Lietuvos gyventojų skaičius ėmė mažėti ir per 20 m. išvis sumažėjo 19 % - iki 3007,7 tūkst. 2012 m. sausio 1 d.</w:t>
      </w:r>
      <w:r w:rsidR="00B92E48" w:rsidRPr="00A40AB4">
        <w:t xml:space="preserve"> duomenimis. Iki įstojimo į ES gyventojų kasmetinis skaičiaus mažėjimas buvo santykinai nedidelis ir neviršijo 1 % per metus. Situacija pasikeitė 2004 m., kai Lietuva įstojo į ES: išaugusi </w:t>
      </w:r>
      <w:r w:rsidR="00B92E48" w:rsidRPr="00A40AB4">
        <w:lastRenderedPageBreak/>
        <w:t xml:space="preserve">emigracija lėmė tai, kad pernai užfiksuotas žymiausias gyventojų skaičiaus sumažėjimas per visus metus – 2,7 %. </w:t>
      </w:r>
      <w:r w:rsidR="00E62878" w:rsidRPr="00A40AB4">
        <w:t xml:space="preserve">Europos migracijos tinklo duomenimis (2011), pagrindinės emigracijos priežastys yra aukštas nedarbo lygis bei didesni atlyginimai, išvystytas lietuvių bendruomenių tinklas tikslo šalyse. </w:t>
      </w:r>
      <w:r w:rsidR="00B92E48" w:rsidRPr="00A40AB4">
        <w:t xml:space="preserve">VRE regione tendencijos </w:t>
      </w:r>
      <w:r w:rsidR="00C21B5B" w:rsidRPr="00A40AB4">
        <w:t>panašios</w:t>
      </w:r>
      <w:r w:rsidR="00B92E48" w:rsidRPr="00A40AB4">
        <w:t xml:space="preserve">: Bulgarijoje, Latvijoje, Vengrijoje, Rumunijoje taip pat vyrauja gyventojų skaičiaus mažėjimo tendencija, </w:t>
      </w:r>
      <w:r w:rsidR="00BD28B1" w:rsidRPr="00A40AB4">
        <w:t>Čekijoje bei Lenkijoje gyventojų truputėlį daugėja, tuo tarpu Estijoje, Slovėnijoje bei Slovakijoje gyventojų skaičius nuo 2001 m. ženkliai nepakito.</w:t>
      </w:r>
      <w:r w:rsidR="00C21B5B" w:rsidRPr="00A40AB4">
        <w:t xml:space="preserve"> Tokia statistika nepalanki mūsų šalies ne gyvybės draudimo plėtrai.</w:t>
      </w:r>
    </w:p>
    <w:p w:rsidR="009B13D4" w:rsidRPr="00A40AB4" w:rsidRDefault="002F6693" w:rsidP="009B13D4">
      <w:pPr>
        <w:ind w:firstLine="567"/>
        <w:jc w:val="both"/>
      </w:pPr>
      <w:r w:rsidRPr="00A40AB4">
        <w:t xml:space="preserve">Gyventojų mažėjimo tendenciją šiek tiek švelnina vidutinės gyvenimo trukmės augimas: per pastaruosius dešimt metų vidutinė tikėtina gyvenimo trukmė Lietuvoje pailgėjo 2,1 m. ir pernai sudarė 73,89 m. </w:t>
      </w:r>
      <w:r w:rsidR="00650574" w:rsidRPr="00A40AB4">
        <w:t>Verta pažymėti, jog gimstamumas šalyje yra gana didelis,</w:t>
      </w:r>
      <w:r w:rsidR="00F00457" w:rsidRPr="00A40AB4">
        <w:t xml:space="preserve"> lyginant su duomenimis fiksuotais prieš dešimtmetį. 2008-2011 m. 1000 gyventojų teko 10,5-11 gimusiųjų. Deja, to nepakanka kompensuoti gyventojų praradimą, tad gyventojų skaičius ir toliau mažėja.</w:t>
      </w:r>
    </w:p>
    <w:p w:rsidR="00005074" w:rsidRPr="00A40AB4" w:rsidRDefault="00521B2F" w:rsidP="00005074">
      <w:pPr>
        <w:ind w:firstLine="567"/>
        <w:jc w:val="both"/>
      </w:pPr>
      <w:r w:rsidRPr="00A40AB4">
        <w:t>Kitas svarbus socialinis rodiklis – pajamų pasiskirstymas. Šį rodiklį apibrėžia pajamų nelygybė – tai skirtumai tarp individų gaunamų pajamų ekonomikoje (Skučienė, 2008)</w:t>
      </w:r>
      <w:r w:rsidR="009619D7" w:rsidRPr="00A40AB4">
        <w:t>. Vienas populiariausių pajamų nelygybę atspindinčių rodiklių – Džini koeficientas, parodantis, kiek skiriasi realus paja</w:t>
      </w:r>
      <w:r w:rsidR="00275687">
        <w:t>mų pasiskirstymas tarp gyventojų</w:t>
      </w:r>
      <w:r w:rsidR="009619D7" w:rsidRPr="00A40AB4">
        <w:t xml:space="preserve"> nuo atvejo, kai kiekvienas gauna vienodas pajamas. Šis indeksas mūsų šalyje 2009 m. sudarė 35,5 % (Latvijoje – 37,4 %, Estijoje – 31,4 %)</w:t>
      </w:r>
      <w:r w:rsidR="00C52C13" w:rsidRPr="00A40AB4">
        <w:t>, taigi atsiliekame nuo ES vidurkio (</w:t>
      </w:r>
      <w:r w:rsidR="00C52C13" w:rsidRPr="00A40AB4">
        <w:rPr>
          <w:lang w:val="en-US"/>
        </w:rPr>
        <w:t>30,6 % 2008 m.)</w:t>
      </w:r>
      <w:r w:rsidR="009619D7" w:rsidRPr="00A40AB4">
        <w:t>.</w:t>
      </w:r>
      <w:r w:rsidR="00D321C8" w:rsidRPr="00A40AB4">
        <w:t xml:space="preserve"> Anot Skučienės (</w:t>
      </w:r>
      <w:r w:rsidR="00D321C8" w:rsidRPr="00A40AB4">
        <w:rPr>
          <w:lang w:val="en-US"/>
        </w:rPr>
        <w:t>2008),</w:t>
      </w:r>
      <w:r w:rsidR="009619D7" w:rsidRPr="00A40AB4">
        <w:t xml:space="preserve"> nuo 1996 iki 2006 m. 10 % didžiausias pajamas gaunančių gyventojų gaunamų pajamų dalis padidėjo nuo 26,2 iki 29,4 %.</w:t>
      </w:r>
      <w:r w:rsidR="001F4328" w:rsidRPr="00A40AB4">
        <w:t xml:space="preserve"> </w:t>
      </w:r>
      <w:r w:rsidR="00D321C8" w:rsidRPr="00A40AB4">
        <w:t xml:space="preserve">Taigi, </w:t>
      </w:r>
      <w:r w:rsidR="001F4328" w:rsidRPr="00A40AB4">
        <w:t xml:space="preserve">socialinė </w:t>
      </w:r>
      <w:r w:rsidR="00D321C8" w:rsidRPr="00A40AB4">
        <w:t>atskirtis tarp turtingiausių ir vargingiausių gyventojų didėja</w:t>
      </w:r>
      <w:r w:rsidR="001F4328" w:rsidRPr="00A40AB4">
        <w:t>. Ilgametė patirtis rodo, jog šalyse, kur atskirtis mažesnė, šalies ūkis, taigi ir draud</w:t>
      </w:r>
      <w:r w:rsidR="00C9010E" w:rsidRPr="00A40AB4">
        <w:t xml:space="preserve">imo sektorius, vystosi sparčiau (pvz. 2009 m. Austrijoje Džini koeficientas siekė </w:t>
      </w:r>
      <w:r w:rsidR="00C9010E" w:rsidRPr="00A40AB4">
        <w:rPr>
          <w:lang w:val="en-US"/>
        </w:rPr>
        <w:t xml:space="preserve">25,7 %, </w:t>
      </w:r>
      <w:r w:rsidR="00C9010E" w:rsidRPr="00A40AB4">
        <w:t>Suomijoje – 25,9%).</w:t>
      </w:r>
    </w:p>
    <w:p w:rsidR="00005074" w:rsidRPr="00860F89" w:rsidRDefault="00005074" w:rsidP="00005074">
      <w:pPr>
        <w:ind w:firstLine="567"/>
        <w:jc w:val="both"/>
      </w:pPr>
      <w:r w:rsidRPr="00860F89">
        <w:t xml:space="preserve">Kalbant apie vartojimo struktūrą, </w:t>
      </w:r>
      <w:r w:rsidR="00B81668" w:rsidRPr="00860F89">
        <w:t>d</w:t>
      </w:r>
      <w:r w:rsidRPr="00860F89">
        <w:t>idžiausią dalį pajamų namų ūkiai išleidžia maistui bei nealkoholiniams gėrimams</w:t>
      </w:r>
      <w:r w:rsidR="00CB6693" w:rsidRPr="00860F89">
        <w:t>, tačiau reikėtų pasidžiaugti jog tam skiriama dalis</w:t>
      </w:r>
      <w:r w:rsidRPr="00860F89">
        <w:t xml:space="preserve"> nuo 23,8 % 2007 m. </w:t>
      </w:r>
      <w:r w:rsidR="00CB6693" w:rsidRPr="00860F89">
        <w:t xml:space="preserve">sumažėjo iki 23,3 </w:t>
      </w:r>
      <w:r w:rsidRPr="00860F89">
        <w:t>%</w:t>
      </w:r>
      <w:r w:rsidR="00CE747F" w:rsidRPr="00860F89">
        <w:t xml:space="preserve"> (SD duomenimis)</w:t>
      </w:r>
      <w:r w:rsidRPr="00860F89">
        <w:t>.</w:t>
      </w:r>
      <w:r w:rsidR="00CE747F" w:rsidRPr="00860F89">
        <w:t xml:space="preserve"> I</w:t>
      </w:r>
      <w:r w:rsidR="00D243E7" w:rsidRPr="00860F89">
        <w:t>šaugo būsto išlaidų dalis – nuo 12,3 iki 1</w:t>
      </w:r>
      <w:r w:rsidR="00CB6693" w:rsidRPr="00860F89">
        <w:t>5</w:t>
      </w:r>
      <w:r w:rsidR="00D243E7" w:rsidRPr="00860F89">
        <w:t>,</w:t>
      </w:r>
      <w:r w:rsidR="00CB6693" w:rsidRPr="00860F89">
        <w:t>9</w:t>
      </w:r>
      <w:r w:rsidR="00CE747F" w:rsidRPr="00860F89">
        <w:t xml:space="preserve"> % bei</w:t>
      </w:r>
      <w:r w:rsidR="00D243E7" w:rsidRPr="00860F89">
        <w:t xml:space="preserve"> alkoholiui ir tabakui išleidžiama </w:t>
      </w:r>
      <w:r w:rsidR="00CE747F" w:rsidRPr="00860F89">
        <w:t xml:space="preserve">dalis – </w:t>
      </w:r>
      <w:r w:rsidR="00D243E7" w:rsidRPr="00860F89">
        <w:t xml:space="preserve">6,3 iki </w:t>
      </w:r>
      <w:r w:rsidR="00CB6693" w:rsidRPr="00860F89">
        <w:t>8,1</w:t>
      </w:r>
      <w:r w:rsidR="00D243E7" w:rsidRPr="00860F89">
        <w:t xml:space="preserve"> %</w:t>
      </w:r>
      <w:r w:rsidR="00CB6693" w:rsidRPr="00860F89">
        <w:t>, ką labiausiai įtakojo didėjantys akcizo mokesčiai.</w:t>
      </w:r>
      <w:r w:rsidR="00D243E7" w:rsidRPr="00860F89">
        <w:t xml:space="preserve"> </w:t>
      </w:r>
      <w:r w:rsidR="00D41E4C" w:rsidRPr="00860F89">
        <w:t>Švietimui</w:t>
      </w:r>
      <w:r w:rsidR="00D243E7" w:rsidRPr="00860F89">
        <w:t xml:space="preserve"> skiriam</w:t>
      </w:r>
      <w:r w:rsidR="00D41E4C" w:rsidRPr="00860F89">
        <w:t>ų</w:t>
      </w:r>
      <w:r w:rsidR="00D243E7" w:rsidRPr="00860F89">
        <w:t xml:space="preserve"> išlaidų dalis </w:t>
      </w:r>
      <w:r w:rsidR="00D41E4C" w:rsidRPr="00860F89">
        <w:t xml:space="preserve">padidėjo </w:t>
      </w:r>
      <w:r w:rsidR="00D243E7" w:rsidRPr="00860F89">
        <w:t xml:space="preserve">nuo 1,1 iki </w:t>
      </w:r>
      <w:r w:rsidR="00D41E4C" w:rsidRPr="00860F89">
        <w:t>1,3</w:t>
      </w:r>
      <w:r w:rsidR="00D243E7" w:rsidRPr="00860F89">
        <w:t xml:space="preserve"> %</w:t>
      </w:r>
      <w:r w:rsidR="00D41E4C" w:rsidRPr="00860F89">
        <w:t>. Galima pasidžiaugti ir kitais teigiamais pokyčiais: aprangos bei avalynės išlaidų dalis sumenko nuo 9,1 iki 6,6 %, o sveikatai – padidėjo nuo 4 iki 4,9 %. Transportui išleidžiamų lėšų dalis 2007-2011 m. laikotarpiu sumažėjo nuo 16,5 iki 14,5 %.</w:t>
      </w:r>
      <w:r w:rsidR="00861892" w:rsidRPr="00860F89">
        <w:t xml:space="preserve"> Kadangi statistika rodo, jog transporto priemonių šalyje daugėja, tokie skaičiai atskleidžia, jog transporto išlaidos mažėja. Toks pokytis palankus ne gyvybės draudimui, kadangi </w:t>
      </w:r>
      <w:r w:rsidR="00F36C08" w:rsidRPr="00860F89">
        <w:t xml:space="preserve">tai </w:t>
      </w:r>
      <w:r w:rsidR="00861892" w:rsidRPr="00860F89">
        <w:t>gali skatinti automobilių skaičiaus</w:t>
      </w:r>
      <w:r w:rsidR="00F36C08" w:rsidRPr="00860F89">
        <w:t xml:space="preserve"> šalyje</w:t>
      </w:r>
      <w:r w:rsidR="00861892" w:rsidRPr="00860F89">
        <w:t xml:space="preserve"> augimą.</w:t>
      </w:r>
    </w:p>
    <w:p w:rsidR="00A20DE4" w:rsidRPr="00A40AB4" w:rsidRDefault="00BC5DCD" w:rsidP="00005074">
      <w:pPr>
        <w:ind w:firstLine="567"/>
        <w:jc w:val="both"/>
      </w:pPr>
      <w:r w:rsidRPr="00A40AB4">
        <w:t>Žvelgiant į gyventojų vertybes bei gyvenimo būdą pastebėtini ne</w:t>
      </w:r>
      <w:r w:rsidR="007F6BCD">
        <w:t xml:space="preserve"> gyvybės draudimo sektoriaus stabilumui</w:t>
      </w:r>
      <w:r w:rsidRPr="00A40AB4">
        <w:t xml:space="preserve"> palankūs skaičiai: pirmiausia</w:t>
      </w:r>
      <w:r w:rsidR="007A08D4" w:rsidRPr="00A40AB4">
        <w:t xml:space="preserve"> mūsų šalyje rūpinamasi </w:t>
      </w:r>
      <w:r w:rsidR="007F6BCD">
        <w:t xml:space="preserve">materialaus </w:t>
      </w:r>
      <w:r w:rsidR="007A08D4" w:rsidRPr="00A40AB4">
        <w:t xml:space="preserve">turto, o tik paskui savo </w:t>
      </w:r>
      <w:r w:rsidR="007F6BCD">
        <w:t xml:space="preserve">sveikatos, </w:t>
      </w:r>
      <w:r w:rsidR="007A08D4" w:rsidRPr="00A40AB4">
        <w:t xml:space="preserve">gyvybės </w:t>
      </w:r>
      <w:r w:rsidR="007F6BCD">
        <w:t xml:space="preserve">ar atsakomybės </w:t>
      </w:r>
      <w:r w:rsidR="007A08D4" w:rsidRPr="00A40AB4">
        <w:t>apsauga.</w:t>
      </w:r>
      <w:r w:rsidR="009C4109">
        <w:t xml:space="preserve"> N</w:t>
      </w:r>
      <w:r w:rsidR="007F6BCD">
        <w:t xml:space="preserve">ors tai užtikrina stabilias ne gyvybės draudikų </w:t>
      </w:r>
      <w:r w:rsidR="009C4109">
        <w:t xml:space="preserve">stabilias </w:t>
      </w:r>
      <w:r w:rsidR="007F6BCD">
        <w:lastRenderedPageBreak/>
        <w:t xml:space="preserve">pajamas, </w:t>
      </w:r>
      <w:r w:rsidR="009C4109">
        <w:t xml:space="preserve">tai </w:t>
      </w:r>
      <w:r w:rsidR="007F6BCD">
        <w:t xml:space="preserve">plėtrą ribojantis veiksnys. </w:t>
      </w:r>
      <w:r w:rsidR="009C4109">
        <w:t>N</w:t>
      </w:r>
      <w:r w:rsidRPr="00A40AB4">
        <w:t xml:space="preserve">e gyvybės draudimo dalis, skirtingai nei didžiojoje dalyje likusio pasaulio, sudaro apie du trečdalius visos draudimo rinkos (žr. </w:t>
      </w:r>
      <w:r w:rsidR="00C9523B">
        <w:t>9 pav</w:t>
      </w:r>
      <w:r w:rsidRPr="00A40AB4">
        <w:t>.).</w:t>
      </w:r>
      <w:r w:rsidR="00943B87" w:rsidRPr="00A40AB4">
        <w:t xml:space="preserve"> </w:t>
      </w:r>
    </w:p>
    <w:p w:rsidR="00A20DE4" w:rsidRPr="00A40AB4" w:rsidRDefault="00943B87" w:rsidP="00005074">
      <w:pPr>
        <w:ind w:firstLine="567"/>
        <w:jc w:val="both"/>
      </w:pPr>
      <w:r w:rsidRPr="00A40AB4">
        <w:t xml:space="preserve">Mūsų šalyje taip pat vyrauja dviejų turto rūšių kultas: turėti nuosavą automobilį bei būstą. Į Lietuvą įvežama vis daugiau transporto priemonių, šalies parkas nuolat auga, tad nestebina ir tai, jog TPVCA bei kasko draudimai kartu sudėjus užima apie </w:t>
      </w:r>
      <w:r w:rsidR="00913548">
        <w:t xml:space="preserve">60 % </w:t>
      </w:r>
      <w:r w:rsidRPr="00A40AB4">
        <w:t xml:space="preserve">ne gyvybės draudimo rinkos. </w:t>
      </w:r>
    </w:p>
    <w:p w:rsidR="00B81668" w:rsidRPr="00A40AB4" w:rsidRDefault="007A08D4" w:rsidP="00005074">
      <w:pPr>
        <w:ind w:firstLine="567"/>
        <w:jc w:val="both"/>
      </w:pPr>
      <w:r w:rsidRPr="00A40AB4">
        <w:t>Nuosavo būsto</w:t>
      </w:r>
      <w:r w:rsidR="007F5EEA" w:rsidRPr="00A40AB4">
        <w:t xml:space="preserve"> kultas pasireiškia dar labiau</w:t>
      </w:r>
      <w:r w:rsidRPr="00A40AB4">
        <w:t xml:space="preserve">: </w:t>
      </w:r>
      <w:r w:rsidRPr="00A24FAD">
        <w:rPr>
          <w:lang w:val="en-US"/>
        </w:rPr>
        <w:t>Swedbank</w:t>
      </w:r>
      <w:r w:rsidRPr="00A40AB4">
        <w:t xml:space="preserve"> užsakyto </w:t>
      </w:r>
      <w:r w:rsidRPr="00A40AB4">
        <w:rPr>
          <w:lang w:val="en-US"/>
        </w:rPr>
        <w:t xml:space="preserve">2012 m. </w:t>
      </w:r>
      <w:r w:rsidRPr="00A40AB4">
        <w:t xml:space="preserve">kovo mėn. </w:t>
      </w:r>
      <w:r w:rsidRPr="00A24FAD">
        <w:rPr>
          <w:lang w:val="en-US"/>
        </w:rPr>
        <w:t>Spinter</w:t>
      </w:r>
      <w:r w:rsidRPr="00A40AB4">
        <w:t xml:space="preserve"> atliktos apklausos duomenimis, net </w:t>
      </w:r>
      <w:r w:rsidRPr="00A40AB4">
        <w:rPr>
          <w:lang w:val="en-US"/>
        </w:rPr>
        <w:t xml:space="preserve">96 % </w:t>
      </w:r>
      <w:r w:rsidRPr="00A40AB4">
        <w:t xml:space="preserve">Lietuvos gyventojų norėtų gyventi nuosavame būste, o </w:t>
      </w:r>
      <w:r w:rsidRPr="00A40AB4">
        <w:rPr>
          <w:lang w:val="en-US"/>
        </w:rPr>
        <w:t xml:space="preserve">88 % </w:t>
      </w:r>
      <w:r w:rsidRPr="00A40AB4">
        <w:t xml:space="preserve">šiuo metu gyvena. </w:t>
      </w:r>
      <w:r w:rsidR="00A20DE4" w:rsidRPr="00A40AB4">
        <w:t>R</w:t>
      </w:r>
      <w:r w:rsidRPr="00A40AB4">
        <w:t xml:space="preserve">odiklis smarkiai skiriasi nuo ES vidurkio: ES šalyse nuoma net </w:t>
      </w:r>
      <w:r w:rsidRPr="00A40AB4">
        <w:rPr>
          <w:lang w:val="en-US"/>
        </w:rPr>
        <w:t xml:space="preserve">4 </w:t>
      </w:r>
      <w:r w:rsidRPr="00A40AB4">
        <w:t>kartus populiaresnė nei Lietuvoje. Mūsų šalies gyventojai yra antroje vietoje (po Rumunijos) visoje ES tarp labiausiai norinčių gyventi nuosavame būste.</w:t>
      </w:r>
      <w:r w:rsidR="00A20DE4" w:rsidRPr="00A40AB4">
        <w:t xml:space="preserve"> Nuosavo būsto poreikis turėtų teigiamai veikti turto draudimą: perkant būstą su banko paskola, privaloma būstą drausti.</w:t>
      </w:r>
      <w:r w:rsidR="0085702A" w:rsidRPr="00A40AB4">
        <w:t xml:space="preserve"> Deja, butų draudimo skvarba yra gana maža – </w:t>
      </w:r>
      <w:r w:rsidR="0085702A" w:rsidRPr="00A40AB4">
        <w:rPr>
          <w:lang w:val="en-US"/>
        </w:rPr>
        <w:t xml:space="preserve">2010 m. </w:t>
      </w:r>
      <w:r w:rsidR="0085702A" w:rsidRPr="00A40AB4">
        <w:t xml:space="preserve">siekė </w:t>
      </w:r>
      <w:r w:rsidR="0085702A" w:rsidRPr="00A40AB4">
        <w:rPr>
          <w:lang w:val="en-US"/>
        </w:rPr>
        <w:t>21 % (LDA, 2011).</w:t>
      </w:r>
      <w:r w:rsidR="0085702A" w:rsidRPr="00A40AB4">
        <w:t xml:space="preserve"> Tą nesunkiai galima paaiškinti tuo, jog Lietuvoje net </w:t>
      </w:r>
      <w:r w:rsidR="0085702A" w:rsidRPr="00A40AB4">
        <w:rPr>
          <w:lang w:val="en-US"/>
        </w:rPr>
        <w:t xml:space="preserve">85,3 % </w:t>
      </w:r>
      <w:r w:rsidR="0085702A" w:rsidRPr="00A40AB4">
        <w:t xml:space="preserve">būsto įsigyta nuosavomis lėšomis ir tik </w:t>
      </w:r>
      <w:r w:rsidR="0085702A" w:rsidRPr="00A40AB4">
        <w:rPr>
          <w:lang w:val="en-US"/>
        </w:rPr>
        <w:t xml:space="preserve">7,8 % - </w:t>
      </w:r>
      <w:r w:rsidR="0085702A" w:rsidRPr="00A40AB4">
        <w:t xml:space="preserve">su banko paskola. ES šalyse situacija kitokia – </w:t>
      </w:r>
      <w:r w:rsidR="0085702A" w:rsidRPr="00A40AB4">
        <w:rPr>
          <w:lang w:val="en-US"/>
        </w:rPr>
        <w:t xml:space="preserve">42,9 % </w:t>
      </w:r>
      <w:r w:rsidR="0085702A" w:rsidRPr="00A40AB4">
        <w:t xml:space="preserve">būsto įsigyta nuosavomis lėšomis, o </w:t>
      </w:r>
      <w:r w:rsidR="0085702A" w:rsidRPr="00A40AB4">
        <w:rPr>
          <w:lang w:val="en-US"/>
        </w:rPr>
        <w:t xml:space="preserve">27,9 % - </w:t>
      </w:r>
      <w:r w:rsidR="0085702A" w:rsidRPr="00A40AB4">
        <w:t xml:space="preserve">su banko paskola (likusi dalis būstų nuomojama). </w:t>
      </w:r>
      <w:r w:rsidR="00FA5EBC" w:rsidRPr="00A40AB4">
        <w:t>Taigi galima daryti išvadą, jog butus žmonės dažniausiai draudžia tik privalomai perkant juos su paskola, tačiau butų draudimas iš finansinio saugumo paskatų nėra susiformavęs. Tiesa LDA duomenimis (</w:t>
      </w:r>
      <w:r w:rsidR="00FA5EBC" w:rsidRPr="00A40AB4">
        <w:rPr>
          <w:lang w:val="en-US"/>
        </w:rPr>
        <w:t>2011)</w:t>
      </w:r>
      <w:r w:rsidR="00FA5EBC" w:rsidRPr="00A40AB4">
        <w:t xml:space="preserve">, gyvenamųjų namų išdraustumas </w:t>
      </w:r>
      <w:r w:rsidR="00FA5EBC" w:rsidRPr="00A40AB4">
        <w:rPr>
          <w:lang w:val="en-US"/>
        </w:rPr>
        <w:t xml:space="preserve">2010 m. </w:t>
      </w:r>
      <w:r w:rsidR="00FA5EBC" w:rsidRPr="00A40AB4">
        <w:t xml:space="preserve">siekė </w:t>
      </w:r>
      <w:r w:rsidR="00FA5EBC" w:rsidRPr="00A40AB4">
        <w:rPr>
          <w:lang w:val="en-US"/>
        </w:rPr>
        <w:t>53 %</w:t>
      </w:r>
      <w:r w:rsidR="00FA5EBC" w:rsidRPr="00A40AB4">
        <w:t xml:space="preserve"> - greičiausiai tai nulemta anksčiau buvęs privalomas namo draudimas, suformavęs įprotį draustis.</w:t>
      </w:r>
    </w:p>
    <w:p w:rsidR="005E3862" w:rsidRPr="00A40AB4" w:rsidRDefault="005E3862" w:rsidP="00005074">
      <w:pPr>
        <w:ind w:firstLine="567"/>
        <w:jc w:val="both"/>
      </w:pPr>
      <w:r w:rsidRPr="00A40AB4">
        <w:t xml:space="preserve">Galima pasidžiaugti, jog </w:t>
      </w:r>
      <w:r w:rsidR="00035A72" w:rsidRPr="00A40AB4">
        <w:t>didėja</w:t>
      </w:r>
      <w:r w:rsidR="00CE747F" w:rsidRPr="00A40AB4">
        <w:t xml:space="preserve"> </w:t>
      </w:r>
      <w:r w:rsidRPr="00A40AB4">
        <w:t xml:space="preserve">žmonių rūpinimasis sveikata – sveikatos draudimo  dalis struktūroje nuolat auga ir pernai sudarė </w:t>
      </w:r>
      <w:r w:rsidRPr="00A40AB4">
        <w:rPr>
          <w:lang w:val="en-US"/>
        </w:rPr>
        <w:t>9,2 %</w:t>
      </w:r>
      <w:r w:rsidRPr="00A40AB4">
        <w:t xml:space="preserve"> (DPK, </w:t>
      </w:r>
      <w:r w:rsidRPr="00A40AB4">
        <w:rPr>
          <w:lang w:val="en-US"/>
        </w:rPr>
        <w:t>2012)</w:t>
      </w:r>
      <w:r w:rsidR="00781619" w:rsidRPr="00A40AB4">
        <w:rPr>
          <w:lang w:val="en-US"/>
        </w:rPr>
        <w:t>,</w:t>
      </w:r>
      <w:r w:rsidR="00781619" w:rsidRPr="00A40AB4">
        <w:t xml:space="preserve"> didėja</w:t>
      </w:r>
      <w:r w:rsidR="00D21C59" w:rsidRPr="00A40AB4">
        <w:t xml:space="preserve"> namų ūkių išlaidų dalis sveikatai</w:t>
      </w:r>
      <w:r w:rsidRPr="00A40AB4">
        <w:t>.</w:t>
      </w:r>
      <w:r w:rsidR="00BF350D" w:rsidRPr="00A40AB4">
        <w:t xml:space="preserve"> Palaipsniui kinta žmonių bei įmonių suvokimas api</w:t>
      </w:r>
      <w:r w:rsidR="00CE747F" w:rsidRPr="00A40AB4">
        <w:t>e civilinės atsakomybės draudimo produktus</w:t>
      </w:r>
      <w:r w:rsidR="008F1561" w:rsidRPr="00A40AB4">
        <w:t xml:space="preserve">. Pvz., BCA draudimas po </w:t>
      </w:r>
      <w:r w:rsidR="00BF350D" w:rsidRPr="00A40AB4">
        <w:t>truputį populiarėja ir pernai sudarė 5,9 % visų pasirašytų įmokų dalies.</w:t>
      </w:r>
    </w:p>
    <w:p w:rsidR="00B15C5E" w:rsidRPr="00A40AB4" w:rsidRDefault="001E7ACF" w:rsidP="00005074">
      <w:pPr>
        <w:ind w:firstLine="567"/>
        <w:jc w:val="both"/>
      </w:pPr>
      <w:r w:rsidRPr="00A40AB4">
        <w:t xml:space="preserve">Švietimas – kita sritis, </w:t>
      </w:r>
      <w:r w:rsidR="0000700F" w:rsidRPr="00A40AB4">
        <w:t>turinti įtakos</w:t>
      </w:r>
      <w:r w:rsidRPr="00A40AB4">
        <w:t xml:space="preserve"> draudimo plėtrai. Per dešimtmetį</w:t>
      </w:r>
      <w:r w:rsidR="00332428" w:rsidRPr="00A40AB4">
        <w:t xml:space="preserve"> valstybės ir savivaldybių</w:t>
      </w:r>
      <w:r w:rsidRPr="00A40AB4">
        <w:t xml:space="preserve"> išlaidos švietimui pakito nežymiai – nuo 5,7 % BVP 2003 m. iki 5,9 % BVP 2011 m. </w:t>
      </w:r>
      <w:r w:rsidR="00332428" w:rsidRPr="00A40AB4">
        <w:t>Vis dėlto, šios išlaidos 2009 m. sudarė 6,8 % BVP, taigi per keletą metų jos sumažėjo. Išlaidos, skirtos aukštajam mokslui pernai sudarė 1 % nuo BVP – tai mažiausias rodiklis nuo 2003 m</w:t>
      </w:r>
      <w:r w:rsidR="00034794" w:rsidRPr="00A40AB4">
        <w:t>.</w:t>
      </w:r>
      <w:r w:rsidR="002E1E98" w:rsidRPr="00A40AB4">
        <w:t xml:space="preserve"> Tai nulėmė mažėjantis studentų aukštosiose mokyklose skaičius, kadangi atitinkamai mažėja ir valstybės finansuojamų studijų studentų. Visgi tai kelia nerimą, kadangi, anot mokslininkų, išsilavinimo lygis bei finansinis išprusimas daro įtaką</w:t>
      </w:r>
      <w:r w:rsidR="00F1337D" w:rsidRPr="00A40AB4">
        <w:t xml:space="preserve"> draudimo sektoriaus plėtrai (Kindurys, 2002, </w:t>
      </w:r>
      <w:r w:rsidR="00F1337D" w:rsidRPr="00AC416C">
        <w:rPr>
          <w:lang w:val="en-US"/>
        </w:rPr>
        <w:t>Outreville</w:t>
      </w:r>
      <w:r w:rsidR="00F1337D" w:rsidRPr="00A40AB4">
        <w:t>, 1996).</w:t>
      </w:r>
    </w:p>
    <w:p w:rsidR="001F2C14" w:rsidRPr="00A40AB4" w:rsidRDefault="0000700F" w:rsidP="00346B9E">
      <w:pPr>
        <w:ind w:firstLine="567"/>
        <w:jc w:val="both"/>
      </w:pPr>
      <w:r w:rsidRPr="00A40AB4">
        <w:t xml:space="preserve">Apibendrinant socialinius bei kultūrinius faktorius, galima teigti, </w:t>
      </w:r>
      <w:r w:rsidR="00DE1F6F">
        <w:t>jog šie veiksniai daugiausia riboja draudimo verslo plėtrą</w:t>
      </w:r>
      <w:r w:rsidRPr="00A40AB4">
        <w:t xml:space="preserve">. </w:t>
      </w:r>
      <w:r w:rsidR="00DE1F6F">
        <w:t>Teigiami faktoriai</w:t>
      </w:r>
      <w:r w:rsidRPr="00A40AB4">
        <w:t xml:space="preserve"> –</w:t>
      </w:r>
      <w:r w:rsidR="00DE1F6F">
        <w:t xml:space="preserve"> didėjantis rūpinimasis sveikata, </w:t>
      </w:r>
      <w:r w:rsidR="0018134A">
        <w:t xml:space="preserve">nežymiai tačiau šiek tiek </w:t>
      </w:r>
      <w:r w:rsidR="00DE1F6F">
        <w:t xml:space="preserve">palankia linkme besikeičianti </w:t>
      </w:r>
      <w:r w:rsidR="00DE1F6F" w:rsidRPr="00A40AB4">
        <w:t>namų ūkių vartojimo struktūra</w:t>
      </w:r>
      <w:r w:rsidR="00DE1F6F">
        <w:t>. N</w:t>
      </w:r>
      <w:r w:rsidRPr="00A40AB4">
        <w:t>oras pirmi</w:t>
      </w:r>
      <w:r w:rsidR="00DE1F6F">
        <w:t>ausia apdrausti materialų turtą užtikrina draudikams stabilias pajamas, tačiau riboja plėtrą</w:t>
      </w:r>
      <w:r w:rsidRPr="00A40AB4">
        <w:t xml:space="preserve">. </w:t>
      </w:r>
      <w:r w:rsidR="00DE1F6F">
        <w:t xml:space="preserve">Kiti svarbiausi </w:t>
      </w:r>
      <w:r w:rsidRPr="00A40AB4">
        <w:t>neigiami veiksniai – blogėjanti šalies demografinė padėtis (mažas gimstamumas, didelė emigracija),</w:t>
      </w:r>
      <w:r w:rsidR="008848D7" w:rsidRPr="00A40AB4">
        <w:t xml:space="preserve"> didėjanti socialinė atskirtis, mažėjantis aukštųjų mokyklų studentų skaičius, mažėjančios išlaidos švietimui.</w:t>
      </w:r>
    </w:p>
    <w:p w:rsidR="009852AD" w:rsidRPr="00A40AB4" w:rsidRDefault="008B60E9" w:rsidP="009879D7">
      <w:pPr>
        <w:ind w:firstLine="567"/>
        <w:jc w:val="both"/>
      </w:pPr>
      <w:r w:rsidRPr="00C16925">
        <w:rPr>
          <w:b/>
          <w:u w:val="single"/>
        </w:rPr>
        <w:lastRenderedPageBreak/>
        <w:t>Technologinė aplinka.</w:t>
      </w:r>
      <w:r w:rsidRPr="00C16925">
        <w:rPr>
          <w:b/>
        </w:rPr>
        <w:t xml:space="preserve"> </w:t>
      </w:r>
      <w:r w:rsidR="009879D7" w:rsidRPr="00A40AB4">
        <w:t>Technologinės aplinkos vystymasis teigiamai veikia draudimo sektoriaus plėtrą.</w:t>
      </w:r>
      <w:r w:rsidR="009852AD" w:rsidRPr="00A40AB4">
        <w:t xml:space="preserve"> Siekiant kuo geriau patenkinti rinkos poreikius, sukuriami nauji ir tobulinami esami produktai (pvz. atsirado laidavimo draudimas, siūlomi kompleksiniai produktai). Antra, </w:t>
      </w:r>
      <w:r w:rsidR="009879D7" w:rsidRPr="00A40AB4">
        <w:t>derėtų išskirti didžiulę kompiuterinės pažangos bei interneto įtaką draudimo augimui. Šiame amžiuje kompiuterinė technika tapo neatsiejama kiekvienos įmonės, taigi ir draudikų, darbo dalis: sukurtos draudimo poreikius atitinkančios verslo sistemos, leidžiančios efektyviau analizuoti duomenis bei apdrausti klientus.</w:t>
      </w:r>
      <w:r w:rsidR="009852AD" w:rsidRPr="00A40AB4">
        <w:t xml:space="preserve"> Atsirado bendros apskaitos sistemos </w:t>
      </w:r>
      <w:r w:rsidR="009A77AB" w:rsidRPr="00A40AB4">
        <w:t>(</w:t>
      </w:r>
      <w:r w:rsidR="009852AD" w:rsidRPr="00A40AB4">
        <w:t>pvz. „Mintak Brokeris</w:t>
      </w:r>
      <w:r w:rsidR="00402C87">
        <w:t>“</w:t>
      </w:r>
      <w:r w:rsidR="009A77AB" w:rsidRPr="00A40AB4">
        <w:t>)</w:t>
      </w:r>
      <w:r w:rsidR="009852AD" w:rsidRPr="00A40AB4">
        <w:t>, leidžiančios, tarkime, palyginti skirtingų draudikų siūlomų paslaugų sąlygas.</w:t>
      </w:r>
      <w:r w:rsidR="009879D7" w:rsidRPr="00A40AB4">
        <w:t xml:space="preserve"> Interneto dėka atsirado nauji draudimo</w:t>
      </w:r>
      <w:r w:rsidR="009852AD" w:rsidRPr="00A40AB4">
        <w:t xml:space="preserve"> pardavimo bei reklamos kanalai: draudikai reklamuojasi internetu, taip pat atsirado galimybė apsidrausti internetu, kas turėtų itin paskatinti draudimo plėtrą,</w:t>
      </w:r>
      <w:r w:rsidR="00FE3769" w:rsidRPr="00A40AB4">
        <w:t xml:space="preserve"> gerinti paslaugos prieinamumą.</w:t>
      </w:r>
      <w:r w:rsidR="009852AD" w:rsidRPr="00A40AB4">
        <w:t xml:space="preserve"> </w:t>
      </w:r>
      <w:r w:rsidR="00FE3769" w:rsidRPr="00A40AB4">
        <w:t>T</w:t>
      </w:r>
      <w:r w:rsidR="009852AD" w:rsidRPr="00A40AB4">
        <w:t>uo pačiu mažinami kaštai, kas leidžia draudėjams pasiūlyti patrauklesnes kainas</w:t>
      </w:r>
      <w:r w:rsidR="00FF43D1">
        <w:t xml:space="preserve"> bei efektyvinti draudimo verslą</w:t>
      </w:r>
      <w:r w:rsidR="009852AD" w:rsidRPr="00A40AB4">
        <w:t xml:space="preserve">. </w:t>
      </w:r>
    </w:p>
    <w:p w:rsidR="008B60E9" w:rsidRPr="00A40AB4" w:rsidRDefault="009852AD" w:rsidP="003F4BC2">
      <w:pPr>
        <w:ind w:firstLine="567"/>
        <w:jc w:val="both"/>
      </w:pPr>
      <w:r w:rsidRPr="00A40AB4">
        <w:t>Su mokslo pažanga atsiranda vis daugiau brangaus turto bei technikos, kurį rizikos valdymo sumetimais norima drausti. Vystantis technologijoms žmonės ima dažniau keliauti (didėja su kelionėmis ir nelaimingais atsitikimais susijusio draudimo apimtis), daugėja transporto priemonių skaičius, didėja jų vertė, tad auga transporto priemonių draudimo apimtys</w:t>
      </w:r>
      <w:r w:rsidR="003F4BC2" w:rsidRPr="00A40AB4">
        <w:t>.</w:t>
      </w:r>
    </w:p>
    <w:p w:rsidR="006474FD" w:rsidRPr="00A40AB4" w:rsidRDefault="00FE3769" w:rsidP="009C7E9A">
      <w:pPr>
        <w:ind w:firstLine="567"/>
        <w:jc w:val="both"/>
      </w:pPr>
      <w:r w:rsidRPr="00C16925">
        <w:rPr>
          <w:b/>
          <w:u w:val="single"/>
        </w:rPr>
        <w:t xml:space="preserve">PEST analizės </w:t>
      </w:r>
      <w:r w:rsidR="00F871A1" w:rsidRPr="00C16925">
        <w:rPr>
          <w:b/>
          <w:u w:val="single"/>
        </w:rPr>
        <w:t>apibendrinimas</w:t>
      </w:r>
      <w:r w:rsidR="00C9232E" w:rsidRPr="00C16925">
        <w:rPr>
          <w:b/>
          <w:u w:val="single"/>
        </w:rPr>
        <w:t>.</w:t>
      </w:r>
      <w:r w:rsidR="00C9232E" w:rsidRPr="00A40AB4">
        <w:t xml:space="preserve"> Apibendrinant atliktą PEST analizę, galima teigti, jog teisinė, ekonominė bei technologinė aplinka Lietuvoje yra palankios ne gyvybės draudimo rinkos plėtrai</w:t>
      </w:r>
      <w:r w:rsidRPr="00A40AB4">
        <w:t xml:space="preserve">: teisinė aplinka pakankamai palanki, </w:t>
      </w:r>
      <w:r w:rsidR="00C2547B">
        <w:t xml:space="preserve">svarbiausi </w:t>
      </w:r>
      <w:r w:rsidRPr="00A40AB4">
        <w:t>ekonominę būklę atspindintys rodikliai</w:t>
      </w:r>
      <w:r w:rsidR="00C2547B">
        <w:t xml:space="preserve"> (BVP, našumas, tiesioginės užsienio investicijos, transporto priemonių skaičiaus augimas šalyje)</w:t>
      </w:r>
      <w:r w:rsidRPr="00A40AB4">
        <w:t xml:space="preserve"> rodo ūkio atsigavimą, kas turėtų prisidėti prie draudimo sektoriaus augimo, technologinės aplinkos vystymasis gerina draudimo</w:t>
      </w:r>
      <w:r w:rsidR="003D4FC1">
        <w:t xml:space="preserve"> prieinamumą. Politinė aplinka</w:t>
      </w:r>
      <w:r w:rsidR="00C2547B">
        <w:t xml:space="preserve"> jau daugybę metų nestabili: tai didina</w:t>
      </w:r>
      <w:r w:rsidRPr="00A40AB4">
        <w:t xml:space="preserve"> neapibrėžtumą </w:t>
      </w:r>
      <w:r w:rsidR="00C2547B">
        <w:t xml:space="preserve">bei </w:t>
      </w:r>
      <w:r w:rsidR="003A79E7">
        <w:t>riboja</w:t>
      </w:r>
      <w:r w:rsidRPr="00A40AB4">
        <w:t xml:space="preserve"> plėtros galimybes. Socialinę ir kultūrinę aplinką nusakantys veiksniai daro tiek teigiamą, tiek neigiamą įtaką draudimui: didėjantis žmonių sąmoningumas didina draudimo apimtis, tačiau</w:t>
      </w:r>
      <w:r w:rsidR="006B056F" w:rsidRPr="00A40AB4">
        <w:t xml:space="preserve"> blogėjanti demografinė padėtis bei didėjanti socialinė atskirtis gali neigiamai paveikti šio verslo raidą Lietuvoje.</w:t>
      </w:r>
    </w:p>
    <w:p w:rsidR="00231289" w:rsidRDefault="00625AEE" w:rsidP="00231289">
      <w:pPr>
        <w:ind w:firstLine="567"/>
        <w:jc w:val="both"/>
        <w:rPr>
          <w:rFonts w:eastAsiaTheme="minorEastAsia" w:cs="Times New Roman"/>
        </w:rPr>
      </w:pPr>
      <w:r>
        <w:t>A</w:t>
      </w:r>
      <w:r w:rsidR="00231289">
        <w:t xml:space="preserve">tlikta analizė </w:t>
      </w:r>
      <w:r>
        <w:t xml:space="preserve">taip pat </w:t>
      </w:r>
      <w:r w:rsidR="00231289">
        <w:t>leidžia patvirtinti pirmąją darbe iškeltą hipotezę, kuri tvirtina, jog</w:t>
      </w:r>
      <w:r w:rsidR="00231289" w:rsidRPr="00231289">
        <w:rPr>
          <w:rFonts w:eastAsiaTheme="minorEastAsia" w:cs="Times New Roman"/>
        </w:rPr>
        <w:t xml:space="preserve"> </w:t>
      </w:r>
      <w:r w:rsidR="00231289">
        <w:rPr>
          <w:rFonts w:eastAsiaTheme="minorEastAsia" w:cs="Times New Roman"/>
        </w:rPr>
        <w:t>mūsų šalies ne gyvybės draudimo sektoriaus plėtrą sąlygoja ne tik ekonominė, tačiau ir politinė bei teisinė, socialinė bei kultūrinė, technologinė aplinkos.</w:t>
      </w:r>
    </w:p>
    <w:p w:rsidR="003B1102" w:rsidRPr="00A40AB4" w:rsidRDefault="003B1102" w:rsidP="009C7E9A">
      <w:pPr>
        <w:ind w:firstLine="567"/>
        <w:jc w:val="both"/>
      </w:pPr>
    </w:p>
    <w:p w:rsidR="003B1102" w:rsidRPr="00A40AB4" w:rsidRDefault="003B1102" w:rsidP="0000122E">
      <w:pPr>
        <w:pStyle w:val="Heading2"/>
        <w:spacing w:line="360" w:lineRule="auto"/>
        <w:ind w:left="567" w:firstLine="0"/>
        <w:jc w:val="both"/>
        <w:rPr>
          <w:sz w:val="28"/>
        </w:rPr>
      </w:pPr>
      <w:bookmarkStart w:id="254" w:name="_Toc340574398"/>
      <w:bookmarkStart w:id="255" w:name="_Toc340574714"/>
      <w:bookmarkStart w:id="256" w:name="_Toc341641385"/>
      <w:bookmarkStart w:id="257" w:name="_Toc342859673"/>
      <w:r w:rsidRPr="00A40AB4">
        <w:rPr>
          <w:sz w:val="28"/>
        </w:rPr>
        <w:t>3.</w:t>
      </w:r>
      <w:r w:rsidR="00EE6597">
        <w:rPr>
          <w:sz w:val="28"/>
          <w:lang w:val="en-US"/>
        </w:rPr>
        <w:t>3</w:t>
      </w:r>
      <w:r w:rsidRPr="00A40AB4">
        <w:rPr>
          <w:sz w:val="28"/>
        </w:rPr>
        <w:t xml:space="preserve">. </w:t>
      </w:r>
      <w:bookmarkEnd w:id="254"/>
      <w:bookmarkEnd w:id="255"/>
      <w:r w:rsidR="00EC3B70">
        <w:rPr>
          <w:sz w:val="28"/>
        </w:rPr>
        <w:t xml:space="preserve">Lietuvos ne gyvybės draudimo rinkos plėtros veiksnių </w:t>
      </w:r>
      <w:r w:rsidR="00C16925">
        <w:rPr>
          <w:sz w:val="28"/>
        </w:rPr>
        <w:t>analizė</w:t>
      </w:r>
      <w:bookmarkEnd w:id="256"/>
      <w:bookmarkEnd w:id="257"/>
    </w:p>
    <w:p w:rsidR="003B1102" w:rsidRPr="00A40AB4" w:rsidRDefault="003B1102" w:rsidP="003B1102"/>
    <w:p w:rsidR="003B1102" w:rsidRPr="00A40AB4" w:rsidRDefault="003B1102" w:rsidP="003B1102">
      <w:pPr>
        <w:ind w:firstLine="567"/>
        <w:jc w:val="both"/>
        <w:rPr>
          <w:rFonts w:cs="Times New Roman"/>
        </w:rPr>
      </w:pPr>
      <w:r w:rsidRPr="00A40AB4">
        <w:rPr>
          <w:rFonts w:cs="Times New Roman"/>
        </w:rPr>
        <w:t xml:space="preserve">Kaip jau rašyta metodologinėje dalyje, Lietuvos ne gyvybės draudimo rinkos plėtros </w:t>
      </w:r>
      <w:r w:rsidR="00326DE4">
        <w:rPr>
          <w:rFonts w:cs="Times New Roman"/>
        </w:rPr>
        <w:t>veiksniai</w:t>
      </w:r>
      <w:r w:rsidR="00EC3B70">
        <w:rPr>
          <w:rFonts w:cs="Times New Roman"/>
        </w:rPr>
        <w:t xml:space="preserve"> </w:t>
      </w:r>
      <w:r w:rsidR="00326DE4">
        <w:rPr>
          <w:rFonts w:cs="Times New Roman"/>
        </w:rPr>
        <w:t xml:space="preserve">analizuojami </w:t>
      </w:r>
      <w:r w:rsidR="00EC3B70">
        <w:rPr>
          <w:rFonts w:cs="Times New Roman"/>
        </w:rPr>
        <w:t>remiantis</w:t>
      </w:r>
      <w:r w:rsidRPr="00A40AB4">
        <w:rPr>
          <w:rFonts w:cs="Times New Roman"/>
        </w:rPr>
        <w:t xml:space="preserve"> </w:t>
      </w:r>
      <w:r w:rsidR="00EC3B70">
        <w:rPr>
          <w:rFonts w:cs="Times New Roman"/>
        </w:rPr>
        <w:t>koreliacine ir regresine analize</w:t>
      </w:r>
      <w:r w:rsidR="00326DE4">
        <w:rPr>
          <w:rFonts w:cs="Times New Roman"/>
        </w:rPr>
        <w:t>. Taip identifikuojami svarbiausi veiksniai bei nustatoma</w:t>
      </w:r>
      <w:r w:rsidR="00EC3B70">
        <w:rPr>
          <w:rFonts w:cs="Times New Roman"/>
        </w:rPr>
        <w:t xml:space="preserve"> jų įtaką</w:t>
      </w:r>
      <w:r w:rsidRPr="00A40AB4">
        <w:rPr>
          <w:rFonts w:cs="Times New Roman"/>
        </w:rPr>
        <w:t xml:space="preserve">. Priklausomas kintamasis </w:t>
      </w:r>
      <w:r w:rsidRPr="00A40AB4">
        <w:rPr>
          <w:rFonts w:cs="Times New Roman"/>
          <w:i/>
        </w:rPr>
        <w:t>Y</w:t>
      </w:r>
      <w:r w:rsidRPr="00A40AB4">
        <w:rPr>
          <w:rFonts w:cs="Times New Roman"/>
        </w:rPr>
        <w:t xml:space="preserve"> – pasirašytos ne gyvybės draudimo įmokos. Naudojantis anksčiau pateikta informacija analizei atlikti naudojami šių nepriklausomų kintamųjų duomenys (žr. 1 priedą):</w:t>
      </w:r>
    </w:p>
    <w:p w:rsidR="003B1102" w:rsidRPr="00A40AB4" w:rsidRDefault="003B1102" w:rsidP="003B1102">
      <w:pPr>
        <w:pStyle w:val="ListParagraph"/>
        <w:numPr>
          <w:ilvl w:val="0"/>
          <w:numId w:val="40"/>
        </w:numPr>
        <w:ind w:left="993"/>
        <w:jc w:val="both"/>
        <w:rPr>
          <w:rFonts w:cs="Times New Roman"/>
        </w:rPr>
      </w:pPr>
      <w:r w:rsidRPr="00A40AB4">
        <w:rPr>
          <w:rFonts w:cs="Times New Roman"/>
          <w:u w:val="single"/>
        </w:rPr>
        <w:lastRenderedPageBreak/>
        <w:t>Bendrasis vidaus produktas (BVP)</w:t>
      </w:r>
      <w:r w:rsidRPr="00A40AB4">
        <w:rPr>
          <w:rFonts w:cs="Times New Roman"/>
        </w:rPr>
        <w:t xml:space="preserve"> – tai visų prekių ir paslaugų, pagamintų naudojant šalies ekonominius išteklius per atitinkamą laikotarpį rinkos kainų suma (Snieška ir kt., </w:t>
      </w:r>
      <w:r w:rsidRPr="00A40AB4">
        <w:rPr>
          <w:rFonts w:cs="Times New Roman"/>
          <w:lang w:val="en-US"/>
        </w:rPr>
        <w:t>2005)</w:t>
      </w:r>
      <w:r w:rsidRPr="00A40AB4">
        <w:rPr>
          <w:rFonts w:cs="Times New Roman"/>
        </w:rPr>
        <w:t>. Šis rodiklis pasirinktas todėl, kad reprezentuoja tiek verslo, tiek ir namų ūkių pajamas: BVP stipriai koreliuoja su įmonių uždirbamomis pajamomis ir pelnu (</w:t>
      </w:r>
      <w:r w:rsidRPr="000965D9">
        <w:rPr>
          <w:rFonts w:cs="Times New Roman"/>
          <w:i/>
        </w:rPr>
        <w:t>r</w:t>
      </w:r>
      <w:r w:rsidR="000965D9" w:rsidRPr="000965D9">
        <w:rPr>
          <w:rFonts w:cs="Times New Roman"/>
          <w:i/>
        </w:rPr>
        <w:t xml:space="preserve"> </w:t>
      </w:r>
      <w:r w:rsidRPr="000965D9">
        <w:rPr>
          <w:rFonts w:cs="Times New Roman"/>
          <w:i/>
        </w:rPr>
        <w:t>=</w:t>
      </w:r>
      <w:r w:rsidR="000965D9" w:rsidRPr="000965D9">
        <w:rPr>
          <w:rFonts w:cs="Times New Roman"/>
          <w:i/>
        </w:rPr>
        <w:t xml:space="preserve"> </w:t>
      </w:r>
      <w:r w:rsidRPr="000965D9">
        <w:rPr>
          <w:rFonts w:cs="Times New Roman"/>
          <w:i/>
        </w:rPr>
        <w:t>0</w:t>
      </w:r>
      <w:r w:rsidR="000965D9" w:rsidRPr="000965D9">
        <w:rPr>
          <w:rFonts w:cs="Times New Roman"/>
          <w:i/>
        </w:rPr>
        <w:t>,82</w:t>
      </w:r>
      <w:r w:rsidRPr="00A40AB4">
        <w:rPr>
          <w:rFonts w:cs="Times New Roman"/>
        </w:rPr>
        <w:t>) bei išmokėtais atlyginimais (</w:t>
      </w:r>
      <w:r w:rsidRPr="000965D9">
        <w:rPr>
          <w:rFonts w:cs="Times New Roman"/>
          <w:i/>
        </w:rPr>
        <w:t>r</w:t>
      </w:r>
      <w:r w:rsidR="0050131A" w:rsidRPr="000965D9">
        <w:rPr>
          <w:rFonts w:cs="Times New Roman"/>
          <w:i/>
        </w:rPr>
        <w:t xml:space="preserve"> </w:t>
      </w:r>
      <w:r w:rsidRPr="000965D9">
        <w:rPr>
          <w:rFonts w:cs="Times New Roman"/>
          <w:i/>
        </w:rPr>
        <w:t>=</w:t>
      </w:r>
      <w:r w:rsidR="0050131A" w:rsidRPr="000965D9">
        <w:rPr>
          <w:rFonts w:cs="Times New Roman"/>
          <w:i/>
        </w:rPr>
        <w:t xml:space="preserve"> </w:t>
      </w:r>
      <w:r w:rsidRPr="000965D9">
        <w:rPr>
          <w:rFonts w:cs="Times New Roman"/>
          <w:i/>
        </w:rPr>
        <w:t>0,96</w:t>
      </w:r>
      <w:r w:rsidRPr="00A40AB4">
        <w:rPr>
          <w:rFonts w:cs="Times New Roman"/>
        </w:rPr>
        <w:t xml:space="preserve">) Taigi siekiant išvengti multikolinearumo, dėl kurio gali atsirasti regresijos funkcijos koeficientų nestabilumas (Čekanavičius ir Murauskas, </w:t>
      </w:r>
      <w:r w:rsidRPr="00A40AB4">
        <w:rPr>
          <w:rFonts w:cs="Times New Roman"/>
          <w:lang w:val="en-US"/>
        </w:rPr>
        <w:t>2002)</w:t>
      </w:r>
      <w:r w:rsidRPr="00A40AB4">
        <w:rPr>
          <w:rFonts w:cs="Times New Roman"/>
        </w:rPr>
        <w:t xml:space="preserve"> pastarieji dydžiai neįtraukiami į modelį. Pasirinktas nominalusis BVP, t.y. to meto kainomis, kadangi, remiantis skaičiavimais, jis turi stipresnę koreliaciją su pasirašytomis draudimo įmokomis (0,</w:t>
      </w:r>
      <w:r w:rsidRPr="00A40AB4">
        <w:rPr>
          <w:rFonts w:cs="Times New Roman"/>
          <w:lang w:val="en-US"/>
        </w:rPr>
        <w:t>793)</w:t>
      </w:r>
      <w:r w:rsidRPr="00A40AB4">
        <w:rPr>
          <w:rFonts w:cs="Times New Roman"/>
        </w:rPr>
        <w:t xml:space="preserve"> negu BVP praėjusių metų kainomis (0,727) arba grandinine apimtimi (0,674). Verta pažymėti, jog draudimo įmokos – taip pat nominalus dydis.</w:t>
      </w:r>
    </w:p>
    <w:p w:rsidR="003B1102" w:rsidRPr="00A40AB4" w:rsidRDefault="003B1102" w:rsidP="003B1102">
      <w:pPr>
        <w:pStyle w:val="ListParagraph"/>
        <w:numPr>
          <w:ilvl w:val="0"/>
          <w:numId w:val="40"/>
        </w:numPr>
        <w:ind w:left="993"/>
        <w:jc w:val="both"/>
        <w:rPr>
          <w:rFonts w:cs="Times New Roman"/>
        </w:rPr>
      </w:pPr>
      <w:r w:rsidRPr="00A40AB4">
        <w:rPr>
          <w:rFonts w:cs="Times New Roman"/>
          <w:u w:val="single"/>
        </w:rPr>
        <w:t>Nedarbo lygis</w:t>
      </w:r>
      <w:r w:rsidRPr="00A40AB4">
        <w:rPr>
          <w:rFonts w:cs="Times New Roman"/>
        </w:rPr>
        <w:t xml:space="preserve"> – tai visų norinčių ir galinčių dirbti, tačiau nerandančių darbo santykis su visa darbo jėga (Snieška ir kt., </w:t>
      </w:r>
      <w:r w:rsidRPr="00A40AB4">
        <w:rPr>
          <w:rFonts w:cs="Times New Roman"/>
          <w:lang w:val="en-US"/>
        </w:rPr>
        <w:t>2005)</w:t>
      </w:r>
      <w:r w:rsidRPr="00A40AB4">
        <w:rPr>
          <w:rFonts w:cs="Times New Roman"/>
        </w:rPr>
        <w:t>. Šis rodiklis – vienas iš svarbiausių šalies ekonominę padėtį nusakančių, todėl jis įtrauktas į analizę.</w:t>
      </w:r>
    </w:p>
    <w:p w:rsidR="003B1102" w:rsidRPr="00A40AB4" w:rsidRDefault="003B1102" w:rsidP="003B1102">
      <w:pPr>
        <w:pStyle w:val="ListParagraph"/>
        <w:numPr>
          <w:ilvl w:val="0"/>
          <w:numId w:val="40"/>
        </w:numPr>
        <w:ind w:left="993"/>
        <w:jc w:val="both"/>
        <w:rPr>
          <w:rFonts w:cs="Times New Roman"/>
        </w:rPr>
      </w:pPr>
      <w:r w:rsidRPr="00A40AB4">
        <w:rPr>
          <w:rFonts w:cs="Times New Roman"/>
          <w:u w:val="single"/>
        </w:rPr>
        <w:t>Infliacija</w:t>
      </w:r>
      <w:r w:rsidRPr="00A40AB4">
        <w:rPr>
          <w:rFonts w:cs="Times New Roman"/>
        </w:rPr>
        <w:t xml:space="preserve"> – tai vidutinis kainų lygis, kuris nustatomas iš kainų indekso. Šis rodiklis sąlygoja perkamosios galios kitimą bei bendrą šalies ūkio vystymosi raidą, būklę. Analizei pasirinkti ketvirtiniai vartotojų kainų pokyčiai palyginti su ankstesnių metų tuo pačiu ketvirčiu.</w:t>
      </w:r>
    </w:p>
    <w:p w:rsidR="003B1102" w:rsidRPr="00A40AB4" w:rsidRDefault="003B1102" w:rsidP="003B1102">
      <w:pPr>
        <w:pStyle w:val="ListParagraph"/>
        <w:numPr>
          <w:ilvl w:val="0"/>
          <w:numId w:val="40"/>
        </w:numPr>
        <w:ind w:left="993"/>
        <w:jc w:val="both"/>
        <w:rPr>
          <w:rFonts w:cs="Times New Roman"/>
        </w:rPr>
      </w:pPr>
      <w:r w:rsidRPr="00A40AB4">
        <w:rPr>
          <w:rFonts w:cs="Times New Roman"/>
          <w:u w:val="single"/>
        </w:rPr>
        <w:t>VILIBOR</w:t>
      </w:r>
      <w:r w:rsidRPr="00A40AB4">
        <w:rPr>
          <w:rFonts w:cs="Times New Roman"/>
        </w:rPr>
        <w:t xml:space="preserve"> – tai vidutinės tarpbankinės palūkanų normos, kuriomis mūsų šalies komerciniai bankai pasirengę paskolinti lėšų kitiems bankams. Pasirinktas 6 mėn. VILIBOR, nes jis lemia litais paimtų paskolų palūkanų normą.</w:t>
      </w:r>
    </w:p>
    <w:p w:rsidR="003B1102" w:rsidRPr="00A40AB4" w:rsidRDefault="003B1102" w:rsidP="003B1102">
      <w:pPr>
        <w:pStyle w:val="ListParagraph"/>
        <w:numPr>
          <w:ilvl w:val="0"/>
          <w:numId w:val="40"/>
        </w:numPr>
        <w:ind w:left="993"/>
        <w:jc w:val="both"/>
        <w:rPr>
          <w:rFonts w:cs="Times New Roman"/>
        </w:rPr>
      </w:pPr>
      <w:r w:rsidRPr="00A40AB4">
        <w:rPr>
          <w:rFonts w:cs="Times New Roman"/>
          <w:u w:val="single"/>
        </w:rPr>
        <w:t>Pirmą kartą Lietuvoje užregistruotų kelių transporto priemonių skaičius</w:t>
      </w:r>
      <w:r w:rsidRPr="00A40AB4">
        <w:rPr>
          <w:rFonts w:cs="Times New Roman"/>
        </w:rPr>
        <w:t xml:space="preserve"> (</w:t>
      </w:r>
      <w:r w:rsidR="00E04FDF">
        <w:rPr>
          <w:rFonts w:cs="Times New Roman"/>
        </w:rPr>
        <w:t xml:space="preserve">įtraukti </w:t>
      </w:r>
      <w:r w:rsidRPr="00A40AB4">
        <w:rPr>
          <w:rFonts w:cs="Times New Roman"/>
        </w:rPr>
        <w:t>lengvieji bei krovininiai automobiliai, puspriekabės, vilkikai ir jų puspriekabės, priekabos). Kaip jau rašyta</w:t>
      </w:r>
      <w:r w:rsidR="00E04FDF">
        <w:rPr>
          <w:rFonts w:cs="Times New Roman"/>
        </w:rPr>
        <w:t xml:space="preserve"> anksčiau</w:t>
      </w:r>
      <w:r w:rsidRPr="00A40AB4">
        <w:rPr>
          <w:rFonts w:cs="Times New Roman"/>
        </w:rPr>
        <w:t xml:space="preserve">, TPVCA bei kasko draudimai sudaro apie </w:t>
      </w:r>
      <w:r w:rsidR="00913548">
        <w:rPr>
          <w:rFonts w:cs="Times New Roman"/>
        </w:rPr>
        <w:t>60 %</w:t>
      </w:r>
      <w:r w:rsidRPr="00A40AB4">
        <w:rPr>
          <w:rFonts w:cs="Times New Roman"/>
        </w:rPr>
        <w:t>visų pasirašytų įmokų sumos, taigi tikslinga įtraukti kelių transporto priemonių dinamiką atspindinčią statistiką.</w:t>
      </w:r>
    </w:p>
    <w:p w:rsidR="003B1102" w:rsidRPr="00A40AB4" w:rsidRDefault="003B1102" w:rsidP="003B1102">
      <w:pPr>
        <w:pStyle w:val="ListParagraph"/>
        <w:numPr>
          <w:ilvl w:val="0"/>
          <w:numId w:val="40"/>
        </w:numPr>
        <w:ind w:left="993"/>
        <w:jc w:val="both"/>
        <w:rPr>
          <w:rFonts w:cs="Times New Roman"/>
        </w:rPr>
      </w:pPr>
      <w:r w:rsidRPr="00A40AB4">
        <w:rPr>
          <w:rFonts w:cs="Times New Roman"/>
          <w:u w:val="single"/>
        </w:rPr>
        <w:t>Gyventojų skaičius</w:t>
      </w:r>
      <w:r w:rsidRPr="00A40AB4">
        <w:rPr>
          <w:rFonts w:cs="Times New Roman"/>
        </w:rPr>
        <w:t xml:space="preserve"> (vidutiniai ketvirčių duomenys). Nekomercinis draudimas užima didelę dalį ne gyvybės draudimo rinkos. Taigi daroma prielaida, jog gyventojų skaičiaus dinamika turėtų daryti įtaką pasirašytoms įmokoms: kuo daugiau gyventojų, tuo potencialiai didesnė paklausa draudimui ir atvirkščiai.</w:t>
      </w:r>
    </w:p>
    <w:p w:rsidR="003B1102" w:rsidRPr="00A40AB4" w:rsidRDefault="003B1102" w:rsidP="003B1102">
      <w:pPr>
        <w:ind w:firstLine="567"/>
        <w:jc w:val="both"/>
        <w:rPr>
          <w:rFonts w:cs="Times New Roman"/>
        </w:rPr>
      </w:pPr>
      <w:r w:rsidRPr="00A40AB4">
        <w:rPr>
          <w:rFonts w:cs="Times New Roman"/>
        </w:rPr>
        <w:t xml:space="preserve">Lentelė su pradiniais laikotarpio 2004 m. I ketv. – 2012 m. II ketv. (n </w:t>
      </w:r>
      <w:r w:rsidRPr="00A40AB4">
        <w:rPr>
          <w:rFonts w:cs="Times New Roman"/>
          <w:lang w:val="en-US"/>
        </w:rPr>
        <w:t>= 34)</w:t>
      </w:r>
      <w:r w:rsidRPr="00A40AB4">
        <w:rPr>
          <w:rFonts w:cs="Times New Roman"/>
        </w:rPr>
        <w:t xml:space="preserve"> duomenimis pateikta 1 priede. Toliau naudojami šie aukščiau aprašytų dydžių sutrumpinimai:</w:t>
      </w:r>
    </w:p>
    <w:p w:rsidR="003B1102" w:rsidRPr="00A40AB4" w:rsidRDefault="003B1102" w:rsidP="003B1102">
      <w:pPr>
        <w:pStyle w:val="ListParagraph"/>
        <w:numPr>
          <w:ilvl w:val="0"/>
          <w:numId w:val="41"/>
        </w:numPr>
        <w:ind w:left="993"/>
        <w:jc w:val="both"/>
        <w:rPr>
          <w:rFonts w:cs="Times New Roman"/>
        </w:rPr>
      </w:pPr>
      <w:bookmarkStart w:id="258" w:name="OLE_LINK13"/>
      <w:bookmarkStart w:id="259" w:name="OLE_LINK14"/>
      <w:bookmarkStart w:id="260" w:name="OLE_LINK15"/>
      <w:r w:rsidRPr="00A40AB4">
        <w:rPr>
          <w:rFonts w:cs="Times New Roman"/>
        </w:rPr>
        <w:t>Y – pasirašytos draudimo įmokos (mln. Lt);</w:t>
      </w:r>
    </w:p>
    <w:p w:rsidR="003B1102" w:rsidRPr="00A40AB4" w:rsidRDefault="003B1102" w:rsidP="003B1102">
      <w:pPr>
        <w:pStyle w:val="ListParagraph"/>
        <w:numPr>
          <w:ilvl w:val="0"/>
          <w:numId w:val="41"/>
        </w:numPr>
        <w:ind w:left="993"/>
        <w:jc w:val="both"/>
        <w:rPr>
          <w:rFonts w:cs="Times New Roman"/>
        </w:rPr>
      </w:pPr>
      <w:r w:rsidRPr="00A40AB4">
        <w:rPr>
          <w:rFonts w:cs="Times New Roman"/>
        </w:rPr>
        <w:t>X1 – BVP (mln. Lt);</w:t>
      </w:r>
    </w:p>
    <w:p w:rsidR="003B1102" w:rsidRPr="00A40AB4" w:rsidRDefault="003B1102" w:rsidP="003B1102">
      <w:pPr>
        <w:pStyle w:val="ListParagraph"/>
        <w:numPr>
          <w:ilvl w:val="0"/>
          <w:numId w:val="41"/>
        </w:numPr>
        <w:ind w:left="993"/>
        <w:jc w:val="both"/>
        <w:rPr>
          <w:rFonts w:cs="Times New Roman"/>
        </w:rPr>
      </w:pPr>
      <w:r w:rsidRPr="00A40AB4">
        <w:rPr>
          <w:rFonts w:cs="Times New Roman"/>
        </w:rPr>
        <w:t>X2 – nedarbo lygis (%);</w:t>
      </w:r>
    </w:p>
    <w:p w:rsidR="003B1102" w:rsidRPr="00A40AB4" w:rsidRDefault="003B1102" w:rsidP="003B1102">
      <w:pPr>
        <w:pStyle w:val="ListParagraph"/>
        <w:numPr>
          <w:ilvl w:val="0"/>
          <w:numId w:val="41"/>
        </w:numPr>
        <w:ind w:left="993"/>
        <w:jc w:val="both"/>
        <w:rPr>
          <w:rFonts w:cs="Times New Roman"/>
        </w:rPr>
      </w:pPr>
      <w:r w:rsidRPr="00A40AB4">
        <w:rPr>
          <w:rFonts w:cs="Times New Roman"/>
        </w:rPr>
        <w:t>X3 – infliacija (%);</w:t>
      </w:r>
    </w:p>
    <w:p w:rsidR="003B1102" w:rsidRPr="00A40AB4" w:rsidRDefault="003B1102" w:rsidP="003B1102">
      <w:pPr>
        <w:pStyle w:val="ListParagraph"/>
        <w:numPr>
          <w:ilvl w:val="0"/>
          <w:numId w:val="41"/>
        </w:numPr>
        <w:ind w:left="993"/>
        <w:jc w:val="both"/>
        <w:rPr>
          <w:rFonts w:cs="Times New Roman"/>
        </w:rPr>
      </w:pPr>
      <w:r w:rsidRPr="00A40AB4">
        <w:rPr>
          <w:rFonts w:cs="Times New Roman"/>
        </w:rPr>
        <w:t>X4 – VILIBOR (%);</w:t>
      </w:r>
    </w:p>
    <w:p w:rsidR="003B1102" w:rsidRPr="00A40AB4" w:rsidRDefault="003B1102" w:rsidP="003B1102">
      <w:pPr>
        <w:pStyle w:val="ListParagraph"/>
        <w:numPr>
          <w:ilvl w:val="0"/>
          <w:numId w:val="41"/>
        </w:numPr>
        <w:ind w:left="993"/>
        <w:jc w:val="both"/>
        <w:rPr>
          <w:rFonts w:cs="Times New Roman"/>
        </w:rPr>
      </w:pPr>
      <w:r w:rsidRPr="00A40AB4">
        <w:rPr>
          <w:rFonts w:cs="Times New Roman"/>
        </w:rPr>
        <w:t>X5 – pirmą kartą Lietuvoje užregistruotų kelių transporto priemonių skaičius;</w:t>
      </w:r>
    </w:p>
    <w:p w:rsidR="003B1102" w:rsidRPr="00A40AB4" w:rsidRDefault="003B1102" w:rsidP="003B1102">
      <w:pPr>
        <w:pStyle w:val="ListParagraph"/>
        <w:numPr>
          <w:ilvl w:val="0"/>
          <w:numId w:val="41"/>
        </w:numPr>
        <w:ind w:left="993"/>
        <w:jc w:val="both"/>
        <w:rPr>
          <w:rFonts w:cs="Times New Roman"/>
        </w:rPr>
      </w:pPr>
      <w:r w:rsidRPr="00A40AB4">
        <w:rPr>
          <w:rFonts w:cs="Times New Roman"/>
        </w:rPr>
        <w:lastRenderedPageBreak/>
        <w:t>X6 – gyventojų skaičius.</w:t>
      </w:r>
    </w:p>
    <w:p w:rsidR="003B1102" w:rsidRPr="00A40AB4" w:rsidRDefault="003B1102" w:rsidP="003B1102">
      <w:pPr>
        <w:ind w:firstLine="567"/>
        <w:jc w:val="both"/>
        <w:rPr>
          <w:rFonts w:cs="Times New Roman"/>
          <w:lang w:val="en-US"/>
        </w:rPr>
      </w:pPr>
      <w:r w:rsidRPr="00A40AB4">
        <w:rPr>
          <w:rFonts w:cs="Times New Roman"/>
        </w:rPr>
        <w:t xml:space="preserve">Analizei pasirinktas reikšmingumo lygmuo </w:t>
      </w:r>
      <w:r w:rsidRPr="00A40AB4">
        <w:rPr>
          <w:rFonts w:cs="Times New Roman"/>
          <w:i/>
        </w:rPr>
        <w:t>α</w:t>
      </w:r>
      <w:r w:rsidRPr="00A40AB4">
        <w:rPr>
          <w:rFonts w:cs="Times New Roman"/>
          <w:lang w:val="en-US"/>
        </w:rPr>
        <w:t xml:space="preserve"> = 0,05.</w:t>
      </w:r>
    </w:p>
    <w:bookmarkEnd w:id="258"/>
    <w:bookmarkEnd w:id="259"/>
    <w:bookmarkEnd w:id="260"/>
    <w:p w:rsidR="0000122E" w:rsidRDefault="0000122E" w:rsidP="003B1102">
      <w:pPr>
        <w:ind w:firstLine="567"/>
        <w:jc w:val="both"/>
        <w:rPr>
          <w:rFonts w:cs="Times New Roman"/>
          <w:b/>
        </w:rPr>
      </w:pPr>
    </w:p>
    <w:p w:rsidR="003B1102" w:rsidRPr="00A40AB4" w:rsidRDefault="003B1102" w:rsidP="003B1102">
      <w:pPr>
        <w:ind w:firstLine="567"/>
        <w:jc w:val="both"/>
        <w:rPr>
          <w:rFonts w:cs="Times New Roman"/>
          <w:b/>
        </w:rPr>
      </w:pPr>
      <w:r w:rsidRPr="00A40AB4">
        <w:rPr>
          <w:rFonts w:cs="Times New Roman"/>
          <w:b/>
        </w:rPr>
        <w:t>Koreliacinė analizė</w:t>
      </w:r>
    </w:p>
    <w:p w:rsidR="003B1102" w:rsidRPr="00A40AB4" w:rsidRDefault="003B1102" w:rsidP="003B1102">
      <w:pPr>
        <w:ind w:firstLine="567"/>
        <w:jc w:val="both"/>
        <w:rPr>
          <w:rFonts w:cs="Times New Roman"/>
        </w:rPr>
      </w:pPr>
      <w:r w:rsidRPr="00A40AB4">
        <w:rPr>
          <w:rFonts w:cs="Times New Roman"/>
        </w:rPr>
        <w:t xml:space="preserve">Pirmiausia pagal (1) ir (2) formules apskaičiuojami </w:t>
      </w:r>
      <w:r w:rsidRPr="00A40AB4">
        <w:rPr>
          <w:rFonts w:cs="Times New Roman"/>
          <w:i/>
        </w:rPr>
        <w:t>Y</w:t>
      </w:r>
      <w:r w:rsidRPr="00A40AB4">
        <w:rPr>
          <w:rFonts w:cs="Times New Roman"/>
        </w:rPr>
        <w:t xml:space="preserve"> ir nepriklausomų kintamųjų koreliacijos koeficientai bei jų </w:t>
      </w:r>
      <w:r w:rsidRPr="00A40AB4">
        <w:rPr>
          <w:rFonts w:cs="Times New Roman"/>
          <w:i/>
        </w:rPr>
        <w:t>t</w:t>
      </w:r>
      <w:r w:rsidRPr="00A40AB4">
        <w:rPr>
          <w:rFonts w:cs="Times New Roman"/>
        </w:rPr>
        <w:t xml:space="preserve"> kriterijai. Apskaičiuoti dydžiai pateikti </w:t>
      </w:r>
      <w:r w:rsidRPr="00A40AB4">
        <w:rPr>
          <w:rFonts w:cs="Times New Roman"/>
          <w:lang w:val="en-US"/>
        </w:rPr>
        <w:t xml:space="preserve">4 </w:t>
      </w:r>
      <w:r w:rsidRPr="00A40AB4">
        <w:rPr>
          <w:rFonts w:cs="Times New Roman"/>
        </w:rPr>
        <w:t>lentelėje.</w:t>
      </w:r>
    </w:p>
    <w:p w:rsidR="003B1102" w:rsidRPr="00A40AB4" w:rsidRDefault="003B1102" w:rsidP="003B1102">
      <w:pPr>
        <w:ind w:firstLine="567"/>
        <w:jc w:val="both"/>
        <w:rPr>
          <w:rFonts w:cs="Times New Roman"/>
        </w:rPr>
      </w:pPr>
    </w:p>
    <w:p w:rsidR="003B1102" w:rsidRPr="00A40AB4" w:rsidRDefault="003B1102" w:rsidP="003B1102">
      <w:pPr>
        <w:pStyle w:val="Heading2"/>
        <w:spacing w:line="360" w:lineRule="auto"/>
        <w:ind w:firstLine="0"/>
      </w:pPr>
      <w:bookmarkStart w:id="261" w:name="_Toc340573854"/>
      <w:bookmarkStart w:id="262" w:name="_Toc340574124"/>
      <w:bookmarkStart w:id="263" w:name="_Toc340574399"/>
      <w:bookmarkStart w:id="264" w:name="_Toc340574715"/>
      <w:bookmarkStart w:id="265" w:name="_Toc340792037"/>
      <w:bookmarkStart w:id="266" w:name="_Toc341641135"/>
      <w:bookmarkStart w:id="267" w:name="_Toc341641386"/>
      <w:bookmarkStart w:id="268" w:name="_Toc342859674"/>
      <w:r w:rsidRPr="00A40AB4">
        <w:t xml:space="preserve">4 lentelė. Koreliacijos koeficientai </w:t>
      </w:r>
      <w:r w:rsidRPr="00A40AB4">
        <w:rPr>
          <w:i/>
        </w:rPr>
        <w:t>r</w:t>
      </w:r>
      <w:r w:rsidRPr="00A40AB4">
        <w:t xml:space="preserve"> bei jų </w:t>
      </w:r>
      <w:r w:rsidRPr="00A40AB4">
        <w:rPr>
          <w:i/>
        </w:rPr>
        <w:t>t</w:t>
      </w:r>
      <w:r w:rsidRPr="00A40AB4">
        <w:t xml:space="preserve"> kriterijai</w:t>
      </w:r>
      <w:bookmarkEnd w:id="261"/>
      <w:bookmarkEnd w:id="262"/>
      <w:bookmarkEnd w:id="263"/>
      <w:bookmarkEnd w:id="264"/>
      <w:bookmarkEnd w:id="265"/>
      <w:bookmarkEnd w:id="266"/>
      <w:bookmarkEnd w:id="267"/>
      <w:bookmarkEnd w:id="268"/>
    </w:p>
    <w:tbl>
      <w:tblPr>
        <w:tblW w:w="8601" w:type="dxa"/>
        <w:jc w:val="center"/>
        <w:tblInd w:w="202" w:type="dxa"/>
        <w:tblLook w:val="04A0"/>
      </w:tblPr>
      <w:tblGrid>
        <w:gridCol w:w="2841"/>
        <w:gridCol w:w="960"/>
        <w:gridCol w:w="960"/>
        <w:gridCol w:w="960"/>
        <w:gridCol w:w="960"/>
        <w:gridCol w:w="960"/>
        <w:gridCol w:w="960"/>
      </w:tblGrid>
      <w:tr w:rsidR="003B1102" w:rsidRPr="00A40AB4" w:rsidTr="00DF01AC">
        <w:trPr>
          <w:trHeight w:val="300"/>
          <w:jc w:val="center"/>
        </w:trPr>
        <w:tc>
          <w:tcPr>
            <w:tcW w:w="2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102" w:rsidRPr="00A40AB4" w:rsidRDefault="003B1102" w:rsidP="00DF01AC">
            <w:pPr>
              <w:spacing w:line="240" w:lineRule="auto"/>
              <w:jc w:val="center"/>
              <w:rPr>
                <w:rFonts w:eastAsia="Times New Roman" w:cs="Times New Roman"/>
                <w:b/>
                <w:bCs/>
                <w:lang w:eastAsia="lt-LT"/>
              </w:rPr>
            </w:pPr>
            <w:r w:rsidRPr="00A40AB4">
              <w:rPr>
                <w:rFonts w:eastAsia="Times New Roman" w:cs="Times New Roman"/>
                <w:b/>
                <w:bCs/>
                <w:sz w:val="22"/>
                <w:lang w:eastAsia="lt-LT"/>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X1</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X2</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X3</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X4</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X6</w:t>
            </w:r>
          </w:p>
        </w:tc>
      </w:tr>
      <w:tr w:rsidR="003B1102" w:rsidRPr="00A40AB4" w:rsidTr="00DF01AC">
        <w:trPr>
          <w:trHeight w:val="300"/>
          <w:jc w:val="center"/>
        </w:trPr>
        <w:tc>
          <w:tcPr>
            <w:tcW w:w="2841" w:type="dxa"/>
            <w:tcBorders>
              <w:top w:val="nil"/>
              <w:left w:val="single" w:sz="4" w:space="0" w:color="auto"/>
              <w:bottom w:val="single" w:sz="4" w:space="0" w:color="auto"/>
              <w:right w:val="single" w:sz="4" w:space="0" w:color="auto"/>
            </w:tcBorders>
            <w:shd w:val="clear" w:color="auto" w:fill="auto"/>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 xml:space="preserve">Koreliacijos koeficientas </w:t>
            </w:r>
            <w:r w:rsidRPr="00A40AB4">
              <w:rPr>
                <w:rFonts w:eastAsia="Times New Roman" w:cs="Times New Roman"/>
                <w:i/>
                <w:iCs/>
                <w:sz w:val="22"/>
                <w:lang w:eastAsia="lt-LT"/>
              </w:rPr>
              <w:t>r</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0,770</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-0,223</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0,704</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0,374</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0,588</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-0,306</w:t>
            </w:r>
          </w:p>
        </w:tc>
      </w:tr>
      <w:tr w:rsidR="003B1102" w:rsidRPr="00A40AB4" w:rsidTr="00DF01AC">
        <w:trPr>
          <w:trHeight w:val="300"/>
          <w:jc w:val="center"/>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i/>
                <w:iCs/>
                <w:sz w:val="22"/>
                <w:lang w:eastAsia="lt-LT"/>
              </w:rPr>
              <w:t xml:space="preserve">t </w:t>
            </w:r>
            <w:r w:rsidRPr="00A40AB4">
              <w:rPr>
                <w:rFonts w:eastAsia="Times New Roman" w:cs="Times New Roman"/>
                <w:sz w:val="22"/>
                <w:lang w:eastAsia="lt-LT"/>
              </w:rPr>
              <w:t>kriterijus</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val="en-US" w:eastAsia="lt-LT"/>
              </w:rPr>
            </w:pPr>
            <w:r w:rsidRPr="00A40AB4">
              <w:rPr>
                <w:rFonts w:eastAsia="Times New Roman" w:cs="Times New Roman"/>
                <w:sz w:val="22"/>
                <w:lang w:val="en-US" w:eastAsia="lt-LT"/>
              </w:rPr>
              <w:t>7,366</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-1,297</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5,615</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2,280</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4,112</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sz w:val="22"/>
                <w:lang w:eastAsia="lt-LT"/>
              </w:rPr>
              <w:t>-1,815</w:t>
            </w:r>
          </w:p>
        </w:tc>
      </w:tr>
    </w:tbl>
    <w:p w:rsidR="003B1102" w:rsidRPr="00A40AB4" w:rsidRDefault="003B1102" w:rsidP="003B1102">
      <w:pPr>
        <w:ind w:firstLine="567"/>
        <w:jc w:val="both"/>
        <w:rPr>
          <w:rFonts w:cs="Times New Roman"/>
        </w:rPr>
      </w:pPr>
    </w:p>
    <w:p w:rsidR="003B1102" w:rsidRPr="00A40AB4" w:rsidRDefault="003B1102" w:rsidP="003B1102">
      <w:pPr>
        <w:ind w:firstLine="567"/>
        <w:jc w:val="both"/>
        <w:rPr>
          <w:rFonts w:cs="Times New Roman"/>
        </w:rPr>
      </w:pPr>
      <w:r w:rsidRPr="00A40AB4">
        <w:rPr>
          <w:rFonts w:cs="Times New Roman"/>
        </w:rPr>
        <w:t>Pagal 4 lentelės duomenis remiantis 2 lentelės klasifikavimu galima teigti, jog X1 bei X3 turi stiprų tiesinį ryšį su pasirašytomis draudimo įmokomis, X5 – vidutinį, X4 bei X6 – silpną, o tarp Y ir X2 nėra reikšmingos koreliacijos.</w:t>
      </w:r>
    </w:p>
    <w:p w:rsidR="003B1102" w:rsidRPr="00A40AB4" w:rsidRDefault="003B1102" w:rsidP="003B1102">
      <w:pPr>
        <w:ind w:firstLine="567"/>
        <w:jc w:val="both"/>
        <w:rPr>
          <w:rFonts w:cs="Times New Roman"/>
        </w:rPr>
      </w:pPr>
      <w:r w:rsidRPr="00A40AB4">
        <w:rPr>
          <w:rFonts w:cs="Times New Roman"/>
        </w:rPr>
        <w:t>Patikrinkime, ar koreliacijos koeficientai statistiškai reikšmingi.</w:t>
      </w:r>
      <w:r w:rsidR="00D64AF2">
        <w:rPr>
          <w:rFonts w:cs="Times New Roman"/>
        </w:rPr>
        <w:t xml:space="preserve"> Iš</w:t>
      </w:r>
      <w:r w:rsidRPr="00A40AB4">
        <w:rPr>
          <w:rFonts w:cs="Times New Roman"/>
        </w:rPr>
        <w:t xml:space="preserve">keliame </w:t>
      </w:r>
      <w:r w:rsidR="00D64AF2">
        <w:rPr>
          <w:rFonts w:cs="Times New Roman"/>
        </w:rPr>
        <w:t xml:space="preserve">statistines </w:t>
      </w:r>
      <w:r w:rsidRPr="00A40AB4">
        <w:rPr>
          <w:rFonts w:cs="Times New Roman"/>
        </w:rPr>
        <w:t>hipotezes:</w:t>
      </w:r>
    </w:p>
    <w:p w:rsidR="003B1102" w:rsidRPr="00A40AB4" w:rsidRDefault="00CB6286" w:rsidP="003B1102">
      <w:pPr>
        <w:ind w:left="567"/>
        <w:jc w:val="both"/>
        <w:rPr>
          <w:rFonts w:cs="Times New Roman"/>
        </w:rPr>
      </w:pPr>
      <m:oMathPara>
        <m:oMathParaPr>
          <m:jc m:val="left"/>
        </m:oMathParaPr>
        <m:oMath>
          <m:d>
            <m:dPr>
              <m:begChr m:val="{"/>
              <m:endChr m:val=""/>
              <m:ctrlPr>
                <w:rPr>
                  <w:rFonts w:ascii="Cambria Math" w:hAnsi="Cambria Math" w:cs="Times New Roman"/>
                  <w:i/>
                </w:rPr>
              </m:ctrlPr>
            </m:dPr>
            <m:e>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r=0,</m:t>
                  </m:r>
                </m:e>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:r≠0.</m:t>
                  </m:r>
                </m:e>
              </m:eqArr>
            </m:e>
          </m:d>
        </m:oMath>
      </m:oMathPara>
    </w:p>
    <w:p w:rsidR="009116E2" w:rsidRPr="00A40AB4" w:rsidRDefault="006A6C35" w:rsidP="009116E2">
      <w:pPr>
        <w:ind w:firstLine="567"/>
        <w:jc w:val="both"/>
        <w:rPr>
          <w:rFonts w:eastAsiaTheme="minorEastAsia" w:cs="Times New Roman"/>
        </w:rPr>
      </w:pPr>
      <w:r>
        <w:rPr>
          <w:rFonts w:cs="Times New Roman"/>
        </w:rPr>
        <w:t>Statistinių h</w:t>
      </w:r>
      <w:r w:rsidR="003B1102" w:rsidRPr="00A40AB4">
        <w:rPr>
          <w:rFonts w:cs="Times New Roman"/>
        </w:rPr>
        <w:t xml:space="preserve">ipotezių teisingumui patikrinti apskaičiuojamas dydis </w:t>
      </w:r>
      <m:oMath>
        <m:sSub>
          <m:sSubPr>
            <m:ctrlPr>
              <w:rPr>
                <w:rFonts w:ascii="Cambria Math" w:hAnsi="Cambria Math"/>
                <w:i/>
              </w:rPr>
            </m:ctrlPr>
          </m:sSubPr>
          <m:e>
            <m:r>
              <w:rPr>
                <w:rFonts w:ascii="Cambria Math" w:hAnsi="Cambria Math"/>
              </w:rPr>
              <m:t>t</m:t>
            </m:r>
          </m:e>
          <m:sub>
            <m:f>
              <m:fPr>
                <m:ctrlPr>
                  <w:rPr>
                    <w:rFonts w:ascii="Cambria Math" w:hAnsi="Cambria Math"/>
                    <w:i/>
                  </w:rPr>
                </m:ctrlPr>
              </m:fPr>
              <m:num>
                <m:r>
                  <w:rPr>
                    <w:rFonts w:ascii="Cambria Math" w:hAnsi="Cambria Math"/>
                  </w:rPr>
                  <m:t>α</m:t>
                </m:r>
              </m:num>
              <m:den>
                <m:r>
                  <w:rPr>
                    <w:rFonts w:ascii="Cambria Math" w:hAnsi="Cambria Math"/>
                  </w:rPr>
                  <m:t>2</m:t>
                </m:r>
              </m:den>
            </m:f>
          </m:sub>
        </m:sSub>
        <m:d>
          <m:dPr>
            <m:ctrlPr>
              <w:rPr>
                <w:rFonts w:ascii="Cambria Math" w:hAnsi="Cambria Math"/>
                <w:i/>
              </w:rPr>
            </m:ctrlPr>
          </m:dPr>
          <m:e>
            <m:r>
              <w:rPr>
                <w:rFonts w:ascii="Cambria Math" w:hAnsi="Cambria Math"/>
              </w:rPr>
              <m:t>n-2</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0,025</m:t>
            </m:r>
          </m:sub>
        </m:sSub>
        <m:d>
          <m:dPr>
            <m:ctrlPr>
              <w:rPr>
                <w:rFonts w:ascii="Cambria Math" w:hAnsi="Cambria Math"/>
                <w:i/>
              </w:rPr>
            </m:ctrlPr>
          </m:dPr>
          <m:e>
            <m:r>
              <w:rPr>
                <w:rFonts w:ascii="Cambria Math" w:hAnsi="Cambria Math"/>
              </w:rPr>
              <m:t>34</m:t>
            </m:r>
          </m:e>
        </m:d>
        <m:r>
          <w:rPr>
            <w:rFonts w:ascii="Cambria Math" w:hAnsi="Cambria Math"/>
          </w:rPr>
          <m:t>=2,032</m:t>
        </m:r>
      </m:oMath>
      <w:r w:rsidR="00EC59FA">
        <w:rPr>
          <w:rFonts w:eastAsiaTheme="minorEastAsia" w:cs="Times New Roman"/>
        </w:rPr>
        <w:t>. Žvelgiant į 4 lent.</w:t>
      </w:r>
      <w:r w:rsidR="003B1102" w:rsidRPr="00A40AB4">
        <w:rPr>
          <w:rFonts w:eastAsiaTheme="minorEastAsia" w:cs="Times New Roman"/>
        </w:rPr>
        <w:t xml:space="preserve"> duomenis, matome, jog statistiškai reikšmingi koreliacijos koeficientai (absoliutus </w:t>
      </w:r>
      <w:r w:rsidR="003B1102" w:rsidRPr="00A40AB4">
        <w:rPr>
          <w:rFonts w:eastAsiaTheme="minorEastAsia" w:cs="Times New Roman"/>
          <w:i/>
        </w:rPr>
        <w:t xml:space="preserve">t </w:t>
      </w:r>
      <w:r w:rsidR="003B1102" w:rsidRPr="00A40AB4">
        <w:rPr>
          <w:rFonts w:eastAsiaTheme="minorEastAsia" w:cs="Times New Roman"/>
        </w:rPr>
        <w:t>dydis viršija 2,032) su Y yra kintamųjų X1, X3, X4 ir X5. Taigi pasirašytų įmokų ryšiai su BVP, infliacija, VILIBOR bei pirmą kartą užregistruotomis transporto priemonėmis yra statistiškai reikšmingi. Tiesa, kaip rašyta anksčiau, koreliacija su VILIBOR yra silpna.</w:t>
      </w:r>
      <w:r w:rsidR="00E04FDF">
        <w:rPr>
          <w:rFonts w:eastAsiaTheme="minorEastAsia" w:cs="Times New Roman"/>
        </w:rPr>
        <w:t xml:space="preserve"> Stipriausias tiesinis pasirašytų įmokų ryšys su BVP. Tai leidžia patvirtinti antrąją darbe iškeltą hipotezę</w:t>
      </w:r>
      <w:r w:rsidR="009116E2">
        <w:rPr>
          <w:rFonts w:eastAsiaTheme="minorEastAsia" w:cs="Times New Roman"/>
        </w:rPr>
        <w:t>, jog svarbiausias ekonominis Lietuvos ne gyvybės draudimo plėtrą lemiantis veiksnys – BVP ir jo dinamika.</w:t>
      </w:r>
    </w:p>
    <w:p w:rsidR="001A2111" w:rsidRPr="00A40AB4" w:rsidRDefault="001A2111" w:rsidP="003B1102">
      <w:pPr>
        <w:ind w:firstLine="567"/>
        <w:jc w:val="both"/>
        <w:rPr>
          <w:rFonts w:eastAsiaTheme="minorEastAsia" w:cs="Times New Roman"/>
        </w:rPr>
      </w:pPr>
    </w:p>
    <w:p w:rsidR="00326DE4" w:rsidRDefault="003B1102" w:rsidP="003B1102">
      <w:pPr>
        <w:ind w:firstLine="567"/>
        <w:jc w:val="both"/>
        <w:rPr>
          <w:rFonts w:cs="Times New Roman"/>
          <w:b/>
        </w:rPr>
      </w:pPr>
      <w:r w:rsidRPr="00A40AB4">
        <w:rPr>
          <w:rFonts w:cs="Times New Roman"/>
          <w:b/>
        </w:rPr>
        <w:t>Regresinė analizė</w:t>
      </w:r>
    </w:p>
    <w:p w:rsidR="003B1102" w:rsidRPr="00A40AB4" w:rsidRDefault="003B1102" w:rsidP="003B1102">
      <w:pPr>
        <w:ind w:firstLine="567"/>
        <w:jc w:val="both"/>
        <w:rPr>
          <w:rFonts w:cs="Times New Roman"/>
        </w:rPr>
      </w:pPr>
      <w:r w:rsidRPr="00A40AB4">
        <w:rPr>
          <w:rFonts w:cs="Times New Roman"/>
        </w:rPr>
        <w:t>Kaip minėta, vien tik apskaičiavus koreliacijos koeficientą negalima nustatyti, kaip keisis pasirašytų ne gyvybės draudimo įmokų skaičius keičiantis nepriklausomiems kintamiesiems.</w:t>
      </w:r>
      <w:r w:rsidR="003267BA">
        <w:rPr>
          <w:rFonts w:cs="Times New Roman"/>
        </w:rPr>
        <w:t xml:space="preserve"> To nepakanka ir norint sudaryti plėtros veiksnių vertinimo modelį.</w:t>
      </w:r>
      <w:r w:rsidRPr="00A40AB4">
        <w:rPr>
          <w:rFonts w:cs="Times New Roman"/>
        </w:rPr>
        <w:t xml:space="preserve"> </w:t>
      </w:r>
      <w:r w:rsidR="003267BA">
        <w:rPr>
          <w:rFonts w:cs="Times New Roman"/>
        </w:rPr>
        <w:t xml:space="preserve">Norint tai padaryti </w:t>
      </w:r>
      <w:r w:rsidRPr="00A40AB4">
        <w:rPr>
          <w:rFonts w:cs="Times New Roman"/>
        </w:rPr>
        <w:t>galima panaudoti tiesinės regresijos modelį, kuris dažnai pritaikomas socialiniuose moksluose.</w:t>
      </w:r>
    </w:p>
    <w:p w:rsidR="003B1102" w:rsidRPr="00A40AB4" w:rsidRDefault="003B1102" w:rsidP="003B1102">
      <w:pPr>
        <w:ind w:firstLine="567"/>
        <w:jc w:val="both"/>
        <w:rPr>
          <w:rFonts w:cs="Times New Roman"/>
        </w:rPr>
      </w:pPr>
      <w:r w:rsidRPr="00A40AB4">
        <w:rPr>
          <w:rFonts w:cs="Times New Roman"/>
        </w:rPr>
        <w:t xml:space="preserve">Prieš atliekant regresinę analizę visus nepriklausomus kintamuosius patikrinsime Jarque-Bera normalumo testu. Tai reikalinga norint nustatyti, ar pastarieji pasiskirstę pagal normalųjį skirstinį. Su programa GRETL gauti duomenys pateikti </w:t>
      </w:r>
      <w:r w:rsidRPr="00A40AB4">
        <w:rPr>
          <w:rFonts w:cs="Times New Roman"/>
          <w:lang w:val="en-US"/>
        </w:rPr>
        <w:t xml:space="preserve">5 </w:t>
      </w:r>
      <w:r w:rsidR="00CA3EED">
        <w:rPr>
          <w:rFonts w:cs="Times New Roman"/>
        </w:rPr>
        <w:t>lent</w:t>
      </w:r>
      <w:r w:rsidRPr="00A40AB4">
        <w:rPr>
          <w:rFonts w:cs="Times New Roman"/>
        </w:rPr>
        <w:t>.</w:t>
      </w:r>
    </w:p>
    <w:p w:rsidR="003B1102" w:rsidRDefault="003B1102" w:rsidP="003B1102">
      <w:pPr>
        <w:ind w:firstLine="567"/>
        <w:jc w:val="both"/>
        <w:rPr>
          <w:rFonts w:cs="Times New Roman"/>
        </w:rPr>
      </w:pPr>
    </w:p>
    <w:p w:rsidR="003B1102" w:rsidRPr="00A40AB4" w:rsidRDefault="003B1102" w:rsidP="003B1102">
      <w:pPr>
        <w:pStyle w:val="Heading2"/>
        <w:spacing w:line="360" w:lineRule="auto"/>
        <w:ind w:firstLine="0"/>
      </w:pPr>
      <w:bookmarkStart w:id="269" w:name="_Toc340573855"/>
      <w:bookmarkStart w:id="270" w:name="_Toc340574125"/>
      <w:bookmarkStart w:id="271" w:name="_Toc340574400"/>
      <w:bookmarkStart w:id="272" w:name="_Toc340574716"/>
      <w:bookmarkStart w:id="273" w:name="_Toc340792038"/>
      <w:bookmarkStart w:id="274" w:name="_Toc341641136"/>
      <w:bookmarkStart w:id="275" w:name="_Toc341641387"/>
      <w:bookmarkStart w:id="276" w:name="_Toc342859675"/>
      <w:r w:rsidRPr="00A40AB4">
        <w:lastRenderedPageBreak/>
        <w:t>5 lentelė. Kintamųjų p-reikšmė atlikus Jarque-Bera testą</w:t>
      </w:r>
      <w:bookmarkEnd w:id="269"/>
      <w:bookmarkEnd w:id="270"/>
      <w:bookmarkEnd w:id="271"/>
      <w:bookmarkEnd w:id="272"/>
      <w:bookmarkEnd w:id="273"/>
      <w:bookmarkEnd w:id="274"/>
      <w:bookmarkEnd w:id="275"/>
      <w:bookmarkEnd w:id="276"/>
    </w:p>
    <w:tbl>
      <w:tblPr>
        <w:tblW w:w="9435" w:type="dxa"/>
        <w:jc w:val="center"/>
        <w:tblInd w:w="-643" w:type="dxa"/>
        <w:tblLook w:val="04A0"/>
      </w:tblPr>
      <w:tblGrid>
        <w:gridCol w:w="2715"/>
        <w:gridCol w:w="960"/>
        <w:gridCol w:w="960"/>
        <w:gridCol w:w="960"/>
        <w:gridCol w:w="960"/>
        <w:gridCol w:w="960"/>
        <w:gridCol w:w="960"/>
        <w:gridCol w:w="960"/>
      </w:tblGrid>
      <w:tr w:rsidR="003B1102" w:rsidRPr="00A40AB4" w:rsidTr="00DF01AC">
        <w:trPr>
          <w:trHeight w:val="300"/>
          <w:jc w:val="center"/>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center"/>
              <w:rPr>
                <w:rFonts w:eastAsia="Times New Roman" w:cs="Times New Roman"/>
                <w:b/>
                <w:bCs/>
                <w:lang w:eastAsia="lt-LT"/>
              </w:rPr>
            </w:pPr>
            <w:r w:rsidRPr="00A40AB4">
              <w:rPr>
                <w:rFonts w:eastAsia="Times New Roman" w:cs="Times New Roman"/>
                <w:b/>
                <w:bCs/>
                <w:sz w:val="22"/>
                <w:lang w:eastAsia="lt-LT"/>
              </w:rPr>
              <w:t> </w:t>
            </w:r>
          </w:p>
        </w:tc>
        <w:tc>
          <w:tcPr>
            <w:tcW w:w="960" w:type="dxa"/>
            <w:tcBorders>
              <w:top w:val="single" w:sz="4" w:space="0" w:color="auto"/>
              <w:left w:val="nil"/>
              <w:bottom w:val="single" w:sz="4" w:space="0" w:color="auto"/>
              <w:right w:val="single" w:sz="4" w:space="0" w:color="auto"/>
            </w:tcBorders>
            <w:vAlign w:val="bottom"/>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Y</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X1</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X2</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X3</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X4</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sz w:val="22"/>
                <w:lang w:eastAsia="lt-LT"/>
              </w:rPr>
              <w:t>X6</w:t>
            </w:r>
          </w:p>
        </w:tc>
      </w:tr>
      <w:tr w:rsidR="003B1102" w:rsidRPr="00A40AB4" w:rsidTr="00DF01AC">
        <w:trPr>
          <w:trHeight w:val="300"/>
          <w:jc w:val="center"/>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rPr>
                <w:rFonts w:eastAsia="Times New Roman" w:cs="Times New Roman"/>
                <w:lang w:eastAsia="lt-LT"/>
              </w:rPr>
            </w:pPr>
            <w:r w:rsidRPr="00A40AB4">
              <w:rPr>
                <w:rFonts w:eastAsia="Times New Roman" w:cs="Times New Roman"/>
                <w:iCs/>
                <w:sz w:val="22"/>
                <w:lang w:eastAsia="lt-LT"/>
              </w:rPr>
              <w:t>Stebimasis reikšmingumo lygmuo (p-reikšmė)</w:t>
            </w:r>
          </w:p>
        </w:tc>
        <w:tc>
          <w:tcPr>
            <w:tcW w:w="960" w:type="dxa"/>
            <w:tcBorders>
              <w:top w:val="single" w:sz="4" w:space="0" w:color="auto"/>
              <w:left w:val="nil"/>
              <w:bottom w:val="single" w:sz="4" w:space="0" w:color="auto"/>
              <w:right w:val="single" w:sz="4" w:space="0" w:color="auto"/>
            </w:tcBorders>
            <w:vAlign w:val="bottom"/>
          </w:tcPr>
          <w:p w:rsidR="003B1102" w:rsidRPr="00A40AB4" w:rsidRDefault="003B1102" w:rsidP="00DF01AC">
            <w:pPr>
              <w:spacing w:line="240" w:lineRule="auto"/>
              <w:jc w:val="right"/>
              <w:rPr>
                <w:rFonts w:eastAsia="Times New Roman" w:cs="Times New Roman"/>
                <w:lang w:val="en-US" w:eastAsia="lt-LT"/>
              </w:rPr>
            </w:pPr>
            <w:r w:rsidRPr="00A40AB4">
              <w:rPr>
                <w:rFonts w:eastAsia="Times New Roman" w:cs="Times New Roman"/>
                <w:sz w:val="22"/>
                <w:lang w:val="en-US" w:eastAsia="lt-LT"/>
              </w:rPr>
              <w:t>0,993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val="en-US" w:eastAsia="lt-LT"/>
              </w:rPr>
            </w:pPr>
            <w:r w:rsidRPr="00A40AB4">
              <w:rPr>
                <w:rFonts w:eastAsia="Times New Roman" w:cs="Times New Roman"/>
                <w:lang w:val="en-US" w:eastAsia="lt-LT"/>
              </w:rPr>
              <w:t>0,440</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lang w:eastAsia="lt-LT"/>
              </w:rPr>
              <w:t>0,240</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lang w:eastAsia="lt-LT"/>
              </w:rPr>
              <w:t>0,0534</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lang w:eastAsia="lt-LT"/>
              </w:rPr>
              <w:t>0,0645</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lang w:eastAsia="lt-LT"/>
              </w:rPr>
              <w:t>0,436</w:t>
            </w:r>
          </w:p>
        </w:tc>
        <w:tc>
          <w:tcPr>
            <w:tcW w:w="960" w:type="dxa"/>
            <w:tcBorders>
              <w:top w:val="nil"/>
              <w:left w:val="nil"/>
              <w:bottom w:val="single" w:sz="4" w:space="0" w:color="auto"/>
              <w:right w:val="single" w:sz="4" w:space="0" w:color="auto"/>
            </w:tcBorders>
            <w:shd w:val="clear" w:color="auto" w:fill="auto"/>
            <w:noWrap/>
            <w:vAlign w:val="bottom"/>
            <w:hideMark/>
          </w:tcPr>
          <w:p w:rsidR="003B1102" w:rsidRPr="00A40AB4" w:rsidRDefault="003B1102" w:rsidP="00DF01AC">
            <w:pPr>
              <w:spacing w:line="240" w:lineRule="auto"/>
              <w:jc w:val="right"/>
              <w:rPr>
                <w:rFonts w:eastAsia="Times New Roman" w:cs="Times New Roman"/>
                <w:lang w:eastAsia="lt-LT"/>
              </w:rPr>
            </w:pPr>
            <w:r w:rsidRPr="00A40AB4">
              <w:rPr>
                <w:rFonts w:eastAsia="Times New Roman" w:cs="Times New Roman"/>
                <w:lang w:eastAsia="lt-LT"/>
              </w:rPr>
              <w:t>0,0037</w:t>
            </w:r>
          </w:p>
        </w:tc>
      </w:tr>
    </w:tbl>
    <w:p w:rsidR="003B1102" w:rsidRPr="00A40AB4" w:rsidRDefault="003B1102" w:rsidP="003B1102">
      <w:pPr>
        <w:ind w:firstLine="567"/>
        <w:jc w:val="both"/>
        <w:rPr>
          <w:rFonts w:cs="Times New Roman"/>
        </w:rPr>
      </w:pPr>
    </w:p>
    <w:p w:rsidR="003B1102" w:rsidRPr="00A40AB4" w:rsidRDefault="003B1102" w:rsidP="003B1102">
      <w:pPr>
        <w:ind w:firstLine="567"/>
        <w:jc w:val="both"/>
        <w:rPr>
          <w:rFonts w:cs="Times New Roman"/>
        </w:rPr>
      </w:pPr>
      <w:r w:rsidRPr="00A40AB4">
        <w:rPr>
          <w:rFonts w:cs="Times New Roman"/>
        </w:rPr>
        <w:t xml:space="preserve">Remiantis </w:t>
      </w:r>
      <w:r w:rsidRPr="00A40AB4">
        <w:rPr>
          <w:rFonts w:cs="Times New Roman"/>
          <w:lang w:val="en-US"/>
        </w:rPr>
        <w:t xml:space="preserve">5 </w:t>
      </w:r>
      <w:r w:rsidR="00DA3BB2">
        <w:rPr>
          <w:rFonts w:cs="Times New Roman"/>
        </w:rPr>
        <w:t>lent.</w:t>
      </w:r>
      <w:r w:rsidRPr="00A40AB4">
        <w:rPr>
          <w:rFonts w:cs="Times New Roman"/>
        </w:rPr>
        <w:t xml:space="preserve"> gautais duomenimis bei metodologinėje dal</w:t>
      </w:r>
      <w:r w:rsidR="00BF6E18">
        <w:rPr>
          <w:rFonts w:cs="Times New Roman"/>
        </w:rPr>
        <w:t>yje suformuota taisykle, galima</w:t>
      </w:r>
      <w:r w:rsidRPr="00A40AB4">
        <w:rPr>
          <w:rFonts w:cs="Times New Roman"/>
        </w:rPr>
        <w:t xml:space="preserve"> </w:t>
      </w:r>
      <w:r w:rsidR="00BF6E18">
        <w:rPr>
          <w:rFonts w:cs="Times New Roman"/>
        </w:rPr>
        <w:t>tvirtinti</w:t>
      </w:r>
      <w:r w:rsidRPr="00A40AB4">
        <w:rPr>
          <w:rFonts w:cs="Times New Roman"/>
        </w:rPr>
        <w:t>, jog visi</w:t>
      </w:r>
      <w:r w:rsidR="00BF6E18" w:rsidRPr="00BF6E18">
        <w:rPr>
          <w:rFonts w:cs="Times New Roman"/>
        </w:rPr>
        <w:t xml:space="preserve"> </w:t>
      </w:r>
      <w:r w:rsidR="00BF6E18" w:rsidRPr="00A40AB4">
        <w:rPr>
          <w:rFonts w:cs="Times New Roman"/>
        </w:rPr>
        <w:t>kintamieji</w:t>
      </w:r>
      <w:r w:rsidRPr="00A40AB4">
        <w:rPr>
          <w:rFonts w:cs="Times New Roman"/>
        </w:rPr>
        <w:t xml:space="preserve">, išskyrus X6, </w:t>
      </w:r>
      <w:r w:rsidR="00BF6E18">
        <w:rPr>
          <w:rFonts w:cs="Times New Roman"/>
        </w:rPr>
        <w:t xml:space="preserve">yra </w:t>
      </w:r>
      <w:r w:rsidRPr="00A40AB4">
        <w:rPr>
          <w:rFonts w:cs="Times New Roman"/>
        </w:rPr>
        <w:t xml:space="preserve">pasiskirstę pagal normalųjį skirstinį, </w:t>
      </w:r>
      <w:r w:rsidR="00EE0130">
        <w:rPr>
          <w:rFonts w:cs="Times New Roman"/>
        </w:rPr>
        <w:t xml:space="preserve">kadangi </w:t>
      </w:r>
      <w:r w:rsidRPr="00A40AB4">
        <w:rPr>
          <w:rFonts w:cs="Times New Roman"/>
        </w:rPr>
        <w:t xml:space="preserve">stebimasis reikšmingumo lygmuo (p-reikšmė) </w:t>
      </w:r>
      <w:r w:rsidR="00726772">
        <w:rPr>
          <w:rFonts w:cs="Times New Roman"/>
        </w:rPr>
        <w:t>didesnis</w:t>
      </w:r>
      <w:r w:rsidRPr="00A40AB4">
        <w:rPr>
          <w:rFonts w:cs="Times New Roman"/>
        </w:rPr>
        <w:t xml:space="preserve"> už pasirinktą reikšmingumo lygmenį</w:t>
      </w:r>
      <w:r w:rsidRPr="00A40AB4">
        <w:rPr>
          <w:rFonts w:cs="Times New Roman"/>
          <w:i/>
        </w:rPr>
        <w:t xml:space="preserve"> α</w:t>
      </w:r>
      <w:r w:rsidRPr="00A40AB4">
        <w:rPr>
          <w:rFonts w:cs="Times New Roman"/>
        </w:rPr>
        <w:t>. X</w:t>
      </w:r>
      <w:r w:rsidRPr="00A40AB4">
        <w:rPr>
          <w:rFonts w:cs="Times New Roman"/>
          <w:lang w:val="en-US"/>
        </w:rPr>
        <w:t>6</w:t>
      </w:r>
      <w:r w:rsidR="00AC3157">
        <w:rPr>
          <w:rFonts w:cs="Times New Roman"/>
          <w:lang w:val="en-US"/>
        </w:rPr>
        <w:t>,</w:t>
      </w:r>
      <w:r w:rsidR="00AC3157">
        <w:rPr>
          <w:rFonts w:cs="Times New Roman"/>
        </w:rPr>
        <w:t xml:space="preserve"> nors ir neatitinka normalumo sąlygos,</w:t>
      </w:r>
      <w:r w:rsidRPr="00A40AB4">
        <w:rPr>
          <w:rFonts w:cs="Times New Roman"/>
        </w:rPr>
        <w:t xml:space="preserve"> dėl silpnos koreliacijos su Y į regresijos modelį </w:t>
      </w:r>
      <w:r w:rsidR="00AC3157">
        <w:rPr>
          <w:rFonts w:cs="Times New Roman"/>
        </w:rPr>
        <w:t>ne</w:t>
      </w:r>
      <w:r w:rsidRPr="00A40AB4">
        <w:rPr>
          <w:rFonts w:cs="Times New Roman"/>
        </w:rPr>
        <w:t>įtraukiamas.</w:t>
      </w:r>
    </w:p>
    <w:p w:rsidR="003B1102" w:rsidRPr="00A40AB4" w:rsidRDefault="003B1102" w:rsidP="003B1102">
      <w:pPr>
        <w:ind w:firstLine="567"/>
        <w:jc w:val="both"/>
        <w:rPr>
          <w:rFonts w:cs="Times New Roman"/>
        </w:rPr>
      </w:pPr>
      <w:r w:rsidRPr="00A40AB4">
        <w:rPr>
          <w:rFonts w:cs="Times New Roman"/>
        </w:rPr>
        <w:t>Remiantis koreliacin</w:t>
      </w:r>
      <w:r w:rsidR="000A4D0F">
        <w:rPr>
          <w:rFonts w:cs="Times New Roman"/>
        </w:rPr>
        <w:t>ės analizės gautais duomenimis</w:t>
      </w:r>
      <w:r w:rsidRPr="00A40AB4">
        <w:rPr>
          <w:rFonts w:cs="Times New Roman"/>
        </w:rPr>
        <w:t xml:space="preserve"> statistikos paketu GRETL </w:t>
      </w:r>
      <w:r w:rsidR="000A4D0F">
        <w:rPr>
          <w:rFonts w:cs="Times New Roman"/>
        </w:rPr>
        <w:t>atlikta regresinė analizė</w:t>
      </w:r>
      <w:r w:rsidRPr="00A40AB4">
        <w:rPr>
          <w:rFonts w:cs="Times New Roman"/>
        </w:rPr>
        <w:t>. Į modelį įtraukiami stiprią koreliaciją su Y turintys nepriklausomi kintami</w:t>
      </w:r>
      <w:r w:rsidR="000A4D0F">
        <w:rPr>
          <w:rFonts w:cs="Times New Roman"/>
        </w:rPr>
        <w:t>eji X1 bei X3, taip pat vidutinio stiprumo ryšį</w:t>
      </w:r>
      <w:r w:rsidRPr="00A40AB4">
        <w:rPr>
          <w:rFonts w:cs="Times New Roman"/>
        </w:rPr>
        <w:t xml:space="preserve"> turintis X5. Siekiant sudaryti </w:t>
      </w:r>
      <w:r w:rsidR="003503FD">
        <w:rPr>
          <w:rFonts w:cs="Times New Roman"/>
        </w:rPr>
        <w:t xml:space="preserve">galutinį </w:t>
      </w:r>
      <w:r w:rsidRPr="00A40AB4">
        <w:rPr>
          <w:rFonts w:cs="Times New Roman"/>
        </w:rPr>
        <w:t xml:space="preserve">modelį, kuo geriau apibūdinantį ne gyvybės draudimo pasirašytų įmokų dinamiką į pradinį modelį įtraukime ir </w:t>
      </w:r>
      <w:r w:rsidRPr="00A40AB4">
        <w:rPr>
          <w:rFonts w:cs="Times New Roman"/>
          <w:lang w:val="en-US"/>
        </w:rPr>
        <w:t>X4</w:t>
      </w:r>
      <w:r w:rsidRPr="00A40AB4">
        <w:rPr>
          <w:rFonts w:cs="Times New Roman"/>
        </w:rPr>
        <w:t xml:space="preserve"> (VILIBOR). Gauti regresinės analizės rezultatai pateikti </w:t>
      </w:r>
      <w:r w:rsidRPr="00A40AB4">
        <w:rPr>
          <w:rFonts w:cs="Times New Roman"/>
          <w:lang w:val="en-US"/>
        </w:rPr>
        <w:t xml:space="preserve">2 </w:t>
      </w:r>
      <w:r w:rsidRPr="00A40AB4">
        <w:rPr>
          <w:rFonts w:cs="Times New Roman"/>
        </w:rPr>
        <w:t xml:space="preserve">priede. Kaip iš jų matyti, gautame modelyje statistiškai nereikšmingas yra laisvasis narys bei nepriklausomas kintamasis </w:t>
      </w:r>
      <w:r w:rsidRPr="00A40AB4">
        <w:rPr>
          <w:rFonts w:cs="Times New Roman"/>
          <w:lang w:val="en-US"/>
        </w:rPr>
        <w:t>X4</w:t>
      </w:r>
      <w:r w:rsidRPr="00A40AB4">
        <w:rPr>
          <w:rFonts w:cs="Times New Roman"/>
        </w:rPr>
        <w:t xml:space="preserve">. Gautas determinacijos koeficientas </w:t>
      </w:r>
      <w:r w:rsidRPr="000F5F69">
        <w:rPr>
          <w:rFonts w:cs="Times New Roman"/>
          <w:i/>
          <w:lang w:val="en-US"/>
        </w:rPr>
        <w:t>R</w:t>
      </w:r>
      <w:r w:rsidRPr="000F5F69">
        <w:rPr>
          <w:rFonts w:cs="Times New Roman"/>
          <w:i/>
          <w:vertAlign w:val="superscript"/>
          <w:lang w:val="en-US"/>
        </w:rPr>
        <w:t>2</w:t>
      </w:r>
      <w:r w:rsidRPr="000F5F69">
        <w:rPr>
          <w:rFonts w:cs="Times New Roman"/>
          <w:i/>
          <w:lang w:val="en-US"/>
        </w:rPr>
        <w:t xml:space="preserve"> = 0,744</w:t>
      </w:r>
      <w:r w:rsidRPr="00A40AB4">
        <w:rPr>
          <w:rFonts w:cs="Times New Roman"/>
        </w:rPr>
        <w:t>.</w:t>
      </w:r>
    </w:p>
    <w:p w:rsidR="003B1102" w:rsidRDefault="003B1102" w:rsidP="003B1102">
      <w:pPr>
        <w:ind w:firstLine="567"/>
        <w:jc w:val="both"/>
        <w:rPr>
          <w:rFonts w:cs="Times New Roman"/>
        </w:rPr>
      </w:pPr>
      <w:r w:rsidRPr="00A40AB4">
        <w:rPr>
          <w:rFonts w:cs="Times New Roman"/>
        </w:rPr>
        <w:t xml:space="preserve">Regresinės analizės skaičiavimai pakartojami paliekant tik statistiškai reikšmingus kintamuosius X1, X3 bei X5. Gauti rezultatai pateikti 3 priede. Kaip matyti, visi </w:t>
      </w:r>
      <w:r w:rsidR="00FB4644">
        <w:rPr>
          <w:rFonts w:cs="Times New Roman"/>
        </w:rPr>
        <w:t xml:space="preserve">trys </w:t>
      </w:r>
      <w:r w:rsidRPr="00A40AB4">
        <w:rPr>
          <w:rFonts w:cs="Times New Roman"/>
        </w:rPr>
        <w:t xml:space="preserve">gautos regresijos lygties nariai yra statistiškai reikšmingi, kadangi jų p-reikšmės mažesnės negu pasirinktas reikšmingumo lygmuo </w:t>
      </w:r>
      <w:r w:rsidRPr="00A40AB4">
        <w:rPr>
          <w:rFonts w:cs="Times New Roman"/>
          <w:i/>
        </w:rPr>
        <w:t>α</w:t>
      </w:r>
      <w:r w:rsidRPr="00A40AB4">
        <w:rPr>
          <w:rFonts w:cs="Times New Roman"/>
        </w:rPr>
        <w:t xml:space="preserve"> = 0,05. Taigi </w:t>
      </w:r>
      <w:r w:rsidR="00444D0C">
        <w:rPr>
          <w:rFonts w:cs="Times New Roman"/>
        </w:rPr>
        <w:t>gavome galutinę regresijos lygtį, apibūdinančią</w:t>
      </w:r>
      <w:r w:rsidRPr="00A40AB4">
        <w:rPr>
          <w:rFonts w:cs="Times New Roman"/>
        </w:rPr>
        <w:t xml:space="preserve"> Lietuvos ne gyvybės draudimo rinkos </w:t>
      </w:r>
      <w:r w:rsidR="00622E73">
        <w:rPr>
          <w:rFonts w:cs="Times New Roman"/>
        </w:rPr>
        <w:t xml:space="preserve">pasirašytų įmokų </w:t>
      </w:r>
      <w:r w:rsidRPr="00A40AB4">
        <w:rPr>
          <w:rFonts w:cs="Times New Roman"/>
        </w:rPr>
        <w:t>modelį:</w:t>
      </w:r>
    </w:p>
    <w:p w:rsidR="001A2111" w:rsidRPr="00A40AB4" w:rsidRDefault="001A2111" w:rsidP="003B1102">
      <w:pPr>
        <w:ind w:firstLine="567"/>
        <w:jc w:val="both"/>
        <w:rPr>
          <w:rFonts w:cs="Times New Roman"/>
        </w:rPr>
      </w:pPr>
    </w:p>
    <w:p w:rsidR="003B1102" w:rsidRDefault="003B1102" w:rsidP="003B1102">
      <w:pPr>
        <w:ind w:firstLine="567"/>
        <w:jc w:val="both"/>
        <w:rPr>
          <w:rFonts w:eastAsiaTheme="minorEastAsia" w:cs="Times New Roman"/>
          <w:lang w:val="en-US"/>
        </w:rPr>
      </w:pPr>
      <m:oMath>
        <m:r>
          <w:rPr>
            <w:rFonts w:ascii="Cambria Math" w:hAnsi="Cambria Math" w:cs="Times New Roman"/>
          </w:rPr>
          <m:t>Y</m:t>
        </m:r>
        <m:r>
          <w:rPr>
            <w:rFonts w:ascii="Cambria Math" w:cs="Times New Roman"/>
            <w:lang w:val="en-US"/>
          </w:rPr>
          <m:t>=0,00762</m:t>
        </m:r>
        <m:r>
          <w:rPr>
            <w:rFonts w:ascii="Cambria Math" w:hAnsi="Cambria Math" w:cs="Times New Roman"/>
            <w:lang w:val="en-US"/>
          </w:rPr>
          <m:t>*X</m:t>
        </m:r>
        <m:r>
          <w:rPr>
            <w:rFonts w:ascii="Cambria Math" w:cs="Times New Roman"/>
            <w:lang w:val="en-US"/>
          </w:rPr>
          <m:t>1+6,632</m:t>
        </m:r>
        <m:r>
          <w:rPr>
            <w:rFonts w:ascii="Cambria Math" w:hAnsi="Cambria Math" w:cs="Times New Roman"/>
            <w:lang w:val="en-US"/>
          </w:rPr>
          <m:t>*X</m:t>
        </m:r>
        <m:r>
          <w:rPr>
            <w:rFonts w:ascii="Cambria Math" w:cs="Times New Roman"/>
            <w:lang w:val="en-US"/>
          </w:rPr>
          <m:t>3+0,001335</m:t>
        </m:r>
        <m:r>
          <w:rPr>
            <w:rFonts w:ascii="Cambria Math" w:hAnsi="Cambria Math" w:cs="Times New Roman"/>
            <w:lang w:val="en-US"/>
          </w:rPr>
          <m:t>*X</m:t>
        </m:r>
        <m:r>
          <w:rPr>
            <w:rFonts w:ascii="Cambria Math" w:cs="Times New Roman"/>
            <w:lang w:val="en-US"/>
          </w:rPr>
          <m:t>5</m:t>
        </m:r>
      </m:oMath>
      <w:r w:rsidRPr="00A40AB4">
        <w:rPr>
          <w:rFonts w:eastAsiaTheme="minorEastAsia" w:cs="Times New Roman"/>
          <w:lang w:val="en-US"/>
        </w:rPr>
        <w:t>.</w:t>
      </w:r>
    </w:p>
    <w:p w:rsidR="001A2111" w:rsidRPr="00A40AB4" w:rsidRDefault="001A2111" w:rsidP="003B1102">
      <w:pPr>
        <w:ind w:firstLine="567"/>
        <w:jc w:val="both"/>
        <w:rPr>
          <w:rFonts w:cs="Times New Roman"/>
          <w:lang w:val="en-US"/>
        </w:rPr>
      </w:pPr>
    </w:p>
    <w:p w:rsidR="003B1102" w:rsidRPr="00A40AB4" w:rsidRDefault="003B1102" w:rsidP="003B1102">
      <w:pPr>
        <w:ind w:firstLine="567"/>
        <w:jc w:val="both"/>
        <w:rPr>
          <w:rFonts w:cs="Times New Roman"/>
        </w:rPr>
      </w:pPr>
      <w:r w:rsidRPr="00A40AB4">
        <w:rPr>
          <w:rFonts w:cs="Times New Roman"/>
        </w:rPr>
        <w:t xml:space="preserve">Gautos lygties determinacijos koeficientas </w:t>
      </w:r>
      <w:r w:rsidR="00705878">
        <w:rPr>
          <w:rFonts w:cs="Times New Roman"/>
        </w:rPr>
        <w:t xml:space="preserve">yra </w:t>
      </w:r>
      <w:r w:rsidRPr="00A40AB4">
        <w:rPr>
          <w:rFonts w:cs="Times New Roman"/>
        </w:rPr>
        <w:t xml:space="preserve">labai </w:t>
      </w:r>
      <w:r w:rsidR="00705878">
        <w:rPr>
          <w:rFonts w:cs="Times New Roman"/>
        </w:rPr>
        <w:t xml:space="preserve">aukštas </w:t>
      </w:r>
      <w:r w:rsidRPr="00A40AB4">
        <w:rPr>
          <w:rFonts w:cs="Times New Roman"/>
        </w:rPr>
        <w:t xml:space="preserve">– </w:t>
      </w:r>
      <w:r w:rsidR="000F5F69" w:rsidRPr="000F5F69">
        <w:rPr>
          <w:rFonts w:cs="Times New Roman"/>
          <w:i/>
          <w:lang w:val="en-US"/>
        </w:rPr>
        <w:t>R</w:t>
      </w:r>
      <w:r w:rsidR="000F5F69" w:rsidRPr="000F5F69">
        <w:rPr>
          <w:rFonts w:cs="Times New Roman"/>
          <w:i/>
          <w:vertAlign w:val="superscript"/>
          <w:lang w:val="en-US"/>
        </w:rPr>
        <w:t>2</w:t>
      </w:r>
      <w:r w:rsidR="000F5F69" w:rsidRPr="000F5F69">
        <w:rPr>
          <w:rFonts w:cs="Times New Roman"/>
          <w:i/>
          <w:lang w:val="en-US"/>
        </w:rPr>
        <w:t xml:space="preserve"> = </w:t>
      </w:r>
      <w:r w:rsidRPr="000F5F69">
        <w:rPr>
          <w:rFonts w:cs="Times New Roman"/>
          <w:i/>
        </w:rPr>
        <w:t>0,985</w:t>
      </w:r>
      <w:r w:rsidRPr="00A40AB4">
        <w:rPr>
          <w:rFonts w:cs="Times New Roman"/>
        </w:rPr>
        <w:t>. Tai reiškia, jog ši</w:t>
      </w:r>
      <w:r w:rsidR="005571DD">
        <w:rPr>
          <w:rFonts w:cs="Times New Roman"/>
        </w:rPr>
        <w:t>uo</w:t>
      </w:r>
      <w:r w:rsidRPr="00A40AB4">
        <w:rPr>
          <w:rFonts w:cs="Times New Roman"/>
        </w:rPr>
        <w:t xml:space="preserve"> </w:t>
      </w:r>
      <w:r w:rsidR="005571DD">
        <w:rPr>
          <w:rFonts w:cs="Times New Roman"/>
        </w:rPr>
        <w:t>modeliu galima paaiškinti</w:t>
      </w:r>
      <w:r w:rsidRPr="00A40AB4">
        <w:rPr>
          <w:rFonts w:cs="Times New Roman"/>
        </w:rPr>
        <w:t xml:space="preserve"> net 98,5 % pasirašytų įmokų (</w:t>
      </w:r>
      <w:r w:rsidRPr="005571DD">
        <w:rPr>
          <w:rFonts w:cs="Times New Roman"/>
          <w:i/>
        </w:rPr>
        <w:t>Y</w:t>
      </w:r>
      <w:r w:rsidRPr="00A40AB4">
        <w:rPr>
          <w:rFonts w:cs="Times New Roman"/>
        </w:rPr>
        <w:t xml:space="preserve">) kitimo. Tikslinga nustatyti gauto modelio tinkamumą. 3 priede kartu su regresijos lygties skaičiavimais pateikti ir </w:t>
      </w:r>
      <w:r w:rsidRPr="00A40AB4">
        <w:rPr>
          <w:rFonts w:cs="Times New Roman"/>
          <w:lang w:val="en-US"/>
        </w:rPr>
        <w:t>Breusch-Pagan</w:t>
      </w:r>
      <w:r w:rsidRPr="00A40AB4">
        <w:rPr>
          <w:rFonts w:cs="Times New Roman"/>
        </w:rPr>
        <w:t xml:space="preserve"> heteroskedastiškumo bei liekanų normalumo testai.</w:t>
      </w:r>
    </w:p>
    <w:p w:rsidR="003B1102" w:rsidRPr="00A40AB4" w:rsidRDefault="003B1102" w:rsidP="003B1102">
      <w:pPr>
        <w:ind w:firstLine="567"/>
        <w:jc w:val="both"/>
        <w:rPr>
          <w:rFonts w:cs="Times New Roman"/>
        </w:rPr>
      </w:pPr>
      <w:r w:rsidRPr="00A40AB4">
        <w:rPr>
          <w:rFonts w:cs="Times New Roman"/>
        </w:rPr>
        <w:t xml:space="preserve">Heteroskedastiškumo testui suformuota </w:t>
      </w:r>
      <w:r w:rsidR="00CD06B4">
        <w:rPr>
          <w:rFonts w:cs="Times New Roman"/>
        </w:rPr>
        <w:t xml:space="preserve">statistinė </w:t>
      </w:r>
      <w:r w:rsidRPr="00A40AB4">
        <w:rPr>
          <w:rFonts w:cs="Times New Roman"/>
        </w:rPr>
        <w:t>hipotezė,</w:t>
      </w:r>
      <w:r w:rsidR="00CD06B4">
        <w:rPr>
          <w:rFonts w:cs="Times New Roman"/>
        </w:rPr>
        <w:t xml:space="preserve"> tvirtinanti,</w:t>
      </w:r>
      <w:r w:rsidRPr="00A40AB4">
        <w:rPr>
          <w:rFonts w:cs="Times New Roman"/>
        </w:rPr>
        <w:t xml:space="preserve"> kad heteroskedastiškumo nėra. Kadangi stebimasis reikšmingumo lygmuo yra didesnis už </w:t>
      </w:r>
      <w:bookmarkStart w:id="277" w:name="OLE_LINK4"/>
      <w:r w:rsidRPr="00A40AB4">
        <w:rPr>
          <w:rFonts w:cs="Times New Roman"/>
          <w:i/>
        </w:rPr>
        <w:t>α</w:t>
      </w:r>
      <w:r w:rsidRPr="00A40AB4">
        <w:rPr>
          <w:rFonts w:cs="Times New Roman"/>
        </w:rPr>
        <w:t xml:space="preserve"> </w:t>
      </w:r>
      <w:bookmarkEnd w:id="277"/>
      <w:r w:rsidRPr="00A40AB4">
        <w:rPr>
          <w:rFonts w:cs="Times New Roman"/>
        </w:rPr>
        <w:t>(t.y. 0,576 &gt; 0,05), hipotezė neatmetama. Vadinasi, duomenys nėra heteroskedastiški ir tenkina</w:t>
      </w:r>
      <w:r w:rsidR="00EA4F2E">
        <w:rPr>
          <w:rFonts w:cs="Times New Roman"/>
        </w:rPr>
        <w:t xml:space="preserve"> regresijos modeliui keliamą</w:t>
      </w:r>
      <w:r w:rsidRPr="00A40AB4">
        <w:rPr>
          <w:rFonts w:cs="Times New Roman"/>
        </w:rPr>
        <w:t xml:space="preserve"> homoskedastiškumo reikalavimą.</w:t>
      </w:r>
    </w:p>
    <w:p w:rsidR="003B1102" w:rsidRPr="00A40AB4" w:rsidRDefault="003B1102" w:rsidP="003B1102">
      <w:pPr>
        <w:ind w:firstLine="567"/>
        <w:jc w:val="both"/>
        <w:rPr>
          <w:rFonts w:cs="Times New Roman"/>
        </w:rPr>
      </w:pPr>
      <w:r w:rsidRPr="00A40AB4">
        <w:rPr>
          <w:rFonts w:cs="Times New Roman"/>
        </w:rPr>
        <w:t xml:space="preserve">Su statistiniu paketu GRETL taip pat atliktas modelio liekanų normalumo testas. Suformuluota </w:t>
      </w:r>
      <w:r w:rsidR="00CD06B4">
        <w:rPr>
          <w:rFonts w:cs="Times New Roman"/>
        </w:rPr>
        <w:t>statistinė</w:t>
      </w:r>
      <w:r w:rsidRPr="00A40AB4">
        <w:rPr>
          <w:rFonts w:cs="Times New Roman"/>
        </w:rPr>
        <w:t xml:space="preserve"> hipotezė, jog liekanos pasiskirsčiusios pagal normalųjį skirstinį. Kadangi stebimasis reikšmingumo lygmuo </w:t>
      </w:r>
      <w:r w:rsidRPr="00BB0200">
        <w:rPr>
          <w:rFonts w:cs="Times New Roman"/>
          <w:i/>
        </w:rPr>
        <w:t>p-reikšmė = 0,750</w:t>
      </w:r>
      <w:r w:rsidRPr="00A40AB4">
        <w:rPr>
          <w:rFonts w:cs="Times New Roman"/>
        </w:rPr>
        <w:t xml:space="preserve"> (</w:t>
      </w:r>
      <w:r w:rsidR="00BB0200">
        <w:rPr>
          <w:rFonts w:cs="Times New Roman"/>
        </w:rPr>
        <w:t xml:space="preserve">taigi </w:t>
      </w:r>
      <w:r w:rsidRPr="00A40AB4">
        <w:rPr>
          <w:rFonts w:cs="Times New Roman"/>
        </w:rPr>
        <w:t>didesnė už 0,05), hipotezės neatmetame. Gauname išvadą, jog modelio liekanos pasiskirsčiusios pagal normalųjį skirstinį.</w:t>
      </w:r>
    </w:p>
    <w:p w:rsidR="003B1102" w:rsidRDefault="003B1102" w:rsidP="003B1102">
      <w:pPr>
        <w:ind w:firstLine="567"/>
        <w:jc w:val="both"/>
        <w:rPr>
          <w:rFonts w:cs="Times New Roman"/>
        </w:rPr>
      </w:pPr>
      <w:r w:rsidRPr="00A40AB4">
        <w:rPr>
          <w:rFonts w:cs="Times New Roman"/>
        </w:rPr>
        <w:lastRenderedPageBreak/>
        <w:t xml:space="preserve">Gautą regresijos modelį galima patikrinti </w:t>
      </w:r>
      <w:r w:rsidR="00BA7CB7">
        <w:rPr>
          <w:rFonts w:cs="Times New Roman"/>
        </w:rPr>
        <w:t xml:space="preserve">ir </w:t>
      </w:r>
      <w:r w:rsidR="00BB0200">
        <w:rPr>
          <w:rFonts w:cs="Times New Roman"/>
        </w:rPr>
        <w:t xml:space="preserve">grafiškai </w:t>
      </w:r>
      <w:r w:rsidRPr="00A40AB4">
        <w:rPr>
          <w:rFonts w:cs="Times New Roman"/>
        </w:rPr>
        <w:t xml:space="preserve">lyginant faktines ne gyvybės draudimo pasirašytų įmokų </w:t>
      </w:r>
      <w:r w:rsidR="00BB0200">
        <w:rPr>
          <w:rFonts w:cs="Times New Roman"/>
        </w:rPr>
        <w:t>reikšmes su modeliu gautų</w:t>
      </w:r>
      <w:r w:rsidRPr="00A40AB4">
        <w:rPr>
          <w:rFonts w:cs="Times New Roman"/>
        </w:rPr>
        <w:t xml:space="preserve"> </w:t>
      </w:r>
      <w:r w:rsidR="00BB0200">
        <w:rPr>
          <w:rFonts w:cs="Times New Roman"/>
        </w:rPr>
        <w:t>skaičiavimų (</w:t>
      </w:r>
      <w:r w:rsidRPr="00A40AB4">
        <w:rPr>
          <w:rFonts w:cs="Times New Roman"/>
        </w:rPr>
        <w:t>prognozių</w:t>
      </w:r>
      <w:r w:rsidR="00BB0200">
        <w:rPr>
          <w:rFonts w:cs="Times New Roman"/>
        </w:rPr>
        <w:t>) reikšmėmis</w:t>
      </w:r>
      <w:r w:rsidR="00B41D00">
        <w:rPr>
          <w:rFonts w:cs="Times New Roman"/>
        </w:rPr>
        <w:t xml:space="preserve">. Tai pavaizduota </w:t>
      </w:r>
      <w:r w:rsidR="00C9523B">
        <w:rPr>
          <w:rFonts w:cs="Times New Roman"/>
        </w:rPr>
        <w:t>17 pav</w:t>
      </w:r>
      <w:r w:rsidR="00BA7CB7">
        <w:rPr>
          <w:rFonts w:cs="Times New Roman"/>
        </w:rPr>
        <w:t>eiksle</w:t>
      </w:r>
      <w:r w:rsidR="00C70E29">
        <w:rPr>
          <w:rFonts w:cs="Times New Roman"/>
        </w:rPr>
        <w:t>.</w:t>
      </w:r>
    </w:p>
    <w:p w:rsidR="00A34CDE" w:rsidRPr="00A40AB4" w:rsidRDefault="00A34CDE" w:rsidP="003B1102">
      <w:pPr>
        <w:ind w:firstLine="567"/>
        <w:jc w:val="both"/>
        <w:rPr>
          <w:rFonts w:cs="Times New Roman"/>
        </w:rPr>
      </w:pPr>
    </w:p>
    <w:p w:rsidR="003B1102" w:rsidRPr="00A40AB4" w:rsidRDefault="003B1102" w:rsidP="003B1102">
      <w:pPr>
        <w:jc w:val="center"/>
        <w:rPr>
          <w:rFonts w:cs="Times New Roman"/>
        </w:rPr>
      </w:pPr>
      <w:r w:rsidRPr="00A40AB4">
        <w:rPr>
          <w:rFonts w:cs="Times New Roman"/>
          <w:noProof/>
          <w:lang w:eastAsia="lt-LT"/>
        </w:rPr>
        <w:drawing>
          <wp:inline distT="0" distB="0" distL="0" distR="0">
            <wp:extent cx="5123009" cy="3044283"/>
            <wp:effectExtent l="19050" t="0" r="20491" b="3717"/>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0122E" w:rsidRPr="00A40AB4" w:rsidRDefault="00C9523B" w:rsidP="0000122E">
      <w:pPr>
        <w:pStyle w:val="Heading2"/>
        <w:spacing w:line="360" w:lineRule="auto"/>
        <w:ind w:firstLine="0"/>
      </w:pPr>
      <w:bookmarkStart w:id="278" w:name="_Toc340574126"/>
      <w:bookmarkStart w:id="279" w:name="_Toc340574401"/>
      <w:bookmarkStart w:id="280" w:name="_Toc340792039"/>
      <w:bookmarkStart w:id="281" w:name="_Toc341641137"/>
      <w:bookmarkStart w:id="282" w:name="_Toc341641388"/>
      <w:bookmarkStart w:id="283" w:name="_Toc342859676"/>
      <w:r>
        <w:t>17 pav</w:t>
      </w:r>
      <w:r w:rsidR="0000122E" w:rsidRPr="00A40AB4">
        <w:t>. Pasirašytų ne gyvybės draudimo įmokų (Y) palyginimas su modelio prognozėmis</w:t>
      </w:r>
      <w:bookmarkEnd w:id="278"/>
      <w:bookmarkEnd w:id="279"/>
      <w:bookmarkEnd w:id="280"/>
      <w:bookmarkEnd w:id="281"/>
      <w:bookmarkEnd w:id="282"/>
      <w:bookmarkEnd w:id="283"/>
    </w:p>
    <w:p w:rsidR="003B1102" w:rsidRPr="00A40AB4" w:rsidRDefault="003B1102" w:rsidP="003B1102">
      <w:pPr>
        <w:ind w:firstLine="567"/>
        <w:jc w:val="both"/>
        <w:rPr>
          <w:rFonts w:cs="Times New Roman"/>
        </w:rPr>
      </w:pPr>
    </w:p>
    <w:p w:rsidR="003B1102" w:rsidRPr="00A40AB4" w:rsidRDefault="00C9523B" w:rsidP="003B1102">
      <w:pPr>
        <w:ind w:firstLine="567"/>
        <w:jc w:val="both"/>
        <w:rPr>
          <w:rFonts w:cs="Times New Roman"/>
        </w:rPr>
      </w:pPr>
      <w:r>
        <w:rPr>
          <w:rFonts w:cs="Times New Roman"/>
        </w:rPr>
        <w:t>17 pav</w:t>
      </w:r>
      <w:r w:rsidR="000D3DB8">
        <w:rPr>
          <w:rFonts w:cs="Times New Roman"/>
        </w:rPr>
        <w:t>.</w:t>
      </w:r>
      <w:r w:rsidR="003B1102" w:rsidRPr="00A40AB4">
        <w:rPr>
          <w:rFonts w:cs="Times New Roman"/>
        </w:rPr>
        <w:t xml:space="preserve"> nubraižyti grafikai taip pat </w:t>
      </w:r>
      <w:r w:rsidR="004C37BB">
        <w:rPr>
          <w:rFonts w:cs="Times New Roman"/>
        </w:rPr>
        <w:t>padeda atskleisti</w:t>
      </w:r>
      <w:r w:rsidR="003B1102" w:rsidRPr="00A40AB4">
        <w:rPr>
          <w:rFonts w:cs="Times New Roman"/>
        </w:rPr>
        <w:t xml:space="preserve"> </w:t>
      </w:r>
      <w:r w:rsidR="004C37BB">
        <w:rPr>
          <w:rFonts w:cs="Times New Roman"/>
        </w:rPr>
        <w:t xml:space="preserve">gautos analizės </w:t>
      </w:r>
      <w:r w:rsidR="003B1102" w:rsidRPr="00A40AB4">
        <w:rPr>
          <w:rFonts w:cs="Times New Roman"/>
        </w:rPr>
        <w:t xml:space="preserve">tinkamumą. </w:t>
      </w:r>
      <w:r w:rsidR="004C37BB">
        <w:rPr>
          <w:rFonts w:cs="Times New Roman"/>
        </w:rPr>
        <w:t>Iš paveikslo m</w:t>
      </w:r>
      <w:r w:rsidR="003B1102" w:rsidRPr="00A40AB4">
        <w:rPr>
          <w:rFonts w:cs="Times New Roman"/>
        </w:rPr>
        <w:t xml:space="preserve">atyti, jog faktinės reikšmės turi savo kasmetinį ciklą – tai paaiškinama TPVCA privalomojo draudimo pavasario </w:t>
      </w:r>
      <w:r w:rsidR="00A34CDE">
        <w:rPr>
          <w:rFonts w:cs="Times New Roman"/>
        </w:rPr>
        <w:t xml:space="preserve">paklausos </w:t>
      </w:r>
      <w:r w:rsidR="003B1102" w:rsidRPr="00A40AB4">
        <w:rPr>
          <w:rFonts w:cs="Times New Roman"/>
        </w:rPr>
        <w:t xml:space="preserve">bumu, kadangi šis draudimas privalomai buvo įvestas </w:t>
      </w:r>
      <w:r w:rsidR="003B1102" w:rsidRPr="00A40AB4">
        <w:rPr>
          <w:rFonts w:cs="Times New Roman"/>
          <w:lang w:val="en-US"/>
        </w:rPr>
        <w:t xml:space="preserve">2002 m. </w:t>
      </w:r>
      <w:r w:rsidR="003B1102" w:rsidRPr="00A40AB4">
        <w:rPr>
          <w:rFonts w:cs="Times New Roman"/>
        </w:rPr>
        <w:t xml:space="preserve">pavasarį. Tai taip pat įrodo, jog į modelį buvo tikslinga įtraukti transporto priemonių skaičiaus dinamiką parodantį </w:t>
      </w:r>
      <w:r w:rsidR="004145D3">
        <w:rPr>
          <w:rFonts w:cs="Times New Roman"/>
        </w:rPr>
        <w:t>dydį</w:t>
      </w:r>
      <w:r w:rsidR="003B1102" w:rsidRPr="00A40AB4">
        <w:rPr>
          <w:rFonts w:cs="Times New Roman"/>
        </w:rPr>
        <w:t xml:space="preserve"> (X</w:t>
      </w:r>
      <w:r w:rsidR="003B1102" w:rsidRPr="00A40AB4">
        <w:rPr>
          <w:rFonts w:cs="Times New Roman"/>
          <w:lang w:val="en-US"/>
        </w:rPr>
        <w:t>5</w:t>
      </w:r>
      <w:r w:rsidR="003B1102" w:rsidRPr="00A40AB4">
        <w:rPr>
          <w:rFonts w:cs="Times New Roman"/>
        </w:rPr>
        <w:t>).</w:t>
      </w:r>
    </w:p>
    <w:p w:rsidR="003B1102" w:rsidRDefault="003B1102" w:rsidP="003B1102">
      <w:pPr>
        <w:ind w:firstLine="567"/>
        <w:jc w:val="both"/>
        <w:rPr>
          <w:rFonts w:cs="Times New Roman"/>
        </w:rPr>
      </w:pPr>
      <w:r w:rsidRPr="00A40AB4">
        <w:rPr>
          <w:rFonts w:cs="Times New Roman"/>
        </w:rPr>
        <w:t xml:space="preserve">Ieškant tinkamiausio tiesinės regresijos modelio draudimo įmokoms prognozuoti buvo naudojami 2004 m. I ketv. – 2012 m. II ketv. duomenys. Vis dėlto, SD jau paskelbė ir </w:t>
      </w:r>
      <w:r w:rsidRPr="00A40AB4">
        <w:rPr>
          <w:rFonts w:cs="Times New Roman"/>
          <w:lang w:val="en-US"/>
        </w:rPr>
        <w:t xml:space="preserve">2012 </w:t>
      </w:r>
      <w:r w:rsidRPr="00A40AB4">
        <w:rPr>
          <w:rFonts w:cs="Times New Roman"/>
        </w:rPr>
        <w:t xml:space="preserve">m. III ketv. BVP, infliacijos bei pirmą kartą užregistruotų transporto priemonių skaičių. Remiantis šiais duomenimis apskaičiuotos modelio </w:t>
      </w:r>
      <w:r w:rsidRPr="00A40AB4">
        <w:rPr>
          <w:rFonts w:cs="Times New Roman"/>
          <w:lang w:val="en-US"/>
        </w:rPr>
        <w:t xml:space="preserve">2012 m. </w:t>
      </w:r>
      <w:r w:rsidRPr="00A40AB4">
        <w:rPr>
          <w:rFonts w:cs="Times New Roman"/>
        </w:rPr>
        <w:t>III ketv. pasirašytų įmokų prognozės:</w:t>
      </w:r>
    </w:p>
    <w:p w:rsidR="00983AE6" w:rsidRPr="00A40AB4" w:rsidRDefault="00983AE6" w:rsidP="003B1102">
      <w:pPr>
        <w:ind w:firstLine="567"/>
        <w:jc w:val="both"/>
        <w:rPr>
          <w:rFonts w:cs="Times New Roman"/>
        </w:rPr>
      </w:pPr>
    </w:p>
    <w:p w:rsidR="003B1102" w:rsidRDefault="003B1102" w:rsidP="003B1102">
      <w:pPr>
        <w:ind w:firstLine="567"/>
        <w:jc w:val="both"/>
        <w:rPr>
          <w:rFonts w:eastAsiaTheme="minorEastAsia" w:cs="Times New Roman"/>
        </w:rPr>
      </w:pPr>
      <m:oMath>
        <m:r>
          <w:rPr>
            <w:rFonts w:ascii="Cambria Math" w:hAnsi="Cambria Math" w:cs="Times New Roman"/>
          </w:rPr>
          <m:t>Y</m:t>
        </m:r>
        <m:r>
          <w:rPr>
            <w:rFonts w:ascii="Cambria Math" w:cs="Times New Roman"/>
          </w:rPr>
          <m:t>=0,00762</m:t>
        </m:r>
        <m:r>
          <w:rPr>
            <w:rFonts w:ascii="Cambria Math" w:hAnsi="Cambria Math" w:cs="Times New Roman"/>
          </w:rPr>
          <m:t>*29733,751</m:t>
        </m:r>
        <m:r>
          <w:rPr>
            <w:rFonts w:ascii="Cambria Math" w:cs="Times New Roman"/>
          </w:rPr>
          <m:t>+6,632</m:t>
        </m:r>
        <m:r>
          <w:rPr>
            <w:rFonts w:ascii="Cambria Math" w:hAnsi="Cambria Math" w:cs="Times New Roman"/>
          </w:rPr>
          <m:t>*3,2</m:t>
        </m:r>
        <m:r>
          <w:rPr>
            <w:rFonts w:ascii="Cambria Math" w:cs="Times New Roman"/>
          </w:rPr>
          <m:t>+0,001335</m:t>
        </m:r>
        <m:r>
          <w:rPr>
            <w:rFonts w:ascii="Cambria Math" w:hAnsi="Cambria Math" w:cs="Times New Roman"/>
          </w:rPr>
          <m:t>*46384=309,716</m:t>
        </m:r>
      </m:oMath>
      <w:r w:rsidRPr="00A40AB4">
        <w:rPr>
          <w:rFonts w:eastAsiaTheme="minorEastAsia" w:cs="Times New Roman"/>
        </w:rPr>
        <w:t xml:space="preserve"> (mln. Lt).</w:t>
      </w:r>
    </w:p>
    <w:p w:rsidR="00983AE6" w:rsidRPr="00A40AB4" w:rsidRDefault="00983AE6" w:rsidP="003B1102">
      <w:pPr>
        <w:ind w:firstLine="567"/>
        <w:jc w:val="both"/>
        <w:rPr>
          <w:rFonts w:eastAsiaTheme="minorEastAsia" w:cs="Times New Roman"/>
        </w:rPr>
      </w:pPr>
    </w:p>
    <w:p w:rsidR="003B1102" w:rsidRPr="00A40AB4" w:rsidRDefault="003B1102" w:rsidP="003B1102">
      <w:pPr>
        <w:ind w:firstLine="567"/>
        <w:jc w:val="both"/>
        <w:rPr>
          <w:rFonts w:cs="Times New Roman"/>
        </w:rPr>
      </w:pPr>
      <w:r w:rsidRPr="00A40AB4">
        <w:rPr>
          <w:rFonts w:cs="Times New Roman"/>
        </w:rPr>
        <w:t xml:space="preserve">LB tinklalapyje jau </w:t>
      </w:r>
      <w:r w:rsidR="000D2E98">
        <w:rPr>
          <w:rFonts w:cs="Times New Roman"/>
        </w:rPr>
        <w:t xml:space="preserve">skelbiami </w:t>
      </w:r>
      <w:r w:rsidRPr="00A40AB4">
        <w:rPr>
          <w:rFonts w:cs="Times New Roman"/>
        </w:rPr>
        <w:t>ne gyvybės draudimo pasirašytų įmokų III ketv. rezultatai – 301,765 mln. Lt. Taigi regresijos modelio prognozė 2,6 % didesnė už rea</w:t>
      </w:r>
      <w:r w:rsidR="00E61C8A">
        <w:rPr>
          <w:rFonts w:cs="Times New Roman"/>
        </w:rPr>
        <w:t>lų dydį. Tačiau modelio prognozę galima laikyti</w:t>
      </w:r>
      <w:r w:rsidRPr="00A40AB4">
        <w:rPr>
          <w:rFonts w:cs="Times New Roman"/>
        </w:rPr>
        <w:t xml:space="preserve"> g</w:t>
      </w:r>
      <w:r w:rsidR="00E61C8A">
        <w:rPr>
          <w:rFonts w:cs="Times New Roman"/>
        </w:rPr>
        <w:t>era, kadangi realiai pasirašytų įmokų dydis</w:t>
      </w:r>
      <w:r w:rsidRPr="00A40AB4">
        <w:rPr>
          <w:rFonts w:cs="Times New Roman"/>
        </w:rPr>
        <w:t xml:space="preserve"> patenka į </w:t>
      </w:r>
      <w:r w:rsidR="00E61C8A">
        <w:rPr>
          <w:rFonts w:cs="Times New Roman"/>
        </w:rPr>
        <w:t xml:space="preserve">sudaryto </w:t>
      </w:r>
      <w:r w:rsidRPr="00A40AB4">
        <w:rPr>
          <w:rFonts w:cs="Times New Roman"/>
        </w:rPr>
        <w:t>modelio pasikliautinąjį intervalą, t.y.</w:t>
      </w:r>
      <w:r w:rsidR="00983AE6">
        <w:rPr>
          <w:rFonts w:cs="Times New Roman"/>
        </w:rPr>
        <w:t>, remiantis skaičiavimais,</w:t>
      </w:r>
      <w:r w:rsidRPr="00A40AB4">
        <w:rPr>
          <w:rFonts w:cs="Times New Roman"/>
        </w:rPr>
        <w:t xml:space="preserve"> atsiduria tarp 287,43 ir 332 mln. Lt.</w:t>
      </w:r>
    </w:p>
    <w:p w:rsidR="003B1102" w:rsidRPr="00A40AB4" w:rsidRDefault="003B1102" w:rsidP="003B1102">
      <w:pPr>
        <w:ind w:firstLine="567"/>
        <w:jc w:val="both"/>
        <w:rPr>
          <w:rFonts w:cs="Times New Roman"/>
        </w:rPr>
      </w:pPr>
      <w:r w:rsidRPr="00A40AB4">
        <w:rPr>
          <w:rFonts w:cs="Times New Roman"/>
        </w:rPr>
        <w:lastRenderedPageBreak/>
        <w:t>Taigi, gautas modelis tinka Lietuvos ne gyvybės draudimo rinkos pasirašytoms įmokoms prognozuoti. Nustatyta, jog gauta regresij</w:t>
      </w:r>
      <w:r w:rsidR="008B2226">
        <w:rPr>
          <w:rFonts w:cs="Times New Roman"/>
        </w:rPr>
        <w:t>os lygtis su trimis nepriklausomais</w:t>
      </w:r>
      <w:r w:rsidRPr="00A40AB4">
        <w:rPr>
          <w:rFonts w:cs="Times New Roman"/>
        </w:rPr>
        <w:t xml:space="preserve"> kintamaisiais</w:t>
      </w:r>
      <w:r w:rsidR="008B2226">
        <w:rPr>
          <w:rFonts w:cs="Times New Roman"/>
        </w:rPr>
        <w:t xml:space="preserve"> –</w:t>
      </w:r>
      <w:r w:rsidRPr="00A40AB4">
        <w:rPr>
          <w:rFonts w:cs="Times New Roman"/>
        </w:rPr>
        <w:t xml:space="preserve"> BVP, </w:t>
      </w:r>
      <w:r w:rsidR="00CB12EC">
        <w:rPr>
          <w:rFonts w:cs="Times New Roman"/>
        </w:rPr>
        <w:t xml:space="preserve">vidutinė metinė </w:t>
      </w:r>
      <w:r w:rsidRPr="00A40AB4">
        <w:rPr>
          <w:rFonts w:cs="Times New Roman"/>
        </w:rPr>
        <w:t xml:space="preserve">infliacija bei pirmą kartą užregistruotų transporto priemonių skaičiumi </w:t>
      </w:r>
      <w:r w:rsidR="008B2226">
        <w:rPr>
          <w:rFonts w:cs="Times New Roman"/>
        </w:rPr>
        <w:t xml:space="preserve">– </w:t>
      </w:r>
      <w:r w:rsidRPr="00A40AB4">
        <w:rPr>
          <w:rFonts w:cs="Times New Roman"/>
        </w:rPr>
        <w:t>apibūdina</w:t>
      </w:r>
      <w:r w:rsidR="000D375B">
        <w:rPr>
          <w:rFonts w:cs="Times New Roman"/>
        </w:rPr>
        <w:t xml:space="preserve"> net</w:t>
      </w:r>
      <w:r w:rsidRPr="00A40AB4">
        <w:rPr>
          <w:rFonts w:cs="Times New Roman"/>
        </w:rPr>
        <w:t xml:space="preserve"> </w:t>
      </w:r>
      <w:r w:rsidRPr="00A40AB4">
        <w:rPr>
          <w:rFonts w:cs="Times New Roman"/>
          <w:lang w:val="en-US"/>
        </w:rPr>
        <w:t xml:space="preserve">98,5 % </w:t>
      </w:r>
      <w:r w:rsidRPr="00A40AB4">
        <w:rPr>
          <w:rFonts w:cs="Times New Roman"/>
        </w:rPr>
        <w:t>pasirašytų įmokų kitimo.</w:t>
      </w:r>
    </w:p>
    <w:p w:rsidR="003B1102" w:rsidRPr="00A40AB4" w:rsidRDefault="003B1102" w:rsidP="003B1102">
      <w:pPr>
        <w:ind w:firstLine="567"/>
        <w:jc w:val="both"/>
        <w:rPr>
          <w:rFonts w:cs="Times New Roman"/>
        </w:rPr>
      </w:pPr>
      <w:r w:rsidRPr="00A40AB4">
        <w:rPr>
          <w:rFonts w:cs="Times New Roman"/>
        </w:rPr>
        <w:t xml:space="preserve">BVP </w:t>
      </w:r>
      <w:r w:rsidR="00061ADC">
        <w:rPr>
          <w:rFonts w:cs="Times New Roman"/>
        </w:rPr>
        <w:t xml:space="preserve">teigiamą </w:t>
      </w:r>
      <w:r w:rsidRPr="00A40AB4">
        <w:rPr>
          <w:rFonts w:cs="Times New Roman"/>
        </w:rPr>
        <w:t xml:space="preserve">įtaką draudimo įmokų kaitai galima paaiškinti tuo, jog didėjant sukuriamai vertei, auga finansinio saugumo poreikis kadangi norima </w:t>
      </w:r>
      <w:r w:rsidR="00871207">
        <w:rPr>
          <w:rFonts w:cs="Times New Roman"/>
        </w:rPr>
        <w:t xml:space="preserve">tą </w:t>
      </w:r>
      <w:r w:rsidRPr="00A40AB4">
        <w:rPr>
          <w:rFonts w:cs="Times New Roman"/>
        </w:rPr>
        <w:t>sukurtą vertę apsaugoti.</w:t>
      </w:r>
      <w:r w:rsidR="008456A4">
        <w:rPr>
          <w:rFonts w:cs="Times New Roman"/>
        </w:rPr>
        <w:t xml:space="preserve"> Didėjant</w:t>
      </w:r>
      <w:r w:rsidR="00EA6664">
        <w:rPr>
          <w:rFonts w:cs="Times New Roman"/>
        </w:rPr>
        <w:t>į</w:t>
      </w:r>
      <w:r w:rsidR="008456A4">
        <w:rPr>
          <w:rFonts w:cs="Times New Roman"/>
        </w:rPr>
        <w:t xml:space="preserve"> BVP </w:t>
      </w:r>
      <w:r w:rsidR="00EA6664">
        <w:rPr>
          <w:rFonts w:cs="Times New Roman"/>
        </w:rPr>
        <w:t>galima susieti su gerėjančia šalies, taigi ir gyventojų,</w:t>
      </w:r>
      <w:r w:rsidR="00EA6664" w:rsidRPr="00EA6664">
        <w:rPr>
          <w:rFonts w:cs="Times New Roman"/>
        </w:rPr>
        <w:t xml:space="preserve"> </w:t>
      </w:r>
      <w:r w:rsidR="00EA6664">
        <w:rPr>
          <w:rFonts w:cs="Times New Roman"/>
        </w:rPr>
        <w:t xml:space="preserve">ekonomine padėtimi, taigi </w:t>
      </w:r>
      <w:r w:rsidR="008456A4">
        <w:rPr>
          <w:rFonts w:cs="Times New Roman"/>
        </w:rPr>
        <w:t xml:space="preserve">mažėja </w:t>
      </w:r>
      <w:r w:rsidR="00EA6664">
        <w:rPr>
          <w:rFonts w:cs="Times New Roman"/>
        </w:rPr>
        <w:t xml:space="preserve">gyventojų </w:t>
      </w:r>
      <w:r w:rsidR="008456A4">
        <w:rPr>
          <w:rFonts w:cs="Times New Roman"/>
        </w:rPr>
        <w:t>būtiniausioms reikmėmis skiriamų lėšų dalis</w:t>
      </w:r>
      <w:r w:rsidR="00EA6664">
        <w:rPr>
          <w:rFonts w:cs="Times New Roman"/>
        </w:rPr>
        <w:t xml:space="preserve"> ir galima skirti didesnę išlaidų dalį, gyventojų manymu, ne tokiems svarbiems produktams, pvz. draudimui</w:t>
      </w:r>
      <w:r w:rsidR="008456A4">
        <w:rPr>
          <w:rFonts w:cs="Times New Roman"/>
        </w:rPr>
        <w:t>.</w:t>
      </w:r>
      <w:r w:rsidRPr="00A40AB4">
        <w:rPr>
          <w:rFonts w:cs="Times New Roman"/>
        </w:rPr>
        <w:t xml:space="preserve"> </w:t>
      </w:r>
      <w:r w:rsidR="00EA6664">
        <w:rPr>
          <w:rFonts w:cs="Times New Roman"/>
        </w:rPr>
        <w:t>Kita priežastis –</w:t>
      </w:r>
      <w:r w:rsidRPr="00A40AB4">
        <w:rPr>
          <w:rFonts w:cs="Times New Roman"/>
        </w:rPr>
        <w:t xml:space="preserve"> draudimo</w:t>
      </w:r>
      <w:r w:rsidR="001170DF">
        <w:rPr>
          <w:rFonts w:cs="Times New Roman"/>
        </w:rPr>
        <w:t xml:space="preserve"> rinkos rezultatai atsispindi pačiame</w:t>
      </w:r>
      <w:r w:rsidRPr="00A40AB4">
        <w:rPr>
          <w:rFonts w:cs="Times New Roman"/>
        </w:rPr>
        <w:t xml:space="preserve"> </w:t>
      </w:r>
      <w:r w:rsidR="001170DF">
        <w:rPr>
          <w:rFonts w:cs="Times New Roman"/>
        </w:rPr>
        <w:t>šalyje sukurto bendrojo vidaus produkto rodiklyje</w:t>
      </w:r>
      <w:r w:rsidRPr="00A40AB4">
        <w:rPr>
          <w:rFonts w:cs="Times New Roman"/>
        </w:rPr>
        <w:t>.</w:t>
      </w:r>
    </w:p>
    <w:p w:rsidR="003B1102" w:rsidRPr="00A40AB4" w:rsidRDefault="00061ADC" w:rsidP="003B1102">
      <w:pPr>
        <w:ind w:firstLine="567"/>
        <w:jc w:val="both"/>
        <w:rPr>
          <w:rFonts w:cs="Times New Roman"/>
        </w:rPr>
      </w:pPr>
      <w:r>
        <w:rPr>
          <w:rFonts w:cs="Times New Roman"/>
        </w:rPr>
        <w:t>Didėjančios i</w:t>
      </w:r>
      <w:r w:rsidR="003B1102" w:rsidRPr="00A40AB4">
        <w:rPr>
          <w:rFonts w:cs="Times New Roman"/>
        </w:rPr>
        <w:t xml:space="preserve">nfliacijos </w:t>
      </w:r>
      <w:r>
        <w:rPr>
          <w:rFonts w:cs="Times New Roman"/>
        </w:rPr>
        <w:t xml:space="preserve">teigiamas </w:t>
      </w:r>
      <w:r w:rsidR="003B1102" w:rsidRPr="00A40AB4">
        <w:rPr>
          <w:rFonts w:cs="Times New Roman"/>
        </w:rPr>
        <w:t>poveikis</w:t>
      </w:r>
      <w:r w:rsidR="004A124D">
        <w:rPr>
          <w:rFonts w:cs="Times New Roman"/>
        </w:rPr>
        <w:t xml:space="preserve"> (ir mažėjančios – neigiamas)</w:t>
      </w:r>
      <w:r w:rsidR="003B1102" w:rsidRPr="00A40AB4">
        <w:rPr>
          <w:rFonts w:cs="Times New Roman"/>
        </w:rPr>
        <w:t xml:space="preserve"> draudimo įmokų augimui pasireiškia tuo, jog, pirmiausia, draudimo įmokos yra nominalus dydis</w:t>
      </w:r>
      <w:r w:rsidR="00B51E65">
        <w:rPr>
          <w:rFonts w:cs="Times New Roman"/>
        </w:rPr>
        <w:t>, išreikštas pinigais</w:t>
      </w:r>
      <w:r w:rsidR="003B1102" w:rsidRPr="00A40AB4">
        <w:rPr>
          <w:rFonts w:cs="Times New Roman"/>
        </w:rPr>
        <w:t xml:space="preserve">. Vadinasi, didėjant infliacijai ir mažėjant pinigų perkamajai galiai jų reikia daugiau norint apdrausti tą patį kiekį turto. Kitas (netiesioginis) infliacijos aspektas pasireiškia per infliacijos augimo bei šalies ekonominio ciklo sąveiką, t.y., </w:t>
      </w:r>
      <w:r w:rsidR="0000124A" w:rsidRPr="00A40AB4">
        <w:rPr>
          <w:rFonts w:cs="Times New Roman"/>
        </w:rPr>
        <w:t xml:space="preserve">paprastai </w:t>
      </w:r>
      <w:r w:rsidR="0000124A">
        <w:rPr>
          <w:rFonts w:cs="Times New Roman"/>
        </w:rPr>
        <w:t xml:space="preserve">kai </w:t>
      </w:r>
      <w:r w:rsidR="003B1102" w:rsidRPr="00A40AB4">
        <w:rPr>
          <w:rFonts w:cs="Times New Roman"/>
        </w:rPr>
        <w:t xml:space="preserve">šalyje recesija, infliacija būna žema (arba net fiksuojama defliacija), tuo pačiu </w:t>
      </w:r>
      <w:r w:rsidR="006D7F65">
        <w:rPr>
          <w:rFonts w:cs="Times New Roman"/>
        </w:rPr>
        <w:t xml:space="preserve">mažėja draudimo paklausa ir rinka </w:t>
      </w:r>
      <w:r w:rsidR="003B1102" w:rsidRPr="00A40AB4">
        <w:rPr>
          <w:rFonts w:cs="Times New Roman"/>
        </w:rPr>
        <w:t xml:space="preserve">traukiasi. </w:t>
      </w:r>
      <w:r w:rsidR="008424E7">
        <w:rPr>
          <w:rFonts w:cs="Times New Roman"/>
        </w:rPr>
        <w:t xml:space="preserve">Bei </w:t>
      </w:r>
      <w:r w:rsidR="003B1102" w:rsidRPr="00A40AB4">
        <w:rPr>
          <w:rFonts w:cs="Times New Roman"/>
        </w:rPr>
        <w:t>atvirkščiai – kai šalies ūkis klesti (</w:t>
      </w:r>
      <w:r w:rsidR="008424E7">
        <w:rPr>
          <w:rFonts w:cs="Times New Roman"/>
        </w:rPr>
        <w:t>ekonomika pakilimo stadijoje</w:t>
      </w:r>
      <w:r w:rsidR="003B1102" w:rsidRPr="00A40AB4">
        <w:rPr>
          <w:rFonts w:cs="Times New Roman"/>
        </w:rPr>
        <w:t>) paprastai vyrauja aukšta infliacija, sąlygoja</w:t>
      </w:r>
      <w:r w:rsidR="00CE72D6">
        <w:rPr>
          <w:rFonts w:cs="Times New Roman"/>
        </w:rPr>
        <w:t>nti</w:t>
      </w:r>
      <w:r w:rsidR="003B1102" w:rsidRPr="00A40AB4">
        <w:rPr>
          <w:rFonts w:cs="Times New Roman"/>
        </w:rPr>
        <w:t xml:space="preserve"> ir</w:t>
      </w:r>
      <w:r w:rsidR="00CE72D6">
        <w:rPr>
          <w:rFonts w:cs="Times New Roman"/>
        </w:rPr>
        <w:t xml:space="preserve"> didesnį surenkamą pinigų kiekį už pasirašytas įmokas</w:t>
      </w:r>
      <w:r w:rsidR="003B1102" w:rsidRPr="00A40AB4">
        <w:rPr>
          <w:rFonts w:cs="Times New Roman"/>
        </w:rPr>
        <w:t>.</w:t>
      </w:r>
    </w:p>
    <w:p w:rsidR="003B1102" w:rsidRDefault="003B1102" w:rsidP="00935261">
      <w:pPr>
        <w:ind w:firstLine="567"/>
        <w:jc w:val="both"/>
        <w:rPr>
          <w:rFonts w:cs="Times New Roman"/>
        </w:rPr>
      </w:pPr>
      <w:r w:rsidRPr="00A40AB4">
        <w:rPr>
          <w:rFonts w:cs="Times New Roman"/>
        </w:rPr>
        <w:t xml:space="preserve">Pirmą kartą užregistruotų transporto priemonių įtaka modelyje mažiausiai reikšminga (žr. 3 priedo X5 p-reikšmę). Tokią tendenciją </w:t>
      </w:r>
      <w:r w:rsidR="003E5079">
        <w:rPr>
          <w:rFonts w:cs="Times New Roman"/>
        </w:rPr>
        <w:t>sąlygoja tai</w:t>
      </w:r>
      <w:r w:rsidRPr="00A40AB4">
        <w:rPr>
          <w:rFonts w:cs="Times New Roman"/>
        </w:rPr>
        <w:t xml:space="preserve">, jog šio dydžio dinamika tiesiogiai galima paaiškinti </w:t>
      </w:r>
      <w:r w:rsidR="003E5079">
        <w:rPr>
          <w:rFonts w:cs="Times New Roman"/>
        </w:rPr>
        <w:t xml:space="preserve">beveik </w:t>
      </w:r>
      <w:r w:rsidRPr="00A40AB4">
        <w:rPr>
          <w:rFonts w:cs="Times New Roman"/>
        </w:rPr>
        <w:t>du trečdalius įmokų kitimo (</w:t>
      </w:r>
      <w:r w:rsidR="00A05EA5">
        <w:rPr>
          <w:rFonts w:cs="Times New Roman"/>
        </w:rPr>
        <w:t xml:space="preserve">kadangi </w:t>
      </w:r>
      <w:r w:rsidRPr="00A40AB4">
        <w:rPr>
          <w:rFonts w:cs="Times New Roman"/>
        </w:rPr>
        <w:t xml:space="preserve">tokia yra su transporto priemonėmis susijusių draudimo produktų dalis ne gyvybės draudimo rinkoje). Vis dėlto, magistranto nuomone, šį rodiklį į pradinį modelį įtraukti </w:t>
      </w:r>
      <w:r w:rsidR="00A05EA5">
        <w:rPr>
          <w:rFonts w:cs="Times New Roman"/>
        </w:rPr>
        <w:t xml:space="preserve">buvo </w:t>
      </w:r>
      <w:r w:rsidRPr="00A40AB4">
        <w:rPr>
          <w:rFonts w:cs="Times New Roman"/>
        </w:rPr>
        <w:t xml:space="preserve">tikslinga: </w:t>
      </w:r>
      <w:r w:rsidR="00A05EA5">
        <w:rPr>
          <w:rFonts w:cs="Times New Roman"/>
        </w:rPr>
        <w:t xml:space="preserve">transporto priemonių skaičiaus dinamikos </w:t>
      </w:r>
      <w:r w:rsidRPr="00A40AB4">
        <w:rPr>
          <w:rFonts w:cs="Times New Roman"/>
        </w:rPr>
        <w:t xml:space="preserve">bei pasirašytų </w:t>
      </w:r>
      <w:r w:rsidR="00A05EA5">
        <w:rPr>
          <w:rFonts w:cs="Times New Roman"/>
        </w:rPr>
        <w:t xml:space="preserve">draudimo </w:t>
      </w:r>
      <w:r w:rsidRPr="00A40AB4">
        <w:rPr>
          <w:rFonts w:cs="Times New Roman"/>
        </w:rPr>
        <w:t>įmokų koreliacija yra vidutinio stiprumo</w:t>
      </w:r>
      <w:r w:rsidR="00442126">
        <w:rPr>
          <w:rFonts w:cs="Times New Roman"/>
        </w:rPr>
        <w:t xml:space="preserve"> (taigi pakankamai </w:t>
      </w:r>
      <w:r w:rsidR="0045526E">
        <w:rPr>
          <w:rFonts w:cs="Times New Roman"/>
        </w:rPr>
        <w:t xml:space="preserve">statistiškai </w:t>
      </w:r>
      <w:r w:rsidR="00442126">
        <w:rPr>
          <w:rFonts w:cs="Times New Roman"/>
        </w:rPr>
        <w:t>reikšminga)</w:t>
      </w:r>
      <w:r w:rsidRPr="00A40AB4">
        <w:rPr>
          <w:rFonts w:cs="Times New Roman"/>
        </w:rPr>
        <w:t xml:space="preserve">, be to, transporto priemonių </w:t>
      </w:r>
      <w:r w:rsidR="004C37BB">
        <w:rPr>
          <w:rFonts w:cs="Times New Roman"/>
        </w:rPr>
        <w:t xml:space="preserve">kaita </w:t>
      </w:r>
      <w:r w:rsidR="0045526E">
        <w:rPr>
          <w:rFonts w:cs="Times New Roman"/>
        </w:rPr>
        <w:t xml:space="preserve">sąlygoja </w:t>
      </w:r>
      <w:r w:rsidRPr="00A40AB4">
        <w:rPr>
          <w:rFonts w:cs="Times New Roman"/>
        </w:rPr>
        <w:t xml:space="preserve">pasirašytų </w:t>
      </w:r>
      <w:r w:rsidR="008214B1">
        <w:rPr>
          <w:rFonts w:cs="Times New Roman"/>
        </w:rPr>
        <w:t xml:space="preserve">įmokų sezoniškumą (žr. </w:t>
      </w:r>
      <w:r w:rsidR="00C9523B">
        <w:rPr>
          <w:rFonts w:cs="Times New Roman"/>
        </w:rPr>
        <w:t>17 pav</w:t>
      </w:r>
      <w:r w:rsidR="008214B1">
        <w:rPr>
          <w:rFonts w:cs="Times New Roman"/>
        </w:rPr>
        <w:t>.).</w:t>
      </w:r>
      <w:r w:rsidRPr="00A40AB4">
        <w:rPr>
          <w:rFonts w:cs="Times New Roman"/>
        </w:rPr>
        <w:t xml:space="preserve"> </w:t>
      </w:r>
      <w:r w:rsidR="008214B1">
        <w:rPr>
          <w:rFonts w:cs="Times New Roman"/>
        </w:rPr>
        <w:t>T</w:t>
      </w:r>
      <w:r w:rsidRPr="00A40AB4">
        <w:rPr>
          <w:rFonts w:cs="Times New Roman"/>
        </w:rPr>
        <w:t xml:space="preserve">ad eliminavus šį nepriklausomą kintamąjį modelis būtų mažiau tinkamas </w:t>
      </w:r>
      <w:r w:rsidR="00621F36">
        <w:rPr>
          <w:rFonts w:cs="Times New Roman"/>
        </w:rPr>
        <w:t xml:space="preserve">pasirašytų </w:t>
      </w:r>
      <w:r w:rsidRPr="00A40AB4">
        <w:rPr>
          <w:rFonts w:cs="Times New Roman"/>
        </w:rPr>
        <w:t>įmokų dinamikai aprašyti.</w:t>
      </w:r>
      <w:r w:rsidR="00486512">
        <w:rPr>
          <w:rFonts w:cs="Times New Roman"/>
        </w:rPr>
        <w:t xml:space="preserve"> </w:t>
      </w:r>
      <w:r w:rsidR="001F7CF0">
        <w:rPr>
          <w:rFonts w:cs="Times New Roman"/>
        </w:rPr>
        <w:t>Gautas m</w:t>
      </w:r>
      <w:r w:rsidR="00486512">
        <w:rPr>
          <w:rFonts w:cs="Times New Roman"/>
        </w:rPr>
        <w:t>odelis taip pat parodė didžiulę Lietuvos ne gyvybės draudimo rinkos priklausomybę nuo transporto priemonių skaičiaus dinamikos</w:t>
      </w:r>
      <w:r w:rsidR="009D5E0A">
        <w:rPr>
          <w:rFonts w:cs="Times New Roman"/>
        </w:rPr>
        <w:t xml:space="preserve"> šalyje</w:t>
      </w:r>
      <w:r w:rsidR="00486512">
        <w:rPr>
          <w:rFonts w:cs="Times New Roman"/>
        </w:rPr>
        <w:t>.</w:t>
      </w:r>
    </w:p>
    <w:p w:rsidR="007D5881" w:rsidRDefault="007D5881" w:rsidP="003E5079">
      <w:pPr>
        <w:tabs>
          <w:tab w:val="left" w:pos="284"/>
        </w:tabs>
        <w:ind w:firstLine="567"/>
        <w:jc w:val="both"/>
        <w:rPr>
          <w:rFonts w:cs="Times New Roman"/>
          <w:szCs w:val="24"/>
        </w:rPr>
      </w:pPr>
    </w:p>
    <w:p w:rsidR="00A05EA5" w:rsidRDefault="003E5079" w:rsidP="003E5079">
      <w:pPr>
        <w:tabs>
          <w:tab w:val="left" w:pos="284"/>
        </w:tabs>
        <w:ind w:firstLine="567"/>
        <w:jc w:val="both"/>
        <w:rPr>
          <w:rFonts w:cs="Times New Roman"/>
        </w:rPr>
      </w:pPr>
      <w:r w:rsidRPr="003E5079">
        <w:rPr>
          <w:rFonts w:cs="Times New Roman"/>
          <w:szCs w:val="24"/>
        </w:rPr>
        <w:t xml:space="preserve">Atlikta koreliacinė bei tiesinė regresinė analizė atskleidė, jog didžiausią įtaką ne gyvybės draudimo pasirašytų įmokų augimui turi didėjantys BVP (augant sukuriamai vertei mažėja būtiniausioms prekėms skiriamų lėšų dalis, didėja finansinio saugumo poreikis), infliacija (smunkant pinigų perkamajai galiai didėja draudimo pajamos, nes pasirašytos įmokos – nominalus dydis; be to, infliacija paprastai atspindi šalies ūkio aktyvumą) bei pirmą kartą Lietuvoje užregistruotų transporto priemonių skaičius (TPVCA privalomasis bei kasko draudimai užima beveik du trečdalius rinkos). </w:t>
      </w:r>
      <w:r w:rsidR="00A05EA5">
        <w:rPr>
          <w:rFonts w:cs="Times New Roman"/>
          <w:szCs w:val="24"/>
        </w:rPr>
        <w:lastRenderedPageBreak/>
        <w:t xml:space="preserve">Analizė atskleidė, jog tokie rodikliai kaip nedarbo </w:t>
      </w:r>
      <w:r w:rsidR="0041742C">
        <w:rPr>
          <w:rFonts w:cs="Times New Roman"/>
          <w:szCs w:val="24"/>
        </w:rPr>
        <w:t>lygis, palūkanų norma (VILIBOR)</w:t>
      </w:r>
      <w:r w:rsidR="00A05EA5">
        <w:rPr>
          <w:rFonts w:cs="Times New Roman"/>
          <w:szCs w:val="24"/>
        </w:rPr>
        <w:t xml:space="preserve"> bei gyventojų skaičius reikšmingos įtakos ne gyvybės draudimo plėtrai neturi. </w:t>
      </w:r>
      <w:r w:rsidR="00E53996">
        <w:rPr>
          <w:rFonts w:cs="Times New Roman"/>
          <w:szCs w:val="24"/>
        </w:rPr>
        <w:t>Sudaryta regresijos analizės lygtis</w:t>
      </w:r>
      <w:r w:rsidR="00A05EA5">
        <w:rPr>
          <w:rFonts w:cs="Times New Roman"/>
          <w:szCs w:val="24"/>
        </w:rPr>
        <w:t xml:space="preserve">, </w:t>
      </w:r>
      <w:r w:rsidRPr="003E5079">
        <w:rPr>
          <w:rFonts w:eastAsiaTheme="minorEastAsia" w:cs="Times New Roman"/>
        </w:rPr>
        <w:t>apibūdina</w:t>
      </w:r>
      <w:r w:rsidR="00A05EA5">
        <w:rPr>
          <w:rFonts w:eastAsiaTheme="minorEastAsia" w:cs="Times New Roman"/>
        </w:rPr>
        <w:t>nti</w:t>
      </w:r>
      <w:r w:rsidR="00E53996">
        <w:rPr>
          <w:rFonts w:eastAsiaTheme="minorEastAsia" w:cs="Times New Roman"/>
        </w:rPr>
        <w:t xml:space="preserve"> net</w:t>
      </w:r>
      <w:r w:rsidRPr="003E5079">
        <w:rPr>
          <w:rFonts w:cs="Times New Roman"/>
        </w:rPr>
        <w:t xml:space="preserve"> 98,5 % pasirašytų ne gyvybės draudimo įmokų dinamikos.</w:t>
      </w:r>
    </w:p>
    <w:p w:rsidR="003E5079" w:rsidRPr="003E5079" w:rsidRDefault="003E5079" w:rsidP="003E5079">
      <w:pPr>
        <w:tabs>
          <w:tab w:val="left" w:pos="284"/>
        </w:tabs>
        <w:ind w:firstLine="567"/>
        <w:jc w:val="both"/>
        <w:rPr>
          <w:rFonts w:cs="Times New Roman"/>
          <w:szCs w:val="24"/>
        </w:rPr>
      </w:pPr>
      <w:r w:rsidRPr="003E5079">
        <w:rPr>
          <w:rFonts w:cs="Times New Roman"/>
          <w:szCs w:val="24"/>
        </w:rPr>
        <w:t>Koreliacinė ir tiesinė regresinė analizė atskleidė, jog galima patvirtinti hipotezę H</w:t>
      </w:r>
      <w:r w:rsidRPr="003E5079">
        <w:rPr>
          <w:rFonts w:cs="Times New Roman"/>
          <w:szCs w:val="24"/>
          <w:vertAlign w:val="subscript"/>
          <w:lang w:val="en-US"/>
        </w:rPr>
        <w:t>2</w:t>
      </w:r>
      <w:r w:rsidRPr="003E5079">
        <w:rPr>
          <w:rFonts w:cs="Times New Roman"/>
          <w:szCs w:val="24"/>
        </w:rPr>
        <w:t xml:space="preserve"> - </w:t>
      </w:r>
      <w:r w:rsidRPr="003E5079">
        <w:rPr>
          <w:rFonts w:eastAsiaTheme="minorEastAsia" w:cs="Times New Roman"/>
        </w:rPr>
        <w:t xml:space="preserve">svarbiausias ekonominis Lietuvos ne gyvybės draudimo plėtrą lemiantis veiksnys </w:t>
      </w:r>
      <w:r w:rsidR="00EC088D">
        <w:rPr>
          <w:rFonts w:eastAsiaTheme="minorEastAsia" w:cs="Times New Roman"/>
        </w:rPr>
        <w:t>yra</w:t>
      </w:r>
      <w:r w:rsidRPr="003E5079">
        <w:rPr>
          <w:rFonts w:eastAsiaTheme="minorEastAsia" w:cs="Times New Roman"/>
        </w:rPr>
        <w:t xml:space="preserve"> BVP ir jo dinamika</w:t>
      </w:r>
      <w:r w:rsidR="00EC088D">
        <w:rPr>
          <w:rFonts w:eastAsiaTheme="minorEastAsia" w:cs="Times New Roman"/>
        </w:rPr>
        <w:t>, kadangi</w:t>
      </w:r>
      <w:r w:rsidRPr="003E5079">
        <w:rPr>
          <w:rFonts w:eastAsiaTheme="minorEastAsia" w:cs="Times New Roman"/>
        </w:rPr>
        <w:t xml:space="preserve"> pasirašytų įmokų didžiausia </w:t>
      </w:r>
      <w:r w:rsidR="00CE3789">
        <w:rPr>
          <w:rFonts w:eastAsiaTheme="minorEastAsia" w:cs="Times New Roman"/>
        </w:rPr>
        <w:t xml:space="preserve">gauta </w:t>
      </w:r>
      <w:r w:rsidRPr="003E5079">
        <w:rPr>
          <w:rFonts w:eastAsiaTheme="minorEastAsia" w:cs="Times New Roman"/>
        </w:rPr>
        <w:t xml:space="preserve">koreliacija </w:t>
      </w:r>
      <w:r w:rsidR="00CE3789">
        <w:rPr>
          <w:rFonts w:eastAsiaTheme="minorEastAsia" w:cs="Times New Roman"/>
        </w:rPr>
        <w:t xml:space="preserve">būtent </w:t>
      </w:r>
      <w:r w:rsidRPr="003E5079">
        <w:rPr>
          <w:rFonts w:eastAsiaTheme="minorEastAsia" w:cs="Times New Roman"/>
        </w:rPr>
        <w:t>su BVP,</w:t>
      </w:r>
      <w:r w:rsidR="00CE3789">
        <w:rPr>
          <w:rFonts w:eastAsiaTheme="minorEastAsia" w:cs="Times New Roman"/>
        </w:rPr>
        <w:t xml:space="preserve"> be to,</w:t>
      </w:r>
      <w:r w:rsidRPr="003E5079">
        <w:rPr>
          <w:rFonts w:eastAsiaTheme="minorEastAsia" w:cs="Times New Roman"/>
        </w:rPr>
        <w:t xml:space="preserve"> šis rodiklis</w:t>
      </w:r>
      <w:r w:rsidR="00EC088D">
        <w:rPr>
          <w:rFonts w:eastAsiaTheme="minorEastAsia" w:cs="Times New Roman"/>
        </w:rPr>
        <w:t xml:space="preserve"> įtrauktas į </w:t>
      </w:r>
      <w:r w:rsidR="00CE3789">
        <w:rPr>
          <w:rFonts w:eastAsiaTheme="minorEastAsia" w:cs="Times New Roman"/>
        </w:rPr>
        <w:t xml:space="preserve">galutinę </w:t>
      </w:r>
      <w:r w:rsidR="00EC088D">
        <w:rPr>
          <w:rFonts w:eastAsiaTheme="minorEastAsia" w:cs="Times New Roman"/>
        </w:rPr>
        <w:t xml:space="preserve">regresijos </w:t>
      </w:r>
      <w:r w:rsidR="00CE3789">
        <w:rPr>
          <w:rFonts w:eastAsiaTheme="minorEastAsia" w:cs="Times New Roman"/>
        </w:rPr>
        <w:t>lygtį</w:t>
      </w:r>
      <w:r w:rsidR="00EC088D">
        <w:rPr>
          <w:rFonts w:eastAsiaTheme="minorEastAsia" w:cs="Times New Roman"/>
        </w:rPr>
        <w:t>.</w:t>
      </w:r>
    </w:p>
    <w:p w:rsidR="003E5079" w:rsidRPr="003E5079" w:rsidRDefault="003E5079" w:rsidP="003E5079">
      <w:pPr>
        <w:jc w:val="both"/>
        <w:rPr>
          <w:rFonts w:cs="Times New Roman"/>
        </w:rPr>
      </w:pPr>
    </w:p>
    <w:p w:rsidR="00841DCF" w:rsidRDefault="00841DCF" w:rsidP="00935261">
      <w:pPr>
        <w:ind w:firstLine="567"/>
        <w:jc w:val="both"/>
        <w:rPr>
          <w:rFonts w:cs="Times New Roman"/>
        </w:rPr>
      </w:pPr>
    </w:p>
    <w:p w:rsidR="00AC71D2" w:rsidRDefault="00AC71D2">
      <w:pPr>
        <w:spacing w:after="200" w:line="276" w:lineRule="auto"/>
        <w:rPr>
          <w:rFonts w:cs="Times New Roman"/>
        </w:rPr>
      </w:pPr>
      <w:r>
        <w:rPr>
          <w:rFonts w:cs="Times New Roman"/>
        </w:rPr>
        <w:br w:type="page"/>
      </w:r>
    </w:p>
    <w:p w:rsidR="00AC71D2" w:rsidRPr="00AC71D2" w:rsidRDefault="00AC71D2" w:rsidP="00AC71D2">
      <w:pPr>
        <w:pStyle w:val="Heading1"/>
        <w:rPr>
          <w:sz w:val="24"/>
        </w:rPr>
      </w:pPr>
      <w:bookmarkStart w:id="284" w:name="_Toc328359422"/>
      <w:bookmarkStart w:id="285" w:name="_Toc328359507"/>
      <w:bookmarkStart w:id="286" w:name="_Toc328359562"/>
    </w:p>
    <w:p w:rsidR="00AC71D2" w:rsidRPr="00BA0CC4" w:rsidRDefault="00AC71D2" w:rsidP="00AC71D2">
      <w:pPr>
        <w:pStyle w:val="Heading1"/>
      </w:pPr>
      <w:bookmarkStart w:id="287" w:name="_Toc340574402"/>
      <w:bookmarkStart w:id="288" w:name="_Toc340574718"/>
      <w:bookmarkStart w:id="289" w:name="_Toc341641389"/>
      <w:bookmarkStart w:id="290" w:name="_Toc342859677"/>
      <w:r>
        <w:t>IŠVADOS</w:t>
      </w:r>
      <w:bookmarkEnd w:id="284"/>
      <w:bookmarkEnd w:id="285"/>
      <w:bookmarkEnd w:id="286"/>
      <w:r>
        <w:t xml:space="preserve"> IR REKOMENDACIJOS</w:t>
      </w:r>
      <w:bookmarkEnd w:id="287"/>
      <w:bookmarkEnd w:id="288"/>
      <w:bookmarkEnd w:id="289"/>
      <w:bookmarkEnd w:id="290"/>
    </w:p>
    <w:p w:rsidR="00AC71D2" w:rsidRDefault="00AC71D2" w:rsidP="00AC71D2">
      <w:pPr>
        <w:spacing w:after="120" w:line="240" w:lineRule="auto"/>
        <w:ind w:firstLine="567"/>
        <w:jc w:val="both"/>
        <w:rPr>
          <w:rFonts w:cs="Times New Roman"/>
        </w:rPr>
      </w:pPr>
    </w:p>
    <w:p w:rsidR="00AC71D2" w:rsidRPr="00C95F20" w:rsidRDefault="00AC71D2" w:rsidP="00AC71D2">
      <w:pPr>
        <w:ind w:firstLine="567"/>
        <w:jc w:val="both"/>
        <w:rPr>
          <w:rFonts w:cs="Times New Roman"/>
          <w:b/>
        </w:rPr>
      </w:pPr>
      <w:r w:rsidRPr="00C95F20">
        <w:rPr>
          <w:rFonts w:cs="Times New Roman"/>
          <w:b/>
        </w:rPr>
        <w:t>Išvados</w:t>
      </w:r>
    </w:p>
    <w:p w:rsidR="00AC71D2" w:rsidRDefault="00AC71D2" w:rsidP="00AC71D2">
      <w:pPr>
        <w:pStyle w:val="ListParagraph"/>
        <w:numPr>
          <w:ilvl w:val="0"/>
          <w:numId w:val="10"/>
        </w:numPr>
        <w:tabs>
          <w:tab w:val="left" w:pos="284"/>
        </w:tabs>
        <w:ind w:left="0" w:firstLine="0"/>
        <w:jc w:val="both"/>
        <w:rPr>
          <w:rFonts w:cs="Times New Roman"/>
          <w:szCs w:val="24"/>
        </w:rPr>
      </w:pPr>
      <w:r w:rsidRPr="00A13923">
        <w:rPr>
          <w:rFonts w:cs="Times New Roman"/>
          <w:szCs w:val="24"/>
        </w:rPr>
        <w:t>Ne gyvybės draudimas – tai ūkinė komercinė veikla, draudimo veiklos šaka, kurioje veikiančios įmonės verčiasi su ne gyvybės draudimo grupėmis susijusia veikla. Mokslinėje literatūroje išskiriamos įvairios ne gyvybės draudimo rinką sąlygojančios veiksnių grupės. Dažniausiai minimos ekonominės, politinės, teisinės, socialinės, kultūrinės bei technologinės.</w:t>
      </w:r>
      <w:r w:rsidR="00A13923" w:rsidRPr="00A13923">
        <w:rPr>
          <w:rFonts w:cs="Times New Roman"/>
          <w:szCs w:val="24"/>
        </w:rPr>
        <w:t xml:space="preserve"> </w:t>
      </w:r>
      <w:r w:rsidRPr="00A13923">
        <w:rPr>
          <w:rFonts w:cs="Times New Roman"/>
          <w:szCs w:val="24"/>
        </w:rPr>
        <w:t xml:space="preserve">Svarbiausi mokslinėje literatūroje išskiriami </w:t>
      </w:r>
      <w:r w:rsidRPr="00A13923">
        <w:rPr>
          <w:rFonts w:cs="Times New Roman"/>
          <w:i/>
          <w:szCs w:val="24"/>
        </w:rPr>
        <w:t>ekonominiai veiksniai</w:t>
      </w:r>
      <w:r w:rsidRPr="00A13923">
        <w:rPr>
          <w:rFonts w:cs="Times New Roman"/>
          <w:szCs w:val="24"/>
        </w:rPr>
        <w:t>: BVP, infliacija, palūkanų norma, nedarbo lygis, vartotojų pajamos, užsienio investicijos, eksportas, taip pat transporto priemonių skaičius, drau</w:t>
      </w:r>
      <w:r w:rsidR="00A13923" w:rsidRPr="00A13923">
        <w:rPr>
          <w:rFonts w:cs="Times New Roman"/>
          <w:szCs w:val="24"/>
        </w:rPr>
        <w:t xml:space="preserve">dimo paslaugos kaina bei kokybė; </w:t>
      </w:r>
      <w:r w:rsidRPr="00A13923">
        <w:rPr>
          <w:rFonts w:cs="Times New Roman"/>
          <w:i/>
          <w:szCs w:val="24"/>
        </w:rPr>
        <w:t>politiniai ir teisiniai veiksniai</w:t>
      </w:r>
      <w:r w:rsidRPr="00A13923">
        <w:rPr>
          <w:rFonts w:cs="Times New Roman"/>
          <w:szCs w:val="24"/>
        </w:rPr>
        <w:t xml:space="preserve">: vyriausybės stabilumas ir politika, mokesčių politika, draudimo veiklą reglamentuojantys įstatymai, valstybinis reguliavimas bei valstybinių institucijų priežiūra, nuosavybės teisių, sutarčių vykdymo bei turto apsaugos užtikrinimas, tam tikrų objektų draudimo privalomumas, draudikų mokumo vertinimo </w:t>
      </w:r>
      <w:r w:rsidR="00A13923" w:rsidRPr="00A13923">
        <w:rPr>
          <w:rFonts w:cs="Times New Roman"/>
          <w:szCs w:val="24"/>
        </w:rPr>
        <w:t xml:space="preserve">sistema; </w:t>
      </w:r>
      <w:r w:rsidRPr="00A13923">
        <w:rPr>
          <w:rFonts w:cs="Times New Roman"/>
          <w:i/>
          <w:szCs w:val="24"/>
        </w:rPr>
        <w:t>socialiniai ir kultūriniai veiksniai</w:t>
      </w:r>
      <w:r w:rsidRPr="00A13923">
        <w:rPr>
          <w:rFonts w:cs="Times New Roman"/>
          <w:szCs w:val="24"/>
        </w:rPr>
        <w:t xml:space="preserve">: demografiniai, vertybių bei gyvenimo būdo pokyčiai, pajamų pasiskirstymas, draudimo paslaugos vieta gyventojų išlaidų struktūroje, išsilavinimo lygis, finansinis išprusimas, </w:t>
      </w:r>
      <w:r w:rsidR="00A13923" w:rsidRPr="00A13923">
        <w:rPr>
          <w:rFonts w:cs="Times New Roman"/>
          <w:szCs w:val="24"/>
        </w:rPr>
        <w:t xml:space="preserve">švietimo tendencijos; </w:t>
      </w:r>
      <w:r w:rsidRPr="00A13923">
        <w:rPr>
          <w:rFonts w:cs="Times New Roman"/>
          <w:i/>
          <w:szCs w:val="24"/>
        </w:rPr>
        <w:t>technologiniai veiksniai</w:t>
      </w:r>
      <w:r w:rsidRPr="00A13923">
        <w:rPr>
          <w:rFonts w:cs="Times New Roman"/>
          <w:szCs w:val="24"/>
        </w:rPr>
        <w:t>: mokslo, technologinė bei techninė pažanga, jų kitimo sparta bei prieinamumas.</w:t>
      </w:r>
    </w:p>
    <w:p w:rsidR="00A13923" w:rsidRPr="00A13923" w:rsidRDefault="00A13923" w:rsidP="00AC71D2">
      <w:pPr>
        <w:pStyle w:val="ListParagraph"/>
        <w:numPr>
          <w:ilvl w:val="0"/>
          <w:numId w:val="10"/>
        </w:numPr>
        <w:tabs>
          <w:tab w:val="left" w:pos="284"/>
        </w:tabs>
        <w:ind w:left="0" w:firstLine="0"/>
        <w:jc w:val="both"/>
        <w:rPr>
          <w:rFonts w:cs="Times New Roman"/>
          <w:szCs w:val="24"/>
        </w:rPr>
      </w:pPr>
      <w:r>
        <w:rPr>
          <w:rFonts w:cs="Times New Roman"/>
          <w:szCs w:val="24"/>
        </w:rPr>
        <w:t>Įvairūs autoriai skirtingai bando tirti ne gyvybės draudimo rinkos plėtros veiksnius. Remiantis mokslininkų rekomendacijomis nuspręsta atlikti PEST analizę bei</w:t>
      </w:r>
      <w:r w:rsidR="00664F1B">
        <w:rPr>
          <w:rFonts w:cs="Times New Roman"/>
          <w:szCs w:val="24"/>
        </w:rPr>
        <w:t xml:space="preserve"> koreliacinę</w:t>
      </w:r>
      <w:r>
        <w:rPr>
          <w:rFonts w:cs="Times New Roman"/>
          <w:szCs w:val="24"/>
        </w:rPr>
        <w:t xml:space="preserve"> </w:t>
      </w:r>
      <w:r w:rsidR="00664F1B">
        <w:rPr>
          <w:rFonts w:cs="Times New Roman"/>
          <w:szCs w:val="24"/>
        </w:rPr>
        <w:t>ir tiesinę regresinę analizę</w:t>
      </w:r>
      <w:r>
        <w:rPr>
          <w:rFonts w:cs="Times New Roman"/>
          <w:szCs w:val="24"/>
        </w:rPr>
        <w:t xml:space="preserve">, </w:t>
      </w:r>
      <w:r w:rsidR="00664F1B">
        <w:rPr>
          <w:rFonts w:cs="Times New Roman"/>
          <w:szCs w:val="24"/>
        </w:rPr>
        <w:t xml:space="preserve">siekiant identifikuoti svarbiausius </w:t>
      </w:r>
      <w:r>
        <w:rPr>
          <w:rFonts w:cs="Times New Roman"/>
          <w:szCs w:val="24"/>
        </w:rPr>
        <w:t xml:space="preserve">Lietuvos ne gyvybės </w:t>
      </w:r>
      <w:r w:rsidR="00664F1B">
        <w:rPr>
          <w:rFonts w:cs="Times New Roman"/>
          <w:szCs w:val="24"/>
        </w:rPr>
        <w:t>draudimo rinkos plėtros veiksnius</w:t>
      </w:r>
      <w:r>
        <w:rPr>
          <w:rFonts w:cs="Times New Roman"/>
          <w:szCs w:val="24"/>
        </w:rPr>
        <w:t xml:space="preserve">. </w:t>
      </w:r>
    </w:p>
    <w:p w:rsidR="00AC71D2" w:rsidRPr="00260FEA" w:rsidRDefault="00AC71D2" w:rsidP="00AC71D2">
      <w:pPr>
        <w:pStyle w:val="ListParagraph"/>
        <w:numPr>
          <w:ilvl w:val="0"/>
          <w:numId w:val="10"/>
        </w:numPr>
        <w:tabs>
          <w:tab w:val="left" w:pos="284"/>
        </w:tabs>
        <w:ind w:left="0" w:firstLine="0"/>
        <w:jc w:val="both"/>
        <w:rPr>
          <w:rFonts w:cs="Times New Roman"/>
          <w:szCs w:val="24"/>
        </w:rPr>
      </w:pPr>
      <w:r>
        <w:rPr>
          <w:rFonts w:cs="Times New Roman"/>
        </w:rPr>
        <w:t xml:space="preserve">Darbe atlikta Lietuvos ne gyvybės draudimo sektoriaus situacijos </w:t>
      </w:r>
      <w:r w:rsidR="00E105C9">
        <w:rPr>
          <w:rFonts w:cs="Times New Roman"/>
        </w:rPr>
        <w:t xml:space="preserve">analizė bei pateiktas </w:t>
      </w:r>
      <w:r>
        <w:rPr>
          <w:rFonts w:cs="Times New Roman"/>
        </w:rPr>
        <w:t xml:space="preserve">vertinimas. Ne gyvybės draudimo sektorius </w:t>
      </w:r>
      <w:r w:rsidRPr="00CB2A31">
        <w:rPr>
          <w:rFonts w:cs="Times New Roman"/>
        </w:rPr>
        <w:t xml:space="preserve">išlaikė dominuojančią padėtį gyvybės draudimo atžvilgiu. Po spartaus </w:t>
      </w:r>
      <w:r>
        <w:rPr>
          <w:rFonts w:cs="Times New Roman"/>
        </w:rPr>
        <w:t xml:space="preserve">2006-2008 m. </w:t>
      </w:r>
      <w:r w:rsidRPr="00CB2A31">
        <w:rPr>
          <w:rFonts w:cs="Times New Roman"/>
        </w:rPr>
        <w:t>augimo</w:t>
      </w:r>
      <w:r>
        <w:rPr>
          <w:rFonts w:cs="Times New Roman"/>
        </w:rPr>
        <w:t xml:space="preserve"> itin sudėtingi buvo</w:t>
      </w:r>
      <w:r w:rsidRPr="00CB2A31">
        <w:rPr>
          <w:rFonts w:cs="Times New Roman"/>
        </w:rPr>
        <w:t xml:space="preserve"> 2009 m.</w:t>
      </w:r>
      <w:r>
        <w:rPr>
          <w:rFonts w:cs="Times New Roman"/>
        </w:rPr>
        <w:t xml:space="preserve">, o </w:t>
      </w:r>
      <w:r w:rsidRPr="00CB2A31">
        <w:rPr>
          <w:rFonts w:cs="Times New Roman"/>
        </w:rPr>
        <w:t xml:space="preserve">2010 m. </w:t>
      </w:r>
      <w:r>
        <w:rPr>
          <w:rFonts w:cs="Times New Roman"/>
        </w:rPr>
        <w:t xml:space="preserve">rinka </w:t>
      </w:r>
      <w:r w:rsidRPr="00CB2A31">
        <w:rPr>
          <w:rFonts w:cs="Times New Roman"/>
        </w:rPr>
        <w:t xml:space="preserve">stabilizavosi ir pradėjo augti. </w:t>
      </w:r>
      <w:r>
        <w:rPr>
          <w:rFonts w:cs="Times New Roman"/>
        </w:rPr>
        <w:t>Ne gyvybės draudimo s</w:t>
      </w:r>
      <w:r w:rsidRPr="00CB2A31">
        <w:rPr>
          <w:rFonts w:cs="Times New Roman"/>
        </w:rPr>
        <w:t xml:space="preserve">ektorius </w:t>
      </w:r>
      <w:r>
        <w:rPr>
          <w:rFonts w:cs="Times New Roman"/>
        </w:rPr>
        <w:t>absorbavo</w:t>
      </w:r>
      <w:r w:rsidRPr="00CB2A31">
        <w:rPr>
          <w:rFonts w:cs="Times New Roman"/>
        </w:rPr>
        <w:t xml:space="preserve"> dalį neigiamų krizės padarinių kitoms šalies ūkio šakoms per komercinio draudimo produktus. </w:t>
      </w:r>
      <w:r>
        <w:rPr>
          <w:rFonts w:cs="Times New Roman"/>
        </w:rPr>
        <w:t xml:space="preserve">Jis </w:t>
      </w:r>
      <w:r w:rsidRPr="00CB2A31">
        <w:rPr>
          <w:rFonts w:cs="Times New Roman"/>
        </w:rPr>
        <w:t>krizės metu</w:t>
      </w:r>
      <w:r>
        <w:rPr>
          <w:rFonts w:cs="Times New Roman"/>
        </w:rPr>
        <w:t xml:space="preserve"> išlaikė</w:t>
      </w:r>
      <w:r w:rsidRPr="00CB2A31">
        <w:rPr>
          <w:rFonts w:cs="Times New Roman"/>
        </w:rPr>
        <w:t xml:space="preserve"> stabilumą, pakankamą kapitalo atsargų kiekį</w:t>
      </w:r>
      <w:r>
        <w:rPr>
          <w:rFonts w:cs="Times New Roman"/>
        </w:rPr>
        <w:t>, kurį</w:t>
      </w:r>
      <w:r w:rsidRPr="00CB2A31">
        <w:rPr>
          <w:rFonts w:cs="Times New Roman"/>
        </w:rPr>
        <w:t xml:space="preserve"> </w:t>
      </w:r>
      <w:r>
        <w:rPr>
          <w:rFonts w:cs="Times New Roman"/>
        </w:rPr>
        <w:t>efektyviai valdė. Draudikai</w:t>
      </w:r>
      <w:r w:rsidRPr="00CB2A31">
        <w:rPr>
          <w:rFonts w:cs="Times New Roman"/>
        </w:rPr>
        <w:t xml:space="preserve"> išliko mokūs</w:t>
      </w:r>
      <w:r>
        <w:rPr>
          <w:rFonts w:cs="Times New Roman"/>
        </w:rPr>
        <w:t>,</w:t>
      </w:r>
      <w:r w:rsidRPr="00CB2A31">
        <w:rPr>
          <w:rFonts w:cs="Times New Roman"/>
        </w:rPr>
        <w:t xml:space="preserve"> vykdė visus su draudimo sutartimis susijusius įsipareigojimus. Sušvelninti krizės padarinius </w:t>
      </w:r>
      <w:r>
        <w:rPr>
          <w:rFonts w:cs="Times New Roman"/>
        </w:rPr>
        <w:t xml:space="preserve">draudikai sugebėjo kurį laiką uždirbdami pajamas iš anksčiau sudarytų sutarčių, dėl </w:t>
      </w:r>
      <w:r w:rsidRPr="00CB2A31">
        <w:rPr>
          <w:rFonts w:cs="Times New Roman"/>
        </w:rPr>
        <w:t xml:space="preserve">susitraukusios draudimo rinkos </w:t>
      </w:r>
      <w:r>
        <w:rPr>
          <w:rFonts w:cs="Times New Roman"/>
        </w:rPr>
        <w:t>bei NSITA panaikinimo mažindami techninius atidėjinius</w:t>
      </w:r>
      <w:r w:rsidRPr="00CB2A31">
        <w:rPr>
          <w:rFonts w:cs="Times New Roman"/>
        </w:rPr>
        <w:t xml:space="preserve"> </w:t>
      </w:r>
      <w:r w:rsidR="00CB125D">
        <w:rPr>
          <w:rFonts w:cs="Times New Roman"/>
        </w:rPr>
        <w:t>ir taip atlaisvinus dalį lėšų;</w:t>
      </w:r>
      <w:r>
        <w:rPr>
          <w:rFonts w:cs="Times New Roman"/>
        </w:rPr>
        <w:t xml:space="preserve"> taip pat dėl gana sėkmingos</w:t>
      </w:r>
      <w:r w:rsidRPr="00CB2A31">
        <w:rPr>
          <w:rFonts w:cs="Times New Roman"/>
        </w:rPr>
        <w:t xml:space="preserve"> investicinė</w:t>
      </w:r>
      <w:r>
        <w:rPr>
          <w:rFonts w:cs="Times New Roman"/>
        </w:rPr>
        <w:t>s veiklos</w:t>
      </w:r>
      <w:r w:rsidRPr="00CB2A31">
        <w:rPr>
          <w:rFonts w:cs="Times New Roman"/>
        </w:rPr>
        <w:t>.</w:t>
      </w:r>
    </w:p>
    <w:p w:rsidR="00AC71D2" w:rsidRPr="00260FEA" w:rsidRDefault="00AC71D2" w:rsidP="00AC71D2">
      <w:pPr>
        <w:pStyle w:val="ListParagraph"/>
        <w:numPr>
          <w:ilvl w:val="0"/>
          <w:numId w:val="10"/>
        </w:numPr>
        <w:tabs>
          <w:tab w:val="left" w:pos="284"/>
        </w:tabs>
        <w:ind w:left="0" w:firstLine="0"/>
        <w:jc w:val="both"/>
        <w:rPr>
          <w:rFonts w:cs="Times New Roman"/>
          <w:szCs w:val="24"/>
        </w:rPr>
      </w:pPr>
      <w:r>
        <w:rPr>
          <w:rFonts w:cs="Times New Roman"/>
        </w:rPr>
        <w:t>D</w:t>
      </w:r>
      <w:r w:rsidR="00B34B19">
        <w:rPr>
          <w:rFonts w:cs="Times New Roman"/>
        </w:rPr>
        <w:t>raudimo rinkos išsivystymo lygį atskleidžiantys</w:t>
      </w:r>
      <w:r>
        <w:rPr>
          <w:rFonts w:cs="Times New Roman"/>
        </w:rPr>
        <w:t xml:space="preserve"> </w:t>
      </w:r>
      <w:r w:rsidRPr="00260FEA">
        <w:rPr>
          <w:rFonts w:cs="Times New Roman"/>
        </w:rPr>
        <w:t>rodikliai</w:t>
      </w:r>
      <w:r w:rsidR="00B34B19">
        <w:rPr>
          <w:rFonts w:cs="Times New Roman"/>
        </w:rPr>
        <w:t>, ypač netiesioginiai</w:t>
      </w:r>
      <w:r w:rsidRPr="00260FEA">
        <w:rPr>
          <w:rFonts w:cs="Times New Roman"/>
        </w:rPr>
        <w:t xml:space="preserve"> </w:t>
      </w:r>
      <w:r>
        <w:rPr>
          <w:rFonts w:cs="Times New Roman"/>
        </w:rPr>
        <w:t>(</w:t>
      </w:r>
      <w:r w:rsidR="00B34B19">
        <w:rPr>
          <w:rFonts w:cs="Times New Roman"/>
        </w:rPr>
        <w:t xml:space="preserve">draudimo </w:t>
      </w:r>
      <w:r>
        <w:rPr>
          <w:rFonts w:cs="Times New Roman"/>
        </w:rPr>
        <w:t xml:space="preserve">tankis, skvarba, išsiplėtimas, koncentracija) </w:t>
      </w:r>
      <w:r w:rsidRPr="00260FEA">
        <w:rPr>
          <w:rFonts w:cs="Times New Roman"/>
        </w:rPr>
        <w:t xml:space="preserve">byloja, jog </w:t>
      </w:r>
      <w:r>
        <w:rPr>
          <w:rFonts w:cs="Times New Roman"/>
        </w:rPr>
        <w:t xml:space="preserve">Lietuvos </w:t>
      </w:r>
      <w:r w:rsidRPr="00260FEA">
        <w:rPr>
          <w:rFonts w:cs="Times New Roman"/>
        </w:rPr>
        <w:t xml:space="preserve">ne gyvybės draudimo rinka </w:t>
      </w:r>
      <w:r w:rsidR="0092100E">
        <w:rPr>
          <w:rFonts w:cs="Times New Roman"/>
        </w:rPr>
        <w:t xml:space="preserve">dar </w:t>
      </w:r>
      <w:r w:rsidRPr="00260FEA">
        <w:rPr>
          <w:rFonts w:cs="Times New Roman"/>
        </w:rPr>
        <w:t xml:space="preserve">smarkiai atsilieka pasaulio </w:t>
      </w:r>
      <w:r>
        <w:rPr>
          <w:rFonts w:cs="Times New Roman"/>
        </w:rPr>
        <w:t xml:space="preserve">bei </w:t>
      </w:r>
      <w:r w:rsidRPr="00260FEA">
        <w:rPr>
          <w:rFonts w:cs="Times New Roman"/>
        </w:rPr>
        <w:t xml:space="preserve">VRE regiono kontekste. </w:t>
      </w:r>
      <w:r w:rsidR="00551399">
        <w:rPr>
          <w:rFonts w:cs="Times New Roman"/>
        </w:rPr>
        <w:t xml:space="preserve">Vis dėlto, mūsų šalies </w:t>
      </w:r>
      <w:r w:rsidR="000E30CB">
        <w:rPr>
          <w:rFonts w:cs="Times New Roman"/>
        </w:rPr>
        <w:t xml:space="preserve">ne gyvybės draudimo </w:t>
      </w:r>
      <w:r w:rsidR="00551399">
        <w:rPr>
          <w:rFonts w:cs="Times New Roman"/>
        </w:rPr>
        <w:t>r</w:t>
      </w:r>
      <w:r w:rsidRPr="00260FEA">
        <w:rPr>
          <w:rFonts w:cs="Times New Roman"/>
        </w:rPr>
        <w:t xml:space="preserve">inka turi didelį potencialą </w:t>
      </w:r>
      <w:r>
        <w:rPr>
          <w:rFonts w:cs="Times New Roman"/>
        </w:rPr>
        <w:t xml:space="preserve">plėstis </w:t>
      </w:r>
      <w:r w:rsidRPr="00260FEA">
        <w:rPr>
          <w:rFonts w:cs="Times New Roman"/>
        </w:rPr>
        <w:t xml:space="preserve">ir palaipsniui turėtų </w:t>
      </w:r>
      <w:r>
        <w:rPr>
          <w:rFonts w:cs="Times New Roman"/>
        </w:rPr>
        <w:t>pri</w:t>
      </w:r>
      <w:r w:rsidRPr="00260FEA">
        <w:rPr>
          <w:rFonts w:cs="Times New Roman"/>
        </w:rPr>
        <w:t>artėti prie VRE regiono vidurkio.</w:t>
      </w:r>
    </w:p>
    <w:p w:rsidR="00AC71D2" w:rsidRDefault="00AC71D2" w:rsidP="00AC71D2">
      <w:pPr>
        <w:pStyle w:val="ListParagraph"/>
        <w:numPr>
          <w:ilvl w:val="0"/>
          <w:numId w:val="10"/>
        </w:numPr>
        <w:tabs>
          <w:tab w:val="left" w:pos="284"/>
        </w:tabs>
        <w:ind w:left="0" w:firstLine="0"/>
        <w:jc w:val="both"/>
        <w:rPr>
          <w:rFonts w:cs="Times New Roman"/>
          <w:szCs w:val="24"/>
        </w:rPr>
      </w:pPr>
      <w:r>
        <w:rPr>
          <w:rFonts w:cs="Times New Roman"/>
          <w:szCs w:val="24"/>
        </w:rPr>
        <w:t xml:space="preserve">Atlikta PEST analizė parodė, jog teigiamai ne gyvybės draudimo plėtrą Lietuvoje veikia gerėjantys ir atsigaunančią šalies ekonomiką atspindintys makroekonominiai rodikliai: didėja BVP, perkamoji </w:t>
      </w:r>
      <w:r>
        <w:rPr>
          <w:rFonts w:cs="Times New Roman"/>
          <w:szCs w:val="24"/>
        </w:rPr>
        <w:lastRenderedPageBreak/>
        <w:t xml:space="preserve">galia, užsienio investicijos, mažėja nedarbas, šalyje santykinai žema infliacija, o žema palūkanų norma skatina vartojimą. Daugėja naujai užregistruotų transporto priemonių. Technologinė aplinka sąlygoja efektyvesnį verslo valdymą, platesnį draudimo paslaugų prieinamumą. Analizė atskleidė </w:t>
      </w:r>
      <w:r w:rsidR="0064077C">
        <w:rPr>
          <w:rFonts w:cs="Times New Roman"/>
          <w:szCs w:val="24"/>
        </w:rPr>
        <w:t xml:space="preserve">pakankamą </w:t>
      </w:r>
      <w:r>
        <w:rPr>
          <w:rFonts w:cs="Times New Roman"/>
          <w:szCs w:val="24"/>
        </w:rPr>
        <w:t>teisinės aplinkos palankumą draudimo verslui, tačiau plėtrą riboja neapibrėžtumą didinanti nestabili</w:t>
      </w:r>
      <w:r w:rsidR="00334DCB">
        <w:rPr>
          <w:rFonts w:cs="Times New Roman"/>
          <w:szCs w:val="24"/>
        </w:rPr>
        <w:t>, net prieštaringa</w:t>
      </w:r>
      <w:r>
        <w:rPr>
          <w:rFonts w:cs="Times New Roman"/>
          <w:szCs w:val="24"/>
        </w:rPr>
        <w:t xml:space="preserve"> politinė aplinka. Socialinės ir kultūrinės aplinkos</w:t>
      </w:r>
      <w:r w:rsidR="00ED7C9A">
        <w:rPr>
          <w:rFonts w:cs="Times New Roman"/>
          <w:szCs w:val="24"/>
        </w:rPr>
        <w:t xml:space="preserve"> aspektu draudimo</w:t>
      </w:r>
      <w:r>
        <w:rPr>
          <w:rFonts w:cs="Times New Roman"/>
          <w:szCs w:val="24"/>
        </w:rPr>
        <w:t xml:space="preserve"> </w:t>
      </w:r>
      <w:r w:rsidR="00334DCB">
        <w:rPr>
          <w:rFonts w:cs="Times New Roman"/>
          <w:szCs w:val="24"/>
        </w:rPr>
        <w:t xml:space="preserve">plėtrą </w:t>
      </w:r>
      <w:r w:rsidR="00310CAF">
        <w:rPr>
          <w:rFonts w:cs="Times New Roman"/>
          <w:szCs w:val="24"/>
        </w:rPr>
        <w:t xml:space="preserve">labiausiai ribojantys </w:t>
      </w:r>
      <w:r w:rsidR="00D94799">
        <w:rPr>
          <w:rFonts w:cs="Times New Roman"/>
          <w:szCs w:val="24"/>
        </w:rPr>
        <w:t xml:space="preserve">veiksniai: </w:t>
      </w:r>
      <w:r>
        <w:rPr>
          <w:rFonts w:cs="Times New Roman"/>
          <w:szCs w:val="24"/>
        </w:rPr>
        <w:t xml:space="preserve">dėl mažo gimstamumo, didelės emigracijos prastėja šalies demografinė padėtis, didėja socialinė atskirtis, mažėja išlaidos švietimui bei aukštųjų mokyklų studentų skaičius. Siekis pirmiausia apdrausti materialų turtą užtikrina stabilias pajamas, tačiau </w:t>
      </w:r>
      <w:r w:rsidR="0064077C">
        <w:rPr>
          <w:rFonts w:cs="Times New Roman"/>
          <w:szCs w:val="24"/>
        </w:rPr>
        <w:t>riboja plėtros galimybes.</w:t>
      </w:r>
    </w:p>
    <w:p w:rsidR="00AC71D2" w:rsidRPr="00050386" w:rsidRDefault="00AC71D2" w:rsidP="00AC71D2">
      <w:pPr>
        <w:pStyle w:val="ListParagraph"/>
        <w:numPr>
          <w:ilvl w:val="0"/>
          <w:numId w:val="10"/>
        </w:numPr>
        <w:tabs>
          <w:tab w:val="left" w:pos="284"/>
        </w:tabs>
        <w:ind w:left="0" w:firstLine="0"/>
        <w:jc w:val="both"/>
        <w:rPr>
          <w:rFonts w:cs="Times New Roman"/>
          <w:szCs w:val="24"/>
        </w:rPr>
      </w:pPr>
      <w:r>
        <w:rPr>
          <w:rFonts w:cs="Times New Roman"/>
          <w:szCs w:val="24"/>
        </w:rPr>
        <w:t>Patvirtinta iškelta hipotezė H</w:t>
      </w:r>
      <w:r w:rsidRPr="00AA747E">
        <w:rPr>
          <w:rFonts w:cs="Times New Roman"/>
          <w:szCs w:val="24"/>
          <w:vertAlign w:val="subscript"/>
        </w:rPr>
        <w:t>1</w:t>
      </w:r>
      <w:r>
        <w:rPr>
          <w:rFonts w:cs="Times New Roman"/>
          <w:szCs w:val="24"/>
        </w:rPr>
        <w:t xml:space="preserve"> - </w:t>
      </w:r>
      <w:r>
        <w:rPr>
          <w:rFonts w:eastAsiaTheme="minorEastAsia" w:cs="Times New Roman"/>
        </w:rPr>
        <w:t>Lietuvos ne gyvybės draudimo sektoriaus plėtrą sąlygoja ne tik ekonominė, bet ir politinė, teisinė, socialinė, kultūrinė bei technologinė aplinkos.</w:t>
      </w:r>
    </w:p>
    <w:p w:rsidR="00AC71D2" w:rsidRPr="00050386" w:rsidRDefault="00AC71D2" w:rsidP="00AC71D2">
      <w:pPr>
        <w:pStyle w:val="ListParagraph"/>
        <w:numPr>
          <w:ilvl w:val="0"/>
          <w:numId w:val="10"/>
        </w:numPr>
        <w:tabs>
          <w:tab w:val="left" w:pos="284"/>
        </w:tabs>
        <w:ind w:left="0" w:firstLine="0"/>
        <w:jc w:val="both"/>
        <w:rPr>
          <w:rFonts w:cs="Times New Roman"/>
          <w:szCs w:val="24"/>
        </w:rPr>
      </w:pPr>
      <w:r w:rsidRPr="00050386">
        <w:rPr>
          <w:rFonts w:cs="Times New Roman"/>
          <w:szCs w:val="24"/>
        </w:rPr>
        <w:t xml:space="preserve">Atlikta koreliacinė bei </w:t>
      </w:r>
      <w:r w:rsidR="00D94799">
        <w:rPr>
          <w:rFonts w:cs="Times New Roman"/>
          <w:szCs w:val="24"/>
        </w:rPr>
        <w:t xml:space="preserve">tiesinė </w:t>
      </w:r>
      <w:r w:rsidRPr="00050386">
        <w:rPr>
          <w:rFonts w:cs="Times New Roman"/>
          <w:szCs w:val="24"/>
        </w:rPr>
        <w:t xml:space="preserve">regresinė analizė atskleidė, jog didžiausią įtaką </w:t>
      </w:r>
      <w:r w:rsidR="00887E74">
        <w:rPr>
          <w:rFonts w:cs="Times New Roman"/>
          <w:szCs w:val="24"/>
        </w:rPr>
        <w:t xml:space="preserve">Lietuvos </w:t>
      </w:r>
      <w:r w:rsidRPr="00050386">
        <w:rPr>
          <w:rFonts w:cs="Times New Roman"/>
          <w:szCs w:val="24"/>
        </w:rPr>
        <w:t>ne gyvybės draudimo pasirašytų įmokų augimui turi didėjantys BVP (augant sukuriamai vertei mažėja būtiniausioms prekėms skiriamų lėšų dalis, didėja finansinio saugumo poreikis), infliacija (smunkant pinigų perkamajai galiai didėja draudimo pajamos,</w:t>
      </w:r>
      <w:r w:rsidR="00A2093C">
        <w:rPr>
          <w:rFonts w:cs="Times New Roman"/>
          <w:szCs w:val="24"/>
        </w:rPr>
        <w:t xml:space="preserve"> nes pasirašytos įmokos – nominalus dydis;</w:t>
      </w:r>
      <w:r w:rsidRPr="00050386">
        <w:rPr>
          <w:rFonts w:cs="Times New Roman"/>
          <w:szCs w:val="24"/>
        </w:rPr>
        <w:t xml:space="preserve"> be to, infliacija paprastai atspindi šalies ūkio aktyvumą) bei pirmą kartą Lietuvoje užregistruotų transporto priemonių skaičius (TPVCA </w:t>
      </w:r>
      <w:r w:rsidR="00A2093C">
        <w:rPr>
          <w:rFonts w:cs="Times New Roman"/>
          <w:szCs w:val="24"/>
        </w:rPr>
        <w:t xml:space="preserve">privalomasis </w:t>
      </w:r>
      <w:r w:rsidRPr="00050386">
        <w:rPr>
          <w:rFonts w:cs="Times New Roman"/>
          <w:szCs w:val="24"/>
        </w:rPr>
        <w:t>bei kasko draudimai užima beveik du trečdalius rinkos). Sudarytas regresijos modelis (</w:t>
      </w:r>
      <m:oMath>
        <m:r>
          <w:rPr>
            <w:rFonts w:ascii="Cambria Math" w:hAnsi="Cambria Math" w:cs="Times New Roman"/>
          </w:rPr>
          <m:t>Y</m:t>
        </m:r>
        <m:r>
          <w:rPr>
            <w:rFonts w:ascii="Cambria Math" w:cs="Times New Roman"/>
          </w:rPr>
          <m:t>=0,00762</m:t>
        </m:r>
        <m:r>
          <w:rPr>
            <w:rFonts w:ascii="Cambria Math" w:hAnsi="Cambria Math" w:cs="Times New Roman"/>
          </w:rPr>
          <m:t>*X</m:t>
        </m:r>
        <m:r>
          <w:rPr>
            <w:rFonts w:ascii="Cambria Math" w:cs="Times New Roman"/>
          </w:rPr>
          <m:t>1+6,632</m:t>
        </m:r>
        <m:r>
          <w:rPr>
            <w:rFonts w:ascii="Cambria Math" w:hAnsi="Cambria Math" w:cs="Times New Roman"/>
          </w:rPr>
          <m:t>*X</m:t>
        </m:r>
        <m:r>
          <w:rPr>
            <w:rFonts w:ascii="Cambria Math" w:cs="Times New Roman"/>
          </w:rPr>
          <m:t>3+0,001335</m:t>
        </m:r>
        <m:r>
          <w:rPr>
            <w:rFonts w:ascii="Cambria Math" w:hAnsi="Cambria Math" w:cs="Times New Roman"/>
          </w:rPr>
          <m:t>*X</m:t>
        </m:r>
        <m:r>
          <w:rPr>
            <w:rFonts w:ascii="Cambria Math" w:cs="Times New Roman"/>
          </w:rPr>
          <m:t>5</m:t>
        </m:r>
      </m:oMath>
      <w:r w:rsidRPr="00050386">
        <w:rPr>
          <w:rFonts w:eastAsiaTheme="minorEastAsia" w:cs="Times New Roman"/>
        </w:rPr>
        <w:t>), kuris apibūdina</w:t>
      </w:r>
      <w:r w:rsidRPr="00050386">
        <w:rPr>
          <w:rFonts w:cs="Times New Roman"/>
        </w:rPr>
        <w:t xml:space="preserve"> net 98,5 % pasirašytų ne gyvybės draudimo įmokų (Y) dinamikos.</w:t>
      </w:r>
    </w:p>
    <w:p w:rsidR="00AC71D2" w:rsidRPr="00050386" w:rsidRDefault="00AC71D2" w:rsidP="00AC71D2">
      <w:pPr>
        <w:pStyle w:val="ListParagraph"/>
        <w:numPr>
          <w:ilvl w:val="0"/>
          <w:numId w:val="10"/>
        </w:numPr>
        <w:tabs>
          <w:tab w:val="left" w:pos="284"/>
        </w:tabs>
        <w:ind w:left="0" w:firstLine="0"/>
        <w:jc w:val="both"/>
        <w:rPr>
          <w:rFonts w:cs="Times New Roman"/>
          <w:szCs w:val="24"/>
        </w:rPr>
      </w:pPr>
      <w:r>
        <w:rPr>
          <w:rFonts w:cs="Times New Roman"/>
          <w:szCs w:val="24"/>
        </w:rPr>
        <w:t xml:space="preserve">Koreliacinė ir </w:t>
      </w:r>
      <w:r w:rsidR="00A2093C">
        <w:rPr>
          <w:rFonts w:cs="Times New Roman"/>
          <w:szCs w:val="24"/>
        </w:rPr>
        <w:t xml:space="preserve">tiesinė </w:t>
      </w:r>
      <w:r>
        <w:rPr>
          <w:rFonts w:cs="Times New Roman"/>
          <w:szCs w:val="24"/>
        </w:rPr>
        <w:t>regresinė analizė atskleidė, jog galima p</w:t>
      </w:r>
      <w:r w:rsidR="0096746A">
        <w:rPr>
          <w:rFonts w:cs="Times New Roman"/>
          <w:szCs w:val="24"/>
        </w:rPr>
        <w:t>atvirtinti</w:t>
      </w:r>
      <w:r w:rsidR="00A61488">
        <w:rPr>
          <w:rFonts w:cs="Times New Roman"/>
          <w:szCs w:val="24"/>
        </w:rPr>
        <w:t xml:space="preserve"> hipotezę</w:t>
      </w:r>
      <w:r w:rsidRPr="00050386">
        <w:rPr>
          <w:rFonts w:cs="Times New Roman"/>
          <w:szCs w:val="24"/>
        </w:rPr>
        <w:t xml:space="preserve"> H</w:t>
      </w:r>
      <w:r w:rsidRPr="00050386">
        <w:rPr>
          <w:rFonts w:cs="Times New Roman"/>
          <w:szCs w:val="24"/>
          <w:vertAlign w:val="subscript"/>
          <w:lang w:val="en-US"/>
        </w:rPr>
        <w:t>2</w:t>
      </w:r>
      <w:r w:rsidRPr="00050386">
        <w:rPr>
          <w:rFonts w:cs="Times New Roman"/>
          <w:szCs w:val="24"/>
        </w:rPr>
        <w:t xml:space="preserve"> - </w:t>
      </w:r>
      <w:r w:rsidRPr="00050386">
        <w:rPr>
          <w:rFonts w:eastAsiaTheme="minorEastAsia" w:cs="Times New Roman"/>
        </w:rPr>
        <w:t>svarbiausias ekonominis Lietuvos ne gyvybės draudimo plėtrą lemiantis veiksnys – BVP ir jo</w:t>
      </w:r>
      <w:r>
        <w:rPr>
          <w:rFonts w:eastAsiaTheme="minorEastAsia" w:cs="Times New Roman"/>
        </w:rPr>
        <w:t xml:space="preserve"> dinamika (pasirašytų įmokų didžiausia koreliacija su BVP, šis rodiklis įtrauktas į regresijos modelį).</w:t>
      </w:r>
    </w:p>
    <w:p w:rsidR="00AC71D2" w:rsidRDefault="00AC71D2" w:rsidP="00AC71D2">
      <w:pPr>
        <w:tabs>
          <w:tab w:val="left" w:pos="284"/>
        </w:tabs>
        <w:jc w:val="both"/>
        <w:rPr>
          <w:rFonts w:cs="Times New Roman"/>
          <w:szCs w:val="24"/>
        </w:rPr>
      </w:pPr>
    </w:p>
    <w:p w:rsidR="00AC71D2" w:rsidRPr="00CC6DF6" w:rsidRDefault="00AC71D2" w:rsidP="00AC71D2">
      <w:pPr>
        <w:tabs>
          <w:tab w:val="left" w:pos="284"/>
        </w:tabs>
        <w:jc w:val="both"/>
        <w:rPr>
          <w:rFonts w:cs="Times New Roman"/>
          <w:b/>
          <w:szCs w:val="24"/>
        </w:rPr>
      </w:pPr>
      <w:r w:rsidRPr="00CC6DF6">
        <w:rPr>
          <w:rFonts w:cs="Times New Roman"/>
          <w:b/>
          <w:szCs w:val="24"/>
        </w:rPr>
        <w:t>Rekomendacijos</w:t>
      </w:r>
    </w:p>
    <w:p w:rsidR="00AC71D2" w:rsidRDefault="00A13923" w:rsidP="00A13923">
      <w:pPr>
        <w:tabs>
          <w:tab w:val="left" w:pos="284"/>
        </w:tabs>
        <w:jc w:val="both"/>
        <w:rPr>
          <w:rFonts w:cs="Times New Roman"/>
          <w:szCs w:val="24"/>
        </w:rPr>
      </w:pPr>
      <w:r>
        <w:rPr>
          <w:rFonts w:cs="Times New Roman"/>
          <w:szCs w:val="24"/>
          <w:lang w:val="en-US"/>
        </w:rPr>
        <w:t xml:space="preserve">1. </w:t>
      </w:r>
      <w:r w:rsidR="00AC71D2" w:rsidRPr="00A13923">
        <w:rPr>
          <w:rFonts w:cs="Times New Roman"/>
          <w:szCs w:val="24"/>
        </w:rPr>
        <w:t>Draudikų organizacijos turėtų stengtis didinti draudimo paklausą</w:t>
      </w:r>
      <w:r w:rsidR="004C51D3" w:rsidRPr="00A13923">
        <w:rPr>
          <w:rFonts w:cs="Times New Roman"/>
          <w:szCs w:val="24"/>
        </w:rPr>
        <w:t xml:space="preserve"> </w:t>
      </w:r>
      <w:r w:rsidR="00AC71D2" w:rsidRPr="00A13923">
        <w:rPr>
          <w:rFonts w:cs="Times New Roman"/>
          <w:szCs w:val="24"/>
        </w:rPr>
        <w:t>keliant potencialių draudėjų finansinį išprusimą: rengiant šviečiamojo pobūdžio seminarus, atskleidžiant draudimo naudą bei svarbą, suteikiant informacijos apie draudimą kaip apie rizikos</w:t>
      </w:r>
      <w:r w:rsidR="004B4DC9">
        <w:rPr>
          <w:rFonts w:cs="Times New Roman"/>
          <w:szCs w:val="24"/>
        </w:rPr>
        <w:t>,</w:t>
      </w:r>
      <w:r w:rsidR="00AC71D2" w:rsidRPr="00A13923">
        <w:rPr>
          <w:rFonts w:cs="Times New Roman"/>
          <w:szCs w:val="24"/>
        </w:rPr>
        <w:t xml:space="preserve"> neapibrėžtumo valdymo priemonę.</w:t>
      </w:r>
    </w:p>
    <w:p w:rsidR="00AC71D2" w:rsidRPr="00A13923" w:rsidRDefault="00A13923" w:rsidP="00A13923">
      <w:pPr>
        <w:tabs>
          <w:tab w:val="left" w:pos="284"/>
        </w:tabs>
        <w:jc w:val="both"/>
        <w:rPr>
          <w:rFonts w:cs="Times New Roman"/>
          <w:szCs w:val="24"/>
        </w:rPr>
      </w:pPr>
      <w:r>
        <w:rPr>
          <w:rFonts w:cs="Times New Roman"/>
          <w:szCs w:val="24"/>
        </w:rPr>
        <w:t xml:space="preserve">2. </w:t>
      </w:r>
      <w:r w:rsidR="00AC71D2" w:rsidRPr="00A13923">
        <w:rPr>
          <w:rFonts w:cs="Times New Roman"/>
          <w:szCs w:val="24"/>
        </w:rPr>
        <w:t xml:space="preserve">Atlikta analizė atskleidė, jog Lietuvos ne gyvybės draudimo sektorius itin priklausomas nuo pajamų, gaunamų iš su transporto priemonėmis susijusių draudimo paslaugų, gyventojams pirmiausia rūpi apdrausti savo materialų turtą. Tad siekiant spartesnės ne gyvybės draudimo rinkos plėtros reikėtų </w:t>
      </w:r>
      <w:r w:rsidR="003757A3">
        <w:rPr>
          <w:rFonts w:cs="Times New Roman"/>
          <w:szCs w:val="24"/>
        </w:rPr>
        <w:t>mažinti priklausomybę nuo</w:t>
      </w:r>
      <w:r w:rsidR="00750C3E">
        <w:rPr>
          <w:rFonts w:cs="Times New Roman"/>
          <w:szCs w:val="24"/>
        </w:rPr>
        <w:t xml:space="preserve"> su</w:t>
      </w:r>
      <w:r w:rsidR="003757A3">
        <w:rPr>
          <w:rFonts w:cs="Times New Roman"/>
          <w:szCs w:val="24"/>
        </w:rPr>
        <w:t xml:space="preserve"> transporto </w:t>
      </w:r>
      <w:r w:rsidR="00750C3E">
        <w:rPr>
          <w:rFonts w:cs="Times New Roman"/>
          <w:szCs w:val="24"/>
        </w:rPr>
        <w:t xml:space="preserve">draudimu susijusių pajamų </w:t>
      </w:r>
      <w:r w:rsidR="003757A3">
        <w:rPr>
          <w:rFonts w:cs="Times New Roman"/>
          <w:szCs w:val="24"/>
        </w:rPr>
        <w:t xml:space="preserve">ir </w:t>
      </w:r>
      <w:r w:rsidR="00AC71D2" w:rsidRPr="00A13923">
        <w:rPr>
          <w:rFonts w:cs="Times New Roman"/>
          <w:szCs w:val="24"/>
        </w:rPr>
        <w:t xml:space="preserve">didinti kitų draudimo produktų populiarumą. Daug potencialo plėstis turi nekomercinio </w:t>
      </w:r>
      <w:r w:rsidR="006D7B09">
        <w:rPr>
          <w:rFonts w:cs="Times New Roman"/>
          <w:szCs w:val="24"/>
        </w:rPr>
        <w:t>turto draudimas.</w:t>
      </w:r>
      <w:r w:rsidR="00AC71D2" w:rsidRPr="00A13923">
        <w:rPr>
          <w:rFonts w:cs="Times New Roman"/>
          <w:szCs w:val="24"/>
        </w:rPr>
        <w:t xml:space="preserve"> </w:t>
      </w:r>
      <w:r w:rsidR="006D7B09">
        <w:rPr>
          <w:rFonts w:cs="Times New Roman"/>
          <w:szCs w:val="24"/>
        </w:rPr>
        <w:t>R</w:t>
      </w:r>
      <w:r w:rsidR="00AC71D2" w:rsidRPr="00A13923">
        <w:rPr>
          <w:rFonts w:cs="Times New Roman"/>
          <w:szCs w:val="24"/>
        </w:rPr>
        <w:t>eikėtų akcentuoti ir ne tik su materialiuoju turtu susijusių draudimo paslaugų svarbą – ypač sveikatos, civilinės atsakomybės (bendrosios, asmeninės).</w:t>
      </w:r>
    </w:p>
    <w:p w:rsidR="00AC71D2" w:rsidRDefault="00AC71D2">
      <w:pPr>
        <w:spacing w:after="200" w:line="276" w:lineRule="auto"/>
        <w:rPr>
          <w:rFonts w:cs="Times New Roman"/>
        </w:rPr>
      </w:pPr>
      <w:r>
        <w:rPr>
          <w:rFonts w:cs="Times New Roman"/>
        </w:rPr>
        <w:br w:type="page"/>
      </w:r>
    </w:p>
    <w:p w:rsidR="00AC71D2" w:rsidRPr="00C25B7D" w:rsidRDefault="00AC71D2" w:rsidP="00AC71D2">
      <w:pPr>
        <w:pStyle w:val="Heading1"/>
        <w:rPr>
          <w:sz w:val="24"/>
        </w:rPr>
      </w:pPr>
      <w:bookmarkStart w:id="291" w:name="_Toc328359423"/>
      <w:bookmarkStart w:id="292" w:name="_Toc328359508"/>
      <w:bookmarkStart w:id="293" w:name="_Toc328359563"/>
    </w:p>
    <w:p w:rsidR="00AC71D2" w:rsidRDefault="00AC71D2" w:rsidP="00AC71D2">
      <w:pPr>
        <w:pStyle w:val="Heading1"/>
      </w:pPr>
      <w:bookmarkStart w:id="294" w:name="_Toc340574403"/>
      <w:bookmarkStart w:id="295" w:name="_Toc340574719"/>
      <w:bookmarkStart w:id="296" w:name="_Toc341641390"/>
      <w:bookmarkStart w:id="297" w:name="_Toc342859678"/>
      <w:r>
        <w:t>LITERATŪRA</w:t>
      </w:r>
      <w:bookmarkEnd w:id="291"/>
      <w:bookmarkEnd w:id="292"/>
      <w:bookmarkEnd w:id="293"/>
      <w:bookmarkEnd w:id="294"/>
      <w:bookmarkEnd w:id="295"/>
      <w:bookmarkEnd w:id="296"/>
      <w:bookmarkEnd w:id="297"/>
    </w:p>
    <w:p w:rsidR="00AC71D2" w:rsidRPr="00997FF1" w:rsidRDefault="00AC71D2" w:rsidP="00AC71D2">
      <w:r>
        <w:tab/>
      </w:r>
    </w:p>
    <w:p w:rsidR="00AC71D2" w:rsidRPr="0059393D" w:rsidRDefault="00AC71D2" w:rsidP="00AC71D2">
      <w:pPr>
        <w:pStyle w:val="ListParagraph"/>
        <w:numPr>
          <w:ilvl w:val="0"/>
          <w:numId w:val="9"/>
        </w:numPr>
        <w:ind w:left="567" w:hanging="501"/>
        <w:rPr>
          <w:rFonts w:cs="Times New Roman"/>
          <w:b/>
          <w:szCs w:val="24"/>
          <w:lang w:val="en-US"/>
        </w:rPr>
      </w:pPr>
      <w:r w:rsidRPr="0059393D">
        <w:rPr>
          <w:rFonts w:cs="Times New Roman"/>
          <w:b/>
          <w:szCs w:val="24"/>
          <w:lang w:val="en-US"/>
        </w:rPr>
        <w:t xml:space="preserve">Adkins L.C. </w:t>
      </w:r>
      <w:r w:rsidRPr="0059393D">
        <w:rPr>
          <w:rFonts w:cs="Times New Roman"/>
          <w:szCs w:val="24"/>
          <w:lang w:val="en-US"/>
        </w:rPr>
        <w:t xml:space="preserve">Using </w:t>
      </w:r>
      <w:r w:rsidR="00A40C8E">
        <w:rPr>
          <w:rFonts w:cs="Times New Roman"/>
          <w:szCs w:val="24"/>
          <w:lang w:val="en-US"/>
        </w:rPr>
        <w:t xml:space="preserve">GRETL </w:t>
      </w:r>
      <w:r w:rsidRPr="0059393D">
        <w:rPr>
          <w:rFonts w:cs="Times New Roman"/>
          <w:szCs w:val="24"/>
          <w:lang w:val="en-US"/>
        </w:rPr>
        <w:t>for Principles of Econometrics, 4</w:t>
      </w:r>
      <w:r w:rsidRPr="0059393D">
        <w:rPr>
          <w:rFonts w:cs="Times New Roman"/>
          <w:szCs w:val="24"/>
          <w:vertAlign w:val="superscript"/>
          <w:lang w:val="en-US"/>
        </w:rPr>
        <w:t>th</w:t>
      </w:r>
      <w:r w:rsidRPr="0059393D">
        <w:rPr>
          <w:rFonts w:cs="Times New Roman"/>
          <w:szCs w:val="24"/>
          <w:lang w:val="en-US"/>
        </w:rPr>
        <w:t xml:space="preserve"> Edition. Version 1.03. – Oklahoma State University, 2012.</w:t>
      </w:r>
    </w:p>
    <w:p w:rsidR="00AC71D2" w:rsidRDefault="00AC71D2" w:rsidP="00AC71D2">
      <w:pPr>
        <w:pStyle w:val="ListParagraph"/>
        <w:numPr>
          <w:ilvl w:val="0"/>
          <w:numId w:val="9"/>
        </w:numPr>
        <w:ind w:left="567" w:hanging="501"/>
        <w:rPr>
          <w:rFonts w:cs="Times New Roman"/>
          <w:b/>
          <w:szCs w:val="24"/>
        </w:rPr>
      </w:pPr>
      <w:r>
        <w:rPr>
          <w:rFonts w:cs="Times New Roman"/>
          <w:b/>
          <w:szCs w:val="24"/>
        </w:rPr>
        <w:t xml:space="preserve">Aidukienė L., Simanavičienė A. </w:t>
      </w:r>
      <w:r>
        <w:rPr>
          <w:rFonts w:cs="Times New Roman"/>
          <w:szCs w:val="24"/>
        </w:rPr>
        <w:t xml:space="preserve">Ekonominio nuosmukio poveikis Lietuvos draudimo rinkai // Ekonomika ir vadyba: aktualijos ir perspektyvos. – Šiauliai: Šiaulių universiteto leidykla, </w:t>
      </w:r>
      <w:r>
        <w:rPr>
          <w:rFonts w:cs="Times New Roman"/>
          <w:szCs w:val="24"/>
          <w:lang w:val="en-US"/>
        </w:rPr>
        <w:t>2010, Nr. 1 (17) – ISSN 1648-9098.</w:t>
      </w:r>
    </w:p>
    <w:p w:rsidR="00AC71D2" w:rsidRPr="007916F0" w:rsidRDefault="00AC71D2" w:rsidP="00AC71D2">
      <w:pPr>
        <w:pStyle w:val="ListParagraph"/>
        <w:numPr>
          <w:ilvl w:val="0"/>
          <w:numId w:val="9"/>
        </w:numPr>
        <w:ind w:left="567" w:hanging="501"/>
        <w:rPr>
          <w:rFonts w:cs="Times New Roman"/>
          <w:b/>
          <w:szCs w:val="24"/>
        </w:rPr>
      </w:pPr>
      <w:r w:rsidRPr="0035127C">
        <w:rPr>
          <w:rFonts w:cs="Times New Roman"/>
          <w:b/>
          <w:szCs w:val="24"/>
        </w:rPr>
        <w:t>Alborovienė B.</w:t>
      </w:r>
      <w:r w:rsidRPr="0035127C">
        <w:rPr>
          <w:rFonts w:cs="Times New Roman"/>
          <w:szCs w:val="24"/>
        </w:rPr>
        <w:t xml:space="preserve"> Marketingas: mokomoji knyga</w:t>
      </w:r>
      <w:r>
        <w:rPr>
          <w:rFonts w:cs="Times New Roman"/>
          <w:szCs w:val="24"/>
        </w:rPr>
        <w:t>.</w:t>
      </w:r>
      <w:r w:rsidRPr="0035127C">
        <w:rPr>
          <w:rFonts w:cs="Times New Roman"/>
          <w:szCs w:val="24"/>
        </w:rPr>
        <w:t xml:space="preserve"> – Vilnius,</w:t>
      </w:r>
      <w:r w:rsidRPr="0035127C">
        <w:rPr>
          <w:rFonts w:cs="Times New Roman"/>
          <w:szCs w:val="24"/>
          <w:lang w:val="en-US"/>
        </w:rPr>
        <w:t xml:space="preserve"> 2002.</w:t>
      </w:r>
    </w:p>
    <w:p w:rsidR="00AC71D2" w:rsidRPr="0035127C" w:rsidRDefault="00AC71D2" w:rsidP="00AC71D2">
      <w:pPr>
        <w:pStyle w:val="ListParagraph"/>
        <w:numPr>
          <w:ilvl w:val="0"/>
          <w:numId w:val="9"/>
        </w:numPr>
        <w:ind w:left="567" w:hanging="501"/>
        <w:rPr>
          <w:rFonts w:cs="Times New Roman"/>
          <w:b/>
          <w:szCs w:val="24"/>
        </w:rPr>
      </w:pPr>
      <w:r>
        <w:rPr>
          <w:rFonts w:cs="Times New Roman"/>
          <w:b/>
          <w:szCs w:val="24"/>
        </w:rPr>
        <w:t xml:space="preserve">Aleknevičienė V. </w:t>
      </w:r>
      <w:r>
        <w:rPr>
          <w:rFonts w:cs="Times New Roman"/>
          <w:szCs w:val="24"/>
        </w:rPr>
        <w:t xml:space="preserve">Finansai ir kreditas. – Vilnius, </w:t>
      </w:r>
      <w:r>
        <w:rPr>
          <w:rFonts w:cs="Times New Roman"/>
          <w:szCs w:val="24"/>
          <w:lang w:val="en-US"/>
        </w:rPr>
        <w:t>2005</w:t>
      </w:r>
      <w:r>
        <w:rPr>
          <w:rFonts w:cs="Times New Roman"/>
          <w:szCs w:val="24"/>
        </w:rPr>
        <w:t>. – ISBN</w:t>
      </w:r>
      <w:r>
        <w:rPr>
          <w:rFonts w:cs="Times New Roman"/>
          <w:szCs w:val="24"/>
          <w:lang w:val="en-US"/>
        </w:rPr>
        <w:t xml:space="preserve"> 9986-433-35-5.</w:t>
      </w:r>
    </w:p>
    <w:p w:rsidR="00AC71D2" w:rsidRPr="00B06CA0" w:rsidRDefault="00AC71D2" w:rsidP="00AC71D2">
      <w:pPr>
        <w:pStyle w:val="ListParagraph"/>
        <w:numPr>
          <w:ilvl w:val="0"/>
          <w:numId w:val="9"/>
        </w:numPr>
        <w:ind w:left="567" w:hanging="501"/>
        <w:rPr>
          <w:rFonts w:cs="Times New Roman"/>
          <w:b/>
          <w:szCs w:val="24"/>
          <w:lang w:val="en-US"/>
        </w:rPr>
      </w:pPr>
      <w:r w:rsidRPr="00B06CA0">
        <w:rPr>
          <w:rFonts w:cs="Times New Roman"/>
          <w:b/>
          <w:szCs w:val="24"/>
          <w:lang w:val="en-US"/>
        </w:rPr>
        <w:t xml:space="preserve">Azman-Saini W.N.W., Smith P. </w:t>
      </w:r>
      <w:r w:rsidRPr="00B06CA0">
        <w:rPr>
          <w:rFonts w:cs="Times New Roman"/>
          <w:szCs w:val="24"/>
          <w:lang w:val="en-US"/>
        </w:rPr>
        <w:t>Finance and Growth: New Evidence on the Role of Insurance // South African Journal of Economics, 2011, Vol. 79:2.</w:t>
      </w:r>
    </w:p>
    <w:p w:rsidR="00AC71D2" w:rsidRPr="00580E00" w:rsidRDefault="00AC71D2" w:rsidP="00AC71D2">
      <w:pPr>
        <w:pStyle w:val="ListParagraph"/>
        <w:numPr>
          <w:ilvl w:val="0"/>
          <w:numId w:val="9"/>
        </w:numPr>
        <w:ind w:left="567" w:hanging="501"/>
        <w:rPr>
          <w:rFonts w:cs="Times New Roman"/>
          <w:b/>
          <w:szCs w:val="24"/>
        </w:rPr>
      </w:pPr>
      <w:r w:rsidRPr="00580E00">
        <w:rPr>
          <w:rFonts w:cs="Times New Roman"/>
          <w:b/>
          <w:szCs w:val="24"/>
        </w:rPr>
        <w:t xml:space="preserve">Beenstock et al. </w:t>
      </w:r>
      <w:r w:rsidRPr="00580E00">
        <w:rPr>
          <w:rFonts w:cs="Times New Roman"/>
          <w:szCs w:val="24"/>
          <w:lang w:val="en-US"/>
        </w:rPr>
        <w:t>The Relashionship between Property-Liability Insurance Premiums and Income: An International Analysis // Journal of Risk and Insurance, 1988, Vol. 55, Nr. 2.</w:t>
      </w:r>
    </w:p>
    <w:p w:rsidR="00AC71D2" w:rsidRPr="003F737E" w:rsidRDefault="00AC71D2" w:rsidP="00AC71D2">
      <w:pPr>
        <w:pStyle w:val="ListParagraph"/>
        <w:numPr>
          <w:ilvl w:val="0"/>
          <w:numId w:val="9"/>
        </w:numPr>
        <w:ind w:left="567" w:hanging="501"/>
        <w:rPr>
          <w:rFonts w:cs="Times New Roman"/>
          <w:szCs w:val="24"/>
        </w:rPr>
      </w:pPr>
      <w:r w:rsidRPr="003F737E">
        <w:rPr>
          <w:rFonts w:cs="Times New Roman"/>
          <w:b/>
          <w:szCs w:val="24"/>
        </w:rPr>
        <w:t>Bendrasis vidaus produktas (BVP).</w:t>
      </w:r>
      <w:r w:rsidRPr="003F737E">
        <w:rPr>
          <w:rFonts w:cs="Times New Roman"/>
          <w:szCs w:val="24"/>
        </w:rPr>
        <w:t xml:space="preserve"> Požymiai: ketvirtis. </w:t>
      </w:r>
      <w:hyperlink r:id="rId37" w:history="1">
        <w:r w:rsidRPr="003F737E">
          <w:rPr>
            <w:rStyle w:val="Hyperlink"/>
            <w:rFonts w:cs="Times New Roman"/>
            <w:szCs w:val="24"/>
          </w:rPr>
          <w:t>http://db1.stat.gov.lt/statbank/SelectVarVal/Define.asp?Maintable=M2010101&amp;PLanguage=0</w:t>
        </w:r>
      </w:hyperlink>
      <w:r w:rsidRPr="003F737E">
        <w:rPr>
          <w:rFonts w:cs="Times New Roman"/>
          <w:szCs w:val="24"/>
        </w:rPr>
        <w:t xml:space="preserve"> [žiūrėta </w:t>
      </w:r>
      <w:r w:rsidRPr="003F737E">
        <w:rPr>
          <w:rFonts w:cs="Times New Roman"/>
          <w:szCs w:val="24"/>
          <w:lang w:val="en-US"/>
        </w:rPr>
        <w:t>2012-11-08].</w:t>
      </w:r>
    </w:p>
    <w:p w:rsidR="00AC71D2" w:rsidRPr="00A447EF" w:rsidRDefault="00AC71D2" w:rsidP="00AC71D2">
      <w:pPr>
        <w:pStyle w:val="ListParagraph"/>
        <w:numPr>
          <w:ilvl w:val="0"/>
          <w:numId w:val="9"/>
        </w:numPr>
        <w:ind w:left="567" w:hanging="501"/>
        <w:rPr>
          <w:rFonts w:cs="Times New Roman"/>
          <w:szCs w:val="24"/>
        </w:rPr>
      </w:pPr>
      <w:r w:rsidRPr="003267DF">
        <w:rPr>
          <w:b/>
        </w:rPr>
        <w:t>Bendrasis vidaus produktas (BVP), tenkantis vienam gyventojui.</w:t>
      </w:r>
      <w:r>
        <w:t xml:space="preserve"> Požymiai: metai </w:t>
      </w:r>
      <w:hyperlink r:id="rId38" w:history="1">
        <w:r w:rsidRPr="00E33B23">
          <w:rPr>
            <w:rStyle w:val="Hyperlink"/>
          </w:rPr>
          <w:t>http://db1.stat.gov.lt/statbank/SelectVarVal/Define.asp?Maintable=M2010202&amp;PLanguage=0</w:t>
        </w:r>
      </w:hyperlink>
      <w:r>
        <w:t xml:space="preserve"> </w:t>
      </w:r>
      <w:r>
        <w:rPr>
          <w:rFonts w:cs="Times New Roman"/>
          <w:szCs w:val="24"/>
        </w:rPr>
        <w:t xml:space="preserve">[žiūrėta </w:t>
      </w:r>
      <w:r>
        <w:rPr>
          <w:rFonts w:cs="Times New Roman"/>
          <w:szCs w:val="24"/>
          <w:lang w:val="en-US"/>
        </w:rPr>
        <w:t>2012-11-05].</w:t>
      </w:r>
    </w:p>
    <w:p w:rsidR="00AC71D2" w:rsidRPr="004B768B" w:rsidRDefault="00AC71D2" w:rsidP="00AC71D2">
      <w:pPr>
        <w:pStyle w:val="ListParagraph"/>
        <w:numPr>
          <w:ilvl w:val="0"/>
          <w:numId w:val="9"/>
        </w:numPr>
        <w:ind w:left="567" w:hanging="501"/>
        <w:rPr>
          <w:rFonts w:cs="Times New Roman"/>
          <w:b/>
          <w:szCs w:val="24"/>
        </w:rPr>
      </w:pPr>
      <w:r w:rsidRPr="004B768B">
        <w:rPr>
          <w:rFonts w:cs="Times New Roman"/>
          <w:b/>
          <w:szCs w:val="24"/>
        </w:rPr>
        <w:t>Bendrojo vidaus produkto pirmasis įvertis (+patiksl. praeito ketv.)</w:t>
      </w:r>
      <w:r>
        <w:rPr>
          <w:rFonts w:cs="Times New Roman"/>
          <w:b/>
          <w:szCs w:val="24"/>
        </w:rPr>
        <w:t xml:space="preserve">. </w:t>
      </w:r>
      <w:hyperlink r:id="rId39" w:history="1">
        <w:r w:rsidRPr="00E33B23">
          <w:rPr>
            <w:rStyle w:val="Hyperlink"/>
            <w:rFonts w:cs="Times New Roman"/>
            <w:szCs w:val="24"/>
          </w:rPr>
          <w:t>http://www.stat.gov.lt/lt/news/view?id=10519&amp;PHPSESSID=0919329809463ddbce68fb383652d978</w:t>
        </w:r>
      </w:hyperlink>
      <w:r>
        <w:rPr>
          <w:rFonts w:cs="Times New Roman"/>
          <w:szCs w:val="24"/>
        </w:rPr>
        <w:t xml:space="preserve"> [žiūrėta </w:t>
      </w:r>
      <w:r>
        <w:rPr>
          <w:rFonts w:cs="Times New Roman"/>
          <w:szCs w:val="24"/>
          <w:lang w:val="en-US"/>
        </w:rPr>
        <w:t>2012-11-05].</w:t>
      </w:r>
    </w:p>
    <w:p w:rsidR="00AC71D2" w:rsidRDefault="00AC71D2" w:rsidP="00AC71D2">
      <w:pPr>
        <w:pStyle w:val="ListParagraph"/>
        <w:numPr>
          <w:ilvl w:val="0"/>
          <w:numId w:val="9"/>
        </w:numPr>
        <w:ind w:left="567" w:hanging="501"/>
        <w:rPr>
          <w:rFonts w:cs="Times New Roman"/>
          <w:b/>
          <w:szCs w:val="24"/>
        </w:rPr>
      </w:pPr>
      <w:r w:rsidRPr="00B06CA0">
        <w:rPr>
          <w:rFonts w:cs="Times New Roman"/>
          <w:b/>
          <w:szCs w:val="24"/>
          <w:lang w:val="en-US"/>
        </w:rPr>
        <w:t xml:space="preserve">Bernat T., Grundey D. </w:t>
      </w:r>
      <w:r w:rsidRPr="00B06CA0">
        <w:rPr>
          <w:rFonts w:cs="Times New Roman"/>
          <w:szCs w:val="24"/>
          <w:lang w:val="en-US"/>
        </w:rPr>
        <w:t>Insurance Market Maturity: A Comparative Study in Poland and Lithuania</w:t>
      </w:r>
      <w:r>
        <w:rPr>
          <w:rFonts w:cs="Times New Roman"/>
          <w:szCs w:val="24"/>
        </w:rPr>
        <w:t xml:space="preserve"> // Ūkio technologinis ir ekonominis vystymas, 2007, Vol. 13, Nr. 3.- ISSN 1822-3613.</w:t>
      </w:r>
    </w:p>
    <w:p w:rsidR="00AC71D2" w:rsidRDefault="00AC71D2" w:rsidP="00AC71D2">
      <w:pPr>
        <w:pStyle w:val="ListParagraph"/>
        <w:numPr>
          <w:ilvl w:val="0"/>
          <w:numId w:val="9"/>
        </w:numPr>
        <w:ind w:left="567" w:hanging="501"/>
        <w:rPr>
          <w:rFonts w:cs="Times New Roman"/>
          <w:b/>
          <w:szCs w:val="24"/>
        </w:rPr>
      </w:pPr>
      <w:r>
        <w:rPr>
          <w:rFonts w:cs="Times New Roman"/>
          <w:b/>
          <w:szCs w:val="24"/>
        </w:rPr>
        <w:t xml:space="preserve">Bikienė J., Pučkienė D. </w:t>
      </w:r>
      <w:r>
        <w:rPr>
          <w:rFonts w:cs="Times New Roman"/>
          <w:szCs w:val="24"/>
        </w:rPr>
        <w:t xml:space="preserve">Buhalterinė apskaita: teorija ir praktika. – Vilnius: Mykolo Romerio universitetas, </w:t>
      </w:r>
      <w:r>
        <w:rPr>
          <w:rFonts w:cs="Times New Roman"/>
          <w:szCs w:val="24"/>
          <w:lang w:val="en-US"/>
        </w:rPr>
        <w:t>2012</w:t>
      </w:r>
      <w:r>
        <w:rPr>
          <w:rFonts w:cs="Times New Roman"/>
          <w:szCs w:val="24"/>
        </w:rPr>
        <w:t xml:space="preserve">. – ISBN </w:t>
      </w:r>
      <w:r>
        <w:rPr>
          <w:rFonts w:cs="Times New Roman"/>
          <w:szCs w:val="24"/>
          <w:lang w:val="en-US"/>
        </w:rPr>
        <w:t>978-9955-19-439-2.</w:t>
      </w:r>
    </w:p>
    <w:p w:rsidR="00AC71D2" w:rsidRPr="00D775AA" w:rsidRDefault="00AC71D2" w:rsidP="00AC71D2">
      <w:pPr>
        <w:pStyle w:val="ListParagraph"/>
        <w:numPr>
          <w:ilvl w:val="0"/>
          <w:numId w:val="9"/>
        </w:numPr>
        <w:ind w:left="567" w:hanging="501"/>
        <w:rPr>
          <w:rFonts w:cs="Times New Roman"/>
          <w:b/>
          <w:szCs w:val="24"/>
        </w:rPr>
      </w:pPr>
      <w:r>
        <w:rPr>
          <w:rFonts w:cs="Times New Roman"/>
          <w:b/>
          <w:szCs w:val="24"/>
        </w:rPr>
        <w:t xml:space="preserve">Buškevičiūtė E., Požėlaitė R. </w:t>
      </w:r>
      <w:r>
        <w:rPr>
          <w:rFonts w:cs="Times New Roman"/>
          <w:szCs w:val="24"/>
        </w:rPr>
        <w:t xml:space="preserve">Draudimo verslo plėtros prielaidos Lietuvoje // Inžinerinė ekonomika. – Kaunas: Kauno Technologijos universitetas, </w:t>
      </w:r>
      <w:r>
        <w:rPr>
          <w:rFonts w:cs="Times New Roman"/>
          <w:szCs w:val="24"/>
          <w:lang w:val="en-US"/>
        </w:rPr>
        <w:t>2001, Nr. 6 (26) – ISSN 1392-2785.</w:t>
      </w:r>
    </w:p>
    <w:p w:rsidR="00AC71D2" w:rsidRPr="00D775AA" w:rsidRDefault="00AC71D2" w:rsidP="00AC71D2">
      <w:pPr>
        <w:pStyle w:val="ListParagraph"/>
        <w:numPr>
          <w:ilvl w:val="0"/>
          <w:numId w:val="9"/>
        </w:numPr>
        <w:ind w:left="567" w:hanging="501"/>
        <w:rPr>
          <w:rFonts w:cs="Times New Roman"/>
          <w:b/>
          <w:szCs w:val="24"/>
        </w:rPr>
      </w:pPr>
      <w:r>
        <w:rPr>
          <w:rFonts w:cs="Times New Roman"/>
          <w:b/>
          <w:szCs w:val="24"/>
        </w:rPr>
        <w:t xml:space="preserve">Čekanavičius V., Murauskas G. </w:t>
      </w:r>
      <w:r>
        <w:rPr>
          <w:rFonts w:cs="Times New Roman"/>
          <w:szCs w:val="24"/>
        </w:rPr>
        <w:t xml:space="preserve">Statistika ir jos taikymai I. – Vilnius: Leidykla TEV, </w:t>
      </w:r>
      <w:r>
        <w:rPr>
          <w:rFonts w:cs="Times New Roman"/>
          <w:szCs w:val="24"/>
          <w:lang w:val="en-US"/>
        </w:rPr>
        <w:t>2001.</w:t>
      </w:r>
      <w:r>
        <w:rPr>
          <w:rFonts w:cs="Times New Roman"/>
          <w:szCs w:val="24"/>
        </w:rPr>
        <w:t xml:space="preserve"> – ISBN </w:t>
      </w:r>
      <w:r>
        <w:rPr>
          <w:rFonts w:cs="Times New Roman"/>
          <w:szCs w:val="24"/>
          <w:lang w:val="en-US"/>
        </w:rPr>
        <w:t>9986-546-93-1.</w:t>
      </w:r>
    </w:p>
    <w:p w:rsidR="00AC71D2" w:rsidRDefault="00AC71D2" w:rsidP="00AC71D2">
      <w:pPr>
        <w:pStyle w:val="ListParagraph"/>
        <w:numPr>
          <w:ilvl w:val="0"/>
          <w:numId w:val="9"/>
        </w:numPr>
        <w:ind w:left="567" w:hanging="501"/>
        <w:rPr>
          <w:rFonts w:cs="Times New Roman"/>
          <w:b/>
          <w:szCs w:val="24"/>
        </w:rPr>
      </w:pPr>
      <w:r>
        <w:rPr>
          <w:rFonts w:cs="Times New Roman"/>
          <w:b/>
          <w:szCs w:val="24"/>
        </w:rPr>
        <w:t xml:space="preserve">Čekanavičius V., Murauskas G. </w:t>
      </w:r>
      <w:r>
        <w:rPr>
          <w:rFonts w:cs="Times New Roman"/>
          <w:szCs w:val="24"/>
        </w:rPr>
        <w:t xml:space="preserve">Statistika ir jos taikymai II. – Vilnius: Leidykla TEV, </w:t>
      </w:r>
      <w:r>
        <w:rPr>
          <w:rFonts w:cs="Times New Roman"/>
          <w:szCs w:val="24"/>
          <w:lang w:val="en-US"/>
        </w:rPr>
        <w:t>2002.</w:t>
      </w:r>
      <w:r>
        <w:rPr>
          <w:rFonts w:cs="Times New Roman"/>
          <w:szCs w:val="24"/>
        </w:rPr>
        <w:t xml:space="preserve"> – ISBN </w:t>
      </w:r>
      <w:r>
        <w:rPr>
          <w:rFonts w:cs="Times New Roman"/>
          <w:szCs w:val="24"/>
          <w:lang w:val="en-US"/>
        </w:rPr>
        <w:t>9955-491-16-7.</w:t>
      </w:r>
    </w:p>
    <w:p w:rsidR="00AC71D2" w:rsidRPr="007A1A2D" w:rsidRDefault="00AC71D2" w:rsidP="00AC71D2">
      <w:pPr>
        <w:pStyle w:val="ListParagraph"/>
        <w:numPr>
          <w:ilvl w:val="0"/>
          <w:numId w:val="9"/>
        </w:numPr>
        <w:ind w:left="567" w:hanging="501"/>
        <w:rPr>
          <w:rFonts w:cs="Times New Roman"/>
          <w:b/>
          <w:szCs w:val="24"/>
        </w:rPr>
      </w:pPr>
      <w:r w:rsidRPr="007A1A2D">
        <w:rPr>
          <w:rFonts w:cs="Times New Roman"/>
          <w:b/>
          <w:szCs w:val="24"/>
        </w:rPr>
        <w:t xml:space="preserve">Čepinskis J., Raškinis D. </w:t>
      </w:r>
      <w:r>
        <w:rPr>
          <w:rFonts w:cs="Times New Roman"/>
          <w:szCs w:val="24"/>
        </w:rPr>
        <w:t xml:space="preserve">Draudimo veikla. – Kaunas: Vytauto Didžiojo universitetas, </w:t>
      </w:r>
      <w:r>
        <w:rPr>
          <w:rFonts w:cs="Times New Roman"/>
          <w:szCs w:val="24"/>
          <w:lang w:val="en-US"/>
        </w:rPr>
        <w:t>2004</w:t>
      </w:r>
      <w:r>
        <w:rPr>
          <w:rFonts w:cs="Times New Roman"/>
          <w:szCs w:val="24"/>
        </w:rPr>
        <w:t xml:space="preserve">. – ISBN </w:t>
      </w:r>
      <w:r>
        <w:rPr>
          <w:rFonts w:cs="Times New Roman"/>
          <w:szCs w:val="24"/>
          <w:lang w:val="en-US"/>
        </w:rPr>
        <w:t>9955-12-035-5.</w:t>
      </w:r>
    </w:p>
    <w:p w:rsidR="00AC71D2" w:rsidRPr="004A2EE4" w:rsidRDefault="00AC71D2" w:rsidP="00AC71D2">
      <w:pPr>
        <w:pStyle w:val="ListParagraph"/>
        <w:numPr>
          <w:ilvl w:val="0"/>
          <w:numId w:val="9"/>
        </w:numPr>
        <w:ind w:left="567" w:hanging="501"/>
        <w:rPr>
          <w:rFonts w:cs="Times New Roman"/>
          <w:b/>
          <w:szCs w:val="24"/>
        </w:rPr>
      </w:pPr>
      <w:r w:rsidRPr="0035127C">
        <w:rPr>
          <w:rFonts w:cs="Times New Roman"/>
          <w:b/>
          <w:szCs w:val="24"/>
        </w:rPr>
        <w:lastRenderedPageBreak/>
        <w:t>Čibinskienė A. ir kt.</w:t>
      </w:r>
      <w:r w:rsidRPr="0035127C">
        <w:rPr>
          <w:rFonts w:cs="Times New Roman"/>
          <w:szCs w:val="24"/>
        </w:rPr>
        <w:t xml:space="preserve"> Draudimo paslaugų industrija: formavimasis bei plėtra // Organizacijų vadyba: sisteminiai tyrimai. – Kaunas: Vytauto Didžiojo universitetas, </w:t>
      </w:r>
      <w:r w:rsidRPr="0035127C">
        <w:rPr>
          <w:rFonts w:cs="Times New Roman"/>
          <w:szCs w:val="24"/>
          <w:lang w:val="en-US"/>
        </w:rPr>
        <w:t>2005, Nr. 34. – ISSN 1392-1142.</w:t>
      </w:r>
    </w:p>
    <w:p w:rsidR="00AC71D2" w:rsidRPr="006F506F" w:rsidRDefault="00AC71D2" w:rsidP="00AC71D2">
      <w:pPr>
        <w:pStyle w:val="ListParagraph"/>
        <w:numPr>
          <w:ilvl w:val="0"/>
          <w:numId w:val="9"/>
        </w:numPr>
        <w:ind w:left="567" w:hanging="501"/>
        <w:rPr>
          <w:rFonts w:cs="Times New Roman"/>
          <w:b/>
          <w:szCs w:val="24"/>
        </w:rPr>
      </w:pPr>
      <w:r w:rsidRPr="004A2EE4">
        <w:rPr>
          <w:b/>
        </w:rPr>
        <w:t xml:space="preserve">Darbo jėga, užimtumas ir nedarbas. </w:t>
      </w:r>
      <w:r w:rsidRPr="007440D6">
        <w:t xml:space="preserve">Požymiai: administracinė teritorija, lytis. </w:t>
      </w:r>
      <w:hyperlink r:id="rId40" w:history="1">
        <w:r w:rsidRPr="00E33B23">
          <w:rPr>
            <w:rStyle w:val="Hyperlink"/>
          </w:rPr>
          <w:t>http://db1.stat.gov.lt/statbank/SelectVarVal/Define.asp?Maintable=M3030902&amp;PLanguage=0</w:t>
        </w:r>
      </w:hyperlink>
      <w:r>
        <w:t xml:space="preserve"> </w:t>
      </w:r>
      <w:r>
        <w:rPr>
          <w:rFonts w:cs="Times New Roman"/>
          <w:szCs w:val="24"/>
        </w:rPr>
        <w:t xml:space="preserve">[žiūrėta </w:t>
      </w:r>
      <w:r>
        <w:rPr>
          <w:rFonts w:cs="Times New Roman"/>
          <w:szCs w:val="24"/>
          <w:lang w:val="en-US"/>
        </w:rPr>
        <w:t>2012-11-05].</w:t>
      </w:r>
    </w:p>
    <w:p w:rsidR="00AC71D2" w:rsidRPr="004A2332" w:rsidRDefault="00AC71D2" w:rsidP="00AC71D2">
      <w:pPr>
        <w:pStyle w:val="ListParagraph"/>
        <w:numPr>
          <w:ilvl w:val="0"/>
          <w:numId w:val="9"/>
        </w:numPr>
        <w:ind w:left="567" w:hanging="501"/>
        <w:rPr>
          <w:rFonts w:cs="Times New Roman"/>
          <w:b/>
          <w:szCs w:val="24"/>
        </w:rPr>
      </w:pPr>
      <w:r w:rsidRPr="006F506F">
        <w:rPr>
          <w:b/>
        </w:rPr>
        <w:t xml:space="preserve">Darbo jėga, užimtumas ir nedarbas. </w:t>
      </w:r>
      <w:r w:rsidRPr="007440D6">
        <w:t xml:space="preserve">Požymiai: amžius, gyvenamoji vietovė, lytis. </w:t>
      </w:r>
      <w:hyperlink r:id="rId41" w:history="1">
        <w:r w:rsidRPr="00E33B23">
          <w:rPr>
            <w:rStyle w:val="Hyperlink"/>
          </w:rPr>
          <w:t>http://db1.stat.gov.lt/statbank/SelectVarVal/Define.asp?Maintable=M3030101&amp;PLanguage=0</w:t>
        </w:r>
      </w:hyperlink>
      <w:r>
        <w:t xml:space="preserve"> </w:t>
      </w:r>
      <w:r>
        <w:rPr>
          <w:rFonts w:cs="Times New Roman"/>
          <w:szCs w:val="24"/>
        </w:rPr>
        <w:t xml:space="preserve">[žiūrėta </w:t>
      </w:r>
      <w:r>
        <w:rPr>
          <w:rFonts w:cs="Times New Roman"/>
          <w:szCs w:val="24"/>
          <w:lang w:val="en-US"/>
        </w:rPr>
        <w:t>2012-11-05].</w:t>
      </w:r>
    </w:p>
    <w:p w:rsidR="00AC71D2" w:rsidRPr="00307D2A" w:rsidRDefault="00AC71D2" w:rsidP="00AC71D2">
      <w:pPr>
        <w:pStyle w:val="ListParagraph"/>
        <w:numPr>
          <w:ilvl w:val="0"/>
          <w:numId w:val="9"/>
        </w:numPr>
        <w:ind w:left="567" w:hanging="501"/>
        <w:rPr>
          <w:rFonts w:cs="Times New Roman"/>
          <w:b/>
          <w:szCs w:val="24"/>
        </w:rPr>
      </w:pPr>
      <w:r w:rsidRPr="004A2332">
        <w:rPr>
          <w:rFonts w:cs="Times New Roman"/>
          <w:b/>
          <w:szCs w:val="24"/>
        </w:rPr>
        <w:t xml:space="preserve">Darbo užmokesčio indeksai. </w:t>
      </w:r>
      <w:r w:rsidRPr="004A2332">
        <w:rPr>
          <w:rFonts w:cs="Times New Roman"/>
          <w:szCs w:val="24"/>
        </w:rPr>
        <w:t>Požymiai: sektorius, palyginamasis laikotarpis, metai</w:t>
      </w:r>
      <w:r>
        <w:rPr>
          <w:rFonts w:cs="Times New Roman"/>
          <w:szCs w:val="24"/>
        </w:rPr>
        <w:t xml:space="preserve">. </w:t>
      </w:r>
      <w:hyperlink r:id="rId42" w:history="1">
        <w:r w:rsidRPr="00E33B23">
          <w:rPr>
            <w:rStyle w:val="Hyperlink"/>
            <w:rFonts w:cs="Times New Roman"/>
            <w:szCs w:val="24"/>
          </w:rPr>
          <w:t>http://db1.stat.gov.lt/statbank/SelectVarVal/Define.asp?Maintable=M3060802&amp;PLanguage=0</w:t>
        </w:r>
      </w:hyperlink>
      <w:r>
        <w:rPr>
          <w:rFonts w:cs="Times New Roman"/>
          <w:szCs w:val="24"/>
        </w:rPr>
        <w:t xml:space="preserve"> [žiūrėta </w:t>
      </w:r>
      <w:r>
        <w:rPr>
          <w:rFonts w:cs="Times New Roman"/>
          <w:szCs w:val="24"/>
          <w:lang w:val="en-US"/>
        </w:rPr>
        <w:t>2012-11-05].</w:t>
      </w:r>
    </w:p>
    <w:p w:rsidR="00AC71D2" w:rsidRPr="0035127C" w:rsidRDefault="00AC71D2" w:rsidP="00AC71D2">
      <w:pPr>
        <w:pStyle w:val="ListParagraph"/>
        <w:numPr>
          <w:ilvl w:val="0"/>
          <w:numId w:val="9"/>
        </w:numPr>
        <w:ind w:left="567" w:hanging="501"/>
        <w:rPr>
          <w:rFonts w:cs="Times New Roman"/>
          <w:b/>
          <w:szCs w:val="24"/>
        </w:rPr>
      </w:pPr>
      <w:r w:rsidRPr="00307D2A">
        <w:rPr>
          <w:rFonts w:cs="Times New Roman"/>
          <w:b/>
          <w:szCs w:val="24"/>
        </w:rPr>
        <w:t>Darbo užmokestis</w:t>
      </w:r>
      <w:r>
        <w:rPr>
          <w:rFonts w:cs="Times New Roman"/>
          <w:b/>
          <w:szCs w:val="24"/>
        </w:rPr>
        <w:t xml:space="preserve">. </w:t>
      </w:r>
      <w:hyperlink r:id="rId43" w:history="1">
        <w:r w:rsidRPr="00E33B23">
          <w:rPr>
            <w:rStyle w:val="Hyperlink"/>
            <w:rFonts w:cs="Times New Roman"/>
            <w:szCs w:val="24"/>
          </w:rPr>
          <w:t>http://www.stat.gov.lt/lt/news/view?id=10207</w:t>
        </w:r>
      </w:hyperlink>
      <w:r>
        <w:rPr>
          <w:rFonts w:cs="Times New Roman"/>
          <w:szCs w:val="24"/>
        </w:rPr>
        <w:t xml:space="preserve"> [žiūrėta </w:t>
      </w:r>
      <w:r>
        <w:rPr>
          <w:rFonts w:cs="Times New Roman"/>
          <w:szCs w:val="24"/>
          <w:lang w:val="en-US"/>
        </w:rPr>
        <w:t>2012-11-05].</w:t>
      </w:r>
    </w:p>
    <w:p w:rsidR="00AC71D2" w:rsidRPr="009047F5" w:rsidRDefault="00AC71D2" w:rsidP="00AC71D2">
      <w:pPr>
        <w:pStyle w:val="ListParagraph"/>
        <w:numPr>
          <w:ilvl w:val="0"/>
          <w:numId w:val="9"/>
        </w:numPr>
        <w:ind w:left="567" w:hanging="501"/>
        <w:rPr>
          <w:rFonts w:cs="Times New Roman"/>
          <w:szCs w:val="24"/>
        </w:rPr>
      </w:pPr>
      <w:r w:rsidRPr="0035127C">
        <w:rPr>
          <w:rFonts w:cs="Times New Roman"/>
          <w:b/>
          <w:szCs w:val="24"/>
        </w:rPr>
        <w:t xml:space="preserve">Dažniausiai užduodami klausimai – Draudėjo vadovas. </w:t>
      </w:r>
      <w:hyperlink r:id="rId44" w:history="1">
        <w:r w:rsidRPr="0035127C">
          <w:rPr>
            <w:rStyle w:val="Hyperlink"/>
            <w:rFonts w:cs="Times New Roman"/>
            <w:szCs w:val="24"/>
          </w:rPr>
          <w:t>http://www.dpk.lt/klausiate.atsakome.phtml?id=5</w:t>
        </w:r>
      </w:hyperlink>
      <w:r w:rsidRPr="0035127C">
        <w:rPr>
          <w:rFonts w:cs="Times New Roman"/>
          <w:szCs w:val="24"/>
        </w:rPr>
        <w:t xml:space="preserve"> [žiūrėta </w:t>
      </w:r>
      <w:r w:rsidRPr="0035127C">
        <w:rPr>
          <w:rFonts w:cs="Times New Roman"/>
          <w:szCs w:val="24"/>
          <w:lang w:val="en-US"/>
        </w:rPr>
        <w:t>2011-09-13].</w:t>
      </w:r>
    </w:p>
    <w:p w:rsidR="00AC71D2" w:rsidRPr="00AD5B1E" w:rsidRDefault="00AC71D2" w:rsidP="00AC71D2">
      <w:pPr>
        <w:pStyle w:val="ListParagraph"/>
        <w:numPr>
          <w:ilvl w:val="0"/>
          <w:numId w:val="9"/>
        </w:numPr>
        <w:ind w:left="567" w:hanging="501"/>
        <w:rPr>
          <w:rFonts w:cs="Times New Roman"/>
          <w:szCs w:val="24"/>
        </w:rPr>
      </w:pPr>
      <w:r w:rsidRPr="009047F5">
        <w:rPr>
          <w:rFonts w:cs="Times New Roman"/>
          <w:b/>
          <w:szCs w:val="24"/>
        </w:rPr>
        <w:t>Draudikai, vykdantys ne gyvybės draudimo veiklą.</w:t>
      </w:r>
      <w:r>
        <w:rPr>
          <w:rFonts w:cs="Times New Roman"/>
          <w:b/>
          <w:szCs w:val="24"/>
        </w:rPr>
        <w:t xml:space="preserve"> </w:t>
      </w:r>
      <w:hyperlink r:id="rId45" w:history="1">
        <w:r w:rsidRPr="000F5563">
          <w:rPr>
            <w:rStyle w:val="Hyperlink"/>
            <w:rFonts w:cs="Times New Roman"/>
            <w:szCs w:val="24"/>
          </w:rPr>
          <w:t>http://www.lb.lt/draudikai?pg=draudikai_vykdantys_ne_gyvybes_draudimo_veikla</w:t>
        </w:r>
      </w:hyperlink>
      <w:r>
        <w:rPr>
          <w:rFonts w:cs="Times New Roman"/>
          <w:szCs w:val="24"/>
        </w:rPr>
        <w:t xml:space="preserve"> </w:t>
      </w:r>
      <w:r w:rsidRPr="00AD5B1E">
        <w:rPr>
          <w:rFonts w:cs="Times New Roman"/>
          <w:szCs w:val="24"/>
        </w:rPr>
        <w:t xml:space="preserve">[žiūrėta </w:t>
      </w:r>
      <w:r w:rsidRPr="00AD5B1E">
        <w:rPr>
          <w:rFonts w:cs="Times New Roman"/>
          <w:szCs w:val="24"/>
          <w:lang w:val="en-US"/>
        </w:rPr>
        <w:t>2012-10-13]</w:t>
      </w:r>
    </w:p>
    <w:p w:rsidR="00AC71D2" w:rsidRPr="00AD5B1E" w:rsidRDefault="00AC71D2" w:rsidP="00AC71D2">
      <w:pPr>
        <w:pStyle w:val="ListParagraph"/>
        <w:numPr>
          <w:ilvl w:val="0"/>
          <w:numId w:val="9"/>
        </w:numPr>
        <w:ind w:left="567" w:hanging="501"/>
        <w:rPr>
          <w:rFonts w:cs="Times New Roman"/>
          <w:szCs w:val="24"/>
        </w:rPr>
      </w:pPr>
      <w:r>
        <w:rPr>
          <w:rFonts w:cs="Times New Roman"/>
          <w:b/>
          <w:szCs w:val="24"/>
        </w:rPr>
        <w:t xml:space="preserve">DNB bankas. </w:t>
      </w:r>
      <w:r>
        <w:rPr>
          <w:rFonts w:cs="Times New Roman"/>
          <w:szCs w:val="24"/>
        </w:rPr>
        <w:t xml:space="preserve">Lietuvos ekonomikos perspektyvos </w:t>
      </w:r>
      <w:r>
        <w:rPr>
          <w:rFonts w:cs="Times New Roman"/>
          <w:szCs w:val="24"/>
          <w:lang w:val="en-US"/>
        </w:rPr>
        <w:t>2012. – Vilnius, 2012</w:t>
      </w:r>
      <w:r>
        <w:rPr>
          <w:rFonts w:cs="Times New Roman"/>
          <w:szCs w:val="24"/>
        </w:rPr>
        <w:t xml:space="preserve">. </w:t>
      </w:r>
      <w:hyperlink r:id="rId46" w:history="1">
        <w:r w:rsidRPr="00E33B23">
          <w:rPr>
            <w:rStyle w:val="Hyperlink"/>
            <w:rFonts w:cs="Times New Roman"/>
            <w:szCs w:val="24"/>
          </w:rPr>
          <w:t>http://www.dnb.lt/Dokumentai/lep2012_lt.pdf</w:t>
        </w:r>
      </w:hyperlink>
      <w:r>
        <w:rPr>
          <w:rFonts w:cs="Times New Roman"/>
          <w:szCs w:val="24"/>
        </w:rPr>
        <w:t xml:space="preserve"> [žiūrėta </w:t>
      </w:r>
      <w:r>
        <w:rPr>
          <w:rFonts w:cs="Times New Roman"/>
          <w:szCs w:val="24"/>
          <w:lang w:val="en-US"/>
        </w:rPr>
        <w:t>2012-11-05].</w:t>
      </w:r>
    </w:p>
    <w:p w:rsidR="00AC71D2" w:rsidRPr="0010184E" w:rsidRDefault="00AC71D2" w:rsidP="00AC71D2">
      <w:pPr>
        <w:pStyle w:val="ListParagraph"/>
        <w:numPr>
          <w:ilvl w:val="0"/>
          <w:numId w:val="9"/>
        </w:numPr>
        <w:ind w:left="567" w:hanging="501"/>
        <w:rPr>
          <w:rFonts w:cs="Times New Roman"/>
          <w:szCs w:val="24"/>
        </w:rPr>
      </w:pPr>
      <w:r>
        <w:rPr>
          <w:rFonts w:cs="Times New Roman"/>
          <w:b/>
          <w:szCs w:val="24"/>
        </w:rPr>
        <w:t>Draudimo veiklos rezultatai</w:t>
      </w:r>
      <w:r w:rsidRPr="000A5F3C">
        <w:rPr>
          <w:rFonts w:cs="Times New Roman"/>
          <w:b/>
          <w:szCs w:val="24"/>
        </w:rPr>
        <w:t>.</w:t>
      </w:r>
      <w:r>
        <w:rPr>
          <w:rFonts w:cs="Times New Roman"/>
          <w:b/>
          <w:szCs w:val="24"/>
        </w:rPr>
        <w:t xml:space="preserve"> </w:t>
      </w:r>
      <w:r w:rsidRPr="00C0188A">
        <w:rPr>
          <w:rFonts w:cs="Times New Roman"/>
          <w:szCs w:val="24"/>
        </w:rPr>
        <w:t>20</w:t>
      </w:r>
      <w:r>
        <w:rPr>
          <w:rFonts w:cs="Times New Roman"/>
          <w:szCs w:val="24"/>
        </w:rPr>
        <w:t>08</w:t>
      </w:r>
      <w:r w:rsidRPr="00C0188A">
        <w:rPr>
          <w:rFonts w:cs="Times New Roman"/>
          <w:szCs w:val="24"/>
        </w:rPr>
        <w:t xml:space="preserve"> metų agreguotas balansas ir pelno (nuostolių) ataskaita</w:t>
      </w:r>
      <w:r>
        <w:rPr>
          <w:rFonts w:cs="Times New Roman"/>
          <w:szCs w:val="24"/>
        </w:rPr>
        <w:t xml:space="preserve"> / Ne gyvybės draudimo įmonės. </w:t>
      </w:r>
      <w:hyperlink r:id="rId47" w:history="1">
        <w:r w:rsidRPr="00413D44">
          <w:rPr>
            <w:rStyle w:val="Hyperlink"/>
            <w:rFonts w:cs="Times New Roman"/>
            <w:szCs w:val="24"/>
          </w:rPr>
          <w:t>http://www.dpk.lt/files/fa/2008metai/NG%202008%2012%2031%20FA.xls</w:t>
        </w:r>
      </w:hyperlink>
      <w:r>
        <w:rPr>
          <w:rFonts w:cs="Times New Roman"/>
          <w:szCs w:val="24"/>
        </w:rPr>
        <w:t xml:space="preserve"> </w:t>
      </w:r>
      <w:r w:rsidRPr="0035127C">
        <w:rPr>
          <w:rFonts w:cs="Times New Roman"/>
          <w:szCs w:val="24"/>
        </w:rPr>
        <w:t xml:space="preserve">[žiūrėta </w:t>
      </w:r>
      <w:r w:rsidRPr="0035127C">
        <w:rPr>
          <w:rFonts w:cs="Times New Roman"/>
          <w:szCs w:val="24"/>
          <w:lang w:val="en-US"/>
        </w:rPr>
        <w:t>201</w:t>
      </w:r>
      <w:r>
        <w:rPr>
          <w:rFonts w:cs="Times New Roman"/>
          <w:szCs w:val="24"/>
          <w:lang w:val="en-US"/>
        </w:rPr>
        <w:t>2</w:t>
      </w:r>
      <w:r w:rsidRPr="0035127C">
        <w:rPr>
          <w:rFonts w:cs="Times New Roman"/>
          <w:szCs w:val="24"/>
          <w:lang w:val="en-US"/>
        </w:rPr>
        <w:t>-</w:t>
      </w:r>
      <w:r>
        <w:rPr>
          <w:rFonts w:cs="Times New Roman"/>
          <w:szCs w:val="24"/>
          <w:lang w:val="en-US"/>
        </w:rPr>
        <w:t>11-03</w:t>
      </w:r>
      <w:r w:rsidRPr="0035127C">
        <w:rPr>
          <w:rFonts w:cs="Times New Roman"/>
          <w:szCs w:val="24"/>
          <w:lang w:val="en-US"/>
        </w:rPr>
        <w:t>].</w:t>
      </w:r>
    </w:p>
    <w:p w:rsidR="00AC71D2" w:rsidRPr="00B853A9" w:rsidRDefault="00AC71D2" w:rsidP="00AC71D2">
      <w:pPr>
        <w:pStyle w:val="ListParagraph"/>
        <w:numPr>
          <w:ilvl w:val="0"/>
          <w:numId w:val="9"/>
        </w:numPr>
        <w:ind w:left="567" w:hanging="501"/>
        <w:rPr>
          <w:rFonts w:cs="Times New Roman"/>
          <w:szCs w:val="24"/>
        </w:rPr>
      </w:pPr>
      <w:r>
        <w:rPr>
          <w:rFonts w:cs="Times New Roman"/>
          <w:b/>
          <w:szCs w:val="24"/>
        </w:rPr>
        <w:t>Draudimo veiklos rezultatai</w:t>
      </w:r>
      <w:r w:rsidRPr="000A5F3C">
        <w:rPr>
          <w:rFonts w:cs="Times New Roman"/>
          <w:b/>
          <w:szCs w:val="24"/>
        </w:rPr>
        <w:t>.</w:t>
      </w:r>
      <w:r>
        <w:rPr>
          <w:rFonts w:cs="Times New Roman"/>
          <w:b/>
          <w:szCs w:val="24"/>
        </w:rPr>
        <w:t xml:space="preserve"> </w:t>
      </w:r>
      <w:r w:rsidRPr="00C0188A">
        <w:rPr>
          <w:rFonts w:cs="Times New Roman"/>
          <w:szCs w:val="24"/>
        </w:rPr>
        <w:t>20</w:t>
      </w:r>
      <w:r>
        <w:rPr>
          <w:rFonts w:cs="Times New Roman"/>
          <w:szCs w:val="24"/>
        </w:rPr>
        <w:t>09</w:t>
      </w:r>
      <w:r w:rsidRPr="00C0188A">
        <w:rPr>
          <w:rFonts w:cs="Times New Roman"/>
          <w:szCs w:val="24"/>
        </w:rPr>
        <w:t xml:space="preserve"> metų agreguotas balansas ir pelno (nuostolių) ataskaita</w:t>
      </w:r>
      <w:r>
        <w:rPr>
          <w:rFonts w:cs="Times New Roman"/>
          <w:szCs w:val="24"/>
        </w:rPr>
        <w:t xml:space="preserve"> / Ne gyvybės draudimo įmonės. </w:t>
      </w:r>
      <w:hyperlink r:id="rId48" w:history="1">
        <w:r w:rsidRPr="00413D44">
          <w:rPr>
            <w:rStyle w:val="Hyperlink"/>
            <w:rFonts w:cs="Times New Roman"/>
            <w:szCs w:val="24"/>
          </w:rPr>
          <w:t>http://www.dpk.lt/files/fa/2009metai/NG%202009%2012%2031%20FA.xls</w:t>
        </w:r>
      </w:hyperlink>
      <w:r>
        <w:rPr>
          <w:rFonts w:cs="Times New Roman"/>
          <w:szCs w:val="24"/>
        </w:rPr>
        <w:t xml:space="preserve"> [</w:t>
      </w:r>
      <w:r w:rsidRPr="0035127C">
        <w:rPr>
          <w:rFonts w:cs="Times New Roman"/>
          <w:szCs w:val="24"/>
        </w:rPr>
        <w:t xml:space="preserve">žiūrėta </w:t>
      </w:r>
      <w:r w:rsidRPr="0035127C">
        <w:rPr>
          <w:rFonts w:cs="Times New Roman"/>
          <w:szCs w:val="24"/>
          <w:lang w:val="en-US"/>
        </w:rPr>
        <w:t>201</w:t>
      </w:r>
      <w:r>
        <w:rPr>
          <w:rFonts w:cs="Times New Roman"/>
          <w:szCs w:val="24"/>
          <w:lang w:val="en-US"/>
        </w:rPr>
        <w:t>2</w:t>
      </w:r>
      <w:r w:rsidRPr="0035127C">
        <w:rPr>
          <w:rFonts w:cs="Times New Roman"/>
          <w:szCs w:val="24"/>
          <w:lang w:val="en-US"/>
        </w:rPr>
        <w:t>-</w:t>
      </w:r>
      <w:r>
        <w:rPr>
          <w:rFonts w:cs="Times New Roman"/>
          <w:szCs w:val="24"/>
          <w:lang w:val="en-US"/>
        </w:rPr>
        <w:t>11-02</w:t>
      </w:r>
      <w:r w:rsidRPr="0035127C">
        <w:rPr>
          <w:rFonts w:cs="Times New Roman"/>
          <w:szCs w:val="24"/>
          <w:lang w:val="en-US"/>
        </w:rPr>
        <w:t>].</w:t>
      </w:r>
    </w:p>
    <w:p w:rsidR="00AC71D2" w:rsidRPr="00BF0197" w:rsidRDefault="00AC71D2" w:rsidP="00AC71D2">
      <w:pPr>
        <w:pStyle w:val="ListParagraph"/>
        <w:numPr>
          <w:ilvl w:val="0"/>
          <w:numId w:val="9"/>
        </w:numPr>
        <w:ind w:left="567" w:hanging="501"/>
        <w:rPr>
          <w:rFonts w:cs="Times New Roman"/>
          <w:szCs w:val="24"/>
        </w:rPr>
      </w:pPr>
      <w:r>
        <w:rPr>
          <w:rFonts w:cs="Times New Roman"/>
          <w:b/>
          <w:szCs w:val="24"/>
        </w:rPr>
        <w:t>Draudimo veiklos rezultatai</w:t>
      </w:r>
      <w:r w:rsidRPr="000A5F3C">
        <w:rPr>
          <w:rFonts w:cs="Times New Roman"/>
          <w:b/>
          <w:szCs w:val="24"/>
        </w:rPr>
        <w:t>.</w:t>
      </w:r>
      <w:r>
        <w:rPr>
          <w:rFonts w:cs="Times New Roman"/>
          <w:b/>
          <w:szCs w:val="24"/>
        </w:rPr>
        <w:t xml:space="preserve"> </w:t>
      </w:r>
      <w:r w:rsidRPr="00C0188A">
        <w:rPr>
          <w:rFonts w:cs="Times New Roman"/>
          <w:szCs w:val="24"/>
        </w:rPr>
        <w:t>2011 metų agreguotas balansas ir pelno (nuostolių) ataskaita</w:t>
      </w:r>
      <w:r>
        <w:rPr>
          <w:rFonts w:cs="Times New Roman"/>
          <w:szCs w:val="24"/>
        </w:rPr>
        <w:t xml:space="preserve"> / Ne gyvybės draudimo įmonės. </w:t>
      </w:r>
      <w:hyperlink r:id="rId49" w:history="1">
        <w:r w:rsidRPr="00012751">
          <w:rPr>
            <w:rStyle w:val="Hyperlink"/>
            <w:rFonts w:cs="Times New Roman"/>
            <w:szCs w:val="24"/>
            <w:lang w:val="en-US"/>
          </w:rPr>
          <w:t>http://www.dpk.lt/files/fa/2011metai/NG%202011%2012%2031%20FA.xls</w:t>
        </w:r>
      </w:hyperlink>
      <w:r>
        <w:rPr>
          <w:rFonts w:cs="Times New Roman"/>
          <w:szCs w:val="24"/>
          <w:lang w:val="en-US"/>
        </w:rPr>
        <w:t xml:space="preserve"> [</w:t>
      </w:r>
      <w:r>
        <w:rPr>
          <w:rFonts w:cs="Times New Roman"/>
          <w:szCs w:val="24"/>
        </w:rPr>
        <w:t xml:space="preserve">žiūrėta </w:t>
      </w:r>
      <w:r>
        <w:rPr>
          <w:rFonts w:cs="Times New Roman"/>
          <w:szCs w:val="24"/>
          <w:lang w:val="en-US"/>
        </w:rPr>
        <w:t>2012-10-30].</w:t>
      </w:r>
    </w:p>
    <w:p w:rsidR="00AC71D2" w:rsidRPr="00D545B2" w:rsidRDefault="00AC71D2" w:rsidP="00AC71D2">
      <w:pPr>
        <w:pStyle w:val="ListParagraph"/>
        <w:numPr>
          <w:ilvl w:val="0"/>
          <w:numId w:val="9"/>
        </w:numPr>
        <w:ind w:left="567" w:hanging="501"/>
        <w:rPr>
          <w:rFonts w:cs="Times New Roman"/>
          <w:szCs w:val="24"/>
        </w:rPr>
      </w:pPr>
      <w:r w:rsidRPr="00D545B2">
        <w:rPr>
          <w:rFonts w:cs="Times New Roman"/>
          <w:b/>
          <w:szCs w:val="24"/>
        </w:rPr>
        <w:t>Ekspertas: Lietuva nepatraukli užsienio investuotojams dėl politinės situacijos.</w:t>
      </w:r>
      <w:r>
        <w:rPr>
          <w:rFonts w:cs="Times New Roman"/>
          <w:szCs w:val="24"/>
        </w:rPr>
        <w:t xml:space="preserve"> </w:t>
      </w:r>
      <w:hyperlink r:id="rId50" w:history="1">
        <w:r w:rsidRPr="00E33B23">
          <w:rPr>
            <w:rStyle w:val="Hyperlink"/>
            <w:rFonts w:cs="Times New Roman"/>
            <w:szCs w:val="24"/>
          </w:rPr>
          <w:t>http://www.ve.lt/naujienos/ekonomika/ekonomikos-naujienos/ekspertas-lietuva-nepatraukli-uzsienio-investuotojams-del-politines-situacijos-507094/</w:t>
        </w:r>
      </w:hyperlink>
      <w:r>
        <w:rPr>
          <w:rFonts w:cs="Times New Roman"/>
          <w:szCs w:val="24"/>
        </w:rPr>
        <w:t xml:space="preserve"> [žiūrėta </w:t>
      </w:r>
      <w:r>
        <w:rPr>
          <w:rFonts w:cs="Times New Roman"/>
          <w:szCs w:val="24"/>
          <w:lang w:val="en-US"/>
        </w:rPr>
        <w:t>2012-11-05].</w:t>
      </w:r>
    </w:p>
    <w:p w:rsidR="00AC71D2" w:rsidRPr="00157FF8" w:rsidRDefault="00AC71D2" w:rsidP="00AC71D2">
      <w:pPr>
        <w:pStyle w:val="ListParagraph"/>
        <w:numPr>
          <w:ilvl w:val="0"/>
          <w:numId w:val="9"/>
        </w:numPr>
        <w:ind w:left="567" w:hanging="501"/>
        <w:rPr>
          <w:rFonts w:cs="Times New Roman"/>
          <w:szCs w:val="24"/>
        </w:rPr>
      </w:pPr>
      <w:r>
        <w:rPr>
          <w:rFonts w:cs="Times New Roman"/>
          <w:b/>
          <w:szCs w:val="24"/>
        </w:rPr>
        <w:lastRenderedPageBreak/>
        <w:t xml:space="preserve">Esho et al. </w:t>
      </w:r>
      <w:r>
        <w:rPr>
          <w:rFonts w:cs="Times New Roman"/>
          <w:szCs w:val="24"/>
          <w:lang w:val="en-US"/>
        </w:rPr>
        <w:t>Law and the Determinants of Property-Casualty Insurance // Journal of Risk and Insurance, Vol. 71, Nr. 2.</w:t>
      </w:r>
    </w:p>
    <w:p w:rsidR="00805F81" w:rsidRPr="00805F81" w:rsidRDefault="00805F81" w:rsidP="00AC71D2">
      <w:pPr>
        <w:pStyle w:val="ListParagraph"/>
        <w:numPr>
          <w:ilvl w:val="0"/>
          <w:numId w:val="9"/>
        </w:numPr>
        <w:ind w:left="567" w:hanging="501"/>
        <w:rPr>
          <w:rFonts w:cs="Times New Roman"/>
          <w:szCs w:val="24"/>
        </w:rPr>
      </w:pPr>
      <w:r w:rsidRPr="00805F81">
        <w:rPr>
          <w:rFonts w:cs="Times New Roman"/>
          <w:b/>
          <w:szCs w:val="24"/>
          <w:lang w:val="en-US"/>
        </w:rPr>
        <w:t>Future rules (Solvency II</w:t>
      </w:r>
      <w:r w:rsidRPr="00805F81">
        <w:rPr>
          <w:rFonts w:ascii="Cambria Math" w:hAnsi="Cambria Math" w:cs="Cambria Math"/>
          <w:b/>
          <w:szCs w:val="24"/>
          <w:lang w:val="en-US"/>
        </w:rPr>
        <w:t> </w:t>
      </w:r>
      <w:r w:rsidRPr="00805F81">
        <w:rPr>
          <w:rFonts w:cs="Times New Roman"/>
          <w:b/>
          <w:szCs w:val="24"/>
          <w:lang w:val="en-US"/>
        </w:rPr>
        <w:t>/</w:t>
      </w:r>
      <w:r w:rsidRPr="00805F81">
        <w:rPr>
          <w:rFonts w:ascii="Cambria Math" w:hAnsi="Cambria Math" w:cs="Cambria Math"/>
          <w:b/>
          <w:szCs w:val="24"/>
          <w:lang w:val="en-US"/>
        </w:rPr>
        <w:t> </w:t>
      </w:r>
      <w:r w:rsidRPr="00805F81">
        <w:rPr>
          <w:rFonts w:cs="Times New Roman"/>
          <w:b/>
          <w:szCs w:val="24"/>
          <w:lang w:val="en-US"/>
        </w:rPr>
        <w:t xml:space="preserve">Omnibus II). </w:t>
      </w:r>
      <w:hyperlink r:id="rId51" w:history="1">
        <w:r w:rsidRPr="004013BC">
          <w:rPr>
            <w:rStyle w:val="Hyperlink"/>
            <w:rFonts w:cs="Times New Roman"/>
            <w:szCs w:val="24"/>
          </w:rPr>
          <w:t>http://ec.europa.eu/internal_market/insurance/solvency/future/index_en.htm</w:t>
        </w:r>
      </w:hyperlink>
      <w:r>
        <w:rPr>
          <w:rFonts w:cs="Times New Roman"/>
          <w:szCs w:val="24"/>
        </w:rPr>
        <w:t xml:space="preserve"> [žiūrėta </w:t>
      </w:r>
      <w:r>
        <w:rPr>
          <w:rFonts w:cs="Times New Roman"/>
          <w:szCs w:val="24"/>
          <w:lang w:val="en-US"/>
        </w:rPr>
        <w:t>2012-11-25].</w:t>
      </w:r>
    </w:p>
    <w:p w:rsidR="00AC71D2" w:rsidRPr="00177DFF" w:rsidRDefault="00AC71D2" w:rsidP="00AC71D2">
      <w:pPr>
        <w:pStyle w:val="ListParagraph"/>
        <w:numPr>
          <w:ilvl w:val="0"/>
          <w:numId w:val="9"/>
        </w:numPr>
        <w:ind w:left="567" w:hanging="501"/>
        <w:rPr>
          <w:rFonts w:cs="Times New Roman"/>
          <w:szCs w:val="24"/>
        </w:rPr>
      </w:pPr>
      <w:r w:rsidRPr="00565FB6">
        <w:rPr>
          <w:rFonts w:cs="Times New Roman"/>
          <w:b/>
          <w:szCs w:val="24"/>
        </w:rPr>
        <w:t>GDP per capita in PPS</w:t>
      </w:r>
      <w:r>
        <w:rPr>
          <w:rFonts w:cs="Times New Roman"/>
          <w:b/>
          <w:szCs w:val="24"/>
        </w:rPr>
        <w:t xml:space="preserve">. </w:t>
      </w:r>
      <w:r w:rsidRPr="00565FB6">
        <w:rPr>
          <w:rFonts w:cs="Times New Roman"/>
          <w:szCs w:val="24"/>
        </w:rPr>
        <w:t>Index (EU-27 = 100)</w:t>
      </w:r>
      <w:r>
        <w:rPr>
          <w:rFonts w:cs="Times New Roman"/>
          <w:szCs w:val="24"/>
        </w:rPr>
        <w:t xml:space="preserve">. </w:t>
      </w:r>
      <w:hyperlink r:id="rId52" w:history="1">
        <w:r w:rsidRPr="00A43B85">
          <w:rPr>
            <w:rStyle w:val="Hyperlink"/>
            <w:rFonts w:cs="Times New Roman"/>
            <w:szCs w:val="24"/>
          </w:rPr>
          <w:t>http://epp.eurostat.ec.europa.eu/tgm/graph.do?tab=graph&amp;plugin=1&amp;pcode=tec00114&amp;language=en&amp;toolbox=data</w:t>
        </w:r>
      </w:hyperlink>
      <w:r>
        <w:rPr>
          <w:rFonts w:cs="Times New Roman"/>
          <w:szCs w:val="24"/>
        </w:rPr>
        <w:t xml:space="preserve"> </w:t>
      </w:r>
      <w:r w:rsidRPr="0035127C">
        <w:rPr>
          <w:rFonts w:cs="Times New Roman"/>
          <w:szCs w:val="24"/>
        </w:rPr>
        <w:t xml:space="preserve">[žiūrėta </w:t>
      </w:r>
      <w:r>
        <w:rPr>
          <w:rFonts w:cs="Times New Roman"/>
          <w:szCs w:val="24"/>
          <w:lang w:val="en-US"/>
        </w:rPr>
        <w:t>2012-11-06].</w:t>
      </w:r>
    </w:p>
    <w:p w:rsidR="00AC71D2" w:rsidRPr="00C94948" w:rsidRDefault="00AC71D2" w:rsidP="00AC71D2">
      <w:pPr>
        <w:pStyle w:val="ListParagraph"/>
        <w:numPr>
          <w:ilvl w:val="0"/>
          <w:numId w:val="9"/>
        </w:numPr>
        <w:ind w:left="567" w:hanging="501"/>
        <w:rPr>
          <w:rFonts w:cs="Times New Roman"/>
          <w:szCs w:val="24"/>
        </w:rPr>
      </w:pPr>
      <w:r w:rsidRPr="00177DFF">
        <w:rPr>
          <w:b/>
        </w:rPr>
        <w:t>Gimusieji ir natūrali gyventojų kaita.</w:t>
      </w:r>
      <w:r>
        <w:t xml:space="preserve"> Požymiai: administracinė teritorija. </w:t>
      </w:r>
      <w:hyperlink r:id="rId53" w:history="1">
        <w:r w:rsidRPr="00A43B85">
          <w:rPr>
            <w:rStyle w:val="Hyperlink"/>
          </w:rPr>
          <w:t>http://db1.stat.gov.lt/statbank/SelectVarVal/Define.asp?Maintable=M3010501&amp;PLanguage=0</w:t>
        </w:r>
      </w:hyperlink>
      <w:r>
        <w:t xml:space="preserve"> </w:t>
      </w:r>
      <w:r w:rsidRPr="0035127C">
        <w:rPr>
          <w:rFonts w:cs="Times New Roman"/>
          <w:szCs w:val="24"/>
        </w:rPr>
        <w:t xml:space="preserve">[žiūrėta </w:t>
      </w:r>
      <w:r>
        <w:rPr>
          <w:rFonts w:cs="Times New Roman"/>
          <w:szCs w:val="24"/>
          <w:lang w:val="en-US"/>
        </w:rPr>
        <w:t>2012-11-06].</w:t>
      </w:r>
    </w:p>
    <w:p w:rsidR="00AC71D2" w:rsidRPr="00D312E4" w:rsidRDefault="00AC71D2" w:rsidP="00AC71D2">
      <w:pPr>
        <w:pStyle w:val="ListParagraph"/>
        <w:numPr>
          <w:ilvl w:val="0"/>
          <w:numId w:val="9"/>
        </w:numPr>
        <w:ind w:left="567" w:hanging="501"/>
        <w:rPr>
          <w:rFonts w:cs="Times New Roman"/>
          <w:szCs w:val="24"/>
        </w:rPr>
      </w:pPr>
      <w:r>
        <w:rPr>
          <w:b/>
        </w:rPr>
        <w:t>Gyventojų, gimusiųjų, mirusiųjų skaičius.</w:t>
      </w:r>
      <w:r>
        <w:t xml:space="preserve"> Požymiai: mėnuo. </w:t>
      </w:r>
      <w:hyperlink r:id="rId54" w:history="1">
        <w:r w:rsidRPr="00F6741B">
          <w:rPr>
            <w:rStyle w:val="Hyperlink"/>
          </w:rPr>
          <w:t>http://db1.stat.gov.lt/statbank/SelectVarVal/Define.asp?Maintable=M3010101&amp;PLanguage=0</w:t>
        </w:r>
      </w:hyperlink>
      <w:r>
        <w:t xml:space="preserve"> </w:t>
      </w:r>
      <w:r w:rsidRPr="0035127C">
        <w:rPr>
          <w:rFonts w:cs="Times New Roman"/>
          <w:szCs w:val="24"/>
        </w:rPr>
        <w:t xml:space="preserve">[žiūrėta </w:t>
      </w:r>
      <w:r>
        <w:rPr>
          <w:rFonts w:cs="Times New Roman"/>
          <w:szCs w:val="24"/>
          <w:lang w:val="en-US"/>
        </w:rPr>
        <w:t>2012-11-08].</w:t>
      </w:r>
    </w:p>
    <w:p w:rsidR="00AC71D2" w:rsidRPr="00117531" w:rsidRDefault="00AC71D2" w:rsidP="00AC71D2">
      <w:pPr>
        <w:pStyle w:val="ListParagraph"/>
        <w:numPr>
          <w:ilvl w:val="0"/>
          <w:numId w:val="9"/>
        </w:numPr>
        <w:ind w:left="567" w:hanging="501"/>
        <w:rPr>
          <w:rFonts w:cs="Times New Roman"/>
          <w:szCs w:val="24"/>
        </w:rPr>
      </w:pPr>
      <w:r w:rsidRPr="00D312E4">
        <w:rPr>
          <w:rFonts w:cs="Times New Roman"/>
          <w:b/>
          <w:szCs w:val="24"/>
        </w:rPr>
        <w:t>Gyventojų skaičius metų pradžioje ir vidutinis metinis gyventojų skaičius.</w:t>
      </w:r>
      <w:r w:rsidRPr="00D312E4">
        <w:rPr>
          <w:rFonts w:cs="Times New Roman"/>
          <w:szCs w:val="24"/>
        </w:rPr>
        <w:t xml:space="preserve"> Požymiai: gyvenamoji vietovė, lytis</w:t>
      </w:r>
      <w:r>
        <w:rPr>
          <w:rFonts w:cs="Times New Roman"/>
          <w:szCs w:val="24"/>
        </w:rPr>
        <w:t xml:space="preserve">. </w:t>
      </w:r>
      <w:hyperlink r:id="rId55" w:history="1">
        <w:r w:rsidRPr="00A43B85">
          <w:rPr>
            <w:rStyle w:val="Hyperlink"/>
            <w:rFonts w:cs="Times New Roman"/>
            <w:szCs w:val="24"/>
          </w:rPr>
          <w:t>http://db1.stat.gov.lt/statbank/SelectVarVal/Define.asp?Maintable=M3010201&amp;PLanguage=0</w:t>
        </w:r>
      </w:hyperlink>
      <w:r>
        <w:rPr>
          <w:rFonts w:cs="Times New Roman"/>
          <w:szCs w:val="24"/>
        </w:rPr>
        <w:t xml:space="preserve"> </w:t>
      </w:r>
      <w:r w:rsidRPr="0035127C">
        <w:rPr>
          <w:rFonts w:cs="Times New Roman"/>
          <w:szCs w:val="24"/>
        </w:rPr>
        <w:t xml:space="preserve">[žiūrėta </w:t>
      </w:r>
      <w:r>
        <w:rPr>
          <w:rFonts w:cs="Times New Roman"/>
          <w:szCs w:val="24"/>
          <w:lang w:val="en-US"/>
        </w:rPr>
        <w:t>2012-11-06].</w:t>
      </w:r>
    </w:p>
    <w:p w:rsidR="00AC71D2" w:rsidRPr="00117531" w:rsidRDefault="00AC71D2" w:rsidP="00AC71D2">
      <w:pPr>
        <w:pStyle w:val="ListParagraph"/>
        <w:numPr>
          <w:ilvl w:val="0"/>
          <w:numId w:val="9"/>
        </w:numPr>
        <w:ind w:left="567" w:hanging="501"/>
        <w:rPr>
          <w:rFonts w:cs="Times New Roman"/>
          <w:szCs w:val="24"/>
        </w:rPr>
      </w:pPr>
      <w:r>
        <w:rPr>
          <w:rFonts w:cs="Times New Roman"/>
          <w:b/>
          <w:szCs w:val="24"/>
        </w:rPr>
        <w:t>Gyvybės ir ne gyvybės draudimo veiklos.</w:t>
      </w:r>
      <w:r>
        <w:rPr>
          <w:rFonts w:cs="Times New Roman"/>
          <w:szCs w:val="24"/>
        </w:rPr>
        <w:t xml:space="preserve"> </w:t>
      </w:r>
      <w:r>
        <w:rPr>
          <w:rFonts w:cs="Times New Roman"/>
          <w:szCs w:val="24"/>
          <w:lang w:val="en-US"/>
        </w:rPr>
        <w:t xml:space="preserve">2003 metai. </w:t>
      </w:r>
      <w:hyperlink r:id="rId56" w:history="1">
        <w:r w:rsidRPr="00543C51">
          <w:rPr>
            <w:rStyle w:val="Hyperlink"/>
            <w:rFonts w:cs="Times New Roman"/>
            <w:szCs w:val="24"/>
            <w:lang w:val="en-US"/>
          </w:rPr>
          <w:t>http://www.dpk.lt/files/menesine/sa_2003_12.xls</w:t>
        </w:r>
      </w:hyperlink>
      <w:r>
        <w:rPr>
          <w:rFonts w:cs="Times New Roman"/>
          <w:szCs w:val="24"/>
          <w:lang w:val="en-US"/>
        </w:rPr>
        <w:t xml:space="preserve"> </w:t>
      </w:r>
      <w:r w:rsidRPr="0035127C">
        <w:rPr>
          <w:rFonts w:cs="Times New Roman"/>
          <w:szCs w:val="24"/>
        </w:rPr>
        <w:t xml:space="preserve">[žiūrėta </w:t>
      </w:r>
      <w:r>
        <w:rPr>
          <w:rFonts w:cs="Times New Roman"/>
          <w:szCs w:val="24"/>
          <w:lang w:val="en-US"/>
        </w:rPr>
        <w:t>2012-11-07].</w:t>
      </w:r>
    </w:p>
    <w:p w:rsidR="00AC71D2" w:rsidRPr="00117531" w:rsidRDefault="00AC71D2" w:rsidP="00AC71D2">
      <w:pPr>
        <w:pStyle w:val="ListParagraph"/>
        <w:numPr>
          <w:ilvl w:val="0"/>
          <w:numId w:val="9"/>
        </w:numPr>
        <w:ind w:left="567" w:hanging="501"/>
        <w:rPr>
          <w:rFonts w:cs="Times New Roman"/>
          <w:szCs w:val="24"/>
        </w:rPr>
      </w:pPr>
      <w:r>
        <w:rPr>
          <w:rFonts w:cs="Times New Roman"/>
          <w:b/>
          <w:szCs w:val="24"/>
        </w:rPr>
        <w:t>Gyvybės ir ne gyvybės draudimo veiklos.</w:t>
      </w:r>
      <w:r>
        <w:rPr>
          <w:rFonts w:cs="Times New Roman"/>
          <w:szCs w:val="24"/>
        </w:rPr>
        <w:t xml:space="preserve"> </w:t>
      </w:r>
      <w:r>
        <w:rPr>
          <w:rFonts w:cs="Times New Roman"/>
          <w:szCs w:val="24"/>
          <w:lang w:val="en-US"/>
        </w:rPr>
        <w:t xml:space="preserve">2004 metai. </w:t>
      </w:r>
      <w:hyperlink r:id="rId57" w:history="1">
        <w:r w:rsidRPr="00543C51">
          <w:rPr>
            <w:rStyle w:val="Hyperlink"/>
            <w:rFonts w:cs="Times New Roman"/>
            <w:szCs w:val="24"/>
            <w:lang w:val="en-US"/>
          </w:rPr>
          <w:t>http://www.dpk.lt/files/menesine/sa_2004_12.xls</w:t>
        </w:r>
      </w:hyperlink>
      <w:r>
        <w:rPr>
          <w:rFonts w:cs="Times New Roman"/>
          <w:szCs w:val="24"/>
          <w:lang w:val="en-US"/>
        </w:rPr>
        <w:t xml:space="preserve"> </w:t>
      </w:r>
      <w:r w:rsidRPr="0035127C">
        <w:rPr>
          <w:rFonts w:cs="Times New Roman"/>
          <w:szCs w:val="24"/>
        </w:rPr>
        <w:t xml:space="preserve">[žiūrėta </w:t>
      </w:r>
      <w:r>
        <w:rPr>
          <w:rFonts w:cs="Times New Roman"/>
          <w:szCs w:val="24"/>
          <w:lang w:val="en-US"/>
        </w:rPr>
        <w:t>2012-11-07].</w:t>
      </w:r>
    </w:p>
    <w:p w:rsidR="00AC71D2" w:rsidRPr="00117531" w:rsidRDefault="00AC71D2" w:rsidP="00AC71D2">
      <w:pPr>
        <w:pStyle w:val="ListParagraph"/>
        <w:numPr>
          <w:ilvl w:val="0"/>
          <w:numId w:val="9"/>
        </w:numPr>
        <w:ind w:left="567" w:hanging="501"/>
        <w:rPr>
          <w:rFonts w:cs="Times New Roman"/>
          <w:szCs w:val="24"/>
        </w:rPr>
      </w:pPr>
      <w:r w:rsidRPr="00117531">
        <w:rPr>
          <w:rFonts w:cs="Times New Roman"/>
          <w:b/>
          <w:szCs w:val="24"/>
        </w:rPr>
        <w:t>Gyvybės ir ne gyvybės draudimo veiklos.</w:t>
      </w:r>
      <w:r w:rsidRPr="00117531">
        <w:rPr>
          <w:rFonts w:cs="Times New Roman"/>
          <w:szCs w:val="24"/>
        </w:rPr>
        <w:t xml:space="preserve"> </w:t>
      </w:r>
      <w:r w:rsidRPr="00117531">
        <w:rPr>
          <w:rFonts w:cs="Times New Roman"/>
          <w:szCs w:val="24"/>
          <w:lang w:val="en-US"/>
        </w:rPr>
        <w:t>200</w:t>
      </w:r>
      <w:r>
        <w:rPr>
          <w:rFonts w:cs="Times New Roman"/>
          <w:szCs w:val="24"/>
          <w:lang w:val="en-US"/>
        </w:rPr>
        <w:t>5</w:t>
      </w:r>
      <w:r w:rsidRPr="00117531">
        <w:rPr>
          <w:rFonts w:cs="Times New Roman"/>
          <w:szCs w:val="24"/>
          <w:lang w:val="en-US"/>
        </w:rPr>
        <w:t xml:space="preserve"> metai. </w:t>
      </w:r>
      <w:hyperlink r:id="rId58" w:history="1">
        <w:r w:rsidRPr="00543C51">
          <w:rPr>
            <w:rStyle w:val="Hyperlink"/>
            <w:rFonts w:cs="Times New Roman"/>
            <w:szCs w:val="24"/>
            <w:lang w:val="en-US"/>
          </w:rPr>
          <w:t>http://www.dpk.lt/files/menesine/sa_2005_12.xls</w:t>
        </w:r>
      </w:hyperlink>
      <w:r>
        <w:rPr>
          <w:rFonts w:cs="Times New Roman"/>
          <w:szCs w:val="24"/>
          <w:lang w:val="en-US"/>
        </w:rPr>
        <w:t xml:space="preserve"> </w:t>
      </w:r>
      <w:r w:rsidRPr="0035127C">
        <w:rPr>
          <w:rFonts w:cs="Times New Roman"/>
          <w:szCs w:val="24"/>
        </w:rPr>
        <w:t xml:space="preserve">[žiūrėta </w:t>
      </w:r>
      <w:r>
        <w:rPr>
          <w:rFonts w:cs="Times New Roman"/>
          <w:szCs w:val="24"/>
          <w:lang w:val="en-US"/>
        </w:rPr>
        <w:t>2012-11-07].</w:t>
      </w:r>
    </w:p>
    <w:p w:rsidR="00AC71D2" w:rsidRPr="00117531" w:rsidRDefault="00AC71D2" w:rsidP="00AC71D2">
      <w:pPr>
        <w:pStyle w:val="ListParagraph"/>
        <w:numPr>
          <w:ilvl w:val="0"/>
          <w:numId w:val="9"/>
        </w:numPr>
        <w:ind w:left="567" w:hanging="501"/>
        <w:rPr>
          <w:rFonts w:cs="Times New Roman"/>
          <w:szCs w:val="24"/>
        </w:rPr>
      </w:pPr>
      <w:r w:rsidRPr="00117531">
        <w:rPr>
          <w:rFonts w:cs="Times New Roman"/>
          <w:b/>
          <w:szCs w:val="24"/>
        </w:rPr>
        <w:t>Gyvybės ir ne gyvybės draudimo veiklos.</w:t>
      </w:r>
      <w:r w:rsidRPr="00117531">
        <w:rPr>
          <w:rFonts w:cs="Times New Roman"/>
          <w:szCs w:val="24"/>
        </w:rPr>
        <w:t xml:space="preserve"> </w:t>
      </w:r>
      <w:r w:rsidRPr="00117531">
        <w:rPr>
          <w:rFonts w:cs="Times New Roman"/>
          <w:szCs w:val="24"/>
          <w:lang w:val="en-US"/>
        </w:rPr>
        <w:t>200</w:t>
      </w:r>
      <w:r>
        <w:rPr>
          <w:rFonts w:cs="Times New Roman"/>
          <w:szCs w:val="24"/>
          <w:lang w:val="en-US"/>
        </w:rPr>
        <w:t>6</w:t>
      </w:r>
      <w:r w:rsidRPr="00117531">
        <w:rPr>
          <w:rFonts w:cs="Times New Roman"/>
          <w:szCs w:val="24"/>
          <w:lang w:val="en-US"/>
        </w:rPr>
        <w:t xml:space="preserve"> metai.</w:t>
      </w:r>
      <w:r>
        <w:rPr>
          <w:rFonts w:cs="Times New Roman"/>
          <w:szCs w:val="24"/>
          <w:lang w:val="en-US"/>
        </w:rPr>
        <w:t xml:space="preserve"> </w:t>
      </w:r>
      <w:hyperlink r:id="rId59" w:history="1">
        <w:r w:rsidRPr="00543C51">
          <w:rPr>
            <w:rStyle w:val="Hyperlink"/>
            <w:rFonts w:cs="Times New Roman"/>
            <w:szCs w:val="24"/>
            <w:lang w:val="en-US"/>
          </w:rPr>
          <w:t>http://www.dpk.lt/files/menesine/sa_2006_12.xls</w:t>
        </w:r>
      </w:hyperlink>
      <w:r>
        <w:rPr>
          <w:rFonts w:cs="Times New Roman"/>
          <w:szCs w:val="24"/>
          <w:lang w:val="en-US"/>
        </w:rPr>
        <w:t xml:space="preserve"> </w:t>
      </w:r>
      <w:r w:rsidRPr="0035127C">
        <w:rPr>
          <w:rFonts w:cs="Times New Roman"/>
          <w:szCs w:val="24"/>
        </w:rPr>
        <w:t xml:space="preserve">[žiūrėta </w:t>
      </w:r>
      <w:r>
        <w:rPr>
          <w:rFonts w:cs="Times New Roman"/>
          <w:szCs w:val="24"/>
          <w:lang w:val="en-US"/>
        </w:rPr>
        <w:t>2012-11-07].</w:t>
      </w:r>
    </w:p>
    <w:p w:rsidR="00AC71D2" w:rsidRPr="00117531" w:rsidRDefault="00AC71D2" w:rsidP="00AC71D2">
      <w:pPr>
        <w:pStyle w:val="ListParagraph"/>
        <w:numPr>
          <w:ilvl w:val="0"/>
          <w:numId w:val="9"/>
        </w:numPr>
        <w:ind w:left="567" w:hanging="501"/>
        <w:rPr>
          <w:rFonts w:cs="Times New Roman"/>
          <w:szCs w:val="24"/>
        </w:rPr>
      </w:pPr>
      <w:r w:rsidRPr="00117531">
        <w:rPr>
          <w:rFonts w:cs="Times New Roman"/>
          <w:b/>
          <w:szCs w:val="24"/>
        </w:rPr>
        <w:t>Gyvybės ir ne gyvybės draudimo veiklos.</w:t>
      </w:r>
      <w:r w:rsidRPr="00117531">
        <w:rPr>
          <w:rFonts w:cs="Times New Roman"/>
          <w:szCs w:val="24"/>
        </w:rPr>
        <w:t xml:space="preserve"> </w:t>
      </w:r>
      <w:r w:rsidRPr="00117531">
        <w:rPr>
          <w:rFonts w:cs="Times New Roman"/>
          <w:szCs w:val="24"/>
          <w:lang w:val="en-US"/>
        </w:rPr>
        <w:t>200</w:t>
      </w:r>
      <w:r>
        <w:rPr>
          <w:rFonts w:cs="Times New Roman"/>
          <w:szCs w:val="24"/>
          <w:lang w:val="en-US"/>
        </w:rPr>
        <w:t>7</w:t>
      </w:r>
      <w:r w:rsidRPr="00117531">
        <w:rPr>
          <w:rFonts w:cs="Times New Roman"/>
          <w:szCs w:val="24"/>
          <w:lang w:val="en-US"/>
        </w:rPr>
        <w:t xml:space="preserve"> metai.</w:t>
      </w:r>
      <w:r>
        <w:rPr>
          <w:rFonts w:cs="Times New Roman"/>
          <w:szCs w:val="24"/>
          <w:lang w:val="en-US"/>
        </w:rPr>
        <w:t xml:space="preserve"> </w:t>
      </w:r>
      <w:hyperlink r:id="rId60" w:history="1">
        <w:r w:rsidRPr="00543C51">
          <w:rPr>
            <w:rStyle w:val="Hyperlink"/>
            <w:rFonts w:cs="Times New Roman"/>
            <w:szCs w:val="24"/>
            <w:lang w:val="en-US"/>
          </w:rPr>
          <w:t>http://www.dpk.lt/files/menesine/sa_2007_12.xls</w:t>
        </w:r>
      </w:hyperlink>
      <w:r>
        <w:rPr>
          <w:rFonts w:cs="Times New Roman"/>
          <w:szCs w:val="24"/>
          <w:lang w:val="en-US"/>
        </w:rPr>
        <w:t xml:space="preserve"> </w:t>
      </w:r>
      <w:r w:rsidRPr="0035127C">
        <w:rPr>
          <w:rFonts w:cs="Times New Roman"/>
          <w:szCs w:val="24"/>
        </w:rPr>
        <w:t xml:space="preserve">[žiūrėta </w:t>
      </w:r>
      <w:r>
        <w:rPr>
          <w:rFonts w:cs="Times New Roman"/>
          <w:szCs w:val="24"/>
          <w:lang w:val="en-US"/>
        </w:rPr>
        <w:t>2012-11-07].</w:t>
      </w:r>
    </w:p>
    <w:p w:rsidR="00AC71D2" w:rsidRDefault="00AC71D2" w:rsidP="00AC71D2">
      <w:pPr>
        <w:pStyle w:val="ListParagraph"/>
        <w:numPr>
          <w:ilvl w:val="0"/>
          <w:numId w:val="9"/>
        </w:numPr>
        <w:ind w:left="567" w:hanging="501"/>
        <w:rPr>
          <w:rFonts w:cs="Times New Roman"/>
          <w:szCs w:val="24"/>
          <w:lang w:val="en-US"/>
        </w:rPr>
      </w:pPr>
      <w:r w:rsidRPr="006826C7">
        <w:rPr>
          <w:rFonts w:cs="Times New Roman"/>
          <w:b/>
          <w:szCs w:val="24"/>
          <w:lang w:val="en-US"/>
        </w:rPr>
        <w:t xml:space="preserve">Haiss P., Sümegi K. </w:t>
      </w:r>
      <w:r w:rsidRPr="006826C7">
        <w:rPr>
          <w:rFonts w:cs="Times New Roman"/>
          <w:szCs w:val="24"/>
          <w:lang w:val="en-US"/>
        </w:rPr>
        <w:t>The Relationship of Insurance and Economic Growth – A Theoretical and Empirical Analysis // Paper for presentation at the 2006 EcoMod Conference. – Hong Kong, 2006.</w:t>
      </w:r>
    </w:p>
    <w:p w:rsidR="00AC71D2" w:rsidRPr="006826C7" w:rsidRDefault="00AC71D2" w:rsidP="00AC71D2">
      <w:pPr>
        <w:pStyle w:val="ListParagraph"/>
        <w:numPr>
          <w:ilvl w:val="0"/>
          <w:numId w:val="9"/>
        </w:numPr>
        <w:ind w:left="567" w:hanging="501"/>
        <w:rPr>
          <w:rFonts w:cs="Times New Roman"/>
          <w:szCs w:val="24"/>
          <w:lang w:val="en-US"/>
        </w:rPr>
      </w:pPr>
      <w:r>
        <w:rPr>
          <w:rFonts w:cs="Times New Roman"/>
          <w:b/>
          <w:szCs w:val="24"/>
          <w:lang w:val="en-US"/>
        </w:rPr>
        <w:t>Hofstede G.</w:t>
      </w:r>
      <w:r>
        <w:rPr>
          <w:rFonts w:cs="Times New Roman"/>
          <w:szCs w:val="24"/>
          <w:lang w:val="en-US"/>
        </w:rPr>
        <w:t xml:space="preserve"> Insurance as a Product of National Values // Geneva Papers on Risk and Insurance: Issues and Practice, Vol. 20, Nr. 77.</w:t>
      </w:r>
    </w:p>
    <w:p w:rsidR="00AC71D2" w:rsidRDefault="00AC71D2" w:rsidP="00AC71D2">
      <w:pPr>
        <w:pStyle w:val="ListParagraph"/>
        <w:numPr>
          <w:ilvl w:val="0"/>
          <w:numId w:val="9"/>
        </w:numPr>
        <w:ind w:left="567" w:hanging="501"/>
        <w:rPr>
          <w:rFonts w:cs="Times New Roman"/>
          <w:szCs w:val="24"/>
          <w:lang w:val="en-US"/>
        </w:rPr>
      </w:pPr>
      <w:r w:rsidRPr="00B06CA0">
        <w:rPr>
          <w:rFonts w:cs="Times New Roman"/>
          <w:b/>
          <w:szCs w:val="24"/>
          <w:lang w:val="en-US"/>
        </w:rPr>
        <w:t xml:space="preserve">Hussels et al. </w:t>
      </w:r>
      <w:r w:rsidRPr="00B06CA0">
        <w:rPr>
          <w:rFonts w:cs="Times New Roman"/>
          <w:szCs w:val="24"/>
          <w:lang w:val="en-US"/>
        </w:rPr>
        <w:t>Stimulating the Demand for Insurance // Risk Management and Insurane Review, 2005, Vol. 8, Nr. 2.</w:t>
      </w:r>
    </w:p>
    <w:p w:rsidR="00AC71D2" w:rsidRPr="00B06CA0" w:rsidRDefault="00AC71D2" w:rsidP="00AC71D2">
      <w:pPr>
        <w:pStyle w:val="ListParagraph"/>
        <w:numPr>
          <w:ilvl w:val="0"/>
          <w:numId w:val="9"/>
        </w:numPr>
        <w:ind w:left="567" w:hanging="501"/>
        <w:rPr>
          <w:rFonts w:cs="Times New Roman"/>
          <w:szCs w:val="24"/>
          <w:lang w:val="en-US"/>
        </w:rPr>
      </w:pPr>
      <w:r w:rsidRPr="00593076">
        <w:rPr>
          <w:rFonts w:cs="Times New Roman"/>
          <w:b/>
          <w:szCs w:val="24"/>
        </w:rPr>
        <w:lastRenderedPageBreak/>
        <w:t xml:space="preserve">Imperatyvios teisės normos ginančios viešąją tvarką. </w:t>
      </w:r>
      <w:hyperlink r:id="rId61" w:history="1">
        <w:r w:rsidRPr="00E33B23">
          <w:rPr>
            <w:rStyle w:val="Hyperlink"/>
            <w:rFonts w:cs="Times New Roman"/>
            <w:szCs w:val="24"/>
            <w:lang w:val="en-US"/>
          </w:rPr>
          <w:t>http://www.dpk.lt/files/LT%20imperatyvios%20normos%20draudikams.pdf</w:t>
        </w:r>
      </w:hyperlink>
      <w:r>
        <w:rPr>
          <w:rFonts w:cs="Times New Roman"/>
          <w:szCs w:val="24"/>
          <w:lang w:val="en-US"/>
        </w:rPr>
        <w:t xml:space="preserve"> </w:t>
      </w:r>
      <w:r>
        <w:rPr>
          <w:rFonts w:cs="Times New Roman"/>
          <w:szCs w:val="24"/>
        </w:rPr>
        <w:t xml:space="preserve">[žiūrėta </w:t>
      </w:r>
      <w:r>
        <w:rPr>
          <w:rFonts w:cs="Times New Roman"/>
          <w:szCs w:val="24"/>
          <w:lang w:val="en-US"/>
        </w:rPr>
        <w:t>2012-11-05].</w:t>
      </w:r>
    </w:p>
    <w:p w:rsidR="00AC71D2" w:rsidRPr="00182C07" w:rsidRDefault="00AC71D2" w:rsidP="00AC71D2">
      <w:pPr>
        <w:pStyle w:val="ListParagraph"/>
        <w:numPr>
          <w:ilvl w:val="0"/>
          <w:numId w:val="9"/>
        </w:numPr>
        <w:ind w:left="567" w:hanging="501"/>
        <w:rPr>
          <w:rFonts w:cs="Times New Roman"/>
          <w:szCs w:val="24"/>
        </w:rPr>
      </w:pPr>
      <w:r w:rsidRPr="0035127C">
        <w:rPr>
          <w:rFonts w:cs="Times New Roman"/>
          <w:b/>
          <w:szCs w:val="24"/>
        </w:rPr>
        <w:t xml:space="preserve">Insurance Market Definition. </w:t>
      </w:r>
      <w:hyperlink r:id="rId62" w:history="1">
        <w:r w:rsidRPr="0035127C">
          <w:rPr>
            <w:rStyle w:val="Hyperlink"/>
            <w:rFonts w:cs="Times New Roman"/>
            <w:szCs w:val="24"/>
          </w:rPr>
          <w:t>http://www.ehow.com/facts_6850867_insurance-market-definition.html</w:t>
        </w:r>
      </w:hyperlink>
      <w:r w:rsidRPr="0035127C">
        <w:rPr>
          <w:rFonts w:cs="Times New Roman"/>
          <w:szCs w:val="24"/>
        </w:rPr>
        <w:t xml:space="preserve">, [žiūrėta </w:t>
      </w:r>
      <w:r w:rsidRPr="0035127C">
        <w:rPr>
          <w:rFonts w:cs="Times New Roman"/>
          <w:szCs w:val="24"/>
          <w:lang w:val="en-US"/>
        </w:rPr>
        <w:t>2011-09-12].</w:t>
      </w:r>
    </w:p>
    <w:p w:rsidR="00AC71D2" w:rsidRPr="004E210C" w:rsidRDefault="00AC71D2" w:rsidP="00AC71D2">
      <w:pPr>
        <w:pStyle w:val="ListParagraph"/>
        <w:numPr>
          <w:ilvl w:val="0"/>
          <w:numId w:val="9"/>
        </w:numPr>
        <w:ind w:left="567" w:hanging="501"/>
        <w:rPr>
          <w:rFonts w:cs="Times New Roman"/>
          <w:szCs w:val="24"/>
        </w:rPr>
      </w:pPr>
      <w:r w:rsidRPr="00182C07">
        <w:rPr>
          <w:b/>
        </w:rPr>
        <w:t>Kelių transporto priemonių skaičius metų pabaigoje.</w:t>
      </w:r>
      <w:r>
        <w:t xml:space="preserve"> Požymiai: administracinė teritorija, transporto rūšis. </w:t>
      </w:r>
      <w:hyperlink r:id="rId63" w:history="1">
        <w:r w:rsidRPr="00E33B23">
          <w:rPr>
            <w:rStyle w:val="Hyperlink"/>
          </w:rPr>
          <w:t>http://db1.stat.gov.lt/statbank/SelectVarVal/Define.asp?Maintable=M7030304&amp;PLanguage=0</w:t>
        </w:r>
      </w:hyperlink>
      <w:r>
        <w:t xml:space="preserve"> </w:t>
      </w:r>
      <w:r>
        <w:rPr>
          <w:rFonts w:cs="Times New Roman"/>
          <w:szCs w:val="24"/>
        </w:rPr>
        <w:t xml:space="preserve">[žiūrėta </w:t>
      </w:r>
      <w:r>
        <w:rPr>
          <w:rFonts w:cs="Times New Roman"/>
          <w:szCs w:val="24"/>
          <w:lang w:val="en-US"/>
        </w:rPr>
        <w:t>2012-11-05].</w:t>
      </w:r>
    </w:p>
    <w:p w:rsidR="00AC71D2" w:rsidRPr="0035127C" w:rsidRDefault="00AC71D2" w:rsidP="00AC71D2">
      <w:pPr>
        <w:pStyle w:val="ListParagraph"/>
        <w:numPr>
          <w:ilvl w:val="0"/>
          <w:numId w:val="9"/>
        </w:numPr>
        <w:ind w:left="567" w:hanging="501"/>
        <w:rPr>
          <w:rFonts w:cs="Times New Roman"/>
          <w:szCs w:val="24"/>
        </w:rPr>
      </w:pPr>
      <w:r w:rsidRPr="004E210C">
        <w:rPr>
          <w:rFonts w:cs="Times New Roman"/>
          <w:b/>
          <w:szCs w:val="24"/>
        </w:rPr>
        <w:t>Ketvirtiniai vartotojų kainų pokyčiai.</w:t>
      </w:r>
      <w:r w:rsidRPr="004E210C">
        <w:rPr>
          <w:rFonts w:cs="Times New Roman"/>
          <w:szCs w:val="24"/>
        </w:rPr>
        <w:t xml:space="preserve"> Požymiai: Individualaus vartojimo išlaidų pagal paskirtį klasifikatorius (COICOP)</w:t>
      </w:r>
      <w:r>
        <w:rPr>
          <w:rFonts w:cs="Times New Roman"/>
          <w:szCs w:val="24"/>
        </w:rPr>
        <w:t xml:space="preserve">. </w:t>
      </w:r>
      <w:hyperlink r:id="rId64" w:history="1">
        <w:r w:rsidRPr="00543C51">
          <w:rPr>
            <w:rStyle w:val="Hyperlink"/>
            <w:rFonts w:cs="Times New Roman"/>
            <w:szCs w:val="24"/>
          </w:rPr>
          <w:t>http://db1.stat.gov.lt/statbank/SelectVarVal/Define.asp?Maintable=M2020108&amp;PLanguage=0</w:t>
        </w:r>
      </w:hyperlink>
      <w:r>
        <w:rPr>
          <w:rFonts w:cs="Times New Roman"/>
          <w:szCs w:val="24"/>
        </w:rPr>
        <w:t xml:space="preserve"> [žiūrėta </w:t>
      </w:r>
      <w:r>
        <w:rPr>
          <w:rFonts w:cs="Times New Roman"/>
          <w:szCs w:val="24"/>
          <w:lang w:val="en-US"/>
        </w:rPr>
        <w:t>2012-11-07].</w:t>
      </w:r>
    </w:p>
    <w:p w:rsidR="00AC71D2" w:rsidRPr="00F466B8" w:rsidRDefault="00AC71D2" w:rsidP="00AC71D2">
      <w:pPr>
        <w:pStyle w:val="ListParagraph"/>
        <w:numPr>
          <w:ilvl w:val="0"/>
          <w:numId w:val="9"/>
        </w:numPr>
        <w:ind w:left="567" w:hanging="501"/>
        <w:rPr>
          <w:rFonts w:cs="Times New Roman"/>
          <w:b/>
          <w:szCs w:val="24"/>
        </w:rPr>
      </w:pPr>
      <w:r>
        <w:rPr>
          <w:rFonts w:cs="Times New Roman"/>
          <w:b/>
          <w:szCs w:val="24"/>
        </w:rPr>
        <w:t xml:space="preserve">Kindurys V. </w:t>
      </w:r>
      <w:r>
        <w:rPr>
          <w:rFonts w:cs="Times New Roman"/>
          <w:szCs w:val="24"/>
        </w:rPr>
        <w:t xml:space="preserve">Draudimo paslaugų marketingas. – Vilnius: Vilniaus universiteto leidykla, </w:t>
      </w:r>
      <w:r>
        <w:rPr>
          <w:rFonts w:cs="Times New Roman"/>
          <w:szCs w:val="24"/>
          <w:lang w:val="en-US"/>
        </w:rPr>
        <w:t>2002</w:t>
      </w:r>
      <w:r>
        <w:rPr>
          <w:rFonts w:cs="Times New Roman"/>
          <w:szCs w:val="24"/>
        </w:rPr>
        <w:t xml:space="preserve">. – ISBN </w:t>
      </w:r>
      <w:r>
        <w:rPr>
          <w:rFonts w:cs="Times New Roman"/>
          <w:szCs w:val="24"/>
          <w:lang w:val="en-US"/>
        </w:rPr>
        <w:t>9986-19-471-7.</w:t>
      </w:r>
    </w:p>
    <w:p w:rsidR="00AC71D2" w:rsidRPr="00247E7C" w:rsidRDefault="00AC71D2" w:rsidP="00AC71D2">
      <w:pPr>
        <w:pStyle w:val="ListParagraph"/>
        <w:numPr>
          <w:ilvl w:val="0"/>
          <w:numId w:val="9"/>
        </w:numPr>
        <w:ind w:left="567" w:hanging="501"/>
        <w:rPr>
          <w:rFonts w:cs="Times New Roman"/>
          <w:szCs w:val="24"/>
        </w:rPr>
      </w:pPr>
      <w:r w:rsidRPr="00F466B8">
        <w:rPr>
          <w:rFonts w:cs="Times New Roman"/>
          <w:b/>
          <w:szCs w:val="24"/>
        </w:rPr>
        <w:t xml:space="preserve">Kolegijų studentai. </w:t>
      </w:r>
      <w:r w:rsidRPr="00F466B8">
        <w:rPr>
          <w:rFonts w:cs="Times New Roman"/>
          <w:szCs w:val="24"/>
        </w:rPr>
        <w:t>Požymiai: lėšų šaltinis.</w:t>
      </w:r>
      <w:r>
        <w:rPr>
          <w:rFonts w:cs="Times New Roman"/>
          <w:b/>
          <w:szCs w:val="24"/>
        </w:rPr>
        <w:t xml:space="preserve"> </w:t>
      </w:r>
      <w:hyperlink r:id="rId65" w:history="1">
        <w:r w:rsidRPr="00F466B8">
          <w:rPr>
            <w:rStyle w:val="Hyperlink"/>
            <w:rFonts w:cs="Times New Roman"/>
            <w:szCs w:val="24"/>
          </w:rPr>
          <w:t>http://db1.stat.gov.lt/statbank/SelectVarVal/Define.asp?Maintable=M3110605&amp;PLanguage=0</w:t>
        </w:r>
      </w:hyperlink>
      <w:r>
        <w:rPr>
          <w:rFonts w:cs="Times New Roman"/>
          <w:b/>
          <w:szCs w:val="24"/>
        </w:rPr>
        <w:t xml:space="preserve"> </w:t>
      </w:r>
      <w:r w:rsidRPr="0035127C">
        <w:rPr>
          <w:rFonts w:cs="Times New Roman"/>
          <w:szCs w:val="24"/>
        </w:rPr>
        <w:t xml:space="preserve">[žiūrėta </w:t>
      </w:r>
      <w:r>
        <w:rPr>
          <w:rFonts w:cs="Times New Roman"/>
          <w:szCs w:val="24"/>
          <w:lang w:val="en-US"/>
        </w:rPr>
        <w:t>2012-11-06].</w:t>
      </w:r>
    </w:p>
    <w:p w:rsidR="00AC71D2" w:rsidRPr="009C4F88" w:rsidRDefault="00AC71D2" w:rsidP="00AC71D2">
      <w:pPr>
        <w:pStyle w:val="ListParagraph"/>
        <w:numPr>
          <w:ilvl w:val="0"/>
          <w:numId w:val="9"/>
        </w:numPr>
        <w:ind w:left="567" w:hanging="501"/>
        <w:rPr>
          <w:rFonts w:cs="Times New Roman"/>
          <w:szCs w:val="24"/>
        </w:rPr>
      </w:pPr>
      <w:r w:rsidRPr="00247E7C">
        <w:rPr>
          <w:rFonts w:cs="Times New Roman"/>
          <w:b/>
          <w:szCs w:val="24"/>
        </w:rPr>
        <w:t>Kompensacija darbuotojams bei algos ir atlyginimai pajamų metodu.</w:t>
      </w:r>
      <w:r w:rsidRPr="00247E7C">
        <w:rPr>
          <w:rFonts w:cs="Times New Roman"/>
          <w:szCs w:val="24"/>
        </w:rPr>
        <w:t xml:space="preserve"> Požymiai: ekonominės veiklos rūšis (EVRK 2; 10 veiklų)</w:t>
      </w:r>
      <w:r>
        <w:rPr>
          <w:rFonts w:cs="Times New Roman"/>
          <w:szCs w:val="24"/>
        </w:rPr>
        <w:t xml:space="preserve">. </w:t>
      </w:r>
      <w:hyperlink r:id="rId66" w:history="1">
        <w:r w:rsidRPr="00543C51">
          <w:rPr>
            <w:rStyle w:val="Hyperlink"/>
            <w:rFonts w:cs="Times New Roman"/>
            <w:szCs w:val="24"/>
          </w:rPr>
          <w:t>http://db1.stat.gov.lt/statbank/SelectVarVal/Define.asp?Maintable=M2010129&amp;PLanguage=0</w:t>
        </w:r>
      </w:hyperlink>
      <w:r>
        <w:rPr>
          <w:rFonts w:cs="Times New Roman"/>
          <w:szCs w:val="24"/>
        </w:rPr>
        <w:t xml:space="preserve"> </w:t>
      </w:r>
      <w:bookmarkStart w:id="298" w:name="OLE_LINK9"/>
      <w:bookmarkStart w:id="299" w:name="OLE_LINK10"/>
      <w:r w:rsidRPr="0035127C">
        <w:rPr>
          <w:rFonts w:cs="Times New Roman"/>
          <w:szCs w:val="24"/>
        </w:rPr>
        <w:t xml:space="preserve">[žiūrėta </w:t>
      </w:r>
      <w:r>
        <w:rPr>
          <w:rFonts w:cs="Times New Roman"/>
          <w:szCs w:val="24"/>
          <w:lang w:val="en-US"/>
        </w:rPr>
        <w:t>2012-11-07].</w:t>
      </w:r>
      <w:bookmarkEnd w:id="298"/>
      <w:bookmarkEnd w:id="299"/>
    </w:p>
    <w:p w:rsidR="00AC71D2" w:rsidRDefault="00AC71D2" w:rsidP="00AC71D2">
      <w:pPr>
        <w:pStyle w:val="ListParagraph"/>
        <w:numPr>
          <w:ilvl w:val="0"/>
          <w:numId w:val="9"/>
        </w:numPr>
        <w:ind w:left="567" w:hanging="501"/>
        <w:rPr>
          <w:rFonts w:cs="Times New Roman"/>
          <w:b/>
          <w:szCs w:val="24"/>
        </w:rPr>
      </w:pPr>
      <w:r>
        <w:rPr>
          <w:rFonts w:cs="Times New Roman"/>
          <w:b/>
          <w:szCs w:val="24"/>
        </w:rPr>
        <w:t xml:space="preserve">Levine et al. </w:t>
      </w:r>
      <w:r w:rsidRPr="00B06CA0">
        <w:rPr>
          <w:rFonts w:cs="Times New Roman"/>
          <w:szCs w:val="24"/>
          <w:lang w:val="en-US"/>
        </w:rPr>
        <w:t>Financial</w:t>
      </w:r>
      <w:r>
        <w:rPr>
          <w:rFonts w:cs="Times New Roman"/>
          <w:szCs w:val="24"/>
        </w:rPr>
        <w:t xml:space="preserve"> </w:t>
      </w:r>
      <w:r>
        <w:rPr>
          <w:rFonts w:cs="Times New Roman"/>
          <w:szCs w:val="24"/>
          <w:lang w:val="en-US"/>
        </w:rPr>
        <w:t xml:space="preserve">Intermediation and Growth: </w:t>
      </w:r>
      <w:r w:rsidRPr="00B06CA0">
        <w:rPr>
          <w:rFonts w:cs="Times New Roman"/>
          <w:szCs w:val="24"/>
          <w:lang w:val="en-US"/>
        </w:rPr>
        <w:t>Casuality</w:t>
      </w:r>
      <w:r>
        <w:rPr>
          <w:rFonts w:cs="Times New Roman"/>
          <w:szCs w:val="24"/>
          <w:lang w:val="en-US"/>
        </w:rPr>
        <w:t xml:space="preserve"> and Causes // Journal of Monetary Economics, Vol. 46, Nr. 1.</w:t>
      </w:r>
    </w:p>
    <w:p w:rsidR="00AC71D2" w:rsidRPr="0035127C" w:rsidRDefault="00AC71D2" w:rsidP="00AC71D2">
      <w:pPr>
        <w:pStyle w:val="ListParagraph"/>
        <w:numPr>
          <w:ilvl w:val="0"/>
          <w:numId w:val="9"/>
        </w:numPr>
        <w:ind w:left="567" w:hanging="501"/>
        <w:rPr>
          <w:rFonts w:cs="Times New Roman"/>
          <w:b/>
          <w:szCs w:val="24"/>
        </w:rPr>
      </w:pPr>
      <w:r w:rsidRPr="0035127C">
        <w:rPr>
          <w:rFonts w:cs="Times New Roman"/>
          <w:b/>
          <w:szCs w:val="24"/>
        </w:rPr>
        <w:t xml:space="preserve">Lezgovko A. </w:t>
      </w:r>
      <w:r w:rsidRPr="0035127C">
        <w:rPr>
          <w:rFonts w:cs="Times New Roman"/>
          <w:szCs w:val="24"/>
        </w:rPr>
        <w:t>Draudimo ekonomikos pagrindai</w:t>
      </w:r>
      <w:r>
        <w:rPr>
          <w:rFonts w:cs="Times New Roman"/>
          <w:szCs w:val="24"/>
        </w:rPr>
        <w:t>. –</w:t>
      </w:r>
      <w:r w:rsidRPr="0035127C">
        <w:rPr>
          <w:rFonts w:cs="Times New Roman"/>
          <w:szCs w:val="24"/>
        </w:rPr>
        <w:t xml:space="preserve"> Klaipėda</w:t>
      </w:r>
      <w:r>
        <w:rPr>
          <w:rFonts w:cs="Times New Roman"/>
          <w:szCs w:val="24"/>
        </w:rPr>
        <w:t>: Klaipėdos universiteto leidykla</w:t>
      </w:r>
      <w:r w:rsidRPr="0035127C">
        <w:rPr>
          <w:rFonts w:cs="Times New Roman"/>
          <w:szCs w:val="24"/>
        </w:rPr>
        <w:t>, 2010. – ISBN 978-9955-18-468-3.</w:t>
      </w:r>
    </w:p>
    <w:p w:rsidR="00AC71D2" w:rsidRPr="00D90775" w:rsidRDefault="00AC71D2" w:rsidP="00AC71D2">
      <w:pPr>
        <w:pStyle w:val="ListParagraph"/>
        <w:numPr>
          <w:ilvl w:val="0"/>
          <w:numId w:val="9"/>
        </w:numPr>
        <w:ind w:left="567" w:hanging="501"/>
        <w:rPr>
          <w:rFonts w:cs="Times New Roman"/>
          <w:b/>
          <w:szCs w:val="24"/>
        </w:rPr>
      </w:pPr>
      <w:r>
        <w:rPr>
          <w:rFonts w:cs="Times New Roman"/>
          <w:b/>
          <w:szCs w:val="24"/>
        </w:rPr>
        <w:t xml:space="preserve">Lezgovko A., Lastauskas P. </w:t>
      </w:r>
      <w:r>
        <w:rPr>
          <w:rFonts w:cs="Times New Roman"/>
          <w:szCs w:val="24"/>
        </w:rPr>
        <w:t xml:space="preserve">Draudimo verslo plėtra: teoriniai aspektai ir rinkos plėtros prielaidos // Verslas: teorija ir praktika: Vilnius, Vilniaus Gedimino technikos universitetas, </w:t>
      </w:r>
      <w:r>
        <w:rPr>
          <w:rFonts w:cs="Times New Roman"/>
          <w:szCs w:val="24"/>
          <w:lang w:val="en-US"/>
        </w:rPr>
        <w:t>2008, Nr. 9(2).</w:t>
      </w:r>
    </w:p>
    <w:p w:rsidR="00AC71D2" w:rsidRPr="00C122C7" w:rsidRDefault="00AC71D2" w:rsidP="00AC71D2">
      <w:pPr>
        <w:pStyle w:val="ListParagraph"/>
        <w:numPr>
          <w:ilvl w:val="0"/>
          <w:numId w:val="9"/>
        </w:numPr>
        <w:ind w:left="567" w:hanging="501"/>
        <w:rPr>
          <w:rFonts w:cs="Times New Roman"/>
          <w:b/>
          <w:szCs w:val="24"/>
        </w:rPr>
      </w:pPr>
      <w:r>
        <w:rPr>
          <w:rFonts w:cs="Times New Roman"/>
          <w:b/>
          <w:szCs w:val="24"/>
        </w:rPr>
        <w:t xml:space="preserve">Lezgovko A., Lastauskas P. </w:t>
      </w:r>
      <w:r>
        <w:rPr>
          <w:rFonts w:cs="Times New Roman"/>
          <w:szCs w:val="24"/>
        </w:rPr>
        <w:t xml:space="preserve">Šiuolaikinė draudimo rinka ES šalyse ir Lietuvoje: analizė ir perspektyvos // Ekonomika, </w:t>
      </w:r>
      <w:r>
        <w:rPr>
          <w:rFonts w:cs="Times New Roman"/>
          <w:szCs w:val="24"/>
          <w:lang w:val="en-US"/>
        </w:rPr>
        <w:t xml:space="preserve">2008, </w:t>
      </w:r>
      <w:r>
        <w:rPr>
          <w:rFonts w:cs="Times New Roman"/>
          <w:szCs w:val="24"/>
        </w:rPr>
        <w:t xml:space="preserve">Nr. </w:t>
      </w:r>
      <w:r>
        <w:rPr>
          <w:rFonts w:cs="Times New Roman"/>
          <w:szCs w:val="24"/>
          <w:lang w:val="en-US"/>
        </w:rPr>
        <w:t xml:space="preserve">82. </w:t>
      </w:r>
      <w:r>
        <w:rPr>
          <w:rFonts w:cs="Times New Roman"/>
          <w:szCs w:val="24"/>
        </w:rPr>
        <w:t xml:space="preserve">– ISSN </w:t>
      </w:r>
      <w:r>
        <w:rPr>
          <w:rFonts w:cs="Times New Roman"/>
          <w:szCs w:val="24"/>
          <w:lang w:val="en-US"/>
        </w:rPr>
        <w:t>1392-1258.</w:t>
      </w:r>
    </w:p>
    <w:p w:rsidR="00AC71D2" w:rsidRPr="00C122C7" w:rsidRDefault="00AC71D2" w:rsidP="00AC71D2">
      <w:pPr>
        <w:pStyle w:val="ListParagraph"/>
        <w:numPr>
          <w:ilvl w:val="0"/>
          <w:numId w:val="9"/>
        </w:numPr>
        <w:ind w:left="567" w:hanging="501"/>
        <w:rPr>
          <w:rFonts w:cs="Times New Roman"/>
          <w:szCs w:val="24"/>
        </w:rPr>
      </w:pPr>
      <w:r>
        <w:rPr>
          <w:rFonts w:cs="Times New Roman"/>
          <w:b/>
          <w:szCs w:val="24"/>
        </w:rPr>
        <w:t xml:space="preserve">Lietuva – nuosavo būsto ar nuomos kraštas? </w:t>
      </w:r>
      <w:hyperlink r:id="rId67" w:history="1">
        <w:r w:rsidRPr="00A43B85">
          <w:rPr>
            <w:rStyle w:val="Hyperlink"/>
            <w:rFonts w:cs="Times New Roman"/>
            <w:szCs w:val="24"/>
          </w:rPr>
          <w:t>http://www.slideshare.net/SwedbankLietuvoje/lietuva-nuosavo-bsto-ar-nuomos-kratas</w:t>
        </w:r>
      </w:hyperlink>
      <w:r>
        <w:rPr>
          <w:rFonts w:cs="Times New Roman"/>
          <w:szCs w:val="24"/>
        </w:rPr>
        <w:t xml:space="preserve"> </w:t>
      </w:r>
      <w:r w:rsidRPr="0035127C">
        <w:rPr>
          <w:rFonts w:cs="Times New Roman"/>
          <w:szCs w:val="24"/>
        </w:rPr>
        <w:t xml:space="preserve">[žiūrėta </w:t>
      </w:r>
      <w:r>
        <w:rPr>
          <w:rFonts w:cs="Times New Roman"/>
          <w:szCs w:val="24"/>
          <w:lang w:val="en-US"/>
        </w:rPr>
        <w:t>2012-11-06].</w:t>
      </w:r>
    </w:p>
    <w:p w:rsidR="00AC71D2" w:rsidRPr="0083271F" w:rsidRDefault="00AC71D2" w:rsidP="00AC71D2">
      <w:pPr>
        <w:pStyle w:val="ListParagraph"/>
        <w:numPr>
          <w:ilvl w:val="0"/>
          <w:numId w:val="9"/>
        </w:numPr>
        <w:ind w:left="567" w:hanging="501"/>
        <w:rPr>
          <w:rFonts w:cs="Times New Roman"/>
          <w:b/>
          <w:szCs w:val="24"/>
        </w:rPr>
      </w:pPr>
      <w:r>
        <w:rPr>
          <w:rFonts w:cs="Times New Roman"/>
          <w:b/>
          <w:szCs w:val="24"/>
        </w:rPr>
        <w:lastRenderedPageBreak/>
        <w:t xml:space="preserve">Lietuvos bankas. </w:t>
      </w:r>
      <w:r>
        <w:rPr>
          <w:rFonts w:cs="Times New Roman"/>
          <w:szCs w:val="24"/>
        </w:rPr>
        <w:t xml:space="preserve">Lietuvos ekonomikos apžvalga </w:t>
      </w:r>
      <w:r>
        <w:rPr>
          <w:rFonts w:cs="Times New Roman"/>
          <w:szCs w:val="24"/>
          <w:lang w:val="en-US"/>
        </w:rPr>
        <w:t xml:space="preserve">2012 </w:t>
      </w:r>
      <w:r>
        <w:rPr>
          <w:rFonts w:cs="Times New Roman"/>
          <w:szCs w:val="24"/>
        </w:rPr>
        <w:t xml:space="preserve">rugpjūtis. </w:t>
      </w:r>
      <w:hyperlink r:id="rId68" w:history="1">
        <w:r w:rsidRPr="00E33B23">
          <w:rPr>
            <w:rStyle w:val="Hyperlink"/>
            <w:rFonts w:cs="Times New Roman"/>
            <w:szCs w:val="24"/>
          </w:rPr>
          <w:t>http://www.lb.lt/lietuvos_ekonomikos_apzvalga_2012_m_rugpjucio_men</w:t>
        </w:r>
      </w:hyperlink>
      <w:r>
        <w:rPr>
          <w:rFonts w:cs="Times New Roman"/>
          <w:szCs w:val="24"/>
        </w:rPr>
        <w:t xml:space="preserve"> [žiūrėta </w:t>
      </w:r>
      <w:r>
        <w:rPr>
          <w:rFonts w:cs="Times New Roman"/>
          <w:szCs w:val="24"/>
          <w:lang w:val="en-US"/>
        </w:rPr>
        <w:t>2012-11-05].</w:t>
      </w:r>
    </w:p>
    <w:p w:rsidR="00AC71D2" w:rsidRPr="001946A3" w:rsidRDefault="00AC71D2" w:rsidP="00AC71D2">
      <w:pPr>
        <w:pStyle w:val="ListParagraph"/>
        <w:numPr>
          <w:ilvl w:val="0"/>
          <w:numId w:val="9"/>
        </w:numPr>
        <w:ind w:left="567" w:hanging="501"/>
        <w:rPr>
          <w:rFonts w:cs="Times New Roman"/>
          <w:b/>
          <w:szCs w:val="24"/>
        </w:rPr>
      </w:pPr>
      <w:r>
        <w:rPr>
          <w:rFonts w:cs="Times New Roman"/>
          <w:b/>
          <w:szCs w:val="24"/>
        </w:rPr>
        <w:t xml:space="preserve">Lietuvos bankas. </w:t>
      </w:r>
      <w:r>
        <w:rPr>
          <w:rFonts w:cs="Times New Roman"/>
          <w:szCs w:val="24"/>
        </w:rPr>
        <w:t xml:space="preserve">Lietuvos draudimo rinkos apžvalga / </w:t>
      </w:r>
      <w:r>
        <w:rPr>
          <w:rFonts w:cs="Times New Roman"/>
          <w:szCs w:val="24"/>
          <w:lang w:val="en-US"/>
        </w:rPr>
        <w:t xml:space="preserve">2011 m. </w:t>
      </w:r>
      <w:r>
        <w:rPr>
          <w:rFonts w:cs="Times New Roman"/>
          <w:szCs w:val="24"/>
        </w:rPr>
        <w:t xml:space="preserve">gruodis. – Vilnius, </w:t>
      </w:r>
      <w:r>
        <w:rPr>
          <w:rFonts w:cs="Times New Roman"/>
          <w:szCs w:val="24"/>
          <w:lang w:val="en-US"/>
        </w:rPr>
        <w:t xml:space="preserve">2012. </w:t>
      </w:r>
      <w:hyperlink r:id="rId69" w:history="1">
        <w:r w:rsidRPr="0042641E">
          <w:rPr>
            <w:rStyle w:val="Hyperlink"/>
            <w:rFonts w:cs="Times New Roman"/>
            <w:szCs w:val="24"/>
            <w:lang w:val="en-US"/>
          </w:rPr>
          <w:t>http://www.lb.lt/2011_m_12_men_draudimo_rinkos_apzvalga</w:t>
        </w:r>
      </w:hyperlink>
      <w:r>
        <w:rPr>
          <w:rFonts w:cs="Times New Roman"/>
          <w:szCs w:val="24"/>
          <w:lang w:val="en-US"/>
        </w:rPr>
        <w:t xml:space="preserve"> [</w:t>
      </w:r>
      <w:r>
        <w:rPr>
          <w:rFonts w:cs="Times New Roman"/>
          <w:szCs w:val="24"/>
        </w:rPr>
        <w:t xml:space="preserve">žiūrėta </w:t>
      </w:r>
      <w:r>
        <w:rPr>
          <w:rFonts w:cs="Times New Roman"/>
          <w:szCs w:val="24"/>
          <w:lang w:val="en-US"/>
        </w:rPr>
        <w:t>2012-10-14].</w:t>
      </w:r>
    </w:p>
    <w:p w:rsidR="00AC71D2" w:rsidRPr="00463A65" w:rsidRDefault="00AC71D2" w:rsidP="00AC71D2">
      <w:pPr>
        <w:pStyle w:val="ListParagraph"/>
        <w:numPr>
          <w:ilvl w:val="0"/>
          <w:numId w:val="9"/>
        </w:numPr>
        <w:ind w:left="567" w:hanging="501"/>
        <w:rPr>
          <w:rFonts w:cs="Times New Roman"/>
          <w:b/>
          <w:szCs w:val="24"/>
        </w:rPr>
      </w:pPr>
      <w:r>
        <w:rPr>
          <w:rFonts w:cs="Times New Roman"/>
          <w:b/>
          <w:szCs w:val="24"/>
        </w:rPr>
        <w:t xml:space="preserve">Lietuvos bankas. </w:t>
      </w:r>
      <w:r>
        <w:rPr>
          <w:rFonts w:cs="Times New Roman"/>
          <w:szCs w:val="24"/>
        </w:rPr>
        <w:t xml:space="preserve">Lietuvos draudimo rinkos apžvalga / </w:t>
      </w:r>
      <w:r>
        <w:rPr>
          <w:rFonts w:cs="Times New Roman"/>
          <w:szCs w:val="24"/>
          <w:lang w:val="en-US"/>
        </w:rPr>
        <w:t>2012 met</w:t>
      </w:r>
      <w:r>
        <w:rPr>
          <w:rFonts w:cs="Times New Roman"/>
          <w:szCs w:val="24"/>
        </w:rPr>
        <w:t xml:space="preserve">ų II ketvirtis. – Vilnius, 2012. </w:t>
      </w:r>
      <w:hyperlink r:id="rId70" w:history="1">
        <w:r w:rsidRPr="0042641E">
          <w:rPr>
            <w:rStyle w:val="Hyperlink"/>
            <w:rFonts w:cs="Times New Roman"/>
            <w:szCs w:val="24"/>
          </w:rPr>
          <w:t>http://www.lb.lt/2012_m_ii_ketv_lietuvos_draudimo_rinkos_apzvalga</w:t>
        </w:r>
      </w:hyperlink>
      <w:r>
        <w:rPr>
          <w:rFonts w:cs="Times New Roman"/>
          <w:szCs w:val="24"/>
        </w:rPr>
        <w:t xml:space="preserve"> </w:t>
      </w:r>
      <w:r>
        <w:rPr>
          <w:rFonts w:cs="Times New Roman"/>
          <w:szCs w:val="24"/>
          <w:lang w:val="en-US"/>
        </w:rPr>
        <w:t>[</w:t>
      </w:r>
      <w:r>
        <w:rPr>
          <w:rFonts w:cs="Times New Roman"/>
          <w:szCs w:val="24"/>
        </w:rPr>
        <w:t xml:space="preserve">žiūrėta </w:t>
      </w:r>
      <w:r>
        <w:rPr>
          <w:rFonts w:cs="Times New Roman"/>
          <w:szCs w:val="24"/>
          <w:lang w:val="en-US"/>
        </w:rPr>
        <w:t>2012-10-13].</w:t>
      </w:r>
    </w:p>
    <w:p w:rsidR="00AC71D2" w:rsidRPr="00604990" w:rsidRDefault="00AC71D2" w:rsidP="00AC71D2">
      <w:pPr>
        <w:pStyle w:val="ListParagraph"/>
        <w:numPr>
          <w:ilvl w:val="0"/>
          <w:numId w:val="9"/>
        </w:numPr>
        <w:ind w:left="567" w:hanging="501"/>
        <w:rPr>
          <w:rFonts w:cs="Times New Roman"/>
          <w:szCs w:val="24"/>
        </w:rPr>
      </w:pPr>
      <w:r w:rsidRPr="00463A65">
        <w:rPr>
          <w:rFonts w:cs="Times New Roman"/>
          <w:b/>
          <w:szCs w:val="24"/>
        </w:rPr>
        <w:t>Lietuvoje gyventojo ne gyvybės draudimui vidutiniškai tenka vos 100 EU per metus</w:t>
      </w:r>
      <w:r>
        <w:rPr>
          <w:rFonts w:cs="Times New Roman"/>
          <w:b/>
          <w:szCs w:val="24"/>
        </w:rPr>
        <w:t xml:space="preserve">. </w:t>
      </w:r>
      <w:hyperlink r:id="rId71" w:history="1">
        <w:r w:rsidRPr="00463A65">
          <w:rPr>
            <w:rStyle w:val="Hyperlink"/>
            <w:rFonts w:cs="Times New Roman"/>
            <w:szCs w:val="24"/>
          </w:rPr>
          <w:t>http://www.draudikai.lt/doc/12-rinkos-statistika2pdf</w:t>
        </w:r>
      </w:hyperlink>
      <w:r w:rsidRPr="00463A65">
        <w:rPr>
          <w:rFonts w:cs="Times New Roman"/>
          <w:szCs w:val="24"/>
        </w:rPr>
        <w:t xml:space="preserve">  </w:t>
      </w:r>
      <w:r w:rsidRPr="0035127C">
        <w:rPr>
          <w:rFonts w:cs="Times New Roman"/>
          <w:szCs w:val="24"/>
        </w:rPr>
        <w:t xml:space="preserve">[žiūrėta </w:t>
      </w:r>
      <w:r>
        <w:rPr>
          <w:rFonts w:cs="Times New Roman"/>
          <w:szCs w:val="24"/>
          <w:lang w:val="en-US"/>
        </w:rPr>
        <w:t>2012-11-06].</w:t>
      </w:r>
    </w:p>
    <w:p w:rsidR="00604990" w:rsidRPr="00604990" w:rsidRDefault="00604990" w:rsidP="00AC71D2">
      <w:pPr>
        <w:pStyle w:val="ListParagraph"/>
        <w:numPr>
          <w:ilvl w:val="0"/>
          <w:numId w:val="9"/>
        </w:numPr>
        <w:ind w:left="567" w:hanging="501"/>
        <w:rPr>
          <w:rFonts w:cs="Times New Roman"/>
          <w:szCs w:val="24"/>
        </w:rPr>
      </w:pPr>
      <w:r>
        <w:rPr>
          <w:rFonts w:cs="Times New Roman"/>
          <w:b/>
          <w:szCs w:val="24"/>
        </w:rPr>
        <w:t xml:space="preserve">Lietuvos Respublikos civilinis kodeksas. </w:t>
      </w:r>
      <w:hyperlink r:id="rId72" w:history="1">
        <w:r w:rsidRPr="00604990">
          <w:rPr>
            <w:rStyle w:val="Hyperlink"/>
            <w:rFonts w:cs="Times New Roman"/>
            <w:szCs w:val="24"/>
          </w:rPr>
          <w:t>http://www3.lrs.lt/pls/inter3/dokpaieska.showdoc_l?p_id=430479</w:t>
        </w:r>
      </w:hyperlink>
      <w:r w:rsidRPr="00604990">
        <w:rPr>
          <w:rFonts w:cs="Times New Roman"/>
          <w:szCs w:val="24"/>
        </w:rPr>
        <w:t xml:space="preserve"> </w:t>
      </w:r>
      <w:r w:rsidRPr="0035127C">
        <w:rPr>
          <w:rFonts w:cs="Times New Roman"/>
          <w:szCs w:val="24"/>
        </w:rPr>
        <w:t xml:space="preserve">[žiūrėta </w:t>
      </w:r>
      <w:r>
        <w:rPr>
          <w:rFonts w:cs="Times New Roman"/>
          <w:szCs w:val="24"/>
          <w:lang w:val="en-US"/>
        </w:rPr>
        <w:t>2012-11-25].</w:t>
      </w:r>
    </w:p>
    <w:p w:rsidR="00AC71D2" w:rsidRPr="00C0188A" w:rsidRDefault="00AC71D2" w:rsidP="00AC71D2">
      <w:pPr>
        <w:pStyle w:val="ListParagraph"/>
        <w:numPr>
          <w:ilvl w:val="0"/>
          <w:numId w:val="9"/>
        </w:numPr>
        <w:ind w:left="567" w:hanging="501"/>
        <w:rPr>
          <w:rFonts w:cs="Times New Roman"/>
          <w:b/>
          <w:szCs w:val="24"/>
        </w:rPr>
      </w:pPr>
      <w:r w:rsidRPr="0035127C">
        <w:rPr>
          <w:rFonts w:cs="Times New Roman"/>
          <w:b/>
          <w:szCs w:val="24"/>
        </w:rPr>
        <w:t xml:space="preserve">Lietuvos Respublikos draudimo įstatymas. </w:t>
      </w:r>
      <w:hyperlink r:id="rId73" w:history="1">
        <w:r w:rsidRPr="006B0B41">
          <w:rPr>
            <w:rStyle w:val="Hyperlink"/>
            <w:rFonts w:cs="Times New Roman"/>
            <w:szCs w:val="24"/>
          </w:rPr>
          <w:t>http://www3.lrs.lt/pls/inter3/dokpaieska.showdoc_l?p_id=413102</w:t>
        </w:r>
      </w:hyperlink>
      <w:r w:rsidRPr="0035127C">
        <w:rPr>
          <w:rFonts w:cs="Times New Roman"/>
          <w:szCs w:val="24"/>
        </w:rPr>
        <w:t xml:space="preserve">, [žiūrėta </w:t>
      </w:r>
      <w:r w:rsidRPr="0035127C">
        <w:rPr>
          <w:rFonts w:cs="Times New Roman"/>
          <w:szCs w:val="24"/>
          <w:lang w:val="en-US"/>
        </w:rPr>
        <w:t>201</w:t>
      </w:r>
      <w:r>
        <w:rPr>
          <w:rFonts w:cs="Times New Roman"/>
          <w:szCs w:val="24"/>
          <w:lang w:val="en-US"/>
        </w:rPr>
        <w:t>2</w:t>
      </w:r>
      <w:r w:rsidRPr="0035127C">
        <w:rPr>
          <w:rFonts w:cs="Times New Roman"/>
          <w:szCs w:val="24"/>
          <w:lang w:val="en-US"/>
        </w:rPr>
        <w:t>-</w:t>
      </w:r>
      <w:r>
        <w:rPr>
          <w:rFonts w:cs="Times New Roman"/>
          <w:szCs w:val="24"/>
          <w:lang w:val="en-US"/>
        </w:rPr>
        <w:t>06-09,  2012-11-05</w:t>
      </w:r>
      <w:r w:rsidRPr="0035127C">
        <w:rPr>
          <w:rFonts w:cs="Times New Roman"/>
          <w:szCs w:val="24"/>
          <w:lang w:val="en-US"/>
        </w:rPr>
        <w:t>].</w:t>
      </w:r>
    </w:p>
    <w:p w:rsidR="00AC71D2" w:rsidRPr="000A5F3C" w:rsidRDefault="00AC71D2" w:rsidP="00AC71D2">
      <w:pPr>
        <w:pStyle w:val="ListParagraph"/>
        <w:numPr>
          <w:ilvl w:val="0"/>
          <w:numId w:val="9"/>
        </w:numPr>
        <w:ind w:left="567" w:hanging="501"/>
        <w:rPr>
          <w:rFonts w:cs="Times New Roman"/>
          <w:b/>
          <w:szCs w:val="24"/>
        </w:rPr>
      </w:pPr>
      <w:r w:rsidRPr="000A5F3C">
        <w:rPr>
          <w:rFonts w:cs="Times New Roman"/>
          <w:b/>
          <w:szCs w:val="24"/>
        </w:rPr>
        <w:t xml:space="preserve">Lietuvos Respublikos draudimo priežiūros komisija. </w:t>
      </w:r>
      <w:r w:rsidRPr="000A5F3C">
        <w:rPr>
          <w:rFonts w:cs="Times New Roman"/>
          <w:szCs w:val="24"/>
        </w:rPr>
        <w:t>Biuletenis / 2010 metai.</w:t>
      </w:r>
      <w:r>
        <w:rPr>
          <w:rFonts w:cs="Times New Roman"/>
          <w:szCs w:val="24"/>
        </w:rPr>
        <w:t xml:space="preserve"> </w:t>
      </w:r>
      <w:hyperlink r:id="rId74" w:history="1">
        <w:r w:rsidRPr="0042641E">
          <w:rPr>
            <w:rStyle w:val="Hyperlink"/>
            <w:rFonts w:cs="Times New Roman"/>
            <w:szCs w:val="24"/>
          </w:rPr>
          <w:t>http://www.dpk.lt/files/biuletenis/2010_II_pusm.xls</w:t>
        </w:r>
      </w:hyperlink>
      <w:r>
        <w:rPr>
          <w:rFonts w:cs="Times New Roman"/>
          <w:szCs w:val="24"/>
        </w:rPr>
        <w:t xml:space="preserve"> </w:t>
      </w:r>
      <w:r>
        <w:rPr>
          <w:rFonts w:cs="Times New Roman"/>
          <w:szCs w:val="24"/>
          <w:lang w:val="en-US"/>
        </w:rPr>
        <w:t>[</w:t>
      </w:r>
      <w:r>
        <w:rPr>
          <w:rFonts w:cs="Times New Roman"/>
          <w:szCs w:val="24"/>
        </w:rPr>
        <w:t xml:space="preserve">žiūrėta </w:t>
      </w:r>
      <w:r>
        <w:rPr>
          <w:rFonts w:cs="Times New Roman"/>
          <w:szCs w:val="24"/>
          <w:lang w:val="en-US"/>
        </w:rPr>
        <w:t>2012-10-13].</w:t>
      </w:r>
    </w:p>
    <w:p w:rsidR="00AC71D2" w:rsidRPr="004258D4" w:rsidRDefault="00AC71D2" w:rsidP="00AC71D2">
      <w:pPr>
        <w:pStyle w:val="ListParagraph"/>
        <w:numPr>
          <w:ilvl w:val="0"/>
          <w:numId w:val="9"/>
        </w:numPr>
        <w:ind w:left="567" w:hanging="501"/>
        <w:rPr>
          <w:rFonts w:cs="Times New Roman"/>
          <w:b/>
          <w:szCs w:val="24"/>
        </w:rPr>
      </w:pPr>
      <w:r w:rsidRPr="00F32EA8">
        <w:rPr>
          <w:rFonts w:cs="Times New Roman"/>
          <w:b/>
          <w:szCs w:val="24"/>
        </w:rPr>
        <w:t xml:space="preserve">Lietuvos Respublikos draudimo priežiūros komisija. </w:t>
      </w:r>
      <w:r>
        <w:rPr>
          <w:rFonts w:cs="Times New Roman"/>
          <w:szCs w:val="24"/>
        </w:rPr>
        <w:t xml:space="preserve">Draudimas Lietuvoje </w:t>
      </w:r>
      <w:r>
        <w:rPr>
          <w:rFonts w:cs="Times New Roman"/>
          <w:szCs w:val="24"/>
          <w:lang w:val="en-US"/>
        </w:rPr>
        <w:t xml:space="preserve">2004. – Vilnius, 2005. </w:t>
      </w:r>
      <w:hyperlink r:id="rId75" w:history="1">
        <w:r w:rsidRPr="0042641E">
          <w:rPr>
            <w:rStyle w:val="Hyperlink"/>
          </w:rPr>
          <w:t>http://www.dpk.lt/files/apzvalga/apzvalga2004.pdf</w:t>
        </w:r>
      </w:hyperlink>
      <w:r>
        <w:t xml:space="preserve"> </w:t>
      </w:r>
      <w:r>
        <w:rPr>
          <w:rFonts w:cs="Times New Roman"/>
          <w:szCs w:val="24"/>
          <w:lang w:val="en-US"/>
        </w:rPr>
        <w:t>[</w:t>
      </w:r>
      <w:r>
        <w:rPr>
          <w:rFonts w:cs="Times New Roman"/>
          <w:szCs w:val="24"/>
        </w:rPr>
        <w:t xml:space="preserve">žiūrėta </w:t>
      </w:r>
      <w:r>
        <w:rPr>
          <w:rFonts w:cs="Times New Roman"/>
          <w:szCs w:val="24"/>
          <w:lang w:val="en-US"/>
        </w:rPr>
        <w:t>2012-10-14].</w:t>
      </w:r>
    </w:p>
    <w:p w:rsidR="00AC71D2" w:rsidRPr="004258D4" w:rsidRDefault="00AC71D2" w:rsidP="00AC71D2">
      <w:pPr>
        <w:pStyle w:val="ListParagraph"/>
        <w:numPr>
          <w:ilvl w:val="0"/>
          <w:numId w:val="9"/>
        </w:numPr>
        <w:ind w:left="567" w:hanging="501"/>
        <w:rPr>
          <w:rFonts w:cs="Times New Roman"/>
          <w:b/>
          <w:szCs w:val="24"/>
        </w:rPr>
      </w:pPr>
      <w:r w:rsidRPr="00F32EA8">
        <w:rPr>
          <w:rFonts w:cs="Times New Roman"/>
          <w:b/>
          <w:szCs w:val="24"/>
        </w:rPr>
        <w:t xml:space="preserve">Lietuvos Respublikos draudimo priežiūros komisija. </w:t>
      </w:r>
      <w:r>
        <w:rPr>
          <w:rFonts w:cs="Times New Roman"/>
          <w:szCs w:val="24"/>
        </w:rPr>
        <w:t xml:space="preserve">Draudimas Lietuvoje </w:t>
      </w:r>
      <w:r>
        <w:rPr>
          <w:rFonts w:cs="Times New Roman"/>
          <w:szCs w:val="24"/>
          <w:lang w:val="en-US"/>
        </w:rPr>
        <w:t xml:space="preserve">2005. – Vilnius, 2006. </w:t>
      </w:r>
      <w:hyperlink r:id="rId76" w:history="1">
        <w:r w:rsidRPr="0042641E">
          <w:rPr>
            <w:rStyle w:val="Hyperlink"/>
          </w:rPr>
          <w:t>http://www.dpk.lt/files/apzvalga/apzvalga2005.pdf</w:t>
        </w:r>
      </w:hyperlink>
      <w:r>
        <w:t xml:space="preserve"> </w:t>
      </w:r>
      <w:r>
        <w:rPr>
          <w:rFonts w:cs="Times New Roman"/>
          <w:szCs w:val="24"/>
          <w:lang w:val="en-US"/>
        </w:rPr>
        <w:t>[</w:t>
      </w:r>
      <w:r>
        <w:rPr>
          <w:rFonts w:cs="Times New Roman"/>
          <w:szCs w:val="24"/>
        </w:rPr>
        <w:t xml:space="preserve">žiūrėta </w:t>
      </w:r>
      <w:r>
        <w:rPr>
          <w:rFonts w:cs="Times New Roman"/>
          <w:szCs w:val="24"/>
          <w:lang w:val="en-US"/>
        </w:rPr>
        <w:t>2012-10-14].</w:t>
      </w:r>
    </w:p>
    <w:p w:rsidR="00AC71D2" w:rsidRPr="000D5467" w:rsidRDefault="00AC71D2" w:rsidP="00AC71D2">
      <w:pPr>
        <w:pStyle w:val="ListParagraph"/>
        <w:numPr>
          <w:ilvl w:val="0"/>
          <w:numId w:val="9"/>
        </w:numPr>
        <w:ind w:left="567" w:hanging="501"/>
        <w:rPr>
          <w:rFonts w:cs="Times New Roman"/>
          <w:b/>
          <w:szCs w:val="24"/>
        </w:rPr>
      </w:pPr>
      <w:r w:rsidRPr="00F32EA8">
        <w:rPr>
          <w:rFonts w:cs="Times New Roman"/>
          <w:b/>
          <w:szCs w:val="24"/>
        </w:rPr>
        <w:t xml:space="preserve">Lietuvos Respublikos draudimo priežiūros komisija. </w:t>
      </w:r>
      <w:r>
        <w:rPr>
          <w:rFonts w:cs="Times New Roman"/>
          <w:szCs w:val="24"/>
        </w:rPr>
        <w:t xml:space="preserve">Draudimas Lietuvoje </w:t>
      </w:r>
      <w:r>
        <w:rPr>
          <w:rFonts w:cs="Times New Roman"/>
          <w:szCs w:val="24"/>
          <w:lang w:val="en-US"/>
        </w:rPr>
        <w:t xml:space="preserve">2006. – Vilnius, 2007. </w:t>
      </w:r>
      <w:hyperlink r:id="rId77" w:history="1">
        <w:r w:rsidRPr="0042641E">
          <w:rPr>
            <w:rStyle w:val="Hyperlink"/>
          </w:rPr>
          <w:t>http://www.dpk.lt/files/apzvalga/apzvalga2006.pdf</w:t>
        </w:r>
      </w:hyperlink>
      <w:r>
        <w:t xml:space="preserve"> </w:t>
      </w:r>
      <w:r>
        <w:rPr>
          <w:rFonts w:cs="Times New Roman"/>
          <w:szCs w:val="24"/>
          <w:lang w:val="en-US"/>
        </w:rPr>
        <w:t>[</w:t>
      </w:r>
      <w:r>
        <w:rPr>
          <w:rFonts w:cs="Times New Roman"/>
          <w:szCs w:val="24"/>
        </w:rPr>
        <w:t xml:space="preserve">žiūrėta </w:t>
      </w:r>
      <w:r>
        <w:rPr>
          <w:rFonts w:cs="Times New Roman"/>
          <w:szCs w:val="24"/>
          <w:lang w:val="en-US"/>
        </w:rPr>
        <w:t>2012-10-13].</w:t>
      </w:r>
    </w:p>
    <w:p w:rsidR="00AC71D2" w:rsidRPr="004258D4" w:rsidRDefault="00AC71D2" w:rsidP="00AC71D2">
      <w:pPr>
        <w:pStyle w:val="ListParagraph"/>
        <w:numPr>
          <w:ilvl w:val="0"/>
          <w:numId w:val="9"/>
        </w:numPr>
        <w:ind w:left="567" w:hanging="501"/>
        <w:rPr>
          <w:rFonts w:cs="Times New Roman"/>
          <w:b/>
          <w:szCs w:val="24"/>
        </w:rPr>
      </w:pPr>
      <w:r w:rsidRPr="00F32EA8">
        <w:rPr>
          <w:rFonts w:cs="Times New Roman"/>
          <w:b/>
          <w:szCs w:val="24"/>
        </w:rPr>
        <w:t xml:space="preserve">Lietuvos Respublikos draudimo priežiūros komisija. </w:t>
      </w:r>
      <w:r>
        <w:rPr>
          <w:rFonts w:cs="Times New Roman"/>
          <w:szCs w:val="24"/>
        </w:rPr>
        <w:t xml:space="preserve">Draudimas Lietuvoje </w:t>
      </w:r>
      <w:r>
        <w:rPr>
          <w:rFonts w:cs="Times New Roman"/>
          <w:szCs w:val="24"/>
          <w:lang w:val="en-US"/>
        </w:rPr>
        <w:t xml:space="preserve">2007. – Vilnius, 2008. </w:t>
      </w:r>
      <w:hyperlink r:id="rId78" w:history="1">
        <w:r w:rsidRPr="0042641E">
          <w:rPr>
            <w:rStyle w:val="Hyperlink"/>
          </w:rPr>
          <w:t>http://www.dpk.lt/files/apzvalga/apzvalga2007.pdf</w:t>
        </w:r>
      </w:hyperlink>
      <w:r>
        <w:t xml:space="preserve"> </w:t>
      </w:r>
      <w:r>
        <w:rPr>
          <w:rFonts w:cs="Times New Roman"/>
          <w:szCs w:val="24"/>
          <w:lang w:val="en-US"/>
        </w:rPr>
        <w:t>[</w:t>
      </w:r>
      <w:r>
        <w:rPr>
          <w:rFonts w:cs="Times New Roman"/>
          <w:szCs w:val="24"/>
        </w:rPr>
        <w:t xml:space="preserve">žiūrėta </w:t>
      </w:r>
      <w:r>
        <w:rPr>
          <w:rFonts w:cs="Times New Roman"/>
          <w:szCs w:val="24"/>
          <w:lang w:val="en-US"/>
        </w:rPr>
        <w:t>2012-10-14].</w:t>
      </w:r>
    </w:p>
    <w:p w:rsidR="00AC71D2" w:rsidRPr="000D5467" w:rsidRDefault="00AC71D2" w:rsidP="00AC71D2">
      <w:pPr>
        <w:pStyle w:val="ListParagraph"/>
        <w:numPr>
          <w:ilvl w:val="0"/>
          <w:numId w:val="9"/>
        </w:numPr>
        <w:ind w:left="567" w:hanging="501"/>
        <w:rPr>
          <w:rFonts w:cs="Times New Roman"/>
          <w:b/>
          <w:szCs w:val="24"/>
        </w:rPr>
      </w:pPr>
      <w:r w:rsidRPr="00F32EA8">
        <w:rPr>
          <w:rFonts w:cs="Times New Roman"/>
          <w:b/>
          <w:szCs w:val="24"/>
        </w:rPr>
        <w:t xml:space="preserve">Lietuvos Respublikos draudimo priežiūros komisija. </w:t>
      </w:r>
      <w:r>
        <w:rPr>
          <w:rFonts w:cs="Times New Roman"/>
          <w:szCs w:val="24"/>
        </w:rPr>
        <w:t xml:space="preserve">Draudimas Lietuvoje </w:t>
      </w:r>
      <w:r>
        <w:rPr>
          <w:rFonts w:cs="Times New Roman"/>
          <w:szCs w:val="24"/>
          <w:lang w:val="en-US"/>
        </w:rPr>
        <w:t xml:space="preserve">2008. – Vilnius, 2009. </w:t>
      </w:r>
      <w:hyperlink r:id="rId79" w:history="1">
        <w:r w:rsidRPr="0042641E">
          <w:rPr>
            <w:rStyle w:val="Hyperlink"/>
          </w:rPr>
          <w:t>http://www.dpk.lt/files/apzvalga/apzvalga2009.pdf</w:t>
        </w:r>
      </w:hyperlink>
      <w:r>
        <w:t xml:space="preserve"> </w:t>
      </w:r>
      <w:r>
        <w:rPr>
          <w:rFonts w:cs="Times New Roman"/>
          <w:szCs w:val="24"/>
          <w:lang w:val="en-US"/>
        </w:rPr>
        <w:t>[</w:t>
      </w:r>
      <w:r>
        <w:rPr>
          <w:rFonts w:cs="Times New Roman"/>
          <w:szCs w:val="24"/>
        </w:rPr>
        <w:t xml:space="preserve">žiūrėta </w:t>
      </w:r>
      <w:r>
        <w:rPr>
          <w:rFonts w:cs="Times New Roman"/>
          <w:szCs w:val="24"/>
          <w:lang w:val="en-US"/>
        </w:rPr>
        <w:t>2012-10-14].</w:t>
      </w:r>
    </w:p>
    <w:p w:rsidR="00AC71D2" w:rsidRPr="00F32EA8" w:rsidRDefault="00AC71D2" w:rsidP="00AC71D2">
      <w:pPr>
        <w:pStyle w:val="ListParagraph"/>
        <w:numPr>
          <w:ilvl w:val="0"/>
          <w:numId w:val="9"/>
        </w:numPr>
        <w:ind w:left="567" w:hanging="501"/>
        <w:rPr>
          <w:rFonts w:cs="Times New Roman"/>
          <w:b/>
          <w:szCs w:val="24"/>
        </w:rPr>
      </w:pPr>
      <w:r w:rsidRPr="00F32EA8">
        <w:rPr>
          <w:rFonts w:cs="Times New Roman"/>
          <w:b/>
          <w:szCs w:val="24"/>
        </w:rPr>
        <w:t xml:space="preserve">Lietuvos Respublikos draudimo priežiūros komisija. </w:t>
      </w:r>
      <w:r>
        <w:rPr>
          <w:rFonts w:cs="Times New Roman"/>
          <w:szCs w:val="24"/>
        </w:rPr>
        <w:t xml:space="preserve">Draudimas Lietuvoje </w:t>
      </w:r>
      <w:r>
        <w:rPr>
          <w:rFonts w:cs="Times New Roman"/>
          <w:szCs w:val="24"/>
          <w:lang w:val="en-US"/>
        </w:rPr>
        <w:t xml:space="preserve">2009. – Vilnius, 2010. </w:t>
      </w:r>
      <w:hyperlink r:id="rId80" w:history="1">
        <w:r w:rsidRPr="00AC6642">
          <w:rPr>
            <w:rStyle w:val="Hyperlink"/>
            <w:rFonts w:cs="Times New Roman"/>
            <w:szCs w:val="24"/>
            <w:lang w:val="en-US"/>
          </w:rPr>
          <w:t>http://www.dpk.lt/files/apzvalga/apzvalga2009.pdf</w:t>
        </w:r>
      </w:hyperlink>
      <w:r>
        <w:rPr>
          <w:rFonts w:cs="Times New Roman"/>
          <w:szCs w:val="24"/>
          <w:lang w:val="en-US"/>
        </w:rPr>
        <w:t xml:space="preserve"> [</w:t>
      </w:r>
      <w:r>
        <w:rPr>
          <w:rFonts w:cs="Times New Roman"/>
          <w:szCs w:val="24"/>
        </w:rPr>
        <w:t xml:space="preserve">žiūrėta </w:t>
      </w:r>
      <w:r>
        <w:rPr>
          <w:rFonts w:cs="Times New Roman"/>
          <w:szCs w:val="24"/>
          <w:lang w:val="en-US"/>
        </w:rPr>
        <w:t>2012-10-07].</w:t>
      </w:r>
    </w:p>
    <w:p w:rsidR="00AC71D2" w:rsidRPr="00BD61DE" w:rsidRDefault="00AC71D2" w:rsidP="00AC71D2">
      <w:pPr>
        <w:pStyle w:val="ListParagraph"/>
        <w:numPr>
          <w:ilvl w:val="0"/>
          <w:numId w:val="9"/>
        </w:numPr>
        <w:ind w:left="567" w:hanging="501"/>
        <w:rPr>
          <w:rFonts w:cs="Times New Roman"/>
          <w:b/>
          <w:szCs w:val="24"/>
        </w:rPr>
      </w:pPr>
      <w:r w:rsidRPr="00F32EA8">
        <w:rPr>
          <w:rFonts w:cs="Times New Roman"/>
          <w:b/>
          <w:szCs w:val="24"/>
        </w:rPr>
        <w:t xml:space="preserve">Lietuvos Respublikos draudimo priežiūros komisija. </w:t>
      </w:r>
      <w:r>
        <w:rPr>
          <w:rFonts w:cs="Times New Roman"/>
          <w:szCs w:val="24"/>
        </w:rPr>
        <w:t xml:space="preserve">Draudimas Lietuvoje </w:t>
      </w:r>
      <w:r>
        <w:rPr>
          <w:rFonts w:cs="Times New Roman"/>
          <w:szCs w:val="24"/>
          <w:lang w:val="en-US"/>
        </w:rPr>
        <w:t xml:space="preserve">2010. – Vilnius, 2011. </w:t>
      </w:r>
      <w:hyperlink r:id="rId81" w:history="1">
        <w:r w:rsidRPr="0042641E">
          <w:rPr>
            <w:rStyle w:val="Hyperlink"/>
            <w:rFonts w:cs="Times New Roman"/>
            <w:szCs w:val="24"/>
            <w:lang w:val="en-US"/>
          </w:rPr>
          <w:t>http://www.dpk.lt/files/apzvalga/apzvalga2010.pdf</w:t>
        </w:r>
      </w:hyperlink>
      <w:r>
        <w:rPr>
          <w:rFonts w:cs="Times New Roman"/>
          <w:szCs w:val="24"/>
          <w:lang w:val="en-US"/>
        </w:rPr>
        <w:t xml:space="preserve"> [</w:t>
      </w:r>
      <w:r>
        <w:rPr>
          <w:rFonts w:cs="Times New Roman"/>
          <w:szCs w:val="24"/>
        </w:rPr>
        <w:t xml:space="preserve">žiūrėta </w:t>
      </w:r>
      <w:r>
        <w:rPr>
          <w:rFonts w:cs="Times New Roman"/>
          <w:szCs w:val="24"/>
          <w:lang w:val="en-US"/>
        </w:rPr>
        <w:t>2012-10-14].</w:t>
      </w:r>
    </w:p>
    <w:p w:rsidR="00AC71D2" w:rsidRDefault="00AC71D2" w:rsidP="00AC71D2">
      <w:pPr>
        <w:pStyle w:val="ListParagraph"/>
        <w:numPr>
          <w:ilvl w:val="0"/>
          <w:numId w:val="9"/>
        </w:numPr>
        <w:ind w:left="567" w:hanging="501"/>
        <w:rPr>
          <w:rFonts w:cs="Times New Roman"/>
          <w:b/>
          <w:szCs w:val="24"/>
        </w:rPr>
      </w:pPr>
      <w:r>
        <w:rPr>
          <w:rFonts w:cs="Times New Roman"/>
          <w:b/>
          <w:szCs w:val="24"/>
        </w:rPr>
        <w:t xml:space="preserve">Lietuvos Respublikos draudimo priežiūros komisijos </w:t>
      </w:r>
      <w:r>
        <w:rPr>
          <w:rFonts w:cs="Times New Roman"/>
          <w:b/>
          <w:szCs w:val="24"/>
          <w:lang w:val="en-US"/>
        </w:rPr>
        <w:t>2004 m.</w:t>
      </w:r>
      <w:r>
        <w:rPr>
          <w:rFonts w:cs="Times New Roman"/>
          <w:b/>
          <w:szCs w:val="24"/>
        </w:rPr>
        <w:t xml:space="preserve"> balandžio </w:t>
      </w:r>
      <w:r>
        <w:rPr>
          <w:rFonts w:cs="Times New Roman"/>
          <w:b/>
          <w:szCs w:val="24"/>
          <w:lang w:val="en-US"/>
        </w:rPr>
        <w:t xml:space="preserve">13 d. </w:t>
      </w:r>
      <w:r>
        <w:rPr>
          <w:rFonts w:cs="Times New Roman"/>
          <w:b/>
          <w:szCs w:val="24"/>
        </w:rPr>
        <w:t>nutarimas Nr. N-</w:t>
      </w:r>
      <w:r>
        <w:rPr>
          <w:rFonts w:cs="Times New Roman"/>
          <w:b/>
          <w:szCs w:val="24"/>
          <w:lang w:val="en-US"/>
        </w:rPr>
        <w:t xml:space="preserve">40 </w:t>
      </w:r>
      <w:r>
        <w:rPr>
          <w:rFonts w:cs="Times New Roman"/>
          <w:b/>
          <w:szCs w:val="24"/>
        </w:rPr>
        <w:t xml:space="preserve">Dėl mokumo atsargos skaičiavimo metodikos patvirtinimo. </w:t>
      </w:r>
      <w:hyperlink r:id="rId82" w:history="1">
        <w:r w:rsidRPr="00945B52">
          <w:rPr>
            <w:rStyle w:val="Hyperlink"/>
            <w:rFonts w:cs="Times New Roman"/>
            <w:szCs w:val="24"/>
          </w:rPr>
          <w:t>http://ec.europa.eu/internal_market/finances/docs/actionplan/transposition/lithuania/d6.10-ml-lt.pdf</w:t>
        </w:r>
      </w:hyperlink>
      <w:r>
        <w:rPr>
          <w:rFonts w:cs="Times New Roman"/>
          <w:szCs w:val="24"/>
        </w:rPr>
        <w:t xml:space="preserve"> </w:t>
      </w:r>
      <w:r>
        <w:rPr>
          <w:rFonts w:cs="Times New Roman"/>
          <w:szCs w:val="24"/>
          <w:lang w:val="en-US"/>
        </w:rPr>
        <w:t>[</w:t>
      </w:r>
      <w:r>
        <w:rPr>
          <w:rFonts w:cs="Times New Roman"/>
          <w:szCs w:val="24"/>
        </w:rPr>
        <w:t xml:space="preserve">žiūrėta </w:t>
      </w:r>
      <w:r>
        <w:rPr>
          <w:rFonts w:cs="Times New Roman"/>
          <w:szCs w:val="24"/>
          <w:lang w:val="en-US"/>
        </w:rPr>
        <w:t>2012-11-02].</w:t>
      </w:r>
    </w:p>
    <w:p w:rsidR="00AC71D2" w:rsidRPr="006932AF" w:rsidRDefault="00AC71D2" w:rsidP="00AC71D2">
      <w:pPr>
        <w:pStyle w:val="ListParagraph"/>
        <w:numPr>
          <w:ilvl w:val="0"/>
          <w:numId w:val="9"/>
        </w:numPr>
        <w:ind w:left="567" w:hanging="501"/>
        <w:rPr>
          <w:rFonts w:cs="Times New Roman"/>
          <w:b/>
          <w:szCs w:val="24"/>
        </w:rPr>
      </w:pPr>
      <w:r>
        <w:rPr>
          <w:rFonts w:cs="Times New Roman"/>
          <w:b/>
          <w:szCs w:val="24"/>
        </w:rPr>
        <w:t xml:space="preserve">Lietuvos Respublikos draudimo priežiūros komisijos </w:t>
      </w:r>
      <w:r w:rsidRPr="00BD61DE">
        <w:rPr>
          <w:rFonts w:cs="Times New Roman"/>
          <w:b/>
          <w:szCs w:val="24"/>
        </w:rPr>
        <w:t>2009 m. gruodžio 1 d. Nr. N-504</w:t>
      </w:r>
      <w:r>
        <w:rPr>
          <w:rFonts w:cs="Times New Roman"/>
          <w:b/>
          <w:szCs w:val="24"/>
        </w:rPr>
        <w:t xml:space="preserve"> nutarimas dėl Lietuvos Respublikos draudimo priežiūros komisijos </w:t>
      </w:r>
      <w:r>
        <w:rPr>
          <w:rFonts w:cs="Times New Roman"/>
          <w:b/>
          <w:szCs w:val="24"/>
          <w:lang w:val="en-US"/>
        </w:rPr>
        <w:t>2004 m.</w:t>
      </w:r>
      <w:r>
        <w:rPr>
          <w:rFonts w:cs="Times New Roman"/>
          <w:b/>
          <w:szCs w:val="24"/>
        </w:rPr>
        <w:t xml:space="preserve"> balandžio </w:t>
      </w:r>
      <w:r>
        <w:rPr>
          <w:rFonts w:cs="Times New Roman"/>
          <w:b/>
          <w:szCs w:val="24"/>
          <w:lang w:val="en-US"/>
        </w:rPr>
        <w:t xml:space="preserve">13 </w:t>
      </w:r>
      <w:r>
        <w:rPr>
          <w:rFonts w:cs="Times New Roman"/>
          <w:b/>
          <w:szCs w:val="24"/>
          <w:lang w:val="en-US"/>
        </w:rPr>
        <w:lastRenderedPageBreak/>
        <w:t xml:space="preserve">d. </w:t>
      </w:r>
      <w:r>
        <w:rPr>
          <w:rFonts w:cs="Times New Roman"/>
          <w:b/>
          <w:szCs w:val="24"/>
        </w:rPr>
        <w:t>nutarimo Nr. N-</w:t>
      </w:r>
      <w:r>
        <w:rPr>
          <w:rFonts w:cs="Times New Roman"/>
          <w:b/>
          <w:szCs w:val="24"/>
          <w:lang w:val="en-US"/>
        </w:rPr>
        <w:t xml:space="preserve">40 </w:t>
      </w:r>
      <w:r>
        <w:rPr>
          <w:rFonts w:cs="Times New Roman"/>
          <w:b/>
          <w:szCs w:val="24"/>
        </w:rPr>
        <w:t xml:space="preserve">„Dėl mokumo atsargos skaičiavimo metodikos patvirtinimo“ pakeitimo ir papildymo. </w:t>
      </w:r>
      <w:hyperlink r:id="rId83" w:history="1">
        <w:r w:rsidRPr="00BD61DE">
          <w:rPr>
            <w:rStyle w:val="Hyperlink"/>
            <w:rFonts w:cs="Times New Roman"/>
            <w:szCs w:val="24"/>
          </w:rPr>
          <w:t>http://tar.tic.lt/Default.aspx?id=2&amp;item=results&amp;aktoid=8DB0C1F9-9173-4833-A122-B39254152084</w:t>
        </w:r>
      </w:hyperlink>
      <w:r>
        <w:rPr>
          <w:rFonts w:cs="Times New Roman"/>
          <w:b/>
          <w:szCs w:val="24"/>
        </w:rPr>
        <w:t xml:space="preserve"> </w:t>
      </w:r>
      <w:r>
        <w:rPr>
          <w:rFonts w:cs="Times New Roman"/>
          <w:szCs w:val="24"/>
          <w:lang w:val="en-US"/>
        </w:rPr>
        <w:t>[</w:t>
      </w:r>
      <w:r>
        <w:rPr>
          <w:rFonts w:cs="Times New Roman"/>
          <w:szCs w:val="24"/>
        </w:rPr>
        <w:t xml:space="preserve">žiūrėta </w:t>
      </w:r>
      <w:r>
        <w:rPr>
          <w:rFonts w:cs="Times New Roman"/>
          <w:szCs w:val="24"/>
          <w:lang w:val="en-US"/>
        </w:rPr>
        <w:t>2012-11-02].</w:t>
      </w:r>
    </w:p>
    <w:p w:rsidR="00AC71D2" w:rsidRPr="0050414C" w:rsidRDefault="00AC71D2" w:rsidP="00AC71D2">
      <w:pPr>
        <w:pStyle w:val="ListParagraph"/>
        <w:numPr>
          <w:ilvl w:val="0"/>
          <w:numId w:val="9"/>
        </w:numPr>
        <w:ind w:left="567" w:hanging="501"/>
        <w:rPr>
          <w:rFonts w:cs="Times New Roman"/>
          <w:b/>
          <w:szCs w:val="24"/>
        </w:rPr>
      </w:pPr>
      <w:r w:rsidRPr="0050414C">
        <w:rPr>
          <w:rFonts w:cs="Times New Roman"/>
          <w:b/>
          <w:szCs w:val="24"/>
        </w:rPr>
        <w:t xml:space="preserve">Lietuvos Respublikos draudimo priežiūros komisijos 2004 m. kovo 9 d. Nr. N-24 nutarimas dėl draudimo įmonės draudimo techninių atidėjinių padengimo turtu taisyklių patvirtinimo. </w:t>
      </w:r>
      <w:hyperlink r:id="rId84" w:history="1">
        <w:r w:rsidRPr="00E33B23">
          <w:rPr>
            <w:rStyle w:val="Hyperlink"/>
            <w:rFonts w:cs="Times New Roman"/>
            <w:szCs w:val="24"/>
          </w:rPr>
          <w:t>http://www3.lrs.lt/pls/inter3/oldsearch.preps2?Condition1=228701&amp;Condition2</w:t>
        </w:r>
      </w:hyperlink>
      <w:r w:rsidRPr="0050414C">
        <w:rPr>
          <w:rFonts w:cs="Times New Roman"/>
          <w:szCs w:val="24"/>
        </w:rPr>
        <w:t>=</w:t>
      </w:r>
      <w:r>
        <w:rPr>
          <w:rFonts w:cs="Times New Roman"/>
          <w:szCs w:val="24"/>
        </w:rPr>
        <w:t xml:space="preserve"> </w:t>
      </w:r>
      <w:r>
        <w:rPr>
          <w:rFonts w:cs="Times New Roman"/>
          <w:szCs w:val="24"/>
          <w:lang w:val="en-US"/>
        </w:rPr>
        <w:t>[</w:t>
      </w:r>
      <w:r>
        <w:rPr>
          <w:rFonts w:cs="Times New Roman"/>
          <w:szCs w:val="24"/>
        </w:rPr>
        <w:t xml:space="preserve">žiūrėta </w:t>
      </w:r>
      <w:r>
        <w:rPr>
          <w:rFonts w:cs="Times New Roman"/>
          <w:szCs w:val="24"/>
          <w:lang w:val="en-US"/>
        </w:rPr>
        <w:t>2012-11-05].</w:t>
      </w:r>
    </w:p>
    <w:p w:rsidR="00AC71D2" w:rsidRPr="00073B91" w:rsidRDefault="00AC71D2" w:rsidP="00AC71D2">
      <w:pPr>
        <w:pStyle w:val="ListParagraph"/>
        <w:numPr>
          <w:ilvl w:val="0"/>
          <w:numId w:val="9"/>
        </w:numPr>
        <w:ind w:left="567" w:hanging="501"/>
        <w:rPr>
          <w:rFonts w:cs="Times New Roman"/>
          <w:b/>
          <w:szCs w:val="24"/>
        </w:rPr>
      </w:pPr>
      <w:r w:rsidRPr="0035127C">
        <w:rPr>
          <w:rFonts w:cs="Times New Roman"/>
          <w:b/>
          <w:szCs w:val="24"/>
        </w:rPr>
        <w:t xml:space="preserve">Linartas A. </w:t>
      </w:r>
      <w:r w:rsidR="00844379">
        <w:rPr>
          <w:rFonts w:cs="Times New Roman"/>
          <w:szCs w:val="24"/>
        </w:rPr>
        <w:t>Tarptautinė finansų sistema. Draudimo rinka</w:t>
      </w:r>
      <w:r w:rsidRPr="0035127C">
        <w:rPr>
          <w:rFonts w:cs="Times New Roman"/>
          <w:szCs w:val="24"/>
        </w:rPr>
        <w:t xml:space="preserve">, </w:t>
      </w:r>
      <w:r w:rsidRPr="0035127C">
        <w:rPr>
          <w:rFonts w:cs="Times New Roman"/>
          <w:szCs w:val="24"/>
          <w:lang w:val="en-US"/>
        </w:rPr>
        <w:t>2012.</w:t>
      </w:r>
    </w:p>
    <w:p w:rsidR="00AC71D2" w:rsidRPr="00073B91" w:rsidRDefault="00AC71D2" w:rsidP="00AC71D2">
      <w:pPr>
        <w:pStyle w:val="ListParagraph"/>
        <w:numPr>
          <w:ilvl w:val="0"/>
          <w:numId w:val="9"/>
        </w:numPr>
        <w:ind w:left="567" w:hanging="501"/>
        <w:rPr>
          <w:rFonts w:cs="Times New Roman"/>
          <w:b/>
          <w:szCs w:val="24"/>
          <w:lang w:val="en-US"/>
        </w:rPr>
      </w:pPr>
      <w:r w:rsidRPr="00073B91">
        <w:rPr>
          <w:rFonts w:cs="Times New Roman"/>
          <w:b/>
          <w:szCs w:val="24"/>
          <w:lang w:val="en-US"/>
        </w:rPr>
        <w:t xml:space="preserve">Lynch R. </w:t>
      </w:r>
      <w:r w:rsidRPr="00073B91">
        <w:rPr>
          <w:rFonts w:cs="Times New Roman"/>
          <w:szCs w:val="24"/>
          <w:lang w:val="en-US"/>
        </w:rPr>
        <w:t>Strategic Management.</w:t>
      </w:r>
      <w:r w:rsidRPr="00073B91">
        <w:rPr>
          <w:lang w:val="en-US"/>
        </w:rPr>
        <w:t xml:space="preserve"> </w:t>
      </w:r>
      <w:r w:rsidR="0007458E">
        <w:rPr>
          <w:rFonts w:cs="Times New Roman"/>
          <w:szCs w:val="24"/>
          <w:lang w:val="en-US"/>
        </w:rPr>
        <w:t>5th ed</w:t>
      </w:r>
      <w:r>
        <w:rPr>
          <w:rFonts w:cs="Times New Roman"/>
          <w:szCs w:val="24"/>
          <w:lang w:val="en-US"/>
        </w:rPr>
        <w:t xml:space="preserve">. – </w:t>
      </w:r>
      <w:r w:rsidRPr="00073B91">
        <w:rPr>
          <w:rFonts w:cs="Times New Roman"/>
          <w:szCs w:val="24"/>
          <w:lang w:val="en-US"/>
        </w:rPr>
        <w:t>Prentice Hall</w:t>
      </w:r>
      <w:r>
        <w:rPr>
          <w:rFonts w:cs="Times New Roman"/>
          <w:szCs w:val="24"/>
          <w:lang w:val="en-US"/>
        </w:rPr>
        <w:t>, 2009</w:t>
      </w:r>
      <w:r w:rsidRPr="00073B91">
        <w:rPr>
          <w:rFonts w:cs="Times New Roman"/>
          <w:szCs w:val="24"/>
          <w:lang w:val="en-US"/>
        </w:rPr>
        <w:t>.</w:t>
      </w:r>
      <w:r>
        <w:rPr>
          <w:rFonts w:cs="Times New Roman"/>
          <w:szCs w:val="24"/>
          <w:lang w:val="en-US"/>
        </w:rPr>
        <w:t xml:space="preserve"> –</w:t>
      </w:r>
      <w:r w:rsidRPr="00073B91">
        <w:rPr>
          <w:rFonts w:cs="Times New Roman"/>
          <w:szCs w:val="24"/>
          <w:lang w:val="en-US"/>
        </w:rPr>
        <w:t xml:space="preserve"> </w:t>
      </w:r>
      <w:r w:rsidRPr="00073B91">
        <w:rPr>
          <w:rFonts w:cs="Times New Roman"/>
          <w:bCs/>
          <w:szCs w:val="24"/>
        </w:rPr>
        <w:t>ISBN</w:t>
      </w:r>
      <w:r w:rsidRPr="00073B91">
        <w:rPr>
          <w:rFonts w:cs="Times New Roman"/>
          <w:szCs w:val="24"/>
        </w:rPr>
        <w:t> 978-0</w:t>
      </w:r>
      <w:r>
        <w:rPr>
          <w:rFonts w:cs="Times New Roman"/>
          <w:szCs w:val="24"/>
        </w:rPr>
        <w:t>-</w:t>
      </w:r>
      <w:r w:rsidRPr="00073B91">
        <w:rPr>
          <w:rFonts w:cs="Times New Roman"/>
          <w:szCs w:val="24"/>
        </w:rPr>
        <w:t>273</w:t>
      </w:r>
      <w:r>
        <w:rPr>
          <w:rFonts w:cs="Times New Roman"/>
          <w:szCs w:val="24"/>
        </w:rPr>
        <w:t>-</w:t>
      </w:r>
      <w:r w:rsidRPr="00073B91">
        <w:rPr>
          <w:rFonts w:cs="Times New Roman"/>
          <w:szCs w:val="24"/>
        </w:rPr>
        <w:t>71638</w:t>
      </w:r>
      <w:r>
        <w:rPr>
          <w:rFonts w:cs="Times New Roman"/>
          <w:szCs w:val="24"/>
        </w:rPr>
        <w:t>-</w:t>
      </w:r>
      <w:r w:rsidRPr="00073B91">
        <w:rPr>
          <w:rFonts w:cs="Times New Roman"/>
          <w:szCs w:val="24"/>
        </w:rPr>
        <w:t>9</w:t>
      </w:r>
      <w:r>
        <w:rPr>
          <w:rFonts w:cs="Times New Roman"/>
          <w:szCs w:val="24"/>
        </w:rPr>
        <w:t>.</w:t>
      </w:r>
    </w:p>
    <w:p w:rsidR="00AC71D2" w:rsidRPr="00E02231" w:rsidRDefault="00AC71D2" w:rsidP="00AC71D2">
      <w:pPr>
        <w:pStyle w:val="ListParagraph"/>
        <w:numPr>
          <w:ilvl w:val="0"/>
          <w:numId w:val="9"/>
        </w:numPr>
        <w:ind w:left="567" w:hanging="501"/>
        <w:rPr>
          <w:rFonts w:cs="Times New Roman"/>
          <w:b/>
          <w:szCs w:val="24"/>
        </w:rPr>
      </w:pPr>
      <w:r>
        <w:rPr>
          <w:rFonts w:cs="Times New Roman"/>
          <w:b/>
          <w:szCs w:val="24"/>
        </w:rPr>
        <w:t xml:space="preserve">Mackevičius J. ir kt. </w:t>
      </w:r>
      <w:r>
        <w:rPr>
          <w:rFonts w:cs="Times New Roman"/>
          <w:szCs w:val="24"/>
        </w:rPr>
        <w:t xml:space="preserve">Finansinė analizė. – Vilnius: Mykolo Romerio universitetas, </w:t>
      </w:r>
      <w:r>
        <w:rPr>
          <w:rFonts w:cs="Times New Roman"/>
          <w:szCs w:val="24"/>
          <w:lang w:val="en-US"/>
        </w:rPr>
        <w:t>2011. – ISBN 978-9955-19-241-1.</w:t>
      </w:r>
    </w:p>
    <w:p w:rsidR="00AC71D2" w:rsidRPr="00117531" w:rsidRDefault="00AC71D2" w:rsidP="00AC71D2">
      <w:pPr>
        <w:pStyle w:val="ListParagraph"/>
        <w:numPr>
          <w:ilvl w:val="0"/>
          <w:numId w:val="9"/>
        </w:numPr>
        <w:ind w:left="567" w:hanging="501"/>
        <w:rPr>
          <w:rFonts w:cs="Times New Roman"/>
          <w:b/>
          <w:szCs w:val="24"/>
          <w:lang w:val="en-US"/>
        </w:rPr>
      </w:pPr>
      <w:r w:rsidRPr="00B06CA0">
        <w:rPr>
          <w:rFonts w:cs="Times New Roman"/>
          <w:b/>
          <w:szCs w:val="24"/>
          <w:lang w:val="en-US"/>
        </w:rPr>
        <w:t xml:space="preserve">Meidan A. </w:t>
      </w:r>
      <w:r w:rsidRPr="00B06CA0">
        <w:rPr>
          <w:rFonts w:cs="Times New Roman"/>
          <w:szCs w:val="24"/>
          <w:lang w:val="en-US"/>
        </w:rPr>
        <w:t>Marketing Financial Services. London, 1996.</w:t>
      </w:r>
    </w:p>
    <w:p w:rsidR="00AC71D2" w:rsidRPr="00266C58" w:rsidRDefault="00AC71D2" w:rsidP="00AC71D2">
      <w:pPr>
        <w:pStyle w:val="ListParagraph"/>
        <w:numPr>
          <w:ilvl w:val="0"/>
          <w:numId w:val="9"/>
        </w:numPr>
        <w:ind w:left="567" w:hanging="501"/>
        <w:rPr>
          <w:rFonts w:cs="Times New Roman"/>
          <w:szCs w:val="24"/>
        </w:rPr>
      </w:pPr>
      <w:r w:rsidRPr="0027508F">
        <w:rPr>
          <w:rFonts w:cs="Times New Roman"/>
          <w:b/>
          <w:szCs w:val="24"/>
        </w:rPr>
        <w:t>Migracija Lietuvoje: faktai ir skaičiai.</w:t>
      </w:r>
      <w:r>
        <w:rPr>
          <w:rFonts w:cs="Times New Roman"/>
          <w:szCs w:val="24"/>
        </w:rPr>
        <w:t xml:space="preserve"> – Tarptautinės migracijos organizacijos Vilniaus biuras, </w:t>
      </w:r>
      <w:r>
        <w:rPr>
          <w:rFonts w:cs="Times New Roman"/>
          <w:szCs w:val="24"/>
          <w:lang w:val="en-US"/>
        </w:rPr>
        <w:t>2011.</w:t>
      </w:r>
    </w:p>
    <w:p w:rsidR="00AC71D2" w:rsidRPr="008315CF" w:rsidRDefault="00AC71D2" w:rsidP="00AC71D2">
      <w:pPr>
        <w:pStyle w:val="ListParagraph"/>
        <w:numPr>
          <w:ilvl w:val="0"/>
          <w:numId w:val="9"/>
        </w:numPr>
        <w:ind w:left="567" w:hanging="501"/>
        <w:rPr>
          <w:rFonts w:cs="Times New Roman"/>
          <w:szCs w:val="24"/>
        </w:rPr>
      </w:pPr>
      <w:r w:rsidRPr="00266C58">
        <w:rPr>
          <w:rFonts w:cs="Times New Roman"/>
          <w:b/>
          <w:szCs w:val="24"/>
        </w:rPr>
        <w:t>Minimalios mėnesinės algos (MMA) didinimo poveikis valstybės biudžetui.</w:t>
      </w:r>
      <w:r>
        <w:rPr>
          <w:rFonts w:cs="Times New Roman"/>
          <w:szCs w:val="24"/>
        </w:rPr>
        <w:t xml:space="preserve"> </w:t>
      </w:r>
      <w:hyperlink r:id="rId85" w:history="1">
        <w:r w:rsidRPr="00F6741B">
          <w:rPr>
            <w:rStyle w:val="Hyperlink"/>
            <w:rFonts w:cs="Times New Roman"/>
            <w:szCs w:val="24"/>
          </w:rPr>
          <w:t>http://www.finmin.lt/web/finmin/koment/mma_didpov</w:t>
        </w:r>
      </w:hyperlink>
      <w:r>
        <w:rPr>
          <w:rFonts w:cs="Times New Roman"/>
          <w:szCs w:val="24"/>
        </w:rPr>
        <w:t xml:space="preserve"> </w:t>
      </w:r>
      <w:r w:rsidRPr="009F3CCB">
        <w:rPr>
          <w:rFonts w:cs="Times New Roman"/>
          <w:szCs w:val="24"/>
          <w:lang w:val="en-US"/>
        </w:rPr>
        <w:t>[</w:t>
      </w:r>
      <w:r w:rsidRPr="009F3CCB">
        <w:rPr>
          <w:rFonts w:cs="Times New Roman"/>
          <w:szCs w:val="24"/>
        </w:rPr>
        <w:t>žiūrėta</w:t>
      </w:r>
      <w:r>
        <w:rPr>
          <w:rFonts w:cs="Times New Roman"/>
          <w:szCs w:val="24"/>
          <w:lang w:val="en-US"/>
        </w:rPr>
        <w:t xml:space="preserve"> 2012-11-08</w:t>
      </w:r>
      <w:r w:rsidRPr="009F3CCB">
        <w:rPr>
          <w:rFonts w:cs="Times New Roman"/>
          <w:szCs w:val="24"/>
          <w:lang w:val="en-US"/>
        </w:rPr>
        <w:t>].</w:t>
      </w:r>
    </w:p>
    <w:p w:rsidR="00AC71D2" w:rsidRPr="007B08EC" w:rsidRDefault="00AC71D2" w:rsidP="00AC71D2">
      <w:pPr>
        <w:pStyle w:val="ListParagraph"/>
        <w:numPr>
          <w:ilvl w:val="0"/>
          <w:numId w:val="9"/>
        </w:numPr>
        <w:ind w:left="567" w:hanging="501"/>
        <w:rPr>
          <w:rFonts w:cs="Times New Roman"/>
          <w:b/>
          <w:szCs w:val="24"/>
        </w:rPr>
      </w:pPr>
      <w:r>
        <w:rPr>
          <w:rFonts w:cs="Times New Roman"/>
          <w:b/>
          <w:szCs w:val="24"/>
        </w:rPr>
        <w:t xml:space="preserve">Mokumas II. </w:t>
      </w:r>
      <w:hyperlink r:id="rId86" w:history="1">
        <w:r w:rsidRPr="00231707">
          <w:rPr>
            <w:rStyle w:val="Hyperlink"/>
            <w:rFonts w:cs="Times New Roman"/>
            <w:szCs w:val="24"/>
          </w:rPr>
          <w:t>http://www.dpk.lt/mokumas2.php?part=1</w:t>
        </w:r>
      </w:hyperlink>
      <w:r>
        <w:rPr>
          <w:rFonts w:cs="Times New Roman"/>
          <w:szCs w:val="24"/>
        </w:rPr>
        <w:t xml:space="preserve">, </w:t>
      </w:r>
      <w:r w:rsidRPr="0035127C">
        <w:rPr>
          <w:rFonts w:cs="Times New Roman"/>
          <w:szCs w:val="24"/>
        </w:rPr>
        <w:t xml:space="preserve">[žiūrėta </w:t>
      </w:r>
      <w:r w:rsidRPr="0035127C">
        <w:rPr>
          <w:rFonts w:cs="Times New Roman"/>
          <w:szCs w:val="24"/>
          <w:lang w:val="en-US"/>
        </w:rPr>
        <w:t>201</w:t>
      </w:r>
      <w:r>
        <w:rPr>
          <w:rFonts w:cs="Times New Roman"/>
          <w:szCs w:val="24"/>
          <w:lang w:val="en-US"/>
        </w:rPr>
        <w:t>2</w:t>
      </w:r>
      <w:r w:rsidRPr="0035127C">
        <w:rPr>
          <w:rFonts w:cs="Times New Roman"/>
          <w:szCs w:val="24"/>
          <w:lang w:val="en-US"/>
        </w:rPr>
        <w:t>-</w:t>
      </w:r>
      <w:r>
        <w:rPr>
          <w:rFonts w:cs="Times New Roman"/>
          <w:szCs w:val="24"/>
          <w:lang w:val="en-US"/>
        </w:rPr>
        <w:t>06-22</w:t>
      </w:r>
      <w:r w:rsidRPr="0035127C">
        <w:rPr>
          <w:rFonts w:cs="Times New Roman"/>
          <w:szCs w:val="24"/>
          <w:lang w:val="en-US"/>
        </w:rPr>
        <w:t>].</w:t>
      </w:r>
    </w:p>
    <w:p w:rsidR="00AC71D2" w:rsidRPr="00175557" w:rsidRDefault="00AC71D2" w:rsidP="00AC71D2">
      <w:pPr>
        <w:pStyle w:val="ListParagraph"/>
        <w:numPr>
          <w:ilvl w:val="0"/>
          <w:numId w:val="9"/>
        </w:numPr>
        <w:ind w:left="567" w:hanging="501"/>
        <w:rPr>
          <w:rFonts w:cs="Times New Roman"/>
          <w:b/>
          <w:szCs w:val="24"/>
        </w:rPr>
      </w:pPr>
      <w:r w:rsidRPr="007B08EC">
        <w:rPr>
          <w:rFonts w:cs="Times New Roman"/>
          <w:b/>
          <w:szCs w:val="24"/>
        </w:rPr>
        <w:t xml:space="preserve">Namų ūkių individualaus vartojimo išlaidos. </w:t>
      </w:r>
      <w:r w:rsidRPr="007B08EC">
        <w:rPr>
          <w:rFonts w:cs="Times New Roman"/>
          <w:szCs w:val="24"/>
        </w:rPr>
        <w:t>Požymiai: Individualaus vartojimo išlaidų pagal paskirtį klasifikatorius (COICOP), metai</w:t>
      </w:r>
      <w:r>
        <w:rPr>
          <w:rFonts w:cs="Times New Roman"/>
          <w:szCs w:val="24"/>
        </w:rPr>
        <w:t xml:space="preserve">. </w:t>
      </w:r>
      <w:hyperlink r:id="rId87" w:history="1">
        <w:r w:rsidRPr="00A43B85">
          <w:rPr>
            <w:rStyle w:val="Hyperlink"/>
            <w:rFonts w:cs="Times New Roman"/>
            <w:szCs w:val="24"/>
          </w:rPr>
          <w:t>http://db1.stat.gov.lt/statbank/SelectVarVal/Define.asp?Maintable=M2010221&amp;PLanguage=0</w:t>
        </w:r>
      </w:hyperlink>
      <w:r>
        <w:rPr>
          <w:rFonts w:cs="Times New Roman"/>
          <w:szCs w:val="24"/>
        </w:rPr>
        <w:t xml:space="preserve"> </w:t>
      </w:r>
      <w:r w:rsidRPr="009F3CCB">
        <w:rPr>
          <w:rFonts w:cs="Times New Roman"/>
          <w:szCs w:val="24"/>
          <w:lang w:val="en-US"/>
        </w:rPr>
        <w:t>[</w:t>
      </w:r>
      <w:r w:rsidRPr="009F3CCB">
        <w:rPr>
          <w:rFonts w:cs="Times New Roman"/>
          <w:szCs w:val="24"/>
        </w:rPr>
        <w:t>žiūrėta</w:t>
      </w:r>
      <w:r w:rsidRPr="009F3CCB">
        <w:rPr>
          <w:rFonts w:cs="Times New Roman"/>
          <w:szCs w:val="24"/>
          <w:lang w:val="en-US"/>
        </w:rPr>
        <w:t xml:space="preserve"> 2012-11-06].</w:t>
      </w:r>
    </w:p>
    <w:p w:rsidR="00AC71D2" w:rsidRPr="00175557" w:rsidRDefault="00AC71D2" w:rsidP="00AC71D2">
      <w:pPr>
        <w:pStyle w:val="ListParagraph"/>
        <w:numPr>
          <w:ilvl w:val="0"/>
          <w:numId w:val="9"/>
        </w:numPr>
        <w:ind w:left="567" w:hanging="501"/>
        <w:rPr>
          <w:rFonts w:cs="Times New Roman"/>
          <w:szCs w:val="24"/>
        </w:rPr>
      </w:pPr>
      <w:r w:rsidRPr="00175557">
        <w:rPr>
          <w:rFonts w:cs="Times New Roman"/>
          <w:b/>
          <w:szCs w:val="24"/>
        </w:rPr>
        <w:t>Naujas draudimo įstatymas sustiprins draudikų mokumą ir skaidrumą</w:t>
      </w:r>
      <w:r>
        <w:rPr>
          <w:rFonts w:cs="Times New Roman"/>
          <w:b/>
          <w:szCs w:val="24"/>
        </w:rPr>
        <w:t xml:space="preserve">. </w:t>
      </w:r>
      <w:hyperlink r:id="rId88" w:history="1">
        <w:r w:rsidRPr="00E33B23">
          <w:rPr>
            <w:rStyle w:val="Hyperlink"/>
            <w:rFonts w:cs="Times New Roman"/>
            <w:szCs w:val="24"/>
          </w:rPr>
          <w:t>http://www.draudikai.lt/lt/naujienos/naujas-draudimo-istatymas-sustiprins-draudiku-mokuma-ir-skaidruma</w:t>
        </w:r>
      </w:hyperlink>
      <w:r>
        <w:rPr>
          <w:rFonts w:cs="Times New Roman"/>
          <w:szCs w:val="24"/>
        </w:rPr>
        <w:t xml:space="preserve"> [žiūrėta </w:t>
      </w:r>
      <w:r>
        <w:rPr>
          <w:rFonts w:cs="Times New Roman"/>
          <w:szCs w:val="24"/>
          <w:lang w:val="en-US"/>
        </w:rPr>
        <w:t>2012-11-05].</w:t>
      </w:r>
    </w:p>
    <w:p w:rsidR="00AC71D2" w:rsidRPr="00366DCE" w:rsidRDefault="00AC71D2" w:rsidP="00AC71D2">
      <w:pPr>
        <w:pStyle w:val="ListParagraph"/>
        <w:numPr>
          <w:ilvl w:val="0"/>
          <w:numId w:val="9"/>
        </w:numPr>
        <w:ind w:left="567" w:hanging="501"/>
        <w:rPr>
          <w:rFonts w:cs="Times New Roman"/>
          <w:szCs w:val="24"/>
          <w:lang w:val="en-US"/>
        </w:rPr>
      </w:pPr>
      <w:r w:rsidRPr="003B0390">
        <w:rPr>
          <w:rFonts w:cs="Times New Roman"/>
          <w:b/>
          <w:szCs w:val="24"/>
          <w:lang w:val="en-US"/>
        </w:rPr>
        <w:t>New Swiss Re sigma study “World insurance in 2009” reveals slight premium dip but improved capital</w:t>
      </w:r>
      <w:r>
        <w:rPr>
          <w:rFonts w:cs="Times New Roman"/>
          <w:b/>
          <w:szCs w:val="24"/>
          <w:lang w:val="en-US"/>
        </w:rPr>
        <w:t>.</w:t>
      </w:r>
      <w:r>
        <w:rPr>
          <w:rFonts w:cs="Times New Roman"/>
          <w:szCs w:val="24"/>
          <w:lang w:val="en-US"/>
        </w:rPr>
        <w:t xml:space="preserve"> </w:t>
      </w:r>
      <w:hyperlink r:id="rId89" w:history="1">
        <w:r w:rsidRPr="008A7D69">
          <w:rPr>
            <w:rStyle w:val="Hyperlink"/>
            <w:rFonts w:cs="Times New Roman"/>
            <w:szCs w:val="24"/>
            <w:lang w:val="en-US"/>
          </w:rPr>
          <w:t>http://media.cgd.swissre.com/documents/pr_sigma2_2010_en.pdf</w:t>
        </w:r>
      </w:hyperlink>
      <w:r>
        <w:rPr>
          <w:rFonts w:cs="Times New Roman"/>
          <w:szCs w:val="24"/>
          <w:lang w:val="en-US"/>
        </w:rPr>
        <w:t xml:space="preserve"> </w:t>
      </w:r>
      <w:r w:rsidRPr="00E56C46">
        <w:rPr>
          <w:rFonts w:cs="Times New Roman"/>
          <w:szCs w:val="24"/>
          <w:lang w:val="en-US"/>
        </w:rPr>
        <w:t>[</w:t>
      </w:r>
      <w:r w:rsidRPr="003B0390">
        <w:rPr>
          <w:rFonts w:cs="Times New Roman"/>
          <w:szCs w:val="24"/>
        </w:rPr>
        <w:t>žiūrėta</w:t>
      </w:r>
      <w:r w:rsidRPr="00E56C46">
        <w:rPr>
          <w:rFonts w:cs="Times New Roman"/>
          <w:szCs w:val="24"/>
          <w:lang w:val="en-US"/>
        </w:rPr>
        <w:t xml:space="preserve"> 2012-10-</w:t>
      </w:r>
      <w:r>
        <w:rPr>
          <w:rFonts w:cs="Times New Roman"/>
          <w:szCs w:val="24"/>
          <w:lang w:val="en-US"/>
        </w:rPr>
        <w:t>31</w:t>
      </w:r>
      <w:r w:rsidRPr="00E56C46">
        <w:rPr>
          <w:rFonts w:cs="Times New Roman"/>
          <w:szCs w:val="24"/>
          <w:lang w:val="en-US"/>
        </w:rPr>
        <w:t>].</w:t>
      </w:r>
    </w:p>
    <w:p w:rsidR="00AC71D2" w:rsidRPr="00E56C46" w:rsidRDefault="00AC71D2" w:rsidP="00AC71D2">
      <w:pPr>
        <w:pStyle w:val="ListParagraph"/>
        <w:numPr>
          <w:ilvl w:val="0"/>
          <w:numId w:val="9"/>
        </w:numPr>
        <w:ind w:left="567" w:hanging="501"/>
        <w:rPr>
          <w:rFonts w:cs="Times New Roman"/>
          <w:b/>
          <w:szCs w:val="24"/>
          <w:lang w:val="en-US"/>
        </w:rPr>
      </w:pPr>
      <w:r w:rsidRPr="003B0390">
        <w:rPr>
          <w:rFonts w:cs="Times New Roman"/>
          <w:b/>
          <w:szCs w:val="24"/>
          <w:lang w:val="en-US"/>
        </w:rPr>
        <w:t>New Swiss Re sigma study “World insurance in 2010” reveals growth in global premium volume and capital.</w:t>
      </w:r>
      <w:r w:rsidRPr="00E56C46">
        <w:rPr>
          <w:rFonts w:cs="Times New Roman"/>
          <w:szCs w:val="24"/>
          <w:lang w:val="en-US"/>
        </w:rPr>
        <w:t xml:space="preserve"> </w:t>
      </w:r>
      <w:hyperlink r:id="rId90" w:history="1">
        <w:r w:rsidRPr="00E56C46">
          <w:rPr>
            <w:rStyle w:val="Hyperlink"/>
            <w:rFonts w:cs="Times New Roman"/>
            <w:szCs w:val="24"/>
            <w:lang w:val="en-US"/>
          </w:rPr>
          <w:t>http://media.swissre.com/documents/pr_20110702_sigma2_en.pdf</w:t>
        </w:r>
      </w:hyperlink>
      <w:r w:rsidRPr="00E56C46">
        <w:rPr>
          <w:rFonts w:cs="Times New Roman"/>
          <w:szCs w:val="24"/>
          <w:lang w:val="en-US"/>
        </w:rPr>
        <w:t xml:space="preserve"> [</w:t>
      </w:r>
      <w:r w:rsidRPr="003B0390">
        <w:rPr>
          <w:rFonts w:cs="Times New Roman"/>
          <w:szCs w:val="24"/>
        </w:rPr>
        <w:t>žiūrėta</w:t>
      </w:r>
      <w:r w:rsidRPr="00E56C46">
        <w:rPr>
          <w:rFonts w:cs="Times New Roman"/>
          <w:szCs w:val="24"/>
          <w:lang w:val="en-US"/>
        </w:rPr>
        <w:t xml:space="preserve"> 2012-10-14].</w:t>
      </w:r>
    </w:p>
    <w:p w:rsidR="00AC71D2" w:rsidRPr="003B0390" w:rsidRDefault="00AC71D2" w:rsidP="00AC71D2">
      <w:pPr>
        <w:pStyle w:val="ListParagraph"/>
        <w:numPr>
          <w:ilvl w:val="0"/>
          <w:numId w:val="9"/>
        </w:numPr>
        <w:ind w:left="567" w:hanging="501"/>
        <w:rPr>
          <w:rFonts w:cs="Times New Roman"/>
          <w:szCs w:val="24"/>
          <w:lang w:val="en-US"/>
        </w:rPr>
      </w:pPr>
      <w:r w:rsidRPr="003B0390">
        <w:rPr>
          <w:rFonts w:cs="Times New Roman"/>
          <w:b/>
          <w:szCs w:val="24"/>
          <w:lang w:val="en-US"/>
        </w:rPr>
        <w:t>New Swiss Re sigma study on world insurance in 2011 shows non-life insurance premiums continued to grow in 2011 despite an overall decline in premiums.</w:t>
      </w:r>
      <w:r w:rsidRPr="00E56C46">
        <w:rPr>
          <w:rFonts w:cs="Times New Roman"/>
          <w:szCs w:val="24"/>
          <w:lang w:val="en-US"/>
        </w:rPr>
        <w:t xml:space="preserve"> </w:t>
      </w:r>
      <w:hyperlink r:id="rId91" w:history="1">
        <w:r w:rsidRPr="00E56C46">
          <w:rPr>
            <w:rStyle w:val="Hyperlink"/>
            <w:rFonts w:cs="Times New Roman"/>
            <w:szCs w:val="24"/>
            <w:lang w:val="en-US"/>
          </w:rPr>
          <w:t>http://media.swissre.com/documents/Press+Release_sigma_3_2012.pdf</w:t>
        </w:r>
      </w:hyperlink>
      <w:r w:rsidRPr="00E56C46">
        <w:rPr>
          <w:rFonts w:cs="Times New Roman"/>
          <w:szCs w:val="24"/>
          <w:lang w:val="en-US"/>
        </w:rPr>
        <w:t xml:space="preserve"> [</w:t>
      </w:r>
      <w:r w:rsidRPr="003B0390">
        <w:rPr>
          <w:rFonts w:cs="Times New Roman"/>
          <w:szCs w:val="24"/>
        </w:rPr>
        <w:t>žiūrėta</w:t>
      </w:r>
      <w:r w:rsidRPr="00E56C46">
        <w:rPr>
          <w:rFonts w:cs="Times New Roman"/>
          <w:szCs w:val="24"/>
          <w:lang w:val="en-US"/>
        </w:rPr>
        <w:t xml:space="preserve"> 2012-10-14].</w:t>
      </w:r>
    </w:p>
    <w:p w:rsidR="00AC71D2" w:rsidRPr="002F2D2E" w:rsidRDefault="00AC71D2" w:rsidP="00AC71D2">
      <w:pPr>
        <w:pStyle w:val="ListParagraph"/>
        <w:numPr>
          <w:ilvl w:val="0"/>
          <w:numId w:val="9"/>
        </w:numPr>
        <w:ind w:left="567" w:hanging="501"/>
        <w:rPr>
          <w:rFonts w:cs="Times New Roman"/>
          <w:b/>
          <w:szCs w:val="24"/>
        </w:rPr>
      </w:pPr>
      <w:r>
        <w:rPr>
          <w:rFonts w:cs="Times New Roman"/>
          <w:b/>
          <w:szCs w:val="24"/>
        </w:rPr>
        <w:t xml:space="preserve">Outreville J.F. </w:t>
      </w:r>
      <w:r>
        <w:rPr>
          <w:rFonts w:cs="Times New Roman"/>
          <w:szCs w:val="24"/>
          <w:lang w:val="en-US"/>
        </w:rPr>
        <w:t>Life Insurance Markets in Developing Countries // Journal of Risk and Insurance, 1996, Vol. 63, Nr. 2.</w:t>
      </w:r>
    </w:p>
    <w:p w:rsidR="00AC71D2" w:rsidRDefault="00AC71D2" w:rsidP="00AC71D2">
      <w:pPr>
        <w:pStyle w:val="ListParagraph"/>
        <w:numPr>
          <w:ilvl w:val="0"/>
          <w:numId w:val="9"/>
        </w:numPr>
        <w:ind w:left="567" w:hanging="501"/>
        <w:rPr>
          <w:rFonts w:cs="Times New Roman"/>
          <w:b/>
          <w:szCs w:val="24"/>
        </w:rPr>
      </w:pPr>
      <w:r>
        <w:rPr>
          <w:rFonts w:cs="Times New Roman"/>
          <w:b/>
          <w:szCs w:val="24"/>
        </w:rPr>
        <w:lastRenderedPageBreak/>
        <w:t xml:space="preserve">Pajamų skirtumai auga. </w:t>
      </w:r>
      <w:hyperlink r:id="rId92" w:history="1">
        <w:r w:rsidRPr="00A43B85">
          <w:rPr>
            <w:rStyle w:val="Hyperlink"/>
            <w:rFonts w:cs="Times New Roman"/>
            <w:szCs w:val="24"/>
          </w:rPr>
          <w:t>http://www.valstybestarnautojai.eu/index.php?option=com_content&amp;view=article&amp;id=133:pajamskirtumai&amp;catid=1:naujienos</w:t>
        </w:r>
      </w:hyperlink>
      <w:r>
        <w:rPr>
          <w:rFonts w:cs="Times New Roman"/>
          <w:szCs w:val="24"/>
        </w:rPr>
        <w:t xml:space="preserve"> </w:t>
      </w:r>
      <w:r w:rsidRPr="009F3CCB">
        <w:rPr>
          <w:rFonts w:cs="Times New Roman"/>
          <w:szCs w:val="24"/>
          <w:lang w:val="en-US"/>
        </w:rPr>
        <w:t>[</w:t>
      </w:r>
      <w:r w:rsidRPr="009F3CCB">
        <w:rPr>
          <w:rFonts w:cs="Times New Roman"/>
          <w:szCs w:val="24"/>
        </w:rPr>
        <w:t>žiūrėta</w:t>
      </w:r>
      <w:r w:rsidRPr="009F3CCB">
        <w:rPr>
          <w:rFonts w:cs="Times New Roman"/>
          <w:szCs w:val="24"/>
          <w:lang w:val="en-US"/>
        </w:rPr>
        <w:t xml:space="preserve"> 2012-11-06].</w:t>
      </w:r>
    </w:p>
    <w:p w:rsidR="00AC71D2" w:rsidRPr="00AF6261" w:rsidRDefault="00AC71D2" w:rsidP="00AC71D2">
      <w:pPr>
        <w:pStyle w:val="ListParagraph"/>
        <w:numPr>
          <w:ilvl w:val="0"/>
          <w:numId w:val="9"/>
        </w:numPr>
        <w:ind w:left="567" w:hanging="501"/>
        <w:rPr>
          <w:rFonts w:cs="Times New Roman"/>
          <w:b/>
          <w:szCs w:val="24"/>
        </w:rPr>
      </w:pPr>
      <w:r>
        <w:rPr>
          <w:rFonts w:cs="Times New Roman"/>
          <w:b/>
          <w:szCs w:val="24"/>
        </w:rPr>
        <w:t xml:space="preserve">Palūkanų normos. </w:t>
      </w:r>
      <w:hyperlink r:id="rId93" w:history="1">
        <w:r w:rsidRPr="00E33B23">
          <w:rPr>
            <w:rStyle w:val="Hyperlink"/>
            <w:rFonts w:cs="Times New Roman"/>
            <w:szCs w:val="24"/>
          </w:rPr>
          <w:t>http://www.indeliai.lt/lt/palukanu-normos/</w:t>
        </w:r>
      </w:hyperlink>
      <w:r>
        <w:rPr>
          <w:rFonts w:cs="Times New Roman"/>
          <w:szCs w:val="24"/>
        </w:rPr>
        <w:t xml:space="preserve"> [žiūrėta </w:t>
      </w:r>
      <w:r>
        <w:rPr>
          <w:rFonts w:cs="Times New Roman"/>
          <w:szCs w:val="24"/>
          <w:lang w:val="en-US"/>
        </w:rPr>
        <w:t>2012-11-11].</w:t>
      </w:r>
    </w:p>
    <w:p w:rsidR="00AC71D2" w:rsidRPr="007A093A" w:rsidRDefault="00AC71D2" w:rsidP="00AC71D2">
      <w:pPr>
        <w:pStyle w:val="ListParagraph"/>
        <w:numPr>
          <w:ilvl w:val="0"/>
          <w:numId w:val="9"/>
        </w:numPr>
        <w:ind w:left="567" w:hanging="501"/>
        <w:rPr>
          <w:rFonts w:cs="Times New Roman"/>
          <w:b/>
          <w:szCs w:val="24"/>
        </w:rPr>
      </w:pPr>
      <w:r>
        <w:rPr>
          <w:rFonts w:cs="Times New Roman"/>
          <w:b/>
          <w:szCs w:val="24"/>
        </w:rPr>
        <w:t>Perspektyvos draudimo rinkoje.</w:t>
      </w:r>
      <w:r>
        <w:rPr>
          <w:rFonts w:cs="Times New Roman"/>
          <w:szCs w:val="24"/>
        </w:rPr>
        <w:t xml:space="preserve"> </w:t>
      </w:r>
      <w:hyperlink r:id="rId94" w:history="1">
        <w:r w:rsidRPr="00231707">
          <w:rPr>
            <w:rStyle w:val="Hyperlink"/>
            <w:rFonts w:cs="Times New Roman"/>
            <w:szCs w:val="24"/>
          </w:rPr>
          <w:t>http://www.marketnews.lt/naujiena/perspektyvos_draudimo_rinkoje_2009-01-11;itemid=6548</w:t>
        </w:r>
      </w:hyperlink>
      <w:r>
        <w:rPr>
          <w:rFonts w:cs="Times New Roman"/>
          <w:szCs w:val="24"/>
        </w:rPr>
        <w:t xml:space="preserve">, </w:t>
      </w:r>
      <w:r w:rsidRPr="0035127C">
        <w:rPr>
          <w:rFonts w:cs="Times New Roman"/>
          <w:szCs w:val="24"/>
        </w:rPr>
        <w:t xml:space="preserve">[žiūrėta </w:t>
      </w:r>
      <w:r w:rsidRPr="0035127C">
        <w:rPr>
          <w:rFonts w:cs="Times New Roman"/>
          <w:szCs w:val="24"/>
          <w:lang w:val="en-US"/>
        </w:rPr>
        <w:t>201</w:t>
      </w:r>
      <w:r>
        <w:rPr>
          <w:rFonts w:cs="Times New Roman"/>
          <w:szCs w:val="24"/>
          <w:lang w:val="en-US"/>
        </w:rPr>
        <w:t>2</w:t>
      </w:r>
      <w:r w:rsidRPr="0035127C">
        <w:rPr>
          <w:rFonts w:cs="Times New Roman"/>
          <w:szCs w:val="24"/>
          <w:lang w:val="en-US"/>
        </w:rPr>
        <w:t>-</w:t>
      </w:r>
      <w:r>
        <w:rPr>
          <w:rFonts w:cs="Times New Roman"/>
          <w:szCs w:val="24"/>
          <w:lang w:val="en-US"/>
        </w:rPr>
        <w:t>06-22</w:t>
      </w:r>
      <w:r w:rsidRPr="0035127C">
        <w:rPr>
          <w:rFonts w:cs="Times New Roman"/>
          <w:szCs w:val="24"/>
          <w:lang w:val="en-US"/>
        </w:rPr>
        <w:t>].</w:t>
      </w:r>
    </w:p>
    <w:p w:rsidR="00AC71D2" w:rsidRPr="007A093A" w:rsidRDefault="00AC71D2" w:rsidP="00AC71D2">
      <w:pPr>
        <w:pStyle w:val="ListParagraph"/>
        <w:numPr>
          <w:ilvl w:val="0"/>
          <w:numId w:val="9"/>
        </w:numPr>
        <w:ind w:left="567" w:hanging="501"/>
        <w:rPr>
          <w:rFonts w:cs="Times New Roman"/>
          <w:szCs w:val="24"/>
        </w:rPr>
      </w:pPr>
      <w:r w:rsidRPr="007A093A">
        <w:rPr>
          <w:rFonts w:cs="Times New Roman"/>
          <w:b/>
          <w:szCs w:val="24"/>
        </w:rPr>
        <w:t xml:space="preserve">Pirmą kartą užregistruotų Lietuvoje kelių transporto priemonių skaičius. </w:t>
      </w:r>
      <w:r w:rsidRPr="007A093A">
        <w:rPr>
          <w:rFonts w:cs="Times New Roman"/>
          <w:szCs w:val="24"/>
        </w:rPr>
        <w:t>Požymiai: transporto rūšis.</w:t>
      </w:r>
      <w:r>
        <w:rPr>
          <w:rFonts w:cs="Times New Roman"/>
          <w:szCs w:val="24"/>
        </w:rPr>
        <w:t xml:space="preserve"> </w:t>
      </w:r>
      <w:hyperlink r:id="rId95" w:history="1">
        <w:r w:rsidRPr="00543C51">
          <w:rPr>
            <w:rStyle w:val="Hyperlink"/>
            <w:rFonts w:cs="Times New Roman"/>
            <w:szCs w:val="24"/>
          </w:rPr>
          <w:t>http://db1.stat.gov.lt/statbank/SelectVarVal/Define.asp?Maintable=M7030101&amp;PLanguage=0</w:t>
        </w:r>
      </w:hyperlink>
      <w:r>
        <w:rPr>
          <w:rFonts w:cs="Times New Roman"/>
          <w:szCs w:val="24"/>
        </w:rPr>
        <w:t xml:space="preserve"> [žiūrėta </w:t>
      </w:r>
      <w:r>
        <w:rPr>
          <w:rFonts w:cs="Times New Roman"/>
          <w:szCs w:val="24"/>
          <w:lang w:val="en-US"/>
        </w:rPr>
        <w:t>2012-11-07].</w:t>
      </w:r>
    </w:p>
    <w:p w:rsidR="00AC71D2" w:rsidRPr="009F3CCB" w:rsidRDefault="00AC71D2" w:rsidP="00AC71D2">
      <w:pPr>
        <w:pStyle w:val="ListParagraph"/>
        <w:numPr>
          <w:ilvl w:val="0"/>
          <w:numId w:val="9"/>
        </w:numPr>
        <w:ind w:left="567" w:hanging="501"/>
        <w:rPr>
          <w:rFonts w:cs="Times New Roman"/>
          <w:b/>
          <w:szCs w:val="24"/>
          <w:lang w:val="en-US"/>
        </w:rPr>
      </w:pPr>
      <w:r w:rsidRPr="009F3CCB">
        <w:rPr>
          <w:rFonts w:cs="Times New Roman"/>
          <w:b/>
          <w:szCs w:val="24"/>
          <w:lang w:val="en-US"/>
        </w:rPr>
        <w:t xml:space="preserve">Population at 1 January. </w:t>
      </w:r>
      <w:r w:rsidRPr="009F3CCB">
        <w:rPr>
          <w:rFonts w:cs="Times New Roman"/>
          <w:szCs w:val="24"/>
          <w:lang w:val="en-US"/>
        </w:rPr>
        <w:t>Persons.</w:t>
      </w:r>
      <w:r>
        <w:rPr>
          <w:rFonts w:cs="Times New Roman"/>
          <w:szCs w:val="24"/>
          <w:lang w:val="en-US"/>
        </w:rPr>
        <w:t xml:space="preserve"> </w:t>
      </w:r>
      <w:hyperlink r:id="rId96" w:history="1">
        <w:r w:rsidRPr="009F3CCB">
          <w:rPr>
            <w:rStyle w:val="Hyperlink"/>
            <w:rFonts w:cs="Times New Roman"/>
            <w:szCs w:val="24"/>
            <w:lang w:val="en-US"/>
          </w:rPr>
          <w:t>http://epp.eurostat.ec.europa.eu/tgm/graph.do?tab=graph&amp;plugin=1&amp;pcode=tps00001&amp;language=en&amp;toolbox=data</w:t>
        </w:r>
      </w:hyperlink>
      <w:r w:rsidRPr="009F3CCB">
        <w:rPr>
          <w:rFonts w:cs="Times New Roman"/>
          <w:szCs w:val="24"/>
          <w:lang w:val="en-US"/>
        </w:rPr>
        <w:t xml:space="preserve"> [</w:t>
      </w:r>
      <w:r w:rsidRPr="009F3CCB">
        <w:rPr>
          <w:rFonts w:cs="Times New Roman"/>
          <w:szCs w:val="24"/>
        </w:rPr>
        <w:t>žiūrėta</w:t>
      </w:r>
      <w:r w:rsidRPr="009F3CCB">
        <w:rPr>
          <w:rFonts w:cs="Times New Roman"/>
          <w:szCs w:val="24"/>
          <w:lang w:val="en-US"/>
        </w:rPr>
        <w:t xml:space="preserve"> 2012-11-06].</w:t>
      </w:r>
    </w:p>
    <w:p w:rsidR="00AC71D2" w:rsidRPr="00B41C2A" w:rsidRDefault="00AC71D2" w:rsidP="00AC71D2">
      <w:pPr>
        <w:pStyle w:val="ListParagraph"/>
        <w:numPr>
          <w:ilvl w:val="0"/>
          <w:numId w:val="9"/>
        </w:numPr>
        <w:ind w:left="567" w:hanging="501"/>
        <w:rPr>
          <w:rFonts w:cs="Times New Roman"/>
          <w:szCs w:val="24"/>
        </w:rPr>
      </w:pPr>
      <w:r>
        <w:rPr>
          <w:rFonts w:cs="Times New Roman"/>
          <w:b/>
          <w:szCs w:val="24"/>
        </w:rPr>
        <w:t>Rudzkienė V.</w:t>
      </w:r>
      <w:r>
        <w:rPr>
          <w:rFonts w:cs="Times New Roman"/>
          <w:szCs w:val="24"/>
        </w:rPr>
        <w:t xml:space="preserve"> Socialinė statistika. – Vilnius: Mykolo Romerio universitetas, </w:t>
      </w:r>
      <w:r>
        <w:rPr>
          <w:rFonts w:cs="Times New Roman"/>
          <w:szCs w:val="24"/>
          <w:lang w:val="en-US"/>
        </w:rPr>
        <w:t>2005. – ISBN 9955-19-002-7.</w:t>
      </w:r>
    </w:p>
    <w:p w:rsidR="00AC71D2" w:rsidRPr="00E56C46" w:rsidRDefault="00AC71D2" w:rsidP="00AC71D2">
      <w:pPr>
        <w:pStyle w:val="ListParagraph"/>
        <w:numPr>
          <w:ilvl w:val="0"/>
          <w:numId w:val="9"/>
        </w:numPr>
        <w:ind w:left="567" w:hanging="501"/>
        <w:rPr>
          <w:rFonts w:cs="Times New Roman"/>
          <w:szCs w:val="24"/>
          <w:lang w:val="en-US"/>
        </w:rPr>
      </w:pPr>
      <w:r w:rsidRPr="003B0390">
        <w:rPr>
          <w:rFonts w:cs="Times New Roman"/>
          <w:b/>
          <w:szCs w:val="24"/>
          <w:lang w:val="en-US"/>
        </w:rPr>
        <w:t>Sigma study: World insurance in 2002: high premium growth in non-life insurance.</w:t>
      </w:r>
      <w:r w:rsidRPr="00E56C46">
        <w:rPr>
          <w:rFonts w:cs="Times New Roman"/>
          <w:szCs w:val="24"/>
          <w:lang w:val="en-US"/>
        </w:rPr>
        <w:t xml:space="preserve"> </w:t>
      </w:r>
      <w:hyperlink r:id="rId97" w:history="1">
        <w:r w:rsidRPr="00E56C46">
          <w:rPr>
            <w:rStyle w:val="Hyperlink"/>
            <w:rFonts w:cs="Times New Roman"/>
            <w:szCs w:val="24"/>
            <w:lang w:val="en-US"/>
          </w:rPr>
          <w:t>http://media.swissre.com/documents/pr_20031203_en.pdf</w:t>
        </w:r>
      </w:hyperlink>
      <w:r w:rsidRPr="00E56C46">
        <w:rPr>
          <w:rFonts w:cs="Times New Roman"/>
          <w:szCs w:val="24"/>
          <w:lang w:val="en-US"/>
        </w:rPr>
        <w:t xml:space="preserve"> [</w:t>
      </w:r>
      <w:r w:rsidRPr="003B0390">
        <w:rPr>
          <w:rFonts w:cs="Times New Roman"/>
          <w:szCs w:val="24"/>
        </w:rPr>
        <w:t>žiūrėta</w:t>
      </w:r>
      <w:r w:rsidRPr="00E56C46">
        <w:rPr>
          <w:rFonts w:cs="Times New Roman"/>
          <w:szCs w:val="24"/>
          <w:lang w:val="en-US"/>
        </w:rPr>
        <w:t xml:space="preserve"> 2012-10-14].</w:t>
      </w:r>
    </w:p>
    <w:p w:rsidR="00AC71D2" w:rsidRDefault="00AC71D2" w:rsidP="00AC71D2">
      <w:pPr>
        <w:pStyle w:val="ListParagraph"/>
        <w:numPr>
          <w:ilvl w:val="0"/>
          <w:numId w:val="9"/>
        </w:numPr>
        <w:ind w:left="567" w:hanging="501"/>
        <w:rPr>
          <w:rFonts w:cs="Times New Roman"/>
          <w:szCs w:val="24"/>
          <w:lang w:val="en-US"/>
        </w:rPr>
      </w:pPr>
      <w:r w:rsidRPr="003B0390">
        <w:rPr>
          <w:rFonts w:cs="Times New Roman"/>
          <w:b/>
          <w:szCs w:val="24"/>
          <w:lang w:val="en-US"/>
        </w:rPr>
        <w:t>Sigma study on World insurance in 2006: Premiums came back to “life“.</w:t>
      </w:r>
      <w:r>
        <w:rPr>
          <w:rFonts w:cs="Times New Roman"/>
          <w:b/>
          <w:szCs w:val="24"/>
          <w:lang w:val="en-US"/>
        </w:rPr>
        <w:t xml:space="preserve"> </w:t>
      </w:r>
      <w:hyperlink r:id="rId98" w:history="1">
        <w:r w:rsidRPr="00E56C46">
          <w:rPr>
            <w:rStyle w:val="Hyperlink"/>
            <w:rFonts w:cs="Times New Roman"/>
            <w:szCs w:val="24"/>
            <w:lang w:val="en-US"/>
          </w:rPr>
          <w:t>http://media.swissre.com/documents/Newsrelease_sigma4_2007_en.pdf</w:t>
        </w:r>
      </w:hyperlink>
      <w:r w:rsidRPr="00E56C46">
        <w:rPr>
          <w:rFonts w:cs="Times New Roman"/>
          <w:szCs w:val="24"/>
          <w:lang w:val="en-US"/>
        </w:rPr>
        <w:t xml:space="preserve"> [</w:t>
      </w:r>
      <w:r w:rsidRPr="003B0390">
        <w:rPr>
          <w:rFonts w:cs="Times New Roman"/>
          <w:szCs w:val="24"/>
        </w:rPr>
        <w:t>žiūrėta</w:t>
      </w:r>
      <w:r w:rsidRPr="00E56C46">
        <w:rPr>
          <w:rFonts w:cs="Times New Roman"/>
          <w:szCs w:val="24"/>
          <w:lang w:val="en-US"/>
        </w:rPr>
        <w:t xml:space="preserve"> 2012-10-14].</w:t>
      </w:r>
    </w:p>
    <w:p w:rsidR="00AC71D2" w:rsidRDefault="00AC71D2" w:rsidP="00AC71D2">
      <w:pPr>
        <w:pStyle w:val="ListParagraph"/>
        <w:numPr>
          <w:ilvl w:val="0"/>
          <w:numId w:val="9"/>
        </w:numPr>
        <w:ind w:left="567" w:hanging="501"/>
        <w:rPr>
          <w:rFonts w:cs="Times New Roman"/>
          <w:szCs w:val="24"/>
        </w:rPr>
      </w:pPr>
      <w:r w:rsidRPr="005F4410">
        <w:rPr>
          <w:rFonts w:cs="Times New Roman"/>
          <w:b/>
          <w:szCs w:val="24"/>
        </w:rPr>
        <w:t xml:space="preserve">Skučienė D. </w:t>
      </w:r>
      <w:r w:rsidRPr="005F4410">
        <w:rPr>
          <w:rFonts w:cs="Times New Roman"/>
          <w:szCs w:val="24"/>
        </w:rPr>
        <w:t>Pajamų nelygybė Lietuvoje. // Filosofija. Sociologija</w:t>
      </w:r>
      <w:r>
        <w:rPr>
          <w:rFonts w:cs="Times New Roman"/>
          <w:szCs w:val="24"/>
        </w:rPr>
        <w:t>: Lietuvos mokslų akademijos leidykla,</w:t>
      </w:r>
      <w:r w:rsidRPr="005F4410">
        <w:rPr>
          <w:rFonts w:cs="Times New Roman"/>
          <w:szCs w:val="24"/>
        </w:rPr>
        <w:t xml:space="preserve"> 2008, Nr. 4</w:t>
      </w:r>
      <w:r>
        <w:rPr>
          <w:rFonts w:cs="Times New Roman"/>
          <w:szCs w:val="24"/>
        </w:rPr>
        <w:t>.</w:t>
      </w:r>
    </w:p>
    <w:p w:rsidR="00AC71D2" w:rsidRPr="00F619B5" w:rsidRDefault="00AC71D2" w:rsidP="00AC71D2">
      <w:pPr>
        <w:pStyle w:val="ListParagraph"/>
        <w:numPr>
          <w:ilvl w:val="0"/>
          <w:numId w:val="9"/>
        </w:numPr>
        <w:ind w:left="567" w:hanging="501"/>
        <w:rPr>
          <w:rFonts w:cs="Times New Roman"/>
          <w:szCs w:val="24"/>
        </w:rPr>
      </w:pPr>
      <w:r w:rsidRPr="00F619B5">
        <w:rPr>
          <w:b/>
        </w:rPr>
        <w:t>Snieška V. ir kt.</w:t>
      </w:r>
      <w:r w:rsidRPr="006311D6">
        <w:t xml:space="preserve"> Makroekonomika. Vadovėlis ekonominių specialybių studentams. – Kaunas: Technologija, </w:t>
      </w:r>
      <w:r>
        <w:t xml:space="preserve">2005. </w:t>
      </w:r>
      <w:r w:rsidRPr="006311D6">
        <w:t>– ISBN 9955-25-062-3</w:t>
      </w:r>
      <w:r>
        <w:t>.</w:t>
      </w:r>
    </w:p>
    <w:p w:rsidR="00AC71D2" w:rsidRPr="00117531" w:rsidRDefault="00AC71D2" w:rsidP="00AC71D2">
      <w:pPr>
        <w:pStyle w:val="ListParagraph"/>
        <w:numPr>
          <w:ilvl w:val="0"/>
          <w:numId w:val="9"/>
        </w:numPr>
        <w:ind w:left="567" w:hanging="501"/>
        <w:rPr>
          <w:rFonts w:cs="Times New Roman"/>
          <w:szCs w:val="24"/>
        </w:rPr>
      </w:pPr>
      <w:r w:rsidRPr="00117531">
        <w:rPr>
          <w:rFonts w:cs="Times New Roman"/>
          <w:b/>
          <w:szCs w:val="24"/>
        </w:rPr>
        <w:t xml:space="preserve">Statistiniai veiklos duomenys. </w:t>
      </w:r>
      <w:r>
        <w:rPr>
          <w:rFonts w:cs="Times New Roman"/>
          <w:szCs w:val="24"/>
        </w:rPr>
        <w:t xml:space="preserve">2008 metai. </w:t>
      </w:r>
      <w:hyperlink r:id="rId99" w:history="1">
        <w:r w:rsidRPr="00543C51">
          <w:rPr>
            <w:rStyle w:val="Hyperlink"/>
            <w:rFonts w:cs="Times New Roman"/>
            <w:szCs w:val="24"/>
          </w:rPr>
          <w:t>http://www.dpk.lt/files/menesine/stat_veiklos_duomenys_2008/12/01.html</w:t>
        </w:r>
      </w:hyperlink>
      <w:r>
        <w:rPr>
          <w:rFonts w:cs="Times New Roman"/>
          <w:szCs w:val="24"/>
        </w:rPr>
        <w:t xml:space="preserve"> </w:t>
      </w:r>
      <w:r w:rsidRPr="0035127C">
        <w:rPr>
          <w:rFonts w:cs="Times New Roman"/>
          <w:szCs w:val="24"/>
        </w:rPr>
        <w:t xml:space="preserve">[žiūrėta </w:t>
      </w:r>
      <w:r>
        <w:rPr>
          <w:rFonts w:cs="Times New Roman"/>
          <w:szCs w:val="24"/>
          <w:lang w:val="en-US"/>
        </w:rPr>
        <w:t>2012-11-07].</w:t>
      </w:r>
    </w:p>
    <w:p w:rsidR="00AC71D2" w:rsidRPr="00117531" w:rsidRDefault="00AC71D2" w:rsidP="00AC71D2">
      <w:pPr>
        <w:pStyle w:val="ListParagraph"/>
        <w:numPr>
          <w:ilvl w:val="0"/>
          <w:numId w:val="9"/>
        </w:numPr>
        <w:ind w:left="567" w:hanging="501"/>
        <w:rPr>
          <w:rFonts w:cs="Times New Roman"/>
          <w:szCs w:val="24"/>
        </w:rPr>
      </w:pPr>
      <w:r w:rsidRPr="00117531">
        <w:rPr>
          <w:rFonts w:cs="Times New Roman"/>
          <w:b/>
          <w:szCs w:val="24"/>
        </w:rPr>
        <w:t xml:space="preserve">Statistiniai veiklos duomenys. </w:t>
      </w:r>
      <w:r w:rsidRPr="00117531">
        <w:rPr>
          <w:rFonts w:cs="Times New Roman"/>
          <w:szCs w:val="24"/>
        </w:rPr>
        <w:t>200</w:t>
      </w:r>
      <w:r>
        <w:rPr>
          <w:rFonts w:cs="Times New Roman"/>
          <w:szCs w:val="24"/>
        </w:rPr>
        <w:t>9</w:t>
      </w:r>
      <w:r w:rsidRPr="00117531">
        <w:rPr>
          <w:rFonts w:cs="Times New Roman"/>
          <w:szCs w:val="24"/>
        </w:rPr>
        <w:t xml:space="preserve"> metai. </w:t>
      </w:r>
      <w:hyperlink r:id="rId100" w:history="1">
        <w:r w:rsidRPr="00543C51">
          <w:rPr>
            <w:rStyle w:val="Hyperlink"/>
            <w:rFonts w:cs="Times New Roman"/>
            <w:szCs w:val="24"/>
          </w:rPr>
          <w:t>http://www.dpk.lt/files/menesine/stat_veiklos_duomenys_2009/12/01.html</w:t>
        </w:r>
      </w:hyperlink>
      <w:r>
        <w:rPr>
          <w:rFonts w:cs="Times New Roman"/>
          <w:szCs w:val="24"/>
        </w:rPr>
        <w:t xml:space="preserve"> [</w:t>
      </w:r>
      <w:r w:rsidRPr="0035127C">
        <w:rPr>
          <w:rFonts w:cs="Times New Roman"/>
          <w:szCs w:val="24"/>
        </w:rPr>
        <w:t xml:space="preserve">žiūrėta </w:t>
      </w:r>
      <w:r>
        <w:rPr>
          <w:rFonts w:cs="Times New Roman"/>
          <w:szCs w:val="24"/>
          <w:lang w:val="en-US"/>
        </w:rPr>
        <w:t>2012-11-07].</w:t>
      </w:r>
    </w:p>
    <w:p w:rsidR="00AC71D2" w:rsidRPr="00117531" w:rsidRDefault="00AC71D2" w:rsidP="00AC71D2">
      <w:pPr>
        <w:pStyle w:val="ListParagraph"/>
        <w:numPr>
          <w:ilvl w:val="0"/>
          <w:numId w:val="9"/>
        </w:numPr>
        <w:ind w:left="567" w:hanging="501"/>
        <w:rPr>
          <w:rFonts w:cs="Times New Roman"/>
          <w:szCs w:val="24"/>
        </w:rPr>
      </w:pPr>
      <w:r w:rsidRPr="00117531">
        <w:rPr>
          <w:rFonts w:cs="Times New Roman"/>
          <w:b/>
          <w:szCs w:val="24"/>
        </w:rPr>
        <w:t xml:space="preserve">Statistiniai veiklos duomenys. </w:t>
      </w:r>
      <w:r w:rsidRPr="00117531">
        <w:rPr>
          <w:rFonts w:cs="Times New Roman"/>
          <w:szCs w:val="24"/>
        </w:rPr>
        <w:t>20</w:t>
      </w:r>
      <w:r>
        <w:rPr>
          <w:rFonts w:cs="Times New Roman"/>
          <w:szCs w:val="24"/>
        </w:rPr>
        <w:t>10</w:t>
      </w:r>
      <w:r w:rsidRPr="00117531">
        <w:rPr>
          <w:rFonts w:cs="Times New Roman"/>
          <w:szCs w:val="24"/>
        </w:rPr>
        <w:t xml:space="preserve"> metai. </w:t>
      </w:r>
      <w:hyperlink r:id="rId101" w:history="1">
        <w:r w:rsidRPr="00543C51">
          <w:rPr>
            <w:rStyle w:val="Hyperlink"/>
            <w:rFonts w:cs="Times New Roman"/>
            <w:szCs w:val="24"/>
          </w:rPr>
          <w:t>http://www.dpk.lt/files/menesine/stat_veiklos_duomenys_2010/12/01.html</w:t>
        </w:r>
      </w:hyperlink>
      <w:r>
        <w:rPr>
          <w:rFonts w:cs="Times New Roman"/>
          <w:szCs w:val="24"/>
        </w:rPr>
        <w:t xml:space="preserve"> [</w:t>
      </w:r>
      <w:r w:rsidRPr="0035127C">
        <w:rPr>
          <w:rFonts w:cs="Times New Roman"/>
          <w:szCs w:val="24"/>
        </w:rPr>
        <w:t xml:space="preserve">žiūrėta </w:t>
      </w:r>
      <w:r>
        <w:rPr>
          <w:rFonts w:cs="Times New Roman"/>
          <w:szCs w:val="24"/>
          <w:lang w:val="en-US"/>
        </w:rPr>
        <w:t>2012-11-07].</w:t>
      </w:r>
    </w:p>
    <w:p w:rsidR="00AC71D2" w:rsidRPr="00117531" w:rsidRDefault="00AC71D2" w:rsidP="00AC71D2">
      <w:pPr>
        <w:pStyle w:val="ListParagraph"/>
        <w:numPr>
          <w:ilvl w:val="0"/>
          <w:numId w:val="9"/>
        </w:numPr>
        <w:ind w:left="567" w:hanging="501"/>
        <w:rPr>
          <w:rFonts w:cs="Times New Roman"/>
          <w:szCs w:val="24"/>
        </w:rPr>
      </w:pPr>
      <w:r w:rsidRPr="00117531">
        <w:rPr>
          <w:rFonts w:cs="Times New Roman"/>
          <w:b/>
          <w:szCs w:val="24"/>
        </w:rPr>
        <w:t xml:space="preserve">Statistiniai veiklos duomenys. </w:t>
      </w:r>
      <w:r w:rsidRPr="00117531">
        <w:rPr>
          <w:rFonts w:cs="Times New Roman"/>
          <w:szCs w:val="24"/>
        </w:rPr>
        <w:t>20</w:t>
      </w:r>
      <w:r>
        <w:rPr>
          <w:rFonts w:cs="Times New Roman"/>
          <w:szCs w:val="24"/>
        </w:rPr>
        <w:t>11</w:t>
      </w:r>
      <w:r w:rsidRPr="00117531">
        <w:rPr>
          <w:rFonts w:cs="Times New Roman"/>
          <w:szCs w:val="24"/>
        </w:rPr>
        <w:t xml:space="preserve"> metai. </w:t>
      </w:r>
      <w:hyperlink r:id="rId102" w:history="1">
        <w:r w:rsidRPr="00543C51">
          <w:rPr>
            <w:rStyle w:val="Hyperlink"/>
            <w:rFonts w:cs="Times New Roman"/>
            <w:szCs w:val="24"/>
          </w:rPr>
          <w:t>http://www.dpk.lt/files/menesine/stat_veiklos_duomenys_2011/12/01.html</w:t>
        </w:r>
      </w:hyperlink>
      <w:r>
        <w:rPr>
          <w:rFonts w:cs="Times New Roman"/>
          <w:szCs w:val="24"/>
        </w:rPr>
        <w:t xml:space="preserve"> [</w:t>
      </w:r>
      <w:r w:rsidRPr="0035127C">
        <w:rPr>
          <w:rFonts w:cs="Times New Roman"/>
          <w:szCs w:val="24"/>
        </w:rPr>
        <w:t xml:space="preserve">žiūrėta </w:t>
      </w:r>
      <w:r>
        <w:rPr>
          <w:rFonts w:cs="Times New Roman"/>
          <w:szCs w:val="24"/>
          <w:lang w:val="en-US"/>
        </w:rPr>
        <w:t>2012-11-07].</w:t>
      </w:r>
    </w:p>
    <w:p w:rsidR="00AC71D2" w:rsidRPr="00117531" w:rsidRDefault="00AC71D2" w:rsidP="00AC71D2">
      <w:pPr>
        <w:pStyle w:val="ListParagraph"/>
        <w:numPr>
          <w:ilvl w:val="0"/>
          <w:numId w:val="9"/>
        </w:numPr>
        <w:ind w:left="567" w:hanging="501"/>
        <w:rPr>
          <w:rFonts w:cs="Times New Roman"/>
          <w:szCs w:val="24"/>
        </w:rPr>
      </w:pPr>
      <w:r w:rsidRPr="00117531">
        <w:rPr>
          <w:rFonts w:cs="Times New Roman"/>
          <w:b/>
          <w:szCs w:val="24"/>
        </w:rPr>
        <w:t xml:space="preserve">Statistiniai veiklos duomenys. </w:t>
      </w:r>
      <w:r w:rsidRPr="00117531">
        <w:rPr>
          <w:rFonts w:cs="Times New Roman"/>
          <w:szCs w:val="24"/>
        </w:rPr>
        <w:t>20</w:t>
      </w:r>
      <w:r>
        <w:rPr>
          <w:rFonts w:cs="Times New Roman"/>
          <w:szCs w:val="24"/>
        </w:rPr>
        <w:t>12</w:t>
      </w:r>
      <w:r w:rsidRPr="00117531">
        <w:rPr>
          <w:rFonts w:cs="Times New Roman"/>
          <w:szCs w:val="24"/>
        </w:rPr>
        <w:t xml:space="preserve"> metai. </w:t>
      </w:r>
      <w:hyperlink r:id="rId103" w:history="1">
        <w:r w:rsidRPr="00543C51">
          <w:rPr>
            <w:rStyle w:val="Hyperlink"/>
            <w:rFonts w:cs="Times New Roman"/>
            <w:szCs w:val="24"/>
          </w:rPr>
          <w:t>http://www.lb.lt/2012_09_1</w:t>
        </w:r>
      </w:hyperlink>
      <w:r>
        <w:rPr>
          <w:rFonts w:cs="Times New Roman"/>
          <w:szCs w:val="24"/>
        </w:rPr>
        <w:t xml:space="preserve"> [</w:t>
      </w:r>
      <w:r w:rsidRPr="0035127C">
        <w:rPr>
          <w:rFonts w:cs="Times New Roman"/>
          <w:szCs w:val="24"/>
        </w:rPr>
        <w:t xml:space="preserve">žiūrėta </w:t>
      </w:r>
      <w:r>
        <w:rPr>
          <w:rFonts w:cs="Times New Roman"/>
          <w:szCs w:val="24"/>
          <w:lang w:val="en-US"/>
        </w:rPr>
        <w:t>2012-11-07].</w:t>
      </w:r>
    </w:p>
    <w:p w:rsidR="00AC71D2" w:rsidRPr="007440D6" w:rsidRDefault="00AC71D2" w:rsidP="00AC71D2">
      <w:pPr>
        <w:pStyle w:val="ListParagraph"/>
        <w:numPr>
          <w:ilvl w:val="0"/>
          <w:numId w:val="9"/>
        </w:numPr>
        <w:ind w:left="567" w:hanging="501"/>
        <w:rPr>
          <w:rFonts w:cs="Times New Roman"/>
          <w:b/>
          <w:szCs w:val="24"/>
        </w:rPr>
      </w:pPr>
      <w:r>
        <w:rPr>
          <w:rFonts w:cs="Times New Roman"/>
          <w:b/>
          <w:szCs w:val="24"/>
        </w:rPr>
        <w:t xml:space="preserve">Tidikis R. </w:t>
      </w:r>
      <w:r>
        <w:rPr>
          <w:rFonts w:cs="Times New Roman"/>
          <w:szCs w:val="24"/>
        </w:rPr>
        <w:t xml:space="preserve">Socialinių mokslų tyrimo metodologija. – Vilnius: Lietuvos teisės universitetas, </w:t>
      </w:r>
      <w:r>
        <w:rPr>
          <w:rFonts w:cs="Times New Roman"/>
          <w:szCs w:val="24"/>
          <w:lang w:val="en-US"/>
        </w:rPr>
        <w:t xml:space="preserve">2003. – </w:t>
      </w:r>
      <w:r>
        <w:rPr>
          <w:rFonts w:cs="Times New Roman"/>
          <w:szCs w:val="24"/>
        </w:rPr>
        <w:t>ISBN 9955-563-26-5.</w:t>
      </w:r>
    </w:p>
    <w:p w:rsidR="00AC71D2" w:rsidRPr="00F466B8" w:rsidRDefault="00AC71D2" w:rsidP="00AC71D2">
      <w:pPr>
        <w:pStyle w:val="ListParagraph"/>
        <w:numPr>
          <w:ilvl w:val="0"/>
          <w:numId w:val="9"/>
        </w:numPr>
        <w:ind w:left="567" w:hanging="501"/>
        <w:rPr>
          <w:rFonts w:cs="Times New Roman"/>
          <w:b/>
          <w:szCs w:val="24"/>
        </w:rPr>
      </w:pPr>
      <w:r w:rsidRPr="007440D6">
        <w:rPr>
          <w:b/>
        </w:rPr>
        <w:lastRenderedPageBreak/>
        <w:t>Tiesioginės užsienio investicijos metų pabaigoje.</w:t>
      </w:r>
      <w:r>
        <w:t xml:space="preserve"> Požymiai: ekonominės veiklos rūšis (EVRK 2), metai. </w:t>
      </w:r>
      <w:hyperlink r:id="rId104" w:history="1">
        <w:r w:rsidRPr="00E33B23">
          <w:rPr>
            <w:rStyle w:val="Hyperlink"/>
          </w:rPr>
          <w:t>http://db1.stat.gov.lt/statbank/SelectVarVal/Define.asp?Maintable=M2030207&amp;PLanguage=0</w:t>
        </w:r>
      </w:hyperlink>
      <w:r>
        <w:t xml:space="preserve"> </w:t>
      </w:r>
      <w:r>
        <w:rPr>
          <w:rFonts w:cs="Times New Roman"/>
          <w:szCs w:val="24"/>
        </w:rPr>
        <w:t xml:space="preserve">[žiūrėta </w:t>
      </w:r>
      <w:r>
        <w:rPr>
          <w:rFonts w:cs="Times New Roman"/>
          <w:szCs w:val="24"/>
          <w:lang w:val="en-US"/>
        </w:rPr>
        <w:t>2012-11-05].</w:t>
      </w:r>
    </w:p>
    <w:p w:rsidR="00AC71D2" w:rsidRPr="00B704B4" w:rsidRDefault="00AC71D2" w:rsidP="00AC71D2">
      <w:pPr>
        <w:pStyle w:val="ListParagraph"/>
        <w:numPr>
          <w:ilvl w:val="0"/>
          <w:numId w:val="9"/>
        </w:numPr>
        <w:ind w:left="567" w:hanging="501"/>
        <w:rPr>
          <w:rFonts w:cs="Times New Roman"/>
          <w:b/>
          <w:szCs w:val="24"/>
        </w:rPr>
      </w:pPr>
      <w:r w:rsidRPr="00F466B8">
        <w:rPr>
          <w:b/>
        </w:rPr>
        <w:t xml:space="preserve">Universitetų studentai. </w:t>
      </w:r>
      <w:r>
        <w:t xml:space="preserve">Požymiai: studijų pakopa, lėšų šaltinis. </w:t>
      </w:r>
      <w:hyperlink r:id="rId105" w:history="1">
        <w:r w:rsidRPr="00A43B85">
          <w:rPr>
            <w:rStyle w:val="Hyperlink"/>
          </w:rPr>
          <w:t>http://db1.stat.gov.lt/statbank/SelectVarVal/Define.asp?Maintable=M3110709&amp;PLanguage=0</w:t>
        </w:r>
      </w:hyperlink>
      <w:r>
        <w:t xml:space="preserve"> </w:t>
      </w:r>
      <w:r w:rsidRPr="009F3CCB">
        <w:rPr>
          <w:rFonts w:cs="Times New Roman"/>
          <w:szCs w:val="24"/>
          <w:lang w:val="en-US"/>
        </w:rPr>
        <w:t>[</w:t>
      </w:r>
      <w:r w:rsidRPr="009F3CCB">
        <w:rPr>
          <w:rFonts w:cs="Times New Roman"/>
          <w:szCs w:val="24"/>
        </w:rPr>
        <w:t>žiūrėta</w:t>
      </w:r>
      <w:r w:rsidRPr="009F3CCB">
        <w:rPr>
          <w:rFonts w:cs="Times New Roman"/>
          <w:szCs w:val="24"/>
          <w:lang w:val="en-US"/>
        </w:rPr>
        <w:t xml:space="preserve"> 2012-11-06].</w:t>
      </w:r>
    </w:p>
    <w:p w:rsidR="00AC71D2" w:rsidRPr="0007458E" w:rsidRDefault="00AC71D2" w:rsidP="00AC71D2">
      <w:pPr>
        <w:pStyle w:val="ListParagraph"/>
        <w:numPr>
          <w:ilvl w:val="0"/>
          <w:numId w:val="9"/>
        </w:numPr>
        <w:ind w:left="567" w:hanging="501"/>
        <w:rPr>
          <w:rFonts w:cs="Times New Roman"/>
          <w:b/>
          <w:szCs w:val="24"/>
        </w:rPr>
      </w:pPr>
      <w:r w:rsidRPr="00B704B4">
        <w:rPr>
          <w:b/>
        </w:rPr>
        <w:t>Valstybės ir savivaldybių biudžetų išlaidos švietimui.</w:t>
      </w:r>
      <w:r>
        <w:t xml:space="preserve"> Požymiai: švietimo paslauga. </w:t>
      </w:r>
      <w:hyperlink r:id="rId106" w:history="1">
        <w:r w:rsidRPr="00A43B85">
          <w:rPr>
            <w:rStyle w:val="Hyperlink"/>
          </w:rPr>
          <w:t>http://db1.stat.gov.lt/statbank/SelectVarVal/Define.asp?Maintable=M3110905&amp;PLanguage=0</w:t>
        </w:r>
      </w:hyperlink>
      <w:r>
        <w:t xml:space="preserve"> </w:t>
      </w:r>
      <w:r w:rsidRPr="009F3CCB">
        <w:rPr>
          <w:rFonts w:cs="Times New Roman"/>
          <w:szCs w:val="24"/>
          <w:lang w:val="en-US"/>
        </w:rPr>
        <w:t>[</w:t>
      </w:r>
      <w:r w:rsidRPr="009F3CCB">
        <w:rPr>
          <w:rFonts w:cs="Times New Roman"/>
          <w:szCs w:val="24"/>
        </w:rPr>
        <w:t>žiūrėta</w:t>
      </w:r>
      <w:r w:rsidRPr="009F3CCB">
        <w:rPr>
          <w:rFonts w:cs="Times New Roman"/>
          <w:szCs w:val="24"/>
          <w:lang w:val="en-US"/>
        </w:rPr>
        <w:t xml:space="preserve"> 2012-11-06].</w:t>
      </w:r>
    </w:p>
    <w:p w:rsidR="0007458E" w:rsidRPr="00645391" w:rsidRDefault="0007458E" w:rsidP="00AC71D2">
      <w:pPr>
        <w:pStyle w:val="ListParagraph"/>
        <w:numPr>
          <w:ilvl w:val="0"/>
          <w:numId w:val="9"/>
        </w:numPr>
        <w:ind w:left="567" w:hanging="501"/>
        <w:rPr>
          <w:rFonts w:cs="Times New Roman"/>
          <w:b/>
          <w:szCs w:val="24"/>
          <w:lang w:val="en-US"/>
        </w:rPr>
      </w:pPr>
      <w:r w:rsidRPr="00645391">
        <w:rPr>
          <w:b/>
          <w:lang w:val="en-US"/>
        </w:rPr>
        <w:t xml:space="preserve">Vaughan E.J., Vaughan T. </w:t>
      </w:r>
      <w:r w:rsidRPr="00645391">
        <w:rPr>
          <w:lang w:val="en-US"/>
        </w:rPr>
        <w:t>Fundamentals of Risk and Insurance. 10</w:t>
      </w:r>
      <w:r w:rsidRPr="00645391">
        <w:rPr>
          <w:vertAlign w:val="superscript"/>
          <w:lang w:val="en-US"/>
        </w:rPr>
        <w:t>th</w:t>
      </w:r>
      <w:r w:rsidRPr="00645391">
        <w:rPr>
          <w:lang w:val="en-US"/>
        </w:rPr>
        <w:t xml:space="preserve"> ed., 2008. – ISBN-13 978-0-470-08753-4.</w:t>
      </w:r>
    </w:p>
    <w:p w:rsidR="00AC71D2" w:rsidRPr="00073B91" w:rsidRDefault="00AC71D2" w:rsidP="00AC71D2">
      <w:pPr>
        <w:pStyle w:val="ListParagraph"/>
        <w:numPr>
          <w:ilvl w:val="0"/>
          <w:numId w:val="9"/>
        </w:numPr>
        <w:ind w:left="567" w:hanging="501"/>
        <w:rPr>
          <w:rFonts w:cs="Times New Roman"/>
          <w:b/>
          <w:szCs w:val="24"/>
        </w:rPr>
      </w:pPr>
      <w:r w:rsidRPr="00445B5F">
        <w:rPr>
          <w:b/>
        </w:rPr>
        <w:t>Vidutinė tikėtina gyvenimo trukmė.</w:t>
      </w:r>
      <w:r>
        <w:t xml:space="preserve"> Požymiai: administracinė teritorija, lytis. </w:t>
      </w:r>
      <w:hyperlink r:id="rId107" w:history="1">
        <w:r w:rsidRPr="00A43B85">
          <w:rPr>
            <w:rStyle w:val="Hyperlink"/>
          </w:rPr>
          <w:t>http://db1.stat.gov.lt/statbank/SelectVarVal/Define.asp?Maintable=M3010801&amp;PLanguage=0</w:t>
        </w:r>
      </w:hyperlink>
      <w:r>
        <w:t xml:space="preserve"> </w:t>
      </w:r>
      <w:r w:rsidRPr="009F3CCB">
        <w:rPr>
          <w:rFonts w:cs="Times New Roman"/>
          <w:szCs w:val="24"/>
          <w:lang w:val="en-US"/>
        </w:rPr>
        <w:t>[</w:t>
      </w:r>
      <w:r w:rsidRPr="009F3CCB">
        <w:rPr>
          <w:rFonts w:cs="Times New Roman"/>
          <w:szCs w:val="24"/>
        </w:rPr>
        <w:t>žiūrėta</w:t>
      </w:r>
      <w:r w:rsidRPr="009F3CCB">
        <w:rPr>
          <w:rFonts w:cs="Times New Roman"/>
          <w:szCs w:val="24"/>
          <w:lang w:val="en-US"/>
        </w:rPr>
        <w:t xml:space="preserve"> 2012-11-06].</w:t>
      </w:r>
    </w:p>
    <w:p w:rsidR="00AC71D2" w:rsidRPr="00073B91" w:rsidRDefault="00AC71D2" w:rsidP="00AC71D2">
      <w:pPr>
        <w:pStyle w:val="ListParagraph"/>
        <w:numPr>
          <w:ilvl w:val="0"/>
          <w:numId w:val="9"/>
        </w:numPr>
        <w:ind w:left="567" w:hanging="501"/>
        <w:rPr>
          <w:rFonts w:cs="Times New Roman"/>
          <w:b/>
          <w:szCs w:val="24"/>
        </w:rPr>
      </w:pPr>
      <w:r w:rsidRPr="00521646">
        <w:rPr>
          <w:rStyle w:val="title"/>
          <w:b/>
        </w:rPr>
        <w:t>VILIBID ir VILIBOR.</w:t>
      </w:r>
      <w:r>
        <w:rPr>
          <w:rStyle w:val="title"/>
        </w:rPr>
        <w:t xml:space="preserve"> </w:t>
      </w:r>
      <w:hyperlink r:id="rId108" w:history="1">
        <w:r w:rsidRPr="00543C51">
          <w:rPr>
            <w:rStyle w:val="Hyperlink"/>
          </w:rPr>
          <w:t>http://www.lb.lt/statistics/excel.aspx?group=7222&amp;lang=lt</w:t>
        </w:r>
      </w:hyperlink>
      <w:r>
        <w:t xml:space="preserve"> </w:t>
      </w:r>
      <w:r>
        <w:rPr>
          <w:rFonts w:cs="Times New Roman"/>
          <w:szCs w:val="24"/>
        </w:rPr>
        <w:t xml:space="preserve">[žiūrėta </w:t>
      </w:r>
      <w:r>
        <w:rPr>
          <w:rFonts w:cs="Times New Roman"/>
          <w:szCs w:val="24"/>
          <w:lang w:val="en-US"/>
        </w:rPr>
        <w:t>2012-11-11].</w:t>
      </w:r>
    </w:p>
    <w:p w:rsidR="00AC71D2" w:rsidRPr="006D42B5" w:rsidRDefault="00AC71D2" w:rsidP="00AC71D2">
      <w:pPr>
        <w:pStyle w:val="ListParagraph"/>
        <w:numPr>
          <w:ilvl w:val="0"/>
          <w:numId w:val="9"/>
        </w:numPr>
        <w:ind w:left="567" w:hanging="501"/>
        <w:rPr>
          <w:rFonts w:cs="Times New Roman"/>
          <w:b/>
          <w:szCs w:val="24"/>
        </w:rPr>
      </w:pPr>
      <w:r>
        <w:rPr>
          <w:rFonts w:cs="Times New Roman"/>
          <w:b/>
          <w:szCs w:val="24"/>
        </w:rPr>
        <w:t xml:space="preserve">Ward D., Zurbruegg R. </w:t>
      </w:r>
      <w:r>
        <w:rPr>
          <w:rFonts w:cs="Times New Roman"/>
          <w:szCs w:val="24"/>
          <w:lang w:val="en-US"/>
        </w:rPr>
        <w:t>Does Insurance Promote Economic Growth? Evidence From OECD Countries // Journal of Risk and Insurance, 2000, Vol. 67, Nr. 4.</w:t>
      </w:r>
    </w:p>
    <w:p w:rsidR="00AC71D2" w:rsidRDefault="00AC71D2">
      <w:pPr>
        <w:spacing w:after="200" w:line="276" w:lineRule="auto"/>
        <w:rPr>
          <w:rFonts w:cs="Times New Roman"/>
        </w:rPr>
      </w:pPr>
      <w:r>
        <w:rPr>
          <w:rFonts w:cs="Times New Roman"/>
        </w:rPr>
        <w:br w:type="page"/>
      </w:r>
    </w:p>
    <w:p w:rsidR="009C1F9A" w:rsidRDefault="009C1F9A" w:rsidP="00CB3E17">
      <w:pPr>
        <w:ind w:firstLine="567"/>
        <w:jc w:val="both"/>
        <w:rPr>
          <w:rFonts w:cs="Times New Roman"/>
          <w:b/>
          <w:szCs w:val="24"/>
        </w:rPr>
      </w:pPr>
    </w:p>
    <w:p w:rsidR="00CB3E17" w:rsidRDefault="00CB3E17" w:rsidP="00CB3E17">
      <w:pPr>
        <w:ind w:firstLine="567"/>
        <w:jc w:val="both"/>
        <w:rPr>
          <w:rFonts w:cs="Times New Roman"/>
          <w:szCs w:val="24"/>
        </w:rPr>
      </w:pPr>
      <w:r w:rsidRPr="00EF3EA2">
        <w:rPr>
          <w:rFonts w:cs="Times New Roman"/>
          <w:b/>
          <w:szCs w:val="24"/>
        </w:rPr>
        <w:t>Grinius G.</w:t>
      </w:r>
      <w:r>
        <w:rPr>
          <w:rFonts w:cs="Times New Roman"/>
          <w:szCs w:val="24"/>
        </w:rPr>
        <w:t xml:space="preserve"> Lietuvos ne gyvybės draudimo rinkos plėtros veiksnių vertinimas / Finansų rinkų magistro baigiamasis darbas. Vadovė prof. dr. I. Mačerinskienė. – Vilnius: Mykolo Romerio universitetas, Ekonomikos ir finansų valdymo fakultetas, </w:t>
      </w:r>
      <w:r>
        <w:rPr>
          <w:rFonts w:cs="Times New Roman"/>
          <w:szCs w:val="24"/>
          <w:lang w:val="en-US"/>
        </w:rPr>
        <w:t xml:space="preserve">2012. </w:t>
      </w:r>
      <w:r w:rsidRPr="00CB3E17">
        <w:rPr>
          <w:rFonts w:cs="Times New Roman"/>
          <w:szCs w:val="24"/>
          <w:lang w:val="en-US"/>
        </w:rPr>
        <w:t xml:space="preserve">– 81 </w:t>
      </w:r>
      <w:r w:rsidRPr="00CB3E17">
        <w:rPr>
          <w:rFonts w:cs="Times New Roman"/>
          <w:szCs w:val="24"/>
        </w:rPr>
        <w:t>p.</w:t>
      </w:r>
    </w:p>
    <w:p w:rsidR="00CB3E17" w:rsidRDefault="00CB3E17" w:rsidP="00CB3E17">
      <w:pPr>
        <w:jc w:val="both"/>
        <w:rPr>
          <w:rFonts w:cs="Times New Roman"/>
          <w:szCs w:val="24"/>
        </w:rPr>
      </w:pPr>
    </w:p>
    <w:p w:rsidR="00CB3E17" w:rsidRPr="00BA0CC4" w:rsidRDefault="00CB3E17" w:rsidP="00CB3E17">
      <w:pPr>
        <w:pStyle w:val="Heading1"/>
      </w:pPr>
      <w:bookmarkStart w:id="300" w:name="_Toc342859679"/>
      <w:r>
        <w:t>ANOTACIJA</w:t>
      </w:r>
      <w:bookmarkEnd w:id="300"/>
    </w:p>
    <w:p w:rsidR="00CB3E17" w:rsidRDefault="00CB3E17" w:rsidP="00CB3E17">
      <w:pPr>
        <w:jc w:val="both"/>
        <w:rPr>
          <w:rFonts w:cs="Times New Roman"/>
          <w:szCs w:val="24"/>
        </w:rPr>
      </w:pPr>
    </w:p>
    <w:p w:rsidR="00CB3E17" w:rsidRDefault="00CB3E17" w:rsidP="00CB3E17">
      <w:pPr>
        <w:ind w:firstLine="567"/>
        <w:jc w:val="both"/>
        <w:rPr>
          <w:rFonts w:cs="Times New Roman"/>
          <w:szCs w:val="24"/>
        </w:rPr>
      </w:pPr>
      <w:r>
        <w:rPr>
          <w:rFonts w:cs="Times New Roman"/>
          <w:szCs w:val="24"/>
        </w:rPr>
        <w:t>Magistro baigiamajame darbe išanalizuoti Lietuvos ne gyvybės draudimo rinką sąlygojantys veiksniai bei identifikuotos rinkos plėtros galimybės, pateiktos rekomendacijos, kaip paspartinti ne gyvybės draudimo sektoriaus plėtrą. Pirmoje darbo dalyje pateikiama draudimo rinkos plėtros veiksnių teorija: tiriama draudimo rinkos koncepcija, draudimo rinkų klasifikacija, analizuojant mokslinę literatūrą identifikuoti ne gyvybės draudimo rinką sąlygojantys veiksniai. Antroje dalyje pateikta tyrimo metodologija: suformuluota bei atskleista ne gyvybės draudimo rinkos bei jos plėtros veiksnių tyrimo metodika. Trečioje dalyje analizuojama bei vertinama Lietuvos ne gyvybės draudimo rinkos situacija, atlikta PEST (politinių bei teisinių, ekonominių, socialinių bei kultūrinių, technologinių veiksnių) analizė. Taip pat šioje dalyje pasinaudojant koreliacinės bei tiesinės regresinės analizės metodu atlikta Lietuvos ne gyvybės draudimo rinkos plėtros veiksnių analizė.</w:t>
      </w:r>
    </w:p>
    <w:p w:rsidR="00CB3E17" w:rsidRDefault="00CB3E17" w:rsidP="00CB3E17">
      <w:pPr>
        <w:ind w:firstLine="567"/>
        <w:jc w:val="both"/>
        <w:rPr>
          <w:rFonts w:cs="Times New Roman"/>
          <w:szCs w:val="24"/>
        </w:rPr>
      </w:pPr>
    </w:p>
    <w:p w:rsidR="00CB3E17" w:rsidRDefault="00CB3E17" w:rsidP="00CB3E17">
      <w:pPr>
        <w:ind w:firstLine="567"/>
        <w:jc w:val="both"/>
        <w:rPr>
          <w:rFonts w:cs="Times New Roman"/>
          <w:szCs w:val="24"/>
        </w:rPr>
      </w:pPr>
      <w:r>
        <w:rPr>
          <w:rFonts w:cs="Times New Roman"/>
          <w:b/>
          <w:szCs w:val="24"/>
        </w:rPr>
        <w:t>Pagrindiniai žodžiai:</w:t>
      </w:r>
      <w:r>
        <w:rPr>
          <w:rFonts w:cs="Times New Roman"/>
          <w:szCs w:val="24"/>
        </w:rPr>
        <w:t xml:space="preserve"> ne gyvybės draudimas, ne gyvybės draudimo rinkos plėtros veiksniai, Lietuvos ne gyvybės draudimo rinkos plėtros veiksnių analizė, Lietuvos ne gyvybės draudimo rinkos plėtros galimybės.</w:t>
      </w:r>
    </w:p>
    <w:p w:rsidR="00CB3E17" w:rsidRDefault="00CB3E17">
      <w:pPr>
        <w:spacing w:after="200" w:line="276" w:lineRule="auto"/>
        <w:rPr>
          <w:rFonts w:cs="Times New Roman"/>
        </w:rPr>
      </w:pPr>
      <w:r>
        <w:rPr>
          <w:rFonts w:cs="Times New Roman"/>
        </w:rPr>
        <w:br w:type="page"/>
      </w:r>
    </w:p>
    <w:p w:rsidR="009C1F9A" w:rsidRDefault="009C1F9A" w:rsidP="00CB3E17">
      <w:pPr>
        <w:ind w:firstLine="567"/>
        <w:jc w:val="both"/>
        <w:rPr>
          <w:rFonts w:cs="Times New Roman"/>
          <w:b/>
          <w:szCs w:val="24"/>
        </w:rPr>
      </w:pPr>
    </w:p>
    <w:p w:rsidR="00CB3E17" w:rsidRDefault="00CB3E17" w:rsidP="00CB3E17">
      <w:pPr>
        <w:ind w:firstLine="567"/>
        <w:jc w:val="both"/>
        <w:rPr>
          <w:rFonts w:cs="Times New Roman"/>
          <w:szCs w:val="24"/>
          <w:lang w:val="en-US"/>
        </w:rPr>
      </w:pPr>
      <w:r w:rsidRPr="00FB7942">
        <w:rPr>
          <w:rFonts w:cs="Times New Roman"/>
          <w:b/>
          <w:szCs w:val="24"/>
        </w:rPr>
        <w:t>Grinius</w:t>
      </w:r>
      <w:r w:rsidRPr="00FB7942">
        <w:rPr>
          <w:rFonts w:cs="Times New Roman"/>
          <w:b/>
          <w:szCs w:val="24"/>
          <w:lang w:val="en-US"/>
        </w:rPr>
        <w:t xml:space="preserve"> G.</w:t>
      </w:r>
      <w:r w:rsidRPr="00FB7942">
        <w:rPr>
          <w:rFonts w:cs="Times New Roman"/>
          <w:szCs w:val="24"/>
          <w:lang w:val="en-US"/>
        </w:rPr>
        <w:t xml:space="preserve"> Assessment</w:t>
      </w:r>
      <w:r>
        <w:rPr>
          <w:rFonts w:cs="Times New Roman"/>
          <w:szCs w:val="24"/>
          <w:lang w:val="en-US"/>
        </w:rPr>
        <w:t xml:space="preserve"> of</w:t>
      </w:r>
      <w:r w:rsidRPr="00FB7942">
        <w:rPr>
          <w:rFonts w:cs="Times New Roman"/>
          <w:szCs w:val="24"/>
          <w:lang w:val="en-US"/>
        </w:rPr>
        <w:t xml:space="preserve"> Non-</w:t>
      </w:r>
      <w:r>
        <w:rPr>
          <w:rFonts w:cs="Times New Roman"/>
          <w:szCs w:val="24"/>
          <w:lang w:val="en-US"/>
        </w:rPr>
        <w:t>L</w:t>
      </w:r>
      <w:r w:rsidRPr="00FB7942">
        <w:rPr>
          <w:rFonts w:cs="Times New Roman"/>
          <w:szCs w:val="24"/>
          <w:lang w:val="en-US"/>
        </w:rPr>
        <w:t xml:space="preserve">ife </w:t>
      </w:r>
      <w:r>
        <w:rPr>
          <w:rFonts w:cs="Times New Roman"/>
          <w:szCs w:val="24"/>
          <w:lang w:val="en-US"/>
        </w:rPr>
        <w:t>Insurance Market Development Factors in Lithuania.</w:t>
      </w:r>
      <w:r w:rsidRPr="00FB7942">
        <w:rPr>
          <w:rFonts w:cs="Times New Roman"/>
          <w:szCs w:val="24"/>
          <w:lang w:val="en-US"/>
        </w:rPr>
        <w:t xml:space="preserve"> </w:t>
      </w:r>
      <w:r w:rsidRPr="00DD64EC">
        <w:rPr>
          <w:rFonts w:cs="Times New Roman"/>
          <w:szCs w:val="24"/>
          <w:lang w:val="sq-AL"/>
        </w:rPr>
        <w:t>/ Master Thesis in Financial Markets.</w:t>
      </w:r>
      <w:r w:rsidRPr="00FB7942">
        <w:rPr>
          <w:rFonts w:cs="Times New Roman"/>
          <w:szCs w:val="24"/>
          <w:lang w:val="en-US"/>
        </w:rPr>
        <w:t xml:space="preserve"> Supervisor assoc. </w:t>
      </w:r>
      <w:r w:rsidRPr="00DD64EC">
        <w:rPr>
          <w:rFonts w:cs="Times New Roman"/>
          <w:szCs w:val="24"/>
        </w:rPr>
        <w:t>prof. dr. I. Mačerinskienė</w:t>
      </w:r>
      <w:r w:rsidRPr="00FB7942">
        <w:rPr>
          <w:rFonts w:cs="Times New Roman"/>
          <w:szCs w:val="24"/>
          <w:lang w:val="en-US"/>
        </w:rPr>
        <w:t xml:space="preserve">. – Vilnius: Faculty of Economics and Finance Management, </w:t>
      </w:r>
      <w:r w:rsidRPr="00FB7942">
        <w:rPr>
          <w:rFonts w:cs="Times New Roman"/>
          <w:szCs w:val="24"/>
        </w:rPr>
        <w:t>Mykolas</w:t>
      </w:r>
      <w:r w:rsidR="00A953A0">
        <w:rPr>
          <w:rFonts w:cs="Times New Roman"/>
          <w:szCs w:val="24"/>
          <w:lang w:val="en-US"/>
        </w:rPr>
        <w:t xml:space="preserve"> Romeris</w:t>
      </w:r>
      <w:r w:rsidRPr="00FB7942">
        <w:rPr>
          <w:rFonts w:cs="Times New Roman"/>
          <w:szCs w:val="24"/>
          <w:lang w:val="en-US"/>
        </w:rPr>
        <w:t xml:space="preserve"> University, 2012. – </w:t>
      </w:r>
      <w:r>
        <w:rPr>
          <w:rFonts w:cs="Times New Roman"/>
          <w:szCs w:val="24"/>
          <w:lang w:val="en-US"/>
        </w:rPr>
        <w:t xml:space="preserve">81 </w:t>
      </w:r>
      <w:r w:rsidRPr="00CB3E17">
        <w:rPr>
          <w:rFonts w:cs="Times New Roman"/>
          <w:szCs w:val="24"/>
          <w:lang w:val="en-US"/>
        </w:rPr>
        <w:t>p</w:t>
      </w:r>
      <w:r w:rsidRPr="00FB7942">
        <w:rPr>
          <w:rFonts w:cs="Times New Roman"/>
          <w:szCs w:val="24"/>
          <w:lang w:val="en-US"/>
        </w:rPr>
        <w:t>.</w:t>
      </w:r>
    </w:p>
    <w:p w:rsidR="00CB3E17" w:rsidRPr="00FB7942" w:rsidRDefault="00CB3E17" w:rsidP="00CB3E17">
      <w:pPr>
        <w:jc w:val="both"/>
        <w:rPr>
          <w:rFonts w:cs="Times New Roman"/>
          <w:szCs w:val="24"/>
          <w:lang w:val="en-US"/>
        </w:rPr>
      </w:pPr>
    </w:p>
    <w:p w:rsidR="00CB3E17" w:rsidRDefault="00CB3E17" w:rsidP="00CB3E17">
      <w:pPr>
        <w:pStyle w:val="Heading1"/>
      </w:pPr>
      <w:bookmarkStart w:id="301" w:name="_Toc342859680"/>
      <w:r>
        <w:t>ANNOTATION</w:t>
      </w:r>
      <w:bookmarkEnd w:id="301"/>
    </w:p>
    <w:p w:rsidR="00CB3E17" w:rsidRPr="00DD64EC" w:rsidRDefault="00CB3E17" w:rsidP="00CB3E17">
      <w:pPr>
        <w:rPr>
          <w:lang w:val="en-US"/>
        </w:rPr>
      </w:pPr>
    </w:p>
    <w:p w:rsidR="00CB3E17" w:rsidRDefault="00CB3E17" w:rsidP="00CB3E17">
      <w:pPr>
        <w:ind w:firstLine="567"/>
        <w:jc w:val="both"/>
        <w:rPr>
          <w:lang w:val="en-US"/>
        </w:rPr>
      </w:pPr>
      <w:r>
        <w:rPr>
          <w:lang w:val="en-US"/>
        </w:rPr>
        <w:t>The paper includes analysis of Lithuanian non-life insurance market</w:t>
      </w:r>
      <w:r w:rsidRPr="00E84EB6">
        <w:rPr>
          <w:lang w:val="en-US"/>
        </w:rPr>
        <w:t xml:space="preserve"> </w:t>
      </w:r>
      <w:r>
        <w:rPr>
          <w:lang w:val="en-US"/>
        </w:rPr>
        <w:t xml:space="preserve">determinants, growth opportunities and suggestions how to enhance non-life insurance development. The </w:t>
      </w:r>
      <w:r w:rsidR="00347D14">
        <w:rPr>
          <w:lang w:val="en-US"/>
        </w:rPr>
        <w:t>concept</w:t>
      </w:r>
      <w:r>
        <w:rPr>
          <w:lang w:val="en-US"/>
        </w:rPr>
        <w:t xml:space="preserve"> of insurance market development and its factors </w:t>
      </w:r>
      <w:r w:rsidR="00347D14">
        <w:rPr>
          <w:lang w:val="en-US"/>
        </w:rPr>
        <w:t xml:space="preserve">is </w:t>
      </w:r>
      <w:r>
        <w:rPr>
          <w:lang w:val="en-US"/>
        </w:rPr>
        <w:t>described in the first section of thesis. It involves insurance market concept, classification of insurance markets, identifying the determinants of non-life insurance market based on relevant studies. The methodology of non-life insurance market and its development is presented in the second section of the paper. In the third section analysis and assessment of condition of Lithuanian non-life insurance market is presented. In addition, this section includes PEST (politi</w:t>
      </w:r>
      <w:r w:rsidR="00931A5E">
        <w:rPr>
          <w:lang w:val="en-US"/>
        </w:rPr>
        <w:t>cal and legal, economic, socio-</w:t>
      </w:r>
      <w:r>
        <w:rPr>
          <w:lang w:val="en-US"/>
        </w:rPr>
        <w:t>cultural, technological)</w:t>
      </w:r>
      <w:r w:rsidRPr="00BD1F3F">
        <w:rPr>
          <w:lang w:val="en-US"/>
        </w:rPr>
        <w:t xml:space="preserve"> </w:t>
      </w:r>
      <w:r>
        <w:rPr>
          <w:lang w:val="en-US"/>
        </w:rPr>
        <w:t xml:space="preserve">analysis as well as the analysis of correlation and linear regression which reveals the evaluation of non-life insurance development </w:t>
      </w:r>
      <w:r w:rsidR="009878B9">
        <w:rPr>
          <w:lang w:val="en-US"/>
        </w:rPr>
        <w:t>determinants</w:t>
      </w:r>
      <w:r>
        <w:rPr>
          <w:lang w:val="en-US"/>
        </w:rPr>
        <w:t xml:space="preserve"> in Lithuania.</w:t>
      </w:r>
    </w:p>
    <w:p w:rsidR="00CB3E17" w:rsidRDefault="00CB3E17" w:rsidP="00CB3E17">
      <w:pPr>
        <w:ind w:firstLine="567"/>
        <w:jc w:val="both"/>
        <w:rPr>
          <w:lang w:val="en-US"/>
        </w:rPr>
      </w:pPr>
    </w:p>
    <w:p w:rsidR="00CB3E17" w:rsidRPr="002038B3" w:rsidRDefault="00CB3E17" w:rsidP="00CB3E17">
      <w:pPr>
        <w:ind w:firstLine="567"/>
        <w:jc w:val="both"/>
        <w:rPr>
          <w:lang w:val="en-US"/>
        </w:rPr>
      </w:pPr>
      <w:r>
        <w:rPr>
          <w:b/>
          <w:lang w:val="en-US"/>
        </w:rPr>
        <w:t>Key words:</w:t>
      </w:r>
      <w:r>
        <w:rPr>
          <w:lang w:val="en-US"/>
        </w:rPr>
        <w:t xml:space="preserve"> non-life insurance, non-life insurance market development determinants, analysis of Lithuanian non-life insurance market determinants, Lithuanian non-life insurance market development opportunities.</w:t>
      </w:r>
    </w:p>
    <w:p w:rsidR="00CB3E17" w:rsidRDefault="00CB3E17">
      <w:pPr>
        <w:spacing w:after="200" w:line="276" w:lineRule="auto"/>
        <w:rPr>
          <w:rFonts w:cs="Times New Roman"/>
        </w:rPr>
      </w:pPr>
      <w:r>
        <w:rPr>
          <w:rFonts w:cs="Times New Roman"/>
        </w:rPr>
        <w:br w:type="page"/>
      </w:r>
    </w:p>
    <w:p w:rsidR="009C1F9A" w:rsidRDefault="009C1F9A" w:rsidP="00CB3E17">
      <w:pPr>
        <w:ind w:firstLine="567"/>
        <w:jc w:val="both"/>
        <w:rPr>
          <w:rFonts w:cs="Times New Roman"/>
          <w:b/>
          <w:szCs w:val="24"/>
        </w:rPr>
      </w:pPr>
    </w:p>
    <w:p w:rsidR="00CB3E17" w:rsidRDefault="00CB3E17" w:rsidP="00CB3E17">
      <w:pPr>
        <w:ind w:firstLine="567"/>
        <w:jc w:val="both"/>
        <w:rPr>
          <w:rFonts w:cs="Times New Roman"/>
          <w:szCs w:val="24"/>
        </w:rPr>
      </w:pPr>
      <w:r w:rsidRPr="00EF3EA2">
        <w:rPr>
          <w:rFonts w:cs="Times New Roman"/>
          <w:b/>
          <w:szCs w:val="24"/>
        </w:rPr>
        <w:t>Grinius G.</w:t>
      </w:r>
      <w:r>
        <w:rPr>
          <w:rFonts w:cs="Times New Roman"/>
          <w:szCs w:val="24"/>
        </w:rPr>
        <w:t xml:space="preserve"> Lietuvos ne gyvybės draudimo rinkos plėtros veiksnių vertinimas / Finansų rinkų magistro baigiamasis darbas. Vadovė prof. dr. I. </w:t>
      </w:r>
      <w:r w:rsidRPr="00CB3E17">
        <w:rPr>
          <w:rFonts w:cs="Times New Roman"/>
          <w:szCs w:val="24"/>
        </w:rPr>
        <w:t xml:space="preserve">Mačerinskienė. – Vilnius: Mykolo Romerio universitetas, Ekonomikos ir finansų valdymo fakultetas, </w:t>
      </w:r>
      <w:r w:rsidRPr="00CB3E17">
        <w:rPr>
          <w:rFonts w:cs="Times New Roman"/>
          <w:szCs w:val="24"/>
          <w:lang w:val="en-US"/>
        </w:rPr>
        <w:t xml:space="preserve">2012. – 81 </w:t>
      </w:r>
      <w:r w:rsidRPr="00CB3E17">
        <w:rPr>
          <w:rFonts w:cs="Times New Roman"/>
          <w:szCs w:val="24"/>
        </w:rPr>
        <w:t>p.</w:t>
      </w:r>
    </w:p>
    <w:p w:rsidR="00CB3E17" w:rsidRDefault="00CB3E17" w:rsidP="00CB3E17">
      <w:pPr>
        <w:ind w:firstLine="567"/>
        <w:jc w:val="both"/>
        <w:rPr>
          <w:rFonts w:cs="Times New Roman"/>
          <w:szCs w:val="24"/>
        </w:rPr>
      </w:pPr>
    </w:p>
    <w:p w:rsidR="00CB3E17" w:rsidRPr="00BA0CC4" w:rsidRDefault="00CB3E17" w:rsidP="00CB3E17">
      <w:pPr>
        <w:pStyle w:val="Heading1"/>
      </w:pPr>
      <w:bookmarkStart w:id="302" w:name="_Toc342859681"/>
      <w:r>
        <w:t>SANTRAUKA</w:t>
      </w:r>
      <w:bookmarkEnd w:id="302"/>
    </w:p>
    <w:p w:rsidR="00CB3E17" w:rsidRDefault="00CB3E17" w:rsidP="00CB3E17">
      <w:pPr>
        <w:ind w:firstLine="567"/>
        <w:jc w:val="both"/>
        <w:rPr>
          <w:rFonts w:cs="Times New Roman"/>
          <w:szCs w:val="24"/>
        </w:rPr>
      </w:pPr>
    </w:p>
    <w:p w:rsidR="00CB3E17" w:rsidRDefault="00CB3E17" w:rsidP="00CB3E17">
      <w:pPr>
        <w:ind w:firstLine="567"/>
        <w:jc w:val="both"/>
        <w:rPr>
          <w:rFonts w:cs="Times New Roman"/>
        </w:rPr>
      </w:pPr>
      <w:r>
        <w:rPr>
          <w:rFonts w:cs="Times New Roman"/>
          <w:szCs w:val="24"/>
        </w:rPr>
        <w:t>Tyrimo aktualumas. Draudimas – svarbi ūkinė veikla, užtikrinanti ekonomikos stabilumą.</w:t>
      </w:r>
      <w:r w:rsidRPr="00F20762">
        <w:rPr>
          <w:rFonts w:cs="Times New Roman"/>
        </w:rPr>
        <w:t xml:space="preserve"> </w:t>
      </w:r>
      <w:r>
        <w:rPr>
          <w:rFonts w:cs="Times New Roman"/>
        </w:rPr>
        <w:t xml:space="preserve">Mokslininkai (Buškevičiūtė ir Poželaitė, </w:t>
      </w:r>
      <w:r>
        <w:rPr>
          <w:rFonts w:cs="Times New Roman"/>
          <w:lang w:val="en-US"/>
        </w:rPr>
        <w:t xml:space="preserve">2001, </w:t>
      </w:r>
      <w:r w:rsidRPr="00344783">
        <w:rPr>
          <w:rFonts w:cs="Times New Roman"/>
        </w:rPr>
        <w:t>Lezgovko ir Lastauskas</w:t>
      </w:r>
      <w:r>
        <w:rPr>
          <w:rFonts w:cs="Times New Roman"/>
        </w:rPr>
        <w:t>,</w:t>
      </w:r>
      <w:r w:rsidRPr="00344783">
        <w:rPr>
          <w:rFonts w:cs="Times New Roman"/>
        </w:rPr>
        <w:t xml:space="preserve"> 2008, Bagdonavičius</w:t>
      </w:r>
      <w:r>
        <w:rPr>
          <w:rFonts w:cs="Times New Roman"/>
        </w:rPr>
        <w:t>,</w:t>
      </w:r>
      <w:r w:rsidRPr="00344783">
        <w:rPr>
          <w:rFonts w:cs="Times New Roman"/>
        </w:rPr>
        <w:t xml:space="preserve"> 2000, Aidukienė ir Simanavičienė</w:t>
      </w:r>
      <w:r>
        <w:rPr>
          <w:rFonts w:cs="Times New Roman"/>
        </w:rPr>
        <w:t>,</w:t>
      </w:r>
      <w:r w:rsidRPr="00344783">
        <w:rPr>
          <w:rFonts w:cs="Times New Roman"/>
        </w:rPr>
        <w:t xml:space="preserve"> 2010, Lezgovko ir Jablonskienė</w:t>
      </w:r>
      <w:r>
        <w:rPr>
          <w:rFonts w:cs="Times New Roman"/>
        </w:rPr>
        <w:t>,</w:t>
      </w:r>
      <w:r w:rsidRPr="00344783">
        <w:rPr>
          <w:rFonts w:cs="Times New Roman"/>
        </w:rPr>
        <w:t xml:space="preserve"> 2012</w:t>
      </w:r>
      <w:r>
        <w:rPr>
          <w:rFonts w:cs="Times New Roman"/>
        </w:rPr>
        <w:t>) bei draudimą analizuojančios institucijos (Europos centrinis bankas, Lietuvos bankas, likviduota Draudimo priežiūros komisija, Swiss Re) tiria svarbiausius ne gyvybės draudimo rinkos situaciją bei plėtros tendenciją atspindinčius rodiklius. Šių rodiklių dinamika atskleidžia Lietuvos ne gyvybės draudimo atsilikimą nuo e</w:t>
      </w:r>
      <w:r w:rsidRPr="005B2E8B">
        <w:rPr>
          <w:rFonts w:cs="Times New Roman"/>
        </w:rPr>
        <w:t xml:space="preserve">konomiškai </w:t>
      </w:r>
      <w:r>
        <w:rPr>
          <w:rFonts w:cs="Times New Roman"/>
        </w:rPr>
        <w:t>stiprių pasaulio šalių, Vidurio ir Rytų Europos regiono bei leidžia manyti,</w:t>
      </w:r>
      <w:r w:rsidRPr="00397D08">
        <w:rPr>
          <w:rFonts w:cs="Times New Roman"/>
        </w:rPr>
        <w:t xml:space="preserve"> </w:t>
      </w:r>
      <w:r>
        <w:rPr>
          <w:rFonts w:cs="Times New Roman"/>
        </w:rPr>
        <w:t>kad Lietuvos draudimo sektorius</w:t>
      </w:r>
      <w:r w:rsidRPr="00FC11B3">
        <w:rPr>
          <w:rFonts w:cs="Times New Roman"/>
        </w:rPr>
        <w:t xml:space="preserve"> turi didžiulių augimo </w:t>
      </w:r>
      <w:r>
        <w:rPr>
          <w:rFonts w:cs="Times New Roman"/>
        </w:rPr>
        <w:t>perspektyvų. Norint spartesnės draudimo plėtros mokslininkai (</w:t>
      </w:r>
      <w:r w:rsidRPr="00F25419">
        <w:rPr>
          <w:rFonts w:cs="Times New Roman"/>
          <w:lang w:val="en-US"/>
        </w:rPr>
        <w:t>Bernat</w:t>
      </w:r>
      <w:r>
        <w:rPr>
          <w:rFonts w:cs="Times New Roman"/>
        </w:rPr>
        <w:t xml:space="preserve"> ir </w:t>
      </w:r>
      <w:r w:rsidRPr="00F25419">
        <w:rPr>
          <w:rFonts w:cs="Times New Roman"/>
          <w:lang w:val="en-US"/>
        </w:rPr>
        <w:t>Grundey</w:t>
      </w:r>
      <w:r>
        <w:rPr>
          <w:rFonts w:cs="Times New Roman"/>
        </w:rPr>
        <w:t xml:space="preserve">, </w:t>
      </w:r>
      <w:r>
        <w:rPr>
          <w:rFonts w:cs="Times New Roman"/>
          <w:lang w:val="en-US"/>
        </w:rPr>
        <w:t xml:space="preserve">2007, </w:t>
      </w:r>
      <w:r w:rsidRPr="00F25419">
        <w:rPr>
          <w:rFonts w:cs="Times New Roman"/>
          <w:lang w:val="en-US"/>
        </w:rPr>
        <w:t>Hussels</w:t>
      </w:r>
      <w:r>
        <w:rPr>
          <w:rFonts w:cs="Times New Roman"/>
          <w:lang w:val="en-US"/>
        </w:rPr>
        <w:t xml:space="preserve"> et al., 2005, Browne et al., 2000, Ward ir </w:t>
      </w:r>
      <w:r w:rsidRPr="00F25419">
        <w:rPr>
          <w:rFonts w:cs="Times New Roman"/>
          <w:lang w:val="en-US"/>
        </w:rPr>
        <w:t>Zurbruegg</w:t>
      </w:r>
      <w:r>
        <w:rPr>
          <w:rFonts w:cs="Times New Roman"/>
          <w:lang w:val="en-US"/>
        </w:rPr>
        <w:t xml:space="preserve">, 2000, Beck </w:t>
      </w:r>
      <w:r w:rsidRPr="00F25419">
        <w:rPr>
          <w:rFonts w:cs="Times New Roman"/>
        </w:rPr>
        <w:t>ir</w:t>
      </w:r>
      <w:r>
        <w:rPr>
          <w:rFonts w:cs="Times New Roman"/>
          <w:lang w:val="en-US"/>
        </w:rPr>
        <w:t xml:space="preserve"> Webb, 2003, </w:t>
      </w:r>
      <w:r w:rsidRPr="00F25419">
        <w:rPr>
          <w:rFonts w:cs="Times New Roman"/>
          <w:lang w:val="en-US"/>
        </w:rPr>
        <w:t>Esho</w:t>
      </w:r>
      <w:r>
        <w:rPr>
          <w:rFonts w:cs="Times New Roman"/>
          <w:lang w:val="en-US"/>
        </w:rPr>
        <w:t xml:space="preserve"> et al., 2004</w:t>
      </w:r>
      <w:r>
        <w:rPr>
          <w:rFonts w:cs="Times New Roman"/>
        </w:rPr>
        <w:t>,</w:t>
      </w:r>
      <w:r w:rsidRPr="00594772">
        <w:t xml:space="preserve"> </w:t>
      </w:r>
      <w:r w:rsidRPr="00F25419">
        <w:rPr>
          <w:lang w:val="en-US"/>
        </w:rPr>
        <w:t>Azman-Saini</w:t>
      </w:r>
      <w:r>
        <w:t xml:space="preserve"> ir </w:t>
      </w:r>
      <w:r w:rsidRPr="00F25419">
        <w:rPr>
          <w:lang w:val="en-US"/>
        </w:rPr>
        <w:t>Smith</w:t>
      </w:r>
      <w:r>
        <w:t xml:space="preserve">, </w:t>
      </w:r>
      <w:r w:rsidRPr="00A40AB4">
        <w:t>2011</w:t>
      </w:r>
      <w:r>
        <w:t>, Levine et al., 2000</w:t>
      </w:r>
      <w:r>
        <w:rPr>
          <w:rFonts w:cs="Times New Roman"/>
          <w:lang w:val="en-US"/>
        </w:rPr>
        <w:t xml:space="preserve">) </w:t>
      </w:r>
      <w:r>
        <w:rPr>
          <w:rFonts w:cs="Times New Roman"/>
        </w:rPr>
        <w:t>bando identifikuoti draudimo rinkos plėtros veiksnius.</w:t>
      </w:r>
      <w:r w:rsidRPr="00FC11B3">
        <w:rPr>
          <w:rFonts w:cs="Times New Roman"/>
        </w:rPr>
        <w:t xml:space="preserve"> </w:t>
      </w:r>
      <w:r>
        <w:rPr>
          <w:rFonts w:cs="Times New Roman"/>
        </w:rPr>
        <w:t xml:space="preserve">Siekiant </w:t>
      </w:r>
      <w:r w:rsidRPr="00FC11B3">
        <w:rPr>
          <w:rFonts w:cs="Times New Roman"/>
        </w:rPr>
        <w:t xml:space="preserve">paspartinti </w:t>
      </w:r>
      <w:r>
        <w:rPr>
          <w:rFonts w:cs="Times New Roman"/>
        </w:rPr>
        <w:t xml:space="preserve">Lietuvos </w:t>
      </w:r>
      <w:r w:rsidRPr="00FC11B3">
        <w:rPr>
          <w:rFonts w:cs="Times New Roman"/>
        </w:rPr>
        <w:t>ne gyvybės draudimo</w:t>
      </w:r>
      <w:r>
        <w:rPr>
          <w:rFonts w:cs="Times New Roman"/>
        </w:rPr>
        <w:t xml:space="preserve"> sektoriaus</w:t>
      </w:r>
      <w:r w:rsidRPr="00FC11B3">
        <w:rPr>
          <w:rFonts w:cs="Times New Roman"/>
        </w:rPr>
        <w:t xml:space="preserve"> </w:t>
      </w:r>
      <w:r>
        <w:rPr>
          <w:rFonts w:cs="Times New Roman"/>
        </w:rPr>
        <w:t xml:space="preserve">augimą </w:t>
      </w:r>
      <w:r w:rsidRPr="00FC11B3">
        <w:rPr>
          <w:rFonts w:cs="Times New Roman"/>
        </w:rPr>
        <w:t>būtina identifikuoti svarbiausius</w:t>
      </w:r>
      <w:r>
        <w:rPr>
          <w:rFonts w:cs="Times New Roman"/>
        </w:rPr>
        <w:t xml:space="preserve"> mūsų šalies rinką sąlygojančius veiksnius</w:t>
      </w:r>
      <w:r w:rsidRPr="00FC11B3">
        <w:rPr>
          <w:rFonts w:cs="Times New Roman"/>
        </w:rPr>
        <w:t xml:space="preserve"> bei juos </w:t>
      </w:r>
      <w:r>
        <w:rPr>
          <w:rFonts w:cs="Times New Roman"/>
        </w:rPr>
        <w:t xml:space="preserve">efektyviai </w:t>
      </w:r>
      <w:r w:rsidRPr="00FC11B3">
        <w:rPr>
          <w:rFonts w:cs="Times New Roman"/>
        </w:rPr>
        <w:t>išnaudoti</w:t>
      </w:r>
      <w:r>
        <w:rPr>
          <w:rFonts w:cs="Times New Roman"/>
        </w:rPr>
        <w:t>.</w:t>
      </w:r>
    </w:p>
    <w:p w:rsidR="00CB3E17" w:rsidRPr="00EE6022" w:rsidRDefault="00CB3E17" w:rsidP="00CB3E17">
      <w:pPr>
        <w:ind w:firstLine="567"/>
        <w:jc w:val="both"/>
        <w:rPr>
          <w:rFonts w:eastAsiaTheme="minorEastAsia" w:cs="Times New Roman"/>
        </w:rPr>
      </w:pPr>
      <w:r w:rsidRPr="00A26CC6">
        <w:rPr>
          <w:rFonts w:cs="Times New Roman"/>
        </w:rPr>
        <w:t xml:space="preserve">Tyrimo problema </w:t>
      </w:r>
      <w:r>
        <w:rPr>
          <w:rFonts w:cs="Times New Roman"/>
        </w:rPr>
        <w:t>– k</w:t>
      </w:r>
      <w:r w:rsidRPr="00A26CC6">
        <w:rPr>
          <w:rFonts w:cs="Times New Roman"/>
        </w:rPr>
        <w:t>okie veiksniai ir kokią įtaką turi ne gyvybės draudimo sektoriaus plėtrai Lietuvoje?</w:t>
      </w:r>
      <w:r>
        <w:rPr>
          <w:rFonts w:cs="Times New Roman"/>
        </w:rPr>
        <w:t xml:space="preserve"> </w:t>
      </w:r>
      <w:r w:rsidRPr="00A26CC6">
        <w:rPr>
          <w:rFonts w:cs="Times New Roman"/>
        </w:rPr>
        <w:t>Tyrimo objektas</w:t>
      </w:r>
      <w:r>
        <w:rPr>
          <w:rFonts w:cs="Times New Roman"/>
        </w:rPr>
        <w:t xml:space="preserve"> –</w:t>
      </w:r>
      <w:r w:rsidRPr="00A26CC6">
        <w:rPr>
          <w:rFonts w:cs="Times New Roman"/>
        </w:rPr>
        <w:t xml:space="preserve"> Lietuvos ne gyvybės draudimo rinką sąlygojantys veiksniai.</w:t>
      </w:r>
      <w:r>
        <w:rPr>
          <w:rFonts w:cs="Times New Roman"/>
        </w:rPr>
        <w:t xml:space="preserve"> </w:t>
      </w:r>
      <w:r w:rsidRPr="00A26CC6">
        <w:rPr>
          <w:rFonts w:cs="Times New Roman"/>
        </w:rPr>
        <w:t>Tyrimo tikslas</w:t>
      </w:r>
      <w:r>
        <w:rPr>
          <w:rFonts w:cs="Times New Roman"/>
        </w:rPr>
        <w:t xml:space="preserve"> –</w:t>
      </w:r>
      <w:r w:rsidRPr="00A26CC6">
        <w:rPr>
          <w:rFonts w:cs="Times New Roman"/>
        </w:rPr>
        <w:t xml:space="preserve"> </w:t>
      </w:r>
      <w:r>
        <w:rPr>
          <w:rFonts w:cs="Times New Roman"/>
        </w:rPr>
        <w:t>i</w:t>
      </w:r>
      <w:r w:rsidRPr="00A26CC6">
        <w:rPr>
          <w:rFonts w:cs="Times New Roman"/>
        </w:rPr>
        <w:t>šanalizuoti Lietuvos ne gyvybės draudimo rinką sąlygojančius veiksnius ir identifikuoti rinkos plėtros galimybes.</w:t>
      </w:r>
      <w:r>
        <w:rPr>
          <w:rFonts w:cs="Times New Roman"/>
        </w:rPr>
        <w:t xml:space="preserve"> </w:t>
      </w:r>
      <w:r w:rsidRPr="00A26CC6">
        <w:rPr>
          <w:rFonts w:cs="Times New Roman"/>
        </w:rPr>
        <w:t>Tyrimo uždaviniai:</w:t>
      </w:r>
      <w:r>
        <w:rPr>
          <w:rFonts w:cs="Times New Roman"/>
        </w:rPr>
        <w:t xml:space="preserve"> p</w:t>
      </w:r>
      <w:r w:rsidRPr="00A26CC6">
        <w:rPr>
          <w:rFonts w:cs="Times New Roman"/>
        </w:rPr>
        <w:t xml:space="preserve">arengti draudimo </w:t>
      </w:r>
      <w:r>
        <w:rPr>
          <w:rFonts w:cs="Times New Roman"/>
        </w:rPr>
        <w:t>rinkos plėtros veiksnių teoriją, i</w:t>
      </w:r>
      <w:r w:rsidRPr="00A26CC6">
        <w:rPr>
          <w:rFonts w:cs="Times New Roman"/>
        </w:rPr>
        <w:t>dentifikuoti ne gyvybės draudimo rinką sąlygojančius veiksnius</w:t>
      </w:r>
      <w:r>
        <w:rPr>
          <w:rFonts w:cs="Times New Roman"/>
        </w:rPr>
        <w:t>, p</w:t>
      </w:r>
      <w:r w:rsidRPr="00A26CC6">
        <w:rPr>
          <w:rFonts w:cs="Times New Roman"/>
        </w:rPr>
        <w:t>arengti ne gyvybės draudimo rinkos plėtros veiksnių vertinimo metodologiją</w:t>
      </w:r>
      <w:r>
        <w:rPr>
          <w:rFonts w:cs="Times New Roman"/>
        </w:rPr>
        <w:t>, į</w:t>
      </w:r>
      <w:r w:rsidRPr="00A26CC6">
        <w:rPr>
          <w:rFonts w:cs="Times New Roman"/>
        </w:rPr>
        <w:t>vertinti Lietuvos ne gyvybės draudimo rinkos situaciją</w:t>
      </w:r>
      <w:r>
        <w:rPr>
          <w:rFonts w:cs="Times New Roman"/>
        </w:rPr>
        <w:t>, n</w:t>
      </w:r>
      <w:r w:rsidRPr="00A26CC6">
        <w:rPr>
          <w:rFonts w:cs="Times New Roman"/>
        </w:rPr>
        <w:t>ustatyti, kokie veiksniai ir kaip sąlygoja Lietuvos ne gyvybės draudimo rinkos plėtrą.</w:t>
      </w:r>
      <w:r>
        <w:rPr>
          <w:rFonts w:cs="Times New Roman"/>
        </w:rPr>
        <w:t xml:space="preserve"> Tyrime iškeltos dvi hipotezės. Pirmoji: </w:t>
      </w:r>
      <w:r>
        <w:rPr>
          <w:rFonts w:eastAsiaTheme="minorEastAsia" w:cs="Times New Roman"/>
        </w:rPr>
        <w:t>Lietuvos ne gyvybės draudimo sektoriaus plėtrą sąlygoja ne tik ekonominė, bet ir politinė, teisinė, socialinė, kultūrinė bei technologinė aplinkos. Antroji: svarbiausias ekonominis Lietuvos ne gyvybės draudimo plėtrą lemiantis veiksnys – BVP ir jo dinamika.</w:t>
      </w:r>
    </w:p>
    <w:p w:rsidR="00CB3E17" w:rsidRDefault="00CB3E17" w:rsidP="00CB3E17">
      <w:pPr>
        <w:ind w:firstLine="567"/>
        <w:jc w:val="both"/>
        <w:rPr>
          <w:rFonts w:cs="Times New Roman"/>
        </w:rPr>
      </w:pPr>
      <w:r>
        <w:rPr>
          <w:rFonts w:cs="Times New Roman"/>
        </w:rPr>
        <w:t>Tyrime taikyti metodai: m</w:t>
      </w:r>
      <w:r w:rsidRPr="00A26CC6">
        <w:rPr>
          <w:rFonts w:cs="Times New Roman"/>
        </w:rPr>
        <w:t>okslinės litera</w:t>
      </w:r>
      <w:r>
        <w:rPr>
          <w:rFonts w:cs="Times New Roman"/>
        </w:rPr>
        <w:t>tūros analizė ir apibendrinimas, s</w:t>
      </w:r>
      <w:r w:rsidRPr="00A26CC6">
        <w:rPr>
          <w:rFonts w:cs="Times New Roman"/>
        </w:rPr>
        <w:t xml:space="preserve">tatistinių duomenų bei grafinė </w:t>
      </w:r>
      <w:r>
        <w:rPr>
          <w:rFonts w:cs="Times New Roman"/>
        </w:rPr>
        <w:t>analizė, teisinių dokumentų analizė, PEST analizė, k</w:t>
      </w:r>
      <w:r w:rsidRPr="00A26CC6">
        <w:rPr>
          <w:rFonts w:cs="Times New Roman"/>
        </w:rPr>
        <w:t>oreliacinė bei tiesinė regresinė analizė.</w:t>
      </w:r>
    </w:p>
    <w:p w:rsidR="00CB3E17" w:rsidRDefault="00CB3E17" w:rsidP="00CB3E17">
      <w:pPr>
        <w:pStyle w:val="ListParagraph"/>
        <w:tabs>
          <w:tab w:val="left" w:pos="284"/>
        </w:tabs>
        <w:ind w:left="0" w:firstLine="567"/>
        <w:jc w:val="both"/>
        <w:rPr>
          <w:rFonts w:cs="Times New Roman"/>
          <w:szCs w:val="24"/>
        </w:rPr>
      </w:pPr>
      <w:r w:rsidRPr="00CB2A31">
        <w:rPr>
          <w:rFonts w:cs="Times New Roman"/>
        </w:rPr>
        <w:t xml:space="preserve">Po spartaus </w:t>
      </w:r>
      <w:r>
        <w:rPr>
          <w:rFonts w:cs="Times New Roman"/>
        </w:rPr>
        <w:t xml:space="preserve">2006-2008 m. Lietuvos ne gyvybės draudimo rinkos </w:t>
      </w:r>
      <w:r w:rsidRPr="00CB2A31">
        <w:rPr>
          <w:rFonts w:cs="Times New Roman"/>
        </w:rPr>
        <w:t>augimo</w:t>
      </w:r>
      <w:r>
        <w:rPr>
          <w:rFonts w:cs="Times New Roman"/>
        </w:rPr>
        <w:t xml:space="preserve"> sekė sudėtingi </w:t>
      </w:r>
      <w:r w:rsidRPr="00CB2A31">
        <w:rPr>
          <w:rFonts w:cs="Times New Roman"/>
        </w:rPr>
        <w:t>2009 m.</w:t>
      </w:r>
      <w:r>
        <w:rPr>
          <w:rFonts w:cs="Times New Roman"/>
        </w:rPr>
        <w:t xml:space="preserve"> </w:t>
      </w:r>
      <w:r w:rsidRPr="00CB2A31">
        <w:rPr>
          <w:rFonts w:cs="Times New Roman"/>
        </w:rPr>
        <w:t xml:space="preserve">2010 m. </w:t>
      </w:r>
      <w:r>
        <w:rPr>
          <w:rFonts w:cs="Times New Roman"/>
        </w:rPr>
        <w:t xml:space="preserve">rinka </w:t>
      </w:r>
      <w:r w:rsidRPr="00CB2A31">
        <w:rPr>
          <w:rFonts w:cs="Times New Roman"/>
        </w:rPr>
        <w:t>stabilizavosi</w:t>
      </w:r>
      <w:r>
        <w:rPr>
          <w:rFonts w:cs="Times New Roman"/>
        </w:rPr>
        <w:t>,</w:t>
      </w:r>
      <w:r w:rsidRPr="00CB2A31">
        <w:rPr>
          <w:rFonts w:cs="Times New Roman"/>
        </w:rPr>
        <w:t xml:space="preserve"> </w:t>
      </w:r>
      <w:r>
        <w:rPr>
          <w:rFonts w:cs="Times New Roman"/>
        </w:rPr>
        <w:t xml:space="preserve">ėmė </w:t>
      </w:r>
      <w:r w:rsidRPr="00CB2A31">
        <w:rPr>
          <w:rFonts w:cs="Times New Roman"/>
        </w:rPr>
        <w:t xml:space="preserve">augti. </w:t>
      </w:r>
      <w:r>
        <w:rPr>
          <w:rFonts w:cs="Times New Roman"/>
        </w:rPr>
        <w:t>Ne gyvybės draudimo s</w:t>
      </w:r>
      <w:r w:rsidRPr="00CB2A31">
        <w:rPr>
          <w:rFonts w:cs="Times New Roman"/>
        </w:rPr>
        <w:t xml:space="preserve">ektorius </w:t>
      </w:r>
      <w:r>
        <w:rPr>
          <w:rFonts w:cs="Times New Roman"/>
        </w:rPr>
        <w:t>absorbavo</w:t>
      </w:r>
      <w:r w:rsidRPr="00CB2A31">
        <w:rPr>
          <w:rFonts w:cs="Times New Roman"/>
        </w:rPr>
        <w:t xml:space="preserve"> dalį krizės padarinių kitoms šalies ūkio šakoms per komercinio draudimo </w:t>
      </w:r>
      <w:r>
        <w:rPr>
          <w:rFonts w:cs="Times New Roman"/>
        </w:rPr>
        <w:t xml:space="preserve">paslaugas, bet tuo pačiu išlaikė </w:t>
      </w:r>
      <w:r w:rsidRPr="00CB2A31">
        <w:rPr>
          <w:rFonts w:cs="Times New Roman"/>
        </w:rPr>
        <w:t xml:space="preserve">stabilumą, </w:t>
      </w:r>
      <w:r>
        <w:rPr>
          <w:rFonts w:cs="Times New Roman"/>
        </w:rPr>
        <w:t xml:space="preserve">mokumą bei </w:t>
      </w:r>
      <w:r w:rsidRPr="00CB2A31">
        <w:rPr>
          <w:rFonts w:cs="Times New Roman"/>
        </w:rPr>
        <w:t>pakankamą kapitalo atsargų kiekį</w:t>
      </w:r>
      <w:r>
        <w:rPr>
          <w:rFonts w:cs="Times New Roman"/>
        </w:rPr>
        <w:t>. Draudikai sušvelnino</w:t>
      </w:r>
      <w:r w:rsidRPr="00CB2A31">
        <w:rPr>
          <w:rFonts w:cs="Times New Roman"/>
        </w:rPr>
        <w:t xml:space="preserve"> krizės padarinius </w:t>
      </w:r>
      <w:r>
        <w:rPr>
          <w:rFonts w:cs="Times New Roman"/>
        </w:rPr>
        <w:t xml:space="preserve">uždirbdami </w:t>
      </w:r>
      <w:r>
        <w:rPr>
          <w:rFonts w:cs="Times New Roman"/>
        </w:rPr>
        <w:lastRenderedPageBreak/>
        <w:t>pajamas iš ankstesnių sutarčių bei mažindami techninius atidėjinius, taip pat dėl gana sėkmingos</w:t>
      </w:r>
      <w:r w:rsidRPr="00CB2A31">
        <w:rPr>
          <w:rFonts w:cs="Times New Roman"/>
        </w:rPr>
        <w:t xml:space="preserve"> investicinė</w:t>
      </w:r>
      <w:r>
        <w:rPr>
          <w:rFonts w:cs="Times New Roman"/>
        </w:rPr>
        <w:t>s veiklos</w:t>
      </w:r>
      <w:r w:rsidRPr="00CB2A31">
        <w:rPr>
          <w:rFonts w:cs="Times New Roman"/>
        </w:rPr>
        <w:t>.</w:t>
      </w:r>
      <w:r w:rsidRPr="00C9055F">
        <w:rPr>
          <w:rFonts w:cs="Times New Roman"/>
        </w:rPr>
        <w:t xml:space="preserve"> </w:t>
      </w:r>
      <w:r>
        <w:rPr>
          <w:rFonts w:cs="Times New Roman"/>
        </w:rPr>
        <w:t>Draudimo rinkos išsivystymo lygio rodiklių analizė atskleidė</w:t>
      </w:r>
      <w:r w:rsidRPr="00260FEA">
        <w:rPr>
          <w:rFonts w:cs="Times New Roman"/>
        </w:rPr>
        <w:t xml:space="preserve">, jog </w:t>
      </w:r>
      <w:r>
        <w:rPr>
          <w:rFonts w:cs="Times New Roman"/>
        </w:rPr>
        <w:t xml:space="preserve">Lietuvos </w:t>
      </w:r>
      <w:r w:rsidRPr="00260FEA">
        <w:rPr>
          <w:rFonts w:cs="Times New Roman"/>
        </w:rPr>
        <w:t xml:space="preserve">ne gyvybės draudimo rinka </w:t>
      </w:r>
      <w:r>
        <w:rPr>
          <w:rFonts w:cs="Times New Roman"/>
        </w:rPr>
        <w:t xml:space="preserve">pasaulyje smarkiai </w:t>
      </w:r>
      <w:r w:rsidRPr="00260FEA">
        <w:rPr>
          <w:rFonts w:cs="Times New Roman"/>
        </w:rPr>
        <w:t>atsilieka</w:t>
      </w:r>
      <w:r>
        <w:rPr>
          <w:rFonts w:cs="Times New Roman"/>
        </w:rPr>
        <w:t>, tačiau</w:t>
      </w:r>
      <w:r w:rsidRPr="00260FEA">
        <w:rPr>
          <w:rFonts w:cs="Times New Roman"/>
        </w:rPr>
        <w:t xml:space="preserve"> turi didelį potencialą </w:t>
      </w:r>
      <w:r>
        <w:rPr>
          <w:rFonts w:cs="Times New Roman"/>
        </w:rPr>
        <w:t>plėstis.</w:t>
      </w:r>
    </w:p>
    <w:p w:rsidR="00CB3E17" w:rsidRDefault="00CB3E17" w:rsidP="00CB3E17">
      <w:pPr>
        <w:pStyle w:val="ListParagraph"/>
        <w:tabs>
          <w:tab w:val="left" w:pos="284"/>
        </w:tabs>
        <w:ind w:left="0" w:firstLine="567"/>
        <w:jc w:val="both"/>
        <w:rPr>
          <w:rFonts w:cs="Times New Roman"/>
          <w:szCs w:val="24"/>
        </w:rPr>
      </w:pPr>
      <w:r w:rsidRPr="00063B1A">
        <w:rPr>
          <w:rFonts w:cs="Times New Roman"/>
          <w:szCs w:val="24"/>
        </w:rPr>
        <w:t xml:space="preserve">PEST analizė </w:t>
      </w:r>
      <w:r>
        <w:rPr>
          <w:rFonts w:cs="Times New Roman"/>
          <w:szCs w:val="24"/>
        </w:rPr>
        <w:t>atskleidė</w:t>
      </w:r>
      <w:r w:rsidRPr="00063B1A">
        <w:rPr>
          <w:rFonts w:cs="Times New Roman"/>
          <w:szCs w:val="24"/>
        </w:rPr>
        <w:t xml:space="preserve">, jog teigiamai </w:t>
      </w:r>
      <w:r>
        <w:rPr>
          <w:rFonts w:cs="Times New Roman"/>
          <w:szCs w:val="24"/>
        </w:rPr>
        <w:t xml:space="preserve">Lietuvos </w:t>
      </w:r>
      <w:r w:rsidRPr="00063B1A">
        <w:rPr>
          <w:rFonts w:cs="Times New Roman"/>
          <w:szCs w:val="24"/>
        </w:rPr>
        <w:t>ne gyvybės draudimo plėtrą veikia</w:t>
      </w:r>
      <w:r>
        <w:rPr>
          <w:rFonts w:cs="Times New Roman"/>
          <w:szCs w:val="24"/>
        </w:rPr>
        <w:t xml:space="preserve"> gerėjantys</w:t>
      </w:r>
      <w:r w:rsidRPr="00063B1A">
        <w:rPr>
          <w:rFonts w:cs="Times New Roman"/>
          <w:szCs w:val="24"/>
        </w:rPr>
        <w:t xml:space="preserve"> </w:t>
      </w:r>
      <w:r>
        <w:rPr>
          <w:rFonts w:cs="Times New Roman"/>
          <w:szCs w:val="24"/>
        </w:rPr>
        <w:t xml:space="preserve">ekonominiai rodikliai: didėja </w:t>
      </w:r>
      <w:r w:rsidRPr="00063B1A">
        <w:rPr>
          <w:rFonts w:cs="Times New Roman"/>
          <w:szCs w:val="24"/>
        </w:rPr>
        <w:t xml:space="preserve">BVP, perkamoji galia, užsienio investicijos, mažėja nedarbas, </w:t>
      </w:r>
      <w:r>
        <w:rPr>
          <w:rFonts w:cs="Times New Roman"/>
          <w:szCs w:val="24"/>
        </w:rPr>
        <w:t xml:space="preserve">santykinai žema infliacija, žema </w:t>
      </w:r>
      <w:r w:rsidRPr="00063B1A">
        <w:rPr>
          <w:rFonts w:cs="Times New Roman"/>
          <w:szCs w:val="24"/>
        </w:rPr>
        <w:t>palūkanų norm</w:t>
      </w:r>
      <w:r>
        <w:rPr>
          <w:rFonts w:cs="Times New Roman"/>
          <w:szCs w:val="24"/>
        </w:rPr>
        <w:t>a skatina vartojimą;</w:t>
      </w:r>
      <w:r w:rsidRPr="00063B1A">
        <w:rPr>
          <w:rFonts w:cs="Times New Roman"/>
          <w:szCs w:val="24"/>
        </w:rPr>
        <w:t xml:space="preserve"> </w:t>
      </w:r>
      <w:r>
        <w:rPr>
          <w:rFonts w:cs="Times New Roman"/>
          <w:szCs w:val="24"/>
        </w:rPr>
        <w:t>d</w:t>
      </w:r>
      <w:r w:rsidRPr="00063B1A">
        <w:rPr>
          <w:rFonts w:cs="Times New Roman"/>
          <w:szCs w:val="24"/>
        </w:rPr>
        <w:t xml:space="preserve">augėja naujai užregistruotų transporto priemonių. Technologinė aplinka sąlygoja efektyvesnį verslo valdymą, platesnį draudimo paslaugų prieinamumą. </w:t>
      </w:r>
      <w:r>
        <w:rPr>
          <w:rFonts w:cs="Times New Roman"/>
          <w:szCs w:val="24"/>
        </w:rPr>
        <w:t>Teisinė aplinka</w:t>
      </w:r>
      <w:r w:rsidRPr="00063B1A">
        <w:rPr>
          <w:rFonts w:cs="Times New Roman"/>
          <w:szCs w:val="24"/>
        </w:rPr>
        <w:t xml:space="preserve"> draudimo verslui</w:t>
      </w:r>
      <w:r>
        <w:rPr>
          <w:rFonts w:cs="Times New Roman"/>
          <w:szCs w:val="24"/>
        </w:rPr>
        <w:t xml:space="preserve"> palanki</w:t>
      </w:r>
      <w:r w:rsidRPr="00063B1A">
        <w:rPr>
          <w:rFonts w:cs="Times New Roman"/>
          <w:szCs w:val="24"/>
        </w:rPr>
        <w:t xml:space="preserve">, tačiau plėtrą riboja neapibrėžtumą didinanti nestabili politinė aplinka. Socialinės ir kultūrinės aplinkos </w:t>
      </w:r>
      <w:r>
        <w:rPr>
          <w:rFonts w:cs="Times New Roman"/>
          <w:szCs w:val="24"/>
        </w:rPr>
        <w:t xml:space="preserve">aspektu draudimo </w:t>
      </w:r>
      <w:r w:rsidRPr="00063B1A">
        <w:rPr>
          <w:rFonts w:cs="Times New Roman"/>
          <w:szCs w:val="24"/>
        </w:rPr>
        <w:t xml:space="preserve">plėtrą </w:t>
      </w:r>
      <w:r>
        <w:rPr>
          <w:rFonts w:cs="Times New Roman"/>
          <w:szCs w:val="24"/>
        </w:rPr>
        <w:t xml:space="preserve">riboja </w:t>
      </w:r>
      <w:r w:rsidRPr="00063B1A">
        <w:rPr>
          <w:rFonts w:cs="Times New Roman"/>
          <w:szCs w:val="24"/>
        </w:rPr>
        <w:t>prastėja</w:t>
      </w:r>
      <w:r>
        <w:rPr>
          <w:rFonts w:cs="Times New Roman"/>
          <w:szCs w:val="24"/>
        </w:rPr>
        <w:t>nti</w:t>
      </w:r>
      <w:r w:rsidRPr="00063B1A">
        <w:rPr>
          <w:rFonts w:cs="Times New Roman"/>
          <w:szCs w:val="24"/>
        </w:rPr>
        <w:t xml:space="preserve"> šalies demografinė padėtis, didėja</w:t>
      </w:r>
      <w:r>
        <w:rPr>
          <w:rFonts w:cs="Times New Roman"/>
          <w:szCs w:val="24"/>
        </w:rPr>
        <w:t>nti</w:t>
      </w:r>
      <w:r w:rsidRPr="00063B1A">
        <w:rPr>
          <w:rFonts w:cs="Times New Roman"/>
          <w:szCs w:val="24"/>
        </w:rPr>
        <w:t xml:space="preserve"> socialinė atskirtis, mažėja</w:t>
      </w:r>
      <w:r>
        <w:rPr>
          <w:rFonts w:cs="Times New Roman"/>
          <w:szCs w:val="24"/>
        </w:rPr>
        <w:t>nčios</w:t>
      </w:r>
      <w:r w:rsidRPr="00063B1A">
        <w:rPr>
          <w:rFonts w:cs="Times New Roman"/>
          <w:szCs w:val="24"/>
        </w:rPr>
        <w:t xml:space="preserve"> išlaidos švietimui. Siekis pirmiausia apdrausti materialų turtą užtikrina stabilias pajamas, t</w:t>
      </w:r>
      <w:r>
        <w:rPr>
          <w:rFonts w:cs="Times New Roman"/>
          <w:szCs w:val="24"/>
        </w:rPr>
        <w:t>ačiau riboja plėtros galimybes.</w:t>
      </w:r>
    </w:p>
    <w:p w:rsidR="00CB3E17" w:rsidRDefault="00CB3E17" w:rsidP="00CB3E17">
      <w:pPr>
        <w:pStyle w:val="ListParagraph"/>
        <w:tabs>
          <w:tab w:val="left" w:pos="284"/>
        </w:tabs>
        <w:ind w:left="0" w:firstLine="567"/>
        <w:jc w:val="both"/>
        <w:rPr>
          <w:rFonts w:cs="Times New Roman"/>
          <w:szCs w:val="24"/>
        </w:rPr>
      </w:pPr>
      <w:r>
        <w:rPr>
          <w:rFonts w:cs="Times New Roman"/>
          <w:szCs w:val="24"/>
        </w:rPr>
        <w:t>K</w:t>
      </w:r>
      <w:r w:rsidRPr="00050386">
        <w:rPr>
          <w:rFonts w:cs="Times New Roman"/>
          <w:szCs w:val="24"/>
        </w:rPr>
        <w:t xml:space="preserve">oreliacinė bei </w:t>
      </w:r>
      <w:r>
        <w:rPr>
          <w:rFonts w:cs="Times New Roman"/>
          <w:szCs w:val="24"/>
        </w:rPr>
        <w:t xml:space="preserve">tiesinė </w:t>
      </w:r>
      <w:r w:rsidRPr="00050386">
        <w:rPr>
          <w:rFonts w:cs="Times New Roman"/>
          <w:szCs w:val="24"/>
        </w:rPr>
        <w:t xml:space="preserve">regresinė analizė atskleidė, jog didžiausią įtaką </w:t>
      </w:r>
      <w:r>
        <w:rPr>
          <w:rFonts w:cs="Times New Roman"/>
          <w:szCs w:val="24"/>
        </w:rPr>
        <w:t xml:space="preserve">Lietuvos </w:t>
      </w:r>
      <w:r w:rsidRPr="00050386">
        <w:rPr>
          <w:rFonts w:cs="Times New Roman"/>
          <w:szCs w:val="24"/>
        </w:rPr>
        <w:t xml:space="preserve">ne gyvybės draudimo pasirašytų įmokų augimui turi didėjantys BVP (augant </w:t>
      </w:r>
      <w:r>
        <w:rPr>
          <w:rFonts w:cs="Times New Roman"/>
          <w:szCs w:val="24"/>
        </w:rPr>
        <w:t>pridėtinei</w:t>
      </w:r>
      <w:r w:rsidRPr="00050386">
        <w:rPr>
          <w:rFonts w:cs="Times New Roman"/>
          <w:szCs w:val="24"/>
        </w:rPr>
        <w:t xml:space="preserve"> vertei mažėja būtiniausioms prekėms skiriamų lėšų dalis, didėja finansinio saugumo poreikis), infliacija (smunkant pinigų perkamajai galiai didėja draudimo pajamos,</w:t>
      </w:r>
      <w:r>
        <w:rPr>
          <w:rFonts w:cs="Times New Roman"/>
          <w:szCs w:val="24"/>
        </w:rPr>
        <w:t xml:space="preserve"> nes pasirašytos įmokos – nominalus dydis;</w:t>
      </w:r>
      <w:r w:rsidRPr="00050386">
        <w:rPr>
          <w:rFonts w:cs="Times New Roman"/>
          <w:szCs w:val="24"/>
        </w:rPr>
        <w:t xml:space="preserve"> infliacija </w:t>
      </w:r>
      <w:r>
        <w:rPr>
          <w:rFonts w:cs="Times New Roman"/>
          <w:szCs w:val="24"/>
        </w:rPr>
        <w:t>taip pat</w:t>
      </w:r>
      <w:r w:rsidRPr="00050386">
        <w:rPr>
          <w:rFonts w:cs="Times New Roman"/>
          <w:szCs w:val="24"/>
        </w:rPr>
        <w:t xml:space="preserve"> atspindi šalies ūkio aktyvumą) bei pirmą kartą Lietuvoje užregistruotų transporto priemonių skaičius (TPVCA bei kasko draudimai užima beveik du trečdalius rinkos</w:t>
      </w:r>
      <w:r>
        <w:rPr>
          <w:rFonts w:cs="Times New Roman"/>
          <w:szCs w:val="24"/>
        </w:rPr>
        <w:t>).</w:t>
      </w:r>
    </w:p>
    <w:p w:rsidR="00CB3E17" w:rsidRDefault="00CB3E17" w:rsidP="00CB3E17">
      <w:pPr>
        <w:pStyle w:val="ListParagraph"/>
        <w:tabs>
          <w:tab w:val="left" w:pos="284"/>
        </w:tabs>
        <w:ind w:left="0" w:firstLine="567"/>
        <w:jc w:val="both"/>
        <w:rPr>
          <w:rFonts w:cs="Times New Roman"/>
          <w:szCs w:val="24"/>
        </w:rPr>
      </w:pPr>
      <w:r>
        <w:rPr>
          <w:rFonts w:cs="Times New Roman"/>
          <w:szCs w:val="24"/>
        </w:rPr>
        <w:t>Patvirtintos abi magistro baigiamajame darbe iškeltos hipotezės.</w:t>
      </w:r>
    </w:p>
    <w:p w:rsidR="00CB3E17" w:rsidRPr="00A13923" w:rsidRDefault="00CB3E17" w:rsidP="00CB3E17">
      <w:pPr>
        <w:tabs>
          <w:tab w:val="left" w:pos="284"/>
        </w:tabs>
        <w:ind w:firstLine="567"/>
        <w:jc w:val="both"/>
        <w:rPr>
          <w:rFonts w:cs="Times New Roman"/>
          <w:szCs w:val="24"/>
        </w:rPr>
      </w:pPr>
      <w:r>
        <w:rPr>
          <w:rFonts w:cs="Times New Roman"/>
          <w:szCs w:val="24"/>
        </w:rPr>
        <w:t>Pasiūlymai: d</w:t>
      </w:r>
      <w:r w:rsidRPr="00A13923">
        <w:rPr>
          <w:rFonts w:cs="Times New Roman"/>
          <w:szCs w:val="24"/>
        </w:rPr>
        <w:t>raudikų organizacijos turėtų stengtis didinti draudimo paklausą keliant potencialių draudėjų finansinį išprusimą</w:t>
      </w:r>
      <w:r>
        <w:rPr>
          <w:rFonts w:cs="Times New Roman"/>
          <w:szCs w:val="24"/>
        </w:rPr>
        <w:t xml:space="preserve"> (seminarai,</w:t>
      </w:r>
      <w:r w:rsidRPr="00A13923">
        <w:rPr>
          <w:rFonts w:cs="Times New Roman"/>
          <w:szCs w:val="24"/>
        </w:rPr>
        <w:t xml:space="preserve"> atskleidžiant</w:t>
      </w:r>
      <w:r>
        <w:rPr>
          <w:rFonts w:cs="Times New Roman"/>
          <w:szCs w:val="24"/>
        </w:rPr>
        <w:t>ys</w:t>
      </w:r>
      <w:r w:rsidRPr="00A13923">
        <w:rPr>
          <w:rFonts w:cs="Times New Roman"/>
          <w:szCs w:val="24"/>
        </w:rPr>
        <w:t xml:space="preserve"> draudimo naudą bei svarbą</w:t>
      </w:r>
      <w:r>
        <w:rPr>
          <w:rFonts w:cs="Times New Roman"/>
          <w:szCs w:val="24"/>
        </w:rPr>
        <w:t>). R</w:t>
      </w:r>
      <w:r w:rsidRPr="00A13923">
        <w:rPr>
          <w:rFonts w:cs="Times New Roman"/>
          <w:szCs w:val="24"/>
        </w:rPr>
        <w:t xml:space="preserve">eikėtų </w:t>
      </w:r>
      <w:r>
        <w:rPr>
          <w:rFonts w:cs="Times New Roman"/>
          <w:szCs w:val="24"/>
        </w:rPr>
        <w:t xml:space="preserve">mažinti priklausomybę nuo su transporto draudimu susijusių pajamų, </w:t>
      </w:r>
      <w:r w:rsidRPr="00A13923">
        <w:rPr>
          <w:rFonts w:cs="Times New Roman"/>
          <w:szCs w:val="24"/>
        </w:rPr>
        <w:t xml:space="preserve">didinti kitų draudimo produktų populiarumą. </w:t>
      </w:r>
      <w:r>
        <w:rPr>
          <w:rFonts w:cs="Times New Roman"/>
          <w:szCs w:val="24"/>
        </w:rPr>
        <w:t>Reikia</w:t>
      </w:r>
      <w:r w:rsidRPr="00A13923">
        <w:rPr>
          <w:rFonts w:cs="Times New Roman"/>
          <w:szCs w:val="24"/>
        </w:rPr>
        <w:t xml:space="preserve"> akcentuoti ir ne su materialiuoju turtu sus</w:t>
      </w:r>
      <w:r>
        <w:rPr>
          <w:rFonts w:cs="Times New Roman"/>
          <w:szCs w:val="24"/>
        </w:rPr>
        <w:t>ijusių draudimo paslaugų svarbą.</w:t>
      </w:r>
    </w:p>
    <w:p w:rsidR="00CB3E17" w:rsidRPr="0041026D" w:rsidRDefault="00CB3E17" w:rsidP="00CB3E17">
      <w:pPr>
        <w:ind w:firstLine="567"/>
        <w:jc w:val="both"/>
        <w:rPr>
          <w:rFonts w:cs="Times New Roman"/>
        </w:rPr>
      </w:pPr>
      <w:r>
        <w:rPr>
          <w:rFonts w:cs="Times New Roman"/>
        </w:rPr>
        <w:t xml:space="preserve">Darbą sudaro įvadas, trys skyriai, išvados bei rekomendacijos, panaudotos literatūros sąrašas, anotacija lietuvių ir anglų kalbomis, santrauka lietuvių ir anglų kalbomis bei priedai. Darbe pateiktos </w:t>
      </w:r>
      <w:r>
        <w:rPr>
          <w:rFonts w:cs="Times New Roman"/>
          <w:lang w:val="en-US"/>
        </w:rPr>
        <w:t xml:space="preserve">22 </w:t>
      </w:r>
      <w:r>
        <w:rPr>
          <w:rFonts w:cs="Times New Roman"/>
        </w:rPr>
        <w:t xml:space="preserve">vaizdinės priemonės, tarp kurių </w:t>
      </w:r>
      <w:r>
        <w:rPr>
          <w:rFonts w:cs="Times New Roman"/>
          <w:lang w:val="en-US"/>
        </w:rPr>
        <w:t xml:space="preserve">5 </w:t>
      </w:r>
      <w:r>
        <w:rPr>
          <w:rFonts w:cs="Times New Roman"/>
        </w:rPr>
        <w:t xml:space="preserve">lentelės ir </w:t>
      </w:r>
      <w:r>
        <w:rPr>
          <w:rFonts w:cs="Times New Roman"/>
          <w:lang w:val="en-US"/>
        </w:rPr>
        <w:t xml:space="preserve">17 </w:t>
      </w:r>
      <w:r>
        <w:rPr>
          <w:rFonts w:cs="Times New Roman"/>
        </w:rPr>
        <w:t xml:space="preserve">paveikslų. Pateikti </w:t>
      </w:r>
      <w:r>
        <w:rPr>
          <w:rFonts w:cs="Times New Roman"/>
          <w:lang w:val="en-US"/>
        </w:rPr>
        <w:t xml:space="preserve">3 </w:t>
      </w:r>
      <w:r>
        <w:rPr>
          <w:rFonts w:cs="Times New Roman"/>
        </w:rPr>
        <w:t xml:space="preserve">priedai. Darbo apimtis </w:t>
      </w:r>
      <w:r w:rsidRPr="00CB3E17">
        <w:rPr>
          <w:rFonts w:cs="Times New Roman"/>
        </w:rPr>
        <w:t>– 81 puslapi</w:t>
      </w:r>
      <w:r w:rsidR="00A953A0">
        <w:rPr>
          <w:rFonts w:cs="Times New Roman"/>
        </w:rPr>
        <w:t>s</w:t>
      </w:r>
      <w:r w:rsidRPr="00CB3E17">
        <w:rPr>
          <w:rFonts w:cs="Times New Roman"/>
        </w:rPr>
        <w:t xml:space="preserve">. Panaudoti </w:t>
      </w:r>
      <w:r w:rsidRPr="00CB3E17">
        <w:rPr>
          <w:rFonts w:cs="Times New Roman"/>
          <w:lang w:val="en-US"/>
        </w:rPr>
        <w:t xml:space="preserve">106 </w:t>
      </w:r>
      <w:r w:rsidRPr="00CB3E17">
        <w:rPr>
          <w:rFonts w:cs="Times New Roman"/>
        </w:rPr>
        <w:t>literatūros šaltiniai.</w:t>
      </w:r>
    </w:p>
    <w:p w:rsidR="00CB3E17" w:rsidRDefault="00CB3E17">
      <w:pPr>
        <w:spacing w:after="200" w:line="276" w:lineRule="auto"/>
        <w:rPr>
          <w:rFonts w:cs="Times New Roman"/>
        </w:rPr>
      </w:pPr>
      <w:r>
        <w:rPr>
          <w:rFonts w:cs="Times New Roman"/>
        </w:rPr>
        <w:br w:type="page"/>
      </w:r>
    </w:p>
    <w:p w:rsidR="009C1F9A" w:rsidRPr="009C1F9A" w:rsidRDefault="009C1F9A" w:rsidP="009C1F9A">
      <w:pPr>
        <w:pStyle w:val="Heading1"/>
        <w:rPr>
          <w:sz w:val="24"/>
          <w:szCs w:val="24"/>
        </w:rPr>
      </w:pPr>
      <w:bookmarkStart w:id="303" w:name="_Toc342859682"/>
    </w:p>
    <w:p w:rsidR="00CB3E17" w:rsidRDefault="00CB3E17" w:rsidP="009C1F9A">
      <w:pPr>
        <w:pStyle w:val="Heading1"/>
      </w:pPr>
      <w:r>
        <w:t>SUMMARY</w:t>
      </w:r>
      <w:bookmarkEnd w:id="303"/>
    </w:p>
    <w:p w:rsidR="00CB3E17" w:rsidRDefault="00CB3E17" w:rsidP="00CB3E17">
      <w:pPr>
        <w:ind w:firstLine="567"/>
        <w:jc w:val="both"/>
        <w:rPr>
          <w:rFonts w:cs="Times New Roman"/>
          <w:b/>
          <w:szCs w:val="24"/>
        </w:rPr>
      </w:pPr>
    </w:p>
    <w:p w:rsidR="00CB3E17" w:rsidRDefault="00CB3E17" w:rsidP="00CB3E17">
      <w:pPr>
        <w:ind w:firstLine="567"/>
        <w:jc w:val="both"/>
        <w:rPr>
          <w:rFonts w:cs="Times New Roman"/>
          <w:szCs w:val="24"/>
          <w:lang w:val="en-US"/>
        </w:rPr>
      </w:pPr>
      <w:r w:rsidRPr="00FB7942">
        <w:rPr>
          <w:rFonts w:cs="Times New Roman"/>
          <w:b/>
          <w:szCs w:val="24"/>
        </w:rPr>
        <w:t>Grinius</w:t>
      </w:r>
      <w:r w:rsidRPr="00FB7942">
        <w:rPr>
          <w:rFonts w:cs="Times New Roman"/>
          <w:b/>
          <w:szCs w:val="24"/>
          <w:lang w:val="en-US"/>
        </w:rPr>
        <w:t xml:space="preserve"> G.</w:t>
      </w:r>
      <w:r w:rsidRPr="00FB7942">
        <w:rPr>
          <w:rFonts w:cs="Times New Roman"/>
          <w:szCs w:val="24"/>
          <w:lang w:val="en-US"/>
        </w:rPr>
        <w:t xml:space="preserve"> Assessment</w:t>
      </w:r>
      <w:r>
        <w:rPr>
          <w:rFonts w:cs="Times New Roman"/>
          <w:szCs w:val="24"/>
          <w:lang w:val="en-US"/>
        </w:rPr>
        <w:t xml:space="preserve"> of</w:t>
      </w:r>
      <w:r w:rsidRPr="00FB7942">
        <w:rPr>
          <w:rFonts w:cs="Times New Roman"/>
          <w:szCs w:val="24"/>
          <w:lang w:val="en-US"/>
        </w:rPr>
        <w:t xml:space="preserve"> Non-</w:t>
      </w:r>
      <w:r>
        <w:rPr>
          <w:rFonts w:cs="Times New Roman"/>
          <w:szCs w:val="24"/>
          <w:lang w:val="en-US"/>
        </w:rPr>
        <w:t>L</w:t>
      </w:r>
      <w:r w:rsidRPr="00FB7942">
        <w:rPr>
          <w:rFonts w:cs="Times New Roman"/>
          <w:szCs w:val="24"/>
          <w:lang w:val="en-US"/>
        </w:rPr>
        <w:t xml:space="preserve">ife </w:t>
      </w:r>
      <w:r>
        <w:rPr>
          <w:rFonts w:cs="Times New Roman"/>
          <w:szCs w:val="24"/>
          <w:lang w:val="en-US"/>
        </w:rPr>
        <w:t>Insurance Market Development Factors in Lithuania.</w:t>
      </w:r>
      <w:r w:rsidRPr="00FB7942">
        <w:rPr>
          <w:rFonts w:cs="Times New Roman"/>
          <w:szCs w:val="24"/>
          <w:lang w:val="en-US"/>
        </w:rPr>
        <w:t xml:space="preserve"> </w:t>
      </w:r>
      <w:r w:rsidRPr="00DD64EC">
        <w:rPr>
          <w:rFonts w:cs="Times New Roman"/>
          <w:szCs w:val="24"/>
          <w:lang w:val="sq-AL"/>
        </w:rPr>
        <w:t>/ Master Thesis in Financial Markets.</w:t>
      </w:r>
      <w:r w:rsidRPr="00FB7942">
        <w:rPr>
          <w:rFonts w:cs="Times New Roman"/>
          <w:szCs w:val="24"/>
          <w:lang w:val="en-US"/>
        </w:rPr>
        <w:t xml:space="preserve"> Supervisor assoc. </w:t>
      </w:r>
      <w:r w:rsidRPr="00DD64EC">
        <w:rPr>
          <w:rFonts w:cs="Times New Roman"/>
          <w:szCs w:val="24"/>
        </w:rPr>
        <w:t>prof. dr. I. Mačerinskienė</w:t>
      </w:r>
      <w:r w:rsidRPr="00FB7942">
        <w:rPr>
          <w:rFonts w:cs="Times New Roman"/>
          <w:szCs w:val="24"/>
          <w:lang w:val="en-US"/>
        </w:rPr>
        <w:t xml:space="preserve">. – Vilnius: Faculty of Economics and Finance Management, </w:t>
      </w:r>
      <w:r w:rsidRPr="00FB7942">
        <w:rPr>
          <w:rFonts w:cs="Times New Roman"/>
          <w:szCs w:val="24"/>
        </w:rPr>
        <w:t>Mykolas</w:t>
      </w:r>
      <w:r w:rsidRPr="00FB7942">
        <w:rPr>
          <w:rFonts w:cs="Times New Roman"/>
          <w:szCs w:val="24"/>
          <w:lang w:val="en-US"/>
        </w:rPr>
        <w:t xml:space="preserve"> Romeri</w:t>
      </w:r>
      <w:r w:rsidR="00A953A0">
        <w:rPr>
          <w:rFonts w:cs="Times New Roman"/>
          <w:szCs w:val="24"/>
          <w:lang w:val="en-US"/>
        </w:rPr>
        <w:t>s</w:t>
      </w:r>
      <w:r w:rsidRPr="00FB7942">
        <w:rPr>
          <w:rFonts w:cs="Times New Roman"/>
          <w:szCs w:val="24"/>
          <w:lang w:val="en-US"/>
        </w:rPr>
        <w:t xml:space="preserve"> University, 2012. – </w:t>
      </w:r>
      <w:r>
        <w:rPr>
          <w:rFonts w:cs="Times New Roman"/>
          <w:szCs w:val="24"/>
          <w:lang w:val="en-US"/>
        </w:rPr>
        <w:t xml:space="preserve">81 </w:t>
      </w:r>
      <w:r w:rsidRPr="00CB3E17">
        <w:rPr>
          <w:rFonts w:cs="Times New Roman"/>
          <w:szCs w:val="24"/>
          <w:lang w:val="en-US"/>
        </w:rPr>
        <w:t>p</w:t>
      </w:r>
      <w:r w:rsidRPr="00FB7942">
        <w:rPr>
          <w:rFonts w:cs="Times New Roman"/>
          <w:szCs w:val="24"/>
          <w:lang w:val="en-US"/>
        </w:rPr>
        <w:t>.</w:t>
      </w:r>
    </w:p>
    <w:p w:rsidR="00CB3E17" w:rsidRDefault="00CB3E17" w:rsidP="00CB3E17">
      <w:pPr>
        <w:ind w:firstLine="567"/>
        <w:jc w:val="both"/>
        <w:rPr>
          <w:rFonts w:cs="Times New Roman"/>
          <w:szCs w:val="24"/>
          <w:lang w:val="en-US"/>
        </w:rPr>
      </w:pPr>
    </w:p>
    <w:p w:rsidR="00CB3E17" w:rsidRDefault="00CB3E17" w:rsidP="00CB3E17">
      <w:pPr>
        <w:ind w:firstLine="567"/>
        <w:jc w:val="both"/>
        <w:rPr>
          <w:rFonts w:cs="Times New Roman"/>
          <w:lang w:val="en-US"/>
        </w:rPr>
      </w:pPr>
      <w:r>
        <w:rPr>
          <w:rFonts w:cs="Times New Roman"/>
          <w:szCs w:val="24"/>
          <w:lang w:val="en-US"/>
        </w:rPr>
        <w:t>Relevance of paper. Insurance is a very important economic activity which ensures the stability of the</w:t>
      </w:r>
      <w:r w:rsidR="00A953A0">
        <w:rPr>
          <w:rFonts w:cs="Times New Roman"/>
          <w:szCs w:val="24"/>
          <w:lang w:val="en-US"/>
        </w:rPr>
        <w:t xml:space="preserve"> </w:t>
      </w:r>
      <w:r w:rsidR="00BD23F8">
        <w:rPr>
          <w:rFonts w:cs="Times New Roman"/>
          <w:szCs w:val="24"/>
          <w:lang w:val="en-US"/>
        </w:rPr>
        <w:t xml:space="preserve">whole </w:t>
      </w:r>
      <w:r>
        <w:rPr>
          <w:rFonts w:cs="Times New Roman"/>
          <w:szCs w:val="24"/>
          <w:lang w:val="en-US"/>
        </w:rPr>
        <w:t>economy. Various scientists (</w:t>
      </w:r>
      <w:r>
        <w:rPr>
          <w:rFonts w:cs="Times New Roman"/>
        </w:rPr>
        <w:t xml:space="preserve">Buškevičiūtė and Poželaitė, </w:t>
      </w:r>
      <w:r>
        <w:rPr>
          <w:rFonts w:cs="Times New Roman"/>
          <w:lang w:val="en-US"/>
        </w:rPr>
        <w:t xml:space="preserve">2001, </w:t>
      </w:r>
      <w:r w:rsidRPr="00344783">
        <w:rPr>
          <w:rFonts w:cs="Times New Roman"/>
        </w:rPr>
        <w:t xml:space="preserve">Lezgovko </w:t>
      </w:r>
      <w:r>
        <w:rPr>
          <w:rFonts w:cs="Times New Roman"/>
        </w:rPr>
        <w:t>and</w:t>
      </w:r>
      <w:r w:rsidRPr="00344783">
        <w:rPr>
          <w:rFonts w:cs="Times New Roman"/>
        </w:rPr>
        <w:t xml:space="preserve"> Lastauskas</w:t>
      </w:r>
      <w:r>
        <w:rPr>
          <w:rFonts w:cs="Times New Roman"/>
        </w:rPr>
        <w:t>,</w:t>
      </w:r>
      <w:r w:rsidRPr="00344783">
        <w:rPr>
          <w:rFonts w:cs="Times New Roman"/>
        </w:rPr>
        <w:t xml:space="preserve"> 2008, Bagdonavičius</w:t>
      </w:r>
      <w:r>
        <w:rPr>
          <w:rFonts w:cs="Times New Roman"/>
        </w:rPr>
        <w:t>,</w:t>
      </w:r>
      <w:r w:rsidRPr="00344783">
        <w:rPr>
          <w:rFonts w:cs="Times New Roman"/>
        </w:rPr>
        <w:t xml:space="preserve"> 2000, Aidukienė </w:t>
      </w:r>
      <w:r>
        <w:rPr>
          <w:rFonts w:cs="Times New Roman"/>
        </w:rPr>
        <w:t>and</w:t>
      </w:r>
      <w:r w:rsidRPr="00344783">
        <w:rPr>
          <w:rFonts w:cs="Times New Roman"/>
        </w:rPr>
        <w:t xml:space="preserve"> Simanavičienė</w:t>
      </w:r>
      <w:r>
        <w:rPr>
          <w:rFonts w:cs="Times New Roman"/>
        </w:rPr>
        <w:t>,</w:t>
      </w:r>
      <w:r w:rsidRPr="00344783">
        <w:rPr>
          <w:rFonts w:cs="Times New Roman"/>
        </w:rPr>
        <w:t xml:space="preserve"> 2010, Lezgovko </w:t>
      </w:r>
      <w:r>
        <w:rPr>
          <w:rFonts w:cs="Times New Roman"/>
        </w:rPr>
        <w:t>and</w:t>
      </w:r>
      <w:r w:rsidRPr="00344783">
        <w:rPr>
          <w:rFonts w:cs="Times New Roman"/>
        </w:rPr>
        <w:t xml:space="preserve"> Jablonskienė</w:t>
      </w:r>
      <w:r>
        <w:rPr>
          <w:rFonts w:cs="Times New Roman"/>
        </w:rPr>
        <w:t>,</w:t>
      </w:r>
      <w:r w:rsidRPr="00344783">
        <w:rPr>
          <w:rFonts w:cs="Times New Roman"/>
        </w:rPr>
        <w:t xml:space="preserve"> 2012</w:t>
      </w:r>
      <w:r>
        <w:rPr>
          <w:rFonts w:cs="Times New Roman"/>
        </w:rPr>
        <w:t xml:space="preserve">) </w:t>
      </w:r>
      <w:r>
        <w:rPr>
          <w:rFonts w:cs="Times New Roman"/>
          <w:lang w:val="en-US"/>
        </w:rPr>
        <w:t>as well as</w:t>
      </w:r>
      <w:r w:rsidR="0029205E">
        <w:rPr>
          <w:rFonts w:cs="Times New Roman"/>
          <w:lang w:val="en-US"/>
        </w:rPr>
        <w:t xml:space="preserve"> relevant</w:t>
      </w:r>
      <w:r w:rsidRPr="0002517D">
        <w:rPr>
          <w:rFonts w:cs="Times New Roman"/>
          <w:lang w:val="en-US"/>
        </w:rPr>
        <w:t xml:space="preserve"> institutions (European Central </w:t>
      </w:r>
      <w:r>
        <w:rPr>
          <w:rFonts w:cs="Times New Roman"/>
          <w:lang w:val="en-US"/>
        </w:rPr>
        <w:t xml:space="preserve">Bank, The Bank of Lithuania, Lithuanian Insurance Supervisory Commission, Swiss Re) analyze the </w:t>
      </w:r>
      <w:r w:rsidR="00A13F32">
        <w:rPr>
          <w:rFonts w:cs="Times New Roman"/>
          <w:lang w:val="en-US"/>
        </w:rPr>
        <w:t>fundamental</w:t>
      </w:r>
      <w:r>
        <w:rPr>
          <w:rFonts w:cs="Times New Roman"/>
          <w:lang w:val="en-US"/>
        </w:rPr>
        <w:t xml:space="preserve"> indices which </w:t>
      </w:r>
      <w:r w:rsidR="00F62830">
        <w:rPr>
          <w:rFonts w:cs="Times New Roman"/>
          <w:lang w:val="en-US"/>
        </w:rPr>
        <w:t>disclose</w:t>
      </w:r>
      <w:r>
        <w:rPr>
          <w:rFonts w:cs="Times New Roman"/>
          <w:lang w:val="en-US"/>
        </w:rPr>
        <w:t xml:space="preserve"> the condition and trend of development of insurance markets. The shift of these indices </w:t>
      </w:r>
      <w:r w:rsidR="000B7595">
        <w:rPr>
          <w:rFonts w:cs="Times New Roman"/>
          <w:lang w:val="en-US"/>
        </w:rPr>
        <w:t xml:space="preserve">reveals </w:t>
      </w:r>
      <w:r>
        <w:rPr>
          <w:rFonts w:cs="Times New Roman"/>
          <w:lang w:val="en-US"/>
        </w:rPr>
        <w:t xml:space="preserve">that Lithuanian non-life insurance is </w:t>
      </w:r>
      <w:r w:rsidRPr="0002517D">
        <w:rPr>
          <w:rFonts w:cs="Times New Roman"/>
          <w:lang w:val="en-US"/>
        </w:rPr>
        <w:t>still</w:t>
      </w:r>
      <w:r w:rsidR="0040487D">
        <w:rPr>
          <w:rFonts w:cs="Times New Roman"/>
          <w:lang w:val="en-US"/>
        </w:rPr>
        <w:t xml:space="preserve"> way</w:t>
      </w:r>
      <w:r w:rsidRPr="0002517D">
        <w:rPr>
          <w:rFonts w:cs="Times New Roman"/>
          <w:lang w:val="en-US"/>
        </w:rPr>
        <w:t xml:space="preserve"> behind industrial economies</w:t>
      </w:r>
      <w:r w:rsidR="00BD23F8">
        <w:rPr>
          <w:rFonts w:cs="Times New Roman"/>
          <w:lang w:val="en-US"/>
        </w:rPr>
        <w:t>,</w:t>
      </w:r>
      <w:r w:rsidRPr="0002517D">
        <w:rPr>
          <w:rFonts w:cs="Times New Roman"/>
          <w:lang w:val="en-US"/>
        </w:rPr>
        <w:t xml:space="preserve"> even Central and Eastern Europe countries. Therefore, Lithuanian non-life insurance market has great development opportunities. Scientists (Bernat </w:t>
      </w:r>
      <w:r>
        <w:rPr>
          <w:rFonts w:cs="Times New Roman"/>
          <w:lang w:val="en-US"/>
        </w:rPr>
        <w:t>and</w:t>
      </w:r>
      <w:r w:rsidRPr="0002517D">
        <w:rPr>
          <w:rFonts w:cs="Times New Roman"/>
          <w:lang w:val="en-US"/>
        </w:rPr>
        <w:t xml:space="preserve"> Grundey, 2007, Hussels et al., 2005, Browne et al., 2000, Ward </w:t>
      </w:r>
      <w:r>
        <w:rPr>
          <w:rFonts w:cs="Times New Roman"/>
          <w:lang w:val="en-US"/>
        </w:rPr>
        <w:t>and</w:t>
      </w:r>
      <w:r w:rsidRPr="0002517D">
        <w:rPr>
          <w:rFonts w:cs="Times New Roman"/>
          <w:lang w:val="en-US"/>
        </w:rPr>
        <w:t xml:space="preserve"> Zurbruegg, 2000, Beck </w:t>
      </w:r>
      <w:r>
        <w:rPr>
          <w:rFonts w:cs="Times New Roman"/>
          <w:lang w:val="en-US"/>
        </w:rPr>
        <w:t>and</w:t>
      </w:r>
      <w:r w:rsidRPr="0002517D">
        <w:rPr>
          <w:rFonts w:cs="Times New Roman"/>
          <w:lang w:val="en-US"/>
        </w:rPr>
        <w:t xml:space="preserve"> Webb, 2003, Esho et al., 2004,</w:t>
      </w:r>
      <w:r w:rsidRPr="0002517D">
        <w:rPr>
          <w:lang w:val="en-US"/>
        </w:rPr>
        <w:t xml:space="preserve"> Azman-Saini </w:t>
      </w:r>
      <w:r>
        <w:rPr>
          <w:lang w:val="en-US"/>
        </w:rPr>
        <w:t>and</w:t>
      </w:r>
      <w:r w:rsidRPr="0002517D">
        <w:rPr>
          <w:lang w:val="en-US"/>
        </w:rPr>
        <w:t xml:space="preserve"> Smith, 2011, Levine et al., 2000</w:t>
      </w:r>
      <w:r w:rsidRPr="0002517D">
        <w:rPr>
          <w:rFonts w:cs="Times New Roman"/>
          <w:lang w:val="en-US"/>
        </w:rPr>
        <w:t>)</w:t>
      </w:r>
      <w:r>
        <w:rPr>
          <w:rFonts w:cs="Times New Roman"/>
          <w:lang w:val="en-US"/>
        </w:rPr>
        <w:t xml:space="preserve"> attempt to identify the essential factors which reflect the fluctuation of insurance. In order to enhance Lithuanian non-life insurance growth potential it is mandatory to identify the determinants which influence insurance market and to take the advantage of </w:t>
      </w:r>
      <w:r w:rsidR="003D01D4">
        <w:rPr>
          <w:rFonts w:cs="Times New Roman"/>
          <w:lang w:val="en-US"/>
        </w:rPr>
        <w:t>them</w:t>
      </w:r>
      <w:r>
        <w:rPr>
          <w:rFonts w:cs="Times New Roman"/>
          <w:lang w:val="en-US"/>
        </w:rPr>
        <w:t>.</w:t>
      </w:r>
    </w:p>
    <w:p w:rsidR="00CB3E17" w:rsidRDefault="00CB3E17" w:rsidP="00CB3E17">
      <w:pPr>
        <w:ind w:firstLine="567"/>
        <w:jc w:val="both"/>
        <w:rPr>
          <w:rFonts w:cs="Times New Roman"/>
          <w:szCs w:val="24"/>
          <w:lang w:val="en-US"/>
        </w:rPr>
      </w:pPr>
      <w:r>
        <w:rPr>
          <w:rFonts w:cs="Times New Roman"/>
          <w:szCs w:val="24"/>
          <w:lang w:val="en-US"/>
        </w:rPr>
        <w:t>Research problem – what determinants impact Lithuanian non-life insurance market development the most and how</w:t>
      </w:r>
      <w:r w:rsidR="00E801C1">
        <w:rPr>
          <w:rFonts w:cs="Times New Roman"/>
          <w:szCs w:val="24"/>
          <w:lang w:val="en-US"/>
        </w:rPr>
        <w:t xml:space="preserve"> do they influence it</w:t>
      </w:r>
      <w:r>
        <w:rPr>
          <w:rFonts w:cs="Times New Roman"/>
          <w:szCs w:val="24"/>
          <w:lang w:val="en-US"/>
        </w:rPr>
        <w:t xml:space="preserve">? The object of research is determinants of Lithuanian non-life insurance development. The aim of research is to analyze Lithuanian non-life insurance market determinants and to identify its growth potential. The tasks of the paper are as following: prepare the concept of insurance market </w:t>
      </w:r>
      <w:r w:rsidR="00481BD9">
        <w:rPr>
          <w:rFonts w:cs="Times New Roman"/>
          <w:szCs w:val="24"/>
          <w:lang w:val="en-US"/>
        </w:rPr>
        <w:t>factors</w:t>
      </w:r>
      <w:r>
        <w:rPr>
          <w:rFonts w:cs="Times New Roman"/>
          <w:szCs w:val="24"/>
          <w:lang w:val="en-US"/>
        </w:rPr>
        <w:t xml:space="preserve">, identify non-life insurance determinants, prepare the methodology of evaluation of non-life insurance development, evaluate the current situation of Lithuanian non-life insurance market, identify which factors </w:t>
      </w:r>
      <w:r w:rsidR="00481BD9">
        <w:rPr>
          <w:rFonts w:cs="Times New Roman"/>
          <w:szCs w:val="24"/>
          <w:lang w:val="en-US"/>
        </w:rPr>
        <w:t>(</w:t>
      </w:r>
      <w:r>
        <w:rPr>
          <w:rFonts w:cs="Times New Roman"/>
          <w:szCs w:val="24"/>
          <w:lang w:val="en-US"/>
        </w:rPr>
        <w:t>and how</w:t>
      </w:r>
      <w:r w:rsidR="00481BD9">
        <w:rPr>
          <w:rFonts w:cs="Times New Roman"/>
          <w:szCs w:val="24"/>
          <w:lang w:val="en-US"/>
        </w:rPr>
        <w:t>)</w:t>
      </w:r>
      <w:r>
        <w:rPr>
          <w:rFonts w:cs="Times New Roman"/>
          <w:szCs w:val="24"/>
          <w:lang w:val="en-US"/>
        </w:rPr>
        <w:t xml:space="preserve"> impact Lithuanian non-life insurance market development. There are 2 hypotheses in the research.1) Not only economic, but</w:t>
      </w:r>
      <w:r w:rsidR="003A7A71">
        <w:rPr>
          <w:rFonts w:cs="Times New Roman"/>
          <w:szCs w:val="24"/>
          <w:lang w:val="en-US"/>
        </w:rPr>
        <w:t xml:space="preserve"> also political, legal, socio-</w:t>
      </w:r>
      <w:r>
        <w:rPr>
          <w:rFonts w:cs="Times New Roman"/>
          <w:szCs w:val="24"/>
          <w:lang w:val="en-US"/>
        </w:rPr>
        <w:t xml:space="preserve">cultural and technological environment make impact on Lithuanian non-life insurance development. 2) The leading factor which </w:t>
      </w:r>
      <w:r w:rsidR="008F3674">
        <w:rPr>
          <w:rFonts w:cs="Times New Roman"/>
          <w:szCs w:val="24"/>
          <w:lang w:val="en-US"/>
        </w:rPr>
        <w:t>influences</w:t>
      </w:r>
      <w:r w:rsidR="00823308">
        <w:rPr>
          <w:rFonts w:cs="Times New Roman"/>
          <w:szCs w:val="24"/>
          <w:lang w:val="en-US"/>
        </w:rPr>
        <w:t xml:space="preserve"> </w:t>
      </w:r>
      <w:r>
        <w:rPr>
          <w:rFonts w:cs="Times New Roman"/>
          <w:szCs w:val="24"/>
          <w:lang w:val="en-US"/>
        </w:rPr>
        <w:t>Lithuanian non-life insurance development is GDP and its dynamics.</w:t>
      </w:r>
    </w:p>
    <w:p w:rsidR="00CB3E17" w:rsidRDefault="00CB3E17" w:rsidP="00CB3E17">
      <w:pPr>
        <w:ind w:firstLine="567"/>
        <w:jc w:val="both"/>
        <w:rPr>
          <w:lang w:val="en-US"/>
        </w:rPr>
      </w:pPr>
      <w:r>
        <w:rPr>
          <w:rFonts w:cs="Times New Roman"/>
          <w:szCs w:val="24"/>
          <w:lang w:val="en-US"/>
        </w:rPr>
        <w:t>The methods used in research: scientific literature analysis</w:t>
      </w:r>
      <w:r w:rsidR="00DE4CA2">
        <w:rPr>
          <w:rFonts w:cs="Times New Roman"/>
          <w:szCs w:val="24"/>
          <w:lang w:val="en-US"/>
        </w:rPr>
        <w:t>,</w:t>
      </w:r>
      <w:r>
        <w:rPr>
          <w:rFonts w:cs="Times New Roman"/>
          <w:szCs w:val="24"/>
          <w:lang w:val="en-US"/>
        </w:rPr>
        <w:t xml:space="preserve"> comparison, statistical and graphic data analysis, analysis of legal documents, PEST analysis, </w:t>
      </w:r>
      <w:r>
        <w:rPr>
          <w:lang w:val="en-US"/>
        </w:rPr>
        <w:t>analysis of correlation and linear regression.</w:t>
      </w:r>
    </w:p>
    <w:p w:rsidR="00CB3E17" w:rsidRDefault="00CB3E17" w:rsidP="00CB3E17">
      <w:pPr>
        <w:ind w:firstLine="567"/>
        <w:jc w:val="both"/>
        <w:rPr>
          <w:rFonts w:cs="Times New Roman"/>
          <w:szCs w:val="24"/>
          <w:lang w:val="en-US"/>
        </w:rPr>
      </w:pPr>
      <w:r>
        <w:rPr>
          <w:rFonts w:cs="Times New Roman"/>
          <w:szCs w:val="24"/>
          <w:lang w:val="en-US"/>
        </w:rPr>
        <w:t xml:space="preserve">The period of </w:t>
      </w:r>
      <w:r w:rsidR="00DE4CA2">
        <w:rPr>
          <w:rFonts w:cs="Times New Roman"/>
          <w:szCs w:val="24"/>
          <w:lang w:val="en-US"/>
        </w:rPr>
        <w:t xml:space="preserve">enormous growth in </w:t>
      </w:r>
      <w:r>
        <w:rPr>
          <w:rFonts w:cs="Times New Roman"/>
          <w:szCs w:val="24"/>
          <w:lang w:val="en-US"/>
        </w:rPr>
        <w:t xml:space="preserve">2006-2008 in Lithuanian non-life insurance market was followed by recession in 2009. Year after the market stabilized the upturn prevailed. Non-life </w:t>
      </w:r>
      <w:r>
        <w:rPr>
          <w:rFonts w:cs="Times New Roman"/>
          <w:szCs w:val="24"/>
          <w:lang w:val="en-US"/>
        </w:rPr>
        <w:lastRenderedPageBreak/>
        <w:t xml:space="preserve">insurance market made a positive impact on the Lithuanian economy by absorbing </w:t>
      </w:r>
      <w:r w:rsidR="003C04B3">
        <w:rPr>
          <w:rFonts w:cs="Times New Roman"/>
          <w:szCs w:val="24"/>
          <w:lang w:val="en-US"/>
        </w:rPr>
        <w:t>great percentage of</w:t>
      </w:r>
      <w:r>
        <w:rPr>
          <w:rFonts w:cs="Times New Roman"/>
          <w:szCs w:val="24"/>
          <w:lang w:val="en-US"/>
        </w:rPr>
        <w:t xml:space="preserve"> negative consequences </w:t>
      </w:r>
      <w:r w:rsidR="005609B2">
        <w:rPr>
          <w:rFonts w:cs="Times New Roman"/>
          <w:szCs w:val="24"/>
          <w:lang w:val="en-US"/>
        </w:rPr>
        <w:t>due to</w:t>
      </w:r>
      <w:r>
        <w:rPr>
          <w:rFonts w:cs="Times New Roman"/>
          <w:szCs w:val="24"/>
          <w:lang w:val="en-US"/>
        </w:rPr>
        <w:t xml:space="preserve"> commercial insurance. Moreover, non-life </w:t>
      </w:r>
      <w:r w:rsidR="003C04B3">
        <w:rPr>
          <w:rFonts w:cs="Times New Roman"/>
          <w:szCs w:val="24"/>
          <w:lang w:val="en-US"/>
        </w:rPr>
        <w:t>insurers</w:t>
      </w:r>
      <w:r>
        <w:rPr>
          <w:rFonts w:cs="Times New Roman"/>
          <w:szCs w:val="24"/>
          <w:lang w:val="en-US"/>
        </w:rPr>
        <w:t xml:space="preserve"> sustained stability, solvency and sufficient amount of capital reserves. Revenue from the previous contracts, reduction of technical provisions and profit</w:t>
      </w:r>
      <w:r w:rsidR="005609B2">
        <w:rPr>
          <w:rFonts w:cs="Times New Roman"/>
          <w:szCs w:val="24"/>
          <w:lang w:val="en-US"/>
        </w:rPr>
        <w:t>s</w:t>
      </w:r>
      <w:r>
        <w:rPr>
          <w:rFonts w:cs="Times New Roman"/>
          <w:szCs w:val="24"/>
          <w:lang w:val="en-US"/>
        </w:rPr>
        <w:t xml:space="preserve"> from investment contributed to mitigate the aftermath of recession for insurers. Insurance market development indices revealed Lithuanian non-life insurance market is far behind in the context</w:t>
      </w:r>
      <w:r w:rsidR="005609B2">
        <w:rPr>
          <w:rFonts w:cs="Times New Roman"/>
          <w:szCs w:val="24"/>
          <w:lang w:val="en-US"/>
        </w:rPr>
        <w:t xml:space="preserve"> of the world</w:t>
      </w:r>
      <w:r>
        <w:rPr>
          <w:rFonts w:cs="Times New Roman"/>
          <w:szCs w:val="24"/>
          <w:lang w:val="en-US"/>
        </w:rPr>
        <w:t xml:space="preserve">. On the other hand, the market has great </w:t>
      </w:r>
      <w:r w:rsidR="003750DD">
        <w:rPr>
          <w:rFonts w:cs="Times New Roman"/>
          <w:szCs w:val="24"/>
          <w:lang w:val="en-US"/>
        </w:rPr>
        <w:t xml:space="preserve">development </w:t>
      </w:r>
      <w:r>
        <w:rPr>
          <w:rFonts w:cs="Times New Roman"/>
          <w:szCs w:val="24"/>
          <w:lang w:val="en-US"/>
        </w:rPr>
        <w:t>potential.</w:t>
      </w:r>
    </w:p>
    <w:p w:rsidR="00CB3E17" w:rsidRDefault="00CB3E17" w:rsidP="00CB3E17">
      <w:pPr>
        <w:ind w:firstLine="567"/>
        <w:jc w:val="both"/>
        <w:rPr>
          <w:rFonts w:cs="Times New Roman"/>
          <w:szCs w:val="24"/>
          <w:lang w:val="en-US"/>
        </w:rPr>
      </w:pPr>
      <w:r>
        <w:rPr>
          <w:rFonts w:cs="Times New Roman"/>
          <w:szCs w:val="24"/>
          <w:lang w:val="en-US"/>
        </w:rPr>
        <w:t xml:space="preserve">PEST analysis disclosed that economic environment </w:t>
      </w:r>
      <w:r w:rsidR="00910FAC">
        <w:rPr>
          <w:rFonts w:cs="Times New Roman"/>
          <w:szCs w:val="24"/>
          <w:lang w:val="en-US"/>
        </w:rPr>
        <w:t xml:space="preserve">influences </w:t>
      </w:r>
      <w:r>
        <w:rPr>
          <w:rFonts w:cs="Times New Roman"/>
          <w:szCs w:val="24"/>
          <w:lang w:val="en-US"/>
        </w:rPr>
        <w:t xml:space="preserve">Lithuanian non-life insurance positively: GDP, purchase power, foreign countries’ investments are growing, unemployment is shrinking, inflation and interest rates are low. In addition, the number of registered vehicles in the country is growing. Technological environment determines efficient management of business and enhances the accessibility to insurance services. Legal environment is quite business-friendly. However, unstable political environment increases the uncertainty of </w:t>
      </w:r>
      <w:r w:rsidR="00910FAC">
        <w:rPr>
          <w:rFonts w:cs="Times New Roman"/>
          <w:szCs w:val="24"/>
          <w:lang w:val="en-US"/>
        </w:rPr>
        <w:t>insurance business</w:t>
      </w:r>
      <w:r>
        <w:rPr>
          <w:rFonts w:cs="Times New Roman"/>
          <w:szCs w:val="24"/>
          <w:lang w:val="en-US"/>
        </w:rPr>
        <w:t>. Socio-cultural environment affect</w:t>
      </w:r>
      <w:r w:rsidR="00910FAC">
        <w:rPr>
          <w:rFonts w:cs="Times New Roman"/>
          <w:szCs w:val="24"/>
          <w:lang w:val="en-US"/>
        </w:rPr>
        <w:t>s</w:t>
      </w:r>
      <w:r>
        <w:rPr>
          <w:rFonts w:cs="Times New Roman"/>
          <w:szCs w:val="24"/>
          <w:lang w:val="en-US"/>
        </w:rPr>
        <w:t xml:space="preserve"> insurance negatively due to declining population, increasing social disjuncture and descending expenditure on education. Also the priority to insure material wealth (instead of health, liabilities, etc.) ensures the stable revenue, but restricts the growth opportunities.</w:t>
      </w:r>
    </w:p>
    <w:p w:rsidR="00CB3E17" w:rsidRDefault="00CB3E17" w:rsidP="00CB3E17">
      <w:pPr>
        <w:ind w:firstLine="567"/>
        <w:jc w:val="both"/>
        <w:rPr>
          <w:lang w:val="en-US"/>
        </w:rPr>
      </w:pPr>
      <w:r>
        <w:rPr>
          <w:lang w:val="en-US"/>
        </w:rPr>
        <w:t xml:space="preserve">The analysis of correlation and linear regression revealed the leading Lithuanian non-life insurance market development determinants, such as GDP </w:t>
      </w:r>
      <w:r w:rsidR="00910FAC">
        <w:rPr>
          <w:lang w:val="en-US"/>
        </w:rPr>
        <w:t>(when the value added increases</w:t>
      </w:r>
      <w:r>
        <w:rPr>
          <w:lang w:val="en-US"/>
        </w:rPr>
        <w:t xml:space="preserve"> </w:t>
      </w:r>
      <w:r w:rsidR="00910FAC">
        <w:rPr>
          <w:lang w:val="en-US"/>
        </w:rPr>
        <w:t>more room</w:t>
      </w:r>
      <w:r>
        <w:rPr>
          <w:lang w:val="en-US"/>
        </w:rPr>
        <w:t xml:space="preserve"> is le</w:t>
      </w:r>
      <w:r w:rsidR="00910FAC">
        <w:rPr>
          <w:lang w:val="en-US"/>
        </w:rPr>
        <w:t>ft for other goods and services;</w:t>
      </w:r>
      <w:r>
        <w:rPr>
          <w:lang w:val="en-US"/>
        </w:rPr>
        <w:t xml:space="preserve"> the demand for financial safety grows) and inflation (when the purchase power shrink it increases the revenue </w:t>
      </w:r>
      <w:r w:rsidR="00DF3498">
        <w:rPr>
          <w:lang w:val="en-US"/>
        </w:rPr>
        <w:t xml:space="preserve">because </w:t>
      </w:r>
      <w:r>
        <w:rPr>
          <w:lang w:val="en-US"/>
        </w:rPr>
        <w:t xml:space="preserve">insurance premiums </w:t>
      </w:r>
      <w:r w:rsidR="00A66BBA">
        <w:rPr>
          <w:lang w:val="en-US"/>
        </w:rPr>
        <w:t xml:space="preserve">are </w:t>
      </w:r>
      <w:r>
        <w:rPr>
          <w:lang w:val="en-US"/>
        </w:rPr>
        <w:t xml:space="preserve">a nominal value). </w:t>
      </w:r>
      <w:r w:rsidR="00E92BD3">
        <w:rPr>
          <w:lang w:val="en-US"/>
        </w:rPr>
        <w:t>The a</w:t>
      </w:r>
      <w:r>
        <w:rPr>
          <w:lang w:val="en-US"/>
        </w:rPr>
        <w:t>nalysis also disclosed that vehicles registered for the first time in Lithuania makes a great impact on non-life insurance premiums written (civil liability insurance of vehicle owners and kasko insurance embrace almost two thirds of Lithuanian non-life insurance market).</w:t>
      </w:r>
    </w:p>
    <w:p w:rsidR="00CB3E17" w:rsidRDefault="00CB3E17" w:rsidP="00CB3E17">
      <w:pPr>
        <w:ind w:firstLine="567"/>
        <w:jc w:val="both"/>
        <w:rPr>
          <w:lang w:val="en-US"/>
        </w:rPr>
      </w:pPr>
      <w:r>
        <w:rPr>
          <w:lang w:val="en-US"/>
        </w:rPr>
        <w:t>Both hypotheses raised in the paper were confirmed as valid.</w:t>
      </w:r>
    </w:p>
    <w:p w:rsidR="00CB3E17" w:rsidRDefault="00CB3E17" w:rsidP="00CB3E17">
      <w:pPr>
        <w:ind w:firstLine="567"/>
        <w:jc w:val="both"/>
        <w:rPr>
          <w:rFonts w:cs="Times New Roman"/>
          <w:szCs w:val="24"/>
          <w:lang w:val="en-US"/>
        </w:rPr>
      </w:pPr>
      <w:r>
        <w:rPr>
          <w:rFonts w:cs="Times New Roman"/>
          <w:szCs w:val="24"/>
          <w:lang w:val="en-US"/>
        </w:rPr>
        <w:t>Suggestions: the insurers should struggle to enhance the demand of insurance by promoting the benefits of insurance and educating the potential customers, especially in the fields of finance and risk management (</w:t>
      </w:r>
      <w:r w:rsidR="007F53F2">
        <w:rPr>
          <w:rFonts w:cs="Times New Roman"/>
          <w:szCs w:val="24"/>
          <w:lang w:val="en-US"/>
        </w:rPr>
        <w:t xml:space="preserve">e.g. </w:t>
      </w:r>
      <w:r>
        <w:rPr>
          <w:rFonts w:cs="Times New Roman"/>
          <w:szCs w:val="24"/>
          <w:lang w:val="en-US"/>
        </w:rPr>
        <w:t>arranging educational trainings). What is more, insurers should reduce their dependence on the revenue gained from vehicles-related insurance products. They should attempt to promote the products which are not related to material wealth, e.g. liabilities, health insurance.</w:t>
      </w:r>
    </w:p>
    <w:p w:rsidR="00CB3E17" w:rsidRDefault="00CB3E17" w:rsidP="00CB3E17">
      <w:pPr>
        <w:ind w:firstLine="567"/>
        <w:jc w:val="both"/>
        <w:rPr>
          <w:rFonts w:cs="Times New Roman"/>
          <w:szCs w:val="24"/>
          <w:lang w:val="en-US"/>
        </w:rPr>
      </w:pPr>
      <w:r>
        <w:rPr>
          <w:rFonts w:cs="Times New Roman"/>
          <w:szCs w:val="24"/>
          <w:lang w:val="en-US"/>
        </w:rPr>
        <w:t xml:space="preserve">The paper consists of introduction, three chapters, conclusion, list of literature, annotation in Lithuanian and English, summary in </w:t>
      </w:r>
      <w:r w:rsidR="00A17430">
        <w:rPr>
          <w:rFonts w:cs="Times New Roman"/>
          <w:szCs w:val="24"/>
          <w:lang w:val="en-US"/>
        </w:rPr>
        <w:t>Lithuanian and English, appendices</w:t>
      </w:r>
      <w:r>
        <w:rPr>
          <w:rFonts w:cs="Times New Roman"/>
          <w:szCs w:val="24"/>
          <w:lang w:val="en-US"/>
        </w:rPr>
        <w:t>. Thesis includes 22 visual materials (5 tables and 17 figures). There are three appendices. The volume of th</w:t>
      </w:r>
      <w:r w:rsidR="00CD47FD">
        <w:rPr>
          <w:rFonts w:cs="Times New Roman"/>
          <w:szCs w:val="24"/>
          <w:lang w:val="en-US"/>
        </w:rPr>
        <w:t>e</w:t>
      </w:r>
      <w:r>
        <w:rPr>
          <w:rFonts w:cs="Times New Roman"/>
          <w:szCs w:val="24"/>
          <w:lang w:val="en-US"/>
        </w:rPr>
        <w:t xml:space="preserve"> paper </w:t>
      </w:r>
      <w:r w:rsidR="00CD47FD">
        <w:rPr>
          <w:rFonts w:cs="Times New Roman"/>
          <w:szCs w:val="24"/>
          <w:lang w:val="en-US"/>
        </w:rPr>
        <w:t>is</w:t>
      </w:r>
      <w:r w:rsidRPr="00CB3E17">
        <w:rPr>
          <w:rFonts w:cs="Times New Roman"/>
          <w:szCs w:val="24"/>
          <w:lang w:val="en-US"/>
        </w:rPr>
        <w:t xml:space="preserve"> 81 pages. There are 106 references used</w:t>
      </w:r>
      <w:r w:rsidR="00A953A0">
        <w:rPr>
          <w:rFonts w:cs="Times New Roman"/>
          <w:szCs w:val="24"/>
          <w:lang w:val="en-US"/>
        </w:rPr>
        <w:t xml:space="preserve"> in total</w:t>
      </w:r>
      <w:r w:rsidRPr="00CB3E17">
        <w:rPr>
          <w:rFonts w:cs="Times New Roman"/>
          <w:szCs w:val="24"/>
          <w:lang w:val="en-US"/>
        </w:rPr>
        <w:t>.</w:t>
      </w:r>
    </w:p>
    <w:p w:rsidR="00AC71D2" w:rsidRDefault="00AC71D2" w:rsidP="00935261">
      <w:pPr>
        <w:ind w:firstLine="567"/>
        <w:jc w:val="both"/>
        <w:rPr>
          <w:rFonts w:cs="Times New Roman"/>
        </w:rPr>
      </w:pPr>
    </w:p>
    <w:p w:rsidR="00CB3E17" w:rsidRDefault="00CB3E17">
      <w:pPr>
        <w:spacing w:after="200" w:line="276" w:lineRule="auto"/>
        <w:rPr>
          <w:rFonts w:cs="Times New Roman"/>
        </w:rPr>
      </w:pPr>
      <w:r>
        <w:rPr>
          <w:rFonts w:cs="Times New Roman"/>
        </w:rPr>
        <w:br w:type="page"/>
      </w: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935261">
      <w:pPr>
        <w:ind w:firstLine="567"/>
        <w:jc w:val="both"/>
        <w:rPr>
          <w:rFonts w:cs="Times New Roman"/>
        </w:rPr>
      </w:pPr>
    </w:p>
    <w:p w:rsidR="00AC71D2" w:rsidRDefault="00AC71D2" w:rsidP="00AC71D2">
      <w:pPr>
        <w:pStyle w:val="Heading1"/>
      </w:pPr>
      <w:bookmarkStart w:id="304" w:name="_Toc340574404"/>
      <w:bookmarkStart w:id="305" w:name="_Toc340574720"/>
      <w:bookmarkStart w:id="306" w:name="_Toc341641391"/>
      <w:bookmarkStart w:id="307" w:name="_Toc342859683"/>
      <w:r>
        <w:t>PRIEDAI</w:t>
      </w:r>
      <w:bookmarkEnd w:id="304"/>
      <w:bookmarkEnd w:id="305"/>
      <w:bookmarkEnd w:id="306"/>
      <w:bookmarkEnd w:id="307"/>
    </w:p>
    <w:p w:rsidR="00AC71D2" w:rsidRDefault="00AC71D2">
      <w:pPr>
        <w:spacing w:after="200" w:line="276" w:lineRule="auto"/>
      </w:pPr>
      <w:r>
        <w:br w:type="page"/>
      </w:r>
    </w:p>
    <w:p w:rsidR="00164AAC" w:rsidRDefault="00164AAC" w:rsidP="00AC71D2">
      <w:pPr>
        <w:jc w:val="right"/>
        <w:rPr>
          <w:b/>
        </w:rPr>
      </w:pPr>
    </w:p>
    <w:p w:rsidR="00AC71D2" w:rsidRPr="001A6394" w:rsidRDefault="00AC71D2" w:rsidP="00AC71D2">
      <w:pPr>
        <w:jc w:val="right"/>
        <w:rPr>
          <w:b/>
        </w:rPr>
      </w:pPr>
      <w:r w:rsidRPr="001A6394">
        <w:rPr>
          <w:b/>
        </w:rPr>
        <w:t xml:space="preserve">1 PRIEDAS. PRADINIAI DUOMENYS </w:t>
      </w:r>
    </w:p>
    <w:p w:rsidR="00AC71D2" w:rsidRDefault="00AC71D2" w:rsidP="00AC71D2">
      <w:pPr>
        <w:jc w:val="right"/>
        <w:rPr>
          <w:b/>
          <w:lang w:val="en-US"/>
        </w:rPr>
      </w:pPr>
    </w:p>
    <w:tbl>
      <w:tblPr>
        <w:tblW w:w="8640" w:type="dxa"/>
        <w:jc w:val="center"/>
        <w:tblInd w:w="103" w:type="dxa"/>
        <w:tblLook w:val="04A0"/>
      </w:tblPr>
      <w:tblGrid>
        <w:gridCol w:w="1080"/>
        <w:gridCol w:w="1080"/>
        <w:gridCol w:w="1080"/>
        <w:gridCol w:w="1080"/>
        <w:gridCol w:w="1080"/>
        <w:gridCol w:w="1080"/>
        <w:gridCol w:w="1080"/>
        <w:gridCol w:w="1080"/>
      </w:tblGrid>
      <w:tr w:rsidR="00AC71D2" w:rsidRPr="007A5D88" w:rsidTr="0096684A">
        <w:trPr>
          <w:trHeight w:val="300"/>
          <w:jc w:val="center"/>
        </w:trPr>
        <w:tc>
          <w:tcPr>
            <w:tcW w:w="1080" w:type="dxa"/>
            <w:tcBorders>
              <w:top w:val="single" w:sz="4" w:space="0" w:color="auto"/>
              <w:left w:val="single" w:sz="4" w:space="0" w:color="auto"/>
              <w:bottom w:val="single" w:sz="4" w:space="0" w:color="auto"/>
              <w:right w:val="single" w:sz="4" w:space="0" w:color="auto"/>
            </w:tcBorders>
          </w:tcPr>
          <w:p w:rsidR="00AC71D2" w:rsidRPr="007A5D88" w:rsidRDefault="00AC71D2" w:rsidP="0096684A">
            <w:pPr>
              <w:spacing w:line="240" w:lineRule="auto"/>
              <w:rPr>
                <w:rFonts w:eastAsia="Times New Roman" w:cs="Times New Roman"/>
                <w:b/>
                <w:bCs/>
                <w:color w:val="000000"/>
                <w:lang w:eastAsia="lt-LT"/>
              </w:rPr>
            </w:pPr>
            <w:bookmarkStart w:id="308" w:name="OLE_LINK11"/>
            <w:bookmarkStart w:id="309" w:name="OLE_LINK12"/>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center"/>
              <w:rPr>
                <w:rFonts w:eastAsia="Times New Roman" w:cs="Times New Roman"/>
                <w:b/>
                <w:bCs/>
                <w:color w:val="000000"/>
                <w:lang w:eastAsia="lt-LT"/>
              </w:rPr>
            </w:pPr>
            <w:r w:rsidRPr="007A5D88">
              <w:rPr>
                <w:rFonts w:eastAsia="Times New Roman" w:cs="Times New Roman"/>
                <w:b/>
                <w:bCs/>
                <w:color w:val="000000"/>
                <w:sz w:val="22"/>
                <w:lang w:eastAsia="lt-LT"/>
              </w:rPr>
              <w:t>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center"/>
              <w:rPr>
                <w:rFonts w:eastAsia="Times New Roman" w:cs="Times New Roman"/>
                <w:b/>
                <w:bCs/>
                <w:color w:val="000000"/>
                <w:lang w:eastAsia="lt-LT"/>
              </w:rPr>
            </w:pPr>
            <w:r w:rsidRPr="00B455A8">
              <w:rPr>
                <w:rFonts w:eastAsia="Times New Roman" w:cs="Times New Roman"/>
                <w:b/>
                <w:bCs/>
                <w:color w:val="000000"/>
                <w:sz w:val="22"/>
                <w:lang w:eastAsia="lt-LT"/>
              </w:rPr>
              <w:t>X1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center"/>
              <w:rPr>
                <w:rFonts w:eastAsia="Times New Roman" w:cs="Times New Roman"/>
                <w:b/>
                <w:bCs/>
                <w:lang w:eastAsia="lt-LT"/>
              </w:rPr>
            </w:pPr>
            <w:r w:rsidRPr="00B455A8">
              <w:rPr>
                <w:rFonts w:eastAsia="Times New Roman" w:cs="Times New Roman"/>
                <w:b/>
                <w:bCs/>
                <w:sz w:val="22"/>
                <w:lang w:eastAsia="lt-LT"/>
              </w:rPr>
              <w:t>X2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center"/>
              <w:rPr>
                <w:rFonts w:eastAsia="Times New Roman" w:cs="Times New Roman"/>
                <w:b/>
                <w:bCs/>
                <w:color w:val="000000"/>
                <w:lang w:eastAsia="lt-LT"/>
              </w:rPr>
            </w:pPr>
            <w:r w:rsidRPr="00B455A8">
              <w:rPr>
                <w:rFonts w:eastAsia="Times New Roman" w:cs="Times New Roman"/>
                <w:b/>
                <w:bCs/>
                <w:color w:val="000000"/>
                <w:sz w:val="22"/>
                <w:lang w:eastAsia="lt-LT"/>
              </w:rPr>
              <w:t>X3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center"/>
              <w:rPr>
                <w:rFonts w:eastAsia="Times New Roman" w:cs="Times New Roman"/>
                <w:b/>
                <w:bCs/>
                <w:color w:val="000000"/>
                <w:lang w:eastAsia="lt-LT"/>
              </w:rPr>
            </w:pPr>
            <w:r w:rsidRPr="00B455A8">
              <w:rPr>
                <w:rFonts w:eastAsia="Times New Roman" w:cs="Times New Roman"/>
                <w:b/>
                <w:bCs/>
                <w:color w:val="000000"/>
                <w:sz w:val="22"/>
                <w:lang w:eastAsia="lt-LT"/>
              </w:rPr>
              <w:t>X4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center"/>
              <w:rPr>
                <w:rFonts w:eastAsia="Times New Roman" w:cs="Times New Roman"/>
                <w:b/>
                <w:bCs/>
                <w:lang w:eastAsia="lt-LT"/>
              </w:rPr>
            </w:pPr>
            <w:r w:rsidRPr="00B455A8">
              <w:rPr>
                <w:rFonts w:eastAsia="Times New Roman" w:cs="Times New Roman"/>
                <w:b/>
                <w:bCs/>
                <w:sz w:val="22"/>
                <w:lang w:eastAsia="lt-LT"/>
              </w:rPr>
              <w:t>X5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center"/>
              <w:rPr>
                <w:rFonts w:eastAsia="Times New Roman" w:cs="Times New Roman"/>
                <w:b/>
                <w:bCs/>
                <w:color w:val="000000"/>
                <w:lang w:eastAsia="lt-LT"/>
              </w:rPr>
            </w:pPr>
            <w:r w:rsidRPr="00B455A8">
              <w:rPr>
                <w:rFonts w:eastAsia="Times New Roman" w:cs="Times New Roman"/>
                <w:b/>
                <w:bCs/>
                <w:color w:val="000000"/>
                <w:sz w:val="22"/>
                <w:lang w:eastAsia="lt-LT"/>
              </w:rPr>
              <w:t>X6</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2004 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157,20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13589,8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2,82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29795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3443968</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2004 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242,93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15564,2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11,3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0,5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2,80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43605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3439208</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2004 III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143,79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16442,3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10,6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2,80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40959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3434740</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2004 IV</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135,96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17401,1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10,6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2,80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36748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3429493</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2005 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162,38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15135,1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10,2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2,67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33932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3423290</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2005 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247,02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17822,7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8,5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50305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3416968</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2005 III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161,03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19234,3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7,2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40189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3411626</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2005 IV</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184,38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20209,7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7,1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2,53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35145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3406907</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2006 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195,64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17436,5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6,4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2,77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32613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3401225</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2006 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303,75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20362,3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3,10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46156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3395995</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2006 III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241,50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22321,1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56616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3391977</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2006 IV</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241,30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23107,3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3,75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55555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3388427</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2007 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267,83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20596,7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4,02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54890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3383052</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2007 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367,08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24483,8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4,85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69430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3377355</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2007 III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297,77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26775,7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5,40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68330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3373566</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2007 IV</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317,58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27373,1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7,8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6,54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59595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3369668</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2008 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341,93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24536,3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10,6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5,87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54367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3364657</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2008 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432,70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28939,9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12,1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5,69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58422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3360403</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2008 III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356,91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29979,7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11,7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6,16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49359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3357233</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2008 IV</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323,81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28464,3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7,9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9,3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8,38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51557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3353205</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2009 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296,59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21852,4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11,9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8,7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8,45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34378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3347940</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2009 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286,19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24133,9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13,6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8,59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40930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3342129</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2009 III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238,92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23319,1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13,8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8,75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37543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3338494</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2009 IV</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236,49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22727,0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15,6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7,16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38804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3333458</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2010 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239,30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21356,8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18,1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-0,3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3,40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32883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3326882</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2010 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278,39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24275,3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18,3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0,7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2,07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50516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3311557</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2010 III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245,51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24961,1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17,8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2,15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49273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3281047</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2010 IV</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249,09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24730,0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17,1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2,04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52082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3254718</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2011 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266,91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23719,3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17,2</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1,74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30971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3047809</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2011 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311,98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27243,4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15,6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1,93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36685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3034177</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2011 III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277,00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28120,9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14,8</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2,09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44584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3022992</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2011 IV</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283,06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27286,3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13,9</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2,13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43494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3012412</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2012 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277,55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25299,5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14,5</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3,6</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1,84</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39250</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3004373</w:t>
            </w:r>
          </w:p>
        </w:tc>
      </w:tr>
      <w:tr w:rsidR="00AC71D2" w:rsidRPr="00B455A8" w:rsidTr="0096684A">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rPr>
                <w:rFonts w:eastAsia="Times New Roman" w:cs="Times New Roman"/>
                <w:b/>
                <w:bCs/>
                <w:color w:val="000000"/>
                <w:lang w:eastAsia="lt-LT"/>
              </w:rPr>
            </w:pPr>
            <w:r w:rsidRPr="00B455A8">
              <w:rPr>
                <w:rFonts w:eastAsia="Times New Roman" w:cs="Times New Roman"/>
                <w:b/>
                <w:bCs/>
                <w:color w:val="000000"/>
                <w:sz w:val="22"/>
                <w:lang w:eastAsia="lt-LT"/>
              </w:rPr>
              <w:t>2012 II</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323,13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lang w:eastAsia="lt-LT"/>
              </w:rPr>
            </w:pPr>
            <w:r w:rsidRPr="00B455A8">
              <w:rPr>
                <w:rFonts w:eastAsia="Times New Roman" w:cs="Times New Roman"/>
                <w:sz w:val="22"/>
                <w:lang w:eastAsia="lt-LT"/>
              </w:rPr>
              <w:t>28470,7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13,3</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2,7</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1,61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47201</w:t>
            </w:r>
          </w:p>
        </w:tc>
        <w:tc>
          <w:tcPr>
            <w:tcW w:w="1080" w:type="dxa"/>
            <w:tcBorders>
              <w:top w:val="nil"/>
              <w:left w:val="nil"/>
              <w:bottom w:val="single" w:sz="4" w:space="0" w:color="auto"/>
              <w:right w:val="single" w:sz="4" w:space="0" w:color="auto"/>
            </w:tcBorders>
            <w:shd w:val="clear" w:color="auto" w:fill="auto"/>
            <w:noWrap/>
            <w:vAlign w:val="bottom"/>
            <w:hideMark/>
          </w:tcPr>
          <w:p w:rsidR="00AC71D2" w:rsidRPr="00B455A8" w:rsidRDefault="00AC71D2" w:rsidP="0096684A">
            <w:pPr>
              <w:spacing w:line="240" w:lineRule="auto"/>
              <w:jc w:val="right"/>
              <w:rPr>
                <w:rFonts w:eastAsia="Times New Roman" w:cs="Times New Roman"/>
                <w:color w:val="000000"/>
                <w:lang w:eastAsia="lt-LT"/>
              </w:rPr>
            </w:pPr>
            <w:r w:rsidRPr="00B455A8">
              <w:rPr>
                <w:rFonts w:eastAsia="Times New Roman" w:cs="Times New Roman"/>
                <w:color w:val="000000"/>
                <w:sz w:val="22"/>
                <w:lang w:eastAsia="lt-LT"/>
              </w:rPr>
              <w:t>2996006</w:t>
            </w:r>
          </w:p>
        </w:tc>
      </w:tr>
      <w:bookmarkEnd w:id="308"/>
      <w:bookmarkEnd w:id="309"/>
    </w:tbl>
    <w:p w:rsidR="00AC71D2" w:rsidRDefault="00AC71D2" w:rsidP="00AC71D2">
      <w:pPr>
        <w:jc w:val="center"/>
        <w:rPr>
          <w:b/>
          <w:lang w:val="en-US"/>
        </w:rPr>
      </w:pPr>
    </w:p>
    <w:p w:rsidR="00AC71D2" w:rsidRDefault="00AC71D2" w:rsidP="00AC71D2">
      <w:pPr>
        <w:spacing w:after="200" w:line="276" w:lineRule="auto"/>
        <w:rPr>
          <w:b/>
          <w:lang w:val="en-US"/>
        </w:rPr>
      </w:pPr>
      <w:r>
        <w:rPr>
          <w:b/>
          <w:lang w:val="en-US"/>
        </w:rPr>
        <w:br w:type="page"/>
      </w:r>
    </w:p>
    <w:p w:rsidR="00164AAC" w:rsidRDefault="00164AAC" w:rsidP="00AC71D2">
      <w:pPr>
        <w:jc w:val="right"/>
        <w:rPr>
          <w:b/>
        </w:rPr>
      </w:pPr>
    </w:p>
    <w:p w:rsidR="00AC71D2" w:rsidRPr="00CC1F0D" w:rsidRDefault="00AC71D2" w:rsidP="00AC71D2">
      <w:pPr>
        <w:jc w:val="right"/>
        <w:rPr>
          <w:b/>
        </w:rPr>
      </w:pPr>
      <w:r w:rsidRPr="00CC1F0D">
        <w:rPr>
          <w:b/>
        </w:rPr>
        <w:t>2 PRIEDAS. PIRMINIS REGRESINĖS ANALIZĖS MODELIS</w:t>
      </w:r>
    </w:p>
    <w:p w:rsidR="00AC71D2" w:rsidRDefault="00AC71D2" w:rsidP="00AC71D2">
      <w:pPr>
        <w:jc w:val="right"/>
        <w:rPr>
          <w:b/>
          <w:lang w:val="en-US"/>
        </w:rPr>
      </w:pPr>
    </w:p>
    <w:p w:rsidR="00AC71D2" w:rsidRPr="00EA19A0" w:rsidRDefault="00AC71D2" w:rsidP="00AC71D2">
      <w:pPr>
        <w:autoSpaceDE w:val="0"/>
        <w:autoSpaceDN w:val="0"/>
        <w:adjustRightInd w:val="0"/>
        <w:spacing w:line="240" w:lineRule="auto"/>
        <w:jc w:val="center"/>
        <w:rPr>
          <w:rFonts w:cs="Times New Roman"/>
          <w:szCs w:val="24"/>
          <w:lang w:val="en-US"/>
        </w:rPr>
      </w:pPr>
      <w:r w:rsidRPr="00EA19A0">
        <w:rPr>
          <w:rFonts w:cs="Times New Roman"/>
          <w:szCs w:val="24"/>
          <w:lang w:val="en-US"/>
        </w:rPr>
        <w:t>Model 1: OLS, using observations 1-34</w:t>
      </w:r>
    </w:p>
    <w:p w:rsidR="00AC71D2" w:rsidRPr="00EA19A0" w:rsidRDefault="00AC71D2" w:rsidP="00AC71D2">
      <w:pPr>
        <w:autoSpaceDE w:val="0"/>
        <w:autoSpaceDN w:val="0"/>
        <w:adjustRightInd w:val="0"/>
        <w:spacing w:line="240" w:lineRule="auto"/>
        <w:jc w:val="center"/>
        <w:rPr>
          <w:rFonts w:cs="Times New Roman"/>
          <w:szCs w:val="24"/>
          <w:lang w:val="en-US"/>
        </w:rPr>
      </w:pPr>
      <w:r w:rsidRPr="00EA19A0">
        <w:rPr>
          <w:rFonts w:cs="Times New Roman"/>
          <w:szCs w:val="24"/>
          <w:lang w:val="en-US"/>
        </w:rPr>
        <w:t>Dependent variable: Y</w:t>
      </w:r>
    </w:p>
    <w:p w:rsidR="00AC71D2" w:rsidRPr="00EA19A0" w:rsidRDefault="00AC71D2" w:rsidP="00AC71D2">
      <w:pPr>
        <w:autoSpaceDE w:val="0"/>
        <w:autoSpaceDN w:val="0"/>
        <w:adjustRightInd w:val="0"/>
        <w:spacing w:line="240" w:lineRule="auto"/>
        <w:jc w:val="center"/>
        <w:rPr>
          <w:rFonts w:cs="Times New Roman"/>
          <w:szCs w:val="24"/>
          <w:lang w:val="en-US"/>
        </w:rPr>
      </w:pPr>
    </w:p>
    <w:tbl>
      <w:tblPr>
        <w:tblW w:w="0" w:type="auto"/>
        <w:jc w:val="center"/>
        <w:tblLayout w:type="fixed"/>
        <w:tblCellMar>
          <w:left w:w="30" w:type="dxa"/>
          <w:right w:w="30" w:type="dxa"/>
        </w:tblCellMar>
        <w:tblLook w:val="0000"/>
      </w:tblPr>
      <w:tblGrid>
        <w:gridCol w:w="1930"/>
        <w:gridCol w:w="1400"/>
        <w:gridCol w:w="1400"/>
        <w:gridCol w:w="1400"/>
        <w:gridCol w:w="1400"/>
        <w:gridCol w:w="500"/>
      </w:tblGrid>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 xml:space="preserve"> </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Coefficient</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Std. Error</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t-ratio</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p-value</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p>
        </w:tc>
      </w:tr>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const</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-8,95549</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42,0064</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-0,2132</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0,83267</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p>
        </w:tc>
      </w:tr>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X1</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0,0078389</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0,0018952</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4,1362</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0,00028</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w:t>
            </w:r>
          </w:p>
        </w:tc>
      </w:tr>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X3</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6,00501</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2,95296</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2,0336</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0,05124</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w:t>
            </w:r>
          </w:p>
        </w:tc>
      </w:tr>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X4</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1,0984</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3,38972</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0,3240</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0,74823</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p>
        </w:tc>
      </w:tr>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X5</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0,00138129</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0,000712343</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1,9391</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0,06228</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w:t>
            </w:r>
          </w:p>
        </w:tc>
      </w:tr>
    </w:tbl>
    <w:p w:rsidR="00AC71D2" w:rsidRPr="00EA19A0" w:rsidRDefault="00AC71D2" w:rsidP="00AC71D2">
      <w:pPr>
        <w:autoSpaceDE w:val="0"/>
        <w:autoSpaceDN w:val="0"/>
        <w:adjustRightInd w:val="0"/>
        <w:spacing w:line="240" w:lineRule="auto"/>
        <w:jc w:val="center"/>
        <w:rPr>
          <w:rFonts w:cs="Times New Roman"/>
          <w:szCs w:val="24"/>
          <w:lang w:val="en-US"/>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Mean dependent var</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262,7246</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S.D. dependent var</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67,35388</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Sum squared resid</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38308,49</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S.E. of regression</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36,34532</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R-squared</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0,744109</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Adjusted R-squared</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0,708813</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F(4, 29)</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21,08233</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P-value(F)</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3,08e-08</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Log-likelihood</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-167,7040</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Akaike criterion</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345,4081</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Schwarz criterion</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353,0399</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Hannan-Quinn</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348,0107</w:t>
            </w:r>
          </w:p>
        </w:tc>
      </w:tr>
    </w:tbl>
    <w:p w:rsidR="00AC71D2" w:rsidRDefault="00AC71D2" w:rsidP="00AC71D2">
      <w:pPr>
        <w:jc w:val="center"/>
        <w:rPr>
          <w:b/>
          <w:lang w:val="en-US"/>
        </w:rPr>
      </w:pPr>
    </w:p>
    <w:p w:rsidR="00AC71D2" w:rsidRDefault="00AC71D2" w:rsidP="00AC71D2">
      <w:pPr>
        <w:spacing w:after="200" w:line="276" w:lineRule="auto"/>
        <w:rPr>
          <w:b/>
          <w:lang w:val="en-US"/>
        </w:rPr>
      </w:pPr>
      <w:r>
        <w:rPr>
          <w:b/>
          <w:lang w:val="en-US"/>
        </w:rPr>
        <w:br w:type="page"/>
      </w:r>
    </w:p>
    <w:p w:rsidR="004F713A" w:rsidRDefault="004F713A" w:rsidP="00AC71D2">
      <w:pPr>
        <w:jc w:val="right"/>
        <w:rPr>
          <w:b/>
        </w:rPr>
      </w:pPr>
    </w:p>
    <w:p w:rsidR="00AC71D2" w:rsidRPr="00CC1F0D" w:rsidRDefault="00AC71D2" w:rsidP="00AC71D2">
      <w:pPr>
        <w:jc w:val="right"/>
        <w:rPr>
          <w:b/>
        </w:rPr>
      </w:pPr>
      <w:r w:rsidRPr="00CC1F0D">
        <w:rPr>
          <w:b/>
        </w:rPr>
        <w:t>3 PRIEDAS. GALUTINIS REGRESINĖS ANALIZĖS MODELIS</w:t>
      </w:r>
    </w:p>
    <w:p w:rsidR="00AC71D2" w:rsidRDefault="00AC71D2" w:rsidP="00AC71D2">
      <w:pPr>
        <w:jc w:val="center"/>
        <w:rPr>
          <w:b/>
          <w:lang w:val="en-US"/>
        </w:rPr>
      </w:pPr>
    </w:p>
    <w:p w:rsidR="00AC71D2" w:rsidRPr="00EA19A0" w:rsidRDefault="00AC71D2" w:rsidP="00AC71D2">
      <w:pPr>
        <w:autoSpaceDE w:val="0"/>
        <w:autoSpaceDN w:val="0"/>
        <w:adjustRightInd w:val="0"/>
        <w:spacing w:line="240" w:lineRule="auto"/>
        <w:jc w:val="center"/>
        <w:rPr>
          <w:rFonts w:cs="Times New Roman"/>
          <w:szCs w:val="24"/>
          <w:lang w:val="en-US"/>
        </w:rPr>
      </w:pPr>
      <w:r w:rsidRPr="00EA19A0">
        <w:rPr>
          <w:rFonts w:cs="Times New Roman"/>
          <w:szCs w:val="24"/>
          <w:lang w:val="en-US"/>
        </w:rPr>
        <w:t>Model 2: OLS, using observations 1-34</w:t>
      </w:r>
    </w:p>
    <w:p w:rsidR="00AC71D2" w:rsidRPr="00EA19A0" w:rsidRDefault="00AC71D2" w:rsidP="00AC71D2">
      <w:pPr>
        <w:autoSpaceDE w:val="0"/>
        <w:autoSpaceDN w:val="0"/>
        <w:adjustRightInd w:val="0"/>
        <w:spacing w:line="240" w:lineRule="auto"/>
        <w:jc w:val="center"/>
        <w:rPr>
          <w:rFonts w:cs="Times New Roman"/>
          <w:szCs w:val="24"/>
          <w:lang w:val="en-US"/>
        </w:rPr>
      </w:pPr>
      <w:r w:rsidRPr="00EA19A0">
        <w:rPr>
          <w:rFonts w:cs="Times New Roman"/>
          <w:szCs w:val="24"/>
          <w:lang w:val="en-US"/>
        </w:rPr>
        <w:t>Dependent variable: Y</w:t>
      </w:r>
    </w:p>
    <w:p w:rsidR="00AC71D2" w:rsidRPr="00EA19A0" w:rsidRDefault="00AC71D2" w:rsidP="00AC71D2">
      <w:pPr>
        <w:autoSpaceDE w:val="0"/>
        <w:autoSpaceDN w:val="0"/>
        <w:adjustRightInd w:val="0"/>
        <w:spacing w:line="240" w:lineRule="auto"/>
        <w:jc w:val="center"/>
        <w:rPr>
          <w:rFonts w:cs="Times New Roman"/>
          <w:szCs w:val="24"/>
          <w:lang w:val="en-US"/>
        </w:rPr>
      </w:pPr>
    </w:p>
    <w:tbl>
      <w:tblPr>
        <w:tblW w:w="0" w:type="auto"/>
        <w:jc w:val="center"/>
        <w:tblLayout w:type="fixed"/>
        <w:tblCellMar>
          <w:left w:w="30" w:type="dxa"/>
          <w:right w:w="30" w:type="dxa"/>
        </w:tblCellMar>
        <w:tblLook w:val="0000"/>
      </w:tblPr>
      <w:tblGrid>
        <w:gridCol w:w="1930"/>
        <w:gridCol w:w="1400"/>
        <w:gridCol w:w="1400"/>
        <w:gridCol w:w="1400"/>
        <w:gridCol w:w="1400"/>
        <w:gridCol w:w="500"/>
      </w:tblGrid>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 xml:space="preserve"> </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Coefficient</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Std. Error</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t-ratio</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i/>
                <w:iCs/>
                <w:szCs w:val="24"/>
                <w:lang w:val="en-US"/>
              </w:rPr>
              <w:t>p-value</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p>
        </w:tc>
      </w:tr>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X1</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0,00762067</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0,00130786</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5,8268</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&lt;0,00001</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w:t>
            </w:r>
          </w:p>
        </w:tc>
      </w:tr>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X3</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6,6323</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2,21603</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2,9929</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0,00539</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w:t>
            </w:r>
          </w:p>
        </w:tc>
      </w:tr>
      <w:tr w:rsidR="00AC71D2" w:rsidRPr="00EA19A0" w:rsidTr="0096684A">
        <w:trPr>
          <w:trHeight w:val="262"/>
          <w:jc w:val="center"/>
        </w:trPr>
        <w:tc>
          <w:tcPr>
            <w:tcW w:w="19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X5</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0,00133474</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0,000624134</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2,1385</w:t>
            </w:r>
          </w:p>
        </w:tc>
        <w:tc>
          <w:tcPr>
            <w:tcW w:w="1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r w:rsidRPr="00EA19A0">
              <w:rPr>
                <w:rFonts w:cs="Times New Roman"/>
                <w:szCs w:val="24"/>
                <w:lang w:val="en-US"/>
              </w:rPr>
              <w:t>0,04046</w:t>
            </w:r>
          </w:p>
        </w:tc>
        <w:tc>
          <w:tcPr>
            <w:tcW w:w="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w:t>
            </w:r>
          </w:p>
        </w:tc>
      </w:tr>
    </w:tbl>
    <w:p w:rsidR="00AC71D2" w:rsidRPr="00EA19A0" w:rsidRDefault="00AC71D2" w:rsidP="00AC71D2">
      <w:pPr>
        <w:autoSpaceDE w:val="0"/>
        <w:autoSpaceDN w:val="0"/>
        <w:adjustRightInd w:val="0"/>
        <w:spacing w:line="240" w:lineRule="auto"/>
        <w:jc w:val="center"/>
        <w:rPr>
          <w:rFonts w:cs="Times New Roman"/>
          <w:szCs w:val="24"/>
          <w:lang w:val="en-US"/>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Mean dependent var</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262,7246</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S.D. dependent var</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67,35388</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Sum squared resid</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38468,36</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S.E. of regression</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35,22662</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R-squared</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0,984591</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Adjusted R-squared</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0,983597</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F(3, 31)</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660,2820</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P-value(F)</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3,67e-28</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Log-likelihood</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-167,7748</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Akaike criterion</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341,5497</w:t>
            </w:r>
          </w:p>
        </w:tc>
      </w:tr>
      <w:tr w:rsidR="00AC71D2" w:rsidRPr="00EA19A0" w:rsidTr="0096684A">
        <w:trPr>
          <w:trHeight w:val="262"/>
          <w:jc w:val="center"/>
        </w:trPr>
        <w:tc>
          <w:tcPr>
            <w:tcW w:w="253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Schwarz criterion</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346,1288</w:t>
            </w:r>
          </w:p>
        </w:tc>
        <w:tc>
          <w:tcPr>
            <w:tcW w:w="400" w:type="dxa"/>
            <w:tcBorders>
              <w:top w:val="nil"/>
              <w:left w:val="nil"/>
              <w:bottom w:val="nil"/>
              <w:right w:val="nil"/>
            </w:tcBorders>
          </w:tcPr>
          <w:p w:rsidR="00AC71D2" w:rsidRPr="00EA19A0" w:rsidRDefault="00AC71D2" w:rsidP="0096684A">
            <w:pPr>
              <w:autoSpaceDE w:val="0"/>
              <w:autoSpaceDN w:val="0"/>
              <w:adjustRightInd w:val="0"/>
              <w:spacing w:line="240" w:lineRule="auto"/>
              <w:jc w:val="center"/>
              <w:rPr>
                <w:rFonts w:cs="Times New Roman"/>
                <w:szCs w:val="24"/>
                <w:lang w:val="en-US"/>
              </w:rPr>
            </w:pPr>
          </w:p>
        </w:tc>
        <w:tc>
          <w:tcPr>
            <w:tcW w:w="2500" w:type="dxa"/>
            <w:tcBorders>
              <w:top w:val="nil"/>
              <w:left w:val="nil"/>
              <w:bottom w:val="nil"/>
              <w:right w:val="nil"/>
            </w:tcBorders>
          </w:tcPr>
          <w:p w:rsidR="00AC71D2" w:rsidRPr="00EA19A0" w:rsidRDefault="00AC71D2" w:rsidP="0096684A">
            <w:pPr>
              <w:autoSpaceDE w:val="0"/>
              <w:autoSpaceDN w:val="0"/>
              <w:adjustRightInd w:val="0"/>
              <w:spacing w:line="240" w:lineRule="auto"/>
              <w:rPr>
                <w:rFonts w:cs="Times New Roman"/>
                <w:szCs w:val="24"/>
                <w:lang w:val="en-US"/>
              </w:rPr>
            </w:pPr>
            <w:r w:rsidRPr="00EA19A0">
              <w:rPr>
                <w:rFonts w:cs="Times New Roman"/>
                <w:szCs w:val="24"/>
                <w:lang w:val="en-US"/>
              </w:rPr>
              <w:t>Hannan-Quinn</w:t>
            </w:r>
          </w:p>
        </w:tc>
        <w:tc>
          <w:tcPr>
            <w:tcW w:w="1300" w:type="dxa"/>
            <w:tcBorders>
              <w:top w:val="nil"/>
              <w:left w:val="nil"/>
              <w:bottom w:val="nil"/>
              <w:right w:val="nil"/>
            </w:tcBorders>
          </w:tcPr>
          <w:p w:rsidR="00AC71D2" w:rsidRPr="00EA19A0" w:rsidRDefault="00AC71D2" w:rsidP="0096684A">
            <w:pPr>
              <w:autoSpaceDE w:val="0"/>
              <w:autoSpaceDN w:val="0"/>
              <w:adjustRightInd w:val="0"/>
              <w:spacing w:line="240" w:lineRule="auto"/>
              <w:jc w:val="right"/>
              <w:rPr>
                <w:rFonts w:cs="Times New Roman"/>
                <w:szCs w:val="24"/>
                <w:lang w:val="en-US"/>
              </w:rPr>
            </w:pPr>
            <w:r w:rsidRPr="00EA19A0">
              <w:rPr>
                <w:rFonts w:cs="Times New Roman"/>
                <w:szCs w:val="24"/>
                <w:lang w:val="en-US"/>
              </w:rPr>
              <w:t xml:space="preserve"> 343,1113</w:t>
            </w:r>
          </w:p>
        </w:tc>
      </w:tr>
    </w:tbl>
    <w:p w:rsidR="00AC71D2" w:rsidRPr="00EA19A0" w:rsidRDefault="00AC71D2" w:rsidP="00AC71D2">
      <w:pPr>
        <w:autoSpaceDE w:val="0"/>
        <w:autoSpaceDN w:val="0"/>
        <w:adjustRightInd w:val="0"/>
        <w:spacing w:line="240" w:lineRule="auto"/>
        <w:jc w:val="center"/>
        <w:rPr>
          <w:rFonts w:cs="Times New Roman"/>
          <w:szCs w:val="24"/>
          <w:lang w:val="en-US"/>
        </w:rPr>
      </w:pPr>
    </w:p>
    <w:p w:rsidR="00AC71D2" w:rsidRPr="00EA19A0" w:rsidRDefault="00AC71D2" w:rsidP="00AC71D2">
      <w:pPr>
        <w:autoSpaceDE w:val="0"/>
        <w:autoSpaceDN w:val="0"/>
        <w:adjustRightInd w:val="0"/>
        <w:spacing w:line="240" w:lineRule="auto"/>
        <w:rPr>
          <w:rFonts w:cs="Times New Roman"/>
          <w:szCs w:val="24"/>
          <w:lang w:val="en-US"/>
        </w:rPr>
      </w:pPr>
      <w:r w:rsidRPr="00EA19A0">
        <w:rPr>
          <w:rFonts w:cs="Times New Roman"/>
          <w:szCs w:val="24"/>
          <w:lang w:val="en-US"/>
        </w:rPr>
        <w:t>Breusch-Pagan test for heteroskedasticity -</w:t>
      </w:r>
    </w:p>
    <w:p w:rsidR="00AC71D2" w:rsidRPr="00EA19A0" w:rsidRDefault="00AC71D2" w:rsidP="00AC71D2">
      <w:pPr>
        <w:autoSpaceDE w:val="0"/>
        <w:autoSpaceDN w:val="0"/>
        <w:adjustRightInd w:val="0"/>
        <w:spacing w:line="240" w:lineRule="auto"/>
        <w:rPr>
          <w:rFonts w:cs="Times New Roman"/>
          <w:szCs w:val="24"/>
          <w:lang w:val="en-US"/>
        </w:rPr>
      </w:pPr>
      <w:r w:rsidRPr="00EA19A0">
        <w:rPr>
          <w:rFonts w:cs="Times New Roman"/>
          <w:szCs w:val="24"/>
          <w:lang w:val="en-US"/>
        </w:rPr>
        <w:t xml:space="preserve"> Null hypothesis: heteroskedasticity not present</w:t>
      </w:r>
    </w:p>
    <w:p w:rsidR="00AC71D2" w:rsidRPr="00EA19A0" w:rsidRDefault="00AC71D2" w:rsidP="00AC71D2">
      <w:pPr>
        <w:autoSpaceDE w:val="0"/>
        <w:autoSpaceDN w:val="0"/>
        <w:adjustRightInd w:val="0"/>
        <w:spacing w:line="240" w:lineRule="auto"/>
        <w:rPr>
          <w:rFonts w:cs="Times New Roman"/>
          <w:szCs w:val="24"/>
          <w:lang w:val="en-US"/>
        </w:rPr>
      </w:pPr>
      <w:r w:rsidRPr="00EA19A0">
        <w:rPr>
          <w:rFonts w:cs="Times New Roman"/>
          <w:szCs w:val="24"/>
          <w:lang w:val="en-US"/>
        </w:rPr>
        <w:t xml:space="preserve"> Test statistic: LM = 2,51189</w:t>
      </w:r>
    </w:p>
    <w:p w:rsidR="00AC71D2" w:rsidRPr="00EA19A0" w:rsidRDefault="00AC71D2" w:rsidP="00AC71D2">
      <w:pPr>
        <w:autoSpaceDE w:val="0"/>
        <w:autoSpaceDN w:val="0"/>
        <w:adjustRightInd w:val="0"/>
        <w:spacing w:line="240" w:lineRule="auto"/>
        <w:rPr>
          <w:rFonts w:cs="Times New Roman"/>
          <w:szCs w:val="24"/>
          <w:lang w:val="en-US"/>
        </w:rPr>
      </w:pPr>
      <w:r w:rsidRPr="00EA19A0">
        <w:rPr>
          <w:rFonts w:cs="Times New Roman"/>
          <w:szCs w:val="24"/>
          <w:lang w:val="en-US"/>
        </w:rPr>
        <w:t xml:space="preserve"> with p-value = P(Chi-square(2) &gt; 2,51189) = 0,284807</w:t>
      </w:r>
    </w:p>
    <w:p w:rsidR="00AC71D2" w:rsidRPr="00EA19A0" w:rsidRDefault="00AC71D2" w:rsidP="00AC71D2">
      <w:pPr>
        <w:autoSpaceDE w:val="0"/>
        <w:autoSpaceDN w:val="0"/>
        <w:adjustRightInd w:val="0"/>
        <w:spacing w:line="240" w:lineRule="auto"/>
        <w:rPr>
          <w:rFonts w:cs="Times New Roman"/>
          <w:szCs w:val="24"/>
          <w:lang w:val="en-US"/>
        </w:rPr>
      </w:pPr>
    </w:p>
    <w:p w:rsidR="00AC71D2" w:rsidRPr="00EA19A0" w:rsidRDefault="00AC71D2" w:rsidP="00AC71D2">
      <w:pPr>
        <w:autoSpaceDE w:val="0"/>
        <w:autoSpaceDN w:val="0"/>
        <w:adjustRightInd w:val="0"/>
        <w:spacing w:line="240" w:lineRule="auto"/>
        <w:rPr>
          <w:rFonts w:cs="Times New Roman"/>
          <w:szCs w:val="24"/>
          <w:lang w:val="en-US"/>
        </w:rPr>
      </w:pPr>
      <w:r w:rsidRPr="00EA19A0">
        <w:rPr>
          <w:rFonts w:cs="Times New Roman"/>
          <w:szCs w:val="24"/>
          <w:lang w:val="en-US"/>
        </w:rPr>
        <w:t>Test for normality of residual -</w:t>
      </w:r>
    </w:p>
    <w:p w:rsidR="00AC71D2" w:rsidRPr="00EA19A0" w:rsidRDefault="00AC71D2" w:rsidP="00AC71D2">
      <w:pPr>
        <w:autoSpaceDE w:val="0"/>
        <w:autoSpaceDN w:val="0"/>
        <w:adjustRightInd w:val="0"/>
        <w:spacing w:line="240" w:lineRule="auto"/>
        <w:rPr>
          <w:rFonts w:cs="Times New Roman"/>
          <w:szCs w:val="24"/>
          <w:lang w:val="en-US"/>
        </w:rPr>
      </w:pPr>
      <w:r w:rsidRPr="00EA19A0">
        <w:rPr>
          <w:rFonts w:cs="Times New Roman"/>
          <w:szCs w:val="24"/>
          <w:lang w:val="en-US"/>
        </w:rPr>
        <w:t xml:space="preserve"> Null hypothesis: error is normally distributed</w:t>
      </w:r>
    </w:p>
    <w:p w:rsidR="00AC71D2" w:rsidRPr="00EA19A0" w:rsidRDefault="00AC71D2" w:rsidP="00AC71D2">
      <w:pPr>
        <w:autoSpaceDE w:val="0"/>
        <w:autoSpaceDN w:val="0"/>
        <w:adjustRightInd w:val="0"/>
        <w:spacing w:line="240" w:lineRule="auto"/>
        <w:rPr>
          <w:rFonts w:cs="Times New Roman"/>
          <w:szCs w:val="24"/>
          <w:lang w:val="en-US"/>
        </w:rPr>
      </w:pPr>
      <w:r w:rsidRPr="00EA19A0">
        <w:rPr>
          <w:rFonts w:cs="Times New Roman"/>
          <w:szCs w:val="24"/>
          <w:lang w:val="en-US"/>
        </w:rPr>
        <w:t xml:space="preserve"> Test statistic: Chi-square(2) = 0,576272</w:t>
      </w:r>
    </w:p>
    <w:p w:rsidR="00AC71D2" w:rsidRPr="00EA19A0" w:rsidRDefault="00AC71D2" w:rsidP="00AC71D2">
      <w:pPr>
        <w:autoSpaceDE w:val="0"/>
        <w:autoSpaceDN w:val="0"/>
        <w:adjustRightInd w:val="0"/>
        <w:spacing w:line="240" w:lineRule="auto"/>
        <w:rPr>
          <w:rFonts w:cs="Times New Roman"/>
          <w:szCs w:val="24"/>
          <w:lang w:val="en-US"/>
        </w:rPr>
      </w:pPr>
      <w:r w:rsidRPr="00EA19A0">
        <w:rPr>
          <w:rFonts w:cs="Times New Roman"/>
          <w:szCs w:val="24"/>
          <w:lang w:val="en-US"/>
        </w:rPr>
        <w:t xml:space="preserve"> with p-value = 0,749659</w:t>
      </w:r>
    </w:p>
    <w:p w:rsidR="00AC71D2" w:rsidRPr="00935261" w:rsidRDefault="00AC71D2" w:rsidP="00F32D4B">
      <w:pPr>
        <w:jc w:val="both"/>
        <w:rPr>
          <w:rFonts w:cs="Times New Roman"/>
        </w:rPr>
      </w:pPr>
    </w:p>
    <w:sectPr w:rsidR="00AC71D2" w:rsidRPr="00935261" w:rsidSect="00CA5424">
      <w:headerReference w:type="default" r:id="rId109"/>
      <w:pgSz w:w="11906" w:h="16838"/>
      <w:pgMar w:top="1134" w:right="567" w:bottom="1134" w:left="1418" w:header="567" w:footer="567" w:gutter="0"/>
      <w:pgNumType w:start="1"/>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8B8" w:rsidRDefault="009068B8" w:rsidP="00741FCE">
      <w:pPr>
        <w:spacing w:line="240" w:lineRule="auto"/>
      </w:pPr>
      <w:r>
        <w:separator/>
      </w:r>
    </w:p>
  </w:endnote>
  <w:endnote w:type="continuationSeparator" w:id="1">
    <w:p w:rsidR="009068B8" w:rsidRDefault="009068B8" w:rsidP="00741F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mbria Math">
    <w:panose1 w:val="02040503050406030204"/>
    <w:charset w:val="BA"/>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8B8" w:rsidRDefault="009068B8" w:rsidP="00741FCE">
      <w:pPr>
        <w:spacing w:line="240" w:lineRule="auto"/>
      </w:pPr>
      <w:r>
        <w:separator/>
      </w:r>
    </w:p>
  </w:footnote>
  <w:footnote w:type="continuationSeparator" w:id="1">
    <w:p w:rsidR="009068B8" w:rsidRDefault="009068B8" w:rsidP="00741FCE">
      <w:pPr>
        <w:spacing w:line="240" w:lineRule="auto"/>
      </w:pPr>
      <w:r>
        <w:continuationSeparator/>
      </w:r>
    </w:p>
  </w:footnote>
  <w:footnote w:id="2">
    <w:p w:rsidR="00A70C4B" w:rsidRPr="00C3337D" w:rsidRDefault="00A70C4B" w:rsidP="004F0933">
      <w:pPr>
        <w:pStyle w:val="FootnoteText"/>
      </w:pPr>
      <w:r w:rsidRPr="00C3337D">
        <w:rPr>
          <w:rStyle w:val="FootnoteReference"/>
        </w:rPr>
        <w:footnoteRef/>
      </w:r>
      <w:r w:rsidRPr="00C3337D">
        <w:t xml:space="preserve"> 2012 m. pateikti spalio mėn</w:t>
      </w:r>
      <w:r>
        <w:t>.</w:t>
      </w:r>
      <w:r w:rsidRPr="00C3337D">
        <w:t xml:space="preserve"> faktiniai duomenys.</w:t>
      </w:r>
    </w:p>
  </w:footnote>
  <w:footnote w:id="3">
    <w:p w:rsidR="00A70C4B" w:rsidRPr="001F2A71" w:rsidRDefault="00A70C4B" w:rsidP="00C606AC">
      <w:pPr>
        <w:pStyle w:val="FootnoteText"/>
      </w:pPr>
      <w:r w:rsidRPr="001F2A71">
        <w:rPr>
          <w:rStyle w:val="FootnoteReference"/>
        </w:rPr>
        <w:footnoteRef/>
      </w:r>
      <w:r w:rsidRPr="001F2A71">
        <w:t xml:space="preserve"> 2012 m. I pusmečio duomenys</w:t>
      </w:r>
    </w:p>
  </w:footnote>
  <w:footnote w:id="4">
    <w:p w:rsidR="00A70C4B" w:rsidRPr="006D3AB3" w:rsidRDefault="00A70C4B">
      <w:pPr>
        <w:pStyle w:val="FootnoteText"/>
      </w:pPr>
      <w:r>
        <w:rPr>
          <w:rStyle w:val="FootnoteReference"/>
        </w:rPr>
        <w:footnoteRef/>
      </w:r>
      <w:r>
        <w:t xml:space="preserve"> JAV, Japonija, Didžioji Britanija, Prancūzija, Vokietija, Italija bei </w:t>
      </w:r>
      <w:r w:rsidRPr="006A7D6D">
        <w:rPr>
          <w:lang w:val="en-US"/>
        </w:rPr>
        <w:t>Hong</w:t>
      </w:r>
      <w:r>
        <w:t xml:space="preserve"> Kongas (</w:t>
      </w:r>
      <w:r w:rsidRPr="006A7D6D">
        <w:rPr>
          <w:lang w:val="en-US"/>
        </w:rPr>
        <w:t>Swiss Re, 2012</w:t>
      </w:r>
      <w:r>
        <w:rPr>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96222"/>
      <w:docPartObj>
        <w:docPartGallery w:val="Page Numbers (Top of Page)"/>
        <w:docPartUnique/>
      </w:docPartObj>
    </w:sdtPr>
    <w:sdtContent>
      <w:p w:rsidR="00A70C4B" w:rsidRDefault="00CB6286">
        <w:pPr>
          <w:pStyle w:val="Header"/>
          <w:jc w:val="center"/>
        </w:pPr>
        <w:fldSimple w:instr=" PAGE   \* MERGEFORMAT ">
          <w:r w:rsidR="00574AB8">
            <w:rPr>
              <w:noProof/>
            </w:rPr>
            <w:t>61</w:t>
          </w:r>
        </w:fldSimple>
      </w:p>
    </w:sdtContent>
  </w:sdt>
  <w:p w:rsidR="00A70C4B" w:rsidRDefault="00A70C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EDF"/>
    <w:multiLevelType w:val="multilevel"/>
    <w:tmpl w:val="48D0DE2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2D376E3"/>
    <w:multiLevelType w:val="hybridMultilevel"/>
    <w:tmpl w:val="6B0654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09E42183"/>
    <w:multiLevelType w:val="hybridMultilevel"/>
    <w:tmpl w:val="C01A429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nsid w:val="09E95D82"/>
    <w:multiLevelType w:val="multilevel"/>
    <w:tmpl w:val="1FBA79DA"/>
    <w:lvl w:ilvl="0">
      <w:start w:val="1"/>
      <w:numFmt w:val="decimal"/>
      <w:lvlText w:val="%1."/>
      <w:lvlJc w:val="left"/>
      <w:pPr>
        <w:ind w:left="360" w:hanging="360"/>
      </w:pPr>
      <w:rPr>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F80E5A"/>
    <w:multiLevelType w:val="hybridMultilevel"/>
    <w:tmpl w:val="023AAB56"/>
    <w:lvl w:ilvl="0" w:tplc="7C7065C8">
      <w:start w:val="1"/>
      <w:numFmt w:val="decimal"/>
      <w:lvlText w:val="%1."/>
      <w:lvlJc w:val="left"/>
      <w:pPr>
        <w:ind w:left="1287"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0E9A4D57"/>
    <w:multiLevelType w:val="hybridMultilevel"/>
    <w:tmpl w:val="A26E04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103B558E"/>
    <w:multiLevelType w:val="hybridMultilevel"/>
    <w:tmpl w:val="797AC09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nsid w:val="12BA2F4C"/>
    <w:multiLevelType w:val="multilevel"/>
    <w:tmpl w:val="48D0DE2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12C25C94"/>
    <w:multiLevelType w:val="hybridMultilevel"/>
    <w:tmpl w:val="BCE67A1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160C7516"/>
    <w:multiLevelType w:val="hybridMultilevel"/>
    <w:tmpl w:val="3A0A22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16BE1C27"/>
    <w:multiLevelType w:val="hybridMultilevel"/>
    <w:tmpl w:val="762A9C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996500F"/>
    <w:multiLevelType w:val="hybridMultilevel"/>
    <w:tmpl w:val="3CA8516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nsid w:val="1B2F18CB"/>
    <w:multiLevelType w:val="hybridMultilevel"/>
    <w:tmpl w:val="D8FCB4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nsid w:val="1BAC5898"/>
    <w:multiLevelType w:val="multilevel"/>
    <w:tmpl w:val="48D0DE2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1BE9702B"/>
    <w:multiLevelType w:val="hybridMultilevel"/>
    <w:tmpl w:val="F07A188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nsid w:val="1CCC0262"/>
    <w:multiLevelType w:val="hybridMultilevel"/>
    <w:tmpl w:val="53FEC3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1E31759B"/>
    <w:multiLevelType w:val="hybridMultilevel"/>
    <w:tmpl w:val="023AAB56"/>
    <w:lvl w:ilvl="0" w:tplc="7C7065C8">
      <w:start w:val="1"/>
      <w:numFmt w:val="decimal"/>
      <w:lvlText w:val="%1."/>
      <w:lvlJc w:val="left"/>
      <w:pPr>
        <w:ind w:left="1287"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22CA5AEC"/>
    <w:multiLevelType w:val="multilevel"/>
    <w:tmpl w:val="48D0DE2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25B72630"/>
    <w:multiLevelType w:val="hybridMultilevel"/>
    <w:tmpl w:val="EC306EDA"/>
    <w:lvl w:ilvl="0" w:tplc="3032703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6AE0A74"/>
    <w:multiLevelType w:val="hybridMultilevel"/>
    <w:tmpl w:val="55F8877C"/>
    <w:lvl w:ilvl="0" w:tplc="04270001">
      <w:start w:val="1"/>
      <w:numFmt w:val="bullet"/>
      <w:lvlText w:val=""/>
      <w:lvlJc w:val="left"/>
      <w:pPr>
        <w:ind w:left="1356" w:hanging="360"/>
      </w:pPr>
      <w:rPr>
        <w:rFonts w:ascii="Symbol" w:hAnsi="Symbol" w:hint="default"/>
      </w:rPr>
    </w:lvl>
    <w:lvl w:ilvl="1" w:tplc="04270003">
      <w:start w:val="1"/>
      <w:numFmt w:val="bullet"/>
      <w:lvlText w:val="o"/>
      <w:lvlJc w:val="left"/>
      <w:pPr>
        <w:ind w:left="2076" w:hanging="360"/>
      </w:pPr>
      <w:rPr>
        <w:rFonts w:ascii="Courier New" w:hAnsi="Courier New" w:cs="Courier New" w:hint="default"/>
      </w:rPr>
    </w:lvl>
    <w:lvl w:ilvl="2" w:tplc="04270005" w:tentative="1">
      <w:start w:val="1"/>
      <w:numFmt w:val="bullet"/>
      <w:lvlText w:val=""/>
      <w:lvlJc w:val="left"/>
      <w:pPr>
        <w:ind w:left="2796" w:hanging="360"/>
      </w:pPr>
      <w:rPr>
        <w:rFonts w:ascii="Wingdings" w:hAnsi="Wingdings" w:hint="default"/>
      </w:rPr>
    </w:lvl>
    <w:lvl w:ilvl="3" w:tplc="04270001" w:tentative="1">
      <w:start w:val="1"/>
      <w:numFmt w:val="bullet"/>
      <w:lvlText w:val=""/>
      <w:lvlJc w:val="left"/>
      <w:pPr>
        <w:ind w:left="3516" w:hanging="360"/>
      </w:pPr>
      <w:rPr>
        <w:rFonts w:ascii="Symbol" w:hAnsi="Symbol" w:hint="default"/>
      </w:rPr>
    </w:lvl>
    <w:lvl w:ilvl="4" w:tplc="04270003" w:tentative="1">
      <w:start w:val="1"/>
      <w:numFmt w:val="bullet"/>
      <w:lvlText w:val="o"/>
      <w:lvlJc w:val="left"/>
      <w:pPr>
        <w:ind w:left="4236" w:hanging="360"/>
      </w:pPr>
      <w:rPr>
        <w:rFonts w:ascii="Courier New" w:hAnsi="Courier New" w:cs="Courier New" w:hint="default"/>
      </w:rPr>
    </w:lvl>
    <w:lvl w:ilvl="5" w:tplc="04270005" w:tentative="1">
      <w:start w:val="1"/>
      <w:numFmt w:val="bullet"/>
      <w:lvlText w:val=""/>
      <w:lvlJc w:val="left"/>
      <w:pPr>
        <w:ind w:left="4956" w:hanging="360"/>
      </w:pPr>
      <w:rPr>
        <w:rFonts w:ascii="Wingdings" w:hAnsi="Wingdings" w:hint="default"/>
      </w:rPr>
    </w:lvl>
    <w:lvl w:ilvl="6" w:tplc="04270001" w:tentative="1">
      <w:start w:val="1"/>
      <w:numFmt w:val="bullet"/>
      <w:lvlText w:val=""/>
      <w:lvlJc w:val="left"/>
      <w:pPr>
        <w:ind w:left="5676" w:hanging="360"/>
      </w:pPr>
      <w:rPr>
        <w:rFonts w:ascii="Symbol" w:hAnsi="Symbol" w:hint="default"/>
      </w:rPr>
    </w:lvl>
    <w:lvl w:ilvl="7" w:tplc="04270003" w:tentative="1">
      <w:start w:val="1"/>
      <w:numFmt w:val="bullet"/>
      <w:lvlText w:val="o"/>
      <w:lvlJc w:val="left"/>
      <w:pPr>
        <w:ind w:left="6396" w:hanging="360"/>
      </w:pPr>
      <w:rPr>
        <w:rFonts w:ascii="Courier New" w:hAnsi="Courier New" w:cs="Courier New" w:hint="default"/>
      </w:rPr>
    </w:lvl>
    <w:lvl w:ilvl="8" w:tplc="04270005" w:tentative="1">
      <w:start w:val="1"/>
      <w:numFmt w:val="bullet"/>
      <w:lvlText w:val=""/>
      <w:lvlJc w:val="left"/>
      <w:pPr>
        <w:ind w:left="7116" w:hanging="360"/>
      </w:pPr>
      <w:rPr>
        <w:rFonts w:ascii="Wingdings" w:hAnsi="Wingdings" w:hint="default"/>
      </w:rPr>
    </w:lvl>
  </w:abstractNum>
  <w:abstractNum w:abstractNumId="20">
    <w:nsid w:val="27854497"/>
    <w:multiLevelType w:val="hybridMultilevel"/>
    <w:tmpl w:val="794E482E"/>
    <w:lvl w:ilvl="0" w:tplc="A95A685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288772AF"/>
    <w:multiLevelType w:val="hybridMultilevel"/>
    <w:tmpl w:val="0C021C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nsid w:val="28CD02D6"/>
    <w:multiLevelType w:val="hybridMultilevel"/>
    <w:tmpl w:val="5B60FA5E"/>
    <w:lvl w:ilvl="0" w:tplc="89C846B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2ADF625E"/>
    <w:multiLevelType w:val="hybridMultilevel"/>
    <w:tmpl w:val="B136E696"/>
    <w:lvl w:ilvl="0" w:tplc="C8423EC6">
      <w:start w:val="1"/>
      <w:numFmt w:val="decimal"/>
      <w:lvlText w:val="%1."/>
      <w:lvlJc w:val="left"/>
      <w:pPr>
        <w:ind w:left="1287" w:hanging="360"/>
      </w:pPr>
      <w:rPr>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nsid w:val="360C370B"/>
    <w:multiLevelType w:val="hybridMultilevel"/>
    <w:tmpl w:val="A17CBF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nsid w:val="3C013ACD"/>
    <w:multiLevelType w:val="hybridMultilevel"/>
    <w:tmpl w:val="31BEB2D2"/>
    <w:lvl w:ilvl="0" w:tplc="04270001">
      <w:start w:val="1"/>
      <w:numFmt w:val="bullet"/>
      <w:lvlText w:val=""/>
      <w:lvlJc w:val="left"/>
      <w:pPr>
        <w:ind w:left="1356" w:hanging="360"/>
      </w:pPr>
      <w:rPr>
        <w:rFonts w:ascii="Symbol" w:hAnsi="Symbol" w:hint="default"/>
      </w:rPr>
    </w:lvl>
    <w:lvl w:ilvl="1" w:tplc="04270003" w:tentative="1">
      <w:start w:val="1"/>
      <w:numFmt w:val="bullet"/>
      <w:lvlText w:val="o"/>
      <w:lvlJc w:val="left"/>
      <w:pPr>
        <w:ind w:left="2076" w:hanging="360"/>
      </w:pPr>
      <w:rPr>
        <w:rFonts w:ascii="Courier New" w:hAnsi="Courier New" w:cs="Courier New" w:hint="default"/>
      </w:rPr>
    </w:lvl>
    <w:lvl w:ilvl="2" w:tplc="04270005" w:tentative="1">
      <w:start w:val="1"/>
      <w:numFmt w:val="bullet"/>
      <w:lvlText w:val=""/>
      <w:lvlJc w:val="left"/>
      <w:pPr>
        <w:ind w:left="2796" w:hanging="360"/>
      </w:pPr>
      <w:rPr>
        <w:rFonts w:ascii="Wingdings" w:hAnsi="Wingdings" w:hint="default"/>
      </w:rPr>
    </w:lvl>
    <w:lvl w:ilvl="3" w:tplc="04270001" w:tentative="1">
      <w:start w:val="1"/>
      <w:numFmt w:val="bullet"/>
      <w:lvlText w:val=""/>
      <w:lvlJc w:val="left"/>
      <w:pPr>
        <w:ind w:left="3516" w:hanging="360"/>
      </w:pPr>
      <w:rPr>
        <w:rFonts w:ascii="Symbol" w:hAnsi="Symbol" w:hint="default"/>
      </w:rPr>
    </w:lvl>
    <w:lvl w:ilvl="4" w:tplc="04270003" w:tentative="1">
      <w:start w:val="1"/>
      <w:numFmt w:val="bullet"/>
      <w:lvlText w:val="o"/>
      <w:lvlJc w:val="left"/>
      <w:pPr>
        <w:ind w:left="4236" w:hanging="360"/>
      </w:pPr>
      <w:rPr>
        <w:rFonts w:ascii="Courier New" w:hAnsi="Courier New" w:cs="Courier New" w:hint="default"/>
      </w:rPr>
    </w:lvl>
    <w:lvl w:ilvl="5" w:tplc="04270005" w:tentative="1">
      <w:start w:val="1"/>
      <w:numFmt w:val="bullet"/>
      <w:lvlText w:val=""/>
      <w:lvlJc w:val="left"/>
      <w:pPr>
        <w:ind w:left="4956" w:hanging="360"/>
      </w:pPr>
      <w:rPr>
        <w:rFonts w:ascii="Wingdings" w:hAnsi="Wingdings" w:hint="default"/>
      </w:rPr>
    </w:lvl>
    <w:lvl w:ilvl="6" w:tplc="04270001" w:tentative="1">
      <w:start w:val="1"/>
      <w:numFmt w:val="bullet"/>
      <w:lvlText w:val=""/>
      <w:lvlJc w:val="left"/>
      <w:pPr>
        <w:ind w:left="5676" w:hanging="360"/>
      </w:pPr>
      <w:rPr>
        <w:rFonts w:ascii="Symbol" w:hAnsi="Symbol" w:hint="default"/>
      </w:rPr>
    </w:lvl>
    <w:lvl w:ilvl="7" w:tplc="04270003" w:tentative="1">
      <w:start w:val="1"/>
      <w:numFmt w:val="bullet"/>
      <w:lvlText w:val="o"/>
      <w:lvlJc w:val="left"/>
      <w:pPr>
        <w:ind w:left="6396" w:hanging="360"/>
      </w:pPr>
      <w:rPr>
        <w:rFonts w:ascii="Courier New" w:hAnsi="Courier New" w:cs="Courier New" w:hint="default"/>
      </w:rPr>
    </w:lvl>
    <w:lvl w:ilvl="8" w:tplc="04270005" w:tentative="1">
      <w:start w:val="1"/>
      <w:numFmt w:val="bullet"/>
      <w:lvlText w:val=""/>
      <w:lvlJc w:val="left"/>
      <w:pPr>
        <w:ind w:left="7116" w:hanging="360"/>
      </w:pPr>
      <w:rPr>
        <w:rFonts w:ascii="Wingdings" w:hAnsi="Wingdings" w:hint="default"/>
      </w:rPr>
    </w:lvl>
  </w:abstractNum>
  <w:abstractNum w:abstractNumId="26">
    <w:nsid w:val="3C4313CE"/>
    <w:multiLevelType w:val="hybridMultilevel"/>
    <w:tmpl w:val="E5FA49A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nsid w:val="455C1075"/>
    <w:multiLevelType w:val="hybridMultilevel"/>
    <w:tmpl w:val="103C2B2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nsid w:val="485B1EB2"/>
    <w:multiLevelType w:val="hybridMultilevel"/>
    <w:tmpl w:val="A1B043E8"/>
    <w:lvl w:ilvl="0" w:tplc="BFF22DF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E415785"/>
    <w:multiLevelType w:val="hybridMultilevel"/>
    <w:tmpl w:val="58D2C47A"/>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nsid w:val="4F924B1A"/>
    <w:multiLevelType w:val="hybridMultilevel"/>
    <w:tmpl w:val="F1A879E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nsid w:val="51590F18"/>
    <w:multiLevelType w:val="hybridMultilevel"/>
    <w:tmpl w:val="94CCD94E"/>
    <w:lvl w:ilvl="0" w:tplc="07C0C240">
      <w:start w:val="1"/>
      <w:numFmt w:val="decimal"/>
      <w:lvlText w:val="%1."/>
      <w:lvlJc w:val="left"/>
      <w:pPr>
        <w:ind w:left="1287" w:hanging="360"/>
      </w:pPr>
      <w:rPr>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nsid w:val="54FE5F4C"/>
    <w:multiLevelType w:val="hybridMultilevel"/>
    <w:tmpl w:val="797AC09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nsid w:val="583C365E"/>
    <w:multiLevelType w:val="hybridMultilevel"/>
    <w:tmpl w:val="DB7A84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nsid w:val="5B1E5464"/>
    <w:multiLevelType w:val="hybridMultilevel"/>
    <w:tmpl w:val="D096BB4C"/>
    <w:lvl w:ilvl="0" w:tplc="2F5E9F2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1816DA3"/>
    <w:multiLevelType w:val="hybridMultilevel"/>
    <w:tmpl w:val="7DE8B91E"/>
    <w:lvl w:ilvl="0" w:tplc="2E0C05E8">
      <w:start w:val="1"/>
      <w:numFmt w:val="decimal"/>
      <w:lvlText w:val="%1."/>
      <w:lvlJc w:val="left"/>
      <w:pPr>
        <w:ind w:left="1287"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nsid w:val="641E129A"/>
    <w:multiLevelType w:val="multilevel"/>
    <w:tmpl w:val="48D0DE2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nsid w:val="67AA34E8"/>
    <w:multiLevelType w:val="hybridMultilevel"/>
    <w:tmpl w:val="A6DCEA0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nsid w:val="6A545D39"/>
    <w:multiLevelType w:val="hybridMultilevel"/>
    <w:tmpl w:val="180CE34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nsid w:val="6BF8464F"/>
    <w:multiLevelType w:val="hybridMultilevel"/>
    <w:tmpl w:val="2CCCD57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nsid w:val="6EDE1A10"/>
    <w:multiLevelType w:val="hybridMultilevel"/>
    <w:tmpl w:val="797AC09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nsid w:val="6F7D4F60"/>
    <w:multiLevelType w:val="hybridMultilevel"/>
    <w:tmpl w:val="CBA27D06"/>
    <w:lvl w:ilvl="0" w:tplc="04270001">
      <w:start w:val="1"/>
      <w:numFmt w:val="bullet"/>
      <w:lvlText w:val=""/>
      <w:lvlJc w:val="left"/>
      <w:pPr>
        <w:ind w:left="1356" w:hanging="360"/>
      </w:pPr>
      <w:rPr>
        <w:rFonts w:ascii="Symbol" w:hAnsi="Symbol" w:hint="default"/>
      </w:rPr>
    </w:lvl>
    <w:lvl w:ilvl="1" w:tplc="04270003" w:tentative="1">
      <w:start w:val="1"/>
      <w:numFmt w:val="bullet"/>
      <w:lvlText w:val="o"/>
      <w:lvlJc w:val="left"/>
      <w:pPr>
        <w:ind w:left="2076" w:hanging="360"/>
      </w:pPr>
      <w:rPr>
        <w:rFonts w:ascii="Courier New" w:hAnsi="Courier New" w:cs="Courier New" w:hint="default"/>
      </w:rPr>
    </w:lvl>
    <w:lvl w:ilvl="2" w:tplc="04270005" w:tentative="1">
      <w:start w:val="1"/>
      <w:numFmt w:val="bullet"/>
      <w:lvlText w:val=""/>
      <w:lvlJc w:val="left"/>
      <w:pPr>
        <w:ind w:left="2796" w:hanging="360"/>
      </w:pPr>
      <w:rPr>
        <w:rFonts w:ascii="Wingdings" w:hAnsi="Wingdings" w:hint="default"/>
      </w:rPr>
    </w:lvl>
    <w:lvl w:ilvl="3" w:tplc="04270001" w:tentative="1">
      <w:start w:val="1"/>
      <w:numFmt w:val="bullet"/>
      <w:lvlText w:val=""/>
      <w:lvlJc w:val="left"/>
      <w:pPr>
        <w:ind w:left="3516" w:hanging="360"/>
      </w:pPr>
      <w:rPr>
        <w:rFonts w:ascii="Symbol" w:hAnsi="Symbol" w:hint="default"/>
      </w:rPr>
    </w:lvl>
    <w:lvl w:ilvl="4" w:tplc="04270003" w:tentative="1">
      <w:start w:val="1"/>
      <w:numFmt w:val="bullet"/>
      <w:lvlText w:val="o"/>
      <w:lvlJc w:val="left"/>
      <w:pPr>
        <w:ind w:left="4236" w:hanging="360"/>
      </w:pPr>
      <w:rPr>
        <w:rFonts w:ascii="Courier New" w:hAnsi="Courier New" w:cs="Courier New" w:hint="default"/>
      </w:rPr>
    </w:lvl>
    <w:lvl w:ilvl="5" w:tplc="04270005" w:tentative="1">
      <w:start w:val="1"/>
      <w:numFmt w:val="bullet"/>
      <w:lvlText w:val=""/>
      <w:lvlJc w:val="left"/>
      <w:pPr>
        <w:ind w:left="4956" w:hanging="360"/>
      </w:pPr>
      <w:rPr>
        <w:rFonts w:ascii="Wingdings" w:hAnsi="Wingdings" w:hint="default"/>
      </w:rPr>
    </w:lvl>
    <w:lvl w:ilvl="6" w:tplc="04270001" w:tentative="1">
      <w:start w:val="1"/>
      <w:numFmt w:val="bullet"/>
      <w:lvlText w:val=""/>
      <w:lvlJc w:val="left"/>
      <w:pPr>
        <w:ind w:left="5676" w:hanging="360"/>
      </w:pPr>
      <w:rPr>
        <w:rFonts w:ascii="Symbol" w:hAnsi="Symbol" w:hint="default"/>
      </w:rPr>
    </w:lvl>
    <w:lvl w:ilvl="7" w:tplc="04270003" w:tentative="1">
      <w:start w:val="1"/>
      <w:numFmt w:val="bullet"/>
      <w:lvlText w:val="o"/>
      <w:lvlJc w:val="left"/>
      <w:pPr>
        <w:ind w:left="6396" w:hanging="360"/>
      </w:pPr>
      <w:rPr>
        <w:rFonts w:ascii="Courier New" w:hAnsi="Courier New" w:cs="Courier New" w:hint="default"/>
      </w:rPr>
    </w:lvl>
    <w:lvl w:ilvl="8" w:tplc="04270005" w:tentative="1">
      <w:start w:val="1"/>
      <w:numFmt w:val="bullet"/>
      <w:lvlText w:val=""/>
      <w:lvlJc w:val="left"/>
      <w:pPr>
        <w:ind w:left="7116" w:hanging="360"/>
      </w:pPr>
      <w:rPr>
        <w:rFonts w:ascii="Wingdings" w:hAnsi="Wingdings" w:hint="default"/>
      </w:rPr>
    </w:lvl>
  </w:abstractNum>
  <w:abstractNum w:abstractNumId="42">
    <w:nsid w:val="6FCB00E1"/>
    <w:multiLevelType w:val="hybridMultilevel"/>
    <w:tmpl w:val="A6BE4A2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nsid w:val="736F370D"/>
    <w:multiLevelType w:val="hybridMultilevel"/>
    <w:tmpl w:val="FD347B8A"/>
    <w:lvl w:ilvl="0" w:tplc="536E1CD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7CE109DE"/>
    <w:multiLevelType w:val="hybridMultilevel"/>
    <w:tmpl w:val="50A07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32"/>
  </w:num>
  <w:num w:numId="2">
    <w:abstractNumId w:val="35"/>
  </w:num>
  <w:num w:numId="3">
    <w:abstractNumId w:val="3"/>
  </w:num>
  <w:num w:numId="4">
    <w:abstractNumId w:val="31"/>
  </w:num>
  <w:num w:numId="5">
    <w:abstractNumId w:val="23"/>
  </w:num>
  <w:num w:numId="6">
    <w:abstractNumId w:val="7"/>
  </w:num>
  <w:num w:numId="7">
    <w:abstractNumId w:val="27"/>
  </w:num>
  <w:num w:numId="8">
    <w:abstractNumId w:val="39"/>
  </w:num>
  <w:num w:numId="9">
    <w:abstractNumId w:val="16"/>
  </w:num>
  <w:num w:numId="10">
    <w:abstractNumId w:val="29"/>
  </w:num>
  <w:num w:numId="11">
    <w:abstractNumId w:val="4"/>
  </w:num>
  <w:num w:numId="12">
    <w:abstractNumId w:val="9"/>
  </w:num>
  <w:num w:numId="13">
    <w:abstractNumId w:val="30"/>
  </w:num>
  <w:num w:numId="14">
    <w:abstractNumId w:val="10"/>
  </w:num>
  <w:num w:numId="15">
    <w:abstractNumId w:val="8"/>
  </w:num>
  <w:num w:numId="16">
    <w:abstractNumId w:val="15"/>
  </w:num>
  <w:num w:numId="17">
    <w:abstractNumId w:val="33"/>
  </w:num>
  <w:num w:numId="18">
    <w:abstractNumId w:val="12"/>
  </w:num>
  <w:num w:numId="19">
    <w:abstractNumId w:val="14"/>
  </w:num>
  <w:num w:numId="20">
    <w:abstractNumId w:val="41"/>
  </w:num>
  <w:num w:numId="21">
    <w:abstractNumId w:val="42"/>
  </w:num>
  <w:num w:numId="22">
    <w:abstractNumId w:val="2"/>
  </w:num>
  <w:num w:numId="23">
    <w:abstractNumId w:val="21"/>
  </w:num>
  <w:num w:numId="24">
    <w:abstractNumId w:val="36"/>
  </w:num>
  <w:num w:numId="25">
    <w:abstractNumId w:val="17"/>
  </w:num>
  <w:num w:numId="26">
    <w:abstractNumId w:val="19"/>
  </w:num>
  <w:num w:numId="27">
    <w:abstractNumId w:val="26"/>
  </w:num>
  <w:num w:numId="28">
    <w:abstractNumId w:val="20"/>
  </w:num>
  <w:num w:numId="29">
    <w:abstractNumId w:val="43"/>
  </w:num>
  <w:num w:numId="30">
    <w:abstractNumId w:val="34"/>
  </w:num>
  <w:num w:numId="31">
    <w:abstractNumId w:val="28"/>
  </w:num>
  <w:num w:numId="32">
    <w:abstractNumId w:val="18"/>
  </w:num>
  <w:num w:numId="33">
    <w:abstractNumId w:val="22"/>
  </w:num>
  <w:num w:numId="34">
    <w:abstractNumId w:val="1"/>
  </w:num>
  <w:num w:numId="35">
    <w:abstractNumId w:val="37"/>
  </w:num>
  <w:num w:numId="36">
    <w:abstractNumId w:val="38"/>
  </w:num>
  <w:num w:numId="37">
    <w:abstractNumId w:val="25"/>
  </w:num>
  <w:num w:numId="38">
    <w:abstractNumId w:val="13"/>
  </w:num>
  <w:num w:numId="39">
    <w:abstractNumId w:val="0"/>
  </w:num>
  <w:num w:numId="40">
    <w:abstractNumId w:val="44"/>
  </w:num>
  <w:num w:numId="41">
    <w:abstractNumId w:val="5"/>
  </w:num>
  <w:num w:numId="42">
    <w:abstractNumId w:val="24"/>
  </w:num>
  <w:num w:numId="43">
    <w:abstractNumId w:val="11"/>
  </w:num>
  <w:num w:numId="44">
    <w:abstractNumId w:val="6"/>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1296"/>
  <w:hyphenationZone w:val="396"/>
  <w:characterSpacingControl w:val="doNotCompress"/>
  <w:footnotePr>
    <w:footnote w:id="0"/>
    <w:footnote w:id="1"/>
  </w:footnotePr>
  <w:endnotePr>
    <w:endnote w:id="0"/>
    <w:endnote w:id="1"/>
  </w:endnotePr>
  <w:compat/>
  <w:rsids>
    <w:rsidRoot w:val="00A64E60"/>
    <w:rsid w:val="0000122E"/>
    <w:rsid w:val="0000124A"/>
    <w:rsid w:val="00002186"/>
    <w:rsid w:val="0000436D"/>
    <w:rsid w:val="00004856"/>
    <w:rsid w:val="00004B5A"/>
    <w:rsid w:val="00005074"/>
    <w:rsid w:val="00005B74"/>
    <w:rsid w:val="0000639A"/>
    <w:rsid w:val="0000684C"/>
    <w:rsid w:val="0000700F"/>
    <w:rsid w:val="0000731B"/>
    <w:rsid w:val="00011DF1"/>
    <w:rsid w:val="00011E7B"/>
    <w:rsid w:val="00012F45"/>
    <w:rsid w:val="00014889"/>
    <w:rsid w:val="00014B27"/>
    <w:rsid w:val="00014B6F"/>
    <w:rsid w:val="00015DA0"/>
    <w:rsid w:val="00016149"/>
    <w:rsid w:val="0002229A"/>
    <w:rsid w:val="000228AD"/>
    <w:rsid w:val="000251CD"/>
    <w:rsid w:val="000253CF"/>
    <w:rsid w:val="000257D1"/>
    <w:rsid w:val="000258B3"/>
    <w:rsid w:val="00025B24"/>
    <w:rsid w:val="00025F90"/>
    <w:rsid w:val="00026A40"/>
    <w:rsid w:val="00027696"/>
    <w:rsid w:val="00027DE7"/>
    <w:rsid w:val="00027F2C"/>
    <w:rsid w:val="000304BA"/>
    <w:rsid w:val="00030DEE"/>
    <w:rsid w:val="00030EA1"/>
    <w:rsid w:val="0003115C"/>
    <w:rsid w:val="00031561"/>
    <w:rsid w:val="00031B18"/>
    <w:rsid w:val="000325EA"/>
    <w:rsid w:val="00034223"/>
    <w:rsid w:val="00034794"/>
    <w:rsid w:val="00035A0B"/>
    <w:rsid w:val="00035A72"/>
    <w:rsid w:val="00035E26"/>
    <w:rsid w:val="00036E14"/>
    <w:rsid w:val="00040B36"/>
    <w:rsid w:val="00042371"/>
    <w:rsid w:val="00042428"/>
    <w:rsid w:val="000426C0"/>
    <w:rsid w:val="00042E15"/>
    <w:rsid w:val="00043637"/>
    <w:rsid w:val="0004384F"/>
    <w:rsid w:val="0004470B"/>
    <w:rsid w:val="00044B14"/>
    <w:rsid w:val="0004551F"/>
    <w:rsid w:val="00046758"/>
    <w:rsid w:val="00046E94"/>
    <w:rsid w:val="000470B1"/>
    <w:rsid w:val="00047AB6"/>
    <w:rsid w:val="00047B9C"/>
    <w:rsid w:val="000510F3"/>
    <w:rsid w:val="00052DCF"/>
    <w:rsid w:val="000537DC"/>
    <w:rsid w:val="00055603"/>
    <w:rsid w:val="0005560E"/>
    <w:rsid w:val="00055EED"/>
    <w:rsid w:val="000563F5"/>
    <w:rsid w:val="0005695B"/>
    <w:rsid w:val="0005728F"/>
    <w:rsid w:val="000577E4"/>
    <w:rsid w:val="00060C4D"/>
    <w:rsid w:val="00061ADC"/>
    <w:rsid w:val="00065EE5"/>
    <w:rsid w:val="000716BC"/>
    <w:rsid w:val="0007309B"/>
    <w:rsid w:val="000737B6"/>
    <w:rsid w:val="00073E45"/>
    <w:rsid w:val="0007458E"/>
    <w:rsid w:val="00077FED"/>
    <w:rsid w:val="00080216"/>
    <w:rsid w:val="00083BB9"/>
    <w:rsid w:val="0008432A"/>
    <w:rsid w:val="00085EDB"/>
    <w:rsid w:val="00086565"/>
    <w:rsid w:val="000867BA"/>
    <w:rsid w:val="00086ECE"/>
    <w:rsid w:val="00090975"/>
    <w:rsid w:val="00091588"/>
    <w:rsid w:val="000919B1"/>
    <w:rsid w:val="0009284B"/>
    <w:rsid w:val="00092F4C"/>
    <w:rsid w:val="000937AE"/>
    <w:rsid w:val="0009408F"/>
    <w:rsid w:val="0009581D"/>
    <w:rsid w:val="00095E05"/>
    <w:rsid w:val="000965D9"/>
    <w:rsid w:val="00097B82"/>
    <w:rsid w:val="000A31E5"/>
    <w:rsid w:val="000A374E"/>
    <w:rsid w:val="000A3AEB"/>
    <w:rsid w:val="000A3D6F"/>
    <w:rsid w:val="000A4A08"/>
    <w:rsid w:val="000A4D0F"/>
    <w:rsid w:val="000A5901"/>
    <w:rsid w:val="000A65A2"/>
    <w:rsid w:val="000A7867"/>
    <w:rsid w:val="000B0ABC"/>
    <w:rsid w:val="000B1F09"/>
    <w:rsid w:val="000B1FF2"/>
    <w:rsid w:val="000B2717"/>
    <w:rsid w:val="000B30B5"/>
    <w:rsid w:val="000B3116"/>
    <w:rsid w:val="000B3647"/>
    <w:rsid w:val="000B44DE"/>
    <w:rsid w:val="000B4D79"/>
    <w:rsid w:val="000B59A2"/>
    <w:rsid w:val="000B632E"/>
    <w:rsid w:val="000B66A3"/>
    <w:rsid w:val="000B7595"/>
    <w:rsid w:val="000C09EB"/>
    <w:rsid w:val="000C0A1F"/>
    <w:rsid w:val="000C0ED3"/>
    <w:rsid w:val="000C220F"/>
    <w:rsid w:val="000C2326"/>
    <w:rsid w:val="000C2E77"/>
    <w:rsid w:val="000C3EA9"/>
    <w:rsid w:val="000C5CC5"/>
    <w:rsid w:val="000D03B3"/>
    <w:rsid w:val="000D0C44"/>
    <w:rsid w:val="000D1BCA"/>
    <w:rsid w:val="000D2E98"/>
    <w:rsid w:val="000D3267"/>
    <w:rsid w:val="000D36EA"/>
    <w:rsid w:val="000D375B"/>
    <w:rsid w:val="000D3DB8"/>
    <w:rsid w:val="000D3F31"/>
    <w:rsid w:val="000D427E"/>
    <w:rsid w:val="000D5DB0"/>
    <w:rsid w:val="000D5EE0"/>
    <w:rsid w:val="000D75E5"/>
    <w:rsid w:val="000E0FC1"/>
    <w:rsid w:val="000E141C"/>
    <w:rsid w:val="000E2A0A"/>
    <w:rsid w:val="000E30CB"/>
    <w:rsid w:val="000E3864"/>
    <w:rsid w:val="000E3A56"/>
    <w:rsid w:val="000E5173"/>
    <w:rsid w:val="000E553D"/>
    <w:rsid w:val="000E5BDB"/>
    <w:rsid w:val="000E64F7"/>
    <w:rsid w:val="000E7758"/>
    <w:rsid w:val="000E780D"/>
    <w:rsid w:val="000F0C14"/>
    <w:rsid w:val="000F2349"/>
    <w:rsid w:val="000F266A"/>
    <w:rsid w:val="000F3ABC"/>
    <w:rsid w:val="000F55CE"/>
    <w:rsid w:val="000F5C37"/>
    <w:rsid w:val="000F5F69"/>
    <w:rsid w:val="000F6486"/>
    <w:rsid w:val="00101262"/>
    <w:rsid w:val="00101974"/>
    <w:rsid w:val="00101C35"/>
    <w:rsid w:val="00102E44"/>
    <w:rsid w:val="00103E4C"/>
    <w:rsid w:val="00104F0B"/>
    <w:rsid w:val="00105689"/>
    <w:rsid w:val="001056A7"/>
    <w:rsid w:val="00106842"/>
    <w:rsid w:val="00106A74"/>
    <w:rsid w:val="001074F4"/>
    <w:rsid w:val="001101F1"/>
    <w:rsid w:val="0011033C"/>
    <w:rsid w:val="0011096C"/>
    <w:rsid w:val="00110FA2"/>
    <w:rsid w:val="001117D2"/>
    <w:rsid w:val="001122F8"/>
    <w:rsid w:val="00114395"/>
    <w:rsid w:val="00114772"/>
    <w:rsid w:val="00115024"/>
    <w:rsid w:val="001168CA"/>
    <w:rsid w:val="001168E5"/>
    <w:rsid w:val="00116D02"/>
    <w:rsid w:val="001170DF"/>
    <w:rsid w:val="001174E9"/>
    <w:rsid w:val="00122F45"/>
    <w:rsid w:val="001234E7"/>
    <w:rsid w:val="00124F2D"/>
    <w:rsid w:val="00127AC1"/>
    <w:rsid w:val="00130337"/>
    <w:rsid w:val="001323B6"/>
    <w:rsid w:val="001337B0"/>
    <w:rsid w:val="00133BF9"/>
    <w:rsid w:val="00134888"/>
    <w:rsid w:val="00134D75"/>
    <w:rsid w:val="00134DED"/>
    <w:rsid w:val="00134F4A"/>
    <w:rsid w:val="001352EC"/>
    <w:rsid w:val="001368ED"/>
    <w:rsid w:val="00136FCB"/>
    <w:rsid w:val="00137EF9"/>
    <w:rsid w:val="00137FC0"/>
    <w:rsid w:val="0014142A"/>
    <w:rsid w:val="00142E31"/>
    <w:rsid w:val="00144A3A"/>
    <w:rsid w:val="0014751A"/>
    <w:rsid w:val="00147DF5"/>
    <w:rsid w:val="00152024"/>
    <w:rsid w:val="0015266F"/>
    <w:rsid w:val="00152BFD"/>
    <w:rsid w:val="0015388D"/>
    <w:rsid w:val="00153A5C"/>
    <w:rsid w:val="00153BD6"/>
    <w:rsid w:val="00154119"/>
    <w:rsid w:val="001554EA"/>
    <w:rsid w:val="001555DC"/>
    <w:rsid w:val="001567AC"/>
    <w:rsid w:val="00156C7B"/>
    <w:rsid w:val="001607BD"/>
    <w:rsid w:val="00160849"/>
    <w:rsid w:val="00160C14"/>
    <w:rsid w:val="00162169"/>
    <w:rsid w:val="00163112"/>
    <w:rsid w:val="0016454D"/>
    <w:rsid w:val="00164AAC"/>
    <w:rsid w:val="00164F26"/>
    <w:rsid w:val="00167304"/>
    <w:rsid w:val="0017064A"/>
    <w:rsid w:val="00170B09"/>
    <w:rsid w:val="00171692"/>
    <w:rsid w:val="00173414"/>
    <w:rsid w:val="00173AF7"/>
    <w:rsid w:val="001744CF"/>
    <w:rsid w:val="00174FEC"/>
    <w:rsid w:val="0017503B"/>
    <w:rsid w:val="0017541F"/>
    <w:rsid w:val="00175EA5"/>
    <w:rsid w:val="00176065"/>
    <w:rsid w:val="0017625A"/>
    <w:rsid w:val="0018080E"/>
    <w:rsid w:val="001812D4"/>
    <w:rsid w:val="0018134A"/>
    <w:rsid w:val="00181483"/>
    <w:rsid w:val="0018171E"/>
    <w:rsid w:val="00181A8C"/>
    <w:rsid w:val="00181C13"/>
    <w:rsid w:val="00182342"/>
    <w:rsid w:val="001839C2"/>
    <w:rsid w:val="00184259"/>
    <w:rsid w:val="00184D31"/>
    <w:rsid w:val="00186CAF"/>
    <w:rsid w:val="00193601"/>
    <w:rsid w:val="00195387"/>
    <w:rsid w:val="00195D9F"/>
    <w:rsid w:val="001966F2"/>
    <w:rsid w:val="00197EDD"/>
    <w:rsid w:val="001A06C2"/>
    <w:rsid w:val="001A0FF2"/>
    <w:rsid w:val="001A1B21"/>
    <w:rsid w:val="001A1C55"/>
    <w:rsid w:val="001A2111"/>
    <w:rsid w:val="001A213D"/>
    <w:rsid w:val="001A244E"/>
    <w:rsid w:val="001A284D"/>
    <w:rsid w:val="001A32AD"/>
    <w:rsid w:val="001A48EC"/>
    <w:rsid w:val="001A5EDA"/>
    <w:rsid w:val="001A5F55"/>
    <w:rsid w:val="001A664B"/>
    <w:rsid w:val="001A75DF"/>
    <w:rsid w:val="001B3466"/>
    <w:rsid w:val="001B4432"/>
    <w:rsid w:val="001B4BA2"/>
    <w:rsid w:val="001B4D5E"/>
    <w:rsid w:val="001B5331"/>
    <w:rsid w:val="001B6655"/>
    <w:rsid w:val="001B6CE1"/>
    <w:rsid w:val="001B7075"/>
    <w:rsid w:val="001C04AE"/>
    <w:rsid w:val="001C1C63"/>
    <w:rsid w:val="001C1D4A"/>
    <w:rsid w:val="001C22BF"/>
    <w:rsid w:val="001C2A18"/>
    <w:rsid w:val="001C2FC6"/>
    <w:rsid w:val="001C30CE"/>
    <w:rsid w:val="001C3A62"/>
    <w:rsid w:val="001C55FE"/>
    <w:rsid w:val="001C735F"/>
    <w:rsid w:val="001C7B4B"/>
    <w:rsid w:val="001D014F"/>
    <w:rsid w:val="001D0308"/>
    <w:rsid w:val="001D0B4B"/>
    <w:rsid w:val="001D144F"/>
    <w:rsid w:val="001D20A3"/>
    <w:rsid w:val="001D3552"/>
    <w:rsid w:val="001D371D"/>
    <w:rsid w:val="001D51A3"/>
    <w:rsid w:val="001D5D2C"/>
    <w:rsid w:val="001D68B5"/>
    <w:rsid w:val="001D6B0D"/>
    <w:rsid w:val="001D6CE7"/>
    <w:rsid w:val="001E1024"/>
    <w:rsid w:val="001E15F9"/>
    <w:rsid w:val="001E1969"/>
    <w:rsid w:val="001E2FA4"/>
    <w:rsid w:val="001E31F5"/>
    <w:rsid w:val="001E3E37"/>
    <w:rsid w:val="001E4136"/>
    <w:rsid w:val="001E4137"/>
    <w:rsid w:val="001E4242"/>
    <w:rsid w:val="001E559E"/>
    <w:rsid w:val="001E5B45"/>
    <w:rsid w:val="001E6804"/>
    <w:rsid w:val="001E7A98"/>
    <w:rsid w:val="001E7A99"/>
    <w:rsid w:val="001E7ACF"/>
    <w:rsid w:val="001F001B"/>
    <w:rsid w:val="001F0B2C"/>
    <w:rsid w:val="001F2702"/>
    <w:rsid w:val="001F29AC"/>
    <w:rsid w:val="001F2A71"/>
    <w:rsid w:val="001F2C14"/>
    <w:rsid w:val="001F4328"/>
    <w:rsid w:val="001F5EC4"/>
    <w:rsid w:val="001F6A82"/>
    <w:rsid w:val="001F6C2E"/>
    <w:rsid w:val="001F6EDE"/>
    <w:rsid w:val="001F76F6"/>
    <w:rsid w:val="001F7CF0"/>
    <w:rsid w:val="00201170"/>
    <w:rsid w:val="00201CAE"/>
    <w:rsid w:val="00202C27"/>
    <w:rsid w:val="0020386E"/>
    <w:rsid w:val="00203D11"/>
    <w:rsid w:val="00204026"/>
    <w:rsid w:val="002044B3"/>
    <w:rsid w:val="002056DB"/>
    <w:rsid w:val="00205752"/>
    <w:rsid w:val="00205ED6"/>
    <w:rsid w:val="00206101"/>
    <w:rsid w:val="00210730"/>
    <w:rsid w:val="002133FB"/>
    <w:rsid w:val="002142C4"/>
    <w:rsid w:val="00214E0E"/>
    <w:rsid w:val="002168C3"/>
    <w:rsid w:val="00216C94"/>
    <w:rsid w:val="0022067F"/>
    <w:rsid w:val="0022132A"/>
    <w:rsid w:val="0022291E"/>
    <w:rsid w:val="00224B98"/>
    <w:rsid w:val="00225A10"/>
    <w:rsid w:val="00225CFA"/>
    <w:rsid w:val="0022636F"/>
    <w:rsid w:val="002303D4"/>
    <w:rsid w:val="0023061E"/>
    <w:rsid w:val="00231289"/>
    <w:rsid w:val="0023250D"/>
    <w:rsid w:val="00232962"/>
    <w:rsid w:val="00233B35"/>
    <w:rsid w:val="002344E9"/>
    <w:rsid w:val="00234B70"/>
    <w:rsid w:val="0023535C"/>
    <w:rsid w:val="00237181"/>
    <w:rsid w:val="002373E2"/>
    <w:rsid w:val="00241654"/>
    <w:rsid w:val="002439FE"/>
    <w:rsid w:val="00245835"/>
    <w:rsid w:val="00245F0C"/>
    <w:rsid w:val="002468D7"/>
    <w:rsid w:val="00246912"/>
    <w:rsid w:val="0024695F"/>
    <w:rsid w:val="00247268"/>
    <w:rsid w:val="00247FDA"/>
    <w:rsid w:val="00250274"/>
    <w:rsid w:val="00251603"/>
    <w:rsid w:val="00251D00"/>
    <w:rsid w:val="00252FD2"/>
    <w:rsid w:val="00253BC6"/>
    <w:rsid w:val="002546BD"/>
    <w:rsid w:val="0025485E"/>
    <w:rsid w:val="0025604E"/>
    <w:rsid w:val="002569F5"/>
    <w:rsid w:val="00256F70"/>
    <w:rsid w:val="002578D9"/>
    <w:rsid w:val="0026017E"/>
    <w:rsid w:val="00260BBF"/>
    <w:rsid w:val="00262FE4"/>
    <w:rsid w:val="0026339A"/>
    <w:rsid w:val="0026632C"/>
    <w:rsid w:val="00266FC2"/>
    <w:rsid w:val="00267970"/>
    <w:rsid w:val="00267BBF"/>
    <w:rsid w:val="00267FA0"/>
    <w:rsid w:val="00272962"/>
    <w:rsid w:val="00274F2F"/>
    <w:rsid w:val="002750E3"/>
    <w:rsid w:val="00275687"/>
    <w:rsid w:val="00275A8E"/>
    <w:rsid w:val="00275F14"/>
    <w:rsid w:val="00277649"/>
    <w:rsid w:val="00277708"/>
    <w:rsid w:val="00277CDD"/>
    <w:rsid w:val="002800B1"/>
    <w:rsid w:val="00280B34"/>
    <w:rsid w:val="00280CC3"/>
    <w:rsid w:val="00282D57"/>
    <w:rsid w:val="00283BE8"/>
    <w:rsid w:val="002845D6"/>
    <w:rsid w:val="00290207"/>
    <w:rsid w:val="002910CB"/>
    <w:rsid w:val="002917B3"/>
    <w:rsid w:val="00291E2D"/>
    <w:rsid w:val="0029205E"/>
    <w:rsid w:val="002969A6"/>
    <w:rsid w:val="00297192"/>
    <w:rsid w:val="002A10AD"/>
    <w:rsid w:val="002A23F6"/>
    <w:rsid w:val="002A2CD7"/>
    <w:rsid w:val="002A34B4"/>
    <w:rsid w:val="002A5259"/>
    <w:rsid w:val="002A52E3"/>
    <w:rsid w:val="002A6678"/>
    <w:rsid w:val="002A7A10"/>
    <w:rsid w:val="002B088F"/>
    <w:rsid w:val="002B270E"/>
    <w:rsid w:val="002B5031"/>
    <w:rsid w:val="002B515A"/>
    <w:rsid w:val="002C0ED8"/>
    <w:rsid w:val="002C2FEA"/>
    <w:rsid w:val="002C322C"/>
    <w:rsid w:val="002C4675"/>
    <w:rsid w:val="002C7331"/>
    <w:rsid w:val="002C7541"/>
    <w:rsid w:val="002C76C4"/>
    <w:rsid w:val="002C7747"/>
    <w:rsid w:val="002C7C31"/>
    <w:rsid w:val="002C7D1A"/>
    <w:rsid w:val="002D050E"/>
    <w:rsid w:val="002D0884"/>
    <w:rsid w:val="002D2313"/>
    <w:rsid w:val="002D333F"/>
    <w:rsid w:val="002D4102"/>
    <w:rsid w:val="002D438B"/>
    <w:rsid w:val="002D43F2"/>
    <w:rsid w:val="002D475A"/>
    <w:rsid w:val="002D5A89"/>
    <w:rsid w:val="002D5C2A"/>
    <w:rsid w:val="002D6BB8"/>
    <w:rsid w:val="002E072B"/>
    <w:rsid w:val="002E0D43"/>
    <w:rsid w:val="002E10F8"/>
    <w:rsid w:val="002E1480"/>
    <w:rsid w:val="002E1E98"/>
    <w:rsid w:val="002E1F2F"/>
    <w:rsid w:val="002E215F"/>
    <w:rsid w:val="002E2860"/>
    <w:rsid w:val="002E2E55"/>
    <w:rsid w:val="002E3690"/>
    <w:rsid w:val="002E4E50"/>
    <w:rsid w:val="002E55D7"/>
    <w:rsid w:val="002E5D21"/>
    <w:rsid w:val="002E720E"/>
    <w:rsid w:val="002E79ED"/>
    <w:rsid w:val="002F1CEE"/>
    <w:rsid w:val="002F2623"/>
    <w:rsid w:val="002F5984"/>
    <w:rsid w:val="002F62F7"/>
    <w:rsid w:val="002F6693"/>
    <w:rsid w:val="003007BE"/>
    <w:rsid w:val="00302152"/>
    <w:rsid w:val="0030387E"/>
    <w:rsid w:val="00303CED"/>
    <w:rsid w:val="00303CF9"/>
    <w:rsid w:val="00304613"/>
    <w:rsid w:val="0030488B"/>
    <w:rsid w:val="00304E3D"/>
    <w:rsid w:val="0030532F"/>
    <w:rsid w:val="003057B6"/>
    <w:rsid w:val="00305DB6"/>
    <w:rsid w:val="00307748"/>
    <w:rsid w:val="003079B8"/>
    <w:rsid w:val="00310CAF"/>
    <w:rsid w:val="00316B13"/>
    <w:rsid w:val="00316D78"/>
    <w:rsid w:val="0031728C"/>
    <w:rsid w:val="003176F0"/>
    <w:rsid w:val="00320714"/>
    <w:rsid w:val="0032147B"/>
    <w:rsid w:val="00322677"/>
    <w:rsid w:val="003234C6"/>
    <w:rsid w:val="00323900"/>
    <w:rsid w:val="0032490D"/>
    <w:rsid w:val="003267BA"/>
    <w:rsid w:val="00326DE4"/>
    <w:rsid w:val="003279BB"/>
    <w:rsid w:val="00330B60"/>
    <w:rsid w:val="00332428"/>
    <w:rsid w:val="00332B52"/>
    <w:rsid w:val="00333248"/>
    <w:rsid w:val="00334DCB"/>
    <w:rsid w:val="00335F90"/>
    <w:rsid w:val="00336DCB"/>
    <w:rsid w:val="00342FA8"/>
    <w:rsid w:val="00343D67"/>
    <w:rsid w:val="00344783"/>
    <w:rsid w:val="00344E36"/>
    <w:rsid w:val="003462BB"/>
    <w:rsid w:val="003462C6"/>
    <w:rsid w:val="003465C3"/>
    <w:rsid w:val="00346B9E"/>
    <w:rsid w:val="00347D14"/>
    <w:rsid w:val="003503FD"/>
    <w:rsid w:val="0035144C"/>
    <w:rsid w:val="003536DA"/>
    <w:rsid w:val="00353F05"/>
    <w:rsid w:val="003543B4"/>
    <w:rsid w:val="00355EED"/>
    <w:rsid w:val="00355F19"/>
    <w:rsid w:val="0035703C"/>
    <w:rsid w:val="00360E18"/>
    <w:rsid w:val="00361823"/>
    <w:rsid w:val="003622AC"/>
    <w:rsid w:val="00362716"/>
    <w:rsid w:val="003632B7"/>
    <w:rsid w:val="00363AC5"/>
    <w:rsid w:val="00365288"/>
    <w:rsid w:val="00365948"/>
    <w:rsid w:val="00365A42"/>
    <w:rsid w:val="003664AC"/>
    <w:rsid w:val="003664E4"/>
    <w:rsid w:val="003669AE"/>
    <w:rsid w:val="0036749C"/>
    <w:rsid w:val="0036751D"/>
    <w:rsid w:val="00370479"/>
    <w:rsid w:val="0037135E"/>
    <w:rsid w:val="00371A09"/>
    <w:rsid w:val="00372387"/>
    <w:rsid w:val="00372BBA"/>
    <w:rsid w:val="00373249"/>
    <w:rsid w:val="00374AD9"/>
    <w:rsid w:val="00374B15"/>
    <w:rsid w:val="003750DD"/>
    <w:rsid w:val="003757A3"/>
    <w:rsid w:val="00376B15"/>
    <w:rsid w:val="003776F1"/>
    <w:rsid w:val="00382007"/>
    <w:rsid w:val="0038546F"/>
    <w:rsid w:val="003864FB"/>
    <w:rsid w:val="00387D6D"/>
    <w:rsid w:val="0039084B"/>
    <w:rsid w:val="00391A76"/>
    <w:rsid w:val="00392AFD"/>
    <w:rsid w:val="00392E62"/>
    <w:rsid w:val="0039386D"/>
    <w:rsid w:val="00393981"/>
    <w:rsid w:val="00394A20"/>
    <w:rsid w:val="00394BAB"/>
    <w:rsid w:val="003955E5"/>
    <w:rsid w:val="00395E50"/>
    <w:rsid w:val="00396D27"/>
    <w:rsid w:val="00396D4D"/>
    <w:rsid w:val="003973E1"/>
    <w:rsid w:val="003A00FF"/>
    <w:rsid w:val="003A0213"/>
    <w:rsid w:val="003A02D8"/>
    <w:rsid w:val="003A0738"/>
    <w:rsid w:val="003A1550"/>
    <w:rsid w:val="003A2A9B"/>
    <w:rsid w:val="003A398C"/>
    <w:rsid w:val="003A66BC"/>
    <w:rsid w:val="003A79E7"/>
    <w:rsid w:val="003A7A71"/>
    <w:rsid w:val="003A7B66"/>
    <w:rsid w:val="003A7DCB"/>
    <w:rsid w:val="003B03FA"/>
    <w:rsid w:val="003B0422"/>
    <w:rsid w:val="003B0B1F"/>
    <w:rsid w:val="003B0C62"/>
    <w:rsid w:val="003B0F3D"/>
    <w:rsid w:val="003B0FAB"/>
    <w:rsid w:val="003B1054"/>
    <w:rsid w:val="003B1102"/>
    <w:rsid w:val="003B2046"/>
    <w:rsid w:val="003B2303"/>
    <w:rsid w:val="003B458A"/>
    <w:rsid w:val="003B4F1B"/>
    <w:rsid w:val="003B4F5A"/>
    <w:rsid w:val="003B5E12"/>
    <w:rsid w:val="003B60D5"/>
    <w:rsid w:val="003B6BC8"/>
    <w:rsid w:val="003B716A"/>
    <w:rsid w:val="003C04B3"/>
    <w:rsid w:val="003C1030"/>
    <w:rsid w:val="003C20C9"/>
    <w:rsid w:val="003C2165"/>
    <w:rsid w:val="003C3383"/>
    <w:rsid w:val="003C438E"/>
    <w:rsid w:val="003C4C31"/>
    <w:rsid w:val="003C4F8B"/>
    <w:rsid w:val="003C6D17"/>
    <w:rsid w:val="003C727C"/>
    <w:rsid w:val="003D01D4"/>
    <w:rsid w:val="003D0F15"/>
    <w:rsid w:val="003D1A0F"/>
    <w:rsid w:val="003D201C"/>
    <w:rsid w:val="003D21E1"/>
    <w:rsid w:val="003D3444"/>
    <w:rsid w:val="003D3545"/>
    <w:rsid w:val="003D359D"/>
    <w:rsid w:val="003D47E4"/>
    <w:rsid w:val="003D4A8E"/>
    <w:rsid w:val="003D4FC1"/>
    <w:rsid w:val="003D5D29"/>
    <w:rsid w:val="003D70EF"/>
    <w:rsid w:val="003D74C5"/>
    <w:rsid w:val="003D7CD8"/>
    <w:rsid w:val="003E1930"/>
    <w:rsid w:val="003E1BB1"/>
    <w:rsid w:val="003E47AA"/>
    <w:rsid w:val="003E5079"/>
    <w:rsid w:val="003E7000"/>
    <w:rsid w:val="003E723B"/>
    <w:rsid w:val="003E7531"/>
    <w:rsid w:val="003F044A"/>
    <w:rsid w:val="003F1141"/>
    <w:rsid w:val="003F18C1"/>
    <w:rsid w:val="003F2606"/>
    <w:rsid w:val="003F3634"/>
    <w:rsid w:val="003F4BC2"/>
    <w:rsid w:val="003F5FD0"/>
    <w:rsid w:val="003F613F"/>
    <w:rsid w:val="003F755C"/>
    <w:rsid w:val="003F7A59"/>
    <w:rsid w:val="003F7AA7"/>
    <w:rsid w:val="00401667"/>
    <w:rsid w:val="00402C87"/>
    <w:rsid w:val="00403101"/>
    <w:rsid w:val="004036BB"/>
    <w:rsid w:val="00404098"/>
    <w:rsid w:val="0040487D"/>
    <w:rsid w:val="00404D48"/>
    <w:rsid w:val="00405181"/>
    <w:rsid w:val="00405F91"/>
    <w:rsid w:val="00407050"/>
    <w:rsid w:val="00411306"/>
    <w:rsid w:val="0041140E"/>
    <w:rsid w:val="00411B58"/>
    <w:rsid w:val="004128AC"/>
    <w:rsid w:val="004128F9"/>
    <w:rsid w:val="00412ADA"/>
    <w:rsid w:val="004145D3"/>
    <w:rsid w:val="00416522"/>
    <w:rsid w:val="0041742C"/>
    <w:rsid w:val="00417B44"/>
    <w:rsid w:val="00417DAD"/>
    <w:rsid w:val="00420D70"/>
    <w:rsid w:val="00421FD3"/>
    <w:rsid w:val="004257A5"/>
    <w:rsid w:val="0042585C"/>
    <w:rsid w:val="00425EC3"/>
    <w:rsid w:val="0042651B"/>
    <w:rsid w:val="00426CEE"/>
    <w:rsid w:val="0042766C"/>
    <w:rsid w:val="004301BB"/>
    <w:rsid w:val="00430752"/>
    <w:rsid w:val="00430BCF"/>
    <w:rsid w:val="00433F46"/>
    <w:rsid w:val="004349FB"/>
    <w:rsid w:val="00434AE7"/>
    <w:rsid w:val="004366E0"/>
    <w:rsid w:val="00436E28"/>
    <w:rsid w:val="00437DF6"/>
    <w:rsid w:val="00442126"/>
    <w:rsid w:val="004424BA"/>
    <w:rsid w:val="00442669"/>
    <w:rsid w:val="004437AA"/>
    <w:rsid w:val="0044434E"/>
    <w:rsid w:val="00444D0C"/>
    <w:rsid w:val="0044532D"/>
    <w:rsid w:val="00446371"/>
    <w:rsid w:val="004478BC"/>
    <w:rsid w:val="00447A53"/>
    <w:rsid w:val="00447B5C"/>
    <w:rsid w:val="00452BAB"/>
    <w:rsid w:val="00452FEB"/>
    <w:rsid w:val="004536C2"/>
    <w:rsid w:val="00454EC9"/>
    <w:rsid w:val="0045526E"/>
    <w:rsid w:val="00455858"/>
    <w:rsid w:val="0045657F"/>
    <w:rsid w:val="00461B21"/>
    <w:rsid w:val="00461E1C"/>
    <w:rsid w:val="00462257"/>
    <w:rsid w:val="00462886"/>
    <w:rsid w:val="00462892"/>
    <w:rsid w:val="0046438D"/>
    <w:rsid w:val="00464B6F"/>
    <w:rsid w:val="00466156"/>
    <w:rsid w:val="00467A3F"/>
    <w:rsid w:val="00467B4B"/>
    <w:rsid w:val="0047010B"/>
    <w:rsid w:val="00470992"/>
    <w:rsid w:val="00471264"/>
    <w:rsid w:val="00471650"/>
    <w:rsid w:val="0047248A"/>
    <w:rsid w:val="00473CC1"/>
    <w:rsid w:val="004742F5"/>
    <w:rsid w:val="00474CC7"/>
    <w:rsid w:val="00475E0F"/>
    <w:rsid w:val="00477255"/>
    <w:rsid w:val="004773CE"/>
    <w:rsid w:val="004775F3"/>
    <w:rsid w:val="00477906"/>
    <w:rsid w:val="00481BD9"/>
    <w:rsid w:val="00482819"/>
    <w:rsid w:val="00483A85"/>
    <w:rsid w:val="00486512"/>
    <w:rsid w:val="0048711D"/>
    <w:rsid w:val="0048730A"/>
    <w:rsid w:val="0049187C"/>
    <w:rsid w:val="00491C4E"/>
    <w:rsid w:val="00491D0A"/>
    <w:rsid w:val="004936B9"/>
    <w:rsid w:val="0049473A"/>
    <w:rsid w:val="00495175"/>
    <w:rsid w:val="004959C8"/>
    <w:rsid w:val="00496DA4"/>
    <w:rsid w:val="004A124D"/>
    <w:rsid w:val="004A1A84"/>
    <w:rsid w:val="004A3FDD"/>
    <w:rsid w:val="004A5D5E"/>
    <w:rsid w:val="004A6FCC"/>
    <w:rsid w:val="004B172E"/>
    <w:rsid w:val="004B1A59"/>
    <w:rsid w:val="004B1EE9"/>
    <w:rsid w:val="004B2B6F"/>
    <w:rsid w:val="004B2DFE"/>
    <w:rsid w:val="004B4DC9"/>
    <w:rsid w:val="004B6AB2"/>
    <w:rsid w:val="004B7540"/>
    <w:rsid w:val="004C0A5B"/>
    <w:rsid w:val="004C0EAE"/>
    <w:rsid w:val="004C31D7"/>
    <w:rsid w:val="004C37BB"/>
    <w:rsid w:val="004C3E9C"/>
    <w:rsid w:val="004C434E"/>
    <w:rsid w:val="004C51D3"/>
    <w:rsid w:val="004C5669"/>
    <w:rsid w:val="004C61AB"/>
    <w:rsid w:val="004C7E16"/>
    <w:rsid w:val="004D1E79"/>
    <w:rsid w:val="004D215D"/>
    <w:rsid w:val="004D2ACA"/>
    <w:rsid w:val="004D32F8"/>
    <w:rsid w:val="004D3999"/>
    <w:rsid w:val="004D39BD"/>
    <w:rsid w:val="004D4926"/>
    <w:rsid w:val="004D5115"/>
    <w:rsid w:val="004D5A22"/>
    <w:rsid w:val="004D6AB4"/>
    <w:rsid w:val="004D7A35"/>
    <w:rsid w:val="004D7C93"/>
    <w:rsid w:val="004E002A"/>
    <w:rsid w:val="004E1488"/>
    <w:rsid w:val="004E166A"/>
    <w:rsid w:val="004E395E"/>
    <w:rsid w:val="004E4717"/>
    <w:rsid w:val="004E5F5B"/>
    <w:rsid w:val="004E65D5"/>
    <w:rsid w:val="004E6828"/>
    <w:rsid w:val="004E6B62"/>
    <w:rsid w:val="004E7DB2"/>
    <w:rsid w:val="004F0449"/>
    <w:rsid w:val="004F0761"/>
    <w:rsid w:val="004F0933"/>
    <w:rsid w:val="004F1199"/>
    <w:rsid w:val="004F345E"/>
    <w:rsid w:val="004F4C77"/>
    <w:rsid w:val="004F5612"/>
    <w:rsid w:val="004F563D"/>
    <w:rsid w:val="004F6545"/>
    <w:rsid w:val="004F713A"/>
    <w:rsid w:val="004F7317"/>
    <w:rsid w:val="004F757C"/>
    <w:rsid w:val="00500BE9"/>
    <w:rsid w:val="00500FF2"/>
    <w:rsid w:val="0050131A"/>
    <w:rsid w:val="00501970"/>
    <w:rsid w:val="00503271"/>
    <w:rsid w:val="00503CAC"/>
    <w:rsid w:val="00505B03"/>
    <w:rsid w:val="00507223"/>
    <w:rsid w:val="0050765D"/>
    <w:rsid w:val="005108BA"/>
    <w:rsid w:val="00514C75"/>
    <w:rsid w:val="005151A2"/>
    <w:rsid w:val="00515533"/>
    <w:rsid w:val="00515C23"/>
    <w:rsid w:val="00515D5D"/>
    <w:rsid w:val="005165B8"/>
    <w:rsid w:val="00516A1A"/>
    <w:rsid w:val="00517186"/>
    <w:rsid w:val="005175DA"/>
    <w:rsid w:val="00517CDF"/>
    <w:rsid w:val="00520C7E"/>
    <w:rsid w:val="00520E07"/>
    <w:rsid w:val="00521B2F"/>
    <w:rsid w:val="005222B9"/>
    <w:rsid w:val="00522598"/>
    <w:rsid w:val="00522601"/>
    <w:rsid w:val="00524A1E"/>
    <w:rsid w:val="005268E4"/>
    <w:rsid w:val="0052777D"/>
    <w:rsid w:val="005301B8"/>
    <w:rsid w:val="0053034B"/>
    <w:rsid w:val="00530606"/>
    <w:rsid w:val="00533EC8"/>
    <w:rsid w:val="00536D8D"/>
    <w:rsid w:val="00536EA5"/>
    <w:rsid w:val="0053791F"/>
    <w:rsid w:val="00537F00"/>
    <w:rsid w:val="0054052B"/>
    <w:rsid w:val="00540A90"/>
    <w:rsid w:val="00542C76"/>
    <w:rsid w:val="005435B9"/>
    <w:rsid w:val="00543663"/>
    <w:rsid w:val="0054413B"/>
    <w:rsid w:val="0054469A"/>
    <w:rsid w:val="00545697"/>
    <w:rsid w:val="005463DD"/>
    <w:rsid w:val="005464B4"/>
    <w:rsid w:val="0054650B"/>
    <w:rsid w:val="00546C20"/>
    <w:rsid w:val="00551399"/>
    <w:rsid w:val="00551F44"/>
    <w:rsid w:val="0055236D"/>
    <w:rsid w:val="0055237F"/>
    <w:rsid w:val="005539BB"/>
    <w:rsid w:val="00554512"/>
    <w:rsid w:val="005548C6"/>
    <w:rsid w:val="00554C9E"/>
    <w:rsid w:val="005560D4"/>
    <w:rsid w:val="00556612"/>
    <w:rsid w:val="005571DD"/>
    <w:rsid w:val="005609B2"/>
    <w:rsid w:val="005613EE"/>
    <w:rsid w:val="0056292B"/>
    <w:rsid w:val="00564381"/>
    <w:rsid w:val="00564ED4"/>
    <w:rsid w:val="00565F2D"/>
    <w:rsid w:val="0056661E"/>
    <w:rsid w:val="005669C3"/>
    <w:rsid w:val="005674BE"/>
    <w:rsid w:val="00567870"/>
    <w:rsid w:val="005713F1"/>
    <w:rsid w:val="00571640"/>
    <w:rsid w:val="00571A8C"/>
    <w:rsid w:val="0057204D"/>
    <w:rsid w:val="005725CD"/>
    <w:rsid w:val="00574AB8"/>
    <w:rsid w:val="00575129"/>
    <w:rsid w:val="00575505"/>
    <w:rsid w:val="00576282"/>
    <w:rsid w:val="00576D15"/>
    <w:rsid w:val="0057700C"/>
    <w:rsid w:val="005774B4"/>
    <w:rsid w:val="00580205"/>
    <w:rsid w:val="005805E9"/>
    <w:rsid w:val="00580966"/>
    <w:rsid w:val="00580EA1"/>
    <w:rsid w:val="0058183C"/>
    <w:rsid w:val="00583A45"/>
    <w:rsid w:val="00583B89"/>
    <w:rsid w:val="00583CA6"/>
    <w:rsid w:val="00583DE0"/>
    <w:rsid w:val="0058403A"/>
    <w:rsid w:val="005854BA"/>
    <w:rsid w:val="00585CE9"/>
    <w:rsid w:val="00585D3C"/>
    <w:rsid w:val="0058643A"/>
    <w:rsid w:val="0058776D"/>
    <w:rsid w:val="00590B15"/>
    <w:rsid w:val="00591284"/>
    <w:rsid w:val="005929AE"/>
    <w:rsid w:val="00594772"/>
    <w:rsid w:val="00594F73"/>
    <w:rsid w:val="0059612B"/>
    <w:rsid w:val="005975E4"/>
    <w:rsid w:val="005A0DDE"/>
    <w:rsid w:val="005A28A1"/>
    <w:rsid w:val="005A370F"/>
    <w:rsid w:val="005A3B96"/>
    <w:rsid w:val="005A4263"/>
    <w:rsid w:val="005A6BF8"/>
    <w:rsid w:val="005A71F1"/>
    <w:rsid w:val="005B078D"/>
    <w:rsid w:val="005B149C"/>
    <w:rsid w:val="005B2361"/>
    <w:rsid w:val="005B2E8B"/>
    <w:rsid w:val="005B3395"/>
    <w:rsid w:val="005B3787"/>
    <w:rsid w:val="005B42B2"/>
    <w:rsid w:val="005B5260"/>
    <w:rsid w:val="005B583D"/>
    <w:rsid w:val="005B5E33"/>
    <w:rsid w:val="005B6529"/>
    <w:rsid w:val="005B7154"/>
    <w:rsid w:val="005B7372"/>
    <w:rsid w:val="005B741F"/>
    <w:rsid w:val="005C152E"/>
    <w:rsid w:val="005C2998"/>
    <w:rsid w:val="005C3CD2"/>
    <w:rsid w:val="005C3D18"/>
    <w:rsid w:val="005C6032"/>
    <w:rsid w:val="005C60D5"/>
    <w:rsid w:val="005C74B9"/>
    <w:rsid w:val="005C7F85"/>
    <w:rsid w:val="005D04E9"/>
    <w:rsid w:val="005D122F"/>
    <w:rsid w:val="005D1A22"/>
    <w:rsid w:val="005D3C9A"/>
    <w:rsid w:val="005D3D1A"/>
    <w:rsid w:val="005D4087"/>
    <w:rsid w:val="005D4877"/>
    <w:rsid w:val="005D4969"/>
    <w:rsid w:val="005D507D"/>
    <w:rsid w:val="005D51AD"/>
    <w:rsid w:val="005D729E"/>
    <w:rsid w:val="005D72A4"/>
    <w:rsid w:val="005E21C9"/>
    <w:rsid w:val="005E25E7"/>
    <w:rsid w:val="005E295A"/>
    <w:rsid w:val="005E2B64"/>
    <w:rsid w:val="005E3359"/>
    <w:rsid w:val="005E3527"/>
    <w:rsid w:val="005E3862"/>
    <w:rsid w:val="005E7673"/>
    <w:rsid w:val="005E7F61"/>
    <w:rsid w:val="005F2CB8"/>
    <w:rsid w:val="005F3738"/>
    <w:rsid w:val="005F46E0"/>
    <w:rsid w:val="005F4A9F"/>
    <w:rsid w:val="005F5D8B"/>
    <w:rsid w:val="005F5EE3"/>
    <w:rsid w:val="005F5FAE"/>
    <w:rsid w:val="005F686A"/>
    <w:rsid w:val="005F69F8"/>
    <w:rsid w:val="005F719A"/>
    <w:rsid w:val="006004AC"/>
    <w:rsid w:val="006005AC"/>
    <w:rsid w:val="00600E3B"/>
    <w:rsid w:val="00601054"/>
    <w:rsid w:val="006016ED"/>
    <w:rsid w:val="00601B16"/>
    <w:rsid w:val="006026F0"/>
    <w:rsid w:val="00603351"/>
    <w:rsid w:val="00603C26"/>
    <w:rsid w:val="00603CD1"/>
    <w:rsid w:val="00604949"/>
    <w:rsid w:val="00604990"/>
    <w:rsid w:val="00605AB4"/>
    <w:rsid w:val="0060642F"/>
    <w:rsid w:val="0060683E"/>
    <w:rsid w:val="00607CF9"/>
    <w:rsid w:val="0061082D"/>
    <w:rsid w:val="00611A0C"/>
    <w:rsid w:val="006132F3"/>
    <w:rsid w:val="0061425B"/>
    <w:rsid w:val="00615C20"/>
    <w:rsid w:val="0061618B"/>
    <w:rsid w:val="006164AF"/>
    <w:rsid w:val="006166B9"/>
    <w:rsid w:val="006174B2"/>
    <w:rsid w:val="00617F40"/>
    <w:rsid w:val="006205D2"/>
    <w:rsid w:val="00620D24"/>
    <w:rsid w:val="00621B5C"/>
    <w:rsid w:val="00621F36"/>
    <w:rsid w:val="00622770"/>
    <w:rsid w:val="00622E73"/>
    <w:rsid w:val="00624397"/>
    <w:rsid w:val="006245F0"/>
    <w:rsid w:val="00625AEE"/>
    <w:rsid w:val="00625BDA"/>
    <w:rsid w:val="006265DA"/>
    <w:rsid w:val="00626BAC"/>
    <w:rsid w:val="006305F2"/>
    <w:rsid w:val="006308D9"/>
    <w:rsid w:val="0063340B"/>
    <w:rsid w:val="00633CF5"/>
    <w:rsid w:val="00633ED6"/>
    <w:rsid w:val="00635216"/>
    <w:rsid w:val="00637689"/>
    <w:rsid w:val="0064012D"/>
    <w:rsid w:val="006404AD"/>
    <w:rsid w:val="0064077C"/>
    <w:rsid w:val="00641CDD"/>
    <w:rsid w:val="00643590"/>
    <w:rsid w:val="00644249"/>
    <w:rsid w:val="00644B6E"/>
    <w:rsid w:val="00644F05"/>
    <w:rsid w:val="00645391"/>
    <w:rsid w:val="0064551D"/>
    <w:rsid w:val="00645E9C"/>
    <w:rsid w:val="006474FD"/>
    <w:rsid w:val="0065005A"/>
    <w:rsid w:val="00650574"/>
    <w:rsid w:val="00651362"/>
    <w:rsid w:val="006513D7"/>
    <w:rsid w:val="00655255"/>
    <w:rsid w:val="00656BE2"/>
    <w:rsid w:val="00656D20"/>
    <w:rsid w:val="00656E15"/>
    <w:rsid w:val="00660A76"/>
    <w:rsid w:val="00660C85"/>
    <w:rsid w:val="00660CA7"/>
    <w:rsid w:val="00661F45"/>
    <w:rsid w:val="00662C22"/>
    <w:rsid w:val="006645FC"/>
    <w:rsid w:val="00664F1B"/>
    <w:rsid w:val="00665884"/>
    <w:rsid w:val="0066598C"/>
    <w:rsid w:val="00667804"/>
    <w:rsid w:val="00667DBA"/>
    <w:rsid w:val="00670FBD"/>
    <w:rsid w:val="006714E3"/>
    <w:rsid w:val="0067200D"/>
    <w:rsid w:val="00672881"/>
    <w:rsid w:val="00672CFE"/>
    <w:rsid w:val="00673EE7"/>
    <w:rsid w:val="006763C7"/>
    <w:rsid w:val="0067713E"/>
    <w:rsid w:val="00677199"/>
    <w:rsid w:val="00677FE7"/>
    <w:rsid w:val="0068152F"/>
    <w:rsid w:val="00681581"/>
    <w:rsid w:val="00682D22"/>
    <w:rsid w:val="006830A1"/>
    <w:rsid w:val="00683C93"/>
    <w:rsid w:val="006870A4"/>
    <w:rsid w:val="00690014"/>
    <w:rsid w:val="00690512"/>
    <w:rsid w:val="0069093F"/>
    <w:rsid w:val="0069206B"/>
    <w:rsid w:val="006926F4"/>
    <w:rsid w:val="0069368C"/>
    <w:rsid w:val="006942E3"/>
    <w:rsid w:val="0069503A"/>
    <w:rsid w:val="006950D8"/>
    <w:rsid w:val="00695843"/>
    <w:rsid w:val="006A009B"/>
    <w:rsid w:val="006A20B5"/>
    <w:rsid w:val="006A21DD"/>
    <w:rsid w:val="006A3260"/>
    <w:rsid w:val="006A4F8F"/>
    <w:rsid w:val="006A5EF9"/>
    <w:rsid w:val="006A6195"/>
    <w:rsid w:val="006A6C35"/>
    <w:rsid w:val="006A7D6D"/>
    <w:rsid w:val="006B056F"/>
    <w:rsid w:val="006B0D0D"/>
    <w:rsid w:val="006B11F1"/>
    <w:rsid w:val="006B1E2D"/>
    <w:rsid w:val="006B2085"/>
    <w:rsid w:val="006B26CD"/>
    <w:rsid w:val="006B3AC3"/>
    <w:rsid w:val="006B3D3F"/>
    <w:rsid w:val="006B5683"/>
    <w:rsid w:val="006B5AEC"/>
    <w:rsid w:val="006B5CA6"/>
    <w:rsid w:val="006B77A4"/>
    <w:rsid w:val="006B7FE6"/>
    <w:rsid w:val="006C1C41"/>
    <w:rsid w:val="006C2669"/>
    <w:rsid w:val="006C26B7"/>
    <w:rsid w:val="006C27FB"/>
    <w:rsid w:val="006C4956"/>
    <w:rsid w:val="006C5CEC"/>
    <w:rsid w:val="006C7882"/>
    <w:rsid w:val="006C7D53"/>
    <w:rsid w:val="006D10CE"/>
    <w:rsid w:val="006D12C8"/>
    <w:rsid w:val="006D1EC2"/>
    <w:rsid w:val="006D234B"/>
    <w:rsid w:val="006D265B"/>
    <w:rsid w:val="006D365B"/>
    <w:rsid w:val="006D3AB3"/>
    <w:rsid w:val="006D3B05"/>
    <w:rsid w:val="006D4133"/>
    <w:rsid w:val="006D470D"/>
    <w:rsid w:val="006D58D9"/>
    <w:rsid w:val="006D6CD2"/>
    <w:rsid w:val="006D6E4E"/>
    <w:rsid w:val="006D7B09"/>
    <w:rsid w:val="006D7B69"/>
    <w:rsid w:val="006D7D76"/>
    <w:rsid w:val="006D7F65"/>
    <w:rsid w:val="006E043D"/>
    <w:rsid w:val="006E155C"/>
    <w:rsid w:val="006E293F"/>
    <w:rsid w:val="006E2DBD"/>
    <w:rsid w:val="006E3401"/>
    <w:rsid w:val="006E349C"/>
    <w:rsid w:val="006E34B3"/>
    <w:rsid w:val="006E6869"/>
    <w:rsid w:val="006E6EFA"/>
    <w:rsid w:val="006E72A6"/>
    <w:rsid w:val="006F072B"/>
    <w:rsid w:val="006F0E25"/>
    <w:rsid w:val="006F0F2C"/>
    <w:rsid w:val="006F18F5"/>
    <w:rsid w:val="006F1D3C"/>
    <w:rsid w:val="006F20F1"/>
    <w:rsid w:val="006F4E24"/>
    <w:rsid w:val="006F5628"/>
    <w:rsid w:val="006F5846"/>
    <w:rsid w:val="006F58C7"/>
    <w:rsid w:val="006F660A"/>
    <w:rsid w:val="00700C0D"/>
    <w:rsid w:val="00700D0F"/>
    <w:rsid w:val="007010C5"/>
    <w:rsid w:val="00702F42"/>
    <w:rsid w:val="007037C7"/>
    <w:rsid w:val="00703AF3"/>
    <w:rsid w:val="00704110"/>
    <w:rsid w:val="007048BC"/>
    <w:rsid w:val="00705878"/>
    <w:rsid w:val="007060B9"/>
    <w:rsid w:val="007067C4"/>
    <w:rsid w:val="0070681C"/>
    <w:rsid w:val="007068F4"/>
    <w:rsid w:val="00707645"/>
    <w:rsid w:val="00711244"/>
    <w:rsid w:val="00712768"/>
    <w:rsid w:val="00712DFA"/>
    <w:rsid w:val="00713D72"/>
    <w:rsid w:val="00713E77"/>
    <w:rsid w:val="00715DCF"/>
    <w:rsid w:val="007161C5"/>
    <w:rsid w:val="00716F4A"/>
    <w:rsid w:val="007174E4"/>
    <w:rsid w:val="00717BD3"/>
    <w:rsid w:val="007209A3"/>
    <w:rsid w:val="007214AB"/>
    <w:rsid w:val="00722428"/>
    <w:rsid w:val="007240D5"/>
    <w:rsid w:val="00724C9F"/>
    <w:rsid w:val="00725D57"/>
    <w:rsid w:val="007264D5"/>
    <w:rsid w:val="00726772"/>
    <w:rsid w:val="0072685A"/>
    <w:rsid w:val="0072687D"/>
    <w:rsid w:val="00727625"/>
    <w:rsid w:val="00731BF4"/>
    <w:rsid w:val="00732219"/>
    <w:rsid w:val="00733271"/>
    <w:rsid w:val="007338E4"/>
    <w:rsid w:val="00733B51"/>
    <w:rsid w:val="00733F93"/>
    <w:rsid w:val="00734089"/>
    <w:rsid w:val="00734C35"/>
    <w:rsid w:val="00735373"/>
    <w:rsid w:val="007365A3"/>
    <w:rsid w:val="00736F71"/>
    <w:rsid w:val="00737A0A"/>
    <w:rsid w:val="00740053"/>
    <w:rsid w:val="00740918"/>
    <w:rsid w:val="00741FCE"/>
    <w:rsid w:val="0074293A"/>
    <w:rsid w:val="00742EFC"/>
    <w:rsid w:val="00744E4F"/>
    <w:rsid w:val="0074539A"/>
    <w:rsid w:val="00745A04"/>
    <w:rsid w:val="00745C48"/>
    <w:rsid w:val="00747896"/>
    <w:rsid w:val="00750C3E"/>
    <w:rsid w:val="00750E32"/>
    <w:rsid w:val="007533F3"/>
    <w:rsid w:val="00753A79"/>
    <w:rsid w:val="00754C8F"/>
    <w:rsid w:val="0075515D"/>
    <w:rsid w:val="007566F6"/>
    <w:rsid w:val="00756AE7"/>
    <w:rsid w:val="00760408"/>
    <w:rsid w:val="00761AF1"/>
    <w:rsid w:val="00761D42"/>
    <w:rsid w:val="007629C2"/>
    <w:rsid w:val="00762A8B"/>
    <w:rsid w:val="007664F3"/>
    <w:rsid w:val="00766608"/>
    <w:rsid w:val="007666DD"/>
    <w:rsid w:val="007675FF"/>
    <w:rsid w:val="007706BD"/>
    <w:rsid w:val="00771300"/>
    <w:rsid w:val="00771E16"/>
    <w:rsid w:val="00771ED1"/>
    <w:rsid w:val="00772F40"/>
    <w:rsid w:val="00775C24"/>
    <w:rsid w:val="00777D97"/>
    <w:rsid w:val="0078035E"/>
    <w:rsid w:val="00781619"/>
    <w:rsid w:val="007827E0"/>
    <w:rsid w:val="00782E32"/>
    <w:rsid w:val="00783235"/>
    <w:rsid w:val="007835DC"/>
    <w:rsid w:val="007845A0"/>
    <w:rsid w:val="007848DA"/>
    <w:rsid w:val="00785631"/>
    <w:rsid w:val="0078574F"/>
    <w:rsid w:val="007874F4"/>
    <w:rsid w:val="00792350"/>
    <w:rsid w:val="0079252E"/>
    <w:rsid w:val="00792D7E"/>
    <w:rsid w:val="007935D5"/>
    <w:rsid w:val="00793866"/>
    <w:rsid w:val="00795E73"/>
    <w:rsid w:val="007A08D4"/>
    <w:rsid w:val="007A13AD"/>
    <w:rsid w:val="007A1AB8"/>
    <w:rsid w:val="007A1BA7"/>
    <w:rsid w:val="007A5022"/>
    <w:rsid w:val="007A565F"/>
    <w:rsid w:val="007A66DD"/>
    <w:rsid w:val="007A6804"/>
    <w:rsid w:val="007A6DAE"/>
    <w:rsid w:val="007A7046"/>
    <w:rsid w:val="007A70EA"/>
    <w:rsid w:val="007A7133"/>
    <w:rsid w:val="007A7537"/>
    <w:rsid w:val="007A77CD"/>
    <w:rsid w:val="007B08F3"/>
    <w:rsid w:val="007B0E0B"/>
    <w:rsid w:val="007B13D3"/>
    <w:rsid w:val="007B3A5A"/>
    <w:rsid w:val="007B41E6"/>
    <w:rsid w:val="007B4B5E"/>
    <w:rsid w:val="007B59D7"/>
    <w:rsid w:val="007B68DB"/>
    <w:rsid w:val="007B749D"/>
    <w:rsid w:val="007B7613"/>
    <w:rsid w:val="007B7B7F"/>
    <w:rsid w:val="007C0816"/>
    <w:rsid w:val="007C1D64"/>
    <w:rsid w:val="007C2BAF"/>
    <w:rsid w:val="007C3084"/>
    <w:rsid w:val="007C3956"/>
    <w:rsid w:val="007C3A22"/>
    <w:rsid w:val="007C3F82"/>
    <w:rsid w:val="007C4D8D"/>
    <w:rsid w:val="007C5656"/>
    <w:rsid w:val="007C586F"/>
    <w:rsid w:val="007C6490"/>
    <w:rsid w:val="007D178F"/>
    <w:rsid w:val="007D1A54"/>
    <w:rsid w:val="007D4C34"/>
    <w:rsid w:val="007D5369"/>
    <w:rsid w:val="007D5881"/>
    <w:rsid w:val="007D60BD"/>
    <w:rsid w:val="007E061B"/>
    <w:rsid w:val="007E0C14"/>
    <w:rsid w:val="007E1211"/>
    <w:rsid w:val="007E1748"/>
    <w:rsid w:val="007E3411"/>
    <w:rsid w:val="007E3CCF"/>
    <w:rsid w:val="007E4C44"/>
    <w:rsid w:val="007E674A"/>
    <w:rsid w:val="007E7411"/>
    <w:rsid w:val="007F10EB"/>
    <w:rsid w:val="007F1811"/>
    <w:rsid w:val="007F1EF8"/>
    <w:rsid w:val="007F34FE"/>
    <w:rsid w:val="007F3F76"/>
    <w:rsid w:val="007F4EB1"/>
    <w:rsid w:val="007F4FDB"/>
    <w:rsid w:val="007F53F2"/>
    <w:rsid w:val="007F54F7"/>
    <w:rsid w:val="007F5BED"/>
    <w:rsid w:val="007F5DA0"/>
    <w:rsid w:val="007F5EEA"/>
    <w:rsid w:val="007F6063"/>
    <w:rsid w:val="007F667D"/>
    <w:rsid w:val="007F679B"/>
    <w:rsid w:val="007F6BCD"/>
    <w:rsid w:val="007F6EFF"/>
    <w:rsid w:val="007F7330"/>
    <w:rsid w:val="0080074E"/>
    <w:rsid w:val="00800DAD"/>
    <w:rsid w:val="0080106F"/>
    <w:rsid w:val="00801D7A"/>
    <w:rsid w:val="008028A0"/>
    <w:rsid w:val="00802F5B"/>
    <w:rsid w:val="00805773"/>
    <w:rsid w:val="00805F81"/>
    <w:rsid w:val="00810005"/>
    <w:rsid w:val="008102FF"/>
    <w:rsid w:val="00810728"/>
    <w:rsid w:val="00810955"/>
    <w:rsid w:val="00810FAA"/>
    <w:rsid w:val="00811301"/>
    <w:rsid w:val="00811B99"/>
    <w:rsid w:val="00811BE7"/>
    <w:rsid w:val="008125FC"/>
    <w:rsid w:val="00812A6E"/>
    <w:rsid w:val="008135C2"/>
    <w:rsid w:val="00813FFD"/>
    <w:rsid w:val="0081592D"/>
    <w:rsid w:val="008163DB"/>
    <w:rsid w:val="00817D7B"/>
    <w:rsid w:val="00820158"/>
    <w:rsid w:val="0082032F"/>
    <w:rsid w:val="008206AA"/>
    <w:rsid w:val="008214B1"/>
    <w:rsid w:val="008223CE"/>
    <w:rsid w:val="00823308"/>
    <w:rsid w:val="008245EE"/>
    <w:rsid w:val="00825AD7"/>
    <w:rsid w:val="0082724D"/>
    <w:rsid w:val="00830C38"/>
    <w:rsid w:val="008330B8"/>
    <w:rsid w:val="00834B57"/>
    <w:rsid w:val="00834EDA"/>
    <w:rsid w:val="00836804"/>
    <w:rsid w:val="00837276"/>
    <w:rsid w:val="00837E4F"/>
    <w:rsid w:val="00840B9A"/>
    <w:rsid w:val="008410D8"/>
    <w:rsid w:val="008411EE"/>
    <w:rsid w:val="00841A6B"/>
    <w:rsid w:val="00841DCF"/>
    <w:rsid w:val="008422C6"/>
    <w:rsid w:val="008424E7"/>
    <w:rsid w:val="00842709"/>
    <w:rsid w:val="00843214"/>
    <w:rsid w:val="00843FEA"/>
    <w:rsid w:val="00844379"/>
    <w:rsid w:val="00845028"/>
    <w:rsid w:val="008456A4"/>
    <w:rsid w:val="008473A0"/>
    <w:rsid w:val="008473E6"/>
    <w:rsid w:val="00847566"/>
    <w:rsid w:val="008502FA"/>
    <w:rsid w:val="00850BAA"/>
    <w:rsid w:val="0085122B"/>
    <w:rsid w:val="00851B72"/>
    <w:rsid w:val="00851FF8"/>
    <w:rsid w:val="0085268E"/>
    <w:rsid w:val="00853F0C"/>
    <w:rsid w:val="00856BBA"/>
    <w:rsid w:val="0085702A"/>
    <w:rsid w:val="00860F89"/>
    <w:rsid w:val="0086151B"/>
    <w:rsid w:val="00861892"/>
    <w:rsid w:val="008627A4"/>
    <w:rsid w:val="00862CA6"/>
    <w:rsid w:val="00863BB4"/>
    <w:rsid w:val="00864477"/>
    <w:rsid w:val="008649EB"/>
    <w:rsid w:val="00865314"/>
    <w:rsid w:val="00865399"/>
    <w:rsid w:val="00865EFD"/>
    <w:rsid w:val="008670FF"/>
    <w:rsid w:val="008679FB"/>
    <w:rsid w:val="0087102F"/>
    <w:rsid w:val="00871207"/>
    <w:rsid w:val="008733B7"/>
    <w:rsid w:val="00874300"/>
    <w:rsid w:val="00874736"/>
    <w:rsid w:val="0087496D"/>
    <w:rsid w:val="00877D15"/>
    <w:rsid w:val="008807D0"/>
    <w:rsid w:val="00880DBE"/>
    <w:rsid w:val="00881EA3"/>
    <w:rsid w:val="00883CC4"/>
    <w:rsid w:val="008843F2"/>
    <w:rsid w:val="008848D7"/>
    <w:rsid w:val="00884E10"/>
    <w:rsid w:val="00887E74"/>
    <w:rsid w:val="00890DA4"/>
    <w:rsid w:val="008919D6"/>
    <w:rsid w:val="00892912"/>
    <w:rsid w:val="00893815"/>
    <w:rsid w:val="00893EFC"/>
    <w:rsid w:val="00893F41"/>
    <w:rsid w:val="00894440"/>
    <w:rsid w:val="00894F28"/>
    <w:rsid w:val="00896803"/>
    <w:rsid w:val="008A27F5"/>
    <w:rsid w:val="008A2FE7"/>
    <w:rsid w:val="008A32E6"/>
    <w:rsid w:val="008A35FB"/>
    <w:rsid w:val="008A593A"/>
    <w:rsid w:val="008A59ED"/>
    <w:rsid w:val="008A5A57"/>
    <w:rsid w:val="008A7EB9"/>
    <w:rsid w:val="008B1B11"/>
    <w:rsid w:val="008B1C4A"/>
    <w:rsid w:val="008B1D0C"/>
    <w:rsid w:val="008B2226"/>
    <w:rsid w:val="008B2AEE"/>
    <w:rsid w:val="008B32B8"/>
    <w:rsid w:val="008B3EFF"/>
    <w:rsid w:val="008B4292"/>
    <w:rsid w:val="008B4BF5"/>
    <w:rsid w:val="008B4CB2"/>
    <w:rsid w:val="008B4F47"/>
    <w:rsid w:val="008B58DC"/>
    <w:rsid w:val="008B60E9"/>
    <w:rsid w:val="008B75F1"/>
    <w:rsid w:val="008B7B3C"/>
    <w:rsid w:val="008C0274"/>
    <w:rsid w:val="008C069D"/>
    <w:rsid w:val="008C1B0E"/>
    <w:rsid w:val="008C3B90"/>
    <w:rsid w:val="008C5302"/>
    <w:rsid w:val="008C6C0A"/>
    <w:rsid w:val="008C706A"/>
    <w:rsid w:val="008C78FC"/>
    <w:rsid w:val="008C7AF5"/>
    <w:rsid w:val="008D0319"/>
    <w:rsid w:val="008D1732"/>
    <w:rsid w:val="008D20AF"/>
    <w:rsid w:val="008D27A6"/>
    <w:rsid w:val="008D449D"/>
    <w:rsid w:val="008D4D2D"/>
    <w:rsid w:val="008D4E0F"/>
    <w:rsid w:val="008D5C58"/>
    <w:rsid w:val="008D6D11"/>
    <w:rsid w:val="008E03B9"/>
    <w:rsid w:val="008E1032"/>
    <w:rsid w:val="008E1179"/>
    <w:rsid w:val="008E2825"/>
    <w:rsid w:val="008E6040"/>
    <w:rsid w:val="008E6BA7"/>
    <w:rsid w:val="008E7BF8"/>
    <w:rsid w:val="008F1561"/>
    <w:rsid w:val="008F203B"/>
    <w:rsid w:val="008F35D5"/>
    <w:rsid w:val="008F3674"/>
    <w:rsid w:val="008F64F5"/>
    <w:rsid w:val="008F6BD7"/>
    <w:rsid w:val="008F70A8"/>
    <w:rsid w:val="00900FBB"/>
    <w:rsid w:val="00901181"/>
    <w:rsid w:val="00901C0B"/>
    <w:rsid w:val="009053DE"/>
    <w:rsid w:val="00905F02"/>
    <w:rsid w:val="009064B3"/>
    <w:rsid w:val="00906572"/>
    <w:rsid w:val="009068B8"/>
    <w:rsid w:val="00906F3A"/>
    <w:rsid w:val="00907A89"/>
    <w:rsid w:val="00910215"/>
    <w:rsid w:val="00910A1D"/>
    <w:rsid w:val="00910FAC"/>
    <w:rsid w:val="0091146B"/>
    <w:rsid w:val="009116E2"/>
    <w:rsid w:val="00911813"/>
    <w:rsid w:val="0091264B"/>
    <w:rsid w:val="009127A7"/>
    <w:rsid w:val="00913155"/>
    <w:rsid w:val="00913548"/>
    <w:rsid w:val="00913F01"/>
    <w:rsid w:val="00914632"/>
    <w:rsid w:val="00916716"/>
    <w:rsid w:val="0092100E"/>
    <w:rsid w:val="00921ACC"/>
    <w:rsid w:val="0092251F"/>
    <w:rsid w:val="00922FB9"/>
    <w:rsid w:val="009244CC"/>
    <w:rsid w:val="009247D2"/>
    <w:rsid w:val="00927154"/>
    <w:rsid w:val="009276CF"/>
    <w:rsid w:val="00927FB4"/>
    <w:rsid w:val="009310C7"/>
    <w:rsid w:val="0093195B"/>
    <w:rsid w:val="00931A5E"/>
    <w:rsid w:val="00932045"/>
    <w:rsid w:val="009331A3"/>
    <w:rsid w:val="009334D7"/>
    <w:rsid w:val="0093356D"/>
    <w:rsid w:val="009348DA"/>
    <w:rsid w:val="00934A24"/>
    <w:rsid w:val="00935261"/>
    <w:rsid w:val="0093731F"/>
    <w:rsid w:val="00940621"/>
    <w:rsid w:val="009408FF"/>
    <w:rsid w:val="009417F4"/>
    <w:rsid w:val="00942C92"/>
    <w:rsid w:val="00943B87"/>
    <w:rsid w:val="009456F6"/>
    <w:rsid w:val="00950721"/>
    <w:rsid w:val="00951845"/>
    <w:rsid w:val="00953528"/>
    <w:rsid w:val="009539D2"/>
    <w:rsid w:val="00953BF2"/>
    <w:rsid w:val="0095431D"/>
    <w:rsid w:val="0095624A"/>
    <w:rsid w:val="00956453"/>
    <w:rsid w:val="009564F3"/>
    <w:rsid w:val="009567D2"/>
    <w:rsid w:val="00957673"/>
    <w:rsid w:val="009577ED"/>
    <w:rsid w:val="00957FAC"/>
    <w:rsid w:val="00960C57"/>
    <w:rsid w:val="009614C6"/>
    <w:rsid w:val="009619D7"/>
    <w:rsid w:val="009620C2"/>
    <w:rsid w:val="00963607"/>
    <w:rsid w:val="00964B8A"/>
    <w:rsid w:val="00965743"/>
    <w:rsid w:val="00965B29"/>
    <w:rsid w:val="0096684A"/>
    <w:rsid w:val="0096692B"/>
    <w:rsid w:val="00966C89"/>
    <w:rsid w:val="00967263"/>
    <w:rsid w:val="0096746A"/>
    <w:rsid w:val="00970886"/>
    <w:rsid w:val="00970963"/>
    <w:rsid w:val="009717E8"/>
    <w:rsid w:val="00973D1F"/>
    <w:rsid w:val="00973F43"/>
    <w:rsid w:val="00974BA0"/>
    <w:rsid w:val="009758E2"/>
    <w:rsid w:val="0097668A"/>
    <w:rsid w:val="00977168"/>
    <w:rsid w:val="00980BCC"/>
    <w:rsid w:val="0098275B"/>
    <w:rsid w:val="009827F5"/>
    <w:rsid w:val="00983AE6"/>
    <w:rsid w:val="00984C90"/>
    <w:rsid w:val="009852AD"/>
    <w:rsid w:val="00986441"/>
    <w:rsid w:val="009876EE"/>
    <w:rsid w:val="009878B9"/>
    <w:rsid w:val="009879D7"/>
    <w:rsid w:val="00987B2A"/>
    <w:rsid w:val="00990782"/>
    <w:rsid w:val="009915AC"/>
    <w:rsid w:val="0099231D"/>
    <w:rsid w:val="00992D0A"/>
    <w:rsid w:val="00994AD5"/>
    <w:rsid w:val="00994DD7"/>
    <w:rsid w:val="00994EC0"/>
    <w:rsid w:val="0099532E"/>
    <w:rsid w:val="009957A7"/>
    <w:rsid w:val="00995B60"/>
    <w:rsid w:val="009960F5"/>
    <w:rsid w:val="009968F6"/>
    <w:rsid w:val="00996F62"/>
    <w:rsid w:val="009972DD"/>
    <w:rsid w:val="009977A3"/>
    <w:rsid w:val="00997BF8"/>
    <w:rsid w:val="00997FF1"/>
    <w:rsid w:val="009A03FF"/>
    <w:rsid w:val="009A0467"/>
    <w:rsid w:val="009A2808"/>
    <w:rsid w:val="009A2883"/>
    <w:rsid w:val="009A3EE8"/>
    <w:rsid w:val="009A57F2"/>
    <w:rsid w:val="009A631D"/>
    <w:rsid w:val="009A6B01"/>
    <w:rsid w:val="009A77AB"/>
    <w:rsid w:val="009B04B6"/>
    <w:rsid w:val="009B0D27"/>
    <w:rsid w:val="009B13D4"/>
    <w:rsid w:val="009B324C"/>
    <w:rsid w:val="009B3ACD"/>
    <w:rsid w:val="009B3C67"/>
    <w:rsid w:val="009B42C0"/>
    <w:rsid w:val="009B4BE2"/>
    <w:rsid w:val="009B51D9"/>
    <w:rsid w:val="009B5525"/>
    <w:rsid w:val="009B6536"/>
    <w:rsid w:val="009B653A"/>
    <w:rsid w:val="009B6BA6"/>
    <w:rsid w:val="009C003E"/>
    <w:rsid w:val="009C066A"/>
    <w:rsid w:val="009C1F9A"/>
    <w:rsid w:val="009C3DB0"/>
    <w:rsid w:val="009C4109"/>
    <w:rsid w:val="009C64E5"/>
    <w:rsid w:val="009C7E9A"/>
    <w:rsid w:val="009D02B5"/>
    <w:rsid w:val="009D0641"/>
    <w:rsid w:val="009D1446"/>
    <w:rsid w:val="009D1481"/>
    <w:rsid w:val="009D224E"/>
    <w:rsid w:val="009D2FB2"/>
    <w:rsid w:val="009D36AB"/>
    <w:rsid w:val="009D3CD8"/>
    <w:rsid w:val="009D3E10"/>
    <w:rsid w:val="009D4FB7"/>
    <w:rsid w:val="009D55DE"/>
    <w:rsid w:val="009D5C17"/>
    <w:rsid w:val="009D5E0A"/>
    <w:rsid w:val="009D7C99"/>
    <w:rsid w:val="009E026F"/>
    <w:rsid w:val="009E0370"/>
    <w:rsid w:val="009E080A"/>
    <w:rsid w:val="009E3614"/>
    <w:rsid w:val="009E754C"/>
    <w:rsid w:val="009E77AA"/>
    <w:rsid w:val="009F036C"/>
    <w:rsid w:val="009F090D"/>
    <w:rsid w:val="009F106C"/>
    <w:rsid w:val="009F151D"/>
    <w:rsid w:val="009F332E"/>
    <w:rsid w:val="009F35F4"/>
    <w:rsid w:val="009F3BA2"/>
    <w:rsid w:val="009F41B3"/>
    <w:rsid w:val="009F49B5"/>
    <w:rsid w:val="00A0054B"/>
    <w:rsid w:val="00A0083B"/>
    <w:rsid w:val="00A00E35"/>
    <w:rsid w:val="00A015C8"/>
    <w:rsid w:val="00A01776"/>
    <w:rsid w:val="00A02226"/>
    <w:rsid w:val="00A02941"/>
    <w:rsid w:val="00A02BD8"/>
    <w:rsid w:val="00A02BEA"/>
    <w:rsid w:val="00A036B5"/>
    <w:rsid w:val="00A0475B"/>
    <w:rsid w:val="00A05421"/>
    <w:rsid w:val="00A05EA5"/>
    <w:rsid w:val="00A064CC"/>
    <w:rsid w:val="00A06EAC"/>
    <w:rsid w:val="00A1047C"/>
    <w:rsid w:val="00A1078C"/>
    <w:rsid w:val="00A10A1E"/>
    <w:rsid w:val="00A11970"/>
    <w:rsid w:val="00A12033"/>
    <w:rsid w:val="00A12AB9"/>
    <w:rsid w:val="00A13923"/>
    <w:rsid w:val="00A13F32"/>
    <w:rsid w:val="00A149F5"/>
    <w:rsid w:val="00A157DD"/>
    <w:rsid w:val="00A16AA4"/>
    <w:rsid w:val="00A1716B"/>
    <w:rsid w:val="00A17430"/>
    <w:rsid w:val="00A206CD"/>
    <w:rsid w:val="00A2093C"/>
    <w:rsid w:val="00A20DE4"/>
    <w:rsid w:val="00A22A0B"/>
    <w:rsid w:val="00A23228"/>
    <w:rsid w:val="00A232C5"/>
    <w:rsid w:val="00A23CFB"/>
    <w:rsid w:val="00A23E1B"/>
    <w:rsid w:val="00A24FAD"/>
    <w:rsid w:val="00A305F6"/>
    <w:rsid w:val="00A316E7"/>
    <w:rsid w:val="00A3175A"/>
    <w:rsid w:val="00A318E3"/>
    <w:rsid w:val="00A31EDC"/>
    <w:rsid w:val="00A324AF"/>
    <w:rsid w:val="00A32B21"/>
    <w:rsid w:val="00A34CDE"/>
    <w:rsid w:val="00A370AA"/>
    <w:rsid w:val="00A37B8E"/>
    <w:rsid w:val="00A40044"/>
    <w:rsid w:val="00A40A0C"/>
    <w:rsid w:val="00A40AB4"/>
    <w:rsid w:val="00A40C4F"/>
    <w:rsid w:val="00A40C8E"/>
    <w:rsid w:val="00A40D35"/>
    <w:rsid w:val="00A443FA"/>
    <w:rsid w:val="00A4441C"/>
    <w:rsid w:val="00A451FB"/>
    <w:rsid w:val="00A45ED7"/>
    <w:rsid w:val="00A479B2"/>
    <w:rsid w:val="00A501B5"/>
    <w:rsid w:val="00A51109"/>
    <w:rsid w:val="00A528D6"/>
    <w:rsid w:val="00A549E1"/>
    <w:rsid w:val="00A554C1"/>
    <w:rsid w:val="00A55938"/>
    <w:rsid w:val="00A55944"/>
    <w:rsid w:val="00A56FA9"/>
    <w:rsid w:val="00A604B0"/>
    <w:rsid w:val="00A6120D"/>
    <w:rsid w:val="00A61488"/>
    <w:rsid w:val="00A6277A"/>
    <w:rsid w:val="00A62CD7"/>
    <w:rsid w:val="00A63127"/>
    <w:rsid w:val="00A6403F"/>
    <w:rsid w:val="00A64E60"/>
    <w:rsid w:val="00A64F33"/>
    <w:rsid w:val="00A651E2"/>
    <w:rsid w:val="00A66BBA"/>
    <w:rsid w:val="00A66C5A"/>
    <w:rsid w:val="00A66CBE"/>
    <w:rsid w:val="00A70052"/>
    <w:rsid w:val="00A70C4B"/>
    <w:rsid w:val="00A71A02"/>
    <w:rsid w:val="00A71D8E"/>
    <w:rsid w:val="00A72BA4"/>
    <w:rsid w:val="00A75732"/>
    <w:rsid w:val="00A759E2"/>
    <w:rsid w:val="00A769DA"/>
    <w:rsid w:val="00A81309"/>
    <w:rsid w:val="00A8153A"/>
    <w:rsid w:val="00A81FD1"/>
    <w:rsid w:val="00A8218A"/>
    <w:rsid w:val="00A83DF5"/>
    <w:rsid w:val="00A84A4A"/>
    <w:rsid w:val="00A862E1"/>
    <w:rsid w:val="00A866EC"/>
    <w:rsid w:val="00A90F46"/>
    <w:rsid w:val="00A91430"/>
    <w:rsid w:val="00A914B1"/>
    <w:rsid w:val="00A9301F"/>
    <w:rsid w:val="00A934D0"/>
    <w:rsid w:val="00A9374E"/>
    <w:rsid w:val="00A94BE5"/>
    <w:rsid w:val="00A94EE0"/>
    <w:rsid w:val="00A953A0"/>
    <w:rsid w:val="00A9598F"/>
    <w:rsid w:val="00A97DE1"/>
    <w:rsid w:val="00AA1302"/>
    <w:rsid w:val="00AA1763"/>
    <w:rsid w:val="00AA2C48"/>
    <w:rsid w:val="00AA37A1"/>
    <w:rsid w:val="00AA51B0"/>
    <w:rsid w:val="00AB00DA"/>
    <w:rsid w:val="00AB372A"/>
    <w:rsid w:val="00AB4D60"/>
    <w:rsid w:val="00AB58C3"/>
    <w:rsid w:val="00AB6D72"/>
    <w:rsid w:val="00AB7CDE"/>
    <w:rsid w:val="00AC020A"/>
    <w:rsid w:val="00AC3157"/>
    <w:rsid w:val="00AC3165"/>
    <w:rsid w:val="00AC31B1"/>
    <w:rsid w:val="00AC3A6D"/>
    <w:rsid w:val="00AC3B45"/>
    <w:rsid w:val="00AC416C"/>
    <w:rsid w:val="00AC4266"/>
    <w:rsid w:val="00AC71D2"/>
    <w:rsid w:val="00AC7934"/>
    <w:rsid w:val="00AC7F49"/>
    <w:rsid w:val="00AD0AA4"/>
    <w:rsid w:val="00AD0B4E"/>
    <w:rsid w:val="00AD0D45"/>
    <w:rsid w:val="00AD3775"/>
    <w:rsid w:val="00AD3C6D"/>
    <w:rsid w:val="00AD4DDA"/>
    <w:rsid w:val="00AD4FC0"/>
    <w:rsid w:val="00AD585A"/>
    <w:rsid w:val="00AD5BB7"/>
    <w:rsid w:val="00AD67EF"/>
    <w:rsid w:val="00AD68C1"/>
    <w:rsid w:val="00AD7AF0"/>
    <w:rsid w:val="00AE00E3"/>
    <w:rsid w:val="00AE0A66"/>
    <w:rsid w:val="00AE0A6A"/>
    <w:rsid w:val="00AE2BD4"/>
    <w:rsid w:val="00AE2D7B"/>
    <w:rsid w:val="00AE3EA0"/>
    <w:rsid w:val="00AE436C"/>
    <w:rsid w:val="00AE439E"/>
    <w:rsid w:val="00AE4998"/>
    <w:rsid w:val="00AE69B4"/>
    <w:rsid w:val="00AE74E0"/>
    <w:rsid w:val="00AF20F5"/>
    <w:rsid w:val="00AF479C"/>
    <w:rsid w:val="00AF4A00"/>
    <w:rsid w:val="00AF4DFE"/>
    <w:rsid w:val="00AF5167"/>
    <w:rsid w:val="00AF58D6"/>
    <w:rsid w:val="00AF5BBD"/>
    <w:rsid w:val="00AF5EF3"/>
    <w:rsid w:val="00AF6260"/>
    <w:rsid w:val="00B00EB4"/>
    <w:rsid w:val="00B00FA6"/>
    <w:rsid w:val="00B01000"/>
    <w:rsid w:val="00B017B0"/>
    <w:rsid w:val="00B01CC0"/>
    <w:rsid w:val="00B020E1"/>
    <w:rsid w:val="00B02E44"/>
    <w:rsid w:val="00B0327A"/>
    <w:rsid w:val="00B044F5"/>
    <w:rsid w:val="00B0575A"/>
    <w:rsid w:val="00B05914"/>
    <w:rsid w:val="00B068FA"/>
    <w:rsid w:val="00B07096"/>
    <w:rsid w:val="00B0748F"/>
    <w:rsid w:val="00B10ABD"/>
    <w:rsid w:val="00B113F8"/>
    <w:rsid w:val="00B114C5"/>
    <w:rsid w:val="00B11943"/>
    <w:rsid w:val="00B1272F"/>
    <w:rsid w:val="00B14F0E"/>
    <w:rsid w:val="00B15943"/>
    <w:rsid w:val="00B15C5E"/>
    <w:rsid w:val="00B1709B"/>
    <w:rsid w:val="00B17BAB"/>
    <w:rsid w:val="00B17C89"/>
    <w:rsid w:val="00B20783"/>
    <w:rsid w:val="00B21E53"/>
    <w:rsid w:val="00B23477"/>
    <w:rsid w:val="00B23DBA"/>
    <w:rsid w:val="00B24C2D"/>
    <w:rsid w:val="00B257C2"/>
    <w:rsid w:val="00B263CE"/>
    <w:rsid w:val="00B26BF0"/>
    <w:rsid w:val="00B2702D"/>
    <w:rsid w:val="00B276FC"/>
    <w:rsid w:val="00B309CC"/>
    <w:rsid w:val="00B30AFB"/>
    <w:rsid w:val="00B30F64"/>
    <w:rsid w:val="00B3190F"/>
    <w:rsid w:val="00B31F7D"/>
    <w:rsid w:val="00B328C1"/>
    <w:rsid w:val="00B338AD"/>
    <w:rsid w:val="00B343B2"/>
    <w:rsid w:val="00B34B19"/>
    <w:rsid w:val="00B35E25"/>
    <w:rsid w:val="00B41D00"/>
    <w:rsid w:val="00B43CFC"/>
    <w:rsid w:val="00B44192"/>
    <w:rsid w:val="00B441DA"/>
    <w:rsid w:val="00B44418"/>
    <w:rsid w:val="00B45630"/>
    <w:rsid w:val="00B45A17"/>
    <w:rsid w:val="00B466C2"/>
    <w:rsid w:val="00B47B4F"/>
    <w:rsid w:val="00B50B35"/>
    <w:rsid w:val="00B50EE6"/>
    <w:rsid w:val="00B51487"/>
    <w:rsid w:val="00B51964"/>
    <w:rsid w:val="00B51CAE"/>
    <w:rsid w:val="00B51E65"/>
    <w:rsid w:val="00B5310D"/>
    <w:rsid w:val="00B53BD4"/>
    <w:rsid w:val="00B54F5F"/>
    <w:rsid w:val="00B56272"/>
    <w:rsid w:val="00B56ACF"/>
    <w:rsid w:val="00B57AF3"/>
    <w:rsid w:val="00B57ECC"/>
    <w:rsid w:val="00B605F6"/>
    <w:rsid w:val="00B60F25"/>
    <w:rsid w:val="00B618B8"/>
    <w:rsid w:val="00B62EB4"/>
    <w:rsid w:val="00B636F0"/>
    <w:rsid w:val="00B63EDD"/>
    <w:rsid w:val="00B64AAD"/>
    <w:rsid w:val="00B66FAD"/>
    <w:rsid w:val="00B676B4"/>
    <w:rsid w:val="00B67C06"/>
    <w:rsid w:val="00B70121"/>
    <w:rsid w:val="00B70F9E"/>
    <w:rsid w:val="00B71D8A"/>
    <w:rsid w:val="00B71DF4"/>
    <w:rsid w:val="00B724E2"/>
    <w:rsid w:val="00B73391"/>
    <w:rsid w:val="00B74F6F"/>
    <w:rsid w:val="00B76794"/>
    <w:rsid w:val="00B772ED"/>
    <w:rsid w:val="00B77E49"/>
    <w:rsid w:val="00B80BF2"/>
    <w:rsid w:val="00B8120F"/>
    <w:rsid w:val="00B81668"/>
    <w:rsid w:val="00B818A7"/>
    <w:rsid w:val="00B81E0C"/>
    <w:rsid w:val="00B830F5"/>
    <w:rsid w:val="00B838A5"/>
    <w:rsid w:val="00B845FB"/>
    <w:rsid w:val="00B84EA1"/>
    <w:rsid w:val="00B84F28"/>
    <w:rsid w:val="00B85839"/>
    <w:rsid w:val="00B87C1D"/>
    <w:rsid w:val="00B9115B"/>
    <w:rsid w:val="00B9165E"/>
    <w:rsid w:val="00B91BA5"/>
    <w:rsid w:val="00B928B9"/>
    <w:rsid w:val="00B92E48"/>
    <w:rsid w:val="00B95674"/>
    <w:rsid w:val="00B95DAB"/>
    <w:rsid w:val="00B969BA"/>
    <w:rsid w:val="00B973A4"/>
    <w:rsid w:val="00B97A60"/>
    <w:rsid w:val="00BA013A"/>
    <w:rsid w:val="00BA0BD7"/>
    <w:rsid w:val="00BA0CC4"/>
    <w:rsid w:val="00BA111B"/>
    <w:rsid w:val="00BA1C99"/>
    <w:rsid w:val="00BA2756"/>
    <w:rsid w:val="00BA39A8"/>
    <w:rsid w:val="00BA3BD3"/>
    <w:rsid w:val="00BA47D2"/>
    <w:rsid w:val="00BA52A7"/>
    <w:rsid w:val="00BA5B9E"/>
    <w:rsid w:val="00BA7CB7"/>
    <w:rsid w:val="00BB0200"/>
    <w:rsid w:val="00BB0D22"/>
    <w:rsid w:val="00BB2AB1"/>
    <w:rsid w:val="00BB4457"/>
    <w:rsid w:val="00BB5BD3"/>
    <w:rsid w:val="00BB5BE6"/>
    <w:rsid w:val="00BB60B9"/>
    <w:rsid w:val="00BB7FA9"/>
    <w:rsid w:val="00BC051E"/>
    <w:rsid w:val="00BC20E5"/>
    <w:rsid w:val="00BC2EF5"/>
    <w:rsid w:val="00BC39B0"/>
    <w:rsid w:val="00BC5DCD"/>
    <w:rsid w:val="00BC5E55"/>
    <w:rsid w:val="00BC6B26"/>
    <w:rsid w:val="00BC76A3"/>
    <w:rsid w:val="00BC7A18"/>
    <w:rsid w:val="00BD0084"/>
    <w:rsid w:val="00BD0ECE"/>
    <w:rsid w:val="00BD23F8"/>
    <w:rsid w:val="00BD28B1"/>
    <w:rsid w:val="00BD309B"/>
    <w:rsid w:val="00BD39D8"/>
    <w:rsid w:val="00BD53AC"/>
    <w:rsid w:val="00BD5F9C"/>
    <w:rsid w:val="00BD617D"/>
    <w:rsid w:val="00BD773E"/>
    <w:rsid w:val="00BD775C"/>
    <w:rsid w:val="00BD7782"/>
    <w:rsid w:val="00BE1D94"/>
    <w:rsid w:val="00BE35AB"/>
    <w:rsid w:val="00BE4748"/>
    <w:rsid w:val="00BE4A5C"/>
    <w:rsid w:val="00BE50D7"/>
    <w:rsid w:val="00BE5425"/>
    <w:rsid w:val="00BE5A42"/>
    <w:rsid w:val="00BE5CA2"/>
    <w:rsid w:val="00BF0756"/>
    <w:rsid w:val="00BF081A"/>
    <w:rsid w:val="00BF0953"/>
    <w:rsid w:val="00BF0C54"/>
    <w:rsid w:val="00BF11F0"/>
    <w:rsid w:val="00BF244F"/>
    <w:rsid w:val="00BF292D"/>
    <w:rsid w:val="00BF2F0D"/>
    <w:rsid w:val="00BF3108"/>
    <w:rsid w:val="00BF350D"/>
    <w:rsid w:val="00BF39E2"/>
    <w:rsid w:val="00BF486A"/>
    <w:rsid w:val="00BF5878"/>
    <w:rsid w:val="00BF5A30"/>
    <w:rsid w:val="00BF5B7D"/>
    <w:rsid w:val="00BF61D1"/>
    <w:rsid w:val="00BF679A"/>
    <w:rsid w:val="00BF686C"/>
    <w:rsid w:val="00BF6E18"/>
    <w:rsid w:val="00BF72ED"/>
    <w:rsid w:val="00C01B4A"/>
    <w:rsid w:val="00C01C89"/>
    <w:rsid w:val="00C030FB"/>
    <w:rsid w:val="00C031D8"/>
    <w:rsid w:val="00C036A0"/>
    <w:rsid w:val="00C06AC1"/>
    <w:rsid w:val="00C104EF"/>
    <w:rsid w:val="00C108A7"/>
    <w:rsid w:val="00C10A06"/>
    <w:rsid w:val="00C1120A"/>
    <w:rsid w:val="00C1236D"/>
    <w:rsid w:val="00C1267C"/>
    <w:rsid w:val="00C1375C"/>
    <w:rsid w:val="00C148A0"/>
    <w:rsid w:val="00C14E23"/>
    <w:rsid w:val="00C15CF0"/>
    <w:rsid w:val="00C1657C"/>
    <w:rsid w:val="00C16925"/>
    <w:rsid w:val="00C20194"/>
    <w:rsid w:val="00C20BD1"/>
    <w:rsid w:val="00C213DF"/>
    <w:rsid w:val="00C21666"/>
    <w:rsid w:val="00C21B5B"/>
    <w:rsid w:val="00C21D77"/>
    <w:rsid w:val="00C2321C"/>
    <w:rsid w:val="00C24977"/>
    <w:rsid w:val="00C24BF8"/>
    <w:rsid w:val="00C24E5D"/>
    <w:rsid w:val="00C2547B"/>
    <w:rsid w:val="00C2711E"/>
    <w:rsid w:val="00C3012D"/>
    <w:rsid w:val="00C31BBA"/>
    <w:rsid w:val="00C32998"/>
    <w:rsid w:val="00C32E5B"/>
    <w:rsid w:val="00C3337D"/>
    <w:rsid w:val="00C334C4"/>
    <w:rsid w:val="00C33BA1"/>
    <w:rsid w:val="00C33EDE"/>
    <w:rsid w:val="00C349DF"/>
    <w:rsid w:val="00C35145"/>
    <w:rsid w:val="00C35778"/>
    <w:rsid w:val="00C35A58"/>
    <w:rsid w:val="00C35C47"/>
    <w:rsid w:val="00C35CA0"/>
    <w:rsid w:val="00C36CFF"/>
    <w:rsid w:val="00C378E7"/>
    <w:rsid w:val="00C43746"/>
    <w:rsid w:val="00C4380A"/>
    <w:rsid w:val="00C44997"/>
    <w:rsid w:val="00C4572A"/>
    <w:rsid w:val="00C46EF7"/>
    <w:rsid w:val="00C47327"/>
    <w:rsid w:val="00C52C13"/>
    <w:rsid w:val="00C54950"/>
    <w:rsid w:val="00C54953"/>
    <w:rsid w:val="00C556C6"/>
    <w:rsid w:val="00C56CD1"/>
    <w:rsid w:val="00C606AC"/>
    <w:rsid w:val="00C60CF1"/>
    <w:rsid w:val="00C63BB0"/>
    <w:rsid w:val="00C63C13"/>
    <w:rsid w:val="00C6425B"/>
    <w:rsid w:val="00C6444E"/>
    <w:rsid w:val="00C645CA"/>
    <w:rsid w:val="00C64E55"/>
    <w:rsid w:val="00C70084"/>
    <w:rsid w:val="00C70E29"/>
    <w:rsid w:val="00C70EC1"/>
    <w:rsid w:val="00C71BD1"/>
    <w:rsid w:val="00C73E1A"/>
    <w:rsid w:val="00C74626"/>
    <w:rsid w:val="00C75265"/>
    <w:rsid w:val="00C7551A"/>
    <w:rsid w:val="00C75B40"/>
    <w:rsid w:val="00C765FD"/>
    <w:rsid w:val="00C768EF"/>
    <w:rsid w:val="00C77FCE"/>
    <w:rsid w:val="00C80F0F"/>
    <w:rsid w:val="00C81139"/>
    <w:rsid w:val="00C814B3"/>
    <w:rsid w:val="00C82CCA"/>
    <w:rsid w:val="00C8377D"/>
    <w:rsid w:val="00C83B14"/>
    <w:rsid w:val="00C83F60"/>
    <w:rsid w:val="00C8432B"/>
    <w:rsid w:val="00C84453"/>
    <w:rsid w:val="00C845EA"/>
    <w:rsid w:val="00C84FB7"/>
    <w:rsid w:val="00C854B8"/>
    <w:rsid w:val="00C860CF"/>
    <w:rsid w:val="00C86633"/>
    <w:rsid w:val="00C868E7"/>
    <w:rsid w:val="00C90064"/>
    <w:rsid w:val="00C9010E"/>
    <w:rsid w:val="00C91EA5"/>
    <w:rsid w:val="00C9232E"/>
    <w:rsid w:val="00C92E05"/>
    <w:rsid w:val="00C9333A"/>
    <w:rsid w:val="00C947D6"/>
    <w:rsid w:val="00C9523B"/>
    <w:rsid w:val="00C96B60"/>
    <w:rsid w:val="00CA1E1B"/>
    <w:rsid w:val="00CA2520"/>
    <w:rsid w:val="00CA3177"/>
    <w:rsid w:val="00CA3360"/>
    <w:rsid w:val="00CA3EED"/>
    <w:rsid w:val="00CA5424"/>
    <w:rsid w:val="00CA56B2"/>
    <w:rsid w:val="00CA796E"/>
    <w:rsid w:val="00CB094C"/>
    <w:rsid w:val="00CB125D"/>
    <w:rsid w:val="00CB12EC"/>
    <w:rsid w:val="00CB1478"/>
    <w:rsid w:val="00CB2546"/>
    <w:rsid w:val="00CB25B7"/>
    <w:rsid w:val="00CB2F34"/>
    <w:rsid w:val="00CB3E17"/>
    <w:rsid w:val="00CB45CF"/>
    <w:rsid w:val="00CB5F2D"/>
    <w:rsid w:val="00CB6286"/>
    <w:rsid w:val="00CB6693"/>
    <w:rsid w:val="00CB7E4A"/>
    <w:rsid w:val="00CC09A0"/>
    <w:rsid w:val="00CC1169"/>
    <w:rsid w:val="00CC1FE3"/>
    <w:rsid w:val="00CC255A"/>
    <w:rsid w:val="00CC2646"/>
    <w:rsid w:val="00CC32B7"/>
    <w:rsid w:val="00CC41A3"/>
    <w:rsid w:val="00CC53C1"/>
    <w:rsid w:val="00CC5845"/>
    <w:rsid w:val="00CD002A"/>
    <w:rsid w:val="00CD06B4"/>
    <w:rsid w:val="00CD11FF"/>
    <w:rsid w:val="00CD2B6E"/>
    <w:rsid w:val="00CD3AB3"/>
    <w:rsid w:val="00CD3EE6"/>
    <w:rsid w:val="00CD4537"/>
    <w:rsid w:val="00CD47FD"/>
    <w:rsid w:val="00CD55BC"/>
    <w:rsid w:val="00CD5E1B"/>
    <w:rsid w:val="00CE1835"/>
    <w:rsid w:val="00CE1E84"/>
    <w:rsid w:val="00CE1F15"/>
    <w:rsid w:val="00CE3789"/>
    <w:rsid w:val="00CE39FA"/>
    <w:rsid w:val="00CE4BA2"/>
    <w:rsid w:val="00CE585C"/>
    <w:rsid w:val="00CE5B6A"/>
    <w:rsid w:val="00CE5B7B"/>
    <w:rsid w:val="00CE68D5"/>
    <w:rsid w:val="00CE6965"/>
    <w:rsid w:val="00CE72D6"/>
    <w:rsid w:val="00CE747F"/>
    <w:rsid w:val="00CE7C95"/>
    <w:rsid w:val="00CF111D"/>
    <w:rsid w:val="00CF3581"/>
    <w:rsid w:val="00CF3A7B"/>
    <w:rsid w:val="00CF421E"/>
    <w:rsid w:val="00D00419"/>
    <w:rsid w:val="00D0115C"/>
    <w:rsid w:val="00D04E64"/>
    <w:rsid w:val="00D04EA7"/>
    <w:rsid w:val="00D06059"/>
    <w:rsid w:val="00D06F7B"/>
    <w:rsid w:val="00D11841"/>
    <w:rsid w:val="00D12A17"/>
    <w:rsid w:val="00D1429E"/>
    <w:rsid w:val="00D14485"/>
    <w:rsid w:val="00D14B64"/>
    <w:rsid w:val="00D16328"/>
    <w:rsid w:val="00D17BF5"/>
    <w:rsid w:val="00D21C59"/>
    <w:rsid w:val="00D225E5"/>
    <w:rsid w:val="00D2374E"/>
    <w:rsid w:val="00D242F7"/>
    <w:rsid w:val="00D243E7"/>
    <w:rsid w:val="00D2450A"/>
    <w:rsid w:val="00D24E4B"/>
    <w:rsid w:val="00D25D0A"/>
    <w:rsid w:val="00D25EA5"/>
    <w:rsid w:val="00D25ECC"/>
    <w:rsid w:val="00D26039"/>
    <w:rsid w:val="00D321C8"/>
    <w:rsid w:val="00D3305D"/>
    <w:rsid w:val="00D33B96"/>
    <w:rsid w:val="00D33D49"/>
    <w:rsid w:val="00D3443C"/>
    <w:rsid w:val="00D34B07"/>
    <w:rsid w:val="00D34CED"/>
    <w:rsid w:val="00D3533B"/>
    <w:rsid w:val="00D3709F"/>
    <w:rsid w:val="00D419DE"/>
    <w:rsid w:val="00D41E4C"/>
    <w:rsid w:val="00D44426"/>
    <w:rsid w:val="00D44822"/>
    <w:rsid w:val="00D4508C"/>
    <w:rsid w:val="00D47092"/>
    <w:rsid w:val="00D47782"/>
    <w:rsid w:val="00D50734"/>
    <w:rsid w:val="00D508A0"/>
    <w:rsid w:val="00D50D1E"/>
    <w:rsid w:val="00D51073"/>
    <w:rsid w:val="00D51495"/>
    <w:rsid w:val="00D516A3"/>
    <w:rsid w:val="00D51CBA"/>
    <w:rsid w:val="00D52647"/>
    <w:rsid w:val="00D52B88"/>
    <w:rsid w:val="00D52C98"/>
    <w:rsid w:val="00D555D0"/>
    <w:rsid w:val="00D55C38"/>
    <w:rsid w:val="00D55D96"/>
    <w:rsid w:val="00D573A4"/>
    <w:rsid w:val="00D57B79"/>
    <w:rsid w:val="00D6071F"/>
    <w:rsid w:val="00D60A70"/>
    <w:rsid w:val="00D6183C"/>
    <w:rsid w:val="00D61C00"/>
    <w:rsid w:val="00D61FC2"/>
    <w:rsid w:val="00D6238A"/>
    <w:rsid w:val="00D62A16"/>
    <w:rsid w:val="00D64020"/>
    <w:rsid w:val="00D64991"/>
    <w:rsid w:val="00D64AF2"/>
    <w:rsid w:val="00D66374"/>
    <w:rsid w:val="00D67CDC"/>
    <w:rsid w:val="00D67F13"/>
    <w:rsid w:val="00D70E2E"/>
    <w:rsid w:val="00D714BB"/>
    <w:rsid w:val="00D730BB"/>
    <w:rsid w:val="00D7387E"/>
    <w:rsid w:val="00D7448F"/>
    <w:rsid w:val="00D7587C"/>
    <w:rsid w:val="00D75D95"/>
    <w:rsid w:val="00D7745F"/>
    <w:rsid w:val="00D774BA"/>
    <w:rsid w:val="00D77C9B"/>
    <w:rsid w:val="00D80721"/>
    <w:rsid w:val="00D8159B"/>
    <w:rsid w:val="00D817E9"/>
    <w:rsid w:val="00D821AA"/>
    <w:rsid w:val="00D82B2E"/>
    <w:rsid w:val="00D82E1D"/>
    <w:rsid w:val="00D83511"/>
    <w:rsid w:val="00D8420B"/>
    <w:rsid w:val="00D87718"/>
    <w:rsid w:val="00D87F2B"/>
    <w:rsid w:val="00D913B4"/>
    <w:rsid w:val="00D925E6"/>
    <w:rsid w:val="00D9371C"/>
    <w:rsid w:val="00D94409"/>
    <w:rsid w:val="00D94799"/>
    <w:rsid w:val="00D95799"/>
    <w:rsid w:val="00D96E62"/>
    <w:rsid w:val="00D96FBC"/>
    <w:rsid w:val="00D97657"/>
    <w:rsid w:val="00DA01E1"/>
    <w:rsid w:val="00DA083A"/>
    <w:rsid w:val="00DA08C1"/>
    <w:rsid w:val="00DA1617"/>
    <w:rsid w:val="00DA1CA1"/>
    <w:rsid w:val="00DA2297"/>
    <w:rsid w:val="00DA22AC"/>
    <w:rsid w:val="00DA3BB2"/>
    <w:rsid w:val="00DA52BF"/>
    <w:rsid w:val="00DA5F77"/>
    <w:rsid w:val="00DA6990"/>
    <w:rsid w:val="00DB0C8C"/>
    <w:rsid w:val="00DB0E98"/>
    <w:rsid w:val="00DB1D7A"/>
    <w:rsid w:val="00DB2645"/>
    <w:rsid w:val="00DB28A3"/>
    <w:rsid w:val="00DB2A3C"/>
    <w:rsid w:val="00DB43E9"/>
    <w:rsid w:val="00DB470B"/>
    <w:rsid w:val="00DB766C"/>
    <w:rsid w:val="00DB7CB7"/>
    <w:rsid w:val="00DC1300"/>
    <w:rsid w:val="00DC2CB6"/>
    <w:rsid w:val="00DC3280"/>
    <w:rsid w:val="00DC392E"/>
    <w:rsid w:val="00DC484E"/>
    <w:rsid w:val="00DC628E"/>
    <w:rsid w:val="00DC63F7"/>
    <w:rsid w:val="00DC7620"/>
    <w:rsid w:val="00DC7671"/>
    <w:rsid w:val="00DC7A7E"/>
    <w:rsid w:val="00DD02A9"/>
    <w:rsid w:val="00DD145F"/>
    <w:rsid w:val="00DD23EA"/>
    <w:rsid w:val="00DD4E5D"/>
    <w:rsid w:val="00DD5B34"/>
    <w:rsid w:val="00DD5C78"/>
    <w:rsid w:val="00DD6F91"/>
    <w:rsid w:val="00DE0450"/>
    <w:rsid w:val="00DE0FF5"/>
    <w:rsid w:val="00DE1F6F"/>
    <w:rsid w:val="00DE245C"/>
    <w:rsid w:val="00DE2A5D"/>
    <w:rsid w:val="00DE2B41"/>
    <w:rsid w:val="00DE40A9"/>
    <w:rsid w:val="00DE4287"/>
    <w:rsid w:val="00DE4BBD"/>
    <w:rsid w:val="00DE4CA2"/>
    <w:rsid w:val="00DE69A9"/>
    <w:rsid w:val="00DF01AC"/>
    <w:rsid w:val="00DF022B"/>
    <w:rsid w:val="00DF1884"/>
    <w:rsid w:val="00DF2171"/>
    <w:rsid w:val="00DF269A"/>
    <w:rsid w:val="00DF3498"/>
    <w:rsid w:val="00DF38F1"/>
    <w:rsid w:val="00DF3E90"/>
    <w:rsid w:val="00DF6C6E"/>
    <w:rsid w:val="00DF6E2D"/>
    <w:rsid w:val="00E00C69"/>
    <w:rsid w:val="00E02A76"/>
    <w:rsid w:val="00E02F1D"/>
    <w:rsid w:val="00E03F6A"/>
    <w:rsid w:val="00E040E9"/>
    <w:rsid w:val="00E04FDF"/>
    <w:rsid w:val="00E050C3"/>
    <w:rsid w:val="00E06B50"/>
    <w:rsid w:val="00E079CD"/>
    <w:rsid w:val="00E1029C"/>
    <w:rsid w:val="00E105C9"/>
    <w:rsid w:val="00E10A8B"/>
    <w:rsid w:val="00E10FCE"/>
    <w:rsid w:val="00E132E7"/>
    <w:rsid w:val="00E14A0C"/>
    <w:rsid w:val="00E14A4A"/>
    <w:rsid w:val="00E159B2"/>
    <w:rsid w:val="00E15DAE"/>
    <w:rsid w:val="00E16056"/>
    <w:rsid w:val="00E16735"/>
    <w:rsid w:val="00E169D9"/>
    <w:rsid w:val="00E1759A"/>
    <w:rsid w:val="00E1775A"/>
    <w:rsid w:val="00E178A8"/>
    <w:rsid w:val="00E17D65"/>
    <w:rsid w:val="00E20775"/>
    <w:rsid w:val="00E215A0"/>
    <w:rsid w:val="00E21A4D"/>
    <w:rsid w:val="00E2291B"/>
    <w:rsid w:val="00E22E0A"/>
    <w:rsid w:val="00E235E1"/>
    <w:rsid w:val="00E23A59"/>
    <w:rsid w:val="00E2438B"/>
    <w:rsid w:val="00E261B4"/>
    <w:rsid w:val="00E2644D"/>
    <w:rsid w:val="00E273C0"/>
    <w:rsid w:val="00E306C5"/>
    <w:rsid w:val="00E402AF"/>
    <w:rsid w:val="00E40548"/>
    <w:rsid w:val="00E409DE"/>
    <w:rsid w:val="00E41AEF"/>
    <w:rsid w:val="00E44537"/>
    <w:rsid w:val="00E47234"/>
    <w:rsid w:val="00E47863"/>
    <w:rsid w:val="00E53996"/>
    <w:rsid w:val="00E5542D"/>
    <w:rsid w:val="00E56BA7"/>
    <w:rsid w:val="00E60689"/>
    <w:rsid w:val="00E61C8A"/>
    <w:rsid w:val="00E62878"/>
    <w:rsid w:val="00E632FE"/>
    <w:rsid w:val="00E63A0A"/>
    <w:rsid w:val="00E65412"/>
    <w:rsid w:val="00E65532"/>
    <w:rsid w:val="00E67CE6"/>
    <w:rsid w:val="00E728CD"/>
    <w:rsid w:val="00E7314D"/>
    <w:rsid w:val="00E74534"/>
    <w:rsid w:val="00E745A3"/>
    <w:rsid w:val="00E750AD"/>
    <w:rsid w:val="00E7799E"/>
    <w:rsid w:val="00E8012E"/>
    <w:rsid w:val="00E801C1"/>
    <w:rsid w:val="00E80813"/>
    <w:rsid w:val="00E818A3"/>
    <w:rsid w:val="00E81E5E"/>
    <w:rsid w:val="00E8447D"/>
    <w:rsid w:val="00E8478B"/>
    <w:rsid w:val="00E84B6A"/>
    <w:rsid w:val="00E85287"/>
    <w:rsid w:val="00E85DB9"/>
    <w:rsid w:val="00E87374"/>
    <w:rsid w:val="00E907FB"/>
    <w:rsid w:val="00E90D49"/>
    <w:rsid w:val="00E927B6"/>
    <w:rsid w:val="00E92BD3"/>
    <w:rsid w:val="00E93118"/>
    <w:rsid w:val="00E94A4B"/>
    <w:rsid w:val="00E94B0D"/>
    <w:rsid w:val="00E94CFA"/>
    <w:rsid w:val="00E95366"/>
    <w:rsid w:val="00E97293"/>
    <w:rsid w:val="00EA09ED"/>
    <w:rsid w:val="00EA0B89"/>
    <w:rsid w:val="00EA0C5F"/>
    <w:rsid w:val="00EA15F2"/>
    <w:rsid w:val="00EA3D8F"/>
    <w:rsid w:val="00EA4F2E"/>
    <w:rsid w:val="00EA52DE"/>
    <w:rsid w:val="00EA56D2"/>
    <w:rsid w:val="00EA5777"/>
    <w:rsid w:val="00EA5BA9"/>
    <w:rsid w:val="00EA5F05"/>
    <w:rsid w:val="00EA6664"/>
    <w:rsid w:val="00EA6A5C"/>
    <w:rsid w:val="00EA7A19"/>
    <w:rsid w:val="00EB0A82"/>
    <w:rsid w:val="00EB2447"/>
    <w:rsid w:val="00EB3983"/>
    <w:rsid w:val="00EB3BE5"/>
    <w:rsid w:val="00EB5318"/>
    <w:rsid w:val="00EB5DAD"/>
    <w:rsid w:val="00EB5F83"/>
    <w:rsid w:val="00EC07EC"/>
    <w:rsid w:val="00EC088D"/>
    <w:rsid w:val="00EC1EC1"/>
    <w:rsid w:val="00EC20AF"/>
    <w:rsid w:val="00EC2BAF"/>
    <w:rsid w:val="00EC2D83"/>
    <w:rsid w:val="00EC3B70"/>
    <w:rsid w:val="00EC3CBE"/>
    <w:rsid w:val="00EC4A36"/>
    <w:rsid w:val="00EC50F2"/>
    <w:rsid w:val="00EC52DF"/>
    <w:rsid w:val="00EC59FA"/>
    <w:rsid w:val="00EC71B8"/>
    <w:rsid w:val="00ED0220"/>
    <w:rsid w:val="00ED08E2"/>
    <w:rsid w:val="00ED1B75"/>
    <w:rsid w:val="00ED1DEC"/>
    <w:rsid w:val="00ED2DD6"/>
    <w:rsid w:val="00ED3EC7"/>
    <w:rsid w:val="00ED5272"/>
    <w:rsid w:val="00ED5E14"/>
    <w:rsid w:val="00ED6570"/>
    <w:rsid w:val="00ED7034"/>
    <w:rsid w:val="00ED74F7"/>
    <w:rsid w:val="00ED7C9A"/>
    <w:rsid w:val="00EE0130"/>
    <w:rsid w:val="00EE244D"/>
    <w:rsid w:val="00EE275C"/>
    <w:rsid w:val="00EE39E5"/>
    <w:rsid w:val="00EE43E7"/>
    <w:rsid w:val="00EE43F4"/>
    <w:rsid w:val="00EE46F8"/>
    <w:rsid w:val="00EE6597"/>
    <w:rsid w:val="00EE6E2D"/>
    <w:rsid w:val="00EE75A4"/>
    <w:rsid w:val="00EF27DC"/>
    <w:rsid w:val="00EF6BE2"/>
    <w:rsid w:val="00EF6FB5"/>
    <w:rsid w:val="00EF77B5"/>
    <w:rsid w:val="00EF7B91"/>
    <w:rsid w:val="00EF7C58"/>
    <w:rsid w:val="00F00457"/>
    <w:rsid w:val="00F0120A"/>
    <w:rsid w:val="00F019F4"/>
    <w:rsid w:val="00F02B0C"/>
    <w:rsid w:val="00F056C1"/>
    <w:rsid w:val="00F05EDA"/>
    <w:rsid w:val="00F05FB9"/>
    <w:rsid w:val="00F061F0"/>
    <w:rsid w:val="00F06808"/>
    <w:rsid w:val="00F06AC6"/>
    <w:rsid w:val="00F0783C"/>
    <w:rsid w:val="00F1285D"/>
    <w:rsid w:val="00F1337D"/>
    <w:rsid w:val="00F138F1"/>
    <w:rsid w:val="00F14346"/>
    <w:rsid w:val="00F14E07"/>
    <w:rsid w:val="00F1505C"/>
    <w:rsid w:val="00F1632E"/>
    <w:rsid w:val="00F1644B"/>
    <w:rsid w:val="00F17FB4"/>
    <w:rsid w:val="00F220C6"/>
    <w:rsid w:val="00F224E9"/>
    <w:rsid w:val="00F229FE"/>
    <w:rsid w:val="00F2485D"/>
    <w:rsid w:val="00F24F70"/>
    <w:rsid w:val="00F25211"/>
    <w:rsid w:val="00F25419"/>
    <w:rsid w:val="00F25C6E"/>
    <w:rsid w:val="00F270DB"/>
    <w:rsid w:val="00F307BE"/>
    <w:rsid w:val="00F32736"/>
    <w:rsid w:val="00F32D4B"/>
    <w:rsid w:val="00F32E9F"/>
    <w:rsid w:val="00F32EA8"/>
    <w:rsid w:val="00F350EA"/>
    <w:rsid w:val="00F3529C"/>
    <w:rsid w:val="00F353BC"/>
    <w:rsid w:val="00F36353"/>
    <w:rsid w:val="00F36A62"/>
    <w:rsid w:val="00F36C08"/>
    <w:rsid w:val="00F373EF"/>
    <w:rsid w:val="00F37583"/>
    <w:rsid w:val="00F37D2A"/>
    <w:rsid w:val="00F400B8"/>
    <w:rsid w:val="00F406CA"/>
    <w:rsid w:val="00F413B9"/>
    <w:rsid w:val="00F423A5"/>
    <w:rsid w:val="00F42831"/>
    <w:rsid w:val="00F4367F"/>
    <w:rsid w:val="00F45305"/>
    <w:rsid w:val="00F45D3B"/>
    <w:rsid w:val="00F47004"/>
    <w:rsid w:val="00F47FAB"/>
    <w:rsid w:val="00F51D78"/>
    <w:rsid w:val="00F53D76"/>
    <w:rsid w:val="00F54BAA"/>
    <w:rsid w:val="00F55F09"/>
    <w:rsid w:val="00F568D9"/>
    <w:rsid w:val="00F56C3B"/>
    <w:rsid w:val="00F570C4"/>
    <w:rsid w:val="00F57699"/>
    <w:rsid w:val="00F62830"/>
    <w:rsid w:val="00F640ED"/>
    <w:rsid w:val="00F651E7"/>
    <w:rsid w:val="00F6594D"/>
    <w:rsid w:val="00F673B5"/>
    <w:rsid w:val="00F701B6"/>
    <w:rsid w:val="00F71B83"/>
    <w:rsid w:val="00F76385"/>
    <w:rsid w:val="00F769E0"/>
    <w:rsid w:val="00F801EB"/>
    <w:rsid w:val="00F80394"/>
    <w:rsid w:val="00F80EED"/>
    <w:rsid w:val="00F81931"/>
    <w:rsid w:val="00F82B03"/>
    <w:rsid w:val="00F82F27"/>
    <w:rsid w:val="00F833C7"/>
    <w:rsid w:val="00F83EDB"/>
    <w:rsid w:val="00F855F1"/>
    <w:rsid w:val="00F8605D"/>
    <w:rsid w:val="00F86C78"/>
    <w:rsid w:val="00F871A1"/>
    <w:rsid w:val="00F87297"/>
    <w:rsid w:val="00F900D5"/>
    <w:rsid w:val="00F92215"/>
    <w:rsid w:val="00F92A4A"/>
    <w:rsid w:val="00F9368C"/>
    <w:rsid w:val="00F93C1A"/>
    <w:rsid w:val="00F95848"/>
    <w:rsid w:val="00F96BF3"/>
    <w:rsid w:val="00F9747E"/>
    <w:rsid w:val="00FA11C7"/>
    <w:rsid w:val="00FA1BB4"/>
    <w:rsid w:val="00FA213D"/>
    <w:rsid w:val="00FA447A"/>
    <w:rsid w:val="00FA4F26"/>
    <w:rsid w:val="00FA53F5"/>
    <w:rsid w:val="00FA5EBC"/>
    <w:rsid w:val="00FA726B"/>
    <w:rsid w:val="00FB07B6"/>
    <w:rsid w:val="00FB1AC7"/>
    <w:rsid w:val="00FB21D8"/>
    <w:rsid w:val="00FB2425"/>
    <w:rsid w:val="00FB2D85"/>
    <w:rsid w:val="00FB2EC8"/>
    <w:rsid w:val="00FB4644"/>
    <w:rsid w:val="00FB4E73"/>
    <w:rsid w:val="00FB52A3"/>
    <w:rsid w:val="00FB7948"/>
    <w:rsid w:val="00FC11B3"/>
    <w:rsid w:val="00FC1CCC"/>
    <w:rsid w:val="00FC20A8"/>
    <w:rsid w:val="00FC2FB5"/>
    <w:rsid w:val="00FC31DF"/>
    <w:rsid w:val="00FC431B"/>
    <w:rsid w:val="00FC50BB"/>
    <w:rsid w:val="00FC519D"/>
    <w:rsid w:val="00FC5312"/>
    <w:rsid w:val="00FC63E4"/>
    <w:rsid w:val="00FC7F67"/>
    <w:rsid w:val="00FD16E6"/>
    <w:rsid w:val="00FD4918"/>
    <w:rsid w:val="00FD5F6C"/>
    <w:rsid w:val="00FD6895"/>
    <w:rsid w:val="00FD7FFC"/>
    <w:rsid w:val="00FE2039"/>
    <w:rsid w:val="00FE2CE4"/>
    <w:rsid w:val="00FE3769"/>
    <w:rsid w:val="00FE4675"/>
    <w:rsid w:val="00FE4749"/>
    <w:rsid w:val="00FE48FC"/>
    <w:rsid w:val="00FE52ED"/>
    <w:rsid w:val="00FE578A"/>
    <w:rsid w:val="00FE5796"/>
    <w:rsid w:val="00FE5B60"/>
    <w:rsid w:val="00FE7537"/>
    <w:rsid w:val="00FF04B7"/>
    <w:rsid w:val="00FF19D9"/>
    <w:rsid w:val="00FF1BAB"/>
    <w:rsid w:val="00FF2BB5"/>
    <w:rsid w:val="00FF43D1"/>
    <w:rsid w:val="00FF6F1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A4"/>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2546BD"/>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9"/>
    <w:unhideWhenUsed/>
    <w:qFormat/>
    <w:rsid w:val="00F54BAA"/>
    <w:pPr>
      <w:keepNext/>
      <w:widowControl w:val="0"/>
      <w:spacing w:line="240" w:lineRule="auto"/>
      <w:ind w:firstLine="567"/>
      <w:jc w:val="center"/>
      <w:outlineLvl w:val="1"/>
    </w:pPr>
    <w:rPr>
      <w:rFonts w:eastAsia="Times New Roman"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6BD"/>
    <w:rPr>
      <w:rFonts w:ascii="Times New Roman" w:eastAsiaTheme="majorEastAsia" w:hAnsi="Times New Roman" w:cstheme="majorBidi"/>
      <w:b/>
      <w:bCs/>
      <w:sz w:val="28"/>
      <w:szCs w:val="28"/>
    </w:rPr>
  </w:style>
  <w:style w:type="paragraph" w:styleId="NoSpacing">
    <w:name w:val="No Spacing"/>
    <w:uiPriority w:val="1"/>
    <w:qFormat/>
    <w:rsid w:val="00A64E60"/>
    <w:pPr>
      <w:spacing w:after="0" w:line="240" w:lineRule="auto"/>
    </w:pPr>
  </w:style>
  <w:style w:type="paragraph" w:styleId="Header">
    <w:name w:val="header"/>
    <w:basedOn w:val="Normal"/>
    <w:link w:val="HeaderChar"/>
    <w:uiPriority w:val="99"/>
    <w:unhideWhenUsed/>
    <w:rsid w:val="00741FCE"/>
    <w:pPr>
      <w:tabs>
        <w:tab w:val="center" w:pos="4819"/>
        <w:tab w:val="right" w:pos="9638"/>
      </w:tabs>
      <w:spacing w:line="240" w:lineRule="auto"/>
    </w:pPr>
  </w:style>
  <w:style w:type="character" w:customStyle="1" w:styleId="HeaderChar">
    <w:name w:val="Header Char"/>
    <w:basedOn w:val="DefaultParagraphFont"/>
    <w:link w:val="Header"/>
    <w:uiPriority w:val="99"/>
    <w:rsid w:val="00741FCE"/>
  </w:style>
  <w:style w:type="paragraph" w:styleId="Footer">
    <w:name w:val="footer"/>
    <w:basedOn w:val="Normal"/>
    <w:link w:val="FooterChar"/>
    <w:uiPriority w:val="99"/>
    <w:semiHidden/>
    <w:unhideWhenUsed/>
    <w:rsid w:val="00741FCE"/>
    <w:pPr>
      <w:tabs>
        <w:tab w:val="center" w:pos="4819"/>
        <w:tab w:val="right" w:pos="9638"/>
      </w:tabs>
      <w:spacing w:line="240" w:lineRule="auto"/>
    </w:pPr>
  </w:style>
  <w:style w:type="character" w:customStyle="1" w:styleId="FooterChar">
    <w:name w:val="Footer Char"/>
    <w:basedOn w:val="DefaultParagraphFont"/>
    <w:link w:val="Footer"/>
    <w:uiPriority w:val="99"/>
    <w:semiHidden/>
    <w:rsid w:val="00741FCE"/>
  </w:style>
  <w:style w:type="paragraph" w:styleId="ListParagraph">
    <w:name w:val="List Paragraph"/>
    <w:basedOn w:val="Normal"/>
    <w:uiPriority w:val="99"/>
    <w:qFormat/>
    <w:rsid w:val="00232962"/>
    <w:pPr>
      <w:ind w:left="720"/>
      <w:contextualSpacing/>
    </w:pPr>
  </w:style>
  <w:style w:type="character" w:customStyle="1" w:styleId="Heading2Char">
    <w:name w:val="Heading 2 Char"/>
    <w:basedOn w:val="DefaultParagraphFont"/>
    <w:link w:val="Heading2"/>
    <w:uiPriority w:val="99"/>
    <w:rsid w:val="00F54BAA"/>
    <w:rPr>
      <w:rFonts w:ascii="Times New Roman" w:eastAsia="Times New Roman" w:hAnsi="Times New Roman" w:cs="Times New Roman"/>
      <w:b/>
      <w:bCs/>
      <w:iCs/>
      <w:sz w:val="24"/>
      <w:szCs w:val="28"/>
    </w:rPr>
  </w:style>
  <w:style w:type="character" w:styleId="Hyperlink">
    <w:name w:val="Hyperlink"/>
    <w:basedOn w:val="DefaultParagraphFont"/>
    <w:uiPriority w:val="99"/>
    <w:rsid w:val="00365A42"/>
    <w:rPr>
      <w:color w:val="0000FF"/>
      <w:u w:val="single"/>
    </w:rPr>
  </w:style>
  <w:style w:type="paragraph" w:styleId="TOC1">
    <w:name w:val="toc 1"/>
    <w:basedOn w:val="Normal"/>
    <w:next w:val="Normal"/>
    <w:autoRedefine/>
    <w:uiPriority w:val="39"/>
    <w:qFormat/>
    <w:rsid w:val="00365288"/>
    <w:pPr>
      <w:tabs>
        <w:tab w:val="right" w:leader="dot" w:pos="9911"/>
      </w:tabs>
    </w:pPr>
    <w:rPr>
      <w:rFonts w:eastAsia="Times New Roman" w:cs="Times New Roman"/>
      <w:b/>
      <w:szCs w:val="24"/>
      <w:lang w:eastAsia="lt-LT"/>
    </w:rPr>
  </w:style>
  <w:style w:type="paragraph" w:styleId="TOC2">
    <w:name w:val="toc 2"/>
    <w:basedOn w:val="Normal"/>
    <w:next w:val="Normal"/>
    <w:autoRedefine/>
    <w:uiPriority w:val="39"/>
    <w:qFormat/>
    <w:rsid w:val="00365A42"/>
    <w:pPr>
      <w:spacing w:line="240" w:lineRule="auto"/>
      <w:ind w:left="240"/>
    </w:pPr>
    <w:rPr>
      <w:rFonts w:eastAsia="Times New Roman" w:cs="Times New Roman"/>
      <w:szCs w:val="24"/>
      <w:lang w:eastAsia="lt-LT"/>
    </w:rPr>
  </w:style>
  <w:style w:type="paragraph" w:styleId="Caption">
    <w:name w:val="caption"/>
    <w:basedOn w:val="Normal"/>
    <w:next w:val="Normal"/>
    <w:qFormat/>
    <w:rsid w:val="00365A42"/>
    <w:pPr>
      <w:widowControl w:val="0"/>
      <w:spacing w:before="120" w:after="120" w:line="240" w:lineRule="auto"/>
      <w:ind w:left="851" w:firstLine="720"/>
      <w:jc w:val="both"/>
    </w:pPr>
    <w:rPr>
      <w:rFonts w:ascii="TimesLT" w:eastAsia="Times New Roman" w:hAnsi="TimesLT" w:cs="Times New Roman"/>
      <w:i/>
      <w:sz w:val="20"/>
      <w:szCs w:val="20"/>
      <w:lang w:val="en-AU"/>
    </w:rPr>
  </w:style>
  <w:style w:type="paragraph" w:styleId="BodyText">
    <w:name w:val="Body Text"/>
    <w:basedOn w:val="Normal"/>
    <w:link w:val="BodyTextChar"/>
    <w:rsid w:val="00365A42"/>
    <w:pPr>
      <w:spacing w:after="120" w:line="240" w:lineRule="auto"/>
      <w:jc w:val="both"/>
    </w:pPr>
    <w:rPr>
      <w:rFonts w:eastAsia="Times New Roman" w:cs="Times New Roman"/>
      <w:sz w:val="20"/>
      <w:szCs w:val="20"/>
    </w:rPr>
  </w:style>
  <w:style w:type="character" w:customStyle="1" w:styleId="BodyTextChar">
    <w:name w:val="Body Text Char"/>
    <w:basedOn w:val="DefaultParagraphFont"/>
    <w:link w:val="BodyText"/>
    <w:rsid w:val="00365A42"/>
    <w:rPr>
      <w:rFonts w:ascii="Times New Roman" w:eastAsia="Times New Roman" w:hAnsi="Times New Roman" w:cs="Times New Roman"/>
      <w:sz w:val="20"/>
      <w:szCs w:val="20"/>
    </w:rPr>
  </w:style>
  <w:style w:type="paragraph" w:customStyle="1" w:styleId="priedas">
    <w:name w:val="priedas"/>
    <w:basedOn w:val="Normal"/>
    <w:link w:val="priedasChar"/>
    <w:qFormat/>
    <w:rsid w:val="00365A42"/>
    <w:pPr>
      <w:widowControl w:val="0"/>
      <w:ind w:firstLine="540"/>
      <w:jc w:val="right"/>
    </w:pPr>
    <w:rPr>
      <w:rFonts w:eastAsia="Times New Roman" w:cs="Times New Roman"/>
      <w:b/>
      <w:sz w:val="28"/>
      <w:szCs w:val="28"/>
    </w:rPr>
  </w:style>
  <w:style w:type="character" w:customStyle="1" w:styleId="priedasChar">
    <w:name w:val="priedas Char"/>
    <w:basedOn w:val="DefaultParagraphFont"/>
    <w:link w:val="priedas"/>
    <w:rsid w:val="00365A42"/>
    <w:rPr>
      <w:rFonts w:ascii="Times New Roman" w:eastAsia="Times New Roman" w:hAnsi="Times New Roman" w:cs="Times New Roman"/>
      <w:b/>
      <w:sz w:val="28"/>
      <w:szCs w:val="28"/>
    </w:rPr>
  </w:style>
  <w:style w:type="character" w:styleId="FollowedHyperlink">
    <w:name w:val="FollowedHyperlink"/>
    <w:basedOn w:val="DefaultParagraphFont"/>
    <w:uiPriority w:val="99"/>
    <w:semiHidden/>
    <w:unhideWhenUsed/>
    <w:rsid w:val="00365A42"/>
    <w:rPr>
      <w:color w:val="800080" w:themeColor="followedHyperlink"/>
      <w:u w:val="single"/>
    </w:rPr>
  </w:style>
  <w:style w:type="paragraph" w:styleId="BalloonText">
    <w:name w:val="Balloon Text"/>
    <w:basedOn w:val="Normal"/>
    <w:link w:val="BalloonTextChar"/>
    <w:uiPriority w:val="99"/>
    <w:semiHidden/>
    <w:unhideWhenUsed/>
    <w:rsid w:val="00C112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0A"/>
    <w:rPr>
      <w:rFonts w:ascii="Tahoma" w:hAnsi="Tahoma" w:cs="Tahoma"/>
      <w:sz w:val="16"/>
      <w:szCs w:val="16"/>
    </w:rPr>
  </w:style>
  <w:style w:type="paragraph" w:styleId="TOCHeading">
    <w:name w:val="TOC Heading"/>
    <w:basedOn w:val="Heading1"/>
    <w:next w:val="Normal"/>
    <w:uiPriority w:val="39"/>
    <w:unhideWhenUsed/>
    <w:qFormat/>
    <w:rsid w:val="00BE1D94"/>
    <w:pPr>
      <w:spacing w:before="480" w:line="276" w:lineRule="auto"/>
      <w:jc w:val="left"/>
      <w:outlineLvl w:val="9"/>
    </w:pPr>
    <w:rPr>
      <w:rFonts w:asciiTheme="majorHAnsi" w:hAnsiTheme="majorHAnsi"/>
      <w:color w:val="365F91" w:themeColor="accent1" w:themeShade="BF"/>
      <w:lang w:val="en-US"/>
    </w:rPr>
  </w:style>
  <w:style w:type="table" w:styleId="TableGrid">
    <w:name w:val="Table Grid"/>
    <w:basedOn w:val="TableNormal"/>
    <w:uiPriority w:val="59"/>
    <w:rsid w:val="001A0F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1A0F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3">
    <w:name w:val="toc 3"/>
    <w:basedOn w:val="Normal"/>
    <w:next w:val="Normal"/>
    <w:autoRedefine/>
    <w:uiPriority w:val="39"/>
    <w:semiHidden/>
    <w:unhideWhenUsed/>
    <w:qFormat/>
    <w:rsid w:val="006D234B"/>
    <w:pPr>
      <w:spacing w:after="100" w:line="276" w:lineRule="auto"/>
      <w:ind w:left="440"/>
    </w:pPr>
    <w:rPr>
      <w:rFonts w:asciiTheme="minorHAnsi" w:eastAsiaTheme="minorEastAsia" w:hAnsiTheme="minorHAnsi"/>
      <w:sz w:val="22"/>
      <w:lang w:val="en-US"/>
    </w:rPr>
  </w:style>
  <w:style w:type="paragraph" w:styleId="EndnoteText">
    <w:name w:val="endnote text"/>
    <w:basedOn w:val="Normal"/>
    <w:link w:val="EndnoteTextChar"/>
    <w:uiPriority w:val="99"/>
    <w:semiHidden/>
    <w:unhideWhenUsed/>
    <w:rsid w:val="00C765FD"/>
    <w:pPr>
      <w:spacing w:line="240" w:lineRule="auto"/>
    </w:pPr>
    <w:rPr>
      <w:sz w:val="20"/>
      <w:szCs w:val="20"/>
    </w:rPr>
  </w:style>
  <w:style w:type="character" w:customStyle="1" w:styleId="EndnoteTextChar">
    <w:name w:val="Endnote Text Char"/>
    <w:basedOn w:val="DefaultParagraphFont"/>
    <w:link w:val="EndnoteText"/>
    <w:uiPriority w:val="99"/>
    <w:semiHidden/>
    <w:rsid w:val="00C765FD"/>
    <w:rPr>
      <w:rFonts w:ascii="Times New Roman" w:hAnsi="Times New Roman"/>
      <w:sz w:val="20"/>
      <w:szCs w:val="20"/>
    </w:rPr>
  </w:style>
  <w:style w:type="character" w:styleId="EndnoteReference">
    <w:name w:val="endnote reference"/>
    <w:basedOn w:val="DefaultParagraphFont"/>
    <w:uiPriority w:val="99"/>
    <w:semiHidden/>
    <w:unhideWhenUsed/>
    <w:rsid w:val="00C765FD"/>
    <w:rPr>
      <w:vertAlign w:val="superscript"/>
    </w:rPr>
  </w:style>
  <w:style w:type="paragraph" w:styleId="FootnoteText">
    <w:name w:val="footnote text"/>
    <w:basedOn w:val="Normal"/>
    <w:link w:val="FootnoteTextChar"/>
    <w:uiPriority w:val="99"/>
    <w:semiHidden/>
    <w:unhideWhenUsed/>
    <w:rsid w:val="00C765FD"/>
    <w:pPr>
      <w:spacing w:line="240" w:lineRule="auto"/>
    </w:pPr>
    <w:rPr>
      <w:sz w:val="20"/>
      <w:szCs w:val="20"/>
    </w:rPr>
  </w:style>
  <w:style w:type="character" w:customStyle="1" w:styleId="FootnoteTextChar">
    <w:name w:val="Footnote Text Char"/>
    <w:basedOn w:val="DefaultParagraphFont"/>
    <w:link w:val="FootnoteText"/>
    <w:uiPriority w:val="99"/>
    <w:semiHidden/>
    <w:rsid w:val="00C765FD"/>
    <w:rPr>
      <w:rFonts w:ascii="Times New Roman" w:hAnsi="Times New Roman"/>
      <w:sz w:val="20"/>
      <w:szCs w:val="20"/>
    </w:rPr>
  </w:style>
  <w:style w:type="character" w:styleId="FootnoteReference">
    <w:name w:val="footnote reference"/>
    <w:basedOn w:val="DefaultParagraphFont"/>
    <w:uiPriority w:val="99"/>
    <w:semiHidden/>
    <w:unhideWhenUsed/>
    <w:rsid w:val="00C765FD"/>
    <w:rPr>
      <w:vertAlign w:val="superscript"/>
    </w:rPr>
  </w:style>
  <w:style w:type="character" w:customStyle="1" w:styleId="title">
    <w:name w:val="title"/>
    <w:basedOn w:val="DefaultParagraphFont"/>
    <w:rsid w:val="00AC71D2"/>
  </w:style>
  <w:style w:type="paragraph" w:styleId="DocumentMap">
    <w:name w:val="Document Map"/>
    <w:basedOn w:val="Normal"/>
    <w:link w:val="DocumentMapChar"/>
    <w:uiPriority w:val="99"/>
    <w:semiHidden/>
    <w:unhideWhenUsed/>
    <w:rsid w:val="003B042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04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359600">
      <w:bodyDiv w:val="1"/>
      <w:marLeft w:val="0"/>
      <w:marRight w:val="0"/>
      <w:marTop w:val="0"/>
      <w:marBottom w:val="0"/>
      <w:divBdr>
        <w:top w:val="none" w:sz="0" w:space="0" w:color="auto"/>
        <w:left w:val="none" w:sz="0" w:space="0" w:color="auto"/>
        <w:bottom w:val="none" w:sz="0" w:space="0" w:color="auto"/>
        <w:right w:val="none" w:sz="0" w:space="0" w:color="auto"/>
      </w:divBdr>
    </w:div>
    <w:div w:id="749738128">
      <w:bodyDiv w:val="1"/>
      <w:marLeft w:val="0"/>
      <w:marRight w:val="0"/>
      <w:marTop w:val="0"/>
      <w:marBottom w:val="0"/>
      <w:divBdr>
        <w:top w:val="none" w:sz="0" w:space="0" w:color="auto"/>
        <w:left w:val="none" w:sz="0" w:space="0" w:color="auto"/>
        <w:bottom w:val="none" w:sz="0" w:space="0" w:color="auto"/>
        <w:right w:val="none" w:sz="0" w:space="0" w:color="auto"/>
      </w:divBdr>
    </w:div>
    <w:div w:id="1253247669">
      <w:bodyDiv w:val="1"/>
      <w:marLeft w:val="0"/>
      <w:marRight w:val="0"/>
      <w:marTop w:val="0"/>
      <w:marBottom w:val="0"/>
      <w:divBdr>
        <w:top w:val="none" w:sz="0" w:space="0" w:color="auto"/>
        <w:left w:val="none" w:sz="0" w:space="0" w:color="auto"/>
        <w:bottom w:val="none" w:sz="0" w:space="0" w:color="auto"/>
        <w:right w:val="none" w:sz="0" w:space="0" w:color="auto"/>
      </w:divBdr>
    </w:div>
    <w:div w:id="1277517722">
      <w:bodyDiv w:val="1"/>
      <w:marLeft w:val="0"/>
      <w:marRight w:val="0"/>
      <w:marTop w:val="0"/>
      <w:marBottom w:val="0"/>
      <w:divBdr>
        <w:top w:val="none" w:sz="0" w:space="0" w:color="auto"/>
        <w:left w:val="none" w:sz="0" w:space="0" w:color="auto"/>
        <w:bottom w:val="none" w:sz="0" w:space="0" w:color="auto"/>
        <w:right w:val="none" w:sz="0" w:space="0" w:color="auto"/>
      </w:divBdr>
    </w:div>
    <w:div w:id="1838500665">
      <w:bodyDiv w:val="1"/>
      <w:marLeft w:val="0"/>
      <w:marRight w:val="0"/>
      <w:marTop w:val="0"/>
      <w:marBottom w:val="0"/>
      <w:divBdr>
        <w:top w:val="none" w:sz="0" w:space="0" w:color="auto"/>
        <w:left w:val="none" w:sz="0" w:space="0" w:color="auto"/>
        <w:bottom w:val="none" w:sz="0" w:space="0" w:color="auto"/>
        <w:right w:val="none" w:sz="0" w:space="0" w:color="auto"/>
      </w:divBdr>
    </w:div>
    <w:div w:id="19579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21" Type="http://schemas.openxmlformats.org/officeDocument/2006/relationships/diagramData" Target="diagrams/data4.xml"/><Relationship Id="rId42" Type="http://schemas.openxmlformats.org/officeDocument/2006/relationships/hyperlink" Target="http://db1.stat.gov.lt/statbank/SelectVarVal/Define.asp?Maintable=M3060802&amp;PLanguage=0" TargetMode="External"/><Relationship Id="rId47" Type="http://schemas.openxmlformats.org/officeDocument/2006/relationships/hyperlink" Target="http://www.dpk.lt/files/fa/2008metai/NG%202008%2012%2031%20FA.xls" TargetMode="External"/><Relationship Id="rId63" Type="http://schemas.openxmlformats.org/officeDocument/2006/relationships/hyperlink" Target="http://db1.stat.gov.lt/statbank/SelectVarVal/Define.asp?Maintable=M7030304&amp;PLanguage=0" TargetMode="External"/><Relationship Id="rId68" Type="http://schemas.openxmlformats.org/officeDocument/2006/relationships/hyperlink" Target="http://www.lb.lt/lietuvos_ekonomikos_apzvalga_2012_m_rugpjucio_men" TargetMode="External"/><Relationship Id="rId84" Type="http://schemas.openxmlformats.org/officeDocument/2006/relationships/hyperlink" Target="http://www3.lrs.lt/pls/inter3/oldsearch.preps2?Condition1=228701&amp;Condition2" TargetMode="External"/><Relationship Id="rId89" Type="http://schemas.openxmlformats.org/officeDocument/2006/relationships/hyperlink" Target="http://media.cgd.swissre.com/documents/pr_sigma2_2010_en.pdf" TargetMode="Externa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chart" Target="charts/chart3.xml"/><Relationship Id="rId107" Type="http://schemas.openxmlformats.org/officeDocument/2006/relationships/hyperlink" Target="http://db1.stat.gov.lt/statbank/SelectVarVal/Define.asp?Maintable=M3010801&amp;PLanguage=0" TargetMode="External"/><Relationship Id="rId11" Type="http://schemas.openxmlformats.org/officeDocument/2006/relationships/diagramColors" Target="diagrams/colors1.xml"/><Relationship Id="rId24" Type="http://schemas.openxmlformats.org/officeDocument/2006/relationships/diagramColors" Target="diagrams/colors4.xml"/><Relationship Id="rId32" Type="http://schemas.openxmlformats.org/officeDocument/2006/relationships/chart" Target="charts/chart6.xml"/><Relationship Id="rId37" Type="http://schemas.openxmlformats.org/officeDocument/2006/relationships/hyperlink" Target="http://db1.stat.gov.lt/statbank/SelectVarVal/Define.asp?Maintable=M2010101&amp;PLanguage=0" TargetMode="External"/><Relationship Id="rId40" Type="http://schemas.openxmlformats.org/officeDocument/2006/relationships/hyperlink" Target="http://db1.stat.gov.lt/statbank/SelectVarVal/Define.asp?Maintable=M3030902&amp;PLanguage=0" TargetMode="External"/><Relationship Id="rId45" Type="http://schemas.openxmlformats.org/officeDocument/2006/relationships/hyperlink" Target="http://www.lb.lt/draudikai?pg=draudikai_vykdantys_ne_gyvybes_draudimo_veikla" TargetMode="External"/><Relationship Id="rId53" Type="http://schemas.openxmlformats.org/officeDocument/2006/relationships/hyperlink" Target="http://db1.stat.gov.lt/statbank/SelectVarVal/Define.asp?Maintable=M3010501&amp;PLanguage=0" TargetMode="External"/><Relationship Id="rId58" Type="http://schemas.openxmlformats.org/officeDocument/2006/relationships/hyperlink" Target="http://www.dpk.lt/files/menesine/sa_2005_12.xls" TargetMode="External"/><Relationship Id="rId66" Type="http://schemas.openxmlformats.org/officeDocument/2006/relationships/hyperlink" Target="http://db1.stat.gov.lt/statbank/SelectVarVal/Define.asp?Maintable=M2010129&amp;PLanguage=0" TargetMode="External"/><Relationship Id="rId74" Type="http://schemas.openxmlformats.org/officeDocument/2006/relationships/hyperlink" Target="http://www.dpk.lt/files/biuletenis/2010_II_pusm.xls" TargetMode="External"/><Relationship Id="rId79" Type="http://schemas.openxmlformats.org/officeDocument/2006/relationships/hyperlink" Target="http://www.dpk.lt/files/apzvalga/apzvalga2009.pdf" TargetMode="External"/><Relationship Id="rId87" Type="http://schemas.openxmlformats.org/officeDocument/2006/relationships/hyperlink" Target="http://db1.stat.gov.lt/statbank/SelectVarVal/Define.asp?Maintable=M2010221&amp;PLanguage=0" TargetMode="External"/><Relationship Id="rId102" Type="http://schemas.openxmlformats.org/officeDocument/2006/relationships/hyperlink" Target="http://www.dpk.lt/files/menesine/stat_veiklos_duomenys_2011/12/01.html" TargetMode="External"/><Relationship Id="rId110" Type="http://schemas.openxmlformats.org/officeDocument/2006/relationships/fontTable" Target="fontTable.xml"/><Relationship Id="rId123"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www.dpk.lt/files/LT%20imperatyvios%20normos%20draudikams.pdf" TargetMode="External"/><Relationship Id="rId82" Type="http://schemas.openxmlformats.org/officeDocument/2006/relationships/hyperlink" Target="http://ec.europa.eu/internal_market/finances/docs/actionplan/transposition/lithuania/d6.10-ml-lt.pdf" TargetMode="External"/><Relationship Id="rId90" Type="http://schemas.openxmlformats.org/officeDocument/2006/relationships/hyperlink" Target="http://media.swissre.com/documents/pr_20110702_sigma2_en.pdf" TargetMode="External"/><Relationship Id="rId95" Type="http://schemas.openxmlformats.org/officeDocument/2006/relationships/hyperlink" Target="http://db1.stat.gov.lt/statbank/SelectVarVal/Define.asp?Maintable=M7030101&amp;PLanguage=0" TargetMode="Externa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diagramLayout" Target="diagrams/layout4.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hyperlink" Target="http://www.stat.gov.lt/lt/news/view?id=10207" TargetMode="External"/><Relationship Id="rId48" Type="http://schemas.openxmlformats.org/officeDocument/2006/relationships/hyperlink" Target="http://www.dpk.lt/files/fa/2009metai/NG%202009%2012%2031%20FA.xls" TargetMode="External"/><Relationship Id="rId56" Type="http://schemas.openxmlformats.org/officeDocument/2006/relationships/hyperlink" Target="http://www.dpk.lt/files/menesine/sa_2003_12.xls" TargetMode="External"/><Relationship Id="rId64" Type="http://schemas.openxmlformats.org/officeDocument/2006/relationships/hyperlink" Target="http://db1.stat.gov.lt/statbank/SelectVarVal/Define.asp?Maintable=M2020108&amp;PLanguage=0" TargetMode="External"/><Relationship Id="rId69" Type="http://schemas.openxmlformats.org/officeDocument/2006/relationships/hyperlink" Target="http://www.lb.lt/2011_m_12_men_draudimo_rinkos_apzvalga" TargetMode="External"/><Relationship Id="rId77" Type="http://schemas.openxmlformats.org/officeDocument/2006/relationships/hyperlink" Target="http://www.dpk.lt/files/apzvalga/apzvalga2006.pdf" TargetMode="External"/><Relationship Id="rId100" Type="http://schemas.openxmlformats.org/officeDocument/2006/relationships/hyperlink" Target="http://www.dpk.lt/files/menesine/stat_veiklos_duomenys_2009/12/01.html" TargetMode="External"/><Relationship Id="rId105" Type="http://schemas.openxmlformats.org/officeDocument/2006/relationships/hyperlink" Target="http://db1.stat.gov.lt/statbank/SelectVarVal/Define.asp?Maintable=M3110709&amp;PLanguage=0" TargetMode="External"/><Relationship Id="rId8" Type="http://schemas.openxmlformats.org/officeDocument/2006/relationships/diagramData" Target="diagrams/data1.xml"/><Relationship Id="rId51" Type="http://schemas.openxmlformats.org/officeDocument/2006/relationships/hyperlink" Target="http://ec.europa.eu/internal_market/insurance/solvency/future/index_en.htm" TargetMode="External"/><Relationship Id="rId72" Type="http://schemas.openxmlformats.org/officeDocument/2006/relationships/hyperlink" Target="http://www3.lrs.lt/pls/inter3/dokpaieska.showdoc_l?p_id=430479" TargetMode="External"/><Relationship Id="rId80" Type="http://schemas.openxmlformats.org/officeDocument/2006/relationships/hyperlink" Target="http://www.dpk.lt/files/apzvalga/apzvalga2009.pdf" TargetMode="External"/><Relationship Id="rId85" Type="http://schemas.openxmlformats.org/officeDocument/2006/relationships/hyperlink" Target="http://www.finmin.lt/web/finmin/koment/mma_didpov" TargetMode="External"/><Relationship Id="rId93" Type="http://schemas.openxmlformats.org/officeDocument/2006/relationships/hyperlink" Target="http://www.indeliai.lt/lt/palukanu-normos/" TargetMode="External"/><Relationship Id="rId98" Type="http://schemas.openxmlformats.org/officeDocument/2006/relationships/hyperlink" Target="http://media.swissre.com/documents/Newsrelease_sigma4_2007_en.pdf" TargetMode="External"/><Relationship Id="rId121" Type="http://schemas.microsoft.com/office/2007/relationships/diagramDrawing" Target="diagrams/drawing2.xml"/><Relationship Id="rId3" Type="http://schemas.openxmlformats.org/officeDocument/2006/relationships/styles" Target="style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image" Target="media/image2.tiff"/><Relationship Id="rId33" Type="http://schemas.openxmlformats.org/officeDocument/2006/relationships/chart" Target="charts/chart7.xml"/><Relationship Id="rId38" Type="http://schemas.openxmlformats.org/officeDocument/2006/relationships/hyperlink" Target="http://db1.stat.gov.lt/statbank/SelectVarVal/Define.asp?Maintable=M2010202&amp;PLanguage=0" TargetMode="External"/><Relationship Id="rId46" Type="http://schemas.openxmlformats.org/officeDocument/2006/relationships/hyperlink" Target="http://www.dnb.lt/Dokumentai/lep2012_lt.pdf" TargetMode="External"/><Relationship Id="rId59" Type="http://schemas.openxmlformats.org/officeDocument/2006/relationships/hyperlink" Target="http://www.dpk.lt/files/menesine/sa_2006_12.xls" TargetMode="External"/><Relationship Id="rId67" Type="http://schemas.openxmlformats.org/officeDocument/2006/relationships/hyperlink" Target="http://www.slideshare.net/SwedbankLietuvoje/lietuva-nuosavo-bsto-ar-nuomos-kratas" TargetMode="External"/><Relationship Id="rId103" Type="http://schemas.openxmlformats.org/officeDocument/2006/relationships/hyperlink" Target="http://www.lb.lt/2012_09_1" TargetMode="External"/><Relationship Id="rId108" Type="http://schemas.openxmlformats.org/officeDocument/2006/relationships/hyperlink" Target="http://www.lb.lt/statistics/excel.aspx?group=7222&amp;lang=lt" TargetMode="External"/><Relationship Id="rId20" Type="http://schemas.openxmlformats.org/officeDocument/2006/relationships/diagramColors" Target="diagrams/colors3.xml"/><Relationship Id="rId41" Type="http://schemas.openxmlformats.org/officeDocument/2006/relationships/hyperlink" Target="http://db1.stat.gov.lt/statbank/SelectVarVal/Define.asp?Maintable=M3030101&amp;PLanguage=0" TargetMode="External"/><Relationship Id="rId54" Type="http://schemas.openxmlformats.org/officeDocument/2006/relationships/hyperlink" Target="http://db1.stat.gov.lt/statbank/SelectVarVal/Define.asp?Maintable=M3010101&amp;PLanguage=0" TargetMode="External"/><Relationship Id="rId62" Type="http://schemas.openxmlformats.org/officeDocument/2006/relationships/hyperlink" Target="http://www.ehow.com/facts_6850867_insurance-market-definition.html" TargetMode="External"/><Relationship Id="rId70" Type="http://schemas.openxmlformats.org/officeDocument/2006/relationships/hyperlink" Target="http://www.lb.lt/2012_m_ii_ketv_lietuvos_draudimo_rinkos_apzvalga" TargetMode="External"/><Relationship Id="rId75" Type="http://schemas.openxmlformats.org/officeDocument/2006/relationships/hyperlink" Target="http://www.dpk.lt/files/apzvalga/apzvalga2004.pdf" TargetMode="External"/><Relationship Id="rId83" Type="http://schemas.openxmlformats.org/officeDocument/2006/relationships/hyperlink" Target="http://tar.tic.lt/Default.aspx?id=2&amp;item=results&amp;aktoid=8DB0C1F9-9173-4833-A122-B39254152084" TargetMode="External"/><Relationship Id="rId88" Type="http://schemas.openxmlformats.org/officeDocument/2006/relationships/hyperlink" Target="http://www.draudikai.lt/lt/naujienos/naujas-draudimo-istatymas-sustiprins-draudiku-mokuma-ir-skaidruma" TargetMode="External"/><Relationship Id="rId91" Type="http://schemas.openxmlformats.org/officeDocument/2006/relationships/hyperlink" Target="http://media.swissre.com/documents/Press+Release_sigma_3_2012.pdf" TargetMode="External"/><Relationship Id="rId96" Type="http://schemas.openxmlformats.org/officeDocument/2006/relationships/hyperlink" Target="http://epp.eurostat.ec.europa.eu/tgm/graph.do?tab=graph&amp;plugin=1&amp;pcode=tps00001&amp;language=en&amp;toolbox=data"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QuickStyle" Target="diagrams/quickStyle4.xml"/><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hyperlink" Target="http://www.dpk.lt/files/fa/2011metai/NG%202011%2012%2031%20FA.xls" TargetMode="External"/><Relationship Id="rId57" Type="http://schemas.openxmlformats.org/officeDocument/2006/relationships/hyperlink" Target="http://www.dpk.lt/files/menesine/sa_2004_12.xls" TargetMode="External"/><Relationship Id="rId106" Type="http://schemas.openxmlformats.org/officeDocument/2006/relationships/hyperlink" Target="http://db1.stat.gov.lt/statbank/SelectVarVal/Define.asp?Maintable=M3110905&amp;PLanguage=0" TargetMode="External"/><Relationship Id="rId10" Type="http://schemas.openxmlformats.org/officeDocument/2006/relationships/diagramQuickStyle" Target="diagrams/quickStyle1.xml"/><Relationship Id="rId31" Type="http://schemas.openxmlformats.org/officeDocument/2006/relationships/chart" Target="charts/chart5.xml"/><Relationship Id="rId44" Type="http://schemas.openxmlformats.org/officeDocument/2006/relationships/hyperlink" Target="http://www.dpk.lt/klausiate.atsakome.phtml?id=5" TargetMode="External"/><Relationship Id="rId52" Type="http://schemas.openxmlformats.org/officeDocument/2006/relationships/hyperlink" Target="http://epp.eurostat.ec.europa.eu/tgm/graph.do?tab=graph&amp;plugin=1&amp;pcode=tec00114&amp;language=en&amp;toolbox=data" TargetMode="External"/><Relationship Id="rId60" Type="http://schemas.openxmlformats.org/officeDocument/2006/relationships/hyperlink" Target="http://www.dpk.lt/files/menesine/sa_2007_12.xls" TargetMode="External"/><Relationship Id="rId65" Type="http://schemas.openxmlformats.org/officeDocument/2006/relationships/hyperlink" Target="http://db1.stat.gov.lt/statbank/SelectVarVal/Define.asp?Maintable=M3110605&amp;PLanguage=0" TargetMode="External"/><Relationship Id="rId73" Type="http://schemas.openxmlformats.org/officeDocument/2006/relationships/hyperlink" Target="http://www3.lrs.lt/pls/inter3/dokpaieska.showdoc_l?p_id=413102" TargetMode="External"/><Relationship Id="rId78" Type="http://schemas.openxmlformats.org/officeDocument/2006/relationships/hyperlink" Target="http://www.dpk.lt/files/apzvalga/apzvalga2007.pdf" TargetMode="External"/><Relationship Id="rId81" Type="http://schemas.openxmlformats.org/officeDocument/2006/relationships/hyperlink" Target="http://www.dpk.lt/files/apzvalga/apzvalga2010.pdf" TargetMode="External"/><Relationship Id="rId86" Type="http://schemas.openxmlformats.org/officeDocument/2006/relationships/hyperlink" Target="http://www.dpk.lt/mokumas2.php?part=1" TargetMode="External"/><Relationship Id="rId94" Type="http://schemas.openxmlformats.org/officeDocument/2006/relationships/hyperlink" Target="http://www.marketnews.lt/naujiena/perspektyvos_draudimo_rinkoje_2009-01-11;itemid=6548" TargetMode="External"/><Relationship Id="rId99" Type="http://schemas.openxmlformats.org/officeDocument/2006/relationships/hyperlink" Target="http://www.dpk.lt/files/menesine/stat_veiklos_duomenys_2008/12/01.html" TargetMode="External"/><Relationship Id="rId101" Type="http://schemas.openxmlformats.org/officeDocument/2006/relationships/hyperlink" Target="http://www.dpk.lt/files/menesine/stat_veiklos_duomenys_2010/12/01.html" TargetMode="External"/><Relationship Id="rId122"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hyperlink" Target="http://www.stat.gov.lt/lt/news/view?id=10519&amp;PHPSESSID=0919329809463ddbce68fb383652d978" TargetMode="External"/><Relationship Id="rId109" Type="http://schemas.openxmlformats.org/officeDocument/2006/relationships/header" Target="header1.xml"/><Relationship Id="rId34" Type="http://schemas.openxmlformats.org/officeDocument/2006/relationships/chart" Target="charts/chart8.xml"/><Relationship Id="rId50" Type="http://schemas.openxmlformats.org/officeDocument/2006/relationships/hyperlink" Target="http://www.ve.lt/naujienos/ekonomika/ekonomikos-naujienos/ekspertas-lietuva-nepatraukli-uzsienio-investuotojams-del-politines-situacijos-507094/" TargetMode="External"/><Relationship Id="rId55" Type="http://schemas.openxmlformats.org/officeDocument/2006/relationships/hyperlink" Target="http://db1.stat.gov.lt/statbank/SelectVarVal/Define.asp?Maintable=M3010201&amp;PLanguage=0" TargetMode="External"/><Relationship Id="rId76" Type="http://schemas.openxmlformats.org/officeDocument/2006/relationships/hyperlink" Target="http://www.dpk.lt/files/apzvalga/apzvalga2005.pdf" TargetMode="External"/><Relationship Id="rId97" Type="http://schemas.openxmlformats.org/officeDocument/2006/relationships/hyperlink" Target="http://media.swissre.com/documents/pr_20031203_en.pdf" TargetMode="External"/><Relationship Id="rId104" Type="http://schemas.openxmlformats.org/officeDocument/2006/relationships/hyperlink" Target="http://db1.stat.gov.lt/statbank/SelectVarVal/Define.asp?Maintable=M2030207&amp;PLanguage=0" TargetMode="External"/><Relationship Id="rId7" Type="http://schemas.openxmlformats.org/officeDocument/2006/relationships/endnotes" Target="endnotes.xml"/><Relationship Id="rId71" Type="http://schemas.openxmlformats.org/officeDocument/2006/relationships/hyperlink" Target="http://www.draudikai.lt/doc/12-rinkos-statistika2pdf" TargetMode="External"/><Relationship Id="rId92" Type="http://schemas.openxmlformats.org/officeDocument/2006/relationships/hyperlink" Target="http://www.valstybestarnautojai.eu/index.php?option=com_content&amp;view=article&amp;id=133:pajamskirtumai&amp;catid=1:naujieno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Mano\My%20Documents\Finans&#371;%20rinkos\MBD\Info%20regresinei\regresi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ano\My%20Documents\Finans&#371;%20rinkos\MBD\grafik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Mano\My%20Documents\Finans&#371;%20rinkos\MBD\grafika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Mano\My%20Documents\Finans&#371;%20rinkos\MBD\grafik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Mano\My%20Documents\Finans&#371;%20rinkos\MBD\grafik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Mano\My%20Documents\Finans&#371;%20rinkos\MBD\grafik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Mano\My%20Documents\Finans&#371;%20rinkos\MBD\grafik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Mano\My%20Documents\Finans&#371;%20rinkos\MBD\grafika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Mano\My%20Documents\Finans&#371;%20rinkos\MBD\grafik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barChart>
        <c:barDir val="col"/>
        <c:grouping val="clustered"/>
        <c:ser>
          <c:idx val="0"/>
          <c:order val="0"/>
          <c:dLbls>
            <c:txPr>
              <a:bodyPr/>
              <a:lstStyle/>
              <a:p>
                <a:pPr>
                  <a:defRPr sz="1100" b="1"/>
                </a:pPr>
                <a:endParaRPr lang="lt-LT"/>
              </a:p>
            </c:txPr>
            <c:showVal val="1"/>
          </c:dLbls>
          <c:cat>
            <c:strRef>
              <c:f>Sheet1!$A$2:$P$2</c:f>
              <c:strCache>
                <c:ptCount val="1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strCache>
            </c:strRef>
          </c:cat>
          <c:val>
            <c:numRef>
              <c:f>Sheet1!$A$3:$P$3</c:f>
              <c:numCache>
                <c:formatCode>General</c:formatCode>
                <c:ptCount val="16"/>
                <c:pt idx="0">
                  <c:v>32</c:v>
                </c:pt>
                <c:pt idx="1">
                  <c:v>26</c:v>
                </c:pt>
                <c:pt idx="2">
                  <c:v>27</c:v>
                </c:pt>
                <c:pt idx="3">
                  <c:v>27</c:v>
                </c:pt>
                <c:pt idx="4">
                  <c:v>22</c:v>
                </c:pt>
                <c:pt idx="5">
                  <c:v>22</c:v>
                </c:pt>
                <c:pt idx="6">
                  <c:v>19</c:v>
                </c:pt>
                <c:pt idx="7">
                  <c:v>19</c:v>
                </c:pt>
                <c:pt idx="8">
                  <c:v>19</c:v>
                </c:pt>
                <c:pt idx="9">
                  <c:v>20</c:v>
                </c:pt>
                <c:pt idx="10">
                  <c:v>18</c:v>
                </c:pt>
                <c:pt idx="11">
                  <c:v>19</c:v>
                </c:pt>
                <c:pt idx="12">
                  <c:v>16</c:v>
                </c:pt>
                <c:pt idx="13">
                  <c:v>17</c:v>
                </c:pt>
                <c:pt idx="14">
                  <c:v>15</c:v>
                </c:pt>
                <c:pt idx="15">
                  <c:v>15</c:v>
                </c:pt>
              </c:numCache>
            </c:numRef>
          </c:val>
        </c:ser>
        <c:axId val="128297984"/>
        <c:axId val="128299776"/>
      </c:barChart>
      <c:catAx>
        <c:axId val="128297984"/>
        <c:scaling>
          <c:orientation val="minMax"/>
        </c:scaling>
        <c:axPos val="b"/>
        <c:tickLblPos val="nextTo"/>
        <c:txPr>
          <a:bodyPr/>
          <a:lstStyle/>
          <a:p>
            <a:pPr>
              <a:defRPr sz="1100" b="1"/>
            </a:pPr>
            <a:endParaRPr lang="lt-LT"/>
          </a:p>
        </c:txPr>
        <c:crossAx val="128299776"/>
        <c:crosses val="autoZero"/>
        <c:auto val="1"/>
        <c:lblAlgn val="ctr"/>
        <c:lblOffset val="100"/>
      </c:catAx>
      <c:valAx>
        <c:axId val="128299776"/>
        <c:scaling>
          <c:orientation val="minMax"/>
        </c:scaling>
        <c:axPos val="l"/>
        <c:majorGridlines/>
        <c:numFmt formatCode="General" sourceLinked="1"/>
        <c:tickLblPos val="nextTo"/>
        <c:txPr>
          <a:bodyPr/>
          <a:lstStyle/>
          <a:p>
            <a:pPr>
              <a:defRPr sz="1100" b="1"/>
            </a:pPr>
            <a:endParaRPr lang="lt-LT"/>
          </a:p>
        </c:txPr>
        <c:crossAx val="128297984"/>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plotArea>
      <c:layout/>
      <c:lineChart>
        <c:grouping val="standard"/>
        <c:ser>
          <c:idx val="0"/>
          <c:order val="0"/>
          <c:tx>
            <c:strRef>
              <c:f>Sheet2!$B$1</c:f>
              <c:strCache>
                <c:ptCount val="1"/>
                <c:pt idx="0">
                  <c:v>Modelio prognozė</c:v>
                </c:pt>
              </c:strCache>
            </c:strRef>
          </c:tx>
          <c:spPr>
            <a:ln w="31750"/>
          </c:spPr>
          <c:marker>
            <c:symbol val="none"/>
          </c:marker>
          <c:cat>
            <c:strRef>
              <c:f>Sheet2!$A$2:$A$36</c:f>
              <c:strCache>
                <c:ptCount val="35"/>
                <c:pt idx="0">
                  <c:v>2004 I</c:v>
                </c:pt>
                <c:pt idx="1">
                  <c:v>2004 II</c:v>
                </c:pt>
                <c:pt idx="2">
                  <c:v>2004 III</c:v>
                </c:pt>
                <c:pt idx="3">
                  <c:v>2004 IV</c:v>
                </c:pt>
                <c:pt idx="4">
                  <c:v>2005 I</c:v>
                </c:pt>
                <c:pt idx="5">
                  <c:v>2005 II</c:v>
                </c:pt>
                <c:pt idx="6">
                  <c:v>2005 III</c:v>
                </c:pt>
                <c:pt idx="7">
                  <c:v>2005 IV</c:v>
                </c:pt>
                <c:pt idx="8">
                  <c:v>2006 I</c:v>
                </c:pt>
                <c:pt idx="9">
                  <c:v>2006 II</c:v>
                </c:pt>
                <c:pt idx="10">
                  <c:v>2006 III</c:v>
                </c:pt>
                <c:pt idx="11">
                  <c:v>2006 IV</c:v>
                </c:pt>
                <c:pt idx="12">
                  <c:v>2007 I</c:v>
                </c:pt>
                <c:pt idx="13">
                  <c:v>2007 II</c:v>
                </c:pt>
                <c:pt idx="14">
                  <c:v>2007 III</c:v>
                </c:pt>
                <c:pt idx="15">
                  <c:v>2007 IV</c:v>
                </c:pt>
                <c:pt idx="16">
                  <c:v>2008 I</c:v>
                </c:pt>
                <c:pt idx="17">
                  <c:v>2008 II</c:v>
                </c:pt>
                <c:pt idx="18">
                  <c:v>2008 III</c:v>
                </c:pt>
                <c:pt idx="19">
                  <c:v>2008 IV</c:v>
                </c:pt>
                <c:pt idx="20">
                  <c:v>2009 I</c:v>
                </c:pt>
                <c:pt idx="21">
                  <c:v>2009 II</c:v>
                </c:pt>
                <c:pt idx="22">
                  <c:v>2009 III</c:v>
                </c:pt>
                <c:pt idx="23">
                  <c:v>2009 IV</c:v>
                </c:pt>
                <c:pt idx="24">
                  <c:v>2010 I</c:v>
                </c:pt>
                <c:pt idx="25">
                  <c:v>2010 II</c:v>
                </c:pt>
                <c:pt idx="26">
                  <c:v>2010 III</c:v>
                </c:pt>
                <c:pt idx="27">
                  <c:v>2010 IV</c:v>
                </c:pt>
                <c:pt idx="28">
                  <c:v>2011 I</c:v>
                </c:pt>
                <c:pt idx="29">
                  <c:v>2011 II</c:v>
                </c:pt>
                <c:pt idx="30">
                  <c:v>2011 III</c:v>
                </c:pt>
                <c:pt idx="31">
                  <c:v>2011 IV</c:v>
                </c:pt>
                <c:pt idx="32">
                  <c:v>2012 I</c:v>
                </c:pt>
                <c:pt idx="33">
                  <c:v>2012 II</c:v>
                </c:pt>
                <c:pt idx="34">
                  <c:v>2012 III</c:v>
                </c:pt>
              </c:strCache>
            </c:strRef>
          </c:cat>
          <c:val>
            <c:numRef>
              <c:f>Sheet2!$B$2:$B$36</c:f>
              <c:numCache>
                <c:formatCode>General</c:formatCode>
                <c:ptCount val="35"/>
                <c:pt idx="0">
                  <c:v>135.37188858000007</c:v>
                </c:pt>
                <c:pt idx="1">
                  <c:v>180.1281457</c:v>
                </c:pt>
                <c:pt idx="2">
                  <c:v>195.88724622000191</c:v>
                </c:pt>
                <c:pt idx="3">
                  <c:v>201.55092390000004</c:v>
                </c:pt>
                <c:pt idx="4">
                  <c:v>181.85142490000209</c:v>
                </c:pt>
                <c:pt idx="5">
                  <c:v>218.88323856000127</c:v>
                </c:pt>
                <c:pt idx="6">
                  <c:v>214.80822578000001</c:v>
                </c:pt>
                <c:pt idx="7">
                  <c:v>220.14960141999995</c:v>
                </c:pt>
                <c:pt idx="8">
                  <c:v>198.28990211999999</c:v>
                </c:pt>
                <c:pt idx="9">
                  <c:v>240.65440698000171</c:v>
                </c:pt>
                <c:pt idx="10">
                  <c:v>271.53382769999996</c:v>
                </c:pt>
                <c:pt idx="11">
                  <c:v>278.09763857999963</c:v>
                </c:pt>
                <c:pt idx="12">
                  <c:v>258.74277925999894</c:v>
                </c:pt>
                <c:pt idx="13">
                  <c:v>311.08914503999995</c:v>
                </c:pt>
                <c:pt idx="14">
                  <c:v>334.37981062000364</c:v>
                </c:pt>
                <c:pt idx="15">
                  <c:v>339.87216036000001</c:v>
                </c:pt>
                <c:pt idx="16">
                  <c:v>329.84580434000031</c:v>
                </c:pt>
                <c:pt idx="17">
                  <c:v>378.7623413</c:v>
                </c:pt>
                <c:pt idx="18">
                  <c:v>371.93384945999605</c:v>
                </c:pt>
                <c:pt idx="19">
                  <c:v>347.40407718</c:v>
                </c:pt>
                <c:pt idx="20">
                  <c:v>270.10797509999998</c:v>
                </c:pt>
                <c:pt idx="21">
                  <c:v>273.02859565999893</c:v>
                </c:pt>
                <c:pt idx="22">
                  <c:v>246.38079554000001</c:v>
                </c:pt>
                <c:pt idx="23">
                  <c:v>234.26816956000002</c:v>
                </c:pt>
                <c:pt idx="24">
                  <c:v>204.64789145999998</c:v>
                </c:pt>
                <c:pt idx="25">
                  <c:v>257.05931269999996</c:v>
                </c:pt>
                <c:pt idx="26">
                  <c:v>267.92041601999864</c:v>
                </c:pt>
                <c:pt idx="27">
                  <c:v>278.53156717999963</c:v>
                </c:pt>
                <c:pt idx="28">
                  <c:v>243.97308815999997</c:v>
                </c:pt>
                <c:pt idx="29">
                  <c:v>288.40285919999997</c:v>
                </c:pt>
                <c:pt idx="30">
                  <c:v>303.64476846000002</c:v>
                </c:pt>
                <c:pt idx="31">
                  <c:v>292.51432460000001</c:v>
                </c:pt>
                <c:pt idx="32">
                  <c:v>269.05636859999993</c:v>
                </c:pt>
                <c:pt idx="33">
                  <c:v>297.86610323999969</c:v>
                </c:pt>
                <c:pt idx="34">
                  <c:v>309.71622262</c:v>
                </c:pt>
              </c:numCache>
            </c:numRef>
          </c:val>
        </c:ser>
        <c:ser>
          <c:idx val="1"/>
          <c:order val="1"/>
          <c:tx>
            <c:strRef>
              <c:f>Sheet2!$C$1</c:f>
              <c:strCache>
                <c:ptCount val="1"/>
                <c:pt idx="0">
                  <c:v>Faktinės Y reikšmės</c:v>
                </c:pt>
              </c:strCache>
            </c:strRef>
          </c:tx>
          <c:spPr>
            <a:ln w="31750"/>
          </c:spPr>
          <c:marker>
            <c:symbol val="none"/>
          </c:marker>
          <c:cat>
            <c:strRef>
              <c:f>Sheet2!$A$2:$A$36</c:f>
              <c:strCache>
                <c:ptCount val="35"/>
                <c:pt idx="0">
                  <c:v>2004 I</c:v>
                </c:pt>
                <c:pt idx="1">
                  <c:v>2004 II</c:v>
                </c:pt>
                <c:pt idx="2">
                  <c:v>2004 III</c:v>
                </c:pt>
                <c:pt idx="3">
                  <c:v>2004 IV</c:v>
                </c:pt>
                <c:pt idx="4">
                  <c:v>2005 I</c:v>
                </c:pt>
                <c:pt idx="5">
                  <c:v>2005 II</c:v>
                </c:pt>
                <c:pt idx="6">
                  <c:v>2005 III</c:v>
                </c:pt>
                <c:pt idx="7">
                  <c:v>2005 IV</c:v>
                </c:pt>
                <c:pt idx="8">
                  <c:v>2006 I</c:v>
                </c:pt>
                <c:pt idx="9">
                  <c:v>2006 II</c:v>
                </c:pt>
                <c:pt idx="10">
                  <c:v>2006 III</c:v>
                </c:pt>
                <c:pt idx="11">
                  <c:v>2006 IV</c:v>
                </c:pt>
                <c:pt idx="12">
                  <c:v>2007 I</c:v>
                </c:pt>
                <c:pt idx="13">
                  <c:v>2007 II</c:v>
                </c:pt>
                <c:pt idx="14">
                  <c:v>2007 III</c:v>
                </c:pt>
                <c:pt idx="15">
                  <c:v>2007 IV</c:v>
                </c:pt>
                <c:pt idx="16">
                  <c:v>2008 I</c:v>
                </c:pt>
                <c:pt idx="17">
                  <c:v>2008 II</c:v>
                </c:pt>
                <c:pt idx="18">
                  <c:v>2008 III</c:v>
                </c:pt>
                <c:pt idx="19">
                  <c:v>2008 IV</c:v>
                </c:pt>
                <c:pt idx="20">
                  <c:v>2009 I</c:v>
                </c:pt>
                <c:pt idx="21">
                  <c:v>2009 II</c:v>
                </c:pt>
                <c:pt idx="22">
                  <c:v>2009 III</c:v>
                </c:pt>
                <c:pt idx="23">
                  <c:v>2009 IV</c:v>
                </c:pt>
                <c:pt idx="24">
                  <c:v>2010 I</c:v>
                </c:pt>
                <c:pt idx="25">
                  <c:v>2010 II</c:v>
                </c:pt>
                <c:pt idx="26">
                  <c:v>2010 III</c:v>
                </c:pt>
                <c:pt idx="27">
                  <c:v>2010 IV</c:v>
                </c:pt>
                <c:pt idx="28">
                  <c:v>2011 I</c:v>
                </c:pt>
                <c:pt idx="29">
                  <c:v>2011 II</c:v>
                </c:pt>
                <c:pt idx="30">
                  <c:v>2011 III</c:v>
                </c:pt>
                <c:pt idx="31">
                  <c:v>2011 IV</c:v>
                </c:pt>
                <c:pt idx="32">
                  <c:v>2012 I</c:v>
                </c:pt>
                <c:pt idx="33">
                  <c:v>2012 II</c:v>
                </c:pt>
                <c:pt idx="34">
                  <c:v>2012 III</c:v>
                </c:pt>
              </c:strCache>
            </c:strRef>
          </c:cat>
          <c:val>
            <c:numRef>
              <c:f>Sheet2!$C$2:$C$36</c:f>
              <c:numCache>
                <c:formatCode>0.00</c:formatCode>
                <c:ptCount val="35"/>
                <c:pt idx="0">
                  <c:v>157.20442171000002</c:v>
                </c:pt>
                <c:pt idx="1">
                  <c:v>242.93375732000001</c:v>
                </c:pt>
                <c:pt idx="2">
                  <c:v>143.79394611000001</c:v>
                </c:pt>
                <c:pt idx="3">
                  <c:v>135.96440859000001</c:v>
                </c:pt>
                <c:pt idx="4">
                  <c:v>162.38496593000002</c:v>
                </c:pt>
                <c:pt idx="5">
                  <c:v>247.02362727000002</c:v>
                </c:pt>
                <c:pt idx="6">
                  <c:v>161.03207214</c:v>
                </c:pt>
                <c:pt idx="7">
                  <c:v>184.37511929000001</c:v>
                </c:pt>
                <c:pt idx="8">
                  <c:v>195.64424069999998</c:v>
                </c:pt>
                <c:pt idx="9">
                  <c:v>303.75241863999997</c:v>
                </c:pt>
                <c:pt idx="10">
                  <c:v>241.50104573000002</c:v>
                </c:pt>
                <c:pt idx="11">
                  <c:v>241.29799672000001</c:v>
                </c:pt>
                <c:pt idx="12">
                  <c:v>267.83213983999963</c:v>
                </c:pt>
                <c:pt idx="13">
                  <c:v>367.08407702999995</c:v>
                </c:pt>
                <c:pt idx="14">
                  <c:v>297.76687953999999</c:v>
                </c:pt>
                <c:pt idx="15">
                  <c:v>317.57734606999969</c:v>
                </c:pt>
                <c:pt idx="16">
                  <c:v>341.92563388999969</c:v>
                </c:pt>
                <c:pt idx="17">
                  <c:v>432.70014699999899</c:v>
                </c:pt>
                <c:pt idx="18">
                  <c:v>356.91137682999869</c:v>
                </c:pt>
                <c:pt idx="19">
                  <c:v>323.81012715000003</c:v>
                </c:pt>
                <c:pt idx="20">
                  <c:v>296.59481479000004</c:v>
                </c:pt>
                <c:pt idx="21">
                  <c:v>286.18761913999998</c:v>
                </c:pt>
                <c:pt idx="22">
                  <c:v>238.92002363000003</c:v>
                </c:pt>
                <c:pt idx="23">
                  <c:v>236.48828747000229</c:v>
                </c:pt>
                <c:pt idx="24">
                  <c:v>239.29754974000002</c:v>
                </c:pt>
                <c:pt idx="25">
                  <c:v>278.39336119999996</c:v>
                </c:pt>
                <c:pt idx="26">
                  <c:v>245.50702441000001</c:v>
                </c:pt>
                <c:pt idx="27">
                  <c:v>249.09485437999999</c:v>
                </c:pt>
                <c:pt idx="28">
                  <c:v>266.90889286999999</c:v>
                </c:pt>
                <c:pt idx="29">
                  <c:v>311.98414125999869</c:v>
                </c:pt>
                <c:pt idx="30">
                  <c:v>277.00246675</c:v>
                </c:pt>
                <c:pt idx="31">
                  <c:v>283.05989350000038</c:v>
                </c:pt>
                <c:pt idx="32">
                  <c:v>277.55483962000238</c:v>
                </c:pt>
                <c:pt idx="33">
                  <c:v>323.12787382000232</c:v>
                </c:pt>
                <c:pt idx="34">
                  <c:v>301.76535994999432</c:v>
                </c:pt>
              </c:numCache>
            </c:numRef>
          </c:val>
        </c:ser>
        <c:marker val="1"/>
        <c:axId val="128766720"/>
        <c:axId val="128768256"/>
      </c:lineChart>
      <c:catAx>
        <c:axId val="128766720"/>
        <c:scaling>
          <c:orientation val="minMax"/>
        </c:scaling>
        <c:axPos val="b"/>
        <c:tickLblPos val="nextTo"/>
        <c:txPr>
          <a:bodyPr/>
          <a:lstStyle/>
          <a:p>
            <a:pPr>
              <a:defRPr sz="1100" b="1"/>
            </a:pPr>
            <a:endParaRPr lang="lt-LT"/>
          </a:p>
        </c:txPr>
        <c:crossAx val="128768256"/>
        <c:crosses val="autoZero"/>
        <c:auto val="1"/>
        <c:lblAlgn val="ctr"/>
        <c:lblOffset val="100"/>
      </c:catAx>
      <c:valAx>
        <c:axId val="128768256"/>
        <c:scaling>
          <c:orientation val="minMax"/>
          <c:max val="500"/>
        </c:scaling>
        <c:axPos val="l"/>
        <c:majorGridlines/>
        <c:numFmt formatCode="General" sourceLinked="1"/>
        <c:tickLblPos val="nextTo"/>
        <c:txPr>
          <a:bodyPr/>
          <a:lstStyle/>
          <a:p>
            <a:pPr>
              <a:defRPr sz="1100" b="1"/>
            </a:pPr>
            <a:endParaRPr lang="lt-LT"/>
          </a:p>
        </c:txPr>
        <c:crossAx val="128766720"/>
        <c:crosses val="autoZero"/>
        <c:crossBetween val="between"/>
      </c:valAx>
    </c:plotArea>
    <c:legend>
      <c:legendPos val="b"/>
      <c:txPr>
        <a:bodyPr/>
        <a:lstStyle/>
        <a:p>
          <a:pPr>
            <a:defRPr sz="1100" b="1"/>
          </a:pPr>
          <a:endParaRPr lang="lt-LT"/>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barChart>
        <c:barDir val="col"/>
        <c:grouping val="stacked"/>
        <c:ser>
          <c:idx val="0"/>
          <c:order val="0"/>
          <c:tx>
            <c:strRef>
              <c:f>Sheet1!$A$25</c:f>
              <c:strCache>
                <c:ptCount val="1"/>
                <c:pt idx="0">
                  <c:v>Ne gyvybės draudimas</c:v>
                </c:pt>
              </c:strCache>
            </c:strRef>
          </c:tx>
          <c:dLbls>
            <c:txPr>
              <a:bodyPr/>
              <a:lstStyle/>
              <a:p>
                <a:pPr>
                  <a:defRPr sz="1100" b="1"/>
                </a:pPr>
                <a:endParaRPr lang="lt-LT"/>
              </a:p>
            </c:txPr>
            <c:showVal val="1"/>
          </c:dLbls>
          <c:cat>
            <c:numRef>
              <c:f>Sheet1!$B$24:$L$24</c:f>
              <c:numCache>
                <c:formatCode>@</c:formatCode>
                <c:ptCount val="11"/>
                <c:pt idx="0" formatCode="General">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Sheet1!$B$25:$L$25</c:f>
              <c:numCache>
                <c:formatCode>General</c:formatCode>
                <c:ptCount val="11"/>
                <c:pt idx="0">
                  <c:v>82</c:v>
                </c:pt>
                <c:pt idx="1">
                  <c:v>74</c:v>
                </c:pt>
                <c:pt idx="2">
                  <c:v>75</c:v>
                </c:pt>
                <c:pt idx="3">
                  <c:v>73</c:v>
                </c:pt>
                <c:pt idx="4">
                  <c:v>69</c:v>
                </c:pt>
                <c:pt idx="5">
                  <c:v>62</c:v>
                </c:pt>
                <c:pt idx="6">
                  <c:v>74</c:v>
                </c:pt>
                <c:pt idx="7">
                  <c:v>69</c:v>
                </c:pt>
                <c:pt idx="8">
                  <c:v>65</c:v>
                </c:pt>
                <c:pt idx="9">
                  <c:v>67</c:v>
                </c:pt>
                <c:pt idx="10">
                  <c:v>70</c:v>
                </c:pt>
              </c:numCache>
            </c:numRef>
          </c:val>
        </c:ser>
        <c:ser>
          <c:idx val="1"/>
          <c:order val="1"/>
          <c:tx>
            <c:strRef>
              <c:f>Sheet1!$A$26</c:f>
              <c:strCache>
                <c:ptCount val="1"/>
                <c:pt idx="0">
                  <c:v>Gyvybės draudimas</c:v>
                </c:pt>
              </c:strCache>
            </c:strRef>
          </c:tx>
          <c:dLbls>
            <c:txPr>
              <a:bodyPr/>
              <a:lstStyle/>
              <a:p>
                <a:pPr>
                  <a:defRPr sz="1100" b="1"/>
                </a:pPr>
                <a:endParaRPr lang="lt-LT"/>
              </a:p>
            </c:txPr>
            <c:showVal val="1"/>
          </c:dLbls>
          <c:cat>
            <c:numRef>
              <c:f>Sheet1!$B$24:$L$24</c:f>
              <c:numCache>
                <c:formatCode>@</c:formatCode>
                <c:ptCount val="11"/>
                <c:pt idx="0" formatCode="General">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Sheet1!$B$26:$L$26</c:f>
              <c:numCache>
                <c:formatCode>General</c:formatCode>
                <c:ptCount val="11"/>
                <c:pt idx="0">
                  <c:v>18</c:v>
                </c:pt>
                <c:pt idx="1">
                  <c:v>26</c:v>
                </c:pt>
                <c:pt idx="2">
                  <c:v>25</c:v>
                </c:pt>
                <c:pt idx="3">
                  <c:v>27</c:v>
                </c:pt>
                <c:pt idx="4">
                  <c:v>31</c:v>
                </c:pt>
                <c:pt idx="5">
                  <c:v>38</c:v>
                </c:pt>
                <c:pt idx="6">
                  <c:v>26</c:v>
                </c:pt>
                <c:pt idx="7">
                  <c:v>31</c:v>
                </c:pt>
                <c:pt idx="8">
                  <c:v>35</c:v>
                </c:pt>
                <c:pt idx="9">
                  <c:v>33</c:v>
                </c:pt>
                <c:pt idx="10">
                  <c:v>30</c:v>
                </c:pt>
              </c:numCache>
            </c:numRef>
          </c:val>
        </c:ser>
        <c:dLbls>
          <c:showVal val="1"/>
        </c:dLbls>
        <c:gapWidth val="75"/>
        <c:overlap val="100"/>
        <c:axId val="128308352"/>
        <c:axId val="128309888"/>
      </c:barChart>
      <c:catAx>
        <c:axId val="128308352"/>
        <c:scaling>
          <c:orientation val="minMax"/>
        </c:scaling>
        <c:axPos val="b"/>
        <c:numFmt formatCode="General" sourceLinked="1"/>
        <c:majorTickMark val="none"/>
        <c:tickLblPos val="nextTo"/>
        <c:txPr>
          <a:bodyPr/>
          <a:lstStyle/>
          <a:p>
            <a:pPr>
              <a:defRPr sz="1100" b="1"/>
            </a:pPr>
            <a:endParaRPr lang="lt-LT"/>
          </a:p>
        </c:txPr>
        <c:crossAx val="128309888"/>
        <c:crosses val="autoZero"/>
        <c:auto val="1"/>
        <c:lblAlgn val="ctr"/>
        <c:lblOffset val="100"/>
      </c:catAx>
      <c:valAx>
        <c:axId val="128309888"/>
        <c:scaling>
          <c:orientation val="minMax"/>
        </c:scaling>
        <c:delete val="1"/>
        <c:axPos val="l"/>
        <c:numFmt formatCode="General" sourceLinked="1"/>
        <c:majorTickMark val="none"/>
        <c:tickLblPos val="nextTo"/>
        <c:crossAx val="128308352"/>
        <c:crosses val="autoZero"/>
        <c:crossBetween val="between"/>
      </c:valAx>
    </c:plotArea>
    <c:legend>
      <c:legendPos val="b"/>
      <c:txPr>
        <a:bodyPr/>
        <a:lstStyle/>
        <a:p>
          <a:pPr>
            <a:defRPr sz="1100" b="1"/>
          </a:pPr>
          <a:endParaRPr lang="lt-LT"/>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barChart>
        <c:barDir val="col"/>
        <c:grouping val="clustered"/>
        <c:ser>
          <c:idx val="0"/>
          <c:order val="0"/>
          <c:tx>
            <c:strRef>
              <c:f>imokos!$A$2</c:f>
              <c:strCache>
                <c:ptCount val="1"/>
                <c:pt idx="0">
                  <c:v>Pasirašytos draudimo įmokos (mln. Lt)</c:v>
                </c:pt>
              </c:strCache>
            </c:strRef>
          </c:tx>
          <c:cat>
            <c:numRef>
              <c:f>imokos!$B$1:$K$1</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imokos!$B$2:$K$2</c:f>
              <c:numCache>
                <c:formatCode>#,##0</c:formatCode>
                <c:ptCount val="10"/>
                <c:pt idx="0">
                  <c:v>635.70000000000005</c:v>
                </c:pt>
                <c:pt idx="1">
                  <c:v>620</c:v>
                </c:pt>
                <c:pt idx="2">
                  <c:v>680.84599999999796</c:v>
                </c:pt>
                <c:pt idx="3">
                  <c:v>749.33799999999746</c:v>
                </c:pt>
                <c:pt idx="4">
                  <c:v>1010.6428575599999</c:v>
                </c:pt>
                <c:pt idx="5">
                  <c:v>1299.9341626499995</c:v>
                </c:pt>
                <c:pt idx="6">
                  <c:v>1503.6950248299795</c:v>
                </c:pt>
                <c:pt idx="7">
                  <c:v>1058.6866532700001</c:v>
                </c:pt>
                <c:pt idx="8">
                  <c:v>1009.13718666</c:v>
                </c:pt>
                <c:pt idx="9">
                  <c:v>1139</c:v>
                </c:pt>
              </c:numCache>
            </c:numRef>
          </c:val>
        </c:ser>
        <c:ser>
          <c:idx val="1"/>
          <c:order val="1"/>
          <c:tx>
            <c:strRef>
              <c:f>imokos!$A$3</c:f>
              <c:strCache>
                <c:ptCount val="1"/>
                <c:pt idx="0">
                  <c:v>Draudimo išmokos (mln. Lt)</c:v>
                </c:pt>
              </c:strCache>
            </c:strRef>
          </c:tx>
          <c:spPr>
            <a:ln w="38100"/>
          </c:spPr>
          <c:cat>
            <c:numRef>
              <c:f>imokos!$B$1:$K$1</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imokos!$B$3:$K$3</c:f>
              <c:numCache>
                <c:formatCode>#,##0</c:formatCode>
                <c:ptCount val="10"/>
                <c:pt idx="0">
                  <c:v>243.3</c:v>
                </c:pt>
                <c:pt idx="1">
                  <c:v>301.5</c:v>
                </c:pt>
                <c:pt idx="2">
                  <c:v>281</c:v>
                </c:pt>
                <c:pt idx="3">
                  <c:v>345.7</c:v>
                </c:pt>
                <c:pt idx="4">
                  <c:v>453</c:v>
                </c:pt>
                <c:pt idx="5">
                  <c:v>598.5</c:v>
                </c:pt>
                <c:pt idx="6">
                  <c:v>757.8</c:v>
                </c:pt>
                <c:pt idx="7">
                  <c:v>834.4</c:v>
                </c:pt>
                <c:pt idx="8">
                  <c:v>729.9</c:v>
                </c:pt>
                <c:pt idx="9">
                  <c:v>743.5</c:v>
                </c:pt>
              </c:numCache>
            </c:numRef>
          </c:val>
        </c:ser>
        <c:axId val="128361600"/>
        <c:axId val="128363520"/>
      </c:barChart>
      <c:lineChart>
        <c:grouping val="standard"/>
        <c:ser>
          <c:idx val="2"/>
          <c:order val="2"/>
          <c:tx>
            <c:strRef>
              <c:f>imokos!$A$4</c:f>
              <c:strCache>
                <c:ptCount val="1"/>
                <c:pt idx="0">
                  <c:v>Pasirašytų įmokų pokytis</c:v>
                </c:pt>
              </c:strCache>
            </c:strRef>
          </c:tx>
          <c:spPr>
            <a:ln w="44450">
              <a:solidFill>
                <a:schemeClr val="tx2">
                  <a:lumMod val="40000"/>
                  <a:lumOff val="60000"/>
                </a:schemeClr>
              </a:solidFill>
            </a:ln>
          </c:spPr>
          <c:marker>
            <c:symbol val="triangle"/>
            <c:size val="7"/>
            <c:spPr>
              <a:solidFill>
                <a:schemeClr val="accent1">
                  <a:lumMod val="60000"/>
                  <a:lumOff val="40000"/>
                </a:schemeClr>
              </a:solidFill>
              <a:ln>
                <a:solidFill>
                  <a:schemeClr val="accent1">
                    <a:lumMod val="60000"/>
                    <a:lumOff val="40000"/>
                  </a:schemeClr>
                </a:solidFill>
              </a:ln>
            </c:spPr>
          </c:marker>
          <c:cat>
            <c:numRef>
              <c:f>imokos!$B$1:$K$1</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imokos!$B$4:$K$4</c:f>
              <c:numCache>
                <c:formatCode>0.0%</c:formatCode>
                <c:ptCount val="10"/>
                <c:pt idx="0" formatCode="General">
                  <c:v>0.65200000000001046</c:v>
                </c:pt>
                <c:pt idx="1">
                  <c:v>-2.4697184206386728E-2</c:v>
                </c:pt>
                <c:pt idx="2">
                  <c:v>9.8138709677419528E-2</c:v>
                </c:pt>
                <c:pt idx="3">
                  <c:v>0.10059837320040062</c:v>
                </c:pt>
                <c:pt idx="4">
                  <c:v>0.34871427521359138</c:v>
                </c:pt>
                <c:pt idx="5">
                  <c:v>0.28624484200921085</c:v>
                </c:pt>
                <c:pt idx="6">
                  <c:v>0.15674706307019995</c:v>
                </c:pt>
                <c:pt idx="7">
                  <c:v>-0.29594323596988714</c:v>
                </c:pt>
                <c:pt idx="8">
                  <c:v>-4.6802768748387472E-2</c:v>
                </c:pt>
                <c:pt idx="9">
                  <c:v>0.12868697641577787</c:v>
                </c:pt>
              </c:numCache>
            </c:numRef>
          </c:val>
        </c:ser>
        <c:ser>
          <c:idx val="3"/>
          <c:order val="3"/>
          <c:tx>
            <c:strRef>
              <c:f>imokos!$A$5</c:f>
              <c:strCache>
                <c:ptCount val="1"/>
                <c:pt idx="0">
                  <c:v>Išmokų pokytis</c:v>
                </c:pt>
              </c:strCache>
            </c:strRef>
          </c:tx>
          <c:spPr>
            <a:ln w="44450">
              <a:solidFill>
                <a:schemeClr val="accent2">
                  <a:lumMod val="60000"/>
                  <a:lumOff val="40000"/>
                </a:schemeClr>
              </a:solidFill>
            </a:ln>
          </c:spPr>
          <c:marker>
            <c:symbol val="diamond"/>
            <c:size val="7"/>
            <c:spPr>
              <a:solidFill>
                <a:schemeClr val="accent2">
                  <a:lumMod val="60000"/>
                  <a:lumOff val="40000"/>
                </a:schemeClr>
              </a:solidFill>
              <a:ln>
                <a:solidFill>
                  <a:schemeClr val="accent2">
                    <a:lumMod val="60000"/>
                    <a:lumOff val="40000"/>
                  </a:schemeClr>
                </a:solidFill>
              </a:ln>
            </c:spPr>
          </c:marker>
          <c:cat>
            <c:numRef>
              <c:f>imokos!$B$1:$K$1</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imokos!$B$5:$K$5</c:f>
              <c:numCache>
                <c:formatCode>0.0%</c:formatCode>
                <c:ptCount val="10"/>
                <c:pt idx="0">
                  <c:v>0.63800000000001011</c:v>
                </c:pt>
                <c:pt idx="1">
                  <c:v>0.23921085080148369</c:v>
                </c:pt>
                <c:pt idx="2">
                  <c:v>-6.7993366500829183E-2</c:v>
                </c:pt>
                <c:pt idx="3">
                  <c:v>0.23024911032028494</c:v>
                </c:pt>
                <c:pt idx="4">
                  <c:v>0.31038472664159888</c:v>
                </c:pt>
                <c:pt idx="5">
                  <c:v>0.32119205298013243</c:v>
                </c:pt>
                <c:pt idx="6">
                  <c:v>0.26616541353383449</c:v>
                </c:pt>
                <c:pt idx="7">
                  <c:v>0.10108207970440754</c:v>
                </c:pt>
                <c:pt idx="8">
                  <c:v>-0.12523969319271341</c:v>
                </c:pt>
                <c:pt idx="9">
                  <c:v>1.8632689409508223E-2</c:v>
                </c:pt>
              </c:numCache>
            </c:numRef>
          </c:val>
        </c:ser>
        <c:marker val="1"/>
        <c:axId val="128375040"/>
        <c:axId val="128373504"/>
      </c:lineChart>
      <c:catAx>
        <c:axId val="128361600"/>
        <c:scaling>
          <c:orientation val="minMax"/>
        </c:scaling>
        <c:axPos val="b"/>
        <c:numFmt formatCode="@" sourceLinked="1"/>
        <c:tickLblPos val="nextTo"/>
        <c:txPr>
          <a:bodyPr/>
          <a:lstStyle/>
          <a:p>
            <a:pPr>
              <a:defRPr sz="1100" b="1"/>
            </a:pPr>
            <a:endParaRPr lang="lt-LT"/>
          </a:p>
        </c:txPr>
        <c:crossAx val="128363520"/>
        <c:crosses val="autoZero"/>
        <c:auto val="1"/>
        <c:lblAlgn val="ctr"/>
        <c:lblOffset val="100"/>
      </c:catAx>
      <c:valAx>
        <c:axId val="128363520"/>
        <c:scaling>
          <c:orientation val="minMax"/>
        </c:scaling>
        <c:axPos val="l"/>
        <c:majorGridlines/>
        <c:numFmt formatCode="#,##0" sourceLinked="0"/>
        <c:tickLblPos val="nextTo"/>
        <c:txPr>
          <a:bodyPr/>
          <a:lstStyle/>
          <a:p>
            <a:pPr>
              <a:defRPr sz="1100" b="1"/>
            </a:pPr>
            <a:endParaRPr lang="lt-LT"/>
          </a:p>
        </c:txPr>
        <c:crossAx val="128361600"/>
        <c:crosses val="autoZero"/>
        <c:crossBetween val="between"/>
      </c:valAx>
      <c:valAx>
        <c:axId val="128373504"/>
        <c:scaling>
          <c:orientation val="minMax"/>
        </c:scaling>
        <c:axPos val="r"/>
        <c:numFmt formatCode="0%" sourceLinked="0"/>
        <c:tickLblPos val="nextTo"/>
        <c:txPr>
          <a:bodyPr/>
          <a:lstStyle/>
          <a:p>
            <a:pPr>
              <a:defRPr sz="1100" b="1"/>
            </a:pPr>
            <a:endParaRPr lang="lt-LT"/>
          </a:p>
        </c:txPr>
        <c:crossAx val="128375040"/>
        <c:crosses val="max"/>
        <c:crossBetween val="between"/>
      </c:valAx>
      <c:catAx>
        <c:axId val="128375040"/>
        <c:scaling>
          <c:orientation val="minMax"/>
        </c:scaling>
        <c:delete val="1"/>
        <c:axPos val="b"/>
        <c:numFmt formatCode="@" sourceLinked="1"/>
        <c:tickLblPos val="nextTo"/>
        <c:crossAx val="128373504"/>
        <c:crosses val="autoZero"/>
        <c:auto val="1"/>
        <c:lblAlgn val="ctr"/>
        <c:lblOffset val="100"/>
      </c:catAx>
    </c:plotArea>
    <c:legend>
      <c:legendPos val="b"/>
      <c:spPr>
        <a:ln w="3175"/>
      </c:spPr>
      <c:txPr>
        <a:bodyPr/>
        <a:lstStyle/>
        <a:p>
          <a:pPr>
            <a:defRPr sz="1100" b="1"/>
          </a:pPr>
          <a:endParaRPr lang="lt-LT"/>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barChart>
        <c:barDir val="col"/>
        <c:grouping val="clustered"/>
        <c:ser>
          <c:idx val="0"/>
          <c:order val="0"/>
          <c:tx>
            <c:strRef>
              <c:f>imokos!$A$26</c:f>
              <c:strCache>
                <c:ptCount val="1"/>
                <c:pt idx="0">
                  <c:v>Sudarytų sutarčių kiekis (tūkst.)</c:v>
                </c:pt>
              </c:strCache>
            </c:strRef>
          </c:tx>
          <c:cat>
            <c:numRef>
              <c:f>imokos!$B$25:$K$25</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imokos!$B$26:$K$26</c:f>
              <c:numCache>
                <c:formatCode>#,##0</c:formatCode>
                <c:ptCount val="10"/>
                <c:pt idx="0">
                  <c:v>3523000</c:v>
                </c:pt>
                <c:pt idx="1">
                  <c:v>3649860</c:v>
                </c:pt>
                <c:pt idx="2">
                  <c:v>3773960</c:v>
                </c:pt>
                <c:pt idx="3">
                  <c:v>3400335</c:v>
                </c:pt>
                <c:pt idx="4">
                  <c:v>4121206</c:v>
                </c:pt>
                <c:pt idx="5">
                  <c:v>4597733</c:v>
                </c:pt>
                <c:pt idx="6">
                  <c:v>4280424</c:v>
                </c:pt>
                <c:pt idx="7">
                  <c:v>4357167</c:v>
                </c:pt>
                <c:pt idx="8">
                  <c:v>4648397</c:v>
                </c:pt>
                <c:pt idx="9">
                  <c:v>4819600</c:v>
                </c:pt>
              </c:numCache>
            </c:numRef>
          </c:val>
        </c:ser>
        <c:axId val="128404864"/>
        <c:axId val="128423040"/>
      </c:barChart>
      <c:lineChart>
        <c:grouping val="standard"/>
        <c:ser>
          <c:idx val="1"/>
          <c:order val="1"/>
          <c:tx>
            <c:strRef>
              <c:f>imokos!$A$27</c:f>
              <c:strCache>
                <c:ptCount val="1"/>
                <c:pt idx="0">
                  <c:v>Sudarytų sutarčių metinis pokytis</c:v>
                </c:pt>
              </c:strCache>
            </c:strRef>
          </c:tx>
          <c:marker>
            <c:symbol val="square"/>
            <c:size val="7"/>
          </c:marker>
          <c:cat>
            <c:numRef>
              <c:f>imokos!$B$25:$K$25</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imokos!$B$27:$K$27</c:f>
              <c:numCache>
                <c:formatCode>0.0%</c:formatCode>
                <c:ptCount val="10"/>
                <c:pt idx="1">
                  <c:v>3.6000000000000011E-2</c:v>
                </c:pt>
                <c:pt idx="2">
                  <c:v>3.4000000000000002E-2</c:v>
                </c:pt>
                <c:pt idx="3">
                  <c:v>-9.9000000000000046E-2</c:v>
                </c:pt>
                <c:pt idx="4">
                  <c:v>0.21200000000000024</c:v>
                </c:pt>
                <c:pt idx="5">
                  <c:v>0.11562804674165998</c:v>
                </c:pt>
                <c:pt idx="6">
                  <c:v>-6.9014229403927124E-2</c:v>
                </c:pt>
                <c:pt idx="7">
                  <c:v>1.7928831349418237E-2</c:v>
                </c:pt>
                <c:pt idx="8">
                  <c:v>6.6839301775672086E-2</c:v>
                </c:pt>
                <c:pt idx="9">
                  <c:v>3.500000000000001E-2</c:v>
                </c:pt>
              </c:numCache>
            </c:numRef>
          </c:val>
        </c:ser>
        <c:marker val="1"/>
        <c:axId val="128434944"/>
        <c:axId val="128424960"/>
      </c:lineChart>
      <c:catAx>
        <c:axId val="128404864"/>
        <c:scaling>
          <c:orientation val="minMax"/>
        </c:scaling>
        <c:axPos val="b"/>
        <c:numFmt formatCode="@" sourceLinked="1"/>
        <c:tickLblPos val="nextTo"/>
        <c:txPr>
          <a:bodyPr/>
          <a:lstStyle/>
          <a:p>
            <a:pPr>
              <a:defRPr sz="1100" b="1"/>
            </a:pPr>
            <a:endParaRPr lang="lt-LT"/>
          </a:p>
        </c:txPr>
        <c:crossAx val="128423040"/>
        <c:crosses val="autoZero"/>
        <c:auto val="1"/>
        <c:lblAlgn val="ctr"/>
        <c:lblOffset val="100"/>
      </c:catAx>
      <c:valAx>
        <c:axId val="128423040"/>
        <c:scaling>
          <c:orientation val="minMax"/>
          <c:min val="3000000"/>
        </c:scaling>
        <c:axPos val="l"/>
        <c:majorGridlines/>
        <c:numFmt formatCode="#,##0" sourceLinked="1"/>
        <c:tickLblPos val="nextTo"/>
        <c:txPr>
          <a:bodyPr rot="0"/>
          <a:lstStyle/>
          <a:p>
            <a:pPr>
              <a:defRPr sz="1100" b="1"/>
            </a:pPr>
            <a:endParaRPr lang="lt-LT"/>
          </a:p>
        </c:txPr>
        <c:crossAx val="128404864"/>
        <c:crosses val="autoZero"/>
        <c:crossBetween val="between"/>
        <c:dispUnits>
          <c:builtInUnit val="thousands"/>
        </c:dispUnits>
      </c:valAx>
      <c:valAx>
        <c:axId val="128424960"/>
        <c:scaling>
          <c:orientation val="minMax"/>
        </c:scaling>
        <c:axPos val="r"/>
        <c:numFmt formatCode="0%" sourceLinked="0"/>
        <c:tickLblPos val="nextTo"/>
        <c:txPr>
          <a:bodyPr/>
          <a:lstStyle/>
          <a:p>
            <a:pPr>
              <a:defRPr sz="1100" b="1"/>
            </a:pPr>
            <a:endParaRPr lang="lt-LT"/>
          </a:p>
        </c:txPr>
        <c:crossAx val="128434944"/>
        <c:crosses val="max"/>
        <c:crossBetween val="between"/>
      </c:valAx>
      <c:catAx>
        <c:axId val="128434944"/>
        <c:scaling>
          <c:orientation val="minMax"/>
        </c:scaling>
        <c:delete val="1"/>
        <c:axPos val="b"/>
        <c:numFmt formatCode="@" sourceLinked="1"/>
        <c:tickLblPos val="nextTo"/>
        <c:crossAx val="128424960"/>
        <c:crosses val="autoZero"/>
        <c:auto val="1"/>
        <c:lblAlgn val="ctr"/>
        <c:lblOffset val="100"/>
      </c:catAx>
    </c:plotArea>
    <c:legend>
      <c:legendPos val="b"/>
      <c:txPr>
        <a:bodyPr/>
        <a:lstStyle/>
        <a:p>
          <a:pPr>
            <a:defRPr sz="1100" b="1"/>
          </a:pPr>
          <a:endParaRPr lang="lt-LT"/>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barChart>
        <c:barDir val="col"/>
        <c:grouping val="clustered"/>
        <c:ser>
          <c:idx val="1"/>
          <c:order val="1"/>
          <c:tx>
            <c:strRef>
              <c:f>netiesiog!$B$3</c:f>
              <c:strCache>
                <c:ptCount val="1"/>
                <c:pt idx="0">
                  <c:v>Tankis, Lt</c:v>
                </c:pt>
              </c:strCache>
            </c:strRef>
          </c:tx>
          <c:cat>
            <c:numRef>
              <c:f>netiesiog!$C$1:$L$1</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netiesiog!$C$3:$L$3</c:f>
              <c:numCache>
                <c:formatCode>#,##0</c:formatCode>
                <c:ptCount val="10"/>
                <c:pt idx="0">
                  <c:v>183</c:v>
                </c:pt>
                <c:pt idx="1">
                  <c:v>180</c:v>
                </c:pt>
                <c:pt idx="2">
                  <c:v>203</c:v>
                </c:pt>
                <c:pt idx="3">
                  <c:v>232</c:v>
                </c:pt>
                <c:pt idx="4">
                  <c:v>297.76</c:v>
                </c:pt>
                <c:pt idx="5">
                  <c:v>385.1</c:v>
                </c:pt>
                <c:pt idx="6">
                  <c:v>447.78</c:v>
                </c:pt>
                <c:pt idx="7">
                  <c:v>317.02999999999969</c:v>
                </c:pt>
                <c:pt idx="8">
                  <c:v>307.02999999999969</c:v>
                </c:pt>
                <c:pt idx="9">
                  <c:v>378.13484242002431</c:v>
                </c:pt>
              </c:numCache>
            </c:numRef>
          </c:val>
        </c:ser>
        <c:axId val="128526208"/>
        <c:axId val="128527744"/>
      </c:barChart>
      <c:lineChart>
        <c:grouping val="standard"/>
        <c:ser>
          <c:idx val="0"/>
          <c:order val="0"/>
          <c:tx>
            <c:strRef>
              <c:f>netiesiog!$B$2</c:f>
              <c:strCache>
                <c:ptCount val="1"/>
                <c:pt idx="0">
                  <c:v>Skvarba</c:v>
                </c:pt>
              </c:strCache>
            </c:strRef>
          </c:tx>
          <c:spPr>
            <a:ln w="53975"/>
          </c:spPr>
          <c:marker>
            <c:symbol val="diamond"/>
            <c:size val="10"/>
          </c:marker>
          <c:cat>
            <c:numRef>
              <c:f>netiesiog!$C$1:$L$1</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netiesiog!$C$2:$L$2</c:f>
              <c:numCache>
                <c:formatCode>0.0%</c:formatCode>
                <c:ptCount val="10"/>
                <c:pt idx="0">
                  <c:v>1.2E-2</c:v>
                </c:pt>
                <c:pt idx="1">
                  <c:v>1.0999999999999998E-2</c:v>
                </c:pt>
                <c:pt idx="2">
                  <c:v>1.0999999999999998E-2</c:v>
                </c:pt>
                <c:pt idx="3">
                  <c:v>1.0999999999999998E-2</c:v>
                </c:pt>
                <c:pt idx="4">
                  <c:v>1.2E-2</c:v>
                </c:pt>
                <c:pt idx="5">
                  <c:v>1.2999999999999998E-2</c:v>
                </c:pt>
                <c:pt idx="6">
                  <c:v>1.2999999999999998E-2</c:v>
                </c:pt>
                <c:pt idx="7">
                  <c:v>1.2E-2</c:v>
                </c:pt>
                <c:pt idx="8">
                  <c:v>1.0999999999999998E-2</c:v>
                </c:pt>
                <c:pt idx="9">
                  <c:v>1.0999999999999998E-2</c:v>
                </c:pt>
              </c:numCache>
            </c:numRef>
          </c:val>
        </c:ser>
        <c:marker val="1"/>
        <c:axId val="128535168"/>
        <c:axId val="128533632"/>
      </c:lineChart>
      <c:catAx>
        <c:axId val="128526208"/>
        <c:scaling>
          <c:orientation val="minMax"/>
        </c:scaling>
        <c:axPos val="b"/>
        <c:numFmt formatCode="@" sourceLinked="1"/>
        <c:tickLblPos val="nextTo"/>
        <c:txPr>
          <a:bodyPr/>
          <a:lstStyle/>
          <a:p>
            <a:pPr>
              <a:defRPr sz="1100" b="1"/>
            </a:pPr>
            <a:endParaRPr lang="lt-LT"/>
          </a:p>
        </c:txPr>
        <c:crossAx val="128527744"/>
        <c:crosses val="autoZero"/>
        <c:auto val="1"/>
        <c:lblAlgn val="ctr"/>
        <c:lblOffset val="100"/>
      </c:catAx>
      <c:valAx>
        <c:axId val="128527744"/>
        <c:scaling>
          <c:orientation val="minMax"/>
        </c:scaling>
        <c:axPos val="l"/>
        <c:majorGridlines/>
        <c:numFmt formatCode="#,##0" sourceLinked="1"/>
        <c:tickLblPos val="nextTo"/>
        <c:txPr>
          <a:bodyPr/>
          <a:lstStyle/>
          <a:p>
            <a:pPr>
              <a:defRPr sz="1100" b="1"/>
            </a:pPr>
            <a:endParaRPr lang="lt-LT"/>
          </a:p>
        </c:txPr>
        <c:crossAx val="128526208"/>
        <c:crosses val="autoZero"/>
        <c:crossBetween val="between"/>
      </c:valAx>
      <c:valAx>
        <c:axId val="128533632"/>
        <c:scaling>
          <c:orientation val="minMax"/>
        </c:scaling>
        <c:axPos val="r"/>
        <c:numFmt formatCode="0.0%" sourceLinked="1"/>
        <c:tickLblPos val="nextTo"/>
        <c:txPr>
          <a:bodyPr/>
          <a:lstStyle/>
          <a:p>
            <a:pPr>
              <a:defRPr sz="1100" b="1"/>
            </a:pPr>
            <a:endParaRPr lang="lt-LT"/>
          </a:p>
        </c:txPr>
        <c:crossAx val="128535168"/>
        <c:crosses val="max"/>
        <c:crossBetween val="between"/>
        <c:minorUnit val="1.0000000000000041E-3"/>
      </c:valAx>
      <c:catAx>
        <c:axId val="128535168"/>
        <c:scaling>
          <c:orientation val="minMax"/>
        </c:scaling>
        <c:delete val="1"/>
        <c:axPos val="b"/>
        <c:numFmt formatCode="@" sourceLinked="1"/>
        <c:tickLblPos val="nextTo"/>
        <c:crossAx val="128533632"/>
        <c:crosses val="autoZero"/>
        <c:auto val="1"/>
        <c:lblAlgn val="ctr"/>
        <c:lblOffset val="100"/>
      </c:catAx>
    </c:plotArea>
    <c:legend>
      <c:legendPos val="b"/>
      <c:txPr>
        <a:bodyPr/>
        <a:lstStyle/>
        <a:p>
          <a:pPr>
            <a:defRPr sz="1100" b="1"/>
          </a:pPr>
          <a:endParaRPr lang="lt-LT"/>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barChart>
        <c:barDir val="col"/>
        <c:grouping val="clustered"/>
        <c:ser>
          <c:idx val="1"/>
          <c:order val="1"/>
          <c:tx>
            <c:strRef>
              <c:f>netiesioginiai!$B$36</c:f>
              <c:strCache>
                <c:ptCount val="1"/>
                <c:pt idx="0">
                  <c:v>Koncentracija, %</c:v>
                </c:pt>
              </c:strCache>
            </c:strRef>
          </c:tx>
          <c:cat>
            <c:numRef>
              <c:f>netiesioginiai!$C$34:$L$34</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netiesioginiai!$C$36:$L$36</c:f>
              <c:numCache>
                <c:formatCode>0%</c:formatCode>
                <c:ptCount val="10"/>
                <c:pt idx="0">
                  <c:v>0.64000000000000912</c:v>
                </c:pt>
                <c:pt idx="1">
                  <c:v>0.56000000000000005</c:v>
                </c:pt>
                <c:pt idx="2">
                  <c:v>0.54</c:v>
                </c:pt>
                <c:pt idx="3">
                  <c:v>0.64000000000000912</c:v>
                </c:pt>
                <c:pt idx="4">
                  <c:v>0.59</c:v>
                </c:pt>
                <c:pt idx="5">
                  <c:v>0.6200000000000081</c:v>
                </c:pt>
                <c:pt idx="6">
                  <c:v>0.6200000000000081</c:v>
                </c:pt>
                <c:pt idx="7">
                  <c:v>0.58000000000000007</c:v>
                </c:pt>
                <c:pt idx="8">
                  <c:v>0.59</c:v>
                </c:pt>
                <c:pt idx="9">
                  <c:v>0.56000000000000005</c:v>
                </c:pt>
              </c:numCache>
            </c:numRef>
          </c:val>
        </c:ser>
        <c:axId val="128561152"/>
        <c:axId val="128562688"/>
      </c:barChart>
      <c:lineChart>
        <c:grouping val="standard"/>
        <c:ser>
          <c:idx val="0"/>
          <c:order val="0"/>
          <c:tx>
            <c:strRef>
              <c:f>netiesioginiai!$B$35</c:f>
              <c:strCache>
                <c:ptCount val="1"/>
                <c:pt idx="0">
                  <c:v>Išsiplėtimas</c:v>
                </c:pt>
              </c:strCache>
            </c:strRef>
          </c:tx>
          <c:spPr>
            <a:ln w="50800"/>
          </c:spPr>
          <c:marker>
            <c:symbol val="diamond"/>
            <c:size val="9"/>
          </c:marker>
          <c:cat>
            <c:numRef>
              <c:f>netiesioginiai!$C$34:$L$34</c:f>
              <c:numCache>
                <c:formatCode>@</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netiesioginiai!$C$35:$L$35</c:f>
              <c:numCache>
                <c:formatCode>0.0</c:formatCode>
                <c:ptCount val="10"/>
                <c:pt idx="0">
                  <c:v>1.0155459532381879</c:v>
                </c:pt>
                <c:pt idx="1">
                  <c:v>1.0566425559571595</c:v>
                </c:pt>
                <c:pt idx="2">
                  <c:v>1.0984893137745442</c:v>
                </c:pt>
                <c:pt idx="3">
                  <c:v>0.99590868299952262</c:v>
                </c:pt>
                <c:pt idx="4">
                  <c:v>1.214232891250123</c:v>
                </c:pt>
                <c:pt idx="5">
                  <c:v>1.3620418542619461</c:v>
                </c:pt>
                <c:pt idx="6">
                  <c:v>1.2746511881371498</c:v>
                </c:pt>
                <c:pt idx="7">
                  <c:v>1.3047539194269886</c:v>
                </c:pt>
                <c:pt idx="8">
                  <c:v>1.414253594659884</c:v>
                </c:pt>
                <c:pt idx="9">
                  <c:v>1.5905362499104836</c:v>
                </c:pt>
              </c:numCache>
            </c:numRef>
          </c:val>
        </c:ser>
        <c:marker val="1"/>
        <c:axId val="128570112"/>
        <c:axId val="128564224"/>
      </c:lineChart>
      <c:catAx>
        <c:axId val="128561152"/>
        <c:scaling>
          <c:orientation val="minMax"/>
        </c:scaling>
        <c:axPos val="b"/>
        <c:numFmt formatCode="@" sourceLinked="1"/>
        <c:tickLblPos val="nextTo"/>
        <c:txPr>
          <a:bodyPr/>
          <a:lstStyle/>
          <a:p>
            <a:pPr>
              <a:defRPr sz="1100" b="1"/>
            </a:pPr>
            <a:endParaRPr lang="lt-LT"/>
          </a:p>
        </c:txPr>
        <c:crossAx val="128562688"/>
        <c:crosses val="autoZero"/>
        <c:auto val="1"/>
        <c:lblAlgn val="ctr"/>
        <c:lblOffset val="100"/>
      </c:catAx>
      <c:valAx>
        <c:axId val="128562688"/>
        <c:scaling>
          <c:orientation val="minMax"/>
          <c:min val="0.5"/>
        </c:scaling>
        <c:axPos val="l"/>
        <c:majorGridlines/>
        <c:numFmt formatCode="0%" sourceLinked="1"/>
        <c:tickLblPos val="nextTo"/>
        <c:txPr>
          <a:bodyPr/>
          <a:lstStyle/>
          <a:p>
            <a:pPr>
              <a:defRPr sz="1100" b="1"/>
            </a:pPr>
            <a:endParaRPr lang="lt-LT"/>
          </a:p>
        </c:txPr>
        <c:crossAx val="128561152"/>
        <c:crosses val="autoZero"/>
        <c:crossBetween val="between"/>
      </c:valAx>
      <c:valAx>
        <c:axId val="128564224"/>
        <c:scaling>
          <c:orientation val="minMax"/>
          <c:min val="0.60000000000000064"/>
        </c:scaling>
        <c:axPos val="r"/>
        <c:numFmt formatCode="0.0" sourceLinked="1"/>
        <c:tickLblPos val="nextTo"/>
        <c:txPr>
          <a:bodyPr/>
          <a:lstStyle/>
          <a:p>
            <a:pPr>
              <a:defRPr sz="1100" b="1"/>
            </a:pPr>
            <a:endParaRPr lang="lt-LT"/>
          </a:p>
        </c:txPr>
        <c:crossAx val="128570112"/>
        <c:crosses val="max"/>
        <c:crossBetween val="between"/>
      </c:valAx>
      <c:catAx>
        <c:axId val="128570112"/>
        <c:scaling>
          <c:orientation val="minMax"/>
        </c:scaling>
        <c:delete val="1"/>
        <c:axPos val="b"/>
        <c:numFmt formatCode="@" sourceLinked="1"/>
        <c:tickLblPos val="nextTo"/>
        <c:crossAx val="128564224"/>
        <c:crosses val="autoZero"/>
        <c:auto val="1"/>
        <c:lblAlgn val="ctr"/>
        <c:lblOffset val="100"/>
      </c:catAx>
    </c:plotArea>
    <c:legend>
      <c:legendPos val="b"/>
      <c:txPr>
        <a:bodyPr/>
        <a:lstStyle/>
        <a:p>
          <a:pPr>
            <a:defRPr sz="1100" b="1"/>
          </a:pPr>
          <a:endParaRPr lang="lt-LT"/>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barChart>
        <c:barDir val="col"/>
        <c:grouping val="clustered"/>
        <c:ser>
          <c:idx val="1"/>
          <c:order val="1"/>
          <c:tx>
            <c:strRef>
              <c:f>imokos!$A$51</c:f>
              <c:strCache>
                <c:ptCount val="1"/>
                <c:pt idx="0">
                  <c:v>Turtas</c:v>
                </c:pt>
              </c:strCache>
            </c:strRef>
          </c:tx>
          <c:cat>
            <c:numRef>
              <c:f>imokos!$B$49:$K$49</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imokos!$B$51:$K$51</c:f>
              <c:numCache>
                <c:formatCode>General</c:formatCode>
                <c:ptCount val="10"/>
                <c:pt idx="0">
                  <c:v>908</c:v>
                </c:pt>
                <c:pt idx="1">
                  <c:v>1010</c:v>
                </c:pt>
                <c:pt idx="2">
                  <c:v>1090</c:v>
                </c:pt>
                <c:pt idx="3">
                  <c:v>1233</c:v>
                </c:pt>
                <c:pt idx="4">
                  <c:v>1500</c:v>
                </c:pt>
                <c:pt idx="5">
                  <c:v>1800</c:v>
                </c:pt>
                <c:pt idx="6">
                  <c:v>1950</c:v>
                </c:pt>
                <c:pt idx="7">
                  <c:v>1500</c:v>
                </c:pt>
                <c:pt idx="8">
                  <c:v>1506</c:v>
                </c:pt>
                <c:pt idx="9">
                  <c:v>1206</c:v>
                </c:pt>
              </c:numCache>
            </c:numRef>
          </c:val>
        </c:ser>
        <c:ser>
          <c:idx val="2"/>
          <c:order val="2"/>
          <c:tx>
            <c:strRef>
              <c:f>imokos!$A$52</c:f>
              <c:strCache>
                <c:ptCount val="1"/>
                <c:pt idx="0">
                  <c:v>Nuosavas kapitalas</c:v>
                </c:pt>
              </c:strCache>
            </c:strRef>
          </c:tx>
          <c:cat>
            <c:numRef>
              <c:f>imokos!$B$49:$K$49</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imokos!$B$52:$K$52</c:f>
              <c:numCache>
                <c:formatCode>General</c:formatCode>
                <c:ptCount val="10"/>
                <c:pt idx="0">
                  <c:v>321</c:v>
                </c:pt>
                <c:pt idx="1">
                  <c:v>352</c:v>
                </c:pt>
                <c:pt idx="2">
                  <c:v>332</c:v>
                </c:pt>
                <c:pt idx="3">
                  <c:v>372</c:v>
                </c:pt>
                <c:pt idx="4">
                  <c:v>439</c:v>
                </c:pt>
                <c:pt idx="5">
                  <c:v>529</c:v>
                </c:pt>
                <c:pt idx="6">
                  <c:v>581</c:v>
                </c:pt>
                <c:pt idx="7">
                  <c:v>488</c:v>
                </c:pt>
                <c:pt idx="8">
                  <c:v>470</c:v>
                </c:pt>
                <c:pt idx="9">
                  <c:v>403</c:v>
                </c:pt>
              </c:numCache>
            </c:numRef>
          </c:val>
        </c:ser>
        <c:axId val="128661376"/>
        <c:axId val="128662912"/>
      </c:barChart>
      <c:lineChart>
        <c:grouping val="stacked"/>
        <c:ser>
          <c:idx val="0"/>
          <c:order val="0"/>
          <c:tx>
            <c:strRef>
              <c:f>imokos!$A$50</c:f>
              <c:strCache>
                <c:ptCount val="1"/>
                <c:pt idx="0">
                  <c:v>Techniniai atidėjiniai</c:v>
                </c:pt>
              </c:strCache>
            </c:strRef>
          </c:tx>
          <c:marker>
            <c:symbol val="diamond"/>
            <c:size val="9"/>
          </c:marker>
          <c:cat>
            <c:numRef>
              <c:f>imokos!$B$49:$K$49</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imokos!$B$50:$K$50</c:f>
              <c:numCache>
                <c:formatCode>General</c:formatCode>
                <c:ptCount val="10"/>
                <c:pt idx="0">
                  <c:v>615</c:v>
                </c:pt>
                <c:pt idx="1">
                  <c:v>608</c:v>
                </c:pt>
                <c:pt idx="2">
                  <c:v>704</c:v>
                </c:pt>
                <c:pt idx="3">
                  <c:v>786</c:v>
                </c:pt>
                <c:pt idx="4">
                  <c:v>996</c:v>
                </c:pt>
                <c:pt idx="5">
                  <c:v>1100</c:v>
                </c:pt>
                <c:pt idx="6">
                  <c:v>1200</c:v>
                </c:pt>
                <c:pt idx="7">
                  <c:v>869</c:v>
                </c:pt>
                <c:pt idx="8">
                  <c:v>855</c:v>
                </c:pt>
                <c:pt idx="9">
                  <c:v>645</c:v>
                </c:pt>
              </c:numCache>
            </c:numRef>
          </c:val>
        </c:ser>
        <c:marker val="1"/>
        <c:axId val="128661376"/>
        <c:axId val="128662912"/>
      </c:lineChart>
      <c:catAx>
        <c:axId val="128661376"/>
        <c:scaling>
          <c:orientation val="minMax"/>
        </c:scaling>
        <c:axPos val="b"/>
        <c:numFmt formatCode="General" sourceLinked="1"/>
        <c:tickLblPos val="nextTo"/>
        <c:txPr>
          <a:bodyPr/>
          <a:lstStyle/>
          <a:p>
            <a:pPr>
              <a:defRPr sz="1100" b="1"/>
            </a:pPr>
            <a:endParaRPr lang="lt-LT"/>
          </a:p>
        </c:txPr>
        <c:crossAx val="128662912"/>
        <c:crosses val="autoZero"/>
        <c:auto val="1"/>
        <c:lblAlgn val="ctr"/>
        <c:lblOffset val="100"/>
      </c:catAx>
      <c:valAx>
        <c:axId val="128662912"/>
        <c:scaling>
          <c:orientation val="minMax"/>
          <c:max val="2000"/>
        </c:scaling>
        <c:axPos val="l"/>
        <c:majorGridlines/>
        <c:numFmt formatCode="#,##0" sourceLinked="0"/>
        <c:tickLblPos val="nextTo"/>
        <c:txPr>
          <a:bodyPr/>
          <a:lstStyle/>
          <a:p>
            <a:pPr>
              <a:defRPr sz="1100" b="1"/>
            </a:pPr>
            <a:endParaRPr lang="lt-LT"/>
          </a:p>
        </c:txPr>
        <c:crossAx val="128661376"/>
        <c:crosses val="autoZero"/>
        <c:crossBetween val="between"/>
      </c:valAx>
    </c:plotArea>
    <c:legend>
      <c:legendPos val="b"/>
      <c:txPr>
        <a:bodyPr/>
        <a:lstStyle/>
        <a:p>
          <a:pPr>
            <a:defRPr sz="1050" b="1"/>
          </a:pPr>
          <a:endParaRPr lang="lt-LT"/>
        </a:p>
      </c:txP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barChart>
        <c:barDir val="col"/>
        <c:grouping val="clustered"/>
        <c:ser>
          <c:idx val="0"/>
          <c:order val="0"/>
          <c:tx>
            <c:strRef>
              <c:f>'fin rodikl'!$C$2</c:f>
              <c:strCache>
                <c:ptCount val="1"/>
                <c:pt idx="0">
                  <c:v>2006</c:v>
                </c:pt>
              </c:strCache>
            </c:strRef>
          </c:tx>
          <c:cat>
            <c:strRef>
              <c:f>'fin rodikl'!$B$3:$B$5</c:f>
              <c:strCache>
                <c:ptCount val="3"/>
                <c:pt idx="0">
                  <c:v>Bendrasis pelningumas</c:v>
                </c:pt>
                <c:pt idx="1">
                  <c:v>Nuosavo kapitalo grąža</c:v>
                </c:pt>
                <c:pt idx="2">
                  <c:v>Turto grąža</c:v>
                </c:pt>
              </c:strCache>
            </c:strRef>
          </c:cat>
          <c:val>
            <c:numRef>
              <c:f>'fin rodikl'!$C$3:$C$5</c:f>
              <c:numCache>
                <c:formatCode>0.0</c:formatCode>
                <c:ptCount val="3"/>
                <c:pt idx="0">
                  <c:v>2.1566999999999967</c:v>
                </c:pt>
                <c:pt idx="1">
                  <c:v>4.4567000000000014</c:v>
                </c:pt>
                <c:pt idx="2">
                  <c:v>1.2442</c:v>
                </c:pt>
              </c:numCache>
            </c:numRef>
          </c:val>
        </c:ser>
        <c:ser>
          <c:idx val="1"/>
          <c:order val="1"/>
          <c:tx>
            <c:strRef>
              <c:f>'fin rodikl'!$D$2</c:f>
              <c:strCache>
                <c:ptCount val="1"/>
                <c:pt idx="0">
                  <c:v>2007</c:v>
                </c:pt>
              </c:strCache>
            </c:strRef>
          </c:tx>
          <c:cat>
            <c:strRef>
              <c:f>'fin rodikl'!$B$3:$B$5</c:f>
              <c:strCache>
                <c:ptCount val="3"/>
                <c:pt idx="0">
                  <c:v>Bendrasis pelningumas</c:v>
                </c:pt>
                <c:pt idx="1">
                  <c:v>Nuosavo kapitalo grąža</c:v>
                </c:pt>
                <c:pt idx="2">
                  <c:v>Turto grąža</c:v>
                </c:pt>
              </c:strCache>
            </c:strRef>
          </c:cat>
          <c:val>
            <c:numRef>
              <c:f>'fin rodikl'!$D$3:$D$5</c:f>
              <c:numCache>
                <c:formatCode>0.0</c:formatCode>
                <c:ptCount val="3"/>
                <c:pt idx="0">
                  <c:v>9.9510000000000005</c:v>
                </c:pt>
                <c:pt idx="1">
                  <c:v>19.081</c:v>
                </c:pt>
                <c:pt idx="2">
                  <c:v>5.5943999999999985</c:v>
                </c:pt>
              </c:numCache>
            </c:numRef>
          </c:val>
        </c:ser>
        <c:ser>
          <c:idx val="2"/>
          <c:order val="2"/>
          <c:tx>
            <c:strRef>
              <c:f>'fin rodikl'!$E$2</c:f>
              <c:strCache>
                <c:ptCount val="1"/>
                <c:pt idx="0">
                  <c:v>2008</c:v>
                </c:pt>
              </c:strCache>
            </c:strRef>
          </c:tx>
          <c:cat>
            <c:strRef>
              <c:f>'fin rodikl'!$B$3:$B$5</c:f>
              <c:strCache>
                <c:ptCount val="3"/>
                <c:pt idx="0">
                  <c:v>Bendrasis pelningumas</c:v>
                </c:pt>
                <c:pt idx="1">
                  <c:v>Nuosavo kapitalo grąža</c:v>
                </c:pt>
                <c:pt idx="2">
                  <c:v>Turto grąža</c:v>
                </c:pt>
              </c:strCache>
            </c:strRef>
          </c:cat>
          <c:val>
            <c:numRef>
              <c:f>'fin rodikl'!$E$3:$E$5</c:f>
              <c:numCache>
                <c:formatCode>0.0</c:formatCode>
                <c:ptCount val="3"/>
                <c:pt idx="0">
                  <c:v>6.1647999999999845</c:v>
                </c:pt>
                <c:pt idx="1">
                  <c:v>12.7608</c:v>
                </c:pt>
                <c:pt idx="2">
                  <c:v>3.8117999999999967</c:v>
                </c:pt>
              </c:numCache>
            </c:numRef>
          </c:val>
        </c:ser>
        <c:ser>
          <c:idx val="3"/>
          <c:order val="3"/>
          <c:tx>
            <c:strRef>
              <c:f>'fin rodikl'!$F$2</c:f>
              <c:strCache>
                <c:ptCount val="1"/>
                <c:pt idx="0">
                  <c:v>2009</c:v>
                </c:pt>
              </c:strCache>
            </c:strRef>
          </c:tx>
          <c:cat>
            <c:strRef>
              <c:f>'fin rodikl'!$B$3:$B$5</c:f>
              <c:strCache>
                <c:ptCount val="3"/>
                <c:pt idx="0">
                  <c:v>Bendrasis pelningumas</c:v>
                </c:pt>
                <c:pt idx="1">
                  <c:v>Nuosavo kapitalo grąža</c:v>
                </c:pt>
                <c:pt idx="2">
                  <c:v>Turto grąža</c:v>
                </c:pt>
              </c:strCache>
            </c:strRef>
          </c:cat>
          <c:val>
            <c:numRef>
              <c:f>'fin rodikl'!$F$3:$F$5</c:f>
              <c:numCache>
                <c:formatCode>0.0</c:formatCode>
                <c:ptCount val="3"/>
                <c:pt idx="0">
                  <c:v>4.8287999999999975</c:v>
                </c:pt>
                <c:pt idx="1">
                  <c:v>7.4723000000000024</c:v>
                </c:pt>
                <c:pt idx="2">
                  <c:v>2.4889000000000001</c:v>
                </c:pt>
              </c:numCache>
            </c:numRef>
          </c:val>
        </c:ser>
        <c:ser>
          <c:idx val="4"/>
          <c:order val="4"/>
          <c:tx>
            <c:strRef>
              <c:f>'fin rodikl'!$G$2</c:f>
              <c:strCache>
                <c:ptCount val="1"/>
                <c:pt idx="0">
                  <c:v>2010</c:v>
                </c:pt>
              </c:strCache>
            </c:strRef>
          </c:tx>
          <c:cat>
            <c:strRef>
              <c:f>'fin rodikl'!$B$3:$B$5</c:f>
              <c:strCache>
                <c:ptCount val="3"/>
                <c:pt idx="0">
                  <c:v>Bendrasis pelningumas</c:v>
                </c:pt>
                <c:pt idx="1">
                  <c:v>Nuosavo kapitalo grąža</c:v>
                </c:pt>
                <c:pt idx="2">
                  <c:v>Turto grąža</c:v>
                </c:pt>
              </c:strCache>
            </c:strRef>
          </c:cat>
          <c:val>
            <c:numRef>
              <c:f>'fin rodikl'!$G$3:$G$5</c:f>
              <c:numCache>
                <c:formatCode>0.0</c:formatCode>
                <c:ptCount val="3"/>
                <c:pt idx="0">
                  <c:v>-2.1061999999999999</c:v>
                </c:pt>
                <c:pt idx="1">
                  <c:v>-3.2734999999999999</c:v>
                </c:pt>
                <c:pt idx="2">
                  <c:v>-1.0741000000000001</c:v>
                </c:pt>
              </c:numCache>
            </c:numRef>
          </c:val>
        </c:ser>
        <c:ser>
          <c:idx val="5"/>
          <c:order val="5"/>
          <c:tx>
            <c:strRef>
              <c:f>'fin rodikl'!$H$2</c:f>
              <c:strCache>
                <c:ptCount val="1"/>
                <c:pt idx="0">
                  <c:v>2011</c:v>
                </c:pt>
              </c:strCache>
            </c:strRef>
          </c:tx>
          <c:cat>
            <c:strRef>
              <c:f>'fin rodikl'!$B$3:$B$5</c:f>
              <c:strCache>
                <c:ptCount val="3"/>
                <c:pt idx="0">
                  <c:v>Bendrasis pelningumas</c:v>
                </c:pt>
                <c:pt idx="1">
                  <c:v>Nuosavo kapitalo grąža</c:v>
                </c:pt>
                <c:pt idx="2">
                  <c:v>Turto grąža</c:v>
                </c:pt>
              </c:strCache>
            </c:strRef>
          </c:cat>
          <c:val>
            <c:numRef>
              <c:f>'fin rodikl'!$H$3:$H$5</c:f>
              <c:numCache>
                <c:formatCode>0.0</c:formatCode>
                <c:ptCount val="3"/>
                <c:pt idx="0">
                  <c:v>-9.2000000000000011</c:v>
                </c:pt>
                <c:pt idx="1">
                  <c:v>-11.9</c:v>
                </c:pt>
                <c:pt idx="2">
                  <c:v>-4</c:v>
                </c:pt>
              </c:numCache>
            </c:numRef>
          </c:val>
        </c:ser>
        <c:axId val="128694912"/>
        <c:axId val="128717184"/>
      </c:barChart>
      <c:catAx>
        <c:axId val="128694912"/>
        <c:scaling>
          <c:orientation val="minMax"/>
        </c:scaling>
        <c:axPos val="b"/>
        <c:numFmt formatCode="@" sourceLinked="1"/>
        <c:tickLblPos val="nextTo"/>
        <c:txPr>
          <a:bodyPr/>
          <a:lstStyle/>
          <a:p>
            <a:pPr>
              <a:defRPr sz="1100" b="1"/>
            </a:pPr>
            <a:endParaRPr lang="lt-LT"/>
          </a:p>
        </c:txPr>
        <c:crossAx val="128717184"/>
        <c:crosses val="autoZero"/>
        <c:auto val="1"/>
        <c:lblAlgn val="ctr"/>
        <c:lblOffset val="100"/>
      </c:catAx>
      <c:valAx>
        <c:axId val="128717184"/>
        <c:scaling>
          <c:orientation val="minMax"/>
          <c:max val="20"/>
          <c:min val="-12"/>
        </c:scaling>
        <c:axPos val="l"/>
        <c:majorGridlines/>
        <c:numFmt formatCode="0" sourceLinked="0"/>
        <c:tickLblPos val="nextTo"/>
        <c:txPr>
          <a:bodyPr/>
          <a:lstStyle/>
          <a:p>
            <a:pPr>
              <a:defRPr sz="1100" b="1"/>
            </a:pPr>
            <a:endParaRPr lang="lt-LT"/>
          </a:p>
        </c:txPr>
        <c:crossAx val="128694912"/>
        <c:crosses val="autoZero"/>
        <c:crossBetween val="between"/>
        <c:majorUnit val="2"/>
      </c:valAx>
    </c:plotArea>
    <c:legend>
      <c:legendPos val="r"/>
      <c:txPr>
        <a:bodyPr/>
        <a:lstStyle/>
        <a:p>
          <a:pPr>
            <a:defRPr sz="1100" b="1"/>
          </a:pPr>
          <a:endParaRPr lang="lt-LT"/>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lineChart>
        <c:grouping val="standard"/>
        <c:ser>
          <c:idx val="0"/>
          <c:order val="0"/>
          <c:tx>
            <c:strRef>
              <c:f>'fin rodikl'!$A$23</c:f>
              <c:strCache>
                <c:ptCount val="1"/>
                <c:pt idx="0">
                  <c:v>Mokumo koeficientas</c:v>
                </c:pt>
              </c:strCache>
            </c:strRef>
          </c:tx>
          <c:cat>
            <c:numRef>
              <c:f>'fin rodikl'!$B$22:$G$22</c:f>
              <c:numCache>
                <c:formatCode>@</c:formatCode>
                <c:ptCount val="6"/>
                <c:pt idx="0">
                  <c:v>2006</c:v>
                </c:pt>
                <c:pt idx="1">
                  <c:v>2007</c:v>
                </c:pt>
                <c:pt idx="2">
                  <c:v>2008</c:v>
                </c:pt>
                <c:pt idx="3">
                  <c:v>2009</c:v>
                </c:pt>
                <c:pt idx="4">
                  <c:v>2010</c:v>
                </c:pt>
                <c:pt idx="5">
                  <c:v>2011</c:v>
                </c:pt>
              </c:numCache>
            </c:numRef>
          </c:cat>
          <c:val>
            <c:numRef>
              <c:f>'fin rodikl'!$B$23:$G$23</c:f>
              <c:numCache>
                <c:formatCode>0.0</c:formatCode>
                <c:ptCount val="6"/>
                <c:pt idx="0">
                  <c:v>2.1528999999999967</c:v>
                </c:pt>
                <c:pt idx="1">
                  <c:v>2.3231000000000002</c:v>
                </c:pt>
                <c:pt idx="2">
                  <c:v>2.3449999999999998</c:v>
                </c:pt>
                <c:pt idx="3">
                  <c:v>2.2772000000000001</c:v>
                </c:pt>
                <c:pt idx="4">
                  <c:v>2.4783999999999997</c:v>
                </c:pt>
                <c:pt idx="5">
                  <c:v>2.5</c:v>
                </c:pt>
              </c:numCache>
            </c:numRef>
          </c:val>
        </c:ser>
        <c:marker val="1"/>
        <c:axId val="128724352"/>
        <c:axId val="128730240"/>
      </c:lineChart>
      <c:catAx>
        <c:axId val="128724352"/>
        <c:scaling>
          <c:orientation val="minMax"/>
        </c:scaling>
        <c:axPos val="b"/>
        <c:numFmt formatCode="@" sourceLinked="1"/>
        <c:tickLblPos val="nextTo"/>
        <c:txPr>
          <a:bodyPr/>
          <a:lstStyle/>
          <a:p>
            <a:pPr>
              <a:defRPr sz="1100" b="1"/>
            </a:pPr>
            <a:endParaRPr lang="lt-LT"/>
          </a:p>
        </c:txPr>
        <c:crossAx val="128730240"/>
        <c:crosses val="autoZero"/>
        <c:auto val="1"/>
        <c:lblAlgn val="ctr"/>
        <c:lblOffset val="100"/>
      </c:catAx>
      <c:valAx>
        <c:axId val="128730240"/>
        <c:scaling>
          <c:orientation val="minMax"/>
          <c:min val="2"/>
        </c:scaling>
        <c:axPos val="l"/>
        <c:majorGridlines/>
        <c:numFmt formatCode="0.0" sourceLinked="1"/>
        <c:tickLblPos val="nextTo"/>
        <c:txPr>
          <a:bodyPr/>
          <a:lstStyle/>
          <a:p>
            <a:pPr>
              <a:defRPr sz="1100" b="1"/>
            </a:pPr>
            <a:endParaRPr lang="lt-LT"/>
          </a:p>
        </c:txPr>
        <c:crossAx val="128724352"/>
        <c:crosses val="autoZero"/>
        <c:crossBetween val="between"/>
      </c:valAx>
    </c:plotArea>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70F1B7-28D5-41B0-9805-4ED3052A46F6}" type="doc">
      <dgm:prSet loTypeId="urn:microsoft.com/office/officeart/2005/8/layout/venn2" loCatId="relationship" qsTypeId="urn:microsoft.com/office/officeart/2005/8/quickstyle/simple3" qsCatId="simple" csTypeId="urn:microsoft.com/office/officeart/2005/8/colors/colorful1" csCatId="colorful" phldr="1"/>
      <dgm:spPr/>
      <dgm:t>
        <a:bodyPr/>
        <a:lstStyle/>
        <a:p>
          <a:endParaRPr lang="lt-LT"/>
        </a:p>
      </dgm:t>
    </dgm:pt>
    <dgm:pt modelId="{643B990A-824E-47CE-8860-4A407684E731}">
      <dgm:prSet phldrT="[Text]" custT="1"/>
      <dgm:spPr/>
      <dgm:t>
        <a:bodyPr/>
        <a:lstStyle/>
        <a:p>
          <a:pPr algn="ctr"/>
          <a:r>
            <a:rPr lang="lt-LT" sz="1150" b="0"/>
            <a:t>Europos Sąjunga</a:t>
          </a:r>
        </a:p>
      </dgm:t>
    </dgm:pt>
    <dgm:pt modelId="{D69CDA07-00C2-4AF6-BCFE-67EA1EB237E2}" type="parTrans" cxnId="{28414C5A-36C4-495A-B34B-5398842A5242}">
      <dgm:prSet/>
      <dgm:spPr/>
      <dgm:t>
        <a:bodyPr/>
        <a:lstStyle/>
        <a:p>
          <a:pPr algn="ctr"/>
          <a:endParaRPr lang="lt-LT"/>
        </a:p>
      </dgm:t>
    </dgm:pt>
    <dgm:pt modelId="{CA0DBA63-444C-469D-939E-3D90A3B126D8}" type="sibTrans" cxnId="{28414C5A-36C4-495A-B34B-5398842A5242}">
      <dgm:prSet/>
      <dgm:spPr/>
      <dgm:t>
        <a:bodyPr/>
        <a:lstStyle/>
        <a:p>
          <a:pPr algn="ctr"/>
          <a:endParaRPr lang="lt-LT"/>
        </a:p>
      </dgm:t>
    </dgm:pt>
    <dgm:pt modelId="{ABE2ADB0-D1EA-464C-91D0-7E4BC0B33214}">
      <dgm:prSet phldrT="[Text]" custT="1"/>
      <dgm:spPr/>
      <dgm:t>
        <a:bodyPr/>
        <a:lstStyle/>
        <a:p>
          <a:pPr algn="ctr"/>
          <a:r>
            <a:rPr lang="lt-LT" sz="1150" b="0"/>
            <a:t>Ekonomika</a:t>
          </a:r>
        </a:p>
      </dgm:t>
    </dgm:pt>
    <dgm:pt modelId="{FDF8C674-7C05-47F1-8C5B-19D224C42C0E}" type="parTrans" cxnId="{C161E2EC-F9ED-40F7-A1EC-AC441161BCB3}">
      <dgm:prSet/>
      <dgm:spPr/>
      <dgm:t>
        <a:bodyPr/>
        <a:lstStyle/>
        <a:p>
          <a:pPr algn="ctr"/>
          <a:endParaRPr lang="lt-LT"/>
        </a:p>
      </dgm:t>
    </dgm:pt>
    <dgm:pt modelId="{404594D9-6B2E-461D-83FD-E6F5819D64AC}" type="sibTrans" cxnId="{C161E2EC-F9ED-40F7-A1EC-AC441161BCB3}">
      <dgm:prSet/>
      <dgm:spPr/>
      <dgm:t>
        <a:bodyPr/>
        <a:lstStyle/>
        <a:p>
          <a:pPr algn="ctr"/>
          <a:endParaRPr lang="lt-LT"/>
        </a:p>
      </dgm:t>
    </dgm:pt>
    <dgm:pt modelId="{11FA389F-3256-4A27-83F4-B98B422BD975}">
      <dgm:prSet phldrT="[Text]" custT="1"/>
      <dgm:spPr/>
      <dgm:t>
        <a:bodyPr/>
        <a:lstStyle/>
        <a:p>
          <a:pPr algn="ctr"/>
          <a:r>
            <a:rPr lang="en-US" sz="1150" b="0"/>
            <a:t>Finans</a:t>
          </a:r>
          <a:r>
            <a:rPr lang="lt-LT" sz="1150" b="0"/>
            <a:t>ų sistema</a:t>
          </a:r>
        </a:p>
      </dgm:t>
    </dgm:pt>
    <dgm:pt modelId="{14776EE7-D739-4BCC-8F21-FEEDB458E574}" type="parTrans" cxnId="{57AD0AE9-B70F-403D-B114-55928EE8061A}">
      <dgm:prSet/>
      <dgm:spPr/>
      <dgm:t>
        <a:bodyPr/>
        <a:lstStyle/>
        <a:p>
          <a:pPr algn="ctr"/>
          <a:endParaRPr lang="lt-LT"/>
        </a:p>
      </dgm:t>
    </dgm:pt>
    <dgm:pt modelId="{279014FE-5E65-4241-92D3-0D4B39AD6542}" type="sibTrans" cxnId="{57AD0AE9-B70F-403D-B114-55928EE8061A}">
      <dgm:prSet/>
      <dgm:spPr/>
      <dgm:t>
        <a:bodyPr/>
        <a:lstStyle/>
        <a:p>
          <a:pPr algn="ctr"/>
          <a:endParaRPr lang="lt-LT"/>
        </a:p>
      </dgm:t>
    </dgm:pt>
    <dgm:pt modelId="{0482A9CD-DDF7-4254-ADC5-5574ED4D959B}">
      <dgm:prSet phldrT="[Text]" custT="1"/>
      <dgm:spPr/>
      <dgm:t>
        <a:bodyPr/>
        <a:lstStyle/>
        <a:p>
          <a:pPr algn="ctr"/>
          <a:r>
            <a:rPr lang="en-US" sz="1150" b="0"/>
            <a:t>Draudimo rinka</a:t>
          </a:r>
          <a:endParaRPr lang="lt-LT" sz="1150" b="0"/>
        </a:p>
      </dgm:t>
    </dgm:pt>
    <dgm:pt modelId="{456403EF-37E9-41DB-9EF6-1876F6A7BCD4}" type="parTrans" cxnId="{91926753-1936-4CD9-B327-0ACA78595861}">
      <dgm:prSet/>
      <dgm:spPr/>
      <dgm:t>
        <a:bodyPr/>
        <a:lstStyle/>
        <a:p>
          <a:pPr algn="ctr"/>
          <a:endParaRPr lang="lt-LT"/>
        </a:p>
      </dgm:t>
    </dgm:pt>
    <dgm:pt modelId="{18F9F6C3-6EEA-495A-9AB9-75E317586CCC}" type="sibTrans" cxnId="{91926753-1936-4CD9-B327-0ACA78595861}">
      <dgm:prSet/>
      <dgm:spPr/>
      <dgm:t>
        <a:bodyPr/>
        <a:lstStyle/>
        <a:p>
          <a:pPr algn="ctr"/>
          <a:endParaRPr lang="lt-LT"/>
        </a:p>
      </dgm:t>
    </dgm:pt>
    <dgm:pt modelId="{D9861481-2340-4450-99B4-73AE5D0BAF13}">
      <dgm:prSet custT="1"/>
      <dgm:spPr/>
      <dgm:t>
        <a:bodyPr/>
        <a:lstStyle/>
        <a:p>
          <a:pPr algn="ctr"/>
          <a:r>
            <a:rPr lang="lt-LT" sz="1150" b="0"/>
            <a:t>Valstybė</a:t>
          </a:r>
        </a:p>
      </dgm:t>
    </dgm:pt>
    <dgm:pt modelId="{EBB2023E-CC20-426F-A20C-C5B8F00DE55B}" type="parTrans" cxnId="{A846A3F2-7558-44F3-A3A8-F4642B0CFDAE}">
      <dgm:prSet/>
      <dgm:spPr/>
      <dgm:t>
        <a:bodyPr/>
        <a:lstStyle/>
        <a:p>
          <a:pPr algn="ctr"/>
          <a:endParaRPr lang="lt-LT"/>
        </a:p>
      </dgm:t>
    </dgm:pt>
    <dgm:pt modelId="{B70090A5-8D36-4914-89EA-B60006899B1F}" type="sibTrans" cxnId="{A846A3F2-7558-44F3-A3A8-F4642B0CFDAE}">
      <dgm:prSet/>
      <dgm:spPr/>
      <dgm:t>
        <a:bodyPr/>
        <a:lstStyle/>
        <a:p>
          <a:pPr algn="ctr"/>
          <a:endParaRPr lang="lt-LT"/>
        </a:p>
      </dgm:t>
    </dgm:pt>
    <dgm:pt modelId="{DAAA7135-DFA8-41F4-B970-EA8E1974FD9E}" type="pres">
      <dgm:prSet presAssocID="{4B70F1B7-28D5-41B0-9805-4ED3052A46F6}" presName="Name0" presStyleCnt="0">
        <dgm:presLayoutVars>
          <dgm:chMax val="7"/>
          <dgm:resizeHandles val="exact"/>
        </dgm:presLayoutVars>
      </dgm:prSet>
      <dgm:spPr/>
      <dgm:t>
        <a:bodyPr/>
        <a:lstStyle/>
        <a:p>
          <a:endParaRPr lang="lt-LT"/>
        </a:p>
      </dgm:t>
    </dgm:pt>
    <dgm:pt modelId="{4B0BA594-D002-424E-9694-173D083B3557}" type="pres">
      <dgm:prSet presAssocID="{4B70F1B7-28D5-41B0-9805-4ED3052A46F6}" presName="comp1" presStyleCnt="0"/>
      <dgm:spPr/>
    </dgm:pt>
    <dgm:pt modelId="{A204D05F-65F2-482A-982E-DD0AFB005E07}" type="pres">
      <dgm:prSet presAssocID="{4B70F1B7-28D5-41B0-9805-4ED3052A46F6}" presName="circle1" presStyleLbl="node1" presStyleIdx="0" presStyleCnt="5" custScaleX="142857"/>
      <dgm:spPr/>
      <dgm:t>
        <a:bodyPr/>
        <a:lstStyle/>
        <a:p>
          <a:endParaRPr lang="lt-LT"/>
        </a:p>
      </dgm:t>
    </dgm:pt>
    <dgm:pt modelId="{F67FEB26-78D2-41ED-B1B0-8E1B181D00CA}" type="pres">
      <dgm:prSet presAssocID="{4B70F1B7-28D5-41B0-9805-4ED3052A46F6}" presName="c1text" presStyleLbl="node1" presStyleIdx="0" presStyleCnt="5">
        <dgm:presLayoutVars>
          <dgm:bulletEnabled val="1"/>
        </dgm:presLayoutVars>
      </dgm:prSet>
      <dgm:spPr/>
      <dgm:t>
        <a:bodyPr/>
        <a:lstStyle/>
        <a:p>
          <a:endParaRPr lang="lt-LT"/>
        </a:p>
      </dgm:t>
    </dgm:pt>
    <dgm:pt modelId="{2B4D7DAA-3FF0-4868-9F2A-F6451F48E5A0}" type="pres">
      <dgm:prSet presAssocID="{4B70F1B7-28D5-41B0-9805-4ED3052A46F6}" presName="comp2" presStyleCnt="0"/>
      <dgm:spPr/>
    </dgm:pt>
    <dgm:pt modelId="{4B986E02-62FC-4DA2-BE91-92BFBE86BB5F}" type="pres">
      <dgm:prSet presAssocID="{4B70F1B7-28D5-41B0-9805-4ED3052A46F6}" presName="circle2" presStyleLbl="node1" presStyleIdx="1" presStyleCnt="5" custScaleX="142857"/>
      <dgm:spPr/>
      <dgm:t>
        <a:bodyPr/>
        <a:lstStyle/>
        <a:p>
          <a:endParaRPr lang="lt-LT"/>
        </a:p>
      </dgm:t>
    </dgm:pt>
    <dgm:pt modelId="{6FA815D4-99AA-485F-ACBA-FC3484B612B3}" type="pres">
      <dgm:prSet presAssocID="{4B70F1B7-28D5-41B0-9805-4ED3052A46F6}" presName="c2text" presStyleLbl="node1" presStyleIdx="1" presStyleCnt="5">
        <dgm:presLayoutVars>
          <dgm:bulletEnabled val="1"/>
        </dgm:presLayoutVars>
      </dgm:prSet>
      <dgm:spPr/>
      <dgm:t>
        <a:bodyPr/>
        <a:lstStyle/>
        <a:p>
          <a:endParaRPr lang="lt-LT"/>
        </a:p>
      </dgm:t>
    </dgm:pt>
    <dgm:pt modelId="{9901588C-4585-4B82-B4D8-85BF777B95FF}" type="pres">
      <dgm:prSet presAssocID="{4B70F1B7-28D5-41B0-9805-4ED3052A46F6}" presName="comp3" presStyleCnt="0"/>
      <dgm:spPr/>
    </dgm:pt>
    <dgm:pt modelId="{63C13C00-D32A-4393-9B2B-AECAA246B67E}" type="pres">
      <dgm:prSet presAssocID="{4B70F1B7-28D5-41B0-9805-4ED3052A46F6}" presName="circle3" presStyleLbl="node1" presStyleIdx="2" presStyleCnt="5" custScaleX="142857"/>
      <dgm:spPr/>
      <dgm:t>
        <a:bodyPr/>
        <a:lstStyle/>
        <a:p>
          <a:endParaRPr lang="lt-LT"/>
        </a:p>
      </dgm:t>
    </dgm:pt>
    <dgm:pt modelId="{3A2FDF97-29FF-4A7E-B990-6E5967DDB068}" type="pres">
      <dgm:prSet presAssocID="{4B70F1B7-28D5-41B0-9805-4ED3052A46F6}" presName="c3text" presStyleLbl="node1" presStyleIdx="2" presStyleCnt="5">
        <dgm:presLayoutVars>
          <dgm:bulletEnabled val="1"/>
        </dgm:presLayoutVars>
      </dgm:prSet>
      <dgm:spPr/>
      <dgm:t>
        <a:bodyPr/>
        <a:lstStyle/>
        <a:p>
          <a:endParaRPr lang="lt-LT"/>
        </a:p>
      </dgm:t>
    </dgm:pt>
    <dgm:pt modelId="{F10C6B76-411B-4DF0-92FF-FD5498A2B7E7}" type="pres">
      <dgm:prSet presAssocID="{4B70F1B7-28D5-41B0-9805-4ED3052A46F6}" presName="comp4" presStyleCnt="0"/>
      <dgm:spPr/>
    </dgm:pt>
    <dgm:pt modelId="{E3C13DA6-136D-441D-BDB8-51901489BE80}" type="pres">
      <dgm:prSet presAssocID="{4B70F1B7-28D5-41B0-9805-4ED3052A46F6}" presName="circle4" presStyleLbl="node1" presStyleIdx="3" presStyleCnt="5" custScaleX="142857"/>
      <dgm:spPr/>
      <dgm:t>
        <a:bodyPr/>
        <a:lstStyle/>
        <a:p>
          <a:endParaRPr lang="lt-LT"/>
        </a:p>
      </dgm:t>
    </dgm:pt>
    <dgm:pt modelId="{FD3005E2-02D5-4E44-89AB-5B33B995DD16}" type="pres">
      <dgm:prSet presAssocID="{4B70F1B7-28D5-41B0-9805-4ED3052A46F6}" presName="c4text" presStyleLbl="node1" presStyleIdx="3" presStyleCnt="5">
        <dgm:presLayoutVars>
          <dgm:bulletEnabled val="1"/>
        </dgm:presLayoutVars>
      </dgm:prSet>
      <dgm:spPr/>
      <dgm:t>
        <a:bodyPr/>
        <a:lstStyle/>
        <a:p>
          <a:endParaRPr lang="lt-LT"/>
        </a:p>
      </dgm:t>
    </dgm:pt>
    <dgm:pt modelId="{9F4771AB-464B-489A-B6D8-E13B1D0EBF3C}" type="pres">
      <dgm:prSet presAssocID="{4B70F1B7-28D5-41B0-9805-4ED3052A46F6}" presName="comp5" presStyleCnt="0"/>
      <dgm:spPr/>
    </dgm:pt>
    <dgm:pt modelId="{519E0BA0-17A0-41D9-8A8A-5E0E3046871F}" type="pres">
      <dgm:prSet presAssocID="{4B70F1B7-28D5-41B0-9805-4ED3052A46F6}" presName="circle5" presStyleLbl="node1" presStyleIdx="4" presStyleCnt="5" custScaleX="142857"/>
      <dgm:spPr/>
      <dgm:t>
        <a:bodyPr/>
        <a:lstStyle/>
        <a:p>
          <a:endParaRPr lang="lt-LT"/>
        </a:p>
      </dgm:t>
    </dgm:pt>
    <dgm:pt modelId="{A758B054-BF52-4988-AE35-B0E87BA66B4A}" type="pres">
      <dgm:prSet presAssocID="{4B70F1B7-28D5-41B0-9805-4ED3052A46F6}" presName="c5text" presStyleLbl="node1" presStyleIdx="4" presStyleCnt="5">
        <dgm:presLayoutVars>
          <dgm:bulletEnabled val="1"/>
        </dgm:presLayoutVars>
      </dgm:prSet>
      <dgm:spPr/>
      <dgm:t>
        <a:bodyPr/>
        <a:lstStyle/>
        <a:p>
          <a:endParaRPr lang="lt-LT"/>
        </a:p>
      </dgm:t>
    </dgm:pt>
  </dgm:ptLst>
  <dgm:cxnLst>
    <dgm:cxn modelId="{57AD0AE9-B70F-403D-B114-55928EE8061A}" srcId="{4B70F1B7-28D5-41B0-9805-4ED3052A46F6}" destId="{11FA389F-3256-4A27-83F4-B98B422BD975}" srcOrd="3" destOrd="0" parTransId="{14776EE7-D739-4BCC-8F21-FEEDB458E574}" sibTransId="{279014FE-5E65-4241-92D3-0D4B39AD6542}"/>
    <dgm:cxn modelId="{B4947FF4-CD75-49B9-BDE0-89AB35ACB894}" type="presOf" srcId="{ABE2ADB0-D1EA-464C-91D0-7E4BC0B33214}" destId="{3A2FDF97-29FF-4A7E-B990-6E5967DDB068}" srcOrd="1" destOrd="0" presId="urn:microsoft.com/office/officeart/2005/8/layout/venn2"/>
    <dgm:cxn modelId="{8B98BB44-86D7-4F47-9BDD-918F210389CC}" type="presOf" srcId="{643B990A-824E-47CE-8860-4A407684E731}" destId="{A204D05F-65F2-482A-982E-DD0AFB005E07}" srcOrd="0" destOrd="0" presId="urn:microsoft.com/office/officeart/2005/8/layout/venn2"/>
    <dgm:cxn modelId="{98B01542-C509-4F19-846E-A35A2C473CD4}" type="presOf" srcId="{0482A9CD-DDF7-4254-ADC5-5574ED4D959B}" destId="{519E0BA0-17A0-41D9-8A8A-5E0E3046871F}" srcOrd="0" destOrd="0" presId="urn:microsoft.com/office/officeart/2005/8/layout/venn2"/>
    <dgm:cxn modelId="{A3CFF189-7AAB-4F54-9BD3-F9111D1138A1}" type="presOf" srcId="{0482A9CD-DDF7-4254-ADC5-5574ED4D959B}" destId="{A758B054-BF52-4988-AE35-B0E87BA66B4A}" srcOrd="1" destOrd="0" presId="urn:microsoft.com/office/officeart/2005/8/layout/venn2"/>
    <dgm:cxn modelId="{68A27B79-1459-4EB8-9921-BD4D9CBA62BD}" type="presOf" srcId="{11FA389F-3256-4A27-83F4-B98B422BD975}" destId="{FD3005E2-02D5-4E44-89AB-5B33B995DD16}" srcOrd="1" destOrd="0" presId="urn:microsoft.com/office/officeart/2005/8/layout/venn2"/>
    <dgm:cxn modelId="{C161E2EC-F9ED-40F7-A1EC-AC441161BCB3}" srcId="{4B70F1B7-28D5-41B0-9805-4ED3052A46F6}" destId="{ABE2ADB0-D1EA-464C-91D0-7E4BC0B33214}" srcOrd="2" destOrd="0" parTransId="{FDF8C674-7C05-47F1-8C5B-19D224C42C0E}" sibTransId="{404594D9-6B2E-461D-83FD-E6F5819D64AC}"/>
    <dgm:cxn modelId="{31812E9C-3BCC-4670-AEA9-C98648C5E203}" type="presOf" srcId="{11FA389F-3256-4A27-83F4-B98B422BD975}" destId="{E3C13DA6-136D-441D-BDB8-51901489BE80}" srcOrd="0" destOrd="0" presId="urn:microsoft.com/office/officeart/2005/8/layout/venn2"/>
    <dgm:cxn modelId="{A1C3D659-EA50-4A30-8185-AF21EA4FBEA8}" type="presOf" srcId="{643B990A-824E-47CE-8860-4A407684E731}" destId="{F67FEB26-78D2-41ED-B1B0-8E1B181D00CA}" srcOrd="1" destOrd="0" presId="urn:microsoft.com/office/officeart/2005/8/layout/venn2"/>
    <dgm:cxn modelId="{91926753-1936-4CD9-B327-0ACA78595861}" srcId="{4B70F1B7-28D5-41B0-9805-4ED3052A46F6}" destId="{0482A9CD-DDF7-4254-ADC5-5574ED4D959B}" srcOrd="4" destOrd="0" parTransId="{456403EF-37E9-41DB-9EF6-1876F6A7BCD4}" sibTransId="{18F9F6C3-6EEA-495A-9AB9-75E317586CCC}"/>
    <dgm:cxn modelId="{28414C5A-36C4-495A-B34B-5398842A5242}" srcId="{4B70F1B7-28D5-41B0-9805-4ED3052A46F6}" destId="{643B990A-824E-47CE-8860-4A407684E731}" srcOrd="0" destOrd="0" parTransId="{D69CDA07-00C2-4AF6-BCFE-67EA1EB237E2}" sibTransId="{CA0DBA63-444C-469D-939E-3D90A3B126D8}"/>
    <dgm:cxn modelId="{FAD390BB-C644-46F6-8A12-0D09C80B7A32}" type="presOf" srcId="{4B70F1B7-28D5-41B0-9805-4ED3052A46F6}" destId="{DAAA7135-DFA8-41F4-B970-EA8E1974FD9E}" srcOrd="0" destOrd="0" presId="urn:microsoft.com/office/officeart/2005/8/layout/venn2"/>
    <dgm:cxn modelId="{CD6AB9AD-09C9-44F4-820A-8350D6218FE6}" type="presOf" srcId="{D9861481-2340-4450-99B4-73AE5D0BAF13}" destId="{6FA815D4-99AA-485F-ACBA-FC3484B612B3}" srcOrd="1" destOrd="0" presId="urn:microsoft.com/office/officeart/2005/8/layout/venn2"/>
    <dgm:cxn modelId="{DEE3BFA5-6C47-4461-B563-7605624A5198}" type="presOf" srcId="{ABE2ADB0-D1EA-464C-91D0-7E4BC0B33214}" destId="{63C13C00-D32A-4393-9B2B-AECAA246B67E}" srcOrd="0" destOrd="0" presId="urn:microsoft.com/office/officeart/2005/8/layout/venn2"/>
    <dgm:cxn modelId="{42083546-33DB-4337-9E2B-DC9A17388E8C}" type="presOf" srcId="{D9861481-2340-4450-99B4-73AE5D0BAF13}" destId="{4B986E02-62FC-4DA2-BE91-92BFBE86BB5F}" srcOrd="0" destOrd="0" presId="urn:microsoft.com/office/officeart/2005/8/layout/venn2"/>
    <dgm:cxn modelId="{A846A3F2-7558-44F3-A3A8-F4642B0CFDAE}" srcId="{4B70F1B7-28D5-41B0-9805-4ED3052A46F6}" destId="{D9861481-2340-4450-99B4-73AE5D0BAF13}" srcOrd="1" destOrd="0" parTransId="{EBB2023E-CC20-426F-A20C-C5B8F00DE55B}" sibTransId="{B70090A5-8D36-4914-89EA-B60006899B1F}"/>
    <dgm:cxn modelId="{2639E76A-EB67-44AD-89F7-61A97938989F}" type="presParOf" srcId="{DAAA7135-DFA8-41F4-B970-EA8E1974FD9E}" destId="{4B0BA594-D002-424E-9694-173D083B3557}" srcOrd="0" destOrd="0" presId="urn:microsoft.com/office/officeart/2005/8/layout/venn2"/>
    <dgm:cxn modelId="{4D8832BB-CCDD-4CBF-9EDE-672EBFAF4FB3}" type="presParOf" srcId="{4B0BA594-D002-424E-9694-173D083B3557}" destId="{A204D05F-65F2-482A-982E-DD0AFB005E07}" srcOrd="0" destOrd="0" presId="urn:microsoft.com/office/officeart/2005/8/layout/venn2"/>
    <dgm:cxn modelId="{FB16817D-EBAC-4D3F-AFF0-B67BADA2D94A}" type="presParOf" srcId="{4B0BA594-D002-424E-9694-173D083B3557}" destId="{F67FEB26-78D2-41ED-B1B0-8E1B181D00CA}" srcOrd="1" destOrd="0" presId="urn:microsoft.com/office/officeart/2005/8/layout/venn2"/>
    <dgm:cxn modelId="{65E1F3BF-C32B-429D-AED9-E6FA47FD667F}" type="presParOf" srcId="{DAAA7135-DFA8-41F4-B970-EA8E1974FD9E}" destId="{2B4D7DAA-3FF0-4868-9F2A-F6451F48E5A0}" srcOrd="1" destOrd="0" presId="urn:microsoft.com/office/officeart/2005/8/layout/venn2"/>
    <dgm:cxn modelId="{EB06FA04-D746-4B1B-BEB6-F29016506AAA}" type="presParOf" srcId="{2B4D7DAA-3FF0-4868-9F2A-F6451F48E5A0}" destId="{4B986E02-62FC-4DA2-BE91-92BFBE86BB5F}" srcOrd="0" destOrd="0" presId="urn:microsoft.com/office/officeart/2005/8/layout/venn2"/>
    <dgm:cxn modelId="{906C8FF6-64D6-4707-A0B6-47D8CFF7744B}" type="presParOf" srcId="{2B4D7DAA-3FF0-4868-9F2A-F6451F48E5A0}" destId="{6FA815D4-99AA-485F-ACBA-FC3484B612B3}" srcOrd="1" destOrd="0" presId="urn:microsoft.com/office/officeart/2005/8/layout/venn2"/>
    <dgm:cxn modelId="{C0E54E7B-A35B-4156-BF2C-43776F15F753}" type="presParOf" srcId="{DAAA7135-DFA8-41F4-B970-EA8E1974FD9E}" destId="{9901588C-4585-4B82-B4D8-85BF777B95FF}" srcOrd="2" destOrd="0" presId="urn:microsoft.com/office/officeart/2005/8/layout/venn2"/>
    <dgm:cxn modelId="{AA7A5656-B3FC-41F9-9963-070AF1192168}" type="presParOf" srcId="{9901588C-4585-4B82-B4D8-85BF777B95FF}" destId="{63C13C00-D32A-4393-9B2B-AECAA246B67E}" srcOrd="0" destOrd="0" presId="urn:microsoft.com/office/officeart/2005/8/layout/venn2"/>
    <dgm:cxn modelId="{FCF8F6DB-9F7D-4C95-AE96-87C89D276DD8}" type="presParOf" srcId="{9901588C-4585-4B82-B4D8-85BF777B95FF}" destId="{3A2FDF97-29FF-4A7E-B990-6E5967DDB068}" srcOrd="1" destOrd="0" presId="urn:microsoft.com/office/officeart/2005/8/layout/venn2"/>
    <dgm:cxn modelId="{2F43116B-61AE-4CBF-BF29-950BEE730FB9}" type="presParOf" srcId="{DAAA7135-DFA8-41F4-B970-EA8E1974FD9E}" destId="{F10C6B76-411B-4DF0-92FF-FD5498A2B7E7}" srcOrd="3" destOrd="0" presId="urn:microsoft.com/office/officeart/2005/8/layout/venn2"/>
    <dgm:cxn modelId="{81FDBCAD-D3E0-46F9-AC03-9A8ACC029962}" type="presParOf" srcId="{F10C6B76-411B-4DF0-92FF-FD5498A2B7E7}" destId="{E3C13DA6-136D-441D-BDB8-51901489BE80}" srcOrd="0" destOrd="0" presId="urn:microsoft.com/office/officeart/2005/8/layout/venn2"/>
    <dgm:cxn modelId="{DA4C7134-801D-406E-9BCE-3DCF0F1196C7}" type="presParOf" srcId="{F10C6B76-411B-4DF0-92FF-FD5498A2B7E7}" destId="{FD3005E2-02D5-4E44-89AB-5B33B995DD16}" srcOrd="1" destOrd="0" presId="urn:microsoft.com/office/officeart/2005/8/layout/venn2"/>
    <dgm:cxn modelId="{40C78390-CFF6-44A9-8693-CFBD85E43E89}" type="presParOf" srcId="{DAAA7135-DFA8-41F4-B970-EA8E1974FD9E}" destId="{9F4771AB-464B-489A-B6D8-E13B1D0EBF3C}" srcOrd="4" destOrd="0" presId="urn:microsoft.com/office/officeart/2005/8/layout/venn2"/>
    <dgm:cxn modelId="{A05FF889-73E6-4BBB-8401-B397C5E9585A}" type="presParOf" srcId="{9F4771AB-464B-489A-B6D8-E13B1D0EBF3C}" destId="{519E0BA0-17A0-41D9-8A8A-5E0E3046871F}" srcOrd="0" destOrd="0" presId="urn:microsoft.com/office/officeart/2005/8/layout/venn2"/>
    <dgm:cxn modelId="{DD4699BD-F068-4293-B429-D40BA3FDC761}" type="presParOf" srcId="{9F4771AB-464B-489A-B6D8-E13B1D0EBF3C}" destId="{A758B054-BF52-4988-AE35-B0E87BA66B4A}" srcOrd="1" destOrd="0" presId="urn:microsoft.com/office/officeart/2005/8/layout/venn2"/>
  </dgm:cxnLst>
  <dgm:bg>
    <a:noFill/>
  </dgm:bg>
  <dgm:whole>
    <a:ln>
      <a:solidFill>
        <a:schemeClr val="tx1"/>
      </a:solidFill>
    </a:ln>
  </dgm:whole>
</dgm:dataModel>
</file>

<file path=word/diagrams/data2.xml><?xml version="1.0" encoding="utf-8"?>
<dgm:dataModel xmlns:dgm="http://schemas.openxmlformats.org/drawingml/2006/diagram" xmlns:a="http://schemas.openxmlformats.org/drawingml/2006/main">
  <dgm:ptLst>
    <dgm:pt modelId="{0592FE60-0EFE-4363-A842-02D442C01270}" type="doc">
      <dgm:prSet loTypeId="urn:microsoft.com/office/officeart/2005/8/layout/venn1" loCatId="relationship" qsTypeId="urn:microsoft.com/office/officeart/2005/8/quickstyle/simple1" qsCatId="simple" csTypeId="urn:microsoft.com/office/officeart/2005/8/colors/colorful4" csCatId="colorful" phldr="1"/>
      <dgm:spPr/>
    </dgm:pt>
    <dgm:pt modelId="{1A28F548-D510-492E-9285-1AAAB7D6F180}">
      <dgm:prSet phldrT="[Text]" custT="1"/>
      <dgm:spPr/>
      <dgm:t>
        <a:bodyPr/>
        <a:lstStyle/>
        <a:p>
          <a:pPr algn="ctr"/>
          <a:r>
            <a:rPr lang="lt-LT" sz="1600"/>
            <a:t>Draudimo rinka</a:t>
          </a:r>
        </a:p>
      </dgm:t>
    </dgm:pt>
    <dgm:pt modelId="{6CC06976-BB8A-4416-87D9-95AD6CE6CC1E}" type="parTrans" cxnId="{B0DFBF67-357B-4377-9311-7627E11A6B0E}">
      <dgm:prSet/>
      <dgm:spPr/>
      <dgm:t>
        <a:bodyPr/>
        <a:lstStyle/>
        <a:p>
          <a:pPr algn="ctr"/>
          <a:endParaRPr lang="lt-LT"/>
        </a:p>
      </dgm:t>
    </dgm:pt>
    <dgm:pt modelId="{0631237B-C048-4C15-A5FB-3344BF53D9A2}" type="sibTrans" cxnId="{B0DFBF67-357B-4377-9311-7627E11A6B0E}">
      <dgm:prSet/>
      <dgm:spPr/>
      <dgm:t>
        <a:bodyPr/>
        <a:lstStyle/>
        <a:p>
          <a:pPr algn="ctr"/>
          <a:endParaRPr lang="lt-LT"/>
        </a:p>
      </dgm:t>
    </dgm:pt>
    <dgm:pt modelId="{1B7AEF74-3D01-46CD-B33B-FFC7E60ADCAC}">
      <dgm:prSet phldrT="[Text]" custT="1"/>
      <dgm:spPr/>
      <dgm:t>
        <a:bodyPr/>
        <a:lstStyle/>
        <a:p>
          <a:pPr algn="ctr"/>
          <a:r>
            <a:rPr lang="lt-LT" sz="1600"/>
            <a:t>Vertybinių popierių rinka</a:t>
          </a:r>
        </a:p>
      </dgm:t>
    </dgm:pt>
    <dgm:pt modelId="{0E56D4AB-3817-4873-83B2-898579098DC0}" type="parTrans" cxnId="{7DF792EA-0196-4995-BD55-5D64D43C5EE7}">
      <dgm:prSet/>
      <dgm:spPr/>
      <dgm:t>
        <a:bodyPr/>
        <a:lstStyle/>
        <a:p>
          <a:pPr algn="ctr"/>
          <a:endParaRPr lang="lt-LT"/>
        </a:p>
      </dgm:t>
    </dgm:pt>
    <dgm:pt modelId="{5259D49C-1809-4142-AC8B-5F43255D3E2F}" type="sibTrans" cxnId="{7DF792EA-0196-4995-BD55-5D64D43C5EE7}">
      <dgm:prSet/>
      <dgm:spPr/>
      <dgm:t>
        <a:bodyPr/>
        <a:lstStyle/>
        <a:p>
          <a:pPr algn="ctr"/>
          <a:endParaRPr lang="lt-LT"/>
        </a:p>
      </dgm:t>
    </dgm:pt>
    <dgm:pt modelId="{294C14A9-CB06-452F-A9FE-32BF40D94842}">
      <dgm:prSet phldrT="[Text]" custT="1"/>
      <dgm:spPr/>
      <dgm:t>
        <a:bodyPr/>
        <a:lstStyle/>
        <a:p>
          <a:pPr algn="ctr"/>
          <a:r>
            <a:rPr lang="lt-LT" sz="1600"/>
            <a:t>Bankinė rinka</a:t>
          </a:r>
        </a:p>
      </dgm:t>
    </dgm:pt>
    <dgm:pt modelId="{9D1C83B0-934D-46E8-A3CE-389A40A9DFA7}" type="parTrans" cxnId="{D65D71EE-F55D-4E46-B83D-AE6D82C7E2D2}">
      <dgm:prSet/>
      <dgm:spPr/>
      <dgm:t>
        <a:bodyPr/>
        <a:lstStyle/>
        <a:p>
          <a:pPr algn="ctr"/>
          <a:endParaRPr lang="lt-LT"/>
        </a:p>
      </dgm:t>
    </dgm:pt>
    <dgm:pt modelId="{3589F215-8213-4D6F-B6DF-CED3393BE3D9}" type="sibTrans" cxnId="{D65D71EE-F55D-4E46-B83D-AE6D82C7E2D2}">
      <dgm:prSet/>
      <dgm:spPr/>
      <dgm:t>
        <a:bodyPr/>
        <a:lstStyle/>
        <a:p>
          <a:pPr algn="ctr"/>
          <a:endParaRPr lang="lt-LT"/>
        </a:p>
      </dgm:t>
    </dgm:pt>
    <dgm:pt modelId="{374D1EA7-CEE7-43A6-8192-C75A0517E99B}" type="pres">
      <dgm:prSet presAssocID="{0592FE60-0EFE-4363-A842-02D442C01270}" presName="compositeShape" presStyleCnt="0">
        <dgm:presLayoutVars>
          <dgm:chMax val="7"/>
          <dgm:dir/>
          <dgm:resizeHandles val="exact"/>
        </dgm:presLayoutVars>
      </dgm:prSet>
      <dgm:spPr/>
    </dgm:pt>
    <dgm:pt modelId="{8B9B1690-BA6A-40BC-9FB7-A4CD94285FC8}" type="pres">
      <dgm:prSet presAssocID="{1A28F548-D510-492E-9285-1AAAB7D6F180}" presName="circ1" presStyleLbl="vennNode1" presStyleIdx="0" presStyleCnt="3"/>
      <dgm:spPr/>
      <dgm:t>
        <a:bodyPr/>
        <a:lstStyle/>
        <a:p>
          <a:endParaRPr lang="lt-LT"/>
        </a:p>
      </dgm:t>
    </dgm:pt>
    <dgm:pt modelId="{DDA0AF10-C5AB-460B-9C7F-C9E6B7DD53BD}" type="pres">
      <dgm:prSet presAssocID="{1A28F548-D510-492E-9285-1AAAB7D6F180}" presName="circ1Tx" presStyleLbl="revTx" presStyleIdx="0" presStyleCnt="0">
        <dgm:presLayoutVars>
          <dgm:chMax val="0"/>
          <dgm:chPref val="0"/>
          <dgm:bulletEnabled val="1"/>
        </dgm:presLayoutVars>
      </dgm:prSet>
      <dgm:spPr/>
      <dgm:t>
        <a:bodyPr/>
        <a:lstStyle/>
        <a:p>
          <a:endParaRPr lang="lt-LT"/>
        </a:p>
      </dgm:t>
    </dgm:pt>
    <dgm:pt modelId="{04B306D6-428F-4B8A-8264-F87D9CFF6B38}" type="pres">
      <dgm:prSet presAssocID="{1B7AEF74-3D01-46CD-B33B-FFC7E60ADCAC}" presName="circ2" presStyleLbl="vennNode1" presStyleIdx="1" presStyleCnt="3"/>
      <dgm:spPr/>
      <dgm:t>
        <a:bodyPr/>
        <a:lstStyle/>
        <a:p>
          <a:endParaRPr lang="lt-LT"/>
        </a:p>
      </dgm:t>
    </dgm:pt>
    <dgm:pt modelId="{755F895B-DE1C-42CB-8BE1-DFA72F3EB535}" type="pres">
      <dgm:prSet presAssocID="{1B7AEF74-3D01-46CD-B33B-FFC7E60ADCAC}" presName="circ2Tx" presStyleLbl="revTx" presStyleIdx="0" presStyleCnt="0">
        <dgm:presLayoutVars>
          <dgm:chMax val="0"/>
          <dgm:chPref val="0"/>
          <dgm:bulletEnabled val="1"/>
        </dgm:presLayoutVars>
      </dgm:prSet>
      <dgm:spPr/>
      <dgm:t>
        <a:bodyPr/>
        <a:lstStyle/>
        <a:p>
          <a:endParaRPr lang="lt-LT"/>
        </a:p>
      </dgm:t>
    </dgm:pt>
    <dgm:pt modelId="{DB962F09-F7F0-4A70-873B-1EE754FCFB6E}" type="pres">
      <dgm:prSet presAssocID="{294C14A9-CB06-452F-A9FE-32BF40D94842}" presName="circ3" presStyleLbl="vennNode1" presStyleIdx="2" presStyleCnt="3"/>
      <dgm:spPr/>
      <dgm:t>
        <a:bodyPr/>
        <a:lstStyle/>
        <a:p>
          <a:endParaRPr lang="lt-LT"/>
        </a:p>
      </dgm:t>
    </dgm:pt>
    <dgm:pt modelId="{B2A130F9-A693-47C0-B133-EDD6B1E89536}" type="pres">
      <dgm:prSet presAssocID="{294C14A9-CB06-452F-A9FE-32BF40D94842}" presName="circ3Tx" presStyleLbl="revTx" presStyleIdx="0" presStyleCnt="0">
        <dgm:presLayoutVars>
          <dgm:chMax val="0"/>
          <dgm:chPref val="0"/>
          <dgm:bulletEnabled val="1"/>
        </dgm:presLayoutVars>
      </dgm:prSet>
      <dgm:spPr/>
      <dgm:t>
        <a:bodyPr/>
        <a:lstStyle/>
        <a:p>
          <a:endParaRPr lang="lt-LT"/>
        </a:p>
      </dgm:t>
    </dgm:pt>
  </dgm:ptLst>
  <dgm:cxnLst>
    <dgm:cxn modelId="{2ABCFC62-A9A0-4D43-9D26-14B53565BD5C}" type="presOf" srcId="{294C14A9-CB06-452F-A9FE-32BF40D94842}" destId="{DB962F09-F7F0-4A70-873B-1EE754FCFB6E}" srcOrd="0" destOrd="0" presId="urn:microsoft.com/office/officeart/2005/8/layout/venn1"/>
    <dgm:cxn modelId="{BB8D098F-8A65-4E48-B932-38D2759E5875}" type="presOf" srcId="{1B7AEF74-3D01-46CD-B33B-FFC7E60ADCAC}" destId="{04B306D6-428F-4B8A-8264-F87D9CFF6B38}" srcOrd="0" destOrd="0" presId="urn:microsoft.com/office/officeart/2005/8/layout/venn1"/>
    <dgm:cxn modelId="{B0DFBF67-357B-4377-9311-7627E11A6B0E}" srcId="{0592FE60-0EFE-4363-A842-02D442C01270}" destId="{1A28F548-D510-492E-9285-1AAAB7D6F180}" srcOrd="0" destOrd="0" parTransId="{6CC06976-BB8A-4416-87D9-95AD6CE6CC1E}" sibTransId="{0631237B-C048-4C15-A5FB-3344BF53D9A2}"/>
    <dgm:cxn modelId="{CB223122-464C-4C01-B221-74107B93EEAB}" type="presOf" srcId="{294C14A9-CB06-452F-A9FE-32BF40D94842}" destId="{B2A130F9-A693-47C0-B133-EDD6B1E89536}" srcOrd="1" destOrd="0" presId="urn:microsoft.com/office/officeart/2005/8/layout/venn1"/>
    <dgm:cxn modelId="{4E5FB4C0-3568-462F-AAF5-A64E5EE36112}" type="presOf" srcId="{1A28F548-D510-492E-9285-1AAAB7D6F180}" destId="{DDA0AF10-C5AB-460B-9C7F-C9E6B7DD53BD}" srcOrd="1" destOrd="0" presId="urn:microsoft.com/office/officeart/2005/8/layout/venn1"/>
    <dgm:cxn modelId="{7DF792EA-0196-4995-BD55-5D64D43C5EE7}" srcId="{0592FE60-0EFE-4363-A842-02D442C01270}" destId="{1B7AEF74-3D01-46CD-B33B-FFC7E60ADCAC}" srcOrd="1" destOrd="0" parTransId="{0E56D4AB-3817-4873-83B2-898579098DC0}" sibTransId="{5259D49C-1809-4142-AC8B-5F43255D3E2F}"/>
    <dgm:cxn modelId="{D65D71EE-F55D-4E46-B83D-AE6D82C7E2D2}" srcId="{0592FE60-0EFE-4363-A842-02D442C01270}" destId="{294C14A9-CB06-452F-A9FE-32BF40D94842}" srcOrd="2" destOrd="0" parTransId="{9D1C83B0-934D-46E8-A3CE-389A40A9DFA7}" sibTransId="{3589F215-8213-4D6F-B6DF-CED3393BE3D9}"/>
    <dgm:cxn modelId="{56C91FE9-C94F-408C-8AD8-AF14C51EFCF9}" type="presOf" srcId="{1A28F548-D510-492E-9285-1AAAB7D6F180}" destId="{8B9B1690-BA6A-40BC-9FB7-A4CD94285FC8}" srcOrd="0" destOrd="0" presId="urn:microsoft.com/office/officeart/2005/8/layout/venn1"/>
    <dgm:cxn modelId="{4EDBBA63-F8F2-47D0-82F0-BFB39D4AF3CA}" type="presOf" srcId="{1B7AEF74-3D01-46CD-B33B-FFC7E60ADCAC}" destId="{755F895B-DE1C-42CB-8BE1-DFA72F3EB535}" srcOrd="1" destOrd="0" presId="urn:microsoft.com/office/officeart/2005/8/layout/venn1"/>
    <dgm:cxn modelId="{694B8E2A-D35A-4543-9478-D363462223C4}" type="presOf" srcId="{0592FE60-0EFE-4363-A842-02D442C01270}" destId="{374D1EA7-CEE7-43A6-8192-C75A0517E99B}" srcOrd="0" destOrd="0" presId="urn:microsoft.com/office/officeart/2005/8/layout/venn1"/>
    <dgm:cxn modelId="{4F61F56E-9C7B-4768-BFFF-C069123677FD}" type="presParOf" srcId="{374D1EA7-CEE7-43A6-8192-C75A0517E99B}" destId="{8B9B1690-BA6A-40BC-9FB7-A4CD94285FC8}" srcOrd="0" destOrd="0" presId="urn:microsoft.com/office/officeart/2005/8/layout/venn1"/>
    <dgm:cxn modelId="{960593F4-F2E2-4FC7-B401-3878BFA4DCD8}" type="presParOf" srcId="{374D1EA7-CEE7-43A6-8192-C75A0517E99B}" destId="{DDA0AF10-C5AB-460B-9C7F-C9E6B7DD53BD}" srcOrd="1" destOrd="0" presId="urn:microsoft.com/office/officeart/2005/8/layout/venn1"/>
    <dgm:cxn modelId="{A5299D51-F35E-4D69-AAB8-44CA87F1B794}" type="presParOf" srcId="{374D1EA7-CEE7-43A6-8192-C75A0517E99B}" destId="{04B306D6-428F-4B8A-8264-F87D9CFF6B38}" srcOrd="2" destOrd="0" presId="urn:microsoft.com/office/officeart/2005/8/layout/venn1"/>
    <dgm:cxn modelId="{3D9CFFDF-24D3-4AA6-980A-60AD64F4C82E}" type="presParOf" srcId="{374D1EA7-CEE7-43A6-8192-C75A0517E99B}" destId="{755F895B-DE1C-42CB-8BE1-DFA72F3EB535}" srcOrd="3" destOrd="0" presId="urn:microsoft.com/office/officeart/2005/8/layout/venn1"/>
    <dgm:cxn modelId="{03CCF36B-96BF-4957-B2CF-8F9D2BF43BC5}" type="presParOf" srcId="{374D1EA7-CEE7-43A6-8192-C75A0517E99B}" destId="{DB962F09-F7F0-4A70-873B-1EE754FCFB6E}" srcOrd="4" destOrd="0" presId="urn:microsoft.com/office/officeart/2005/8/layout/venn1"/>
    <dgm:cxn modelId="{CD8F9739-F7FF-4561-B16C-4F7A083D4B22}" type="presParOf" srcId="{374D1EA7-CEE7-43A6-8192-C75A0517E99B}" destId="{B2A130F9-A693-47C0-B133-EDD6B1E89536}" srcOrd="5" destOrd="0" presId="urn:microsoft.com/office/officeart/2005/8/layout/venn1"/>
  </dgm:cxnLst>
  <dgm:bg/>
  <dgm:whole>
    <a:ln w="0" cmpd="sng">
      <a:solidFill>
        <a:schemeClr val="tx1"/>
      </a:solidFill>
    </a:ln>
  </dgm:whole>
</dgm:dataModel>
</file>

<file path=word/diagrams/data3.xml><?xml version="1.0" encoding="utf-8"?>
<dgm:dataModel xmlns:dgm="http://schemas.openxmlformats.org/drawingml/2006/diagram" xmlns:a="http://schemas.openxmlformats.org/drawingml/2006/main">
  <dgm:ptLst>
    <dgm:pt modelId="{5649F947-A1A7-4280-9844-CD95DCE71A54}"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lt-LT"/>
        </a:p>
      </dgm:t>
    </dgm:pt>
    <dgm:pt modelId="{BD5B0EFB-00D3-4240-A191-8E595FF829A6}">
      <dgm:prSet phldrT="[Text]" custT="1"/>
      <dgm:spPr/>
      <dgm:t>
        <a:bodyPr/>
        <a:lstStyle/>
        <a:p>
          <a:pPr algn="ctr"/>
          <a:r>
            <a:rPr lang="lt-LT" sz="1600"/>
            <a:t>Draudimo šakos</a:t>
          </a:r>
        </a:p>
      </dgm:t>
    </dgm:pt>
    <dgm:pt modelId="{0193C2E2-CEA6-4E02-8E3C-E77B1FF59F61}" type="parTrans" cxnId="{11ACE285-96CD-4958-A828-D9313B603644}">
      <dgm:prSet/>
      <dgm:spPr/>
      <dgm:t>
        <a:bodyPr/>
        <a:lstStyle/>
        <a:p>
          <a:pPr algn="ctr"/>
          <a:endParaRPr lang="lt-LT"/>
        </a:p>
      </dgm:t>
    </dgm:pt>
    <dgm:pt modelId="{13F2BA6E-6A0A-4F7E-B1E2-994081F69063}" type="sibTrans" cxnId="{11ACE285-96CD-4958-A828-D9313B603644}">
      <dgm:prSet/>
      <dgm:spPr/>
      <dgm:t>
        <a:bodyPr/>
        <a:lstStyle/>
        <a:p>
          <a:pPr algn="ctr"/>
          <a:endParaRPr lang="lt-LT"/>
        </a:p>
      </dgm:t>
    </dgm:pt>
    <dgm:pt modelId="{E6348B91-C6F3-4F12-8102-CF54F78CB25F}">
      <dgm:prSet phldrT="[Text]" custT="1"/>
      <dgm:spPr/>
      <dgm:t>
        <a:bodyPr/>
        <a:lstStyle/>
        <a:p>
          <a:pPr algn="ctr"/>
          <a:r>
            <a:rPr lang="lt-LT" sz="1600"/>
            <a:t>Draudimo grupės</a:t>
          </a:r>
          <a:endParaRPr lang="lt-LT" sz="1200"/>
        </a:p>
      </dgm:t>
    </dgm:pt>
    <dgm:pt modelId="{B2A6545E-D5ED-4A2B-8661-C92416E9F0AF}" type="parTrans" cxnId="{CFEE03AC-32A3-4C09-9D29-D8673687D9D3}">
      <dgm:prSet/>
      <dgm:spPr/>
      <dgm:t>
        <a:bodyPr/>
        <a:lstStyle/>
        <a:p>
          <a:pPr algn="ctr"/>
          <a:endParaRPr lang="lt-LT"/>
        </a:p>
      </dgm:t>
    </dgm:pt>
    <dgm:pt modelId="{0C320F87-07A3-4789-8A3A-EBD21256874E}" type="sibTrans" cxnId="{CFEE03AC-32A3-4C09-9D29-D8673687D9D3}">
      <dgm:prSet/>
      <dgm:spPr/>
      <dgm:t>
        <a:bodyPr/>
        <a:lstStyle/>
        <a:p>
          <a:pPr algn="ctr"/>
          <a:endParaRPr lang="lt-LT"/>
        </a:p>
      </dgm:t>
    </dgm:pt>
    <dgm:pt modelId="{05700E9F-4CBF-4BE7-A415-C5A048231348}">
      <dgm:prSet phldrT="[Text]" custT="1"/>
      <dgm:spPr/>
      <dgm:t>
        <a:bodyPr/>
        <a:lstStyle/>
        <a:p>
          <a:pPr algn="ctr"/>
          <a:r>
            <a:rPr lang="lt-LT" sz="1600"/>
            <a:t>Draudimo produktai</a:t>
          </a:r>
        </a:p>
      </dgm:t>
    </dgm:pt>
    <dgm:pt modelId="{6AA3B384-DAED-444E-8417-8E2A5B669DDB}" type="parTrans" cxnId="{F882CC58-4529-45A6-B5F7-E6B5C4D24EBE}">
      <dgm:prSet/>
      <dgm:spPr/>
      <dgm:t>
        <a:bodyPr/>
        <a:lstStyle/>
        <a:p>
          <a:pPr algn="ctr"/>
          <a:endParaRPr lang="lt-LT"/>
        </a:p>
      </dgm:t>
    </dgm:pt>
    <dgm:pt modelId="{A1EC83EC-BFB1-4899-8DA3-2C0557E4B5C1}" type="sibTrans" cxnId="{F882CC58-4529-45A6-B5F7-E6B5C4D24EBE}">
      <dgm:prSet/>
      <dgm:spPr/>
      <dgm:t>
        <a:bodyPr/>
        <a:lstStyle/>
        <a:p>
          <a:pPr algn="ctr"/>
          <a:endParaRPr lang="lt-LT"/>
        </a:p>
      </dgm:t>
    </dgm:pt>
    <dgm:pt modelId="{5DA059AE-6D48-4722-B713-DFF78091BCEB}">
      <dgm:prSet phldrT="[Text]" custT="1"/>
      <dgm:spPr/>
      <dgm:t>
        <a:bodyPr/>
        <a:lstStyle/>
        <a:p>
          <a:pPr algn="ctr"/>
          <a:r>
            <a:rPr lang="lt-LT" sz="1600"/>
            <a:t>Draudimo rinka</a:t>
          </a:r>
        </a:p>
      </dgm:t>
    </dgm:pt>
    <dgm:pt modelId="{490EBF31-13E4-473B-9398-61F24023474E}" type="sibTrans" cxnId="{8E85B189-7B09-42CD-A845-B40AC58BCA40}">
      <dgm:prSet/>
      <dgm:spPr/>
      <dgm:t>
        <a:bodyPr/>
        <a:lstStyle/>
        <a:p>
          <a:pPr algn="ctr"/>
          <a:endParaRPr lang="lt-LT"/>
        </a:p>
      </dgm:t>
    </dgm:pt>
    <dgm:pt modelId="{99D7EA5E-8D84-46D4-84AA-61924C7E17B2}" type="parTrans" cxnId="{8E85B189-7B09-42CD-A845-B40AC58BCA40}">
      <dgm:prSet/>
      <dgm:spPr/>
      <dgm:t>
        <a:bodyPr/>
        <a:lstStyle/>
        <a:p>
          <a:pPr algn="ctr"/>
          <a:endParaRPr lang="lt-LT"/>
        </a:p>
      </dgm:t>
    </dgm:pt>
    <dgm:pt modelId="{500339A6-4336-4D46-92CF-FD7C80EA98E5}" type="pres">
      <dgm:prSet presAssocID="{5649F947-A1A7-4280-9844-CD95DCE71A54}" presName="Name0" presStyleCnt="0">
        <dgm:presLayoutVars>
          <dgm:dir/>
          <dgm:animLvl val="lvl"/>
          <dgm:resizeHandles val="exact"/>
        </dgm:presLayoutVars>
      </dgm:prSet>
      <dgm:spPr/>
      <dgm:t>
        <a:bodyPr/>
        <a:lstStyle/>
        <a:p>
          <a:endParaRPr lang="lt-LT"/>
        </a:p>
      </dgm:t>
    </dgm:pt>
    <dgm:pt modelId="{3AE76B83-352E-4E7D-A648-304B1651B322}" type="pres">
      <dgm:prSet presAssocID="{05700E9F-4CBF-4BE7-A415-C5A048231348}" presName="boxAndChildren" presStyleCnt="0"/>
      <dgm:spPr/>
    </dgm:pt>
    <dgm:pt modelId="{0844F672-E88D-4A8E-89F9-CA975E346B67}" type="pres">
      <dgm:prSet presAssocID="{05700E9F-4CBF-4BE7-A415-C5A048231348}" presName="parentTextBox" presStyleLbl="node1" presStyleIdx="0" presStyleCnt="4" custLinFactNeighborX="0" custLinFactNeighborY="190"/>
      <dgm:spPr/>
      <dgm:t>
        <a:bodyPr/>
        <a:lstStyle/>
        <a:p>
          <a:endParaRPr lang="lt-LT"/>
        </a:p>
      </dgm:t>
    </dgm:pt>
    <dgm:pt modelId="{C9067BF2-999A-45AC-AE23-5D0E03F74F8C}" type="pres">
      <dgm:prSet presAssocID="{0C320F87-07A3-4789-8A3A-EBD21256874E}" presName="sp" presStyleCnt="0"/>
      <dgm:spPr/>
    </dgm:pt>
    <dgm:pt modelId="{9383FD49-E4FA-4A4D-97EE-8C73EBFF59ED}" type="pres">
      <dgm:prSet presAssocID="{E6348B91-C6F3-4F12-8102-CF54F78CB25F}" presName="arrowAndChildren" presStyleCnt="0"/>
      <dgm:spPr/>
    </dgm:pt>
    <dgm:pt modelId="{D3A1D384-0EFF-4945-9F98-E14F26881D05}" type="pres">
      <dgm:prSet presAssocID="{E6348B91-C6F3-4F12-8102-CF54F78CB25F}" presName="parentTextArrow" presStyleLbl="node1" presStyleIdx="1" presStyleCnt="4"/>
      <dgm:spPr/>
      <dgm:t>
        <a:bodyPr/>
        <a:lstStyle/>
        <a:p>
          <a:endParaRPr lang="lt-LT"/>
        </a:p>
      </dgm:t>
    </dgm:pt>
    <dgm:pt modelId="{189B9851-EDBC-4B31-9D30-6EAA57AC46FC}" type="pres">
      <dgm:prSet presAssocID="{13F2BA6E-6A0A-4F7E-B1E2-994081F69063}" presName="sp" presStyleCnt="0"/>
      <dgm:spPr/>
    </dgm:pt>
    <dgm:pt modelId="{6DADF815-8EAB-4415-B145-82EB02061147}" type="pres">
      <dgm:prSet presAssocID="{BD5B0EFB-00D3-4240-A191-8E595FF829A6}" presName="arrowAndChildren" presStyleCnt="0"/>
      <dgm:spPr/>
    </dgm:pt>
    <dgm:pt modelId="{3668BA53-FFEF-4980-A40A-7016E002DFD9}" type="pres">
      <dgm:prSet presAssocID="{BD5B0EFB-00D3-4240-A191-8E595FF829A6}" presName="parentTextArrow" presStyleLbl="node1" presStyleIdx="2" presStyleCnt="4"/>
      <dgm:spPr/>
      <dgm:t>
        <a:bodyPr/>
        <a:lstStyle/>
        <a:p>
          <a:endParaRPr lang="lt-LT"/>
        </a:p>
      </dgm:t>
    </dgm:pt>
    <dgm:pt modelId="{364E2009-6F20-4251-A6CA-C0CD6B719B21}" type="pres">
      <dgm:prSet presAssocID="{490EBF31-13E4-473B-9398-61F24023474E}" presName="sp" presStyleCnt="0"/>
      <dgm:spPr/>
    </dgm:pt>
    <dgm:pt modelId="{9BC56329-6BEE-46F6-ACBD-9383BEA388B1}" type="pres">
      <dgm:prSet presAssocID="{5DA059AE-6D48-4722-B713-DFF78091BCEB}" presName="arrowAndChildren" presStyleCnt="0"/>
      <dgm:spPr/>
    </dgm:pt>
    <dgm:pt modelId="{A7434EF2-E8F1-4048-ACC8-22EF42007B15}" type="pres">
      <dgm:prSet presAssocID="{5DA059AE-6D48-4722-B713-DFF78091BCEB}" presName="parentTextArrow" presStyleLbl="node1" presStyleIdx="3" presStyleCnt="4"/>
      <dgm:spPr/>
      <dgm:t>
        <a:bodyPr/>
        <a:lstStyle/>
        <a:p>
          <a:endParaRPr lang="lt-LT"/>
        </a:p>
      </dgm:t>
    </dgm:pt>
  </dgm:ptLst>
  <dgm:cxnLst>
    <dgm:cxn modelId="{CFEE03AC-32A3-4C09-9D29-D8673687D9D3}" srcId="{5649F947-A1A7-4280-9844-CD95DCE71A54}" destId="{E6348B91-C6F3-4F12-8102-CF54F78CB25F}" srcOrd="2" destOrd="0" parTransId="{B2A6545E-D5ED-4A2B-8661-C92416E9F0AF}" sibTransId="{0C320F87-07A3-4789-8A3A-EBD21256874E}"/>
    <dgm:cxn modelId="{6828F929-938E-4643-889C-E7FFD39B40D9}" type="presOf" srcId="{5649F947-A1A7-4280-9844-CD95DCE71A54}" destId="{500339A6-4336-4D46-92CF-FD7C80EA98E5}" srcOrd="0" destOrd="0" presId="urn:microsoft.com/office/officeart/2005/8/layout/process4"/>
    <dgm:cxn modelId="{F882CC58-4529-45A6-B5F7-E6B5C4D24EBE}" srcId="{5649F947-A1A7-4280-9844-CD95DCE71A54}" destId="{05700E9F-4CBF-4BE7-A415-C5A048231348}" srcOrd="3" destOrd="0" parTransId="{6AA3B384-DAED-444E-8417-8E2A5B669DDB}" sibTransId="{A1EC83EC-BFB1-4899-8DA3-2C0557E4B5C1}"/>
    <dgm:cxn modelId="{802C9200-AE42-4B7B-B0D0-3D6D4E6A93F6}" type="presOf" srcId="{05700E9F-4CBF-4BE7-A415-C5A048231348}" destId="{0844F672-E88D-4A8E-89F9-CA975E346B67}" srcOrd="0" destOrd="0" presId="urn:microsoft.com/office/officeart/2005/8/layout/process4"/>
    <dgm:cxn modelId="{11ACE285-96CD-4958-A828-D9313B603644}" srcId="{5649F947-A1A7-4280-9844-CD95DCE71A54}" destId="{BD5B0EFB-00D3-4240-A191-8E595FF829A6}" srcOrd="1" destOrd="0" parTransId="{0193C2E2-CEA6-4E02-8E3C-E77B1FF59F61}" sibTransId="{13F2BA6E-6A0A-4F7E-B1E2-994081F69063}"/>
    <dgm:cxn modelId="{800B0F46-C38D-4C59-AE20-20B6B211A9EA}" type="presOf" srcId="{BD5B0EFB-00D3-4240-A191-8E595FF829A6}" destId="{3668BA53-FFEF-4980-A40A-7016E002DFD9}" srcOrd="0" destOrd="0" presId="urn:microsoft.com/office/officeart/2005/8/layout/process4"/>
    <dgm:cxn modelId="{8E85B189-7B09-42CD-A845-B40AC58BCA40}" srcId="{5649F947-A1A7-4280-9844-CD95DCE71A54}" destId="{5DA059AE-6D48-4722-B713-DFF78091BCEB}" srcOrd="0" destOrd="0" parTransId="{99D7EA5E-8D84-46D4-84AA-61924C7E17B2}" sibTransId="{490EBF31-13E4-473B-9398-61F24023474E}"/>
    <dgm:cxn modelId="{0B5618E8-7410-4F07-AF3F-4E84AD4CFAAF}" type="presOf" srcId="{5DA059AE-6D48-4722-B713-DFF78091BCEB}" destId="{A7434EF2-E8F1-4048-ACC8-22EF42007B15}" srcOrd="0" destOrd="0" presId="urn:microsoft.com/office/officeart/2005/8/layout/process4"/>
    <dgm:cxn modelId="{B724863A-1D91-440B-A143-526F414A6315}" type="presOf" srcId="{E6348B91-C6F3-4F12-8102-CF54F78CB25F}" destId="{D3A1D384-0EFF-4945-9F98-E14F26881D05}" srcOrd="0" destOrd="0" presId="urn:microsoft.com/office/officeart/2005/8/layout/process4"/>
    <dgm:cxn modelId="{981B740D-DD9E-4518-874B-E9028E82D338}" type="presParOf" srcId="{500339A6-4336-4D46-92CF-FD7C80EA98E5}" destId="{3AE76B83-352E-4E7D-A648-304B1651B322}" srcOrd="0" destOrd="0" presId="urn:microsoft.com/office/officeart/2005/8/layout/process4"/>
    <dgm:cxn modelId="{E952A5A4-177C-4D1D-9978-AC484A2ADFF6}" type="presParOf" srcId="{3AE76B83-352E-4E7D-A648-304B1651B322}" destId="{0844F672-E88D-4A8E-89F9-CA975E346B67}" srcOrd="0" destOrd="0" presId="urn:microsoft.com/office/officeart/2005/8/layout/process4"/>
    <dgm:cxn modelId="{FD0FB748-674E-406B-A9F7-6D2B968BF94C}" type="presParOf" srcId="{500339A6-4336-4D46-92CF-FD7C80EA98E5}" destId="{C9067BF2-999A-45AC-AE23-5D0E03F74F8C}" srcOrd="1" destOrd="0" presId="urn:microsoft.com/office/officeart/2005/8/layout/process4"/>
    <dgm:cxn modelId="{042C781D-0EA2-44DC-A2C0-9A85FEA172C0}" type="presParOf" srcId="{500339A6-4336-4D46-92CF-FD7C80EA98E5}" destId="{9383FD49-E4FA-4A4D-97EE-8C73EBFF59ED}" srcOrd="2" destOrd="0" presId="urn:microsoft.com/office/officeart/2005/8/layout/process4"/>
    <dgm:cxn modelId="{03A9A26A-D1C3-475A-97AF-A9E537F30024}" type="presParOf" srcId="{9383FD49-E4FA-4A4D-97EE-8C73EBFF59ED}" destId="{D3A1D384-0EFF-4945-9F98-E14F26881D05}" srcOrd="0" destOrd="0" presId="urn:microsoft.com/office/officeart/2005/8/layout/process4"/>
    <dgm:cxn modelId="{D4CE025E-D697-4C3E-B401-E17BBE5279D9}" type="presParOf" srcId="{500339A6-4336-4D46-92CF-FD7C80EA98E5}" destId="{189B9851-EDBC-4B31-9D30-6EAA57AC46FC}" srcOrd="3" destOrd="0" presId="urn:microsoft.com/office/officeart/2005/8/layout/process4"/>
    <dgm:cxn modelId="{4504C7F8-89D1-4214-A0B7-C68C7E3382EB}" type="presParOf" srcId="{500339A6-4336-4D46-92CF-FD7C80EA98E5}" destId="{6DADF815-8EAB-4415-B145-82EB02061147}" srcOrd="4" destOrd="0" presId="urn:microsoft.com/office/officeart/2005/8/layout/process4"/>
    <dgm:cxn modelId="{A57C2E72-9CC7-4806-B52A-1D93A7A240F8}" type="presParOf" srcId="{6DADF815-8EAB-4415-B145-82EB02061147}" destId="{3668BA53-FFEF-4980-A40A-7016E002DFD9}" srcOrd="0" destOrd="0" presId="urn:microsoft.com/office/officeart/2005/8/layout/process4"/>
    <dgm:cxn modelId="{F6840DB6-AC4A-4A05-936B-7F822E8B26F3}" type="presParOf" srcId="{500339A6-4336-4D46-92CF-FD7C80EA98E5}" destId="{364E2009-6F20-4251-A6CA-C0CD6B719B21}" srcOrd="5" destOrd="0" presId="urn:microsoft.com/office/officeart/2005/8/layout/process4"/>
    <dgm:cxn modelId="{9B3D4DB5-B5B8-4A68-B223-97AE6FC6B6D0}" type="presParOf" srcId="{500339A6-4336-4D46-92CF-FD7C80EA98E5}" destId="{9BC56329-6BEE-46F6-ACBD-9383BEA388B1}" srcOrd="6" destOrd="0" presId="urn:microsoft.com/office/officeart/2005/8/layout/process4"/>
    <dgm:cxn modelId="{A6DF670B-2C26-4B1F-B922-83EFAA1766D8}" type="presParOf" srcId="{9BC56329-6BEE-46F6-ACBD-9383BEA388B1}" destId="{A7434EF2-E8F1-4048-ACC8-22EF42007B15}" srcOrd="0" destOrd="0" presId="urn:microsoft.com/office/officeart/2005/8/layout/process4"/>
  </dgm:cxnLst>
  <dgm:bg/>
  <dgm:whole>
    <a:ln>
      <a:solidFill>
        <a:schemeClr val="tx1"/>
      </a:solidFill>
    </a:ln>
  </dgm:whole>
</dgm:dataModel>
</file>

<file path=word/diagrams/data4.xml><?xml version="1.0" encoding="utf-8"?>
<dgm:dataModel xmlns:dgm="http://schemas.openxmlformats.org/drawingml/2006/diagram" xmlns:a="http://schemas.openxmlformats.org/drawingml/2006/main">
  <dgm:ptLst>
    <dgm:pt modelId="{BAFDC832-902C-4F35-81EF-21BA286F3A56}"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lt-LT"/>
        </a:p>
      </dgm:t>
    </dgm:pt>
    <dgm:pt modelId="{A9C170F3-01F0-4DB8-A563-09F240E65A3C}">
      <dgm:prSet phldrT="[Text]" custT="1"/>
      <dgm:spPr/>
      <dgm:t>
        <a:bodyPr/>
        <a:lstStyle/>
        <a:p>
          <a:r>
            <a:rPr lang="lt-LT" sz="1400" b="1"/>
            <a:t>Gyvybės draudimas</a:t>
          </a:r>
        </a:p>
      </dgm:t>
    </dgm:pt>
    <dgm:pt modelId="{ECEED664-8AFC-4756-9321-6198114EF560}" type="parTrans" cxnId="{9D7E09DA-1EC2-4BC1-A36A-8D729A013C19}">
      <dgm:prSet/>
      <dgm:spPr/>
      <dgm:t>
        <a:bodyPr/>
        <a:lstStyle/>
        <a:p>
          <a:endParaRPr lang="lt-LT" sz="2400"/>
        </a:p>
      </dgm:t>
    </dgm:pt>
    <dgm:pt modelId="{4559C195-30BC-4A2E-99B0-5F9441ABF38F}" type="sibTrans" cxnId="{9D7E09DA-1EC2-4BC1-A36A-8D729A013C19}">
      <dgm:prSet/>
      <dgm:spPr/>
      <dgm:t>
        <a:bodyPr/>
        <a:lstStyle/>
        <a:p>
          <a:endParaRPr lang="lt-LT" sz="2400"/>
        </a:p>
      </dgm:t>
    </dgm:pt>
    <dgm:pt modelId="{1ED9940A-062A-4AE7-8D66-76BC263D3E03}">
      <dgm:prSet phldrT="[Text]" custT="1"/>
      <dgm:spPr/>
      <dgm:t>
        <a:bodyPr/>
        <a:lstStyle/>
        <a:p>
          <a:r>
            <a:rPr lang="lt-LT" sz="1100"/>
            <a:t>Sutuoktuvių ir giminių</a:t>
          </a:r>
        </a:p>
      </dgm:t>
    </dgm:pt>
    <dgm:pt modelId="{12B0D9B1-FFE4-4992-8B1E-D1450C589F9C}" type="parTrans" cxnId="{480FDD20-52D6-428E-BE98-D473736399FF}">
      <dgm:prSet/>
      <dgm:spPr/>
      <dgm:t>
        <a:bodyPr/>
        <a:lstStyle/>
        <a:p>
          <a:endParaRPr lang="lt-LT" sz="2800"/>
        </a:p>
      </dgm:t>
    </dgm:pt>
    <dgm:pt modelId="{89492BD9-CDCF-498B-BC92-1651D29C285F}" type="sibTrans" cxnId="{480FDD20-52D6-428E-BE98-D473736399FF}">
      <dgm:prSet/>
      <dgm:spPr/>
      <dgm:t>
        <a:bodyPr/>
        <a:lstStyle/>
        <a:p>
          <a:endParaRPr lang="lt-LT" sz="2400"/>
        </a:p>
      </dgm:t>
    </dgm:pt>
    <dgm:pt modelId="{A62ABEF4-E6A6-4A4D-ACAE-CA34E762DD0F}">
      <dgm:prSet phldrT="[Text]" custT="1"/>
      <dgm:spPr/>
      <dgm:t>
        <a:bodyPr/>
        <a:lstStyle/>
        <a:p>
          <a:r>
            <a:rPr lang="lt-LT" sz="1100"/>
            <a:t>Gyvybės, susijęs su investiciniais fondais</a:t>
          </a:r>
        </a:p>
      </dgm:t>
    </dgm:pt>
    <dgm:pt modelId="{D85AE2DF-7147-465D-8D54-75FA8959906A}" type="parTrans" cxnId="{F88A75E1-5677-4945-A0F8-6CC26E977FAE}">
      <dgm:prSet/>
      <dgm:spPr/>
      <dgm:t>
        <a:bodyPr/>
        <a:lstStyle/>
        <a:p>
          <a:endParaRPr lang="lt-LT" sz="2800"/>
        </a:p>
      </dgm:t>
    </dgm:pt>
    <dgm:pt modelId="{217E194F-E3C2-4A14-AFE9-4971B629C650}" type="sibTrans" cxnId="{F88A75E1-5677-4945-A0F8-6CC26E977FAE}">
      <dgm:prSet/>
      <dgm:spPr/>
      <dgm:t>
        <a:bodyPr/>
        <a:lstStyle/>
        <a:p>
          <a:endParaRPr lang="lt-LT" sz="2400"/>
        </a:p>
      </dgm:t>
    </dgm:pt>
    <dgm:pt modelId="{2294FA7F-D0CF-4832-A883-B9FBE27290BF}">
      <dgm:prSet phldrT="[Text]" custT="1"/>
      <dgm:spPr/>
      <dgm:t>
        <a:bodyPr/>
        <a:lstStyle/>
        <a:p>
          <a:r>
            <a:rPr lang="lt-LT" sz="1400" b="1"/>
            <a:t>Ne gyvybės draudimas</a:t>
          </a:r>
        </a:p>
      </dgm:t>
    </dgm:pt>
    <dgm:pt modelId="{3802C355-C4A1-4856-9347-01A58FCA976E}" type="parTrans" cxnId="{D8F2D41D-A4C8-4945-9B36-C4A1DB98CF9B}">
      <dgm:prSet/>
      <dgm:spPr/>
      <dgm:t>
        <a:bodyPr/>
        <a:lstStyle/>
        <a:p>
          <a:endParaRPr lang="lt-LT" sz="2400"/>
        </a:p>
      </dgm:t>
    </dgm:pt>
    <dgm:pt modelId="{CC9FB820-1E09-4EBC-B92D-8B8639047589}" type="sibTrans" cxnId="{D8F2D41D-A4C8-4945-9B36-C4A1DB98CF9B}">
      <dgm:prSet/>
      <dgm:spPr/>
      <dgm:t>
        <a:bodyPr/>
        <a:lstStyle/>
        <a:p>
          <a:endParaRPr lang="lt-LT" sz="2400"/>
        </a:p>
      </dgm:t>
    </dgm:pt>
    <dgm:pt modelId="{B471E56D-0E85-40FC-B9E0-C2369039E57C}">
      <dgm:prSet phldrT="[Text]" custT="1"/>
      <dgm:spPr/>
      <dgm:t>
        <a:bodyPr/>
        <a:lstStyle/>
        <a:p>
          <a:r>
            <a:rPr lang="lt-LT" sz="1100"/>
            <a:t>Draudimas nuo nelaimingų atsitikimų ir ligos atveju (sveikatos draudimas)</a:t>
          </a:r>
        </a:p>
      </dgm:t>
    </dgm:pt>
    <dgm:pt modelId="{E79B0922-6962-41C4-BFD2-B84A39855A1A}" type="parTrans" cxnId="{082FF850-57BB-4E9A-ABAE-51C1668C25D6}">
      <dgm:prSet/>
      <dgm:spPr/>
      <dgm:t>
        <a:bodyPr/>
        <a:lstStyle/>
        <a:p>
          <a:endParaRPr lang="lt-LT" sz="2800"/>
        </a:p>
      </dgm:t>
    </dgm:pt>
    <dgm:pt modelId="{C3769BF2-FAC8-4540-9056-65C7911EF938}" type="sibTrans" cxnId="{082FF850-57BB-4E9A-ABAE-51C1668C25D6}">
      <dgm:prSet/>
      <dgm:spPr/>
      <dgm:t>
        <a:bodyPr/>
        <a:lstStyle/>
        <a:p>
          <a:endParaRPr lang="lt-LT" sz="2400"/>
        </a:p>
      </dgm:t>
    </dgm:pt>
    <dgm:pt modelId="{469AD186-F532-4557-B6A7-642055EE702E}">
      <dgm:prSet phldrT="[Text]" custT="1"/>
      <dgm:spPr/>
      <dgm:t>
        <a:bodyPr/>
        <a:lstStyle/>
        <a:p>
          <a:r>
            <a:rPr lang="lt-LT" sz="1100"/>
            <a:t>Motorinis draudimas</a:t>
          </a:r>
        </a:p>
      </dgm:t>
    </dgm:pt>
    <dgm:pt modelId="{6138E143-B526-43C0-BEE1-152B6F0BC68E}" type="parTrans" cxnId="{D7E2A4AB-C351-4434-B3AD-8869994754B7}">
      <dgm:prSet/>
      <dgm:spPr/>
      <dgm:t>
        <a:bodyPr/>
        <a:lstStyle/>
        <a:p>
          <a:endParaRPr lang="lt-LT" sz="2800"/>
        </a:p>
      </dgm:t>
    </dgm:pt>
    <dgm:pt modelId="{2A71DD50-B639-4FBA-943D-9E76AA420521}" type="sibTrans" cxnId="{D7E2A4AB-C351-4434-B3AD-8869994754B7}">
      <dgm:prSet/>
      <dgm:spPr/>
      <dgm:t>
        <a:bodyPr/>
        <a:lstStyle/>
        <a:p>
          <a:endParaRPr lang="lt-LT" sz="2400"/>
        </a:p>
      </dgm:t>
    </dgm:pt>
    <dgm:pt modelId="{9D0A457B-59E3-4FF9-9294-B6D7C0FEB7B3}">
      <dgm:prSet phldrT="[Text]" custT="1"/>
      <dgm:spPr/>
      <dgm:t>
        <a:bodyPr/>
        <a:lstStyle/>
        <a:p>
          <a:r>
            <a:rPr lang="lt-LT" sz="1100"/>
            <a:t>Tontinos</a:t>
          </a:r>
        </a:p>
      </dgm:t>
    </dgm:pt>
    <dgm:pt modelId="{6A4AAE00-53BE-4B2F-BB8A-4D562A7A07EA}" type="parTrans" cxnId="{D2710583-67CE-4DAD-8AE2-23589961E47D}">
      <dgm:prSet/>
      <dgm:spPr/>
      <dgm:t>
        <a:bodyPr/>
        <a:lstStyle/>
        <a:p>
          <a:endParaRPr lang="lt-LT" sz="2800"/>
        </a:p>
      </dgm:t>
    </dgm:pt>
    <dgm:pt modelId="{0A57DAA9-44AD-4510-B2A0-A003ED5A167E}" type="sibTrans" cxnId="{D2710583-67CE-4DAD-8AE2-23589961E47D}">
      <dgm:prSet/>
      <dgm:spPr/>
      <dgm:t>
        <a:bodyPr/>
        <a:lstStyle/>
        <a:p>
          <a:endParaRPr lang="lt-LT" sz="2400"/>
        </a:p>
      </dgm:t>
    </dgm:pt>
    <dgm:pt modelId="{2BD5565A-42A7-4904-9AE6-45CF61148FEB}">
      <dgm:prSet phldrT="[Text]" custT="1"/>
      <dgm:spPr/>
      <dgm:t>
        <a:bodyPr/>
        <a:lstStyle/>
        <a:p>
          <a:r>
            <a:rPr lang="lt-LT" sz="1100"/>
            <a:t>Pensijų kaupimo veikla</a:t>
          </a:r>
        </a:p>
      </dgm:t>
    </dgm:pt>
    <dgm:pt modelId="{0B7127A0-54E2-4697-B6A8-492983A1C884}" type="parTrans" cxnId="{FE91FCFA-C5D4-402E-8F8F-B7036F89E5A3}">
      <dgm:prSet/>
      <dgm:spPr/>
      <dgm:t>
        <a:bodyPr/>
        <a:lstStyle/>
        <a:p>
          <a:endParaRPr lang="lt-LT" sz="2800"/>
        </a:p>
      </dgm:t>
    </dgm:pt>
    <dgm:pt modelId="{9224A02B-0C8D-477F-A0C8-47FEBD65E466}" type="sibTrans" cxnId="{FE91FCFA-C5D4-402E-8F8F-B7036F89E5A3}">
      <dgm:prSet/>
      <dgm:spPr/>
      <dgm:t>
        <a:bodyPr/>
        <a:lstStyle/>
        <a:p>
          <a:endParaRPr lang="lt-LT" sz="2400"/>
        </a:p>
      </dgm:t>
    </dgm:pt>
    <dgm:pt modelId="{AAF209B1-3A82-4338-8757-B1E0A6F46A17}">
      <dgm:prSet phldrT="[Text]" custT="1"/>
      <dgm:spPr/>
      <dgm:t>
        <a:bodyPr/>
        <a:lstStyle/>
        <a:p>
          <a:r>
            <a:rPr lang="lt-LT" sz="1100"/>
            <a:t>Kt.</a:t>
          </a:r>
        </a:p>
      </dgm:t>
    </dgm:pt>
    <dgm:pt modelId="{246A042F-D06E-499D-BDE4-155CC38538C4}" type="parTrans" cxnId="{4CB1E949-3762-4945-9364-B06994985343}">
      <dgm:prSet/>
      <dgm:spPr/>
      <dgm:t>
        <a:bodyPr/>
        <a:lstStyle/>
        <a:p>
          <a:endParaRPr lang="lt-LT" sz="2800"/>
        </a:p>
      </dgm:t>
    </dgm:pt>
    <dgm:pt modelId="{921304A6-02C3-4CE5-9832-7288D664439C}" type="sibTrans" cxnId="{4CB1E949-3762-4945-9364-B06994985343}">
      <dgm:prSet/>
      <dgm:spPr/>
      <dgm:t>
        <a:bodyPr/>
        <a:lstStyle/>
        <a:p>
          <a:endParaRPr lang="lt-LT" sz="2400"/>
        </a:p>
      </dgm:t>
    </dgm:pt>
    <dgm:pt modelId="{682580E9-2B63-4D68-A68D-709A720E2158}">
      <dgm:prSet phldrT="[Text]" custT="1"/>
      <dgm:spPr/>
      <dgm:t>
        <a:bodyPr/>
        <a:lstStyle/>
        <a:p>
          <a:r>
            <a:rPr lang="lt-LT" sz="1100"/>
            <a:t>Jūrinis ir transporto draudimas</a:t>
          </a:r>
        </a:p>
      </dgm:t>
    </dgm:pt>
    <dgm:pt modelId="{88619DA3-E757-4F48-B8DC-79F53EA5E6CC}" type="parTrans" cxnId="{C0888655-726C-4E6E-A8AA-986313D82E50}">
      <dgm:prSet/>
      <dgm:spPr/>
      <dgm:t>
        <a:bodyPr/>
        <a:lstStyle/>
        <a:p>
          <a:endParaRPr lang="lt-LT" sz="2800"/>
        </a:p>
      </dgm:t>
    </dgm:pt>
    <dgm:pt modelId="{CCA68CEE-F1D3-4192-ABF3-86BC105C90C5}" type="sibTrans" cxnId="{C0888655-726C-4E6E-A8AA-986313D82E50}">
      <dgm:prSet/>
      <dgm:spPr/>
      <dgm:t>
        <a:bodyPr/>
        <a:lstStyle/>
        <a:p>
          <a:endParaRPr lang="lt-LT" sz="2400"/>
        </a:p>
      </dgm:t>
    </dgm:pt>
    <dgm:pt modelId="{27E606B7-0F53-4A74-A7D2-660A7EE6B269}">
      <dgm:prSet custT="1"/>
      <dgm:spPr/>
      <dgm:t>
        <a:bodyPr/>
        <a:lstStyle/>
        <a:p>
          <a:r>
            <a:rPr lang="lt-LT" sz="1100"/>
            <a:t>Aviacijos draudimas</a:t>
          </a:r>
        </a:p>
      </dgm:t>
    </dgm:pt>
    <dgm:pt modelId="{F7F5CFFF-358E-42F1-9E16-8E74C773CAC8}" type="parTrans" cxnId="{7AEB8BEE-B11A-4D60-B0D2-358ADF869813}">
      <dgm:prSet/>
      <dgm:spPr/>
      <dgm:t>
        <a:bodyPr/>
        <a:lstStyle/>
        <a:p>
          <a:endParaRPr lang="lt-LT" sz="2800"/>
        </a:p>
      </dgm:t>
    </dgm:pt>
    <dgm:pt modelId="{24D86F96-0202-4B3C-B6B4-7FAE81B67AD7}" type="sibTrans" cxnId="{7AEB8BEE-B11A-4D60-B0D2-358ADF869813}">
      <dgm:prSet/>
      <dgm:spPr/>
      <dgm:t>
        <a:bodyPr/>
        <a:lstStyle/>
        <a:p>
          <a:endParaRPr lang="lt-LT" sz="2400"/>
        </a:p>
      </dgm:t>
    </dgm:pt>
    <dgm:pt modelId="{A206A708-01F3-4393-BE39-4C9F403041D2}">
      <dgm:prSet custT="1"/>
      <dgm:spPr/>
      <dgm:t>
        <a:bodyPr/>
        <a:lstStyle/>
        <a:p>
          <a:r>
            <a:rPr lang="lt-LT" sz="1100"/>
            <a:t>Turto draudimas nuo gaisro ir kitokio turto sugadinimo (sunaikinimo)</a:t>
          </a:r>
        </a:p>
      </dgm:t>
    </dgm:pt>
    <dgm:pt modelId="{E0E7608B-335C-4E70-A8FB-8937A6DC7A38}" type="parTrans" cxnId="{B7F1352E-71EA-46B7-ABDC-BBA3CEFC83AA}">
      <dgm:prSet/>
      <dgm:spPr/>
      <dgm:t>
        <a:bodyPr/>
        <a:lstStyle/>
        <a:p>
          <a:endParaRPr lang="lt-LT" sz="2800"/>
        </a:p>
      </dgm:t>
    </dgm:pt>
    <dgm:pt modelId="{42EAE5AA-6401-4007-9423-E3C4D3FFA1AA}" type="sibTrans" cxnId="{B7F1352E-71EA-46B7-ABDC-BBA3CEFC83AA}">
      <dgm:prSet/>
      <dgm:spPr/>
      <dgm:t>
        <a:bodyPr/>
        <a:lstStyle/>
        <a:p>
          <a:endParaRPr lang="lt-LT" sz="2400"/>
        </a:p>
      </dgm:t>
    </dgm:pt>
    <dgm:pt modelId="{3A64B27E-D099-4E0F-A318-CA2D48C08049}">
      <dgm:prSet custT="1"/>
      <dgm:spPr/>
      <dgm:t>
        <a:bodyPr/>
        <a:lstStyle/>
        <a:p>
          <a:r>
            <a:rPr lang="lt-LT" sz="1100"/>
            <a:t>Civilinės atsakomybės draudimas</a:t>
          </a:r>
        </a:p>
      </dgm:t>
    </dgm:pt>
    <dgm:pt modelId="{ECD60D4E-7C06-44F8-AD3B-B0856FED4DA3}" type="parTrans" cxnId="{7726603E-1B85-4881-A367-C8EE36A047D3}">
      <dgm:prSet/>
      <dgm:spPr/>
      <dgm:t>
        <a:bodyPr/>
        <a:lstStyle/>
        <a:p>
          <a:endParaRPr lang="lt-LT" sz="2800"/>
        </a:p>
      </dgm:t>
    </dgm:pt>
    <dgm:pt modelId="{4C027937-F314-483A-8731-7B6CDAA16E1D}" type="sibTrans" cxnId="{7726603E-1B85-4881-A367-C8EE36A047D3}">
      <dgm:prSet/>
      <dgm:spPr/>
      <dgm:t>
        <a:bodyPr/>
        <a:lstStyle/>
        <a:p>
          <a:endParaRPr lang="lt-LT" sz="2400"/>
        </a:p>
      </dgm:t>
    </dgm:pt>
    <dgm:pt modelId="{7E9476F6-A340-4057-97E5-DBE7244FB11D}">
      <dgm:prSet custT="1"/>
      <dgm:spPr/>
      <dgm:t>
        <a:bodyPr/>
        <a:lstStyle/>
        <a:p>
          <a:r>
            <a:rPr lang="lt-LT" sz="1100"/>
            <a:t>Kredito ir laidavimo draudimas</a:t>
          </a:r>
        </a:p>
      </dgm:t>
    </dgm:pt>
    <dgm:pt modelId="{DBC7ED66-4024-45D3-8ABC-3366C401E22A}" type="parTrans" cxnId="{457660C2-C725-44C8-964D-884035EB746E}">
      <dgm:prSet/>
      <dgm:spPr/>
      <dgm:t>
        <a:bodyPr/>
        <a:lstStyle/>
        <a:p>
          <a:endParaRPr lang="lt-LT" sz="2800"/>
        </a:p>
      </dgm:t>
    </dgm:pt>
    <dgm:pt modelId="{1D3FFC22-298A-41FF-977D-79FB55B719A0}" type="sibTrans" cxnId="{457660C2-C725-44C8-964D-884035EB746E}">
      <dgm:prSet/>
      <dgm:spPr/>
      <dgm:t>
        <a:bodyPr/>
        <a:lstStyle/>
        <a:p>
          <a:endParaRPr lang="lt-LT" sz="2400"/>
        </a:p>
      </dgm:t>
    </dgm:pt>
    <dgm:pt modelId="{E7450BAF-0047-423B-B6AB-D2D76890552E}" type="pres">
      <dgm:prSet presAssocID="{BAFDC832-902C-4F35-81EF-21BA286F3A56}" presName="diagram" presStyleCnt="0">
        <dgm:presLayoutVars>
          <dgm:chPref val="1"/>
          <dgm:dir/>
          <dgm:animOne val="branch"/>
          <dgm:animLvl val="lvl"/>
          <dgm:resizeHandles/>
        </dgm:presLayoutVars>
      </dgm:prSet>
      <dgm:spPr/>
      <dgm:t>
        <a:bodyPr/>
        <a:lstStyle/>
        <a:p>
          <a:endParaRPr lang="lt-LT"/>
        </a:p>
      </dgm:t>
    </dgm:pt>
    <dgm:pt modelId="{CFE52DD0-E173-43D5-8981-AF7A6915E312}" type="pres">
      <dgm:prSet presAssocID="{A9C170F3-01F0-4DB8-A563-09F240E65A3C}" presName="root" presStyleCnt="0"/>
      <dgm:spPr/>
    </dgm:pt>
    <dgm:pt modelId="{36580B19-A188-4F4D-A0E7-81496D8D4D92}" type="pres">
      <dgm:prSet presAssocID="{A9C170F3-01F0-4DB8-A563-09F240E65A3C}" presName="rootComposite" presStyleCnt="0"/>
      <dgm:spPr/>
    </dgm:pt>
    <dgm:pt modelId="{05A01DC6-9D17-4BED-8DF7-AA123543745E}" type="pres">
      <dgm:prSet presAssocID="{A9C170F3-01F0-4DB8-A563-09F240E65A3C}" presName="rootText" presStyleLbl="node1" presStyleIdx="0" presStyleCnt="2" custScaleX="429852" custScaleY="132530"/>
      <dgm:spPr/>
      <dgm:t>
        <a:bodyPr/>
        <a:lstStyle/>
        <a:p>
          <a:endParaRPr lang="lt-LT"/>
        </a:p>
      </dgm:t>
    </dgm:pt>
    <dgm:pt modelId="{D0855167-B15E-47B0-A332-28B27B47B728}" type="pres">
      <dgm:prSet presAssocID="{A9C170F3-01F0-4DB8-A563-09F240E65A3C}" presName="rootConnector" presStyleLbl="node1" presStyleIdx="0" presStyleCnt="2"/>
      <dgm:spPr/>
      <dgm:t>
        <a:bodyPr/>
        <a:lstStyle/>
        <a:p>
          <a:endParaRPr lang="lt-LT"/>
        </a:p>
      </dgm:t>
    </dgm:pt>
    <dgm:pt modelId="{7107DBDE-619A-4370-9458-8F63B53137C4}" type="pres">
      <dgm:prSet presAssocID="{A9C170F3-01F0-4DB8-A563-09F240E65A3C}" presName="childShape" presStyleCnt="0"/>
      <dgm:spPr/>
    </dgm:pt>
    <dgm:pt modelId="{F3BF6A5E-BFC1-4D8D-AEF6-6A399DD075D9}" type="pres">
      <dgm:prSet presAssocID="{12B0D9B1-FFE4-4992-8B1E-D1450C589F9C}" presName="Name13" presStyleLbl="parChTrans1D2" presStyleIdx="0" presStyleCnt="12"/>
      <dgm:spPr/>
      <dgm:t>
        <a:bodyPr/>
        <a:lstStyle/>
        <a:p>
          <a:endParaRPr lang="lt-LT"/>
        </a:p>
      </dgm:t>
    </dgm:pt>
    <dgm:pt modelId="{43C320BF-161D-4AE3-93BF-CC850785E240}" type="pres">
      <dgm:prSet presAssocID="{1ED9940A-062A-4AE7-8D66-76BC263D3E03}" presName="childText" presStyleLbl="bgAcc1" presStyleIdx="0" presStyleCnt="12" custScaleX="359186" custScaleY="158974">
        <dgm:presLayoutVars>
          <dgm:bulletEnabled val="1"/>
        </dgm:presLayoutVars>
      </dgm:prSet>
      <dgm:spPr/>
      <dgm:t>
        <a:bodyPr/>
        <a:lstStyle/>
        <a:p>
          <a:endParaRPr lang="lt-LT"/>
        </a:p>
      </dgm:t>
    </dgm:pt>
    <dgm:pt modelId="{9CDFEEA4-E575-4293-BF6E-FD43BD7134F3}" type="pres">
      <dgm:prSet presAssocID="{D85AE2DF-7147-465D-8D54-75FA8959906A}" presName="Name13" presStyleLbl="parChTrans1D2" presStyleIdx="1" presStyleCnt="12"/>
      <dgm:spPr/>
      <dgm:t>
        <a:bodyPr/>
        <a:lstStyle/>
        <a:p>
          <a:endParaRPr lang="lt-LT"/>
        </a:p>
      </dgm:t>
    </dgm:pt>
    <dgm:pt modelId="{F0265D7A-2D81-488C-B412-D3C2E3C7B231}" type="pres">
      <dgm:prSet presAssocID="{A62ABEF4-E6A6-4A4D-ACAE-CA34E762DD0F}" presName="childText" presStyleLbl="bgAcc1" presStyleIdx="1" presStyleCnt="12" custScaleX="359186" custScaleY="158974">
        <dgm:presLayoutVars>
          <dgm:bulletEnabled val="1"/>
        </dgm:presLayoutVars>
      </dgm:prSet>
      <dgm:spPr/>
      <dgm:t>
        <a:bodyPr/>
        <a:lstStyle/>
        <a:p>
          <a:endParaRPr lang="lt-LT"/>
        </a:p>
      </dgm:t>
    </dgm:pt>
    <dgm:pt modelId="{C2AA295B-EE67-448E-B95B-42071E642193}" type="pres">
      <dgm:prSet presAssocID="{6A4AAE00-53BE-4B2F-BB8A-4D562A7A07EA}" presName="Name13" presStyleLbl="parChTrans1D2" presStyleIdx="2" presStyleCnt="12"/>
      <dgm:spPr/>
      <dgm:t>
        <a:bodyPr/>
        <a:lstStyle/>
        <a:p>
          <a:endParaRPr lang="lt-LT"/>
        </a:p>
      </dgm:t>
    </dgm:pt>
    <dgm:pt modelId="{EDBCCC28-06B6-45CF-8969-FD7930443D49}" type="pres">
      <dgm:prSet presAssocID="{9D0A457B-59E3-4FF9-9294-B6D7C0FEB7B3}" presName="childText" presStyleLbl="bgAcc1" presStyleIdx="2" presStyleCnt="12" custScaleX="359186" custScaleY="158974">
        <dgm:presLayoutVars>
          <dgm:bulletEnabled val="1"/>
        </dgm:presLayoutVars>
      </dgm:prSet>
      <dgm:spPr/>
      <dgm:t>
        <a:bodyPr/>
        <a:lstStyle/>
        <a:p>
          <a:endParaRPr lang="lt-LT"/>
        </a:p>
      </dgm:t>
    </dgm:pt>
    <dgm:pt modelId="{D5349A8D-D6B9-480B-B3F3-55DF00EFDEFF}" type="pres">
      <dgm:prSet presAssocID="{0B7127A0-54E2-4697-B6A8-492983A1C884}" presName="Name13" presStyleLbl="parChTrans1D2" presStyleIdx="3" presStyleCnt="12"/>
      <dgm:spPr/>
      <dgm:t>
        <a:bodyPr/>
        <a:lstStyle/>
        <a:p>
          <a:endParaRPr lang="lt-LT"/>
        </a:p>
      </dgm:t>
    </dgm:pt>
    <dgm:pt modelId="{6D2333F3-7C76-4794-A87A-2BAAB12B8C81}" type="pres">
      <dgm:prSet presAssocID="{2BD5565A-42A7-4904-9AE6-45CF61148FEB}" presName="childText" presStyleLbl="bgAcc1" presStyleIdx="3" presStyleCnt="12" custScaleX="359186" custScaleY="158974">
        <dgm:presLayoutVars>
          <dgm:bulletEnabled val="1"/>
        </dgm:presLayoutVars>
      </dgm:prSet>
      <dgm:spPr/>
      <dgm:t>
        <a:bodyPr/>
        <a:lstStyle/>
        <a:p>
          <a:endParaRPr lang="lt-LT"/>
        </a:p>
      </dgm:t>
    </dgm:pt>
    <dgm:pt modelId="{ED805DCB-8833-4609-8FD7-5502717059B1}" type="pres">
      <dgm:prSet presAssocID="{246A042F-D06E-499D-BDE4-155CC38538C4}" presName="Name13" presStyleLbl="parChTrans1D2" presStyleIdx="4" presStyleCnt="12"/>
      <dgm:spPr/>
      <dgm:t>
        <a:bodyPr/>
        <a:lstStyle/>
        <a:p>
          <a:endParaRPr lang="lt-LT"/>
        </a:p>
      </dgm:t>
    </dgm:pt>
    <dgm:pt modelId="{23EE7C7D-BB09-463C-87DD-D56AF3EFD0CC}" type="pres">
      <dgm:prSet presAssocID="{AAF209B1-3A82-4338-8757-B1E0A6F46A17}" presName="childText" presStyleLbl="bgAcc1" presStyleIdx="4" presStyleCnt="12" custScaleX="359186" custScaleY="158974">
        <dgm:presLayoutVars>
          <dgm:bulletEnabled val="1"/>
        </dgm:presLayoutVars>
      </dgm:prSet>
      <dgm:spPr/>
      <dgm:t>
        <a:bodyPr/>
        <a:lstStyle/>
        <a:p>
          <a:endParaRPr lang="lt-LT"/>
        </a:p>
      </dgm:t>
    </dgm:pt>
    <dgm:pt modelId="{10D563E7-ED73-4AD5-AC0C-FE0CC1618304}" type="pres">
      <dgm:prSet presAssocID="{2294FA7F-D0CF-4832-A883-B9FBE27290BF}" presName="root" presStyleCnt="0"/>
      <dgm:spPr/>
    </dgm:pt>
    <dgm:pt modelId="{F009F6F6-8809-43A0-AE19-C0A84B681FC2}" type="pres">
      <dgm:prSet presAssocID="{2294FA7F-D0CF-4832-A883-B9FBE27290BF}" presName="rootComposite" presStyleCnt="0"/>
      <dgm:spPr/>
    </dgm:pt>
    <dgm:pt modelId="{E9F6D7B4-DC04-4548-B051-32A899E85319}" type="pres">
      <dgm:prSet presAssocID="{2294FA7F-D0CF-4832-A883-B9FBE27290BF}" presName="rootText" presStyleLbl="node1" presStyleIdx="1" presStyleCnt="2" custScaleX="407961" custScaleY="132530"/>
      <dgm:spPr/>
      <dgm:t>
        <a:bodyPr/>
        <a:lstStyle/>
        <a:p>
          <a:endParaRPr lang="lt-LT"/>
        </a:p>
      </dgm:t>
    </dgm:pt>
    <dgm:pt modelId="{EB72C2B3-92DC-4BBD-A7C1-616D37FCC522}" type="pres">
      <dgm:prSet presAssocID="{2294FA7F-D0CF-4832-A883-B9FBE27290BF}" presName="rootConnector" presStyleLbl="node1" presStyleIdx="1" presStyleCnt="2"/>
      <dgm:spPr/>
      <dgm:t>
        <a:bodyPr/>
        <a:lstStyle/>
        <a:p>
          <a:endParaRPr lang="lt-LT"/>
        </a:p>
      </dgm:t>
    </dgm:pt>
    <dgm:pt modelId="{7997921E-1B81-467C-A092-4131D43FD3BC}" type="pres">
      <dgm:prSet presAssocID="{2294FA7F-D0CF-4832-A883-B9FBE27290BF}" presName="childShape" presStyleCnt="0"/>
      <dgm:spPr/>
    </dgm:pt>
    <dgm:pt modelId="{29E9E82A-F96C-4CC8-AFD9-5872A1EEFE7A}" type="pres">
      <dgm:prSet presAssocID="{E79B0922-6962-41C4-BFD2-B84A39855A1A}" presName="Name13" presStyleLbl="parChTrans1D2" presStyleIdx="5" presStyleCnt="12"/>
      <dgm:spPr/>
      <dgm:t>
        <a:bodyPr/>
        <a:lstStyle/>
        <a:p>
          <a:endParaRPr lang="lt-LT"/>
        </a:p>
      </dgm:t>
    </dgm:pt>
    <dgm:pt modelId="{E7D22B7B-150D-4472-8B4C-389CA482DCB2}" type="pres">
      <dgm:prSet presAssocID="{B471E56D-0E85-40FC-B9E0-C2369039E57C}" presName="childText" presStyleLbl="bgAcc1" presStyleIdx="5" presStyleCnt="12" custScaleX="606398" custScaleY="181367">
        <dgm:presLayoutVars>
          <dgm:bulletEnabled val="1"/>
        </dgm:presLayoutVars>
      </dgm:prSet>
      <dgm:spPr/>
      <dgm:t>
        <a:bodyPr/>
        <a:lstStyle/>
        <a:p>
          <a:endParaRPr lang="lt-LT"/>
        </a:p>
      </dgm:t>
    </dgm:pt>
    <dgm:pt modelId="{A3C3C963-C336-4260-8A40-5BCBBE6BF780}" type="pres">
      <dgm:prSet presAssocID="{6138E143-B526-43C0-BEE1-152B6F0BC68E}" presName="Name13" presStyleLbl="parChTrans1D2" presStyleIdx="6" presStyleCnt="12"/>
      <dgm:spPr/>
      <dgm:t>
        <a:bodyPr/>
        <a:lstStyle/>
        <a:p>
          <a:endParaRPr lang="lt-LT"/>
        </a:p>
      </dgm:t>
    </dgm:pt>
    <dgm:pt modelId="{92E2A64C-22E6-4CB5-B45C-A7451CFF4384}" type="pres">
      <dgm:prSet presAssocID="{469AD186-F532-4557-B6A7-642055EE702E}" presName="childText" presStyleLbl="bgAcc1" presStyleIdx="6" presStyleCnt="12" custScaleX="606398" custScaleY="125942">
        <dgm:presLayoutVars>
          <dgm:bulletEnabled val="1"/>
        </dgm:presLayoutVars>
      </dgm:prSet>
      <dgm:spPr/>
      <dgm:t>
        <a:bodyPr/>
        <a:lstStyle/>
        <a:p>
          <a:endParaRPr lang="lt-LT"/>
        </a:p>
      </dgm:t>
    </dgm:pt>
    <dgm:pt modelId="{3CDAC303-530B-4947-958B-323C021C77EE}" type="pres">
      <dgm:prSet presAssocID="{88619DA3-E757-4F48-B8DC-79F53EA5E6CC}" presName="Name13" presStyleLbl="parChTrans1D2" presStyleIdx="7" presStyleCnt="12"/>
      <dgm:spPr/>
      <dgm:t>
        <a:bodyPr/>
        <a:lstStyle/>
        <a:p>
          <a:endParaRPr lang="lt-LT"/>
        </a:p>
      </dgm:t>
    </dgm:pt>
    <dgm:pt modelId="{8576F0F9-A410-4F35-8AE0-15D497C37D56}" type="pres">
      <dgm:prSet presAssocID="{682580E9-2B63-4D68-A68D-709A720E2158}" presName="childText" presStyleLbl="bgAcc1" presStyleIdx="7" presStyleCnt="12" custScaleX="606398" custScaleY="125942">
        <dgm:presLayoutVars>
          <dgm:bulletEnabled val="1"/>
        </dgm:presLayoutVars>
      </dgm:prSet>
      <dgm:spPr/>
      <dgm:t>
        <a:bodyPr/>
        <a:lstStyle/>
        <a:p>
          <a:endParaRPr lang="lt-LT"/>
        </a:p>
      </dgm:t>
    </dgm:pt>
    <dgm:pt modelId="{583C2A69-CF75-495C-905D-068BF638218B}" type="pres">
      <dgm:prSet presAssocID="{F7F5CFFF-358E-42F1-9E16-8E74C773CAC8}" presName="Name13" presStyleLbl="parChTrans1D2" presStyleIdx="8" presStyleCnt="12"/>
      <dgm:spPr/>
      <dgm:t>
        <a:bodyPr/>
        <a:lstStyle/>
        <a:p>
          <a:endParaRPr lang="lt-LT"/>
        </a:p>
      </dgm:t>
    </dgm:pt>
    <dgm:pt modelId="{9F4B6A14-7FD3-4A93-897E-61E218CF93CE}" type="pres">
      <dgm:prSet presAssocID="{27E606B7-0F53-4A74-A7D2-660A7EE6B269}" presName="childText" presStyleLbl="bgAcc1" presStyleIdx="8" presStyleCnt="12" custScaleX="612807" custScaleY="125942">
        <dgm:presLayoutVars>
          <dgm:bulletEnabled val="1"/>
        </dgm:presLayoutVars>
      </dgm:prSet>
      <dgm:spPr/>
      <dgm:t>
        <a:bodyPr/>
        <a:lstStyle/>
        <a:p>
          <a:endParaRPr lang="lt-LT"/>
        </a:p>
      </dgm:t>
    </dgm:pt>
    <dgm:pt modelId="{C97CF7F7-D07B-44C5-B046-19A2E380DCC7}" type="pres">
      <dgm:prSet presAssocID="{E0E7608B-335C-4E70-A8FB-8937A6DC7A38}" presName="Name13" presStyleLbl="parChTrans1D2" presStyleIdx="9" presStyleCnt="12"/>
      <dgm:spPr/>
      <dgm:t>
        <a:bodyPr/>
        <a:lstStyle/>
        <a:p>
          <a:endParaRPr lang="lt-LT"/>
        </a:p>
      </dgm:t>
    </dgm:pt>
    <dgm:pt modelId="{CDF87A28-DA4E-4D3B-B7C0-FEE66DD4A35F}" type="pres">
      <dgm:prSet presAssocID="{A206A708-01F3-4393-BE39-4C9F403041D2}" presName="childText" presStyleLbl="bgAcc1" presStyleIdx="9" presStyleCnt="12" custScaleX="613406" custScaleY="177722">
        <dgm:presLayoutVars>
          <dgm:bulletEnabled val="1"/>
        </dgm:presLayoutVars>
      </dgm:prSet>
      <dgm:spPr/>
      <dgm:t>
        <a:bodyPr/>
        <a:lstStyle/>
        <a:p>
          <a:endParaRPr lang="lt-LT"/>
        </a:p>
      </dgm:t>
    </dgm:pt>
    <dgm:pt modelId="{D5C51D1C-9541-4E04-AD22-945B6B18E929}" type="pres">
      <dgm:prSet presAssocID="{ECD60D4E-7C06-44F8-AD3B-B0856FED4DA3}" presName="Name13" presStyleLbl="parChTrans1D2" presStyleIdx="10" presStyleCnt="12"/>
      <dgm:spPr/>
      <dgm:t>
        <a:bodyPr/>
        <a:lstStyle/>
        <a:p>
          <a:endParaRPr lang="lt-LT"/>
        </a:p>
      </dgm:t>
    </dgm:pt>
    <dgm:pt modelId="{9DE863CC-9A98-4FBE-9C2C-08DC013E14F6}" type="pres">
      <dgm:prSet presAssocID="{3A64B27E-D099-4E0F-A318-CA2D48C08049}" presName="childText" presStyleLbl="bgAcc1" presStyleIdx="10" presStyleCnt="12" custScaleX="617679" custScaleY="125942">
        <dgm:presLayoutVars>
          <dgm:bulletEnabled val="1"/>
        </dgm:presLayoutVars>
      </dgm:prSet>
      <dgm:spPr/>
      <dgm:t>
        <a:bodyPr/>
        <a:lstStyle/>
        <a:p>
          <a:endParaRPr lang="lt-LT"/>
        </a:p>
      </dgm:t>
    </dgm:pt>
    <dgm:pt modelId="{E28668E9-332B-4BEF-BFF1-63AC424857A6}" type="pres">
      <dgm:prSet presAssocID="{DBC7ED66-4024-45D3-8ABC-3366C401E22A}" presName="Name13" presStyleLbl="parChTrans1D2" presStyleIdx="11" presStyleCnt="12"/>
      <dgm:spPr/>
      <dgm:t>
        <a:bodyPr/>
        <a:lstStyle/>
        <a:p>
          <a:endParaRPr lang="lt-LT"/>
        </a:p>
      </dgm:t>
    </dgm:pt>
    <dgm:pt modelId="{35A2B80C-DC26-49F8-8DE0-C6C6204C9241}" type="pres">
      <dgm:prSet presAssocID="{7E9476F6-A340-4057-97E5-DBE7244FB11D}" presName="childText" presStyleLbl="bgAcc1" presStyleIdx="11" presStyleCnt="12" custScaleX="616914" custScaleY="125942">
        <dgm:presLayoutVars>
          <dgm:bulletEnabled val="1"/>
        </dgm:presLayoutVars>
      </dgm:prSet>
      <dgm:spPr/>
      <dgm:t>
        <a:bodyPr/>
        <a:lstStyle/>
        <a:p>
          <a:endParaRPr lang="lt-LT"/>
        </a:p>
      </dgm:t>
    </dgm:pt>
  </dgm:ptLst>
  <dgm:cxnLst>
    <dgm:cxn modelId="{D2710583-67CE-4DAD-8AE2-23589961E47D}" srcId="{A9C170F3-01F0-4DB8-A563-09F240E65A3C}" destId="{9D0A457B-59E3-4FF9-9294-B6D7C0FEB7B3}" srcOrd="2" destOrd="0" parTransId="{6A4AAE00-53BE-4B2F-BB8A-4D562A7A07EA}" sibTransId="{0A57DAA9-44AD-4510-B2A0-A003ED5A167E}"/>
    <dgm:cxn modelId="{082FF850-57BB-4E9A-ABAE-51C1668C25D6}" srcId="{2294FA7F-D0CF-4832-A883-B9FBE27290BF}" destId="{B471E56D-0E85-40FC-B9E0-C2369039E57C}" srcOrd="0" destOrd="0" parTransId="{E79B0922-6962-41C4-BFD2-B84A39855A1A}" sibTransId="{C3769BF2-FAC8-4540-9056-65C7911EF938}"/>
    <dgm:cxn modelId="{3C9002F8-80B9-4283-8120-F557E9827657}" type="presOf" srcId="{A62ABEF4-E6A6-4A4D-ACAE-CA34E762DD0F}" destId="{F0265D7A-2D81-488C-B412-D3C2E3C7B231}" srcOrd="0" destOrd="0" presId="urn:microsoft.com/office/officeart/2005/8/layout/hierarchy3"/>
    <dgm:cxn modelId="{A4533B85-F3CB-49BB-B3CF-4FEF724EA74A}" type="presOf" srcId="{D85AE2DF-7147-465D-8D54-75FA8959906A}" destId="{9CDFEEA4-E575-4293-BF6E-FD43BD7134F3}" srcOrd="0" destOrd="0" presId="urn:microsoft.com/office/officeart/2005/8/layout/hierarchy3"/>
    <dgm:cxn modelId="{E70424F4-83AF-47FC-A36C-3554B0539545}" type="presOf" srcId="{12B0D9B1-FFE4-4992-8B1E-D1450C589F9C}" destId="{F3BF6A5E-BFC1-4D8D-AEF6-6A399DD075D9}" srcOrd="0" destOrd="0" presId="urn:microsoft.com/office/officeart/2005/8/layout/hierarchy3"/>
    <dgm:cxn modelId="{9299E09D-5331-451F-ACE3-BDBAE9E3DE61}" type="presOf" srcId="{E79B0922-6962-41C4-BFD2-B84A39855A1A}" destId="{29E9E82A-F96C-4CC8-AFD9-5872A1EEFE7A}" srcOrd="0" destOrd="0" presId="urn:microsoft.com/office/officeart/2005/8/layout/hierarchy3"/>
    <dgm:cxn modelId="{E86C92D2-3155-468A-BD64-1855120BE033}" type="presOf" srcId="{2294FA7F-D0CF-4832-A883-B9FBE27290BF}" destId="{EB72C2B3-92DC-4BBD-A7C1-616D37FCC522}" srcOrd="1" destOrd="0" presId="urn:microsoft.com/office/officeart/2005/8/layout/hierarchy3"/>
    <dgm:cxn modelId="{B7F1352E-71EA-46B7-ABDC-BBA3CEFC83AA}" srcId="{2294FA7F-D0CF-4832-A883-B9FBE27290BF}" destId="{A206A708-01F3-4393-BE39-4C9F403041D2}" srcOrd="4" destOrd="0" parTransId="{E0E7608B-335C-4E70-A8FB-8937A6DC7A38}" sibTransId="{42EAE5AA-6401-4007-9423-E3C4D3FFA1AA}"/>
    <dgm:cxn modelId="{AA608DD7-CFA8-45DE-83F0-10989D90594B}" type="presOf" srcId="{A206A708-01F3-4393-BE39-4C9F403041D2}" destId="{CDF87A28-DA4E-4D3B-B7C0-FEE66DD4A35F}" srcOrd="0" destOrd="0" presId="urn:microsoft.com/office/officeart/2005/8/layout/hierarchy3"/>
    <dgm:cxn modelId="{897F4EBC-7ED1-44E7-87CB-E2D75E7C066F}" type="presOf" srcId="{F7F5CFFF-358E-42F1-9E16-8E74C773CAC8}" destId="{583C2A69-CF75-495C-905D-068BF638218B}" srcOrd="0" destOrd="0" presId="urn:microsoft.com/office/officeart/2005/8/layout/hierarchy3"/>
    <dgm:cxn modelId="{D7E2A4AB-C351-4434-B3AD-8869994754B7}" srcId="{2294FA7F-D0CF-4832-A883-B9FBE27290BF}" destId="{469AD186-F532-4557-B6A7-642055EE702E}" srcOrd="1" destOrd="0" parTransId="{6138E143-B526-43C0-BEE1-152B6F0BC68E}" sibTransId="{2A71DD50-B639-4FBA-943D-9E76AA420521}"/>
    <dgm:cxn modelId="{709DBDB2-1189-4764-86BA-D080AB58A38C}" type="presOf" srcId="{BAFDC832-902C-4F35-81EF-21BA286F3A56}" destId="{E7450BAF-0047-423B-B6AB-D2D76890552E}" srcOrd="0" destOrd="0" presId="urn:microsoft.com/office/officeart/2005/8/layout/hierarchy3"/>
    <dgm:cxn modelId="{4CB1E949-3762-4945-9364-B06994985343}" srcId="{A9C170F3-01F0-4DB8-A563-09F240E65A3C}" destId="{AAF209B1-3A82-4338-8757-B1E0A6F46A17}" srcOrd="4" destOrd="0" parTransId="{246A042F-D06E-499D-BDE4-155CC38538C4}" sibTransId="{921304A6-02C3-4CE5-9832-7288D664439C}"/>
    <dgm:cxn modelId="{9D4C7627-3221-4BC5-8354-1A220530FDB3}" type="presOf" srcId="{0B7127A0-54E2-4697-B6A8-492983A1C884}" destId="{D5349A8D-D6B9-480B-B3F3-55DF00EFDEFF}" srcOrd="0" destOrd="0" presId="urn:microsoft.com/office/officeart/2005/8/layout/hierarchy3"/>
    <dgm:cxn modelId="{227386D0-096F-49D4-A222-BF11ED6ED7F6}" type="presOf" srcId="{DBC7ED66-4024-45D3-8ABC-3366C401E22A}" destId="{E28668E9-332B-4BEF-BFF1-63AC424857A6}" srcOrd="0" destOrd="0" presId="urn:microsoft.com/office/officeart/2005/8/layout/hierarchy3"/>
    <dgm:cxn modelId="{480FDD20-52D6-428E-BE98-D473736399FF}" srcId="{A9C170F3-01F0-4DB8-A563-09F240E65A3C}" destId="{1ED9940A-062A-4AE7-8D66-76BC263D3E03}" srcOrd="0" destOrd="0" parTransId="{12B0D9B1-FFE4-4992-8B1E-D1450C589F9C}" sibTransId="{89492BD9-CDCF-498B-BC92-1651D29C285F}"/>
    <dgm:cxn modelId="{FE91FCFA-C5D4-402E-8F8F-B7036F89E5A3}" srcId="{A9C170F3-01F0-4DB8-A563-09F240E65A3C}" destId="{2BD5565A-42A7-4904-9AE6-45CF61148FEB}" srcOrd="3" destOrd="0" parTransId="{0B7127A0-54E2-4697-B6A8-492983A1C884}" sibTransId="{9224A02B-0C8D-477F-A0C8-47FEBD65E466}"/>
    <dgm:cxn modelId="{F6FAFA25-AC2D-450C-B387-BA35CEF0737E}" type="presOf" srcId="{88619DA3-E757-4F48-B8DC-79F53EA5E6CC}" destId="{3CDAC303-530B-4947-958B-323C021C77EE}" srcOrd="0" destOrd="0" presId="urn:microsoft.com/office/officeart/2005/8/layout/hierarchy3"/>
    <dgm:cxn modelId="{44C4CD29-AB78-4C68-8985-9A7E92F880D3}" type="presOf" srcId="{6138E143-B526-43C0-BEE1-152B6F0BC68E}" destId="{A3C3C963-C336-4260-8A40-5BCBBE6BF780}" srcOrd="0" destOrd="0" presId="urn:microsoft.com/office/officeart/2005/8/layout/hierarchy3"/>
    <dgm:cxn modelId="{AA1E5B7D-9921-4206-AE01-763271EF088E}" type="presOf" srcId="{ECD60D4E-7C06-44F8-AD3B-B0856FED4DA3}" destId="{D5C51D1C-9541-4E04-AD22-945B6B18E929}" srcOrd="0" destOrd="0" presId="urn:microsoft.com/office/officeart/2005/8/layout/hierarchy3"/>
    <dgm:cxn modelId="{7726603E-1B85-4881-A367-C8EE36A047D3}" srcId="{2294FA7F-D0CF-4832-A883-B9FBE27290BF}" destId="{3A64B27E-D099-4E0F-A318-CA2D48C08049}" srcOrd="5" destOrd="0" parTransId="{ECD60D4E-7C06-44F8-AD3B-B0856FED4DA3}" sibTransId="{4C027937-F314-483A-8731-7B6CDAA16E1D}"/>
    <dgm:cxn modelId="{49ED292B-32CF-46B2-8CF0-01BA8B04EB4E}" type="presOf" srcId="{B471E56D-0E85-40FC-B9E0-C2369039E57C}" destId="{E7D22B7B-150D-4472-8B4C-389CA482DCB2}" srcOrd="0" destOrd="0" presId="urn:microsoft.com/office/officeart/2005/8/layout/hierarchy3"/>
    <dgm:cxn modelId="{D5366E9E-3341-4DED-B803-CD3477F856CE}" type="presOf" srcId="{3A64B27E-D099-4E0F-A318-CA2D48C08049}" destId="{9DE863CC-9A98-4FBE-9C2C-08DC013E14F6}" srcOrd="0" destOrd="0" presId="urn:microsoft.com/office/officeart/2005/8/layout/hierarchy3"/>
    <dgm:cxn modelId="{DC830E29-4E76-4740-99A3-6F4A47AEEA80}" type="presOf" srcId="{469AD186-F532-4557-B6A7-642055EE702E}" destId="{92E2A64C-22E6-4CB5-B45C-A7451CFF4384}" srcOrd="0" destOrd="0" presId="urn:microsoft.com/office/officeart/2005/8/layout/hierarchy3"/>
    <dgm:cxn modelId="{457660C2-C725-44C8-964D-884035EB746E}" srcId="{2294FA7F-D0CF-4832-A883-B9FBE27290BF}" destId="{7E9476F6-A340-4057-97E5-DBE7244FB11D}" srcOrd="6" destOrd="0" parTransId="{DBC7ED66-4024-45D3-8ABC-3366C401E22A}" sibTransId="{1D3FFC22-298A-41FF-977D-79FB55B719A0}"/>
    <dgm:cxn modelId="{2760BA52-6805-4C25-864A-AD6F01D5CA41}" type="presOf" srcId="{6A4AAE00-53BE-4B2F-BB8A-4D562A7A07EA}" destId="{C2AA295B-EE67-448E-B95B-42071E642193}" srcOrd="0" destOrd="0" presId="urn:microsoft.com/office/officeart/2005/8/layout/hierarchy3"/>
    <dgm:cxn modelId="{F8CAB85E-49C4-4800-AF7E-ED23D5CB9D98}" type="presOf" srcId="{2BD5565A-42A7-4904-9AE6-45CF61148FEB}" destId="{6D2333F3-7C76-4794-A87A-2BAAB12B8C81}" srcOrd="0" destOrd="0" presId="urn:microsoft.com/office/officeart/2005/8/layout/hierarchy3"/>
    <dgm:cxn modelId="{EDE148A7-6515-42AF-A4AA-EA563679B4D5}" type="presOf" srcId="{AAF209B1-3A82-4338-8757-B1E0A6F46A17}" destId="{23EE7C7D-BB09-463C-87DD-D56AF3EFD0CC}" srcOrd="0" destOrd="0" presId="urn:microsoft.com/office/officeart/2005/8/layout/hierarchy3"/>
    <dgm:cxn modelId="{9A860FE9-59E4-4ADB-A657-0BA201412879}" type="presOf" srcId="{246A042F-D06E-499D-BDE4-155CC38538C4}" destId="{ED805DCB-8833-4609-8FD7-5502717059B1}" srcOrd="0" destOrd="0" presId="urn:microsoft.com/office/officeart/2005/8/layout/hierarchy3"/>
    <dgm:cxn modelId="{F88A75E1-5677-4945-A0F8-6CC26E977FAE}" srcId="{A9C170F3-01F0-4DB8-A563-09F240E65A3C}" destId="{A62ABEF4-E6A6-4A4D-ACAE-CA34E762DD0F}" srcOrd="1" destOrd="0" parTransId="{D85AE2DF-7147-465D-8D54-75FA8959906A}" sibTransId="{217E194F-E3C2-4A14-AFE9-4971B629C650}"/>
    <dgm:cxn modelId="{CF15B22C-5F54-4530-AE86-AA6B7F79B402}" type="presOf" srcId="{1ED9940A-062A-4AE7-8D66-76BC263D3E03}" destId="{43C320BF-161D-4AE3-93BF-CC850785E240}" srcOrd="0" destOrd="0" presId="urn:microsoft.com/office/officeart/2005/8/layout/hierarchy3"/>
    <dgm:cxn modelId="{7AEB8BEE-B11A-4D60-B0D2-358ADF869813}" srcId="{2294FA7F-D0CF-4832-A883-B9FBE27290BF}" destId="{27E606B7-0F53-4A74-A7D2-660A7EE6B269}" srcOrd="3" destOrd="0" parTransId="{F7F5CFFF-358E-42F1-9E16-8E74C773CAC8}" sibTransId="{24D86F96-0202-4B3C-B6B4-7FAE81B67AD7}"/>
    <dgm:cxn modelId="{7D198FFE-BD8D-445B-878D-C33D526A106D}" type="presOf" srcId="{7E9476F6-A340-4057-97E5-DBE7244FB11D}" destId="{35A2B80C-DC26-49F8-8DE0-C6C6204C9241}" srcOrd="0" destOrd="0" presId="urn:microsoft.com/office/officeart/2005/8/layout/hierarchy3"/>
    <dgm:cxn modelId="{07E3A00D-31EC-4B66-9DC6-F2BEF785CD7B}" type="presOf" srcId="{E0E7608B-335C-4E70-A8FB-8937A6DC7A38}" destId="{C97CF7F7-D07B-44C5-B046-19A2E380DCC7}" srcOrd="0" destOrd="0" presId="urn:microsoft.com/office/officeart/2005/8/layout/hierarchy3"/>
    <dgm:cxn modelId="{2DBAA908-8B06-4BAD-94DE-79851EC33A38}" type="presOf" srcId="{2294FA7F-D0CF-4832-A883-B9FBE27290BF}" destId="{E9F6D7B4-DC04-4548-B051-32A899E85319}" srcOrd="0" destOrd="0" presId="urn:microsoft.com/office/officeart/2005/8/layout/hierarchy3"/>
    <dgm:cxn modelId="{AB4AA0BE-E11B-45D0-94B4-53D979419027}" type="presOf" srcId="{A9C170F3-01F0-4DB8-A563-09F240E65A3C}" destId="{D0855167-B15E-47B0-A332-28B27B47B728}" srcOrd="1" destOrd="0" presId="urn:microsoft.com/office/officeart/2005/8/layout/hierarchy3"/>
    <dgm:cxn modelId="{C0888655-726C-4E6E-A8AA-986313D82E50}" srcId="{2294FA7F-D0CF-4832-A883-B9FBE27290BF}" destId="{682580E9-2B63-4D68-A68D-709A720E2158}" srcOrd="2" destOrd="0" parTransId="{88619DA3-E757-4F48-B8DC-79F53EA5E6CC}" sibTransId="{CCA68CEE-F1D3-4192-ABF3-86BC105C90C5}"/>
    <dgm:cxn modelId="{26122523-CBD5-4F87-8AB6-1C3ADD40EAAE}" type="presOf" srcId="{A9C170F3-01F0-4DB8-A563-09F240E65A3C}" destId="{05A01DC6-9D17-4BED-8DF7-AA123543745E}" srcOrd="0" destOrd="0" presId="urn:microsoft.com/office/officeart/2005/8/layout/hierarchy3"/>
    <dgm:cxn modelId="{9D7E09DA-1EC2-4BC1-A36A-8D729A013C19}" srcId="{BAFDC832-902C-4F35-81EF-21BA286F3A56}" destId="{A9C170F3-01F0-4DB8-A563-09F240E65A3C}" srcOrd="0" destOrd="0" parTransId="{ECEED664-8AFC-4756-9321-6198114EF560}" sibTransId="{4559C195-30BC-4A2E-99B0-5F9441ABF38F}"/>
    <dgm:cxn modelId="{A3B80DE0-C0C7-469E-811B-8522F963679A}" type="presOf" srcId="{682580E9-2B63-4D68-A68D-709A720E2158}" destId="{8576F0F9-A410-4F35-8AE0-15D497C37D56}" srcOrd="0" destOrd="0" presId="urn:microsoft.com/office/officeart/2005/8/layout/hierarchy3"/>
    <dgm:cxn modelId="{D8F2D41D-A4C8-4945-9B36-C4A1DB98CF9B}" srcId="{BAFDC832-902C-4F35-81EF-21BA286F3A56}" destId="{2294FA7F-D0CF-4832-A883-B9FBE27290BF}" srcOrd="1" destOrd="0" parTransId="{3802C355-C4A1-4856-9347-01A58FCA976E}" sibTransId="{CC9FB820-1E09-4EBC-B92D-8B8639047589}"/>
    <dgm:cxn modelId="{7B454DE6-036B-4407-BCD4-42F8593E8504}" type="presOf" srcId="{27E606B7-0F53-4A74-A7D2-660A7EE6B269}" destId="{9F4B6A14-7FD3-4A93-897E-61E218CF93CE}" srcOrd="0" destOrd="0" presId="urn:microsoft.com/office/officeart/2005/8/layout/hierarchy3"/>
    <dgm:cxn modelId="{6A2EA593-1DA4-4A39-A94F-AA8A5CB445A9}" type="presOf" srcId="{9D0A457B-59E3-4FF9-9294-B6D7C0FEB7B3}" destId="{EDBCCC28-06B6-45CF-8969-FD7930443D49}" srcOrd="0" destOrd="0" presId="urn:microsoft.com/office/officeart/2005/8/layout/hierarchy3"/>
    <dgm:cxn modelId="{74DE85DB-B32A-41CF-8840-47492A6A6D9F}" type="presParOf" srcId="{E7450BAF-0047-423B-B6AB-D2D76890552E}" destId="{CFE52DD0-E173-43D5-8981-AF7A6915E312}" srcOrd="0" destOrd="0" presId="urn:microsoft.com/office/officeart/2005/8/layout/hierarchy3"/>
    <dgm:cxn modelId="{B0E08DF6-1D1D-4EAA-9A38-67213AB81DCF}" type="presParOf" srcId="{CFE52DD0-E173-43D5-8981-AF7A6915E312}" destId="{36580B19-A188-4F4D-A0E7-81496D8D4D92}" srcOrd="0" destOrd="0" presId="urn:microsoft.com/office/officeart/2005/8/layout/hierarchy3"/>
    <dgm:cxn modelId="{246F83EA-DD67-4895-BAEF-EEDF0512D817}" type="presParOf" srcId="{36580B19-A188-4F4D-A0E7-81496D8D4D92}" destId="{05A01DC6-9D17-4BED-8DF7-AA123543745E}" srcOrd="0" destOrd="0" presId="urn:microsoft.com/office/officeart/2005/8/layout/hierarchy3"/>
    <dgm:cxn modelId="{F8253DE4-BDF2-4A3D-9BC0-6B85C9DBCE8B}" type="presParOf" srcId="{36580B19-A188-4F4D-A0E7-81496D8D4D92}" destId="{D0855167-B15E-47B0-A332-28B27B47B728}" srcOrd="1" destOrd="0" presId="urn:microsoft.com/office/officeart/2005/8/layout/hierarchy3"/>
    <dgm:cxn modelId="{8DF172B3-1945-4C29-BAC1-A2427FCD101F}" type="presParOf" srcId="{CFE52DD0-E173-43D5-8981-AF7A6915E312}" destId="{7107DBDE-619A-4370-9458-8F63B53137C4}" srcOrd="1" destOrd="0" presId="urn:microsoft.com/office/officeart/2005/8/layout/hierarchy3"/>
    <dgm:cxn modelId="{3F4A5383-6DC8-485B-883F-329C7E8D4731}" type="presParOf" srcId="{7107DBDE-619A-4370-9458-8F63B53137C4}" destId="{F3BF6A5E-BFC1-4D8D-AEF6-6A399DD075D9}" srcOrd="0" destOrd="0" presId="urn:microsoft.com/office/officeart/2005/8/layout/hierarchy3"/>
    <dgm:cxn modelId="{C3F38C31-3276-40BD-8C26-D587CFD6759A}" type="presParOf" srcId="{7107DBDE-619A-4370-9458-8F63B53137C4}" destId="{43C320BF-161D-4AE3-93BF-CC850785E240}" srcOrd="1" destOrd="0" presId="urn:microsoft.com/office/officeart/2005/8/layout/hierarchy3"/>
    <dgm:cxn modelId="{8C9DF35F-34A2-48B6-A9A8-2D2955E14680}" type="presParOf" srcId="{7107DBDE-619A-4370-9458-8F63B53137C4}" destId="{9CDFEEA4-E575-4293-BF6E-FD43BD7134F3}" srcOrd="2" destOrd="0" presId="urn:microsoft.com/office/officeart/2005/8/layout/hierarchy3"/>
    <dgm:cxn modelId="{EE16AC98-DA37-4951-9206-0A6F17BD9E3A}" type="presParOf" srcId="{7107DBDE-619A-4370-9458-8F63B53137C4}" destId="{F0265D7A-2D81-488C-B412-D3C2E3C7B231}" srcOrd="3" destOrd="0" presId="urn:microsoft.com/office/officeart/2005/8/layout/hierarchy3"/>
    <dgm:cxn modelId="{5C3D3F29-48D8-4D02-9D81-35615D27602C}" type="presParOf" srcId="{7107DBDE-619A-4370-9458-8F63B53137C4}" destId="{C2AA295B-EE67-448E-B95B-42071E642193}" srcOrd="4" destOrd="0" presId="urn:microsoft.com/office/officeart/2005/8/layout/hierarchy3"/>
    <dgm:cxn modelId="{10C647C9-BC16-485A-A6A9-7194321AC46A}" type="presParOf" srcId="{7107DBDE-619A-4370-9458-8F63B53137C4}" destId="{EDBCCC28-06B6-45CF-8969-FD7930443D49}" srcOrd="5" destOrd="0" presId="urn:microsoft.com/office/officeart/2005/8/layout/hierarchy3"/>
    <dgm:cxn modelId="{8A5C8F50-7C06-44D3-B811-2C37E7FAB183}" type="presParOf" srcId="{7107DBDE-619A-4370-9458-8F63B53137C4}" destId="{D5349A8D-D6B9-480B-B3F3-55DF00EFDEFF}" srcOrd="6" destOrd="0" presId="urn:microsoft.com/office/officeart/2005/8/layout/hierarchy3"/>
    <dgm:cxn modelId="{D7E5FCB7-74C5-47B8-9409-85E2ED17F4D3}" type="presParOf" srcId="{7107DBDE-619A-4370-9458-8F63B53137C4}" destId="{6D2333F3-7C76-4794-A87A-2BAAB12B8C81}" srcOrd="7" destOrd="0" presId="urn:microsoft.com/office/officeart/2005/8/layout/hierarchy3"/>
    <dgm:cxn modelId="{D4B6CA73-9CC3-4A8D-BE8E-1AED5776A7CA}" type="presParOf" srcId="{7107DBDE-619A-4370-9458-8F63B53137C4}" destId="{ED805DCB-8833-4609-8FD7-5502717059B1}" srcOrd="8" destOrd="0" presId="urn:microsoft.com/office/officeart/2005/8/layout/hierarchy3"/>
    <dgm:cxn modelId="{5D3E605A-BC53-4D25-B103-1900752CA3E4}" type="presParOf" srcId="{7107DBDE-619A-4370-9458-8F63B53137C4}" destId="{23EE7C7D-BB09-463C-87DD-D56AF3EFD0CC}" srcOrd="9" destOrd="0" presId="urn:microsoft.com/office/officeart/2005/8/layout/hierarchy3"/>
    <dgm:cxn modelId="{93BF33AC-3925-40A8-849B-F8475F3B6075}" type="presParOf" srcId="{E7450BAF-0047-423B-B6AB-D2D76890552E}" destId="{10D563E7-ED73-4AD5-AC0C-FE0CC1618304}" srcOrd="1" destOrd="0" presId="urn:microsoft.com/office/officeart/2005/8/layout/hierarchy3"/>
    <dgm:cxn modelId="{ECECF39D-1F1B-4C16-B218-BBB249719D8A}" type="presParOf" srcId="{10D563E7-ED73-4AD5-AC0C-FE0CC1618304}" destId="{F009F6F6-8809-43A0-AE19-C0A84B681FC2}" srcOrd="0" destOrd="0" presId="urn:microsoft.com/office/officeart/2005/8/layout/hierarchy3"/>
    <dgm:cxn modelId="{9BDA83CA-4436-4F65-BC6F-273EC16D798D}" type="presParOf" srcId="{F009F6F6-8809-43A0-AE19-C0A84B681FC2}" destId="{E9F6D7B4-DC04-4548-B051-32A899E85319}" srcOrd="0" destOrd="0" presId="urn:microsoft.com/office/officeart/2005/8/layout/hierarchy3"/>
    <dgm:cxn modelId="{CFB8E92D-A3C7-4855-8858-D622C2D7333C}" type="presParOf" srcId="{F009F6F6-8809-43A0-AE19-C0A84B681FC2}" destId="{EB72C2B3-92DC-4BBD-A7C1-616D37FCC522}" srcOrd="1" destOrd="0" presId="urn:microsoft.com/office/officeart/2005/8/layout/hierarchy3"/>
    <dgm:cxn modelId="{4D85BF7C-E1FE-4DD1-B520-5AADD941E81E}" type="presParOf" srcId="{10D563E7-ED73-4AD5-AC0C-FE0CC1618304}" destId="{7997921E-1B81-467C-A092-4131D43FD3BC}" srcOrd="1" destOrd="0" presId="urn:microsoft.com/office/officeart/2005/8/layout/hierarchy3"/>
    <dgm:cxn modelId="{578F4351-383C-40B9-A7E1-FE17C5E4E048}" type="presParOf" srcId="{7997921E-1B81-467C-A092-4131D43FD3BC}" destId="{29E9E82A-F96C-4CC8-AFD9-5872A1EEFE7A}" srcOrd="0" destOrd="0" presId="urn:microsoft.com/office/officeart/2005/8/layout/hierarchy3"/>
    <dgm:cxn modelId="{D1EC3B12-040E-404D-B484-5DB0377BF835}" type="presParOf" srcId="{7997921E-1B81-467C-A092-4131D43FD3BC}" destId="{E7D22B7B-150D-4472-8B4C-389CA482DCB2}" srcOrd="1" destOrd="0" presId="urn:microsoft.com/office/officeart/2005/8/layout/hierarchy3"/>
    <dgm:cxn modelId="{52D4E3A7-6C78-453B-A9CC-882CBD8EBBAC}" type="presParOf" srcId="{7997921E-1B81-467C-A092-4131D43FD3BC}" destId="{A3C3C963-C336-4260-8A40-5BCBBE6BF780}" srcOrd="2" destOrd="0" presId="urn:microsoft.com/office/officeart/2005/8/layout/hierarchy3"/>
    <dgm:cxn modelId="{31C247AD-9281-4D44-982A-570DB701235B}" type="presParOf" srcId="{7997921E-1B81-467C-A092-4131D43FD3BC}" destId="{92E2A64C-22E6-4CB5-B45C-A7451CFF4384}" srcOrd="3" destOrd="0" presId="urn:microsoft.com/office/officeart/2005/8/layout/hierarchy3"/>
    <dgm:cxn modelId="{DB0C9272-A9ED-4F87-94D7-B83425529BBD}" type="presParOf" srcId="{7997921E-1B81-467C-A092-4131D43FD3BC}" destId="{3CDAC303-530B-4947-958B-323C021C77EE}" srcOrd="4" destOrd="0" presId="urn:microsoft.com/office/officeart/2005/8/layout/hierarchy3"/>
    <dgm:cxn modelId="{F8898B99-DD11-4F35-9765-3FDA147129C2}" type="presParOf" srcId="{7997921E-1B81-467C-A092-4131D43FD3BC}" destId="{8576F0F9-A410-4F35-8AE0-15D497C37D56}" srcOrd="5" destOrd="0" presId="urn:microsoft.com/office/officeart/2005/8/layout/hierarchy3"/>
    <dgm:cxn modelId="{825A51CE-6707-404F-A982-AFB0265E657D}" type="presParOf" srcId="{7997921E-1B81-467C-A092-4131D43FD3BC}" destId="{583C2A69-CF75-495C-905D-068BF638218B}" srcOrd="6" destOrd="0" presId="urn:microsoft.com/office/officeart/2005/8/layout/hierarchy3"/>
    <dgm:cxn modelId="{6E65F47F-8556-4BEB-97EC-0F3A7D7FE958}" type="presParOf" srcId="{7997921E-1B81-467C-A092-4131D43FD3BC}" destId="{9F4B6A14-7FD3-4A93-897E-61E218CF93CE}" srcOrd="7" destOrd="0" presId="urn:microsoft.com/office/officeart/2005/8/layout/hierarchy3"/>
    <dgm:cxn modelId="{6021ACF7-D1FB-4BDD-B32C-4B125383D116}" type="presParOf" srcId="{7997921E-1B81-467C-A092-4131D43FD3BC}" destId="{C97CF7F7-D07B-44C5-B046-19A2E380DCC7}" srcOrd="8" destOrd="0" presId="urn:microsoft.com/office/officeart/2005/8/layout/hierarchy3"/>
    <dgm:cxn modelId="{7B29B1BD-EDA8-496C-B9FD-8012979B9E3F}" type="presParOf" srcId="{7997921E-1B81-467C-A092-4131D43FD3BC}" destId="{CDF87A28-DA4E-4D3B-B7C0-FEE66DD4A35F}" srcOrd="9" destOrd="0" presId="urn:microsoft.com/office/officeart/2005/8/layout/hierarchy3"/>
    <dgm:cxn modelId="{649E1B33-9494-4BCF-9443-D6FD8015F76A}" type="presParOf" srcId="{7997921E-1B81-467C-A092-4131D43FD3BC}" destId="{D5C51D1C-9541-4E04-AD22-945B6B18E929}" srcOrd="10" destOrd="0" presId="urn:microsoft.com/office/officeart/2005/8/layout/hierarchy3"/>
    <dgm:cxn modelId="{A9D61031-6AB0-4C17-90B8-D685699E6A93}" type="presParOf" srcId="{7997921E-1B81-467C-A092-4131D43FD3BC}" destId="{9DE863CC-9A98-4FBE-9C2C-08DC013E14F6}" srcOrd="11" destOrd="0" presId="urn:microsoft.com/office/officeart/2005/8/layout/hierarchy3"/>
    <dgm:cxn modelId="{9F3DC90A-4EC3-48EE-85A3-483324D2B0BF}" type="presParOf" srcId="{7997921E-1B81-467C-A092-4131D43FD3BC}" destId="{E28668E9-332B-4BEF-BFF1-63AC424857A6}" srcOrd="12" destOrd="0" presId="urn:microsoft.com/office/officeart/2005/8/layout/hierarchy3"/>
    <dgm:cxn modelId="{F101153C-2AE6-4AAC-AE71-994926934F5D}" type="presParOf" srcId="{7997921E-1B81-467C-A092-4131D43FD3BC}" destId="{35A2B80C-DC26-49F8-8DE0-C6C6204C9241}" srcOrd="13" destOrd="0" presId="urn:microsoft.com/office/officeart/2005/8/layout/hierarchy3"/>
  </dgm:cxnLst>
  <dgm:bg/>
  <dgm:whole>
    <a:ln>
      <a:solidFill>
        <a:schemeClr val="tx1"/>
      </a:solidFill>
    </a:ln>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44F672-E88D-4A8E-89F9-CA975E346B67}">
      <dsp:nvSpPr>
        <dsp:cNvPr id="0" name=""/>
        <dsp:cNvSpPr/>
      </dsp:nvSpPr>
      <dsp:spPr>
        <a:xfrm>
          <a:off x="0" y="2196240"/>
          <a:ext cx="4381500" cy="480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lt-LT" sz="2000" kern="1200"/>
            <a:t>Draudimo produktai</a:t>
          </a:r>
        </a:p>
      </dsp:txBody>
      <dsp:txXfrm>
        <a:off x="0" y="2196240"/>
        <a:ext cx="4381500" cy="480284"/>
      </dsp:txXfrm>
    </dsp:sp>
    <dsp:sp modelId="{D3A1D384-0EFF-4945-9F98-E14F26881D05}">
      <dsp:nvSpPr>
        <dsp:cNvPr id="0" name=""/>
        <dsp:cNvSpPr/>
      </dsp:nvSpPr>
      <dsp:spPr>
        <a:xfrm rot="10800000">
          <a:off x="0" y="1463856"/>
          <a:ext cx="4381500" cy="738677"/>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lt-LT" sz="2000" kern="1200"/>
            <a:t>Draudimo grupės</a:t>
          </a:r>
          <a:endParaRPr lang="lt-LT" sz="1600" kern="1200"/>
        </a:p>
      </dsp:txBody>
      <dsp:txXfrm rot="10800000">
        <a:off x="0" y="1463856"/>
        <a:ext cx="4381500" cy="479970"/>
      </dsp:txXfrm>
    </dsp:sp>
    <dsp:sp modelId="{3668BA53-FFEF-4980-A40A-7016E002DFD9}">
      <dsp:nvSpPr>
        <dsp:cNvPr id="0" name=""/>
        <dsp:cNvSpPr/>
      </dsp:nvSpPr>
      <dsp:spPr>
        <a:xfrm rot="10800000">
          <a:off x="0" y="732383"/>
          <a:ext cx="4381500" cy="738677"/>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lt-LT" sz="2000" kern="1200"/>
            <a:t>Draudimo šakos</a:t>
          </a:r>
        </a:p>
      </dsp:txBody>
      <dsp:txXfrm rot="10800000">
        <a:off x="0" y="732383"/>
        <a:ext cx="4381500" cy="479970"/>
      </dsp:txXfrm>
    </dsp:sp>
    <dsp:sp modelId="{A7434EF2-E8F1-4048-ACC8-22EF42007B15}">
      <dsp:nvSpPr>
        <dsp:cNvPr id="0" name=""/>
        <dsp:cNvSpPr/>
      </dsp:nvSpPr>
      <dsp:spPr>
        <a:xfrm rot="10800000">
          <a:off x="0" y="909"/>
          <a:ext cx="4381500" cy="738677"/>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lt-LT" sz="2000" kern="1200"/>
            <a:t>Draudimo rinka</a:t>
          </a:r>
        </a:p>
      </dsp:txBody>
      <dsp:txXfrm rot="10800000">
        <a:off x="0" y="909"/>
        <a:ext cx="4381500" cy="4799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A01DC6-9D17-4BED-8DF7-AA123543745E}">
      <dsp:nvSpPr>
        <dsp:cNvPr id="0" name=""/>
        <dsp:cNvSpPr/>
      </dsp:nvSpPr>
      <dsp:spPr>
        <a:xfrm>
          <a:off x="114721" y="306"/>
          <a:ext cx="2509073" cy="441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lt-LT" sz="1900" kern="1200"/>
            <a:t>Gyvybės draudimas</a:t>
          </a:r>
        </a:p>
      </dsp:txBody>
      <dsp:txXfrm>
        <a:off x="127648" y="13233"/>
        <a:ext cx="2483219" cy="415495"/>
      </dsp:txXfrm>
    </dsp:sp>
    <dsp:sp modelId="{F3BF6A5E-BFC1-4D8D-AEF6-6A399DD075D9}">
      <dsp:nvSpPr>
        <dsp:cNvPr id="0" name=""/>
        <dsp:cNvSpPr/>
      </dsp:nvSpPr>
      <dsp:spPr>
        <a:xfrm>
          <a:off x="365629" y="441656"/>
          <a:ext cx="250907" cy="331012"/>
        </a:xfrm>
        <a:custGeom>
          <a:avLst/>
          <a:gdLst/>
          <a:ahLst/>
          <a:cxnLst/>
          <a:rect l="0" t="0" r="0" b="0"/>
          <a:pathLst>
            <a:path>
              <a:moveTo>
                <a:pt x="0" y="0"/>
              </a:moveTo>
              <a:lnTo>
                <a:pt x="0" y="331012"/>
              </a:lnTo>
              <a:lnTo>
                <a:pt x="250907" y="3310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C320BF-161D-4AE3-93BF-CC850785E240}">
      <dsp:nvSpPr>
        <dsp:cNvPr id="0" name=""/>
        <dsp:cNvSpPr/>
      </dsp:nvSpPr>
      <dsp:spPr>
        <a:xfrm>
          <a:off x="616536" y="551994"/>
          <a:ext cx="2009794" cy="441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lt-LT" sz="1300" kern="1200"/>
            <a:t>Sutuoktuvių ir giminių</a:t>
          </a:r>
        </a:p>
      </dsp:txBody>
      <dsp:txXfrm>
        <a:off x="629463" y="564921"/>
        <a:ext cx="1983940" cy="415495"/>
      </dsp:txXfrm>
    </dsp:sp>
    <dsp:sp modelId="{9CDFEEA4-E575-4293-BF6E-FD43BD7134F3}">
      <dsp:nvSpPr>
        <dsp:cNvPr id="0" name=""/>
        <dsp:cNvSpPr/>
      </dsp:nvSpPr>
      <dsp:spPr>
        <a:xfrm>
          <a:off x="365629" y="441656"/>
          <a:ext cx="250907" cy="882699"/>
        </a:xfrm>
        <a:custGeom>
          <a:avLst/>
          <a:gdLst/>
          <a:ahLst/>
          <a:cxnLst/>
          <a:rect l="0" t="0" r="0" b="0"/>
          <a:pathLst>
            <a:path>
              <a:moveTo>
                <a:pt x="0" y="0"/>
              </a:moveTo>
              <a:lnTo>
                <a:pt x="0" y="882699"/>
              </a:lnTo>
              <a:lnTo>
                <a:pt x="250907" y="8826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265D7A-2D81-488C-B412-D3C2E3C7B231}">
      <dsp:nvSpPr>
        <dsp:cNvPr id="0" name=""/>
        <dsp:cNvSpPr/>
      </dsp:nvSpPr>
      <dsp:spPr>
        <a:xfrm>
          <a:off x="616536" y="1103681"/>
          <a:ext cx="2009794" cy="441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lt-LT" sz="1300" kern="1200"/>
            <a:t>Gyvybės, susijęs su investiciniais fondais</a:t>
          </a:r>
        </a:p>
      </dsp:txBody>
      <dsp:txXfrm>
        <a:off x="629463" y="1116608"/>
        <a:ext cx="1983940" cy="415495"/>
      </dsp:txXfrm>
    </dsp:sp>
    <dsp:sp modelId="{C2AA295B-EE67-448E-B95B-42071E642193}">
      <dsp:nvSpPr>
        <dsp:cNvPr id="0" name=""/>
        <dsp:cNvSpPr/>
      </dsp:nvSpPr>
      <dsp:spPr>
        <a:xfrm>
          <a:off x="365629" y="441656"/>
          <a:ext cx="250907" cy="1434386"/>
        </a:xfrm>
        <a:custGeom>
          <a:avLst/>
          <a:gdLst/>
          <a:ahLst/>
          <a:cxnLst/>
          <a:rect l="0" t="0" r="0" b="0"/>
          <a:pathLst>
            <a:path>
              <a:moveTo>
                <a:pt x="0" y="0"/>
              </a:moveTo>
              <a:lnTo>
                <a:pt x="0" y="1434386"/>
              </a:lnTo>
              <a:lnTo>
                <a:pt x="250907" y="14343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BCCC28-06B6-45CF-8969-FD7930443D49}">
      <dsp:nvSpPr>
        <dsp:cNvPr id="0" name=""/>
        <dsp:cNvSpPr/>
      </dsp:nvSpPr>
      <dsp:spPr>
        <a:xfrm>
          <a:off x="616536" y="1655368"/>
          <a:ext cx="2009794" cy="441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lt-LT" sz="1300" kern="1200"/>
            <a:t>Tontinos</a:t>
          </a:r>
        </a:p>
      </dsp:txBody>
      <dsp:txXfrm>
        <a:off x="629463" y="1668295"/>
        <a:ext cx="1983940" cy="415495"/>
      </dsp:txXfrm>
    </dsp:sp>
    <dsp:sp modelId="{D5349A8D-D6B9-480B-B3F3-55DF00EFDEFF}">
      <dsp:nvSpPr>
        <dsp:cNvPr id="0" name=""/>
        <dsp:cNvSpPr/>
      </dsp:nvSpPr>
      <dsp:spPr>
        <a:xfrm>
          <a:off x="365629" y="441656"/>
          <a:ext cx="250907" cy="1986074"/>
        </a:xfrm>
        <a:custGeom>
          <a:avLst/>
          <a:gdLst/>
          <a:ahLst/>
          <a:cxnLst/>
          <a:rect l="0" t="0" r="0" b="0"/>
          <a:pathLst>
            <a:path>
              <a:moveTo>
                <a:pt x="0" y="0"/>
              </a:moveTo>
              <a:lnTo>
                <a:pt x="0" y="1986074"/>
              </a:lnTo>
              <a:lnTo>
                <a:pt x="250907" y="19860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333F3-7C76-4794-A87A-2BAAB12B8C81}">
      <dsp:nvSpPr>
        <dsp:cNvPr id="0" name=""/>
        <dsp:cNvSpPr/>
      </dsp:nvSpPr>
      <dsp:spPr>
        <a:xfrm>
          <a:off x="616536" y="2207055"/>
          <a:ext cx="2009794" cy="441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lt-LT" sz="1300" kern="1200"/>
            <a:t>Pensijų kaupimo veikla</a:t>
          </a:r>
        </a:p>
      </dsp:txBody>
      <dsp:txXfrm>
        <a:off x="629463" y="2219982"/>
        <a:ext cx="1983940" cy="415495"/>
      </dsp:txXfrm>
    </dsp:sp>
    <dsp:sp modelId="{ED805DCB-8833-4609-8FD7-5502717059B1}">
      <dsp:nvSpPr>
        <dsp:cNvPr id="0" name=""/>
        <dsp:cNvSpPr/>
      </dsp:nvSpPr>
      <dsp:spPr>
        <a:xfrm>
          <a:off x="365629" y="441656"/>
          <a:ext cx="250907" cy="2537761"/>
        </a:xfrm>
        <a:custGeom>
          <a:avLst/>
          <a:gdLst/>
          <a:ahLst/>
          <a:cxnLst/>
          <a:rect l="0" t="0" r="0" b="0"/>
          <a:pathLst>
            <a:path>
              <a:moveTo>
                <a:pt x="0" y="0"/>
              </a:moveTo>
              <a:lnTo>
                <a:pt x="0" y="2537761"/>
              </a:lnTo>
              <a:lnTo>
                <a:pt x="250907" y="25377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EE7C7D-BB09-463C-87DD-D56AF3EFD0CC}">
      <dsp:nvSpPr>
        <dsp:cNvPr id="0" name=""/>
        <dsp:cNvSpPr/>
      </dsp:nvSpPr>
      <dsp:spPr>
        <a:xfrm>
          <a:off x="616536" y="2758743"/>
          <a:ext cx="2009794" cy="441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lt-LT" sz="1300" kern="1200"/>
            <a:t>Kt.</a:t>
          </a:r>
        </a:p>
      </dsp:txBody>
      <dsp:txXfrm>
        <a:off x="629463" y="2771670"/>
        <a:ext cx="1983940" cy="415495"/>
      </dsp:txXfrm>
    </dsp:sp>
    <dsp:sp modelId="{E9F6D7B4-DC04-4548-B051-32A899E85319}">
      <dsp:nvSpPr>
        <dsp:cNvPr id="0" name=""/>
        <dsp:cNvSpPr/>
      </dsp:nvSpPr>
      <dsp:spPr>
        <a:xfrm>
          <a:off x="2844470" y="306"/>
          <a:ext cx="2381294" cy="441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lt-LT" sz="1900" kern="1200"/>
            <a:t>Ne gyvybės draudimas</a:t>
          </a:r>
        </a:p>
      </dsp:txBody>
      <dsp:txXfrm>
        <a:off x="2857397" y="13233"/>
        <a:ext cx="2355440" cy="415495"/>
      </dsp:txXfrm>
    </dsp:sp>
    <dsp:sp modelId="{29E9E82A-F96C-4CC8-AFD9-5872A1EEFE7A}">
      <dsp:nvSpPr>
        <dsp:cNvPr id="0" name=""/>
        <dsp:cNvSpPr/>
      </dsp:nvSpPr>
      <dsp:spPr>
        <a:xfrm>
          <a:off x="3082599" y="441656"/>
          <a:ext cx="238129" cy="331012"/>
        </a:xfrm>
        <a:custGeom>
          <a:avLst/>
          <a:gdLst/>
          <a:ahLst/>
          <a:cxnLst/>
          <a:rect l="0" t="0" r="0" b="0"/>
          <a:pathLst>
            <a:path>
              <a:moveTo>
                <a:pt x="0" y="0"/>
              </a:moveTo>
              <a:lnTo>
                <a:pt x="0" y="331012"/>
              </a:lnTo>
              <a:lnTo>
                <a:pt x="238129" y="3310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D22B7B-150D-4472-8B4C-389CA482DCB2}">
      <dsp:nvSpPr>
        <dsp:cNvPr id="0" name=""/>
        <dsp:cNvSpPr/>
      </dsp:nvSpPr>
      <dsp:spPr>
        <a:xfrm>
          <a:off x="3320729" y="551994"/>
          <a:ext cx="2050949" cy="441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lt-LT" sz="1300" kern="1200"/>
            <a:t>Asmens</a:t>
          </a:r>
        </a:p>
      </dsp:txBody>
      <dsp:txXfrm>
        <a:off x="3333656" y="564921"/>
        <a:ext cx="2025095" cy="415495"/>
      </dsp:txXfrm>
    </dsp:sp>
    <dsp:sp modelId="{A3C3C963-C336-4260-8A40-5BCBBE6BF780}">
      <dsp:nvSpPr>
        <dsp:cNvPr id="0" name=""/>
        <dsp:cNvSpPr/>
      </dsp:nvSpPr>
      <dsp:spPr>
        <a:xfrm>
          <a:off x="3082599" y="441656"/>
          <a:ext cx="238129" cy="882699"/>
        </a:xfrm>
        <a:custGeom>
          <a:avLst/>
          <a:gdLst/>
          <a:ahLst/>
          <a:cxnLst/>
          <a:rect l="0" t="0" r="0" b="0"/>
          <a:pathLst>
            <a:path>
              <a:moveTo>
                <a:pt x="0" y="0"/>
              </a:moveTo>
              <a:lnTo>
                <a:pt x="0" y="882699"/>
              </a:lnTo>
              <a:lnTo>
                <a:pt x="238129" y="8826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E2A64C-22E6-4CB5-B45C-A7451CFF4384}">
      <dsp:nvSpPr>
        <dsp:cNvPr id="0" name=""/>
        <dsp:cNvSpPr/>
      </dsp:nvSpPr>
      <dsp:spPr>
        <a:xfrm>
          <a:off x="3320729" y="1103681"/>
          <a:ext cx="2050949" cy="441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lt-LT" sz="1300" kern="1200"/>
            <a:t>Turto</a:t>
          </a:r>
          <a:r>
            <a:rPr lang="en-US" sz="1300" kern="1200"/>
            <a:t> ir finansini</a:t>
          </a:r>
          <a:r>
            <a:rPr lang="lt-LT" sz="1300" kern="1200"/>
            <a:t>ų nuostolių</a:t>
          </a:r>
        </a:p>
      </dsp:txBody>
      <dsp:txXfrm>
        <a:off x="3333656" y="1116608"/>
        <a:ext cx="2025095" cy="415495"/>
      </dsp:txXfrm>
    </dsp:sp>
    <dsp:sp modelId="{3CDAC303-530B-4947-958B-323C021C77EE}">
      <dsp:nvSpPr>
        <dsp:cNvPr id="0" name=""/>
        <dsp:cNvSpPr/>
      </dsp:nvSpPr>
      <dsp:spPr>
        <a:xfrm>
          <a:off x="3082599" y="441656"/>
          <a:ext cx="238129" cy="1434386"/>
        </a:xfrm>
        <a:custGeom>
          <a:avLst/>
          <a:gdLst/>
          <a:ahLst/>
          <a:cxnLst/>
          <a:rect l="0" t="0" r="0" b="0"/>
          <a:pathLst>
            <a:path>
              <a:moveTo>
                <a:pt x="0" y="0"/>
              </a:moveTo>
              <a:lnTo>
                <a:pt x="0" y="1434386"/>
              </a:lnTo>
              <a:lnTo>
                <a:pt x="238129" y="14343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76F0F9-A410-4F35-8AE0-15D497C37D56}">
      <dsp:nvSpPr>
        <dsp:cNvPr id="0" name=""/>
        <dsp:cNvSpPr/>
      </dsp:nvSpPr>
      <dsp:spPr>
        <a:xfrm>
          <a:off x="3320729" y="1655368"/>
          <a:ext cx="2050949" cy="441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lt-LT" sz="1300" kern="1200"/>
            <a:t>Atsakomybės</a:t>
          </a:r>
        </a:p>
      </dsp:txBody>
      <dsp:txXfrm>
        <a:off x="3333656" y="1668295"/>
        <a:ext cx="2025095" cy="415495"/>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C1A3-D8AC-48FA-B45A-4F62A4BB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8698</TotalTime>
  <Pages>1</Pages>
  <Words>124421</Words>
  <Characters>70921</Characters>
  <Application>Microsoft Office Word</Application>
  <DocSecurity>0</DocSecurity>
  <Lines>591</Lines>
  <Paragraphs>389</Paragraphs>
  <ScaleCrop>false</ScaleCrop>
  <HeadingPairs>
    <vt:vector size="2" baseType="variant">
      <vt:variant>
        <vt:lpstr>Title</vt:lpstr>
      </vt:variant>
      <vt:variant>
        <vt:i4>1</vt:i4>
      </vt:variant>
    </vt:vector>
  </HeadingPairs>
  <TitlesOfParts>
    <vt:vector size="1" baseType="lpstr">
      <vt:lpstr/>
    </vt:vector>
  </TitlesOfParts>
  <Company>NK</Company>
  <LinksUpToDate>false</LinksUpToDate>
  <CharactersWithSpaces>194953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studentas</dc:creator>
  <cp:keywords/>
  <dc:description/>
  <cp:lastModifiedBy>Mano</cp:lastModifiedBy>
  <cp:revision>2213</cp:revision>
  <dcterms:created xsi:type="dcterms:W3CDTF">2011-09-11T12:37:00Z</dcterms:created>
  <dcterms:modified xsi:type="dcterms:W3CDTF">2013-01-12T15:34:00Z</dcterms:modified>
</cp:coreProperties>
</file>