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026" w:rsidRPr="00891173" w:rsidRDefault="00676026" w:rsidP="00676026">
      <w:pPr>
        <w:pStyle w:val="Default"/>
        <w:spacing w:line="360" w:lineRule="auto"/>
        <w:jc w:val="center"/>
        <w:rPr>
          <w:sz w:val="32"/>
          <w:szCs w:val="32"/>
        </w:rPr>
      </w:pPr>
      <w:r w:rsidRPr="00891173">
        <w:rPr>
          <w:b/>
          <w:bCs/>
          <w:sz w:val="32"/>
          <w:szCs w:val="32"/>
        </w:rPr>
        <w:t>MYKOLO ROMERIO UNIVERSITETAS</w:t>
      </w:r>
    </w:p>
    <w:p w:rsidR="00676026" w:rsidRPr="00891173" w:rsidRDefault="00676026" w:rsidP="00676026">
      <w:pPr>
        <w:pStyle w:val="Default"/>
        <w:spacing w:line="360" w:lineRule="auto"/>
        <w:jc w:val="center"/>
        <w:rPr>
          <w:b/>
          <w:bCs/>
          <w:sz w:val="28"/>
          <w:szCs w:val="28"/>
        </w:rPr>
      </w:pPr>
      <w:r w:rsidRPr="00891173">
        <w:rPr>
          <w:b/>
          <w:bCs/>
          <w:sz w:val="28"/>
          <w:szCs w:val="28"/>
        </w:rPr>
        <w:t>EKONOMIKOS IR FINANSŲ VALDYMO FAKULTETAS</w:t>
      </w:r>
    </w:p>
    <w:p w:rsidR="00676026" w:rsidRPr="00891173" w:rsidRDefault="00676026" w:rsidP="00676026">
      <w:pPr>
        <w:pStyle w:val="Default"/>
        <w:spacing w:line="360" w:lineRule="auto"/>
        <w:jc w:val="center"/>
        <w:rPr>
          <w:sz w:val="23"/>
          <w:szCs w:val="23"/>
        </w:rPr>
      </w:pPr>
      <w:r w:rsidRPr="00891173">
        <w:rPr>
          <w:b/>
          <w:bCs/>
          <w:sz w:val="23"/>
          <w:szCs w:val="23"/>
        </w:rPr>
        <w:t>BANKININKYSTĖS IR INVESTICIJŲ KATEDRA</w:t>
      </w:r>
    </w:p>
    <w:p w:rsidR="00676026" w:rsidRPr="00891173" w:rsidRDefault="00676026" w:rsidP="00676026">
      <w:pPr>
        <w:pStyle w:val="Default"/>
        <w:rPr>
          <w:b/>
          <w:bCs/>
          <w:sz w:val="32"/>
          <w:szCs w:val="32"/>
        </w:rPr>
      </w:pPr>
    </w:p>
    <w:p w:rsidR="00676026" w:rsidRPr="00891173" w:rsidRDefault="00676026" w:rsidP="00676026">
      <w:pPr>
        <w:pStyle w:val="Default"/>
        <w:rPr>
          <w:b/>
          <w:bCs/>
          <w:sz w:val="32"/>
          <w:szCs w:val="32"/>
        </w:rPr>
      </w:pPr>
    </w:p>
    <w:p w:rsidR="00676026" w:rsidRPr="00891173" w:rsidRDefault="00676026" w:rsidP="00676026">
      <w:pPr>
        <w:pStyle w:val="Default"/>
        <w:rPr>
          <w:b/>
          <w:bCs/>
          <w:sz w:val="32"/>
          <w:szCs w:val="32"/>
        </w:rPr>
      </w:pPr>
    </w:p>
    <w:p w:rsidR="00676026" w:rsidRPr="00891173" w:rsidRDefault="00676026" w:rsidP="00676026">
      <w:pPr>
        <w:pStyle w:val="Default"/>
        <w:rPr>
          <w:b/>
          <w:bCs/>
          <w:sz w:val="32"/>
          <w:szCs w:val="32"/>
        </w:rPr>
      </w:pPr>
    </w:p>
    <w:p w:rsidR="00676026" w:rsidRPr="00891173" w:rsidRDefault="00676026" w:rsidP="00676026">
      <w:pPr>
        <w:pStyle w:val="Default"/>
        <w:rPr>
          <w:b/>
          <w:bCs/>
          <w:sz w:val="32"/>
          <w:szCs w:val="32"/>
        </w:rPr>
      </w:pPr>
    </w:p>
    <w:p w:rsidR="00676026" w:rsidRPr="00891173" w:rsidRDefault="00676026" w:rsidP="00676026">
      <w:pPr>
        <w:pStyle w:val="Default"/>
        <w:rPr>
          <w:b/>
          <w:bCs/>
          <w:sz w:val="32"/>
          <w:szCs w:val="32"/>
        </w:rPr>
      </w:pPr>
    </w:p>
    <w:p w:rsidR="00676026" w:rsidRPr="00891173" w:rsidRDefault="00676026" w:rsidP="00676026">
      <w:pPr>
        <w:pStyle w:val="Default"/>
        <w:jc w:val="center"/>
        <w:rPr>
          <w:b/>
          <w:bCs/>
          <w:sz w:val="32"/>
          <w:szCs w:val="32"/>
        </w:rPr>
      </w:pPr>
      <w:r w:rsidRPr="00891173">
        <w:rPr>
          <w:b/>
          <w:bCs/>
          <w:sz w:val="32"/>
          <w:szCs w:val="32"/>
        </w:rPr>
        <w:t>EDITA VAIČIULIONYTĖ</w:t>
      </w:r>
    </w:p>
    <w:p w:rsidR="00676026" w:rsidRPr="00891173" w:rsidRDefault="00676026" w:rsidP="00676026">
      <w:pPr>
        <w:pStyle w:val="Default"/>
        <w:jc w:val="center"/>
        <w:rPr>
          <w:b/>
          <w:bCs/>
          <w:sz w:val="32"/>
          <w:szCs w:val="32"/>
        </w:rPr>
      </w:pPr>
    </w:p>
    <w:p w:rsidR="00676026" w:rsidRPr="00891173" w:rsidRDefault="00676026" w:rsidP="00676026">
      <w:pPr>
        <w:pStyle w:val="Default"/>
        <w:jc w:val="center"/>
        <w:rPr>
          <w:b/>
          <w:bCs/>
          <w:sz w:val="32"/>
          <w:szCs w:val="32"/>
        </w:rPr>
      </w:pPr>
    </w:p>
    <w:p w:rsidR="00676026" w:rsidRPr="00891173" w:rsidRDefault="00676026" w:rsidP="00676026">
      <w:pPr>
        <w:pStyle w:val="Default"/>
        <w:jc w:val="center"/>
        <w:rPr>
          <w:b/>
          <w:bCs/>
          <w:sz w:val="32"/>
          <w:szCs w:val="32"/>
        </w:rPr>
      </w:pPr>
    </w:p>
    <w:p w:rsidR="00676026" w:rsidRPr="00891173" w:rsidRDefault="00676026" w:rsidP="00676026">
      <w:pPr>
        <w:pStyle w:val="Default"/>
        <w:jc w:val="center"/>
        <w:rPr>
          <w:b/>
          <w:bCs/>
          <w:sz w:val="32"/>
          <w:szCs w:val="32"/>
        </w:rPr>
      </w:pPr>
    </w:p>
    <w:p w:rsidR="00676026" w:rsidRPr="00891173" w:rsidRDefault="00676026" w:rsidP="00676026">
      <w:pPr>
        <w:pStyle w:val="Default"/>
        <w:rPr>
          <w:sz w:val="32"/>
          <w:szCs w:val="32"/>
        </w:rPr>
      </w:pPr>
    </w:p>
    <w:p w:rsidR="00676026" w:rsidRPr="00891173" w:rsidRDefault="00676026" w:rsidP="0072278E">
      <w:pPr>
        <w:pStyle w:val="Default"/>
        <w:spacing w:after="120"/>
        <w:jc w:val="center"/>
        <w:rPr>
          <w:sz w:val="40"/>
          <w:szCs w:val="40"/>
        </w:rPr>
      </w:pPr>
      <w:r w:rsidRPr="00891173">
        <w:rPr>
          <w:b/>
          <w:bCs/>
          <w:sz w:val="40"/>
          <w:szCs w:val="40"/>
        </w:rPr>
        <w:t xml:space="preserve">LIETUVOS GYVENTOJŲ </w:t>
      </w:r>
      <w:r w:rsidR="00F0418F" w:rsidRPr="00891173">
        <w:rPr>
          <w:b/>
          <w:bCs/>
          <w:sz w:val="40"/>
          <w:szCs w:val="40"/>
        </w:rPr>
        <w:t>INVESTICIJŲ Į INVESTICINIUS FONDUS</w:t>
      </w:r>
      <w:r w:rsidRPr="00891173">
        <w:rPr>
          <w:b/>
          <w:bCs/>
          <w:sz w:val="40"/>
          <w:szCs w:val="40"/>
        </w:rPr>
        <w:t xml:space="preserve"> PASIRINKIMO </w:t>
      </w:r>
      <w:r w:rsidR="005B2F3A" w:rsidRPr="00891173">
        <w:rPr>
          <w:b/>
          <w:bCs/>
          <w:sz w:val="40"/>
          <w:szCs w:val="40"/>
        </w:rPr>
        <w:t>VERTINIMAS</w:t>
      </w:r>
    </w:p>
    <w:p w:rsidR="00676026" w:rsidRPr="00891173" w:rsidRDefault="00676026" w:rsidP="00676026">
      <w:pPr>
        <w:pStyle w:val="Default"/>
        <w:jc w:val="center"/>
        <w:rPr>
          <w:b/>
          <w:bCs/>
          <w:sz w:val="28"/>
          <w:szCs w:val="28"/>
        </w:rPr>
      </w:pPr>
      <w:r w:rsidRPr="00891173">
        <w:rPr>
          <w:b/>
          <w:bCs/>
          <w:sz w:val="28"/>
          <w:szCs w:val="28"/>
        </w:rPr>
        <w:t>Magistro baigiamasis darbas</w:t>
      </w:r>
    </w:p>
    <w:p w:rsidR="00676026" w:rsidRPr="00891173" w:rsidRDefault="00676026" w:rsidP="00676026">
      <w:pPr>
        <w:pStyle w:val="Default"/>
        <w:jc w:val="center"/>
        <w:rPr>
          <w:b/>
          <w:bCs/>
          <w:sz w:val="28"/>
          <w:szCs w:val="28"/>
        </w:rPr>
      </w:pPr>
    </w:p>
    <w:p w:rsidR="00676026" w:rsidRPr="00891173" w:rsidRDefault="00676026" w:rsidP="00676026">
      <w:pPr>
        <w:pStyle w:val="Default"/>
        <w:jc w:val="center"/>
        <w:rPr>
          <w:b/>
          <w:bCs/>
          <w:sz w:val="28"/>
          <w:szCs w:val="28"/>
        </w:rPr>
      </w:pPr>
    </w:p>
    <w:p w:rsidR="00676026" w:rsidRPr="00891173" w:rsidRDefault="00676026" w:rsidP="00676026">
      <w:pPr>
        <w:pStyle w:val="Default"/>
        <w:jc w:val="center"/>
        <w:rPr>
          <w:b/>
          <w:bCs/>
          <w:sz w:val="28"/>
          <w:szCs w:val="28"/>
        </w:rPr>
      </w:pPr>
    </w:p>
    <w:p w:rsidR="00676026" w:rsidRPr="00891173" w:rsidRDefault="00676026" w:rsidP="00676026">
      <w:pPr>
        <w:pStyle w:val="Default"/>
        <w:jc w:val="center"/>
        <w:rPr>
          <w:b/>
          <w:bCs/>
          <w:sz w:val="28"/>
          <w:szCs w:val="28"/>
        </w:rPr>
      </w:pPr>
    </w:p>
    <w:p w:rsidR="00676026" w:rsidRPr="00891173" w:rsidRDefault="00676026" w:rsidP="00676026">
      <w:pPr>
        <w:pStyle w:val="Default"/>
        <w:jc w:val="center"/>
        <w:rPr>
          <w:sz w:val="28"/>
          <w:szCs w:val="28"/>
        </w:rPr>
      </w:pPr>
    </w:p>
    <w:p w:rsidR="0072278E" w:rsidRPr="00891173" w:rsidRDefault="00667DC7" w:rsidP="00667DC7">
      <w:pPr>
        <w:pStyle w:val="Default"/>
        <w:tabs>
          <w:tab w:val="left" w:pos="7230"/>
        </w:tabs>
        <w:ind w:left="5184" w:firstLine="1296"/>
        <w:rPr>
          <w:b/>
          <w:bCs/>
        </w:rPr>
      </w:pPr>
      <w:r w:rsidRPr="00891173">
        <w:rPr>
          <w:b/>
          <w:bCs/>
        </w:rPr>
        <w:tab/>
      </w:r>
      <w:r w:rsidR="005F2710" w:rsidRPr="00891173">
        <w:rPr>
          <w:b/>
          <w:bCs/>
        </w:rPr>
        <w:t>Vadovė</w:t>
      </w:r>
      <w:r w:rsidR="00676026" w:rsidRPr="00891173">
        <w:rPr>
          <w:b/>
          <w:bCs/>
        </w:rPr>
        <w:t xml:space="preserve">: </w:t>
      </w:r>
    </w:p>
    <w:p w:rsidR="00676026" w:rsidRPr="00891173" w:rsidRDefault="00012200" w:rsidP="00667DC7">
      <w:pPr>
        <w:pStyle w:val="Default"/>
        <w:tabs>
          <w:tab w:val="left" w:pos="7230"/>
        </w:tabs>
      </w:pPr>
      <w:r w:rsidRPr="00891173">
        <w:rPr>
          <w:b/>
          <w:bCs/>
        </w:rPr>
        <w:tab/>
        <w:t>p</w:t>
      </w:r>
      <w:r w:rsidR="00667DC7" w:rsidRPr="00891173">
        <w:rPr>
          <w:b/>
          <w:bCs/>
        </w:rPr>
        <w:t>rof. d</w:t>
      </w:r>
      <w:r w:rsidR="00676026" w:rsidRPr="00891173">
        <w:rPr>
          <w:b/>
          <w:bCs/>
        </w:rPr>
        <w:t>r. D. Jurevičienė</w:t>
      </w: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676026" w:rsidRPr="00891173" w:rsidRDefault="00676026" w:rsidP="00676026">
      <w:pPr>
        <w:spacing w:after="200" w:line="276" w:lineRule="auto"/>
        <w:rPr>
          <w:b/>
          <w:bCs/>
          <w:sz w:val="28"/>
          <w:szCs w:val="28"/>
        </w:rPr>
      </w:pPr>
    </w:p>
    <w:p w:rsidR="0072278E" w:rsidRPr="00891173" w:rsidRDefault="00676026" w:rsidP="00676026">
      <w:pPr>
        <w:spacing w:after="200" w:line="276" w:lineRule="auto"/>
        <w:jc w:val="center"/>
        <w:rPr>
          <w:b/>
          <w:bCs/>
          <w:sz w:val="28"/>
          <w:szCs w:val="28"/>
        </w:rPr>
      </w:pPr>
      <w:r w:rsidRPr="00891173">
        <w:rPr>
          <w:b/>
          <w:bCs/>
          <w:sz w:val="28"/>
          <w:szCs w:val="28"/>
        </w:rPr>
        <w:t xml:space="preserve">VILNIUS, 2012 </w:t>
      </w:r>
    </w:p>
    <w:p w:rsidR="005F2710" w:rsidRPr="00891173" w:rsidRDefault="0072278E" w:rsidP="005F2710">
      <w:pPr>
        <w:pStyle w:val="Default"/>
        <w:spacing w:line="360" w:lineRule="auto"/>
        <w:jc w:val="center"/>
        <w:rPr>
          <w:sz w:val="32"/>
          <w:szCs w:val="32"/>
        </w:rPr>
      </w:pPr>
      <w:r w:rsidRPr="00891173">
        <w:rPr>
          <w:b/>
          <w:bCs/>
          <w:sz w:val="28"/>
          <w:szCs w:val="28"/>
        </w:rPr>
        <w:br w:type="page"/>
      </w:r>
      <w:r w:rsidR="005F2710" w:rsidRPr="00891173">
        <w:rPr>
          <w:b/>
          <w:bCs/>
          <w:sz w:val="32"/>
          <w:szCs w:val="32"/>
        </w:rPr>
        <w:lastRenderedPageBreak/>
        <w:t>MYKOLO ROMERIO UNIVERSITETAS</w:t>
      </w:r>
    </w:p>
    <w:p w:rsidR="005F2710" w:rsidRPr="00891173" w:rsidRDefault="005F2710" w:rsidP="005F2710">
      <w:pPr>
        <w:pStyle w:val="Default"/>
        <w:spacing w:line="360" w:lineRule="auto"/>
        <w:jc w:val="center"/>
        <w:rPr>
          <w:b/>
          <w:bCs/>
          <w:sz w:val="28"/>
          <w:szCs w:val="28"/>
        </w:rPr>
      </w:pPr>
      <w:r w:rsidRPr="00891173">
        <w:rPr>
          <w:b/>
          <w:bCs/>
          <w:sz w:val="28"/>
          <w:szCs w:val="28"/>
        </w:rPr>
        <w:t>EKONOMIKOS IR FINANSŲ VALDYMO FAKULTETAS</w:t>
      </w:r>
    </w:p>
    <w:p w:rsidR="005F2710" w:rsidRPr="00891173" w:rsidRDefault="005F2710" w:rsidP="005F2710">
      <w:pPr>
        <w:pStyle w:val="Default"/>
        <w:spacing w:line="360" w:lineRule="auto"/>
        <w:jc w:val="center"/>
        <w:rPr>
          <w:sz w:val="23"/>
          <w:szCs w:val="23"/>
        </w:rPr>
      </w:pPr>
      <w:r w:rsidRPr="00891173">
        <w:rPr>
          <w:b/>
          <w:bCs/>
          <w:sz w:val="23"/>
          <w:szCs w:val="23"/>
        </w:rPr>
        <w:t>BANKININKYSTĖS IR INVESTICIJŲ KATEDRA</w:t>
      </w:r>
    </w:p>
    <w:p w:rsidR="005F2710" w:rsidRPr="00891173" w:rsidRDefault="005F2710" w:rsidP="005F2710">
      <w:pPr>
        <w:pStyle w:val="Default"/>
        <w:rPr>
          <w:b/>
          <w:bCs/>
          <w:sz w:val="32"/>
          <w:szCs w:val="32"/>
        </w:rPr>
      </w:pPr>
    </w:p>
    <w:p w:rsidR="005F2710" w:rsidRPr="00891173" w:rsidRDefault="005F2710" w:rsidP="005F2710">
      <w:pPr>
        <w:pStyle w:val="Default"/>
        <w:rPr>
          <w:b/>
          <w:bCs/>
          <w:sz w:val="32"/>
          <w:szCs w:val="32"/>
        </w:rPr>
      </w:pPr>
    </w:p>
    <w:p w:rsidR="005F2710" w:rsidRPr="00891173" w:rsidRDefault="005F2710" w:rsidP="005F2710">
      <w:pPr>
        <w:pStyle w:val="Default"/>
        <w:rPr>
          <w:b/>
          <w:bCs/>
          <w:sz w:val="32"/>
          <w:szCs w:val="32"/>
        </w:rPr>
      </w:pPr>
    </w:p>
    <w:p w:rsidR="005F2710" w:rsidRPr="00891173" w:rsidRDefault="005F2710" w:rsidP="005F2710">
      <w:pPr>
        <w:pStyle w:val="Default"/>
        <w:rPr>
          <w:b/>
          <w:bCs/>
          <w:sz w:val="32"/>
          <w:szCs w:val="32"/>
        </w:rPr>
      </w:pPr>
    </w:p>
    <w:p w:rsidR="005F2710" w:rsidRPr="00891173" w:rsidRDefault="005F2710" w:rsidP="005F2710">
      <w:pPr>
        <w:pStyle w:val="Default"/>
        <w:rPr>
          <w:b/>
          <w:bCs/>
          <w:sz w:val="32"/>
          <w:szCs w:val="32"/>
        </w:rPr>
      </w:pPr>
    </w:p>
    <w:p w:rsidR="005F2710" w:rsidRPr="00891173" w:rsidRDefault="005F2710" w:rsidP="005F2710">
      <w:pPr>
        <w:pStyle w:val="Default"/>
        <w:rPr>
          <w:b/>
          <w:bCs/>
          <w:sz w:val="32"/>
          <w:szCs w:val="32"/>
        </w:rPr>
      </w:pPr>
    </w:p>
    <w:p w:rsidR="005F2710" w:rsidRPr="00891173" w:rsidRDefault="005F2710" w:rsidP="005F2710">
      <w:pPr>
        <w:pStyle w:val="Default"/>
        <w:jc w:val="center"/>
        <w:rPr>
          <w:b/>
          <w:bCs/>
          <w:sz w:val="32"/>
          <w:szCs w:val="32"/>
        </w:rPr>
      </w:pPr>
    </w:p>
    <w:p w:rsidR="005F2710" w:rsidRPr="00891173" w:rsidRDefault="005F2710" w:rsidP="005F2710">
      <w:pPr>
        <w:pStyle w:val="Default"/>
        <w:jc w:val="center"/>
        <w:rPr>
          <w:b/>
          <w:bCs/>
          <w:sz w:val="32"/>
          <w:szCs w:val="32"/>
        </w:rPr>
      </w:pPr>
    </w:p>
    <w:p w:rsidR="005F2710" w:rsidRPr="00891173" w:rsidRDefault="005F2710" w:rsidP="005F2710">
      <w:pPr>
        <w:pStyle w:val="Default"/>
        <w:jc w:val="center"/>
        <w:rPr>
          <w:b/>
          <w:bCs/>
          <w:sz w:val="32"/>
          <w:szCs w:val="32"/>
        </w:rPr>
      </w:pPr>
    </w:p>
    <w:p w:rsidR="005F2710" w:rsidRPr="00891173" w:rsidRDefault="005F2710" w:rsidP="005F2710">
      <w:pPr>
        <w:pStyle w:val="Default"/>
        <w:rPr>
          <w:sz w:val="32"/>
          <w:szCs w:val="32"/>
        </w:rPr>
      </w:pPr>
    </w:p>
    <w:p w:rsidR="00F0418F" w:rsidRPr="00891173" w:rsidRDefault="00F0418F" w:rsidP="00F0418F">
      <w:pPr>
        <w:pStyle w:val="Default"/>
        <w:spacing w:after="120"/>
        <w:jc w:val="center"/>
        <w:rPr>
          <w:sz w:val="40"/>
          <w:szCs w:val="40"/>
        </w:rPr>
      </w:pPr>
      <w:r w:rsidRPr="00891173">
        <w:rPr>
          <w:b/>
          <w:bCs/>
          <w:sz w:val="40"/>
          <w:szCs w:val="40"/>
        </w:rPr>
        <w:t>LIETUVOS GYVENTOJŲ INVESTICIJŲ Į INVESTICINIUS FONDUS PASIRINKIMO VERTINIMAS</w:t>
      </w:r>
    </w:p>
    <w:p w:rsidR="005F2710" w:rsidRPr="00891173" w:rsidRDefault="005F2710" w:rsidP="005F2710">
      <w:pPr>
        <w:pStyle w:val="Default"/>
        <w:jc w:val="center"/>
        <w:rPr>
          <w:b/>
          <w:bCs/>
          <w:sz w:val="28"/>
          <w:szCs w:val="28"/>
        </w:rPr>
      </w:pPr>
      <w:r w:rsidRPr="00891173">
        <w:rPr>
          <w:b/>
          <w:bCs/>
          <w:sz w:val="28"/>
          <w:szCs w:val="28"/>
        </w:rPr>
        <w:t>Finansų rinkų magistro baigiamasis darbas</w:t>
      </w:r>
    </w:p>
    <w:p w:rsidR="005F2710" w:rsidRPr="00891173" w:rsidRDefault="005F2710" w:rsidP="005F2710">
      <w:pPr>
        <w:pStyle w:val="Default"/>
        <w:jc w:val="center"/>
        <w:rPr>
          <w:b/>
          <w:bCs/>
          <w:sz w:val="28"/>
          <w:szCs w:val="28"/>
        </w:rPr>
      </w:pPr>
      <w:r w:rsidRPr="00891173">
        <w:rPr>
          <w:b/>
          <w:bCs/>
          <w:sz w:val="28"/>
          <w:szCs w:val="28"/>
        </w:rPr>
        <w:t xml:space="preserve">Studijų programa </w:t>
      </w:r>
      <w:r w:rsidR="00E048A8" w:rsidRPr="00891173">
        <w:rPr>
          <w:b/>
          <w:bCs/>
          <w:sz w:val="28"/>
          <w:szCs w:val="28"/>
        </w:rPr>
        <w:t>621L10009</w:t>
      </w:r>
    </w:p>
    <w:p w:rsidR="005F2710" w:rsidRPr="00891173" w:rsidRDefault="005F2710" w:rsidP="005F2710">
      <w:pPr>
        <w:pStyle w:val="Default"/>
        <w:jc w:val="center"/>
        <w:rPr>
          <w:b/>
          <w:bCs/>
          <w:sz w:val="28"/>
          <w:szCs w:val="28"/>
        </w:rPr>
      </w:pPr>
    </w:p>
    <w:p w:rsidR="005F2710" w:rsidRPr="00891173" w:rsidRDefault="005F2710" w:rsidP="005F2710">
      <w:pPr>
        <w:pStyle w:val="Default"/>
        <w:jc w:val="center"/>
        <w:rPr>
          <w:b/>
          <w:bCs/>
          <w:sz w:val="28"/>
          <w:szCs w:val="28"/>
        </w:rPr>
      </w:pPr>
    </w:p>
    <w:p w:rsidR="005F2710" w:rsidRPr="00891173" w:rsidRDefault="005F2710" w:rsidP="005F2710">
      <w:pPr>
        <w:pStyle w:val="Default"/>
        <w:jc w:val="center"/>
        <w:rPr>
          <w:b/>
          <w:bCs/>
          <w:sz w:val="28"/>
          <w:szCs w:val="28"/>
        </w:rPr>
      </w:pPr>
    </w:p>
    <w:p w:rsidR="005F2710" w:rsidRPr="00891173" w:rsidRDefault="005F2710" w:rsidP="005F2710">
      <w:pPr>
        <w:pStyle w:val="Default"/>
        <w:jc w:val="center"/>
        <w:rPr>
          <w:b/>
          <w:bCs/>
          <w:sz w:val="28"/>
          <w:szCs w:val="28"/>
        </w:rPr>
      </w:pPr>
    </w:p>
    <w:p w:rsidR="005F2710" w:rsidRPr="00891173" w:rsidRDefault="005F2710" w:rsidP="005F2710">
      <w:pPr>
        <w:pStyle w:val="Default"/>
        <w:jc w:val="center"/>
        <w:rPr>
          <w:sz w:val="28"/>
          <w:szCs w:val="28"/>
        </w:rPr>
      </w:pPr>
    </w:p>
    <w:p w:rsidR="005F2710" w:rsidRPr="00891173" w:rsidRDefault="005F2710" w:rsidP="00667DC7">
      <w:pPr>
        <w:pStyle w:val="Default"/>
        <w:spacing w:line="276" w:lineRule="auto"/>
        <w:ind w:left="5184" w:firstLine="1479"/>
        <w:rPr>
          <w:b/>
          <w:bCs/>
        </w:rPr>
      </w:pPr>
      <w:r w:rsidRPr="00891173">
        <w:rPr>
          <w:b/>
          <w:bCs/>
        </w:rPr>
        <w:t xml:space="preserve">Vadovė: </w:t>
      </w:r>
    </w:p>
    <w:p w:rsidR="005F2710" w:rsidRPr="00891173" w:rsidRDefault="00012200" w:rsidP="00667DC7">
      <w:pPr>
        <w:pStyle w:val="Default"/>
        <w:tabs>
          <w:tab w:val="left" w:pos="7513"/>
        </w:tabs>
        <w:spacing w:line="276" w:lineRule="auto"/>
      </w:pPr>
      <w:r w:rsidRPr="00891173">
        <w:rPr>
          <w:b/>
          <w:bCs/>
        </w:rPr>
        <w:tab/>
        <w:t>p</w:t>
      </w:r>
      <w:r w:rsidR="00667DC7" w:rsidRPr="00891173">
        <w:rPr>
          <w:b/>
          <w:bCs/>
        </w:rPr>
        <w:t>rof. d</w:t>
      </w:r>
      <w:r w:rsidR="005F2710" w:rsidRPr="00891173">
        <w:rPr>
          <w:b/>
          <w:bCs/>
        </w:rPr>
        <w:t>r. D. Jurevičienė</w:t>
      </w:r>
    </w:p>
    <w:p w:rsidR="005F2710" w:rsidRPr="00891173" w:rsidRDefault="005F2710" w:rsidP="00667DC7">
      <w:pPr>
        <w:spacing w:after="200" w:line="276" w:lineRule="auto"/>
        <w:ind w:firstLine="6663"/>
        <w:rPr>
          <w:b/>
          <w:bCs/>
        </w:rPr>
      </w:pPr>
      <w:r w:rsidRPr="00891173">
        <w:rPr>
          <w:b/>
          <w:bCs/>
        </w:rPr>
        <w:t>2012</w:t>
      </w:r>
      <w:r w:rsidR="005515E1" w:rsidRPr="00891173">
        <w:rPr>
          <w:b/>
          <w:bCs/>
        </w:rPr>
        <w:t xml:space="preserve"> </w:t>
      </w:r>
      <w:r w:rsidRPr="00891173">
        <w:rPr>
          <w:b/>
          <w:bCs/>
        </w:rPr>
        <w:t>12</w:t>
      </w:r>
    </w:p>
    <w:p w:rsidR="005515E1" w:rsidRPr="00891173" w:rsidRDefault="005515E1" w:rsidP="005F2710">
      <w:pPr>
        <w:spacing w:after="200" w:line="276" w:lineRule="auto"/>
        <w:ind w:firstLine="6804"/>
        <w:rPr>
          <w:b/>
          <w:bCs/>
        </w:rPr>
      </w:pPr>
    </w:p>
    <w:p w:rsidR="005515E1" w:rsidRPr="00891173" w:rsidRDefault="005515E1" w:rsidP="00667DC7">
      <w:pPr>
        <w:tabs>
          <w:tab w:val="left" w:pos="6663"/>
        </w:tabs>
        <w:spacing w:line="276" w:lineRule="auto"/>
        <w:ind w:firstLine="567"/>
        <w:rPr>
          <w:b/>
          <w:bCs/>
        </w:rPr>
      </w:pPr>
      <w:r w:rsidRPr="00891173">
        <w:rPr>
          <w:b/>
          <w:bCs/>
        </w:rPr>
        <w:t>Recenzentas</w:t>
      </w:r>
      <w:r w:rsidRPr="00891173">
        <w:rPr>
          <w:b/>
          <w:bCs/>
        </w:rPr>
        <w:tab/>
        <w:t>Atliko</w:t>
      </w:r>
    </w:p>
    <w:p w:rsidR="005515E1" w:rsidRPr="00891173" w:rsidRDefault="005515E1" w:rsidP="00667DC7">
      <w:pPr>
        <w:tabs>
          <w:tab w:val="left" w:pos="6663"/>
        </w:tabs>
        <w:spacing w:line="276" w:lineRule="auto"/>
        <w:ind w:firstLine="567"/>
        <w:rPr>
          <w:b/>
          <w:bCs/>
        </w:rPr>
      </w:pPr>
      <w:r w:rsidRPr="00891173">
        <w:rPr>
          <w:b/>
          <w:bCs/>
        </w:rPr>
        <w:tab/>
        <w:t>FRmns1-01 gr. stud.</w:t>
      </w:r>
    </w:p>
    <w:p w:rsidR="005515E1" w:rsidRPr="00891173" w:rsidRDefault="005515E1" w:rsidP="00667DC7">
      <w:pPr>
        <w:tabs>
          <w:tab w:val="left" w:pos="7513"/>
        </w:tabs>
        <w:spacing w:line="276" w:lineRule="auto"/>
        <w:ind w:firstLine="567"/>
        <w:rPr>
          <w:b/>
          <w:bCs/>
        </w:rPr>
      </w:pPr>
      <w:r w:rsidRPr="00891173">
        <w:rPr>
          <w:b/>
          <w:bCs/>
        </w:rPr>
        <w:t>2012 12</w:t>
      </w:r>
      <w:r w:rsidRPr="00891173">
        <w:rPr>
          <w:b/>
          <w:bCs/>
        </w:rPr>
        <w:tab/>
        <w:t>E. Vaičiulionytė</w:t>
      </w:r>
    </w:p>
    <w:p w:rsidR="005515E1" w:rsidRPr="00891173" w:rsidRDefault="005515E1" w:rsidP="00667DC7">
      <w:pPr>
        <w:tabs>
          <w:tab w:val="left" w:pos="6663"/>
        </w:tabs>
        <w:spacing w:line="276" w:lineRule="auto"/>
        <w:ind w:firstLine="567"/>
        <w:rPr>
          <w:b/>
          <w:bCs/>
        </w:rPr>
      </w:pPr>
      <w:r w:rsidRPr="00891173">
        <w:rPr>
          <w:b/>
          <w:bCs/>
        </w:rPr>
        <w:tab/>
        <w:t>2012 12 18</w:t>
      </w:r>
      <w:r w:rsidRPr="00891173">
        <w:rPr>
          <w:b/>
          <w:bCs/>
        </w:rPr>
        <w:tab/>
      </w:r>
    </w:p>
    <w:p w:rsidR="005F2710" w:rsidRPr="00891173" w:rsidRDefault="005F2710" w:rsidP="005F2710">
      <w:pPr>
        <w:spacing w:after="200" w:line="276" w:lineRule="auto"/>
        <w:rPr>
          <w:b/>
          <w:bCs/>
          <w:sz w:val="28"/>
          <w:szCs w:val="28"/>
        </w:rPr>
      </w:pPr>
    </w:p>
    <w:p w:rsidR="005F2710" w:rsidRPr="00891173" w:rsidRDefault="005F2710" w:rsidP="005F2710">
      <w:pPr>
        <w:spacing w:after="200" w:line="276" w:lineRule="auto"/>
        <w:rPr>
          <w:b/>
          <w:bCs/>
          <w:sz w:val="28"/>
          <w:szCs w:val="28"/>
        </w:rPr>
      </w:pPr>
    </w:p>
    <w:p w:rsidR="005F2710" w:rsidRPr="00891173" w:rsidRDefault="005F2710" w:rsidP="005F2710">
      <w:pPr>
        <w:spacing w:after="200" w:line="276" w:lineRule="auto"/>
        <w:rPr>
          <w:b/>
          <w:bCs/>
          <w:sz w:val="28"/>
          <w:szCs w:val="28"/>
        </w:rPr>
      </w:pPr>
    </w:p>
    <w:p w:rsidR="00667DC7" w:rsidRPr="00891173" w:rsidRDefault="00667DC7" w:rsidP="005F2710">
      <w:pPr>
        <w:spacing w:after="200" w:line="276" w:lineRule="auto"/>
        <w:rPr>
          <w:b/>
          <w:bCs/>
          <w:sz w:val="28"/>
          <w:szCs w:val="28"/>
        </w:rPr>
      </w:pPr>
    </w:p>
    <w:p w:rsidR="00667DC7" w:rsidRPr="00891173" w:rsidRDefault="005F2710" w:rsidP="00667DC7">
      <w:pPr>
        <w:spacing w:after="200" w:line="276" w:lineRule="auto"/>
        <w:jc w:val="center"/>
        <w:rPr>
          <w:b/>
          <w:bCs/>
          <w:sz w:val="28"/>
          <w:szCs w:val="28"/>
        </w:rPr>
      </w:pPr>
      <w:r w:rsidRPr="00891173">
        <w:rPr>
          <w:b/>
          <w:bCs/>
          <w:sz w:val="28"/>
          <w:szCs w:val="28"/>
        </w:rPr>
        <w:t>VILNIUS, 2012</w:t>
      </w:r>
    </w:p>
    <w:p w:rsidR="007C68AF" w:rsidRPr="00891173" w:rsidRDefault="00676026" w:rsidP="007C68AF">
      <w:pPr>
        <w:pStyle w:val="TOCHeading"/>
        <w:jc w:val="center"/>
        <w:rPr>
          <w:rFonts w:ascii="Times New Roman" w:hAnsi="Times New Roman" w:cs="Times New Roman"/>
          <w:color w:val="auto"/>
          <w:sz w:val="24"/>
          <w:szCs w:val="24"/>
          <w:lang w:val="lt-LT"/>
        </w:rPr>
      </w:pPr>
      <w:r w:rsidRPr="00891173">
        <w:rPr>
          <w:rFonts w:ascii="Times New Roman" w:hAnsi="Times New Roman" w:cs="Times New Roman"/>
          <w:color w:val="auto"/>
          <w:sz w:val="24"/>
          <w:szCs w:val="24"/>
          <w:lang w:val="lt-LT"/>
        </w:rPr>
        <w:lastRenderedPageBreak/>
        <w:t>TURINYS</w:t>
      </w:r>
    </w:p>
    <w:sdt>
      <w:sdtPr>
        <w:id w:val="11781108"/>
        <w:docPartObj>
          <w:docPartGallery w:val="Table of Contents"/>
          <w:docPartUnique/>
        </w:docPartObj>
      </w:sdtPr>
      <w:sdtContent>
        <w:p w:rsidR="007C68AF" w:rsidRPr="00891173" w:rsidRDefault="007C68AF" w:rsidP="007C68AF">
          <w:pPr>
            <w:spacing w:after="200" w:line="276" w:lineRule="auto"/>
            <w:jc w:val="center"/>
          </w:pPr>
        </w:p>
        <w:p w:rsidR="00315A3B" w:rsidRPr="00891173" w:rsidRDefault="00D13548">
          <w:pPr>
            <w:pStyle w:val="TOC1"/>
            <w:tabs>
              <w:tab w:val="right" w:leader="dot" w:pos="9911"/>
            </w:tabs>
            <w:rPr>
              <w:rFonts w:asciiTheme="minorHAnsi" w:eastAsiaTheme="minorEastAsia" w:hAnsiTheme="minorHAnsi" w:cstheme="minorBidi"/>
              <w:noProof/>
              <w:sz w:val="22"/>
              <w:szCs w:val="22"/>
            </w:rPr>
          </w:pPr>
          <w:r w:rsidRPr="00891173">
            <w:fldChar w:fldCharType="begin"/>
          </w:r>
          <w:r w:rsidR="007C68AF" w:rsidRPr="00891173">
            <w:instrText xml:space="preserve"> TOC \o "1-5" \h \z \u </w:instrText>
          </w:r>
          <w:r w:rsidRPr="00891173">
            <w:fldChar w:fldCharType="separate"/>
          </w:r>
          <w:hyperlink w:anchor="_Toc343601992" w:history="1">
            <w:r w:rsidR="00315A3B" w:rsidRPr="00891173">
              <w:rPr>
                <w:rStyle w:val="Hyperlink"/>
                <w:noProof/>
              </w:rPr>
              <w:t>ĮVADAS</w:t>
            </w:r>
            <w:r w:rsidR="00315A3B" w:rsidRPr="00891173">
              <w:rPr>
                <w:noProof/>
                <w:webHidden/>
              </w:rPr>
              <w:tab/>
            </w:r>
            <w:r w:rsidRPr="00891173">
              <w:rPr>
                <w:noProof/>
                <w:webHidden/>
              </w:rPr>
              <w:fldChar w:fldCharType="begin"/>
            </w:r>
            <w:r w:rsidR="00315A3B" w:rsidRPr="00891173">
              <w:rPr>
                <w:noProof/>
                <w:webHidden/>
              </w:rPr>
              <w:instrText xml:space="preserve"> PAGEREF _Toc343601992 \h </w:instrText>
            </w:r>
            <w:r w:rsidRPr="00891173">
              <w:rPr>
                <w:noProof/>
                <w:webHidden/>
              </w:rPr>
            </w:r>
            <w:r w:rsidRPr="00891173">
              <w:rPr>
                <w:noProof/>
                <w:webHidden/>
              </w:rPr>
              <w:fldChar w:fldCharType="separate"/>
            </w:r>
            <w:r w:rsidR="000E1A39">
              <w:rPr>
                <w:noProof/>
                <w:webHidden/>
              </w:rPr>
              <w:t>6</w:t>
            </w:r>
            <w:r w:rsidRPr="00891173">
              <w:rPr>
                <w:noProof/>
                <w:webHidden/>
              </w:rPr>
              <w:fldChar w:fldCharType="end"/>
            </w:r>
          </w:hyperlink>
        </w:p>
        <w:p w:rsidR="00315A3B" w:rsidRPr="00891173" w:rsidRDefault="00D13548">
          <w:pPr>
            <w:pStyle w:val="TOC2"/>
            <w:rPr>
              <w:rFonts w:asciiTheme="minorHAnsi" w:eastAsiaTheme="minorEastAsia" w:hAnsiTheme="minorHAnsi" w:cstheme="minorBidi"/>
              <w:noProof/>
              <w:sz w:val="22"/>
              <w:szCs w:val="22"/>
            </w:rPr>
          </w:pPr>
          <w:hyperlink w:anchor="_Toc343601993" w:history="1">
            <w:r w:rsidR="00315A3B" w:rsidRPr="00891173">
              <w:rPr>
                <w:rStyle w:val="Hyperlink"/>
                <w:noProof/>
              </w:rPr>
              <w:t>1.</w:t>
            </w:r>
            <w:r w:rsidR="00315A3B" w:rsidRPr="00891173">
              <w:rPr>
                <w:rFonts w:asciiTheme="minorHAnsi" w:eastAsiaTheme="minorEastAsia" w:hAnsiTheme="minorHAnsi" w:cstheme="minorBidi"/>
                <w:noProof/>
                <w:sz w:val="22"/>
                <w:szCs w:val="22"/>
              </w:rPr>
              <w:tab/>
            </w:r>
            <w:r w:rsidR="00315A3B" w:rsidRPr="00891173">
              <w:rPr>
                <w:rStyle w:val="Hyperlink"/>
                <w:noProof/>
              </w:rPr>
              <w:t>INVESTICINIAI FONDAI KONCEPTUALIU POŽIŪRIU</w:t>
            </w:r>
            <w:r w:rsidR="00315A3B" w:rsidRPr="00891173">
              <w:rPr>
                <w:noProof/>
                <w:webHidden/>
              </w:rPr>
              <w:tab/>
            </w:r>
            <w:r w:rsidRPr="00891173">
              <w:rPr>
                <w:noProof/>
                <w:webHidden/>
              </w:rPr>
              <w:fldChar w:fldCharType="begin"/>
            </w:r>
            <w:r w:rsidR="00315A3B" w:rsidRPr="00891173">
              <w:rPr>
                <w:noProof/>
                <w:webHidden/>
              </w:rPr>
              <w:instrText xml:space="preserve"> PAGEREF _Toc343601993 \h </w:instrText>
            </w:r>
            <w:r w:rsidRPr="00891173">
              <w:rPr>
                <w:noProof/>
                <w:webHidden/>
              </w:rPr>
            </w:r>
            <w:r w:rsidRPr="00891173">
              <w:rPr>
                <w:noProof/>
                <w:webHidden/>
              </w:rPr>
              <w:fldChar w:fldCharType="separate"/>
            </w:r>
            <w:r w:rsidR="000E1A39">
              <w:rPr>
                <w:noProof/>
                <w:webHidden/>
              </w:rPr>
              <w:t>8</w:t>
            </w:r>
            <w:r w:rsidRPr="00891173">
              <w:rPr>
                <w:noProof/>
                <w:webHidden/>
              </w:rPr>
              <w:fldChar w:fldCharType="end"/>
            </w:r>
          </w:hyperlink>
        </w:p>
        <w:p w:rsidR="00315A3B" w:rsidRPr="00891173" w:rsidRDefault="00D13548" w:rsidP="00315A3B">
          <w:pPr>
            <w:pStyle w:val="TOC3"/>
            <w:tabs>
              <w:tab w:val="left" w:pos="993"/>
              <w:tab w:val="right" w:leader="dot" w:pos="9911"/>
            </w:tabs>
            <w:ind w:left="426"/>
            <w:rPr>
              <w:rFonts w:asciiTheme="minorHAnsi" w:eastAsiaTheme="minorEastAsia" w:hAnsiTheme="minorHAnsi" w:cstheme="minorBidi"/>
              <w:noProof/>
              <w:sz w:val="22"/>
              <w:szCs w:val="22"/>
            </w:rPr>
          </w:pPr>
          <w:hyperlink w:anchor="_Toc343601994" w:history="1">
            <w:r w:rsidR="00315A3B" w:rsidRPr="00891173">
              <w:rPr>
                <w:rStyle w:val="Hyperlink"/>
                <w:noProof/>
              </w:rPr>
              <w:t>1.1.</w:t>
            </w:r>
            <w:r w:rsidR="00315A3B" w:rsidRPr="00891173">
              <w:rPr>
                <w:rFonts w:asciiTheme="minorHAnsi" w:eastAsiaTheme="minorEastAsia" w:hAnsiTheme="minorHAnsi" w:cstheme="minorBidi"/>
                <w:noProof/>
                <w:sz w:val="22"/>
                <w:szCs w:val="22"/>
              </w:rPr>
              <w:tab/>
            </w:r>
            <w:r w:rsidR="00315A3B" w:rsidRPr="00891173">
              <w:rPr>
                <w:rStyle w:val="Hyperlink"/>
                <w:noProof/>
              </w:rPr>
              <w:t>Investicinių fondų ypatumai</w:t>
            </w:r>
            <w:r w:rsidR="00315A3B" w:rsidRPr="00891173">
              <w:rPr>
                <w:noProof/>
                <w:webHidden/>
              </w:rPr>
              <w:tab/>
            </w:r>
            <w:r w:rsidRPr="00891173">
              <w:rPr>
                <w:noProof/>
                <w:webHidden/>
              </w:rPr>
              <w:fldChar w:fldCharType="begin"/>
            </w:r>
            <w:r w:rsidR="00315A3B" w:rsidRPr="00891173">
              <w:rPr>
                <w:noProof/>
                <w:webHidden/>
              </w:rPr>
              <w:instrText xml:space="preserve"> PAGEREF _Toc343601994 \h </w:instrText>
            </w:r>
            <w:r w:rsidRPr="00891173">
              <w:rPr>
                <w:noProof/>
                <w:webHidden/>
              </w:rPr>
            </w:r>
            <w:r w:rsidRPr="00891173">
              <w:rPr>
                <w:noProof/>
                <w:webHidden/>
              </w:rPr>
              <w:fldChar w:fldCharType="separate"/>
            </w:r>
            <w:r w:rsidR="000E1A39">
              <w:rPr>
                <w:noProof/>
                <w:webHidden/>
              </w:rPr>
              <w:t>8</w:t>
            </w:r>
            <w:r w:rsidRPr="00891173">
              <w:rPr>
                <w:noProof/>
                <w:webHidden/>
              </w:rPr>
              <w:fldChar w:fldCharType="end"/>
            </w:r>
          </w:hyperlink>
        </w:p>
        <w:p w:rsidR="00315A3B" w:rsidRPr="00891173" w:rsidRDefault="00D13548" w:rsidP="00315A3B">
          <w:pPr>
            <w:pStyle w:val="TOC3"/>
            <w:tabs>
              <w:tab w:val="left" w:pos="993"/>
              <w:tab w:val="right" w:leader="dot" w:pos="9911"/>
            </w:tabs>
            <w:ind w:left="426"/>
            <w:rPr>
              <w:rFonts w:asciiTheme="minorHAnsi" w:eastAsiaTheme="minorEastAsia" w:hAnsiTheme="minorHAnsi" w:cstheme="minorBidi"/>
              <w:noProof/>
              <w:sz w:val="22"/>
              <w:szCs w:val="22"/>
            </w:rPr>
          </w:pPr>
          <w:hyperlink w:anchor="_Toc343601995" w:history="1">
            <w:r w:rsidR="00315A3B" w:rsidRPr="00891173">
              <w:rPr>
                <w:rStyle w:val="Hyperlink"/>
                <w:noProof/>
              </w:rPr>
              <w:t>1.2.</w:t>
            </w:r>
            <w:r w:rsidR="00315A3B" w:rsidRPr="00891173">
              <w:rPr>
                <w:rFonts w:asciiTheme="minorHAnsi" w:eastAsiaTheme="minorEastAsia" w:hAnsiTheme="minorHAnsi" w:cstheme="minorBidi"/>
                <w:noProof/>
                <w:sz w:val="22"/>
                <w:szCs w:val="22"/>
              </w:rPr>
              <w:tab/>
            </w:r>
            <w:r w:rsidR="00315A3B" w:rsidRPr="00891173">
              <w:rPr>
                <w:rStyle w:val="Hyperlink"/>
                <w:noProof/>
              </w:rPr>
              <w:t>Investicinių fondų klasifikacija</w:t>
            </w:r>
            <w:r w:rsidR="00315A3B" w:rsidRPr="00891173">
              <w:rPr>
                <w:noProof/>
                <w:webHidden/>
              </w:rPr>
              <w:tab/>
            </w:r>
            <w:r w:rsidRPr="00891173">
              <w:rPr>
                <w:noProof/>
                <w:webHidden/>
              </w:rPr>
              <w:fldChar w:fldCharType="begin"/>
            </w:r>
            <w:r w:rsidR="00315A3B" w:rsidRPr="00891173">
              <w:rPr>
                <w:noProof/>
                <w:webHidden/>
              </w:rPr>
              <w:instrText xml:space="preserve"> PAGEREF _Toc343601995 \h </w:instrText>
            </w:r>
            <w:r w:rsidRPr="00891173">
              <w:rPr>
                <w:noProof/>
                <w:webHidden/>
              </w:rPr>
            </w:r>
            <w:r w:rsidRPr="00891173">
              <w:rPr>
                <w:noProof/>
                <w:webHidden/>
              </w:rPr>
              <w:fldChar w:fldCharType="separate"/>
            </w:r>
            <w:r w:rsidR="000E1A39">
              <w:rPr>
                <w:noProof/>
                <w:webHidden/>
              </w:rPr>
              <w:t>11</w:t>
            </w:r>
            <w:r w:rsidRPr="00891173">
              <w:rPr>
                <w:noProof/>
                <w:webHidden/>
              </w:rPr>
              <w:fldChar w:fldCharType="end"/>
            </w:r>
          </w:hyperlink>
        </w:p>
        <w:p w:rsidR="00315A3B" w:rsidRPr="00891173" w:rsidRDefault="00D13548" w:rsidP="00315A3B">
          <w:pPr>
            <w:pStyle w:val="TOC3"/>
            <w:tabs>
              <w:tab w:val="left" w:pos="993"/>
              <w:tab w:val="right" w:leader="dot" w:pos="9911"/>
            </w:tabs>
            <w:ind w:left="426"/>
            <w:rPr>
              <w:rFonts w:asciiTheme="minorHAnsi" w:eastAsiaTheme="minorEastAsia" w:hAnsiTheme="minorHAnsi" w:cstheme="minorBidi"/>
              <w:noProof/>
              <w:sz w:val="22"/>
              <w:szCs w:val="22"/>
            </w:rPr>
          </w:pPr>
          <w:hyperlink w:anchor="_Toc343601996" w:history="1">
            <w:r w:rsidR="00315A3B" w:rsidRPr="00891173">
              <w:rPr>
                <w:rStyle w:val="Hyperlink"/>
                <w:noProof/>
              </w:rPr>
              <w:t>1.3.</w:t>
            </w:r>
            <w:r w:rsidR="00315A3B" w:rsidRPr="00891173">
              <w:rPr>
                <w:rFonts w:asciiTheme="minorHAnsi" w:eastAsiaTheme="minorEastAsia" w:hAnsiTheme="minorHAnsi" w:cstheme="minorBidi"/>
                <w:noProof/>
                <w:sz w:val="22"/>
                <w:szCs w:val="22"/>
              </w:rPr>
              <w:tab/>
            </w:r>
            <w:r w:rsidR="00315A3B" w:rsidRPr="00891173">
              <w:rPr>
                <w:rStyle w:val="Hyperlink"/>
                <w:noProof/>
              </w:rPr>
              <w:t>Investicinių fondų pasirinkimo metodai</w:t>
            </w:r>
            <w:r w:rsidR="00315A3B" w:rsidRPr="00891173">
              <w:rPr>
                <w:noProof/>
                <w:webHidden/>
              </w:rPr>
              <w:tab/>
            </w:r>
            <w:r w:rsidRPr="00891173">
              <w:rPr>
                <w:noProof/>
                <w:webHidden/>
              </w:rPr>
              <w:fldChar w:fldCharType="begin"/>
            </w:r>
            <w:r w:rsidR="00315A3B" w:rsidRPr="00891173">
              <w:rPr>
                <w:noProof/>
                <w:webHidden/>
              </w:rPr>
              <w:instrText xml:space="preserve"> PAGEREF _Toc343601996 \h </w:instrText>
            </w:r>
            <w:r w:rsidRPr="00891173">
              <w:rPr>
                <w:noProof/>
                <w:webHidden/>
              </w:rPr>
            </w:r>
            <w:r w:rsidRPr="00891173">
              <w:rPr>
                <w:noProof/>
                <w:webHidden/>
              </w:rPr>
              <w:fldChar w:fldCharType="separate"/>
            </w:r>
            <w:r w:rsidR="000E1A39">
              <w:rPr>
                <w:noProof/>
                <w:webHidden/>
              </w:rPr>
              <w:t>18</w:t>
            </w:r>
            <w:r w:rsidRPr="00891173">
              <w:rPr>
                <w:noProof/>
                <w:webHidden/>
              </w:rPr>
              <w:fldChar w:fldCharType="end"/>
            </w:r>
          </w:hyperlink>
        </w:p>
        <w:p w:rsidR="00315A3B" w:rsidRPr="00891173" w:rsidRDefault="00D13548" w:rsidP="00315A3B">
          <w:pPr>
            <w:pStyle w:val="TOC3"/>
            <w:tabs>
              <w:tab w:val="left" w:pos="993"/>
              <w:tab w:val="right" w:leader="dot" w:pos="9911"/>
            </w:tabs>
            <w:ind w:left="426"/>
            <w:rPr>
              <w:rFonts w:asciiTheme="minorHAnsi" w:eastAsiaTheme="minorEastAsia" w:hAnsiTheme="minorHAnsi" w:cstheme="minorBidi"/>
              <w:noProof/>
              <w:sz w:val="22"/>
              <w:szCs w:val="22"/>
            </w:rPr>
          </w:pPr>
          <w:hyperlink w:anchor="_Toc343601997" w:history="1">
            <w:r w:rsidR="00315A3B" w:rsidRPr="00891173">
              <w:rPr>
                <w:rStyle w:val="Hyperlink"/>
                <w:noProof/>
              </w:rPr>
              <w:t>1.4.</w:t>
            </w:r>
            <w:r w:rsidR="00315A3B" w:rsidRPr="00891173">
              <w:rPr>
                <w:rFonts w:asciiTheme="minorHAnsi" w:eastAsiaTheme="minorEastAsia" w:hAnsiTheme="minorHAnsi" w:cstheme="minorBidi"/>
                <w:noProof/>
                <w:sz w:val="22"/>
                <w:szCs w:val="22"/>
              </w:rPr>
              <w:tab/>
            </w:r>
            <w:r w:rsidR="00315A3B" w:rsidRPr="00891173">
              <w:rPr>
                <w:rStyle w:val="Hyperlink"/>
                <w:noProof/>
              </w:rPr>
              <w:t>Investicinių fondų veiklos vertinimo metodai</w:t>
            </w:r>
            <w:r w:rsidR="00315A3B" w:rsidRPr="00891173">
              <w:rPr>
                <w:noProof/>
                <w:webHidden/>
              </w:rPr>
              <w:tab/>
            </w:r>
            <w:r w:rsidRPr="00891173">
              <w:rPr>
                <w:noProof/>
                <w:webHidden/>
              </w:rPr>
              <w:fldChar w:fldCharType="begin"/>
            </w:r>
            <w:r w:rsidR="00315A3B" w:rsidRPr="00891173">
              <w:rPr>
                <w:noProof/>
                <w:webHidden/>
              </w:rPr>
              <w:instrText xml:space="preserve"> PAGEREF _Toc343601997 \h </w:instrText>
            </w:r>
            <w:r w:rsidRPr="00891173">
              <w:rPr>
                <w:noProof/>
                <w:webHidden/>
              </w:rPr>
            </w:r>
            <w:r w:rsidRPr="00891173">
              <w:rPr>
                <w:noProof/>
                <w:webHidden/>
              </w:rPr>
              <w:fldChar w:fldCharType="separate"/>
            </w:r>
            <w:r w:rsidR="000E1A39">
              <w:rPr>
                <w:noProof/>
                <w:webHidden/>
              </w:rPr>
              <w:t>21</w:t>
            </w:r>
            <w:r w:rsidRPr="00891173">
              <w:rPr>
                <w:noProof/>
                <w:webHidden/>
              </w:rPr>
              <w:fldChar w:fldCharType="end"/>
            </w:r>
          </w:hyperlink>
        </w:p>
        <w:p w:rsidR="00315A3B" w:rsidRPr="00891173" w:rsidRDefault="00D13548">
          <w:pPr>
            <w:pStyle w:val="TOC2"/>
            <w:rPr>
              <w:rFonts w:asciiTheme="minorHAnsi" w:eastAsiaTheme="minorEastAsia" w:hAnsiTheme="minorHAnsi" w:cstheme="minorBidi"/>
              <w:noProof/>
              <w:sz w:val="22"/>
              <w:szCs w:val="22"/>
            </w:rPr>
          </w:pPr>
          <w:hyperlink w:anchor="_Toc343601998" w:history="1">
            <w:r w:rsidR="00315A3B" w:rsidRPr="00891173">
              <w:rPr>
                <w:rStyle w:val="Hyperlink"/>
                <w:noProof/>
              </w:rPr>
              <w:t>2.</w:t>
            </w:r>
            <w:r w:rsidR="00315A3B" w:rsidRPr="00891173">
              <w:rPr>
                <w:rFonts w:asciiTheme="minorHAnsi" w:eastAsiaTheme="minorEastAsia" w:hAnsiTheme="minorHAnsi" w:cstheme="minorBidi"/>
                <w:noProof/>
                <w:sz w:val="22"/>
                <w:szCs w:val="22"/>
              </w:rPr>
              <w:tab/>
            </w:r>
            <w:r w:rsidR="00315A3B" w:rsidRPr="00891173">
              <w:rPr>
                <w:rStyle w:val="Hyperlink"/>
                <w:noProof/>
              </w:rPr>
              <w:t>TYRIMO METODIKA</w:t>
            </w:r>
            <w:r w:rsidR="00315A3B" w:rsidRPr="00891173">
              <w:rPr>
                <w:noProof/>
                <w:webHidden/>
              </w:rPr>
              <w:tab/>
            </w:r>
            <w:r w:rsidRPr="00891173">
              <w:rPr>
                <w:noProof/>
                <w:webHidden/>
              </w:rPr>
              <w:fldChar w:fldCharType="begin"/>
            </w:r>
            <w:r w:rsidR="00315A3B" w:rsidRPr="00891173">
              <w:rPr>
                <w:noProof/>
                <w:webHidden/>
              </w:rPr>
              <w:instrText xml:space="preserve"> PAGEREF _Toc343601998 \h </w:instrText>
            </w:r>
            <w:r w:rsidRPr="00891173">
              <w:rPr>
                <w:noProof/>
                <w:webHidden/>
              </w:rPr>
            </w:r>
            <w:r w:rsidRPr="00891173">
              <w:rPr>
                <w:noProof/>
                <w:webHidden/>
              </w:rPr>
              <w:fldChar w:fldCharType="separate"/>
            </w:r>
            <w:r w:rsidR="000E1A39">
              <w:rPr>
                <w:noProof/>
                <w:webHidden/>
              </w:rPr>
              <w:t>25</w:t>
            </w:r>
            <w:r w:rsidRPr="00891173">
              <w:rPr>
                <w:noProof/>
                <w:webHidden/>
              </w:rPr>
              <w:fldChar w:fldCharType="end"/>
            </w:r>
          </w:hyperlink>
        </w:p>
        <w:p w:rsidR="00315A3B" w:rsidRPr="00891173" w:rsidRDefault="00D13548">
          <w:pPr>
            <w:pStyle w:val="TOC2"/>
            <w:rPr>
              <w:rFonts w:asciiTheme="minorHAnsi" w:eastAsiaTheme="minorEastAsia" w:hAnsiTheme="minorHAnsi" w:cstheme="minorBidi"/>
              <w:noProof/>
              <w:sz w:val="22"/>
              <w:szCs w:val="22"/>
            </w:rPr>
          </w:pPr>
          <w:hyperlink w:anchor="_Toc343601999" w:history="1">
            <w:r w:rsidR="00315A3B" w:rsidRPr="00891173">
              <w:rPr>
                <w:rStyle w:val="Hyperlink"/>
                <w:noProof/>
              </w:rPr>
              <w:t>3.</w:t>
            </w:r>
            <w:r w:rsidR="00315A3B" w:rsidRPr="00891173">
              <w:rPr>
                <w:rFonts w:asciiTheme="minorHAnsi" w:eastAsiaTheme="minorEastAsia" w:hAnsiTheme="minorHAnsi" w:cstheme="minorBidi"/>
                <w:noProof/>
                <w:sz w:val="22"/>
                <w:szCs w:val="22"/>
              </w:rPr>
              <w:tab/>
            </w:r>
            <w:r w:rsidR="00315A3B" w:rsidRPr="00891173">
              <w:rPr>
                <w:rStyle w:val="Hyperlink"/>
                <w:noProof/>
              </w:rPr>
              <w:t>LIETUVOS INVESTICINIŲ FONDŲ VERTINIMAS</w:t>
            </w:r>
            <w:r w:rsidR="00315A3B" w:rsidRPr="00891173">
              <w:rPr>
                <w:noProof/>
                <w:webHidden/>
              </w:rPr>
              <w:tab/>
            </w:r>
            <w:r w:rsidRPr="00891173">
              <w:rPr>
                <w:noProof/>
                <w:webHidden/>
              </w:rPr>
              <w:fldChar w:fldCharType="begin"/>
            </w:r>
            <w:r w:rsidR="00315A3B" w:rsidRPr="00891173">
              <w:rPr>
                <w:noProof/>
                <w:webHidden/>
              </w:rPr>
              <w:instrText xml:space="preserve"> PAGEREF _Toc343601999 \h </w:instrText>
            </w:r>
            <w:r w:rsidRPr="00891173">
              <w:rPr>
                <w:noProof/>
                <w:webHidden/>
              </w:rPr>
            </w:r>
            <w:r w:rsidRPr="00891173">
              <w:rPr>
                <w:noProof/>
                <w:webHidden/>
              </w:rPr>
              <w:fldChar w:fldCharType="separate"/>
            </w:r>
            <w:r w:rsidR="000E1A39">
              <w:rPr>
                <w:noProof/>
                <w:webHidden/>
              </w:rPr>
              <w:t>28</w:t>
            </w:r>
            <w:r w:rsidRPr="00891173">
              <w:rPr>
                <w:noProof/>
                <w:webHidden/>
              </w:rPr>
              <w:fldChar w:fldCharType="end"/>
            </w:r>
          </w:hyperlink>
        </w:p>
        <w:p w:rsidR="00315A3B" w:rsidRPr="00891173" w:rsidRDefault="00D13548" w:rsidP="00315A3B">
          <w:pPr>
            <w:pStyle w:val="TOC4"/>
            <w:tabs>
              <w:tab w:val="left" w:pos="993"/>
              <w:tab w:val="right" w:leader="dot" w:pos="9911"/>
            </w:tabs>
            <w:ind w:left="0" w:firstLine="426"/>
            <w:rPr>
              <w:rFonts w:asciiTheme="minorHAnsi" w:eastAsiaTheme="minorEastAsia" w:hAnsiTheme="minorHAnsi" w:cstheme="minorBidi"/>
              <w:noProof/>
              <w:sz w:val="22"/>
              <w:szCs w:val="22"/>
            </w:rPr>
          </w:pPr>
          <w:hyperlink w:anchor="_Toc343602000" w:history="1">
            <w:r w:rsidR="00315A3B" w:rsidRPr="00891173">
              <w:rPr>
                <w:rStyle w:val="Hyperlink"/>
                <w:noProof/>
              </w:rPr>
              <w:t>3.1.</w:t>
            </w:r>
            <w:r w:rsidR="00315A3B" w:rsidRPr="00891173">
              <w:rPr>
                <w:rFonts w:asciiTheme="minorHAnsi" w:eastAsiaTheme="minorEastAsia" w:hAnsiTheme="minorHAnsi" w:cstheme="minorBidi"/>
                <w:noProof/>
                <w:sz w:val="22"/>
                <w:szCs w:val="22"/>
              </w:rPr>
              <w:tab/>
            </w:r>
            <w:r w:rsidR="00315A3B" w:rsidRPr="00891173">
              <w:rPr>
                <w:rStyle w:val="Hyperlink"/>
                <w:noProof/>
              </w:rPr>
              <w:t>Lietuvos investicinių fondų veiklos reguliavimas</w:t>
            </w:r>
            <w:r w:rsidR="00315A3B" w:rsidRPr="00891173">
              <w:rPr>
                <w:noProof/>
                <w:webHidden/>
              </w:rPr>
              <w:tab/>
            </w:r>
            <w:r w:rsidRPr="00891173">
              <w:rPr>
                <w:noProof/>
                <w:webHidden/>
              </w:rPr>
              <w:fldChar w:fldCharType="begin"/>
            </w:r>
            <w:r w:rsidR="00315A3B" w:rsidRPr="00891173">
              <w:rPr>
                <w:noProof/>
                <w:webHidden/>
              </w:rPr>
              <w:instrText xml:space="preserve"> PAGEREF _Toc343602000 \h </w:instrText>
            </w:r>
            <w:r w:rsidRPr="00891173">
              <w:rPr>
                <w:noProof/>
                <w:webHidden/>
              </w:rPr>
            </w:r>
            <w:r w:rsidRPr="00891173">
              <w:rPr>
                <w:noProof/>
                <w:webHidden/>
              </w:rPr>
              <w:fldChar w:fldCharType="separate"/>
            </w:r>
            <w:r w:rsidR="000E1A39">
              <w:rPr>
                <w:noProof/>
                <w:webHidden/>
              </w:rPr>
              <w:t>28</w:t>
            </w:r>
            <w:r w:rsidRPr="00891173">
              <w:rPr>
                <w:noProof/>
                <w:webHidden/>
              </w:rPr>
              <w:fldChar w:fldCharType="end"/>
            </w:r>
          </w:hyperlink>
        </w:p>
        <w:p w:rsidR="00315A3B" w:rsidRPr="00891173" w:rsidRDefault="00D13548" w:rsidP="00315A3B">
          <w:pPr>
            <w:pStyle w:val="TOC4"/>
            <w:tabs>
              <w:tab w:val="left" w:pos="993"/>
              <w:tab w:val="right" w:leader="dot" w:pos="9911"/>
            </w:tabs>
            <w:ind w:left="0" w:firstLine="426"/>
            <w:rPr>
              <w:rFonts w:asciiTheme="minorHAnsi" w:eastAsiaTheme="minorEastAsia" w:hAnsiTheme="minorHAnsi" w:cstheme="minorBidi"/>
              <w:noProof/>
              <w:sz w:val="22"/>
              <w:szCs w:val="22"/>
            </w:rPr>
          </w:pPr>
          <w:hyperlink w:anchor="_Toc343602001" w:history="1">
            <w:r w:rsidR="00315A3B" w:rsidRPr="00891173">
              <w:rPr>
                <w:rStyle w:val="Hyperlink"/>
                <w:noProof/>
              </w:rPr>
              <w:t>3.2.</w:t>
            </w:r>
            <w:r w:rsidR="00315A3B" w:rsidRPr="00891173">
              <w:rPr>
                <w:rFonts w:asciiTheme="minorHAnsi" w:eastAsiaTheme="minorEastAsia" w:hAnsiTheme="minorHAnsi" w:cstheme="minorBidi"/>
                <w:noProof/>
                <w:sz w:val="22"/>
                <w:szCs w:val="22"/>
              </w:rPr>
              <w:tab/>
            </w:r>
            <w:r w:rsidR="00315A3B" w:rsidRPr="00891173">
              <w:rPr>
                <w:rStyle w:val="Hyperlink"/>
                <w:noProof/>
              </w:rPr>
              <w:t>Lietuvos investicinių fondų rinkos dinamika</w:t>
            </w:r>
            <w:r w:rsidR="00315A3B" w:rsidRPr="00891173">
              <w:rPr>
                <w:noProof/>
                <w:webHidden/>
              </w:rPr>
              <w:tab/>
            </w:r>
            <w:r w:rsidRPr="00891173">
              <w:rPr>
                <w:noProof/>
                <w:webHidden/>
              </w:rPr>
              <w:fldChar w:fldCharType="begin"/>
            </w:r>
            <w:r w:rsidR="00315A3B" w:rsidRPr="00891173">
              <w:rPr>
                <w:noProof/>
                <w:webHidden/>
              </w:rPr>
              <w:instrText xml:space="preserve"> PAGEREF _Toc343602001 \h </w:instrText>
            </w:r>
            <w:r w:rsidRPr="00891173">
              <w:rPr>
                <w:noProof/>
                <w:webHidden/>
              </w:rPr>
            </w:r>
            <w:r w:rsidRPr="00891173">
              <w:rPr>
                <w:noProof/>
                <w:webHidden/>
              </w:rPr>
              <w:fldChar w:fldCharType="separate"/>
            </w:r>
            <w:r w:rsidR="000E1A39">
              <w:rPr>
                <w:noProof/>
                <w:webHidden/>
              </w:rPr>
              <w:t>29</w:t>
            </w:r>
            <w:r w:rsidRPr="00891173">
              <w:rPr>
                <w:noProof/>
                <w:webHidden/>
              </w:rPr>
              <w:fldChar w:fldCharType="end"/>
            </w:r>
          </w:hyperlink>
        </w:p>
        <w:p w:rsidR="00315A3B" w:rsidRPr="00891173" w:rsidRDefault="00D13548" w:rsidP="00315A3B">
          <w:pPr>
            <w:pStyle w:val="TOC4"/>
            <w:tabs>
              <w:tab w:val="left" w:pos="993"/>
              <w:tab w:val="right" w:leader="dot" w:pos="9911"/>
            </w:tabs>
            <w:ind w:left="0" w:firstLine="426"/>
            <w:rPr>
              <w:rFonts w:asciiTheme="minorHAnsi" w:eastAsiaTheme="minorEastAsia" w:hAnsiTheme="minorHAnsi" w:cstheme="minorBidi"/>
              <w:noProof/>
              <w:sz w:val="22"/>
              <w:szCs w:val="22"/>
            </w:rPr>
          </w:pPr>
          <w:hyperlink w:anchor="_Toc343602002" w:history="1">
            <w:r w:rsidR="00315A3B" w:rsidRPr="00891173">
              <w:rPr>
                <w:rStyle w:val="Hyperlink"/>
                <w:noProof/>
              </w:rPr>
              <w:t>3.3.</w:t>
            </w:r>
            <w:r w:rsidR="00315A3B" w:rsidRPr="00891173">
              <w:rPr>
                <w:rFonts w:asciiTheme="minorHAnsi" w:eastAsiaTheme="minorEastAsia" w:hAnsiTheme="minorHAnsi" w:cstheme="minorBidi"/>
                <w:noProof/>
                <w:sz w:val="22"/>
                <w:szCs w:val="22"/>
              </w:rPr>
              <w:tab/>
            </w:r>
            <w:r w:rsidR="00315A3B" w:rsidRPr="00891173">
              <w:rPr>
                <w:rStyle w:val="Hyperlink"/>
                <w:noProof/>
              </w:rPr>
              <w:t>Lietuvos investicijų fondų rinkos pasiskirstymas</w:t>
            </w:r>
            <w:r w:rsidR="00315A3B" w:rsidRPr="00891173">
              <w:rPr>
                <w:noProof/>
                <w:webHidden/>
              </w:rPr>
              <w:tab/>
            </w:r>
            <w:r w:rsidRPr="00891173">
              <w:rPr>
                <w:noProof/>
                <w:webHidden/>
              </w:rPr>
              <w:fldChar w:fldCharType="begin"/>
            </w:r>
            <w:r w:rsidR="00315A3B" w:rsidRPr="00891173">
              <w:rPr>
                <w:noProof/>
                <w:webHidden/>
              </w:rPr>
              <w:instrText xml:space="preserve"> PAGEREF _Toc343602002 \h </w:instrText>
            </w:r>
            <w:r w:rsidRPr="00891173">
              <w:rPr>
                <w:noProof/>
                <w:webHidden/>
              </w:rPr>
            </w:r>
            <w:r w:rsidRPr="00891173">
              <w:rPr>
                <w:noProof/>
                <w:webHidden/>
              </w:rPr>
              <w:fldChar w:fldCharType="separate"/>
            </w:r>
            <w:r w:rsidR="000E1A39">
              <w:rPr>
                <w:noProof/>
                <w:webHidden/>
              </w:rPr>
              <w:t>33</w:t>
            </w:r>
            <w:r w:rsidRPr="00891173">
              <w:rPr>
                <w:noProof/>
                <w:webHidden/>
              </w:rPr>
              <w:fldChar w:fldCharType="end"/>
            </w:r>
          </w:hyperlink>
        </w:p>
        <w:p w:rsidR="00315A3B" w:rsidRPr="00891173" w:rsidRDefault="00D13548" w:rsidP="00315A3B">
          <w:pPr>
            <w:pStyle w:val="TOC4"/>
            <w:tabs>
              <w:tab w:val="left" w:pos="993"/>
              <w:tab w:val="right" w:leader="dot" w:pos="9911"/>
            </w:tabs>
            <w:ind w:left="0" w:firstLine="426"/>
            <w:rPr>
              <w:rFonts w:asciiTheme="minorHAnsi" w:eastAsiaTheme="minorEastAsia" w:hAnsiTheme="minorHAnsi" w:cstheme="minorBidi"/>
              <w:noProof/>
              <w:sz w:val="22"/>
              <w:szCs w:val="22"/>
            </w:rPr>
          </w:pPr>
          <w:hyperlink w:anchor="_Toc343602003" w:history="1">
            <w:r w:rsidR="00315A3B" w:rsidRPr="00891173">
              <w:rPr>
                <w:rStyle w:val="Hyperlink"/>
                <w:noProof/>
              </w:rPr>
              <w:t>3.4.</w:t>
            </w:r>
            <w:r w:rsidR="00315A3B" w:rsidRPr="00891173">
              <w:rPr>
                <w:rFonts w:asciiTheme="minorHAnsi" w:eastAsiaTheme="minorEastAsia" w:hAnsiTheme="minorHAnsi" w:cstheme="minorBidi"/>
                <w:noProof/>
                <w:sz w:val="22"/>
                <w:szCs w:val="22"/>
              </w:rPr>
              <w:tab/>
            </w:r>
            <w:r w:rsidR="00315A3B" w:rsidRPr="00891173">
              <w:rPr>
                <w:rStyle w:val="Hyperlink"/>
                <w:noProof/>
              </w:rPr>
              <w:t>Investicinių fondų vertinimas atsižvelgiant į riziką</w:t>
            </w:r>
            <w:r w:rsidR="00315A3B" w:rsidRPr="00891173">
              <w:rPr>
                <w:noProof/>
                <w:webHidden/>
              </w:rPr>
              <w:tab/>
            </w:r>
            <w:r w:rsidRPr="00891173">
              <w:rPr>
                <w:noProof/>
                <w:webHidden/>
              </w:rPr>
              <w:fldChar w:fldCharType="begin"/>
            </w:r>
            <w:r w:rsidR="00315A3B" w:rsidRPr="00891173">
              <w:rPr>
                <w:noProof/>
                <w:webHidden/>
              </w:rPr>
              <w:instrText xml:space="preserve"> PAGEREF _Toc343602003 \h </w:instrText>
            </w:r>
            <w:r w:rsidRPr="00891173">
              <w:rPr>
                <w:noProof/>
                <w:webHidden/>
              </w:rPr>
            </w:r>
            <w:r w:rsidRPr="00891173">
              <w:rPr>
                <w:noProof/>
                <w:webHidden/>
              </w:rPr>
              <w:fldChar w:fldCharType="separate"/>
            </w:r>
            <w:r w:rsidR="000E1A39">
              <w:rPr>
                <w:noProof/>
                <w:webHidden/>
              </w:rPr>
              <w:t>35</w:t>
            </w:r>
            <w:r w:rsidRPr="00891173">
              <w:rPr>
                <w:noProof/>
                <w:webHidden/>
              </w:rPr>
              <w:fldChar w:fldCharType="end"/>
            </w:r>
          </w:hyperlink>
        </w:p>
        <w:p w:rsidR="00315A3B" w:rsidRPr="00891173" w:rsidRDefault="00D13548" w:rsidP="00315A3B">
          <w:pPr>
            <w:pStyle w:val="TOC4"/>
            <w:tabs>
              <w:tab w:val="left" w:pos="993"/>
              <w:tab w:val="right" w:leader="dot" w:pos="9911"/>
            </w:tabs>
            <w:ind w:left="0" w:firstLine="426"/>
            <w:rPr>
              <w:rFonts w:asciiTheme="minorHAnsi" w:eastAsiaTheme="minorEastAsia" w:hAnsiTheme="minorHAnsi" w:cstheme="minorBidi"/>
              <w:noProof/>
              <w:sz w:val="22"/>
              <w:szCs w:val="22"/>
            </w:rPr>
          </w:pPr>
          <w:hyperlink w:anchor="_Toc343602004" w:history="1">
            <w:r w:rsidR="00315A3B" w:rsidRPr="00891173">
              <w:rPr>
                <w:rStyle w:val="Hyperlink"/>
                <w:noProof/>
              </w:rPr>
              <w:t>3.5.</w:t>
            </w:r>
            <w:r w:rsidR="00315A3B" w:rsidRPr="00891173">
              <w:rPr>
                <w:rFonts w:asciiTheme="minorHAnsi" w:eastAsiaTheme="minorEastAsia" w:hAnsiTheme="minorHAnsi" w:cstheme="minorBidi"/>
                <w:noProof/>
                <w:sz w:val="22"/>
                <w:szCs w:val="22"/>
              </w:rPr>
              <w:tab/>
            </w:r>
            <w:r w:rsidR="00315A3B" w:rsidRPr="00891173">
              <w:rPr>
                <w:rStyle w:val="Hyperlink"/>
                <w:noProof/>
              </w:rPr>
              <w:t>Lietuvos gyventojų investicinių fondų pasirinkimo anketinis tyrimas</w:t>
            </w:r>
            <w:r w:rsidR="00315A3B" w:rsidRPr="00891173">
              <w:rPr>
                <w:noProof/>
                <w:webHidden/>
              </w:rPr>
              <w:tab/>
            </w:r>
            <w:r w:rsidRPr="00891173">
              <w:rPr>
                <w:noProof/>
                <w:webHidden/>
              </w:rPr>
              <w:fldChar w:fldCharType="begin"/>
            </w:r>
            <w:r w:rsidR="00315A3B" w:rsidRPr="00891173">
              <w:rPr>
                <w:noProof/>
                <w:webHidden/>
              </w:rPr>
              <w:instrText xml:space="preserve"> PAGEREF _Toc343602004 \h </w:instrText>
            </w:r>
            <w:r w:rsidRPr="00891173">
              <w:rPr>
                <w:noProof/>
                <w:webHidden/>
              </w:rPr>
            </w:r>
            <w:r w:rsidRPr="00891173">
              <w:rPr>
                <w:noProof/>
                <w:webHidden/>
              </w:rPr>
              <w:fldChar w:fldCharType="separate"/>
            </w:r>
            <w:r w:rsidR="000E1A39">
              <w:rPr>
                <w:noProof/>
                <w:webHidden/>
              </w:rPr>
              <w:t>38</w:t>
            </w:r>
            <w:r w:rsidRPr="00891173">
              <w:rPr>
                <w:noProof/>
                <w:webHidden/>
              </w:rPr>
              <w:fldChar w:fldCharType="end"/>
            </w:r>
          </w:hyperlink>
        </w:p>
        <w:p w:rsidR="00315A3B" w:rsidRPr="00891173" w:rsidRDefault="00D13548">
          <w:pPr>
            <w:pStyle w:val="TOC1"/>
            <w:tabs>
              <w:tab w:val="right" w:leader="dot" w:pos="9911"/>
            </w:tabs>
            <w:rPr>
              <w:rFonts w:asciiTheme="minorHAnsi" w:eastAsiaTheme="minorEastAsia" w:hAnsiTheme="minorHAnsi" w:cstheme="minorBidi"/>
              <w:noProof/>
              <w:sz w:val="22"/>
              <w:szCs w:val="22"/>
            </w:rPr>
          </w:pPr>
          <w:hyperlink w:anchor="_Toc343602005" w:history="1">
            <w:r w:rsidR="00315A3B" w:rsidRPr="00891173">
              <w:rPr>
                <w:rStyle w:val="Hyperlink"/>
                <w:noProof/>
              </w:rPr>
              <w:t>IŠVADOS</w:t>
            </w:r>
            <w:r w:rsidR="00315A3B" w:rsidRPr="00891173">
              <w:rPr>
                <w:noProof/>
                <w:webHidden/>
              </w:rPr>
              <w:tab/>
            </w:r>
            <w:r w:rsidRPr="00891173">
              <w:rPr>
                <w:noProof/>
                <w:webHidden/>
              </w:rPr>
              <w:fldChar w:fldCharType="begin"/>
            </w:r>
            <w:r w:rsidR="00315A3B" w:rsidRPr="00891173">
              <w:rPr>
                <w:noProof/>
                <w:webHidden/>
              </w:rPr>
              <w:instrText xml:space="preserve"> PAGEREF _Toc343602005 \h </w:instrText>
            </w:r>
            <w:r w:rsidRPr="00891173">
              <w:rPr>
                <w:noProof/>
                <w:webHidden/>
              </w:rPr>
            </w:r>
            <w:r w:rsidRPr="00891173">
              <w:rPr>
                <w:noProof/>
                <w:webHidden/>
              </w:rPr>
              <w:fldChar w:fldCharType="separate"/>
            </w:r>
            <w:r w:rsidR="000E1A39">
              <w:rPr>
                <w:noProof/>
                <w:webHidden/>
              </w:rPr>
              <w:t>46</w:t>
            </w:r>
            <w:r w:rsidRPr="00891173">
              <w:rPr>
                <w:noProof/>
                <w:webHidden/>
              </w:rPr>
              <w:fldChar w:fldCharType="end"/>
            </w:r>
          </w:hyperlink>
        </w:p>
        <w:p w:rsidR="00315A3B" w:rsidRPr="00891173" w:rsidRDefault="00D13548">
          <w:pPr>
            <w:pStyle w:val="TOC1"/>
            <w:tabs>
              <w:tab w:val="right" w:leader="dot" w:pos="9911"/>
            </w:tabs>
            <w:rPr>
              <w:rFonts w:asciiTheme="minorHAnsi" w:eastAsiaTheme="minorEastAsia" w:hAnsiTheme="minorHAnsi" w:cstheme="minorBidi"/>
              <w:noProof/>
              <w:sz w:val="22"/>
              <w:szCs w:val="22"/>
            </w:rPr>
          </w:pPr>
          <w:hyperlink w:anchor="_Toc343602006" w:history="1">
            <w:r w:rsidR="00315A3B" w:rsidRPr="00891173">
              <w:rPr>
                <w:rStyle w:val="Hyperlink"/>
                <w:noProof/>
              </w:rPr>
              <w:t>LITERATŪRA</w:t>
            </w:r>
            <w:r w:rsidR="00315A3B" w:rsidRPr="00891173">
              <w:rPr>
                <w:noProof/>
                <w:webHidden/>
              </w:rPr>
              <w:tab/>
            </w:r>
            <w:r w:rsidRPr="00891173">
              <w:rPr>
                <w:noProof/>
                <w:webHidden/>
              </w:rPr>
              <w:fldChar w:fldCharType="begin"/>
            </w:r>
            <w:r w:rsidR="00315A3B" w:rsidRPr="00891173">
              <w:rPr>
                <w:noProof/>
                <w:webHidden/>
              </w:rPr>
              <w:instrText xml:space="preserve"> PAGEREF _Toc343602006 \h </w:instrText>
            </w:r>
            <w:r w:rsidRPr="00891173">
              <w:rPr>
                <w:noProof/>
                <w:webHidden/>
              </w:rPr>
            </w:r>
            <w:r w:rsidRPr="00891173">
              <w:rPr>
                <w:noProof/>
                <w:webHidden/>
              </w:rPr>
              <w:fldChar w:fldCharType="separate"/>
            </w:r>
            <w:r w:rsidR="000E1A39">
              <w:rPr>
                <w:noProof/>
                <w:webHidden/>
              </w:rPr>
              <w:t>48</w:t>
            </w:r>
            <w:r w:rsidRPr="00891173">
              <w:rPr>
                <w:noProof/>
                <w:webHidden/>
              </w:rPr>
              <w:fldChar w:fldCharType="end"/>
            </w:r>
          </w:hyperlink>
        </w:p>
        <w:p w:rsidR="00315A3B" w:rsidRPr="00891173" w:rsidRDefault="00D13548">
          <w:pPr>
            <w:pStyle w:val="TOC1"/>
            <w:tabs>
              <w:tab w:val="right" w:leader="dot" w:pos="9911"/>
            </w:tabs>
            <w:rPr>
              <w:rFonts w:asciiTheme="minorHAnsi" w:eastAsiaTheme="minorEastAsia" w:hAnsiTheme="minorHAnsi" w:cstheme="minorBidi"/>
              <w:noProof/>
              <w:sz w:val="22"/>
              <w:szCs w:val="22"/>
            </w:rPr>
          </w:pPr>
          <w:hyperlink w:anchor="_Toc343602007" w:history="1">
            <w:r w:rsidR="00315A3B" w:rsidRPr="00891173">
              <w:rPr>
                <w:rStyle w:val="Hyperlink"/>
                <w:noProof/>
              </w:rPr>
              <w:t>ANOTACIJA</w:t>
            </w:r>
            <w:r w:rsidR="00315A3B" w:rsidRPr="00891173">
              <w:rPr>
                <w:noProof/>
                <w:webHidden/>
              </w:rPr>
              <w:tab/>
            </w:r>
            <w:r w:rsidRPr="00891173">
              <w:rPr>
                <w:noProof/>
                <w:webHidden/>
              </w:rPr>
              <w:fldChar w:fldCharType="begin"/>
            </w:r>
            <w:r w:rsidR="00315A3B" w:rsidRPr="00891173">
              <w:rPr>
                <w:noProof/>
                <w:webHidden/>
              </w:rPr>
              <w:instrText xml:space="preserve"> PAGEREF _Toc343602007 \h </w:instrText>
            </w:r>
            <w:r w:rsidRPr="00891173">
              <w:rPr>
                <w:noProof/>
                <w:webHidden/>
              </w:rPr>
            </w:r>
            <w:r w:rsidRPr="00891173">
              <w:rPr>
                <w:noProof/>
                <w:webHidden/>
              </w:rPr>
              <w:fldChar w:fldCharType="separate"/>
            </w:r>
            <w:r w:rsidR="000E1A39">
              <w:rPr>
                <w:noProof/>
                <w:webHidden/>
              </w:rPr>
              <w:t>51</w:t>
            </w:r>
            <w:r w:rsidRPr="00891173">
              <w:rPr>
                <w:noProof/>
                <w:webHidden/>
              </w:rPr>
              <w:fldChar w:fldCharType="end"/>
            </w:r>
          </w:hyperlink>
        </w:p>
        <w:p w:rsidR="00315A3B" w:rsidRPr="00891173" w:rsidRDefault="00D13548">
          <w:pPr>
            <w:pStyle w:val="TOC1"/>
            <w:tabs>
              <w:tab w:val="right" w:leader="dot" w:pos="9911"/>
            </w:tabs>
            <w:rPr>
              <w:rFonts w:asciiTheme="minorHAnsi" w:eastAsiaTheme="minorEastAsia" w:hAnsiTheme="minorHAnsi" w:cstheme="minorBidi"/>
              <w:noProof/>
              <w:sz w:val="22"/>
              <w:szCs w:val="22"/>
            </w:rPr>
          </w:pPr>
          <w:hyperlink w:anchor="_Toc343602008" w:history="1">
            <w:r w:rsidR="00315A3B" w:rsidRPr="00891173">
              <w:rPr>
                <w:rStyle w:val="Hyperlink"/>
                <w:noProof/>
              </w:rPr>
              <w:t>SANTRAUKA</w:t>
            </w:r>
            <w:r w:rsidR="00315A3B" w:rsidRPr="00891173">
              <w:rPr>
                <w:noProof/>
                <w:webHidden/>
              </w:rPr>
              <w:tab/>
            </w:r>
            <w:r w:rsidRPr="00891173">
              <w:rPr>
                <w:noProof/>
                <w:webHidden/>
              </w:rPr>
              <w:fldChar w:fldCharType="begin"/>
            </w:r>
            <w:r w:rsidR="00315A3B" w:rsidRPr="00891173">
              <w:rPr>
                <w:noProof/>
                <w:webHidden/>
              </w:rPr>
              <w:instrText xml:space="preserve"> PAGEREF _Toc343602008 \h </w:instrText>
            </w:r>
            <w:r w:rsidRPr="00891173">
              <w:rPr>
                <w:noProof/>
                <w:webHidden/>
              </w:rPr>
            </w:r>
            <w:r w:rsidRPr="00891173">
              <w:rPr>
                <w:noProof/>
                <w:webHidden/>
              </w:rPr>
              <w:fldChar w:fldCharType="separate"/>
            </w:r>
            <w:r w:rsidR="000E1A39">
              <w:rPr>
                <w:noProof/>
                <w:webHidden/>
              </w:rPr>
              <w:t>52</w:t>
            </w:r>
            <w:r w:rsidRPr="00891173">
              <w:rPr>
                <w:noProof/>
                <w:webHidden/>
              </w:rPr>
              <w:fldChar w:fldCharType="end"/>
            </w:r>
          </w:hyperlink>
        </w:p>
        <w:p w:rsidR="00315A3B" w:rsidRPr="00891173" w:rsidRDefault="00D13548">
          <w:pPr>
            <w:pStyle w:val="TOC5"/>
            <w:rPr>
              <w:rFonts w:asciiTheme="minorHAnsi" w:eastAsiaTheme="minorEastAsia" w:hAnsiTheme="minorHAnsi" w:cstheme="minorBidi"/>
              <w:noProof/>
              <w:sz w:val="22"/>
              <w:szCs w:val="22"/>
            </w:rPr>
          </w:pPr>
          <w:hyperlink w:anchor="_Toc343602009" w:history="1">
            <w:r w:rsidR="00315A3B" w:rsidRPr="00891173">
              <w:rPr>
                <w:rStyle w:val="Hyperlink"/>
                <w:noProof/>
              </w:rPr>
              <w:t>PRIEDAI</w:t>
            </w:r>
            <w:r w:rsidR="00315A3B" w:rsidRPr="00891173">
              <w:rPr>
                <w:noProof/>
                <w:webHidden/>
              </w:rPr>
              <w:tab/>
            </w:r>
            <w:r w:rsidRPr="00891173">
              <w:rPr>
                <w:noProof/>
                <w:webHidden/>
              </w:rPr>
              <w:fldChar w:fldCharType="begin"/>
            </w:r>
            <w:r w:rsidR="00315A3B" w:rsidRPr="00891173">
              <w:rPr>
                <w:noProof/>
                <w:webHidden/>
              </w:rPr>
              <w:instrText xml:space="preserve"> PAGEREF _Toc343602009 \h </w:instrText>
            </w:r>
            <w:r w:rsidRPr="00891173">
              <w:rPr>
                <w:noProof/>
                <w:webHidden/>
              </w:rPr>
            </w:r>
            <w:r w:rsidRPr="00891173">
              <w:rPr>
                <w:noProof/>
                <w:webHidden/>
              </w:rPr>
              <w:fldChar w:fldCharType="separate"/>
            </w:r>
            <w:r w:rsidR="000E1A39">
              <w:rPr>
                <w:noProof/>
                <w:webHidden/>
              </w:rPr>
              <w:t>55</w:t>
            </w:r>
            <w:r w:rsidRPr="00891173">
              <w:rPr>
                <w:noProof/>
                <w:webHidden/>
              </w:rPr>
              <w:fldChar w:fldCharType="end"/>
            </w:r>
          </w:hyperlink>
        </w:p>
        <w:p w:rsidR="007C68AF" w:rsidRPr="00891173" w:rsidRDefault="00D13548">
          <w:r w:rsidRPr="00891173">
            <w:fldChar w:fldCharType="end"/>
          </w:r>
        </w:p>
      </w:sdtContent>
    </w:sdt>
    <w:p w:rsidR="00705CD4" w:rsidRPr="00891173" w:rsidRDefault="00AC37A8" w:rsidP="00813C38">
      <w:pPr>
        <w:spacing w:line="276" w:lineRule="auto"/>
        <w:jc w:val="center"/>
        <w:rPr>
          <w:b/>
        </w:rPr>
      </w:pPr>
      <w:r w:rsidRPr="00891173">
        <w:br w:type="page"/>
      </w:r>
      <w:r w:rsidR="00705CD4" w:rsidRPr="00891173">
        <w:rPr>
          <w:b/>
        </w:rPr>
        <w:lastRenderedPageBreak/>
        <w:t>LENTELĖS</w:t>
      </w:r>
    </w:p>
    <w:p w:rsidR="00813C38" w:rsidRPr="00891173" w:rsidRDefault="00813C38" w:rsidP="00813C38">
      <w:pPr>
        <w:spacing w:line="276" w:lineRule="auto"/>
        <w:jc w:val="center"/>
      </w:pPr>
    </w:p>
    <w:p w:rsidR="006B0423" w:rsidRPr="00891173" w:rsidRDefault="006B0423" w:rsidP="006B0423">
      <w:pPr>
        <w:tabs>
          <w:tab w:val="left" w:leader="dot" w:pos="9356"/>
          <w:tab w:val="right" w:pos="9639"/>
        </w:tabs>
        <w:spacing w:line="360" w:lineRule="auto"/>
        <w:jc w:val="both"/>
        <w:rPr>
          <w:rFonts w:eastAsiaTheme="minorEastAsia"/>
        </w:rPr>
      </w:pPr>
      <w:r w:rsidRPr="00891173">
        <w:rPr>
          <w:rFonts w:eastAsiaTheme="minorEastAsia"/>
        </w:rPr>
        <w:t>1 lentelė. Investicinių fondų vertinimo rodiklių privalumai ir trūkumai</w:t>
      </w:r>
      <w:r w:rsidRPr="00891173">
        <w:rPr>
          <w:rFonts w:eastAsiaTheme="minorEastAsia"/>
        </w:rPr>
        <w:tab/>
      </w:r>
      <w:r w:rsidRPr="00891173">
        <w:rPr>
          <w:rFonts w:eastAsiaTheme="minorEastAsia"/>
        </w:rPr>
        <w:tab/>
        <w:t>24</w:t>
      </w:r>
    </w:p>
    <w:p w:rsidR="00EE4880" w:rsidRPr="00891173" w:rsidRDefault="00EE4880" w:rsidP="00EE4880">
      <w:pPr>
        <w:tabs>
          <w:tab w:val="left" w:leader="dot" w:pos="9356"/>
          <w:tab w:val="right" w:pos="9639"/>
        </w:tabs>
        <w:autoSpaceDE w:val="0"/>
        <w:autoSpaceDN w:val="0"/>
        <w:adjustRightInd w:val="0"/>
        <w:spacing w:line="360" w:lineRule="auto"/>
        <w:jc w:val="both"/>
      </w:pPr>
      <w:r w:rsidRPr="00891173">
        <w:t>2 lentelė. VVP pirkimo ir pardavimo kainos (iš finansų tarpininko pozicijos) 2010 11 15</w:t>
      </w:r>
      <w:r w:rsidRPr="00891173">
        <w:tab/>
      </w:r>
      <w:r w:rsidRPr="00891173">
        <w:tab/>
        <w:t>26</w:t>
      </w:r>
    </w:p>
    <w:p w:rsidR="00EE4880" w:rsidRPr="00891173" w:rsidRDefault="00EE4880" w:rsidP="00EE4880">
      <w:pPr>
        <w:tabs>
          <w:tab w:val="left" w:leader="dot" w:pos="9356"/>
          <w:tab w:val="right" w:pos="9639"/>
        </w:tabs>
        <w:spacing w:line="360" w:lineRule="auto"/>
        <w:jc w:val="both"/>
        <w:rPr>
          <w:rFonts w:eastAsiaTheme="minorEastAsia"/>
        </w:rPr>
      </w:pPr>
      <w:r w:rsidRPr="00891173">
        <w:t>3 lentelė. VVP pirkimo ir pardavimo kainos (iš finansų tarpininko pozicijos) 2012 11 15</w:t>
      </w:r>
      <w:r w:rsidRPr="00891173">
        <w:tab/>
      </w:r>
      <w:r w:rsidRPr="00891173">
        <w:tab/>
        <w:t>26</w:t>
      </w:r>
    </w:p>
    <w:p w:rsidR="009327B9" w:rsidRPr="00891173" w:rsidRDefault="009327B9" w:rsidP="00CB27C3">
      <w:pPr>
        <w:tabs>
          <w:tab w:val="right" w:leader="dot" w:pos="9639"/>
        </w:tabs>
        <w:spacing w:line="360" w:lineRule="auto"/>
        <w:jc w:val="both"/>
      </w:pPr>
      <w:r w:rsidRPr="00891173">
        <w:t>4 lentelė. Respondentų pasiskirstymas pagal lytį ir investavimą į investicinius fondus</w:t>
      </w:r>
      <w:r w:rsidRPr="00891173">
        <w:tab/>
        <w:t>38</w:t>
      </w:r>
    </w:p>
    <w:p w:rsidR="00CB27C3" w:rsidRPr="00891173" w:rsidRDefault="00CB27C3" w:rsidP="00CB27C3">
      <w:pPr>
        <w:tabs>
          <w:tab w:val="right" w:leader="dot" w:pos="9639"/>
        </w:tabs>
        <w:spacing w:line="360" w:lineRule="auto"/>
        <w:jc w:val="both"/>
      </w:pPr>
      <w:r w:rsidRPr="00891173">
        <w:t>5 lentelė. Lyties ir investavimo tikslų priklausomybė</w:t>
      </w:r>
      <w:r w:rsidRPr="00891173">
        <w:tab/>
        <w:t>44</w:t>
      </w:r>
    </w:p>
    <w:p w:rsidR="00CB27C3" w:rsidRPr="00891173" w:rsidRDefault="00CB27C3" w:rsidP="009327B9">
      <w:pPr>
        <w:tabs>
          <w:tab w:val="right" w:leader="dot" w:pos="9639"/>
        </w:tabs>
        <w:spacing w:after="120" w:line="360" w:lineRule="auto"/>
        <w:jc w:val="both"/>
      </w:pPr>
    </w:p>
    <w:p w:rsidR="00480DE2" w:rsidRPr="00891173" w:rsidRDefault="00480DE2" w:rsidP="00D05EC8">
      <w:pPr>
        <w:spacing w:after="120" w:line="360" w:lineRule="auto"/>
        <w:jc w:val="both"/>
        <w:rPr>
          <w:rFonts w:eastAsiaTheme="minorEastAsia"/>
        </w:rPr>
      </w:pPr>
    </w:p>
    <w:p w:rsidR="00705CD4" w:rsidRPr="00891173" w:rsidRDefault="00705CD4">
      <w:pPr>
        <w:spacing w:after="200" w:line="276" w:lineRule="auto"/>
      </w:pPr>
    </w:p>
    <w:p w:rsidR="00D05EC8" w:rsidRPr="00891173" w:rsidRDefault="00D05EC8">
      <w:pPr>
        <w:spacing w:after="200" w:line="276" w:lineRule="auto"/>
      </w:pPr>
      <w:r w:rsidRPr="00891173">
        <w:br w:type="page"/>
      </w:r>
    </w:p>
    <w:p w:rsidR="00705CD4" w:rsidRPr="00891173" w:rsidRDefault="00705CD4" w:rsidP="00705CD4">
      <w:pPr>
        <w:spacing w:after="200" w:line="276" w:lineRule="auto"/>
        <w:jc w:val="center"/>
        <w:rPr>
          <w:b/>
        </w:rPr>
      </w:pPr>
      <w:r w:rsidRPr="00891173">
        <w:rPr>
          <w:b/>
        </w:rPr>
        <w:lastRenderedPageBreak/>
        <w:t>PAVEIKSLAI</w:t>
      </w:r>
    </w:p>
    <w:p w:rsidR="009B3657" w:rsidRPr="00891173" w:rsidRDefault="009B3657" w:rsidP="009B3657">
      <w:pPr>
        <w:tabs>
          <w:tab w:val="right" w:leader="dot" w:pos="9639"/>
        </w:tabs>
        <w:autoSpaceDE w:val="0"/>
        <w:autoSpaceDN w:val="0"/>
        <w:adjustRightInd w:val="0"/>
        <w:spacing w:line="360" w:lineRule="auto"/>
        <w:jc w:val="both"/>
        <w:rPr>
          <w:rFonts w:eastAsia="MinionPro-Regular"/>
        </w:rPr>
      </w:pPr>
      <w:r w:rsidRPr="00891173">
        <w:rPr>
          <w:rFonts w:eastAsia="MinionPro-Regular"/>
        </w:rPr>
        <w:t>1 pav. Investicinių fondų klasifikavimo schema</w:t>
      </w:r>
      <w:r w:rsidRPr="00891173">
        <w:rPr>
          <w:rFonts w:eastAsia="MinionPro-Regular"/>
        </w:rPr>
        <w:tab/>
        <w:t>13</w:t>
      </w:r>
    </w:p>
    <w:p w:rsidR="009B3657" w:rsidRPr="00891173" w:rsidRDefault="009B3657" w:rsidP="009B3657">
      <w:pPr>
        <w:tabs>
          <w:tab w:val="right" w:leader="dot" w:pos="9639"/>
        </w:tabs>
        <w:autoSpaceDE w:val="0"/>
        <w:autoSpaceDN w:val="0"/>
        <w:adjustRightInd w:val="0"/>
        <w:spacing w:line="360" w:lineRule="auto"/>
        <w:jc w:val="both"/>
      </w:pPr>
      <w:r w:rsidRPr="00891173">
        <w:t>2 pav. Investicinių fondų vertinimo kriterijai dalyvių atžvilgiu</w:t>
      </w:r>
      <w:r w:rsidRPr="00891173">
        <w:tab/>
        <w:t>20</w:t>
      </w:r>
    </w:p>
    <w:p w:rsidR="000774CA" w:rsidRPr="00891173" w:rsidRDefault="000774CA" w:rsidP="000774CA">
      <w:pPr>
        <w:tabs>
          <w:tab w:val="right" w:leader="dot" w:pos="9639"/>
        </w:tabs>
        <w:spacing w:line="360" w:lineRule="auto"/>
        <w:jc w:val="both"/>
      </w:pPr>
      <w:r w:rsidRPr="00891173">
        <w:t>3 pav. Esminių kriterijų nustatymo, renkantis investinius fondus, tyrimo modelis</w:t>
      </w:r>
      <w:r w:rsidRPr="00891173">
        <w:tab/>
        <w:t>25</w:t>
      </w:r>
    </w:p>
    <w:p w:rsidR="000774CA" w:rsidRPr="00891173" w:rsidRDefault="00297D8F" w:rsidP="009B3657">
      <w:pPr>
        <w:tabs>
          <w:tab w:val="right" w:leader="dot" w:pos="9639"/>
        </w:tabs>
        <w:autoSpaceDE w:val="0"/>
        <w:autoSpaceDN w:val="0"/>
        <w:adjustRightInd w:val="0"/>
        <w:spacing w:line="360" w:lineRule="auto"/>
        <w:jc w:val="both"/>
      </w:pPr>
      <w:r w:rsidRPr="00891173">
        <w:t>4 pav. Investicinių fondų veiklos schema Lietuvoje</w:t>
      </w:r>
      <w:r w:rsidRPr="00891173">
        <w:tab/>
        <w:t>29</w:t>
      </w:r>
    </w:p>
    <w:p w:rsidR="00297D8F" w:rsidRPr="00891173" w:rsidRDefault="00297D8F" w:rsidP="00297D8F">
      <w:pPr>
        <w:tabs>
          <w:tab w:val="right" w:leader="dot" w:pos="9639"/>
        </w:tabs>
        <w:spacing w:line="360" w:lineRule="auto"/>
        <w:jc w:val="both"/>
      </w:pPr>
      <w:r w:rsidRPr="00891173">
        <w:t xml:space="preserve">5 pav. Investicinių fondų skaičius ir jų vertė Lietuvoje, 2001m. – 2012 m. III ketv. </w:t>
      </w:r>
      <w:r w:rsidRPr="00891173">
        <w:tab/>
        <w:t>30</w:t>
      </w:r>
    </w:p>
    <w:p w:rsidR="00297D8F" w:rsidRPr="00891173" w:rsidRDefault="00D81807" w:rsidP="00297D8F">
      <w:pPr>
        <w:tabs>
          <w:tab w:val="right" w:leader="dot" w:pos="9639"/>
        </w:tabs>
        <w:spacing w:line="360" w:lineRule="auto"/>
        <w:jc w:val="both"/>
      </w:pPr>
      <w:r w:rsidRPr="00891173">
        <w:t>6</w:t>
      </w:r>
      <w:r w:rsidR="00297D8F" w:rsidRPr="00891173">
        <w:t xml:space="preserve"> pav. Lietuvos ir užsienio IF skaičius ir jų valdomas turtas, 2001m. – 2012 m. III ketv. </w:t>
      </w:r>
      <w:r w:rsidR="00297D8F" w:rsidRPr="00891173">
        <w:tab/>
      </w:r>
      <w:r w:rsidRPr="00891173">
        <w:t>31</w:t>
      </w:r>
    </w:p>
    <w:p w:rsidR="00297D8F" w:rsidRPr="00891173" w:rsidRDefault="00D81807" w:rsidP="00297D8F">
      <w:pPr>
        <w:tabs>
          <w:tab w:val="right" w:leader="dot" w:pos="9639"/>
        </w:tabs>
        <w:spacing w:line="360" w:lineRule="auto"/>
        <w:jc w:val="both"/>
        <w:rPr>
          <w:color w:val="000000"/>
          <w:szCs w:val="20"/>
        </w:rPr>
      </w:pPr>
      <w:r w:rsidRPr="00891173">
        <w:t>7</w:t>
      </w:r>
      <w:r w:rsidR="00297D8F" w:rsidRPr="00891173">
        <w:t xml:space="preserve"> pav.</w:t>
      </w:r>
      <w:r w:rsidR="00297D8F" w:rsidRPr="00891173">
        <w:rPr>
          <w:i/>
        </w:rPr>
        <w:t xml:space="preserve"> </w:t>
      </w:r>
      <w:r w:rsidR="00297D8F" w:rsidRPr="00891173">
        <w:rPr>
          <w:color w:val="000000"/>
          <w:szCs w:val="20"/>
        </w:rPr>
        <w:t>Investicinių fondų dalyvių skaičiaus kaita</w:t>
      </w:r>
      <w:r w:rsidR="00297D8F" w:rsidRPr="00891173">
        <w:rPr>
          <w:color w:val="000000"/>
          <w:szCs w:val="20"/>
        </w:rPr>
        <w:tab/>
      </w:r>
      <w:r w:rsidRPr="00891173">
        <w:rPr>
          <w:color w:val="000000"/>
          <w:szCs w:val="20"/>
        </w:rPr>
        <w:t>32</w:t>
      </w:r>
    </w:p>
    <w:p w:rsidR="00297D8F" w:rsidRPr="00891173" w:rsidRDefault="00D81807" w:rsidP="00297D8F">
      <w:pPr>
        <w:tabs>
          <w:tab w:val="right" w:leader="dot" w:pos="9639"/>
        </w:tabs>
        <w:spacing w:line="360" w:lineRule="auto"/>
        <w:jc w:val="both"/>
      </w:pPr>
      <w:r w:rsidRPr="00891173">
        <w:t>8</w:t>
      </w:r>
      <w:r w:rsidR="00297D8F" w:rsidRPr="00891173">
        <w:t xml:space="preserve"> pav. Lietuvoje registruotų IF tipai 2001 m. – 2012 m. III ketv.</w:t>
      </w:r>
      <w:r w:rsidR="00297D8F" w:rsidRPr="00891173">
        <w:tab/>
      </w:r>
      <w:r w:rsidRPr="00891173">
        <w:t>33</w:t>
      </w:r>
    </w:p>
    <w:p w:rsidR="00297D8F" w:rsidRPr="00891173" w:rsidRDefault="00D81807" w:rsidP="00297D8F">
      <w:pPr>
        <w:tabs>
          <w:tab w:val="right" w:leader="dot" w:pos="9639"/>
        </w:tabs>
        <w:spacing w:line="360" w:lineRule="auto"/>
        <w:jc w:val="both"/>
      </w:pPr>
      <w:r w:rsidRPr="00891173">
        <w:t>9</w:t>
      </w:r>
      <w:r w:rsidR="00297D8F" w:rsidRPr="00891173">
        <w:t xml:space="preserve"> pav. Lietuvoje įregistruotų IF tipų valdomas turtas, mln. Lt.</w:t>
      </w:r>
      <w:r w:rsidR="00297D8F" w:rsidRPr="00891173">
        <w:tab/>
        <w:t>3</w:t>
      </w:r>
      <w:r w:rsidRPr="00891173">
        <w:t>4</w:t>
      </w:r>
    </w:p>
    <w:p w:rsidR="00297D8F" w:rsidRPr="00891173" w:rsidRDefault="003C1931" w:rsidP="00297D8F">
      <w:pPr>
        <w:tabs>
          <w:tab w:val="right" w:leader="dot" w:pos="9639"/>
        </w:tabs>
        <w:autoSpaceDE w:val="0"/>
        <w:autoSpaceDN w:val="0"/>
        <w:adjustRightInd w:val="0"/>
        <w:spacing w:line="360" w:lineRule="auto"/>
        <w:jc w:val="both"/>
        <w:rPr>
          <w:sz w:val="23"/>
          <w:szCs w:val="23"/>
        </w:rPr>
      </w:pPr>
      <w:r w:rsidRPr="00891173">
        <w:rPr>
          <w:rFonts w:eastAsiaTheme="minorHAnsi"/>
          <w:lang w:eastAsia="en-US"/>
        </w:rPr>
        <w:t>10</w:t>
      </w:r>
      <w:r w:rsidR="00297D8F" w:rsidRPr="00891173">
        <w:rPr>
          <w:rFonts w:eastAsiaTheme="minorHAnsi"/>
          <w:lang w:eastAsia="en-US"/>
        </w:rPr>
        <w:t xml:space="preserve"> pav. Licenzijuotų </w:t>
      </w:r>
      <w:r w:rsidR="00297D8F" w:rsidRPr="00891173">
        <w:rPr>
          <w:sz w:val="23"/>
          <w:szCs w:val="23"/>
        </w:rPr>
        <w:t>Lietuvos investicinių fondų veiklos įvertinimas pagal Šarpo rodiklį</w:t>
      </w:r>
      <w:r w:rsidR="00297D8F" w:rsidRPr="00891173">
        <w:rPr>
          <w:sz w:val="23"/>
          <w:szCs w:val="23"/>
        </w:rPr>
        <w:tab/>
        <w:t>3</w:t>
      </w:r>
      <w:r w:rsidRPr="00891173">
        <w:rPr>
          <w:sz w:val="23"/>
          <w:szCs w:val="23"/>
        </w:rPr>
        <w:t>6</w:t>
      </w:r>
    </w:p>
    <w:p w:rsidR="00297D8F" w:rsidRPr="00891173" w:rsidRDefault="003C1931" w:rsidP="00297D8F">
      <w:pPr>
        <w:tabs>
          <w:tab w:val="right" w:leader="dot" w:pos="9639"/>
        </w:tabs>
        <w:spacing w:line="360" w:lineRule="auto"/>
        <w:jc w:val="both"/>
      </w:pPr>
      <w:r w:rsidRPr="00891173">
        <w:t>11</w:t>
      </w:r>
      <w:r w:rsidR="00297D8F" w:rsidRPr="00891173">
        <w:t xml:space="preserve"> pav. Investicinių fondų palyginimas</w:t>
      </w:r>
      <w:r w:rsidRPr="00891173">
        <w:t>,</w:t>
      </w:r>
      <w:r w:rsidR="00297D8F" w:rsidRPr="00891173">
        <w:t xml:space="preserve"> atsižvelgiant į grąžą ir Šarpo rodiklį</w:t>
      </w:r>
      <w:r w:rsidRPr="00891173">
        <w:tab/>
        <w:t>37</w:t>
      </w:r>
    </w:p>
    <w:p w:rsidR="0088371B" w:rsidRPr="00891173" w:rsidRDefault="00C521C3" w:rsidP="00C521C3">
      <w:pPr>
        <w:tabs>
          <w:tab w:val="right" w:leader="dot" w:pos="9639"/>
        </w:tabs>
        <w:spacing w:line="360" w:lineRule="auto"/>
        <w:jc w:val="both"/>
      </w:pPr>
      <w:r w:rsidRPr="00891173">
        <w:t xml:space="preserve">12 pav. </w:t>
      </w:r>
      <w:r w:rsidR="0088371B" w:rsidRPr="00891173">
        <w:t>Respondentų pasiskirstymas pagal amžių ir žinojimo apie investicinius fondus (proc.)</w:t>
      </w:r>
      <w:r w:rsidR="0088371B" w:rsidRPr="00891173">
        <w:tab/>
        <w:t>39</w:t>
      </w:r>
    </w:p>
    <w:p w:rsidR="00C521C3" w:rsidRPr="00891173" w:rsidRDefault="0088371B" w:rsidP="00C521C3">
      <w:pPr>
        <w:tabs>
          <w:tab w:val="right" w:leader="dot" w:pos="9639"/>
        </w:tabs>
        <w:spacing w:line="360" w:lineRule="auto"/>
        <w:jc w:val="both"/>
      </w:pPr>
      <w:r w:rsidRPr="00891173">
        <w:t xml:space="preserve">13 pav. </w:t>
      </w:r>
      <w:r w:rsidR="00C521C3" w:rsidRPr="00891173">
        <w:t>Investicinių fondų platinimo bendrovės pasirinkimo veiksniai pagal lytį (proc.)</w:t>
      </w:r>
      <w:r w:rsidR="00C521C3" w:rsidRPr="00891173">
        <w:tab/>
      </w:r>
      <w:r w:rsidRPr="00891173">
        <w:t>40</w:t>
      </w:r>
    </w:p>
    <w:p w:rsidR="002179F3" w:rsidRPr="00891173" w:rsidRDefault="0088371B" w:rsidP="002179F3">
      <w:pPr>
        <w:tabs>
          <w:tab w:val="right" w:leader="dot" w:pos="9639"/>
        </w:tabs>
        <w:spacing w:line="360" w:lineRule="auto"/>
        <w:jc w:val="both"/>
      </w:pPr>
      <w:r w:rsidRPr="00891173">
        <w:t>14</w:t>
      </w:r>
      <w:r w:rsidR="002179F3" w:rsidRPr="00891173">
        <w:t xml:space="preserve"> pav. Teiginių įvertinimas apie investicinių fondų bendroves (proc.)</w:t>
      </w:r>
      <w:r w:rsidR="002179F3" w:rsidRPr="00891173">
        <w:tab/>
      </w:r>
      <w:r w:rsidR="00C940F0" w:rsidRPr="00891173">
        <w:t>40</w:t>
      </w:r>
    </w:p>
    <w:p w:rsidR="00C940F0" w:rsidRPr="00891173" w:rsidRDefault="0088371B" w:rsidP="00C940F0">
      <w:pPr>
        <w:tabs>
          <w:tab w:val="right" w:leader="dot" w:pos="9639"/>
        </w:tabs>
        <w:spacing w:line="360" w:lineRule="auto"/>
        <w:jc w:val="both"/>
      </w:pPr>
      <w:r w:rsidRPr="00891173">
        <w:t>15</w:t>
      </w:r>
      <w:r w:rsidR="00C940F0" w:rsidRPr="00891173">
        <w:t xml:space="preserve"> pav. Investicinio fondo rezultatų vertinimas (proc.)</w:t>
      </w:r>
      <w:r w:rsidR="00C940F0" w:rsidRPr="00891173">
        <w:tab/>
        <w:t>4</w:t>
      </w:r>
      <w:r w:rsidRPr="00891173">
        <w:t>2</w:t>
      </w:r>
    </w:p>
    <w:p w:rsidR="00C940F0" w:rsidRPr="00891173" w:rsidRDefault="00C940F0" w:rsidP="00C940F0">
      <w:pPr>
        <w:tabs>
          <w:tab w:val="right" w:leader="dot" w:pos="9639"/>
        </w:tabs>
        <w:spacing w:line="360" w:lineRule="auto"/>
        <w:jc w:val="both"/>
      </w:pPr>
      <w:r w:rsidRPr="00891173">
        <w:t>1</w:t>
      </w:r>
      <w:r w:rsidR="0088371B" w:rsidRPr="00891173">
        <w:t>6</w:t>
      </w:r>
      <w:r w:rsidRPr="00891173">
        <w:t xml:space="preserve"> pav. Investicinio fondo administravimo tarifų politikos vertinimas (proc.)</w:t>
      </w:r>
      <w:r w:rsidRPr="00891173">
        <w:tab/>
        <w:t>43</w:t>
      </w:r>
    </w:p>
    <w:p w:rsidR="00C940F0" w:rsidRPr="00891173" w:rsidRDefault="0088371B" w:rsidP="00C940F0">
      <w:pPr>
        <w:tabs>
          <w:tab w:val="right" w:leader="dot" w:pos="9639"/>
        </w:tabs>
        <w:spacing w:line="360" w:lineRule="auto"/>
        <w:jc w:val="both"/>
      </w:pPr>
      <w:r w:rsidRPr="00891173">
        <w:t>17</w:t>
      </w:r>
      <w:r w:rsidR="00C940F0" w:rsidRPr="00891173">
        <w:t xml:space="preserve"> pav. Investicinio fondo pasirinkimą lemiančių kriterijų svarbumas (proc.)</w:t>
      </w:r>
      <w:r w:rsidR="00C940F0" w:rsidRPr="00891173">
        <w:tab/>
        <w:t>43</w:t>
      </w:r>
    </w:p>
    <w:p w:rsidR="00C940F0" w:rsidRPr="00891173" w:rsidRDefault="00C940F0" w:rsidP="00C940F0">
      <w:pPr>
        <w:tabs>
          <w:tab w:val="right" w:leader="dot" w:pos="9639"/>
        </w:tabs>
        <w:spacing w:line="360" w:lineRule="auto"/>
        <w:jc w:val="both"/>
        <w:rPr>
          <w:b/>
        </w:rPr>
      </w:pPr>
    </w:p>
    <w:p w:rsidR="00C940F0" w:rsidRPr="00891173" w:rsidRDefault="00C940F0" w:rsidP="00C940F0">
      <w:pPr>
        <w:tabs>
          <w:tab w:val="right" w:leader="dot" w:pos="9639"/>
        </w:tabs>
        <w:spacing w:line="360" w:lineRule="auto"/>
        <w:jc w:val="both"/>
      </w:pPr>
    </w:p>
    <w:p w:rsidR="00C940F0" w:rsidRPr="00891173" w:rsidRDefault="00C940F0" w:rsidP="002179F3">
      <w:pPr>
        <w:tabs>
          <w:tab w:val="right" w:leader="dot" w:pos="9639"/>
        </w:tabs>
        <w:spacing w:line="360" w:lineRule="auto"/>
        <w:jc w:val="both"/>
      </w:pPr>
    </w:p>
    <w:p w:rsidR="002179F3" w:rsidRPr="00891173" w:rsidRDefault="002179F3" w:rsidP="002179F3">
      <w:pPr>
        <w:tabs>
          <w:tab w:val="right" w:leader="dot" w:pos="9639"/>
        </w:tabs>
        <w:spacing w:line="360" w:lineRule="auto"/>
        <w:jc w:val="both"/>
      </w:pPr>
    </w:p>
    <w:p w:rsidR="002179F3" w:rsidRPr="00891173" w:rsidRDefault="002179F3" w:rsidP="00C521C3">
      <w:pPr>
        <w:tabs>
          <w:tab w:val="right" w:leader="dot" w:pos="9639"/>
        </w:tabs>
        <w:spacing w:line="360" w:lineRule="auto"/>
        <w:jc w:val="both"/>
      </w:pPr>
    </w:p>
    <w:p w:rsidR="00C521C3" w:rsidRPr="00891173" w:rsidRDefault="00C521C3" w:rsidP="00297D8F">
      <w:pPr>
        <w:tabs>
          <w:tab w:val="right" w:leader="dot" w:pos="9639"/>
        </w:tabs>
        <w:spacing w:line="360" w:lineRule="auto"/>
        <w:jc w:val="both"/>
      </w:pPr>
    </w:p>
    <w:p w:rsidR="003C1931" w:rsidRPr="00891173" w:rsidRDefault="003C1931" w:rsidP="00297D8F">
      <w:pPr>
        <w:tabs>
          <w:tab w:val="right" w:leader="dot" w:pos="9639"/>
        </w:tabs>
        <w:spacing w:line="360" w:lineRule="auto"/>
        <w:jc w:val="both"/>
      </w:pPr>
    </w:p>
    <w:p w:rsidR="008B3E43" w:rsidRPr="00891173" w:rsidRDefault="008B3E43" w:rsidP="008B3E43">
      <w:pPr>
        <w:spacing w:line="360" w:lineRule="auto"/>
        <w:jc w:val="both"/>
        <w:rPr>
          <w:b/>
        </w:rPr>
      </w:pPr>
    </w:p>
    <w:p w:rsidR="008B3E43" w:rsidRPr="00891173" w:rsidRDefault="008B3E43" w:rsidP="008B3E43">
      <w:pPr>
        <w:spacing w:line="360" w:lineRule="auto"/>
        <w:jc w:val="both"/>
        <w:rPr>
          <w:b/>
        </w:rPr>
      </w:pPr>
    </w:p>
    <w:p w:rsidR="008B3E43" w:rsidRPr="00891173" w:rsidRDefault="008B3E43" w:rsidP="008B3E43">
      <w:pPr>
        <w:spacing w:line="360" w:lineRule="auto"/>
        <w:jc w:val="both"/>
        <w:rPr>
          <w:b/>
        </w:rPr>
      </w:pPr>
    </w:p>
    <w:p w:rsidR="008B3E43" w:rsidRPr="00891173" w:rsidRDefault="008B3E43" w:rsidP="008B3E43">
      <w:pPr>
        <w:spacing w:line="360" w:lineRule="auto"/>
        <w:jc w:val="both"/>
        <w:rPr>
          <w:b/>
        </w:rPr>
      </w:pPr>
    </w:p>
    <w:p w:rsidR="006C36E4" w:rsidRPr="00891173" w:rsidRDefault="006C36E4" w:rsidP="006C36E4">
      <w:pPr>
        <w:spacing w:after="120" w:line="360" w:lineRule="auto"/>
        <w:jc w:val="both"/>
      </w:pPr>
    </w:p>
    <w:p w:rsidR="009A3D78" w:rsidRPr="00891173" w:rsidRDefault="009A3D78" w:rsidP="009A3D78">
      <w:pPr>
        <w:spacing w:line="360" w:lineRule="auto"/>
        <w:jc w:val="both"/>
        <w:rPr>
          <w:b/>
        </w:rPr>
      </w:pPr>
    </w:p>
    <w:p w:rsidR="009A3D78" w:rsidRPr="00891173" w:rsidRDefault="009A3D78" w:rsidP="009A3D78">
      <w:pPr>
        <w:spacing w:after="120" w:line="360" w:lineRule="auto"/>
        <w:jc w:val="both"/>
        <w:rPr>
          <w:b/>
        </w:rPr>
      </w:pPr>
    </w:p>
    <w:p w:rsidR="009A3D78" w:rsidRPr="00891173" w:rsidRDefault="009A3D78" w:rsidP="009A3D78">
      <w:pPr>
        <w:spacing w:after="120" w:line="360" w:lineRule="auto"/>
        <w:jc w:val="both"/>
      </w:pPr>
    </w:p>
    <w:p w:rsidR="008B3E43" w:rsidRPr="00891173" w:rsidRDefault="008B3E43">
      <w:pPr>
        <w:spacing w:after="200" w:line="276" w:lineRule="auto"/>
      </w:pPr>
      <w:r w:rsidRPr="00891173">
        <w:br w:type="page"/>
      </w:r>
    </w:p>
    <w:p w:rsidR="006F6EAB" w:rsidRPr="00891173" w:rsidRDefault="006F6EAB" w:rsidP="00D35728">
      <w:pPr>
        <w:pStyle w:val="Heading1"/>
        <w:rPr>
          <w:b/>
          <w:sz w:val="24"/>
          <w:szCs w:val="24"/>
        </w:rPr>
      </w:pPr>
      <w:bookmarkStart w:id="0" w:name="_Toc343601992"/>
      <w:r w:rsidRPr="00891173">
        <w:rPr>
          <w:b/>
          <w:sz w:val="24"/>
          <w:szCs w:val="24"/>
        </w:rPr>
        <w:lastRenderedPageBreak/>
        <w:t>ĮVADAS</w:t>
      </w:r>
      <w:bookmarkEnd w:id="0"/>
    </w:p>
    <w:p w:rsidR="00972FB4" w:rsidRPr="00891173" w:rsidRDefault="00972FB4" w:rsidP="006F6EAB">
      <w:pPr>
        <w:spacing w:line="360" w:lineRule="auto"/>
        <w:jc w:val="center"/>
      </w:pPr>
    </w:p>
    <w:p w:rsidR="00AC37A8" w:rsidRPr="00891173" w:rsidRDefault="0082397E" w:rsidP="00AC37A8">
      <w:pPr>
        <w:spacing w:line="360" w:lineRule="auto"/>
        <w:ind w:firstLine="567"/>
        <w:jc w:val="both"/>
      </w:pPr>
      <w:r w:rsidRPr="00891173">
        <w:rPr>
          <w:b/>
        </w:rPr>
        <w:t>Temos aktualumas.</w:t>
      </w:r>
      <w:r w:rsidRPr="00891173">
        <w:t xml:space="preserve"> </w:t>
      </w:r>
      <w:r w:rsidR="00AC37A8" w:rsidRPr="00891173">
        <w:t>Investavimas į investicinius fondus išpopuliarėjo praėjusio amžiaus paskutinį dešimtmetį Vakarų šalyse (JAV ir Vaka</w:t>
      </w:r>
      <w:r w:rsidR="00705CD4" w:rsidRPr="00891173">
        <w:t>rų Europoje). Tam įtakos turėjo tai,</w:t>
      </w:r>
      <w:r w:rsidR="00AC37A8" w:rsidRPr="00891173">
        <w:t xml:space="preserve"> kad gyventojams neapsimokėjo kaupti sumas, kurios sąlyginai buvo mažos, </w:t>
      </w:r>
      <w:r w:rsidR="00705CD4" w:rsidRPr="00891173">
        <w:t xml:space="preserve">o </w:t>
      </w:r>
      <w:r w:rsidR="00AC37A8" w:rsidRPr="00891173">
        <w:t xml:space="preserve"> jas investuoti buvo sunku ir brangu. Tačiau </w:t>
      </w:r>
      <w:r w:rsidR="00705CD4" w:rsidRPr="00891173">
        <w:t xml:space="preserve"> kai žmonių pinigus sudedi</w:t>
      </w:r>
      <w:r w:rsidR="00AC37A8" w:rsidRPr="00891173">
        <w:t xml:space="preserve"> į bendrą fondą, susidaro pakankamai didelė suma, </w:t>
      </w:r>
      <w:r w:rsidR="00466B9E" w:rsidRPr="00891173">
        <w:t>todėl ją</w:t>
      </w:r>
      <w:r w:rsidR="00AC37A8" w:rsidRPr="00891173">
        <w:t xml:space="preserve"> galima efektyviai investuoti. Kita svarbi priežastis – tai, kad investicinius fondus valdo profesionalūs fondo valdytojai, kurie turi atitinkamų žinių. Gyventojams nebereikia domėtis apie kiekvieną bendrovę, jos veiklą,</w:t>
      </w:r>
      <w:r w:rsidR="00466B9E" w:rsidRPr="00891173">
        <w:t xml:space="preserve"> žinoti įvairius fondų vertinimo metodus ir mokėti jais naudotis. Visa tai</w:t>
      </w:r>
      <w:r w:rsidR="00AC37A8" w:rsidRPr="00891173">
        <w:t xml:space="preserve"> atima daug laiko ir pastangų. Todėl yra </w:t>
      </w:r>
      <w:r w:rsidR="00466B9E" w:rsidRPr="00891173">
        <w:t xml:space="preserve">labai </w:t>
      </w:r>
      <w:r w:rsidR="00AC37A8" w:rsidRPr="00891173">
        <w:t>patogu, kai fondo valdytojai profesionaliai diversifikuoja vertybinių popierių portfelį pagal skirtingus investuotojų tikslus.</w:t>
      </w:r>
    </w:p>
    <w:p w:rsidR="00AC37A8" w:rsidRPr="00891173" w:rsidRDefault="00AC37A8" w:rsidP="00AC37A8">
      <w:pPr>
        <w:spacing w:line="360" w:lineRule="auto"/>
        <w:ind w:firstLine="567"/>
        <w:jc w:val="both"/>
      </w:pPr>
      <w:r w:rsidRPr="00891173">
        <w:t>Šiuo metu Lietuvoje informacijos apie investavimą į investicinius fondus yra pakankamai nemažai.</w:t>
      </w:r>
      <w:r w:rsidR="00466B9E" w:rsidRPr="00891173">
        <w:t xml:space="preserve"> Tuo labiau, kad 2001-2003 m. Lietuvoje buvo 5 investiciniai fondai (1 Lietuvos licenzijuotas ir 4 užsienio </w:t>
      </w:r>
      <w:r w:rsidR="00705CD4" w:rsidRPr="00891173">
        <w:t xml:space="preserve">fondai </w:t>
      </w:r>
      <w:r w:rsidR="00466B9E" w:rsidRPr="00891173">
        <w:t xml:space="preserve">viešai platinami Lietuvoje), o šiai dienai jau yra platinama </w:t>
      </w:r>
      <w:r w:rsidR="00705CD4" w:rsidRPr="00891173">
        <w:t xml:space="preserve">net </w:t>
      </w:r>
      <w:r w:rsidR="00466B9E" w:rsidRPr="00891173">
        <w:t xml:space="preserve">101 investicinis fondas. Šis skaičius dar padidėtų, kadangi sudėtiniai </w:t>
      </w:r>
      <w:r w:rsidR="00705CD4" w:rsidRPr="00891173">
        <w:t xml:space="preserve">kolektyvinio investavimo subjektų </w:t>
      </w:r>
      <w:r w:rsidR="00466B9E" w:rsidRPr="00891173">
        <w:t>subfondai gali būti vertinami kaip atskiri subjektai. T</w:t>
      </w:r>
      <w:r w:rsidR="00705CD4" w:rsidRPr="00891173">
        <w:t>aigi</w:t>
      </w:r>
      <w:r w:rsidR="00466B9E" w:rsidRPr="00891173">
        <w:t xml:space="preserve"> esant didelei </w:t>
      </w:r>
      <w:r w:rsidR="00E653D8" w:rsidRPr="00891173">
        <w:t>investicinių fondų pasiūlai, susiduriama su problema, kurį fondą derėtų pasirinkti.</w:t>
      </w:r>
      <w:r w:rsidRPr="00891173">
        <w:t xml:space="preserve"> </w:t>
      </w:r>
      <w:r w:rsidR="00E653D8" w:rsidRPr="00891173">
        <w:t xml:space="preserve">Kadangi vieni investuotojai investicinius fondus renkasi pagal vienus krterijus, kiti – pagal kitus, todėl </w:t>
      </w:r>
      <w:r w:rsidRPr="00891173">
        <w:t>šiame magistriniame darbe dėmesys koncentruojamas į investicinių fondų teoriją, jų vertinimo metodus bei investicinių fondų pasirinkimo priežastis.</w:t>
      </w:r>
    </w:p>
    <w:p w:rsidR="00454289" w:rsidRPr="00891173" w:rsidRDefault="00454289" w:rsidP="00AC37A8">
      <w:pPr>
        <w:spacing w:line="360" w:lineRule="auto"/>
        <w:ind w:firstLine="567"/>
        <w:jc w:val="both"/>
      </w:pPr>
      <w:r w:rsidRPr="00891173">
        <w:rPr>
          <w:b/>
        </w:rPr>
        <w:t>Darbe sprendžiama problema</w:t>
      </w:r>
      <w:r w:rsidRPr="00891173">
        <w:t xml:space="preserve"> – </w:t>
      </w:r>
      <w:r w:rsidR="00AE146D" w:rsidRPr="00891173">
        <w:t>pagal kokius kriterijus ar vertinimo būdus reikėtų pasirinkti investicinius fondus.</w:t>
      </w:r>
    </w:p>
    <w:p w:rsidR="00BE5669" w:rsidRPr="00891173" w:rsidRDefault="00BE5669" w:rsidP="00AC37A8">
      <w:pPr>
        <w:spacing w:line="360" w:lineRule="auto"/>
        <w:ind w:firstLine="567"/>
        <w:jc w:val="both"/>
      </w:pPr>
      <w:r w:rsidRPr="00891173">
        <w:t xml:space="preserve">Darbo </w:t>
      </w:r>
      <w:r w:rsidRPr="00891173">
        <w:rPr>
          <w:b/>
        </w:rPr>
        <w:t>hipotezė</w:t>
      </w:r>
      <w:r w:rsidRPr="00891173">
        <w:t xml:space="preserve"> – Lietuvos gyventojai investicinius fondus renkasi pagal fondų praeities rezultatus.</w:t>
      </w:r>
    </w:p>
    <w:p w:rsidR="00BE5669" w:rsidRPr="00891173" w:rsidRDefault="00BE5669" w:rsidP="00AC37A8">
      <w:pPr>
        <w:spacing w:line="360" w:lineRule="auto"/>
        <w:ind w:firstLine="567"/>
        <w:jc w:val="both"/>
      </w:pPr>
      <w:r w:rsidRPr="00891173">
        <w:rPr>
          <w:b/>
        </w:rPr>
        <w:t>Tyrimo objektas</w:t>
      </w:r>
      <w:r w:rsidRPr="00891173">
        <w:t xml:space="preserve"> – Lietuvoje platinami investiciniai fondai.</w:t>
      </w:r>
    </w:p>
    <w:p w:rsidR="00AC37A8" w:rsidRPr="00891173" w:rsidRDefault="00AC37A8" w:rsidP="00AC37A8">
      <w:pPr>
        <w:spacing w:line="360" w:lineRule="auto"/>
        <w:ind w:firstLine="567"/>
        <w:jc w:val="both"/>
      </w:pPr>
      <w:r w:rsidRPr="00891173">
        <w:rPr>
          <w:b/>
        </w:rPr>
        <w:t>Darbo tikslas</w:t>
      </w:r>
      <w:r w:rsidR="00BE5669" w:rsidRPr="00891173">
        <w:t xml:space="preserve"> – įvertinus investicinių fondų veiklą Lietuvoje, nustatyti </w:t>
      </w:r>
      <w:r w:rsidR="008A3759" w:rsidRPr="00891173">
        <w:t>esminius</w:t>
      </w:r>
      <w:r w:rsidR="00BE5669" w:rsidRPr="00891173">
        <w:t xml:space="preserve"> kriterij</w:t>
      </w:r>
      <w:r w:rsidR="008A3759" w:rsidRPr="00891173">
        <w:t>us, kuriais remiasi Lietuvos gyventojai, pasirinkdami investicinius fondus</w:t>
      </w:r>
      <w:r w:rsidR="00BE5669" w:rsidRPr="00891173">
        <w:t>.</w:t>
      </w:r>
    </w:p>
    <w:p w:rsidR="00AC37A8" w:rsidRPr="00891173" w:rsidRDefault="00BE5669" w:rsidP="00AC37A8">
      <w:pPr>
        <w:spacing w:line="360" w:lineRule="auto"/>
        <w:ind w:firstLine="567"/>
        <w:jc w:val="both"/>
      </w:pPr>
      <w:r w:rsidRPr="00891173">
        <w:rPr>
          <w:b/>
        </w:rPr>
        <w:t>Darbo u</w:t>
      </w:r>
      <w:r w:rsidR="00AC37A8" w:rsidRPr="00891173">
        <w:rPr>
          <w:b/>
        </w:rPr>
        <w:t>ždaviniai</w:t>
      </w:r>
      <w:r w:rsidR="00AC37A8" w:rsidRPr="00891173">
        <w:t xml:space="preserve">: </w:t>
      </w:r>
    </w:p>
    <w:p w:rsidR="008A3759" w:rsidRPr="00891173" w:rsidRDefault="008A3759" w:rsidP="00203D2D">
      <w:pPr>
        <w:pStyle w:val="ListParagraph"/>
        <w:numPr>
          <w:ilvl w:val="0"/>
          <w:numId w:val="27"/>
        </w:numPr>
        <w:spacing w:line="360" w:lineRule="auto"/>
        <w:jc w:val="both"/>
      </w:pPr>
      <w:r w:rsidRPr="00891173">
        <w:t>Remiantis mokslinės literatūros šaltiniais, išnagrinėti investicinių fondų sampratą;</w:t>
      </w:r>
    </w:p>
    <w:p w:rsidR="00AC37A8" w:rsidRPr="00891173" w:rsidRDefault="00AC37A8" w:rsidP="00203D2D">
      <w:pPr>
        <w:pStyle w:val="ListParagraph"/>
        <w:numPr>
          <w:ilvl w:val="0"/>
          <w:numId w:val="27"/>
        </w:numPr>
        <w:spacing w:line="360" w:lineRule="auto"/>
        <w:jc w:val="both"/>
      </w:pPr>
      <w:r w:rsidRPr="00891173">
        <w:t>suklasifikuoti investicinius fondus;</w:t>
      </w:r>
    </w:p>
    <w:p w:rsidR="00AC37A8" w:rsidRPr="00891173" w:rsidRDefault="00BE5669" w:rsidP="00203D2D">
      <w:pPr>
        <w:pStyle w:val="ListParagraph"/>
        <w:numPr>
          <w:ilvl w:val="0"/>
          <w:numId w:val="27"/>
        </w:numPr>
        <w:spacing w:line="360" w:lineRule="auto"/>
        <w:jc w:val="both"/>
      </w:pPr>
      <w:r w:rsidRPr="00891173">
        <w:t>aptarti</w:t>
      </w:r>
      <w:r w:rsidR="008A3759" w:rsidRPr="00891173">
        <w:t xml:space="preserve"> kriterijus, pasirenkant investicinį fondą</w:t>
      </w:r>
      <w:r w:rsidR="00AC37A8" w:rsidRPr="00891173">
        <w:t>;</w:t>
      </w:r>
    </w:p>
    <w:p w:rsidR="00BE5669" w:rsidRPr="00891173" w:rsidRDefault="008A3759" w:rsidP="00203D2D">
      <w:pPr>
        <w:pStyle w:val="ListParagraph"/>
        <w:numPr>
          <w:ilvl w:val="0"/>
          <w:numId w:val="27"/>
        </w:numPr>
        <w:spacing w:line="360" w:lineRule="auto"/>
        <w:jc w:val="both"/>
      </w:pPr>
      <w:r w:rsidRPr="00891173">
        <w:t xml:space="preserve">išnagrinėti investicinių fondų </w:t>
      </w:r>
      <w:r w:rsidR="00BE5669" w:rsidRPr="00891173">
        <w:t>vertinimo rodiklius;</w:t>
      </w:r>
    </w:p>
    <w:p w:rsidR="00AC37A8" w:rsidRPr="00891173" w:rsidRDefault="00AC37A8" w:rsidP="00203D2D">
      <w:pPr>
        <w:pStyle w:val="ListParagraph"/>
        <w:numPr>
          <w:ilvl w:val="0"/>
          <w:numId w:val="27"/>
        </w:numPr>
        <w:spacing w:line="360" w:lineRule="auto"/>
        <w:jc w:val="both"/>
      </w:pPr>
      <w:r w:rsidRPr="00891173">
        <w:t>ištirti Lietuvos investicinių fondų rinką;</w:t>
      </w:r>
    </w:p>
    <w:p w:rsidR="00AC37A8" w:rsidRPr="00891173" w:rsidRDefault="00AC37A8" w:rsidP="00203D2D">
      <w:pPr>
        <w:pStyle w:val="ListParagraph"/>
        <w:numPr>
          <w:ilvl w:val="0"/>
          <w:numId w:val="27"/>
        </w:numPr>
        <w:spacing w:line="360" w:lineRule="auto"/>
        <w:jc w:val="both"/>
      </w:pPr>
      <w:r w:rsidRPr="00891173">
        <w:t>išanalizuoti</w:t>
      </w:r>
      <w:r w:rsidR="0060037C" w:rsidRPr="00891173">
        <w:t xml:space="preserve"> ir įvertinti</w:t>
      </w:r>
      <w:r w:rsidRPr="00891173">
        <w:t xml:space="preserve"> Lietuvos gyventojų investavimo į investicinius fondus pasirinkimo kriterijus.</w:t>
      </w:r>
    </w:p>
    <w:p w:rsidR="00AC37A8" w:rsidRPr="00891173" w:rsidRDefault="0025711C" w:rsidP="00705CD4">
      <w:pPr>
        <w:spacing w:after="120" w:line="360" w:lineRule="auto"/>
        <w:ind w:firstLine="567"/>
        <w:jc w:val="both"/>
      </w:pPr>
      <w:r w:rsidRPr="00891173">
        <w:lastRenderedPageBreak/>
        <w:t xml:space="preserve">Darbo tikslui ir uždaviniams pasiekti naudojami šie </w:t>
      </w:r>
      <w:r w:rsidRPr="00891173">
        <w:rPr>
          <w:b/>
        </w:rPr>
        <w:t>tyrimo metodai</w:t>
      </w:r>
      <w:r w:rsidRPr="00891173">
        <w:t xml:space="preserve">: </w:t>
      </w:r>
      <w:r w:rsidR="005C57F4" w:rsidRPr="00891173">
        <w:t xml:space="preserve">sisteminė </w:t>
      </w:r>
      <w:r w:rsidRPr="00891173">
        <w:t>mokslinės literatūros ir teisinių aktų analizė, statistinių duomenų analizė ir sintezė, palyginamoji rodiklių analizė, grafinis vaizdavimas, anketinė apklausa.</w:t>
      </w:r>
    </w:p>
    <w:p w:rsidR="0025711C" w:rsidRPr="00891173" w:rsidRDefault="00E57F9B" w:rsidP="00AC37A8">
      <w:pPr>
        <w:spacing w:line="360" w:lineRule="auto"/>
        <w:ind w:firstLine="567"/>
        <w:jc w:val="both"/>
        <w:rPr>
          <w:b/>
        </w:rPr>
      </w:pPr>
      <w:r w:rsidRPr="00891173">
        <w:rPr>
          <w:b/>
        </w:rPr>
        <w:t>Darbo struktūra.</w:t>
      </w:r>
    </w:p>
    <w:p w:rsidR="00E57F9B" w:rsidRPr="00891173" w:rsidRDefault="00E57F9B" w:rsidP="00AC37A8">
      <w:pPr>
        <w:spacing w:line="360" w:lineRule="auto"/>
        <w:ind w:firstLine="567"/>
        <w:jc w:val="both"/>
      </w:pPr>
      <w:r w:rsidRPr="00891173">
        <w:t>Pirmoje, teorinėje darbo dalyje</w:t>
      </w:r>
      <w:r w:rsidR="005C57F4" w:rsidRPr="00891173">
        <w:t>,</w:t>
      </w:r>
      <w:r w:rsidRPr="00891173">
        <w:t xml:space="preserve"> analizuojant mokslinę literatūrą bei teisės aktus</w:t>
      </w:r>
      <w:r w:rsidR="005C57F4" w:rsidRPr="00891173">
        <w:t>,</w:t>
      </w:r>
      <w:r w:rsidRPr="00891173">
        <w:t xml:space="preserve"> nustatomi investicinių fondų ypatumai bei pateikiama išsami fondų klasifikacija. Taip pat atliekama investicinių fondų pasirinkimo kriterijų apžvalga, nurodomi pagrindiniai fondų vertinimo metodai, išskiriant jų pranašumus ir trūkumus.</w:t>
      </w:r>
    </w:p>
    <w:p w:rsidR="00E57F9B" w:rsidRPr="00891173" w:rsidRDefault="00E57F9B" w:rsidP="00AC37A8">
      <w:pPr>
        <w:spacing w:line="360" w:lineRule="auto"/>
        <w:ind w:firstLine="567"/>
        <w:jc w:val="both"/>
      </w:pPr>
      <w:r w:rsidRPr="00891173">
        <w:t>Antroje darbo dalyje</w:t>
      </w:r>
      <w:r w:rsidR="00891173">
        <w:t xml:space="preserve"> suformuluojamas tyrimo modelis, nurodant </w:t>
      </w:r>
      <w:r w:rsidR="00891173" w:rsidRPr="00891173">
        <w:t xml:space="preserve">kokie metodai </w:t>
      </w:r>
      <w:r w:rsidR="00891173">
        <w:t>ir duomenys</w:t>
      </w:r>
      <w:r w:rsidR="00891173" w:rsidRPr="00891173">
        <w:t xml:space="preserve"> naudojami analizėje</w:t>
      </w:r>
      <w:r w:rsidR="00891173">
        <w:t>.</w:t>
      </w:r>
    </w:p>
    <w:p w:rsidR="00E57F9B" w:rsidRPr="00891173" w:rsidRDefault="00CC50FE" w:rsidP="00891173">
      <w:pPr>
        <w:spacing w:line="360" w:lineRule="auto"/>
        <w:ind w:firstLine="567"/>
        <w:jc w:val="both"/>
      </w:pPr>
      <w:r w:rsidRPr="00891173">
        <w:t xml:space="preserve">Trečioje dalyje </w:t>
      </w:r>
      <w:r w:rsidR="00891173" w:rsidRPr="00891173">
        <w:t>tiriama Lietuvos investicinių fondų rinka: apžvelgiamas investicinių fondų veiklos reguliavimas, analizuojama investicinių fondų dinamika ir pasiskirstymas pagal tipus, atliekamas investicinių fondų vertinimas atsižvelgiant į riziką.</w:t>
      </w:r>
      <w:r w:rsidR="00891173">
        <w:t xml:space="preserve"> Taip pat </w:t>
      </w:r>
      <w:r w:rsidRPr="00891173">
        <w:t>atliekamas</w:t>
      </w:r>
      <w:r w:rsidR="00891173">
        <w:t xml:space="preserve"> anketinis</w:t>
      </w:r>
      <w:r w:rsidRPr="00891173">
        <w:t xml:space="preserve"> tyrimas, </w:t>
      </w:r>
      <w:r w:rsidR="00891173">
        <w:t xml:space="preserve">kuris </w:t>
      </w:r>
      <w:r w:rsidRPr="00891173">
        <w:t>padeda pagrįsti arba paneigti darbo hipotezę.</w:t>
      </w:r>
    </w:p>
    <w:p w:rsidR="00676026" w:rsidRPr="00891173" w:rsidRDefault="00676026" w:rsidP="00AC37A8">
      <w:pPr>
        <w:tabs>
          <w:tab w:val="left" w:leader="dot" w:pos="9356"/>
        </w:tabs>
        <w:spacing w:line="360" w:lineRule="auto"/>
        <w:ind w:firstLine="567"/>
        <w:jc w:val="both"/>
      </w:pPr>
    </w:p>
    <w:p w:rsidR="00676026" w:rsidRPr="00891173" w:rsidRDefault="00676026" w:rsidP="00676026">
      <w:pPr>
        <w:spacing w:after="200" w:line="276" w:lineRule="auto"/>
      </w:pPr>
      <w:r w:rsidRPr="00891173">
        <w:br w:type="page"/>
      </w:r>
    </w:p>
    <w:p w:rsidR="00676026" w:rsidRPr="00891173" w:rsidRDefault="00676026" w:rsidP="007C68AF">
      <w:pPr>
        <w:pStyle w:val="Heading2"/>
        <w:spacing w:before="120"/>
        <w:ind w:left="714" w:hanging="357"/>
        <w:rPr>
          <w:b/>
        </w:rPr>
      </w:pPr>
      <w:bookmarkStart w:id="1" w:name="_Toc343601993"/>
      <w:r w:rsidRPr="00891173">
        <w:rPr>
          <w:b/>
        </w:rPr>
        <w:lastRenderedPageBreak/>
        <w:t>INVESTICINIAI FONDAI KONCEPTUALIU POŽIŪRIU</w:t>
      </w:r>
      <w:bookmarkEnd w:id="1"/>
    </w:p>
    <w:p w:rsidR="00676026" w:rsidRPr="00891173" w:rsidRDefault="00676026" w:rsidP="0082397E">
      <w:pPr>
        <w:pStyle w:val="Heading3"/>
        <w:spacing w:before="240"/>
        <w:ind w:left="714" w:hanging="357"/>
        <w:rPr>
          <w:b/>
        </w:rPr>
      </w:pPr>
      <w:bookmarkStart w:id="2" w:name="_Toc343601994"/>
      <w:r w:rsidRPr="00891173">
        <w:rPr>
          <w:b/>
        </w:rPr>
        <w:t>Investicinių fondų ypatumai</w:t>
      </w:r>
      <w:bookmarkEnd w:id="2"/>
    </w:p>
    <w:p w:rsidR="00676026" w:rsidRPr="00891173" w:rsidRDefault="00676026" w:rsidP="00143024">
      <w:pPr>
        <w:spacing w:line="360" w:lineRule="auto"/>
        <w:ind w:firstLine="567"/>
        <w:jc w:val="both"/>
      </w:pPr>
      <w:r w:rsidRPr="00891173">
        <w:t xml:space="preserve">Žmonės, norėdami užtikrinti savo gyvenimą ateityje, taupo pinigus. Jie virsta santaupomis, kai lieka disponuojamos pajamos, sumokėjus valstybei mokesčius ir atsiskaičius už prekes ir paslaugas. Vadinasi, ūkio subjektai uždirba daugiau nei išleidžia. Tačiau šios santaupos laikui bėgant nuvertėja ir šiuolaikiniame pasaulyje, norima jas padidinti. Todėl tuo metu atsiranda toks reiškinys, kaip investavimas. </w:t>
      </w:r>
    </w:p>
    <w:p w:rsidR="00676026" w:rsidRPr="00891173" w:rsidRDefault="00676026" w:rsidP="00143024">
      <w:pPr>
        <w:spacing w:line="360" w:lineRule="auto"/>
        <w:ind w:firstLine="567"/>
        <w:jc w:val="both"/>
      </w:pPr>
      <w:r w:rsidRPr="00891173">
        <w:t>Pasak Gitano Kancerevyčiaus, investavimas bendriausia prasme reiškia dabartinio vartojimo atsisakymą dėl ateities vartojimo. Lietuvos Respublikos investicijų įstatyme (2003) pateiktas toks apibrėžimas: „investavimas - šio įstatymo</w:t>
      </w:r>
      <w:r w:rsidRPr="00891173">
        <w:rPr>
          <w:i/>
          <w:iCs/>
        </w:rPr>
        <w:t xml:space="preserve"> </w:t>
      </w:r>
      <w:r w:rsidRPr="00891173">
        <w:t>nustatytais būdais atliekami</w:t>
      </w:r>
      <w:r w:rsidRPr="00891173">
        <w:rPr>
          <w:i/>
          <w:iCs/>
        </w:rPr>
        <w:t xml:space="preserve"> </w:t>
      </w:r>
      <w:r w:rsidRPr="00891173">
        <w:t>investuotojo veiksmai, kuriais</w:t>
      </w:r>
      <w:r w:rsidRPr="00891173">
        <w:rPr>
          <w:i/>
          <w:iCs/>
        </w:rPr>
        <w:t xml:space="preserve"> </w:t>
      </w:r>
      <w:r w:rsidRPr="00891173">
        <w:t>jis įgyja nuosavybės teisę</w:t>
      </w:r>
      <w:r w:rsidRPr="00891173">
        <w:rPr>
          <w:i/>
          <w:iCs/>
        </w:rPr>
        <w:t xml:space="preserve"> </w:t>
      </w:r>
      <w:r w:rsidRPr="00891173">
        <w:t>arba kreditoriaus reikalavimo teisę</w:t>
      </w:r>
      <w:r w:rsidRPr="00891173">
        <w:rPr>
          <w:i/>
          <w:iCs/>
        </w:rPr>
        <w:t xml:space="preserve"> </w:t>
      </w:r>
      <w:r w:rsidRPr="00891173">
        <w:t>į investavimo objektą arba teisę šį objektą valdyti ir naudoti“.</w:t>
      </w:r>
    </w:p>
    <w:p w:rsidR="00676026" w:rsidRPr="00891173" w:rsidRDefault="00676026" w:rsidP="00143024">
      <w:pPr>
        <w:spacing w:line="360" w:lineRule="auto"/>
        <w:ind w:firstLine="567"/>
        <w:jc w:val="both"/>
      </w:pPr>
      <w:r w:rsidRPr="00891173">
        <w:t>Terminas investicijos (lot. invest – įdėti) apibūdinamas kaip „laikinai laisvų lėšų įdėjimas į turtą arba ekonominę veiklą siekiant išsaugoti įdėtų lėšų vertę ir ateityje gauti pelną pinigais arba įdėtų lėšų vertės prieaugiu“ (Pečiulis, Šiaudinis, 1998, p. 9). Lietuvos Respublikos investicijų įstatyme (1999) investicijos apibrėžiamos kaip piniginės lėšos ir įstatymais bei kitais teisės aktais nustatyta tvarka įvertintas materialusis, nematerialusis ir finansinis turtas, kuris investuojamas</w:t>
      </w:r>
      <w:r w:rsidR="0000373A" w:rsidRPr="00891173">
        <w:t>,</w:t>
      </w:r>
      <w:r w:rsidRPr="00891173">
        <w:t xml:space="preserve"> siekiant iš investavimo objekto gauti pelno (pajamų), socialinį rezultatą (švietimo, kultūros, mokslo, sveikatos ir socialinės apsaugos bei kitose panašiose srityse) arba užtikrinti valstybės funkcijų įgyvendinimą. Apibendrintai, galima teigti, kad kiekviename investicijų apibrėžime atsispindi trys investicijų bruožai: </w:t>
      </w:r>
    </w:p>
    <w:p w:rsidR="00676026" w:rsidRPr="00891173" w:rsidRDefault="00676026" w:rsidP="00143024">
      <w:pPr>
        <w:spacing w:line="360" w:lineRule="auto"/>
        <w:ind w:firstLine="567"/>
        <w:jc w:val="both"/>
      </w:pPr>
      <w:r w:rsidRPr="00891173">
        <w:t xml:space="preserve">1) investavimo metu kažko atsisakoma, </w:t>
      </w:r>
    </w:p>
    <w:p w:rsidR="00676026" w:rsidRPr="00891173" w:rsidRDefault="00676026" w:rsidP="00143024">
      <w:pPr>
        <w:spacing w:line="360" w:lineRule="auto"/>
        <w:ind w:firstLine="567"/>
        <w:jc w:val="both"/>
      </w:pPr>
      <w:r w:rsidRPr="00891173">
        <w:t xml:space="preserve">2) investuojant laukiama kokios nors naudos ateityje, </w:t>
      </w:r>
    </w:p>
    <w:p w:rsidR="00676026" w:rsidRPr="00891173" w:rsidRDefault="00676026" w:rsidP="00143024">
      <w:pPr>
        <w:spacing w:line="360" w:lineRule="auto"/>
        <w:ind w:firstLine="567"/>
        <w:jc w:val="both"/>
      </w:pPr>
      <w:r w:rsidRPr="00891173">
        <w:t>3) kiekvieno investavimo metu yra rizikuojama.</w:t>
      </w:r>
    </w:p>
    <w:p w:rsidR="00676026" w:rsidRPr="00891173" w:rsidRDefault="00676026" w:rsidP="00143024">
      <w:pPr>
        <w:spacing w:line="360" w:lineRule="auto"/>
        <w:ind w:firstLine="567"/>
        <w:jc w:val="both"/>
      </w:pPr>
      <w:r w:rsidRPr="00891173">
        <w:rPr>
          <w:bCs/>
        </w:rPr>
        <w:t>Investuotojai</w:t>
      </w:r>
      <w:r w:rsidRPr="00891173">
        <w:t xml:space="preserve"> – Lietuvos Respublika bei užsienio valstybės, tarptautinės organizacijos, Lietuvos Respublikos ir užsienio juridiniai ir fiziniai asmenys, kurie Lietuvos Respublikos įstatymų nustatyta tvarka investuoja nuosavą, skolintą ar patikėjimo teise valdomą bei naudojamą turtą</w:t>
      </w:r>
      <w:r w:rsidRPr="00891173">
        <w:rPr>
          <w:b/>
        </w:rPr>
        <w:t>.</w:t>
      </w:r>
      <w:r w:rsidRPr="00891173">
        <w:t xml:space="preserve"> Investuotojai gali rinktis du investavimo būdus: pasyvias ir aktyvias investicijas. Pastarosios, aktyvios investicijos, egzistuoja, kai investuotojas aktyviai dalyvauja investavimo procese, t.y. turi kontrolinį įmonės akcijų paketą, tiesiogiai dalyvauja tiek priimant sprendimus, tiek teikiant pasiūlymus. Pasyvus investavimas yra tada, kai pats investuotojas tiesiogiai nedalyvauja įmonės valdyme, savarankiškai nesprendžia įvairių klausimų, o naudojasi finansinio tarpininkavimo profesionalų paslaugomis. Kadangi magistrinio darbo objektas yra priskiriamas pasyviam investavimo būdui, tai toliau bus nagrinėjama tik šis tipas, nekreipiant dėmesio į aktyvų investavimą.</w:t>
      </w:r>
    </w:p>
    <w:p w:rsidR="00676026" w:rsidRPr="00891173" w:rsidRDefault="00676026" w:rsidP="00143024">
      <w:pPr>
        <w:spacing w:line="360" w:lineRule="auto"/>
        <w:ind w:firstLine="567"/>
        <w:jc w:val="both"/>
      </w:pPr>
      <w:r w:rsidRPr="00891173">
        <w:t xml:space="preserve">Investiciniai fondai išpopuliarėjo Vakarų šalyse XX amžiaus paskutinį dešimtmetį. Anksčiau mažas pinigų sumas buvo sunku ir brangu investuoti, todėl atsirado poreikis sujungti žmonių pinigus į </w:t>
      </w:r>
      <w:r w:rsidRPr="00891173">
        <w:lastRenderedPageBreak/>
        <w:t>bendrą sumą. Ji pasidaro labai didelė ir tuomet jau galima efektyviai ją investuoti. Dažnai žmonės renkasi investavimą į investicinius fondus dėl žinių trūkumo, nepasitikėjimo savimi kaip pradėti šią veiklą.</w:t>
      </w:r>
    </w:p>
    <w:p w:rsidR="00676026" w:rsidRPr="00891173" w:rsidRDefault="00676026" w:rsidP="00143024">
      <w:pPr>
        <w:autoSpaceDE w:val="0"/>
        <w:autoSpaceDN w:val="0"/>
        <w:adjustRightInd w:val="0"/>
        <w:spacing w:line="360" w:lineRule="auto"/>
        <w:ind w:firstLine="567"/>
        <w:jc w:val="both"/>
      </w:pPr>
      <w:r w:rsidRPr="00891173">
        <w:t>Investicinio fondo sąvoka tiksliai apibrėžta buvo 1940 metais, kai JAV išleido Investicinių bendrovių įstatymą. Išanalizavus mokslinės literatūros šaltinius, galime pastebėti, jog vietoj tikslaus investicinio fondo apibrėžimo, šiuolaikinė literatūra labiau analizuoja investicinių fondų rūšis, pasirinkimo klausimus bei kitas įvairias problemas. Pastebėta, kad mokslin</w:t>
      </w:r>
      <w:r w:rsidR="0000373A" w:rsidRPr="00891173">
        <w:t>ėje literatūroje, remiamasi ne</w:t>
      </w:r>
      <w:r w:rsidRPr="00891173">
        <w:t xml:space="preserve"> mokslininkų suformuluotais apibrėžimais, o pasauliniai sutartais terminais, pateiktais tokių organizacijų kaip Pasaulio bankas (PB), Europos fondų ir turto valdymo asociacija (EFTA) ir kt.</w:t>
      </w:r>
    </w:p>
    <w:p w:rsidR="00676026" w:rsidRPr="00891173" w:rsidRDefault="00676026" w:rsidP="00143024">
      <w:pPr>
        <w:autoSpaceDE w:val="0"/>
        <w:autoSpaceDN w:val="0"/>
        <w:adjustRightInd w:val="0"/>
        <w:spacing w:line="360" w:lineRule="auto"/>
        <w:ind w:firstLine="567"/>
        <w:jc w:val="both"/>
      </w:pPr>
      <w:r w:rsidRPr="00891173">
        <w:t>Pagal Lietuvos Kolektyvinio investavimo subjektų įstatymą (2003) investicinis fondas –</w:t>
      </w:r>
      <w:r w:rsidRPr="00891173">
        <w:rPr>
          <w:b/>
        </w:rPr>
        <w:t xml:space="preserve"> </w:t>
      </w:r>
      <w:r w:rsidRPr="00891173">
        <w:t>veiklos forma, kai bendrosios dalinės nuosavybės teise juridiniams ar fiziniams asmenims priklausantis turtas</w:t>
      </w:r>
      <w:r w:rsidR="0000373A" w:rsidRPr="00891173">
        <w:t>,</w:t>
      </w:r>
      <w:r w:rsidRPr="00891173">
        <w:t xml:space="preserve"> valdymo įmonės valdomas patikėjimo teise</w:t>
      </w:r>
      <w:r w:rsidR="0000373A" w:rsidRPr="00891173">
        <w:t>,</w:t>
      </w:r>
      <w:r w:rsidRPr="00891173">
        <w:t xml:space="preserve"> laikantis Lietuvos Respublikos kolektyvinio investavimo įstatymo ir investicinio fondo taisyklėse nustatytos tvarkos ir sąlygų. Magistrinio darbo autorės nuomone, šis apibrėžimas yra gan sudėtingas paprastiems visuomenės nariams, todėl būtina paanalizuoti ir kitų šaltinių pateiktas koncepcijas.</w:t>
      </w:r>
    </w:p>
    <w:p w:rsidR="00676026" w:rsidRPr="00891173" w:rsidRDefault="00676026" w:rsidP="00143024">
      <w:pPr>
        <w:autoSpaceDE w:val="0"/>
        <w:autoSpaceDN w:val="0"/>
        <w:adjustRightInd w:val="0"/>
        <w:spacing w:line="360" w:lineRule="auto"/>
        <w:ind w:firstLine="567"/>
        <w:jc w:val="both"/>
      </w:pPr>
      <w:r w:rsidRPr="00891173">
        <w:t>Investicinė bendrovė</w:t>
      </w:r>
      <w:r w:rsidRPr="00891173">
        <w:rPr>
          <w:rStyle w:val="FootnoteReference"/>
        </w:rPr>
        <w:footnoteReference w:id="1"/>
      </w:r>
      <w:r w:rsidRPr="00891173">
        <w:t xml:space="preserve"> (angl. investment company) apibūdinama kaip finansinių paslaugų organizacija, kuri viešai parduoda savo akcijas, o gautas lėšas naudoja investicijoms į tokių finansinių instrumentų, kaip pinigų rinkos instrumentai, akcijos ir obligacijos ar kt., portfelį (Kancerevyčius, 2006). Investicinės bendrovės gali būti kintamojo kapitalo (atviro tipo) arba uždaro tipo. Pastarojo tipo bendrovės išleidžia fiksuotą akcijų skaičių, kurios išperkamos pasibaigus akcinės bendrovės (AB) įstatuose numatytam veiklos laikotarpiui arba kitam</w:t>
      </w:r>
      <w:r w:rsidR="0000373A" w:rsidRPr="00891173">
        <w:t>,</w:t>
      </w:r>
      <w:r w:rsidRPr="00891173">
        <w:t xml:space="preserve"> iš anksto nustatytam laikui. Atvirojo tipo investicinės bendrovės akcininkai turi teisę bet kada pareikalauti išpirkti savas akcijas, o jos kapitalo dydis kinta</w:t>
      </w:r>
      <w:r w:rsidR="0000373A" w:rsidRPr="00891173">
        <w:t>,</w:t>
      </w:r>
      <w:r w:rsidRPr="00891173">
        <w:t xml:space="preserve"> priklausomai nuo akcijų išleidimo ir išpirkimo.</w:t>
      </w:r>
    </w:p>
    <w:p w:rsidR="00676026" w:rsidRPr="00891173" w:rsidRDefault="00676026" w:rsidP="00143024">
      <w:pPr>
        <w:autoSpaceDE w:val="0"/>
        <w:autoSpaceDN w:val="0"/>
        <w:adjustRightInd w:val="0"/>
        <w:spacing w:line="360" w:lineRule="auto"/>
        <w:ind w:firstLine="567"/>
        <w:jc w:val="both"/>
      </w:pPr>
      <w:r w:rsidRPr="00891173">
        <w:t>Investiciniai fondai – „tai žmonių sudėti pinigai, investuojami siekiant ateityje gauti papildomų pajamų“. (</w:t>
      </w:r>
      <w:r w:rsidRPr="00891173">
        <w:rPr>
          <w:rStyle w:val="searchrezleft6"/>
        </w:rPr>
        <w:t>„Investuok“ fondų knyga, 2008 12 31, 2009,</w:t>
      </w:r>
      <w:r w:rsidRPr="00891173">
        <w:t xml:space="preserve"> 13 p.) Šį apibūdinimą pateikia interviu dalyviai I. Ryklys ir J. Ivaška. Pateiktas apibūdinimas yra per daug abstraktus, nes neatspindi investicinio fondo veiklos ypatumų. Reikėtų prie apibrėžimo pridurti, kad visos suneštos investuotojų lėšos investuojamos į įvairius vertybinius popierius. </w:t>
      </w:r>
    </w:p>
    <w:p w:rsidR="00676026" w:rsidRPr="00891173" w:rsidRDefault="00676026" w:rsidP="00143024">
      <w:pPr>
        <w:autoSpaceDE w:val="0"/>
        <w:autoSpaceDN w:val="0"/>
        <w:adjustRightInd w:val="0"/>
        <w:spacing w:line="360" w:lineRule="auto"/>
        <w:ind w:firstLine="567"/>
        <w:jc w:val="both"/>
      </w:pPr>
      <w:r w:rsidRPr="00891173">
        <w:t>Kitame straipsnyje, kuris</w:t>
      </w:r>
      <w:r w:rsidR="00D03A53" w:rsidRPr="00891173">
        <w:t xml:space="preserve"> buvo</w:t>
      </w:r>
      <w:r w:rsidRPr="00891173">
        <w:t xml:space="preserve"> parengtas</w:t>
      </w:r>
      <w:r w:rsidR="00D03A53" w:rsidRPr="00891173">
        <w:t>,</w:t>
      </w:r>
      <w:r w:rsidRPr="00891173">
        <w:t xml:space="preserve"> konsultuojant LR Vertybinių popierių komisijai, investiciniai fondai apibrėžiami, kaip didelis vertybinių popierių portfelis (akcijų ir obligacijų rinkinys), kurį valdo profesionalūs fondų valdytojai. </w:t>
      </w:r>
    </w:p>
    <w:p w:rsidR="00676026" w:rsidRPr="00891173" w:rsidRDefault="00676026" w:rsidP="00143024">
      <w:pPr>
        <w:autoSpaceDE w:val="0"/>
        <w:autoSpaceDN w:val="0"/>
        <w:adjustRightInd w:val="0"/>
        <w:spacing w:line="360" w:lineRule="auto"/>
        <w:ind w:firstLine="567"/>
        <w:jc w:val="both"/>
      </w:pPr>
      <w:r w:rsidRPr="00891173">
        <w:t xml:space="preserve">„Verslo žinių“ žurnalo autorių išleistoje knygoje „Investuotojo ABC“ investiciniai fondai apibūdinami vienu žodžiu – fondai. Jų teigimu, „fondas – tai didelis akcijų, obligacijų ar kitų </w:t>
      </w:r>
      <w:r w:rsidRPr="00891173">
        <w:lastRenderedPageBreak/>
        <w:t>vertybinių popierių portfelis, kuris priklauso</w:t>
      </w:r>
      <w:r w:rsidR="00D03A53" w:rsidRPr="00891173">
        <w:t xml:space="preserve"> tam tikrai investuotojų grupei</w:t>
      </w:r>
      <w:r w:rsidRPr="00891173">
        <w:t>“ (Investuotojo ABC, 2006, 78p.)</w:t>
      </w:r>
      <w:r w:rsidR="00D03A53" w:rsidRPr="00891173">
        <w:t>.</w:t>
      </w:r>
    </w:p>
    <w:p w:rsidR="00676026" w:rsidRPr="00891173" w:rsidRDefault="00676026" w:rsidP="00143024">
      <w:pPr>
        <w:autoSpaceDE w:val="0"/>
        <w:autoSpaceDN w:val="0"/>
        <w:adjustRightInd w:val="0"/>
        <w:spacing w:line="360" w:lineRule="auto"/>
        <w:ind w:firstLine="567"/>
        <w:jc w:val="both"/>
      </w:pPr>
      <w:r w:rsidRPr="00891173">
        <w:t>Peržiūrėjus Lietuvos komercinių bankų internetinius puslapius, investiciniai fondai apibrėžiami panašiai. Jie apibūdinami kaip investuotojų sunešti pinigai, kuriuos fondas investuoja į įvairius vertybinius popierius, pagal pasirinktą fondo strategiją.</w:t>
      </w:r>
    </w:p>
    <w:p w:rsidR="00676026" w:rsidRPr="00891173" w:rsidRDefault="00676026" w:rsidP="00143024">
      <w:pPr>
        <w:autoSpaceDE w:val="0"/>
        <w:autoSpaceDN w:val="0"/>
        <w:adjustRightInd w:val="0"/>
        <w:spacing w:line="360" w:lineRule="auto"/>
        <w:ind w:firstLine="567"/>
        <w:jc w:val="both"/>
      </w:pPr>
      <w:r w:rsidRPr="00891173">
        <w:t xml:space="preserve">Mačerinskienė, Volodskienė (2006) teigia, kad investicinis fondas dažniausiai apibrėžiamas kaip investicinė bendrovė, kuri pritraukia fizinių ir juridinių asmenų lėšas bei jas investuoja į įvairius vertybinius popierius. Tuo tarpu mokslininkai Bivainis ir Volodzkienė (2008) pastebi, jog šiuo apibrėžimu, neatsižvelgiama į naujausias investavimo alternatyvas, </w:t>
      </w:r>
      <w:r w:rsidR="002A0697" w:rsidRPr="00891173">
        <w:t xml:space="preserve">todėl </w:t>
      </w:r>
      <w:r w:rsidRPr="00891173">
        <w:t>šie mokslininkai siūlo investicinį fondą traktuoti kaip investicinę bendrovę, kuri pritraukia fizinių ir juridinių asmenų lėšas bei investuoja į finansinį turtą (akcijas, obligacijas) ir materialųjį turtą (nekilnojamąjį turtą).</w:t>
      </w:r>
    </w:p>
    <w:p w:rsidR="00676026" w:rsidRPr="00891173" w:rsidRDefault="00676026" w:rsidP="00143024">
      <w:pPr>
        <w:autoSpaceDE w:val="0"/>
        <w:autoSpaceDN w:val="0"/>
        <w:adjustRightInd w:val="0"/>
        <w:spacing w:line="360" w:lineRule="auto"/>
        <w:ind w:firstLine="567"/>
        <w:jc w:val="both"/>
        <w:rPr>
          <w:rFonts w:eastAsiaTheme="minorHAnsi"/>
          <w:lang w:eastAsia="en-US"/>
        </w:rPr>
      </w:pPr>
      <w:r w:rsidRPr="00891173">
        <w:rPr>
          <w:rFonts w:eastAsiaTheme="minorHAnsi"/>
          <w:bCs/>
          <w:lang w:eastAsia="en-US"/>
        </w:rPr>
        <w:t>I. Kucko (2003)</w:t>
      </w:r>
      <w:r w:rsidRPr="00891173">
        <w:rPr>
          <w:rFonts w:eastAsiaTheme="minorHAnsi"/>
          <w:b/>
          <w:bCs/>
          <w:lang w:eastAsia="en-US"/>
        </w:rPr>
        <w:t xml:space="preserve">  </w:t>
      </w:r>
      <w:r w:rsidRPr="00891173">
        <w:rPr>
          <w:rFonts w:eastAsiaTheme="minorHAnsi"/>
          <w:bCs/>
          <w:lang w:eastAsia="en-US"/>
        </w:rPr>
        <w:t>investicinį fondą a</w:t>
      </w:r>
      <w:r w:rsidR="00F81D24" w:rsidRPr="00891173">
        <w:rPr>
          <w:rFonts w:eastAsiaTheme="minorHAnsi"/>
          <w:bCs/>
          <w:lang w:eastAsia="en-US"/>
        </w:rPr>
        <w:t>p</w:t>
      </w:r>
      <w:r w:rsidRPr="00891173">
        <w:rPr>
          <w:rFonts w:eastAsiaTheme="minorHAnsi"/>
          <w:bCs/>
          <w:lang w:eastAsia="en-US"/>
        </w:rPr>
        <w:t xml:space="preserve">ibūdina kaip </w:t>
      </w:r>
      <w:r w:rsidRPr="00891173">
        <w:rPr>
          <w:rFonts w:eastAsiaTheme="minorHAnsi"/>
          <w:lang w:eastAsia="en-US"/>
        </w:rPr>
        <w:t>finansini</w:t>
      </w:r>
      <w:r w:rsidRPr="00891173">
        <w:rPr>
          <w:rFonts w:eastAsia="TimesNewRoman"/>
          <w:lang w:eastAsia="en-US"/>
        </w:rPr>
        <w:t xml:space="preserve">ų </w:t>
      </w:r>
      <w:r w:rsidRPr="00891173">
        <w:rPr>
          <w:rFonts w:eastAsiaTheme="minorHAnsi"/>
          <w:lang w:eastAsia="en-US"/>
        </w:rPr>
        <w:t>paslaug</w:t>
      </w:r>
      <w:r w:rsidRPr="00891173">
        <w:rPr>
          <w:rFonts w:eastAsia="TimesNewRoman"/>
          <w:lang w:eastAsia="en-US"/>
        </w:rPr>
        <w:t xml:space="preserve">ų </w:t>
      </w:r>
      <w:r w:rsidRPr="00891173">
        <w:rPr>
          <w:rFonts w:eastAsiaTheme="minorHAnsi"/>
          <w:lang w:eastAsia="en-US"/>
        </w:rPr>
        <w:t>organizaciją, kuri gauna pinigus iš savo akcinink</w:t>
      </w:r>
      <w:r w:rsidRPr="00891173">
        <w:rPr>
          <w:rFonts w:eastAsia="TimesNewRoman"/>
          <w:lang w:eastAsia="en-US"/>
        </w:rPr>
        <w:t xml:space="preserve">ų </w:t>
      </w:r>
      <w:r w:rsidRPr="00891173">
        <w:rPr>
          <w:rFonts w:eastAsiaTheme="minorHAnsi"/>
          <w:lang w:eastAsia="en-US"/>
        </w:rPr>
        <w:t>ir juos savo nuoži</w:t>
      </w:r>
      <w:r w:rsidRPr="00891173">
        <w:rPr>
          <w:rFonts w:eastAsia="TimesNewRoman"/>
          <w:lang w:eastAsia="en-US"/>
        </w:rPr>
        <w:t>ū</w:t>
      </w:r>
      <w:r w:rsidR="00F81D24" w:rsidRPr="00891173">
        <w:rPr>
          <w:rFonts w:eastAsiaTheme="minorHAnsi"/>
          <w:lang w:eastAsia="en-US"/>
        </w:rPr>
        <w:t>ra investuoja į</w:t>
      </w:r>
      <w:r w:rsidRPr="00891173">
        <w:rPr>
          <w:rFonts w:eastAsiaTheme="minorHAnsi"/>
          <w:lang w:eastAsia="en-US"/>
        </w:rPr>
        <w:t xml:space="preserve"> diversifikuot</w:t>
      </w:r>
      <w:r w:rsidRPr="00891173">
        <w:rPr>
          <w:rFonts w:eastAsia="TimesNewRoman"/>
          <w:lang w:eastAsia="en-US"/>
        </w:rPr>
        <w:t xml:space="preserve">ą </w:t>
      </w:r>
      <w:r w:rsidRPr="00891173">
        <w:rPr>
          <w:rFonts w:eastAsiaTheme="minorHAnsi"/>
          <w:lang w:eastAsia="en-US"/>
        </w:rPr>
        <w:t>vertybini</w:t>
      </w:r>
      <w:r w:rsidRPr="00891173">
        <w:rPr>
          <w:rFonts w:eastAsia="TimesNewRoman"/>
          <w:lang w:eastAsia="en-US"/>
        </w:rPr>
        <w:t xml:space="preserve">ų </w:t>
      </w:r>
      <w:r w:rsidRPr="00891173">
        <w:rPr>
          <w:rFonts w:eastAsiaTheme="minorHAnsi"/>
          <w:lang w:eastAsia="en-US"/>
        </w:rPr>
        <w:t>popieri</w:t>
      </w:r>
      <w:r w:rsidRPr="00891173">
        <w:rPr>
          <w:rFonts w:eastAsia="TimesNewRoman"/>
          <w:lang w:eastAsia="en-US"/>
        </w:rPr>
        <w:t xml:space="preserve">ų </w:t>
      </w:r>
      <w:r w:rsidRPr="00891173">
        <w:rPr>
          <w:rFonts w:eastAsiaTheme="minorHAnsi"/>
          <w:lang w:eastAsia="en-US"/>
        </w:rPr>
        <w:t>portfel</w:t>
      </w:r>
      <w:r w:rsidRPr="00891173">
        <w:rPr>
          <w:rFonts w:eastAsia="TimesNewRoman"/>
          <w:lang w:eastAsia="en-US"/>
        </w:rPr>
        <w:t xml:space="preserve">į. </w:t>
      </w:r>
      <w:r w:rsidR="009F5F83" w:rsidRPr="00891173">
        <w:rPr>
          <w:rFonts w:eastAsia="TimesNewRoman"/>
          <w:lang w:eastAsia="en-US"/>
        </w:rPr>
        <w:t>Kituose šaltiniuose</w:t>
      </w:r>
      <w:r w:rsidRPr="00891173">
        <w:rPr>
          <w:rFonts w:eastAsia="TimesNewRoman"/>
          <w:lang w:eastAsia="en-US"/>
        </w:rPr>
        <w:t xml:space="preserve">, investicinis fondas – </w:t>
      </w:r>
      <w:r w:rsidRPr="00891173">
        <w:rPr>
          <w:rFonts w:eastAsiaTheme="minorHAnsi"/>
          <w:lang w:eastAsia="en-US"/>
        </w:rPr>
        <w:t>tai bendrov</w:t>
      </w:r>
      <w:r w:rsidRPr="00891173">
        <w:rPr>
          <w:rFonts w:eastAsia="TimesNewRoman"/>
          <w:lang w:eastAsia="en-US"/>
        </w:rPr>
        <w:t>ė</w:t>
      </w:r>
      <w:r w:rsidRPr="00891173">
        <w:rPr>
          <w:rFonts w:eastAsiaTheme="minorHAnsi"/>
          <w:lang w:eastAsia="en-US"/>
        </w:rPr>
        <w:t xml:space="preserve">, investuojanti </w:t>
      </w:r>
      <w:r w:rsidRPr="00891173">
        <w:rPr>
          <w:rFonts w:eastAsia="TimesNewRoman"/>
          <w:lang w:eastAsia="en-US"/>
        </w:rPr>
        <w:t xml:space="preserve">į </w:t>
      </w:r>
      <w:r w:rsidRPr="00891173">
        <w:rPr>
          <w:rFonts w:eastAsiaTheme="minorHAnsi"/>
          <w:lang w:eastAsia="en-US"/>
        </w:rPr>
        <w:t>diversifikuot</w:t>
      </w:r>
      <w:r w:rsidRPr="00891173">
        <w:rPr>
          <w:rFonts w:eastAsia="TimesNewRoman"/>
          <w:lang w:eastAsia="en-US"/>
        </w:rPr>
        <w:t xml:space="preserve">ą </w:t>
      </w:r>
      <w:r w:rsidRPr="00891173">
        <w:rPr>
          <w:rFonts w:eastAsiaTheme="minorHAnsi"/>
          <w:lang w:eastAsia="en-US"/>
        </w:rPr>
        <w:t>investicij</w:t>
      </w:r>
      <w:r w:rsidRPr="00891173">
        <w:rPr>
          <w:rFonts w:eastAsia="TimesNewRoman"/>
          <w:lang w:eastAsia="en-US"/>
        </w:rPr>
        <w:t xml:space="preserve">ų </w:t>
      </w:r>
      <w:r w:rsidRPr="00891173">
        <w:rPr>
          <w:rFonts w:eastAsiaTheme="minorHAnsi"/>
          <w:lang w:eastAsia="en-US"/>
        </w:rPr>
        <w:t>portfel</w:t>
      </w:r>
      <w:r w:rsidRPr="00891173">
        <w:rPr>
          <w:rFonts w:eastAsia="TimesNewRoman"/>
          <w:lang w:eastAsia="en-US"/>
        </w:rPr>
        <w:t>į</w:t>
      </w:r>
      <w:r w:rsidRPr="00891173">
        <w:rPr>
          <w:rFonts w:eastAsiaTheme="minorHAnsi"/>
          <w:lang w:eastAsia="en-US"/>
        </w:rPr>
        <w:t>, kuri l</w:t>
      </w:r>
      <w:r w:rsidRPr="00891173">
        <w:rPr>
          <w:rFonts w:eastAsia="TimesNewRoman"/>
          <w:lang w:eastAsia="en-US"/>
        </w:rPr>
        <w:t>ė</w:t>
      </w:r>
      <w:r w:rsidRPr="00891173">
        <w:rPr>
          <w:rFonts w:eastAsiaTheme="minorHAnsi"/>
          <w:lang w:eastAsia="en-US"/>
        </w:rPr>
        <w:t>šas investicijoms sukaupianti parduodama savo akcijas daugiausiai privatiems asmenims (nam</w:t>
      </w:r>
      <w:r w:rsidRPr="00891173">
        <w:rPr>
          <w:rFonts w:eastAsia="TimesNewRoman"/>
          <w:lang w:eastAsia="en-US"/>
        </w:rPr>
        <w:t>ų ū</w:t>
      </w:r>
      <w:r w:rsidRPr="00891173">
        <w:rPr>
          <w:rFonts w:eastAsiaTheme="minorHAnsi"/>
          <w:lang w:eastAsia="en-US"/>
        </w:rPr>
        <w:t>kiams)</w:t>
      </w:r>
      <w:r w:rsidR="009F5F83" w:rsidRPr="00891173">
        <w:rPr>
          <w:rFonts w:eastAsiaTheme="minorHAnsi"/>
          <w:lang w:eastAsia="en-US"/>
        </w:rPr>
        <w:t xml:space="preserve"> (Snieška)</w:t>
      </w:r>
      <w:r w:rsidRPr="00891173">
        <w:rPr>
          <w:rFonts w:eastAsiaTheme="minorHAnsi"/>
          <w:lang w:eastAsia="en-US"/>
        </w:rPr>
        <w:t>. Tuo tarpu kiti mokslininkai teigia, kad investicinių fondų portfelis yra diversifikuotas, o išleistos ar išleidžiamos akcijos yra išperkamosios akcijos, kuri</w:t>
      </w:r>
      <w:r w:rsidRPr="00891173">
        <w:rPr>
          <w:rFonts w:eastAsia="TimesNewRoman"/>
          <w:lang w:eastAsia="en-US"/>
        </w:rPr>
        <w:t>ų</w:t>
      </w:r>
      <w:r w:rsidRPr="00891173">
        <w:rPr>
          <w:rFonts w:eastAsiaTheme="minorHAnsi"/>
          <w:lang w:eastAsia="en-US"/>
        </w:rPr>
        <w:t xml:space="preserve"> savininkas turi teis</w:t>
      </w:r>
      <w:r w:rsidRPr="00891173">
        <w:rPr>
          <w:rFonts w:eastAsia="TimesNewRoman"/>
          <w:lang w:eastAsia="en-US"/>
        </w:rPr>
        <w:t xml:space="preserve">ę </w:t>
      </w:r>
      <w:r w:rsidRPr="00891173">
        <w:rPr>
          <w:rFonts w:eastAsiaTheme="minorHAnsi"/>
          <w:lang w:eastAsia="en-US"/>
        </w:rPr>
        <w:t>bet kuriuo metu gr</w:t>
      </w:r>
      <w:r w:rsidRPr="00891173">
        <w:rPr>
          <w:rFonts w:eastAsia="TimesNewRoman"/>
          <w:lang w:eastAsia="en-US"/>
        </w:rPr>
        <w:t>ą</w:t>
      </w:r>
      <w:r w:rsidRPr="00891173">
        <w:rPr>
          <w:rFonts w:eastAsiaTheme="minorHAnsi"/>
          <w:lang w:eastAsia="en-US"/>
        </w:rPr>
        <w:t>žinti šias akcija</w:t>
      </w:r>
      <w:r w:rsidR="009F5F83" w:rsidRPr="00891173">
        <w:rPr>
          <w:rFonts w:eastAsiaTheme="minorHAnsi"/>
          <w:lang w:eastAsia="en-US"/>
        </w:rPr>
        <w:t>s</w:t>
      </w:r>
      <w:r w:rsidRPr="00891173">
        <w:rPr>
          <w:rFonts w:eastAsiaTheme="minorHAnsi"/>
          <w:lang w:eastAsia="en-US"/>
        </w:rPr>
        <w:t xml:space="preserve"> bendrovei ir gauti už tai proporcing</w:t>
      </w:r>
      <w:r w:rsidRPr="00891173">
        <w:rPr>
          <w:rFonts w:eastAsia="TimesNewRoman"/>
          <w:lang w:eastAsia="en-US"/>
        </w:rPr>
        <w:t xml:space="preserve">ą </w:t>
      </w:r>
      <w:r w:rsidRPr="00891173">
        <w:rPr>
          <w:rFonts w:eastAsiaTheme="minorHAnsi"/>
          <w:lang w:eastAsia="en-US"/>
        </w:rPr>
        <w:t>dal</w:t>
      </w:r>
      <w:r w:rsidRPr="00891173">
        <w:rPr>
          <w:rFonts w:eastAsia="TimesNewRoman"/>
          <w:lang w:eastAsia="en-US"/>
        </w:rPr>
        <w:t xml:space="preserve">į </w:t>
      </w:r>
      <w:r w:rsidRPr="00891173">
        <w:rPr>
          <w:rFonts w:eastAsiaTheme="minorHAnsi"/>
          <w:lang w:eastAsia="en-US"/>
        </w:rPr>
        <w:t>jo nuosav</w:t>
      </w:r>
      <w:r w:rsidRPr="00891173">
        <w:rPr>
          <w:rFonts w:eastAsia="TimesNewRoman"/>
          <w:lang w:eastAsia="en-US"/>
        </w:rPr>
        <w:t xml:space="preserve">ų </w:t>
      </w:r>
      <w:r w:rsidRPr="00891173">
        <w:rPr>
          <w:rFonts w:eastAsiaTheme="minorHAnsi"/>
          <w:lang w:eastAsia="en-US"/>
        </w:rPr>
        <w:t>(gryn</w:t>
      </w:r>
      <w:r w:rsidRPr="00891173">
        <w:rPr>
          <w:rFonts w:eastAsia="TimesNewRoman"/>
          <w:lang w:eastAsia="en-US"/>
        </w:rPr>
        <w:t>ų</w:t>
      </w:r>
      <w:r w:rsidRPr="00891173">
        <w:rPr>
          <w:rFonts w:eastAsiaTheme="minorHAnsi"/>
          <w:lang w:eastAsia="en-US"/>
        </w:rPr>
        <w:t>j</w:t>
      </w:r>
      <w:r w:rsidRPr="00891173">
        <w:rPr>
          <w:rFonts w:eastAsia="TimesNewRoman"/>
          <w:lang w:eastAsia="en-US"/>
        </w:rPr>
        <w:t>ų</w:t>
      </w:r>
      <w:r w:rsidRPr="00891173">
        <w:rPr>
          <w:rFonts w:eastAsiaTheme="minorHAnsi"/>
          <w:lang w:eastAsia="en-US"/>
        </w:rPr>
        <w:t>) aktyv</w:t>
      </w:r>
      <w:r w:rsidRPr="00891173">
        <w:rPr>
          <w:rFonts w:eastAsia="TimesNewRoman"/>
          <w:lang w:eastAsia="en-US"/>
        </w:rPr>
        <w:t>ų</w:t>
      </w:r>
      <w:r w:rsidRPr="00891173">
        <w:rPr>
          <w:rFonts w:eastAsiaTheme="minorHAnsi"/>
          <w:lang w:eastAsia="en-US"/>
        </w:rPr>
        <w:t>. Taigi Lietuvių autorių siūlomuose apibrėžimuose pastebimas dėmesys finansini</w:t>
      </w:r>
      <w:r w:rsidRPr="00891173">
        <w:rPr>
          <w:rFonts w:eastAsia="TimesNewRoman"/>
          <w:lang w:eastAsia="en-US"/>
        </w:rPr>
        <w:t xml:space="preserve">ų </w:t>
      </w:r>
      <w:r w:rsidRPr="00891173">
        <w:rPr>
          <w:rFonts w:eastAsiaTheme="minorHAnsi"/>
          <w:lang w:eastAsia="en-US"/>
        </w:rPr>
        <w:t>aktyv</w:t>
      </w:r>
      <w:r w:rsidRPr="00891173">
        <w:rPr>
          <w:rFonts w:eastAsia="TimesNewRoman"/>
          <w:lang w:eastAsia="en-US"/>
        </w:rPr>
        <w:t xml:space="preserve">ų </w:t>
      </w:r>
      <w:r w:rsidRPr="00891173">
        <w:rPr>
          <w:rFonts w:eastAsiaTheme="minorHAnsi"/>
          <w:lang w:eastAsia="en-US"/>
        </w:rPr>
        <w:t>diversifikacijai, pagal kuri</w:t>
      </w:r>
      <w:r w:rsidRPr="00891173">
        <w:rPr>
          <w:rFonts w:eastAsia="TimesNewRoman"/>
          <w:lang w:eastAsia="en-US"/>
        </w:rPr>
        <w:t xml:space="preserve">ą </w:t>
      </w:r>
      <w:r w:rsidRPr="00891173">
        <w:rPr>
          <w:rFonts w:eastAsiaTheme="minorHAnsi"/>
          <w:lang w:eastAsia="en-US"/>
        </w:rPr>
        <w:t>investiciniai fondai, siekdami sumažinti rizik</w:t>
      </w:r>
      <w:r w:rsidRPr="00891173">
        <w:rPr>
          <w:rFonts w:eastAsia="TimesNewRoman"/>
          <w:lang w:eastAsia="en-US"/>
        </w:rPr>
        <w:t>ą</w:t>
      </w:r>
      <w:r w:rsidRPr="00891173">
        <w:rPr>
          <w:rFonts w:eastAsiaTheme="minorHAnsi"/>
          <w:lang w:eastAsia="en-US"/>
        </w:rPr>
        <w:t>, kuria vertybini</w:t>
      </w:r>
      <w:r w:rsidRPr="00891173">
        <w:rPr>
          <w:rFonts w:eastAsia="TimesNewRoman"/>
          <w:lang w:eastAsia="en-US"/>
        </w:rPr>
        <w:t xml:space="preserve">ų </w:t>
      </w:r>
      <w:r w:rsidRPr="00891173">
        <w:rPr>
          <w:rFonts w:eastAsiaTheme="minorHAnsi"/>
          <w:lang w:eastAsia="en-US"/>
        </w:rPr>
        <w:t>popieri</w:t>
      </w:r>
      <w:r w:rsidRPr="00891173">
        <w:rPr>
          <w:rFonts w:eastAsia="TimesNewRoman"/>
          <w:lang w:eastAsia="en-US"/>
        </w:rPr>
        <w:t xml:space="preserve">ų </w:t>
      </w:r>
      <w:r w:rsidRPr="00891173">
        <w:rPr>
          <w:rFonts w:eastAsiaTheme="minorHAnsi"/>
          <w:lang w:eastAsia="en-US"/>
        </w:rPr>
        <w:t>portfelius.</w:t>
      </w:r>
    </w:p>
    <w:p w:rsidR="00676026" w:rsidRPr="00891173" w:rsidRDefault="00676026" w:rsidP="00143024">
      <w:pPr>
        <w:autoSpaceDE w:val="0"/>
        <w:autoSpaceDN w:val="0"/>
        <w:adjustRightInd w:val="0"/>
        <w:spacing w:line="360" w:lineRule="auto"/>
        <w:ind w:firstLine="567"/>
        <w:jc w:val="both"/>
        <w:rPr>
          <w:rFonts w:eastAsiaTheme="minorHAnsi"/>
          <w:lang w:eastAsia="en-US"/>
        </w:rPr>
      </w:pPr>
      <w:r w:rsidRPr="00891173">
        <w:rPr>
          <w:rFonts w:eastAsiaTheme="minorHAnsi"/>
          <w:lang w:eastAsia="en-US"/>
        </w:rPr>
        <w:t>Bodie, Kane ir Marcus (2002) investicinio fondo sąvokoje pabr</w:t>
      </w:r>
      <w:r w:rsidRPr="00891173">
        <w:rPr>
          <w:rFonts w:eastAsia="TimesNewRoman"/>
          <w:lang w:eastAsia="en-US"/>
        </w:rPr>
        <w:t>ė</w:t>
      </w:r>
      <w:r w:rsidRPr="00891173">
        <w:rPr>
          <w:rFonts w:eastAsiaTheme="minorHAnsi"/>
          <w:lang w:eastAsia="en-US"/>
        </w:rPr>
        <w:t>žia piniginio fondo sugeneravimo proces</w:t>
      </w:r>
      <w:r w:rsidRPr="00891173">
        <w:rPr>
          <w:rFonts w:eastAsia="TimesNewRoman"/>
          <w:lang w:eastAsia="en-US"/>
        </w:rPr>
        <w:t xml:space="preserve">ą, </w:t>
      </w:r>
      <w:r w:rsidRPr="00891173">
        <w:rPr>
          <w:rFonts w:eastAsiaTheme="minorHAnsi"/>
          <w:lang w:eastAsia="en-US"/>
        </w:rPr>
        <w:t>kaip unikal</w:t>
      </w:r>
      <w:r w:rsidRPr="00891173">
        <w:rPr>
          <w:rFonts w:eastAsia="TimesNewRoman"/>
          <w:lang w:eastAsia="en-US"/>
        </w:rPr>
        <w:t xml:space="preserve">ų </w:t>
      </w:r>
      <w:r w:rsidRPr="00891173">
        <w:rPr>
          <w:rFonts w:eastAsiaTheme="minorHAnsi"/>
          <w:lang w:eastAsia="en-US"/>
        </w:rPr>
        <w:t>investicinio fondo bruož</w:t>
      </w:r>
      <w:r w:rsidRPr="00891173">
        <w:rPr>
          <w:rFonts w:eastAsia="TimesNewRoman"/>
          <w:lang w:eastAsia="en-US"/>
        </w:rPr>
        <w:t>ą</w:t>
      </w:r>
      <w:r w:rsidRPr="00891173">
        <w:rPr>
          <w:rFonts w:eastAsiaTheme="minorHAnsi"/>
          <w:lang w:eastAsia="en-US"/>
        </w:rPr>
        <w:t>. Pasak šių autorių, i</w:t>
      </w:r>
      <w:r w:rsidRPr="00891173">
        <w:rPr>
          <w:rFonts w:eastAsiaTheme="minorHAnsi"/>
          <w:bCs/>
          <w:lang w:eastAsia="en-US"/>
        </w:rPr>
        <w:t>nvesticinis fondas</w:t>
      </w:r>
      <w:r w:rsidRPr="00891173">
        <w:rPr>
          <w:rFonts w:eastAsiaTheme="minorHAnsi"/>
          <w:b/>
          <w:bCs/>
          <w:lang w:eastAsia="en-US"/>
        </w:rPr>
        <w:t xml:space="preserve"> </w:t>
      </w:r>
      <w:r w:rsidRPr="00891173">
        <w:rPr>
          <w:rFonts w:eastAsiaTheme="minorHAnsi"/>
          <w:lang w:eastAsia="en-US"/>
        </w:rPr>
        <w:t>–  tai finansiniai tarpininkai, iš individuali</w:t>
      </w:r>
      <w:r w:rsidRPr="00891173">
        <w:rPr>
          <w:rFonts w:eastAsia="TimesNewRoman"/>
          <w:lang w:eastAsia="en-US"/>
        </w:rPr>
        <w:t xml:space="preserve">ų </w:t>
      </w:r>
      <w:r w:rsidRPr="00891173">
        <w:rPr>
          <w:rFonts w:eastAsiaTheme="minorHAnsi"/>
          <w:lang w:eastAsia="en-US"/>
        </w:rPr>
        <w:t>investuotoj</w:t>
      </w:r>
      <w:r w:rsidRPr="00891173">
        <w:rPr>
          <w:rFonts w:eastAsia="TimesNewRoman"/>
          <w:lang w:eastAsia="en-US"/>
        </w:rPr>
        <w:t xml:space="preserve">ų </w:t>
      </w:r>
      <w:r w:rsidRPr="00891173">
        <w:rPr>
          <w:rFonts w:eastAsiaTheme="minorHAnsi"/>
          <w:lang w:eastAsia="en-US"/>
        </w:rPr>
        <w:t>sukuriantys pinigin</w:t>
      </w:r>
      <w:r w:rsidRPr="00891173">
        <w:rPr>
          <w:rFonts w:eastAsia="TimesNewRoman"/>
          <w:lang w:eastAsia="en-US"/>
        </w:rPr>
        <w:t xml:space="preserve">į </w:t>
      </w:r>
      <w:r w:rsidRPr="00891173">
        <w:rPr>
          <w:rFonts w:eastAsiaTheme="minorHAnsi"/>
          <w:lang w:eastAsia="en-US"/>
        </w:rPr>
        <w:t>fond</w:t>
      </w:r>
      <w:r w:rsidRPr="00891173">
        <w:rPr>
          <w:rFonts w:eastAsia="TimesNewRoman"/>
          <w:lang w:eastAsia="en-US"/>
        </w:rPr>
        <w:t>ą</w:t>
      </w:r>
      <w:r w:rsidRPr="00891173">
        <w:rPr>
          <w:rFonts w:eastAsiaTheme="minorHAnsi"/>
          <w:lang w:eastAsia="en-US"/>
        </w:rPr>
        <w:t>, kuris v</w:t>
      </w:r>
      <w:r w:rsidRPr="00891173">
        <w:rPr>
          <w:rFonts w:eastAsia="TimesNewRoman"/>
          <w:lang w:eastAsia="en-US"/>
        </w:rPr>
        <w:t>ė</w:t>
      </w:r>
      <w:r w:rsidRPr="00891173">
        <w:rPr>
          <w:rFonts w:eastAsiaTheme="minorHAnsi"/>
          <w:lang w:eastAsia="en-US"/>
        </w:rPr>
        <w:t xml:space="preserve">liau yra investuojamas </w:t>
      </w:r>
      <w:r w:rsidRPr="00891173">
        <w:rPr>
          <w:rFonts w:eastAsia="TimesNewRoman"/>
          <w:lang w:eastAsia="en-US"/>
        </w:rPr>
        <w:t xml:space="preserve">į </w:t>
      </w:r>
      <w:r w:rsidRPr="00891173">
        <w:rPr>
          <w:rFonts w:eastAsiaTheme="minorHAnsi"/>
          <w:lang w:eastAsia="en-US"/>
        </w:rPr>
        <w:t>plataus spektro vertybinius popierius ar kit</w:t>
      </w:r>
      <w:r w:rsidRPr="00891173">
        <w:rPr>
          <w:rFonts w:eastAsia="TimesNewRoman"/>
          <w:lang w:eastAsia="en-US"/>
        </w:rPr>
        <w:t xml:space="preserve">ą </w:t>
      </w:r>
      <w:r w:rsidRPr="00891173">
        <w:rPr>
          <w:rFonts w:eastAsiaTheme="minorHAnsi"/>
          <w:lang w:eastAsia="en-US"/>
        </w:rPr>
        <w:t>turt</w:t>
      </w:r>
      <w:r w:rsidRPr="00891173">
        <w:rPr>
          <w:rFonts w:eastAsia="TimesNewRoman"/>
          <w:lang w:eastAsia="en-US"/>
        </w:rPr>
        <w:t>ą</w:t>
      </w:r>
      <w:r w:rsidRPr="00891173">
        <w:rPr>
          <w:rFonts w:eastAsiaTheme="minorHAnsi"/>
          <w:lang w:eastAsia="en-US"/>
        </w:rPr>
        <w:t>.</w:t>
      </w:r>
    </w:p>
    <w:p w:rsidR="00676026" w:rsidRPr="00891173" w:rsidRDefault="00676026" w:rsidP="00143024">
      <w:pPr>
        <w:autoSpaceDE w:val="0"/>
        <w:autoSpaceDN w:val="0"/>
        <w:adjustRightInd w:val="0"/>
        <w:spacing w:line="360" w:lineRule="auto"/>
        <w:ind w:firstLine="567"/>
        <w:jc w:val="both"/>
      </w:pPr>
      <w:r w:rsidRPr="00891173">
        <w:t>Išanalizavus įvairių šaltinių investicinių fondų sąvokas, magistrinio darbo autorei</w:t>
      </w:r>
      <w:r w:rsidR="006D5034" w:rsidRPr="00891173">
        <w:t>,</w:t>
      </w:r>
      <w:r w:rsidRPr="00891173">
        <w:t xml:space="preserve"> priimtinausias L</w:t>
      </w:r>
      <w:r w:rsidR="006D5034" w:rsidRPr="00891173">
        <w:t>ietuvos komercinių bankų siūlomas</w:t>
      </w:r>
      <w:r w:rsidRPr="00891173">
        <w:t xml:space="preserve"> apibrėžima</w:t>
      </w:r>
      <w:r w:rsidR="006D5034" w:rsidRPr="00891173">
        <w:t>s</w:t>
      </w:r>
      <w:r w:rsidRPr="00891173">
        <w:t>, nes atspindi investicinių fondų ypatumus ir suprantamas visiems visuomenės nariams.</w:t>
      </w:r>
    </w:p>
    <w:p w:rsidR="00676026" w:rsidRPr="00891173" w:rsidRDefault="006D5034" w:rsidP="00143024">
      <w:pPr>
        <w:autoSpaceDE w:val="0"/>
        <w:autoSpaceDN w:val="0"/>
        <w:adjustRightInd w:val="0"/>
        <w:spacing w:line="360" w:lineRule="auto"/>
        <w:ind w:firstLine="567"/>
        <w:jc w:val="both"/>
      </w:pPr>
      <w:r w:rsidRPr="00891173">
        <w:t>Taigi p</w:t>
      </w:r>
      <w:r w:rsidR="00676026" w:rsidRPr="00891173">
        <w:t xml:space="preserve">irmiausiai pavieniai investuotojai suneša lėšas investiciniams fondui, kurios investuojamos į vertybinius popierius (kaip akcijos, obligacijos) ir nekilnojamo turto bendroves. Pagal pasirinktą fondą, jo profesionalūs valdytojai daro su valdymu susijusius sprendimus. </w:t>
      </w:r>
    </w:p>
    <w:p w:rsidR="00676026" w:rsidRPr="00891173" w:rsidRDefault="00676026" w:rsidP="00143024">
      <w:pPr>
        <w:autoSpaceDE w:val="0"/>
        <w:autoSpaceDN w:val="0"/>
        <w:adjustRightInd w:val="0"/>
        <w:spacing w:line="360" w:lineRule="auto"/>
        <w:ind w:firstLine="567"/>
        <w:jc w:val="both"/>
      </w:pPr>
      <w:r w:rsidRPr="00891173">
        <w:t xml:space="preserve">Suneštos lėšos konvertuojamos į investicinius vienetus, atsižvelgiant į investicinio vieneto (fondo akcijos) kainą. Pavyzdžiui, norintis investuoti į investicinį fondą žmogus įmoka 1000 litų, o nustatyta, kad vieno investicinio vieneto (fondo akcijos) vertė lygi 200 litų, tai naujojo fondo dalyvio sąskaitoje bus 5 investiciniai vienetai arba akcijos. Taigi fondo turtas priklauso visiems fondo </w:t>
      </w:r>
      <w:r w:rsidRPr="00891173">
        <w:lastRenderedPageBreak/>
        <w:t>dalyviams</w:t>
      </w:r>
      <w:r w:rsidR="006D5034" w:rsidRPr="00891173">
        <w:t>,</w:t>
      </w:r>
      <w:r w:rsidRPr="00891173">
        <w:t xml:space="preserve"> proporcingai jų turimų investicinių vienetų (fondo akcijų) skaičiui. Tai reiškia, kad nesvarbu po kiek įnešė kiekvienas fondo dalyvis, nes uždirbti pinigai proporcingai dalinami tarp dalyvių. Pavyzdžiui, vienas dalyvis įnešė 1000 litų,  kitas 10 000 litų, o fondas uždirbo 10 proc., tai visi fondo dalyviai uždirbo po 10 proc. nuo savo įnašo. Vadinasi pirmasis dalyvis uždirbo 100 litų, o antrasis – 1 000 litų. Investicinio vieneto kainą lemia fondo valdomų vertybinių popierių rinkos kursai.</w:t>
      </w:r>
    </w:p>
    <w:p w:rsidR="00676026" w:rsidRPr="00891173" w:rsidRDefault="00676026" w:rsidP="00143024">
      <w:pPr>
        <w:autoSpaceDE w:val="0"/>
        <w:autoSpaceDN w:val="0"/>
        <w:adjustRightInd w:val="0"/>
        <w:spacing w:line="360" w:lineRule="auto"/>
        <w:ind w:firstLine="567"/>
        <w:jc w:val="both"/>
      </w:pPr>
      <w:r w:rsidRPr="00891173">
        <w:t>Kokio dydžio sumą norima investuoti</w:t>
      </w:r>
      <w:r w:rsidR="006D5034" w:rsidRPr="00891173">
        <w:t>,</w:t>
      </w:r>
      <w:r w:rsidRPr="00891173">
        <w:t xml:space="preserve"> sprendžia pats investicinio fondo dalininkas. Taip pat investuotojas paprastai gali pats nuspręsti</w:t>
      </w:r>
      <w:r w:rsidR="006D5034" w:rsidRPr="00891173">
        <w:t>,</w:t>
      </w:r>
      <w:r w:rsidRPr="00891173">
        <w:t xml:space="preserve"> kada jam pirkti ar parduoti tam tikro fondo dalį.</w:t>
      </w:r>
    </w:p>
    <w:p w:rsidR="00676026" w:rsidRPr="00891173" w:rsidRDefault="00676026" w:rsidP="00143024">
      <w:pPr>
        <w:autoSpaceDE w:val="0"/>
        <w:autoSpaceDN w:val="0"/>
        <w:adjustRightInd w:val="0"/>
        <w:spacing w:line="360" w:lineRule="auto"/>
        <w:ind w:firstLine="567"/>
        <w:jc w:val="both"/>
      </w:pPr>
      <w:r w:rsidRPr="00891173">
        <w:t>Reikia pabrėžti, kad sėkmingai uždirbtas pelnas iš prekybos vertybiniai popieriais, išmokamas fondo akcininkams tik po to, kai atskaičiuojami mokesčiai.</w:t>
      </w:r>
    </w:p>
    <w:p w:rsidR="00676026" w:rsidRPr="00891173" w:rsidRDefault="00676026" w:rsidP="00143024">
      <w:pPr>
        <w:autoSpaceDE w:val="0"/>
        <w:autoSpaceDN w:val="0"/>
        <w:adjustRightInd w:val="0"/>
        <w:spacing w:line="360" w:lineRule="auto"/>
        <w:ind w:firstLine="567"/>
        <w:jc w:val="both"/>
      </w:pPr>
      <w:r w:rsidRPr="00891173">
        <w:t>Priklausomai nuo pasirinkto investicinio fondo</w:t>
      </w:r>
      <w:r w:rsidR="006D5034" w:rsidRPr="00891173">
        <w:t>,</w:t>
      </w:r>
      <w:r w:rsidRPr="00891173">
        <w:t xml:space="preserve"> skiriasi rizika, fondų veikimas skirtinguose regionuose ir vertybinių popierių rūšys.</w:t>
      </w:r>
    </w:p>
    <w:p w:rsidR="00676026" w:rsidRPr="00891173" w:rsidRDefault="00676026" w:rsidP="00143024">
      <w:pPr>
        <w:pStyle w:val="NormalWeb"/>
        <w:spacing w:before="0" w:beforeAutospacing="0" w:after="0" w:afterAutospacing="0" w:line="360" w:lineRule="auto"/>
        <w:ind w:firstLine="567"/>
        <w:jc w:val="both"/>
      </w:pPr>
      <w:r w:rsidRPr="00891173">
        <w:t xml:space="preserve">Fondų yra daug, kurie skiriasi vienas nuo kito, tačiau toliau išvardytos ypatybės yra bendros visiems fondams: </w:t>
      </w:r>
    </w:p>
    <w:p w:rsidR="00676026" w:rsidRPr="00891173" w:rsidRDefault="00676026" w:rsidP="00203D2D">
      <w:pPr>
        <w:numPr>
          <w:ilvl w:val="0"/>
          <w:numId w:val="1"/>
        </w:numPr>
        <w:tabs>
          <w:tab w:val="clear" w:pos="720"/>
          <w:tab w:val="num" w:pos="900"/>
        </w:tabs>
        <w:spacing w:line="360" w:lineRule="auto"/>
        <w:ind w:hanging="11"/>
        <w:jc w:val="both"/>
      </w:pPr>
      <w:r w:rsidRPr="00891173">
        <w:t xml:space="preserve">investavimo tikslas – apibūdina, ko siekia fondas; </w:t>
      </w:r>
    </w:p>
    <w:p w:rsidR="00676026" w:rsidRPr="00891173" w:rsidRDefault="00676026" w:rsidP="00203D2D">
      <w:pPr>
        <w:numPr>
          <w:ilvl w:val="0"/>
          <w:numId w:val="1"/>
        </w:numPr>
        <w:tabs>
          <w:tab w:val="clear" w:pos="720"/>
          <w:tab w:val="num" w:pos="900"/>
        </w:tabs>
        <w:spacing w:before="100" w:beforeAutospacing="1" w:after="100" w:afterAutospacing="1" w:line="360" w:lineRule="auto"/>
        <w:ind w:hanging="11"/>
        <w:jc w:val="both"/>
      </w:pPr>
      <w:r w:rsidRPr="00891173">
        <w:t xml:space="preserve">profesionalus fondo valdytojas arba valdytojai, kurie vadovauja fondo veiklai; </w:t>
      </w:r>
    </w:p>
    <w:p w:rsidR="00676026" w:rsidRPr="00891173" w:rsidRDefault="00676026" w:rsidP="00203D2D">
      <w:pPr>
        <w:numPr>
          <w:ilvl w:val="0"/>
          <w:numId w:val="1"/>
        </w:numPr>
        <w:tabs>
          <w:tab w:val="clear" w:pos="720"/>
          <w:tab w:val="num" w:pos="900"/>
        </w:tabs>
        <w:spacing w:line="360" w:lineRule="auto"/>
        <w:ind w:hanging="11"/>
        <w:jc w:val="both"/>
      </w:pPr>
      <w:r w:rsidRPr="00891173">
        <w:t xml:space="preserve">galimybė už fondo uždirbtus pinigus įsigyti daugiau fondo akcijų. </w:t>
      </w:r>
    </w:p>
    <w:p w:rsidR="00676026" w:rsidRPr="00891173" w:rsidRDefault="00676026" w:rsidP="00143024">
      <w:pPr>
        <w:spacing w:after="200" w:line="360" w:lineRule="auto"/>
        <w:ind w:firstLine="567"/>
        <w:jc w:val="both"/>
      </w:pPr>
      <w:r w:rsidRPr="00891173">
        <w:t xml:space="preserve">Akivaizdu, kad investiciniai fondai pagal įvairius </w:t>
      </w:r>
      <w:r w:rsidR="006D5034" w:rsidRPr="00891173">
        <w:t xml:space="preserve">mokslinius </w:t>
      </w:r>
      <w:r w:rsidRPr="00891173">
        <w:t>šaltinius apibrėžiami skirtingai, tačiau kiekvienoje fondo koncepcijoje atsispindi pagrindiniai jų ypatumai. Mano nuomone, investicinio fondo apibrėžime turi atsispindėti fondo diversifikacija (portfelis sudarytas iš skirtingų investicinių priemonių), paprastumas</w:t>
      </w:r>
      <w:r w:rsidRPr="00891173">
        <w:rPr>
          <w:rFonts w:ascii="TimesNewRomanPSMT" w:hAnsi="TimesNewRomanPSMT" w:cs="TimesNewRomanPSMT"/>
        </w:rPr>
        <w:t xml:space="preserve"> bei profesionalus valdymas, kur specialistai priima visus atsakingus sprendimus, susijusius su fondo valdymu.</w:t>
      </w:r>
    </w:p>
    <w:p w:rsidR="00676026" w:rsidRPr="00891173" w:rsidRDefault="0082397E" w:rsidP="00D35728">
      <w:pPr>
        <w:pStyle w:val="Heading3"/>
        <w:rPr>
          <w:b/>
        </w:rPr>
      </w:pPr>
      <w:bookmarkStart w:id="3" w:name="_Toc343601995"/>
      <w:r w:rsidRPr="00891173">
        <w:rPr>
          <w:b/>
        </w:rPr>
        <w:t xml:space="preserve">    </w:t>
      </w:r>
      <w:r w:rsidR="00676026" w:rsidRPr="00891173">
        <w:rPr>
          <w:b/>
        </w:rPr>
        <w:t>Investicinių fondų klasifikacija</w:t>
      </w:r>
      <w:bookmarkEnd w:id="3"/>
    </w:p>
    <w:p w:rsidR="00676026" w:rsidRPr="00891173" w:rsidRDefault="00676026" w:rsidP="00143024">
      <w:pPr>
        <w:autoSpaceDE w:val="0"/>
        <w:autoSpaceDN w:val="0"/>
        <w:adjustRightInd w:val="0"/>
        <w:spacing w:line="360" w:lineRule="auto"/>
        <w:ind w:firstLine="567"/>
        <w:jc w:val="both"/>
        <w:rPr>
          <w:rFonts w:ascii="TimesNewRomanPSMT" w:hAnsi="TimesNewRomanPSMT" w:cs="TimesNewRomanPSMT"/>
        </w:rPr>
      </w:pPr>
      <w:r w:rsidRPr="00891173">
        <w:rPr>
          <w:rFonts w:ascii="TimesNewRomanPSMT" w:hAnsi="TimesNewRomanPSMT" w:cs="TimesNewRomanPSMT"/>
        </w:rPr>
        <w:t>Investicinių fo</w:t>
      </w:r>
      <w:r w:rsidR="005C2C31" w:rsidRPr="00891173">
        <w:rPr>
          <w:rFonts w:ascii="TimesNewRomanPSMT" w:hAnsi="TimesNewRomanPSMT" w:cs="TimesNewRomanPSMT"/>
        </w:rPr>
        <w:t>ndų atsiradimo istorija prasidėjo</w:t>
      </w:r>
      <w:r w:rsidRPr="00891173">
        <w:rPr>
          <w:rFonts w:ascii="TimesNewRomanPSMT" w:hAnsi="TimesNewRomanPSMT" w:cs="TimesNewRomanPSMT"/>
        </w:rPr>
        <w:t xml:space="preserve"> prieš keletą šimtmečių. Jų turtas paskutiniais deši</w:t>
      </w:r>
      <w:r w:rsidR="00CC72D4" w:rsidRPr="00891173">
        <w:rPr>
          <w:rFonts w:ascii="TimesNewRomanPSMT" w:hAnsi="TimesNewRomanPSMT" w:cs="TimesNewRomanPSMT"/>
        </w:rPr>
        <w:t>mtmečiais nuolat augo, todėl fondai</w:t>
      </w:r>
      <w:r w:rsidRPr="00891173">
        <w:rPr>
          <w:rFonts w:ascii="TimesNewRomanPSMT" w:hAnsi="TimesNewRomanPSMT" w:cs="TimesNewRomanPSMT"/>
        </w:rPr>
        <w:t xml:space="preserve"> tapo svarbūs ekonomikos augimo istorijoje. Įvairioje literatūroje dažnai minima, kad investicinių fondų atsiradimo pradži</w:t>
      </w:r>
      <w:r w:rsidR="00CC72D4" w:rsidRPr="00891173">
        <w:rPr>
          <w:rFonts w:ascii="TimesNewRomanPSMT" w:hAnsi="TimesNewRomanPSMT" w:cs="TimesNewRomanPSMT"/>
        </w:rPr>
        <w:t>a yra 1868 metai, kuomet buvo įsteigtas</w:t>
      </w:r>
      <w:r w:rsidRPr="00891173">
        <w:rPr>
          <w:rFonts w:ascii="TimesNewRomanPSMT" w:hAnsi="TimesNewRomanPSMT" w:cs="TimesNewRomanPSMT"/>
        </w:rPr>
        <w:t xml:space="preserve"> Užsieni</w:t>
      </w:r>
      <w:r w:rsidR="00CC72D4" w:rsidRPr="00891173">
        <w:rPr>
          <w:rFonts w:ascii="TimesNewRomanPSMT" w:hAnsi="TimesNewRomanPSMT" w:cs="TimesNewRomanPSMT"/>
        </w:rPr>
        <w:t>o ir Kolonijų Provincijos Trestas</w:t>
      </w:r>
      <w:r w:rsidRPr="00891173">
        <w:rPr>
          <w:rFonts w:ascii="TimesNewRomanPSMT" w:hAnsi="TimesNewRomanPSMT" w:cs="TimesNewRomanPSMT"/>
        </w:rPr>
        <w:t xml:space="preserve"> (angl. </w:t>
      </w:r>
      <w:r w:rsidRPr="00891173">
        <w:rPr>
          <w:rFonts w:ascii="TimesNewRomanPS-ItalicMT" w:hAnsi="TimesNewRomanPS-ItalicMT" w:cs="TimesNewRomanPS-ItalicMT"/>
          <w:i/>
          <w:iCs/>
        </w:rPr>
        <w:t>Foreign and Colonial Government Trust</w:t>
      </w:r>
      <w:r w:rsidRPr="00891173">
        <w:rPr>
          <w:rFonts w:ascii="TimesNewRomanPSMT" w:hAnsi="TimesNewRomanPSMT" w:cs="TimesNewRomanPSMT"/>
        </w:rPr>
        <w:t xml:space="preserve">). Jų formavimosi metu, t.y. prieš beveik 145 metus, Užsienio ir Kolonijų Trestas deklaravo savo ketinimus suteikti nedidelių pajamų investuotojams tas pačias privilegijas kaip ir stambiesiems kapitalistams – išskaidyti riziką, investuojant į užsienio ir kolonijų akcijas. Kitoje literatūroje galima rasti, kad pirmasis investicinis fondas atsirado Šveicarijoje 1849 metais – pavadintas </w:t>
      </w:r>
      <w:r w:rsidRPr="00891173">
        <w:rPr>
          <w:rFonts w:ascii="TimesNewRomanPS-ItalicMT" w:hAnsi="TimesNewRomanPS-ItalicMT" w:cs="TimesNewRomanPS-ItalicMT"/>
          <w:i/>
          <w:iCs/>
        </w:rPr>
        <w:t>Societe civile Grencvoise d‘emploi de fonds</w:t>
      </w:r>
      <w:r w:rsidR="00CC72D4" w:rsidRPr="00891173">
        <w:rPr>
          <w:rFonts w:ascii="TimesNewRomanPSMT" w:hAnsi="TimesNewRomanPSMT" w:cs="TimesNewRomanPSMT"/>
        </w:rPr>
        <w:t>. O</w:t>
      </w:r>
      <w:r w:rsidRPr="00891173">
        <w:rPr>
          <w:rFonts w:ascii="TimesNewRomanPSMT" w:hAnsi="TimesNewRomanPSMT" w:cs="TimesNewRomanPSMT"/>
        </w:rPr>
        <w:t xml:space="preserve"> Olandijoje investavimo trestai jau gyvavo daugiau kaip šimtmetį. Pastarųjų istorija prasideda 1774 metais, kai olandų pirklys A. Van Ketwich pasiūlė surinkt</w:t>
      </w:r>
      <w:r w:rsidR="00CC72D4" w:rsidRPr="00891173">
        <w:rPr>
          <w:rFonts w:ascii="TimesNewRomanPSMT" w:hAnsi="TimesNewRomanPSMT" w:cs="TimesNewRomanPSMT"/>
        </w:rPr>
        <w:t>i pinigus iš investuotojų ir įkū</w:t>
      </w:r>
      <w:r w:rsidRPr="00891173">
        <w:rPr>
          <w:rFonts w:ascii="TimesNewRomanPSMT" w:hAnsi="TimesNewRomanPSMT" w:cs="TimesNewRomanPSMT"/>
        </w:rPr>
        <w:t>rė investicinį trestą, pavadintą Eendragt Maakt Magt ( liet.</w:t>
      </w:r>
      <w:r w:rsidR="00CC72D4" w:rsidRPr="00891173">
        <w:rPr>
          <w:rFonts w:ascii="TimesNewRomanPSMT" w:hAnsi="TimesNewRomanPSMT" w:cs="TimesNewRomanPSMT"/>
        </w:rPr>
        <w:t xml:space="preserve"> „vienybė sukuria stiprybę“). O</w:t>
      </w:r>
      <w:r w:rsidRPr="00891173">
        <w:rPr>
          <w:rFonts w:ascii="TimesNewRomanPSMT" w:hAnsi="TimesNewRomanPSMT" w:cs="TimesNewRomanPSMT"/>
        </w:rPr>
        <w:t xml:space="preserve"> jau 1779 metais Van Ketwich įkūrė savo antrąjį trestą, kurį pavadino Concordia Res </w:t>
      </w:r>
      <w:r w:rsidRPr="00891173">
        <w:rPr>
          <w:rFonts w:ascii="TimesNewRomanPSMT" w:hAnsi="TimesNewRomanPSMT" w:cs="TimesNewRomanPSMT"/>
        </w:rPr>
        <w:lastRenderedPageBreak/>
        <w:t>Parvae Crescunt ( liet. „maži dalykai auga su sutikimu“ ). Pirmasis olandų investicinis trestas Eendragt Maakt Magt buvo likviduotas 1824 metais, o Concordia Res Parvae Crescunt gyvavo 114 metų iki 1893 metų, kol oficialiai buvo panaikintas.</w:t>
      </w:r>
    </w:p>
    <w:p w:rsidR="00676026" w:rsidRPr="00891173" w:rsidRDefault="00676026" w:rsidP="00143024">
      <w:pPr>
        <w:autoSpaceDE w:val="0"/>
        <w:autoSpaceDN w:val="0"/>
        <w:adjustRightInd w:val="0"/>
        <w:spacing w:line="360" w:lineRule="auto"/>
        <w:ind w:firstLine="567"/>
        <w:jc w:val="both"/>
        <w:rPr>
          <w:rFonts w:ascii="TimesNewRomanPSMT" w:hAnsi="TimesNewRomanPSMT" w:cs="TimesNewRomanPSMT"/>
          <w:color w:val="231F20"/>
        </w:rPr>
      </w:pPr>
      <w:r w:rsidRPr="00891173">
        <w:rPr>
          <w:rFonts w:ascii="TimesNewRomanPSMT" w:hAnsi="TimesNewRomanPSMT" w:cs="TimesNewRomanPSMT"/>
        </w:rPr>
        <w:t>Pirmasis fondas Jungtinėse Amerikos Valstijose (JAV) buvo įkurtas 1894 metais, gavęs Bo</w:t>
      </w:r>
      <w:r w:rsidR="00813C38" w:rsidRPr="00891173">
        <w:rPr>
          <w:rFonts w:ascii="TimesNewRomanPSMT" w:hAnsi="TimesNewRomanPSMT" w:cs="TimesNewRomanPSMT"/>
        </w:rPr>
        <w:t>stono Asmeninio Turto Tresto  (</w:t>
      </w:r>
      <w:r w:rsidRPr="00891173">
        <w:rPr>
          <w:rFonts w:ascii="TimesNewRomanPSMT" w:hAnsi="TimesNewRomanPSMT" w:cs="TimesNewRomanPSMT"/>
        </w:rPr>
        <w:t xml:space="preserve">angl. </w:t>
      </w:r>
      <w:r w:rsidRPr="00891173">
        <w:rPr>
          <w:rFonts w:ascii="TimesNewRomanPS-ItalicMT" w:hAnsi="TimesNewRomanPS-ItalicMT" w:cs="TimesNewRomanPS-ItalicMT"/>
          <w:i/>
          <w:iCs/>
        </w:rPr>
        <w:t>Boston Personal Property Trust</w:t>
      </w:r>
      <w:r w:rsidRPr="00891173">
        <w:rPr>
          <w:rFonts w:ascii="TimesNewRomanPSMT" w:hAnsi="TimesNewRomanPSMT" w:cs="TimesNewRomanPSMT"/>
        </w:rPr>
        <w:t>) pavadinimą. Pirmieji fondai buvo uždarojo tipo, o pirmasis atviro tipo fondas buvo Mas</w:t>
      </w:r>
      <w:r w:rsidR="00813C38" w:rsidRPr="00891173">
        <w:rPr>
          <w:rFonts w:ascii="TimesNewRomanPSMT" w:hAnsi="TimesNewRomanPSMT" w:cs="TimesNewRomanPSMT"/>
        </w:rPr>
        <w:t>ačusetso Investicinis Trestas (</w:t>
      </w:r>
      <w:r w:rsidRPr="00891173">
        <w:rPr>
          <w:rFonts w:ascii="TimesNewRomanPSMT" w:hAnsi="TimesNewRomanPSMT" w:cs="TimesNewRomanPSMT"/>
        </w:rPr>
        <w:t xml:space="preserve">angl. </w:t>
      </w:r>
      <w:r w:rsidRPr="00891173">
        <w:rPr>
          <w:rFonts w:ascii="TimesNewRomanPS-ItalicMT" w:hAnsi="TimesNewRomanPS-ItalicMT" w:cs="TimesNewRomanPS-ItalicMT"/>
          <w:i/>
          <w:iCs/>
        </w:rPr>
        <w:t>Massachusetts Investment Trust</w:t>
      </w:r>
      <w:r w:rsidRPr="00891173">
        <w:rPr>
          <w:rFonts w:ascii="TimesNewRomanPSMT" w:hAnsi="TimesNewRomanPSMT" w:cs="TimesNewRomanPSMT"/>
        </w:rPr>
        <w:t>), įsteigtas 1924 metais Bostone. Apie 1940 metus jau buvo 68 fondai, o iki 1980 metų atsirado net 564 (</w:t>
      </w:r>
      <w:r w:rsidRPr="00891173">
        <w:rPr>
          <w:rFonts w:ascii="TimesNewRomanPSMT" w:hAnsi="TimesNewRomanPSMT" w:cs="TimesNewRomanPSMT"/>
          <w:color w:val="000000"/>
        </w:rPr>
        <w:t>Simanauska</w:t>
      </w:r>
      <w:r w:rsidR="004F6F86" w:rsidRPr="00891173">
        <w:rPr>
          <w:rFonts w:ascii="TimesNewRomanPSMT" w:hAnsi="TimesNewRomanPSMT" w:cs="TimesNewRomanPSMT"/>
          <w:color w:val="000000"/>
        </w:rPr>
        <w:t>s</w:t>
      </w:r>
      <w:r w:rsidRPr="00891173">
        <w:rPr>
          <w:rFonts w:ascii="TimesNewRomanPSMT" w:hAnsi="TimesNewRomanPSMT" w:cs="TimesNewRomanPSMT"/>
          <w:color w:val="000000"/>
        </w:rPr>
        <w:t>, Kucko</w:t>
      </w:r>
      <w:r w:rsidRPr="00891173">
        <w:rPr>
          <w:rFonts w:ascii="TimesNewRomanPSMT" w:hAnsi="TimesNewRomanPSMT" w:cs="TimesNewRomanPSMT"/>
          <w:color w:val="231F20"/>
        </w:rPr>
        <w:t>)</w:t>
      </w:r>
      <w:r w:rsidRPr="00891173">
        <w:rPr>
          <w:rFonts w:ascii="TimesNewRomanPSMT" w:hAnsi="TimesNewRomanPSMT" w:cs="TimesNewRomanPSMT"/>
        </w:rPr>
        <w:t xml:space="preserve">.  Investicinių fondų skaičiaus išaugimą lėmė naujų produktų atsiradimas. </w:t>
      </w:r>
    </w:p>
    <w:p w:rsidR="00676026" w:rsidRPr="00891173" w:rsidRDefault="00676026" w:rsidP="00143024">
      <w:pPr>
        <w:autoSpaceDE w:val="0"/>
        <w:autoSpaceDN w:val="0"/>
        <w:adjustRightInd w:val="0"/>
        <w:spacing w:line="360" w:lineRule="auto"/>
        <w:ind w:firstLine="567"/>
        <w:jc w:val="both"/>
        <w:rPr>
          <w:rFonts w:ascii="TimesNewRomanPSMT" w:hAnsi="TimesNewRomanPSMT" w:cs="TimesNewRomanPSMT"/>
        </w:rPr>
      </w:pPr>
      <w:r w:rsidRPr="00891173">
        <w:t>Taigi per visą investicinių fondų gyvavimo istoriją skirtingose pasaulio šalyse, besiskiriančios savo</w:t>
      </w:r>
      <w:r w:rsidR="00705CD4" w:rsidRPr="00891173">
        <w:t xml:space="preserve"> </w:t>
      </w:r>
      <w:r w:rsidRPr="00891173">
        <w:t xml:space="preserve">teisinėmis bei finansinėmis sistemomis, susiformavo daug įvairių kolektyvinio investavimo </w:t>
      </w:r>
      <w:r w:rsidR="00A13BCD" w:rsidRPr="00891173">
        <w:t xml:space="preserve">subjektų </w:t>
      </w:r>
      <w:r w:rsidRPr="00891173">
        <w:t>struktūrų. Tarptautinės organizacijos priima teisinius aktus, harmonizuojančius skirtingas šalių – narių normas bei procedūras, o įstatymų leidėjai daugelyje šalių sudaro galimybę skirtingų formų fondams veikti vienoje finansinėje ir juridinėje erdvėje. Taip siekiant patenkinti investuotojų poreikius, skatinamas tokių formų bei struktūrų fondų kūrimasis, kurie veiktų ne vienoje pasaulio šalyje</w:t>
      </w:r>
      <w:r w:rsidR="00A13BCD" w:rsidRPr="00891173">
        <w:t xml:space="preserve"> </w:t>
      </w:r>
      <w:r w:rsidRPr="00891173">
        <w:t>(</w:t>
      </w:r>
      <w:r w:rsidRPr="00891173">
        <w:rPr>
          <w:rFonts w:ascii="TimesNewRomanPSMT" w:hAnsi="TimesNewRomanPSMT" w:cs="TimesNewRomanPSMT"/>
        </w:rPr>
        <w:t>Kucko I., 2003)</w:t>
      </w:r>
      <w:r w:rsidR="00A13BCD" w:rsidRPr="00891173">
        <w:rPr>
          <w:rFonts w:ascii="TimesNewRomanPSMT" w:hAnsi="TimesNewRomanPSMT" w:cs="TimesNewRomanPSMT"/>
        </w:rPr>
        <w:t>.</w:t>
      </w:r>
    </w:p>
    <w:p w:rsidR="00676026" w:rsidRPr="00891173" w:rsidRDefault="00676026" w:rsidP="00143024">
      <w:pPr>
        <w:autoSpaceDE w:val="0"/>
        <w:autoSpaceDN w:val="0"/>
        <w:adjustRightInd w:val="0"/>
        <w:spacing w:line="360" w:lineRule="auto"/>
        <w:ind w:firstLine="567"/>
        <w:jc w:val="both"/>
        <w:rPr>
          <w:rFonts w:eastAsia="MinionPro-It"/>
          <w:iCs/>
        </w:rPr>
      </w:pPr>
      <w:r w:rsidRPr="00891173">
        <w:t xml:space="preserve">Įvairūs teoretikai pateikia skirtingas investicinių fondų klasifikacijas. Sniečka, V., Pekarskienė, I. (1999), investicinius fondus klasifikuoja pagal jų teisinę formą ar organizavimo struktūrą, operacinę struktūrą, investavimo tikslus ar veiklos specializaciją. Išsamią investicinių fondų klasifikaciją pateikė </w:t>
      </w:r>
      <w:r w:rsidRPr="00891173">
        <w:rPr>
          <w:rFonts w:eastAsia="MinionPro-Regular"/>
        </w:rPr>
        <w:t>Mačerinskienė, Volodzkienė (2006), kur i</w:t>
      </w:r>
      <w:r w:rsidRPr="00891173">
        <w:t xml:space="preserve">nvesticinius fondus suskirtė į įvairias grupes pagal investicinio fondo </w:t>
      </w:r>
      <w:r w:rsidRPr="00891173">
        <w:rPr>
          <w:rFonts w:eastAsia="MinionPro-It"/>
          <w:iCs/>
        </w:rPr>
        <w:t>operacinę struktūrą, gautų pajamų paskirstymą, investicijų politiką, įmonių, į kurias investuojama, kapitalizaciją, fondo organizavimo formą, investavimo objektus, investicijų pobūdį ir kt</w:t>
      </w:r>
      <w:r w:rsidR="00705CD4" w:rsidRPr="00891173">
        <w:rPr>
          <w:rFonts w:eastAsia="MinionPro-It"/>
          <w:iCs/>
        </w:rPr>
        <w:t>.(</w:t>
      </w:r>
      <w:r w:rsidR="00813C38" w:rsidRPr="00891173">
        <w:rPr>
          <w:rFonts w:eastAsia="MinionPro-It"/>
          <w:iCs/>
        </w:rPr>
        <w:t>žr.</w:t>
      </w:r>
      <w:r w:rsidR="00705CD4" w:rsidRPr="00891173">
        <w:rPr>
          <w:rFonts w:eastAsia="MinionPro-It"/>
          <w:iCs/>
        </w:rPr>
        <w:t xml:space="preserve"> 1</w:t>
      </w:r>
      <w:r w:rsidRPr="00891173">
        <w:rPr>
          <w:rFonts w:eastAsia="MinionPro-It"/>
          <w:iCs/>
        </w:rPr>
        <w:t xml:space="preserve"> pav.)</w:t>
      </w:r>
      <w:r w:rsidR="00813C38" w:rsidRPr="00891173">
        <w:rPr>
          <w:rFonts w:eastAsia="MinionPro-It"/>
          <w:iCs/>
        </w:rPr>
        <w:t>.</w:t>
      </w:r>
    </w:p>
    <w:p w:rsidR="00676026" w:rsidRPr="00891173" w:rsidRDefault="00676026">
      <w:pPr>
        <w:spacing w:after="200" w:line="276" w:lineRule="auto"/>
        <w:rPr>
          <w:rFonts w:eastAsia="MinionPro-It"/>
          <w:iCs/>
        </w:rPr>
      </w:pPr>
      <w:r w:rsidRPr="00891173">
        <w:rPr>
          <w:rFonts w:eastAsia="MinionPro-It"/>
          <w:iCs/>
        </w:rPr>
        <w:br w:type="page"/>
      </w:r>
    </w:p>
    <w:p w:rsidR="00676026" w:rsidRPr="00891173" w:rsidRDefault="00D13548" w:rsidP="00A7758F">
      <w:pPr>
        <w:autoSpaceDE w:val="0"/>
        <w:autoSpaceDN w:val="0"/>
        <w:adjustRightInd w:val="0"/>
        <w:spacing w:after="120" w:line="360" w:lineRule="auto"/>
        <w:jc w:val="center"/>
        <w:rPr>
          <w:rFonts w:eastAsia="MinionPro-Regular"/>
        </w:rPr>
      </w:pPr>
      <w:r w:rsidRPr="00891173">
        <w:rPr>
          <w:rFonts w:eastAsia="MinionPro-Regular"/>
        </w:rPr>
      </w:r>
      <w:r w:rsidRPr="00891173">
        <w:rPr>
          <w:rFonts w:eastAsia="MinionPro-Regular"/>
        </w:rPr>
        <w:pict>
          <v:group id="_x0000_s1215" editas="canvas" style="width:489.2pt;height:618.3pt;mso-position-horizontal-relative:char;mso-position-vertical-relative:line" coordorigin="2465,6822" coordsize="7102,897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14" type="#_x0000_t75" style="position:absolute;left:2465;top:6822;width:7102;height:8974" o:preferrelative="f">
              <v:fill o:detectmouseclick="t"/>
              <v:path o:extrusionok="t" o:connecttype="none"/>
              <o:lock v:ext="edit" text="t"/>
            </v:shape>
            <v:roundrect id="_x0000_s1102" style="position:absolute;left:4256;top:14093;width:1398;height:345" arcsize="10923f">
              <v:textbox style="mso-next-textbox:#_x0000_s1102">
                <w:txbxContent>
                  <w:p w:rsidR="000E1A39" w:rsidRPr="00336A59" w:rsidRDefault="000E1A39" w:rsidP="00580219">
                    <w:pPr>
                      <w:jc w:val="center"/>
                      <w:rPr>
                        <w:sz w:val="20"/>
                        <w:szCs w:val="20"/>
                      </w:rPr>
                    </w:pPr>
                    <w:r>
                      <w:rPr>
                        <w:sz w:val="20"/>
                        <w:szCs w:val="20"/>
                      </w:rPr>
                      <w:t>Hedžo</w:t>
                    </w:r>
                    <w:r w:rsidRPr="00336A59">
                      <w:rPr>
                        <w:sz w:val="20"/>
                        <w:szCs w:val="20"/>
                      </w:rPr>
                      <w:t xml:space="preserve"> fondai</w:t>
                    </w:r>
                  </w:p>
                </w:txbxContent>
              </v:textbox>
            </v:roundrect>
            <v:roundrect id="_x0000_s1103" style="position:absolute;left:6351;top:14094;width:1364;height:344" arcsize="10923f">
              <v:textbox style="mso-next-textbox:#_x0000_s1103">
                <w:txbxContent>
                  <w:p w:rsidR="000E1A39" w:rsidRPr="00336A59" w:rsidRDefault="000E1A39" w:rsidP="00580219">
                    <w:pPr>
                      <w:jc w:val="center"/>
                      <w:rPr>
                        <w:sz w:val="20"/>
                        <w:szCs w:val="20"/>
                      </w:rPr>
                    </w:pPr>
                    <w:r w:rsidRPr="00336A59">
                      <w:rPr>
                        <w:sz w:val="20"/>
                        <w:szCs w:val="20"/>
                      </w:rPr>
                      <w:t>Nekilnojamojo turto</w:t>
                    </w:r>
                  </w:p>
                </w:txbxContent>
              </v:textbox>
            </v:roundrect>
            <v:shapetype id="_x0000_t32" coordsize="21600,21600" o:spt="32" o:oned="t" path="m,l21600,21600e" filled="f">
              <v:path arrowok="t" fillok="f" o:connecttype="none"/>
              <o:lock v:ext="edit" shapetype="t"/>
            </v:shapetype>
            <v:shape id="_x0000_s1140" type="#_x0000_t32" style="position:absolute;left:7607;top:11401;width:226;height:1;flip:x y" o:connectortype="straight">
              <v:stroke endarrow="block"/>
            </v:shape>
            <v:shape id="_x0000_s1142" type="#_x0000_t32" style="position:absolute;left:7801;top:11401;width:188;height:1;flip:x" o:connectortype="straight">
              <v:stroke startarrow="block"/>
            </v:shape>
            <v:roundrect id="_x0000_s1105" style="position:absolute;left:4267;top:13622;width:1387;height:345" arcsize="10923f">
              <v:textbox style="mso-next-textbox:#_x0000_s1105">
                <w:txbxContent>
                  <w:p w:rsidR="000E1A39" w:rsidRPr="00336A59" w:rsidRDefault="000E1A39" w:rsidP="00580219">
                    <w:pPr>
                      <w:jc w:val="center"/>
                      <w:rPr>
                        <w:sz w:val="20"/>
                        <w:szCs w:val="20"/>
                      </w:rPr>
                    </w:pPr>
                    <w:r w:rsidRPr="00336A59">
                      <w:rPr>
                        <w:sz w:val="20"/>
                        <w:szCs w:val="20"/>
                      </w:rPr>
                      <w:t>Mišrūs</w:t>
                    </w:r>
                  </w:p>
                </w:txbxContent>
              </v:textbox>
            </v:roundrect>
            <v:roundrect id="_x0000_s1104" style="position:absolute;left:6351;top:13622;width:1367;height:345" arcsize="10923f">
              <v:textbox style="mso-next-textbox:#_x0000_s1104">
                <w:txbxContent>
                  <w:p w:rsidR="000E1A39" w:rsidRPr="00336A59" w:rsidRDefault="000E1A39" w:rsidP="00580219">
                    <w:pPr>
                      <w:jc w:val="center"/>
                      <w:rPr>
                        <w:sz w:val="20"/>
                        <w:szCs w:val="20"/>
                      </w:rPr>
                    </w:pPr>
                    <w:r w:rsidRPr="00336A59">
                      <w:rPr>
                        <w:sz w:val="20"/>
                        <w:szCs w:val="20"/>
                      </w:rPr>
                      <w:t>Fondų fondai</w:t>
                    </w:r>
                  </w:p>
                </w:txbxContent>
              </v:textbox>
            </v:roundrect>
            <v:shape id="_x0000_s1141" type="#_x0000_t32" style="position:absolute;left:5933;top:13323;width:418;height:1;flip:x" o:connectortype="straight">
              <v:stroke startarrow="block"/>
            </v:shape>
            <v:roundrect id="_x0000_s1213" style="position:absolute;left:6355;top:15099;width:1336;height:344" arcsize="10923f">
              <v:textbox style="mso-next-textbox:#_x0000_s1213">
                <w:txbxContent>
                  <w:p w:rsidR="000E1A39" w:rsidRPr="00336A59" w:rsidRDefault="000E1A39" w:rsidP="00580219">
                    <w:pPr>
                      <w:jc w:val="center"/>
                      <w:rPr>
                        <w:sz w:val="20"/>
                        <w:szCs w:val="20"/>
                      </w:rPr>
                    </w:pPr>
                    <w:r>
                      <w:rPr>
                        <w:sz w:val="20"/>
                        <w:szCs w:val="20"/>
                      </w:rPr>
                      <w:t>Rizikos kapitalo</w:t>
                    </w:r>
                  </w:p>
                </w:txbxContent>
              </v:textbox>
            </v:roundrect>
            <v:roundrect id="_x0000_s1145" style="position:absolute;left:4227;top:15099;width:1384;height:344" arcsize="10923f">
              <v:textbox style="mso-next-textbox:#_x0000_s1145">
                <w:txbxContent>
                  <w:p w:rsidR="000E1A39" w:rsidRPr="00336A59" w:rsidRDefault="000E1A39" w:rsidP="00580219">
                    <w:pPr>
                      <w:jc w:val="center"/>
                      <w:rPr>
                        <w:sz w:val="20"/>
                        <w:szCs w:val="20"/>
                      </w:rPr>
                    </w:pPr>
                    <w:r>
                      <w:rPr>
                        <w:sz w:val="20"/>
                        <w:szCs w:val="20"/>
                      </w:rPr>
                      <w:t>Privataus kapitalo</w:t>
                    </w:r>
                  </w:p>
                </w:txbxContent>
              </v:textbox>
            </v:roundrect>
            <v:shape id="_x0000_s1137" type="#_x0000_t32" style="position:absolute;left:5658;top:13323;width:339;height:1;flip:x" o:connectortype="straight">
              <v:stroke endarrow="block"/>
            </v:shape>
            <v:roundrect id="_x0000_s1101" style="position:absolute;left:4267;top:14555;width:1354;height:345" arcsize="10923f">
              <v:textbox style="mso-next-textbox:#_x0000_s1101">
                <w:txbxContent>
                  <w:p w:rsidR="000E1A39" w:rsidRPr="00336A59" w:rsidRDefault="000E1A39" w:rsidP="00580219">
                    <w:pPr>
                      <w:jc w:val="center"/>
                      <w:rPr>
                        <w:sz w:val="20"/>
                        <w:szCs w:val="20"/>
                      </w:rPr>
                    </w:pPr>
                    <w:r w:rsidRPr="00336A59">
                      <w:rPr>
                        <w:sz w:val="20"/>
                        <w:szCs w:val="20"/>
                      </w:rPr>
                      <w:t>Pinigų rinkos</w:t>
                    </w:r>
                  </w:p>
                </w:txbxContent>
              </v:textbox>
            </v:roundrect>
            <v:roundrect id="_x0000_s1146" style="position:absolute;left:4728;top:6883;width:2571;height:418" arcsize="10923f" fillcolor="#d8d8d8 [2732]">
              <v:textbox style="mso-next-textbox:#_x0000_s1146">
                <w:txbxContent>
                  <w:p w:rsidR="000E1A39" w:rsidRDefault="000E1A39" w:rsidP="00580219">
                    <w:pPr>
                      <w:jc w:val="center"/>
                    </w:pPr>
                    <w:r>
                      <w:t>INVESTICINIAI FONDAI</w:t>
                    </w:r>
                  </w:p>
                </w:txbxContent>
              </v:textbox>
            </v:roundrect>
            <v:shape id="_x0000_s1107" type="#_x0000_t32" style="position:absolute;left:6004;top:7301;width:10;height:5576;flip:x" o:connectortype="straight"/>
            <v:shape id="_x0000_s1218" type="#_x0000_t32" style="position:absolute;left:4728;top:7730;width:1276;height:1;flip:x" o:connectortype="straight">
              <v:stroke endarrow="block"/>
            </v:shape>
            <v:shape id="_x0000_s1219" type="#_x0000_t32" style="position:absolute;left:5997;top:7731;width:1213;height:1;flip:x" o:connectortype="straight">
              <v:stroke startarrow="block"/>
            </v:shape>
            <v:roundrect id="_x0000_s1220" style="position:absolute;left:3091;top:7449;width:1637;height:492" arcsize="10923f">
              <v:textbox style="mso-next-textbox:#_x0000_s1220">
                <w:txbxContent>
                  <w:p w:rsidR="000E1A39" w:rsidRPr="007944E9" w:rsidRDefault="000E1A39" w:rsidP="00580219">
                    <w:pPr>
                      <w:jc w:val="center"/>
                      <w:rPr>
                        <w:b/>
                        <w:sz w:val="20"/>
                        <w:szCs w:val="20"/>
                      </w:rPr>
                    </w:pPr>
                    <w:r w:rsidRPr="007944E9">
                      <w:rPr>
                        <w:b/>
                        <w:sz w:val="20"/>
                        <w:szCs w:val="20"/>
                      </w:rPr>
                      <w:t xml:space="preserve">Pagal </w:t>
                    </w:r>
                    <w:r>
                      <w:rPr>
                        <w:b/>
                        <w:sz w:val="20"/>
                        <w:szCs w:val="20"/>
                      </w:rPr>
                      <w:t>valdymo veiklos</w:t>
                    </w:r>
                    <w:r w:rsidRPr="007944E9">
                      <w:rPr>
                        <w:b/>
                        <w:sz w:val="20"/>
                        <w:szCs w:val="20"/>
                      </w:rPr>
                      <w:t xml:space="preserve"> struktūrą</w:t>
                    </w:r>
                  </w:p>
                </w:txbxContent>
              </v:textbox>
            </v:roundrect>
            <v:roundrect id="_x0000_s1221" style="position:absolute;left:7210;top:7449;width:1637;height:493" arcsize="10923f">
              <v:textbox style="mso-next-textbox:#_x0000_s1221">
                <w:txbxContent>
                  <w:p w:rsidR="000E1A39" w:rsidRPr="007944E9" w:rsidRDefault="000E1A39" w:rsidP="00580219">
                    <w:pPr>
                      <w:jc w:val="center"/>
                      <w:rPr>
                        <w:b/>
                        <w:sz w:val="20"/>
                        <w:szCs w:val="20"/>
                      </w:rPr>
                    </w:pPr>
                    <w:r w:rsidRPr="007944E9">
                      <w:rPr>
                        <w:b/>
                        <w:sz w:val="20"/>
                        <w:szCs w:val="20"/>
                      </w:rPr>
                      <w:t>Pagal valdymo pobūdį</w:t>
                    </w:r>
                  </w:p>
                </w:txbxContent>
              </v:textbox>
            </v:roundrect>
            <v:shape id="_x0000_s1222" type="#_x0000_t32" style="position:absolute;left:7993;top:7942;width:1;height:403" o:connectortype="straight"/>
            <v:shape id="_x0000_s1223" type="#_x0000_t32" style="position:absolute;left:3866;top:7942;width:1;height:403" o:connectortype="straight"/>
            <v:roundrect id="_x0000_s1224" style="position:absolute;left:2611;top:8134;width:895;height:345" arcsize="10923f">
              <v:textbox style="mso-next-textbox:#_x0000_s1224">
                <w:txbxContent>
                  <w:p w:rsidR="000E1A39" w:rsidRPr="00336A59" w:rsidRDefault="000E1A39" w:rsidP="00580219">
                    <w:pPr>
                      <w:jc w:val="center"/>
                      <w:rPr>
                        <w:sz w:val="20"/>
                        <w:szCs w:val="20"/>
                      </w:rPr>
                    </w:pPr>
                    <w:r w:rsidRPr="00336A59">
                      <w:rPr>
                        <w:sz w:val="20"/>
                        <w:szCs w:val="20"/>
                      </w:rPr>
                      <w:t>Atviro tipo</w:t>
                    </w:r>
                  </w:p>
                </w:txbxContent>
              </v:textbox>
            </v:roundrect>
            <v:roundrect id="_x0000_s1225" style="position:absolute;left:4227;top:8135;width:975;height:344" arcsize="10923f">
              <v:textbox style="mso-next-textbox:#_x0000_s1225">
                <w:txbxContent>
                  <w:p w:rsidR="000E1A39" w:rsidRPr="00336A59" w:rsidRDefault="000E1A39" w:rsidP="00580219">
                    <w:pPr>
                      <w:jc w:val="center"/>
                      <w:rPr>
                        <w:sz w:val="20"/>
                        <w:szCs w:val="20"/>
                      </w:rPr>
                    </w:pPr>
                    <w:r w:rsidRPr="00336A59">
                      <w:rPr>
                        <w:sz w:val="20"/>
                        <w:szCs w:val="20"/>
                      </w:rPr>
                      <w:t>Uždaro tipo</w:t>
                    </w:r>
                  </w:p>
                </w:txbxContent>
              </v:textbox>
            </v:roundrect>
            <v:shape id="_x0000_s1227" type="#_x0000_t32" style="position:absolute;left:3505;top:8345;width:361;height:1;flip:x" o:connectortype="straight">
              <v:stroke endarrow="block"/>
            </v:shape>
            <v:shape id="_x0000_s1228" type="#_x0000_t32" style="position:absolute;left:3866;top:8344;width:390;height:1" o:connectortype="straight">
              <v:stroke endarrow="block"/>
            </v:shape>
            <v:shape id="_x0000_s1229" type="#_x0000_t32" style="position:absolute;left:7607;top:8341;width:387;height:2;flip:x" o:connectortype="straight">
              <v:stroke endarrow="block"/>
            </v:shape>
            <v:shape id="_x0000_s1230" type="#_x0000_t32" style="position:absolute;left:7994;top:8344;width:368;height:1" o:connectortype="straight">
              <v:stroke endarrow="block"/>
            </v:shape>
            <v:roundrect id="_x0000_s1231" style="position:absolute;left:6619;top:8134;width:988;height:344" arcsize="10923f">
              <v:textbox style="mso-next-textbox:#_x0000_s1231">
                <w:txbxContent>
                  <w:p w:rsidR="000E1A39" w:rsidRPr="00336A59" w:rsidRDefault="000E1A39" w:rsidP="00580219">
                    <w:pPr>
                      <w:jc w:val="center"/>
                      <w:rPr>
                        <w:sz w:val="20"/>
                        <w:szCs w:val="20"/>
                      </w:rPr>
                    </w:pPr>
                    <w:r w:rsidRPr="00336A59">
                      <w:rPr>
                        <w:sz w:val="20"/>
                        <w:szCs w:val="20"/>
                      </w:rPr>
                      <w:t>Aktyvūs</w:t>
                    </w:r>
                  </w:p>
                </w:txbxContent>
              </v:textbox>
            </v:roundrect>
            <v:roundrect id="_x0000_s1232" style="position:absolute;left:8362;top:8135;width:1127;height:345" arcsize="10923f">
              <v:textbox style="mso-next-textbox:#_x0000_s1232">
                <w:txbxContent>
                  <w:p w:rsidR="000E1A39" w:rsidRPr="00336A59" w:rsidRDefault="000E1A39" w:rsidP="00580219">
                    <w:pPr>
                      <w:jc w:val="center"/>
                      <w:rPr>
                        <w:sz w:val="20"/>
                        <w:szCs w:val="20"/>
                      </w:rPr>
                    </w:pPr>
                    <w:r w:rsidRPr="00336A59">
                      <w:rPr>
                        <w:sz w:val="20"/>
                        <w:szCs w:val="20"/>
                      </w:rPr>
                      <w:t>Pasyvūs</w:t>
                    </w:r>
                  </w:p>
                </w:txbxContent>
              </v:textbox>
            </v:roundrect>
            <v:shape id="_x0000_s1233" type="#_x0000_t32" style="position:absolute;left:5003;top:8984;width:1029;height:1;flip:x" o:connectortype="straight">
              <v:stroke endarrow="block"/>
            </v:shape>
            <v:roundrect id="_x0000_s1234" style="position:absolute;left:3365;top:8690;width:1638;height:522" arcsize="10923f">
              <v:textbox style="mso-next-textbox:#_x0000_s1234">
                <w:txbxContent>
                  <w:p w:rsidR="000E1A39" w:rsidRPr="007944E9" w:rsidRDefault="000E1A39" w:rsidP="00580219">
                    <w:pPr>
                      <w:jc w:val="center"/>
                      <w:rPr>
                        <w:b/>
                        <w:sz w:val="20"/>
                        <w:szCs w:val="20"/>
                      </w:rPr>
                    </w:pPr>
                    <w:r w:rsidRPr="007944E9">
                      <w:rPr>
                        <w:b/>
                        <w:sz w:val="20"/>
                        <w:szCs w:val="20"/>
                      </w:rPr>
                      <w:t>Pagal investicijų politiką</w:t>
                    </w:r>
                  </w:p>
                </w:txbxContent>
              </v:textbox>
            </v:roundrect>
            <v:roundrect id="_x0000_s1235" style="position:absolute;left:2804;top:9329;width:1062;height:345" arcsize="10923f">
              <v:textbox style="mso-next-textbox:#_x0000_s1235">
                <w:txbxContent>
                  <w:p w:rsidR="000E1A39" w:rsidRPr="00336A59" w:rsidRDefault="000E1A39" w:rsidP="00580219">
                    <w:pPr>
                      <w:jc w:val="center"/>
                      <w:rPr>
                        <w:sz w:val="20"/>
                        <w:szCs w:val="20"/>
                      </w:rPr>
                    </w:pPr>
                    <w:r w:rsidRPr="00336A59">
                      <w:rPr>
                        <w:sz w:val="20"/>
                        <w:szCs w:val="20"/>
                      </w:rPr>
                      <w:t>Pajamų</w:t>
                    </w:r>
                  </w:p>
                </w:txbxContent>
              </v:textbox>
            </v:roundrect>
            <v:roundrect id="_x0000_s1236" style="position:absolute;left:4431;top:9386;width:1351;height:346" arcsize="10923f">
              <v:textbox style="mso-next-textbox:#_x0000_s1236">
                <w:txbxContent>
                  <w:p w:rsidR="000E1A39" w:rsidRPr="00336A59" w:rsidRDefault="000E1A39" w:rsidP="00580219">
                    <w:pPr>
                      <w:jc w:val="center"/>
                      <w:rPr>
                        <w:sz w:val="20"/>
                        <w:szCs w:val="20"/>
                      </w:rPr>
                    </w:pPr>
                    <w:r w:rsidRPr="00336A59">
                      <w:rPr>
                        <w:sz w:val="20"/>
                        <w:szCs w:val="20"/>
                      </w:rPr>
                      <w:t>Investicijų augimo</w:t>
                    </w:r>
                  </w:p>
                </w:txbxContent>
              </v:textbox>
            </v:roundrect>
            <v:shape id="_x0000_s1237" type="#_x0000_t32" style="position:absolute;left:4145;top:9212;width:1;height:631" o:connectortype="straight">
              <v:stroke endarrow="block"/>
            </v:shape>
            <v:shape id="_x0000_s1238" type="#_x0000_t32" style="position:absolute;left:3867;top:9517;width:285;height:1;flip:x" o:connectortype="straight">
              <v:stroke endarrow="block"/>
            </v:shape>
            <v:shape id="_x0000_s1239" type="#_x0000_t32" style="position:absolute;left:4161;top:9517;width:270;height:1;flip:x" o:connectortype="straight">
              <v:stroke startarrow="block"/>
            </v:shape>
            <v:roundrect id="_x0000_s1240" style="position:absolute;left:3316;top:9843;width:1687;height:495" arcsize="10923f">
              <v:textbox style="mso-next-textbox:#_x0000_s1240">
                <w:txbxContent>
                  <w:p w:rsidR="000E1A39" w:rsidRPr="00336A59" w:rsidRDefault="000E1A39" w:rsidP="00580219">
                    <w:pPr>
                      <w:jc w:val="center"/>
                      <w:rPr>
                        <w:sz w:val="20"/>
                        <w:szCs w:val="20"/>
                      </w:rPr>
                    </w:pPr>
                    <w:r w:rsidRPr="00336A59">
                      <w:rPr>
                        <w:sz w:val="20"/>
                        <w:szCs w:val="20"/>
                      </w:rPr>
                      <w:t>Investicijų augimo ir pajamų balanso</w:t>
                    </w:r>
                  </w:p>
                </w:txbxContent>
              </v:textbox>
            </v:roundrect>
            <v:shape id="_x0000_s1241" type="#_x0000_t32" style="position:absolute;left:6031;top:8986;width:715;height:1" o:connectortype="straight">
              <v:stroke endarrow="block"/>
            </v:shape>
            <v:roundrect id="_x0000_s1242" style="position:absolute;left:6746;top:8690;width:2213;height:522" arcsize="10923f">
              <v:textbox style="mso-next-textbox:#_x0000_s1242">
                <w:txbxContent>
                  <w:p w:rsidR="000E1A39" w:rsidRPr="007944E9" w:rsidRDefault="000E1A39" w:rsidP="00580219">
                    <w:pPr>
                      <w:jc w:val="center"/>
                      <w:rPr>
                        <w:b/>
                        <w:sz w:val="20"/>
                        <w:szCs w:val="20"/>
                      </w:rPr>
                    </w:pPr>
                    <w:r w:rsidRPr="007944E9">
                      <w:rPr>
                        <w:b/>
                        <w:sz w:val="20"/>
                        <w:szCs w:val="20"/>
                      </w:rPr>
                      <w:t>Pagal įmonių, į kurias investuojama, kapitalizaciją</w:t>
                    </w:r>
                  </w:p>
                </w:txbxContent>
              </v:textbox>
            </v:roundrect>
            <v:roundrect id="_x0000_s1243" style="position:absolute;left:6187;top:9322;width:1232;height:521" arcsize="10923f">
              <v:textbox style="mso-next-textbox:#_x0000_s1243">
                <w:txbxContent>
                  <w:p w:rsidR="000E1A39" w:rsidRPr="00336A59" w:rsidRDefault="000E1A39" w:rsidP="00580219">
                    <w:pPr>
                      <w:jc w:val="center"/>
                      <w:rPr>
                        <w:sz w:val="20"/>
                        <w:szCs w:val="20"/>
                      </w:rPr>
                    </w:pPr>
                    <w:r w:rsidRPr="00336A59">
                      <w:rPr>
                        <w:sz w:val="20"/>
                        <w:szCs w:val="20"/>
                      </w:rPr>
                      <w:t>Aukštos kapitalizacijos</w:t>
                    </w:r>
                  </w:p>
                </w:txbxContent>
              </v:textbox>
            </v:roundrect>
            <v:roundrect id="_x0000_s1244" style="position:absolute;left:8397;top:9329;width:1166;height:520" arcsize="10923f">
              <v:textbox style="mso-next-textbox:#_x0000_s1244">
                <w:txbxContent>
                  <w:p w:rsidR="000E1A39" w:rsidRPr="00336A59" w:rsidRDefault="000E1A39" w:rsidP="00580219">
                    <w:pPr>
                      <w:jc w:val="center"/>
                      <w:rPr>
                        <w:sz w:val="20"/>
                        <w:szCs w:val="20"/>
                      </w:rPr>
                    </w:pPr>
                    <w:r w:rsidRPr="00336A59">
                      <w:rPr>
                        <w:sz w:val="20"/>
                        <w:szCs w:val="20"/>
                      </w:rPr>
                      <w:t>Žemos kapitalizacijos</w:t>
                    </w:r>
                  </w:p>
                </w:txbxContent>
              </v:textbox>
            </v:roundrect>
            <v:roundrect id="_x0000_s1245" style="position:absolute;left:7220;top:9908;width:1432;height:520" arcsize="10923f">
              <v:textbox style="mso-next-textbox:#_x0000_s1245">
                <w:txbxContent>
                  <w:p w:rsidR="000E1A39" w:rsidRPr="00336A59" w:rsidRDefault="000E1A39" w:rsidP="00580219">
                    <w:pPr>
                      <w:jc w:val="center"/>
                      <w:rPr>
                        <w:sz w:val="20"/>
                        <w:szCs w:val="20"/>
                      </w:rPr>
                    </w:pPr>
                    <w:r w:rsidRPr="00336A59">
                      <w:rPr>
                        <w:sz w:val="20"/>
                        <w:szCs w:val="20"/>
                      </w:rPr>
                      <w:t>Vidutinės kapitalizacijos</w:t>
                    </w:r>
                  </w:p>
                </w:txbxContent>
              </v:textbox>
            </v:roundrect>
            <v:shape id="_x0000_s1246" type="#_x0000_t32" style="position:absolute;left:7866;top:9190;width:10;height:749;flip:x" o:connectortype="straight">
              <v:stroke endarrow="block"/>
            </v:shape>
            <v:shape id="_x0000_s1247" type="#_x0000_t32" style="position:absolute;left:7419;top:9577;width:457;height:6;flip:x" o:connectortype="straight">
              <v:stroke endarrow="block"/>
            </v:shape>
            <v:shape id="_x0000_s1248" type="#_x0000_t32" style="position:absolute;left:7866;top:9581;width:531;height:1;flip:x y" o:connectortype="straight">
              <v:stroke startarrow="block"/>
            </v:shape>
            <v:roundrect id="_x0000_s1249" style="position:absolute;left:3512;top:11553;width:1234;height:298" arcsize="10923f">
              <v:textbox style="mso-next-textbox:#_x0000_s1249">
                <w:txbxContent>
                  <w:p w:rsidR="000E1A39" w:rsidRPr="00336A59" w:rsidRDefault="000E1A39" w:rsidP="00580219">
                    <w:pPr>
                      <w:jc w:val="center"/>
                      <w:rPr>
                        <w:sz w:val="20"/>
                        <w:szCs w:val="20"/>
                      </w:rPr>
                    </w:pPr>
                    <w:r w:rsidRPr="00336A59">
                      <w:rPr>
                        <w:sz w:val="20"/>
                        <w:szCs w:val="20"/>
                      </w:rPr>
                      <w:t>Korporaciniai</w:t>
                    </w:r>
                  </w:p>
                </w:txbxContent>
              </v:textbox>
            </v:roundrect>
            <v:roundrect id="_x0000_s1250" style="position:absolute;left:2611;top:11149;width:1062;height:297" arcsize="10923f">
              <v:textbox style="mso-next-textbox:#_x0000_s1250">
                <w:txbxContent>
                  <w:p w:rsidR="000E1A39" w:rsidRPr="00336A59" w:rsidRDefault="000E1A39" w:rsidP="00580219">
                    <w:pPr>
                      <w:jc w:val="center"/>
                      <w:rPr>
                        <w:sz w:val="20"/>
                        <w:szCs w:val="20"/>
                      </w:rPr>
                    </w:pPr>
                    <w:r w:rsidRPr="00336A59">
                      <w:rPr>
                        <w:sz w:val="20"/>
                        <w:szCs w:val="20"/>
                      </w:rPr>
                      <w:t>Pasitikėjimo</w:t>
                    </w:r>
                  </w:p>
                </w:txbxContent>
              </v:textbox>
            </v:roundrect>
            <v:roundrect id="_x0000_s1251" style="position:absolute;left:3316;top:10536;width:1637;height:511" arcsize="10923f">
              <v:textbox style="mso-next-textbox:#_x0000_s1251">
                <w:txbxContent>
                  <w:p w:rsidR="000E1A39" w:rsidRPr="00F1156F" w:rsidRDefault="000E1A39" w:rsidP="00580219">
                    <w:pPr>
                      <w:jc w:val="center"/>
                      <w:rPr>
                        <w:b/>
                        <w:sz w:val="20"/>
                        <w:szCs w:val="20"/>
                      </w:rPr>
                    </w:pPr>
                    <w:r w:rsidRPr="00F1156F">
                      <w:rPr>
                        <w:b/>
                        <w:sz w:val="20"/>
                        <w:szCs w:val="20"/>
                      </w:rPr>
                      <w:t>Pagal fondo organizavimo formą</w:t>
                    </w:r>
                  </w:p>
                </w:txbxContent>
              </v:textbox>
            </v:roundrect>
            <v:roundrect id="_x0000_s1252" style="position:absolute;left:4588;top:11149;width:981;height:297" arcsize="10923f">
              <v:textbox style="mso-next-textbox:#_x0000_s1252">
                <w:txbxContent>
                  <w:p w:rsidR="000E1A39" w:rsidRPr="00336A59" w:rsidRDefault="000E1A39" w:rsidP="00580219">
                    <w:pPr>
                      <w:jc w:val="center"/>
                      <w:rPr>
                        <w:sz w:val="20"/>
                        <w:szCs w:val="20"/>
                      </w:rPr>
                    </w:pPr>
                    <w:r w:rsidRPr="00336A59">
                      <w:rPr>
                        <w:sz w:val="20"/>
                        <w:szCs w:val="20"/>
                      </w:rPr>
                      <w:t>Sutarčių</w:t>
                    </w:r>
                  </w:p>
                </w:txbxContent>
              </v:textbox>
            </v:roundrect>
            <v:shape id="_x0000_s1253" type="#_x0000_t32" style="position:absolute;left:4129;top:11047;width:6;height:506;flip:x" o:connectortype="straight">
              <v:stroke endarrow="block"/>
            </v:shape>
            <v:shape id="_x0000_s1254" type="#_x0000_t32" style="position:absolute;left:3673;top:11295;width:456;height:3;flip:x" o:connectortype="straight">
              <v:stroke endarrow="block"/>
            </v:shape>
            <v:shape id="_x0000_s1255" type="#_x0000_t32" style="position:absolute;left:4129;top:11299;width:431;height:2;flip:x" o:connectortype="straight">
              <v:stroke startarrow="block"/>
            </v:shape>
            <v:shape id="_x0000_s1256" type="#_x0000_t32" style="position:absolute;left:4953;top:10784;width:1079;height:8;flip:x" o:connectortype="straight">
              <v:stroke endarrow="block"/>
            </v:shape>
            <v:shape id="_x0000_s1257" type="#_x0000_t32" style="position:absolute;left:6004;top:10792;width:1010;height:1;flip:x" o:connectortype="straight">
              <v:stroke startarrow="block"/>
            </v:shape>
            <v:roundrect id="_x0000_s1258" style="position:absolute;left:7014;top:10536;width:1638;height:511" arcsize="10923f">
              <v:textbox style="mso-next-textbox:#_x0000_s1258">
                <w:txbxContent>
                  <w:p w:rsidR="000E1A39" w:rsidRPr="00F1156F" w:rsidRDefault="000E1A39" w:rsidP="00580219">
                    <w:pPr>
                      <w:jc w:val="center"/>
                      <w:rPr>
                        <w:b/>
                        <w:sz w:val="20"/>
                        <w:szCs w:val="20"/>
                      </w:rPr>
                    </w:pPr>
                    <w:r w:rsidRPr="00F1156F">
                      <w:rPr>
                        <w:b/>
                        <w:sz w:val="20"/>
                        <w:szCs w:val="20"/>
                      </w:rPr>
                      <w:t>Pagal investicijų politiką</w:t>
                    </w:r>
                  </w:p>
                  <w:p w:rsidR="000E1A39" w:rsidRDefault="000E1A39" w:rsidP="00580219"/>
                </w:txbxContent>
              </v:textbox>
            </v:roundrect>
            <v:roundrect id="_x0000_s1259" style="position:absolute;left:7071;top:12376;width:1532;height:341" arcsize="10923f">
              <v:textbox style="mso-next-textbox:#_x0000_s1259">
                <w:txbxContent>
                  <w:p w:rsidR="000E1A39" w:rsidRPr="00DB243A" w:rsidRDefault="000E1A39" w:rsidP="00580219">
                    <w:pPr>
                      <w:jc w:val="center"/>
                      <w:rPr>
                        <w:sz w:val="20"/>
                        <w:szCs w:val="20"/>
                      </w:rPr>
                    </w:pPr>
                    <w:r w:rsidRPr="00DB243A">
                      <w:rPr>
                        <w:sz w:val="20"/>
                        <w:szCs w:val="20"/>
                      </w:rPr>
                      <w:t>Visos investicijų sritys</w:t>
                    </w:r>
                  </w:p>
                </w:txbxContent>
              </v:textbox>
            </v:roundrect>
            <v:roundrect id="_x0000_s1260" style="position:absolute;left:7993;top:11759;width:1574;height:516" arcsize="10923f">
              <v:textbox style="mso-next-textbox:#_x0000_s1260">
                <w:txbxContent>
                  <w:p w:rsidR="000E1A39" w:rsidRPr="00336A59" w:rsidRDefault="000E1A39" w:rsidP="00580219">
                    <w:pPr>
                      <w:jc w:val="center"/>
                      <w:rPr>
                        <w:sz w:val="20"/>
                        <w:szCs w:val="20"/>
                      </w:rPr>
                    </w:pPr>
                    <w:r w:rsidRPr="00336A59">
                      <w:rPr>
                        <w:sz w:val="20"/>
                        <w:szCs w:val="20"/>
                      </w:rPr>
                      <w:t>Etiniu principu sudaromi fondai</w:t>
                    </w:r>
                  </w:p>
                  <w:p w:rsidR="000E1A39" w:rsidRDefault="000E1A39" w:rsidP="00580219"/>
                </w:txbxContent>
              </v:textbox>
            </v:roundrect>
            <v:roundrect id="_x0000_s1261" style="position:absolute;left:6076;top:11754;width:1549;height:516" arcsize="10923f">
              <v:textbox style="mso-next-textbox:#_x0000_s1261">
                <w:txbxContent>
                  <w:p w:rsidR="000E1A39" w:rsidRPr="00336A59" w:rsidRDefault="000E1A39" w:rsidP="00580219">
                    <w:pPr>
                      <w:jc w:val="center"/>
                      <w:rPr>
                        <w:sz w:val="20"/>
                        <w:szCs w:val="20"/>
                      </w:rPr>
                    </w:pPr>
                    <w:r>
                      <w:rPr>
                        <w:sz w:val="20"/>
                        <w:szCs w:val="20"/>
                      </w:rPr>
                      <w:t>Rinkos indekso stru</w:t>
                    </w:r>
                    <w:r w:rsidRPr="00336A59">
                      <w:rPr>
                        <w:sz w:val="20"/>
                        <w:szCs w:val="20"/>
                      </w:rPr>
                      <w:t>ktūrą atitinkantys fondai</w:t>
                    </w:r>
                  </w:p>
                </w:txbxContent>
              </v:textbox>
            </v:roundrect>
            <v:roundrect id="_x0000_s1262" style="position:absolute;left:7989;top:11149;width:1574;height:503" arcsize="10923f">
              <v:textbox style="mso-next-textbox:#_x0000_s1262">
                <w:txbxContent>
                  <w:p w:rsidR="000E1A39" w:rsidRPr="00336A59" w:rsidRDefault="000E1A39" w:rsidP="00580219">
                    <w:pPr>
                      <w:jc w:val="center"/>
                      <w:rPr>
                        <w:sz w:val="20"/>
                        <w:szCs w:val="20"/>
                      </w:rPr>
                    </w:pPr>
                    <w:r w:rsidRPr="00336A59">
                      <w:rPr>
                        <w:sz w:val="20"/>
                        <w:szCs w:val="20"/>
                      </w:rPr>
                      <w:t>Investicijos atskiruose ūkio sektoriuose</w:t>
                    </w:r>
                  </w:p>
                </w:txbxContent>
              </v:textbox>
            </v:roundrect>
            <v:roundrect id="_x0000_s1263" style="position:absolute;left:6076;top:11149;width:1531;height:503" arcsize="10923f">
              <v:textbox style="mso-next-textbox:#_x0000_s1263">
                <w:txbxContent>
                  <w:p w:rsidR="000E1A39" w:rsidRPr="00336A59" w:rsidRDefault="000E1A39" w:rsidP="00580219">
                    <w:pPr>
                      <w:jc w:val="center"/>
                      <w:rPr>
                        <w:sz w:val="20"/>
                        <w:szCs w:val="20"/>
                      </w:rPr>
                    </w:pPr>
                    <w:r w:rsidRPr="00336A59">
                      <w:rPr>
                        <w:sz w:val="20"/>
                        <w:szCs w:val="20"/>
                      </w:rPr>
                      <w:t>Investicijos atskirose šalyse</w:t>
                    </w:r>
                  </w:p>
                </w:txbxContent>
              </v:textbox>
            </v:roundrect>
            <v:shape id="_x0000_s1264" type="#_x0000_t32" style="position:absolute;left:7801;top:11047;width:4;height:1329" o:connectortype="straight">
              <v:stroke endarrow="block"/>
            </v:shape>
            <v:shape id="_x0000_s1265" type="#_x0000_t32" style="position:absolute;left:7580;top:12008;width:225;height:1;flip:x y" o:connectortype="straight">
              <v:stroke endarrow="block"/>
            </v:shape>
            <v:shape id="_x0000_s1267" type="#_x0000_t32" style="position:absolute;left:7801;top:12008;width:220;height:1;flip:x" o:connectortype="straight">
              <v:stroke startarrow="block"/>
            </v:shape>
            <v:roundrect id="_x0000_s1268" style="position:absolute;left:5003;top:12717;width:2019;height:355" arcsize="10923f">
              <v:textbox style="mso-next-textbox:#_x0000_s1268">
                <w:txbxContent>
                  <w:p w:rsidR="000E1A39" w:rsidRPr="00DB243A" w:rsidRDefault="000E1A39" w:rsidP="00580219">
                    <w:pPr>
                      <w:jc w:val="center"/>
                      <w:rPr>
                        <w:b/>
                        <w:sz w:val="20"/>
                        <w:szCs w:val="20"/>
                      </w:rPr>
                    </w:pPr>
                    <w:r w:rsidRPr="00DB243A">
                      <w:rPr>
                        <w:b/>
                        <w:sz w:val="20"/>
                        <w:szCs w:val="20"/>
                      </w:rPr>
                      <w:t xml:space="preserve">Pagal </w:t>
                    </w:r>
                    <w:r>
                      <w:rPr>
                        <w:b/>
                        <w:sz w:val="20"/>
                        <w:szCs w:val="20"/>
                      </w:rPr>
                      <w:t>finansines priemones</w:t>
                    </w:r>
                  </w:p>
                </w:txbxContent>
              </v:textbox>
            </v:roundrect>
            <v:roundrect id="_x0000_s1100" style="position:absolute;left:6351;top:13151;width:1385;height:344" arcsize="10923f">
              <v:textbox style="mso-next-textbox:#_x0000_s1100">
                <w:txbxContent>
                  <w:p w:rsidR="000E1A39" w:rsidRPr="00336A59" w:rsidRDefault="000E1A39" w:rsidP="00580219">
                    <w:pPr>
                      <w:jc w:val="center"/>
                      <w:rPr>
                        <w:sz w:val="20"/>
                        <w:szCs w:val="20"/>
                      </w:rPr>
                    </w:pPr>
                    <w:r>
                      <w:rPr>
                        <w:sz w:val="20"/>
                        <w:szCs w:val="20"/>
                      </w:rPr>
                      <w:t>Nuosavybės IF</w:t>
                    </w:r>
                  </w:p>
                </w:txbxContent>
              </v:textbox>
            </v:roundrect>
            <v:roundrect id="_x0000_s1154" style="position:absolute;left:4267;top:13150;width:1385;height:345" arcsize="10923f">
              <v:textbox style="mso-next-textbox:#_x0000_s1154">
                <w:txbxContent>
                  <w:p w:rsidR="000E1A39" w:rsidRPr="00336A59" w:rsidRDefault="000E1A39" w:rsidP="00580219">
                    <w:pPr>
                      <w:jc w:val="center"/>
                      <w:rPr>
                        <w:sz w:val="20"/>
                        <w:szCs w:val="20"/>
                      </w:rPr>
                    </w:pPr>
                    <w:r>
                      <w:rPr>
                        <w:sz w:val="20"/>
                        <w:szCs w:val="20"/>
                      </w:rPr>
                      <w:t>Skolos</w:t>
                    </w:r>
                    <w:r w:rsidRPr="00336A59">
                      <w:rPr>
                        <w:sz w:val="20"/>
                        <w:szCs w:val="20"/>
                      </w:rPr>
                      <w:t xml:space="preserve"> </w:t>
                    </w:r>
                    <w:r>
                      <w:rPr>
                        <w:sz w:val="20"/>
                        <w:szCs w:val="20"/>
                      </w:rPr>
                      <w:t>IF</w:t>
                    </w:r>
                  </w:p>
                </w:txbxContent>
              </v:textbox>
            </v:roundrect>
            <v:roundrect id="_x0000_s1106" style="position:absolute;left:6353;top:14555;width:1365;height:345" arcsize="10923f">
              <v:textbox style="mso-next-textbox:#_x0000_s1106">
                <w:txbxContent>
                  <w:p w:rsidR="000E1A39" w:rsidRPr="00336A59" w:rsidRDefault="000E1A39" w:rsidP="00580219">
                    <w:pPr>
                      <w:jc w:val="center"/>
                      <w:rPr>
                        <w:sz w:val="20"/>
                        <w:szCs w:val="20"/>
                      </w:rPr>
                    </w:pPr>
                    <w:r w:rsidRPr="00336A59">
                      <w:rPr>
                        <w:sz w:val="20"/>
                        <w:szCs w:val="20"/>
                      </w:rPr>
                      <w:t>Indeksiniai fondai</w:t>
                    </w:r>
                  </w:p>
                </w:txbxContent>
              </v:textbox>
            </v:roundrect>
            <v:shapetype id="_x0000_t33" coordsize="21600,21600" o:spt="33" o:oned="t" path="m,l21600,r,21600e" filled="f">
              <v:stroke joinstyle="miter"/>
              <v:path arrowok="t" fillok="f" o:connecttype="none"/>
              <o:lock v:ext="edit" shapetype="t"/>
            </v:shapetype>
            <v:shape id="_x0000_s1270" type="#_x0000_t33" style="position:absolute;left:4712;top:13971;width:2199;height:401;rotation:90" o:connectortype="elbow" adj="-45388,-380676,-45388">
              <v:stroke endarrow="block"/>
            </v:shape>
            <v:shape id="_x0000_s1144" type="#_x0000_t32" style="position:absolute;left:5997;top:13795;width:354;height:1;flip:x" o:connectortype="straight">
              <v:stroke startarrow="block"/>
            </v:shape>
            <v:shape id="_x0000_s1138" type="#_x0000_t32" style="position:absolute;left:6012;top:14266;width:339;height:1;flip:x" o:connectortype="straight">
              <v:stroke startarrow="block"/>
            </v:shape>
            <v:shape id="_x0000_s1166" type="#_x0000_t32" style="position:absolute;left:5654;top:13795;width:378;height:1;flip:x y" o:connectortype="straight">
              <v:stroke endarrow="block"/>
            </v:shape>
            <v:shape id="_x0000_s1271" type="#_x0000_t32" style="position:absolute;left:5625;top:14267;width:379;height:1;flip:x y" o:connectortype="straight">
              <v:stroke endarrow="block"/>
            </v:shape>
            <v:shape id="_x0000_s1272" type="#_x0000_t32" style="position:absolute;left:5636;top:14717;width:378;height:1;flip:x y" o:connectortype="straight">
              <v:stroke endarrow="block"/>
            </v:shape>
            <v:shape id="_x0000_s1273" type="#_x0000_t32" style="position:absolute;left:6011;top:14718;width:340;height:2;flip:x" o:connectortype="straight">
              <v:stroke startarrow="block"/>
            </v:shape>
            <v:shape id="_x0000_s1274" type="#_x0000_t32" style="position:absolute;left:6012;top:15271;width:358;height:1;flip:x" o:connectortype="straight">
              <v:stroke startarrow="block"/>
            </v:shape>
            <w10:wrap type="none"/>
            <w10:anchorlock/>
          </v:group>
        </w:pict>
      </w:r>
    </w:p>
    <w:p w:rsidR="00676026" w:rsidRPr="00891173" w:rsidRDefault="00705CD4" w:rsidP="00676026">
      <w:pPr>
        <w:autoSpaceDE w:val="0"/>
        <w:autoSpaceDN w:val="0"/>
        <w:adjustRightInd w:val="0"/>
        <w:spacing w:after="120"/>
        <w:ind w:firstLine="851"/>
        <w:jc w:val="center"/>
        <w:rPr>
          <w:rFonts w:eastAsia="MinionPro-Regular"/>
          <w:b/>
        </w:rPr>
      </w:pPr>
      <w:r w:rsidRPr="00891173">
        <w:rPr>
          <w:rFonts w:eastAsia="MinionPro-Regular"/>
          <w:b/>
        </w:rPr>
        <w:t>1</w:t>
      </w:r>
      <w:r w:rsidR="00676026" w:rsidRPr="00891173">
        <w:rPr>
          <w:rFonts w:eastAsia="MinionPro-Regular"/>
          <w:b/>
        </w:rPr>
        <w:t xml:space="preserve"> pav.</w:t>
      </w:r>
      <w:r w:rsidR="00676026" w:rsidRPr="00891173">
        <w:rPr>
          <w:rFonts w:eastAsia="MinionPro-Regular"/>
        </w:rPr>
        <w:t xml:space="preserve"> </w:t>
      </w:r>
      <w:r w:rsidR="00676026" w:rsidRPr="00891173">
        <w:rPr>
          <w:rFonts w:eastAsia="MinionPro-Regular"/>
          <w:b/>
        </w:rPr>
        <w:t>Investicinių fondų klasifikavimo schema</w:t>
      </w:r>
    </w:p>
    <w:p w:rsidR="00676026" w:rsidRPr="00891173" w:rsidRDefault="00676026" w:rsidP="00EF51B5">
      <w:pPr>
        <w:autoSpaceDE w:val="0"/>
        <w:autoSpaceDN w:val="0"/>
        <w:adjustRightInd w:val="0"/>
        <w:spacing w:after="120" w:line="360" w:lineRule="auto"/>
        <w:ind w:firstLine="567"/>
        <w:jc w:val="both"/>
        <w:rPr>
          <w:rFonts w:eastAsia="MinionPro-Regular"/>
          <w:sz w:val="20"/>
          <w:szCs w:val="20"/>
        </w:rPr>
      </w:pPr>
      <w:r w:rsidRPr="00891173">
        <w:rPr>
          <w:rFonts w:eastAsia="MinionPro-Regular"/>
          <w:b/>
          <w:sz w:val="20"/>
          <w:szCs w:val="20"/>
        </w:rPr>
        <w:t>Šaltinis:</w:t>
      </w:r>
      <w:r w:rsidRPr="00891173">
        <w:rPr>
          <w:rFonts w:eastAsia="MinionPro-Regular"/>
          <w:sz w:val="20"/>
          <w:szCs w:val="20"/>
        </w:rPr>
        <w:t xml:space="preserve"> </w:t>
      </w:r>
      <w:r w:rsidR="00677CB0" w:rsidRPr="00891173">
        <w:rPr>
          <w:rFonts w:eastAsia="MinionPro-Regular"/>
          <w:sz w:val="20"/>
          <w:szCs w:val="20"/>
        </w:rPr>
        <w:t xml:space="preserve">sudaryta pagal Snieška, Pekarskienė, 1999; </w:t>
      </w:r>
      <w:r w:rsidR="00677CB0" w:rsidRPr="00891173">
        <w:rPr>
          <w:sz w:val="20"/>
          <w:szCs w:val="20"/>
        </w:rPr>
        <w:t>Mačerinskienė</w:t>
      </w:r>
      <w:r w:rsidR="001173F5" w:rsidRPr="00891173">
        <w:rPr>
          <w:sz w:val="20"/>
          <w:szCs w:val="20"/>
        </w:rPr>
        <w:t xml:space="preserve">, </w:t>
      </w:r>
      <w:r w:rsidR="00677CB0" w:rsidRPr="00891173">
        <w:rPr>
          <w:sz w:val="20"/>
          <w:szCs w:val="20"/>
        </w:rPr>
        <w:t>Volodzkienė, 2006; Bivainis, Volodzkienė 2008;</w:t>
      </w:r>
      <w:r w:rsidR="007B0E37" w:rsidRPr="00891173">
        <w:rPr>
          <w:rFonts w:eastAsia="MinionPro-Regular"/>
        </w:rPr>
        <w:t xml:space="preserve"> </w:t>
      </w:r>
      <w:r w:rsidR="007B0E37" w:rsidRPr="00891173">
        <w:rPr>
          <w:rFonts w:eastAsia="MinionPro-Regular"/>
          <w:sz w:val="20"/>
          <w:szCs w:val="20"/>
        </w:rPr>
        <w:t xml:space="preserve">Kancerevyčiaus, 2006; </w:t>
      </w:r>
      <w:r w:rsidR="001173F5" w:rsidRPr="00891173">
        <w:rPr>
          <w:rFonts w:eastAsiaTheme="minorHAnsi"/>
          <w:sz w:val="20"/>
          <w:szCs w:val="20"/>
          <w:lang w:eastAsia="en-US"/>
        </w:rPr>
        <w:t>Žvirblis, Rimke</w:t>
      </w:r>
      <w:r w:rsidR="007B0E37" w:rsidRPr="00891173">
        <w:rPr>
          <w:rFonts w:eastAsiaTheme="minorHAnsi"/>
          <w:sz w:val="20"/>
          <w:szCs w:val="20"/>
          <w:lang w:eastAsia="en-US"/>
        </w:rPr>
        <w:t xml:space="preserve">vičiūtė, 2010; </w:t>
      </w:r>
      <w:r w:rsidR="007B0E37" w:rsidRPr="00891173">
        <w:rPr>
          <w:rFonts w:eastAsia="MinionPro-Regular"/>
          <w:sz w:val="20"/>
          <w:szCs w:val="20"/>
        </w:rPr>
        <w:t>Snieška, Venckuvienė, 2011</w:t>
      </w:r>
      <w:r w:rsidR="00CC4192" w:rsidRPr="00891173">
        <w:rPr>
          <w:rFonts w:eastAsia="MinionPro-Regular"/>
          <w:sz w:val="20"/>
          <w:szCs w:val="20"/>
        </w:rPr>
        <w:t xml:space="preserve">, </w:t>
      </w:r>
      <w:r w:rsidR="00CC4192" w:rsidRPr="00891173">
        <w:rPr>
          <w:sz w:val="20"/>
          <w:szCs w:val="20"/>
        </w:rPr>
        <w:t>Rutkauskas, Martinkut</w:t>
      </w:r>
      <w:r w:rsidR="00CC4192" w:rsidRPr="00891173">
        <w:rPr>
          <w:rFonts w:ascii="TimesNewRoman" w:eastAsia="TimesNewRoman" w:cs="TimesNewRoman"/>
          <w:sz w:val="20"/>
          <w:szCs w:val="20"/>
        </w:rPr>
        <w:t>ė</w:t>
      </w:r>
      <w:r w:rsidR="00CC4192" w:rsidRPr="00891173">
        <w:rPr>
          <w:sz w:val="20"/>
          <w:szCs w:val="20"/>
        </w:rPr>
        <w:t>, 2007.</w:t>
      </w:r>
    </w:p>
    <w:p w:rsidR="00676026" w:rsidRPr="00891173" w:rsidRDefault="00676026" w:rsidP="006E51FB">
      <w:pPr>
        <w:autoSpaceDE w:val="0"/>
        <w:autoSpaceDN w:val="0"/>
        <w:adjustRightInd w:val="0"/>
        <w:spacing w:line="360" w:lineRule="auto"/>
        <w:ind w:firstLine="567"/>
        <w:jc w:val="both"/>
      </w:pPr>
      <w:r w:rsidRPr="00891173">
        <w:rPr>
          <w:rFonts w:eastAsia="MinionPro-Regular"/>
        </w:rPr>
        <w:t xml:space="preserve">Bazinis investicinių fondų požymis – operacinė struktūra, pagal kurią investiciniai fondai skirstomi į atvirojo tipo bei uždarojo tipo fondus. </w:t>
      </w:r>
      <w:r w:rsidRPr="00891173">
        <w:rPr>
          <w:i/>
          <w:iCs/>
        </w:rPr>
        <w:t xml:space="preserve">Atviri investiciniai fondai </w:t>
      </w:r>
      <w:r w:rsidRPr="00891173">
        <w:t xml:space="preserve">platina savo akcijas </w:t>
      </w:r>
      <w:r w:rsidRPr="00891173">
        <w:lastRenderedPageBreak/>
        <w:t>savarankiškai arba per finansų tarpininkus, o išleidžiamų akcijų skaičius nėra fiksuotas ir nuolat kinta, t.y. fondai po pradinio akcijų pardavimo ir toliau tęsia savo akcijų pardavinėjimą. Kadangi investuotojai gali bet kuriuo metu pareikalauti, kad fondas išpirktų jo tu</w:t>
      </w:r>
      <w:r w:rsidR="00A13BCD" w:rsidRPr="00891173">
        <w:t>r</w:t>
      </w:r>
      <w:r w:rsidRPr="00891173">
        <w:t>imas akcijas, atvirieji fondai yra įsipareigoję supirkti savo akcijas. Todėl atviro tipo investicinių fondų kapitalizacija nuolat kinta. Investuotojai perka ir išperka akcijas pagal grynąją aktyvų vertę (NAV), t.y. vienos akcijos vertė fonde. Fondas savo akcijas parduoda už NAV, pridedant fondo nustatytus pardavimo mokesčius. Kaip dar vieną atvirojo tipo investicinio fondo bruožą</w:t>
      </w:r>
      <w:r w:rsidR="00A13BCD" w:rsidRPr="00891173">
        <w:t>,</w:t>
      </w:r>
      <w:r w:rsidRPr="00891173">
        <w:t xml:space="preserve"> Kancerevyčius išskiria, kad atvirasis fondas pasižymi didesniu likvidumu bei suteikia investuotojams daugiau laisvės. Tačiau tokio tipo investiciniai fondai daugiau skirti ilgalaikiams investuotojams, nes tarp akcijos pirkimo – pardavimo kainų dažniausiai būna pakankamai didelė marža bei atskaitomi įvairūs valdymo mokesčiai. Taigi dažnas reagavimas į rinkos pokyčius, t.y. turimų akcijų pardavimas arba pirkimas, gali būti nuostolingas.</w:t>
      </w:r>
    </w:p>
    <w:p w:rsidR="00676026" w:rsidRPr="00891173" w:rsidRDefault="00676026" w:rsidP="006E51FB">
      <w:pPr>
        <w:autoSpaceDE w:val="0"/>
        <w:autoSpaceDN w:val="0"/>
        <w:adjustRightInd w:val="0"/>
        <w:spacing w:line="360" w:lineRule="auto"/>
        <w:ind w:firstLine="567"/>
        <w:jc w:val="both"/>
        <w:rPr>
          <w:sz w:val="23"/>
          <w:szCs w:val="23"/>
        </w:rPr>
      </w:pPr>
      <w:r w:rsidRPr="00891173">
        <w:t>Kitaip nei atvirųjų investicinių fondų,</w:t>
      </w:r>
      <w:r w:rsidRPr="00891173">
        <w:rPr>
          <w:i/>
        </w:rPr>
        <w:t xml:space="preserve"> uždarųjų investicinių fondų</w:t>
      </w:r>
      <w:r w:rsidRPr="00891173">
        <w:t xml:space="preserve"> akcijų skaičius yra fiksuotas, o papildomai emisijai turi pritarti akcininkai balsų dauguma. Kadangi po pirminės akcijų emisijos išplatinimo šie fondai savo akcijų nebeparduoda, uždarojo fondo kapitalizacija išlieka pastovi. Taip pat nors </w:t>
      </w:r>
      <w:r w:rsidRPr="00891173">
        <w:rPr>
          <w:rFonts w:eastAsia="MinionPro-Regular"/>
        </w:rPr>
        <w:t xml:space="preserve">fondas savo akcijų neišperka, tačiau jomis galima prekiauti biržoje, jei jos kotiruojamos, arba užbiržinėje rinkoje. </w:t>
      </w:r>
      <w:r w:rsidRPr="00891173">
        <w:t>Čepinskis, Kuzmickas (1997) išskiria tokio tipo fondų privalumą valdytojams, nes investuotojai negali atitraukti lėšų kada panorėję, galima tik tuo atveju, jei fondo valdytojai nusprendžia išpirkti fondo akcijas (p. 11). Taip pat anot jų, š</w:t>
      </w:r>
      <w:r w:rsidRPr="00891173">
        <w:rPr>
          <w:rFonts w:eastAsia="MinionPro-Regular"/>
        </w:rPr>
        <w:t xml:space="preserve">ių fondų veikla paprastai susieta su ilgalaikėmis investicijomis, kurių likvidumas nėra labai aukštas. Kitas skirtumas nuo atvirųjų investicinių fondų, uždarųjų fondų lėšos formuojamos išleidžiant ne tik paprastąsias akcijas ar privilegijuotąsias akcijas, bet ir obligacijas. Uždarojo tipo investiciniai fondai pagal akcijų išpirkimo dažnumą skirstomi </w:t>
      </w:r>
      <w:r w:rsidRPr="00891173">
        <w:rPr>
          <w:rFonts w:ascii="TimesNewRoman" w:eastAsia="TimesNewRoman" w:cs="TimesNewRoman"/>
          <w:sz w:val="23"/>
          <w:szCs w:val="23"/>
        </w:rPr>
        <w:t>į</w:t>
      </w:r>
      <w:r w:rsidRPr="00891173">
        <w:rPr>
          <w:rFonts w:ascii="TimesNewRoman" w:eastAsia="TimesNewRoman" w:cs="TimesNewRoman"/>
          <w:sz w:val="23"/>
          <w:szCs w:val="23"/>
        </w:rPr>
        <w:t xml:space="preserve"> </w:t>
      </w:r>
      <w:r w:rsidRPr="00891173">
        <w:rPr>
          <w:sz w:val="23"/>
          <w:szCs w:val="23"/>
        </w:rPr>
        <w:t>intervalinius, kurie gali supirkti nuo 5 iki 25 proc. išleist</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akcij</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kas 3, 6 ar 12 m</w:t>
      </w:r>
      <w:r w:rsidRPr="00891173">
        <w:rPr>
          <w:rFonts w:ascii="TimesNewRoman" w:eastAsia="TimesNewRoman" w:cs="TimesNewRoman"/>
          <w:sz w:val="23"/>
          <w:szCs w:val="23"/>
        </w:rPr>
        <w:t>ė</w:t>
      </w:r>
      <w:r w:rsidRPr="00891173">
        <w:rPr>
          <w:sz w:val="23"/>
          <w:szCs w:val="23"/>
        </w:rPr>
        <w:t>nesi</w:t>
      </w:r>
      <w:r w:rsidRPr="00891173">
        <w:rPr>
          <w:rFonts w:ascii="TimesNewRoman" w:eastAsia="TimesNewRoman" w:cs="TimesNewRoman"/>
          <w:sz w:val="23"/>
          <w:szCs w:val="23"/>
        </w:rPr>
        <w:t>ų</w:t>
      </w:r>
      <w:r w:rsidRPr="00891173">
        <w:rPr>
          <w:sz w:val="23"/>
          <w:szCs w:val="23"/>
        </w:rPr>
        <w:t xml:space="preserve"> ir diskre</w:t>
      </w:r>
      <w:r w:rsidRPr="00891173">
        <w:rPr>
          <w:rFonts w:ascii="TimesNewRoman" w:eastAsia="TimesNewRoman" w:cs="TimesNewRoman"/>
          <w:sz w:val="23"/>
          <w:szCs w:val="23"/>
        </w:rPr>
        <w:t>č</w:t>
      </w:r>
      <w:r w:rsidRPr="00891173">
        <w:rPr>
          <w:sz w:val="23"/>
          <w:szCs w:val="23"/>
        </w:rPr>
        <w:t>iuosius uždaruosius fondus, kur išperkam</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akcij</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skai</w:t>
      </w:r>
      <w:r w:rsidRPr="00891173">
        <w:rPr>
          <w:rFonts w:ascii="TimesNewRoman" w:eastAsia="TimesNewRoman" w:cs="TimesNewRoman"/>
          <w:sz w:val="23"/>
          <w:szCs w:val="23"/>
        </w:rPr>
        <w:t>č</w:t>
      </w:r>
      <w:r w:rsidRPr="00891173">
        <w:rPr>
          <w:sz w:val="23"/>
          <w:szCs w:val="23"/>
        </w:rPr>
        <w:t>ius neribojamas, ta</w:t>
      </w:r>
      <w:r w:rsidRPr="00891173">
        <w:rPr>
          <w:rFonts w:ascii="TimesNewRoman" w:eastAsia="TimesNewRoman" w:cs="TimesNewRoman"/>
          <w:sz w:val="23"/>
          <w:szCs w:val="23"/>
        </w:rPr>
        <w:t>č</w:t>
      </w:r>
      <w:r w:rsidRPr="00891173">
        <w:rPr>
          <w:sz w:val="23"/>
          <w:szCs w:val="23"/>
        </w:rPr>
        <w:t>iau išpirkimo terminas paprastai nedažnesnis nei vien</w:t>
      </w:r>
      <w:r w:rsidRPr="00891173">
        <w:rPr>
          <w:rFonts w:ascii="TimesNewRoman" w:eastAsia="TimesNewRoman" w:cs="TimesNewRoman"/>
          <w:sz w:val="23"/>
          <w:szCs w:val="23"/>
        </w:rPr>
        <w:t>ą</w:t>
      </w:r>
      <w:r w:rsidRPr="00891173">
        <w:rPr>
          <w:sz w:val="23"/>
          <w:szCs w:val="23"/>
        </w:rPr>
        <w:t xml:space="preserve">kart per du metus. Taigi norintys investuoti </w:t>
      </w:r>
      <w:r w:rsidRPr="00891173">
        <w:rPr>
          <w:rFonts w:ascii="TimesNewRoman" w:eastAsia="TimesNewRoman" w:cs="TimesNewRoman"/>
          <w:sz w:val="23"/>
          <w:szCs w:val="23"/>
        </w:rPr>
        <w:t>į</w:t>
      </w:r>
      <w:r w:rsidRPr="00891173">
        <w:rPr>
          <w:rFonts w:ascii="TimesNewRoman" w:eastAsia="TimesNewRoman" w:cs="TimesNewRoman"/>
          <w:sz w:val="23"/>
          <w:szCs w:val="23"/>
        </w:rPr>
        <w:t xml:space="preserve"> </w:t>
      </w:r>
      <w:r w:rsidRPr="00891173">
        <w:rPr>
          <w:sz w:val="23"/>
          <w:szCs w:val="23"/>
        </w:rPr>
        <w:t>nelikvidžius arba didel</w:t>
      </w:r>
      <w:r w:rsidRPr="00891173">
        <w:rPr>
          <w:rFonts w:ascii="TimesNewRoman" w:eastAsia="TimesNewRoman" w:cs="TimesNewRoman"/>
          <w:sz w:val="23"/>
          <w:szCs w:val="23"/>
        </w:rPr>
        <w:t>ė</w:t>
      </w:r>
      <w:r w:rsidRPr="00891173">
        <w:rPr>
          <w:sz w:val="23"/>
          <w:szCs w:val="23"/>
        </w:rPr>
        <w:t>s rizikos instrumentus, kaip nekilnojam</w:t>
      </w:r>
      <w:r w:rsidRPr="00891173">
        <w:rPr>
          <w:rFonts w:ascii="TimesNewRoman" w:eastAsia="TimesNewRoman" w:cs="TimesNewRoman"/>
          <w:sz w:val="23"/>
          <w:szCs w:val="23"/>
        </w:rPr>
        <w:t>ą</w:t>
      </w:r>
      <w:r w:rsidRPr="00891173">
        <w:rPr>
          <w:sz w:val="23"/>
          <w:szCs w:val="23"/>
        </w:rPr>
        <w:t>j</w:t>
      </w:r>
      <w:r w:rsidRPr="00891173">
        <w:rPr>
          <w:rFonts w:ascii="TimesNewRoman" w:eastAsia="TimesNewRoman" w:cs="TimesNewRoman"/>
          <w:sz w:val="23"/>
          <w:szCs w:val="23"/>
        </w:rPr>
        <w:t>į</w:t>
      </w:r>
      <w:r w:rsidRPr="00891173">
        <w:rPr>
          <w:rFonts w:ascii="TimesNewRoman" w:eastAsia="TimesNewRoman" w:cs="TimesNewRoman"/>
          <w:sz w:val="23"/>
          <w:szCs w:val="23"/>
        </w:rPr>
        <w:t xml:space="preserve"> </w:t>
      </w:r>
      <w:r w:rsidRPr="00891173">
        <w:rPr>
          <w:sz w:val="23"/>
          <w:szCs w:val="23"/>
        </w:rPr>
        <w:t>turt</w:t>
      </w:r>
      <w:r w:rsidRPr="00891173">
        <w:rPr>
          <w:rFonts w:ascii="TimesNewRoman" w:eastAsia="TimesNewRoman" w:cs="TimesNewRoman"/>
          <w:sz w:val="23"/>
          <w:szCs w:val="23"/>
        </w:rPr>
        <w:t>ą</w:t>
      </w:r>
      <w:r w:rsidRPr="00891173">
        <w:rPr>
          <w:rFonts w:ascii="TimesNewRoman" w:eastAsia="TimesNewRoman" w:cs="TimesNewRoman"/>
          <w:sz w:val="23"/>
          <w:szCs w:val="23"/>
        </w:rPr>
        <w:t xml:space="preserve"> </w:t>
      </w:r>
      <w:r w:rsidRPr="00891173">
        <w:rPr>
          <w:sz w:val="23"/>
          <w:szCs w:val="23"/>
        </w:rPr>
        <w:t>ar nauj</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rFonts w:ascii="TimesNewRoman" w:eastAsia="TimesNewRoman" w:cs="TimesNewRoman"/>
          <w:sz w:val="23"/>
          <w:szCs w:val="23"/>
        </w:rPr>
        <w:t>į</w:t>
      </w:r>
      <w:r w:rsidRPr="00891173">
        <w:rPr>
          <w:sz w:val="23"/>
          <w:szCs w:val="23"/>
        </w:rPr>
        <w:t>moni</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 xml:space="preserve">akcijas, renkasi uždarojo tipo investicinius fondus. </w:t>
      </w:r>
    </w:p>
    <w:p w:rsidR="00676026" w:rsidRPr="00891173" w:rsidRDefault="00676026" w:rsidP="006E51FB">
      <w:pPr>
        <w:pStyle w:val="Default"/>
        <w:spacing w:line="360" w:lineRule="auto"/>
        <w:ind w:firstLine="567"/>
        <w:jc w:val="both"/>
      </w:pPr>
      <w:r w:rsidRPr="00891173">
        <w:t xml:space="preserve">Kaip matyti iš 1 pav. pagal investicijų politiką investiciniai fondai skirstomi į </w:t>
      </w:r>
      <w:r w:rsidRPr="00891173">
        <w:rPr>
          <w:bCs/>
          <w:i/>
          <w:iCs/>
        </w:rPr>
        <w:t>pajamų, investicijų augimo bei investicijų augimo ir pajamų balanso fondus</w:t>
      </w:r>
      <w:r w:rsidRPr="00891173">
        <w:t xml:space="preserve">. Pirmojo tipo, pajamų fondo, turtas investuojamas į įmonių, vyriausybių bei valdžios institucijų išleidžiamus skolos vertybinius popierius bei akcijas. Šios rūšies fondai išsiskiria tuo, kad mokamos periodinės išmokos investuotojams dividendų ar palūkanų forma. Tuo tarpu ilgalaikis kapitalo augimas siekiamas investuojant į investicijų augimo fondus. Investicijų augimo ir pajamų fondų tikslas – pastovus kapitalo prieaugis ir aukštos einamosios pajamos. </w:t>
      </w:r>
    </w:p>
    <w:p w:rsidR="00676026" w:rsidRPr="00891173" w:rsidRDefault="00A13BCD" w:rsidP="006E51FB">
      <w:pPr>
        <w:autoSpaceDE w:val="0"/>
        <w:autoSpaceDN w:val="0"/>
        <w:adjustRightInd w:val="0"/>
        <w:spacing w:line="360" w:lineRule="auto"/>
        <w:ind w:firstLine="567"/>
        <w:jc w:val="both"/>
        <w:rPr>
          <w:rFonts w:eastAsia="MinionPro-Regular"/>
        </w:rPr>
      </w:pPr>
      <w:r w:rsidRPr="00891173">
        <w:lastRenderedPageBreak/>
        <w:t>Į pastarą</w:t>
      </w:r>
      <w:r w:rsidR="00676026" w:rsidRPr="00891173">
        <w:t xml:space="preserve">jį investicinių fondų skirstymą panašus </w:t>
      </w:r>
      <w:r w:rsidR="00676026" w:rsidRPr="00891173">
        <w:rPr>
          <w:rFonts w:eastAsia="MinionPro-Regular"/>
        </w:rPr>
        <w:t>skirstymas pagal gautų pajamų išmokėjimą. Investiciniai fondai gali periodiškai išmokėti pajamas (periodinis pajamų srautas) arba reinvestuoti, kurių metu siekiama didesnio kapitalo prieaugio.</w:t>
      </w:r>
    </w:p>
    <w:p w:rsidR="00676026" w:rsidRPr="00891173" w:rsidRDefault="00676026" w:rsidP="006E51FB">
      <w:pPr>
        <w:autoSpaceDE w:val="0"/>
        <w:autoSpaceDN w:val="0"/>
        <w:adjustRightInd w:val="0"/>
        <w:spacing w:line="360" w:lineRule="auto"/>
        <w:ind w:firstLine="567"/>
        <w:jc w:val="both"/>
        <w:rPr>
          <w:rFonts w:eastAsia="MinionPro-Regular"/>
        </w:rPr>
      </w:pPr>
      <w:r w:rsidRPr="00891173">
        <w:rPr>
          <w:rFonts w:eastAsia="MinionPro-Regular"/>
        </w:rPr>
        <w:t>Atsižvelgiant į fondų organizavimo struktūrą, skiriami  korporaciniai fondai, pasitikėjimo fondai ir sutarčių fondai (Snieška, Pekarskienė, 1999). Pagal organizavimo struktūrą – plači</w:t>
      </w:r>
      <w:r w:rsidR="006F5218" w:rsidRPr="00891173">
        <w:rPr>
          <w:rFonts w:eastAsia="MinionPro-Regular"/>
        </w:rPr>
        <w:t>au</w:t>
      </w:r>
      <w:r w:rsidRPr="00891173">
        <w:rPr>
          <w:rFonts w:eastAsia="MinionPro-Regular"/>
        </w:rPr>
        <w:t xml:space="preserve">siai paplitę </w:t>
      </w:r>
      <w:r w:rsidRPr="00891173">
        <w:rPr>
          <w:rFonts w:eastAsia="MinionPro-Regular"/>
          <w:i/>
        </w:rPr>
        <w:t>korporaciniai fondai</w:t>
      </w:r>
      <w:r w:rsidRPr="00891173">
        <w:rPr>
          <w:rFonts w:eastAsia="MinionPro-Regular"/>
        </w:rPr>
        <w:t xml:space="preserve">, kur </w:t>
      </w:r>
      <w:r w:rsidRPr="00891173">
        <w:t>akcinės bendrovės, akcininkų vardu investuoja į kitų kompanijų vertybinius popierius ir gautas pajamas iš dividendų bei portfelio vertės padidėjimo procentus</w:t>
      </w:r>
      <w:r w:rsidR="00A13BCD" w:rsidRPr="00891173">
        <w:t>,</w:t>
      </w:r>
      <w:r w:rsidRPr="00891173">
        <w:t xml:space="preserve"> paskirsto savo akcininkams dividendų forma. Nors akcininkai dalyvauja fondo valdyme, tačiau dalis valdymo funkcijų (pvz. investicinio portfelio valdymas, administracijos aprūpinimas) perduodamos kitoms organizacijoms, kaip nepriklausomai turto valdymo kompanijai. </w:t>
      </w:r>
      <w:r w:rsidRPr="00891173">
        <w:rPr>
          <w:i/>
        </w:rPr>
        <w:t>P</w:t>
      </w:r>
      <w:r w:rsidRPr="00891173">
        <w:rPr>
          <w:bCs/>
          <w:i/>
          <w:iCs/>
        </w:rPr>
        <w:t>asitikėjimo fonduose</w:t>
      </w:r>
      <w:r w:rsidRPr="00891173">
        <w:rPr>
          <w:b/>
          <w:bCs/>
          <w:i/>
          <w:iCs/>
        </w:rPr>
        <w:t xml:space="preserve"> </w:t>
      </w:r>
      <w:r w:rsidRPr="00891173">
        <w:t>egzistuoja tam tikras funkcijų paskirstymas, t.y. nepriklausoma valdymo įmonė valdo fondo aktyvų portfelį bei atlieka administravimo procedūras, o tam tikras patikėtinis, su kuriuo steigiant fondą valdymo įmonė pasirašo sutartį, atsako už fondo turtą ir veiklą. Kaip teigia Mačerinskienė ir Volodzkienė (2006), toks funkcijų paskirstymas leidžia papildomai apsaugoti fondą ir jo investuotojus. Tačiau Bivainis ir Volodzkienė (2008) pabrėžia, kad „</w:t>
      </w:r>
      <w:r w:rsidRPr="00891173">
        <w:rPr>
          <w:rFonts w:eastAsia="MinionPro-Regular"/>
        </w:rPr>
        <w:t>kai kurių šalių įstatymai</w:t>
      </w:r>
      <w:r w:rsidRPr="00891173">
        <w:t xml:space="preserve"> </w:t>
      </w:r>
      <w:r w:rsidRPr="00891173">
        <w:rPr>
          <w:rFonts w:eastAsia="MinionPro-Regular"/>
        </w:rPr>
        <w:t xml:space="preserve">draudžia steigti pasitikėjimo fondus, todėl tokiose šalyse investiciniai fondai steigiami </w:t>
      </w:r>
      <w:r w:rsidRPr="00891173">
        <w:rPr>
          <w:rFonts w:eastAsia="MinionPro-It"/>
          <w:i/>
          <w:iCs/>
        </w:rPr>
        <w:t xml:space="preserve">sutarčių forma“ </w:t>
      </w:r>
      <w:r w:rsidRPr="00891173">
        <w:rPr>
          <w:rFonts w:eastAsia="MinionPro-It"/>
          <w:iCs/>
        </w:rPr>
        <w:t>(p. 152)</w:t>
      </w:r>
      <w:r w:rsidRPr="00891173">
        <w:rPr>
          <w:rFonts w:eastAsia="MinionPro-Regular"/>
        </w:rPr>
        <w:t>. Pastorojo tipo investicinio fondo aktyvus valdo valdymo įmonė, o atsakingas už aktyvus yra bankas ar kitokia kredito organizacija. Kadangi f</w:t>
      </w:r>
      <w:r w:rsidRPr="00891173">
        <w:t>ondo investuotojai nėra akcininkai, o tik dalyviai, turintys teisę į fondo pajamas, jie nedalyvauja fondo valdyme.</w:t>
      </w:r>
    </w:p>
    <w:p w:rsidR="00676026" w:rsidRPr="00891173" w:rsidRDefault="00676026" w:rsidP="006E51FB">
      <w:pPr>
        <w:autoSpaceDE w:val="0"/>
        <w:autoSpaceDN w:val="0"/>
        <w:adjustRightInd w:val="0"/>
        <w:spacing w:line="360" w:lineRule="auto"/>
        <w:ind w:firstLine="567"/>
        <w:jc w:val="both"/>
      </w:pPr>
      <w:r w:rsidRPr="00891173">
        <w:t>Mokslinėjė literatūroje investiciniai fondai dažniausiai skirstomi pagal i</w:t>
      </w:r>
      <w:r w:rsidR="008B4C61" w:rsidRPr="00891173">
        <w:t>nvestavimo objektą. G</w:t>
      </w:r>
      <w:r w:rsidRPr="00891173">
        <w:t>alima išskirti keturias pagrindines tokių fondų rūšis:</w:t>
      </w:r>
    </w:p>
    <w:p w:rsidR="00676026" w:rsidRPr="00891173" w:rsidRDefault="00676026" w:rsidP="00203D2D">
      <w:pPr>
        <w:pStyle w:val="ListParagraph"/>
        <w:numPr>
          <w:ilvl w:val="0"/>
          <w:numId w:val="2"/>
        </w:numPr>
        <w:autoSpaceDE w:val="0"/>
        <w:autoSpaceDN w:val="0"/>
        <w:adjustRightInd w:val="0"/>
        <w:spacing w:line="360" w:lineRule="auto"/>
        <w:ind w:left="0" w:firstLine="851"/>
        <w:jc w:val="both"/>
      </w:pPr>
      <w:r w:rsidRPr="00891173">
        <w:rPr>
          <w:i/>
        </w:rPr>
        <w:t>Nuosavybės vertybiniai popieriai</w:t>
      </w:r>
      <w:r w:rsidRPr="00891173">
        <w:t xml:space="preserve">. Tokie fondai </w:t>
      </w:r>
      <w:r w:rsidRPr="00891173">
        <w:rPr>
          <w:rFonts w:ascii="Times-Roman" w:hAnsi="Times-Roman" w:cs="Times-Roman"/>
          <w:sz w:val="23"/>
          <w:szCs w:val="23"/>
        </w:rPr>
        <w:t xml:space="preserve">investuoja tik </w:t>
      </w:r>
      <w:r w:rsidR="008B4C61" w:rsidRPr="00891173">
        <w:rPr>
          <w:rFonts w:ascii="TTE19A2440t00" w:hAnsi="TTE19A2440t00" w:cs="TTE19A2440t00"/>
          <w:sz w:val="23"/>
          <w:szCs w:val="23"/>
        </w:rPr>
        <w:t>į</w:t>
      </w:r>
      <w:r w:rsidRPr="00891173">
        <w:rPr>
          <w:rFonts w:ascii="TTE19A2440t00" w:hAnsi="TTE19A2440t00" w:cs="TTE19A2440t00"/>
          <w:sz w:val="23"/>
          <w:szCs w:val="23"/>
        </w:rPr>
        <w:t xml:space="preserve"> </w:t>
      </w:r>
      <w:r w:rsidRPr="00891173">
        <w:rPr>
          <w:rFonts w:ascii="Times-Roman" w:hAnsi="Times-Roman" w:cs="Times-Roman"/>
          <w:sz w:val="23"/>
          <w:szCs w:val="23"/>
        </w:rPr>
        <w:t>akcijas, tod</w:t>
      </w:r>
      <w:r w:rsidRPr="00891173">
        <w:rPr>
          <w:rFonts w:ascii="TTE19A2440t00" w:hAnsi="TTE19A2440t00" w:cs="TTE19A2440t00"/>
          <w:sz w:val="23"/>
          <w:szCs w:val="23"/>
        </w:rPr>
        <w:t>ė</w:t>
      </w:r>
      <w:r w:rsidRPr="00891173">
        <w:rPr>
          <w:rFonts w:ascii="Times-Roman" w:hAnsi="Times-Roman" w:cs="Times-Roman"/>
          <w:sz w:val="23"/>
          <w:szCs w:val="23"/>
        </w:rPr>
        <w:t xml:space="preserve">l pasižymi dideliu pajamingumu, bet kartu ir didele rizika. </w:t>
      </w:r>
      <w:r w:rsidRPr="00891173">
        <w:t>Akcij</w:t>
      </w:r>
      <w:r w:rsidRPr="00891173">
        <w:rPr>
          <w:rFonts w:eastAsia="TimesNewRoman"/>
        </w:rPr>
        <w:t>ų fondo vertė gali kilti ir kristi labai greitai dėl daugelio priežasčių, pavyzdžiui dėl bendrų ekonomikos tendencijų, dėl tam tikrų produktų paklausos pokyčių. Kai ekonomikos sąlygos palankios, fondo turto nuvertėjimą dažniausiai kompensuoja fondo turto vertės augimas.  Taigi esant akcijų fo</w:t>
      </w:r>
      <w:r w:rsidR="008B4C61" w:rsidRPr="00891173">
        <w:rPr>
          <w:rFonts w:eastAsia="TimesNewRoman"/>
        </w:rPr>
        <w:t>ndų turto vertė</w:t>
      </w:r>
      <w:r w:rsidRPr="00891173">
        <w:rPr>
          <w:rFonts w:eastAsia="TimesNewRoman"/>
        </w:rPr>
        <w:t>s svyravimams</w:t>
      </w:r>
      <w:r w:rsidR="008B4C61" w:rsidRPr="00891173">
        <w:rPr>
          <w:rFonts w:eastAsia="TimesNewRoman"/>
        </w:rPr>
        <w:t>,</w:t>
      </w:r>
      <w:r w:rsidRPr="00891173">
        <w:rPr>
          <w:rFonts w:eastAsia="TimesNewRoman"/>
        </w:rPr>
        <w:t xml:space="preserve"> į akcijų fondus patariama investuoti ilgam laikui. Snieška, Pekarskienė (1999) fondus investuojančius į akcijas suskirstė dar taip:</w:t>
      </w:r>
    </w:p>
    <w:p w:rsidR="00676026" w:rsidRPr="00891173" w:rsidRDefault="00676026" w:rsidP="00203D2D">
      <w:pPr>
        <w:pStyle w:val="ListParagraph"/>
        <w:numPr>
          <w:ilvl w:val="0"/>
          <w:numId w:val="3"/>
        </w:numPr>
        <w:autoSpaceDE w:val="0"/>
        <w:autoSpaceDN w:val="0"/>
        <w:adjustRightInd w:val="0"/>
        <w:spacing w:line="360" w:lineRule="auto"/>
        <w:ind w:left="1134" w:hanging="567"/>
        <w:jc w:val="both"/>
      </w:pPr>
      <w:r w:rsidRPr="00891173">
        <w:rPr>
          <w:i/>
        </w:rPr>
        <w:t>Augimo fondai</w:t>
      </w:r>
      <w:r w:rsidRPr="00891173">
        <w:t xml:space="preserve"> – sieka kapitalo augimo investuojant</w:t>
      </w:r>
      <w:r w:rsidR="008B4C61" w:rsidRPr="00891173">
        <w:t xml:space="preserve"> į</w:t>
      </w:r>
      <w:r w:rsidRPr="00891173">
        <w:t xml:space="preserve"> perspektyvių įmonių akcijas. Tokiu būdu investuojama ilgam laikotarpiui, kur nesiekiama kasmetinių pajamų iš dividendų.</w:t>
      </w:r>
    </w:p>
    <w:p w:rsidR="00676026" w:rsidRPr="00891173" w:rsidRDefault="00676026" w:rsidP="00203D2D">
      <w:pPr>
        <w:pStyle w:val="ListParagraph"/>
        <w:numPr>
          <w:ilvl w:val="0"/>
          <w:numId w:val="3"/>
        </w:numPr>
        <w:autoSpaceDE w:val="0"/>
        <w:autoSpaceDN w:val="0"/>
        <w:adjustRightInd w:val="0"/>
        <w:spacing w:line="360" w:lineRule="auto"/>
        <w:ind w:left="1134" w:hanging="567"/>
        <w:jc w:val="both"/>
      </w:pPr>
      <w:r w:rsidRPr="00891173">
        <w:rPr>
          <w:i/>
        </w:rPr>
        <w:t>Agresyvaus augimo fondais</w:t>
      </w:r>
      <w:r w:rsidRPr="00891173">
        <w:t xml:space="preserve"> siekiama greito kapitalo prieaugio iš kylančių įmonių akcijų, kurių struktūra portfelyje dažnai keičiama. Kadangi agresyvaus augimo fondų pajamos nėra didelės, o portfelio akcijų kursas nestabilus, reikia tinkamai pasirinkti pirkimo ir pardavimo laiką.</w:t>
      </w:r>
    </w:p>
    <w:p w:rsidR="00676026" w:rsidRPr="00891173" w:rsidRDefault="00676026" w:rsidP="00203D2D">
      <w:pPr>
        <w:pStyle w:val="ListParagraph"/>
        <w:numPr>
          <w:ilvl w:val="0"/>
          <w:numId w:val="3"/>
        </w:numPr>
        <w:autoSpaceDE w:val="0"/>
        <w:autoSpaceDN w:val="0"/>
        <w:adjustRightInd w:val="0"/>
        <w:spacing w:line="360" w:lineRule="auto"/>
        <w:ind w:left="1134" w:hanging="567"/>
        <w:jc w:val="both"/>
      </w:pPr>
      <w:r w:rsidRPr="00891173">
        <w:t xml:space="preserve">Investuojantys į </w:t>
      </w:r>
      <w:r w:rsidRPr="00891173">
        <w:rPr>
          <w:i/>
        </w:rPr>
        <w:t>pajamų augimo fondus</w:t>
      </w:r>
      <w:r w:rsidRPr="00891173">
        <w:t xml:space="preserve"> sieka didelių dividendų, todėl investuoja į gerai  žinomų įmonių akcijas, kurios duoda dideles pajamas.</w:t>
      </w:r>
    </w:p>
    <w:p w:rsidR="00676026" w:rsidRPr="00891173" w:rsidRDefault="00676026" w:rsidP="00203D2D">
      <w:pPr>
        <w:pStyle w:val="ListParagraph"/>
        <w:numPr>
          <w:ilvl w:val="0"/>
          <w:numId w:val="3"/>
        </w:numPr>
        <w:autoSpaceDE w:val="0"/>
        <w:autoSpaceDN w:val="0"/>
        <w:adjustRightInd w:val="0"/>
        <w:spacing w:line="360" w:lineRule="auto"/>
        <w:ind w:left="1134" w:hanging="567"/>
        <w:jc w:val="both"/>
      </w:pPr>
      <w:r w:rsidRPr="00891173">
        <w:lastRenderedPageBreak/>
        <w:t xml:space="preserve">Esant </w:t>
      </w:r>
      <w:r w:rsidRPr="00891173">
        <w:rPr>
          <w:i/>
        </w:rPr>
        <w:t>augimo ir pajamų fondams</w:t>
      </w:r>
      <w:r w:rsidRPr="00891173">
        <w:t xml:space="preserve"> – tikimasi nuol</w:t>
      </w:r>
      <w:r w:rsidR="008B4C61" w:rsidRPr="00891173">
        <w:t>atinio kapitalo prieaugio ir didelių kasmetinių pajamų. Tokį</w:t>
      </w:r>
      <w:r w:rsidRPr="00891173">
        <w:t xml:space="preserve"> fondo portfelį sudaro gerai žinomų įmonių akcijos, pasižyminčios kapitalo augimu ir stabiliomis pajamomis.</w:t>
      </w:r>
    </w:p>
    <w:p w:rsidR="00676026" w:rsidRPr="00891173" w:rsidRDefault="00676026" w:rsidP="00203D2D">
      <w:pPr>
        <w:pStyle w:val="ListParagraph"/>
        <w:numPr>
          <w:ilvl w:val="0"/>
          <w:numId w:val="3"/>
        </w:numPr>
        <w:autoSpaceDE w:val="0"/>
        <w:autoSpaceDN w:val="0"/>
        <w:adjustRightInd w:val="0"/>
        <w:spacing w:line="360" w:lineRule="auto"/>
        <w:ind w:left="1134" w:hanging="567"/>
        <w:jc w:val="both"/>
      </w:pPr>
      <w:r w:rsidRPr="00891173">
        <w:rPr>
          <w:i/>
        </w:rPr>
        <w:t>Specializuoti fondai</w:t>
      </w:r>
      <w:r w:rsidRPr="00891173">
        <w:t xml:space="preserve"> gali būti 5 rūšių: tarptautiniai fondai (investuoja į užsienio emitentų vertybinius popierius), sektoriaus fondai (investuoja į tam tikrą sektorių), subalansuotieji fondai (panašūs į augimo ir pajamų fondus, esminis skirtumas, kad tarp portfelio vertybinių popierių palaikoma iš anksto nustatyta proporcija), indekso fondai (investuojama pagal vertybinius popierius ir jų proporcijas, kaip ir pasirinkto indekso).</w:t>
      </w:r>
    </w:p>
    <w:p w:rsidR="00676026" w:rsidRPr="00891173" w:rsidRDefault="00676026" w:rsidP="00AD4801">
      <w:pPr>
        <w:pStyle w:val="ListParagraph"/>
        <w:numPr>
          <w:ilvl w:val="0"/>
          <w:numId w:val="2"/>
        </w:numPr>
        <w:autoSpaceDE w:val="0"/>
        <w:autoSpaceDN w:val="0"/>
        <w:adjustRightInd w:val="0"/>
        <w:spacing w:line="360" w:lineRule="auto"/>
        <w:ind w:left="0" w:firstLine="851"/>
        <w:jc w:val="both"/>
        <w:rPr>
          <w:rFonts w:eastAsia="MinionPro-Regular"/>
        </w:rPr>
      </w:pPr>
      <w:r w:rsidRPr="00891173">
        <w:rPr>
          <w:rFonts w:eastAsia="MinionPro-It"/>
          <w:i/>
          <w:iCs/>
        </w:rPr>
        <w:t xml:space="preserve">Skolos vertybinių popierių fondai </w:t>
      </w:r>
      <w:r w:rsidRPr="00891173">
        <w:rPr>
          <w:rFonts w:eastAsia="MinionPro-Regular"/>
        </w:rPr>
        <w:t xml:space="preserve">(angl. </w:t>
      </w:r>
      <w:r w:rsidRPr="00891173">
        <w:rPr>
          <w:rFonts w:eastAsia="MinionPro-It"/>
          <w:i/>
          <w:iCs/>
        </w:rPr>
        <w:t>bond fund</w:t>
      </w:r>
      <w:r w:rsidRPr="00891173">
        <w:rPr>
          <w:rFonts w:eastAsia="MinionPro-Regular"/>
        </w:rPr>
        <w:t xml:space="preserve">) – jų didžiąją investicijų portfelio dalį sudaro </w:t>
      </w:r>
      <w:r w:rsidRPr="00891173">
        <w:rPr>
          <w:sz w:val="23"/>
          <w:szCs w:val="23"/>
        </w:rPr>
        <w:t>obligacijos, kuri</w:t>
      </w:r>
      <w:r w:rsidRPr="00891173">
        <w:rPr>
          <w:rFonts w:ascii="TimesNewRoman" w:eastAsia="TimesNewRoman" w:cs="TimesNewRoman"/>
          <w:sz w:val="23"/>
          <w:szCs w:val="23"/>
        </w:rPr>
        <w:t>ų</w:t>
      </w:r>
      <w:r w:rsidRPr="00891173">
        <w:rPr>
          <w:rFonts w:ascii="TimesNewRoman" w:eastAsia="TimesNewRoman" w:cs="TimesNewRoman"/>
          <w:sz w:val="23"/>
          <w:szCs w:val="23"/>
        </w:rPr>
        <w:t xml:space="preserve"> </w:t>
      </w:r>
      <w:r w:rsidRPr="00891173">
        <w:rPr>
          <w:sz w:val="23"/>
          <w:szCs w:val="23"/>
        </w:rPr>
        <w:t>terminai ir i</w:t>
      </w:r>
      <w:r w:rsidRPr="00891173">
        <w:rPr>
          <w:rFonts w:eastAsia="TimesNewRoman"/>
        </w:rPr>
        <w:t xml:space="preserve">šleidėjai gali skirtis. Obligacijų fondų privalumas tas, kad jie teikia pastovias </w:t>
      </w:r>
      <w:r w:rsidRPr="00891173">
        <w:t>pajamas, kurios da</w:t>
      </w:r>
      <w:r w:rsidRPr="00891173">
        <w:rPr>
          <w:rFonts w:eastAsia="TimesNewRoman"/>
        </w:rPr>
        <w:t xml:space="preserve">žniausiai būna didesnės už pinigų rinkos priemonių fondų </w:t>
      </w:r>
      <w:r w:rsidRPr="00891173">
        <w:t>pajamas. Kadangi obligacijos būna</w:t>
      </w:r>
      <w:r w:rsidRPr="00891173">
        <w:rPr>
          <w:rFonts w:eastAsia="TimesNewRoman"/>
        </w:rPr>
        <w:t xml:space="preserve"> labai įvairios, tai ir fondai, investuojantys į </w:t>
      </w:r>
      <w:r w:rsidRPr="00891173">
        <w:t>jas, gali labai skirtis pajamingumu ir rizika.</w:t>
      </w:r>
      <w:r w:rsidR="00AD4801" w:rsidRPr="00891173">
        <w:t xml:space="preserve"> Didžiausias skirtumas tarp</w:t>
      </w:r>
      <w:r w:rsidRPr="00891173">
        <w:t xml:space="preserve"> </w:t>
      </w:r>
      <w:r w:rsidR="00AD4801" w:rsidRPr="00891173">
        <w:t xml:space="preserve">obligacijų fondų ir investicijų į obligacijas, tas, kad priešingai nei obligacijų, investiciniams fondams niekada neateina išpirkimo diena, t.y., investicijas galima susigrąžinti bet kuriuo metu, pardavus turimus investicinius vienetus. </w:t>
      </w:r>
      <w:r w:rsidRPr="00891173">
        <w:t xml:space="preserve">Be to, </w:t>
      </w:r>
      <w:r w:rsidRPr="00891173">
        <w:rPr>
          <w:rFonts w:eastAsia="TimesNewRoman"/>
        </w:rPr>
        <w:t xml:space="preserve">šie fondai išsiskiria </w:t>
      </w:r>
      <w:r w:rsidRPr="00891173">
        <w:t>tuo, jog kylant pal</w:t>
      </w:r>
      <w:r w:rsidRPr="00891173">
        <w:rPr>
          <w:rFonts w:eastAsia="TimesNewRoman"/>
        </w:rPr>
        <w:t>ūkanų normai, obligacijų fondo vertė paprastai krenta.</w:t>
      </w:r>
    </w:p>
    <w:p w:rsidR="00676026" w:rsidRPr="00891173" w:rsidRDefault="00676026" w:rsidP="00203D2D">
      <w:pPr>
        <w:pStyle w:val="ListParagraph"/>
        <w:numPr>
          <w:ilvl w:val="0"/>
          <w:numId w:val="2"/>
        </w:numPr>
        <w:autoSpaceDE w:val="0"/>
        <w:autoSpaceDN w:val="0"/>
        <w:adjustRightInd w:val="0"/>
        <w:spacing w:line="360" w:lineRule="auto"/>
        <w:ind w:left="0" w:firstLine="851"/>
        <w:jc w:val="both"/>
        <w:rPr>
          <w:rFonts w:eastAsia="MinionPro-Regular"/>
        </w:rPr>
      </w:pPr>
      <w:r w:rsidRPr="00891173">
        <w:rPr>
          <w:rFonts w:eastAsia="MinionPro-It"/>
          <w:i/>
          <w:iCs/>
        </w:rPr>
        <w:t xml:space="preserve">Pinigų rinkos fondų </w:t>
      </w:r>
      <w:r w:rsidRPr="00891173">
        <w:rPr>
          <w:rFonts w:eastAsia="MinionPro-Regular"/>
        </w:rPr>
        <w:t xml:space="preserve">(angl. </w:t>
      </w:r>
      <w:r w:rsidRPr="00891173">
        <w:rPr>
          <w:rFonts w:eastAsia="MinionPro-It"/>
          <w:i/>
          <w:iCs/>
        </w:rPr>
        <w:t>money market fund</w:t>
      </w:r>
      <w:r w:rsidRPr="00891173">
        <w:rPr>
          <w:rFonts w:eastAsia="MinionPro-Regular"/>
        </w:rPr>
        <w:t>) didžiąją investicijų portfelio dalį sudaro pinigų rinkos priemonės, tokios kaip bankų akceptai, komerciniai vekseliai, bankų indėlių sertifikatai, valstybės ar savivaldybės vekseliai ir pan.</w:t>
      </w:r>
      <w:r w:rsidRPr="00891173">
        <w:rPr>
          <w:sz w:val="23"/>
          <w:szCs w:val="23"/>
        </w:rPr>
        <w:t xml:space="preserve"> </w:t>
      </w:r>
      <w:r w:rsidRPr="00891173">
        <w:t>Šios pinig</w:t>
      </w:r>
      <w:r w:rsidRPr="00891173">
        <w:rPr>
          <w:rFonts w:ascii="TimesNewRoman" w:eastAsia="TimesNewRoman" w:cs="TimesNewRoman"/>
        </w:rPr>
        <w:t>ų</w:t>
      </w:r>
      <w:r w:rsidRPr="00891173">
        <w:rPr>
          <w:rFonts w:ascii="TimesNewRoman" w:eastAsia="TimesNewRoman" w:cs="TimesNewRoman"/>
        </w:rPr>
        <w:t xml:space="preserve"> </w:t>
      </w:r>
      <w:r w:rsidRPr="00891173">
        <w:t>rinkos priemonės reiškia trumpalaik</w:t>
      </w:r>
      <w:r w:rsidRPr="00891173">
        <w:rPr>
          <w:rFonts w:ascii="TimesNewRoman" w:eastAsia="TimesNewRoman" w:cs="TimesNewRoman"/>
        </w:rPr>
        <w:t>į</w:t>
      </w:r>
      <w:r w:rsidRPr="00891173">
        <w:rPr>
          <w:rFonts w:ascii="TimesNewRoman" w:eastAsia="TimesNewRoman" w:cs="TimesNewRoman"/>
        </w:rPr>
        <w:t xml:space="preserve"> </w:t>
      </w:r>
      <w:r w:rsidRPr="00891173">
        <w:t>skolinim</w:t>
      </w:r>
      <w:r w:rsidRPr="00891173">
        <w:rPr>
          <w:rFonts w:ascii="TimesNewRoman" w:eastAsia="TimesNewRoman" w:cs="TimesNewRoman"/>
        </w:rPr>
        <w:t>ą</w:t>
      </w:r>
      <w:r w:rsidRPr="00891173">
        <w:rPr>
          <w:rFonts w:ascii="TimesNewRoman" w:eastAsia="TimesNewRoman" w:cs="TimesNewRoman"/>
        </w:rPr>
        <w:t xml:space="preserve"> </w:t>
      </w:r>
      <w:r w:rsidRPr="00891173">
        <w:t xml:space="preserve">patikimoms institucijoms, t. y. vyriausybei, savivaldybei, bankams ir kt. </w:t>
      </w:r>
      <w:r w:rsidRPr="00891173">
        <w:rPr>
          <w:rFonts w:eastAsia="MinionPro-Regular"/>
        </w:rPr>
        <w:t xml:space="preserve"> </w:t>
      </w:r>
      <w:r w:rsidRPr="00891173">
        <w:t>Lyginant su kitomis fond</w:t>
      </w:r>
      <w:r w:rsidRPr="00891173">
        <w:rPr>
          <w:rFonts w:ascii="TimesNewRoman" w:eastAsia="TimesNewRoman" w:cs="TimesNewRoman"/>
        </w:rPr>
        <w:t>ų</w:t>
      </w:r>
      <w:r w:rsidRPr="00891173">
        <w:rPr>
          <w:rFonts w:ascii="TimesNewRoman" w:eastAsia="TimesNewRoman" w:cs="TimesNewRoman"/>
        </w:rPr>
        <w:t xml:space="preserve"> </w:t>
      </w:r>
      <w:r w:rsidRPr="00891173">
        <w:t>r</w:t>
      </w:r>
      <w:r w:rsidRPr="00891173">
        <w:rPr>
          <w:rFonts w:ascii="TimesNewRoman" w:eastAsia="TimesNewRoman" w:cs="TimesNewRoman"/>
        </w:rPr>
        <w:t>ū</w:t>
      </w:r>
      <w:r w:rsidRPr="00891173">
        <w:t>šimis, pinigų rinkos fondai yra mažiau rizikingi, todėl gaunamos pajamos iš jų yra mažos, bet stabilios. D</w:t>
      </w:r>
      <w:r w:rsidRPr="00891173">
        <w:rPr>
          <w:rFonts w:ascii="TimesNewRoman" w:eastAsia="TimesNewRoman" w:cs="TimesNewRoman"/>
        </w:rPr>
        <w:t>ė</w:t>
      </w:r>
      <w:r w:rsidRPr="00891173">
        <w:t>l mažo ši</w:t>
      </w:r>
      <w:r w:rsidRPr="00891173">
        <w:rPr>
          <w:rFonts w:ascii="TimesNewRoman" w:eastAsia="TimesNewRoman" w:cs="TimesNewRoman"/>
        </w:rPr>
        <w:t>ų</w:t>
      </w:r>
      <w:r w:rsidRPr="00891173">
        <w:rPr>
          <w:rFonts w:ascii="TimesNewRoman" w:eastAsia="TimesNewRoman" w:cs="TimesNewRoman"/>
        </w:rPr>
        <w:t xml:space="preserve"> </w:t>
      </w:r>
      <w:r w:rsidRPr="00891173">
        <w:t>fond</w:t>
      </w:r>
      <w:r w:rsidRPr="00891173">
        <w:rPr>
          <w:rFonts w:ascii="TimesNewRoman" w:eastAsia="TimesNewRoman" w:cs="TimesNewRoman"/>
        </w:rPr>
        <w:t>ų</w:t>
      </w:r>
      <w:r w:rsidRPr="00891173">
        <w:rPr>
          <w:rFonts w:ascii="TimesNewRoman" w:eastAsia="TimesNewRoman" w:cs="TimesNewRoman"/>
        </w:rPr>
        <w:t xml:space="preserve"> </w:t>
      </w:r>
      <w:r w:rsidRPr="00891173">
        <w:t>pajamingumo investuotojams reikėt</w:t>
      </w:r>
      <w:r w:rsidRPr="00891173">
        <w:rPr>
          <w:rFonts w:ascii="TimesNewRoman" w:eastAsia="TimesNewRoman" w:cs="TimesNewRoman"/>
        </w:rPr>
        <w:t>ų</w:t>
      </w:r>
      <w:r w:rsidRPr="00891173">
        <w:rPr>
          <w:rFonts w:ascii="TimesNewRoman" w:eastAsia="TimesNewRoman" w:cs="TimesNewRoman"/>
        </w:rPr>
        <w:t xml:space="preserve"> </w:t>
      </w:r>
      <w:r w:rsidRPr="00891173">
        <w:t xml:space="preserve">atsižvelgti </w:t>
      </w:r>
      <w:r w:rsidRPr="00891173">
        <w:rPr>
          <w:rFonts w:ascii="TimesNewRoman" w:eastAsia="TimesNewRoman" w:cs="TimesNewRoman"/>
        </w:rPr>
        <w:t>į</w:t>
      </w:r>
      <w:r w:rsidRPr="00891173">
        <w:rPr>
          <w:rFonts w:ascii="TimesNewRoman" w:eastAsia="TimesNewRoman" w:cs="TimesNewRoman"/>
        </w:rPr>
        <w:t xml:space="preserve"> </w:t>
      </w:r>
      <w:r w:rsidRPr="00891173">
        <w:t>infliacijos rizik</w:t>
      </w:r>
      <w:r w:rsidRPr="00891173">
        <w:rPr>
          <w:rFonts w:ascii="TimesNewRoman" w:eastAsia="TimesNewRoman" w:cs="TimesNewRoman"/>
        </w:rPr>
        <w:t>ą</w:t>
      </w:r>
      <w:r w:rsidRPr="00891173">
        <w:t>, nes kai kainos šalyje auga spar</w:t>
      </w:r>
      <w:r w:rsidRPr="00891173">
        <w:rPr>
          <w:rFonts w:ascii="TimesNewRoman" w:eastAsia="TimesNewRoman" w:cs="TimesNewRoman"/>
        </w:rPr>
        <w:t>č</w:t>
      </w:r>
      <w:r w:rsidRPr="00891173">
        <w:t>iai, pinigai (taip pat ir tie, kurie laikomi fonde) nuvert</w:t>
      </w:r>
      <w:r w:rsidRPr="00891173">
        <w:rPr>
          <w:rFonts w:ascii="TimesNewRoman" w:eastAsia="TimesNewRoman" w:cs="TimesNewRoman"/>
        </w:rPr>
        <w:t>ė</w:t>
      </w:r>
      <w:r w:rsidRPr="00891173">
        <w:t>ja, tod</w:t>
      </w:r>
      <w:r w:rsidRPr="00891173">
        <w:rPr>
          <w:rFonts w:ascii="TimesNewRoman" w:eastAsia="TimesNewRoman" w:cs="TimesNewRoman"/>
        </w:rPr>
        <w:t>ė</w:t>
      </w:r>
      <w:r w:rsidRPr="00891173">
        <w:t>l jei fondo pajamingumas mažas, gautos pajamos gali nekompensuoti pinig</w:t>
      </w:r>
      <w:r w:rsidRPr="00891173">
        <w:rPr>
          <w:rFonts w:ascii="TimesNewRoman" w:eastAsia="TimesNewRoman" w:cs="TimesNewRoman"/>
        </w:rPr>
        <w:t>ų</w:t>
      </w:r>
      <w:r w:rsidRPr="00891173">
        <w:rPr>
          <w:rFonts w:ascii="TimesNewRoman" w:eastAsia="TimesNewRoman" w:cs="TimesNewRoman"/>
        </w:rPr>
        <w:t xml:space="preserve"> </w:t>
      </w:r>
      <w:r w:rsidRPr="00891173">
        <w:t>nuvert</w:t>
      </w:r>
      <w:r w:rsidRPr="00891173">
        <w:rPr>
          <w:rFonts w:ascii="TimesNewRoman" w:eastAsia="TimesNewRoman" w:cs="TimesNewRoman"/>
        </w:rPr>
        <w:t>ė</w:t>
      </w:r>
      <w:r w:rsidRPr="00891173">
        <w:t>jimo. Tokiu atveju reali</w:t>
      </w:r>
      <w:r w:rsidRPr="00891173">
        <w:rPr>
          <w:rFonts w:ascii="TimesNewRoman" w:eastAsia="TimesNewRoman" w:cs="TimesNewRoman"/>
        </w:rPr>
        <w:t>ų</w:t>
      </w:r>
      <w:r w:rsidRPr="00891173">
        <w:rPr>
          <w:rFonts w:ascii="TimesNewRoman" w:eastAsia="TimesNewRoman" w:cs="TimesNewRoman"/>
        </w:rPr>
        <w:t xml:space="preserve"> </w:t>
      </w:r>
      <w:r w:rsidRPr="00891173">
        <w:t>pajam</w:t>
      </w:r>
      <w:r w:rsidRPr="00891173">
        <w:rPr>
          <w:rFonts w:ascii="TimesNewRoman" w:eastAsia="TimesNewRoman" w:cs="TimesNewRoman"/>
        </w:rPr>
        <w:t>ų</w:t>
      </w:r>
      <w:r w:rsidRPr="00891173">
        <w:rPr>
          <w:rFonts w:ascii="TimesNewRoman" w:eastAsia="TimesNewRoman" w:cs="TimesNewRoman"/>
        </w:rPr>
        <w:t xml:space="preserve"> </w:t>
      </w:r>
      <w:r w:rsidRPr="00891173">
        <w:t>negaunama. Konkre</w:t>
      </w:r>
      <w:r w:rsidRPr="00891173">
        <w:rPr>
          <w:rFonts w:ascii="TimesNewRoman" w:eastAsia="TimesNewRoman" w:cs="TimesNewRoman"/>
        </w:rPr>
        <w:t>č</w:t>
      </w:r>
      <w:r w:rsidRPr="00891173">
        <w:t>iai šio fondo pajamingumui nustatyti taikomas vadinamasis septyni</w:t>
      </w:r>
      <w:r w:rsidRPr="00891173">
        <w:rPr>
          <w:rFonts w:ascii="TimesNewRoman" w:eastAsia="TimesNewRoman" w:cs="TimesNewRoman"/>
        </w:rPr>
        <w:t>ų</w:t>
      </w:r>
      <w:r w:rsidRPr="00891173">
        <w:rPr>
          <w:rFonts w:ascii="TimesNewRoman" w:eastAsia="TimesNewRoman" w:cs="TimesNewRoman"/>
        </w:rPr>
        <w:t xml:space="preserve"> </w:t>
      </w:r>
      <w:r w:rsidRPr="00891173">
        <w:t>dien</w:t>
      </w:r>
      <w:r w:rsidRPr="00891173">
        <w:rPr>
          <w:rFonts w:ascii="TimesNewRoman" w:eastAsia="TimesNewRoman" w:cs="TimesNewRoman"/>
        </w:rPr>
        <w:t>ų</w:t>
      </w:r>
      <w:r w:rsidRPr="00891173">
        <w:rPr>
          <w:rFonts w:ascii="TimesNewRoman" w:eastAsia="TimesNewRoman" w:cs="TimesNewRoman"/>
        </w:rPr>
        <w:t xml:space="preserve"> </w:t>
      </w:r>
      <w:r w:rsidRPr="00891173">
        <w:t>pelningumas (Rutkauskas, Martinkut</w:t>
      </w:r>
      <w:r w:rsidRPr="00891173">
        <w:rPr>
          <w:rFonts w:ascii="TimesNewRoman" w:eastAsia="TimesNewRoman" w:cs="TimesNewRoman"/>
        </w:rPr>
        <w:t>ė</w:t>
      </w:r>
      <w:r w:rsidRPr="00891173">
        <w:t>, 2007).</w:t>
      </w:r>
    </w:p>
    <w:p w:rsidR="00676026" w:rsidRPr="00891173" w:rsidRDefault="00676026" w:rsidP="00203D2D">
      <w:pPr>
        <w:pStyle w:val="ListParagraph"/>
        <w:numPr>
          <w:ilvl w:val="0"/>
          <w:numId w:val="2"/>
        </w:numPr>
        <w:autoSpaceDE w:val="0"/>
        <w:autoSpaceDN w:val="0"/>
        <w:adjustRightInd w:val="0"/>
        <w:spacing w:line="360" w:lineRule="auto"/>
        <w:ind w:left="0" w:firstLine="851"/>
        <w:jc w:val="both"/>
        <w:rPr>
          <w:rFonts w:eastAsia="MinionPro-Regular"/>
        </w:rPr>
      </w:pPr>
      <w:r w:rsidRPr="00891173">
        <w:rPr>
          <w:rFonts w:eastAsia="MinionPro-It"/>
          <w:i/>
          <w:iCs/>
        </w:rPr>
        <w:t xml:space="preserve">Subalansuoti </w:t>
      </w:r>
      <w:r w:rsidRPr="00891173">
        <w:rPr>
          <w:rFonts w:eastAsia="MinionPro-Regular"/>
        </w:rPr>
        <w:t xml:space="preserve">(angl. </w:t>
      </w:r>
      <w:r w:rsidRPr="00891173">
        <w:rPr>
          <w:rFonts w:eastAsia="MinionPro-It"/>
          <w:i/>
          <w:iCs/>
        </w:rPr>
        <w:t>balanced fund</w:t>
      </w:r>
      <w:r w:rsidRPr="00891173">
        <w:rPr>
          <w:rFonts w:eastAsia="MinionPro-Regular"/>
        </w:rPr>
        <w:t xml:space="preserve">) arba </w:t>
      </w:r>
      <w:r w:rsidRPr="00891173">
        <w:rPr>
          <w:rFonts w:eastAsia="MinionPro-It"/>
          <w:i/>
          <w:iCs/>
        </w:rPr>
        <w:t xml:space="preserve">mišrūs fondai </w:t>
      </w:r>
      <w:r w:rsidRPr="00891173">
        <w:rPr>
          <w:rFonts w:eastAsia="MinionPro-Regular"/>
        </w:rPr>
        <w:t xml:space="preserve">(angl. </w:t>
      </w:r>
      <w:r w:rsidRPr="00891173">
        <w:rPr>
          <w:rFonts w:eastAsia="MinionPro-It"/>
          <w:i/>
          <w:iCs/>
        </w:rPr>
        <w:t xml:space="preserve">mixed fund </w:t>
      </w:r>
      <w:r w:rsidRPr="00891173">
        <w:rPr>
          <w:rFonts w:eastAsia="MinionPro-Regular"/>
        </w:rPr>
        <w:t xml:space="preserve">/ </w:t>
      </w:r>
      <w:r w:rsidRPr="00891173">
        <w:rPr>
          <w:rFonts w:eastAsia="MinionPro-It"/>
          <w:i/>
          <w:iCs/>
        </w:rPr>
        <w:t>hybrid fund</w:t>
      </w:r>
      <w:r w:rsidRPr="00891173">
        <w:rPr>
          <w:rFonts w:eastAsia="MinionPro-Regular"/>
        </w:rPr>
        <w:t xml:space="preserve">) – jų investicijų portfelį sudaro aukščiau minėti, nuosavybės, skolos ir pinigų rinkos priemonės, kur </w:t>
      </w:r>
      <w:r w:rsidRPr="00891173">
        <w:t xml:space="preserve">dėl didesnės investavimo objektų įvairovės rizika labiau diversifikuojama.  </w:t>
      </w:r>
      <w:r w:rsidRPr="00891173">
        <w:rPr>
          <w:rFonts w:eastAsia="TimesNewRoman"/>
        </w:rPr>
        <w:t xml:space="preserve">Į šiuos fondus siūloma investuoti mažą investavimo patirtį turintiems asmenims. </w:t>
      </w:r>
    </w:p>
    <w:p w:rsidR="00676026" w:rsidRPr="00891173" w:rsidRDefault="00676026" w:rsidP="006E51FB">
      <w:pPr>
        <w:autoSpaceDE w:val="0"/>
        <w:autoSpaceDN w:val="0"/>
        <w:adjustRightInd w:val="0"/>
        <w:spacing w:line="360" w:lineRule="auto"/>
        <w:ind w:firstLine="567"/>
        <w:jc w:val="both"/>
      </w:pPr>
      <w:r w:rsidRPr="00891173">
        <w:rPr>
          <w:rFonts w:eastAsia="MinionPro-Regular"/>
        </w:rPr>
        <w:t xml:space="preserve">Pagal investavimo objektą Mačerinskienė, Volodskienė (2006) skiria tokius investicinių fondų tipus: pinigų rinkos; vertybinių popierių; mišrius; fondų fondus, nekilnojamojo turto investicinius fondus.  </w:t>
      </w:r>
      <w:r w:rsidRPr="00891173">
        <w:t>Fondų investuojančių į kitus fondus turtas yra netiesiogiai investuojamas i akcijas, obligacijas,</w:t>
      </w:r>
      <w:r w:rsidRPr="00891173">
        <w:rPr>
          <w:rFonts w:eastAsia="MinionPro-Regular"/>
        </w:rPr>
        <w:t xml:space="preserve"> </w:t>
      </w:r>
      <w:r w:rsidRPr="00891173">
        <w:t xml:space="preserve">pinigų rinkos priemones, kurios įsigyjamos </w:t>
      </w:r>
      <w:r w:rsidR="00933309" w:rsidRPr="00891173">
        <w:t xml:space="preserve">iš </w:t>
      </w:r>
      <w:r w:rsidRPr="00891173">
        <w:t xml:space="preserve">kitų kolektyvinio investavimo subjektų vienetų ar akcijų. </w:t>
      </w:r>
      <w:r w:rsidRPr="00891173">
        <w:rPr>
          <w:i/>
        </w:rPr>
        <w:t>Fondų fondai</w:t>
      </w:r>
      <w:r w:rsidRPr="00891173">
        <w:t xml:space="preserve"> užtikrina didesnę investicijų diversifikaciją</w:t>
      </w:r>
      <w:r w:rsidR="00933309" w:rsidRPr="00891173">
        <w:t xml:space="preserve"> nei investavimo į</w:t>
      </w:r>
      <w:r w:rsidRPr="00891173">
        <w:t xml:space="preserve"> vieną įprastą kolektyvinio </w:t>
      </w:r>
      <w:r w:rsidRPr="00891173">
        <w:lastRenderedPageBreak/>
        <w:t>investavimo subjektą atveju. Vienas iš fondų fondo trūkumų yra mokesčiai, kurie yra didesni nei įprasto investicinio fondo, nes fondų fondas neišvengia dvigubo apmokestinimo, t.y. paprastai be pačio fondų fondo valdytojo nustatytų atskaitymų</w:t>
      </w:r>
      <w:r w:rsidR="00933309" w:rsidRPr="00891173">
        <w:t>,</w:t>
      </w:r>
      <w:r w:rsidRPr="00891173">
        <w:t xml:space="preserve"> egzistuoja ir kitų fondų, į kuriuos investuojamas fondų fondo turtas, atskaitymai. </w:t>
      </w:r>
    </w:p>
    <w:p w:rsidR="00676026" w:rsidRPr="00891173" w:rsidRDefault="00676026" w:rsidP="00AA6D52">
      <w:pPr>
        <w:autoSpaceDE w:val="0"/>
        <w:autoSpaceDN w:val="0"/>
        <w:adjustRightInd w:val="0"/>
        <w:spacing w:line="360" w:lineRule="auto"/>
        <w:ind w:firstLine="567"/>
        <w:jc w:val="both"/>
        <w:rPr>
          <w:rFonts w:eastAsia="MinionPro-Regular"/>
        </w:rPr>
      </w:pPr>
      <w:r w:rsidRPr="00891173">
        <w:t xml:space="preserve">Pagal investicijų pobūdį Mačerinskienė, Volodskienė (2006) bei Bivainis, Volodskienė (2008) skiria investicinius fondus į jau minėtus pinigų rinkos, vertybinių porpierių, fondų fondus, mišrius fondus bei nekilnojamojo turto fondus (angl. </w:t>
      </w:r>
      <w:r w:rsidRPr="00891173">
        <w:rPr>
          <w:rFonts w:eastAsia="MinionPro-It"/>
          <w:iCs/>
        </w:rPr>
        <w:t>real estate investment trust)</w:t>
      </w:r>
      <w:r w:rsidRPr="00891173">
        <w:t>. Pastarojo tipo fondai, kaip teigia Bivainis, Volodskienė, „</w:t>
      </w:r>
      <w:r w:rsidRPr="00891173">
        <w:rPr>
          <w:rFonts w:eastAsia="MinionPro-Regular"/>
        </w:rPr>
        <w:t>skiriasi nuo kitų</w:t>
      </w:r>
      <w:r w:rsidRPr="00891173">
        <w:t xml:space="preserve"> </w:t>
      </w:r>
      <w:r w:rsidRPr="00891173">
        <w:rPr>
          <w:rFonts w:eastAsia="MinionPro-Regular"/>
        </w:rPr>
        <w:t>rūšių investicinių fondų. Jų veiklos specifika ta, kad didžioji</w:t>
      </w:r>
      <w:r w:rsidRPr="00891173">
        <w:t xml:space="preserve"> </w:t>
      </w:r>
      <w:r w:rsidRPr="00891173">
        <w:rPr>
          <w:rFonts w:eastAsia="MinionPro-Regular"/>
        </w:rPr>
        <w:t>dalis investicijų yra glaudžiai susijusi su nekilnojamuoju</w:t>
      </w:r>
      <w:r w:rsidRPr="00891173">
        <w:t xml:space="preserve"> </w:t>
      </w:r>
      <w:r w:rsidRPr="00891173">
        <w:rPr>
          <w:rFonts w:eastAsia="MinionPro-Regular"/>
        </w:rPr>
        <w:t>turtu. Šių fondų populiarumas išaugo supratus, kad jie yra</w:t>
      </w:r>
      <w:r w:rsidRPr="00891173">
        <w:t xml:space="preserve"> </w:t>
      </w:r>
      <w:r w:rsidRPr="00891173">
        <w:rPr>
          <w:rFonts w:eastAsia="MinionPro-Regular"/>
        </w:rPr>
        <w:t>patrauklus rizikos ir pelno kompromisas“ (p. 153). Pasak Kancerevy</w:t>
      </w:r>
      <w:r w:rsidR="007D458D" w:rsidRPr="00891173">
        <w:rPr>
          <w:rFonts w:eastAsia="MinionPro-Regular"/>
        </w:rPr>
        <w:t>čiaus (2006) nekilnojamojo turto</w:t>
      </w:r>
      <w:r w:rsidRPr="00891173">
        <w:rPr>
          <w:rFonts w:eastAsia="MinionPro-Regular"/>
        </w:rPr>
        <w:t xml:space="preserve"> fondai yra uždarojo tipo fondai, kurie gautas ar skolintas lėšas investuoja į nekilnojamąjį turtą.</w:t>
      </w:r>
    </w:p>
    <w:p w:rsidR="00676026" w:rsidRPr="00891173" w:rsidRDefault="00676026" w:rsidP="00AA6D52">
      <w:pPr>
        <w:autoSpaceDE w:val="0"/>
        <w:autoSpaceDN w:val="0"/>
        <w:adjustRightInd w:val="0"/>
        <w:spacing w:line="360" w:lineRule="auto"/>
        <w:ind w:firstLine="567"/>
        <w:jc w:val="both"/>
        <w:rPr>
          <w:rFonts w:eastAsiaTheme="minorHAnsi"/>
          <w:lang w:eastAsia="en-US"/>
        </w:rPr>
      </w:pPr>
      <w:r w:rsidRPr="00891173">
        <w:rPr>
          <w:rFonts w:eastAsiaTheme="minorHAnsi"/>
          <w:lang w:eastAsia="en-US"/>
        </w:rPr>
        <w:t>Žvirblis, Rim</w:t>
      </w:r>
      <w:r w:rsidR="00EF51B5" w:rsidRPr="00891173">
        <w:rPr>
          <w:rFonts w:eastAsiaTheme="minorHAnsi"/>
          <w:lang w:eastAsia="en-US"/>
        </w:rPr>
        <w:t>k</w:t>
      </w:r>
      <w:r w:rsidRPr="00891173">
        <w:rPr>
          <w:rFonts w:eastAsiaTheme="minorHAnsi"/>
          <w:lang w:eastAsia="en-US"/>
        </w:rPr>
        <w:t>evičiūtė (2010) pagal investavimo startegią išskiria dar neminėtus alternatyvius fondus (angl. hedge funds). Tokie fondai investuoja į visus įmanomus vertybinius popierius, išvestines finansines priemones, žaliavas ir kitas turto klases su vienu tikslu – pasiekti maksimalią grąžą. Kaip teigia Barker, Hui (2003) alternatyvūs fondai neapsiriboja investavimu vien į vertybinius popierius, investuoja į bet kurią rinką taip pat įskaitant staigiai krentančių kain</w:t>
      </w:r>
      <w:r w:rsidR="006A4AD3" w:rsidRPr="00891173">
        <w:rPr>
          <w:rFonts w:eastAsiaTheme="minorHAnsi"/>
          <w:lang w:eastAsia="en-US"/>
        </w:rPr>
        <w:t>ų rinką. Kancerevyčius (2006) iš</w:t>
      </w:r>
      <w:r w:rsidRPr="00891173">
        <w:rPr>
          <w:rFonts w:eastAsiaTheme="minorHAnsi"/>
          <w:lang w:eastAsia="en-US"/>
        </w:rPr>
        <w:t>skiria alternatyvių fondų pagrindinius bruožus: laisvai pasirenkamas investicijų objektas ir rinka, laisvas portfelio valdymo ir</w:t>
      </w:r>
      <w:r w:rsidR="006A4AD3" w:rsidRPr="00891173">
        <w:rPr>
          <w:rFonts w:eastAsiaTheme="minorHAnsi"/>
          <w:lang w:eastAsia="en-US"/>
        </w:rPr>
        <w:t xml:space="preserve"> prekiavimo stiliaus pasirinkimą</w:t>
      </w:r>
      <w:r w:rsidRPr="00891173">
        <w:rPr>
          <w:rFonts w:eastAsiaTheme="minorHAnsi"/>
          <w:lang w:eastAsia="en-US"/>
        </w:rPr>
        <w:t>, sudaryti iš privataus kapitalo, kurie dažni</w:t>
      </w:r>
      <w:r w:rsidR="006A4AD3" w:rsidRPr="00891173">
        <w:rPr>
          <w:rFonts w:eastAsiaTheme="minorHAnsi"/>
          <w:lang w:eastAsia="en-US"/>
        </w:rPr>
        <w:t>ausiai steigiami ofšorinėse zonose, todėl veikl</w:t>
      </w:r>
      <w:r w:rsidRPr="00891173">
        <w:rPr>
          <w:rFonts w:eastAsiaTheme="minorHAnsi"/>
          <w:lang w:eastAsia="en-US"/>
        </w:rPr>
        <w:t>o</w:t>
      </w:r>
      <w:r w:rsidR="006A4AD3" w:rsidRPr="00891173">
        <w:rPr>
          <w:rFonts w:eastAsiaTheme="minorHAnsi"/>
          <w:lang w:eastAsia="en-US"/>
        </w:rPr>
        <w:t>s</w:t>
      </w:r>
      <w:r w:rsidRPr="00891173">
        <w:rPr>
          <w:rFonts w:eastAsiaTheme="minorHAnsi"/>
          <w:lang w:eastAsia="en-US"/>
        </w:rPr>
        <w:t xml:space="preserve"> rezultatų duomenys ir informacija apie veikimo principus dažniausiai prieinami tik fondo investuotojams.</w:t>
      </w:r>
    </w:p>
    <w:p w:rsidR="00676026" w:rsidRPr="00891173" w:rsidRDefault="00676026" w:rsidP="00480D99">
      <w:pPr>
        <w:autoSpaceDE w:val="0"/>
        <w:autoSpaceDN w:val="0"/>
        <w:adjustRightInd w:val="0"/>
        <w:spacing w:line="360" w:lineRule="auto"/>
        <w:ind w:firstLine="567"/>
        <w:jc w:val="both"/>
        <w:rPr>
          <w:rFonts w:eastAsia="MinionPro-Regular"/>
        </w:rPr>
      </w:pPr>
      <w:r w:rsidRPr="00891173">
        <w:rPr>
          <w:rFonts w:eastAsiaTheme="minorHAnsi"/>
          <w:lang w:eastAsia="en-US"/>
        </w:rPr>
        <w:t>Privataus kapitalo fondai priskiriami prie alternatyvi</w:t>
      </w:r>
      <w:r w:rsidRPr="00891173">
        <w:rPr>
          <w:rFonts w:eastAsia="TimesNewRoman"/>
          <w:lang w:eastAsia="en-US"/>
        </w:rPr>
        <w:t xml:space="preserve">ųjų investicinių fondų kategorijos </w:t>
      </w:r>
      <w:r w:rsidRPr="00891173">
        <w:rPr>
          <w:rFonts w:eastAsiaTheme="minorHAnsi"/>
          <w:lang w:eastAsia="en-US"/>
        </w:rPr>
        <w:t>ir elementariausiai jie apibrėžiami</w:t>
      </w:r>
      <w:r w:rsidRPr="00891173">
        <w:rPr>
          <w:rFonts w:eastAsia="TimesNewRoman"/>
          <w:lang w:eastAsia="en-US"/>
        </w:rPr>
        <w:t xml:space="preserve">, </w:t>
      </w:r>
      <w:r w:rsidR="006A4AD3" w:rsidRPr="00891173">
        <w:rPr>
          <w:rFonts w:eastAsiaTheme="minorHAnsi"/>
          <w:lang w:eastAsia="en-US"/>
        </w:rPr>
        <w:t>kaip</w:t>
      </w:r>
      <w:r w:rsidRPr="00891173">
        <w:rPr>
          <w:rFonts w:eastAsiaTheme="minorHAnsi"/>
          <w:lang w:eastAsia="en-US"/>
        </w:rPr>
        <w:t xml:space="preserve"> priva</w:t>
      </w:r>
      <w:r w:rsidRPr="00891173">
        <w:rPr>
          <w:rFonts w:eastAsia="TimesNewRoman"/>
          <w:lang w:eastAsia="en-US"/>
        </w:rPr>
        <w:t>čių investuotojų investicijos į akcinį kapitalą</w:t>
      </w:r>
      <w:r w:rsidR="006A4AD3" w:rsidRPr="00891173">
        <w:rPr>
          <w:rFonts w:eastAsia="TimesNewRoman"/>
          <w:lang w:eastAsia="en-US"/>
        </w:rPr>
        <w:t xml:space="preserve"> tų</w:t>
      </w:r>
      <w:r w:rsidRPr="00891173">
        <w:rPr>
          <w:rFonts w:eastAsia="TimesNewRoman"/>
          <w:lang w:eastAsia="en-US"/>
        </w:rPr>
        <w:t xml:space="preserve"> įmonių, kurios nelistinguojamos vertybinių popierių </w:t>
      </w:r>
      <w:r w:rsidRPr="00891173">
        <w:rPr>
          <w:rFonts w:eastAsiaTheme="minorHAnsi"/>
          <w:lang w:eastAsia="en-US"/>
        </w:rPr>
        <w:t>birž</w:t>
      </w:r>
      <w:r w:rsidRPr="00891173">
        <w:rPr>
          <w:rFonts w:eastAsia="TimesNewRoman"/>
          <w:lang w:eastAsia="en-US"/>
        </w:rPr>
        <w:t>oje</w:t>
      </w:r>
      <w:r w:rsidRPr="00891173">
        <w:rPr>
          <w:rFonts w:eastAsiaTheme="minorHAnsi"/>
          <w:lang w:eastAsia="en-US"/>
        </w:rPr>
        <w:t xml:space="preserve">. </w:t>
      </w:r>
      <w:r w:rsidR="00480D99" w:rsidRPr="00891173">
        <w:rPr>
          <w:rFonts w:eastAsiaTheme="minorHAnsi"/>
          <w:lang w:eastAsia="en-US"/>
        </w:rPr>
        <w:t>Apskritai</w:t>
      </w:r>
      <w:r w:rsidRPr="00891173">
        <w:rPr>
          <w:rFonts w:eastAsiaTheme="minorHAnsi"/>
          <w:lang w:eastAsia="en-US"/>
        </w:rPr>
        <w:t>, privataus kapitalo fondai da</w:t>
      </w:r>
      <w:r w:rsidRPr="00891173">
        <w:rPr>
          <w:rFonts w:eastAsia="TimesNewRoman"/>
          <w:lang w:eastAsia="en-US"/>
        </w:rPr>
        <w:t>žnai api</w:t>
      </w:r>
      <w:r w:rsidRPr="00891173">
        <w:rPr>
          <w:rFonts w:eastAsiaTheme="minorHAnsi"/>
          <w:lang w:eastAsia="en-US"/>
        </w:rPr>
        <w:t>bū</w:t>
      </w:r>
      <w:r w:rsidRPr="00891173">
        <w:rPr>
          <w:rFonts w:eastAsia="TimesNewRoman"/>
          <w:lang w:eastAsia="en-US"/>
        </w:rPr>
        <w:t xml:space="preserve">dinami </w:t>
      </w:r>
      <w:r w:rsidRPr="00891173">
        <w:rPr>
          <w:rFonts w:eastAsiaTheme="minorHAnsi"/>
          <w:lang w:eastAsia="en-US"/>
        </w:rPr>
        <w:t xml:space="preserve">kaip investicijos </w:t>
      </w:r>
      <w:r w:rsidRPr="00891173">
        <w:rPr>
          <w:rFonts w:eastAsia="TimesNewRoman"/>
          <w:lang w:eastAsia="en-US"/>
        </w:rPr>
        <w:t>į vertyb</w:t>
      </w:r>
      <w:r w:rsidRPr="00891173">
        <w:rPr>
          <w:rFonts w:eastAsiaTheme="minorHAnsi"/>
          <w:lang w:eastAsia="en-US"/>
        </w:rPr>
        <w:t>inius popierius per derybin</w:t>
      </w:r>
      <w:r w:rsidRPr="00891173">
        <w:rPr>
          <w:rFonts w:eastAsia="TimesNewRoman"/>
          <w:lang w:eastAsia="en-US"/>
        </w:rPr>
        <w:t>į procesą</w:t>
      </w:r>
      <w:r w:rsidRPr="00891173">
        <w:rPr>
          <w:rFonts w:eastAsiaTheme="minorHAnsi"/>
          <w:lang w:eastAsia="en-US"/>
        </w:rPr>
        <w:t>.</w:t>
      </w:r>
    </w:p>
    <w:p w:rsidR="00676026" w:rsidRPr="00891173" w:rsidRDefault="00676026" w:rsidP="00AA6D52">
      <w:pPr>
        <w:pStyle w:val="Default"/>
        <w:spacing w:line="360" w:lineRule="auto"/>
        <w:ind w:firstLine="567"/>
        <w:jc w:val="both"/>
        <w:rPr>
          <w:rFonts w:eastAsia="MinionPro-Regular"/>
        </w:rPr>
      </w:pPr>
      <w:r w:rsidRPr="00891173">
        <w:rPr>
          <w:rFonts w:eastAsia="MinionPro-Regular"/>
        </w:rPr>
        <w:t>Snieška, Venckuvienė (</w:t>
      </w:r>
      <w:r w:rsidR="007B0E37" w:rsidRPr="00891173">
        <w:rPr>
          <w:rFonts w:eastAsia="MinionPro-Regular"/>
        </w:rPr>
        <w:t xml:space="preserve">2011) plačiai nagrinėjo </w:t>
      </w:r>
      <w:r w:rsidRPr="00891173">
        <w:rPr>
          <w:rFonts w:eastAsia="MinionPro-Regular"/>
        </w:rPr>
        <w:t>rizikos kapitalo fondus ir išskyrė mišrius rizikos kapitalo fondus Lietuvoje, apžvelgė jų motyvus, esamą plėtojimosi stadiją. Rizikos kapitalo fondai – tai i</w:t>
      </w:r>
      <w:r w:rsidRPr="00891173">
        <w:t>nvesticinių fondų rūšis, kurių pagrindinis tikslas</w:t>
      </w:r>
      <w:r w:rsidR="007D458D" w:rsidRPr="00891173">
        <w:t xml:space="preserve"> –</w:t>
      </w:r>
      <w:r w:rsidRPr="00891173">
        <w:t xml:space="preserve"> investuoti į mažai įvertintas, augančias ir perspektyvias įmones, siekiant įmonei sustiprėjus vėliau tas investicijas perleisti. Į rizikos kapitalo fondus tiesiogiai investuoja vyriausybė ir kiti privatūs ar instituciniai investuotojai.  Nors Lietuvoje rizikos kapitalo rinka labai maža ir labai jauna, mišr</w:t>
      </w:r>
      <w:r w:rsidRPr="00891173">
        <w:rPr>
          <w:rFonts w:eastAsia="TimesNewRoman"/>
        </w:rPr>
        <w:t>ū</w:t>
      </w:r>
      <w:r w:rsidRPr="00891173">
        <w:t>s rizikos kapitalo fondai Lietuvoje prad</w:t>
      </w:r>
      <w:r w:rsidRPr="00891173">
        <w:rPr>
          <w:rFonts w:eastAsia="TimesNewRoman"/>
        </w:rPr>
        <w:t>ė</w:t>
      </w:r>
      <w:r w:rsidRPr="00891173">
        <w:t xml:space="preserve">ti </w:t>
      </w:r>
      <w:r w:rsidR="007D458D" w:rsidRPr="00891173">
        <w:t>formuoti visai nesen</w:t>
      </w:r>
      <w:r w:rsidRPr="00891173">
        <w:t>ai</w:t>
      </w:r>
      <w:r w:rsidR="00480D99" w:rsidRPr="00891173">
        <w:t>,</w:t>
      </w:r>
      <w:r w:rsidRPr="00891173">
        <w:t xml:space="preserve"> naudojant Europos S</w:t>
      </w:r>
      <w:r w:rsidRPr="00891173">
        <w:rPr>
          <w:rFonts w:eastAsia="TimesNewRoman"/>
        </w:rPr>
        <w:t>ą</w:t>
      </w:r>
      <w:r w:rsidRPr="00891173">
        <w:t>jungos strukt</w:t>
      </w:r>
      <w:r w:rsidRPr="00891173">
        <w:rPr>
          <w:rFonts w:eastAsia="TimesNewRoman"/>
        </w:rPr>
        <w:t>ū</w:t>
      </w:r>
      <w:r w:rsidRPr="00891173">
        <w:t>rinius fondus. Europos Komisijos ir Europos centrinio banko bendra iniciatyva JEREMIE (Jungtiniai Europos ištekliai vidutin</w:t>
      </w:r>
      <w:r w:rsidRPr="00891173">
        <w:rPr>
          <w:rFonts w:eastAsia="TimesNewRoman"/>
        </w:rPr>
        <w:t>ė</w:t>
      </w:r>
      <w:r w:rsidRPr="00891173">
        <w:t>ms ir mikro</w:t>
      </w:r>
      <w:r w:rsidRPr="00891173">
        <w:rPr>
          <w:rFonts w:eastAsia="TimesNewRoman"/>
        </w:rPr>
        <w:t>į</w:t>
      </w:r>
      <w:r w:rsidRPr="00891173">
        <w:t>mon</w:t>
      </w:r>
      <w:r w:rsidRPr="00891173">
        <w:rPr>
          <w:rFonts w:eastAsia="TimesNewRoman"/>
        </w:rPr>
        <w:t>ė</w:t>
      </w:r>
      <w:r w:rsidRPr="00891173">
        <w:t>ms) – tai galimyb</w:t>
      </w:r>
      <w:r w:rsidRPr="00891173">
        <w:rPr>
          <w:rFonts w:eastAsia="TimesNewRoman"/>
        </w:rPr>
        <w:t>ė</w:t>
      </w:r>
      <w:r w:rsidRPr="00891173">
        <w:t>, naudojant Europos S</w:t>
      </w:r>
      <w:r w:rsidRPr="00891173">
        <w:rPr>
          <w:rFonts w:eastAsia="TimesNewRoman"/>
        </w:rPr>
        <w:t>ą</w:t>
      </w:r>
      <w:r w:rsidRPr="00891173">
        <w:t>jungos strukt</w:t>
      </w:r>
      <w:r w:rsidRPr="00891173">
        <w:rPr>
          <w:rFonts w:eastAsia="TimesNewRoman"/>
        </w:rPr>
        <w:t>ū</w:t>
      </w:r>
      <w:r w:rsidRPr="00891173">
        <w:t>rini</w:t>
      </w:r>
      <w:r w:rsidRPr="00891173">
        <w:rPr>
          <w:rFonts w:eastAsia="TimesNewRoman"/>
        </w:rPr>
        <w:t xml:space="preserve">ų </w:t>
      </w:r>
      <w:r w:rsidRPr="00891173">
        <w:t>fond</w:t>
      </w:r>
      <w:r w:rsidRPr="00891173">
        <w:rPr>
          <w:rFonts w:eastAsia="TimesNewRoman"/>
        </w:rPr>
        <w:t xml:space="preserve">ų </w:t>
      </w:r>
      <w:r w:rsidRPr="00891173">
        <w:t>param</w:t>
      </w:r>
      <w:r w:rsidRPr="00891173">
        <w:rPr>
          <w:rFonts w:eastAsia="TimesNewRoman"/>
        </w:rPr>
        <w:t>ą</w:t>
      </w:r>
      <w:r w:rsidRPr="00891173">
        <w:t>, dal</w:t>
      </w:r>
      <w:r w:rsidRPr="00891173">
        <w:rPr>
          <w:rFonts w:eastAsia="TimesNewRoman"/>
        </w:rPr>
        <w:t xml:space="preserve">į </w:t>
      </w:r>
      <w:r w:rsidRPr="00891173">
        <w:t>l</w:t>
      </w:r>
      <w:r w:rsidRPr="00891173">
        <w:rPr>
          <w:rFonts w:eastAsia="TimesNewRoman"/>
        </w:rPr>
        <w:t>ė</w:t>
      </w:r>
      <w:r w:rsidRPr="00891173">
        <w:t>š</w:t>
      </w:r>
      <w:r w:rsidRPr="00891173">
        <w:rPr>
          <w:rFonts w:eastAsia="TimesNewRoman"/>
        </w:rPr>
        <w:t xml:space="preserve">ų </w:t>
      </w:r>
      <w:r w:rsidRPr="00891173">
        <w:t xml:space="preserve">skirti </w:t>
      </w:r>
      <w:r w:rsidRPr="00891173">
        <w:lastRenderedPageBreak/>
        <w:t>finansin</w:t>
      </w:r>
      <w:r w:rsidRPr="00891173">
        <w:rPr>
          <w:rFonts w:eastAsia="TimesNewRoman"/>
        </w:rPr>
        <w:t>ė</w:t>
      </w:r>
      <w:r w:rsidRPr="00891173">
        <w:t>ms priemon</w:t>
      </w:r>
      <w:r w:rsidRPr="00891173">
        <w:rPr>
          <w:rFonts w:eastAsia="TimesNewRoman"/>
        </w:rPr>
        <w:t>ė</w:t>
      </w:r>
      <w:r w:rsidR="007D458D" w:rsidRPr="00891173">
        <w:t>ms –</w:t>
      </w:r>
      <w:r w:rsidRPr="00891173">
        <w:t xml:space="preserve"> rizikos kapitalui, garantijoms ir paskoloms, taip palengvinant mažų ir vidutinių įmonių</w:t>
      </w:r>
      <w:r w:rsidRPr="00891173">
        <w:rPr>
          <w:rFonts w:eastAsia="TimesNewRoman"/>
        </w:rPr>
        <w:t xml:space="preserve"> </w:t>
      </w:r>
      <w:r w:rsidRPr="00891173">
        <w:t>pri</w:t>
      </w:r>
      <w:r w:rsidRPr="00891173">
        <w:rPr>
          <w:rFonts w:eastAsia="TimesNewRoman"/>
        </w:rPr>
        <w:t>ė</w:t>
      </w:r>
      <w:r w:rsidRPr="00891173">
        <w:t>jim</w:t>
      </w:r>
      <w:r w:rsidRPr="00891173">
        <w:rPr>
          <w:rFonts w:eastAsia="TimesNewRoman"/>
        </w:rPr>
        <w:t xml:space="preserve">ą </w:t>
      </w:r>
      <w:r w:rsidRPr="00891173">
        <w:t>prie kapitalo (Sn</w:t>
      </w:r>
      <w:r w:rsidR="00F8383A" w:rsidRPr="00891173">
        <w:t>i</w:t>
      </w:r>
      <w:r w:rsidRPr="00891173">
        <w:t>eška, Venckuvienė, 2011, p. 164).</w:t>
      </w:r>
    </w:p>
    <w:p w:rsidR="00676026" w:rsidRPr="00891173" w:rsidRDefault="00676026" w:rsidP="00AA6D52">
      <w:pPr>
        <w:spacing w:line="360" w:lineRule="auto"/>
        <w:ind w:firstLine="567"/>
        <w:jc w:val="both"/>
        <w:rPr>
          <w:rFonts w:eastAsia="MinionPro-Regular"/>
        </w:rPr>
      </w:pPr>
      <w:r w:rsidRPr="00891173">
        <w:rPr>
          <w:rFonts w:eastAsia="MinionPro-Regular"/>
        </w:rPr>
        <w:t>Investiciniai fondai taip pat skirstomi pagal investavimo sritis: investicijas atskirose šalyse, investicijas atskiruose ūkio sektoriuose, rinkos indekso struktūrą atitinkančius fondus, etiniu principu sudaromus fondus bei visų investicijų sritys. Esant investicijoms į visas šalis arba visus ūkio sektorius, atsiveria pačios pl</w:t>
      </w:r>
      <w:r w:rsidR="00480D99" w:rsidRPr="00891173">
        <w:rPr>
          <w:rFonts w:eastAsia="MinionPro-Regular"/>
        </w:rPr>
        <w:t xml:space="preserve">ačausios investicijų galimybės. </w:t>
      </w:r>
      <w:r w:rsidRPr="00891173">
        <w:rPr>
          <w:rFonts w:eastAsia="MinionPro-Regular"/>
        </w:rPr>
        <w:t>Čepinskis, Kuzmickas (1997) išskiria, kad esant etiniu principu sudaromiems fondams</w:t>
      </w:r>
      <w:r w:rsidR="00480D99" w:rsidRPr="00891173">
        <w:rPr>
          <w:rFonts w:eastAsia="MinionPro-Regular"/>
        </w:rPr>
        <w:t>, investuojama</w:t>
      </w:r>
      <w:r w:rsidRPr="00891173">
        <w:rPr>
          <w:rFonts w:eastAsia="MinionPro-Regular"/>
        </w:rPr>
        <w:t xml:space="preserve"> tik į socia</w:t>
      </w:r>
      <w:r w:rsidR="00480D99" w:rsidRPr="00891173">
        <w:rPr>
          <w:rFonts w:eastAsia="MinionPro-Regular"/>
        </w:rPr>
        <w:t>l</w:t>
      </w:r>
      <w:r w:rsidRPr="00891173">
        <w:rPr>
          <w:rFonts w:eastAsia="MinionPro-Regular"/>
        </w:rPr>
        <w:t>iniu požiūriu patrauklias pramonės šakas ar verslą, pavyzdžiui, neinvestuojama į alkoholio ar tabako pramonę.</w:t>
      </w:r>
    </w:p>
    <w:p w:rsidR="009204BC" w:rsidRPr="00891173" w:rsidRDefault="009204BC" w:rsidP="00AA6D52">
      <w:pPr>
        <w:spacing w:line="360" w:lineRule="auto"/>
        <w:ind w:firstLine="567"/>
        <w:jc w:val="both"/>
        <w:rPr>
          <w:rFonts w:eastAsia="MinionPro-Regular"/>
        </w:rPr>
      </w:pPr>
      <w:r w:rsidRPr="00891173">
        <w:rPr>
          <w:rFonts w:eastAsia="MinionPro-Regular"/>
        </w:rPr>
        <w:t>Apibendrintai galima teigti, k</w:t>
      </w:r>
      <w:r w:rsidR="00AD4801" w:rsidRPr="00891173">
        <w:rPr>
          <w:rFonts w:eastAsia="MinionPro-Regular"/>
        </w:rPr>
        <w:t xml:space="preserve">ad egzistuoja plati </w:t>
      </w:r>
      <w:r w:rsidRPr="00891173">
        <w:rPr>
          <w:rFonts w:eastAsia="MinionPro-Regular"/>
        </w:rPr>
        <w:t>investicinių fondų įvairovė</w:t>
      </w:r>
      <w:r w:rsidR="00AD4801" w:rsidRPr="00891173">
        <w:rPr>
          <w:rFonts w:eastAsia="MinionPro-Regular"/>
        </w:rPr>
        <w:t>. Pagal tam tikrą klasifikavimo kriterijų, galima įvairiai skirtyti investicinius fondus. Šiame skyriuje buvo apžvelgti, autorės nuomone, pagrindinės investicinių fondų rūšys ir klasifikavimo būdai.</w:t>
      </w:r>
    </w:p>
    <w:p w:rsidR="00676026" w:rsidRPr="00891173" w:rsidRDefault="00676026" w:rsidP="00D35728">
      <w:pPr>
        <w:pStyle w:val="Heading3"/>
        <w:rPr>
          <w:b/>
        </w:rPr>
      </w:pPr>
      <w:bookmarkStart w:id="4" w:name="_Toc343601996"/>
      <w:r w:rsidRPr="00891173">
        <w:rPr>
          <w:b/>
        </w:rPr>
        <w:t xml:space="preserve">Investicinių fondų </w:t>
      </w:r>
      <w:r w:rsidR="007A3B01" w:rsidRPr="00891173">
        <w:rPr>
          <w:b/>
        </w:rPr>
        <w:t xml:space="preserve">pasirinkimo </w:t>
      </w:r>
      <w:r w:rsidR="00B27670" w:rsidRPr="00891173">
        <w:rPr>
          <w:b/>
        </w:rPr>
        <w:t>metodai</w:t>
      </w:r>
      <w:bookmarkEnd w:id="4"/>
    </w:p>
    <w:p w:rsidR="00F8383A" w:rsidRPr="00891173" w:rsidRDefault="00B27670" w:rsidP="00F8383A">
      <w:pPr>
        <w:autoSpaceDE w:val="0"/>
        <w:autoSpaceDN w:val="0"/>
        <w:adjustRightInd w:val="0"/>
        <w:spacing w:line="360" w:lineRule="auto"/>
        <w:ind w:firstLine="567"/>
        <w:jc w:val="both"/>
        <w:rPr>
          <w:rFonts w:eastAsia="MinionPro-Regular"/>
          <w:lang w:eastAsia="en-US"/>
        </w:rPr>
      </w:pPr>
      <w:r w:rsidRPr="00891173">
        <w:t>Egzistuoja daugybė kriterijų pagal kuriuos investuotojai renkasi fondus.</w:t>
      </w:r>
      <w:r w:rsidR="003E085F" w:rsidRPr="00891173">
        <w:t xml:space="preserve"> Bala Ramasamy, Mattew C.H. Yeung (2003) tyrinėjo besivystančių šalių investicinių fondų pasirinkimo kriterijus ir kaip pavyzdį pateikė Malaizij</w:t>
      </w:r>
      <w:r w:rsidR="00031823">
        <w:t>oje atliktą tyrimą, kuriame ide</w:t>
      </w:r>
      <w:r w:rsidR="003E085F" w:rsidRPr="00891173">
        <w:t>ntifikuoti aštuoni veiksniai, labiausiai įtakojantys fondų pasirinkimą. Jų nuomone, investicinių fondų pasirinkimą lemiantys faktoriai yra ankstesnioji fondų veikla, fondo valdytojo kvalifikacija, darbo patirtis bei investavimo stilius, fondo dydis, fondų susijungimai, valdomų fondų skaičius ir vykdomų operacijų mokestis.</w:t>
      </w:r>
      <w:r w:rsidR="00F8383A" w:rsidRPr="00891173">
        <w:t xml:space="preserve"> Barkauskienė, Snieška (2011) nustatė, kad </w:t>
      </w:r>
      <w:r w:rsidR="00F8383A" w:rsidRPr="00891173">
        <w:rPr>
          <w:rFonts w:eastAsia="MinionPro-Regular"/>
          <w:lang w:eastAsia="en-US"/>
        </w:rPr>
        <w:t>svarbiausi faktoriai</w:t>
      </w:r>
      <w:r w:rsidR="00031823">
        <w:rPr>
          <w:rFonts w:eastAsia="MinionPro-Regular"/>
          <w:lang w:eastAsia="en-US"/>
        </w:rPr>
        <w:t>,</w:t>
      </w:r>
      <w:r w:rsidR="00F8383A" w:rsidRPr="00891173">
        <w:rPr>
          <w:rFonts w:eastAsia="MinionPro-Regular"/>
          <w:lang w:eastAsia="en-US"/>
        </w:rPr>
        <w:t xml:space="preserve"> renkantis fondą</w:t>
      </w:r>
      <w:r w:rsidR="00031823">
        <w:rPr>
          <w:rFonts w:eastAsia="MinionPro-Regular"/>
          <w:lang w:eastAsia="en-US"/>
        </w:rPr>
        <w:t>,</w:t>
      </w:r>
      <w:r w:rsidR="00F8383A" w:rsidRPr="00891173">
        <w:rPr>
          <w:rFonts w:eastAsia="MinionPro-Regular"/>
          <w:lang w:eastAsia="en-US"/>
        </w:rPr>
        <w:t xml:space="preserve"> yra fondo pelningumas, fondo mokesčiai, fondo rizika, fondą platinanti bendrovė ir jos reputacija. Žalgirytė, Guzavičius (2011) teigia, kad vieni svarbiausių faktorių, darančių įtaką investicinio fondo pasirinkimui, yra fondo praeities rezultatai ir rizikos lygis.</w:t>
      </w:r>
      <w:r w:rsidR="000E0539" w:rsidRPr="00891173">
        <w:rPr>
          <w:rFonts w:eastAsia="MinionPro-Regular"/>
          <w:lang w:eastAsia="en-US"/>
        </w:rPr>
        <w:t xml:space="preserve"> Klimaitė (2006) nagrinėjo pensijų fondų pasirinkimo kriterijus, kuriuos galima pritaikyti nagrinėjant investicinių fondų pasirinkimą lemiančius faktorius.</w:t>
      </w:r>
    </w:p>
    <w:p w:rsidR="00B27670" w:rsidRPr="00891173" w:rsidRDefault="00B27670" w:rsidP="00B27670">
      <w:pPr>
        <w:spacing w:line="360" w:lineRule="auto"/>
        <w:ind w:firstLine="567"/>
        <w:jc w:val="both"/>
      </w:pPr>
      <w:r w:rsidRPr="00891173">
        <w:t xml:space="preserve"> </w:t>
      </w:r>
      <w:r w:rsidR="000E0539" w:rsidRPr="00891173">
        <w:t>Taigi š</w:t>
      </w:r>
      <w:r w:rsidRPr="00891173">
        <w:t>iame darbe išskirti, autorės nuomone, populiariausi kriterijai: investicijų fondo pajamingumo ir rizikingumo rodikliai; administravimo mokesčiai; investavimo strategijos; esamų fondų dalyvių pasirinkimas; kitų investuotojų nuomonė; fondo gyvavimo laikota</w:t>
      </w:r>
      <w:r w:rsidR="000E0539" w:rsidRPr="00891173">
        <w:t>rpis, fondo valdytojo patirtis</w:t>
      </w:r>
      <w:r w:rsidRPr="00891173">
        <w:t>.</w:t>
      </w:r>
    </w:p>
    <w:p w:rsidR="00B27670" w:rsidRPr="00891173" w:rsidRDefault="00B27670" w:rsidP="00B27670">
      <w:pPr>
        <w:spacing w:line="360" w:lineRule="auto"/>
        <w:ind w:firstLine="567"/>
        <w:jc w:val="both"/>
      </w:pPr>
      <w:r w:rsidRPr="00891173">
        <w:rPr>
          <w:b/>
        </w:rPr>
        <w:t>Fondo pajamingumo ir rizikingumo rodikliai</w:t>
      </w:r>
      <w:r w:rsidRPr="00891173">
        <w:t xml:space="preserve"> atspindi f</w:t>
      </w:r>
      <w:r w:rsidR="00031823">
        <w:t>ondo praeities investicijų grąžą</w:t>
      </w:r>
      <w:r w:rsidRPr="00891173">
        <w:t>, kuri atskleidžia</w:t>
      </w:r>
      <w:r w:rsidR="00FE3805" w:rsidRPr="00891173">
        <w:t>,</w:t>
      </w:r>
      <w:r w:rsidRPr="00891173">
        <w:t xml:space="preserve"> kiek fondas uždirbo per tam tikrą laikotarpį. Taigi, pagal šį kriterijų galima palyginti skirtingus fondus ir išsirinkti, kuris demonstruoja geresnius rezultatus. Taip pat svarbūs ir rizikingumo kriterijai, kurie smulkiai aprašyti </w:t>
      </w:r>
      <w:r w:rsidR="00031823">
        <w:t>kitame</w:t>
      </w:r>
      <w:r w:rsidRPr="00891173">
        <w:t xml:space="preserve"> skyriuje. </w:t>
      </w:r>
    </w:p>
    <w:p w:rsidR="00B27670" w:rsidRPr="00891173" w:rsidRDefault="00B27670" w:rsidP="00B27670">
      <w:pPr>
        <w:spacing w:line="360" w:lineRule="auto"/>
        <w:ind w:firstLine="567"/>
        <w:jc w:val="both"/>
      </w:pPr>
      <w:r w:rsidRPr="00891173">
        <w:rPr>
          <w:b/>
        </w:rPr>
        <w:t>Fondų administraciniai mokesčiai</w:t>
      </w:r>
      <w:r w:rsidRPr="00891173">
        <w:t xml:space="preserve"> turi didelę reikšmę investuotojams, kuo didesni mokesčiai – tuo mažesnis pelnas. Iš esmės, būtent mokesčių pavidalu, fondų valdytojai gali dirbti, nes tai yra jų premija, užmokestis už sėkmingą veiklą, kitais žodžiais tariant - motyvacija. Tačiau mokesčių išlaidos </w:t>
      </w:r>
      <w:r w:rsidRPr="00891173">
        <w:lastRenderedPageBreak/>
        <w:t>daro didelę įtaką ir pačio fondo veiklos rezultatams. Darant prielaidą, kad panašios investavimo strategijos fondas turi panašias galimybes pelnui uždirbti. Tokiu atveju mažesni mokesčiai renkami už fondo</w:t>
      </w:r>
      <w:r w:rsidR="00FE3805" w:rsidRPr="00891173">
        <w:t>,</w:t>
      </w:r>
      <w:r w:rsidRPr="00891173">
        <w:t xml:space="preserve"> kaip investavimo paslaugos tiekėjo veiklą ir mokami tokiais būdais (Balčienė, 2007) :</w:t>
      </w:r>
    </w:p>
    <w:p w:rsidR="00B27670" w:rsidRPr="00891173" w:rsidRDefault="00B27670" w:rsidP="00203D2D">
      <w:pPr>
        <w:pStyle w:val="ListParagraph"/>
        <w:numPr>
          <w:ilvl w:val="0"/>
          <w:numId w:val="5"/>
        </w:numPr>
        <w:spacing w:line="360" w:lineRule="auto"/>
        <w:ind w:left="567" w:hanging="141"/>
        <w:jc w:val="both"/>
      </w:pPr>
      <w:r w:rsidRPr="00891173">
        <w:t>Vienkartinis mokestis nuo įmokų nuraš</w:t>
      </w:r>
      <w:r w:rsidR="00FE3805" w:rsidRPr="00891173">
        <w:t>omas vieną kartą, kai yra perka</w:t>
      </w:r>
      <w:r w:rsidR="00BA2D2B" w:rsidRPr="00891173">
        <w:t>m</w:t>
      </w:r>
      <w:r w:rsidRPr="00891173">
        <w:t>i arba parduodami fondo vienetai;</w:t>
      </w:r>
    </w:p>
    <w:p w:rsidR="00B27670" w:rsidRPr="00891173" w:rsidRDefault="00B27670" w:rsidP="00203D2D">
      <w:pPr>
        <w:pStyle w:val="ListParagraph"/>
        <w:numPr>
          <w:ilvl w:val="0"/>
          <w:numId w:val="5"/>
        </w:numPr>
        <w:spacing w:line="360" w:lineRule="auto"/>
        <w:ind w:left="567" w:hanging="141"/>
        <w:jc w:val="both"/>
      </w:pPr>
      <w:r w:rsidRPr="00891173">
        <w:t>Valdymo mokestis – kasmet tam tikras procentas nuo fondo turto, atitenka investicijų valdymo bendrovei už valdymo paslaugas;</w:t>
      </w:r>
    </w:p>
    <w:p w:rsidR="00B27670" w:rsidRPr="00891173" w:rsidRDefault="00B27670" w:rsidP="00203D2D">
      <w:pPr>
        <w:pStyle w:val="ListParagraph"/>
        <w:numPr>
          <w:ilvl w:val="0"/>
          <w:numId w:val="5"/>
        </w:numPr>
        <w:spacing w:line="360" w:lineRule="auto"/>
        <w:ind w:left="567" w:hanging="141"/>
        <w:jc w:val="both"/>
      </w:pPr>
      <w:r w:rsidRPr="00891173">
        <w:t>Sėkmės mokestis – tam tikra dalis papildomai virš tam tikro dydžio uždirbtos grąžos atitenka investicijų valdytojui;</w:t>
      </w:r>
    </w:p>
    <w:p w:rsidR="00B27670" w:rsidRPr="00891173" w:rsidRDefault="00B27670" w:rsidP="00203D2D">
      <w:pPr>
        <w:pStyle w:val="ListParagraph"/>
        <w:numPr>
          <w:ilvl w:val="0"/>
          <w:numId w:val="5"/>
        </w:numPr>
        <w:spacing w:line="360" w:lineRule="auto"/>
        <w:ind w:left="567" w:hanging="141"/>
        <w:jc w:val="both"/>
      </w:pPr>
      <w:r w:rsidRPr="00891173">
        <w:t>Ataska</w:t>
      </w:r>
      <w:r w:rsidR="00031823">
        <w:t>itų mokestis – kai kurie fondai</w:t>
      </w:r>
      <w:r w:rsidRPr="00891173">
        <w:t xml:space="preserve"> renka ataskaitos rengimo mokesčius iš investuotojų;</w:t>
      </w:r>
    </w:p>
    <w:p w:rsidR="00B27670" w:rsidRPr="00891173" w:rsidRDefault="00B27670" w:rsidP="00B27670">
      <w:pPr>
        <w:spacing w:line="360" w:lineRule="auto"/>
        <w:ind w:firstLine="567"/>
        <w:jc w:val="both"/>
      </w:pPr>
      <w:r w:rsidRPr="00891173">
        <w:t xml:space="preserve">Taigi, vertinant šį fondų pasirinkimo kriterijų, yra atsižvelgiama, kokie administravimo mokesčio tarifai taikomi atskiruose fonduose. Savaime suprantama, kad fondų investuotojai palankiau vertins tuos fondus, kuriuose yra taikomi mažesni administravimo mokesčiai. </w:t>
      </w:r>
    </w:p>
    <w:p w:rsidR="00B27670" w:rsidRPr="00891173" w:rsidRDefault="00B27670" w:rsidP="00B27670">
      <w:pPr>
        <w:spacing w:line="360" w:lineRule="auto"/>
        <w:ind w:firstLine="567"/>
        <w:jc w:val="both"/>
      </w:pPr>
      <w:r w:rsidRPr="00891173">
        <w:rPr>
          <w:b/>
        </w:rPr>
        <w:t>Investavimo strategijos</w:t>
      </w:r>
      <w:r w:rsidRPr="00891173">
        <w:t xml:space="preserve"> skirstomos dvejopai, t.y. pasyviai arba aktyviai valdomi investiciniai portfeliai. Aktyvaus portfelio valdymo propoguotojai remiasi prielaida, kad finansų rinkos yra neefektyvios, t.y. jos neatspindi tikrųjų vertybinių popierių kainų. Todėl remiantis šia strategija yra priimama daugybė investicinių sprendimų. Šio fondo aktyvai keičiasi dažnai, priklausomai nuo situacijos rinkoje. Šios strategijos privalumai galėtų būti tokie: lankstumas, galimybė gauti didesnę nei vidutinę grąžą, gynybos priemonės, prognozavimo galimybė. Aktyvios strategijos trūkumai būtų tokie: didelės valdymo išlaidos, ir mokesčiai; rinkos ir ekonomikos yra sunkiai prognozuojamos, rizika ir grąža stipriai koreliuoja; praeitis neparodo ateities. Pasyvioji strategija labiau pritaikyta efektyvioms rinkoms, bei ilgesnio laikotarpio portfeliams. Naudojantis šia strategija fondo prekybos kaštai yra labai maži (Bagdonas, 2006). Šios strategijos privalumai yra: valdymo paprastumas; mažos valdymo išlaidos; diversifikacija; investicijų nepriklausomumas nuo valdytojo. Trūkumai: rezultat</w:t>
      </w:r>
      <w:r w:rsidR="00BA2D2B" w:rsidRPr="00891173">
        <w:t>ai priklausantys nuo indekso;</w:t>
      </w:r>
      <w:r w:rsidRPr="00891173">
        <w:t xml:space="preserve"> kontrolės stoka. Kiekvienas investuotojas investicinius fondus renkasi, kurie geriausiai atitinka jų investavimo tikslus ir lūkesčius. </w:t>
      </w:r>
    </w:p>
    <w:p w:rsidR="00B27670" w:rsidRPr="00891173" w:rsidRDefault="00B27670" w:rsidP="00B27670">
      <w:pPr>
        <w:spacing w:line="360" w:lineRule="auto"/>
        <w:ind w:firstLine="567"/>
        <w:jc w:val="both"/>
      </w:pPr>
      <w:r w:rsidRPr="00891173">
        <w:rPr>
          <w:b/>
        </w:rPr>
        <w:t>Esamų IF dalyvių pasirinkimas</w:t>
      </w:r>
      <w:r w:rsidRPr="00891173">
        <w:t>. Kiekvienas investuotojas</w:t>
      </w:r>
      <w:r w:rsidR="00031823">
        <w:t>,</w:t>
      </w:r>
      <w:r w:rsidRPr="00891173">
        <w:t xml:space="preserve"> siekdamas pasirinkti geriausią IF, išanalizuos atskirų fondų užimamą rinkos dalį, t.y. kurie fondai yra patraukliausi ir su didžiausiomis investicijomis. </w:t>
      </w:r>
    </w:p>
    <w:p w:rsidR="00B27670" w:rsidRPr="00891173" w:rsidRDefault="00B27670" w:rsidP="00B27670">
      <w:pPr>
        <w:spacing w:line="360" w:lineRule="auto"/>
        <w:ind w:firstLine="567"/>
        <w:jc w:val="both"/>
      </w:pPr>
      <w:r w:rsidRPr="00891173">
        <w:rPr>
          <w:b/>
        </w:rPr>
        <w:t xml:space="preserve">Kitų investuotojų nuomonė. </w:t>
      </w:r>
      <w:r w:rsidRPr="00891173">
        <w:t xml:space="preserve">Investiciniai fondai gali būti vertinami pagal kitų investuotojų atsiliepimus. Atsižvelgiant </w:t>
      </w:r>
      <w:r w:rsidR="00BA2D2B" w:rsidRPr="00891173">
        <w:t>į tai, kaip teigiamai ar</w:t>
      </w:r>
      <w:r w:rsidRPr="00891173">
        <w:t xml:space="preserve"> neigiamai yra vertinamas tam tikras fondas visuomenėje.  </w:t>
      </w:r>
    </w:p>
    <w:p w:rsidR="00B27670" w:rsidRPr="00891173" w:rsidRDefault="00B27670" w:rsidP="00B27670">
      <w:pPr>
        <w:spacing w:line="360" w:lineRule="auto"/>
        <w:ind w:firstLine="567"/>
        <w:jc w:val="both"/>
      </w:pPr>
      <w:r w:rsidRPr="00891173">
        <w:rPr>
          <w:b/>
        </w:rPr>
        <w:t>Fondo gyvavimo laikotarpis</w:t>
      </w:r>
      <w:r w:rsidR="00BA2D2B" w:rsidRPr="00891173">
        <w:t xml:space="preserve">. Šis kriterijus taip </w:t>
      </w:r>
      <w:r w:rsidRPr="00891173">
        <w:t>p</w:t>
      </w:r>
      <w:r w:rsidR="00BA2D2B" w:rsidRPr="00891173">
        <w:t>a</w:t>
      </w:r>
      <w:r w:rsidRPr="00891173">
        <w:t>t gali būti vienas svarbiausių, nes kuo senesnis investicinis fondas tuo jis patikimesnis. Be to</w:t>
      </w:r>
      <w:r w:rsidR="00BA2D2B" w:rsidRPr="00891173">
        <w:t>,</w:t>
      </w:r>
      <w:r w:rsidRPr="00891173">
        <w:t xml:space="preserve"> tokiu atveju, investicinio fondo rezultatų istorija kur kas ilgesnė, todėl galima objektyviau išanalizuoti jo veiklą. </w:t>
      </w:r>
    </w:p>
    <w:p w:rsidR="00B27670" w:rsidRPr="00891173" w:rsidRDefault="00B27670" w:rsidP="00B27670">
      <w:pPr>
        <w:spacing w:line="360" w:lineRule="auto"/>
        <w:ind w:firstLine="567"/>
        <w:jc w:val="both"/>
      </w:pPr>
      <w:r w:rsidRPr="00891173">
        <w:rPr>
          <w:b/>
        </w:rPr>
        <w:lastRenderedPageBreak/>
        <w:t>Investicinio fondo valdytojo patirtis</w:t>
      </w:r>
      <w:r w:rsidRPr="00891173">
        <w:t xml:space="preserve">. Labai svarbus pasirinkimo kriterijus gali būti investicnio fondo valdytojo patirtis. Savaime suprantama, kad kuo ilgesnė valdytojo patirtis, tuo stabilesni fondo rezultatai. </w:t>
      </w:r>
    </w:p>
    <w:p w:rsidR="00813C38" w:rsidRPr="00891173" w:rsidRDefault="00D13548">
      <w:pPr>
        <w:spacing w:after="200" w:line="276" w:lineRule="auto"/>
      </w:pPr>
      <w:r w:rsidRPr="00891173">
        <w:pict>
          <v:group id="_x0000_s1280" editas="canvas" style="width:484.05pt;height:374.55pt;mso-position-horizontal-relative:char;mso-position-vertical-relative:line" coordorigin="2362,2872" coordsize="7026,5437">
            <o:lock v:ext="edit" aspectratio="t"/>
            <v:shape id="_x0000_s1279" type="#_x0000_t75" style="position:absolute;left:2362;top:2872;width:7026;height:5437" o:preferrelative="f">
              <v:fill o:detectmouseclick="t"/>
              <v:path o:extrusionok="t" o:connecttype="none"/>
              <o:lock v:ext="edit" text="t"/>
            </v:shape>
            <v:roundrect id="_x0000_s1187" style="position:absolute;left:2649;top:5503;width:1950;height:827" arcsize="10923f">
              <v:shadow on="t" opacity=".5" offset="6pt,6pt"/>
              <v:textbox style="mso-next-textbox:#_x0000_s1187">
                <w:txbxContent>
                  <w:p w:rsidR="000E1A39" w:rsidRPr="0008180F" w:rsidRDefault="000E1A39" w:rsidP="000A1C0C">
                    <w:pPr>
                      <w:jc w:val="center"/>
                      <w:rPr>
                        <w:b/>
                      </w:rPr>
                    </w:pPr>
                    <w:r w:rsidRPr="0008180F">
                      <w:rPr>
                        <w:b/>
                      </w:rPr>
                      <w:t>IF pasirinkimo kriterijai ir tyrimo metodai</w:t>
                    </w:r>
                  </w:p>
                </w:txbxContent>
              </v:textbox>
            </v:roundrect>
            <v:roundrect id="_x0000_s1190" style="position:absolute;left:6046;top:2937;width:2450;height:1112" arcsize="10923f">
              <v:textbox style="mso-next-textbox:#_x0000_s1190">
                <w:txbxContent>
                  <w:p w:rsidR="000E1A39" w:rsidRPr="000A1C0C" w:rsidRDefault="000E1A39" w:rsidP="000A1C0C">
                    <w:pPr>
                      <w:jc w:val="center"/>
                      <w:rPr>
                        <w:sz w:val="20"/>
                        <w:szCs w:val="20"/>
                      </w:rPr>
                    </w:pPr>
                    <w:r w:rsidRPr="000A1C0C">
                      <w:rPr>
                        <w:sz w:val="20"/>
                        <w:szCs w:val="20"/>
                      </w:rPr>
                      <w:t>Administraciniai mokesčiai:</w:t>
                    </w:r>
                  </w:p>
                  <w:p w:rsidR="000E1A39" w:rsidRPr="000A1C0C" w:rsidRDefault="000E1A39" w:rsidP="00203D2D">
                    <w:pPr>
                      <w:pStyle w:val="ListParagraph"/>
                      <w:numPr>
                        <w:ilvl w:val="0"/>
                        <w:numId w:val="13"/>
                      </w:numPr>
                      <w:ind w:left="142" w:hanging="142"/>
                      <w:rPr>
                        <w:sz w:val="20"/>
                        <w:szCs w:val="20"/>
                      </w:rPr>
                    </w:pPr>
                    <w:r w:rsidRPr="000A1C0C">
                      <w:rPr>
                        <w:sz w:val="20"/>
                        <w:szCs w:val="20"/>
                      </w:rPr>
                      <w:t>vienkartinis mokestis,</w:t>
                    </w:r>
                  </w:p>
                  <w:p w:rsidR="000E1A39" w:rsidRPr="000A1C0C" w:rsidRDefault="000E1A39" w:rsidP="00203D2D">
                    <w:pPr>
                      <w:pStyle w:val="ListParagraph"/>
                      <w:numPr>
                        <w:ilvl w:val="0"/>
                        <w:numId w:val="13"/>
                      </w:numPr>
                      <w:ind w:left="142" w:hanging="142"/>
                      <w:rPr>
                        <w:sz w:val="20"/>
                        <w:szCs w:val="20"/>
                      </w:rPr>
                    </w:pPr>
                    <w:r w:rsidRPr="000A1C0C">
                      <w:rPr>
                        <w:sz w:val="20"/>
                        <w:szCs w:val="20"/>
                      </w:rPr>
                      <w:t>valdymo mokestis,</w:t>
                    </w:r>
                  </w:p>
                  <w:p w:rsidR="000E1A39" w:rsidRPr="000A1C0C" w:rsidRDefault="000E1A39" w:rsidP="00203D2D">
                    <w:pPr>
                      <w:pStyle w:val="ListParagraph"/>
                      <w:numPr>
                        <w:ilvl w:val="0"/>
                        <w:numId w:val="13"/>
                      </w:numPr>
                      <w:ind w:left="142" w:hanging="142"/>
                      <w:rPr>
                        <w:sz w:val="20"/>
                        <w:szCs w:val="20"/>
                      </w:rPr>
                    </w:pPr>
                    <w:r w:rsidRPr="000A1C0C">
                      <w:rPr>
                        <w:sz w:val="20"/>
                        <w:szCs w:val="20"/>
                      </w:rPr>
                      <w:t>sėkmės mokestis,</w:t>
                    </w:r>
                  </w:p>
                  <w:p w:rsidR="000E1A39" w:rsidRPr="000A1C0C" w:rsidRDefault="000E1A39" w:rsidP="00203D2D">
                    <w:pPr>
                      <w:pStyle w:val="ListParagraph"/>
                      <w:numPr>
                        <w:ilvl w:val="0"/>
                        <w:numId w:val="13"/>
                      </w:numPr>
                      <w:ind w:left="142" w:hanging="142"/>
                      <w:rPr>
                        <w:sz w:val="20"/>
                        <w:szCs w:val="20"/>
                      </w:rPr>
                    </w:pPr>
                    <w:r w:rsidRPr="000A1C0C">
                      <w:rPr>
                        <w:sz w:val="20"/>
                        <w:szCs w:val="20"/>
                      </w:rPr>
                      <w:t>ataskaitų parengimo mokestis.</w:t>
                    </w:r>
                  </w:p>
                  <w:p w:rsidR="000E1A39" w:rsidRDefault="000E1A39" w:rsidP="00203D2D">
                    <w:pPr>
                      <w:pStyle w:val="ListParagraph"/>
                      <w:numPr>
                        <w:ilvl w:val="0"/>
                        <w:numId w:val="13"/>
                      </w:numPr>
                      <w:ind w:left="142" w:hanging="142"/>
                      <w:rPr>
                        <w:sz w:val="22"/>
                        <w:szCs w:val="22"/>
                      </w:rPr>
                    </w:pPr>
                  </w:p>
                  <w:p w:rsidR="000E1A39" w:rsidRPr="00E23049" w:rsidRDefault="000E1A39" w:rsidP="000A1C0C">
                    <w:pPr>
                      <w:rPr>
                        <w:sz w:val="22"/>
                        <w:szCs w:val="22"/>
                      </w:rPr>
                    </w:pPr>
                  </w:p>
                  <w:p w:rsidR="000E1A39" w:rsidRPr="005A3D01" w:rsidRDefault="000E1A39" w:rsidP="000A1C0C">
                    <w:pPr>
                      <w:jc w:val="center"/>
                      <w:rPr>
                        <w:sz w:val="22"/>
                        <w:szCs w:val="22"/>
                      </w:rPr>
                    </w:pPr>
                  </w:p>
                </w:txbxContent>
              </v:textbox>
            </v:roundrect>
            <v:shape id="_x0000_s1281" type="#_x0000_t32" style="position:absolute;left:3624;top:3493;width:2422;height:2010;flip:y" o:connectortype="straight">
              <v:stroke endarrow="block"/>
            </v:shape>
            <v:roundrect id="_x0000_s1282" style="position:absolute;left:6832;top:5503;width:2003;height:513" arcsize="10923f">
              <v:textbox style="mso-next-textbox:#_x0000_s1282">
                <w:txbxContent>
                  <w:p w:rsidR="000E1A39" w:rsidRPr="000A1C0C" w:rsidRDefault="000E1A39" w:rsidP="000A1C0C">
                    <w:pPr>
                      <w:jc w:val="center"/>
                      <w:rPr>
                        <w:sz w:val="20"/>
                        <w:szCs w:val="20"/>
                      </w:rPr>
                    </w:pPr>
                    <w:r w:rsidRPr="000A1C0C">
                      <w:rPr>
                        <w:sz w:val="20"/>
                        <w:szCs w:val="20"/>
                      </w:rPr>
                      <w:t>Fondo pajamingumo ir  rizikingumo rodikliai</w:t>
                    </w:r>
                  </w:p>
                </w:txbxContent>
              </v:textbox>
            </v:roundrect>
            <v:roundrect id="_x0000_s1284" style="position:absolute;left:6661;top:4386;width:1999;height:725" arcsize="10923f">
              <v:textbox style="mso-next-textbox:#_x0000_s1284">
                <w:txbxContent>
                  <w:p w:rsidR="000E1A39" w:rsidRPr="000A1C0C" w:rsidRDefault="000E1A39" w:rsidP="000A1C0C">
                    <w:pPr>
                      <w:jc w:val="center"/>
                      <w:rPr>
                        <w:sz w:val="20"/>
                        <w:szCs w:val="20"/>
                      </w:rPr>
                    </w:pPr>
                    <w:r w:rsidRPr="000A1C0C">
                      <w:rPr>
                        <w:sz w:val="20"/>
                        <w:szCs w:val="20"/>
                      </w:rPr>
                      <w:t>Investavimo strategijos:</w:t>
                    </w:r>
                  </w:p>
                  <w:p w:rsidR="000E1A39" w:rsidRPr="000A1C0C" w:rsidRDefault="000E1A39" w:rsidP="00203D2D">
                    <w:pPr>
                      <w:pStyle w:val="ListParagraph"/>
                      <w:numPr>
                        <w:ilvl w:val="0"/>
                        <w:numId w:val="14"/>
                      </w:numPr>
                      <w:ind w:left="284" w:hanging="284"/>
                      <w:rPr>
                        <w:sz w:val="20"/>
                        <w:szCs w:val="20"/>
                      </w:rPr>
                    </w:pPr>
                    <w:r w:rsidRPr="000A1C0C">
                      <w:rPr>
                        <w:sz w:val="20"/>
                        <w:szCs w:val="20"/>
                      </w:rPr>
                      <w:t>aktyvioji</w:t>
                    </w:r>
                  </w:p>
                  <w:p w:rsidR="000E1A39" w:rsidRPr="000A1C0C" w:rsidRDefault="000E1A39" w:rsidP="00203D2D">
                    <w:pPr>
                      <w:pStyle w:val="ListParagraph"/>
                      <w:numPr>
                        <w:ilvl w:val="0"/>
                        <w:numId w:val="14"/>
                      </w:numPr>
                      <w:ind w:left="284" w:hanging="284"/>
                      <w:rPr>
                        <w:sz w:val="20"/>
                        <w:szCs w:val="20"/>
                      </w:rPr>
                    </w:pPr>
                    <w:r w:rsidRPr="000A1C0C">
                      <w:rPr>
                        <w:sz w:val="20"/>
                        <w:szCs w:val="20"/>
                      </w:rPr>
                      <w:t>pasyvioji</w:t>
                    </w:r>
                  </w:p>
                </w:txbxContent>
              </v:textbox>
            </v:roundrect>
            <v:shape id="_x0000_s1285" type="#_x0000_t32" style="position:absolute;left:4261;top:4749;width:2400;height:754;flip:y" o:connectortype="straight">
              <v:stroke endarrow="block"/>
            </v:shape>
            <v:shape id="_x0000_s1286" type="#_x0000_t32" style="position:absolute;left:4599;top:5760;width:2233;height:1" o:connectortype="straight">
              <v:stroke endarrow="block"/>
            </v:shape>
            <v:roundrect id="_x0000_s1288" style="position:absolute;left:6832;top:6330;width:2001;height:421" arcsize="10923f">
              <v:textbox style="mso-next-textbox:#_x0000_s1288">
                <w:txbxContent>
                  <w:p w:rsidR="000E1A39" w:rsidRPr="000A1C0C" w:rsidRDefault="000E1A39" w:rsidP="000A1C0C">
                    <w:pPr>
                      <w:jc w:val="center"/>
                      <w:rPr>
                        <w:sz w:val="20"/>
                        <w:szCs w:val="20"/>
                      </w:rPr>
                    </w:pPr>
                    <w:r w:rsidRPr="000A1C0C">
                      <w:rPr>
                        <w:sz w:val="20"/>
                        <w:szCs w:val="20"/>
                      </w:rPr>
                      <w:t>Kitų investuotojų nuomonė</w:t>
                    </w:r>
                  </w:p>
                </w:txbxContent>
              </v:textbox>
            </v:roundrect>
            <v:roundrect id="_x0000_s1289" style="position:absolute;left:6661;top:7086;width:1999;height:388" arcsize="10923f" o:allowoverlap="f">
              <v:textbox style="mso-next-textbox:#_x0000_s1289">
                <w:txbxContent>
                  <w:p w:rsidR="000E1A39" w:rsidRPr="000A1C0C" w:rsidRDefault="000E1A39" w:rsidP="000A1C0C">
                    <w:pPr>
                      <w:jc w:val="center"/>
                      <w:rPr>
                        <w:sz w:val="20"/>
                        <w:szCs w:val="20"/>
                      </w:rPr>
                    </w:pPr>
                    <w:r w:rsidRPr="000A1C0C">
                      <w:rPr>
                        <w:sz w:val="20"/>
                        <w:szCs w:val="20"/>
                      </w:rPr>
                      <w:t>Fondo gyvavimo laikotarpis</w:t>
                    </w:r>
                  </w:p>
                </w:txbxContent>
              </v:textbox>
            </v:roundrect>
            <v:roundrect id="_x0000_s1290" style="position:absolute;left:5983;top:7772;width:2003;height:300" arcsize="10923f" o:allowoverlap="f">
              <v:textbox style="mso-next-textbox:#_x0000_s1290">
                <w:txbxContent>
                  <w:p w:rsidR="000E1A39" w:rsidRPr="000A1C0C" w:rsidRDefault="000E1A39" w:rsidP="000A1C0C">
                    <w:pPr>
                      <w:jc w:val="center"/>
                      <w:rPr>
                        <w:sz w:val="20"/>
                        <w:szCs w:val="20"/>
                      </w:rPr>
                    </w:pPr>
                    <w:r w:rsidRPr="000A1C0C">
                      <w:rPr>
                        <w:sz w:val="20"/>
                        <w:szCs w:val="20"/>
                      </w:rPr>
                      <w:t>IF valdytojo patirtis</w:t>
                    </w:r>
                  </w:p>
                </w:txbxContent>
              </v:textbox>
            </v:roundrect>
            <v:shape id="_x0000_s1291" type="#_x0000_t32" style="position:absolute;left:4599;top:5917;width:2233;height:623" o:connectortype="straight">
              <v:stroke endarrow="block"/>
            </v:shape>
            <v:shape id="_x0000_s1292" type="#_x0000_t32" style="position:absolute;left:4316;top:6330;width:2345;height:951" o:connectortype="straight">
              <v:stroke endarrow="block"/>
            </v:shape>
            <v:shape id="_x0000_s1293" type="#_x0000_t32" style="position:absolute;left:3624;top:6330;width:2359;height:1592" o:connectortype="straight">
              <v:stroke endarrow="block"/>
            </v:shape>
            <w10:wrap type="none"/>
            <w10:anchorlock/>
          </v:group>
        </w:pict>
      </w:r>
    </w:p>
    <w:p w:rsidR="000C27E2" w:rsidRPr="00891173" w:rsidRDefault="000C27E2" w:rsidP="00813C38">
      <w:pPr>
        <w:autoSpaceDE w:val="0"/>
        <w:autoSpaceDN w:val="0"/>
        <w:adjustRightInd w:val="0"/>
        <w:spacing w:after="120" w:line="360" w:lineRule="auto"/>
        <w:ind w:firstLine="567"/>
        <w:jc w:val="center"/>
        <w:rPr>
          <w:b/>
        </w:rPr>
      </w:pPr>
      <w:r w:rsidRPr="00891173">
        <w:rPr>
          <w:b/>
        </w:rPr>
        <w:t>2 pav.</w:t>
      </w:r>
      <w:r w:rsidRPr="00891173">
        <w:t xml:space="preserve"> </w:t>
      </w:r>
      <w:r w:rsidRPr="00891173">
        <w:rPr>
          <w:b/>
        </w:rPr>
        <w:t>Investicinių fondų vertinimo kriterijai dalyvių atžvilgiu</w:t>
      </w:r>
    </w:p>
    <w:p w:rsidR="00B353ED" w:rsidRPr="00891173" w:rsidRDefault="00B353ED" w:rsidP="00813C38">
      <w:pPr>
        <w:autoSpaceDE w:val="0"/>
        <w:autoSpaceDN w:val="0"/>
        <w:adjustRightInd w:val="0"/>
        <w:spacing w:after="120" w:line="360" w:lineRule="auto"/>
        <w:ind w:firstLine="567"/>
        <w:jc w:val="center"/>
        <w:rPr>
          <w:b/>
          <w:sz w:val="20"/>
          <w:szCs w:val="20"/>
        </w:rPr>
      </w:pPr>
      <w:r w:rsidRPr="00891173">
        <w:rPr>
          <w:b/>
          <w:sz w:val="20"/>
          <w:szCs w:val="20"/>
        </w:rPr>
        <w:t xml:space="preserve">Šaltinis: </w:t>
      </w:r>
      <w:r w:rsidRPr="00891173">
        <w:rPr>
          <w:sz w:val="20"/>
          <w:szCs w:val="20"/>
        </w:rPr>
        <w:t xml:space="preserve">sudaryta pagal </w:t>
      </w:r>
      <w:r w:rsidRPr="00891173">
        <w:rPr>
          <w:rFonts w:eastAsia="MinionPro-Regular"/>
          <w:sz w:val="20"/>
          <w:szCs w:val="20"/>
          <w:lang w:eastAsia="en-US"/>
        </w:rPr>
        <w:t>Ramasamy, Yeung, 2003, Žalgirytė, Guzavičius, 2011, Barkauskienė, Snieška, 2011, Klimaitė, 2006, Balčienė, 2007, Bagdonas, 2006.</w:t>
      </w:r>
    </w:p>
    <w:p w:rsidR="00BA2D2B" w:rsidRPr="00891173" w:rsidRDefault="000C27E2" w:rsidP="00C373A8">
      <w:pPr>
        <w:spacing w:line="360" w:lineRule="auto"/>
        <w:ind w:firstLine="567"/>
        <w:jc w:val="both"/>
      </w:pPr>
      <w:r w:rsidRPr="00891173">
        <w:t>I</w:t>
      </w:r>
      <w:r w:rsidR="00B27670" w:rsidRPr="00891173">
        <w:t>šanalizavus metodus, kurie padeda įvertinti investicinių fondų veiklą ir parodo, kokį fondą geriausia pasirinkti, akivaizdu, kad ne visi metodai yra tinkami bei naudingi. Tačiau, kuo daugiau įvairesnių metodų išanalizuojama, tuo teisingiau galima pasirinkti tokį investicinį fondą, kuris neštų teigiamus rezultatus.</w:t>
      </w:r>
      <w:r w:rsidR="00C373A8" w:rsidRPr="00891173">
        <w:t xml:space="preserve"> Reikia nepamiršti, kad ir investuotojai yra skirtingi</w:t>
      </w:r>
      <w:r w:rsidR="00BA2D2B" w:rsidRPr="00891173">
        <w:t>, kiekvieno investavimo tikslas bei</w:t>
      </w:r>
      <w:r w:rsidR="00C373A8" w:rsidRPr="00891173">
        <w:t xml:space="preserve"> lūkesčiai skiriasi, todėl ir fondų vertinimas tampa subjekyviu reiškiniu. Aukščiau išvardintais kriterijais, siekiama nustatyti esminius kriterijus, kuriais remdamiesi Lietuvos</w:t>
      </w:r>
      <w:r w:rsidR="00BA2D2B" w:rsidRPr="00891173">
        <w:t xml:space="preserve"> gyventojai</w:t>
      </w:r>
      <w:r w:rsidR="00C373A8" w:rsidRPr="00891173">
        <w:t xml:space="preserve"> pasirenka investicinius fondus.  </w:t>
      </w:r>
    </w:p>
    <w:p w:rsidR="00BA2D2B" w:rsidRPr="00891173" w:rsidRDefault="00BA2D2B">
      <w:pPr>
        <w:spacing w:after="200" w:line="276" w:lineRule="auto"/>
      </w:pPr>
      <w:r w:rsidRPr="00891173">
        <w:br w:type="page"/>
      </w:r>
    </w:p>
    <w:p w:rsidR="00B27670" w:rsidRPr="00891173" w:rsidRDefault="0082397E" w:rsidP="0082397E">
      <w:pPr>
        <w:pStyle w:val="Heading3"/>
        <w:tabs>
          <w:tab w:val="left" w:pos="3544"/>
        </w:tabs>
        <w:rPr>
          <w:b/>
        </w:rPr>
      </w:pPr>
      <w:bookmarkStart w:id="5" w:name="_Toc343601997"/>
      <w:r w:rsidRPr="00891173">
        <w:rPr>
          <w:b/>
        </w:rPr>
        <w:lastRenderedPageBreak/>
        <w:t xml:space="preserve">     </w:t>
      </w:r>
      <w:r w:rsidR="00DA6F3A" w:rsidRPr="00891173">
        <w:rPr>
          <w:b/>
        </w:rPr>
        <w:t>Investicinių fondų veiklos vertinimo metodai</w:t>
      </w:r>
      <w:bookmarkEnd w:id="5"/>
    </w:p>
    <w:p w:rsidR="00DA6F3A" w:rsidRPr="00891173" w:rsidRDefault="00DA6F3A" w:rsidP="00DA6F3A">
      <w:pPr>
        <w:spacing w:line="360" w:lineRule="auto"/>
        <w:jc w:val="center"/>
      </w:pPr>
    </w:p>
    <w:p w:rsidR="00676026" w:rsidRPr="00891173" w:rsidRDefault="00676026" w:rsidP="00AA6D52">
      <w:pPr>
        <w:spacing w:line="360" w:lineRule="auto"/>
        <w:ind w:firstLine="567"/>
        <w:jc w:val="both"/>
      </w:pPr>
      <w:r w:rsidRPr="00891173">
        <w:t>Kiekvienas investuotojas fondus renkasi pagal įvairiausius, pelningumą ir rizikingumą įvertinančius rodiklius. Išanalizavus daugybę mokslinių straipsnių ir medžiagos galima suklasifikuoti populiariausius investicinių fondų vertinimo rodiklius (Artikis 2003, Rimkevičiūtė, Žvirblis</w:t>
      </w:r>
      <w:r w:rsidR="006A5F08" w:rsidRPr="00891173">
        <w:t xml:space="preserve"> 2010</w:t>
      </w:r>
      <w:r w:rsidRPr="00891173">
        <w:t>, Snie</w:t>
      </w:r>
      <w:r w:rsidR="006A5F08" w:rsidRPr="00891173">
        <w:t>š</w:t>
      </w:r>
      <w:r w:rsidRPr="00891173">
        <w:t>ka, Pekarskienė</w:t>
      </w:r>
      <w:r w:rsidR="006A5F08" w:rsidRPr="00891173">
        <w:t xml:space="preserve"> 1999</w:t>
      </w:r>
      <w:r w:rsidRPr="00891173">
        <w:t>, Kancerevyčius</w:t>
      </w:r>
      <w:r w:rsidR="006A5F08" w:rsidRPr="00891173">
        <w:t xml:space="preserve"> 2006</w:t>
      </w:r>
      <w:r w:rsidRPr="00891173">
        <w:t>, Jasienė 2007, Kočiūnienė 2007</w:t>
      </w:r>
      <w:r w:rsidR="00A65E01" w:rsidRPr="00891173">
        <w:t>, Dzikevičius 2004</w:t>
      </w:r>
      <w:r w:rsidRPr="00891173">
        <w:t>).</w:t>
      </w:r>
    </w:p>
    <w:p w:rsidR="00676026" w:rsidRPr="00891173" w:rsidRDefault="00676026" w:rsidP="00AA6D52">
      <w:pPr>
        <w:spacing w:line="360" w:lineRule="auto"/>
        <w:ind w:firstLine="567"/>
        <w:jc w:val="both"/>
      </w:pPr>
      <w:r w:rsidRPr="00891173">
        <w:t>Iš pajamingumo rodiklių, investuotojai daugiausia dėmesio skiria  pelningumo, vidutinio pelningumo ir geometrinio pelningumo analizėms. Iš esmės, tai rodikliai, kurie parodo investicinio fondo grąžą per atitinkamą laikotarpį. Pajamingumo rodikliai įvertina fondo ar kitokio aktyvo rezultatus. Tokie rodikliai atskleidžia rezultatus, remiantis praeities fondo aktyvų svyravimais. Tačiau gauti duomenys neatspindi ateities, tiesiog parodo jų efektyvumo laipsnį. Vieni populiariausių rizikos rodiklių yra standartinis nuokrypis, Šarpo rodiklis ir Jenseno alpha. Rizikingumo rodikliai, investuotojui atskleidžia prisiimamą fondo riziką. Naudojant šias klasifikacijas kartu, galima daug sužinoti apie fondo veiklos efektyvumą. Prisiimama rizika privalo atsispindėti pelningumo rodikliuose ir atvirkščiai. Investavimo rizika gali būti apibrėžta ka</w:t>
      </w:r>
      <w:r w:rsidR="00CC6A56" w:rsidRPr="00891173">
        <w:t>i</w:t>
      </w:r>
      <w:r w:rsidRPr="00891173">
        <w:t>p vidutinis fondo grąžos svyravimas apie vidurkį. Priklausomai nuo rizikos šaltinių, su investavimu susijusi bendra rizika yra skaidoma į sisteminę ir nesisteminę. Sisteminė rizika – bet kuri rizika, kuri veikia didelę grupę vertybinių popierių, kiekvieną</w:t>
      </w:r>
      <w:r w:rsidR="00CC6A56" w:rsidRPr="00891173">
        <w:t xml:space="preserve"> </w:t>
      </w:r>
      <w:r w:rsidRPr="00891173">
        <w:t>jų veikd</w:t>
      </w:r>
      <w:r w:rsidR="00CC6A56" w:rsidRPr="00891173">
        <w:t>a</w:t>
      </w:r>
      <w:r w:rsidRPr="00891173">
        <w:t>ma didesniu ar mažesniu laipsniu. Sisteminės rizikos išvengti neįmanoma. Nesisteminė rizika – veikia individualų vertybinį popierių arba mažą jų grupę. Šią riziką galima sumažinti iki minimum</w:t>
      </w:r>
      <w:r w:rsidR="0082538A" w:rsidRPr="00891173">
        <w:t>o</w:t>
      </w:r>
      <w:r w:rsidR="00CC6A56" w:rsidRPr="00891173">
        <w:t>,</w:t>
      </w:r>
      <w:r w:rsidR="0082538A" w:rsidRPr="00891173">
        <w:t xml:space="preserve"> naudojantis diversifikavimu </w:t>
      </w:r>
      <w:r w:rsidRPr="00891173">
        <w:t>(</w:t>
      </w:r>
      <w:r w:rsidRPr="00891173">
        <w:rPr>
          <w:rFonts w:eastAsia="MinionPro-Regular"/>
        </w:rPr>
        <w:t xml:space="preserve">Gourieroux, Monfort, 2010). </w:t>
      </w:r>
      <w:r w:rsidRPr="00891173">
        <w:t>Žemiau pateikiamos šių svarbių rodiklių plastesnės analizės.</w:t>
      </w:r>
    </w:p>
    <w:p w:rsidR="00676026" w:rsidRPr="00891173" w:rsidRDefault="00676026" w:rsidP="008D103D">
      <w:pPr>
        <w:spacing w:line="360" w:lineRule="auto"/>
        <w:ind w:firstLine="567"/>
        <w:jc w:val="both"/>
      </w:pPr>
      <w:r w:rsidRPr="00891173">
        <w:rPr>
          <w:b/>
        </w:rPr>
        <w:t>GAV</w:t>
      </w:r>
      <w:r w:rsidR="00AE7183" w:rsidRPr="00891173">
        <w:rPr>
          <w:b/>
        </w:rPr>
        <w:t xml:space="preserve"> (grynųjų aktyvų vertės)</w:t>
      </w:r>
      <w:r w:rsidRPr="00891173">
        <w:rPr>
          <w:b/>
        </w:rPr>
        <w:t xml:space="preserve"> nustatymo metodika</w:t>
      </w:r>
      <w:r w:rsidRPr="00891173">
        <w:t xml:space="preserve">. Tai vienas svarbiausių aspektų nagrinėjant IF veiklą. Iš esmės, t.y. fondo akcijos vertė už kurią parduodami arba perkami fondo vienetai. </w:t>
      </w:r>
    </w:p>
    <w:p w:rsidR="008D103D" w:rsidRPr="00891173" w:rsidRDefault="008D103D" w:rsidP="008D103D">
      <w:pPr>
        <w:spacing w:line="360" w:lineRule="auto"/>
        <w:ind w:firstLine="567"/>
        <w:jc w:val="both"/>
      </w:pPr>
    </w:p>
    <w:p w:rsidR="00676026" w:rsidRPr="00891173" w:rsidRDefault="00676026" w:rsidP="008D103D">
      <w:pPr>
        <w:spacing w:line="360" w:lineRule="auto"/>
        <w:jc w:val="center"/>
      </w:pPr>
      <m:oMath>
        <m:r>
          <w:rPr>
            <w:rFonts w:ascii="Cambria Math" w:hAnsi="Cambria Math"/>
            <w:sz w:val="28"/>
            <w:szCs w:val="28"/>
          </w:rPr>
          <m:t>GAV=</m:t>
        </m:r>
        <m:f>
          <m:fPr>
            <m:ctrlPr>
              <w:rPr>
                <w:rFonts w:ascii="Cambria Math" w:hAnsi="Cambria Math"/>
                <w:i/>
                <w:sz w:val="28"/>
                <w:szCs w:val="28"/>
              </w:rPr>
            </m:ctrlPr>
          </m:fPr>
          <m:num>
            <m:r>
              <w:rPr>
                <w:rFonts w:ascii="Cambria Math" w:hAnsi="Cambria Math"/>
                <w:sz w:val="28"/>
                <w:szCs w:val="28"/>
              </w:rPr>
              <m:t>Fondo turtas-Fondo įsipareigojimai</m:t>
            </m:r>
          </m:num>
          <m:den>
            <m:r>
              <w:rPr>
                <w:rFonts w:ascii="Cambria Math" w:hAnsi="Cambria Math"/>
                <w:sz w:val="28"/>
                <w:szCs w:val="28"/>
              </w:rPr>
              <m:t>Išleistų akcijų kiekis</m:t>
            </m:r>
          </m:den>
        </m:f>
      </m:oMath>
      <w:r w:rsidR="008D103D" w:rsidRPr="00891173">
        <w:tab/>
        <w:t>(1)</w:t>
      </w:r>
    </w:p>
    <w:p w:rsidR="008D103D" w:rsidRPr="00891173" w:rsidRDefault="008D103D" w:rsidP="008D103D">
      <w:pPr>
        <w:spacing w:line="360" w:lineRule="auto"/>
        <w:jc w:val="center"/>
      </w:pPr>
    </w:p>
    <w:p w:rsidR="00676026" w:rsidRPr="00891173" w:rsidRDefault="00CC6A56" w:rsidP="00AA6D52">
      <w:pPr>
        <w:spacing w:line="360" w:lineRule="auto"/>
        <w:ind w:firstLine="567"/>
        <w:jc w:val="both"/>
      </w:pPr>
      <w:r w:rsidRPr="00891173">
        <w:t>Šį rodiklį</w:t>
      </w:r>
      <w:r w:rsidR="00676026" w:rsidRPr="00891173">
        <w:t xml:space="preserve"> kiekvienas investicinis fondas privalo skelbti kiekvieną prekybos dieną. IF turtas gali kisti kiekvieną dieną, priklausomai nuo finansų rinkos instrumentų svyravimų. Fondo turtą sudaro įsigyti vertybinių popierių aktyvai. Fondo įsipareigojimai </w:t>
      </w:r>
      <w:r w:rsidRPr="00891173">
        <w:t xml:space="preserve">- </w:t>
      </w:r>
      <w:r w:rsidR="00676026" w:rsidRPr="00891173">
        <w:t>tai gali būti atlygis valdymo įmonei, depozitoriumui, auditui ir kitos išlaidos. Apibendrinant šį rodiklį, galima teigt</w:t>
      </w:r>
      <w:r w:rsidR="00F21D54" w:rsidRPr="00891173">
        <w:t>i, kad jis parodo fondo veiklos</w:t>
      </w:r>
      <w:r w:rsidR="00676026" w:rsidRPr="00891173">
        <w:t xml:space="preserve"> vertę, kuri kinta bėgant laikui. Tai yra atskaitos taškas investuotojams, nuo kurio stebimas vertės didėjimas arba mažėjimas. Naudojantis šiuo rodikliu galima nustatyti kitus pelningumo rodiklius.    </w:t>
      </w:r>
    </w:p>
    <w:p w:rsidR="00676026" w:rsidRPr="00891173" w:rsidRDefault="00676026" w:rsidP="008D103D">
      <w:pPr>
        <w:spacing w:line="360" w:lineRule="auto"/>
        <w:ind w:firstLine="567"/>
        <w:jc w:val="both"/>
      </w:pPr>
      <w:r w:rsidRPr="00891173">
        <w:rPr>
          <w:b/>
        </w:rPr>
        <w:lastRenderedPageBreak/>
        <w:t>Pelningumo rodiklis</w:t>
      </w:r>
      <w:r w:rsidRPr="00891173">
        <w:rPr>
          <w:b/>
          <w:i/>
        </w:rPr>
        <w:t>.</w:t>
      </w:r>
      <w:r w:rsidRPr="00891173">
        <w:t xml:space="preserve"> Vienas iš labiausiai paplitusių rodiklių yra pelningumo rodiklis (R): </w:t>
      </w:r>
    </w:p>
    <w:p w:rsidR="008D103D" w:rsidRPr="00891173" w:rsidRDefault="008D103D" w:rsidP="008D103D">
      <w:pPr>
        <w:spacing w:line="360" w:lineRule="auto"/>
        <w:ind w:firstLine="567"/>
        <w:jc w:val="both"/>
      </w:pPr>
    </w:p>
    <w:p w:rsidR="00676026" w:rsidRPr="00891173" w:rsidRDefault="00676026" w:rsidP="008D103D">
      <w:pPr>
        <w:spacing w:line="360" w:lineRule="auto"/>
        <w:jc w:val="center"/>
      </w:pPr>
      <m:oMath>
        <m:r>
          <w:rPr>
            <w:rFonts w:ascii="Cambria Math" w:hAnsi="Cambria Math"/>
            <w:sz w:val="28"/>
            <w:szCs w:val="28"/>
          </w:rPr>
          <m:t>R</m:t>
        </m:r>
        <m:r>
          <w:rPr>
            <w:rFonts w:asci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GAV</m:t>
                </m:r>
              </m:e>
              <m:sub>
                <m:r>
                  <w:rPr>
                    <w:rFonts w:ascii="Cambria Math"/>
                    <w:sz w:val="28"/>
                    <w:szCs w:val="28"/>
                  </w:rPr>
                  <m:t>1</m:t>
                </m:r>
              </m:sub>
            </m:sSub>
            <m:r>
              <w:rPr>
                <w:rFonts w:ascii="Cambria Math"/>
                <w:sz w:val="28"/>
                <w:szCs w:val="28"/>
              </w:rPr>
              <m:t xml:space="preserve">+ </m:t>
            </m:r>
            <m:r>
              <w:rPr>
                <w:rFonts w:ascii="Cambria Math" w:hAnsi="Cambria Math"/>
                <w:sz w:val="28"/>
                <w:szCs w:val="28"/>
              </w:rPr>
              <m:t>D</m:t>
            </m:r>
            <m:r>
              <w:rPr>
                <w:sz w:val="28"/>
                <w:szCs w:val="28"/>
              </w:rPr>
              <m:t>-</m:t>
            </m:r>
            <m:r>
              <w:rPr>
                <w:rFonts w:ascii="Cambria Math" w:hAnsi="Cambria Math"/>
                <w:sz w:val="28"/>
                <w:szCs w:val="28"/>
              </w:rPr>
              <m:t>G</m:t>
            </m:r>
          </m:num>
          <m:den>
            <m:sSub>
              <m:sSubPr>
                <m:ctrlPr>
                  <w:rPr>
                    <w:rFonts w:ascii="Cambria Math" w:hAnsi="Cambria Math"/>
                    <w:i/>
                    <w:sz w:val="28"/>
                    <w:szCs w:val="28"/>
                  </w:rPr>
                </m:ctrlPr>
              </m:sSubPr>
              <m:e>
                <m:r>
                  <w:rPr>
                    <w:rFonts w:ascii="Cambria Math" w:hAnsi="Cambria Math"/>
                    <w:sz w:val="28"/>
                    <w:szCs w:val="28"/>
                  </w:rPr>
                  <m:t>GAV</m:t>
                </m:r>
              </m:e>
              <m:sub>
                <m:r>
                  <w:rPr>
                    <w:rFonts w:ascii="Cambria Math"/>
                    <w:sz w:val="28"/>
                    <w:szCs w:val="28"/>
                  </w:rPr>
                  <m:t>0</m:t>
                </m:r>
              </m:sub>
            </m:sSub>
          </m:den>
        </m:f>
        <m:r>
          <w:rPr>
            <w:sz w:val="28"/>
            <w:szCs w:val="28"/>
          </w:rPr>
          <m:t>-</m:t>
        </m:r>
        <m:r>
          <w:rPr>
            <w:rFonts w:ascii="Cambria Math"/>
            <w:sz w:val="28"/>
            <w:szCs w:val="28"/>
          </w:rPr>
          <m:t>1</m:t>
        </m:r>
      </m:oMath>
      <w:r w:rsidR="008D103D" w:rsidRPr="00891173">
        <w:tab/>
        <w:t>(2)</w:t>
      </w:r>
    </w:p>
    <w:p w:rsidR="008D103D" w:rsidRPr="00891173" w:rsidRDefault="008D103D" w:rsidP="008D103D">
      <w:pPr>
        <w:spacing w:line="360" w:lineRule="auto"/>
        <w:jc w:val="center"/>
      </w:pPr>
    </w:p>
    <w:p w:rsidR="00676026" w:rsidRPr="00891173" w:rsidRDefault="008D103D" w:rsidP="00AA6D52">
      <w:pPr>
        <w:spacing w:line="360" w:lineRule="auto"/>
        <w:ind w:firstLine="567"/>
        <w:jc w:val="both"/>
      </w:pPr>
      <w:r w:rsidRPr="00891173">
        <w:t xml:space="preserve">Kur: </w:t>
      </w:r>
      <w:r w:rsidR="00676026" w:rsidRPr="00891173">
        <w:t>R – tam tikro laikotarpio pelningumas (dažniausiai metinis);</w:t>
      </w:r>
    </w:p>
    <w:p w:rsidR="00676026" w:rsidRPr="00891173" w:rsidRDefault="00676026" w:rsidP="00AA6D52">
      <w:pPr>
        <w:spacing w:line="360" w:lineRule="auto"/>
        <w:ind w:firstLine="567"/>
        <w:jc w:val="both"/>
      </w:pPr>
      <w:r w:rsidRPr="00891173">
        <w:t xml:space="preserve"> </w:t>
      </w:r>
      <w:r w:rsidR="00031823">
        <w:t>GAV</w:t>
      </w:r>
      <w:r w:rsidRPr="00891173">
        <w:rPr>
          <w:vertAlign w:val="subscript"/>
        </w:rPr>
        <w:t>1</w:t>
      </w:r>
      <w:r w:rsidRPr="00891173">
        <w:t xml:space="preserve"> – vienai akcijai tenkanti grynojo turto vertė metų pabaigoje;</w:t>
      </w:r>
    </w:p>
    <w:p w:rsidR="00676026" w:rsidRPr="00891173" w:rsidRDefault="00031823" w:rsidP="00AA6D52">
      <w:pPr>
        <w:spacing w:line="360" w:lineRule="auto"/>
        <w:ind w:firstLine="567"/>
        <w:jc w:val="both"/>
      </w:pPr>
      <w:r>
        <w:t>GAV</w:t>
      </w:r>
      <w:r w:rsidR="00676026" w:rsidRPr="00891173">
        <w:rPr>
          <w:vertAlign w:val="subscript"/>
        </w:rPr>
        <w:t>0</w:t>
      </w:r>
      <w:r w:rsidR="00676026" w:rsidRPr="00891173">
        <w:t xml:space="preserve"> – vienai akcijai tenkanti grynojo turto vertė metų pradžioje;</w:t>
      </w:r>
    </w:p>
    <w:p w:rsidR="00676026" w:rsidRPr="00891173" w:rsidRDefault="00676026" w:rsidP="00AA6D52">
      <w:pPr>
        <w:spacing w:line="360" w:lineRule="auto"/>
        <w:ind w:firstLine="567"/>
        <w:jc w:val="both"/>
      </w:pPr>
      <w:r w:rsidRPr="00891173">
        <w:t>D – dividendai per naginėjamą laikotarpį;</w:t>
      </w:r>
    </w:p>
    <w:p w:rsidR="00676026" w:rsidRPr="00891173" w:rsidRDefault="00676026" w:rsidP="00AA6D52">
      <w:pPr>
        <w:spacing w:line="360" w:lineRule="auto"/>
        <w:ind w:firstLine="567"/>
        <w:jc w:val="both"/>
      </w:pPr>
      <w:r w:rsidRPr="00891173">
        <w:t xml:space="preserve">G – kapitalo prieaugis per laikotarpį.  </w:t>
      </w:r>
    </w:p>
    <w:p w:rsidR="00676026" w:rsidRPr="00891173" w:rsidRDefault="00676026" w:rsidP="00AA6D52">
      <w:pPr>
        <w:spacing w:line="360" w:lineRule="auto"/>
        <w:ind w:firstLine="567"/>
        <w:jc w:val="both"/>
      </w:pPr>
      <w:r w:rsidRPr="00891173">
        <w:t xml:space="preserve">Fondo pelningumas – tai procentais išreikštas fondo apskaitos vieneto vertės pokytis per pasirinktą laikotarpį. Dauguma fondų skelbia ataskaitinių laikotarpių fondo </w:t>
      </w:r>
      <w:r w:rsidR="00F21D54" w:rsidRPr="00891173">
        <w:t>vieneto vertės pokyčius. Žinoma, kad</w:t>
      </w:r>
      <w:r w:rsidRPr="00891173">
        <w:t xml:space="preserve"> fondo pelningumo skaičiavimas trum</w:t>
      </w:r>
      <w:r w:rsidR="0082538A" w:rsidRPr="00891173">
        <w:t>puoju periodu (savaitė, mėnesis...</w:t>
      </w:r>
      <w:r w:rsidRPr="00891173">
        <w:t>) yra labiau atsitiktinis nei objektyvus, nes fon</w:t>
      </w:r>
      <w:r w:rsidR="00F21D54" w:rsidRPr="00891173">
        <w:t>do vertė pastoviai kinta. Todėl</w:t>
      </w:r>
      <w:r w:rsidRPr="00891173">
        <w:t xml:space="preserve"> toks pelningumo rodiklis le</w:t>
      </w:r>
      <w:r w:rsidR="00F21D54" w:rsidRPr="00891173">
        <w:t>i</w:t>
      </w:r>
      <w:r w:rsidRPr="00891173">
        <w:t xml:space="preserve">džia įvertinti fondo valdytojų veiklos rezultatus nuo aktyvų įsigijimo momento. </w:t>
      </w:r>
    </w:p>
    <w:p w:rsidR="00676026" w:rsidRPr="00891173" w:rsidRDefault="00676026" w:rsidP="00AA6D52">
      <w:pPr>
        <w:spacing w:line="360" w:lineRule="auto"/>
        <w:ind w:firstLine="567"/>
        <w:jc w:val="both"/>
      </w:pPr>
      <w:r w:rsidRPr="00891173">
        <w:rPr>
          <w:b/>
        </w:rPr>
        <w:t>Vidutinis fondo pelningumas</w:t>
      </w:r>
      <w:r w:rsidRPr="00891173">
        <w:t>. Šis rodiklis paprastai skaičiuojamas pagal atskirų laikotarpų pelningumą:</w:t>
      </w:r>
    </w:p>
    <w:p w:rsidR="00676026" w:rsidRPr="00891173" w:rsidRDefault="00676026" w:rsidP="00AA6D52">
      <w:pPr>
        <w:spacing w:line="360" w:lineRule="auto"/>
        <w:ind w:firstLine="567"/>
        <w:jc w:val="both"/>
      </w:pPr>
    </w:p>
    <w:p w:rsidR="00676026" w:rsidRPr="00891173" w:rsidRDefault="00676026" w:rsidP="008D103D">
      <w:pPr>
        <w:spacing w:line="360" w:lineRule="auto"/>
        <w:jc w:val="center"/>
        <w:rPr>
          <w:rFonts w:eastAsiaTheme="minorEastAsia"/>
        </w:rPr>
      </w:pPr>
      <m:oMath>
        <m:r>
          <w:rPr>
            <w:rFonts w:ascii="Cambria Math" w:hAnsi="Cambria Math"/>
            <w:sz w:val="28"/>
            <w:szCs w:val="28"/>
          </w:rPr>
          <m:t xml:space="preserve">μ= </m:t>
        </m:r>
        <m:f>
          <m:fPr>
            <m:ctrlPr>
              <w:rPr>
                <w:rFonts w:ascii="Cambria Math" w:hAnsi="Cambria Math"/>
                <w:i/>
                <w:sz w:val="28"/>
                <w:szCs w:val="28"/>
              </w:rPr>
            </m:ctrlPr>
          </m:fPr>
          <m:num>
            <m:nary>
              <m:naryPr>
                <m:chr m:val="∑"/>
                <m:limLoc m:val="undOvr"/>
                <m:ctrlPr>
                  <w:rPr>
                    <w:rFonts w:ascii="Cambria Math" w:hAnsi="Cambria Math"/>
                    <w:i/>
                    <w:sz w:val="28"/>
                    <w:szCs w:val="28"/>
                  </w:rPr>
                </m:ctrlPr>
              </m:naryPr>
              <m:sub>
                <m:r>
                  <w:rPr>
                    <w:rFonts w:ascii="Cambria Math" w:hAnsi="Cambria Math"/>
                    <w:sz w:val="28"/>
                    <w:szCs w:val="28"/>
                  </w:rPr>
                  <m:t>t=1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t</m:t>
                    </m:r>
                  </m:sub>
                </m:sSub>
              </m:e>
            </m:nary>
          </m:num>
          <m:den>
            <m:r>
              <w:rPr>
                <w:rFonts w:ascii="Cambria Math" w:hAnsi="Cambria Math"/>
                <w:sz w:val="28"/>
                <w:szCs w:val="28"/>
              </w:rPr>
              <m:t>n</m:t>
            </m:r>
          </m:den>
        </m:f>
        <m:r>
          <w:rPr>
            <w:rFonts w:ascii="Cambria Math" w:hAnsi="Cambria Math"/>
            <w:sz w:val="28"/>
            <w:szCs w:val="28"/>
          </w:rPr>
          <m:t xml:space="preserve"> </m:t>
        </m:r>
      </m:oMath>
      <w:r w:rsidR="008D103D" w:rsidRPr="00891173">
        <w:rPr>
          <w:rFonts w:eastAsiaTheme="minorEastAsia"/>
        </w:rPr>
        <w:tab/>
        <w:t>(3)</w:t>
      </w:r>
    </w:p>
    <w:p w:rsidR="004B6FD9" w:rsidRPr="00891173" w:rsidRDefault="004B6FD9" w:rsidP="00AA6D52">
      <w:pPr>
        <w:spacing w:line="360" w:lineRule="auto"/>
        <w:jc w:val="both"/>
        <w:rPr>
          <w:rFonts w:eastAsiaTheme="minorEastAsia"/>
        </w:rPr>
      </w:pPr>
    </w:p>
    <w:p w:rsidR="00A46CC3" w:rsidRPr="00891173" w:rsidRDefault="00676026" w:rsidP="00AA6D52">
      <w:pPr>
        <w:spacing w:line="360" w:lineRule="auto"/>
        <w:ind w:firstLine="567"/>
        <w:jc w:val="both"/>
        <w:rPr>
          <w:rFonts w:eastAsiaTheme="minorEastAsia"/>
        </w:rPr>
      </w:pPr>
      <w:r w:rsidRPr="00891173">
        <w:rPr>
          <w:rFonts w:eastAsiaTheme="minorEastAsia"/>
        </w:rPr>
        <w:t>Kai</w:t>
      </w:r>
      <w:r w:rsidR="00A46CC3" w:rsidRPr="00891173">
        <w:rPr>
          <w:rFonts w:eastAsiaTheme="minorEastAsia"/>
        </w:rPr>
        <w:t>:</w:t>
      </w:r>
      <w:r w:rsidRPr="00891173">
        <w:rPr>
          <w:rFonts w:eastAsiaTheme="minorEastAsia"/>
        </w:rPr>
        <w:t xml:space="preserve"> R</w:t>
      </w:r>
      <w:r w:rsidRPr="00891173">
        <w:rPr>
          <w:rFonts w:eastAsiaTheme="minorEastAsia"/>
          <w:vertAlign w:val="subscript"/>
        </w:rPr>
        <w:t xml:space="preserve">t </w:t>
      </w:r>
      <w:r w:rsidRPr="00891173">
        <w:rPr>
          <w:rFonts w:eastAsiaTheme="minorEastAsia"/>
        </w:rPr>
        <w:t xml:space="preserve">– metinis pelningumas; </w:t>
      </w:r>
    </w:p>
    <w:p w:rsidR="00676026" w:rsidRPr="00891173" w:rsidRDefault="00676026" w:rsidP="00AA6D52">
      <w:pPr>
        <w:spacing w:line="360" w:lineRule="auto"/>
        <w:ind w:firstLine="567"/>
        <w:jc w:val="both"/>
        <w:rPr>
          <w:rFonts w:eastAsiaTheme="minorEastAsia"/>
        </w:rPr>
      </w:pPr>
      <w:r w:rsidRPr="00891173">
        <w:rPr>
          <w:rFonts w:eastAsiaTheme="minorEastAsia"/>
        </w:rPr>
        <w:t xml:space="preserve">n – laikotarpių skaičius. </w:t>
      </w:r>
    </w:p>
    <w:p w:rsidR="00676026" w:rsidRPr="00891173" w:rsidRDefault="00676026" w:rsidP="00AA6D52">
      <w:pPr>
        <w:spacing w:line="360" w:lineRule="auto"/>
        <w:ind w:firstLine="567"/>
        <w:jc w:val="both"/>
        <w:rPr>
          <w:rFonts w:eastAsiaTheme="minorEastAsia"/>
        </w:rPr>
      </w:pPr>
      <w:r w:rsidRPr="00891173">
        <w:rPr>
          <w:rFonts w:eastAsiaTheme="minorEastAsia"/>
        </w:rPr>
        <w:t xml:space="preserve">Naudojant šį rodiklį galima patikrinti fondo veiklos efektyvumą tam tikrais laikotarpiais: recesijos arba ekonomikos pakilimo laikotarpiais. Tai gali pasakyti, kaip fondas reaguoja į pasikeitusias ekonomines sąlygas. </w:t>
      </w:r>
    </w:p>
    <w:p w:rsidR="00676026" w:rsidRPr="00891173" w:rsidRDefault="00676026" w:rsidP="00AA6D52">
      <w:pPr>
        <w:spacing w:line="360" w:lineRule="auto"/>
        <w:ind w:firstLine="567"/>
        <w:jc w:val="both"/>
        <w:rPr>
          <w:rFonts w:eastAsiaTheme="minorEastAsia"/>
        </w:rPr>
      </w:pPr>
      <w:r w:rsidRPr="00891173">
        <w:rPr>
          <w:rFonts w:eastAsiaTheme="minorEastAsia"/>
        </w:rPr>
        <w:t>Šie pelningumo rodikliai neparodo ar IF veikla yra efektyvi ir ar gaunamas optimaliausias rezultatas. Svarbu gautus duomenis palyginti su fondo lyginamuoju indeksu. Lietuvos Respublikos įstatymas, reglamentuojantis KIS veiklą, 33 straipsnyje nurodo, jog investic</w:t>
      </w:r>
      <w:r w:rsidR="00A46CC3" w:rsidRPr="00891173">
        <w:rPr>
          <w:rFonts w:eastAsiaTheme="minorEastAsia"/>
        </w:rPr>
        <w:t>i</w:t>
      </w:r>
      <w:r w:rsidRPr="00891173">
        <w:rPr>
          <w:rFonts w:eastAsiaTheme="minorEastAsia"/>
        </w:rPr>
        <w:t xml:space="preserve">niams subjektams privaloma nurodyti lyginamąjį </w:t>
      </w:r>
      <w:r w:rsidR="00F8383A" w:rsidRPr="00891173">
        <w:rPr>
          <w:rFonts w:eastAsiaTheme="minorEastAsia"/>
        </w:rPr>
        <w:t xml:space="preserve">indeksą </w:t>
      </w:r>
      <w:r w:rsidRPr="00891173">
        <w:t xml:space="preserve">(2007).  </w:t>
      </w:r>
      <w:r w:rsidRPr="00891173">
        <w:rPr>
          <w:sz w:val="23"/>
          <w:szCs w:val="23"/>
        </w:rPr>
        <w:t xml:space="preserve">Palyginus pelningumo rodiklius su lyginamuoju indeksu, galima pastebėti ar IF dirbo geriau nei indeksas ar prasčiau. Šie pelningumo rodikliai atskleisdžia objektyvią fondo valdytojo kompetenciją ir darbo rezultatus. </w:t>
      </w:r>
    </w:p>
    <w:p w:rsidR="00676026" w:rsidRPr="00891173" w:rsidRDefault="00676026" w:rsidP="00AA6D52">
      <w:pPr>
        <w:spacing w:line="360" w:lineRule="auto"/>
        <w:ind w:firstLine="567"/>
        <w:jc w:val="both"/>
        <w:rPr>
          <w:rFonts w:eastAsiaTheme="minorEastAsia"/>
        </w:rPr>
      </w:pPr>
      <w:r w:rsidRPr="00891173">
        <w:rPr>
          <w:rFonts w:eastAsiaTheme="minorEastAsia"/>
        </w:rPr>
        <w:t>Rizikingumo rodikliai nusako investicnio fondo grynųjų aktyvų vertės (GAV) svyravimus. Kiekvienas investuotojas privalo įvertinti koks rizikos laipsnis jam asmeniškai y</w:t>
      </w:r>
      <w:r w:rsidR="00A46CC3" w:rsidRPr="00891173">
        <w:rPr>
          <w:rFonts w:eastAsiaTheme="minorEastAsia"/>
        </w:rPr>
        <w:t>ra priimtinas. Žemiau pateikiama</w:t>
      </w:r>
      <w:r w:rsidRPr="00891173">
        <w:rPr>
          <w:rFonts w:eastAsiaTheme="minorEastAsia"/>
        </w:rPr>
        <w:t xml:space="preserve"> keletas rizikos vertinimo metodų. </w:t>
      </w:r>
    </w:p>
    <w:p w:rsidR="00676026" w:rsidRPr="00891173" w:rsidRDefault="00676026" w:rsidP="004B6FD9">
      <w:pPr>
        <w:spacing w:line="360" w:lineRule="auto"/>
        <w:ind w:firstLine="567"/>
        <w:jc w:val="both"/>
        <w:rPr>
          <w:rFonts w:eastAsiaTheme="minorEastAsia"/>
        </w:rPr>
      </w:pPr>
      <w:r w:rsidRPr="00891173">
        <w:rPr>
          <w:rFonts w:eastAsiaTheme="minorEastAsia"/>
          <w:b/>
        </w:rPr>
        <w:lastRenderedPageBreak/>
        <w:t>Standartinis investic</w:t>
      </w:r>
      <w:r w:rsidR="00A46CC3" w:rsidRPr="00891173">
        <w:rPr>
          <w:rFonts w:eastAsiaTheme="minorEastAsia"/>
          <w:b/>
        </w:rPr>
        <w:t>i</w:t>
      </w:r>
      <w:r w:rsidRPr="00891173">
        <w:rPr>
          <w:rFonts w:eastAsiaTheme="minorEastAsia"/>
          <w:b/>
        </w:rPr>
        <w:t>nio fondo nuokrypis</w:t>
      </w:r>
      <w:r w:rsidRPr="00891173">
        <w:rPr>
          <w:rFonts w:eastAsiaTheme="minorEastAsia"/>
        </w:rPr>
        <w:t xml:space="preserve">. Šis rodiklis naudojamas fondo rizikos tolerancijai nustatyti: </w:t>
      </w:r>
    </w:p>
    <w:p w:rsidR="004B6FD9" w:rsidRPr="00891173" w:rsidRDefault="004B6FD9" w:rsidP="00AA6D52">
      <w:pPr>
        <w:spacing w:after="120" w:line="360" w:lineRule="auto"/>
        <w:ind w:firstLine="567"/>
        <w:jc w:val="both"/>
        <w:rPr>
          <w:rFonts w:eastAsiaTheme="minorEastAsia"/>
        </w:rPr>
      </w:pPr>
    </w:p>
    <w:p w:rsidR="00676026" w:rsidRPr="00891173" w:rsidRDefault="00D13548" w:rsidP="008D103D">
      <w:pPr>
        <w:spacing w:line="360" w:lineRule="auto"/>
        <w:ind w:firstLine="567"/>
        <w:jc w:val="center"/>
        <w:rPr>
          <w:rFonts w:eastAsiaTheme="minorEastAsia"/>
        </w:rPr>
      </w:pPr>
      <m:oMath>
        <m:sSub>
          <m:sSubPr>
            <m:ctrlPr>
              <w:rPr>
                <w:rFonts w:ascii="Cambria Math" w:hAnsi="Cambria Math" w:cs="Symbol"/>
                <w:sz w:val="28"/>
                <w:szCs w:val="28"/>
              </w:rPr>
            </m:ctrlPr>
          </m:sSubPr>
          <m:e>
            <m:r>
              <m:rPr>
                <m:sty m:val="p"/>
              </m:rPr>
              <w:rPr>
                <w:rFonts w:ascii="Cambria Math" w:hAnsi="Cambria Math" w:cs="Symbol"/>
                <w:sz w:val="28"/>
                <w:szCs w:val="28"/>
              </w:rPr>
              <m:t>σ</m:t>
            </m:r>
          </m:e>
          <m:sub>
            <m:r>
              <m:rPr>
                <m:sty m:val="p"/>
              </m:rPr>
              <w:rPr>
                <w:rFonts w:ascii="Cambria Math" w:hAnsi="Cambria Math" w:cs="Symbol"/>
                <w:sz w:val="28"/>
                <w:szCs w:val="28"/>
              </w:rPr>
              <m:t>p</m:t>
            </m:r>
          </m:sub>
        </m:sSub>
        <m:r>
          <w:rPr>
            <w:rFonts w:ascii="Cambria Math" w:hAnsi="Cambria Math"/>
            <w:sz w:val="28"/>
            <w:szCs w:val="28"/>
          </w:rPr>
          <m:t>=</m:t>
        </m:r>
        <m:rad>
          <m:radPr>
            <m:degHide m:val="on"/>
            <m:ctrlPr>
              <w:rPr>
                <w:rFonts w:ascii="Cambria Math" w:hAnsi="Cambria Math"/>
                <w:i/>
                <w:sz w:val="28"/>
                <w:szCs w:val="28"/>
              </w:rPr>
            </m:ctrlPr>
          </m:radPr>
          <m:deg/>
          <m:e>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p</m:t>
                </m:r>
              </m:sub>
              <m:sup>
                <m:r>
                  <w:rPr>
                    <w:rFonts w:ascii="Cambria Math" w:hAnsi="Cambria Math"/>
                    <w:sz w:val="28"/>
                    <w:szCs w:val="28"/>
                  </w:rPr>
                  <m:t>2</m:t>
                </m:r>
              </m:sup>
            </m:sSubSup>
            <m:ctrlPr>
              <w:rPr>
                <w:rFonts w:ascii="Cambria Math" w:hAnsi="Cambria Math" w:cs="Symbol"/>
                <w:i/>
                <w:sz w:val="28"/>
                <w:szCs w:val="28"/>
              </w:rPr>
            </m:ctrlPr>
          </m:e>
        </m:rad>
        <m:r>
          <w:rPr>
            <w:rFonts w:ascii="Cambria Math" w:hAnsi="Cambria Math"/>
            <w:sz w:val="28"/>
            <w:szCs w:val="28"/>
          </w:rPr>
          <m:t>=</m:t>
        </m:r>
        <m:rad>
          <m:radPr>
            <m:degHide m:val="on"/>
            <m:ctrlPr>
              <w:rPr>
                <w:rFonts w:ascii="Cambria Math" w:hAnsi="Cambria Math"/>
                <w:i/>
                <w:sz w:val="28"/>
                <w:szCs w:val="28"/>
              </w:rPr>
            </m:ctrlPr>
          </m:radPr>
          <m:deg/>
          <m:e>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w</m:t>
                    </m:r>
                  </m:e>
                  <m:sub>
                    <m:r>
                      <w:rPr>
                        <w:rFonts w:ascii="Cambria Math" w:hAnsi="Cambria Math"/>
                        <w:sz w:val="28"/>
                        <w:szCs w:val="28"/>
                      </w:rPr>
                      <m:t>t</m:t>
                    </m:r>
                  </m:sub>
                  <m:sup>
                    <m:r>
                      <w:rPr>
                        <w:rFonts w:ascii="Cambria Math" w:hAnsi="Cambria Math"/>
                        <w:sz w:val="28"/>
                        <w:szCs w:val="28"/>
                      </w:rPr>
                      <m:t>2</m:t>
                    </m:r>
                  </m:sup>
                </m:sSubSup>
              </m:e>
            </m:nary>
            <m:sSubSup>
              <m:sSubSupPr>
                <m:ctrlPr>
                  <w:rPr>
                    <w:rFonts w:ascii="Cambria Math" w:hAnsi="Cambria Math"/>
                    <w:i/>
                    <w:sz w:val="28"/>
                    <w:szCs w:val="28"/>
                  </w:rPr>
                </m:ctrlPr>
              </m:sSubSupPr>
              <m:e>
                <m:r>
                  <w:rPr>
                    <w:rFonts w:ascii="Cambria Math" w:hAnsi="Cambria Math"/>
                    <w:sz w:val="28"/>
                    <w:szCs w:val="28"/>
                  </w:rPr>
                  <m:t>σ</m:t>
                </m:r>
              </m:e>
              <m:sub>
                <m:r>
                  <w:rPr>
                    <w:rFonts w:ascii="Cambria Math" w:hAnsi="Cambria Math"/>
                    <w:sz w:val="28"/>
                    <w:szCs w:val="28"/>
                  </w:rPr>
                  <m:t>t</m:t>
                </m:r>
              </m:sub>
              <m:sup>
                <m:r>
                  <w:rPr>
                    <w:rFonts w:ascii="Cambria Math" w:hAnsi="Cambria Math"/>
                    <w:sz w:val="28"/>
                    <w:szCs w:val="28"/>
                  </w:rPr>
                  <m:t>2</m:t>
                </m:r>
              </m:sup>
            </m:sSubSup>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ctrlPr>
                  <w:rPr>
                    <w:rFonts w:ascii="Cambria Math" w:hAnsi="Cambria Math"/>
                    <w:sz w:val="28"/>
                    <w:szCs w:val="28"/>
                  </w:rPr>
                </m:ctrlPr>
              </m:sub>
              <m:sup>
                <m:r>
                  <m:rPr>
                    <m:sty m:val="p"/>
                  </m:rPr>
                  <w:rPr>
                    <w:rFonts w:ascii="Cambria Math" w:hAnsi="Cambria Math"/>
                    <w:sz w:val="28"/>
                    <w:szCs w:val="28"/>
                  </w:rPr>
                  <m:t>n</m:t>
                </m:r>
                <m:ctrlPr>
                  <w:rPr>
                    <w:rFonts w:ascii="Cambria Math" w:hAnsi="Cambria Math"/>
                    <w:sz w:val="28"/>
                    <w:szCs w:val="28"/>
                  </w:rPr>
                </m:ctrlPr>
              </m:sup>
              <m:e>
                <m:nary>
                  <m:naryPr>
                    <m:chr m:val="∑"/>
                    <m:limLoc m:val="undOvr"/>
                    <m:ctrlPr>
                      <w:rPr>
                        <w:rFonts w:ascii="Cambria Math" w:hAnsi="Cambria Math"/>
                        <w:sz w:val="28"/>
                        <w:szCs w:val="28"/>
                      </w:rPr>
                    </m:ctrlPr>
                  </m:naryPr>
                  <m:sub>
                    <m:r>
                      <m:rPr>
                        <m:sty m:val="p"/>
                      </m:rPr>
                      <w:rPr>
                        <w:rFonts w:ascii="Cambria Math" w:hAnsi="Cambria Math"/>
                        <w:sz w:val="28"/>
                        <w:szCs w:val="28"/>
                      </w:rPr>
                      <m:t>f=1</m:t>
                    </m:r>
                  </m:sub>
                  <m:sup>
                    <m:r>
                      <m:rPr>
                        <m:sty m:val="p"/>
                      </m:rPr>
                      <w:rPr>
                        <w:rFonts w:ascii="Cambria Math" w:hAnsi="Cambria Math"/>
                        <w:sz w:val="28"/>
                        <w:szCs w:val="28"/>
                      </w:rPr>
                      <m:t>n</m:t>
                    </m:r>
                  </m:sup>
                  <m:e>
                    <m:sSub>
                      <m:sSubPr>
                        <m:ctrlPr>
                          <w:rPr>
                            <w:rFonts w:ascii="Cambria Math" w:hAnsi="Cambria Math"/>
                            <w:sz w:val="28"/>
                            <w:szCs w:val="28"/>
                          </w:rPr>
                        </m:ctrlPr>
                      </m:sSubPr>
                      <m:e>
                        <m:r>
                          <m:rPr>
                            <m:sty m:val="p"/>
                          </m:rPr>
                          <w:rPr>
                            <w:rFonts w:ascii="Cambria Math" w:hAnsi="Cambria Math"/>
                            <w:sz w:val="28"/>
                            <w:szCs w:val="28"/>
                          </w:rPr>
                          <m:t>w</m:t>
                        </m:r>
                      </m:e>
                      <m:sub>
                        <m:r>
                          <m:rPr>
                            <m:sty m:val="p"/>
                          </m:rPr>
                          <w:rPr>
                            <w:rFonts w:ascii="Cambria Math" w:hAnsi="Cambria Math"/>
                            <w:sz w:val="28"/>
                            <w:szCs w:val="28"/>
                          </w:rPr>
                          <m:t>t</m:t>
                        </m:r>
                      </m:sub>
                    </m:sSub>
                    <m:sSub>
                      <m:sSubPr>
                        <m:ctrlPr>
                          <w:rPr>
                            <w:rFonts w:ascii="Cambria Math" w:hAnsi="Cambria Math"/>
                            <w:sz w:val="28"/>
                            <w:szCs w:val="28"/>
                          </w:rPr>
                        </m:ctrlPr>
                      </m:sSubPr>
                      <m:e>
                        <m:r>
                          <m:rPr>
                            <m:sty m:val="p"/>
                          </m:rPr>
                          <w:rPr>
                            <w:rFonts w:ascii="Cambria Math" w:hAnsi="Cambria Math"/>
                            <w:sz w:val="28"/>
                            <w:szCs w:val="28"/>
                          </w:rPr>
                          <m:t>w</m:t>
                        </m:r>
                      </m:e>
                      <m:sub>
                        <m:r>
                          <m:rPr>
                            <m:sty m:val="p"/>
                          </m:rPr>
                          <w:rPr>
                            <w:rFonts w:ascii="Cambria Math" w:hAnsi="Cambria Math"/>
                            <w:sz w:val="28"/>
                            <w:szCs w:val="28"/>
                          </w:rPr>
                          <m:t>f</m:t>
                        </m:r>
                      </m:sub>
                    </m:sSub>
                    <m:sSub>
                      <m:sSubPr>
                        <m:ctrlPr>
                          <w:rPr>
                            <w:rFonts w:ascii="Cambria Math" w:hAnsi="Cambria Math"/>
                            <w:sz w:val="28"/>
                            <w:szCs w:val="28"/>
                          </w:rPr>
                        </m:ctrlPr>
                      </m:sSubPr>
                      <m:e>
                        <m:r>
                          <m:rPr>
                            <m:sty m:val="p"/>
                          </m:rPr>
                          <w:rPr>
                            <w:rFonts w:ascii="Cambria Math" w:hAnsi="Cambria Math"/>
                            <w:sz w:val="28"/>
                            <w:szCs w:val="28"/>
                          </w:rPr>
                          <m:t>COV</m:t>
                        </m:r>
                      </m:e>
                      <m:sub>
                        <m:r>
                          <m:rPr>
                            <m:sty m:val="p"/>
                          </m:rPr>
                          <w:rPr>
                            <w:rFonts w:ascii="Cambria Math" w:hAnsi="Cambria Math"/>
                            <w:sz w:val="28"/>
                            <w:szCs w:val="28"/>
                          </w:rPr>
                          <m:t>if</m:t>
                        </m:r>
                      </m:sub>
                    </m:sSub>
                  </m:e>
                </m:nary>
                <m:ctrlPr>
                  <w:rPr>
                    <w:rFonts w:ascii="Cambria Math" w:hAnsi="Cambria Math"/>
                    <w:sz w:val="28"/>
                    <w:szCs w:val="28"/>
                  </w:rPr>
                </m:ctrlPr>
              </m:e>
            </m:nary>
          </m:e>
        </m:rad>
      </m:oMath>
      <w:r w:rsidR="008D103D" w:rsidRPr="00891173">
        <w:rPr>
          <w:rFonts w:eastAsiaTheme="minorEastAsia"/>
        </w:rPr>
        <w:t xml:space="preserve"> </w:t>
      </w:r>
      <w:r w:rsidR="008D103D" w:rsidRPr="00891173">
        <w:rPr>
          <w:rFonts w:eastAsiaTheme="minorEastAsia"/>
        </w:rPr>
        <w:tab/>
      </w:r>
      <w:r w:rsidR="004224D4" w:rsidRPr="00891173">
        <w:rPr>
          <w:rFonts w:eastAsiaTheme="minorEastAsia"/>
        </w:rPr>
        <w:tab/>
      </w:r>
      <w:r w:rsidR="008D103D" w:rsidRPr="00891173">
        <w:rPr>
          <w:rFonts w:eastAsiaTheme="minorEastAsia"/>
        </w:rPr>
        <w:t>(4)</w:t>
      </w:r>
    </w:p>
    <w:p w:rsidR="004B6FD9" w:rsidRPr="00891173" w:rsidRDefault="004B6FD9" w:rsidP="004B6FD9">
      <w:pPr>
        <w:spacing w:line="360" w:lineRule="auto"/>
        <w:ind w:firstLine="567"/>
        <w:jc w:val="both"/>
        <w:rPr>
          <w:rFonts w:eastAsiaTheme="minorEastAsia"/>
        </w:rPr>
      </w:pPr>
    </w:p>
    <w:p w:rsidR="004B6FD9" w:rsidRPr="00891173" w:rsidRDefault="004B6FD9" w:rsidP="004B6FD9">
      <w:pPr>
        <w:spacing w:line="360" w:lineRule="auto"/>
        <w:ind w:firstLine="567"/>
        <w:jc w:val="both"/>
        <w:rPr>
          <w:rFonts w:eastAsiaTheme="minorEastAsia"/>
        </w:rPr>
      </w:pPr>
      <w:r w:rsidRPr="00891173">
        <w:rPr>
          <w:rFonts w:eastAsiaTheme="minorEastAsia"/>
        </w:rPr>
        <w:t>Kur:</w:t>
      </w:r>
    </w:p>
    <w:p w:rsidR="00676026" w:rsidRPr="00891173" w:rsidRDefault="00D13548" w:rsidP="00AA6D52">
      <w:pPr>
        <w:spacing w:line="360" w:lineRule="auto"/>
        <w:ind w:firstLine="567"/>
        <w:jc w:val="both"/>
        <w:rPr>
          <w:rFonts w:eastAsiaTheme="minorEastAsia"/>
          <w:sz w:val="25"/>
          <w:szCs w:val="25"/>
        </w:rPr>
      </w:pPr>
      <m:oMath>
        <m:sSub>
          <m:sSubPr>
            <m:ctrlPr>
              <w:rPr>
                <w:rFonts w:ascii="Cambria Math" w:hAnsi="Cambria Math" w:cs="Symbol"/>
                <w:sz w:val="25"/>
                <w:szCs w:val="25"/>
              </w:rPr>
            </m:ctrlPr>
          </m:sSubPr>
          <m:e>
            <m:r>
              <m:rPr>
                <m:sty m:val="p"/>
              </m:rPr>
              <w:rPr>
                <w:rFonts w:ascii="Cambria Math" w:hAnsi="Cambria Math" w:cs="Symbol"/>
                <w:sz w:val="25"/>
                <w:szCs w:val="25"/>
              </w:rPr>
              <m:t>σ</m:t>
            </m:r>
          </m:e>
          <m:sub>
            <m:r>
              <m:rPr>
                <m:sty m:val="p"/>
              </m:rPr>
              <w:rPr>
                <w:rFonts w:ascii="Cambria Math" w:hAnsi="Cambria Math" w:cs="Symbol"/>
                <w:sz w:val="25"/>
                <w:szCs w:val="25"/>
              </w:rPr>
              <m:t>p</m:t>
            </m:r>
          </m:sub>
        </m:sSub>
      </m:oMath>
      <w:r w:rsidR="00676026" w:rsidRPr="00891173">
        <w:rPr>
          <w:rFonts w:eastAsiaTheme="minorEastAsia"/>
        </w:rPr>
        <w:t xml:space="preserve"> - portfelio standartinis nuokrypis;</w:t>
      </w:r>
    </w:p>
    <w:p w:rsidR="00676026" w:rsidRPr="00891173" w:rsidRDefault="00676026" w:rsidP="00AA6D52">
      <w:pPr>
        <w:spacing w:line="360" w:lineRule="auto"/>
        <w:ind w:firstLine="567"/>
        <w:jc w:val="both"/>
        <w:rPr>
          <w:rFonts w:eastAsiaTheme="minorEastAsia"/>
          <w:sz w:val="25"/>
          <w:szCs w:val="25"/>
        </w:rPr>
      </w:pPr>
      <w:r w:rsidRPr="00891173">
        <w:rPr>
          <w:rFonts w:eastAsiaTheme="minorEastAsia"/>
        </w:rPr>
        <w:t xml:space="preserve"> w</w:t>
      </w:r>
      <w:r w:rsidRPr="00891173">
        <w:rPr>
          <w:rFonts w:eastAsiaTheme="minorEastAsia"/>
          <w:vertAlign w:val="subscript"/>
        </w:rPr>
        <w:t>i</w:t>
      </w:r>
      <w:r w:rsidRPr="00891173">
        <w:rPr>
          <w:rFonts w:eastAsiaTheme="minorEastAsia"/>
        </w:rPr>
        <w:t xml:space="preserve">  - i-tojo finansinio instrumento dalis portfelyje</w:t>
      </w:r>
      <w:r w:rsidRPr="00891173">
        <w:rPr>
          <w:rFonts w:eastAsiaTheme="minorEastAsia"/>
          <w:sz w:val="25"/>
          <w:szCs w:val="25"/>
        </w:rPr>
        <w:t>;</w:t>
      </w:r>
    </w:p>
    <w:p w:rsidR="00676026" w:rsidRPr="00891173" w:rsidRDefault="00676026" w:rsidP="00AA6D52">
      <w:pPr>
        <w:spacing w:line="360" w:lineRule="auto"/>
        <w:ind w:firstLine="567"/>
        <w:jc w:val="both"/>
        <w:rPr>
          <w:rFonts w:eastAsiaTheme="minorEastAsia"/>
        </w:rPr>
      </w:pPr>
      <w:r w:rsidRPr="00891173">
        <w:rPr>
          <w:rFonts w:eastAsiaTheme="minorEastAsia"/>
          <w:sz w:val="25"/>
          <w:szCs w:val="25"/>
        </w:rPr>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sidRPr="00891173">
        <w:rPr>
          <w:rFonts w:eastAsiaTheme="minorEastAsia"/>
        </w:rPr>
        <w:t xml:space="preserve"> - i-tojo finansinio nstrumento pelningumo standartinis nuokrypis;</w:t>
      </w:r>
    </w:p>
    <w:p w:rsidR="00676026" w:rsidRPr="00891173" w:rsidRDefault="00676026" w:rsidP="00AA6D52">
      <w:pPr>
        <w:spacing w:line="360" w:lineRule="auto"/>
        <w:ind w:firstLine="567"/>
        <w:jc w:val="both"/>
        <w:rPr>
          <w:rFonts w:eastAsiaTheme="minorEastAsia"/>
        </w:rPr>
      </w:pPr>
      <w:r w:rsidRPr="00891173">
        <w:rPr>
          <w:rFonts w:eastAsiaTheme="minorEastAsia"/>
        </w:rPr>
        <w:t>COV</w:t>
      </w:r>
      <w:r w:rsidRPr="00891173">
        <w:rPr>
          <w:rFonts w:eastAsiaTheme="minorEastAsia"/>
          <w:vertAlign w:val="subscript"/>
        </w:rPr>
        <w:t>i</w:t>
      </w:r>
      <w:r w:rsidRPr="00891173">
        <w:rPr>
          <w:rFonts w:eastAsiaTheme="minorEastAsia"/>
        </w:rPr>
        <w:t xml:space="preserve">= i-tojo ir f-tojo finansinių instrumentų pelningumų kovariacija. </w:t>
      </w:r>
    </w:p>
    <w:p w:rsidR="00676026" w:rsidRPr="00891173" w:rsidRDefault="00676026" w:rsidP="00AA6D52">
      <w:pPr>
        <w:spacing w:line="360" w:lineRule="auto"/>
        <w:ind w:firstLine="567"/>
        <w:jc w:val="both"/>
        <w:rPr>
          <w:rFonts w:eastAsiaTheme="minorEastAsia"/>
        </w:rPr>
      </w:pPr>
      <w:r w:rsidRPr="00891173">
        <w:rPr>
          <w:rFonts w:eastAsiaTheme="minorEastAsia"/>
        </w:rPr>
        <w:t>Rizikai vertinti, kaip minėta, daugiausia taikomas standartinis nuokrypis, kurio reikšmė atskleidžia</w:t>
      </w:r>
      <w:r w:rsidR="00A46CC3" w:rsidRPr="00891173">
        <w:rPr>
          <w:rFonts w:eastAsiaTheme="minorEastAsia"/>
        </w:rPr>
        <w:t>,</w:t>
      </w:r>
      <w:r w:rsidRPr="00891173">
        <w:rPr>
          <w:rFonts w:eastAsiaTheme="minorEastAsia"/>
        </w:rPr>
        <w:t xml:space="preserve"> kiek fondo pelningumas buvo nukrypęs nuo vidutinio. Investicinis fondas su didesniu standartiniu nuokrypiu laikomos rizikingesniu, nes galima daryti prielaidą, jog fondas trumpuoju laikotarpiu rizikuoja patirti dides</w:t>
      </w:r>
      <w:r w:rsidR="00A46CC3" w:rsidRPr="00891173">
        <w:rPr>
          <w:rFonts w:eastAsiaTheme="minorEastAsia"/>
        </w:rPr>
        <w:t>nių nuostolių, tačiau kita vertu</w:t>
      </w:r>
      <w:r w:rsidRPr="00891173">
        <w:rPr>
          <w:rFonts w:eastAsiaTheme="minorEastAsia"/>
        </w:rPr>
        <w:t xml:space="preserve">s ir gauti pelno. Šis rodiklis nelygina fondų tarpusavyje, nes jie skiriasi strategijomis, finansiniais aktyvais ir t.t. Standartinis nuokrypis naudojamas fondo rizikai įvertinti ir šio rodiklio pagalba galima prognozuoti investicinio fondo ateities vertės pokyčius. </w:t>
      </w:r>
    </w:p>
    <w:p w:rsidR="00676026" w:rsidRPr="00891173" w:rsidRDefault="00676026" w:rsidP="004B6FD9">
      <w:pPr>
        <w:spacing w:line="360" w:lineRule="auto"/>
        <w:ind w:firstLine="567"/>
        <w:jc w:val="both"/>
        <w:rPr>
          <w:rFonts w:eastAsiaTheme="minorEastAsia"/>
        </w:rPr>
      </w:pPr>
      <w:r w:rsidRPr="00891173">
        <w:rPr>
          <w:rFonts w:eastAsiaTheme="minorEastAsia"/>
          <w:b/>
        </w:rPr>
        <w:t>Šarpo rodiklis</w:t>
      </w:r>
      <w:r w:rsidRPr="00891173">
        <w:rPr>
          <w:rFonts w:eastAsiaTheme="minorEastAsia"/>
        </w:rPr>
        <w:t>. Šarpo rodiklis buvo išvestas JAV ekonomisto Williamo Sharpe‘o, kuris buvo vadinamas „atlygio už nepastovumą“ rodikliu. Rodiklis naudojamas įvertinti, kaip efektyviai fondo grąža kompensuoja investuotojo prisiimtą riziką (Jasienė, Kočiūnaitė, 2007):</w:t>
      </w:r>
    </w:p>
    <w:p w:rsidR="004B6FD9" w:rsidRPr="00891173" w:rsidRDefault="004B6FD9" w:rsidP="004B6FD9">
      <w:pPr>
        <w:spacing w:line="360" w:lineRule="auto"/>
        <w:ind w:firstLine="567"/>
        <w:jc w:val="both"/>
        <w:rPr>
          <w:rFonts w:eastAsiaTheme="minorEastAsia"/>
          <w:sz w:val="28"/>
          <w:szCs w:val="28"/>
        </w:rPr>
      </w:pPr>
    </w:p>
    <w:p w:rsidR="00676026" w:rsidRPr="00891173" w:rsidRDefault="00676026" w:rsidP="00AA6D52">
      <w:pPr>
        <w:spacing w:line="360" w:lineRule="auto"/>
        <w:jc w:val="center"/>
        <w:rPr>
          <w:rFonts w:eastAsiaTheme="minorEastAsia"/>
        </w:rPr>
      </w:pPr>
      <m:oMath>
        <m:r>
          <w:rPr>
            <w:rFonts w:ascii="Cambria Math" w:hAnsi="Cambria Math"/>
            <w:sz w:val="28"/>
            <w:szCs w:val="28"/>
          </w:rPr>
          <m:t xml:space="preserve">SH= </m:t>
        </m:r>
        <m:f>
          <m:fPr>
            <m:ctrlPr>
              <w:rPr>
                <w:rFonts w:ascii="Cambria Math" w:hAnsi="Cambria Math"/>
                <w:i/>
                <w:sz w:val="28"/>
                <w:szCs w:val="28"/>
              </w:rPr>
            </m:ctrlPr>
          </m:fPr>
          <m:num>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f</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b</m:t>
                </m:r>
              </m:sub>
            </m:sSub>
            <m:r>
              <w:rPr>
                <w:rFonts w:ascii="Cambria Math" w:hAnsi="Cambria Math"/>
                <w:sz w:val="28"/>
                <w:szCs w:val="28"/>
              </w:rPr>
              <m:t>)</m:t>
            </m:r>
          </m:num>
          <m:den>
            <m:r>
              <w:rPr>
                <w:rFonts w:ascii="Cambria Math" w:hAnsi="Cambria Math"/>
                <w:sz w:val="28"/>
                <w:szCs w:val="28"/>
              </w:rPr>
              <m:t>σ</m:t>
            </m:r>
          </m:den>
        </m:f>
      </m:oMath>
      <w:r w:rsidR="008D103D" w:rsidRPr="00891173">
        <w:rPr>
          <w:rFonts w:eastAsiaTheme="minorEastAsia"/>
          <w:i/>
        </w:rPr>
        <w:tab/>
      </w:r>
      <w:r w:rsidR="008D103D" w:rsidRPr="00891173">
        <w:rPr>
          <w:rFonts w:eastAsiaTheme="minorEastAsia"/>
        </w:rPr>
        <w:t>(5)</w:t>
      </w:r>
    </w:p>
    <w:p w:rsidR="00676026" w:rsidRPr="00891173" w:rsidRDefault="00676026" w:rsidP="00676026">
      <w:pPr>
        <w:spacing w:line="360" w:lineRule="auto"/>
        <w:ind w:firstLine="851"/>
        <w:jc w:val="center"/>
        <w:rPr>
          <w:rFonts w:eastAsiaTheme="minorEastAsia"/>
          <w:i/>
        </w:rPr>
      </w:pPr>
    </w:p>
    <w:p w:rsidR="00676026" w:rsidRPr="00891173" w:rsidRDefault="00676026" w:rsidP="001D78BC">
      <w:pPr>
        <w:spacing w:line="360" w:lineRule="auto"/>
        <w:ind w:firstLine="567"/>
        <w:jc w:val="both"/>
        <w:rPr>
          <w:rFonts w:eastAsiaTheme="minorEastAsia"/>
        </w:rPr>
      </w:pPr>
      <w:r w:rsidRPr="00891173">
        <w:rPr>
          <w:rFonts w:eastAsiaTheme="minorEastAsia"/>
        </w:rPr>
        <w:t>kai, R</w:t>
      </w:r>
      <w:r w:rsidRPr="00891173">
        <w:rPr>
          <w:rFonts w:eastAsiaTheme="minorEastAsia"/>
          <w:vertAlign w:val="subscript"/>
        </w:rPr>
        <w:t>f</w:t>
      </w:r>
      <w:r w:rsidRPr="00891173">
        <w:rPr>
          <w:rFonts w:eastAsiaTheme="minorEastAsia"/>
        </w:rPr>
        <w:t xml:space="preserve"> – investicinių fond grupės vidutinis metinis pelningumas (kitaip vidutinė metų pelningumo norma, apskaičiuota kaip geometrinis metinių pelningumų vidurkis); </w:t>
      </w:r>
    </w:p>
    <w:p w:rsidR="00676026" w:rsidRPr="00891173" w:rsidRDefault="00676026" w:rsidP="001D78BC">
      <w:pPr>
        <w:spacing w:line="360" w:lineRule="auto"/>
        <w:ind w:firstLine="567"/>
        <w:jc w:val="both"/>
        <w:rPr>
          <w:rFonts w:eastAsiaTheme="minorEastAsia"/>
        </w:rPr>
      </w:pPr>
      <w:r w:rsidRPr="00891173">
        <w:rPr>
          <w:rFonts w:eastAsiaTheme="minorEastAsia"/>
        </w:rPr>
        <w:t>R</w:t>
      </w:r>
      <w:r w:rsidRPr="00891173">
        <w:rPr>
          <w:rFonts w:eastAsiaTheme="minorEastAsia"/>
          <w:vertAlign w:val="subscript"/>
        </w:rPr>
        <w:t>b</w:t>
      </w:r>
      <w:r w:rsidRPr="00891173">
        <w:rPr>
          <w:rFonts w:eastAsiaTheme="minorEastAsia"/>
        </w:rPr>
        <w:t xml:space="preserve"> – nerizikingos investicijos pelningumo norma; </w:t>
      </w:r>
    </w:p>
    <w:p w:rsidR="00676026" w:rsidRPr="00891173" w:rsidRDefault="00676026" w:rsidP="001D78BC">
      <w:pPr>
        <w:spacing w:line="360" w:lineRule="auto"/>
        <w:ind w:firstLine="567"/>
        <w:jc w:val="both"/>
        <w:rPr>
          <w:rFonts w:eastAsiaTheme="minorEastAsia"/>
        </w:rPr>
      </w:pPr>
      <m:oMath>
        <m:r>
          <w:rPr>
            <w:rFonts w:ascii="Cambria Math" w:hAnsi="Cambria Math"/>
          </w:rPr>
          <m:t>σ</m:t>
        </m:r>
      </m:oMath>
      <w:r w:rsidRPr="00891173">
        <w:rPr>
          <w:rFonts w:eastAsiaTheme="minorEastAsia"/>
        </w:rPr>
        <w:t xml:space="preserve"> - fondo pelningumo vidutinės metų normos vidutinis standartinis nuokrypis. </w:t>
      </w:r>
    </w:p>
    <w:p w:rsidR="00676026" w:rsidRPr="00891173" w:rsidRDefault="00676026" w:rsidP="0043471E">
      <w:pPr>
        <w:spacing w:after="120" w:line="360" w:lineRule="auto"/>
        <w:ind w:firstLine="567"/>
        <w:jc w:val="both"/>
        <w:rPr>
          <w:rFonts w:eastAsiaTheme="minorEastAsia"/>
        </w:rPr>
      </w:pPr>
      <w:r w:rsidRPr="00891173">
        <w:rPr>
          <w:rFonts w:eastAsiaTheme="minorEastAsia"/>
        </w:rPr>
        <w:t xml:space="preserve">Šio rodiklio tikslas yra atsleisti, kiek investicijos grąžos vienetų tenka vienam investicijos rizikos (standartinio nuokrypio) vienetui. Teigiamas Šarpo rodiklis reiškia, kad fondas uždirbo daugiau nei nerizikinga palūkanų norma (free risk assets). Svarbiausia, kad galima identifikuoti ar investicinio fondo grąžą lemia profesionalūs investiciniai sprendimai ir gera investavimo strategija, ar tik prisiimtina papildoma rizika.  Šis rodiklis skiriasi nuo standartinio nuokrypio tuo, kad skaičiuoja kiek daugiau fondas gali uždirbti už nerizikingus aktyvus. </w:t>
      </w:r>
    </w:p>
    <w:p w:rsidR="008D103D" w:rsidRPr="00891173" w:rsidRDefault="008D103D" w:rsidP="00272BB4">
      <w:pPr>
        <w:spacing w:after="200" w:line="276" w:lineRule="auto"/>
        <w:rPr>
          <w:rFonts w:eastAsiaTheme="minorEastAsia"/>
          <w:b/>
        </w:rPr>
      </w:pPr>
      <w:r w:rsidRPr="00891173">
        <w:rPr>
          <w:rFonts w:eastAsiaTheme="minorEastAsia"/>
          <w:b/>
        </w:rPr>
        <w:lastRenderedPageBreak/>
        <w:t>1 lent</w:t>
      </w:r>
      <w:r w:rsidR="0043471E" w:rsidRPr="00891173">
        <w:rPr>
          <w:rFonts w:eastAsiaTheme="minorEastAsia"/>
          <w:b/>
        </w:rPr>
        <w:t>elė</w:t>
      </w:r>
      <w:r w:rsidRPr="00891173">
        <w:rPr>
          <w:rFonts w:eastAsiaTheme="minorEastAsia"/>
          <w:b/>
        </w:rPr>
        <w:t>. Investicinių fondų vertinimo rodiklių privalumai ir trūkumai</w:t>
      </w:r>
    </w:p>
    <w:tbl>
      <w:tblPr>
        <w:tblStyle w:val="TableGrid"/>
        <w:tblW w:w="0" w:type="auto"/>
        <w:tblInd w:w="-176" w:type="dxa"/>
        <w:tblLook w:val="04A0"/>
      </w:tblPr>
      <w:tblGrid>
        <w:gridCol w:w="1838"/>
        <w:gridCol w:w="3975"/>
        <w:gridCol w:w="3963"/>
      </w:tblGrid>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Vertinimo rodiklis</w:t>
            </w:r>
          </w:p>
        </w:tc>
        <w:tc>
          <w:tcPr>
            <w:tcW w:w="3975" w:type="dxa"/>
            <w:vAlign w:val="center"/>
          </w:tcPr>
          <w:p w:rsidR="00BD198E" w:rsidRPr="00891173" w:rsidRDefault="00BD198E" w:rsidP="00307C2D">
            <w:pPr>
              <w:jc w:val="center"/>
              <w:rPr>
                <w:rFonts w:eastAsiaTheme="minorEastAsia"/>
                <w:b/>
              </w:rPr>
            </w:pPr>
            <w:r w:rsidRPr="00891173">
              <w:rPr>
                <w:rFonts w:eastAsiaTheme="minorEastAsia"/>
                <w:b/>
              </w:rPr>
              <w:t>Privalumai</w:t>
            </w:r>
          </w:p>
        </w:tc>
        <w:tc>
          <w:tcPr>
            <w:tcW w:w="3963" w:type="dxa"/>
            <w:vAlign w:val="center"/>
          </w:tcPr>
          <w:p w:rsidR="00BD198E" w:rsidRPr="00891173" w:rsidRDefault="00BD198E" w:rsidP="00307C2D">
            <w:pPr>
              <w:jc w:val="center"/>
              <w:rPr>
                <w:rFonts w:eastAsiaTheme="minorEastAsia"/>
                <w:b/>
              </w:rPr>
            </w:pPr>
            <w:r w:rsidRPr="00891173">
              <w:rPr>
                <w:rFonts w:eastAsiaTheme="minorEastAsia"/>
                <w:b/>
              </w:rPr>
              <w:t>Trūkumai</w:t>
            </w:r>
          </w:p>
        </w:tc>
      </w:tr>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GAV</w:t>
            </w:r>
          </w:p>
        </w:tc>
        <w:tc>
          <w:tcPr>
            <w:tcW w:w="3975" w:type="dxa"/>
          </w:tcPr>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Parodo fondo veiklos vertę,</w:t>
            </w:r>
          </w:p>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Privalo būti skelbiama kiekvieną prekybos dieną,</w:t>
            </w:r>
          </w:p>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padeda nustatyti kitus pelningumo rodiklius</w:t>
            </w:r>
            <w:r w:rsidR="002640CE" w:rsidRPr="00891173">
              <w:rPr>
                <w:rFonts w:eastAsiaTheme="minorEastAsia"/>
              </w:rPr>
              <w:t>.</w:t>
            </w:r>
          </w:p>
        </w:tc>
        <w:tc>
          <w:tcPr>
            <w:tcW w:w="3963" w:type="dxa"/>
          </w:tcPr>
          <w:p w:rsidR="00BD198E" w:rsidRPr="00891173" w:rsidRDefault="00BD198E" w:rsidP="00203D2D">
            <w:pPr>
              <w:pStyle w:val="ListParagraph"/>
              <w:numPr>
                <w:ilvl w:val="0"/>
                <w:numId w:val="12"/>
              </w:numPr>
              <w:tabs>
                <w:tab w:val="left" w:pos="408"/>
                <w:tab w:val="left" w:pos="465"/>
              </w:tabs>
              <w:ind w:left="39" w:firstLine="142"/>
              <w:jc w:val="both"/>
              <w:rPr>
                <w:rFonts w:eastAsiaTheme="minorEastAsia"/>
              </w:rPr>
            </w:pPr>
            <w:r w:rsidRPr="00891173">
              <w:rPr>
                <w:rFonts w:eastAsiaTheme="minorEastAsia"/>
              </w:rPr>
              <w:t>fondo turas gali kisti kiekvieną dieną, priklausomai nuo finansų rinkos instrumentų svyravimų</w:t>
            </w:r>
            <w:r w:rsidR="002640CE" w:rsidRPr="00891173">
              <w:rPr>
                <w:rFonts w:eastAsiaTheme="minorEastAsia"/>
              </w:rPr>
              <w:t>.</w:t>
            </w:r>
          </w:p>
        </w:tc>
      </w:tr>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Pelningumo rodiklis</w:t>
            </w:r>
          </w:p>
        </w:tc>
        <w:tc>
          <w:tcPr>
            <w:tcW w:w="3975" w:type="dxa"/>
          </w:tcPr>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parodo a</w:t>
            </w:r>
            <w:r w:rsidR="0067740B" w:rsidRPr="00891173">
              <w:rPr>
                <w:rFonts w:eastAsiaTheme="minorEastAsia"/>
              </w:rPr>
              <w:t>pskaitos vieneto verte</w:t>
            </w:r>
            <w:r w:rsidRPr="00891173">
              <w:rPr>
                <w:rFonts w:eastAsiaTheme="minorEastAsia"/>
              </w:rPr>
              <w:t>s per pasirinktą laikotarpį,</w:t>
            </w:r>
          </w:p>
          <w:p w:rsidR="00BD198E" w:rsidRPr="00891173" w:rsidRDefault="0067740B"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leidžia nusta</w:t>
            </w:r>
            <w:r w:rsidR="00BD198E" w:rsidRPr="00891173">
              <w:rPr>
                <w:rFonts w:eastAsiaTheme="minorEastAsia"/>
              </w:rPr>
              <w:t>tyti veiklos rezultatus nuo aktyvų įsigijimo momento</w:t>
            </w:r>
            <w:r w:rsidR="002640CE" w:rsidRPr="00891173">
              <w:rPr>
                <w:rFonts w:eastAsiaTheme="minorEastAsia"/>
              </w:rPr>
              <w:t>.</w:t>
            </w:r>
          </w:p>
        </w:tc>
        <w:tc>
          <w:tcPr>
            <w:tcW w:w="3963" w:type="dxa"/>
          </w:tcPr>
          <w:p w:rsidR="00BD198E" w:rsidRPr="00891173" w:rsidRDefault="00BD198E"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pelningumo skaičiavimas trumpuoju periodu yra labiau atsitiktinis nei objektyvus, nes fondo vertė pastoviai kinta,</w:t>
            </w:r>
          </w:p>
          <w:p w:rsidR="00BD198E" w:rsidRPr="00891173" w:rsidRDefault="00BD198E"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neparodo ar IF veikla yra efektyvi ir ar gaunamas optimaliausias rezultatas</w:t>
            </w:r>
            <w:r w:rsidR="00EC5ABA" w:rsidRPr="00891173">
              <w:rPr>
                <w:rFonts w:eastAsiaTheme="minorEastAsia"/>
              </w:rPr>
              <w:t>,</w:t>
            </w:r>
          </w:p>
          <w:p w:rsidR="00EC5ABA" w:rsidRPr="00891173" w:rsidRDefault="00EC5ABA"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ignoruojama rizika.</w:t>
            </w:r>
          </w:p>
        </w:tc>
      </w:tr>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Vidutinis fondo pelningumas</w:t>
            </w:r>
          </w:p>
        </w:tc>
        <w:tc>
          <w:tcPr>
            <w:tcW w:w="3975" w:type="dxa"/>
          </w:tcPr>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skaičiuojamas pagal atskirų laikotarpių pelningumą</w:t>
            </w:r>
            <w:r w:rsidR="002640CE" w:rsidRPr="00891173">
              <w:rPr>
                <w:rFonts w:eastAsiaTheme="minorEastAsia"/>
              </w:rPr>
              <w:t>,</w:t>
            </w:r>
          </w:p>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parodo kaip fondas reaguoja į pasikeitusias ekonomines sąlygas</w:t>
            </w:r>
            <w:r w:rsidR="002640CE" w:rsidRPr="00891173">
              <w:rPr>
                <w:rFonts w:eastAsiaTheme="minorEastAsia"/>
              </w:rPr>
              <w:t>.</w:t>
            </w:r>
          </w:p>
        </w:tc>
        <w:tc>
          <w:tcPr>
            <w:tcW w:w="3963" w:type="dxa"/>
          </w:tcPr>
          <w:p w:rsidR="00BD198E" w:rsidRPr="00891173" w:rsidRDefault="00BD198E"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neparodo ar IF veikla yra efektyvi ir ar gaunamas optimaliausias rezultatas</w:t>
            </w:r>
            <w:r w:rsidR="00EC5ABA" w:rsidRPr="00891173">
              <w:rPr>
                <w:rFonts w:eastAsiaTheme="minorEastAsia"/>
              </w:rPr>
              <w:t>,</w:t>
            </w:r>
          </w:p>
          <w:p w:rsidR="00EC5ABA" w:rsidRPr="00891173" w:rsidRDefault="00EC5ABA"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neatsižvelgiama į riziką.</w:t>
            </w:r>
          </w:p>
        </w:tc>
      </w:tr>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Standartinis nuokrypis</w:t>
            </w:r>
          </w:p>
        </w:tc>
        <w:tc>
          <w:tcPr>
            <w:tcW w:w="3975" w:type="dxa"/>
          </w:tcPr>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atskleidžia kiek fondo pelningumas buvo nukrypęs nuo vidutinio,</w:t>
            </w:r>
          </w:p>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galima prognozuoti investicinio fondo ateities vertės pokyčius</w:t>
            </w:r>
            <w:r w:rsidR="002640CE" w:rsidRPr="00891173">
              <w:rPr>
                <w:rFonts w:eastAsiaTheme="minorEastAsia"/>
              </w:rPr>
              <w:t>.</w:t>
            </w:r>
          </w:p>
        </w:tc>
        <w:tc>
          <w:tcPr>
            <w:tcW w:w="3963" w:type="dxa"/>
          </w:tcPr>
          <w:p w:rsidR="00BD198E" w:rsidRPr="00891173" w:rsidRDefault="00BD198E" w:rsidP="00203D2D">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nelygina fondų tarpusavyje, nes jie skiriasi strategijomis, finansiniais aktyvais ir pan.</w:t>
            </w:r>
          </w:p>
        </w:tc>
      </w:tr>
      <w:tr w:rsidR="00BD198E" w:rsidRPr="00891173" w:rsidTr="00307C2D">
        <w:tc>
          <w:tcPr>
            <w:tcW w:w="1838" w:type="dxa"/>
            <w:vAlign w:val="center"/>
          </w:tcPr>
          <w:p w:rsidR="00BD198E" w:rsidRPr="00891173" w:rsidRDefault="00BD198E" w:rsidP="00307C2D">
            <w:pPr>
              <w:jc w:val="center"/>
              <w:rPr>
                <w:rFonts w:eastAsiaTheme="minorEastAsia"/>
                <w:b/>
              </w:rPr>
            </w:pPr>
            <w:r w:rsidRPr="00891173">
              <w:rPr>
                <w:rFonts w:eastAsiaTheme="minorEastAsia"/>
                <w:b/>
              </w:rPr>
              <w:t>Šarpo rodiklis</w:t>
            </w:r>
          </w:p>
        </w:tc>
        <w:tc>
          <w:tcPr>
            <w:tcW w:w="3975" w:type="dxa"/>
          </w:tcPr>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parodo kaip efektyviai fondo grąža kompensuoja investuotojo prisiimtą riziką,</w:t>
            </w:r>
          </w:p>
          <w:p w:rsidR="00BD198E" w:rsidRPr="00891173" w:rsidRDefault="00BD198E" w:rsidP="00203D2D">
            <w:pPr>
              <w:pStyle w:val="ListParagraph"/>
              <w:numPr>
                <w:ilvl w:val="0"/>
                <w:numId w:val="12"/>
              </w:numPr>
              <w:tabs>
                <w:tab w:val="left" w:pos="408"/>
              </w:tabs>
              <w:ind w:left="39" w:firstLine="142"/>
              <w:jc w:val="both"/>
              <w:rPr>
                <w:rFonts w:eastAsiaTheme="minorEastAsia"/>
              </w:rPr>
            </w:pPr>
            <w:r w:rsidRPr="00891173">
              <w:rPr>
                <w:rFonts w:eastAsiaTheme="minorEastAsia"/>
              </w:rPr>
              <w:t>galima identifikuoti ar investicinio fondo grąžą lemia profesionalūs investiciniai sprendimai ir gera investavimo strategija, ar tik prisiimtina papildoma rizika.</w:t>
            </w:r>
          </w:p>
        </w:tc>
        <w:tc>
          <w:tcPr>
            <w:tcW w:w="3963" w:type="dxa"/>
          </w:tcPr>
          <w:p w:rsidR="004224D4" w:rsidRPr="00891173" w:rsidRDefault="0043471E" w:rsidP="0067740B">
            <w:pPr>
              <w:pStyle w:val="ListParagraph"/>
              <w:numPr>
                <w:ilvl w:val="0"/>
                <w:numId w:val="12"/>
              </w:numPr>
              <w:tabs>
                <w:tab w:val="left" w:pos="324"/>
                <w:tab w:val="left" w:pos="408"/>
              </w:tabs>
              <w:ind w:left="39" w:firstLine="142"/>
              <w:jc w:val="both"/>
              <w:rPr>
                <w:rFonts w:eastAsiaTheme="minorEastAsia"/>
              </w:rPr>
            </w:pPr>
            <w:r w:rsidRPr="00891173">
              <w:rPr>
                <w:rFonts w:eastAsiaTheme="minorEastAsia"/>
              </w:rPr>
              <w:t>esant vienodam rodiklio dydžiui, reikia papildomų rodiklių vertinimo</w:t>
            </w:r>
            <w:r w:rsidR="0067740B" w:rsidRPr="00891173">
              <w:rPr>
                <w:rFonts w:eastAsiaTheme="minorEastAsia"/>
              </w:rPr>
              <w:t>.</w:t>
            </w:r>
          </w:p>
        </w:tc>
      </w:tr>
    </w:tbl>
    <w:p w:rsidR="00BD198E" w:rsidRPr="00891173" w:rsidRDefault="0082538A" w:rsidP="007C68AF">
      <w:pPr>
        <w:spacing w:before="120" w:after="120" w:line="360" w:lineRule="auto"/>
        <w:ind w:firstLine="851"/>
        <w:jc w:val="both"/>
        <w:rPr>
          <w:rFonts w:eastAsia="MinionPro-Regular"/>
          <w:sz w:val="20"/>
          <w:szCs w:val="20"/>
        </w:rPr>
      </w:pPr>
      <w:r w:rsidRPr="00891173">
        <w:rPr>
          <w:rFonts w:eastAsiaTheme="minorEastAsia"/>
          <w:b/>
          <w:sz w:val="20"/>
          <w:szCs w:val="20"/>
        </w:rPr>
        <w:t>Šaltinis:</w:t>
      </w:r>
      <w:r w:rsidRPr="00891173">
        <w:rPr>
          <w:rFonts w:eastAsiaTheme="minorEastAsia"/>
          <w:sz w:val="20"/>
          <w:szCs w:val="20"/>
        </w:rPr>
        <w:t xml:space="preserve"> sudaryta pagal </w:t>
      </w:r>
      <w:r w:rsidRPr="00891173">
        <w:rPr>
          <w:sz w:val="20"/>
          <w:szCs w:val="20"/>
        </w:rPr>
        <w:t xml:space="preserve">Artikis 2003, Rimkevičiūtė, Žvirblis 2010, Snieška, Pekarskienė 1999, Kancerevyčius 2006, Jasienė 2007, Kočiūnienė 2007, Dzikevičius 2004, </w:t>
      </w:r>
      <w:r w:rsidRPr="00891173">
        <w:rPr>
          <w:rFonts w:eastAsia="MinionPro-Regular"/>
          <w:sz w:val="20"/>
          <w:szCs w:val="20"/>
        </w:rPr>
        <w:t>Gourieroux, Monfort, 2010.</w:t>
      </w:r>
    </w:p>
    <w:p w:rsidR="00676026" w:rsidRPr="00891173" w:rsidRDefault="00676026" w:rsidP="001D78BC">
      <w:pPr>
        <w:spacing w:line="360" w:lineRule="auto"/>
        <w:ind w:firstLine="567"/>
        <w:jc w:val="both"/>
        <w:rPr>
          <w:rFonts w:eastAsiaTheme="minorEastAsia"/>
        </w:rPr>
      </w:pPr>
      <w:r w:rsidRPr="00891173">
        <w:rPr>
          <w:rFonts w:eastAsiaTheme="minorEastAsia"/>
        </w:rPr>
        <w:t>Fondų efektyvumui įvertinti taip pat būtina palyginti fondų veiklos rezultatus su palyginamaisiais indeksais. Pagal tai galima pasakyti, ar fondas dirbo geriau nei rinkos indeksas</w:t>
      </w:r>
      <w:r w:rsidR="0067740B" w:rsidRPr="00891173">
        <w:rPr>
          <w:rFonts w:eastAsiaTheme="minorEastAsia"/>
        </w:rPr>
        <w:t>,</w:t>
      </w:r>
      <w:r w:rsidRPr="00891173">
        <w:rPr>
          <w:rFonts w:eastAsiaTheme="minorEastAsia"/>
        </w:rPr>
        <w:t xml:space="preserve"> ar</w:t>
      </w:r>
      <w:r w:rsidR="0067740B" w:rsidRPr="00891173">
        <w:rPr>
          <w:rFonts w:eastAsiaTheme="minorEastAsia"/>
        </w:rPr>
        <w:t xml:space="preserve"> prasčiau. Investicinių fondų me</w:t>
      </w:r>
      <w:r w:rsidRPr="00891173">
        <w:rPr>
          <w:rFonts w:eastAsiaTheme="minorEastAsia"/>
        </w:rPr>
        <w:t>tinėse ataskaitose skelbiami du rodikliai, kurie susieti su lyginamaisiais indeksais: koreliacijos koeficientas ir Jenseno alfa rodiklis. Koreliacijos koeficientas parodo fondo ir lyginamojo indekso tarpusavio priklausomybę. Kuo koreliacijos koefcientas artimesnis 1, tuo fondo ir lyginamojo indekso rezultatai panašesni. Lietuvos fondams taikomas apribojimas, kuriuo remiantis fondų koreliacijos koeficientas negali būti mažesnis nei 0,7. Jenseno rodiklis</w:t>
      </w:r>
      <w:r w:rsidR="0067740B" w:rsidRPr="00891173">
        <w:rPr>
          <w:rFonts w:eastAsiaTheme="minorEastAsia"/>
        </w:rPr>
        <w:t xml:space="preserve"> – jo </w:t>
      </w:r>
      <w:r w:rsidRPr="00891173">
        <w:rPr>
          <w:rFonts w:eastAsiaTheme="minorEastAsia"/>
        </w:rPr>
        <w:t xml:space="preserve">reikšmė parodo investicinio vieneto vertės pokyčio ir lyginamojo indekso reikšmės pokyčio skirtumą. Alfa rodiklis parodo rezultatą, kurį uždirbo investicinis fondas nepriklausomai nuo prisiimtinos rizikos. </w:t>
      </w:r>
    </w:p>
    <w:p w:rsidR="00D35728" w:rsidRPr="00891173" w:rsidRDefault="00676026" w:rsidP="007C68AF">
      <w:pPr>
        <w:spacing w:line="360" w:lineRule="auto"/>
        <w:ind w:firstLine="567"/>
        <w:jc w:val="both"/>
      </w:pPr>
      <w:r w:rsidRPr="00891173">
        <w:rPr>
          <w:rFonts w:eastAsiaTheme="minorEastAsia"/>
        </w:rPr>
        <w:t xml:space="preserve">Apibendrinant, galima teigti, kad naudojantis atskirai kiekvieną rodiklį, fondo vertinimas tampa subjektyvus. Todėl renkantis investicinį fondą, būtina naudoti rodiklių kombinacijas, kurios leistų išanalizuoti fondo veiklą efektyviau ir objektyviau. IF rodikliai </w:t>
      </w:r>
      <w:r w:rsidR="00BD198E" w:rsidRPr="00891173">
        <w:rPr>
          <w:rFonts w:eastAsiaTheme="minorEastAsia"/>
        </w:rPr>
        <w:t xml:space="preserve">turėtų būti </w:t>
      </w:r>
      <w:r w:rsidRPr="00891173">
        <w:rPr>
          <w:rFonts w:eastAsiaTheme="minorEastAsia"/>
        </w:rPr>
        <w:t>vienas iš svarbiausių investuotojų kriterijų renka</w:t>
      </w:r>
      <w:r w:rsidR="000774CA" w:rsidRPr="00891173">
        <w:rPr>
          <w:rFonts w:eastAsiaTheme="minorEastAsia"/>
        </w:rPr>
        <w:t>n</w:t>
      </w:r>
      <w:r w:rsidRPr="00891173">
        <w:rPr>
          <w:rFonts w:eastAsiaTheme="minorEastAsia"/>
        </w:rPr>
        <w:t xml:space="preserve">tis fondą. </w:t>
      </w:r>
    </w:p>
    <w:p w:rsidR="008A3759" w:rsidRPr="00891173" w:rsidRDefault="008A3759" w:rsidP="00D35728">
      <w:pPr>
        <w:pStyle w:val="Heading2"/>
        <w:rPr>
          <w:b/>
        </w:rPr>
      </w:pPr>
      <w:bookmarkStart w:id="6" w:name="_Toc343601998"/>
      <w:r w:rsidRPr="00891173">
        <w:rPr>
          <w:b/>
        </w:rPr>
        <w:lastRenderedPageBreak/>
        <w:t>TYRIMO METODIKA</w:t>
      </w:r>
      <w:bookmarkEnd w:id="6"/>
    </w:p>
    <w:p w:rsidR="00D35728" w:rsidRPr="00891173" w:rsidRDefault="00D35728" w:rsidP="00D35728"/>
    <w:p w:rsidR="008A3759" w:rsidRPr="00891173" w:rsidRDefault="008A3759" w:rsidP="008A3759">
      <w:pPr>
        <w:spacing w:line="360" w:lineRule="auto"/>
        <w:ind w:firstLine="567"/>
        <w:jc w:val="both"/>
      </w:pPr>
      <w:r w:rsidRPr="00891173">
        <w:t>Remiantis pirmame skyriuje atlikta mokslinės literatūros analize, šioje darbo dalyje aptariama vertinimo metodologija, padėsianti įgyvendinti darbo pradžioje iškeltus uždavinius, patvirtinti arba paneigti iškeltą hipotezę.</w:t>
      </w:r>
    </w:p>
    <w:p w:rsidR="008A3759" w:rsidRPr="00891173" w:rsidRDefault="00D13548" w:rsidP="008A3759">
      <w:pPr>
        <w:spacing w:line="360" w:lineRule="auto"/>
        <w:jc w:val="both"/>
      </w:pPr>
      <w:r w:rsidRPr="00891173">
        <w:rPr>
          <w:sz w:val="20"/>
          <w:szCs w:val="20"/>
        </w:rPr>
      </w:r>
      <w:r w:rsidRPr="00891173">
        <w:rPr>
          <w:sz w:val="20"/>
          <w:szCs w:val="20"/>
        </w:rPr>
        <w:pict>
          <v:group id="_x0000_s1203" editas="canvas" style="width:496.05pt;height:198.5pt;mso-position-horizontal-relative:char;mso-position-vertical-relative:line" coordorigin="2362,3015" coordsize="7200,2881">
            <o:lock v:ext="edit" aspectratio="t"/>
            <v:shape id="_x0000_s1204" type="#_x0000_t75" style="position:absolute;left:2362;top:3015;width:7200;height:2881" o:preferrelative="f">
              <v:fill o:detectmouseclick="t"/>
              <v:path o:extrusionok="t" o:connecttype="none"/>
              <o:lock v:ext="edit" text="t"/>
            </v:shape>
            <v:roundrect id="_x0000_s1205" style="position:absolute;left:4947;top:3240;width:1992;height:359" arcsize="10923f">
              <v:shadow on="t" opacity=".5" offset="6pt,6pt"/>
              <v:textbox>
                <w:txbxContent>
                  <w:p w:rsidR="000E1A39" w:rsidRDefault="000E1A39" w:rsidP="008A3759">
                    <w:pPr>
                      <w:jc w:val="center"/>
                    </w:pPr>
                    <w:r>
                      <w:t>Tyrimo schema</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06" type="#_x0000_t67" style="position:absolute;left:4240;top:3675;width:336;height:860;rotation:3282895fd">
              <v:shadow on="t" type="perspective" opacity=".5" origin=",.5" offset="0,0" matrix=",,,.5,,-4768371582e-16"/>
              <v:textbox style="layout-flow:vertical-ideographic"/>
            </v:shape>
            <v:shape id="_x0000_s1207" type="#_x0000_t67" style="position:absolute;left:5763;top:3806;width:338;height:860">
              <v:shadow on="t" type="perspective" opacity=".5" origin=",.5" offset="0,0" matrix=",,,.5,,-4768371582e-16"/>
              <v:textbox style="layout-flow:vertical-ideographic"/>
            </v:shape>
            <v:shape id="_x0000_s1208" type="#_x0000_t67" style="position:absolute;left:7320;top:3665;width:338;height:860;rotation:-2764268fd">
              <v:shadow on="t" type="perspective" opacity=".5" origin=",.5" offset="0,0" matrix=",,,.5,,-4768371582e-16"/>
              <v:textbox style="layout-flow:vertical-ideographic"/>
            </v:shape>
            <v:roundrect id="_x0000_s1209" style="position:absolute;left:2519;top:4666;width:1753;height:515" arcsize="10923f">
              <v:shadow on="t" opacity=".5" offset="6pt,6pt"/>
              <v:textbox>
                <w:txbxContent>
                  <w:p w:rsidR="000E1A39" w:rsidRPr="006225D5" w:rsidRDefault="000E1A39" w:rsidP="008A3759">
                    <w:pPr>
                      <w:jc w:val="center"/>
                      <w:rPr>
                        <w:sz w:val="20"/>
                        <w:szCs w:val="20"/>
                      </w:rPr>
                    </w:pPr>
                    <w:r w:rsidRPr="006225D5">
                      <w:rPr>
                        <w:b/>
                        <w:sz w:val="20"/>
                        <w:szCs w:val="20"/>
                      </w:rPr>
                      <w:t>Lietuvos investicinių fondų  rinkos apžvalga</w:t>
                    </w:r>
                    <w:r>
                      <w:rPr>
                        <w:sz w:val="20"/>
                        <w:szCs w:val="20"/>
                      </w:rPr>
                      <w:t xml:space="preserve"> </w:t>
                    </w:r>
                  </w:p>
                </w:txbxContent>
              </v:textbox>
            </v:roundrect>
            <v:roundrect id="_x0000_s1210" style="position:absolute;left:5045;top:4895;width:1731;height:773" arcsize="10923f">
              <v:shadow on="t" opacity=".5" offset="6pt,6pt"/>
              <v:textbox>
                <w:txbxContent>
                  <w:p w:rsidR="000E1A39" w:rsidRPr="006225D5" w:rsidRDefault="000E1A39" w:rsidP="008A3759">
                    <w:pPr>
                      <w:jc w:val="center"/>
                      <w:rPr>
                        <w:b/>
                        <w:sz w:val="20"/>
                        <w:szCs w:val="20"/>
                      </w:rPr>
                    </w:pPr>
                    <w:r w:rsidRPr="006225D5">
                      <w:rPr>
                        <w:b/>
                        <w:sz w:val="20"/>
                        <w:szCs w:val="20"/>
                      </w:rPr>
                      <w:t xml:space="preserve">Fondų vertinimas, </w:t>
                    </w:r>
                    <w:r>
                      <w:rPr>
                        <w:b/>
                        <w:sz w:val="20"/>
                        <w:szCs w:val="20"/>
                      </w:rPr>
                      <w:t>skaičiuojant Šarpo ir grąžos dydžius</w:t>
                    </w:r>
                  </w:p>
                </w:txbxContent>
              </v:textbox>
            </v:roundrect>
            <v:roundrect id="_x0000_s1211" style="position:absolute;left:7320;top:4666;width:1894;height:577" arcsize="10923f">
              <v:shadow on="t" opacity=".5" offset="6pt,6pt"/>
              <v:textbox>
                <w:txbxContent>
                  <w:p w:rsidR="000E1A39" w:rsidRPr="006225D5" w:rsidRDefault="000E1A39" w:rsidP="008A3759">
                    <w:pPr>
                      <w:jc w:val="center"/>
                      <w:rPr>
                        <w:b/>
                        <w:sz w:val="20"/>
                        <w:szCs w:val="20"/>
                      </w:rPr>
                    </w:pPr>
                    <w:r>
                      <w:rPr>
                        <w:b/>
                        <w:sz w:val="20"/>
                        <w:szCs w:val="20"/>
                      </w:rPr>
                      <w:t>Lietuvos gyventojų tyrimas</w:t>
                    </w:r>
                  </w:p>
                </w:txbxContent>
              </v:textbox>
            </v:roundrect>
            <w10:wrap type="none"/>
            <w10:anchorlock/>
          </v:group>
        </w:pict>
      </w:r>
    </w:p>
    <w:p w:rsidR="008A3759" w:rsidRPr="00891173" w:rsidRDefault="008A3759" w:rsidP="008A3759">
      <w:pPr>
        <w:spacing w:line="360" w:lineRule="auto"/>
        <w:ind w:firstLine="567"/>
        <w:jc w:val="both"/>
        <w:rPr>
          <w:b/>
        </w:rPr>
      </w:pPr>
      <w:r w:rsidRPr="00891173">
        <w:rPr>
          <w:b/>
        </w:rPr>
        <w:t>3 pav. Esminių kriterijų nustatymo, renkantis investinius fondus, tyrimo modelis</w:t>
      </w:r>
    </w:p>
    <w:p w:rsidR="008A3759" w:rsidRPr="00891173" w:rsidRDefault="008A3759" w:rsidP="008A3759">
      <w:pPr>
        <w:spacing w:line="360" w:lineRule="auto"/>
        <w:ind w:firstLine="567"/>
        <w:jc w:val="both"/>
      </w:pPr>
    </w:p>
    <w:p w:rsidR="008A3759" w:rsidRPr="00891173" w:rsidRDefault="008A3759" w:rsidP="008A3759">
      <w:pPr>
        <w:spacing w:line="360" w:lineRule="auto"/>
        <w:ind w:firstLine="567"/>
        <w:jc w:val="both"/>
      </w:pPr>
      <w:r w:rsidRPr="00891173">
        <w:t xml:space="preserve">Kaip matyti iš 3 paveikslo tyrimą nuspręsta pradėti daryti nuo </w:t>
      </w:r>
      <w:r w:rsidRPr="00891173">
        <w:rPr>
          <w:b/>
        </w:rPr>
        <w:t>Lietuvos investicinių fondų rinkos analizės</w:t>
      </w:r>
      <w:r w:rsidRPr="00891173">
        <w:t>. Pirmiausiai apžvelgiamas investicinių fondų reguliavimas Lietuvoje. Išnagrinėtas Lietuvos ir užsienio investicinių fondų, platinamų Liet</w:t>
      </w:r>
      <w:r w:rsidR="00A061EA" w:rsidRPr="00891173">
        <w:t>uv</w:t>
      </w:r>
      <w:r w:rsidRPr="00891173">
        <w:t xml:space="preserve">oje, skaičiaus, valdomo turto, dalyvių kaitos aspektas, svarbus nustatant fondų pasiskirtymą. Įregistruotų investicinių fondų tipų ir jų valdomo turto kaitos 2001 – 2012 m. III ketv. analizė, leidžia nustatyti Lietuvos investicinių fondų bendras tendencijas bei padaryti tam tikras išvadas, kurios leistų suprasti, ar yra populiari investavimo priemonė. </w:t>
      </w:r>
    </w:p>
    <w:p w:rsidR="008A3759" w:rsidRPr="00891173" w:rsidRDefault="008A3759" w:rsidP="00130FAE">
      <w:pPr>
        <w:spacing w:line="360" w:lineRule="auto"/>
        <w:ind w:firstLine="567"/>
        <w:jc w:val="both"/>
      </w:pPr>
      <w:r w:rsidRPr="00891173">
        <w:t xml:space="preserve">Atlikus Lietuvos investicinių fondų rinkos analizę, pereinama prie jų veiklos rezultatų vertinimo, panaudojant </w:t>
      </w:r>
      <w:r w:rsidRPr="00891173">
        <w:rPr>
          <w:b/>
        </w:rPr>
        <w:t>Šarpo rodiklį, didžiausią ir mažiausią grąžą.</w:t>
      </w:r>
      <w:r w:rsidR="00130FAE" w:rsidRPr="00891173">
        <w:rPr>
          <w:b/>
        </w:rPr>
        <w:t xml:space="preserve"> </w:t>
      </w:r>
      <w:r w:rsidR="00130FAE" w:rsidRPr="00891173">
        <w:t>Į analizę įtraukiami licen</w:t>
      </w:r>
      <w:r w:rsidR="00BB5B9F">
        <w:t>z</w:t>
      </w:r>
      <w:r w:rsidR="00130FAE" w:rsidRPr="00891173">
        <w:t>ijuoti fondai Lietuvoje, kurie veiklą vykdo daugiau kaip metus.</w:t>
      </w:r>
    </w:p>
    <w:p w:rsidR="008A3759" w:rsidRPr="00891173" w:rsidRDefault="008A3759" w:rsidP="008A3759">
      <w:pPr>
        <w:autoSpaceDE w:val="0"/>
        <w:autoSpaceDN w:val="0"/>
        <w:adjustRightInd w:val="0"/>
        <w:spacing w:line="360" w:lineRule="auto"/>
        <w:ind w:firstLine="567"/>
        <w:jc w:val="both"/>
        <w:rPr>
          <w:color w:val="000000"/>
        </w:rPr>
      </w:pPr>
      <w:r w:rsidRPr="00891173">
        <w:rPr>
          <w:color w:val="000000"/>
        </w:rPr>
        <w:t>Norėdama apskaičiuoti investicinių fondų Šarpo rodiklį (žr. 5 formulę), naudojau šiuos rodiklius:</w:t>
      </w:r>
    </w:p>
    <w:p w:rsidR="008A3759" w:rsidRPr="00891173" w:rsidRDefault="008A3759" w:rsidP="00203D2D">
      <w:pPr>
        <w:numPr>
          <w:ilvl w:val="0"/>
          <w:numId w:val="26"/>
        </w:numPr>
        <w:autoSpaceDE w:val="0"/>
        <w:autoSpaceDN w:val="0"/>
        <w:adjustRightInd w:val="0"/>
        <w:spacing w:line="360" w:lineRule="auto"/>
        <w:ind w:left="0" w:firstLine="567"/>
        <w:jc w:val="both"/>
      </w:pPr>
      <w:r w:rsidRPr="00891173">
        <w:t>Investicinių fondų vidutinė metų grąža (vidutinis metų apskaitos vieneto vertės pokytis). Šis rodiklis skelbiamas NASDAQ OMX Baltijos rinkų tinklapyje bei fondų ataskaitose.</w:t>
      </w:r>
    </w:p>
    <w:p w:rsidR="008A3759" w:rsidRPr="00891173" w:rsidRDefault="008A3759" w:rsidP="00203D2D">
      <w:pPr>
        <w:numPr>
          <w:ilvl w:val="0"/>
          <w:numId w:val="26"/>
        </w:numPr>
        <w:autoSpaceDE w:val="0"/>
        <w:autoSpaceDN w:val="0"/>
        <w:adjustRightInd w:val="0"/>
        <w:spacing w:line="360" w:lineRule="auto"/>
        <w:ind w:left="0" w:firstLine="567"/>
        <w:jc w:val="both"/>
      </w:pPr>
      <w:r w:rsidRPr="00891173">
        <w:t>IF grąžos vidutinis metų standartinis nuokrypis (</w:t>
      </w:r>
      <m:oMath>
        <m:r>
          <w:rPr>
            <w:rFonts w:ascii="Cambria Math" w:hAnsi="Cambria Math"/>
            <w:sz w:val="28"/>
            <w:szCs w:val="28"/>
          </w:rPr>
          <m:t>σ)</m:t>
        </m:r>
      </m:oMath>
      <w:r w:rsidRPr="00891173">
        <w:t>. Jis būna skelbiamas i</w:t>
      </w:r>
      <w:r w:rsidRPr="00891173">
        <w:rPr>
          <w:color w:val="000000"/>
        </w:rPr>
        <w:t>nvesticinių fondų valdymo įmonės fondų metinėse ataskaitose.</w:t>
      </w:r>
    </w:p>
    <w:p w:rsidR="008A3759" w:rsidRPr="00891173" w:rsidRDefault="008A3759" w:rsidP="00203D2D">
      <w:pPr>
        <w:numPr>
          <w:ilvl w:val="0"/>
          <w:numId w:val="26"/>
        </w:numPr>
        <w:autoSpaceDE w:val="0"/>
        <w:autoSpaceDN w:val="0"/>
        <w:adjustRightInd w:val="0"/>
        <w:spacing w:after="120" w:line="360" w:lineRule="auto"/>
        <w:ind w:left="0" w:firstLine="567"/>
        <w:jc w:val="both"/>
      </w:pPr>
      <w:r w:rsidRPr="00891173">
        <w:t>Nerizikingos investicijos grąžos norma. Savo darbe nerizikinga investicija laikau vyriausybės vertybinius popierius (VVP) ir darau prielaidą, kad asmuo 2010 m. lapkričio 15 d. kaip alternatyvą investiciniams fondams</w:t>
      </w:r>
      <w:r w:rsidR="00A061EA" w:rsidRPr="00891173">
        <w:t>,</w:t>
      </w:r>
      <w:r w:rsidRPr="00891173">
        <w:t xml:space="preserve"> galėtų investuoti savo lėšas į VVP.  SEB Vilniaus banke tą dieną buvo galima nusipirkti 1912 dienų trukmės VVP, kurių charakteristikos pateikiamos 2 lentelėje.</w:t>
      </w:r>
    </w:p>
    <w:p w:rsidR="00EE4880" w:rsidRPr="00891173" w:rsidRDefault="00EE4880" w:rsidP="00EE4880">
      <w:pPr>
        <w:autoSpaceDE w:val="0"/>
        <w:autoSpaceDN w:val="0"/>
        <w:adjustRightInd w:val="0"/>
        <w:spacing w:after="120" w:line="360" w:lineRule="auto"/>
        <w:ind w:left="567"/>
        <w:jc w:val="both"/>
      </w:pPr>
    </w:p>
    <w:p w:rsidR="008A3759" w:rsidRPr="00891173" w:rsidRDefault="008A3759" w:rsidP="00130FAE">
      <w:pPr>
        <w:spacing w:line="360" w:lineRule="auto"/>
        <w:jc w:val="center"/>
        <w:rPr>
          <w:b/>
        </w:rPr>
      </w:pPr>
      <w:r w:rsidRPr="00891173">
        <w:rPr>
          <w:b/>
        </w:rPr>
        <w:t>2 lentelė. VVP pirkimo ir pardavimo kainos (iš finansų tarpininko pozicijos) 2010 11 15</w:t>
      </w:r>
    </w:p>
    <w:tbl>
      <w:tblPr>
        <w:tblW w:w="0" w:type="auto"/>
        <w:tblInd w:w="211" w:type="dxa"/>
        <w:tblLayout w:type="fixed"/>
        <w:tblLook w:val="0000"/>
      </w:tblPr>
      <w:tblGrid>
        <w:gridCol w:w="1877"/>
        <w:gridCol w:w="1620"/>
        <w:gridCol w:w="1327"/>
        <w:gridCol w:w="1260"/>
        <w:gridCol w:w="1260"/>
      </w:tblGrid>
      <w:tr w:rsidR="008A3759" w:rsidRPr="00891173" w:rsidTr="008A3759">
        <w:trPr>
          <w:trHeight w:val="255"/>
        </w:trPr>
        <w:tc>
          <w:tcPr>
            <w:tcW w:w="1877" w:type="dxa"/>
            <w:tcBorders>
              <w:top w:val="single" w:sz="3" w:space="0" w:color="000000"/>
              <w:left w:val="single" w:sz="3" w:space="0" w:color="000000"/>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ISIN kodas</w:t>
            </w:r>
          </w:p>
        </w:tc>
        <w:tc>
          <w:tcPr>
            <w:tcW w:w="1620"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Išpirkimo data</w:t>
            </w:r>
          </w:p>
        </w:tc>
        <w:tc>
          <w:tcPr>
            <w:tcW w:w="1327"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Pirkimo kaina</w:t>
            </w:r>
          </w:p>
        </w:tc>
        <w:tc>
          <w:tcPr>
            <w:tcW w:w="1260"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Pardavimo kaina</w:t>
            </w:r>
          </w:p>
        </w:tc>
        <w:tc>
          <w:tcPr>
            <w:tcW w:w="1260"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Atkarpos dydis</w:t>
            </w:r>
          </w:p>
        </w:tc>
      </w:tr>
      <w:tr w:rsidR="008A3759" w:rsidRPr="00891173" w:rsidTr="008A3759">
        <w:trPr>
          <w:trHeight w:val="255"/>
        </w:trPr>
        <w:tc>
          <w:tcPr>
            <w:tcW w:w="1877" w:type="dxa"/>
            <w:tcBorders>
              <w:top w:val="nil"/>
              <w:left w:val="single" w:sz="3" w:space="0" w:color="000000"/>
              <w:bottom w:val="single" w:sz="3" w:space="0" w:color="000000"/>
              <w:right w:val="single" w:sz="3" w:space="0" w:color="000000"/>
            </w:tcBorders>
            <w:vAlign w:val="center"/>
          </w:tcPr>
          <w:p w:rsidR="008A3759" w:rsidRPr="00891173" w:rsidRDefault="00D13548" w:rsidP="008A3759">
            <w:pPr>
              <w:autoSpaceDE w:val="0"/>
              <w:autoSpaceDN w:val="0"/>
              <w:adjustRightInd w:val="0"/>
              <w:spacing w:line="360" w:lineRule="auto"/>
              <w:jc w:val="both"/>
            </w:pPr>
            <w:hyperlink r:id="rId8" w:history="1"/>
            <w:r w:rsidR="008A3759" w:rsidRPr="00891173">
              <w:t>LT0000611014</w:t>
            </w:r>
          </w:p>
        </w:tc>
        <w:tc>
          <w:tcPr>
            <w:tcW w:w="1620"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2016 02 10</w:t>
            </w:r>
          </w:p>
        </w:tc>
        <w:tc>
          <w:tcPr>
            <w:tcW w:w="1327"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97,0037</w:t>
            </w:r>
          </w:p>
        </w:tc>
        <w:tc>
          <w:tcPr>
            <w:tcW w:w="1260"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99,2889</w:t>
            </w:r>
          </w:p>
        </w:tc>
        <w:tc>
          <w:tcPr>
            <w:tcW w:w="1260"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3,75%</w:t>
            </w:r>
          </w:p>
        </w:tc>
      </w:tr>
    </w:tbl>
    <w:p w:rsidR="008A3759" w:rsidRPr="00891173" w:rsidRDefault="008A3759" w:rsidP="008A3759">
      <w:pPr>
        <w:spacing w:after="100" w:afterAutospacing="1" w:line="360" w:lineRule="auto"/>
        <w:ind w:firstLine="567"/>
        <w:jc w:val="both"/>
      </w:pPr>
      <w:r w:rsidRPr="00891173">
        <w:rPr>
          <w:b/>
        </w:rPr>
        <w:t>Šaltinis:</w:t>
      </w:r>
      <w:r w:rsidRPr="00891173">
        <w:t xml:space="preserve"> Vertybinių popierių kainos. AB SEB Vilniaus bankas. Prieiga per internetą: </w:t>
      </w:r>
      <w:hyperlink r:id="rId9" w:history="1">
        <w:r w:rsidRPr="00891173">
          <w:rPr>
            <w:rStyle w:val="Hyperlink"/>
            <w:color w:val="auto"/>
            <w:u w:val="none"/>
          </w:rPr>
          <w:t>http://fin.seb.lt/vbfin/stocks/stocks.fw</w:t>
        </w:r>
      </w:hyperlink>
      <w:r w:rsidRPr="00891173">
        <w:t xml:space="preserve"> </w:t>
      </w:r>
    </w:p>
    <w:p w:rsidR="008A3759" w:rsidRPr="00891173" w:rsidRDefault="008A3759" w:rsidP="008A3759">
      <w:pPr>
        <w:autoSpaceDE w:val="0"/>
        <w:autoSpaceDN w:val="0"/>
        <w:adjustRightInd w:val="0"/>
        <w:spacing w:after="120" w:line="360" w:lineRule="auto"/>
        <w:ind w:firstLine="567"/>
        <w:jc w:val="both"/>
        <w:rPr>
          <w:bCs/>
        </w:rPr>
      </w:pPr>
      <w:r w:rsidRPr="00891173">
        <w:rPr>
          <w:bCs/>
        </w:rPr>
        <w:t>Kadangi įsigytus VVP norima parduoti anksčiau laiko, tai daroma prielaida, kad jie parduodami lygiai po dviejų metų 2012 m. lapkričio 15 d. Šio dienos vertė atsispindi 3 lentelėje.</w:t>
      </w:r>
    </w:p>
    <w:p w:rsidR="008A3759" w:rsidRPr="00891173" w:rsidRDefault="008A3759" w:rsidP="008A3759">
      <w:pPr>
        <w:autoSpaceDE w:val="0"/>
        <w:autoSpaceDN w:val="0"/>
        <w:adjustRightInd w:val="0"/>
        <w:spacing w:line="360" w:lineRule="auto"/>
        <w:ind w:firstLine="567"/>
        <w:jc w:val="both"/>
        <w:rPr>
          <w:b/>
        </w:rPr>
      </w:pPr>
      <w:r w:rsidRPr="00891173">
        <w:rPr>
          <w:b/>
          <w:bCs/>
        </w:rPr>
        <w:t>3 lentelė.</w:t>
      </w:r>
      <w:r w:rsidRPr="00891173">
        <w:rPr>
          <w:b/>
        </w:rPr>
        <w:t xml:space="preserve"> VVP pirkimo ir pardavimo kainos (iš finansų tarpininko pozicijos) 2012 11 15</w:t>
      </w:r>
    </w:p>
    <w:tbl>
      <w:tblPr>
        <w:tblW w:w="0" w:type="auto"/>
        <w:tblInd w:w="211" w:type="dxa"/>
        <w:tblLayout w:type="fixed"/>
        <w:tblLook w:val="0000"/>
      </w:tblPr>
      <w:tblGrid>
        <w:gridCol w:w="1877"/>
        <w:gridCol w:w="1620"/>
        <w:gridCol w:w="1260"/>
        <w:gridCol w:w="1416"/>
        <w:gridCol w:w="1104"/>
      </w:tblGrid>
      <w:tr w:rsidR="008A3759" w:rsidRPr="00891173" w:rsidTr="008A3759">
        <w:trPr>
          <w:trHeight w:val="255"/>
        </w:trPr>
        <w:tc>
          <w:tcPr>
            <w:tcW w:w="1877" w:type="dxa"/>
            <w:tcBorders>
              <w:top w:val="single" w:sz="3" w:space="0" w:color="000000"/>
              <w:left w:val="single" w:sz="3" w:space="0" w:color="000000"/>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ISIN kodas</w:t>
            </w:r>
          </w:p>
        </w:tc>
        <w:tc>
          <w:tcPr>
            <w:tcW w:w="1620"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Išpirkimo data</w:t>
            </w:r>
          </w:p>
        </w:tc>
        <w:tc>
          <w:tcPr>
            <w:tcW w:w="1260"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Pirkimo kaina</w:t>
            </w:r>
          </w:p>
        </w:tc>
        <w:tc>
          <w:tcPr>
            <w:tcW w:w="1416"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Pardavimo kaina</w:t>
            </w:r>
          </w:p>
        </w:tc>
        <w:tc>
          <w:tcPr>
            <w:tcW w:w="1104" w:type="dxa"/>
            <w:tcBorders>
              <w:top w:val="single" w:sz="3" w:space="0" w:color="000000"/>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Atkarpos dydis</w:t>
            </w:r>
          </w:p>
        </w:tc>
      </w:tr>
      <w:tr w:rsidR="008A3759" w:rsidRPr="00891173" w:rsidTr="008A3759">
        <w:trPr>
          <w:trHeight w:val="255"/>
        </w:trPr>
        <w:tc>
          <w:tcPr>
            <w:tcW w:w="1877" w:type="dxa"/>
            <w:tcBorders>
              <w:top w:val="nil"/>
              <w:left w:val="single" w:sz="3" w:space="0" w:color="000000"/>
              <w:bottom w:val="single" w:sz="3" w:space="0" w:color="000000"/>
              <w:right w:val="single" w:sz="3" w:space="0" w:color="000000"/>
            </w:tcBorders>
            <w:vAlign w:val="center"/>
          </w:tcPr>
          <w:p w:rsidR="008A3759" w:rsidRPr="00891173" w:rsidRDefault="00D13548" w:rsidP="008A3759">
            <w:pPr>
              <w:autoSpaceDE w:val="0"/>
              <w:autoSpaceDN w:val="0"/>
              <w:adjustRightInd w:val="0"/>
              <w:spacing w:line="360" w:lineRule="auto"/>
              <w:jc w:val="both"/>
            </w:pPr>
            <w:hyperlink r:id="rId10" w:history="1"/>
            <w:r w:rsidR="008A3759" w:rsidRPr="00891173">
              <w:t>LT0000611014</w:t>
            </w:r>
          </w:p>
        </w:tc>
        <w:tc>
          <w:tcPr>
            <w:tcW w:w="1620"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2016 02 10</w:t>
            </w:r>
          </w:p>
        </w:tc>
        <w:tc>
          <w:tcPr>
            <w:tcW w:w="1260"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104,9417</w:t>
            </w:r>
          </w:p>
        </w:tc>
        <w:tc>
          <w:tcPr>
            <w:tcW w:w="1416"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106,0691</w:t>
            </w:r>
          </w:p>
        </w:tc>
        <w:tc>
          <w:tcPr>
            <w:tcW w:w="1104" w:type="dxa"/>
            <w:tcBorders>
              <w:top w:val="nil"/>
              <w:left w:val="nil"/>
              <w:bottom w:val="single" w:sz="3" w:space="0" w:color="000000"/>
              <w:right w:val="single" w:sz="3" w:space="0" w:color="000000"/>
            </w:tcBorders>
            <w:vAlign w:val="center"/>
          </w:tcPr>
          <w:p w:rsidR="008A3759" w:rsidRPr="00891173" w:rsidRDefault="008A3759" w:rsidP="008A3759">
            <w:pPr>
              <w:autoSpaceDE w:val="0"/>
              <w:autoSpaceDN w:val="0"/>
              <w:adjustRightInd w:val="0"/>
              <w:spacing w:line="360" w:lineRule="auto"/>
              <w:jc w:val="both"/>
            </w:pPr>
            <w:r w:rsidRPr="00891173">
              <w:t>3,75%</w:t>
            </w:r>
          </w:p>
        </w:tc>
      </w:tr>
    </w:tbl>
    <w:p w:rsidR="008A3759" w:rsidRPr="00891173" w:rsidRDefault="008A3759" w:rsidP="008A3759">
      <w:pPr>
        <w:spacing w:after="120" w:line="360" w:lineRule="auto"/>
        <w:ind w:firstLine="567"/>
        <w:jc w:val="both"/>
      </w:pPr>
      <w:r w:rsidRPr="00891173">
        <w:rPr>
          <w:b/>
        </w:rPr>
        <w:t>Šaltinis:</w:t>
      </w:r>
      <w:r w:rsidRPr="00891173">
        <w:t xml:space="preserve"> Vertybinių popierių kainos. AB SEB Vilniaus bankas. Prieiga per internetą: </w:t>
      </w:r>
      <w:hyperlink r:id="rId11" w:history="1">
        <w:r w:rsidRPr="00891173">
          <w:rPr>
            <w:rStyle w:val="Hyperlink"/>
            <w:color w:val="auto"/>
            <w:u w:val="none"/>
          </w:rPr>
          <w:t>http://fin.seb.lt/vbfin/stocks/stocks.fw</w:t>
        </w:r>
      </w:hyperlink>
      <w:r w:rsidRPr="00891173">
        <w:t xml:space="preserve"> </w:t>
      </w:r>
    </w:p>
    <w:p w:rsidR="008A3759" w:rsidRPr="00891173" w:rsidRDefault="008A3759" w:rsidP="008A3759">
      <w:pPr>
        <w:autoSpaceDE w:val="0"/>
        <w:autoSpaceDN w:val="0"/>
        <w:adjustRightInd w:val="0"/>
        <w:spacing w:line="360" w:lineRule="auto"/>
        <w:ind w:firstLine="567"/>
        <w:jc w:val="both"/>
      </w:pPr>
      <w:r w:rsidRPr="00891173">
        <w:t>Investuotojas, nusipirkęs Vyriausybės vertybinių popierių 2010 m. lapkričio 15 d. už 99,2889 litus, jas parduotų 2012 m. lapričio 15d. už 104,9417 litų. Taip pat šiuo laikotarpiu jis dar gautų du atkarpos mokėjimus po 3,75 lito (2011 m. vasario 10 d. ir 2012 m. vasario 10 d.)</w:t>
      </w:r>
    </w:p>
    <w:p w:rsidR="008A3759" w:rsidRPr="00891173" w:rsidRDefault="008A3759" w:rsidP="008A3759">
      <w:pPr>
        <w:autoSpaceDE w:val="0"/>
        <w:autoSpaceDN w:val="0"/>
        <w:adjustRightInd w:val="0"/>
        <w:spacing w:line="360" w:lineRule="auto"/>
        <w:ind w:firstLine="567"/>
        <w:jc w:val="both"/>
      </w:pPr>
      <w:r w:rsidRPr="00891173">
        <w:t>Nerizikinga grąžos norma 2010 11 15 – 2012 11 15 laikotarpiu apskaičiuojama pagal būsimų pinigų srautų diskontavimo formulę, kai obligacijos atkarpos mokėjimai yra fiksuoti:</w:t>
      </w:r>
    </w:p>
    <w:p w:rsidR="008A3759" w:rsidRPr="00891173" w:rsidRDefault="008A3759" w:rsidP="008A3759">
      <w:pPr>
        <w:autoSpaceDE w:val="0"/>
        <w:autoSpaceDN w:val="0"/>
        <w:adjustRightInd w:val="0"/>
        <w:spacing w:line="360" w:lineRule="auto"/>
        <w:ind w:firstLine="567"/>
        <w:jc w:val="both"/>
      </w:pPr>
    </w:p>
    <w:p w:rsidR="008A3759" w:rsidRPr="00891173" w:rsidRDefault="008A3759" w:rsidP="008A3759">
      <w:pPr>
        <w:autoSpaceDE w:val="0"/>
        <w:autoSpaceDN w:val="0"/>
        <w:adjustRightInd w:val="0"/>
        <w:spacing w:line="360" w:lineRule="auto"/>
        <w:ind w:firstLine="567"/>
        <w:jc w:val="center"/>
      </w:pPr>
      <m:oMath>
        <m:r>
          <m:rPr>
            <m:sty m:val="p"/>
          </m:rPr>
          <w:rPr>
            <w:rFonts w:ascii="Cambria Math"/>
            <w:sz w:val="28"/>
            <w:szCs w:val="28"/>
          </w:rPr>
          <m:t>P</m:t>
        </m:r>
        <m:r>
          <w:rPr>
            <w:rFonts w:asci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1</m:t>
                </m:r>
              </m:sub>
            </m:sSub>
          </m:num>
          <m:den>
            <m:sSup>
              <m:sSupPr>
                <m:ctrlPr>
                  <w:rPr>
                    <w:rFonts w:ascii="Cambria Math" w:hAnsi="Cambria Math"/>
                    <w:sz w:val="28"/>
                    <w:szCs w:val="28"/>
                  </w:rPr>
                </m:ctrlPr>
              </m:sSupPr>
              <m:e>
                <m:d>
                  <m:dPr>
                    <m:ctrlPr>
                      <w:rPr>
                        <w:rFonts w:ascii="Cambria Math" w:hAnsi="Cambria Math"/>
                        <w:sz w:val="28"/>
                        <w:szCs w:val="28"/>
                      </w:rPr>
                    </m:ctrlPr>
                  </m:dPr>
                  <m:e>
                    <m:r>
                      <w:rPr>
                        <w:rFonts w:ascii="Cambria Math"/>
                        <w:sz w:val="28"/>
                        <w:szCs w:val="28"/>
                      </w:rPr>
                      <m:t>1+</m:t>
                    </m:r>
                    <m:r>
                      <w:rPr>
                        <w:rFonts w:ascii="Cambria Math" w:hAnsi="Cambria Math"/>
                        <w:sz w:val="28"/>
                        <w:szCs w:val="28"/>
                      </w:rPr>
                      <m:t>i</m:t>
                    </m:r>
                  </m:e>
                </m:d>
              </m:e>
              <m:sup>
                <m:r>
                  <m:rPr>
                    <m:sty m:val="p"/>
                  </m:rPr>
                  <w:rPr>
                    <w:rFonts w:ascii="Cambria Math"/>
                    <w:sz w:val="28"/>
                    <w:szCs w:val="28"/>
                  </w:rPr>
                  <m:t>1</m:t>
                </m:r>
              </m:sup>
            </m:sSup>
          </m:den>
        </m:f>
        <m:r>
          <w:rPr>
            <w:rFonts w:asci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sz w:val="28"/>
                    <w:szCs w:val="28"/>
                  </w:rPr>
                  <m:t>2</m:t>
                </m:r>
              </m:sub>
            </m:sSub>
          </m:num>
          <m:den>
            <m:sSup>
              <m:sSupPr>
                <m:ctrlPr>
                  <w:rPr>
                    <w:rFonts w:ascii="Cambria Math" w:hAnsi="Cambria Math"/>
                    <w:sz w:val="28"/>
                    <w:szCs w:val="28"/>
                  </w:rPr>
                </m:ctrlPr>
              </m:sSupPr>
              <m:e>
                <m:d>
                  <m:dPr>
                    <m:ctrlPr>
                      <w:rPr>
                        <w:rFonts w:ascii="Cambria Math" w:hAnsi="Cambria Math"/>
                        <w:sz w:val="28"/>
                        <w:szCs w:val="28"/>
                      </w:rPr>
                    </m:ctrlPr>
                  </m:dPr>
                  <m:e>
                    <m:r>
                      <w:rPr>
                        <w:rFonts w:ascii="Cambria Math"/>
                        <w:sz w:val="28"/>
                        <w:szCs w:val="28"/>
                      </w:rPr>
                      <m:t>1+</m:t>
                    </m:r>
                    <m:r>
                      <w:rPr>
                        <w:rFonts w:ascii="Cambria Math" w:hAnsi="Cambria Math"/>
                        <w:sz w:val="28"/>
                        <w:szCs w:val="28"/>
                      </w:rPr>
                      <m:t>i</m:t>
                    </m:r>
                  </m:e>
                </m:d>
              </m:e>
              <m:sup>
                <m:r>
                  <w:rPr>
                    <w:rFonts w:ascii="Cambria Math"/>
                    <w:sz w:val="28"/>
                    <w:szCs w:val="28"/>
                  </w:rPr>
                  <m:t>2</m:t>
                </m:r>
              </m:sup>
            </m:sSup>
          </m:den>
        </m:f>
        <m:r>
          <w:rPr>
            <w:rFonts w:ascii="Cambria Math"/>
            <w:sz w:val="28"/>
            <w:szCs w:val="28"/>
          </w:rPr>
          <m:t>+</m:t>
        </m:r>
        <m:r>
          <w:rPr>
            <w:rFonts w:ascii="Cambria Math"/>
            <w:sz w:val="28"/>
            <w:szCs w:val="28"/>
          </w:rPr>
          <m:t>…</m:t>
        </m:r>
        <m:r>
          <w:rPr>
            <w:rFonts w:ascii="Cambria Math"/>
            <w:sz w:val="28"/>
            <w:szCs w:val="28"/>
          </w:rPr>
          <m:t>+</m:t>
        </m:r>
        <m:f>
          <m:fPr>
            <m:ctrlPr>
              <w:rPr>
                <w:rFonts w:ascii="Cambria Math" w:hAnsi="Cambria Math"/>
                <w:sz w:val="28"/>
                <w:szCs w:val="28"/>
              </w:rPr>
            </m:ctrlPr>
          </m:fPr>
          <m:num>
            <m:sSub>
              <m:sSubPr>
                <m:ctrlPr>
                  <w:rPr>
                    <w:rFonts w:ascii="Cambria Math" w:hAnsi="Cambria Math"/>
                    <w:i/>
                    <w:sz w:val="28"/>
                    <w:szCs w:val="28"/>
                  </w:rPr>
                </m:ctrlPr>
              </m:sSubPr>
              <m:e>
                <m:r>
                  <w:rPr>
                    <w:rFonts w:ascii="Cambria Math" w:hAnsi="Cambria Math"/>
                    <w:sz w:val="28"/>
                    <w:szCs w:val="28"/>
                  </w:rPr>
                  <m:t>C</m:t>
                </m:r>
              </m:e>
              <m:sub>
                <m:r>
                  <w:rPr>
                    <w:rFonts w:ascii="Cambria Math" w:hAnsi="Cambria Math"/>
                    <w:sz w:val="28"/>
                    <w:szCs w:val="28"/>
                  </w:rPr>
                  <m:t>n</m:t>
                </m:r>
              </m:sub>
            </m:sSub>
            <m:r>
              <w:rPr>
                <w:rFonts w:asci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n</m:t>
                </m:r>
              </m:sub>
            </m:sSub>
          </m:num>
          <m:den>
            <m:sSup>
              <m:sSupPr>
                <m:ctrlPr>
                  <w:rPr>
                    <w:rFonts w:ascii="Cambria Math" w:hAnsi="Cambria Math"/>
                    <w:sz w:val="28"/>
                    <w:szCs w:val="28"/>
                  </w:rPr>
                </m:ctrlPr>
              </m:sSupPr>
              <m:e>
                <m:d>
                  <m:dPr>
                    <m:ctrlPr>
                      <w:rPr>
                        <w:rFonts w:ascii="Cambria Math" w:hAnsi="Cambria Math"/>
                        <w:sz w:val="28"/>
                        <w:szCs w:val="28"/>
                      </w:rPr>
                    </m:ctrlPr>
                  </m:dPr>
                  <m:e>
                    <m:r>
                      <w:rPr>
                        <w:rFonts w:ascii="Cambria Math"/>
                        <w:sz w:val="28"/>
                        <w:szCs w:val="28"/>
                      </w:rPr>
                      <m:t>1+</m:t>
                    </m:r>
                    <m:r>
                      <w:rPr>
                        <w:rFonts w:ascii="Cambria Math" w:hAnsi="Cambria Math"/>
                        <w:sz w:val="28"/>
                        <w:szCs w:val="28"/>
                      </w:rPr>
                      <m:t>i</m:t>
                    </m:r>
                  </m:e>
                </m:d>
              </m:e>
              <m:sup>
                <m:r>
                  <w:rPr>
                    <w:rFonts w:ascii="Cambria Math" w:hAnsi="Cambria Math"/>
                    <w:sz w:val="28"/>
                    <w:szCs w:val="28"/>
                  </w:rPr>
                  <m:t>n</m:t>
                </m:r>
              </m:sup>
            </m:sSup>
          </m:den>
        </m:f>
        <m:r>
          <m:rPr>
            <m:sty m:val="p"/>
          </m:rPr>
          <w:rPr>
            <w:rFonts w:ascii="Cambria Math"/>
            <w:sz w:val="28"/>
            <w:szCs w:val="28"/>
          </w:rPr>
          <m:t xml:space="preserve"> ,</m:t>
        </m:r>
      </m:oMath>
      <w:r w:rsidRPr="00891173">
        <w:t xml:space="preserve"> </w:t>
      </w:r>
      <w:r w:rsidRPr="00891173">
        <w:tab/>
        <w:t>(6)</w:t>
      </w:r>
    </w:p>
    <w:p w:rsidR="008A3759" w:rsidRPr="00891173" w:rsidRDefault="008A3759" w:rsidP="008A3759">
      <w:pPr>
        <w:autoSpaceDE w:val="0"/>
        <w:autoSpaceDN w:val="0"/>
        <w:adjustRightInd w:val="0"/>
        <w:spacing w:line="360" w:lineRule="auto"/>
        <w:ind w:firstLine="567"/>
        <w:jc w:val="both"/>
      </w:pPr>
    </w:p>
    <w:p w:rsidR="008A3759" w:rsidRPr="00891173" w:rsidRDefault="008A3759" w:rsidP="008A3759">
      <w:pPr>
        <w:autoSpaceDE w:val="0"/>
        <w:autoSpaceDN w:val="0"/>
        <w:adjustRightInd w:val="0"/>
        <w:spacing w:line="360" w:lineRule="auto"/>
        <w:ind w:firstLine="567"/>
        <w:jc w:val="both"/>
      </w:pPr>
      <w:r w:rsidRPr="00891173">
        <w:t>čia: P – obligacijos kaina, arba mokėjimo srautų dabartinė vertė;</w:t>
      </w:r>
    </w:p>
    <w:p w:rsidR="008A3759" w:rsidRPr="00891173" w:rsidRDefault="008A3759" w:rsidP="008A3759">
      <w:pPr>
        <w:spacing w:line="360" w:lineRule="auto"/>
        <w:ind w:firstLine="567"/>
        <w:jc w:val="both"/>
      </w:pPr>
      <w:r w:rsidRPr="00891173">
        <w:t>Ct (t= 1, 2, ..., n) – atkarpos t laikotarpiu;</w:t>
      </w:r>
    </w:p>
    <w:p w:rsidR="008A3759" w:rsidRPr="00891173" w:rsidRDefault="00D13548" w:rsidP="008A3759">
      <w:pPr>
        <w:spacing w:line="360" w:lineRule="auto"/>
        <w:ind w:firstLine="567"/>
        <w:jc w:val="both"/>
      </w:pPr>
      <m:oMath>
        <m:sSub>
          <m:sSubPr>
            <m:ctrlPr>
              <w:rPr>
                <w:rFonts w:ascii="Cambria Math" w:hAnsi="Cambria Math"/>
                <w:i/>
              </w:rPr>
            </m:ctrlPr>
          </m:sSubPr>
          <m:e>
            <m:r>
              <w:rPr>
                <w:rFonts w:ascii="Cambria Math" w:hAnsi="Cambria Math"/>
              </w:rPr>
              <m:t>F</m:t>
            </m:r>
          </m:e>
          <m:sub>
            <m:r>
              <w:rPr>
                <w:rFonts w:ascii="Cambria Math" w:hAnsi="Cambria Math"/>
              </w:rPr>
              <m:t>n</m:t>
            </m:r>
          </m:sub>
        </m:sSub>
      </m:oMath>
      <w:r w:rsidR="008A3759" w:rsidRPr="00891173">
        <w:t xml:space="preserve"> – obligacijos termino, arba išpirkimo vertė;</w:t>
      </w:r>
    </w:p>
    <w:p w:rsidR="008A3759" w:rsidRPr="00891173" w:rsidRDefault="008A3759" w:rsidP="008A3759">
      <w:pPr>
        <w:spacing w:after="120" w:line="360" w:lineRule="auto"/>
        <w:ind w:firstLine="567"/>
        <w:jc w:val="both"/>
      </w:pPr>
      <w:r w:rsidRPr="00891173">
        <w:t xml:space="preserve">n – laikotarpių iki termino skaičius. </w:t>
      </w:r>
    </w:p>
    <w:p w:rsidR="008A3759" w:rsidRPr="00891173" w:rsidRDefault="008A3759" w:rsidP="008A3759">
      <w:pPr>
        <w:spacing w:line="360" w:lineRule="auto"/>
        <w:ind w:firstLine="567"/>
        <w:jc w:val="both"/>
      </w:pPr>
      <w:r w:rsidRPr="00891173">
        <w:t>Įstačiusi skaitmenines rodiklių reikšmes, gavau tokią lygtį:</w:t>
      </w:r>
    </w:p>
    <w:p w:rsidR="008A3759" w:rsidRPr="00891173" w:rsidRDefault="008A3759" w:rsidP="008A3759">
      <w:pPr>
        <w:spacing w:line="360" w:lineRule="auto"/>
        <w:ind w:firstLine="567"/>
        <w:jc w:val="both"/>
      </w:pPr>
    </w:p>
    <w:p w:rsidR="008A3759" w:rsidRPr="00891173" w:rsidRDefault="008A3759" w:rsidP="008A3759">
      <w:pPr>
        <w:spacing w:line="360" w:lineRule="auto"/>
        <w:jc w:val="both"/>
        <w:rPr>
          <w:rFonts w:eastAsiaTheme="minorEastAsia"/>
        </w:rPr>
      </w:pPr>
      <m:oMathPara>
        <m:oMathParaPr>
          <m:jc m:val="center"/>
        </m:oMathParaPr>
        <m:oMath>
          <m:r>
            <m:rPr>
              <m:sty m:val="p"/>
            </m:rPr>
            <w:rPr>
              <w:rFonts w:ascii="Cambria Math"/>
            </w:rPr>
            <m:t>99,2889</m:t>
          </m:r>
          <m:r>
            <w:rPr>
              <w:rFonts w:ascii="Cambria Math"/>
            </w:rPr>
            <m:t>=</m:t>
          </m:r>
          <m:f>
            <m:fPr>
              <m:ctrlPr>
                <w:rPr>
                  <w:rFonts w:ascii="Cambria Math" w:hAnsi="Cambria Math"/>
                </w:rPr>
              </m:ctrlPr>
            </m:fPr>
            <m:num>
              <m:r>
                <w:rPr>
                  <w:rFonts w:ascii="Cambria Math"/>
                </w:rPr>
                <m:t>3,75</m:t>
              </m:r>
            </m:num>
            <m:den>
              <m:sSup>
                <m:sSupPr>
                  <m:ctrlPr>
                    <w:rPr>
                      <w:rFonts w:ascii="Cambria Math" w:hAnsi="Cambria Math"/>
                    </w:rPr>
                  </m:ctrlPr>
                </m:sSupPr>
                <m:e>
                  <m:d>
                    <m:dPr>
                      <m:ctrlPr>
                        <w:rPr>
                          <w:rFonts w:ascii="Cambria Math" w:hAnsi="Cambria Math"/>
                        </w:rPr>
                      </m:ctrlPr>
                    </m:dPr>
                    <m:e>
                      <m:r>
                        <w:rPr>
                          <w:rFonts w:ascii="Cambria Math"/>
                        </w:rPr>
                        <m:t>1+</m:t>
                      </m:r>
                      <m:r>
                        <w:rPr>
                          <w:rFonts w:ascii="Cambria Math" w:hAnsi="Cambria Math"/>
                        </w:rPr>
                        <m:t>i</m:t>
                      </m:r>
                    </m:e>
                  </m:d>
                </m:e>
                <m:sup>
                  <m:r>
                    <m:rPr>
                      <m:sty m:val="p"/>
                    </m:rPr>
                    <w:rPr>
                      <w:rFonts w:ascii="Cambria Math"/>
                    </w:rPr>
                    <m:t>87/365</m:t>
                  </m:r>
                </m:sup>
              </m:sSup>
            </m:den>
          </m:f>
          <m:r>
            <w:rPr>
              <w:rFonts w:ascii="Cambria Math"/>
            </w:rPr>
            <m:t>+</m:t>
          </m:r>
          <m:f>
            <m:fPr>
              <m:ctrlPr>
                <w:rPr>
                  <w:rFonts w:ascii="Cambria Math" w:hAnsi="Cambria Math"/>
                </w:rPr>
              </m:ctrlPr>
            </m:fPr>
            <m:num>
              <m:r>
                <w:rPr>
                  <w:rFonts w:ascii="Cambria Math"/>
                </w:rPr>
                <m:t>3,75</m:t>
              </m:r>
            </m:num>
            <m:den>
              <m:sSup>
                <m:sSupPr>
                  <m:ctrlPr>
                    <w:rPr>
                      <w:rFonts w:ascii="Cambria Math" w:hAnsi="Cambria Math"/>
                    </w:rPr>
                  </m:ctrlPr>
                </m:sSupPr>
                <m:e>
                  <m:d>
                    <m:dPr>
                      <m:ctrlPr>
                        <w:rPr>
                          <w:rFonts w:ascii="Cambria Math" w:hAnsi="Cambria Math"/>
                        </w:rPr>
                      </m:ctrlPr>
                    </m:dPr>
                    <m:e>
                      <m:r>
                        <w:rPr>
                          <w:rFonts w:ascii="Cambria Math"/>
                        </w:rPr>
                        <m:t>1+</m:t>
                      </m:r>
                      <m:r>
                        <w:rPr>
                          <w:rFonts w:ascii="Cambria Math" w:hAnsi="Cambria Math"/>
                        </w:rPr>
                        <m:t>i</m:t>
                      </m:r>
                    </m:e>
                  </m:d>
                </m:e>
                <m:sup>
                  <m:r>
                    <w:rPr>
                      <w:rFonts w:ascii="Cambria Math"/>
                    </w:rPr>
                    <m:t>452/365</m:t>
                  </m:r>
                </m:sup>
              </m:sSup>
            </m:den>
          </m:f>
          <m:r>
            <w:rPr>
              <w:rFonts w:ascii="Cambria Math"/>
            </w:rPr>
            <m:t>+</m:t>
          </m:r>
          <m:f>
            <m:fPr>
              <m:ctrlPr>
                <w:rPr>
                  <w:rFonts w:ascii="Cambria Math" w:hAnsi="Cambria Math"/>
                </w:rPr>
              </m:ctrlPr>
            </m:fPr>
            <m:num>
              <m:r>
                <w:rPr>
                  <w:rFonts w:ascii="Cambria Math"/>
                </w:rPr>
                <m:t>104,9417</m:t>
              </m:r>
            </m:num>
            <m:den>
              <m:sSup>
                <m:sSupPr>
                  <m:ctrlPr>
                    <w:rPr>
                      <w:rFonts w:ascii="Cambria Math" w:hAnsi="Cambria Math"/>
                    </w:rPr>
                  </m:ctrlPr>
                </m:sSupPr>
                <m:e>
                  <m:d>
                    <m:dPr>
                      <m:ctrlPr>
                        <w:rPr>
                          <w:rFonts w:ascii="Cambria Math" w:hAnsi="Cambria Math"/>
                        </w:rPr>
                      </m:ctrlPr>
                    </m:dPr>
                    <m:e>
                      <m:r>
                        <w:rPr>
                          <w:rFonts w:ascii="Cambria Math"/>
                        </w:rPr>
                        <m:t>1+</m:t>
                      </m:r>
                      <m:r>
                        <w:rPr>
                          <w:rFonts w:ascii="Cambria Math" w:hAnsi="Cambria Math"/>
                        </w:rPr>
                        <m:t>i</m:t>
                      </m:r>
                    </m:e>
                  </m:d>
                </m:e>
                <m:sup>
                  <m:r>
                    <w:rPr>
                      <w:rFonts w:ascii="Cambria Math"/>
                    </w:rPr>
                    <m:t>730/365</m:t>
                  </m:r>
                </m:sup>
              </m:sSup>
            </m:den>
          </m:f>
          <m:r>
            <m:rPr>
              <m:sty m:val="p"/>
            </m:rPr>
            <w:rPr>
              <w:rFonts w:ascii="Cambria Math"/>
            </w:rPr>
            <m:t xml:space="preserve"> ,</m:t>
          </m:r>
        </m:oMath>
      </m:oMathPara>
    </w:p>
    <w:p w:rsidR="008A3759" w:rsidRPr="00891173" w:rsidRDefault="008A3759" w:rsidP="008A3759">
      <w:pPr>
        <w:spacing w:line="360" w:lineRule="auto"/>
        <w:jc w:val="both"/>
      </w:pPr>
    </w:p>
    <w:p w:rsidR="008A3759" w:rsidRPr="00891173" w:rsidRDefault="008A3759" w:rsidP="008A3759">
      <w:pPr>
        <w:spacing w:line="360" w:lineRule="auto"/>
        <w:ind w:firstLine="567"/>
        <w:jc w:val="both"/>
      </w:pPr>
      <w:r w:rsidRPr="00891173">
        <w:t>Paskaičiuotas nežinomasis</w:t>
      </w:r>
      <w:r w:rsidRPr="00891173">
        <w:rPr>
          <w:i/>
        </w:rPr>
        <w:t xml:space="preserve"> i</w:t>
      </w:r>
      <w:r w:rsidRPr="00891173">
        <w:t xml:space="preserve">  yra nerizikingos grąžos norma, kuri lygi </w:t>
      </w:r>
      <w:r w:rsidRPr="00891173">
        <w:rPr>
          <w:color w:val="000000" w:themeColor="text1"/>
        </w:rPr>
        <w:t>6,72</w:t>
      </w:r>
      <w:r w:rsidRPr="00891173">
        <w:t xml:space="preserve"> procento.</w:t>
      </w:r>
    </w:p>
    <w:p w:rsidR="008A3759" w:rsidRPr="00891173" w:rsidRDefault="008A3759" w:rsidP="008A3759">
      <w:pPr>
        <w:spacing w:line="360" w:lineRule="auto"/>
        <w:ind w:firstLine="567"/>
        <w:jc w:val="both"/>
      </w:pPr>
      <w:r w:rsidRPr="00891173">
        <w:lastRenderedPageBreak/>
        <w:t xml:space="preserve">Įvertinus fondus pagal </w:t>
      </w:r>
      <w:r w:rsidR="00A061EA" w:rsidRPr="00891173">
        <w:t>Šarpo rodiklį, nustatoma, kokią</w:t>
      </w:r>
      <w:r w:rsidRPr="00891173">
        <w:t xml:space="preserve"> dižiausią ir mažiausią grąžą gali teikti fondai.  Di</w:t>
      </w:r>
      <w:r w:rsidR="00A061EA" w:rsidRPr="00891173">
        <w:t>d</w:t>
      </w:r>
      <w:r w:rsidRPr="00891173">
        <w:t>žiausios ir mažiausios grąžos dydžiai paskaičiuojami, naudojantis šia formule:</w:t>
      </w:r>
    </w:p>
    <w:p w:rsidR="008A3759" w:rsidRPr="00891173" w:rsidRDefault="008A3759" w:rsidP="008A3759">
      <w:pPr>
        <w:spacing w:line="360" w:lineRule="auto"/>
        <w:ind w:firstLine="567"/>
        <w:jc w:val="both"/>
      </w:pPr>
    </w:p>
    <w:p w:rsidR="008A3759" w:rsidRPr="00891173" w:rsidRDefault="008A3759" w:rsidP="008A3759">
      <w:pPr>
        <w:spacing w:after="120" w:line="360" w:lineRule="auto"/>
        <w:ind w:firstLine="567"/>
        <w:jc w:val="center"/>
        <w:rPr>
          <w:rFonts w:eastAsiaTheme="minorEastAsia"/>
        </w:rPr>
      </w:pPr>
      <m:oMath>
        <m:r>
          <w:rPr>
            <w:rFonts w:ascii="Cambria Math" w:hAnsi="Cambria Math"/>
            <w:sz w:val="28"/>
            <w:szCs w:val="28"/>
          </w:rPr>
          <m:t>x ±2 σ</m:t>
        </m:r>
      </m:oMath>
      <w:r w:rsidRPr="00891173">
        <w:rPr>
          <w:rFonts w:eastAsiaTheme="minorEastAsia"/>
          <w:sz w:val="28"/>
          <w:szCs w:val="28"/>
        </w:rPr>
        <w:t xml:space="preserve">         </w:t>
      </w:r>
      <w:r w:rsidRPr="00891173">
        <w:rPr>
          <w:rFonts w:eastAsiaTheme="minorEastAsia"/>
        </w:rPr>
        <w:t>(7)</w:t>
      </w:r>
    </w:p>
    <w:p w:rsidR="008A3759" w:rsidRPr="00891173" w:rsidRDefault="008A3759" w:rsidP="008A3759">
      <w:pPr>
        <w:spacing w:line="360" w:lineRule="auto"/>
        <w:ind w:firstLine="567"/>
        <w:jc w:val="both"/>
      </w:pPr>
      <w:r w:rsidRPr="00891173">
        <w:t>Palyginus vertinimo rodiklius, nustatoma, kas įtakoja fondų pokyčius, kokie fondai yra pelningiausi, pateikiami siūlymai dėl fondų vertinimo, pasirenkant investicinius fondus.</w:t>
      </w:r>
    </w:p>
    <w:p w:rsidR="008A3759" w:rsidRPr="00891173" w:rsidRDefault="008A3759" w:rsidP="008A3759">
      <w:pPr>
        <w:spacing w:line="360" w:lineRule="auto"/>
        <w:ind w:firstLine="567"/>
        <w:jc w:val="both"/>
      </w:pPr>
      <w:r w:rsidRPr="00891173">
        <w:t xml:space="preserve">Norint nustatyti esminius kriterijus, kuriais remiasi Lietuvos gyventojai, pasirinkdami investicinius fondus, atliekama </w:t>
      </w:r>
      <w:r w:rsidRPr="00891173">
        <w:rPr>
          <w:b/>
        </w:rPr>
        <w:t>anoniminė anketinė apklausa</w:t>
      </w:r>
      <w:r w:rsidRPr="00891173">
        <w:t>. Jos metu siekta atskleisti esamų investicinių fondų dalyvių pasirinkimo kriterijus, kuriais remiantis, investuoja į fondus</w:t>
      </w:r>
      <w:r w:rsidR="00A061EA" w:rsidRPr="00891173">
        <w:t>. T</w:t>
      </w:r>
      <w:r w:rsidRPr="00891173">
        <w:t>aip pat siekta išsiaiškinti dalyvių nuomonę apie investicinių fondų veiklos ypatumus.</w:t>
      </w:r>
    </w:p>
    <w:p w:rsidR="008A3759" w:rsidRPr="00891173" w:rsidRDefault="00A061EA" w:rsidP="008A3759">
      <w:pPr>
        <w:spacing w:line="360" w:lineRule="auto"/>
        <w:ind w:firstLine="567"/>
        <w:jc w:val="both"/>
      </w:pPr>
      <w:r w:rsidRPr="00891173">
        <w:t>T</w:t>
      </w:r>
      <w:r w:rsidR="008A3759" w:rsidRPr="00891173">
        <w:t>eigia</w:t>
      </w:r>
      <w:r w:rsidRPr="00891173">
        <w:t>ma</w:t>
      </w:r>
      <w:r w:rsidR="008A3759" w:rsidRPr="00891173">
        <w:t xml:space="preserve">, kad anketa yra aiški, nedviprasmiška ir patikima kaip įstatymas. Kadangi anketinė apklausa garantuoja respondentų anonimiškumą, tai padidina informacijos teisingumą, objektyvumą. </w:t>
      </w:r>
    </w:p>
    <w:p w:rsidR="008A3759" w:rsidRPr="00891173" w:rsidRDefault="008A3759" w:rsidP="008A3759">
      <w:pPr>
        <w:spacing w:line="360" w:lineRule="auto"/>
        <w:ind w:firstLine="567"/>
        <w:jc w:val="both"/>
      </w:pPr>
      <w:r w:rsidRPr="00891173">
        <w:t>Anke</w:t>
      </w:r>
      <w:r w:rsidR="00A41E05">
        <w:t>ta susideda iš 22 standartizuotų</w:t>
      </w:r>
      <w:r w:rsidRPr="00891173">
        <w:t xml:space="preserve"> klausim</w:t>
      </w:r>
      <w:r w:rsidR="00A41E05">
        <w:t>ų</w:t>
      </w:r>
      <w:r w:rsidRPr="00891173">
        <w:t>, sudarytų remiantis darbo teorine analize, mokslinėje literatūroje siūlomomis rekomendacijomis bei praktiniais pavyzdžiais (žr. 6 priedas). Anketoje naudojami uždari klausimai. Respondentas galėjo pasirinkti vieną jam priimtiną atsakymo variantą, o kai kuriuose klausimuose buvo galima pasirinkti iki kelių galimų atsakymo variantų.</w:t>
      </w:r>
    </w:p>
    <w:p w:rsidR="008A3759" w:rsidRPr="00891173" w:rsidRDefault="008A3759" w:rsidP="008A3759">
      <w:pPr>
        <w:spacing w:line="360" w:lineRule="auto"/>
        <w:ind w:firstLine="567"/>
        <w:jc w:val="both"/>
      </w:pPr>
      <w:r w:rsidRPr="00891173">
        <w:rPr>
          <w:bCs/>
          <w:i/>
        </w:rPr>
        <w:t>Imties atrinkimas</w:t>
      </w:r>
      <w:r w:rsidRPr="00891173">
        <w:rPr>
          <w:i/>
        </w:rPr>
        <w:t>.</w:t>
      </w:r>
      <w:r w:rsidRPr="00891173">
        <w:t xml:space="preserve"> Į tyrimo generalinę visumą buvo įtraukti esami investicinių fondų dalyviai, t. y. asmenys investuojantys į investicinius fondus. Remiantis Lietuvos banko 2012 m. III ketvirčio duomenimis, kolektyvinių Lietuvos ir užsienio investavimo objektų dalyvių skaičius siekė 73489. </w:t>
      </w:r>
    </w:p>
    <w:p w:rsidR="008A3759" w:rsidRPr="00891173" w:rsidRDefault="008A3759" w:rsidP="008A3759">
      <w:pPr>
        <w:tabs>
          <w:tab w:val="left" w:leader="dot" w:pos="9356"/>
        </w:tabs>
        <w:spacing w:after="120" w:line="360" w:lineRule="auto"/>
        <w:ind w:firstLine="567"/>
        <w:jc w:val="both"/>
      </w:pPr>
      <w:r w:rsidRPr="00891173">
        <w:t>Tyrimas buvo atliekamas remiantis žemiau pateikta imties dydžio formule (Volodzkienė, 2004, p. 113), pagal kurią tyrimo imtis lygi:</w:t>
      </w:r>
    </w:p>
    <w:p w:rsidR="008A3759" w:rsidRPr="00891173" w:rsidRDefault="008A3759" w:rsidP="008A3759">
      <w:pPr>
        <w:tabs>
          <w:tab w:val="left" w:leader="dot" w:pos="9356"/>
        </w:tabs>
        <w:spacing w:after="120" w:line="360" w:lineRule="auto"/>
        <w:ind w:firstLine="992"/>
        <w:jc w:val="both"/>
        <w:rPr>
          <w:i/>
        </w:rPr>
      </w:pPr>
      <m:oMathPara>
        <m:oMath>
          <m:r>
            <w:rPr>
              <w:rFonts w:ascii="Cambria Math" w:hAnsi="Cambria Math"/>
            </w:rPr>
            <m:t>n</m:t>
          </m:r>
          <m:r>
            <w:rPr>
              <w:rFonts w:ascii="Cambria Math"/>
            </w:rPr>
            <m:t>=</m:t>
          </m:r>
          <m:f>
            <m:fPr>
              <m:ctrlPr>
                <w:rPr>
                  <w:rFonts w:ascii="Cambria Math" w:hAnsi="Cambria Math"/>
                  <w:i/>
                </w:rPr>
              </m:ctrlPr>
            </m:fPr>
            <m:num>
              <m:r>
                <w:rPr>
                  <w:rFonts w:ascii="Cambria Math"/>
                </w:rPr>
                <m:t>1</m:t>
              </m:r>
            </m:num>
            <m:den>
              <m:sSup>
                <m:sSupPr>
                  <m:ctrlPr>
                    <w:rPr>
                      <w:rFonts w:ascii="Cambria Math" w:hAnsi="Cambria Math"/>
                      <w:i/>
                    </w:rPr>
                  </m:ctrlPr>
                </m:sSupPr>
                <m:e>
                  <m:r>
                    <m:t>∆</m:t>
                  </m:r>
                </m:e>
                <m:sup>
                  <m:r>
                    <w:rPr>
                      <w:rFonts w:ascii="Cambria Math"/>
                    </w:rPr>
                    <m:t>2</m:t>
                  </m:r>
                </m:sup>
              </m:sSup>
              <m:r>
                <w:rPr>
                  <w:rFonts w:ascii="Cambria Math"/>
                </w:rPr>
                <m:t>+</m:t>
              </m:r>
              <m:f>
                <m:fPr>
                  <m:ctrlPr>
                    <w:rPr>
                      <w:rFonts w:ascii="Cambria Math" w:hAnsi="Cambria Math"/>
                      <w:i/>
                    </w:rPr>
                  </m:ctrlPr>
                </m:fPr>
                <m:num>
                  <m:r>
                    <w:rPr>
                      <w:rFonts w:ascii="Cambria Math"/>
                    </w:rPr>
                    <m:t>1</m:t>
                  </m:r>
                </m:num>
                <m:den>
                  <m:r>
                    <w:rPr>
                      <w:rFonts w:ascii="Cambria Math" w:hAnsi="Cambria Math"/>
                    </w:rPr>
                    <m:t>N</m:t>
                  </m:r>
                </m:den>
              </m:f>
            </m:den>
          </m:f>
          <m:r>
            <w:rPr>
              <w:rFonts w:ascii="Cambria Math"/>
            </w:rPr>
            <m:t>=</m:t>
          </m:r>
          <m:f>
            <m:fPr>
              <m:ctrlPr>
                <w:rPr>
                  <w:rFonts w:ascii="Cambria Math" w:hAnsi="Cambria Math"/>
                  <w:i/>
                </w:rPr>
              </m:ctrlPr>
            </m:fPr>
            <m:num>
              <m:r>
                <w:rPr>
                  <w:rFonts w:ascii="Cambria Math"/>
                </w:rPr>
                <m:t>1</m:t>
              </m:r>
            </m:num>
            <m:den>
              <m:sSup>
                <m:sSupPr>
                  <m:ctrlPr>
                    <w:rPr>
                      <w:rFonts w:ascii="Cambria Math" w:hAnsi="Cambria Math"/>
                      <w:i/>
                    </w:rPr>
                  </m:ctrlPr>
                </m:sSupPr>
                <m:e>
                  <m:r>
                    <w:rPr>
                      <w:rFonts w:ascii="Cambria Math"/>
                    </w:rPr>
                    <m:t>0.09</m:t>
                  </m:r>
                </m:e>
                <m:sup>
                  <m:r>
                    <w:rPr>
                      <w:rFonts w:ascii="Cambria Math"/>
                    </w:rPr>
                    <m:t>2</m:t>
                  </m:r>
                </m:sup>
              </m:sSup>
              <m:r>
                <w:rPr>
                  <w:rFonts w:ascii="Cambria Math"/>
                </w:rPr>
                <m:t>+</m:t>
              </m:r>
              <m:f>
                <m:fPr>
                  <m:ctrlPr>
                    <w:rPr>
                      <w:rFonts w:ascii="Cambria Math" w:hAnsi="Cambria Math"/>
                      <w:i/>
                    </w:rPr>
                  </m:ctrlPr>
                </m:fPr>
                <m:num>
                  <m:r>
                    <w:rPr>
                      <w:rFonts w:ascii="Cambria Math"/>
                    </w:rPr>
                    <m:t>1</m:t>
                  </m:r>
                </m:num>
                <m:den>
                  <m:r>
                    <w:rPr>
                      <w:rFonts w:ascii="Cambria Math"/>
                    </w:rPr>
                    <m:t>73489</m:t>
                  </m:r>
                </m:den>
              </m:f>
            </m:den>
          </m:f>
          <m:r>
            <m:t>≈</m:t>
          </m:r>
          <m:r>
            <w:rPr>
              <w:rFonts w:ascii="Cambria Math"/>
            </w:rPr>
            <m:t>123 (</m:t>
          </m:r>
          <m:r>
            <w:rPr>
              <w:rFonts w:ascii="Cambria Math" w:hAnsi="Cambria Math"/>
            </w:rPr>
            <m:t>respondentai</m:t>
          </m:r>
          <m:r>
            <w:rPr>
              <w:rFonts w:ascii="Cambria Math"/>
            </w:rPr>
            <m:t>)</m:t>
          </m:r>
        </m:oMath>
      </m:oMathPara>
    </w:p>
    <w:p w:rsidR="008A3759" w:rsidRPr="00891173" w:rsidRDefault="008A3759" w:rsidP="008A3759">
      <w:pPr>
        <w:pStyle w:val="Default"/>
        <w:spacing w:line="360" w:lineRule="auto"/>
      </w:pPr>
      <w:r w:rsidRPr="00891173">
        <w:t xml:space="preserve">kur: n – atrankinės visumos dydis, reikiamas apklausti respondentų skaičius; </w:t>
      </w:r>
    </w:p>
    <w:p w:rsidR="008A3759" w:rsidRPr="00891173" w:rsidRDefault="008A3759" w:rsidP="008A3759">
      <w:pPr>
        <w:pStyle w:val="Default"/>
        <w:spacing w:line="360" w:lineRule="auto"/>
      </w:pPr>
      <w:r w:rsidRPr="00891173">
        <w:t xml:space="preserve">Δ – leidžiamas paklaidos dydis (taikoma paklaida 9 %, kurią gauname su 0,91 tikimybe); </w:t>
      </w:r>
    </w:p>
    <w:p w:rsidR="008A3759" w:rsidRPr="00891173" w:rsidRDefault="008A3759" w:rsidP="008A3759">
      <w:pPr>
        <w:spacing w:line="360" w:lineRule="auto"/>
      </w:pPr>
      <w:r w:rsidRPr="00891173">
        <w:t>N – generalinė visuma – investicinių fondų dalyvių skaičius.</w:t>
      </w:r>
    </w:p>
    <w:p w:rsidR="008A3759" w:rsidRPr="00891173" w:rsidRDefault="008A3759" w:rsidP="008A3759">
      <w:pPr>
        <w:spacing w:after="200" w:line="360" w:lineRule="auto"/>
        <w:ind w:firstLine="567"/>
        <w:jc w:val="both"/>
      </w:pPr>
      <w:r w:rsidRPr="00891173">
        <w:t>Tyrimas buvo atliktas 2012 m. spalio 15d. – gruodžio 8d. Respondentai apklausiami viešoje ir internetinėje erdvėje, siekiant apimti įvairius investicinių fondų dalyvius. Tyrimo metu naudota atsitiktinė dalyvių atranka, nes kiekvienas generalinis visumos narys, šiuo atveju – kiekvienas investicinių fondų dalyvis, turėjo galimybę pakliūti į imtį. Pasibaigus apklausos procesui vykdomas pirminis klausimyno duomenų apdorojimas excel programa, vėliau – rezultatų analizė, apibendrinimas bei pateikiamos išvados.</w:t>
      </w:r>
    </w:p>
    <w:p w:rsidR="00676026" w:rsidRPr="00891173" w:rsidRDefault="00DA6F3A" w:rsidP="00D35728">
      <w:pPr>
        <w:pStyle w:val="Heading2"/>
        <w:rPr>
          <w:b/>
        </w:rPr>
      </w:pPr>
      <w:bookmarkStart w:id="7" w:name="_Toc343601999"/>
      <w:r w:rsidRPr="00891173">
        <w:rPr>
          <w:b/>
        </w:rPr>
        <w:lastRenderedPageBreak/>
        <w:t xml:space="preserve">LIETUVOS INVESTICINIŲ FONDŲ </w:t>
      </w:r>
      <w:r w:rsidR="00CC4938" w:rsidRPr="00891173">
        <w:rPr>
          <w:b/>
        </w:rPr>
        <w:t>VERTINIMAS</w:t>
      </w:r>
      <w:bookmarkEnd w:id="7"/>
    </w:p>
    <w:p w:rsidR="00676026" w:rsidRPr="00891173" w:rsidRDefault="0082397E" w:rsidP="00D35728">
      <w:pPr>
        <w:pStyle w:val="Heading4"/>
        <w:rPr>
          <w:b/>
        </w:rPr>
      </w:pPr>
      <w:bookmarkStart w:id="8" w:name="_Toc343602000"/>
      <w:r w:rsidRPr="00891173">
        <w:rPr>
          <w:b/>
        </w:rPr>
        <w:t xml:space="preserve">   </w:t>
      </w:r>
      <w:r w:rsidR="00676026" w:rsidRPr="00891173">
        <w:rPr>
          <w:b/>
        </w:rPr>
        <w:t>Lietuvos investicinių fondų veiklos reguliavimas</w:t>
      </w:r>
      <w:bookmarkEnd w:id="8"/>
    </w:p>
    <w:p w:rsidR="00676026" w:rsidRPr="00891173" w:rsidRDefault="00676026" w:rsidP="00676026">
      <w:pPr>
        <w:tabs>
          <w:tab w:val="left" w:leader="dot" w:pos="9356"/>
        </w:tabs>
        <w:spacing w:line="360" w:lineRule="auto"/>
        <w:jc w:val="center"/>
      </w:pPr>
    </w:p>
    <w:p w:rsidR="00676026" w:rsidRPr="00891173" w:rsidRDefault="00676026" w:rsidP="001D78BC">
      <w:pPr>
        <w:spacing w:line="360" w:lineRule="auto"/>
        <w:ind w:firstLine="567"/>
        <w:jc w:val="both"/>
      </w:pPr>
      <w:r w:rsidRPr="00891173">
        <w:t>Lietuvoje kolektyvinis investavimo subjektas yra investicinis fondas arba investicinė kintamojo kapitalo bendrovė, kurių (LRS, KIS įstatymas, 2003):</w:t>
      </w:r>
    </w:p>
    <w:p w:rsidR="00676026" w:rsidRPr="00891173" w:rsidRDefault="00676026" w:rsidP="001D78BC">
      <w:pPr>
        <w:spacing w:line="360" w:lineRule="auto"/>
        <w:ind w:firstLine="567"/>
        <w:jc w:val="both"/>
      </w:pPr>
      <w:r w:rsidRPr="00891173">
        <w:t>1) sudarymo vienintelis tikslas – viešai platinant investicinius vienetus ar akcijas, sukaupti asmenų lėšas ir jas kolektyviai investuoti į vertybinius popierius ir kitą likvidų turtą, tokiu būdu padalinant turtą;</w:t>
      </w:r>
    </w:p>
    <w:p w:rsidR="00676026" w:rsidRPr="00891173" w:rsidRDefault="00676026" w:rsidP="001D78BC">
      <w:pPr>
        <w:spacing w:line="360" w:lineRule="auto"/>
        <w:ind w:firstLine="567"/>
        <w:jc w:val="both"/>
      </w:pPr>
      <w:r w:rsidRPr="00891173">
        <w:t xml:space="preserve">2) vertybiniai popieriai (investiciniai vienetai arba akcijos) patvirtina jų turėtojo teisę, bet kada pareikalauti juos išpirkti. </w:t>
      </w:r>
    </w:p>
    <w:p w:rsidR="00676026" w:rsidRPr="00891173" w:rsidRDefault="00676026" w:rsidP="001D78BC">
      <w:pPr>
        <w:spacing w:line="360" w:lineRule="auto"/>
        <w:ind w:firstLine="567"/>
        <w:jc w:val="both"/>
        <w:rPr>
          <w:color w:val="000000"/>
        </w:rPr>
      </w:pPr>
      <w:r w:rsidRPr="00891173">
        <w:t xml:space="preserve">Taigi, kolektyvinis investavimo subjektas yra investicinis fondas, kurio apibrėžimas pagal Lietuvos Respublikos įstatymus skamba taip: investicinis fondas – bendrosios dalinės nuosavybės teise juridiniams ar fiziniams asmenims priklausantis turtas, kurio valdymas perduotas valdymo įmonei. Šiuos įstatymų apibrėžimus taip pat pagrindžia Lietuvos Respublikos finansinių priemonių tinklų įstatymas Nr. X-1024, nuo 2007 sausio 18 d; Lietuvos Respublikos akcinių bendrovių įstatymas Nr. </w:t>
      </w:r>
      <w:r w:rsidR="000956A3" w:rsidRPr="00891173">
        <w:rPr>
          <w:color w:val="000000"/>
        </w:rPr>
        <w:t>IX-1889, nuo 2003 gruodžio 11 d</w:t>
      </w:r>
      <w:r w:rsidRPr="00891173">
        <w:rPr>
          <w:color w:val="000000"/>
        </w:rPr>
        <w:t xml:space="preserve">. </w:t>
      </w:r>
    </w:p>
    <w:p w:rsidR="00676026" w:rsidRPr="00891173" w:rsidRDefault="00676026" w:rsidP="001D78BC">
      <w:pPr>
        <w:spacing w:line="360" w:lineRule="auto"/>
        <w:ind w:firstLine="567"/>
        <w:jc w:val="both"/>
        <w:rPr>
          <w:color w:val="000000"/>
        </w:rPr>
      </w:pPr>
      <w:r w:rsidRPr="00891173">
        <w:rPr>
          <w:color w:val="000000"/>
        </w:rPr>
        <w:t>Visi šie įstatymai apibrėžia teises, kuriomis naudojantis galima valdyti fondų veiklą. Taip pat šie įstatymai nuodugniai aprašo visas procedūras, kurias kiekvienas fondo valdytojas privalo laikytis atliekant prekybines operacijas. Egzistuoja tam tikros valdytojų ir pačių fondų sankcijos, kurios neleidžia spekuliuoti. Lietuvos Respublikos įstatymai skelbia, kad investicniai fondai privalo viešai skelbti savo prospektus ir publik</w:t>
      </w:r>
      <w:r w:rsidR="000956A3" w:rsidRPr="00891173">
        <w:rPr>
          <w:color w:val="000000"/>
        </w:rPr>
        <w:t xml:space="preserve">uoti viešas metines ataskaitas. </w:t>
      </w:r>
      <w:r w:rsidRPr="00891173">
        <w:rPr>
          <w:color w:val="000000"/>
        </w:rPr>
        <w:t xml:space="preserve">Iš esmės, šie įstatymai saugo investuotojus nuo neskaidrios fondų veiklos. </w:t>
      </w:r>
    </w:p>
    <w:p w:rsidR="00676026" w:rsidRPr="00891173" w:rsidRDefault="00676026" w:rsidP="001D78BC">
      <w:pPr>
        <w:spacing w:line="360" w:lineRule="auto"/>
        <w:ind w:firstLine="567"/>
        <w:jc w:val="both"/>
        <w:rPr>
          <w:color w:val="000000"/>
        </w:rPr>
      </w:pPr>
      <w:r w:rsidRPr="00891173">
        <w:rPr>
          <w:color w:val="000000"/>
        </w:rPr>
        <w:t>Investicinio fondo valdytojas gali būti tiek fizinis, tiek juridinis asmuo, t.y. uždaroji akcinė bendrovė, arba tiesiog akcinė bendrovė. Svarbiausia, kad šis asmuo privalo prisitaikyti</w:t>
      </w:r>
      <w:r w:rsidR="000956A3" w:rsidRPr="00891173">
        <w:rPr>
          <w:color w:val="000000"/>
        </w:rPr>
        <w:t>s</w:t>
      </w:r>
      <w:r w:rsidRPr="00891173">
        <w:rPr>
          <w:color w:val="000000"/>
        </w:rPr>
        <w:t xml:space="preserve"> </w:t>
      </w:r>
      <w:r w:rsidR="000956A3" w:rsidRPr="00891173">
        <w:rPr>
          <w:color w:val="000000"/>
        </w:rPr>
        <w:t>nustatytų</w:t>
      </w:r>
      <w:r w:rsidRPr="00891173">
        <w:rPr>
          <w:color w:val="000000"/>
        </w:rPr>
        <w:t xml:space="preserve"> sąlygų. Asmuo, kuris priima investicinius sprendimus privalo būti geros reputacijos, su tam tikrais nustatytais reikalavimais. Pavyzdžiui, valdytojas negali būti</w:t>
      </w:r>
      <w:r w:rsidR="000956A3" w:rsidRPr="00891173">
        <w:rPr>
          <w:color w:val="000000"/>
        </w:rPr>
        <w:t xml:space="preserve"> dirbęs Lietuvos akcijų biržoje</w:t>
      </w:r>
      <w:r w:rsidRPr="00891173">
        <w:rPr>
          <w:color w:val="000000"/>
        </w:rPr>
        <w:t xml:space="preserve"> arba Lietuvos Centriniame Vertybinių Popierių Depozitoriume.   </w:t>
      </w:r>
    </w:p>
    <w:p w:rsidR="00676026" w:rsidRPr="00891173" w:rsidRDefault="00676026" w:rsidP="001D78BC">
      <w:pPr>
        <w:spacing w:line="360" w:lineRule="auto"/>
        <w:ind w:firstLine="567"/>
        <w:jc w:val="both"/>
        <w:rPr>
          <w:color w:val="000000"/>
        </w:rPr>
      </w:pPr>
      <w:r w:rsidRPr="00891173">
        <w:rPr>
          <w:color w:val="000000"/>
        </w:rPr>
        <w:t>Pagal įstaymus, kiekvienas investicinis fondas</w:t>
      </w:r>
      <w:r w:rsidR="000956A3" w:rsidRPr="00891173">
        <w:rPr>
          <w:color w:val="000000"/>
        </w:rPr>
        <w:t>,</w:t>
      </w:r>
      <w:r w:rsidRPr="00891173">
        <w:rPr>
          <w:color w:val="000000"/>
        </w:rPr>
        <w:t xml:space="preserve"> įsteigtas Lietuvoje</w:t>
      </w:r>
      <w:r w:rsidR="000956A3" w:rsidRPr="00891173">
        <w:rPr>
          <w:color w:val="000000"/>
        </w:rPr>
        <w:t>,</w:t>
      </w:r>
      <w:r w:rsidRPr="00891173">
        <w:rPr>
          <w:color w:val="000000"/>
        </w:rPr>
        <w:t xml:space="preserve"> privalo publikuoti: pilną prospektą; sutrumpintą prospektą (nebūtina uždarojo tipo investiciniams fondams); metinę fondo veiklos ataskaitą; ir 6 pirmųjų mėnesių ataskaitą.</w:t>
      </w:r>
    </w:p>
    <w:p w:rsidR="00676026" w:rsidRPr="00891173" w:rsidRDefault="00676026" w:rsidP="001D78BC">
      <w:pPr>
        <w:spacing w:line="360" w:lineRule="auto"/>
        <w:ind w:firstLine="567"/>
        <w:jc w:val="both"/>
        <w:rPr>
          <w:color w:val="000000"/>
        </w:rPr>
      </w:pPr>
      <w:r w:rsidRPr="00891173">
        <w:rPr>
          <w:color w:val="000000"/>
        </w:rPr>
        <w:t xml:space="preserve">Visos investicinių fondų veiklos priežiūros teisės yra suteiktos  </w:t>
      </w:r>
      <w:r w:rsidR="000956A3" w:rsidRPr="00891173">
        <w:rPr>
          <w:color w:val="000000"/>
        </w:rPr>
        <w:t>Lietuvos bankui</w:t>
      </w:r>
      <w:r w:rsidRPr="00891173">
        <w:rPr>
          <w:color w:val="000000"/>
        </w:rPr>
        <w:t xml:space="preserve">. </w:t>
      </w:r>
    </w:p>
    <w:p w:rsidR="00676026" w:rsidRPr="00891173" w:rsidRDefault="00676026" w:rsidP="001D78BC">
      <w:pPr>
        <w:spacing w:line="360" w:lineRule="auto"/>
        <w:ind w:firstLine="567"/>
        <w:jc w:val="both"/>
        <w:rPr>
          <w:color w:val="000000"/>
        </w:rPr>
      </w:pPr>
      <w:r w:rsidRPr="00891173">
        <w:rPr>
          <w:color w:val="000000"/>
        </w:rPr>
        <w:t>Kiekvienam investuotojui</w:t>
      </w:r>
      <w:r w:rsidR="000956A3" w:rsidRPr="00891173">
        <w:rPr>
          <w:color w:val="000000"/>
        </w:rPr>
        <w:t>,</w:t>
      </w:r>
      <w:r w:rsidRPr="00891173">
        <w:rPr>
          <w:color w:val="000000"/>
        </w:rPr>
        <w:t xml:space="preserve"> investuojančiam į investicinius fondus</w:t>
      </w:r>
      <w:r w:rsidR="000956A3" w:rsidRPr="00891173">
        <w:rPr>
          <w:color w:val="000000"/>
        </w:rPr>
        <w:t>,</w:t>
      </w:r>
      <w:r w:rsidRPr="00891173">
        <w:rPr>
          <w:color w:val="000000"/>
        </w:rPr>
        <w:t xml:space="preserve"> svarbi įstatyminė bazė. Reguliuojant IF veiklą, išvengiamas neskaidrumas arba fondo valdytojo sukčiavimas, tik tokiu būdu galima apsaugoti investuotojo interesus. Lietuvoje IF veiklą stebi ir reguliuoja </w:t>
      </w:r>
      <w:r w:rsidR="000956A3" w:rsidRPr="00891173">
        <w:rPr>
          <w:color w:val="000000"/>
        </w:rPr>
        <w:t>Lietuvos bankas</w:t>
      </w:r>
      <w:r w:rsidRPr="00891173">
        <w:rPr>
          <w:color w:val="000000"/>
        </w:rPr>
        <w:t>, kuri</w:t>
      </w:r>
      <w:r w:rsidR="000956A3" w:rsidRPr="00891173">
        <w:rPr>
          <w:color w:val="000000"/>
        </w:rPr>
        <w:t>s</w:t>
      </w:r>
      <w:r w:rsidRPr="00891173">
        <w:rPr>
          <w:color w:val="000000"/>
        </w:rPr>
        <w:t xml:space="preserve"> </w:t>
      </w:r>
      <w:r w:rsidR="000956A3" w:rsidRPr="00891173">
        <w:rPr>
          <w:color w:val="000000"/>
        </w:rPr>
        <w:lastRenderedPageBreak/>
        <w:t>yra atsakingas</w:t>
      </w:r>
      <w:r w:rsidRPr="00891173">
        <w:rPr>
          <w:color w:val="000000"/>
        </w:rPr>
        <w:t xml:space="preserve"> už kiekvieną fondą įregistruotą Lietuvoje, o </w:t>
      </w:r>
      <w:r w:rsidR="000956A3" w:rsidRPr="00891173">
        <w:rPr>
          <w:color w:val="000000"/>
        </w:rPr>
        <w:t>iki</w:t>
      </w:r>
      <w:r w:rsidRPr="00891173">
        <w:rPr>
          <w:color w:val="000000"/>
        </w:rPr>
        <w:t xml:space="preserve"> 2012 sausio 1d., šios įstaigos funkcijas </w:t>
      </w:r>
      <w:r w:rsidR="000956A3" w:rsidRPr="00891173">
        <w:rPr>
          <w:color w:val="000000"/>
        </w:rPr>
        <w:t>vykdė Vertybinių Popierių komisija</w:t>
      </w:r>
      <w:r w:rsidRPr="00891173">
        <w:rPr>
          <w:color w:val="000000"/>
        </w:rPr>
        <w:t xml:space="preserve">. </w:t>
      </w:r>
    </w:p>
    <w:p w:rsidR="00676026" w:rsidRPr="00891173" w:rsidRDefault="00676026" w:rsidP="00676026">
      <w:pPr>
        <w:spacing w:line="360" w:lineRule="auto"/>
        <w:ind w:firstLine="851"/>
        <w:jc w:val="both"/>
        <w:rPr>
          <w:color w:val="000000"/>
        </w:rPr>
      </w:pPr>
    </w:p>
    <w:p w:rsidR="00676026" w:rsidRPr="00891173" w:rsidRDefault="00D13548" w:rsidP="00676026">
      <w:pPr>
        <w:spacing w:line="360" w:lineRule="auto"/>
        <w:ind w:firstLine="567"/>
        <w:jc w:val="both"/>
      </w:pPr>
      <w:r w:rsidRPr="00891173">
        <w:pict>
          <v:shapetype id="_x0000_t202" coordsize="21600,21600" o:spt="202" path="m,l,21600r21600,l21600,xe">
            <v:stroke joinstyle="miter"/>
            <v:path gradientshapeok="t" o:connecttype="rect"/>
          </v:shapetype>
          <v:shape id="_x0000_s1050" type="#_x0000_t202" style="position:absolute;left:0;text-align:left;margin-left:317.7pt;margin-top:0;width:68.25pt;height:18.75pt;z-index:251684864" strokecolor="white [3212]">
            <v:textbox style="mso-next-textbox:#_x0000_s1050">
              <w:txbxContent>
                <w:p w:rsidR="000E1A39" w:rsidRDefault="000E1A39" w:rsidP="00676026">
                  <w:r>
                    <w:t>Priežiūra</w:t>
                  </w:r>
                </w:p>
              </w:txbxContent>
            </v:textbox>
          </v:shape>
        </w:pict>
      </w:r>
      <w:r w:rsidRPr="00891173">
        <w:pict>
          <v:shape id="_x0000_s1049" type="#_x0000_t202" style="position:absolute;left:0;text-align:left;margin-left:95.7pt;margin-top:0;width:68.25pt;height:18.75pt;z-index:251683840" strokecolor="white [3212]">
            <v:textbox style="mso-next-textbox:#_x0000_s1049">
              <w:txbxContent>
                <w:p w:rsidR="000E1A39" w:rsidRDefault="000E1A39" w:rsidP="00676026">
                  <w:r>
                    <w:t>Priežiūra</w:t>
                  </w:r>
                </w:p>
              </w:txbxContent>
            </v:textbox>
          </v:shape>
        </w:pict>
      </w:r>
      <w:r w:rsidRPr="00891173">
        <w:pict>
          <v:shape id="_x0000_s1026" type="#_x0000_t202" style="position:absolute;left:0;text-align:left;margin-left:172.95pt;margin-top:15pt;width:138pt;height:19.5pt;z-index:251660288">
            <v:textbox style="mso-next-textbox:#_x0000_s1026">
              <w:txbxContent>
                <w:p w:rsidR="000E1A39" w:rsidRPr="00983106" w:rsidRDefault="000E1A39" w:rsidP="00676026">
                  <w:pPr>
                    <w:jc w:val="center"/>
                  </w:pPr>
                  <w:r>
                    <w:t>Lietuvos bankas</w:t>
                  </w:r>
                </w:p>
              </w:txbxContent>
            </v:textbox>
          </v:shape>
        </w:pict>
      </w:r>
    </w:p>
    <w:p w:rsidR="00676026" w:rsidRPr="00891173" w:rsidRDefault="00D13548" w:rsidP="00676026">
      <w:pPr>
        <w:spacing w:line="360" w:lineRule="auto"/>
        <w:ind w:firstLine="567"/>
        <w:jc w:val="both"/>
      </w:pPr>
      <w:r w:rsidRPr="00891173">
        <w:pict>
          <v:shape id="_x0000_s1036" type="#_x0000_t32" style="position:absolute;left:0;text-align:left;margin-left:386.7pt;margin-top:3.3pt;width:0;height:33.7pt;z-index:251670528" o:connectortype="straight">
            <v:stroke endarrow="block"/>
          </v:shape>
        </w:pict>
      </w:r>
      <w:r w:rsidRPr="00891173">
        <w:pict>
          <v:shape id="_x0000_s1033" type="#_x0000_t32" style="position:absolute;left:0;text-align:left;margin-left:95.7pt;margin-top:3.3pt;width:0;height:38.25pt;z-index:251667456" o:connectortype="straight">
            <v:stroke endarrow="block"/>
          </v:shape>
        </w:pict>
      </w:r>
      <w:r w:rsidRPr="00891173">
        <w:pict>
          <v:shape id="_x0000_s1035" type="#_x0000_t32" style="position:absolute;left:0;text-align:left;margin-left:310.95pt;margin-top:3.3pt;width:75.75pt;height:0;z-index:251669504" o:connectortype="straight"/>
        </w:pict>
      </w:r>
      <w:r w:rsidRPr="00891173">
        <w:pict>
          <v:shape id="_x0000_s1034" type="#_x0000_t32" style="position:absolute;left:0;text-align:left;margin-left:243.45pt;margin-top:13.8pt;width:0;height:76.5pt;z-index:251668480" o:connectortype="straight">
            <v:stroke endarrow="block"/>
          </v:shape>
        </w:pict>
      </w:r>
      <w:r w:rsidRPr="00891173">
        <w:pict>
          <v:shape id="_x0000_s1032" type="#_x0000_t32" style="position:absolute;left:0;text-align:left;margin-left:95.7pt;margin-top:3.3pt;width:77.25pt;height:0;flip:x;z-index:251666432" o:connectortype="straight"/>
        </w:pict>
      </w:r>
    </w:p>
    <w:p w:rsidR="00676026" w:rsidRPr="00891173" w:rsidRDefault="00D13548" w:rsidP="00676026">
      <w:pPr>
        <w:spacing w:line="360" w:lineRule="auto"/>
        <w:ind w:firstLine="567"/>
        <w:jc w:val="both"/>
      </w:pPr>
      <w:r w:rsidRPr="00891173">
        <w:pict>
          <v:shape id="_x0000_s1028" type="#_x0000_t202" style="position:absolute;left:0;text-align:left;margin-left:317.7pt;margin-top:16.3pt;width:138pt;height:24.05pt;z-index:251662336">
            <v:textbox style="mso-next-textbox:#_x0000_s1028">
              <w:txbxContent>
                <w:p w:rsidR="000E1A39" w:rsidRPr="00983106" w:rsidRDefault="000E1A39" w:rsidP="00676026">
                  <w:pPr>
                    <w:jc w:val="center"/>
                  </w:pPr>
                  <w:r>
                    <w:t>Valdymo įmonė</w:t>
                  </w:r>
                </w:p>
              </w:txbxContent>
            </v:textbox>
          </v:shape>
        </w:pict>
      </w:r>
    </w:p>
    <w:p w:rsidR="00676026" w:rsidRPr="00891173" w:rsidRDefault="00D13548" w:rsidP="00676026">
      <w:pPr>
        <w:spacing w:line="360" w:lineRule="auto"/>
        <w:ind w:firstLine="567"/>
        <w:jc w:val="both"/>
      </w:pPr>
      <w:r w:rsidRPr="00891173">
        <w:pict>
          <v:shape id="_x0000_s1027" type="#_x0000_t202" style="position:absolute;left:0;text-align:left;margin-left:25.95pt;margin-top:.15pt;width:138pt;height:24pt;z-index:251661312">
            <v:textbox style="mso-next-textbox:#_x0000_s1027">
              <w:txbxContent>
                <w:p w:rsidR="000E1A39" w:rsidRPr="00983106" w:rsidRDefault="000E1A39" w:rsidP="00676026">
                  <w:pPr>
                    <w:jc w:val="center"/>
                  </w:pPr>
                  <w:r>
                    <w:t>Depozitoriumas</w:t>
                  </w:r>
                </w:p>
              </w:txbxContent>
            </v:textbox>
          </v:shape>
        </w:pict>
      </w:r>
      <w:r w:rsidRPr="00891173">
        <w:pict>
          <v:shape id="_x0000_s1039" type="#_x0000_t32" style="position:absolute;left:0;text-align:left;margin-left:386.7pt;margin-top:19.65pt;width:0;height:39.75pt;z-index:251673600" o:connectortype="straight"/>
        </w:pict>
      </w:r>
    </w:p>
    <w:p w:rsidR="00676026" w:rsidRPr="00891173" w:rsidRDefault="00D13548" w:rsidP="00676026">
      <w:pPr>
        <w:spacing w:line="360" w:lineRule="auto"/>
        <w:ind w:firstLine="567"/>
        <w:jc w:val="both"/>
      </w:pPr>
      <w:r w:rsidRPr="00891173">
        <w:pict>
          <v:shape id="_x0000_s1052" type="#_x0000_t202" style="position:absolute;left:0;text-align:left;margin-left:401.7pt;margin-top:13.95pt;width:68.25pt;height:24.75pt;z-index:251686912" strokecolor="white [3212]">
            <v:textbox style="mso-next-textbox:#_x0000_s1052">
              <w:txbxContent>
                <w:p w:rsidR="000E1A39" w:rsidRDefault="000E1A39" w:rsidP="00676026">
                  <w:r>
                    <w:t>Valdymas</w:t>
                  </w:r>
                </w:p>
              </w:txbxContent>
            </v:textbox>
          </v:shape>
        </w:pict>
      </w:r>
      <w:r w:rsidRPr="00891173">
        <w:pict>
          <v:shape id="_x0000_s1051" type="#_x0000_t202" style="position:absolute;left:0;text-align:left;margin-left:-13.05pt;margin-top:13.95pt;width:97.5pt;height:38.25pt;z-index:251685888" strokecolor="white [3212]">
            <v:textbox style="mso-next-textbox:#_x0000_s1051">
              <w:txbxContent>
                <w:p w:rsidR="000E1A39" w:rsidRDefault="000E1A39" w:rsidP="00676026">
                  <w:r>
                    <w:t xml:space="preserve">Saugojimas ir tarpininkavimas </w:t>
                  </w:r>
                </w:p>
              </w:txbxContent>
            </v:textbox>
          </v:shape>
        </w:pict>
      </w:r>
      <w:r w:rsidRPr="00891173">
        <w:pict>
          <v:shape id="_x0000_s1037" type="#_x0000_t32" style="position:absolute;left:0;text-align:left;margin-left:95.7pt;margin-top:3.45pt;width:0;height:35.25pt;z-index:251671552" o:connectortype="straight"/>
        </w:pict>
      </w:r>
    </w:p>
    <w:p w:rsidR="00676026" w:rsidRPr="00891173" w:rsidRDefault="00D13548" w:rsidP="00676026">
      <w:pPr>
        <w:spacing w:line="360" w:lineRule="auto"/>
        <w:ind w:firstLine="567"/>
        <w:jc w:val="both"/>
      </w:pPr>
      <w:r w:rsidRPr="00891173">
        <w:pict>
          <v:shape id="_x0000_s1040" type="#_x0000_t32" style="position:absolute;left:0;text-align:left;margin-left:317.7pt;margin-top:18pt;width:69pt;height:0;flip:x;z-index:251674624" o:connectortype="straight">
            <v:stroke endarrow="block"/>
          </v:shape>
        </w:pict>
      </w:r>
      <w:r w:rsidRPr="00891173">
        <w:pict>
          <v:shape id="_x0000_s1038" type="#_x0000_t32" style="position:absolute;left:0;text-align:left;margin-left:95.7pt;margin-top:18pt;width:84pt;height:0;z-index:251672576" o:connectortype="straight">
            <v:stroke endarrow="block"/>
          </v:shape>
        </w:pict>
      </w:r>
      <w:r w:rsidRPr="00891173">
        <w:pict>
          <v:shape id="_x0000_s1029" type="#_x0000_t202" style="position:absolute;left:0;text-align:left;margin-left:179.7pt;margin-top:7.5pt;width:138pt;height:19.5pt;z-index:251663360">
            <v:textbox style="mso-next-textbox:#_x0000_s1029">
              <w:txbxContent>
                <w:p w:rsidR="000E1A39" w:rsidRPr="00983106" w:rsidRDefault="000E1A39" w:rsidP="00676026">
                  <w:pPr>
                    <w:jc w:val="center"/>
                  </w:pPr>
                  <w:r>
                    <w:t>Investicinis fondas</w:t>
                  </w:r>
                </w:p>
              </w:txbxContent>
            </v:textbox>
          </v:shape>
        </w:pict>
      </w:r>
    </w:p>
    <w:p w:rsidR="00676026" w:rsidRPr="00891173" w:rsidRDefault="00D13548" w:rsidP="00676026">
      <w:pPr>
        <w:tabs>
          <w:tab w:val="left" w:pos="2580"/>
        </w:tabs>
        <w:spacing w:line="360" w:lineRule="auto"/>
        <w:ind w:firstLine="567"/>
        <w:jc w:val="both"/>
      </w:pPr>
      <w:r w:rsidRPr="00891173">
        <w:pict>
          <v:shape id="_x0000_s1056" type="#_x0000_t202" style="position:absolute;left:0;text-align:left;margin-left:288.45pt;margin-top:10.8pt;width:51.75pt;height:23.25pt;z-index:251691008" strokecolor="white [3212]">
            <v:textbox style="mso-next-textbox:#_x0000_s1056">
              <w:txbxContent>
                <w:p w:rsidR="000E1A39" w:rsidRDefault="000E1A39" w:rsidP="00676026">
                  <w:r>
                    <w:t>Pinigai</w:t>
                  </w:r>
                </w:p>
              </w:txbxContent>
            </v:textbox>
          </v:shape>
        </w:pict>
      </w:r>
      <w:r w:rsidRPr="00891173">
        <w:pict>
          <v:shape id="_x0000_s1053" type="#_x0000_t202" style="position:absolute;left:0;text-align:left;margin-left:137.7pt;margin-top:10.8pt;width:68.25pt;height:23.25pt;z-index:251687936" strokecolor="white [3212]">
            <v:textbox style="mso-next-textbox:#_x0000_s1053">
              <w:txbxContent>
                <w:p w:rsidR="000E1A39" w:rsidRDefault="000E1A39" w:rsidP="00676026">
                  <w:r>
                    <w:t>Pinigai</w:t>
                  </w:r>
                </w:p>
              </w:txbxContent>
            </v:textbox>
          </v:shape>
        </w:pict>
      </w:r>
      <w:r w:rsidRPr="00891173">
        <w:pict>
          <v:shape id="_x0000_s1047" type="#_x0000_t32" style="position:absolute;left:0;text-align:left;margin-left:283.95pt;margin-top:6.3pt;width:0;height:32.3pt;z-index:251681792" o:connectortype="straight"/>
        </w:pict>
      </w:r>
      <w:r w:rsidRPr="00891173">
        <w:pict>
          <v:shape id="_x0000_s1046" type="#_x0000_t32" style="position:absolute;left:0;text-align:left;margin-left:271.95pt;margin-top:6.3pt;width:0;height:39pt;flip:y;z-index:251680768" o:connectortype="straight">
            <v:stroke endarrow="block"/>
          </v:shape>
        </w:pict>
      </w:r>
      <w:r w:rsidRPr="00891173">
        <w:pict>
          <v:shape id="_x0000_s1041" type="#_x0000_t32" style="position:absolute;left:0;text-align:left;margin-left:233.7pt;margin-top:6.3pt;width:0;height:39pt;z-index:251675648" o:connectortype="straight"/>
        </w:pict>
      </w:r>
      <w:r w:rsidRPr="00891173">
        <w:pict>
          <v:shape id="_x0000_s1044" type="#_x0000_t32" style="position:absolute;left:0;text-align:left;margin-left:218.7pt;margin-top:6.3pt;width:0;height:32.25pt;flip:y;z-index:251678720" o:connectortype="straight">
            <v:stroke endarrow="block"/>
          </v:shape>
        </w:pict>
      </w:r>
      <w:r w:rsidR="00676026" w:rsidRPr="00891173">
        <w:tab/>
      </w:r>
    </w:p>
    <w:p w:rsidR="00676026" w:rsidRPr="00891173" w:rsidRDefault="00D13548" w:rsidP="00676026">
      <w:pPr>
        <w:spacing w:line="360" w:lineRule="auto"/>
        <w:ind w:firstLine="567"/>
        <w:jc w:val="both"/>
      </w:pPr>
      <w:r w:rsidRPr="00891173">
        <w:pict>
          <v:shape id="_x0000_s1048" type="#_x0000_t32" style="position:absolute;left:0;text-align:left;margin-left:283.95pt;margin-top:17.85pt;width:64.5pt;height:0;z-index:251682816" o:connectortype="straight">
            <v:stroke endarrow="block"/>
          </v:shape>
        </w:pict>
      </w:r>
      <w:r w:rsidRPr="00891173">
        <w:pict>
          <v:shape id="_x0000_s1031" type="#_x0000_t202" style="position:absolute;left:0;text-align:left;margin-left:348.45pt;margin-top:9.6pt;width:129.75pt;height:36.75pt;z-index:251665408">
            <v:textbox style="mso-next-textbox:#_x0000_s1031">
              <w:txbxContent>
                <w:p w:rsidR="000E1A39" w:rsidRDefault="000E1A39" w:rsidP="00676026">
                  <w:pPr>
                    <w:jc w:val="center"/>
                  </w:pPr>
                  <w:r>
                    <w:t>Finansų rinkų instrumentai</w:t>
                  </w:r>
                </w:p>
                <w:p w:rsidR="000E1A39" w:rsidRDefault="000E1A39" w:rsidP="00676026">
                  <w:pPr>
                    <w:jc w:val="center"/>
                  </w:pPr>
                </w:p>
                <w:p w:rsidR="000E1A39" w:rsidRDefault="000E1A39" w:rsidP="00676026">
                  <w:pPr>
                    <w:jc w:val="center"/>
                  </w:pPr>
                </w:p>
                <w:p w:rsidR="000E1A39" w:rsidRPr="00983106" w:rsidRDefault="000E1A39" w:rsidP="00676026">
                  <w:pPr>
                    <w:jc w:val="center"/>
                  </w:pPr>
                </w:p>
              </w:txbxContent>
            </v:textbox>
          </v:shape>
        </w:pict>
      </w:r>
      <w:r w:rsidRPr="00891173">
        <w:pict>
          <v:shape id="_x0000_s1043" type="#_x0000_t32" style="position:absolute;left:0;text-align:left;margin-left:189.45pt;margin-top:17.85pt;width:29.25pt;height:0;z-index:251677696" o:connectortype="straight"/>
        </w:pict>
      </w:r>
      <w:r w:rsidRPr="00891173">
        <w:pict>
          <v:shape id="_x0000_s1030" type="#_x0000_t202" style="position:absolute;left:0;text-align:left;margin-left:51.45pt;margin-top:17.85pt;width:138pt;height:19.5pt;z-index:251664384">
            <v:textbox style="mso-next-textbox:#_x0000_s1030">
              <w:txbxContent>
                <w:p w:rsidR="000E1A39" w:rsidRPr="00983106" w:rsidRDefault="000E1A39" w:rsidP="00676026">
                  <w:pPr>
                    <w:jc w:val="center"/>
                  </w:pPr>
                  <w:r>
                    <w:t>Investuotojai</w:t>
                  </w:r>
                </w:p>
              </w:txbxContent>
            </v:textbox>
          </v:shape>
        </w:pict>
      </w:r>
    </w:p>
    <w:p w:rsidR="00676026" w:rsidRPr="00891173" w:rsidRDefault="00D13548" w:rsidP="00676026">
      <w:pPr>
        <w:spacing w:line="360" w:lineRule="auto"/>
        <w:ind w:firstLine="567"/>
        <w:jc w:val="both"/>
      </w:pPr>
      <w:r w:rsidRPr="00891173">
        <w:pict>
          <v:shape id="_x0000_s1054" type="#_x0000_t202" style="position:absolute;left:0;text-align:left;margin-left:199.95pt;margin-top:11.4pt;width:57pt;height:24.05pt;z-index:251688960" strokecolor="white [3212]">
            <v:textbox style="mso-next-textbox:#_x0000_s1054">
              <w:txbxContent>
                <w:p w:rsidR="000E1A39" w:rsidRDefault="000E1A39" w:rsidP="00676026">
                  <w:r>
                    <w:t>Akcijos</w:t>
                  </w:r>
                </w:p>
              </w:txbxContent>
            </v:textbox>
          </v:shape>
        </w:pict>
      </w:r>
      <w:r w:rsidRPr="00891173">
        <w:pict>
          <v:shape id="_x0000_s1045" type="#_x0000_t32" style="position:absolute;left:0;text-align:left;margin-left:273.5pt;margin-top:3.9pt;width:74.95pt;height:.05pt;flip:x;z-index:251679744" o:connectortype="straight"/>
        </w:pict>
      </w:r>
      <w:r w:rsidRPr="00891173">
        <w:pict>
          <v:shape id="_x0000_s1055" type="#_x0000_t202" style="position:absolute;left:0;text-align:left;margin-left:256.95pt;margin-top:11.4pt;width:68.25pt;height:38.25pt;z-index:251689984" strokecolor="white [3212]">
            <v:textbox style="mso-next-textbox:#_x0000_s1055">
              <w:txbxContent>
                <w:p w:rsidR="000E1A39" w:rsidRDefault="000E1A39" w:rsidP="00676026">
                  <w:r>
                    <w:t>Finansinis turtas</w:t>
                  </w:r>
                </w:p>
              </w:txbxContent>
            </v:textbox>
          </v:shape>
        </w:pict>
      </w:r>
      <w:r w:rsidRPr="00891173">
        <w:pict>
          <v:shape id="_x0000_s1042" type="#_x0000_t32" style="position:absolute;left:0;text-align:left;margin-left:189.45pt;margin-top:3.9pt;width:44.25pt;height:0;flip:x;z-index:251676672" o:connectortype="straight">
            <v:stroke endarrow="block"/>
          </v:shape>
        </w:pict>
      </w:r>
    </w:p>
    <w:p w:rsidR="00676026" w:rsidRPr="00891173" w:rsidRDefault="00676026" w:rsidP="00676026">
      <w:pPr>
        <w:spacing w:line="360" w:lineRule="auto"/>
        <w:ind w:firstLine="567"/>
        <w:jc w:val="both"/>
      </w:pPr>
    </w:p>
    <w:p w:rsidR="00676026" w:rsidRPr="00891173" w:rsidRDefault="00676026" w:rsidP="00676026">
      <w:pPr>
        <w:spacing w:line="360" w:lineRule="auto"/>
        <w:ind w:firstLine="567"/>
        <w:jc w:val="both"/>
      </w:pPr>
    </w:p>
    <w:p w:rsidR="00676026" w:rsidRPr="00891173" w:rsidRDefault="00297D8F" w:rsidP="00676026">
      <w:pPr>
        <w:spacing w:line="360" w:lineRule="auto"/>
        <w:ind w:firstLine="567"/>
        <w:jc w:val="center"/>
        <w:rPr>
          <w:b/>
        </w:rPr>
      </w:pPr>
      <w:r w:rsidRPr="00891173">
        <w:rPr>
          <w:b/>
        </w:rPr>
        <w:t xml:space="preserve"> 4</w:t>
      </w:r>
      <w:r w:rsidR="00676026" w:rsidRPr="00891173">
        <w:rPr>
          <w:b/>
        </w:rPr>
        <w:t xml:space="preserve"> pav. Investicinių fondų veiklos schema Lietuvoje</w:t>
      </w:r>
    </w:p>
    <w:p w:rsidR="00676026" w:rsidRPr="00891173" w:rsidRDefault="00676026" w:rsidP="00676026">
      <w:pPr>
        <w:spacing w:line="360" w:lineRule="auto"/>
        <w:ind w:firstLine="567"/>
        <w:jc w:val="center"/>
        <w:rPr>
          <w:sz w:val="20"/>
          <w:szCs w:val="20"/>
        </w:rPr>
      </w:pPr>
      <w:r w:rsidRPr="00891173">
        <w:rPr>
          <w:b/>
          <w:sz w:val="20"/>
          <w:szCs w:val="20"/>
        </w:rPr>
        <w:t>Šaltinis:</w:t>
      </w:r>
      <w:r w:rsidRPr="00891173">
        <w:rPr>
          <w:sz w:val="20"/>
          <w:szCs w:val="20"/>
        </w:rPr>
        <w:t xml:space="preserve"> Vertybinių popierių komisija</w:t>
      </w:r>
    </w:p>
    <w:p w:rsidR="00676026" w:rsidRPr="00891173" w:rsidRDefault="00676026" w:rsidP="00676026">
      <w:pPr>
        <w:tabs>
          <w:tab w:val="left" w:leader="dot" w:pos="9356"/>
        </w:tabs>
        <w:spacing w:line="360" w:lineRule="auto"/>
        <w:ind w:firstLine="993"/>
        <w:jc w:val="center"/>
      </w:pPr>
    </w:p>
    <w:p w:rsidR="00676026" w:rsidRPr="00891173" w:rsidRDefault="00297D8F" w:rsidP="000956A3">
      <w:pPr>
        <w:spacing w:line="360" w:lineRule="auto"/>
        <w:ind w:firstLine="567"/>
        <w:jc w:val="both"/>
      </w:pPr>
      <w:r w:rsidRPr="00891173">
        <w:t>4</w:t>
      </w:r>
      <w:r w:rsidR="00676026" w:rsidRPr="00891173">
        <w:t xml:space="preserve"> paveiksle matomas Lietuvos investicinių fondų veiklos reguliavimo principas. Kiekvieną IF valdo tam tikra įmonė, kaip jau minėta tai gali būti tiek juridinis, tiek fizinis asmuo. Ši įmonė privalo turėti </w:t>
      </w:r>
      <w:r w:rsidR="000956A3" w:rsidRPr="00891173">
        <w:t>Lietuvos banko</w:t>
      </w:r>
      <w:r w:rsidR="00676026" w:rsidRPr="00891173">
        <w:t xml:space="preserve"> išduotą licenziją, kad būtų galima atlikti investicinės kintamosios kapitalo bendrovės funkcijas. Pagrindinės investicinės bendrovės turtas yra investicijų portfelis, arba kitaip IF turtas. Depozitoriumo funkcijos yra saugoti įgytus vertybinius popierius ir tarpininkauti finansų rinkose. Depozitoriumas saugo investicinio fondo vertybinius popierius ir tarpininkauja tarp fondo ir investuotojo. Investicinis fondas sudarytas iš investuotojų ir finansų rinkų instrumentų. Investuotojai gali išmainyti turimus pinigus į fo</w:t>
      </w:r>
      <w:r w:rsidR="000956A3" w:rsidRPr="00891173">
        <w:t>ndo aktyvus ir atvirkščiai. Fin</w:t>
      </w:r>
      <w:r w:rsidR="00676026" w:rsidRPr="00891173">
        <w:t>a</w:t>
      </w:r>
      <w:r w:rsidR="000956A3" w:rsidRPr="00891173">
        <w:t>nsų rinkos taipogi –</w:t>
      </w:r>
      <w:r w:rsidR="00676026" w:rsidRPr="00891173">
        <w:t xml:space="preserve"> gali parduoti savo finansin</w:t>
      </w:r>
      <w:r w:rsidR="000956A3" w:rsidRPr="00891173">
        <w:t>į</w:t>
      </w:r>
      <w:r w:rsidR="00676026" w:rsidRPr="00891173">
        <w:t xml:space="preserve"> turtą į pinigus ir atvirkščiai. Visus šiuos procesus nuosekliai stebi ir prižiūri Lietuvos bankas. Tačiau iki 2012 sausio 1d., šios funkcijos buvo patikėtos Vertybinių Popierių Komisijai. </w:t>
      </w:r>
    </w:p>
    <w:p w:rsidR="00676026" w:rsidRPr="00891173" w:rsidRDefault="00676026" w:rsidP="00676026">
      <w:pPr>
        <w:spacing w:line="360" w:lineRule="auto"/>
        <w:ind w:firstLine="851"/>
        <w:jc w:val="both"/>
      </w:pPr>
    </w:p>
    <w:p w:rsidR="00676026" w:rsidRPr="00891173" w:rsidRDefault="0082397E" w:rsidP="00D35728">
      <w:pPr>
        <w:pStyle w:val="Heading4"/>
        <w:rPr>
          <w:b/>
        </w:rPr>
      </w:pPr>
      <w:bookmarkStart w:id="9" w:name="_Toc343602001"/>
      <w:r w:rsidRPr="00891173">
        <w:rPr>
          <w:b/>
        </w:rPr>
        <w:t xml:space="preserve">   </w:t>
      </w:r>
      <w:r w:rsidR="00676026" w:rsidRPr="00891173">
        <w:rPr>
          <w:b/>
        </w:rPr>
        <w:t>Lietuvos investicinių fondų rinkos dinamika</w:t>
      </w:r>
      <w:bookmarkEnd w:id="9"/>
    </w:p>
    <w:p w:rsidR="001D78BC" w:rsidRPr="00891173" w:rsidRDefault="001D78BC" w:rsidP="001D78BC">
      <w:pPr>
        <w:tabs>
          <w:tab w:val="left" w:leader="dot" w:pos="9356"/>
        </w:tabs>
        <w:spacing w:line="360" w:lineRule="auto"/>
        <w:ind w:firstLine="992"/>
        <w:jc w:val="center"/>
      </w:pPr>
    </w:p>
    <w:p w:rsidR="00E77691" w:rsidRPr="00891173" w:rsidRDefault="00E77691" w:rsidP="001D78BC">
      <w:pPr>
        <w:tabs>
          <w:tab w:val="left" w:leader="dot" w:pos="9356"/>
        </w:tabs>
        <w:spacing w:line="360" w:lineRule="auto"/>
        <w:ind w:firstLine="567"/>
        <w:jc w:val="both"/>
      </w:pPr>
      <w:r w:rsidRPr="00891173">
        <w:t xml:space="preserve">Investiciniai fondai Lietuvoje yra pakankamai naujas investavimo objektas. Pirmasis investicinis fondas Lietuvoje buvo užregistruotas 2001 metais. Tai buvo </w:t>
      </w:r>
      <w:r w:rsidR="005D6765" w:rsidRPr="00891173">
        <w:t>„</w:t>
      </w:r>
      <w:r w:rsidRPr="00891173">
        <w:t>NSEL 30 indekso fonda</w:t>
      </w:r>
      <w:r w:rsidR="005D6765" w:rsidRPr="00891173">
        <w:t>s“</w:t>
      </w:r>
      <w:r w:rsidRPr="00891173">
        <w:t>, kuris veikia iki pat šios dienos.</w:t>
      </w:r>
      <w:r w:rsidR="005D6765" w:rsidRPr="00891173">
        <w:t xml:space="preserve"> 2010 m. pabaigoje NSEL 30 indekso fondas pakeitė investavimo strategiją – pradėjo sekti OMX Baltic Benchmark indeksą – ir pakeitė fondo pavadinimą į OMX Baltic </w:t>
      </w:r>
      <w:r w:rsidR="005D6765" w:rsidRPr="00891173">
        <w:lastRenderedPageBreak/>
        <w:t>Benchmark Fund.</w:t>
      </w:r>
      <w:r w:rsidRPr="00891173">
        <w:t xml:space="preserve"> Kartu su kolektyvinio investavimo subjekto įstatymo susikūrimu prasidėjo investicinių fondų era.</w:t>
      </w:r>
    </w:p>
    <w:p w:rsidR="00E77691" w:rsidRPr="00891173" w:rsidRDefault="00E77691" w:rsidP="001C0227">
      <w:pPr>
        <w:tabs>
          <w:tab w:val="left" w:leader="dot" w:pos="9356"/>
        </w:tabs>
        <w:spacing w:line="360" w:lineRule="auto"/>
        <w:jc w:val="both"/>
      </w:pPr>
      <w:r w:rsidRPr="00891173">
        <w:drawing>
          <wp:inline distT="0" distB="0" distL="0" distR="0">
            <wp:extent cx="6120130" cy="3124507"/>
            <wp:effectExtent l="19050" t="0" r="1397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05EC8" w:rsidRPr="00891173" w:rsidRDefault="00297D8F" w:rsidP="00D05EC8">
      <w:pPr>
        <w:spacing w:line="360" w:lineRule="auto"/>
        <w:jc w:val="center"/>
      </w:pPr>
      <w:r w:rsidRPr="00891173">
        <w:rPr>
          <w:b/>
        </w:rPr>
        <w:t>5</w:t>
      </w:r>
      <w:r w:rsidR="00D05EC8" w:rsidRPr="00891173">
        <w:rPr>
          <w:b/>
        </w:rPr>
        <w:t xml:space="preserve"> pav.</w:t>
      </w:r>
      <w:r w:rsidR="00D05EC8" w:rsidRPr="00891173">
        <w:t xml:space="preserve"> </w:t>
      </w:r>
      <w:r w:rsidR="00D05EC8" w:rsidRPr="00891173">
        <w:rPr>
          <w:b/>
        </w:rPr>
        <w:t xml:space="preserve">Investicinių fondų skaičius ir jų vertė Lietuvoje, 2001m. – 2012 m. III ketv.  laikotarpyje. </w:t>
      </w:r>
    </w:p>
    <w:p w:rsidR="00E77691" w:rsidRPr="00891173" w:rsidRDefault="00E77691" w:rsidP="00E77691">
      <w:pPr>
        <w:jc w:val="center"/>
      </w:pPr>
      <w:r w:rsidRPr="00891173">
        <w:rPr>
          <w:b/>
          <w:sz w:val="20"/>
          <w:szCs w:val="20"/>
        </w:rPr>
        <w:t>Šaltinis:</w:t>
      </w:r>
      <w:r w:rsidRPr="00891173">
        <w:rPr>
          <w:sz w:val="20"/>
          <w:szCs w:val="20"/>
        </w:rPr>
        <w:t xml:space="preserve"> sudaryta darbo autorės, remiantis V</w:t>
      </w:r>
      <w:r w:rsidRPr="00891173">
        <w:rPr>
          <w:rFonts w:eastAsia="MinionPro-Regular"/>
          <w:sz w:val="20"/>
          <w:szCs w:val="20"/>
        </w:rPr>
        <w:t>ertybinių Popierių Komisija</w:t>
      </w:r>
      <w:r w:rsidR="008A7444" w:rsidRPr="00891173">
        <w:rPr>
          <w:rFonts w:eastAsia="MinionPro-Regular"/>
          <w:sz w:val="20"/>
          <w:szCs w:val="20"/>
        </w:rPr>
        <w:t xml:space="preserve"> ir Lietuvos banku (1</w:t>
      </w:r>
      <w:r w:rsidRPr="00891173">
        <w:rPr>
          <w:rFonts w:eastAsia="MinionPro-Regular"/>
          <w:sz w:val="20"/>
          <w:szCs w:val="20"/>
        </w:rPr>
        <w:t xml:space="preserve"> priedas). </w:t>
      </w:r>
      <w:hyperlink r:id="rId13" w:history="1">
        <w:r w:rsidRPr="00891173">
          <w:rPr>
            <w:rStyle w:val="Hyperlink"/>
            <w:rFonts w:eastAsia="MinionPro-Regular"/>
            <w:color w:val="auto"/>
            <w:sz w:val="20"/>
            <w:szCs w:val="20"/>
            <w:u w:val="none"/>
          </w:rPr>
          <w:t>http://www.vpk.lt/lt/ataskaitos-ir-publikacijos/komisijos-metu-ataskaitos/</w:t>
        </w:r>
      </w:hyperlink>
      <w:r w:rsidRPr="00891173">
        <w:t xml:space="preserve"> ir </w:t>
      </w:r>
      <w:hyperlink r:id="rId14" w:history="1">
        <w:r w:rsidRPr="00891173">
          <w:rPr>
            <w:rStyle w:val="Hyperlink"/>
            <w:color w:val="auto"/>
            <w:sz w:val="20"/>
            <w:szCs w:val="20"/>
            <w:u w:val="none"/>
          </w:rPr>
          <w:t>http://www.lb.lt/ii_ir_iii_pakopos_pensiju_fondu_bei_kolektyvinio_investavimo_subjektu_rinkos_apzvalga_2012_m_i_psumetis</w:t>
        </w:r>
      </w:hyperlink>
    </w:p>
    <w:p w:rsidR="00E77691" w:rsidRPr="00891173" w:rsidRDefault="00E77691" w:rsidP="00E77691">
      <w:pPr>
        <w:jc w:val="center"/>
        <w:rPr>
          <w:rFonts w:eastAsia="MinionPro-Regular"/>
          <w:sz w:val="20"/>
          <w:szCs w:val="20"/>
        </w:rPr>
      </w:pPr>
    </w:p>
    <w:p w:rsidR="00E77691" w:rsidRPr="00891173" w:rsidRDefault="00297D8F" w:rsidP="001D78BC">
      <w:pPr>
        <w:tabs>
          <w:tab w:val="left" w:leader="dot" w:pos="9356"/>
        </w:tabs>
        <w:spacing w:line="360" w:lineRule="auto"/>
        <w:ind w:firstLine="567"/>
        <w:jc w:val="both"/>
      </w:pPr>
      <w:r w:rsidRPr="00891173">
        <w:t>5</w:t>
      </w:r>
      <w:r w:rsidR="00D05EC8" w:rsidRPr="00891173">
        <w:t xml:space="preserve"> paveikslas</w:t>
      </w:r>
      <w:r w:rsidR="00E77691" w:rsidRPr="00891173">
        <w:t xml:space="preserve"> demonstruoja visų investicinių fondų</w:t>
      </w:r>
      <w:r w:rsidR="000956A3" w:rsidRPr="00891173">
        <w:t>,</w:t>
      </w:r>
      <w:r w:rsidR="00E77691" w:rsidRPr="00891173">
        <w:t xml:space="preserve"> užregistruotų Lietuvoje</w:t>
      </w:r>
      <w:r w:rsidR="000956A3" w:rsidRPr="00891173">
        <w:t>,</w:t>
      </w:r>
      <w:r w:rsidR="00E77691" w:rsidRPr="00891173">
        <w:t xml:space="preserve"> pokyčius per pastaruosius 11 metų. Grafikas rodo, kad investicinių fondų skaičiaus pradėjo augti nuo 2003 metų, kuomet buvo išleisti pirmieji kolektyvinio investavimo subjekto įstatymai. Per visą nagrinėjamą laikotarpį fondų skaičius augo, ir 2010 pasiekė aukščiausią tašką – 106 investiciniai fondai. Galima teigti, kad IF skaičius Lietuvoje daugiau nei 20 kartų per pastarąjį dešimtmetį. </w:t>
      </w:r>
    </w:p>
    <w:p w:rsidR="00E77691" w:rsidRPr="00891173" w:rsidRDefault="00E77691" w:rsidP="001D78BC">
      <w:pPr>
        <w:spacing w:line="360" w:lineRule="auto"/>
        <w:ind w:firstLine="567"/>
        <w:jc w:val="both"/>
      </w:pPr>
      <w:r w:rsidRPr="00891173">
        <w:t>Investicinių fondų vertės kitimo situacija truputį kitokia – nuo 2001 metų investicijos į fondus augo labai sparčiai, nuo 1,26 mln. Lt iki 2,47 mlrd. Lt 2007 pabaigoje. Tačiau verta paminėti, kad įstatymai dėl investicinių fondų buvo priimti tik 2003 metais, todėl tikrasis fondų augimas prasidėjo 2004 metais. Todėl nuo 2004 iki 2007 metų fondų turtas sugebėjo augti net 1121%, nuo 202,5 mln. Lt iki 2,47 mlrd. Lt. Tokį didžiulį susidomėjimą fondais įtakojo investuotojų susidomėjimas užsienyje užregistruotais fondais. Tačiau,  2008 metais Lietuvos fondų vertė krito dramatiškai t.y. 65,5% per vienerius metus. Šis kritimas galima sakyti pasiekė 2005 metų lygį, tačiau nuo to laiko iki 2011m.  fondų vertė vėl kilo. 2011 m. pastebimas investicinių fondų skaičiaus mažėjimas, kas savo ruožtu sumažino ir fondų vertę. 2012 m. investicinių fondų rinka Lietuvoje</w:t>
      </w:r>
      <w:r w:rsidR="000956A3" w:rsidRPr="00891173">
        <w:t xml:space="preserve"> šiek tiek atsigavo – padidėjo i</w:t>
      </w:r>
      <w:r w:rsidRPr="00891173">
        <w:t xml:space="preserve">nvesticinių fondų skaičius ir jų vertė. Šiais metais įsteigtas naujas fondas „Synergy Finance turto taktinio paskirstymo fondas“. </w:t>
      </w:r>
    </w:p>
    <w:p w:rsidR="00E77691" w:rsidRPr="00891173" w:rsidRDefault="00E77691" w:rsidP="001D78BC">
      <w:pPr>
        <w:spacing w:line="360" w:lineRule="auto"/>
        <w:ind w:firstLine="567"/>
        <w:jc w:val="both"/>
      </w:pPr>
      <w:r w:rsidRPr="00891173">
        <w:lastRenderedPageBreak/>
        <w:t>Kalbant apie fondų vertės pokyčius, dažniausiai investicinių fondų vertės keičiasi dėl akcijų biržos pasikeitimų. Taip pat su kitais investuotojais, fondai perka įvairiausias akcijas rinkose, todėl svyruojant akcijų kursams</w:t>
      </w:r>
      <w:r w:rsidR="000956A3" w:rsidRPr="00891173">
        <w:t>,</w:t>
      </w:r>
      <w:r w:rsidRPr="00891173">
        <w:t xml:space="preserve"> svyruoja ir fondo vertė. Didelis kritimas akcijų biržose, į dugną tempia ir fondus. Būtent dėl to pastebimas 2008 metų kritimas, nes krentant fondo vertei, investuotojai skuba atsiimti pinigus iš fondo, todėl kritimas padidėja dar labiau.</w:t>
      </w:r>
    </w:p>
    <w:p w:rsidR="00E77691" w:rsidRPr="00891173" w:rsidRDefault="00E77691" w:rsidP="001D78BC">
      <w:pPr>
        <w:spacing w:after="120" w:line="360" w:lineRule="auto"/>
        <w:ind w:firstLine="567"/>
        <w:jc w:val="both"/>
      </w:pPr>
      <w:r w:rsidRPr="00891173">
        <w:t xml:space="preserve">Kuomet Lietuva, kartu su visu pasauliu pradėjo atsistatinėti nuo ekonomikos recesijos, akcijų kainos ir fondų vienetai taip pat pradėjo kilti. Rezultatas toks, kad 2010 metais į investicinius fondus buvo investuota 2,032 mlrd. Lt. Iki buvusio aukščiausio lygio 2007 metais dar trūksta 17,8% augimo. </w:t>
      </w:r>
    </w:p>
    <w:p w:rsidR="00E77691" w:rsidRPr="00891173" w:rsidRDefault="00E77691" w:rsidP="00E77691">
      <w:pPr>
        <w:tabs>
          <w:tab w:val="left" w:leader="dot" w:pos="9356"/>
        </w:tabs>
        <w:spacing w:line="360" w:lineRule="auto"/>
        <w:jc w:val="center"/>
      </w:pPr>
      <w:r w:rsidRPr="00891173">
        <w:drawing>
          <wp:inline distT="0" distB="0" distL="0" distR="0">
            <wp:extent cx="5833773" cy="2751152"/>
            <wp:effectExtent l="19050" t="0" r="14577"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A7444" w:rsidRPr="00891173" w:rsidRDefault="00297D8F" w:rsidP="008A7444">
      <w:pPr>
        <w:tabs>
          <w:tab w:val="left" w:leader="dot" w:pos="9356"/>
        </w:tabs>
        <w:spacing w:line="360" w:lineRule="auto"/>
        <w:jc w:val="center"/>
      </w:pPr>
      <w:r w:rsidRPr="00891173">
        <w:rPr>
          <w:b/>
        </w:rPr>
        <w:t>6</w:t>
      </w:r>
      <w:r w:rsidR="008A7444" w:rsidRPr="00891173">
        <w:rPr>
          <w:b/>
        </w:rPr>
        <w:t xml:space="preserve"> pav.</w:t>
      </w:r>
      <w:r w:rsidR="008A7444" w:rsidRPr="00891173">
        <w:t xml:space="preserve"> </w:t>
      </w:r>
      <w:r w:rsidR="008A7444" w:rsidRPr="00891173">
        <w:rPr>
          <w:b/>
        </w:rPr>
        <w:t>Lietuvos ir užsienio IF skaičius ir jų valdomas turtas, 2001m. – 2012 m. III ketv.</w:t>
      </w:r>
      <w:r w:rsidR="008A7444" w:rsidRPr="00891173">
        <w:t xml:space="preserve"> </w:t>
      </w:r>
    </w:p>
    <w:p w:rsidR="008A7444" w:rsidRPr="00891173" w:rsidRDefault="00E77691" w:rsidP="008A7444">
      <w:pPr>
        <w:jc w:val="center"/>
      </w:pPr>
      <w:r w:rsidRPr="00891173">
        <w:rPr>
          <w:b/>
          <w:sz w:val="20"/>
          <w:szCs w:val="20"/>
        </w:rPr>
        <w:t>Šaltinis:</w:t>
      </w:r>
      <w:r w:rsidRPr="00891173">
        <w:rPr>
          <w:sz w:val="20"/>
          <w:szCs w:val="20"/>
        </w:rPr>
        <w:t xml:space="preserve"> </w:t>
      </w:r>
      <w:r w:rsidR="008A7444" w:rsidRPr="00891173">
        <w:rPr>
          <w:sz w:val="20"/>
          <w:szCs w:val="20"/>
        </w:rPr>
        <w:t>Šaltinis: sudaryta darbo autorės, remiantis V</w:t>
      </w:r>
      <w:r w:rsidR="008A7444" w:rsidRPr="00891173">
        <w:rPr>
          <w:rFonts w:eastAsia="MinionPro-Regular"/>
          <w:sz w:val="20"/>
          <w:szCs w:val="20"/>
        </w:rPr>
        <w:t xml:space="preserve">ertybinių Popierių Komisija ir Lietuvos banku (1 priedas). </w:t>
      </w:r>
      <w:hyperlink r:id="rId16" w:history="1">
        <w:r w:rsidR="008A7444" w:rsidRPr="00891173">
          <w:rPr>
            <w:rStyle w:val="Hyperlink"/>
            <w:rFonts w:eastAsia="MinionPro-Regular"/>
            <w:color w:val="auto"/>
            <w:sz w:val="20"/>
            <w:szCs w:val="20"/>
            <w:u w:val="none"/>
          </w:rPr>
          <w:t>http://www.vpk.lt/lt/ataskaitos-ir-publikacijos/komisijos-metu-ataskaitos/</w:t>
        </w:r>
      </w:hyperlink>
      <w:r w:rsidR="008A7444" w:rsidRPr="00891173">
        <w:t xml:space="preserve"> ir </w:t>
      </w:r>
      <w:hyperlink r:id="rId17" w:history="1">
        <w:r w:rsidR="008A7444" w:rsidRPr="00891173">
          <w:rPr>
            <w:rStyle w:val="Hyperlink"/>
            <w:color w:val="auto"/>
            <w:sz w:val="20"/>
            <w:szCs w:val="20"/>
            <w:u w:val="none"/>
          </w:rPr>
          <w:t>http://www.lb.lt/ii_ir_iii_pakopos_pensiju_fondu_bei_kolektyvinio_investavimo_subjektu_rinkos_apzvalga_2012_m_i_psumetis</w:t>
        </w:r>
      </w:hyperlink>
    </w:p>
    <w:p w:rsidR="00E77691" w:rsidRPr="00891173" w:rsidRDefault="00E77691" w:rsidP="00E77691">
      <w:pPr>
        <w:jc w:val="center"/>
        <w:rPr>
          <w:rFonts w:eastAsia="MinionPro-Regular"/>
          <w:sz w:val="20"/>
          <w:szCs w:val="20"/>
        </w:rPr>
      </w:pPr>
    </w:p>
    <w:p w:rsidR="00E77691" w:rsidRPr="00891173" w:rsidRDefault="00E77691" w:rsidP="00E77691">
      <w:pPr>
        <w:tabs>
          <w:tab w:val="left" w:leader="dot" w:pos="9356"/>
        </w:tabs>
        <w:spacing w:line="360" w:lineRule="auto"/>
        <w:ind w:firstLine="851"/>
        <w:jc w:val="both"/>
      </w:pPr>
    </w:p>
    <w:p w:rsidR="00E77691" w:rsidRPr="00891173" w:rsidRDefault="00297D8F" w:rsidP="001D78BC">
      <w:pPr>
        <w:tabs>
          <w:tab w:val="left" w:leader="dot" w:pos="9356"/>
        </w:tabs>
        <w:spacing w:line="360" w:lineRule="auto"/>
        <w:ind w:firstLine="567"/>
        <w:jc w:val="both"/>
      </w:pPr>
      <w:r w:rsidRPr="00891173">
        <w:t>6</w:t>
      </w:r>
      <w:r w:rsidR="008A7444" w:rsidRPr="00891173">
        <w:t xml:space="preserve"> paveikslas</w:t>
      </w:r>
      <w:r w:rsidR="00E77691" w:rsidRPr="00891173">
        <w:t xml:space="preserve"> rodo kaip Lietuvos investicinių fondų rinka keitėsi nuo 2001 iki 2012 m. 3</w:t>
      </w:r>
      <w:r w:rsidR="00E43546" w:rsidRPr="00891173">
        <w:t xml:space="preserve"> </w:t>
      </w:r>
      <w:r w:rsidR="00E77691" w:rsidRPr="00891173">
        <w:t>ketv. Nuo 2004 metų pastebimas smarkus IF augimas tiek Lietuvoje, tiek užsienyje registruotų fondų.  Analizuojamo laikotarpio pabaigoje užsienio ivesticinių fondų užregistruota d</w:t>
      </w:r>
      <w:r w:rsidR="005D6765" w:rsidRPr="00891173">
        <w:t>vigubai daugiau nei Lietuvos</w:t>
      </w:r>
      <w:r w:rsidR="00E77691" w:rsidRPr="00891173">
        <w:t xml:space="preserve"> registruotų fondų. </w:t>
      </w:r>
    </w:p>
    <w:p w:rsidR="00E77691" w:rsidRPr="00891173" w:rsidRDefault="00E77691" w:rsidP="001D78BC">
      <w:pPr>
        <w:tabs>
          <w:tab w:val="left" w:leader="dot" w:pos="9356"/>
        </w:tabs>
        <w:spacing w:line="360" w:lineRule="auto"/>
        <w:ind w:firstLine="567"/>
        <w:jc w:val="both"/>
      </w:pPr>
      <w:r w:rsidRPr="00891173">
        <w:t>Iki 2007 metų vietiniai investiciniai fondai valdė didesnį turtą nei užsienio fondai, tačiau po 2007 metų situacija radikaliai pasikeitė. Atėjus pasaulinei krizei, užsienio investiciniai fondai po truputį augo ir valdė vis dide</w:t>
      </w:r>
      <w:r w:rsidR="000956A3" w:rsidRPr="00891173">
        <w:t>s</w:t>
      </w:r>
      <w:r w:rsidRPr="00891173">
        <w:t>nį turtą, kol galiausiai 2010 metais beveik dvigubai lenkė lietuviškus fondus ir taip yra iki 2012 m. III ketv. 2012 m.  investicinių fondų vertės didėjimą lėmė teigiama investicinė grąža, kuriai įtaką padarė kainų augimas pasaulio finansų rinkose.</w:t>
      </w:r>
    </w:p>
    <w:p w:rsidR="00E77691" w:rsidRPr="00891173" w:rsidRDefault="00E77691" w:rsidP="001D78BC">
      <w:pPr>
        <w:tabs>
          <w:tab w:val="left" w:leader="dot" w:pos="9356"/>
        </w:tabs>
        <w:spacing w:line="360" w:lineRule="auto"/>
        <w:ind w:firstLine="567"/>
        <w:jc w:val="both"/>
      </w:pPr>
      <w:r w:rsidRPr="00891173">
        <w:lastRenderedPageBreak/>
        <w:t>Lietuvos IF rinkos analizė atskleidė, kad tiek investicinių fondų skaičius, tiek valdomas turtas auga. Galima teigti, kad investuotojai vis dažniau investuoja ne tik į Lietuvos</w:t>
      </w:r>
      <w:r w:rsidR="00976D07" w:rsidRPr="00891173">
        <w:t>,</w:t>
      </w:r>
      <w:r w:rsidRPr="00891173">
        <w:t xml:space="preserve"> bet ir į Lietuvoje </w:t>
      </w:r>
      <w:r w:rsidR="001402B4" w:rsidRPr="00891173">
        <w:t>platinamus</w:t>
      </w:r>
      <w:r w:rsidRPr="00891173">
        <w:t xml:space="preserve"> užsienio investicinius fondus, taigi investicinių fondų pasirinkimas Lietuvoje irgi auga. </w:t>
      </w:r>
    </w:p>
    <w:p w:rsidR="00E77691" w:rsidRPr="00891173" w:rsidRDefault="00E77691" w:rsidP="001D78BC">
      <w:pPr>
        <w:tabs>
          <w:tab w:val="left" w:leader="dot" w:pos="9356"/>
        </w:tabs>
        <w:spacing w:after="120" w:line="360" w:lineRule="auto"/>
        <w:ind w:firstLine="567"/>
        <w:jc w:val="both"/>
      </w:pPr>
      <w:r w:rsidRPr="00891173">
        <w:t>Esant didesniam investicinių fondų pasirinkimui, keičiasi ir dalyvių skaičius Lietuvoje registruotuose ir Lietuvoje viešai platinamuose užsienio invest</w:t>
      </w:r>
      <w:r w:rsidR="005F1E7F" w:rsidRPr="00891173">
        <w:t xml:space="preserve">iciniuose fonduose (žr. </w:t>
      </w:r>
      <w:r w:rsidR="00297D8F" w:rsidRPr="00891173">
        <w:t>7</w:t>
      </w:r>
      <w:r w:rsidR="008A7444" w:rsidRPr="00891173">
        <w:t xml:space="preserve"> pav.</w:t>
      </w:r>
      <w:r w:rsidRPr="00891173">
        <w:t>)</w:t>
      </w:r>
      <w:r w:rsidR="005F1E7F" w:rsidRPr="00891173">
        <w:t>.</w:t>
      </w:r>
    </w:p>
    <w:p w:rsidR="00E77691" w:rsidRPr="00891173" w:rsidRDefault="00E77691" w:rsidP="0018257B">
      <w:pPr>
        <w:tabs>
          <w:tab w:val="left" w:leader="dot" w:pos="9356"/>
        </w:tabs>
        <w:spacing w:line="360" w:lineRule="auto"/>
        <w:jc w:val="center"/>
      </w:pPr>
      <w:r w:rsidRPr="00891173">
        <w:drawing>
          <wp:inline distT="0" distB="0" distL="0" distR="0">
            <wp:extent cx="5381626" cy="3267075"/>
            <wp:effectExtent l="19050" t="0" r="28574"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A7444" w:rsidRPr="00891173" w:rsidRDefault="00297D8F" w:rsidP="008A7444">
      <w:pPr>
        <w:spacing w:line="360" w:lineRule="auto"/>
        <w:jc w:val="center"/>
        <w:rPr>
          <w:color w:val="000000"/>
          <w:szCs w:val="20"/>
        </w:rPr>
      </w:pPr>
      <w:r w:rsidRPr="00891173">
        <w:rPr>
          <w:b/>
        </w:rPr>
        <w:t>7</w:t>
      </w:r>
      <w:r w:rsidR="008A7444" w:rsidRPr="00891173">
        <w:rPr>
          <w:b/>
        </w:rPr>
        <w:t xml:space="preserve"> pav.</w:t>
      </w:r>
      <w:r w:rsidR="008A7444" w:rsidRPr="00891173">
        <w:rPr>
          <w:i/>
        </w:rPr>
        <w:t xml:space="preserve"> </w:t>
      </w:r>
      <w:r w:rsidR="008A7444" w:rsidRPr="00891173">
        <w:rPr>
          <w:b/>
          <w:color w:val="000000"/>
          <w:szCs w:val="20"/>
        </w:rPr>
        <w:t>Investicinių fondų dalyvių skaičiaus kaita</w:t>
      </w:r>
    </w:p>
    <w:p w:rsidR="00E77691" w:rsidRPr="00891173" w:rsidRDefault="00E77691" w:rsidP="008A7444">
      <w:pPr>
        <w:tabs>
          <w:tab w:val="left" w:leader="dot" w:pos="9356"/>
        </w:tabs>
        <w:spacing w:line="360" w:lineRule="auto"/>
        <w:ind w:firstLine="567"/>
        <w:rPr>
          <w:sz w:val="20"/>
          <w:szCs w:val="20"/>
        </w:rPr>
      </w:pPr>
      <w:r w:rsidRPr="00891173">
        <w:rPr>
          <w:b/>
          <w:sz w:val="20"/>
          <w:szCs w:val="20"/>
        </w:rPr>
        <w:t>Šaltinis:</w:t>
      </w:r>
      <w:r w:rsidRPr="00891173">
        <w:rPr>
          <w:sz w:val="20"/>
          <w:szCs w:val="20"/>
        </w:rPr>
        <w:t xml:space="preserve"> sudaryta autorės, remiantis Lietuvos banku (</w:t>
      </w:r>
      <w:r w:rsidR="008A7444" w:rsidRPr="00891173">
        <w:rPr>
          <w:sz w:val="20"/>
          <w:szCs w:val="20"/>
        </w:rPr>
        <w:t xml:space="preserve">2 </w:t>
      </w:r>
      <w:r w:rsidRPr="00891173">
        <w:rPr>
          <w:sz w:val="20"/>
          <w:szCs w:val="20"/>
        </w:rPr>
        <w:t xml:space="preserve"> priedas).</w:t>
      </w:r>
      <w:r w:rsidR="008A7444" w:rsidRPr="00891173">
        <w:rPr>
          <w:sz w:val="20"/>
          <w:szCs w:val="20"/>
        </w:rPr>
        <w:t xml:space="preserve"> </w:t>
      </w:r>
      <w:hyperlink r:id="rId19" w:history="1">
        <w:r w:rsidRPr="00891173">
          <w:rPr>
            <w:rStyle w:val="Hyperlink"/>
            <w:color w:val="auto"/>
            <w:sz w:val="20"/>
            <w:szCs w:val="20"/>
            <w:u w:val="none"/>
          </w:rPr>
          <w:t>http://www.lb.lt/ii_ir_iii_pakopos_pensiju_fondu_bei_kolektyvinio_investavimo_subjektu_rinkos_apzvalga_2012_m_iii_ketv</w:t>
        </w:r>
      </w:hyperlink>
    </w:p>
    <w:p w:rsidR="00E77691" w:rsidRPr="00891173" w:rsidRDefault="00E77691" w:rsidP="004654D7">
      <w:pPr>
        <w:spacing w:line="360" w:lineRule="auto"/>
        <w:ind w:firstLine="567"/>
        <w:jc w:val="both"/>
      </w:pPr>
      <w:r w:rsidRPr="00891173">
        <w:t>Nuo 2006 m. pastebimas didelis investicinių fondų dalyvių skaičiaus išaugimas. Per 2007</w:t>
      </w:r>
      <w:r w:rsidR="00202504" w:rsidRPr="00891173">
        <w:t xml:space="preserve"> </w:t>
      </w:r>
      <w:r w:rsidRPr="00891173">
        <w:t>m. Lietuvos investicinių fondų dalyvių skaičius išauga dvigubai, o užsienio – 4</w:t>
      </w:r>
      <w:r w:rsidR="00202504" w:rsidRPr="00891173">
        <w:t xml:space="preserve"> </w:t>
      </w:r>
      <w:r w:rsidRPr="00891173">
        <w:t>kartais. Tai lėmė padidėjęs investicinių fondų skaičius tiek Lietuvos, tiek užsienio. Nuo 2008 m. pastebimas ryškus investuotojų skaičiaus mažėjimas į Lietuvos investicinius fondus. Tuo tarpu Lietuvoje viešai platinamų užsienio investicinių fondų dalyvių skaičius sparčiai išaugo, o nuo 2011 m. nežymiai sumažėjo (5</w:t>
      </w:r>
      <w:r w:rsidR="004621E0" w:rsidRPr="00891173">
        <w:t xml:space="preserve">000 </w:t>
      </w:r>
      <w:r w:rsidRPr="00891173">
        <w:t>dalyvių).</w:t>
      </w:r>
    </w:p>
    <w:p w:rsidR="00E77691" w:rsidRPr="00891173" w:rsidRDefault="00E77691" w:rsidP="004654D7">
      <w:pPr>
        <w:spacing w:line="360" w:lineRule="auto"/>
        <w:ind w:firstLine="567"/>
        <w:jc w:val="both"/>
      </w:pPr>
      <w:r w:rsidRPr="00891173">
        <w:t xml:space="preserve">Spartus investuotojų mažėjimas pastebimas 2011 m., kuomet buvo įvykdyti fondų sujungimai. Asmenys, turėję kelių IF vienetų ir anksčiau vertinti kaip atskiri dalyviai, po fondų sujungimo tapo vienu dalyviu. Taip pat didelę įtaką dalyvių skaičiaus sumažėjimui turėjo Europos šalių skolų krizė ir jos paveikti neigiami fondų rezultatai. </w:t>
      </w:r>
    </w:p>
    <w:p w:rsidR="00E77691" w:rsidRPr="00891173" w:rsidRDefault="00E77691" w:rsidP="00E77691">
      <w:pPr>
        <w:spacing w:line="360" w:lineRule="auto"/>
        <w:ind w:firstLine="851"/>
        <w:jc w:val="both"/>
      </w:pPr>
    </w:p>
    <w:p w:rsidR="0018257B" w:rsidRPr="00891173" w:rsidRDefault="0018257B">
      <w:pPr>
        <w:spacing w:after="200" w:line="276" w:lineRule="auto"/>
      </w:pPr>
      <w:r w:rsidRPr="00891173">
        <w:br w:type="page"/>
      </w:r>
    </w:p>
    <w:p w:rsidR="00E77691" w:rsidRPr="00891173" w:rsidRDefault="0082397E" w:rsidP="00D35728">
      <w:pPr>
        <w:pStyle w:val="Heading4"/>
        <w:rPr>
          <w:b/>
        </w:rPr>
      </w:pPr>
      <w:bookmarkStart w:id="10" w:name="_Toc343602002"/>
      <w:r w:rsidRPr="00891173">
        <w:rPr>
          <w:b/>
        </w:rPr>
        <w:lastRenderedPageBreak/>
        <w:t xml:space="preserve">   </w:t>
      </w:r>
      <w:r w:rsidR="00E77691" w:rsidRPr="00891173">
        <w:rPr>
          <w:b/>
        </w:rPr>
        <w:t>Lietuvos investicijų fondų rinkos pasiskirstymas</w:t>
      </w:r>
      <w:bookmarkEnd w:id="10"/>
    </w:p>
    <w:p w:rsidR="00E77691" w:rsidRPr="00891173" w:rsidRDefault="00E77691" w:rsidP="00E77691">
      <w:pPr>
        <w:tabs>
          <w:tab w:val="left" w:leader="dot" w:pos="9356"/>
        </w:tabs>
        <w:spacing w:line="360" w:lineRule="auto"/>
        <w:ind w:firstLine="993"/>
        <w:jc w:val="center"/>
      </w:pPr>
    </w:p>
    <w:p w:rsidR="00E77691" w:rsidRPr="00891173" w:rsidRDefault="00E77691" w:rsidP="00411246">
      <w:pPr>
        <w:autoSpaceDE w:val="0"/>
        <w:autoSpaceDN w:val="0"/>
        <w:adjustRightInd w:val="0"/>
        <w:spacing w:line="360" w:lineRule="auto"/>
        <w:ind w:firstLine="567"/>
        <w:jc w:val="both"/>
        <w:rPr>
          <w:rFonts w:eastAsiaTheme="minorHAnsi"/>
          <w:lang w:eastAsia="en-US"/>
        </w:rPr>
      </w:pPr>
      <w:r w:rsidRPr="00891173">
        <w:t>Pagal investavimo kryptis, investiciniai fondai Lietuvoje gali būti klasifikuojami kaip: nuosavybės vertybinių popierių fondai, skolos VP fondai, mišrūs fondai, kiti fondai, tokie kaip nekilnojomojo turto, alternatyv</w:t>
      </w:r>
      <w:r w:rsidR="005B7427" w:rsidRPr="00891173">
        <w:t>ū</w:t>
      </w:r>
      <w:r w:rsidRPr="00891173">
        <w:t xml:space="preserve">s fondai ir t.t. </w:t>
      </w:r>
      <w:r w:rsidR="005B7427" w:rsidRPr="00891173">
        <w:t>Lietuvoje viešai platinam</w:t>
      </w:r>
      <w:r w:rsidR="00411246" w:rsidRPr="00891173">
        <w:t>ų</w:t>
      </w:r>
      <w:r w:rsidR="005B7427" w:rsidRPr="00891173">
        <w:t xml:space="preserve"> u</w:t>
      </w:r>
      <w:r w:rsidRPr="00891173">
        <w:t>žsien</w:t>
      </w:r>
      <w:r w:rsidR="005B7427" w:rsidRPr="00891173">
        <w:t>io investicinių fondų duomenys</w:t>
      </w:r>
      <w:r w:rsidRPr="00891173">
        <w:t xml:space="preserve"> apie investicinių fondų pasiskirstymą </w:t>
      </w:r>
      <w:r w:rsidR="005B7427" w:rsidRPr="00891173">
        <w:t xml:space="preserve">Lietuvoje </w:t>
      </w:r>
      <w:r w:rsidRPr="00891173">
        <w:t xml:space="preserve">nėra įtraukti į šią analizę. Todėl žemiau pateikta </w:t>
      </w:r>
      <w:r w:rsidR="005B7427" w:rsidRPr="00891173">
        <w:t>tik Lietuvos</w:t>
      </w:r>
      <w:r w:rsidRPr="00891173">
        <w:t xml:space="preserve"> registruotų fondų klasifikavimas ir jo kitimas per 2001 – 2012 metus. </w:t>
      </w:r>
    </w:p>
    <w:p w:rsidR="00E77691" w:rsidRPr="00891173" w:rsidRDefault="00E77691" w:rsidP="0018257B">
      <w:pPr>
        <w:tabs>
          <w:tab w:val="left" w:leader="dot" w:pos="9356"/>
        </w:tabs>
        <w:spacing w:line="360" w:lineRule="auto"/>
        <w:jc w:val="center"/>
      </w:pPr>
      <w:r w:rsidRPr="00891173">
        <w:drawing>
          <wp:inline distT="0" distB="0" distL="0" distR="0">
            <wp:extent cx="5667375" cy="3419475"/>
            <wp:effectExtent l="19050" t="0" r="952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A7444" w:rsidRPr="00891173" w:rsidRDefault="00297D8F" w:rsidP="00297D8F">
      <w:pPr>
        <w:tabs>
          <w:tab w:val="left" w:leader="dot" w:pos="9356"/>
        </w:tabs>
        <w:spacing w:line="360" w:lineRule="auto"/>
        <w:ind w:firstLine="567"/>
        <w:jc w:val="center"/>
        <w:rPr>
          <w:b/>
        </w:rPr>
      </w:pPr>
      <w:r w:rsidRPr="00891173">
        <w:rPr>
          <w:b/>
        </w:rPr>
        <w:t>8</w:t>
      </w:r>
      <w:r w:rsidR="008A7444" w:rsidRPr="00891173">
        <w:rPr>
          <w:b/>
        </w:rPr>
        <w:t xml:space="preserve"> pav.</w:t>
      </w:r>
      <w:r w:rsidR="008A7444" w:rsidRPr="00891173">
        <w:t xml:space="preserve"> </w:t>
      </w:r>
      <w:r w:rsidR="008A7444" w:rsidRPr="00891173">
        <w:rPr>
          <w:b/>
        </w:rPr>
        <w:t>Lietuvoje registruoti IF tipai 2001 m. – 2012 m. III ketv.</w:t>
      </w:r>
    </w:p>
    <w:p w:rsidR="00E77691" w:rsidRPr="00891173" w:rsidRDefault="00E77691" w:rsidP="004654D7">
      <w:pPr>
        <w:spacing w:after="120"/>
        <w:ind w:firstLine="567"/>
        <w:jc w:val="both"/>
        <w:rPr>
          <w:rFonts w:eastAsia="MinionPro-Regular"/>
          <w:sz w:val="20"/>
          <w:szCs w:val="20"/>
        </w:rPr>
      </w:pPr>
      <w:r w:rsidRPr="00891173">
        <w:rPr>
          <w:b/>
          <w:sz w:val="20"/>
          <w:szCs w:val="20"/>
        </w:rPr>
        <w:t>Šaltinis:</w:t>
      </w:r>
      <w:r w:rsidRPr="00891173">
        <w:rPr>
          <w:sz w:val="20"/>
          <w:szCs w:val="20"/>
        </w:rPr>
        <w:t xml:space="preserve"> sudaryta darbo autorės, remiantis V</w:t>
      </w:r>
      <w:r w:rsidRPr="00891173">
        <w:rPr>
          <w:rFonts w:eastAsia="MinionPro-Regular"/>
          <w:sz w:val="20"/>
          <w:szCs w:val="20"/>
        </w:rPr>
        <w:t>ertybinių Popierių Komisija ir Lietuvos banku (</w:t>
      </w:r>
      <w:r w:rsidR="00297D8F" w:rsidRPr="00891173">
        <w:rPr>
          <w:rFonts w:eastAsia="MinionPro-Regular"/>
          <w:sz w:val="20"/>
          <w:szCs w:val="20"/>
        </w:rPr>
        <w:t xml:space="preserve">žr. </w:t>
      </w:r>
      <w:r w:rsidRPr="00891173">
        <w:rPr>
          <w:rFonts w:eastAsia="MinionPro-Regular"/>
          <w:sz w:val="20"/>
          <w:szCs w:val="20"/>
        </w:rPr>
        <w:t>3 pried</w:t>
      </w:r>
      <w:r w:rsidR="00297D8F" w:rsidRPr="00891173">
        <w:rPr>
          <w:rFonts w:eastAsia="MinionPro-Regular"/>
          <w:sz w:val="20"/>
          <w:szCs w:val="20"/>
        </w:rPr>
        <w:t>ą</w:t>
      </w:r>
      <w:r w:rsidRPr="00891173">
        <w:rPr>
          <w:rFonts w:eastAsia="MinionPro-Regular"/>
          <w:sz w:val="20"/>
          <w:szCs w:val="20"/>
        </w:rPr>
        <w:t xml:space="preserve">). </w:t>
      </w:r>
      <w:hyperlink r:id="rId21" w:history="1">
        <w:r w:rsidRPr="00891173">
          <w:rPr>
            <w:rStyle w:val="Hyperlink"/>
            <w:rFonts w:eastAsia="MinionPro-Regular"/>
            <w:color w:val="auto"/>
            <w:sz w:val="20"/>
            <w:szCs w:val="20"/>
            <w:u w:val="none"/>
          </w:rPr>
          <w:t>http://www.vpk.lt/lt/ataskaitos-ir-publikacijos/komisijos-metu-ataskaitos/</w:t>
        </w:r>
      </w:hyperlink>
      <w:r w:rsidRPr="00891173">
        <w:t xml:space="preserve"> </w:t>
      </w:r>
      <w:r w:rsidRPr="00891173">
        <w:rPr>
          <w:sz w:val="20"/>
          <w:szCs w:val="20"/>
        </w:rPr>
        <w:t xml:space="preserve">bei </w:t>
      </w:r>
      <w:hyperlink r:id="rId22" w:history="1">
        <w:r w:rsidRPr="00891173">
          <w:rPr>
            <w:rStyle w:val="Hyperlink"/>
            <w:color w:val="auto"/>
            <w:sz w:val="20"/>
            <w:szCs w:val="20"/>
            <w:u w:val="none"/>
          </w:rPr>
          <w:t>http://www.lb.lt/ii_ir_iii_pakopos_pensiju_fondu_bei_kolektyvinio_investavimo_subjektu_rinkos_apzvalga_2012_m_iii_ketv</w:t>
        </w:r>
      </w:hyperlink>
      <w:r w:rsidRPr="00891173">
        <w:rPr>
          <w:sz w:val="20"/>
          <w:szCs w:val="20"/>
        </w:rPr>
        <w:t xml:space="preserve"> </w:t>
      </w:r>
    </w:p>
    <w:p w:rsidR="00E77691" w:rsidRPr="00891173" w:rsidRDefault="00297D8F" w:rsidP="004654D7">
      <w:pPr>
        <w:tabs>
          <w:tab w:val="left" w:leader="dot" w:pos="9356"/>
        </w:tabs>
        <w:spacing w:line="360" w:lineRule="auto"/>
        <w:ind w:firstLine="567"/>
        <w:jc w:val="both"/>
      </w:pPr>
      <w:r w:rsidRPr="00891173">
        <w:t>8</w:t>
      </w:r>
      <w:r w:rsidR="005F1E7F" w:rsidRPr="00891173">
        <w:t xml:space="preserve"> </w:t>
      </w:r>
      <w:r w:rsidR="008A7444" w:rsidRPr="00891173">
        <w:t>paveikslas</w:t>
      </w:r>
      <w:r w:rsidR="00E77691" w:rsidRPr="00891173">
        <w:t xml:space="preserve"> vaizduoja Lietuvos IF krypčių pasikeitimą per nagri</w:t>
      </w:r>
      <w:r w:rsidR="00503FCE" w:rsidRPr="00891173">
        <w:t>nėjamą laikotarpį. Nuosavybės vertybinių popierių</w:t>
      </w:r>
      <w:r w:rsidR="00E77691" w:rsidRPr="00891173">
        <w:t xml:space="preserve"> fondai užima didžiausią rinkos dalį per visą laikotarpį. Šios krypties investicinių fondų kiekis augo kiekvienais metais, išskyrus 2010 metus, kuomet vienu fondu sumažėjo. Taigi, 2001 metais užregistruotas tik 1 nuosavybės VP fondas, o 2009 metais – 22. Nuo to laiko nuosavybės vertybinių fondų skaičius mažėja i</w:t>
      </w:r>
      <w:r w:rsidR="00411246" w:rsidRPr="00891173">
        <w:t>r šių metų 3 ketvirtį siekia 10, o tai sudaro beveik trečdalį visų fondų.</w:t>
      </w:r>
    </w:p>
    <w:p w:rsidR="00E77691" w:rsidRPr="00891173" w:rsidRDefault="00E77691" w:rsidP="004654D7">
      <w:pPr>
        <w:tabs>
          <w:tab w:val="left" w:leader="dot" w:pos="9356"/>
        </w:tabs>
        <w:spacing w:line="360" w:lineRule="auto"/>
        <w:ind w:firstLine="567"/>
        <w:jc w:val="both"/>
      </w:pPr>
      <w:r w:rsidRPr="00891173">
        <w:t xml:space="preserve">Pimieji skolos </w:t>
      </w:r>
      <w:r w:rsidR="00A60761" w:rsidRPr="00891173">
        <w:t>vertybinių popierių</w:t>
      </w:r>
      <w:r w:rsidRPr="00891173">
        <w:t xml:space="preserve"> investiciniai fondai pasirodė 2004 metais, kuomet Lietuva įstojo į Europos Sąjungą ir šios krypties fondai augo iki pat 2008 metų. Tačiau po pasaulį ištikusios finansinės krizės</w:t>
      </w:r>
      <w:r w:rsidR="00976D07" w:rsidRPr="00891173">
        <w:t>,</w:t>
      </w:r>
      <w:r w:rsidRPr="00891173">
        <w:t xml:space="preserve"> šių fondų sumažėjo nuo 5 iki 1, 2011 metais, ir šis skai</w:t>
      </w:r>
      <w:r w:rsidR="00976D07" w:rsidRPr="00891173">
        <w:t>čius išliko iki 2012  m. III</w:t>
      </w:r>
      <w:r w:rsidRPr="00891173">
        <w:t xml:space="preserve"> ketvirčio. </w:t>
      </w:r>
    </w:p>
    <w:p w:rsidR="00E77691" w:rsidRPr="00891173" w:rsidRDefault="00E77691" w:rsidP="001613B2">
      <w:pPr>
        <w:tabs>
          <w:tab w:val="left" w:leader="dot" w:pos="9356"/>
        </w:tabs>
        <w:spacing w:line="360" w:lineRule="auto"/>
        <w:ind w:firstLine="567"/>
        <w:jc w:val="both"/>
      </w:pPr>
      <w:r w:rsidRPr="00891173">
        <w:t>Mišrių investicinių fondų kiekis svyruoja per visą laikotarpį. Šios krypties investicinių fondų skaičius kilo per 2005 – 2006 metu</w:t>
      </w:r>
      <w:r w:rsidR="00A60761" w:rsidRPr="00891173">
        <w:t xml:space="preserve">s, buvo įregistruoti 6 fondai. </w:t>
      </w:r>
      <w:r w:rsidRPr="00891173">
        <w:t xml:space="preserve">Šio tipo fondų dugnas buvo </w:t>
      </w:r>
      <w:r w:rsidRPr="00891173">
        <w:lastRenderedPageBreak/>
        <w:t>užregistruotas 2008 metais, kuomet siekė 4. Po to nagrinėjam</w:t>
      </w:r>
      <w:r w:rsidR="00D028B7">
        <w:t>am</w:t>
      </w:r>
      <w:r w:rsidRPr="00891173">
        <w:t>e laikotarpyje</w:t>
      </w:r>
      <w:r w:rsidR="00976D07" w:rsidRPr="00891173">
        <w:t>,</w:t>
      </w:r>
      <w:r w:rsidRPr="00891173">
        <w:t xml:space="preserve"> mišrių fondų skaičius svyravo, tai sumažė</w:t>
      </w:r>
      <w:r w:rsidR="00976D07" w:rsidRPr="00891173">
        <w:t>jo</w:t>
      </w:r>
      <w:r w:rsidRPr="00891173">
        <w:t>,</w:t>
      </w:r>
      <w:r w:rsidR="00976D07" w:rsidRPr="00891173">
        <w:t xml:space="preserve"> tai vėl padidėjo, o 2012 metų III</w:t>
      </w:r>
      <w:r w:rsidRPr="00891173">
        <w:t xml:space="preserve"> ketvirtyje šis skaičus siekia 8 fondus ir tik dviems fondais mažiau nei nuosavybės vertybinių popierių investiciniai fondai.</w:t>
      </w:r>
    </w:p>
    <w:p w:rsidR="00E77691" w:rsidRPr="00891173" w:rsidRDefault="00E77691" w:rsidP="001613B2">
      <w:pPr>
        <w:tabs>
          <w:tab w:val="left" w:leader="dot" w:pos="9356"/>
        </w:tabs>
        <w:spacing w:line="360" w:lineRule="auto"/>
        <w:ind w:firstLine="567"/>
        <w:jc w:val="both"/>
      </w:pPr>
      <w:r w:rsidRPr="00891173">
        <w:t>Pinigų rinkos investicinių fondų Lietuvoje užre</w:t>
      </w:r>
      <w:r w:rsidR="00D81807" w:rsidRPr="00891173">
        <w:t>gistruota ypač mažai. Pirmieji du</w:t>
      </w:r>
      <w:r w:rsidRPr="00891173">
        <w:t xml:space="preserve"> tokio tipo fondai buvo užregistruoti 2004 metais. 2005 – 2012 metais liko tik 1 fondas.</w:t>
      </w:r>
    </w:p>
    <w:p w:rsidR="00E77691" w:rsidRPr="00891173" w:rsidRDefault="00E77691" w:rsidP="001613B2">
      <w:pPr>
        <w:tabs>
          <w:tab w:val="left" w:leader="dot" w:pos="9356"/>
        </w:tabs>
        <w:spacing w:after="120" w:line="360" w:lineRule="auto"/>
        <w:ind w:firstLine="567"/>
        <w:jc w:val="both"/>
      </w:pPr>
      <w:r w:rsidRPr="00891173">
        <w:t xml:space="preserve">Fondų fondai, nekilnojamojo turto ir alternatyvieji fondai pasirodė Lietuvos rinkoje tik 2007 metais,  po to mažėjo ir 2010 metais tokio tipo fondų skaičius siekė 10, o 2012 m. net 14.  </w:t>
      </w:r>
    </w:p>
    <w:p w:rsidR="00E77691" w:rsidRPr="00891173" w:rsidRDefault="00E77691" w:rsidP="0018257B">
      <w:pPr>
        <w:tabs>
          <w:tab w:val="left" w:leader="dot" w:pos="9356"/>
        </w:tabs>
        <w:spacing w:line="360" w:lineRule="auto"/>
        <w:jc w:val="center"/>
      </w:pPr>
      <w:r w:rsidRPr="00891173">
        <w:drawing>
          <wp:inline distT="0" distB="0" distL="0" distR="0">
            <wp:extent cx="5295900" cy="3352800"/>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A7444" w:rsidRPr="00891173" w:rsidRDefault="00D81807" w:rsidP="008A7444">
      <w:pPr>
        <w:tabs>
          <w:tab w:val="left" w:leader="dot" w:pos="9356"/>
        </w:tabs>
        <w:spacing w:line="360" w:lineRule="auto"/>
        <w:ind w:firstLine="567"/>
        <w:jc w:val="center"/>
      </w:pPr>
      <w:r w:rsidRPr="00891173">
        <w:rPr>
          <w:b/>
        </w:rPr>
        <w:t>9</w:t>
      </w:r>
      <w:r w:rsidR="008A7444" w:rsidRPr="00891173">
        <w:rPr>
          <w:b/>
        </w:rPr>
        <w:t xml:space="preserve"> pav.</w:t>
      </w:r>
      <w:r w:rsidR="008A7444" w:rsidRPr="00891173">
        <w:t xml:space="preserve"> </w:t>
      </w:r>
      <w:r w:rsidR="008A7444" w:rsidRPr="00891173">
        <w:rPr>
          <w:b/>
        </w:rPr>
        <w:t>Lietuvoje įregistruotų IF tipų valdomas turtas, mln. Lt.</w:t>
      </w:r>
    </w:p>
    <w:p w:rsidR="00E77691" w:rsidRPr="00891173" w:rsidRDefault="00E77691" w:rsidP="001613B2">
      <w:pPr>
        <w:spacing w:after="120"/>
        <w:ind w:firstLine="567"/>
        <w:jc w:val="both"/>
        <w:rPr>
          <w:rFonts w:eastAsia="MinionPro-Regular"/>
          <w:sz w:val="20"/>
          <w:szCs w:val="20"/>
        </w:rPr>
      </w:pPr>
      <w:r w:rsidRPr="00891173">
        <w:rPr>
          <w:b/>
          <w:sz w:val="20"/>
          <w:szCs w:val="20"/>
        </w:rPr>
        <w:t>Šaltinis:</w:t>
      </w:r>
      <w:r w:rsidRPr="00891173">
        <w:rPr>
          <w:sz w:val="20"/>
          <w:szCs w:val="20"/>
        </w:rPr>
        <w:t xml:space="preserve"> sudaryta darbo autorės, remiantis V</w:t>
      </w:r>
      <w:r w:rsidRPr="00891173">
        <w:rPr>
          <w:rFonts w:eastAsia="MinionPro-Regular"/>
          <w:sz w:val="20"/>
          <w:szCs w:val="20"/>
        </w:rPr>
        <w:t>ertybinių Popierių Komisija ir Lietuvos banku (</w:t>
      </w:r>
      <w:r w:rsidR="00D81807" w:rsidRPr="00891173">
        <w:rPr>
          <w:rFonts w:eastAsia="MinionPro-Regular"/>
          <w:sz w:val="20"/>
          <w:szCs w:val="20"/>
        </w:rPr>
        <w:t>žr. 4 priedą</w:t>
      </w:r>
      <w:r w:rsidRPr="00891173">
        <w:rPr>
          <w:rFonts w:eastAsia="MinionPro-Regular"/>
          <w:sz w:val="20"/>
          <w:szCs w:val="20"/>
        </w:rPr>
        <w:t xml:space="preserve">). </w:t>
      </w:r>
      <w:hyperlink r:id="rId24" w:history="1">
        <w:r w:rsidRPr="00891173">
          <w:rPr>
            <w:rStyle w:val="Hyperlink"/>
            <w:rFonts w:eastAsia="MinionPro-Regular"/>
            <w:color w:val="auto"/>
            <w:sz w:val="20"/>
            <w:szCs w:val="20"/>
            <w:u w:val="none"/>
          </w:rPr>
          <w:t>http://www.vpk.lt/lt/ataskaitos-ir-publikacijos/komisijos-metu-ataskaitos/</w:t>
        </w:r>
      </w:hyperlink>
      <w:r w:rsidRPr="00891173">
        <w:t xml:space="preserve"> </w:t>
      </w:r>
      <w:r w:rsidRPr="00891173">
        <w:rPr>
          <w:sz w:val="20"/>
          <w:szCs w:val="20"/>
        </w:rPr>
        <w:t xml:space="preserve">ir </w:t>
      </w:r>
      <w:hyperlink r:id="rId25" w:history="1">
        <w:r w:rsidRPr="00891173">
          <w:rPr>
            <w:rStyle w:val="Hyperlink"/>
            <w:color w:val="auto"/>
            <w:sz w:val="20"/>
            <w:szCs w:val="20"/>
            <w:u w:val="none"/>
          </w:rPr>
          <w:t>http://www.lb.lt/ii_ir_iii_pakopos_pensiju_fondu_bei_kolektyvinio_investavimo_subjektu_rinkos_apzvalga_2012_m_iii_ketv</w:t>
        </w:r>
      </w:hyperlink>
    </w:p>
    <w:p w:rsidR="00E77691" w:rsidRPr="00891173" w:rsidRDefault="00D81807" w:rsidP="001613B2">
      <w:pPr>
        <w:tabs>
          <w:tab w:val="left" w:leader="dot" w:pos="9356"/>
        </w:tabs>
        <w:spacing w:line="360" w:lineRule="auto"/>
        <w:ind w:firstLine="567"/>
        <w:jc w:val="both"/>
      </w:pPr>
      <w:r w:rsidRPr="00891173">
        <w:t>9</w:t>
      </w:r>
      <w:r w:rsidR="00480DE2" w:rsidRPr="00891173">
        <w:t xml:space="preserve"> paveikslas</w:t>
      </w:r>
      <w:r w:rsidR="00E77691" w:rsidRPr="00891173">
        <w:t xml:space="preserve"> vaizduoja Lietuvos IF tipų valdomo turto pasikeitimus, per 2006 – 2012 metus. Ankstenio laikotarpio </w:t>
      </w:r>
      <w:r w:rsidR="005049FD" w:rsidRPr="00891173">
        <w:t xml:space="preserve">duomenys neskelbiami. </w:t>
      </w:r>
      <w:r w:rsidR="00E77691" w:rsidRPr="00891173">
        <w:t xml:space="preserve">Šis paveikslas parodo, kad didžiausias nuosavybės vertybinių popierių fondų turtas buvo sukauptas 2007 metais, ir per recesiją krito smarkiai nuo 749 milijonų Lt iki 142 mln. Lt., tai sudaro 81,046%. Praėjus dviems metams,  šio tipo fondai sugebėjo atsitiesti tik iki 281,04 mln. Lt., tai sudaro 62,498% žemiau lyginant 2007 metus. O nuo 2011 m. vėl sumažėjo, ir siekia 224,03 mln. Lt. </w:t>
      </w:r>
    </w:p>
    <w:p w:rsidR="00E77691" w:rsidRPr="00891173" w:rsidRDefault="00E77691" w:rsidP="001613B2">
      <w:pPr>
        <w:tabs>
          <w:tab w:val="left" w:leader="dot" w:pos="9356"/>
        </w:tabs>
        <w:spacing w:line="360" w:lineRule="auto"/>
        <w:ind w:firstLine="567"/>
        <w:jc w:val="both"/>
      </w:pPr>
      <w:r w:rsidRPr="00891173">
        <w:t xml:space="preserve">Kitokia situacija matosi mišriųjų tipų fonduose. Nuo 115 mln. Lt šių fondų vertė smuko iki 15,13 mln. Lt. 2008 metų pabaigoje.  Tačiau kitaip nei nuosavybės fondai, mišrūs fondai sugebėjo padidinti valdomą turtą 2010  m. iki 155 mln.  Lt. Taigi, šių fondų vertė nuo 2007 m. iki 2008 sumažėjo net 86,946%, tačiau iki 2010 metų pabaigos sugebėjo išaugti iki 926,768%. </w:t>
      </w:r>
    </w:p>
    <w:p w:rsidR="00E77691" w:rsidRPr="00891173" w:rsidRDefault="00E77691" w:rsidP="001613B2">
      <w:pPr>
        <w:tabs>
          <w:tab w:val="left" w:leader="dot" w:pos="9356"/>
        </w:tabs>
        <w:spacing w:line="360" w:lineRule="auto"/>
        <w:ind w:firstLine="567"/>
        <w:jc w:val="both"/>
      </w:pPr>
      <w:r w:rsidRPr="00891173">
        <w:lastRenderedPageBreak/>
        <w:t>Kitų tipų investicinių fondų valdomas turtas kaip ir nuosavybės vertybinių popierių bei mišrių investicinių fondų nagrinėjamo laikotarpio pradžioje didėjo, 2008 m. žymiai sumažėjo, o po to didėjo. 2009 metais  visų tipų investicinių fondų valdomas turtas pradėjo augti ir taip atsista</w:t>
      </w:r>
      <w:r w:rsidR="005049FD" w:rsidRPr="00891173">
        <w:t>t</w:t>
      </w:r>
      <w:r w:rsidRPr="00891173">
        <w:t>inėti nuo patirtos krizės, tačiau vis dar yra ilgas kelias, norint pasiekti prieškrizinį lygį, išskyrus jau minėtus anksčiau mišriuosius fondus.</w:t>
      </w:r>
    </w:p>
    <w:p w:rsidR="00E77691" w:rsidRPr="00891173" w:rsidRDefault="00E77691" w:rsidP="001613B2">
      <w:pPr>
        <w:spacing w:line="360" w:lineRule="auto"/>
        <w:ind w:firstLine="567"/>
        <w:jc w:val="both"/>
      </w:pPr>
      <w:r w:rsidRPr="00891173">
        <w:t>Lietuvos investicinių fondų rinka vis dar laikoma labai jauna, todėl apimtys, apyvartos ir kiti rodikliai nedžiugina. Be to pasaulį palietusi krizė, neaplenkė ir Lietuvos fondų rinkos, kuomet didžioji dalis fondų patyrė nuostolių. Kai kurie fondai, vis dar bando pasiekti prieškrizinį lygį. Užsienio investiciniai fondai yra okupavę didžiąją dalį Lietuvos rinkos, tiek fondų skaičiumi, tiek valdomo turto kiekiu. Patys populiariausi Lietuvoje nuosavybės vertybinių popierių ir mišrūs investiciniai fondai. Pastarųjų populiaruma</w:t>
      </w:r>
      <w:r w:rsidR="00DA6F3A" w:rsidRPr="00891173">
        <w:t>s su kiekvienai</w:t>
      </w:r>
      <w:r w:rsidR="00A22006" w:rsidRPr="00891173">
        <w:t>s</w:t>
      </w:r>
      <w:r w:rsidR="00DA6F3A" w:rsidRPr="00891173">
        <w:t xml:space="preserve"> metais didėja. </w:t>
      </w:r>
    </w:p>
    <w:p w:rsidR="00DA6F3A" w:rsidRPr="00891173" w:rsidRDefault="00DA6F3A" w:rsidP="001613B2">
      <w:pPr>
        <w:spacing w:line="360" w:lineRule="auto"/>
        <w:ind w:firstLine="567"/>
        <w:jc w:val="both"/>
      </w:pPr>
    </w:p>
    <w:p w:rsidR="00DA6F3A" w:rsidRPr="00891173" w:rsidRDefault="0082397E" w:rsidP="00D35728">
      <w:pPr>
        <w:pStyle w:val="Heading4"/>
        <w:rPr>
          <w:b/>
        </w:rPr>
      </w:pPr>
      <w:bookmarkStart w:id="11" w:name="_Toc343602003"/>
      <w:r w:rsidRPr="00891173">
        <w:rPr>
          <w:b/>
        </w:rPr>
        <w:t xml:space="preserve">   </w:t>
      </w:r>
      <w:r w:rsidR="00DA6F3A" w:rsidRPr="00891173">
        <w:rPr>
          <w:b/>
        </w:rPr>
        <w:t>Investicinių fondų vertinimas atsižvelgiant į riziką</w:t>
      </w:r>
      <w:bookmarkEnd w:id="11"/>
    </w:p>
    <w:p w:rsidR="00DA6F3A" w:rsidRPr="00891173" w:rsidRDefault="00DA6F3A" w:rsidP="00DA6F3A">
      <w:pPr>
        <w:spacing w:line="360" w:lineRule="auto"/>
        <w:ind w:firstLine="567"/>
        <w:jc w:val="center"/>
      </w:pPr>
    </w:p>
    <w:p w:rsidR="006343F7" w:rsidRPr="00891173" w:rsidRDefault="006343F7" w:rsidP="003C1931">
      <w:pPr>
        <w:spacing w:line="360" w:lineRule="auto"/>
        <w:ind w:firstLine="567"/>
        <w:jc w:val="both"/>
      </w:pPr>
      <w:r w:rsidRPr="00891173">
        <w:t xml:space="preserve">Investiciniai fondai skiriasi savo investavimo strategijomis ir kryptimis. Norint </w:t>
      </w:r>
      <w:r w:rsidRPr="00891173">
        <w:rPr>
          <w:color w:val="000000"/>
        </w:rPr>
        <w:t>identifikuoti, ar investicijos grąžą lemia profesionalūs investiciniai sprendimai ir gera strategija, ar tik prisiim</w:t>
      </w:r>
      <w:r w:rsidRPr="00891173">
        <w:rPr>
          <w:color w:val="000000"/>
        </w:rPr>
        <w:softHyphen/>
        <w:t>ta papildoma rizika, analizei reikia taikyti Šarpo rodiklį.  Gali būti taip, kad vieno fondo grąža didesnė už kitų, tačiau jo veikla bus efektyvesnė tik tuo atveju, jei Šarpo rodiklis bus didesnis už kitų fondų.</w:t>
      </w:r>
      <w:r w:rsidRPr="00891173">
        <w:rPr>
          <w:color w:val="000000"/>
          <w:sz w:val="20"/>
          <w:szCs w:val="20"/>
        </w:rPr>
        <w:t xml:space="preserve"> </w:t>
      </w:r>
      <w:r w:rsidRPr="00891173">
        <w:t xml:space="preserve"> Taigi šis rodiklis suteikia galimybę palyginti skirtingų investavimo strategijų investicinius fondus ir atrinkti geriausius pagal didžiausią grąžos ir rizikos santykį.</w:t>
      </w:r>
    </w:p>
    <w:p w:rsidR="003C1931" w:rsidRPr="00891173" w:rsidRDefault="003C1931" w:rsidP="003C1931">
      <w:pPr>
        <w:autoSpaceDE w:val="0"/>
        <w:autoSpaceDN w:val="0"/>
        <w:adjustRightInd w:val="0"/>
        <w:spacing w:line="360" w:lineRule="auto"/>
        <w:ind w:firstLine="567"/>
        <w:jc w:val="both"/>
        <w:rPr>
          <w:rFonts w:eastAsiaTheme="minorHAnsi"/>
          <w:lang w:eastAsia="en-US"/>
        </w:rPr>
      </w:pPr>
      <w:r w:rsidRPr="00891173">
        <w:t xml:space="preserve">Analizė atliekama, atrenkant tik licenzijuotų Lietuvos investicinius fondus, kurie veiklą vykdo ilgiau nei vienus metus. </w:t>
      </w:r>
      <w:r w:rsidRPr="00891173">
        <w:rPr>
          <w:rFonts w:eastAsiaTheme="minorHAnsi"/>
          <w:lang w:eastAsia="en-US"/>
        </w:rPr>
        <w:t>Investicijų grąžos, atsižvelgiant į riziką rezultatai, naudojant Šarpo rodiklį, grafiškai pateikiami 10 paveiksle. Reikėtų atkreipti dėmesį, kad Šarpo rodiklis nėra skaičiuojamas, jei investicinių fondų grąža yra mažesnė už nerizingą grąžos normą ir gaunamas neigiamas dydis.  Taip pat į analizę buvo įtraukti ir atskirai vertinti kolektyvinio investavimo subjektų subfondai, todėl skiriasi bendras nagrinėjamų fondų skaičius.</w:t>
      </w:r>
    </w:p>
    <w:p w:rsidR="003C1931" w:rsidRPr="00891173" w:rsidRDefault="003C1931" w:rsidP="008D1A40">
      <w:pPr>
        <w:spacing w:after="120" w:line="360" w:lineRule="auto"/>
        <w:ind w:firstLine="567"/>
        <w:jc w:val="both"/>
      </w:pPr>
    </w:p>
    <w:p w:rsidR="003C1931" w:rsidRPr="00891173" w:rsidRDefault="003C1931">
      <w:pPr>
        <w:spacing w:after="200" w:line="276" w:lineRule="auto"/>
        <w:rPr>
          <w:rFonts w:eastAsiaTheme="minorHAnsi"/>
          <w:b/>
          <w:lang w:eastAsia="en-US"/>
        </w:rPr>
      </w:pPr>
      <w:r w:rsidRPr="00891173">
        <w:rPr>
          <w:rFonts w:eastAsiaTheme="minorHAnsi"/>
          <w:b/>
          <w:lang w:eastAsia="en-US"/>
        </w:rPr>
        <w:br w:type="page"/>
      </w:r>
    </w:p>
    <w:p w:rsidR="008D1A40" w:rsidRPr="00891173" w:rsidRDefault="008D1A40" w:rsidP="003C1931">
      <w:pPr>
        <w:autoSpaceDE w:val="0"/>
        <w:autoSpaceDN w:val="0"/>
        <w:adjustRightInd w:val="0"/>
        <w:spacing w:after="120" w:line="360" w:lineRule="auto"/>
        <w:jc w:val="both"/>
        <w:rPr>
          <w:sz w:val="23"/>
          <w:szCs w:val="23"/>
        </w:rPr>
      </w:pPr>
      <w:r w:rsidRPr="00891173">
        <w:rPr>
          <w:sz w:val="23"/>
          <w:szCs w:val="23"/>
        </w:rPr>
        <w:lastRenderedPageBreak/>
        <w:drawing>
          <wp:inline distT="0" distB="0" distL="0" distR="0">
            <wp:extent cx="6120130" cy="2828925"/>
            <wp:effectExtent l="19050" t="0" r="13970" b="0"/>
            <wp:docPr id="2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C1931" w:rsidRPr="00891173" w:rsidRDefault="003C1931" w:rsidP="003C1931">
      <w:pPr>
        <w:autoSpaceDE w:val="0"/>
        <w:autoSpaceDN w:val="0"/>
        <w:adjustRightInd w:val="0"/>
        <w:spacing w:after="120" w:line="360" w:lineRule="auto"/>
        <w:jc w:val="center"/>
        <w:rPr>
          <w:b/>
          <w:sz w:val="23"/>
          <w:szCs w:val="23"/>
        </w:rPr>
      </w:pPr>
      <w:r w:rsidRPr="00891173">
        <w:rPr>
          <w:rFonts w:eastAsiaTheme="minorHAnsi"/>
          <w:b/>
          <w:lang w:eastAsia="en-US"/>
        </w:rPr>
        <w:t xml:space="preserve">10 pav. Licenzijuotų </w:t>
      </w:r>
      <w:r w:rsidRPr="00891173">
        <w:rPr>
          <w:b/>
          <w:sz w:val="23"/>
          <w:szCs w:val="23"/>
        </w:rPr>
        <w:t>Lietuvos investicinių fondų veiklos įvertinimas panaudojant Šarpo rodiklį</w:t>
      </w:r>
    </w:p>
    <w:p w:rsidR="008D1A40" w:rsidRPr="00891173" w:rsidRDefault="008D1A40" w:rsidP="003C1931">
      <w:pPr>
        <w:autoSpaceDE w:val="0"/>
        <w:autoSpaceDN w:val="0"/>
        <w:adjustRightInd w:val="0"/>
        <w:spacing w:line="360" w:lineRule="auto"/>
        <w:ind w:firstLine="567"/>
        <w:jc w:val="both"/>
        <w:rPr>
          <w:sz w:val="23"/>
          <w:szCs w:val="23"/>
        </w:rPr>
      </w:pPr>
      <w:r w:rsidRPr="00891173">
        <w:rPr>
          <w:b/>
          <w:sz w:val="23"/>
          <w:szCs w:val="23"/>
        </w:rPr>
        <w:t>Šaltinis:</w:t>
      </w:r>
      <w:r w:rsidRPr="00891173">
        <w:rPr>
          <w:sz w:val="23"/>
          <w:szCs w:val="23"/>
        </w:rPr>
        <w:t xml:space="preserve"> sudaryta pagal autorės skaičiavimus, remiantis </w:t>
      </w:r>
      <w:r w:rsidR="00CD7033" w:rsidRPr="00891173">
        <w:rPr>
          <w:sz w:val="23"/>
          <w:szCs w:val="23"/>
        </w:rPr>
        <w:t>NASDAQ OMX birža</w:t>
      </w:r>
    </w:p>
    <w:p w:rsidR="003C1931" w:rsidRPr="00891173" w:rsidRDefault="003C1931" w:rsidP="003C1931">
      <w:pPr>
        <w:autoSpaceDE w:val="0"/>
        <w:autoSpaceDN w:val="0"/>
        <w:adjustRightInd w:val="0"/>
        <w:spacing w:line="360" w:lineRule="auto"/>
        <w:ind w:firstLine="567"/>
        <w:jc w:val="both"/>
        <w:rPr>
          <w:sz w:val="23"/>
          <w:szCs w:val="23"/>
        </w:rPr>
      </w:pPr>
    </w:p>
    <w:p w:rsidR="008D1A40" w:rsidRPr="00891173" w:rsidRDefault="008D1A40" w:rsidP="008D1A40">
      <w:pPr>
        <w:autoSpaceDE w:val="0"/>
        <w:autoSpaceDN w:val="0"/>
        <w:adjustRightInd w:val="0"/>
        <w:spacing w:line="360" w:lineRule="auto"/>
        <w:ind w:firstLine="567"/>
        <w:jc w:val="both"/>
      </w:pPr>
      <w:r w:rsidRPr="00891173">
        <w:t>Šiame paveiksle pateikiami 17 licenzijuotų (iš apskaičiuotų 20)  Lietuvos investicinių fondų apskaičiuoti Šarpo rodiklių dydžiai, nes tik šių IF Šarpo rodikliai yra teigiami. Trijų investicinių fondų neigiamus rezultatus lėmė nedidelis vidutinis apskaitos vieneto vertės padidėjimas, kuris buvo mažesnis už nerizinkingą pajamingumo dydį, t.y. 6,72 procentus.</w:t>
      </w:r>
      <w:r w:rsidR="00732C4B" w:rsidRPr="00891173">
        <w:t xml:space="preserve"> </w:t>
      </w:r>
    </w:p>
    <w:p w:rsidR="008D1A40" w:rsidRPr="00891173" w:rsidRDefault="008D1A40" w:rsidP="008D1A40">
      <w:pPr>
        <w:spacing w:line="360" w:lineRule="auto"/>
        <w:ind w:firstLine="567"/>
        <w:jc w:val="both"/>
      </w:pPr>
      <w:r w:rsidRPr="00891173">
        <w:t>Daugiausia grąžos vienetų už vieną rizikos vienetą gali pasiūlyti „Finasta besivystančios Europos obligacijų subfondas“. Šiek tiek mažiau siūlo „OMX Baltic Benchmark Fund“, „Finasta Naujosios Europos TOP 20 subfondas“ ir „</w:t>
      </w:r>
      <w:r w:rsidRPr="00891173">
        <w:rPr>
          <w:rFonts w:eastAsia="ArialNarrow"/>
          <w:lang w:eastAsia="en-US"/>
        </w:rPr>
        <w:t>SEB aktyviai valdomas fondų portfelis 60“</w:t>
      </w:r>
      <w:r w:rsidRPr="00891173">
        <w:t xml:space="preserve">. Tuo tarpu mažiausiai grąžos vienetų už vieną rizikos vienetą teikia šie fondai: „Ūkio banko Rusijos subfondas“, „ZPR Amerikos mažos kapitalizacijos bendrovių akcijų atviras investicinis fondas“ ir „Finasta Rusijos TOP20 subfondas“. </w:t>
      </w:r>
    </w:p>
    <w:p w:rsidR="00732C4B" w:rsidRPr="00891173" w:rsidRDefault="00732C4B" w:rsidP="008D1A40">
      <w:pPr>
        <w:spacing w:line="360" w:lineRule="auto"/>
        <w:ind w:firstLine="567"/>
        <w:jc w:val="both"/>
      </w:pPr>
      <w:r w:rsidRPr="00891173">
        <w:t>Kadangi 13 investicinių fondų Šarpo rodiklio reikšmė yra žemiau vieneto, tai rodo, kad fondo valdytojui nepavyko sugeneruoti didesnės grąžos už prisiimtą riziką.</w:t>
      </w:r>
    </w:p>
    <w:p w:rsidR="008D1A40" w:rsidRPr="00891173" w:rsidRDefault="008D1A40" w:rsidP="008D1A40">
      <w:pPr>
        <w:spacing w:after="200" w:line="360" w:lineRule="auto"/>
        <w:ind w:firstLine="567"/>
        <w:jc w:val="both"/>
      </w:pPr>
      <w:r w:rsidRPr="00891173">
        <w:t>Iš</w:t>
      </w:r>
      <w:r w:rsidRPr="00891173">
        <w:rPr>
          <w:color w:val="FF0000"/>
        </w:rPr>
        <w:t xml:space="preserve"> </w:t>
      </w:r>
      <w:r w:rsidR="003C1931" w:rsidRPr="00891173">
        <w:t>11</w:t>
      </w:r>
      <w:r w:rsidRPr="00891173">
        <w:t xml:space="preserve"> paveikle pavaizduotų rezultatų, matyti, kad pagal didžiausią ir mažiausią grąžą bei Šarpo rodiklį, „Finasta Naujosios Europos TOP 20 subfondas“, „OMX Baltic Benchmark Fund“ ir „</w:t>
      </w:r>
      <w:r w:rsidRPr="00891173">
        <w:rPr>
          <w:rFonts w:eastAsia="ArialNarrow"/>
          <w:lang w:eastAsia="en-US"/>
        </w:rPr>
        <w:t>SEB aktyviai valdomas fondų portfelis 60“</w:t>
      </w:r>
      <w:r w:rsidRPr="00891173">
        <w:t xml:space="preserve"> yra geriausi investiciniai fondai, norintiems uždirbti maksimalią grąžą, prisiimant mažiausią riziką. Taip tiems investuotojams, kurie nebijo rizikos, patartina rinktis vieną iš: „Ūkio banko Europos subfondas“, „Citadele Baltijos jūros valstybių  investicinis fondas“ ir „Finasta Vitality“ fondo, nes iš didžiausią pajamingumą duodančių investicinių fondų, jų tikėtinos grąžos nuostolis yra mažiausias.</w:t>
      </w:r>
    </w:p>
    <w:p w:rsidR="003C1931" w:rsidRPr="00891173" w:rsidRDefault="003C1931">
      <w:pPr>
        <w:spacing w:after="200" w:line="276" w:lineRule="auto"/>
        <w:rPr>
          <w:b/>
        </w:rPr>
      </w:pPr>
      <w:r w:rsidRPr="00891173">
        <w:rPr>
          <w:b/>
        </w:rPr>
        <w:br w:type="page"/>
      </w:r>
    </w:p>
    <w:p w:rsidR="008D1A40" w:rsidRPr="00891173" w:rsidRDefault="008D1A40" w:rsidP="008D1A40">
      <w:pPr>
        <w:autoSpaceDE w:val="0"/>
        <w:autoSpaceDN w:val="0"/>
        <w:adjustRightInd w:val="0"/>
        <w:spacing w:line="360" w:lineRule="auto"/>
        <w:jc w:val="center"/>
        <w:rPr>
          <w:sz w:val="23"/>
          <w:szCs w:val="23"/>
        </w:rPr>
      </w:pPr>
      <w:r w:rsidRPr="00891173">
        <w:rPr>
          <w:sz w:val="23"/>
          <w:szCs w:val="23"/>
        </w:rPr>
        <w:lastRenderedPageBreak/>
        <w:drawing>
          <wp:inline distT="0" distB="0" distL="0" distR="0">
            <wp:extent cx="6120130" cy="3342381"/>
            <wp:effectExtent l="19050" t="0" r="13970" b="0"/>
            <wp:docPr id="2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C1931" w:rsidRPr="00891173" w:rsidRDefault="003C1931" w:rsidP="003C1931">
      <w:pPr>
        <w:spacing w:after="120" w:line="360" w:lineRule="auto"/>
        <w:jc w:val="center"/>
        <w:rPr>
          <w:b/>
        </w:rPr>
      </w:pPr>
      <w:r w:rsidRPr="00891173">
        <w:rPr>
          <w:b/>
        </w:rPr>
        <w:t>11 pav. Investicinių fondų palyginimas, atsižvelgiant į grąžą ir Šarpo rodiklį</w:t>
      </w:r>
    </w:p>
    <w:p w:rsidR="003C1931" w:rsidRPr="00891173" w:rsidRDefault="003C1931" w:rsidP="003C1931">
      <w:pPr>
        <w:autoSpaceDE w:val="0"/>
        <w:autoSpaceDN w:val="0"/>
        <w:adjustRightInd w:val="0"/>
        <w:spacing w:line="360" w:lineRule="auto"/>
        <w:ind w:firstLine="567"/>
        <w:jc w:val="both"/>
        <w:rPr>
          <w:sz w:val="23"/>
          <w:szCs w:val="23"/>
        </w:rPr>
      </w:pPr>
      <w:r w:rsidRPr="00891173">
        <w:rPr>
          <w:b/>
          <w:sz w:val="23"/>
          <w:szCs w:val="23"/>
        </w:rPr>
        <w:t>Šaltinis:</w:t>
      </w:r>
      <w:r w:rsidRPr="00891173">
        <w:rPr>
          <w:sz w:val="23"/>
          <w:szCs w:val="23"/>
        </w:rPr>
        <w:t xml:space="preserve"> sudaryta pagal autorės skaičiavimus, remiantis NASDAQ OMX birža</w:t>
      </w:r>
    </w:p>
    <w:p w:rsidR="003C1931" w:rsidRPr="00891173" w:rsidRDefault="003C1931" w:rsidP="008D1A40">
      <w:pPr>
        <w:spacing w:line="360" w:lineRule="auto"/>
        <w:ind w:firstLine="567"/>
        <w:jc w:val="both"/>
      </w:pPr>
    </w:p>
    <w:p w:rsidR="008D1A40" w:rsidRPr="00891173" w:rsidRDefault="008D1A40" w:rsidP="008D1A40">
      <w:pPr>
        <w:spacing w:line="360" w:lineRule="auto"/>
        <w:ind w:firstLine="567"/>
        <w:jc w:val="both"/>
      </w:pPr>
      <w:r w:rsidRPr="00891173">
        <w:t>Taip pat analizuojant pateiktą paveikslą, galima pastebėti, kad didelė investicinio fondo grąža negarantuoja, kad fondas yra pats geriausias. Dėmesį reikėtų atkreipti į „Ūkio banko Kinijos subfondą“, kuris užima šeštą vietą, lyginant pagal vidutinę grąžą. Tačiau lyginant grąžos ir rizikos santykį (Šarpo rodiklį), šis fondas užima tik tryliktą vietą. Taigi, ne visada prisiėmus didelę riziką, gali būti pasiūlyta atitinkama grąža.</w:t>
      </w:r>
    </w:p>
    <w:p w:rsidR="008D1A40" w:rsidRPr="00891173" w:rsidRDefault="008D1A40" w:rsidP="008D1A40">
      <w:pPr>
        <w:spacing w:line="360" w:lineRule="auto"/>
        <w:ind w:firstLine="567"/>
        <w:jc w:val="both"/>
      </w:pPr>
      <w:r w:rsidRPr="00891173">
        <w:t>Lyginant fondus pagal Šarpo rodiklį, yra žinoma, kad reikia rinktis tą, kurio grąžos ir rizikos santykis yra didesnis. „Citadele Baltijos jūros valstybių investicinis akcijų fondo“ ir „Ūkio banko obligacijų fondo“ Šarpo rodiklio reikšmė yra labai panaši – atitinkamai po 0,8725 ir 0,8945. Tai reiškia, kad jų efektyvumas labai panašus. Deja jų grąža skiriasi beveik dvigubai, todėl reikėtų rinktis tokį fondą, kuris generuoja didesnę grąžą („Citadele Baltijos jūros valstybių investicinis akcijų fondas“).</w:t>
      </w:r>
    </w:p>
    <w:p w:rsidR="008D1A40" w:rsidRPr="00891173" w:rsidRDefault="008D1A40" w:rsidP="008D1A40">
      <w:pPr>
        <w:spacing w:after="200" w:line="360" w:lineRule="auto"/>
        <w:ind w:firstLine="567"/>
        <w:jc w:val="both"/>
      </w:pPr>
      <w:r w:rsidRPr="00891173">
        <w:t>Taigi kokį investicinį fondą pasirinkti, gali tik nuspręsti pats investuotojas. Jei jam svarbus rizikos lygis, tai ir rinksis tokį investicinį fondą, kurio rizikos lygis yra priimtiniausias. Kitam investuotojui galbūt svarbiausia įvertinti grąžos ir rizikos santykį, todėl rinkdamasis fondus, didžiausią dėmesį kreips Šarpo rodiklio dydžiui. Taipogi investuotojai gali rinktis ir pagal kitus veiksnius – investavimo strategiją, fondo gyvavimo trukmę ar jo istoriją ir pan. Tačiau norint pasirinkti patį tinkamiausią investicinį fondą, reikėtų taikyti aptartą Šarpo rodiklį, fondų grąžos ir rizikos rodiklius, bei kitus veiksnius, nes tik plati analizė, gali padėti išsirinktį patį tinkamiausią investicinį fondą.</w:t>
      </w:r>
    </w:p>
    <w:p w:rsidR="00E43546" w:rsidRPr="00891173" w:rsidRDefault="0082397E" w:rsidP="00D35728">
      <w:pPr>
        <w:pStyle w:val="Heading4"/>
        <w:rPr>
          <w:b/>
        </w:rPr>
      </w:pPr>
      <w:bookmarkStart w:id="12" w:name="_Toc343602004"/>
      <w:r w:rsidRPr="00891173">
        <w:rPr>
          <w:b/>
        </w:rPr>
        <w:lastRenderedPageBreak/>
        <w:t xml:space="preserve">   </w:t>
      </w:r>
      <w:r w:rsidR="00D35728" w:rsidRPr="00891173">
        <w:rPr>
          <w:b/>
        </w:rPr>
        <w:t>Lietuvos gyventojų investicinių fondų pasirinkimo anketinis tyrimas</w:t>
      </w:r>
      <w:bookmarkEnd w:id="12"/>
    </w:p>
    <w:p w:rsidR="00D35728" w:rsidRPr="00891173" w:rsidRDefault="00D35728" w:rsidP="00D35728"/>
    <w:p w:rsidR="00E43546" w:rsidRPr="00891173" w:rsidRDefault="00E43546" w:rsidP="004A665E">
      <w:pPr>
        <w:spacing w:after="120" w:line="360" w:lineRule="auto"/>
        <w:ind w:firstLine="567"/>
        <w:jc w:val="both"/>
      </w:pPr>
      <w:r w:rsidRPr="00891173">
        <w:t>Tyrimo metu apklausta 148 respondentai. Duomenys apie tai ar respondentai investuoja</w:t>
      </w:r>
      <w:r w:rsidR="000E1A39">
        <w:t>,</w:t>
      </w:r>
      <w:r w:rsidRPr="00891173">
        <w:t xml:space="preserve"> ar kada buvo </w:t>
      </w:r>
      <w:r w:rsidR="00F82609" w:rsidRPr="00891173">
        <w:t>investavę į investicinius fondus yra tokie, kad iš</w:t>
      </w:r>
      <w:r w:rsidR="00D26CDC" w:rsidRPr="00891173">
        <w:t xml:space="preserve"> 148 respondentų 131</w:t>
      </w:r>
      <w:r w:rsidR="0027305A" w:rsidRPr="00891173">
        <w:t xml:space="preserve"> (88,5</w:t>
      </w:r>
      <w:r w:rsidR="00641E45" w:rsidRPr="00891173">
        <w:t xml:space="preserve"> proc.)</w:t>
      </w:r>
      <w:r w:rsidR="00D26CDC" w:rsidRPr="00891173">
        <w:t xml:space="preserve"> </w:t>
      </w:r>
      <w:r w:rsidR="00641E45" w:rsidRPr="00891173">
        <w:t>investuoja arba buvo kada investavęs į investicinius fondus.</w:t>
      </w:r>
      <w:r w:rsidR="001A78F0" w:rsidRPr="00891173">
        <w:t xml:space="preserve"> Iš investuojančių į investicinius fondus, didžiąją dalį sudaro vyrai (69,5 proc.) (žr. </w:t>
      </w:r>
      <w:r w:rsidR="009327B9" w:rsidRPr="00891173">
        <w:t>4</w:t>
      </w:r>
      <w:r w:rsidR="004A665E" w:rsidRPr="00891173">
        <w:t xml:space="preserve"> </w:t>
      </w:r>
      <w:r w:rsidR="0027305A" w:rsidRPr="00891173">
        <w:t>l</w:t>
      </w:r>
      <w:r w:rsidR="00BE0C08" w:rsidRPr="00891173">
        <w:t>ent.).</w:t>
      </w:r>
    </w:p>
    <w:p w:rsidR="00BE0C08" w:rsidRPr="00891173" w:rsidRDefault="009327B9" w:rsidP="0027305A">
      <w:pPr>
        <w:spacing w:after="120" w:line="360" w:lineRule="auto"/>
        <w:jc w:val="center"/>
        <w:rPr>
          <w:b/>
        </w:rPr>
      </w:pPr>
      <w:r w:rsidRPr="00891173">
        <w:rPr>
          <w:b/>
        </w:rPr>
        <w:t>4</w:t>
      </w:r>
      <w:r w:rsidR="00BE0C08" w:rsidRPr="00891173">
        <w:rPr>
          <w:b/>
        </w:rPr>
        <w:t xml:space="preserve"> lentelė. Respondentų pasiskirstymas pagal lytį ir investavimą į investicinius fondus</w:t>
      </w:r>
    </w:p>
    <w:tbl>
      <w:tblPr>
        <w:tblStyle w:val="TableGrid"/>
        <w:tblW w:w="7211" w:type="dxa"/>
        <w:jc w:val="center"/>
        <w:tblInd w:w="-157" w:type="dxa"/>
        <w:tblLook w:val="04A0"/>
      </w:tblPr>
      <w:tblGrid>
        <w:gridCol w:w="1197"/>
        <w:gridCol w:w="1134"/>
        <w:gridCol w:w="1620"/>
        <w:gridCol w:w="1975"/>
        <w:gridCol w:w="1285"/>
      </w:tblGrid>
      <w:tr w:rsidR="00BE0C08" w:rsidRPr="00891173" w:rsidTr="004A665E">
        <w:trPr>
          <w:trHeight w:val="464"/>
          <w:jc w:val="center"/>
        </w:trPr>
        <w:tc>
          <w:tcPr>
            <w:tcW w:w="2331" w:type="dxa"/>
            <w:gridSpan w:val="2"/>
            <w:vMerge w:val="restart"/>
            <w:vAlign w:val="center"/>
          </w:tcPr>
          <w:p w:rsidR="00BE0C08" w:rsidRPr="00891173" w:rsidRDefault="00BE0C08" w:rsidP="004A665E">
            <w:pPr>
              <w:jc w:val="center"/>
              <w:rPr>
                <w:b/>
                <w:sz w:val="24"/>
                <w:szCs w:val="24"/>
              </w:rPr>
            </w:pPr>
            <w:r w:rsidRPr="00891173">
              <w:rPr>
                <w:b/>
                <w:sz w:val="24"/>
                <w:szCs w:val="24"/>
              </w:rPr>
              <w:t>LYTIS</w:t>
            </w:r>
          </w:p>
        </w:tc>
        <w:tc>
          <w:tcPr>
            <w:tcW w:w="3595" w:type="dxa"/>
            <w:gridSpan w:val="2"/>
            <w:vAlign w:val="center"/>
          </w:tcPr>
          <w:p w:rsidR="00BE0C08" w:rsidRPr="00891173" w:rsidRDefault="00BE0C08" w:rsidP="004A665E">
            <w:pPr>
              <w:jc w:val="center"/>
              <w:rPr>
                <w:b/>
              </w:rPr>
            </w:pPr>
            <w:r w:rsidRPr="00891173">
              <w:rPr>
                <w:b/>
              </w:rPr>
              <w:t>Ar investuojate į IF?</w:t>
            </w:r>
          </w:p>
        </w:tc>
        <w:tc>
          <w:tcPr>
            <w:tcW w:w="1285" w:type="dxa"/>
            <w:vMerge w:val="restart"/>
            <w:vAlign w:val="center"/>
          </w:tcPr>
          <w:p w:rsidR="00BE0C08" w:rsidRPr="00891173" w:rsidRDefault="00BE0C08" w:rsidP="004A665E">
            <w:pPr>
              <w:jc w:val="center"/>
              <w:rPr>
                <w:b/>
                <w:sz w:val="24"/>
                <w:szCs w:val="24"/>
              </w:rPr>
            </w:pPr>
            <w:r w:rsidRPr="00891173">
              <w:rPr>
                <w:b/>
                <w:sz w:val="24"/>
                <w:szCs w:val="24"/>
              </w:rPr>
              <w:t>Iš viso</w:t>
            </w:r>
          </w:p>
        </w:tc>
      </w:tr>
      <w:tr w:rsidR="00BE0C08" w:rsidRPr="00891173" w:rsidTr="004A665E">
        <w:trPr>
          <w:jc w:val="center"/>
        </w:trPr>
        <w:tc>
          <w:tcPr>
            <w:tcW w:w="2331" w:type="dxa"/>
            <w:gridSpan w:val="2"/>
            <w:vMerge/>
            <w:vAlign w:val="center"/>
          </w:tcPr>
          <w:p w:rsidR="00BE0C08" w:rsidRPr="00891173" w:rsidRDefault="00BE0C08" w:rsidP="004A665E">
            <w:pPr>
              <w:jc w:val="center"/>
              <w:rPr>
                <w:b/>
                <w:sz w:val="24"/>
                <w:szCs w:val="24"/>
              </w:rPr>
            </w:pPr>
          </w:p>
        </w:tc>
        <w:tc>
          <w:tcPr>
            <w:tcW w:w="1620" w:type="dxa"/>
            <w:vAlign w:val="center"/>
          </w:tcPr>
          <w:p w:rsidR="00BE0C08" w:rsidRPr="00891173" w:rsidRDefault="00BE0C08" w:rsidP="004A665E">
            <w:pPr>
              <w:jc w:val="center"/>
              <w:rPr>
                <w:b/>
                <w:sz w:val="24"/>
                <w:szCs w:val="24"/>
              </w:rPr>
            </w:pPr>
            <w:r w:rsidRPr="00891173">
              <w:rPr>
                <w:b/>
                <w:sz w:val="24"/>
                <w:szCs w:val="24"/>
              </w:rPr>
              <w:t>Taip</w:t>
            </w:r>
          </w:p>
        </w:tc>
        <w:tc>
          <w:tcPr>
            <w:tcW w:w="1975" w:type="dxa"/>
            <w:vAlign w:val="center"/>
          </w:tcPr>
          <w:p w:rsidR="00BE0C08" w:rsidRPr="00891173" w:rsidRDefault="00BE0C08" w:rsidP="004A665E">
            <w:pPr>
              <w:jc w:val="center"/>
              <w:rPr>
                <w:b/>
                <w:sz w:val="24"/>
                <w:szCs w:val="24"/>
              </w:rPr>
            </w:pPr>
            <w:r w:rsidRPr="00891173">
              <w:rPr>
                <w:b/>
                <w:sz w:val="24"/>
                <w:szCs w:val="24"/>
              </w:rPr>
              <w:t>Ne</w:t>
            </w:r>
          </w:p>
        </w:tc>
        <w:tc>
          <w:tcPr>
            <w:tcW w:w="1285" w:type="dxa"/>
            <w:vMerge/>
            <w:vAlign w:val="center"/>
          </w:tcPr>
          <w:p w:rsidR="00BE0C08" w:rsidRPr="00891173" w:rsidRDefault="00BE0C08" w:rsidP="004A665E">
            <w:pPr>
              <w:jc w:val="center"/>
              <w:rPr>
                <w:sz w:val="24"/>
                <w:szCs w:val="24"/>
              </w:rPr>
            </w:pPr>
          </w:p>
        </w:tc>
      </w:tr>
      <w:tr w:rsidR="00BE0C08" w:rsidRPr="00891173" w:rsidTr="004A665E">
        <w:trPr>
          <w:jc w:val="center"/>
        </w:trPr>
        <w:tc>
          <w:tcPr>
            <w:tcW w:w="1197" w:type="dxa"/>
            <w:vMerge w:val="restart"/>
            <w:tcBorders>
              <w:right w:val="nil"/>
            </w:tcBorders>
            <w:vAlign w:val="center"/>
          </w:tcPr>
          <w:p w:rsidR="00BE0C08" w:rsidRPr="00891173" w:rsidRDefault="00BE0C08" w:rsidP="004A665E">
            <w:pPr>
              <w:jc w:val="center"/>
              <w:rPr>
                <w:b/>
                <w:sz w:val="24"/>
                <w:szCs w:val="24"/>
              </w:rPr>
            </w:pPr>
            <w:r w:rsidRPr="00891173">
              <w:rPr>
                <w:b/>
                <w:sz w:val="24"/>
                <w:szCs w:val="24"/>
              </w:rPr>
              <w:t>Moteris</w:t>
            </w: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Dažnis</w:t>
            </w:r>
          </w:p>
        </w:tc>
        <w:tc>
          <w:tcPr>
            <w:tcW w:w="1620" w:type="dxa"/>
            <w:vAlign w:val="center"/>
          </w:tcPr>
          <w:p w:rsidR="00BE0C08" w:rsidRPr="00891173" w:rsidRDefault="00BE0C08" w:rsidP="004A665E">
            <w:pPr>
              <w:jc w:val="center"/>
              <w:rPr>
                <w:sz w:val="24"/>
                <w:szCs w:val="24"/>
              </w:rPr>
            </w:pPr>
            <w:r w:rsidRPr="00891173">
              <w:rPr>
                <w:sz w:val="24"/>
                <w:szCs w:val="24"/>
              </w:rPr>
              <w:t>40</w:t>
            </w:r>
          </w:p>
        </w:tc>
        <w:tc>
          <w:tcPr>
            <w:tcW w:w="1975" w:type="dxa"/>
            <w:vAlign w:val="center"/>
          </w:tcPr>
          <w:p w:rsidR="00BE0C08" w:rsidRPr="00891173" w:rsidRDefault="00BE0C08" w:rsidP="004A665E">
            <w:pPr>
              <w:jc w:val="center"/>
              <w:rPr>
                <w:sz w:val="24"/>
                <w:szCs w:val="24"/>
              </w:rPr>
            </w:pPr>
            <w:r w:rsidRPr="00891173">
              <w:rPr>
                <w:sz w:val="24"/>
                <w:szCs w:val="24"/>
              </w:rPr>
              <w:t>11</w:t>
            </w:r>
          </w:p>
        </w:tc>
        <w:tc>
          <w:tcPr>
            <w:tcW w:w="1285" w:type="dxa"/>
            <w:vAlign w:val="center"/>
          </w:tcPr>
          <w:p w:rsidR="00BE0C08" w:rsidRPr="00891173" w:rsidRDefault="00BE0C08" w:rsidP="004A665E">
            <w:pPr>
              <w:jc w:val="center"/>
              <w:rPr>
                <w:sz w:val="24"/>
                <w:szCs w:val="24"/>
              </w:rPr>
            </w:pPr>
            <w:r w:rsidRPr="00891173">
              <w:rPr>
                <w:sz w:val="24"/>
                <w:szCs w:val="24"/>
              </w:rPr>
              <w:t>51</w:t>
            </w:r>
          </w:p>
        </w:tc>
      </w:tr>
      <w:tr w:rsidR="00BE0C08" w:rsidRPr="00891173" w:rsidTr="004A665E">
        <w:trPr>
          <w:jc w:val="center"/>
        </w:trPr>
        <w:tc>
          <w:tcPr>
            <w:tcW w:w="1197" w:type="dxa"/>
            <w:vMerge/>
            <w:tcBorders>
              <w:right w:val="nil"/>
            </w:tcBorders>
            <w:vAlign w:val="center"/>
          </w:tcPr>
          <w:p w:rsidR="00BE0C08" w:rsidRPr="00891173" w:rsidRDefault="00BE0C08" w:rsidP="004A665E">
            <w:pPr>
              <w:jc w:val="center"/>
              <w:rPr>
                <w:b/>
                <w:sz w:val="24"/>
                <w:szCs w:val="24"/>
              </w:rPr>
            </w:pP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w:t>
            </w:r>
          </w:p>
        </w:tc>
        <w:tc>
          <w:tcPr>
            <w:tcW w:w="1620" w:type="dxa"/>
            <w:vAlign w:val="center"/>
          </w:tcPr>
          <w:p w:rsidR="00BE0C08" w:rsidRPr="00891173" w:rsidRDefault="004A665E" w:rsidP="004A665E">
            <w:pPr>
              <w:jc w:val="center"/>
              <w:rPr>
                <w:sz w:val="24"/>
                <w:szCs w:val="24"/>
              </w:rPr>
            </w:pPr>
            <w:r w:rsidRPr="00891173">
              <w:rPr>
                <w:sz w:val="24"/>
                <w:szCs w:val="24"/>
              </w:rPr>
              <w:t>78,4%</w:t>
            </w:r>
          </w:p>
        </w:tc>
        <w:tc>
          <w:tcPr>
            <w:tcW w:w="1975" w:type="dxa"/>
            <w:vAlign w:val="center"/>
          </w:tcPr>
          <w:p w:rsidR="00BE0C08" w:rsidRPr="00891173" w:rsidRDefault="004A665E" w:rsidP="004A665E">
            <w:pPr>
              <w:jc w:val="center"/>
              <w:rPr>
                <w:sz w:val="24"/>
                <w:szCs w:val="24"/>
              </w:rPr>
            </w:pPr>
            <w:r w:rsidRPr="00891173">
              <w:rPr>
                <w:sz w:val="24"/>
                <w:szCs w:val="24"/>
              </w:rPr>
              <w:t>21,6%</w:t>
            </w:r>
          </w:p>
        </w:tc>
        <w:tc>
          <w:tcPr>
            <w:tcW w:w="1285" w:type="dxa"/>
            <w:vAlign w:val="center"/>
          </w:tcPr>
          <w:p w:rsidR="00BE0C08" w:rsidRPr="00891173" w:rsidRDefault="004A665E" w:rsidP="004A665E">
            <w:pPr>
              <w:jc w:val="center"/>
              <w:rPr>
                <w:sz w:val="24"/>
                <w:szCs w:val="24"/>
              </w:rPr>
            </w:pPr>
            <w:r w:rsidRPr="00891173">
              <w:rPr>
                <w:sz w:val="24"/>
                <w:szCs w:val="24"/>
              </w:rPr>
              <w:t>100%</w:t>
            </w:r>
          </w:p>
        </w:tc>
      </w:tr>
      <w:tr w:rsidR="00BE0C08" w:rsidRPr="00891173" w:rsidTr="004A665E">
        <w:trPr>
          <w:jc w:val="center"/>
        </w:trPr>
        <w:tc>
          <w:tcPr>
            <w:tcW w:w="1197" w:type="dxa"/>
            <w:vMerge w:val="restart"/>
            <w:tcBorders>
              <w:right w:val="nil"/>
            </w:tcBorders>
            <w:vAlign w:val="center"/>
          </w:tcPr>
          <w:p w:rsidR="00BE0C08" w:rsidRPr="00891173" w:rsidRDefault="00BE0C08" w:rsidP="004A665E">
            <w:pPr>
              <w:jc w:val="center"/>
              <w:rPr>
                <w:b/>
                <w:sz w:val="24"/>
                <w:szCs w:val="24"/>
              </w:rPr>
            </w:pPr>
            <w:r w:rsidRPr="00891173">
              <w:rPr>
                <w:b/>
                <w:sz w:val="24"/>
                <w:szCs w:val="24"/>
              </w:rPr>
              <w:t>Vyras</w:t>
            </w: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Dažnis</w:t>
            </w:r>
          </w:p>
        </w:tc>
        <w:tc>
          <w:tcPr>
            <w:tcW w:w="1620" w:type="dxa"/>
            <w:vAlign w:val="center"/>
          </w:tcPr>
          <w:p w:rsidR="00BE0C08" w:rsidRPr="00891173" w:rsidRDefault="00BE0C08" w:rsidP="004A665E">
            <w:pPr>
              <w:jc w:val="center"/>
              <w:rPr>
                <w:sz w:val="24"/>
                <w:szCs w:val="24"/>
              </w:rPr>
            </w:pPr>
            <w:r w:rsidRPr="00891173">
              <w:rPr>
                <w:sz w:val="24"/>
                <w:szCs w:val="24"/>
              </w:rPr>
              <w:t>91</w:t>
            </w:r>
          </w:p>
        </w:tc>
        <w:tc>
          <w:tcPr>
            <w:tcW w:w="1975" w:type="dxa"/>
            <w:vAlign w:val="center"/>
          </w:tcPr>
          <w:p w:rsidR="00BE0C08" w:rsidRPr="00891173" w:rsidRDefault="00BE0C08" w:rsidP="004A665E">
            <w:pPr>
              <w:jc w:val="center"/>
              <w:rPr>
                <w:sz w:val="24"/>
                <w:szCs w:val="24"/>
              </w:rPr>
            </w:pPr>
            <w:r w:rsidRPr="00891173">
              <w:rPr>
                <w:sz w:val="24"/>
                <w:szCs w:val="24"/>
              </w:rPr>
              <w:t>6</w:t>
            </w:r>
          </w:p>
        </w:tc>
        <w:tc>
          <w:tcPr>
            <w:tcW w:w="1285" w:type="dxa"/>
            <w:vAlign w:val="center"/>
          </w:tcPr>
          <w:p w:rsidR="00BE0C08" w:rsidRPr="00891173" w:rsidRDefault="00BE0C08" w:rsidP="004A665E">
            <w:pPr>
              <w:jc w:val="center"/>
              <w:rPr>
                <w:sz w:val="24"/>
                <w:szCs w:val="24"/>
              </w:rPr>
            </w:pPr>
            <w:r w:rsidRPr="00891173">
              <w:rPr>
                <w:sz w:val="24"/>
                <w:szCs w:val="24"/>
              </w:rPr>
              <w:t>97</w:t>
            </w:r>
          </w:p>
        </w:tc>
      </w:tr>
      <w:tr w:rsidR="00BE0C08" w:rsidRPr="00891173" w:rsidTr="004A665E">
        <w:trPr>
          <w:jc w:val="center"/>
        </w:trPr>
        <w:tc>
          <w:tcPr>
            <w:tcW w:w="1197" w:type="dxa"/>
            <w:vMerge/>
            <w:tcBorders>
              <w:right w:val="nil"/>
            </w:tcBorders>
            <w:vAlign w:val="center"/>
          </w:tcPr>
          <w:p w:rsidR="00BE0C08" w:rsidRPr="00891173" w:rsidRDefault="00BE0C08" w:rsidP="004A665E">
            <w:pPr>
              <w:jc w:val="center"/>
              <w:rPr>
                <w:b/>
                <w:sz w:val="24"/>
                <w:szCs w:val="24"/>
              </w:rPr>
            </w:pP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w:t>
            </w:r>
          </w:p>
        </w:tc>
        <w:tc>
          <w:tcPr>
            <w:tcW w:w="1620" w:type="dxa"/>
            <w:vAlign w:val="center"/>
          </w:tcPr>
          <w:p w:rsidR="00BE0C08" w:rsidRPr="00891173" w:rsidRDefault="004A665E" w:rsidP="004A665E">
            <w:pPr>
              <w:jc w:val="center"/>
              <w:rPr>
                <w:sz w:val="24"/>
                <w:szCs w:val="24"/>
              </w:rPr>
            </w:pPr>
            <w:r w:rsidRPr="00891173">
              <w:rPr>
                <w:sz w:val="24"/>
                <w:szCs w:val="24"/>
              </w:rPr>
              <w:t>93,8%</w:t>
            </w:r>
          </w:p>
        </w:tc>
        <w:tc>
          <w:tcPr>
            <w:tcW w:w="1975" w:type="dxa"/>
            <w:vAlign w:val="center"/>
          </w:tcPr>
          <w:p w:rsidR="00BE0C08" w:rsidRPr="00891173" w:rsidRDefault="004A665E" w:rsidP="004A665E">
            <w:pPr>
              <w:jc w:val="center"/>
              <w:rPr>
                <w:sz w:val="24"/>
                <w:szCs w:val="24"/>
              </w:rPr>
            </w:pPr>
            <w:r w:rsidRPr="00891173">
              <w:rPr>
                <w:sz w:val="24"/>
                <w:szCs w:val="24"/>
              </w:rPr>
              <w:t>6,2%</w:t>
            </w:r>
          </w:p>
        </w:tc>
        <w:tc>
          <w:tcPr>
            <w:tcW w:w="1285" w:type="dxa"/>
            <w:vAlign w:val="center"/>
          </w:tcPr>
          <w:p w:rsidR="00BE0C08" w:rsidRPr="00891173" w:rsidRDefault="004A665E" w:rsidP="004A665E">
            <w:pPr>
              <w:jc w:val="center"/>
              <w:rPr>
                <w:sz w:val="24"/>
                <w:szCs w:val="24"/>
              </w:rPr>
            </w:pPr>
            <w:r w:rsidRPr="00891173">
              <w:rPr>
                <w:sz w:val="24"/>
                <w:szCs w:val="24"/>
              </w:rPr>
              <w:t>100%</w:t>
            </w:r>
          </w:p>
        </w:tc>
      </w:tr>
      <w:tr w:rsidR="00BE0C08" w:rsidRPr="00891173" w:rsidTr="004A665E">
        <w:trPr>
          <w:jc w:val="center"/>
        </w:trPr>
        <w:tc>
          <w:tcPr>
            <w:tcW w:w="1197" w:type="dxa"/>
            <w:vMerge w:val="restart"/>
            <w:tcBorders>
              <w:right w:val="nil"/>
            </w:tcBorders>
            <w:vAlign w:val="center"/>
          </w:tcPr>
          <w:p w:rsidR="00BE0C08" w:rsidRPr="00891173" w:rsidRDefault="00BE0C08" w:rsidP="004A665E">
            <w:pPr>
              <w:jc w:val="center"/>
              <w:rPr>
                <w:b/>
                <w:sz w:val="24"/>
                <w:szCs w:val="24"/>
              </w:rPr>
            </w:pPr>
            <w:r w:rsidRPr="00891173">
              <w:rPr>
                <w:b/>
                <w:sz w:val="24"/>
                <w:szCs w:val="24"/>
              </w:rPr>
              <w:t>Iš viso</w:t>
            </w: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Dažnis</w:t>
            </w:r>
          </w:p>
        </w:tc>
        <w:tc>
          <w:tcPr>
            <w:tcW w:w="1620" w:type="dxa"/>
            <w:vAlign w:val="center"/>
          </w:tcPr>
          <w:p w:rsidR="00BE0C08" w:rsidRPr="00891173" w:rsidRDefault="00BE0C08" w:rsidP="004A665E">
            <w:pPr>
              <w:jc w:val="center"/>
              <w:rPr>
                <w:sz w:val="24"/>
                <w:szCs w:val="24"/>
              </w:rPr>
            </w:pPr>
            <w:r w:rsidRPr="00891173">
              <w:rPr>
                <w:sz w:val="24"/>
                <w:szCs w:val="24"/>
              </w:rPr>
              <w:t>131</w:t>
            </w:r>
          </w:p>
        </w:tc>
        <w:tc>
          <w:tcPr>
            <w:tcW w:w="1975" w:type="dxa"/>
            <w:vAlign w:val="center"/>
          </w:tcPr>
          <w:p w:rsidR="00BE0C08" w:rsidRPr="00891173" w:rsidRDefault="00BE0C08" w:rsidP="004A665E">
            <w:pPr>
              <w:jc w:val="center"/>
              <w:rPr>
                <w:sz w:val="24"/>
                <w:szCs w:val="24"/>
              </w:rPr>
            </w:pPr>
            <w:r w:rsidRPr="00891173">
              <w:rPr>
                <w:sz w:val="24"/>
                <w:szCs w:val="24"/>
              </w:rPr>
              <w:t>17</w:t>
            </w:r>
          </w:p>
        </w:tc>
        <w:tc>
          <w:tcPr>
            <w:tcW w:w="1285" w:type="dxa"/>
            <w:vAlign w:val="center"/>
          </w:tcPr>
          <w:p w:rsidR="00BE0C08" w:rsidRPr="00891173" w:rsidRDefault="00BE0C08" w:rsidP="004A665E">
            <w:pPr>
              <w:jc w:val="center"/>
              <w:rPr>
                <w:sz w:val="24"/>
                <w:szCs w:val="24"/>
              </w:rPr>
            </w:pPr>
            <w:r w:rsidRPr="00891173">
              <w:rPr>
                <w:sz w:val="24"/>
                <w:szCs w:val="24"/>
              </w:rPr>
              <w:t>148</w:t>
            </w:r>
          </w:p>
        </w:tc>
      </w:tr>
      <w:tr w:rsidR="00BE0C08" w:rsidRPr="00891173" w:rsidTr="004A665E">
        <w:trPr>
          <w:jc w:val="center"/>
        </w:trPr>
        <w:tc>
          <w:tcPr>
            <w:tcW w:w="1197" w:type="dxa"/>
            <w:vMerge/>
            <w:tcBorders>
              <w:right w:val="nil"/>
            </w:tcBorders>
            <w:vAlign w:val="center"/>
          </w:tcPr>
          <w:p w:rsidR="00BE0C08" w:rsidRPr="00891173" w:rsidRDefault="00BE0C08" w:rsidP="004A665E">
            <w:pPr>
              <w:jc w:val="center"/>
              <w:rPr>
                <w:b/>
                <w:sz w:val="24"/>
                <w:szCs w:val="24"/>
              </w:rPr>
            </w:pPr>
          </w:p>
        </w:tc>
        <w:tc>
          <w:tcPr>
            <w:tcW w:w="1134" w:type="dxa"/>
            <w:tcBorders>
              <w:left w:val="nil"/>
            </w:tcBorders>
            <w:vAlign w:val="center"/>
          </w:tcPr>
          <w:p w:rsidR="00BE0C08" w:rsidRPr="00891173" w:rsidRDefault="00BE0C08" w:rsidP="004A665E">
            <w:pPr>
              <w:jc w:val="center"/>
              <w:rPr>
                <w:b/>
                <w:sz w:val="24"/>
                <w:szCs w:val="24"/>
              </w:rPr>
            </w:pPr>
            <w:r w:rsidRPr="00891173">
              <w:rPr>
                <w:b/>
                <w:sz w:val="24"/>
                <w:szCs w:val="24"/>
              </w:rPr>
              <w:t>%</w:t>
            </w:r>
          </w:p>
        </w:tc>
        <w:tc>
          <w:tcPr>
            <w:tcW w:w="1620" w:type="dxa"/>
            <w:vAlign w:val="center"/>
          </w:tcPr>
          <w:p w:rsidR="00BE0C08" w:rsidRPr="00891173" w:rsidRDefault="004A665E" w:rsidP="004A665E">
            <w:pPr>
              <w:jc w:val="center"/>
              <w:rPr>
                <w:color w:val="000000"/>
                <w:sz w:val="24"/>
                <w:szCs w:val="24"/>
              </w:rPr>
            </w:pPr>
            <w:r w:rsidRPr="00891173">
              <w:rPr>
                <w:color w:val="000000"/>
                <w:sz w:val="24"/>
                <w:szCs w:val="24"/>
              </w:rPr>
              <w:t>88,5%</w:t>
            </w:r>
          </w:p>
        </w:tc>
        <w:tc>
          <w:tcPr>
            <w:tcW w:w="1975" w:type="dxa"/>
            <w:vAlign w:val="center"/>
          </w:tcPr>
          <w:p w:rsidR="00BE0C08" w:rsidRPr="00891173" w:rsidRDefault="004A665E" w:rsidP="004A665E">
            <w:pPr>
              <w:jc w:val="center"/>
              <w:rPr>
                <w:color w:val="000000"/>
                <w:sz w:val="24"/>
                <w:szCs w:val="24"/>
              </w:rPr>
            </w:pPr>
            <w:r w:rsidRPr="00891173">
              <w:rPr>
                <w:color w:val="000000"/>
                <w:sz w:val="24"/>
                <w:szCs w:val="24"/>
              </w:rPr>
              <w:t>11,5%</w:t>
            </w:r>
          </w:p>
        </w:tc>
        <w:tc>
          <w:tcPr>
            <w:tcW w:w="1285" w:type="dxa"/>
            <w:vAlign w:val="center"/>
          </w:tcPr>
          <w:p w:rsidR="00BE0C08" w:rsidRPr="00891173" w:rsidRDefault="004A665E" w:rsidP="004A665E">
            <w:pPr>
              <w:jc w:val="center"/>
              <w:rPr>
                <w:sz w:val="24"/>
                <w:szCs w:val="24"/>
              </w:rPr>
            </w:pPr>
            <w:r w:rsidRPr="00891173">
              <w:rPr>
                <w:sz w:val="24"/>
                <w:szCs w:val="24"/>
              </w:rPr>
              <w:t>100%</w:t>
            </w:r>
          </w:p>
        </w:tc>
      </w:tr>
    </w:tbl>
    <w:p w:rsidR="0027305A" w:rsidRPr="00891173" w:rsidRDefault="0027305A" w:rsidP="0027305A">
      <w:pPr>
        <w:spacing w:before="120"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BE0C08" w:rsidRPr="00891173" w:rsidRDefault="00BE0C08" w:rsidP="001613B2">
      <w:pPr>
        <w:spacing w:line="360" w:lineRule="auto"/>
        <w:ind w:firstLine="567"/>
        <w:jc w:val="both"/>
      </w:pPr>
    </w:p>
    <w:p w:rsidR="00A8183B" w:rsidRPr="00891173" w:rsidRDefault="009C1200" w:rsidP="001613B2">
      <w:pPr>
        <w:spacing w:after="120" w:line="360" w:lineRule="auto"/>
        <w:ind w:firstLine="567"/>
        <w:jc w:val="both"/>
      </w:pPr>
      <w:r w:rsidRPr="00891173">
        <w:t xml:space="preserve">Pagrindinis informacijos šaltinis, iš kurio respondentai sužinojo apie investicinius fondus yra </w:t>
      </w:r>
      <w:r w:rsidR="009651EF" w:rsidRPr="00891173">
        <w:t>universitetas ar kolegija</w:t>
      </w:r>
      <w:r w:rsidRPr="00891173">
        <w:t xml:space="preserve"> (</w:t>
      </w:r>
      <w:r w:rsidR="00FF08C2" w:rsidRPr="00891173">
        <w:t>žr. 1</w:t>
      </w:r>
      <w:r w:rsidR="007C68AF" w:rsidRPr="00891173">
        <w:t>2</w:t>
      </w:r>
      <w:r w:rsidR="00BC395B" w:rsidRPr="00891173">
        <w:t xml:space="preserve"> pav.</w:t>
      </w:r>
      <w:r w:rsidRPr="00891173">
        <w:t xml:space="preserve">). Tokiu būdu apie investicinius fondus sužinojo </w:t>
      </w:r>
      <w:r w:rsidR="009651EF" w:rsidRPr="00891173">
        <w:t>41,2</w:t>
      </w:r>
      <w:r w:rsidRPr="00891173">
        <w:t xml:space="preserve"> proc. respondentų. 2</w:t>
      </w:r>
      <w:r w:rsidR="009651EF" w:rsidRPr="00891173">
        <w:t>6,7</w:t>
      </w:r>
      <w:r w:rsidRPr="00891173">
        <w:t xml:space="preserve"> proc. apklaustųjų investuoti į inv</w:t>
      </w:r>
      <w:r w:rsidR="009651EF" w:rsidRPr="00891173">
        <w:t>esticinius fondus pasiūlė banke ir n</w:t>
      </w:r>
      <w:r w:rsidRPr="00891173">
        <w:t>et 19</w:t>
      </w:r>
      <w:r w:rsidR="009651EF" w:rsidRPr="00891173">
        <w:t>,1</w:t>
      </w:r>
      <w:r w:rsidRPr="00891173">
        <w:t xml:space="preserve"> proc. apklaustųjų nurodė</w:t>
      </w:r>
      <w:r w:rsidR="009651EF" w:rsidRPr="00891173">
        <w:t xml:space="preserve">, kad informaciją apie investicinius fondus rado internete. </w:t>
      </w:r>
      <w:r w:rsidR="00CD62DC" w:rsidRPr="00891173">
        <w:t>40 m. ir daugiau amžiaus respondentai nurodė, kad pagrindinis jų informacijos šaltinis, iš kurio sužinojo apie investicinius fondus yra bankas (50 proc.). Iš pastebėtos reklamos ir draugų ar pažįstamų sužinojo po 25proc. tokio amžiaus respondentų. 30-39 metų amžiaus investuojančių į investicinius fondus respondentų pagrindinį informacijos šaltinį nurodė taip pat banką (41,9</w:t>
      </w:r>
      <w:r w:rsidR="00883F3C" w:rsidRPr="00891173">
        <w:t xml:space="preserve"> </w:t>
      </w:r>
      <w:r w:rsidR="00CD62DC" w:rsidRPr="00891173">
        <w:t>proc.). Be šio šaltinio buvo nurodyti ir kiti – aukštojo mokslo institucija (20,9 proc.), internetas (16,3 proc.) ir informavo draugai bei pažįstami (14,0 proc.). Reklamą apie investicinius fondus mačiusių buvo 7 proc. iš</w:t>
      </w:r>
      <w:r w:rsidR="00C446AF" w:rsidRPr="00891173">
        <w:t xml:space="preserve"> </w:t>
      </w:r>
      <w:r w:rsidR="00CD62DC" w:rsidRPr="00891173">
        <w:t>visų 30-39 metų amžiaus investuojančių respondentų.</w:t>
      </w:r>
      <w:r w:rsidR="00685C5E" w:rsidRPr="00891173">
        <w:t xml:space="preserve"> 25-29 m. ir 18-24 m. amžiaus respondentai nurodė, kad jų pagrindinis informacijos šaltinis yra aukštojo mokslo institucija (atitinkamai po 50,0 proc. ir 63,63 proc.). Taip pat internetas yra vienas prie pagrindinių informacijos šaltinių tokiame amžiuje, o iš reklamos sužinojo tik 25-29 m. amžiaus klientai (1,61 proc.). </w:t>
      </w:r>
      <w:r w:rsidR="00C446AF" w:rsidRPr="00891173">
        <w:t xml:space="preserve">Vienas </w:t>
      </w:r>
      <w:r w:rsidR="00685C5E" w:rsidRPr="00891173">
        <w:t>18-24</w:t>
      </w:r>
      <w:r w:rsidR="00C446AF" w:rsidRPr="00891173">
        <w:t xml:space="preserve"> m. amžiaus</w:t>
      </w:r>
      <w:r w:rsidR="00685C5E" w:rsidRPr="00891173">
        <w:t xml:space="preserve"> </w:t>
      </w:r>
      <w:r w:rsidR="00C446AF" w:rsidRPr="00891173">
        <w:t>respondentas</w:t>
      </w:r>
      <w:r w:rsidR="00685C5E" w:rsidRPr="00891173">
        <w:t xml:space="preserve"> nurodė kitą informacijos šaltinį – </w:t>
      </w:r>
      <w:r w:rsidR="00C446AF" w:rsidRPr="00891173">
        <w:t>jam</w:t>
      </w:r>
      <w:r w:rsidR="00685C5E" w:rsidRPr="00891173">
        <w:t xml:space="preserve"> papasakojo tėvai, nors </w:t>
      </w:r>
      <w:r w:rsidR="00C446AF" w:rsidRPr="00891173">
        <w:t>tai vis dėl to būtų</w:t>
      </w:r>
      <w:r w:rsidR="00685C5E" w:rsidRPr="00891173">
        <w:t xml:space="preserve"> galima priskirti prie sužinojimo iš </w:t>
      </w:r>
      <w:r w:rsidR="00C446AF" w:rsidRPr="00891173">
        <w:t>dra</w:t>
      </w:r>
      <w:r w:rsidR="006553D7">
        <w:t>u</w:t>
      </w:r>
      <w:r w:rsidR="00C446AF" w:rsidRPr="00891173">
        <w:t>gų</w:t>
      </w:r>
      <w:r w:rsidR="00685C5E" w:rsidRPr="00891173">
        <w:t xml:space="preserve"> ir pažįstamų. Kitas skirtumas tarp šio nagrinėjamo amžiaus tas, kad 18-24</w:t>
      </w:r>
      <w:r w:rsidR="00883F3C" w:rsidRPr="00891173">
        <w:t xml:space="preserve"> </w:t>
      </w:r>
      <w:r w:rsidR="00685C5E" w:rsidRPr="00891173">
        <w:t>m. amžiaus respondentai nenurodė, kad jiems buvo pasiūlyta banke. Taigi apibend</w:t>
      </w:r>
      <w:r w:rsidR="006553D7">
        <w:t>rinus, jaunesniojo amžiaus klientai</w:t>
      </w:r>
      <w:r w:rsidR="00685C5E" w:rsidRPr="00891173">
        <w:t xml:space="preserve"> informaciją apie investavimą į investicinius fondus gavo iš a</w:t>
      </w:r>
      <w:r w:rsidR="00C446AF" w:rsidRPr="00891173">
        <w:t>u</w:t>
      </w:r>
      <w:r w:rsidR="00685C5E" w:rsidRPr="00891173">
        <w:t>kštojo mok</w:t>
      </w:r>
      <w:r w:rsidR="00C446AF" w:rsidRPr="00891173">
        <w:t>s</w:t>
      </w:r>
      <w:r w:rsidR="00685C5E" w:rsidRPr="00891173">
        <w:t>lo institucijų ir interneto, o vyresniojo amžiaus – buvo pasiūlyta banke.</w:t>
      </w:r>
    </w:p>
    <w:p w:rsidR="00A8183B" w:rsidRPr="00891173" w:rsidRDefault="00CD62DC" w:rsidP="0018257B">
      <w:pPr>
        <w:spacing w:after="120" w:line="360" w:lineRule="auto"/>
        <w:jc w:val="center"/>
      </w:pPr>
      <w:r w:rsidRPr="00891173">
        <w:lastRenderedPageBreak/>
        <w:drawing>
          <wp:inline distT="0" distB="0" distL="0" distR="0">
            <wp:extent cx="6210300" cy="3575050"/>
            <wp:effectExtent l="19050" t="0" r="190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C395B" w:rsidRPr="00891173" w:rsidRDefault="007C68AF" w:rsidP="0018257B">
      <w:pPr>
        <w:spacing w:after="120" w:line="360" w:lineRule="auto"/>
        <w:jc w:val="center"/>
        <w:rPr>
          <w:b/>
        </w:rPr>
      </w:pPr>
      <w:r w:rsidRPr="00891173">
        <w:rPr>
          <w:b/>
        </w:rPr>
        <w:t>12</w:t>
      </w:r>
      <w:r w:rsidR="00BC395B" w:rsidRPr="00891173">
        <w:rPr>
          <w:b/>
        </w:rPr>
        <w:t xml:space="preserve"> pav.</w:t>
      </w:r>
      <w:r w:rsidR="00BC395B" w:rsidRPr="00891173">
        <w:rPr>
          <w:i/>
        </w:rPr>
        <w:t xml:space="preserve"> </w:t>
      </w:r>
      <w:r w:rsidR="00BC395B" w:rsidRPr="00891173">
        <w:rPr>
          <w:b/>
        </w:rPr>
        <w:t>Respondentų pasiskirstymas</w:t>
      </w:r>
      <w:r w:rsidR="009651EF" w:rsidRPr="00891173">
        <w:rPr>
          <w:b/>
        </w:rPr>
        <w:t xml:space="preserve"> pagal amžių</w:t>
      </w:r>
      <w:r w:rsidR="00BC395B" w:rsidRPr="00891173">
        <w:rPr>
          <w:b/>
        </w:rPr>
        <w:t xml:space="preserve"> </w:t>
      </w:r>
      <w:r w:rsidR="00CD62DC" w:rsidRPr="00891173">
        <w:rPr>
          <w:b/>
        </w:rPr>
        <w:t xml:space="preserve">ir </w:t>
      </w:r>
      <w:r w:rsidR="009651EF" w:rsidRPr="00891173">
        <w:rPr>
          <w:b/>
        </w:rPr>
        <w:t xml:space="preserve">žinojimo apie investicinius fondus </w:t>
      </w:r>
      <w:r w:rsidR="00BC395B" w:rsidRPr="00891173">
        <w:rPr>
          <w:b/>
        </w:rPr>
        <w:t>(proc.)</w:t>
      </w:r>
    </w:p>
    <w:p w:rsidR="00E43915" w:rsidRPr="00891173" w:rsidRDefault="00E43915" w:rsidP="00685C5E">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685C5E" w:rsidRPr="00891173" w:rsidRDefault="00685C5E" w:rsidP="00685C5E">
      <w:pPr>
        <w:spacing w:line="360" w:lineRule="auto"/>
        <w:ind w:firstLine="567"/>
        <w:rPr>
          <w:sz w:val="20"/>
          <w:szCs w:val="20"/>
        </w:rPr>
      </w:pPr>
    </w:p>
    <w:p w:rsidR="00AC7ACD" w:rsidRPr="00891173" w:rsidRDefault="006A422D" w:rsidP="00883F3C">
      <w:pPr>
        <w:spacing w:line="360" w:lineRule="auto"/>
        <w:ind w:firstLine="567"/>
        <w:jc w:val="both"/>
      </w:pPr>
      <w:r w:rsidRPr="00891173">
        <w:t>Didžioji dalis investuotojų</w:t>
      </w:r>
      <w:r w:rsidR="003F2ECA">
        <w:t>, investuojančių</w:t>
      </w:r>
      <w:r w:rsidRPr="00891173">
        <w:t xml:space="preserve"> į investicinius fondus</w:t>
      </w:r>
      <w:r w:rsidR="003F2ECA">
        <w:t>,</w:t>
      </w:r>
      <w:r w:rsidRPr="00891173">
        <w:t xml:space="preserve"> yra sudarę sutartis su AB SEB banku (37 proc.),</w:t>
      </w:r>
      <w:r w:rsidR="0097601C" w:rsidRPr="00891173">
        <w:t xml:space="preserve"> </w:t>
      </w:r>
      <w:r w:rsidRPr="00891173">
        <w:t xml:space="preserve"> </w:t>
      </w:r>
      <w:r w:rsidR="0097601C" w:rsidRPr="00891173">
        <w:t xml:space="preserve">27 proc. </w:t>
      </w:r>
      <w:r w:rsidRPr="00891173">
        <w:t>AB „</w:t>
      </w:r>
      <w:r w:rsidR="0097601C" w:rsidRPr="00891173">
        <w:t>Swedbank“ ir 16 proc.  AB banke „Finasta“  (</w:t>
      </w:r>
      <w:r w:rsidR="00BC395B" w:rsidRPr="00891173">
        <w:t>žr.</w:t>
      </w:r>
      <w:r w:rsidR="00883F3C" w:rsidRPr="00891173">
        <w:t xml:space="preserve"> 7 priedą</w:t>
      </w:r>
      <w:r w:rsidR="0097601C" w:rsidRPr="00891173">
        <w:t xml:space="preserve">). </w:t>
      </w:r>
      <w:r w:rsidR="00AC7ACD" w:rsidRPr="00891173">
        <w:t xml:space="preserve"> 2 proc. respondentų nurodė atsakymą „kita“ ir nurodė, kad šiuo metu neinvestuoja į investicinius fondus. Tokios bendrovės kaip „Dovre Farvaltning“, „Evli Securities“, „Orion securities“, „Prudentis“, „Novus Asset Management“ ir „Synergy finance“ neturi investuotojų iš apklaustųjų. Pastebėta, kad vyrai daugiau renkasi AB banko „Finasta“ siūlomus investicinius fondus. Tiek moterys, tiek vyrai panašiai renkasi AB SEB banko ir AB „Swedbank“ platinamus investicinius fondus.</w:t>
      </w:r>
    </w:p>
    <w:p w:rsidR="005F17B0" w:rsidRPr="00891173" w:rsidRDefault="005F17B0" w:rsidP="001613B2">
      <w:pPr>
        <w:spacing w:after="200" w:line="360" w:lineRule="auto"/>
        <w:ind w:firstLine="567"/>
        <w:jc w:val="both"/>
      </w:pPr>
      <w:r w:rsidRPr="00891173">
        <w:t>Esant dideliam investicinių fondų platinimo bendrovių pasirinkimui, labai svarbu pasirinkti tokią, kuri savo veiklą vykdytų profesionaliai, o inve</w:t>
      </w:r>
      <w:r w:rsidR="00A9036A" w:rsidRPr="00891173">
        <w:t>stuotos lėšos būtų saugios</w:t>
      </w:r>
      <w:r w:rsidRPr="00891173">
        <w:t xml:space="preserve"> ir pelningai</w:t>
      </w:r>
      <w:r w:rsidR="00A9036A" w:rsidRPr="00891173">
        <w:t xml:space="preserve"> investuotos</w:t>
      </w:r>
      <w:r w:rsidRPr="00891173">
        <w:t>.</w:t>
      </w:r>
      <w:r w:rsidR="00A9036A" w:rsidRPr="00891173">
        <w:t xml:space="preserve"> Siekiant</w:t>
      </w:r>
      <w:r w:rsidR="00A91874" w:rsidRPr="00891173">
        <w:t xml:space="preserve"> išsiaiškinti, kodėl respondent</w:t>
      </w:r>
      <w:r w:rsidR="00A9036A" w:rsidRPr="00891173">
        <w:t>ai renkasi vieną ar kitą investicinių fondų platinimo bendrovę, buvo pateiktas klausimas, į kurį atsakydami turėjo nurodyti svarbiausią priežastį, paskatinusią pasirinkti vieną iš bendrovių (</w:t>
      </w:r>
      <w:r w:rsidR="009A3D78" w:rsidRPr="00891173">
        <w:t>žr. 1</w:t>
      </w:r>
      <w:r w:rsidR="007C68AF" w:rsidRPr="00891173">
        <w:t>3</w:t>
      </w:r>
      <w:r w:rsidR="009A3D78" w:rsidRPr="00891173">
        <w:t xml:space="preserve"> pav.</w:t>
      </w:r>
      <w:r w:rsidR="00A9036A" w:rsidRPr="00891173">
        <w:t xml:space="preserve">). </w:t>
      </w:r>
      <w:r w:rsidR="00F20265" w:rsidRPr="00891173">
        <w:t>Kadangi investuojama, siekiant padidinti investuotas lėšas, tai pagrindinis kriterijus, renkantis investicinių fondų platinimo bendr</w:t>
      </w:r>
      <w:r w:rsidR="00E159F3" w:rsidRPr="00891173">
        <w:t>ovę yra praeities rezultatai (37,4</w:t>
      </w:r>
      <w:r w:rsidR="00F20265" w:rsidRPr="00891173">
        <w:t xml:space="preserve"> proc.).</w:t>
      </w:r>
      <w:r w:rsidR="00E159F3" w:rsidRPr="00891173">
        <w:t xml:space="preserve"> Iš šį atsakymą pasirinkusių respondų, 83,67 proc. sudarė vyrai.</w:t>
      </w:r>
      <w:r w:rsidR="00EE6509" w:rsidRPr="00891173">
        <w:t xml:space="preserve"> Nors praeities investicinių fondų rezultatai negarantuoja pelno</w:t>
      </w:r>
      <w:r w:rsidR="00A91874" w:rsidRPr="00891173">
        <w:t xml:space="preserve"> ateityje</w:t>
      </w:r>
      <w:r w:rsidR="00EE6509" w:rsidRPr="00891173">
        <w:t>, investuotojai linkę pasitikėti šiuo kriterijumi.</w:t>
      </w:r>
      <w:r w:rsidR="00F20265" w:rsidRPr="00891173">
        <w:t xml:space="preserve"> Taip pat apklaustiesiems investuotojams labai yra svarbu bendrovės darbo patirtis (25</w:t>
      </w:r>
      <w:r w:rsidR="00E159F3" w:rsidRPr="00891173">
        <w:t>,19</w:t>
      </w:r>
      <w:r w:rsidR="00F20265" w:rsidRPr="00891173">
        <w:t xml:space="preserve"> proc.) ir fondų pasirinkimo galimybės (22</w:t>
      </w:r>
      <w:r w:rsidR="00E159F3" w:rsidRPr="00891173">
        <w:t>,14</w:t>
      </w:r>
      <w:r w:rsidR="00F20265" w:rsidRPr="00891173">
        <w:t xml:space="preserve"> proc.). Mažiausiai investuotojai investicinių fondų bendroves renkasi pagal subjektyviems veiksnius</w:t>
      </w:r>
      <w:r w:rsidR="00E159F3" w:rsidRPr="00891173">
        <w:t>,</w:t>
      </w:r>
      <w:r w:rsidR="00F20265" w:rsidRPr="00891173">
        <w:t xml:space="preserve"> kaip reklama (</w:t>
      </w:r>
      <w:r w:rsidR="00E159F3" w:rsidRPr="00891173">
        <w:t xml:space="preserve">iš visų apklaustųjų, pasirinkusių šį </w:t>
      </w:r>
      <w:r w:rsidR="00E159F3" w:rsidRPr="00891173">
        <w:lastRenderedPageBreak/>
        <w:t>kriterijų, 66,67 proc. sudarė moterys) bei kitų nuomonė (visų respondentų, pasirinkusių šį variantą, 71,43 proc. sudarė vyrai).</w:t>
      </w:r>
    </w:p>
    <w:p w:rsidR="00641E45" w:rsidRPr="00891173" w:rsidRDefault="00C521C3" w:rsidP="00E43915">
      <w:pPr>
        <w:spacing w:after="120" w:line="360" w:lineRule="auto"/>
        <w:jc w:val="center"/>
      </w:pPr>
      <w:r w:rsidRPr="00891173">
        <w:drawing>
          <wp:inline distT="0" distB="0" distL="0" distR="0">
            <wp:extent cx="4800600" cy="2886075"/>
            <wp:effectExtent l="19050" t="0" r="19050" b="0"/>
            <wp:docPr id="27"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A3D78" w:rsidRPr="00891173" w:rsidRDefault="009A3D78" w:rsidP="00E43915">
      <w:pPr>
        <w:spacing w:line="360" w:lineRule="auto"/>
        <w:jc w:val="center"/>
        <w:rPr>
          <w:b/>
        </w:rPr>
      </w:pPr>
      <w:r w:rsidRPr="00891173">
        <w:rPr>
          <w:b/>
        </w:rPr>
        <w:t>1</w:t>
      </w:r>
      <w:r w:rsidR="007C68AF" w:rsidRPr="00891173">
        <w:rPr>
          <w:b/>
        </w:rPr>
        <w:t>3</w:t>
      </w:r>
      <w:r w:rsidRPr="00891173">
        <w:rPr>
          <w:b/>
        </w:rPr>
        <w:t xml:space="preserve"> pav. </w:t>
      </w:r>
      <w:r w:rsidR="00C521C3" w:rsidRPr="00891173">
        <w:rPr>
          <w:b/>
        </w:rPr>
        <w:t>Investicinių fondų platinimo bendrovės pasirinkimo veiksniai pagal lytį</w:t>
      </w:r>
      <w:r w:rsidRPr="00891173">
        <w:rPr>
          <w:b/>
        </w:rPr>
        <w:t xml:space="preserve"> (proc.)</w:t>
      </w:r>
    </w:p>
    <w:p w:rsidR="00E43915" w:rsidRPr="00891173" w:rsidRDefault="00E43915" w:rsidP="00E43915">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E43915" w:rsidRPr="00891173" w:rsidRDefault="00E43915" w:rsidP="00E43915">
      <w:pPr>
        <w:spacing w:line="360" w:lineRule="auto"/>
        <w:ind w:firstLine="567"/>
        <w:rPr>
          <w:sz w:val="20"/>
          <w:szCs w:val="20"/>
        </w:rPr>
      </w:pPr>
    </w:p>
    <w:p w:rsidR="005F17B0" w:rsidRPr="00891173" w:rsidRDefault="00F20265" w:rsidP="001613B2">
      <w:pPr>
        <w:spacing w:after="200" w:line="360" w:lineRule="auto"/>
        <w:ind w:firstLine="567"/>
        <w:jc w:val="both"/>
      </w:pPr>
      <w:r w:rsidRPr="00891173">
        <w:t xml:space="preserve">Toliau buvo siekiama išsiaiškinti apie investicinių fondų platinimo bendrovių veiklą. </w:t>
      </w:r>
      <w:r w:rsidR="0045041F" w:rsidRPr="00891173">
        <w:t>Respondentai turėjo įvertinti teiginius ar laiku gauna ataskaitas, ar fondo darbuotojai yra malonūs ir linkę atsakyti į visus iškylančius klausimus. Taip pat buvo klausiama ar investuotojus tenkina bendrovės darbo patirtis ir ar jie informuoja apie esamą</w:t>
      </w:r>
      <w:r w:rsidR="00CE2FF8" w:rsidRPr="00891173">
        <w:t xml:space="preserve"> jų fondo padėtį (</w:t>
      </w:r>
      <w:r w:rsidR="007C68AF" w:rsidRPr="00891173">
        <w:t>žr. 14</w:t>
      </w:r>
      <w:r w:rsidR="009A3D78" w:rsidRPr="00891173">
        <w:t xml:space="preserve"> pav.</w:t>
      </w:r>
      <w:r w:rsidR="00CE2FF8" w:rsidRPr="00891173">
        <w:t>).</w:t>
      </w:r>
    </w:p>
    <w:p w:rsidR="00CE2FF8" w:rsidRPr="00891173" w:rsidRDefault="00CE2FF8" w:rsidP="00E43915">
      <w:pPr>
        <w:spacing w:after="120" w:line="360" w:lineRule="auto"/>
        <w:ind w:firstLine="567"/>
      </w:pPr>
      <w:r w:rsidRPr="00891173">
        <w:drawing>
          <wp:inline distT="0" distB="0" distL="0" distR="0">
            <wp:extent cx="4847149" cy="2743200"/>
            <wp:effectExtent l="19050" t="0" r="10601" b="0"/>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A3D78" w:rsidRPr="00891173" w:rsidRDefault="002179F3" w:rsidP="00E43915">
      <w:pPr>
        <w:spacing w:line="360" w:lineRule="auto"/>
        <w:ind w:firstLine="567"/>
        <w:jc w:val="center"/>
        <w:rPr>
          <w:b/>
        </w:rPr>
      </w:pPr>
      <w:r w:rsidRPr="00891173">
        <w:rPr>
          <w:b/>
        </w:rPr>
        <w:t>1</w:t>
      </w:r>
      <w:r w:rsidR="007C68AF" w:rsidRPr="00891173">
        <w:rPr>
          <w:b/>
        </w:rPr>
        <w:t>4</w:t>
      </w:r>
      <w:r w:rsidR="009A3D78" w:rsidRPr="00891173">
        <w:rPr>
          <w:b/>
        </w:rPr>
        <w:t xml:space="preserve"> pav. Teiginių įvertinimas apie investicinių fondų bendroves (proc.)</w:t>
      </w:r>
    </w:p>
    <w:p w:rsidR="00E43915" w:rsidRPr="00891173" w:rsidRDefault="00E43915" w:rsidP="00E43915">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E43915" w:rsidRPr="00891173" w:rsidRDefault="00E43915" w:rsidP="00E43915">
      <w:pPr>
        <w:spacing w:line="360" w:lineRule="auto"/>
        <w:ind w:firstLine="567"/>
        <w:rPr>
          <w:sz w:val="20"/>
          <w:szCs w:val="20"/>
        </w:rPr>
      </w:pPr>
    </w:p>
    <w:p w:rsidR="00CE2FF8" w:rsidRPr="00891173" w:rsidRDefault="00CE2FF8" w:rsidP="001613B2">
      <w:pPr>
        <w:spacing w:line="360" w:lineRule="auto"/>
        <w:ind w:firstLine="567"/>
        <w:jc w:val="both"/>
      </w:pPr>
      <w:r w:rsidRPr="00891173">
        <w:lastRenderedPageBreak/>
        <w:t>Kaip matyti iš diagramos duomenų, respondentai daugiausiai nuosaikiai sutinka</w:t>
      </w:r>
      <w:r w:rsidR="0098417C" w:rsidRPr="00891173">
        <w:t>, kalbant apie informavimą apie esamą fondo padėtį (41,22 proc.), fondo valdytojo patir</w:t>
      </w:r>
      <w:r w:rsidR="00312B44" w:rsidRPr="00891173">
        <w:t>t</w:t>
      </w:r>
      <w:r w:rsidR="003F2ECA">
        <w:t>į (53,44 proc.) ir apie at</w:t>
      </w:r>
      <w:r w:rsidR="0098417C" w:rsidRPr="00891173">
        <w:t>a</w:t>
      </w:r>
      <w:r w:rsidR="003F2ECA">
        <w:t>s</w:t>
      </w:r>
      <w:r w:rsidR="0098417C" w:rsidRPr="00891173">
        <w:t>kaitą gavimą laiku (51,15 proc.)</w:t>
      </w:r>
      <w:r w:rsidRPr="00891173">
        <w:t>.</w:t>
      </w:r>
      <w:r w:rsidR="0098417C" w:rsidRPr="00891173">
        <w:t xml:space="preserve"> Visiškai sutinka su teiginiais, kad </w:t>
      </w:r>
      <w:r w:rsidRPr="00891173">
        <w:t xml:space="preserve"> </w:t>
      </w:r>
      <w:r w:rsidR="0098417C" w:rsidRPr="00891173">
        <w:t>fondo platinimo bendrovė linkusi atsakyti į visus klausimus ir, kad darbuotojai yra malonūs, atitinkamai po 76,34 proc. ir 67,94 proc. respondentų. Vadinasi šie kriterijai yra aktualūs  investuotojams</w:t>
      </w:r>
      <w:r w:rsidR="0030650B" w:rsidRPr="00891173">
        <w:t>,</w:t>
      </w:r>
      <w:r w:rsidR="0098417C" w:rsidRPr="00891173">
        <w:t xml:space="preserve"> renkantis vieną ar kitą investic</w:t>
      </w:r>
      <w:r w:rsidR="0030650B" w:rsidRPr="00891173">
        <w:t>in</w:t>
      </w:r>
      <w:r w:rsidR="0098417C" w:rsidRPr="00891173">
        <w:t>io fondo platinimo bendrovę.</w:t>
      </w:r>
    </w:p>
    <w:p w:rsidR="008C4885" w:rsidRPr="00891173" w:rsidRDefault="00640219" w:rsidP="001613B2">
      <w:pPr>
        <w:spacing w:line="360" w:lineRule="auto"/>
        <w:ind w:firstLine="567"/>
        <w:jc w:val="both"/>
      </w:pPr>
      <w:r w:rsidRPr="00891173">
        <w:t>Iš apklaustųjų investuojančių į investicinius fondus, tik 23 proc. inves</w:t>
      </w:r>
      <w:r w:rsidR="003F2ECA">
        <w:t>tuoja į licenzijuotus Lietuvos i</w:t>
      </w:r>
      <w:r w:rsidRPr="00891173">
        <w:t>nvesticinius fondus ir net 77</w:t>
      </w:r>
      <w:r w:rsidR="00567B1E" w:rsidRPr="00891173">
        <w:t xml:space="preserve"> </w:t>
      </w:r>
      <w:r w:rsidRPr="00891173">
        <w:t xml:space="preserve">proc. į Lietuvoje viešai platinamus užsienio investicinius fondus. </w:t>
      </w:r>
      <w:r w:rsidR="00DD2374" w:rsidRPr="00891173">
        <w:t>Užsienio investicinių fondų populiarumą lemia didesnis fondų pasirinkimo skaičius.</w:t>
      </w:r>
    </w:p>
    <w:p w:rsidR="00567B1E" w:rsidRPr="00891173" w:rsidRDefault="0030650B" w:rsidP="002179F3">
      <w:pPr>
        <w:spacing w:line="360" w:lineRule="auto"/>
        <w:ind w:firstLine="567"/>
        <w:jc w:val="both"/>
      </w:pPr>
      <w:r w:rsidRPr="00891173">
        <w:t>Kadangi vis daugiau siū</w:t>
      </w:r>
      <w:r w:rsidR="00567B1E" w:rsidRPr="00891173">
        <w:t>loma</w:t>
      </w:r>
      <w:r w:rsidRPr="00891173">
        <w:t xml:space="preserve"> užsienio šalių</w:t>
      </w:r>
      <w:r w:rsidR="00567B1E" w:rsidRPr="00891173">
        <w:t xml:space="preserve"> investicinių fondų, norėta sužinoti, kokios investavimo šalys patraukl</w:t>
      </w:r>
      <w:r w:rsidR="002179F3" w:rsidRPr="00891173">
        <w:t xml:space="preserve">iausios Lietuvos investuotojams. </w:t>
      </w:r>
      <w:r w:rsidR="00567B1E" w:rsidRPr="00891173">
        <w:t>Daug</w:t>
      </w:r>
      <w:r w:rsidR="003F2ECA">
        <w:t>iausiai respondentai investuoja</w:t>
      </w:r>
      <w:r w:rsidR="00567B1E" w:rsidRPr="00891173">
        <w:t xml:space="preserve"> ES rinkose (37 proc.), JAV rinkoje – 21 proc. apklaustųjų. Rusijos ir tolimųjų rytų rinkose investuoja panašus skaičius investuotojų, atitinkamai po 16 ir 13 proc. Taip pat 5 proc. respondentų nurodė kitas šalis, pagrindinis atsakymas buvo, kad investuoja po visą pasaulį.</w:t>
      </w:r>
    </w:p>
    <w:p w:rsidR="00DD2374" w:rsidRPr="00891173" w:rsidRDefault="00320868" w:rsidP="00320868">
      <w:pPr>
        <w:spacing w:line="360" w:lineRule="auto"/>
        <w:ind w:firstLine="567"/>
        <w:jc w:val="both"/>
      </w:pPr>
      <w:r w:rsidRPr="00891173">
        <w:t>Tyrimo metu pastebėta, kad</w:t>
      </w:r>
      <w:r w:rsidR="00931D83" w:rsidRPr="00891173">
        <w:t xml:space="preserve"> užsienio rinkos pasirinkimą daugiausiai lemia didesnis ekonomikos lygis (37</w:t>
      </w:r>
      <w:r w:rsidR="0030650B" w:rsidRPr="00891173">
        <w:t xml:space="preserve"> </w:t>
      </w:r>
      <w:r w:rsidR="00931D83" w:rsidRPr="00891173">
        <w:t>proc.) ir kitos, respondentų į</w:t>
      </w:r>
      <w:r w:rsidR="009D203D" w:rsidRPr="00891173">
        <w:t>vardintos priežastys (31 proc.).</w:t>
      </w:r>
      <w:r w:rsidR="00931D83" w:rsidRPr="00891173">
        <w:t xml:space="preserve"> Tarp įvardintų priežasčių daugiausia buvo nurodyta, kad respondentams</w:t>
      </w:r>
      <w:r w:rsidR="003F2ECA">
        <w:t>,</w:t>
      </w:r>
      <w:r w:rsidR="00931D83" w:rsidRPr="00891173">
        <w:t xml:space="preserve"> renkantis užsienio rinkas</w:t>
      </w:r>
      <w:r w:rsidR="003F2ECA">
        <w:t>,</w:t>
      </w:r>
      <w:r w:rsidR="00931D83" w:rsidRPr="00891173">
        <w:t xml:space="preserve"> svarbu rizikos </w:t>
      </w:r>
      <w:r w:rsidR="00F47061" w:rsidRPr="00891173">
        <w:t xml:space="preserve">išskaidymas </w:t>
      </w:r>
      <w:r w:rsidR="00931D83" w:rsidRPr="00891173">
        <w:t>ir fondo investavimo strategija. Taip pat apklaustiems investuotojams yra aktualu investuoti tam tikrame regione (18 proc.).</w:t>
      </w:r>
    </w:p>
    <w:p w:rsidR="0044640D" w:rsidRPr="00891173" w:rsidRDefault="000361FD" w:rsidP="001613B2">
      <w:pPr>
        <w:spacing w:line="360" w:lineRule="auto"/>
        <w:ind w:firstLine="567"/>
        <w:jc w:val="both"/>
      </w:pPr>
      <w:r w:rsidRPr="00891173">
        <w:t>Paklausus, ar investuotų vien tik į Lietuvos investicinių fondų rinką, jei turėtų pakankamai laisvų lėšų, 89 proc. respondentų nurodė, kad neinvestuotų ir tik 11 proc. sutiktų investuoti į Lietuvos rinką.</w:t>
      </w:r>
    </w:p>
    <w:p w:rsidR="0044640D" w:rsidRPr="00891173" w:rsidRDefault="000361FD" w:rsidP="001613B2">
      <w:pPr>
        <w:spacing w:line="360" w:lineRule="auto"/>
        <w:ind w:firstLine="567"/>
        <w:jc w:val="both"/>
      </w:pPr>
      <w:r w:rsidRPr="00891173">
        <w:t>Daugiausia investuojama į mišrius investicinius fondus (41 proc.) ir į nuosavybės ve</w:t>
      </w:r>
      <w:r w:rsidR="0030650B" w:rsidRPr="00891173">
        <w:t>r</w:t>
      </w:r>
      <w:r w:rsidRPr="00891173">
        <w:t xml:space="preserve">tybiniais popieriais paremtus investicnius fondus (32 proc.). Taip pat gan populiarūs skolos vertybinių popierių fondai, į kuriuos investuoja 11 proc. apklaustųjų. </w:t>
      </w:r>
      <w:r w:rsidR="0044640D" w:rsidRPr="00891173">
        <w:t xml:space="preserve">4 proc. apklaustųjų nurodė, kad investuoja į kitus fondus – indekso. </w:t>
      </w:r>
    </w:p>
    <w:p w:rsidR="0044640D" w:rsidRPr="00891173" w:rsidRDefault="0044640D" w:rsidP="0024665C">
      <w:pPr>
        <w:spacing w:line="360" w:lineRule="auto"/>
        <w:ind w:firstLine="567"/>
        <w:jc w:val="both"/>
      </w:pPr>
      <w:r w:rsidRPr="00891173">
        <w:t>Tyrimo metu paaiškėjo, kad apklaustie</w:t>
      </w:r>
      <w:r w:rsidR="0030650B" w:rsidRPr="00891173">
        <w:t>ji</w:t>
      </w:r>
      <w:r w:rsidR="00BC1AA7">
        <w:t>,</w:t>
      </w:r>
      <w:r w:rsidR="0030650B" w:rsidRPr="00891173">
        <w:t xml:space="preserve"> investuojantys į investicini</w:t>
      </w:r>
      <w:r w:rsidRPr="00891173">
        <w:t>u</w:t>
      </w:r>
      <w:r w:rsidR="0030650B" w:rsidRPr="00891173">
        <w:t>s</w:t>
      </w:r>
      <w:r w:rsidRPr="00891173">
        <w:t xml:space="preserve"> fondus</w:t>
      </w:r>
      <w:r w:rsidR="00BC1AA7">
        <w:t>,</w:t>
      </w:r>
      <w:r w:rsidRPr="00891173">
        <w:t xml:space="preserve"> siekia gr</w:t>
      </w:r>
      <w:r w:rsidR="0024665C" w:rsidRPr="00891173">
        <w:t xml:space="preserve">eito investuotų lėšų padidėjimo. </w:t>
      </w:r>
      <w:r w:rsidRPr="00891173">
        <w:t xml:space="preserve">Net 54 proc. apklaustųjų savo lėšas investuoja </w:t>
      </w:r>
      <w:r w:rsidR="008A0EC3" w:rsidRPr="00891173">
        <w:t>metų – trijų metų laikotarpiui. 31 proc. apklaustųjų investuoja trijų – penkių metų laikotarpiui ir tik 3</w:t>
      </w:r>
      <w:r w:rsidR="0030650B" w:rsidRPr="00891173">
        <w:t xml:space="preserve"> </w:t>
      </w:r>
      <w:r w:rsidR="008A0EC3" w:rsidRPr="00891173">
        <w:t>proc. – daugiau nei penkiems metams.</w:t>
      </w:r>
    </w:p>
    <w:p w:rsidR="008A0EC3" w:rsidRPr="00891173" w:rsidRDefault="00E22A2B" w:rsidP="001613B2">
      <w:pPr>
        <w:spacing w:line="360" w:lineRule="auto"/>
        <w:ind w:firstLine="567"/>
        <w:jc w:val="both"/>
      </w:pPr>
      <w:r w:rsidRPr="00891173">
        <w:t>Skiriamų pajamų dalis investicijoms į investicius fondus yra maža. Net 80 proc. apklaustųjų iki 14 proc. savo pajamų skiria investijoms. 15 – 29 proc. pajamų investicijoms į investicnius fondus skiria 18 proc. apklaustųjų. Nei vienas respondentas neskiria daugiau nei 50 proc. pajamų investicijoms į investicinius fondus.</w:t>
      </w:r>
    </w:p>
    <w:p w:rsidR="00134ECA" w:rsidRPr="00891173" w:rsidRDefault="00134ECA" w:rsidP="001613B2">
      <w:pPr>
        <w:spacing w:after="120" w:line="360" w:lineRule="auto"/>
        <w:ind w:firstLine="567"/>
        <w:jc w:val="both"/>
      </w:pPr>
      <w:r w:rsidRPr="00891173">
        <w:t>Tyrimo rezultatai parodė, kad šiuo metu 58,78 proc. apklaustųjų turi teigiamą investicijų grąžą. Po 16 proc. apklaustųjų šiuo metu nėra investavę į investicinius fondus ir šiuo metu patyrė nuostolį.</w:t>
      </w:r>
      <w:r w:rsidR="00D64779" w:rsidRPr="00891173">
        <w:t xml:space="preserve"> </w:t>
      </w:r>
      <w:r w:rsidR="00D64779" w:rsidRPr="00891173">
        <w:lastRenderedPageBreak/>
        <w:t>Kadangi daugiau nei pusė apklaustųjų turi teigiamą investicijų prieaugį, todėl jie ir investuoja trumpesniam laikotarpiui.</w:t>
      </w:r>
      <w:r w:rsidR="00754B3A" w:rsidRPr="00891173">
        <w:t xml:space="preserve"> Taip </w:t>
      </w:r>
      <w:r w:rsidR="00A91324" w:rsidRPr="00891173">
        <w:t xml:space="preserve">pat </w:t>
      </w:r>
      <w:r w:rsidR="00754B3A" w:rsidRPr="00891173">
        <w:t>buvo siekiama išssiaiškinti</w:t>
      </w:r>
      <w:r w:rsidR="00BC1AA7">
        <w:t>,</w:t>
      </w:r>
      <w:r w:rsidR="00754B3A" w:rsidRPr="00891173">
        <w:t xml:space="preserve"> kaip patys respondentai vertina jų </w:t>
      </w:r>
      <w:r w:rsidR="008B3E43" w:rsidRPr="00891173">
        <w:t>inves</w:t>
      </w:r>
      <w:r w:rsidR="002F29F6" w:rsidRPr="00891173">
        <w:t>ticinių fondų rezultatus (žr. 15</w:t>
      </w:r>
      <w:r w:rsidR="008B3E43" w:rsidRPr="00891173">
        <w:t xml:space="preserve"> pav.</w:t>
      </w:r>
      <w:r w:rsidR="00754B3A" w:rsidRPr="00891173">
        <w:t>).</w:t>
      </w:r>
      <w:r w:rsidR="00E43CCB" w:rsidRPr="00891173">
        <w:t xml:space="preserve"> Fondo metinis rezultatas tenkina 52,67 proc. apklau</w:t>
      </w:r>
      <w:r w:rsidR="0030650B" w:rsidRPr="00891173">
        <w:t>stųjų ir tik 7,63 proc. visiškai</w:t>
      </w:r>
      <w:r w:rsidR="00E43CCB" w:rsidRPr="00891173">
        <w:t xml:space="preserve"> netenkina ir 12,98 proc. nuosaikiai netenkina. Vertinant fondo rezultatus su rinkos rezultatais, apklaustieji mano, kad jų investicinių fondų rezultatai yra geresni, lyginant su rinkos rezultatai (44,27 proc.) </w:t>
      </w:r>
      <w:r w:rsidR="0030650B" w:rsidRPr="00891173">
        <w:t>ir net 30,53 proc. netu</w:t>
      </w:r>
      <w:r w:rsidR="00BC1AA7">
        <w:t>rintys nuomo</w:t>
      </w:r>
      <w:r w:rsidR="00FC3D94" w:rsidRPr="00891173">
        <w:t>nės arba nežinantys rinkos rezultatų, nes pažymėjo, kad vienodai sutinka ir nesutinka.</w:t>
      </w:r>
      <w:r w:rsidR="00E43CCB" w:rsidRPr="00891173">
        <w:t xml:space="preserve"> Kadangi didžiausią dalį apklaustųjų tenkina fondo metini</w:t>
      </w:r>
      <w:r w:rsidR="00FC3D94" w:rsidRPr="00891173">
        <w:t>s</w:t>
      </w:r>
      <w:r w:rsidR="00E43CCB" w:rsidRPr="00891173">
        <w:t xml:space="preserve"> rezultatas</w:t>
      </w:r>
      <w:r w:rsidR="00BC1AA7">
        <w:t xml:space="preserve"> ir mano, kad jų investicin</w:t>
      </w:r>
      <w:r w:rsidR="00FC3D94" w:rsidRPr="00891173">
        <w:t>ių fondų rezultatai yra geresni nei rinkos</w:t>
      </w:r>
      <w:r w:rsidR="00E43CCB" w:rsidRPr="00891173">
        <w:t xml:space="preserve">, tai jie neketina parduoti turimų ivesticinių fondų aktyvų (62,06 proc.), tikėdamiesi dar labiau padidinti jų vertę. 29,01 proc. respondentų dar nėra apsisprendę ar verta parduoti turimus aktyvus. </w:t>
      </w:r>
    </w:p>
    <w:p w:rsidR="00754B3A" w:rsidRPr="00891173" w:rsidRDefault="00754B3A" w:rsidP="00E43915">
      <w:pPr>
        <w:spacing w:after="120" w:line="360" w:lineRule="auto"/>
      </w:pPr>
      <w:r w:rsidRPr="00891173">
        <w:drawing>
          <wp:inline distT="0" distB="0" distL="0" distR="0">
            <wp:extent cx="6120130" cy="2817641"/>
            <wp:effectExtent l="19050" t="0" r="13970" b="1759"/>
            <wp:docPr id="18"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3E43" w:rsidRPr="00891173" w:rsidRDefault="002F29F6" w:rsidP="008B3E43">
      <w:pPr>
        <w:spacing w:line="360" w:lineRule="auto"/>
        <w:ind w:firstLine="567"/>
        <w:jc w:val="center"/>
        <w:rPr>
          <w:b/>
        </w:rPr>
      </w:pPr>
      <w:r w:rsidRPr="00891173">
        <w:rPr>
          <w:b/>
        </w:rPr>
        <w:t>15</w:t>
      </w:r>
      <w:r w:rsidR="008B3E43" w:rsidRPr="00891173">
        <w:rPr>
          <w:b/>
        </w:rPr>
        <w:t xml:space="preserve"> pav. Investicinio fondo rezultatų vertinimas (proc.)</w:t>
      </w:r>
    </w:p>
    <w:p w:rsidR="00E43915" w:rsidRPr="00891173" w:rsidRDefault="00E43915" w:rsidP="00E43915">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E43915" w:rsidRPr="00891173" w:rsidRDefault="00E43915" w:rsidP="00E43915">
      <w:pPr>
        <w:spacing w:line="360" w:lineRule="auto"/>
        <w:ind w:firstLine="567"/>
        <w:rPr>
          <w:sz w:val="20"/>
          <w:szCs w:val="20"/>
        </w:rPr>
      </w:pPr>
    </w:p>
    <w:p w:rsidR="00D64779" w:rsidRPr="00891173" w:rsidRDefault="002D1C8D" w:rsidP="001613B2">
      <w:pPr>
        <w:spacing w:line="360" w:lineRule="auto"/>
        <w:ind w:firstLine="567"/>
        <w:jc w:val="both"/>
      </w:pPr>
      <w:r w:rsidRPr="00891173">
        <w:t>Investuojant pinigus į investicinius fondus, yra taikomi įvairūs mokesčiai, todėl tyrime didelis dėmesys skiriamas, kaip įvairius administracinius moke</w:t>
      </w:r>
      <w:r w:rsidR="00754B3A" w:rsidRPr="00891173">
        <w:t>sčius vertina apklausiamieji (</w:t>
      </w:r>
      <w:r w:rsidR="008B3E43" w:rsidRPr="00891173">
        <w:t>žr. 1</w:t>
      </w:r>
      <w:r w:rsidR="002F29F6" w:rsidRPr="00891173">
        <w:t>6</w:t>
      </w:r>
      <w:r w:rsidR="008B3E43" w:rsidRPr="00891173">
        <w:t xml:space="preserve"> pav.</w:t>
      </w:r>
      <w:r w:rsidRPr="00891173">
        <w:t>). Respondentų buvo klausiama kaip jie vertina vienkartinio mokesčio, valdymo mokesčio, sėkmė</w:t>
      </w:r>
      <w:r w:rsidR="0060770D">
        <w:t>s mokesčio ir atas</w:t>
      </w:r>
      <w:r w:rsidRPr="00891173">
        <w:t>k</w:t>
      </w:r>
      <w:r w:rsidR="0060770D">
        <w:t>a</w:t>
      </w:r>
      <w:r w:rsidRPr="00891173">
        <w:t>itos parengimo tarifus. Pagal gautus rezultatus matyti, kad respondentai daugiau linkę teigiamai vertinti minėtus mokesčius. Pagal tai galima daryti išvadą, kad investuotojai renkasi investuoti į tuos investicinius fondus, kurių taikomi mokesčiai jiems priimtiniausi.</w:t>
      </w:r>
      <w:r w:rsidR="00CB38EA" w:rsidRPr="00891173">
        <w:t xml:space="preserve"> Esant didelei grąžai, investuotojui nėra labai svarbūs mokesčiai, tačiau kuo pelningumas mažesnis, tuo labiau investuotojas </w:t>
      </w:r>
      <w:r w:rsidR="007703CE" w:rsidRPr="00891173">
        <w:t xml:space="preserve">turėtų </w:t>
      </w:r>
      <w:r w:rsidR="00CB38EA" w:rsidRPr="00891173">
        <w:t>atkreip</w:t>
      </w:r>
      <w:r w:rsidR="007703CE" w:rsidRPr="00891173">
        <w:t>ti</w:t>
      </w:r>
      <w:r w:rsidR="00CB38EA" w:rsidRPr="00891173">
        <w:t xml:space="preserve"> didesnį dėmesį į taikomus fondo mokesčius.</w:t>
      </w:r>
    </w:p>
    <w:p w:rsidR="002D1C8D" w:rsidRPr="00891173" w:rsidRDefault="002D1C8D" w:rsidP="00E43915">
      <w:pPr>
        <w:spacing w:after="120" w:line="360" w:lineRule="auto"/>
        <w:ind w:firstLine="567"/>
      </w:pPr>
      <w:r w:rsidRPr="00891173">
        <w:lastRenderedPageBreak/>
        <w:drawing>
          <wp:inline distT="0" distB="0" distL="0" distR="0">
            <wp:extent cx="5353050" cy="2962275"/>
            <wp:effectExtent l="19050" t="0" r="19050" b="0"/>
            <wp:docPr id="17"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8B3E43" w:rsidRPr="00891173" w:rsidRDefault="008B3E43" w:rsidP="008B3E43">
      <w:pPr>
        <w:spacing w:line="360" w:lineRule="auto"/>
        <w:ind w:firstLine="567"/>
        <w:jc w:val="center"/>
        <w:rPr>
          <w:b/>
        </w:rPr>
      </w:pPr>
      <w:r w:rsidRPr="00891173">
        <w:rPr>
          <w:b/>
        </w:rPr>
        <w:t>1</w:t>
      </w:r>
      <w:r w:rsidR="002F29F6" w:rsidRPr="00891173">
        <w:rPr>
          <w:b/>
        </w:rPr>
        <w:t>6</w:t>
      </w:r>
      <w:r w:rsidRPr="00891173">
        <w:rPr>
          <w:b/>
        </w:rPr>
        <w:t xml:space="preserve"> pav. Investicinio fondo administravimo tarifų politikos vertinimas (proc.)</w:t>
      </w:r>
    </w:p>
    <w:p w:rsidR="00E43915" w:rsidRPr="00891173" w:rsidRDefault="00E43915" w:rsidP="00E43915">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2D1C8D" w:rsidRPr="00891173" w:rsidRDefault="002D1C8D" w:rsidP="001613B2">
      <w:pPr>
        <w:spacing w:line="360" w:lineRule="auto"/>
        <w:ind w:firstLine="567"/>
        <w:jc w:val="both"/>
      </w:pPr>
    </w:p>
    <w:p w:rsidR="00134ECA" w:rsidRPr="00891173" w:rsidRDefault="00333953" w:rsidP="001613B2">
      <w:pPr>
        <w:spacing w:after="120" w:line="360" w:lineRule="auto"/>
        <w:ind w:firstLine="567"/>
        <w:jc w:val="both"/>
      </w:pPr>
      <w:r w:rsidRPr="00891173">
        <w:t xml:space="preserve">Pagrindinis klausimas buvo išsiaiškinti svarbiausius kriterijus, lemiančius investicinių fondų pasirinkimą (žr. </w:t>
      </w:r>
      <w:r w:rsidR="002F29F6" w:rsidRPr="00891173">
        <w:t>17</w:t>
      </w:r>
      <w:r w:rsidR="008B3E43" w:rsidRPr="00891173">
        <w:t xml:space="preserve"> pav.</w:t>
      </w:r>
      <w:r w:rsidRPr="00891173">
        <w:t xml:space="preserve">). Kaip matyti iš diagramos duomenų, visi išvardinti kriterijai lemia investicinio fondo pasirinkimą, tačiau yra ne vienodai svarbūs. </w:t>
      </w:r>
    </w:p>
    <w:p w:rsidR="00333953" w:rsidRPr="00891173" w:rsidRDefault="009C4C5B" w:rsidP="0018257B">
      <w:pPr>
        <w:spacing w:line="360" w:lineRule="auto"/>
        <w:jc w:val="center"/>
      </w:pPr>
      <w:r w:rsidRPr="00891173">
        <w:drawing>
          <wp:inline distT="0" distB="0" distL="0" distR="0">
            <wp:extent cx="6153150" cy="2895600"/>
            <wp:effectExtent l="19050" t="0" r="19050" b="0"/>
            <wp:docPr id="19"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8B3E43" w:rsidRPr="00891173" w:rsidRDefault="002F29F6" w:rsidP="00E43915">
      <w:pPr>
        <w:spacing w:line="360" w:lineRule="auto"/>
        <w:jc w:val="center"/>
        <w:rPr>
          <w:b/>
        </w:rPr>
      </w:pPr>
      <w:r w:rsidRPr="00891173">
        <w:rPr>
          <w:b/>
        </w:rPr>
        <w:t>17</w:t>
      </w:r>
      <w:r w:rsidR="008B3E43" w:rsidRPr="00891173">
        <w:rPr>
          <w:b/>
        </w:rPr>
        <w:t xml:space="preserve"> pav. Investicinio fondo pasirinkimą lemiančių kriterijų svarbumas Lietuvos investuotojui (proc.)</w:t>
      </w:r>
    </w:p>
    <w:p w:rsidR="00E43915" w:rsidRPr="00891173" w:rsidRDefault="00E43915" w:rsidP="00E43915">
      <w:pPr>
        <w:spacing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E43915" w:rsidRPr="00891173" w:rsidRDefault="00E43915" w:rsidP="008B3E43">
      <w:pPr>
        <w:spacing w:after="120" w:line="360" w:lineRule="auto"/>
        <w:jc w:val="center"/>
        <w:rPr>
          <w:b/>
        </w:rPr>
      </w:pPr>
    </w:p>
    <w:p w:rsidR="009C4C5B" w:rsidRPr="00891173" w:rsidRDefault="009D1F49" w:rsidP="001613B2">
      <w:pPr>
        <w:spacing w:line="360" w:lineRule="auto"/>
        <w:ind w:firstLine="567"/>
        <w:jc w:val="both"/>
      </w:pPr>
      <w:r w:rsidRPr="00891173">
        <w:t xml:space="preserve">Svarbu tai, kad visi vienuolika išvardintų pasirinkimo kriterijų yra svarbūs Lietuvos investuotojui. Svarbiausi iš jų yra fondo pelningumas, fondo rizika ir taikomi fondo mokesčiai. Šie </w:t>
      </w:r>
      <w:r w:rsidRPr="00891173">
        <w:lastRenderedPageBreak/>
        <w:t xml:space="preserve">kriterijai daro 54,19 proc. įtaką renkantis investicinį fondą iš apklaustųjų Lietuvos </w:t>
      </w:r>
      <w:r w:rsidR="007703CE" w:rsidRPr="00891173">
        <w:t>gyventojų, investuojančių</w:t>
      </w:r>
      <w:r w:rsidRPr="00891173">
        <w:t xml:space="preserve"> į investicinius fondus. Mažiausiai svarbūs kriterijai renkantis investicinį f</w:t>
      </w:r>
      <w:r w:rsidR="007703CE" w:rsidRPr="00891173">
        <w:t>ondą – draugų ir kitų investuo</w:t>
      </w:r>
      <w:r w:rsidRPr="00891173">
        <w:t>tojų nuomonė, valdytojo valdomų fondų skaičius bei informacijos prieinamumas apie fondą.</w:t>
      </w:r>
      <w:r w:rsidR="007703CE" w:rsidRPr="00891173">
        <w:t xml:space="preserve"> Vertinant pagal lytį, motery</w:t>
      </w:r>
      <w:r w:rsidR="001470DA" w:rsidRPr="00891173">
        <w:t>s didesnį dėmesį kreipia į fondo riziką, ta</w:t>
      </w:r>
      <w:r w:rsidR="007703CE" w:rsidRPr="00891173">
        <w:t>i</w:t>
      </w:r>
      <w:r w:rsidR="001470DA" w:rsidRPr="00891173">
        <w:t>komus mokesčius ir fondo valdytojo patirtį. Vyrai daugiausiai dėmesio kreipia į fondo pelningumą, riziką, ta</w:t>
      </w:r>
      <w:r w:rsidR="007703CE" w:rsidRPr="00891173">
        <w:t>i</w:t>
      </w:r>
      <w:r w:rsidR="001470DA" w:rsidRPr="00891173">
        <w:t>komus mokesčius bei investavimo strategiją.</w:t>
      </w:r>
    </w:p>
    <w:p w:rsidR="00224AA8" w:rsidRPr="00891173" w:rsidRDefault="00224AA8" w:rsidP="00C940F0">
      <w:pPr>
        <w:spacing w:line="360" w:lineRule="auto"/>
        <w:ind w:firstLine="567"/>
        <w:jc w:val="both"/>
        <w:rPr>
          <w:sz w:val="20"/>
          <w:szCs w:val="20"/>
        </w:rPr>
      </w:pPr>
      <w:r w:rsidRPr="00891173">
        <w:t>Kadangi iš apklaustųjų 11 proc. nurodė, kad neinvestuoja į investicinius fondus, tai buvo siekiama išsiaiškinti priežastį, kodėl nepatra</w:t>
      </w:r>
      <w:r w:rsidR="00C940F0" w:rsidRPr="00891173">
        <w:t>ukli tokia investavimo priemonė.</w:t>
      </w:r>
      <w:r w:rsidR="00C940F0" w:rsidRPr="00891173">
        <w:rPr>
          <w:sz w:val="20"/>
          <w:szCs w:val="20"/>
        </w:rPr>
        <w:t xml:space="preserve"> </w:t>
      </w:r>
      <w:r w:rsidRPr="00891173">
        <w:t>D</w:t>
      </w:r>
      <w:r w:rsidR="00312B44" w:rsidRPr="00891173">
        <w:t>ažniausią</w:t>
      </w:r>
      <w:r w:rsidRPr="00891173">
        <w:t xml:space="preserve"> priežastį, kodėl neinvestuojama į investicinius fondus, respondentai nurodė, kad jiems trūksta informacijos apie tokį investavimo būdą (23</w:t>
      </w:r>
      <w:r w:rsidR="00312B44" w:rsidRPr="00891173">
        <w:t xml:space="preserve"> </w:t>
      </w:r>
      <w:r w:rsidRPr="00891173">
        <w:t xml:space="preserve">proc.). Kita svarbi priežastis, kurią nurodė 12 proc. apklaustųjų yra ta, kad Lietuvos gyventojai bijo prarasti pinigus. Net 47 proc. apklaustųjų nurodė savo priežastis, neįvardintas </w:t>
      </w:r>
      <w:r w:rsidR="000939F8" w:rsidRPr="00891173">
        <w:t>pasirinkimuose</w:t>
      </w:r>
      <w:r w:rsidRPr="00891173">
        <w:t>. Vieni jų teigia, kad yra žymiai pelningesnių investavimo būdų nei investiciniai fondai. Kiti nurodo, kad investicinių fondų mokesčiai yra per dideli.</w:t>
      </w:r>
    </w:p>
    <w:p w:rsidR="00224AA8" w:rsidRPr="00891173" w:rsidRDefault="00224AA8" w:rsidP="001613B2">
      <w:pPr>
        <w:spacing w:line="360" w:lineRule="auto"/>
        <w:ind w:firstLine="567"/>
        <w:jc w:val="both"/>
      </w:pPr>
      <w:r w:rsidRPr="00891173">
        <w:t>Taip pat atliekant tyrimą buvo aktualu sužinoti</w:t>
      </w:r>
      <w:r w:rsidR="008C5EA6" w:rsidRPr="00891173">
        <w:t>, ar tie, kurie neinvestuoja į investicinius fondus, investuoja į kitas priemones. 29 proc. atsakiusiųjų į šį klausimą, nurodė, kad išvis neinvestuoja. Taip pat 29</w:t>
      </w:r>
      <w:r w:rsidR="00E70542" w:rsidRPr="00891173">
        <w:t xml:space="preserve"> </w:t>
      </w:r>
      <w:r w:rsidR="008C5EA6" w:rsidRPr="00891173">
        <w:t>proc. respondentų investuoja į akcijas, kiek mažiau (18 proc.) į obligacijas. Tarp respondentų nurodytų investavimo priemonių yra investicijos į vyriausybės vertybinius popierius, indėliai, pensijų fondai. Kadangi tyrimas buvo skirtas, siekiant gauti informaciją iš investuojančių į investicinius fondus, mažas respondentų skaičius neinvestuojančių į fondus, neparodo tikros sit</w:t>
      </w:r>
      <w:r w:rsidR="00E70542" w:rsidRPr="00891173">
        <w:t>u</w:t>
      </w:r>
      <w:r w:rsidR="008C5EA6" w:rsidRPr="00891173">
        <w:t>acijos, kodėl nepatrauk</w:t>
      </w:r>
      <w:r w:rsidR="00E70542" w:rsidRPr="00891173">
        <w:t>l</w:t>
      </w:r>
      <w:r w:rsidR="008C5EA6" w:rsidRPr="00891173">
        <w:t>i ši investavimo priemonė ir kokiai investavimo priemonei daugiausiai lėšų yra skiriama.</w:t>
      </w:r>
    </w:p>
    <w:p w:rsidR="00625460" w:rsidRPr="00891173" w:rsidRDefault="008C5EA6" w:rsidP="00E43915">
      <w:pPr>
        <w:spacing w:after="120" w:line="360" w:lineRule="auto"/>
        <w:ind w:firstLine="567"/>
        <w:jc w:val="both"/>
      </w:pPr>
      <w:r w:rsidRPr="00891173">
        <w:t>Iš visų apklaustųjų 5</w:t>
      </w:r>
      <w:r w:rsidR="00420F43" w:rsidRPr="00891173">
        <w:t>1</w:t>
      </w:r>
      <w:r w:rsidRPr="00891173">
        <w:t xml:space="preserve"> proc. nurodė, kad jie investuoja norėdami apsaugoti santaupas nuo infliacijos (žr. </w:t>
      </w:r>
      <w:r w:rsidR="00CB27C3" w:rsidRPr="00891173">
        <w:t>5</w:t>
      </w:r>
      <w:r w:rsidR="00625460" w:rsidRPr="00891173">
        <w:t xml:space="preserve"> lentelę</w:t>
      </w:r>
      <w:r w:rsidR="008B3E43" w:rsidRPr="00891173">
        <w:t>.</w:t>
      </w:r>
      <w:r w:rsidRPr="00891173">
        <w:t>).</w:t>
      </w:r>
      <w:r w:rsidR="00420F43" w:rsidRPr="00891173">
        <w:t xml:space="preserve"> </w:t>
      </w:r>
    </w:p>
    <w:p w:rsidR="00625460" w:rsidRPr="00891173" w:rsidRDefault="002F29F6" w:rsidP="00E43915">
      <w:pPr>
        <w:spacing w:after="120" w:line="360" w:lineRule="auto"/>
        <w:ind w:firstLine="567"/>
        <w:jc w:val="both"/>
        <w:rPr>
          <w:b/>
        </w:rPr>
      </w:pPr>
      <w:r w:rsidRPr="00891173">
        <w:rPr>
          <w:b/>
        </w:rPr>
        <w:t>5</w:t>
      </w:r>
      <w:r w:rsidR="00625460" w:rsidRPr="00891173">
        <w:rPr>
          <w:b/>
        </w:rPr>
        <w:t xml:space="preserve"> l</w:t>
      </w:r>
      <w:r w:rsidR="00D345C1" w:rsidRPr="00891173">
        <w:rPr>
          <w:b/>
        </w:rPr>
        <w:t>entelė. Lyties ir investavimo ti</w:t>
      </w:r>
      <w:r w:rsidR="00625460" w:rsidRPr="00891173">
        <w:rPr>
          <w:b/>
        </w:rPr>
        <w:t>kslų priklausomybė</w:t>
      </w:r>
    </w:p>
    <w:tbl>
      <w:tblPr>
        <w:tblStyle w:val="TableGrid"/>
        <w:tblW w:w="0" w:type="auto"/>
        <w:tblLook w:val="04A0"/>
      </w:tblPr>
      <w:tblGrid>
        <w:gridCol w:w="1143"/>
        <w:gridCol w:w="910"/>
        <w:gridCol w:w="1605"/>
        <w:gridCol w:w="1550"/>
        <w:gridCol w:w="1577"/>
        <w:gridCol w:w="1321"/>
        <w:gridCol w:w="956"/>
        <w:gridCol w:w="1031"/>
      </w:tblGrid>
      <w:tr w:rsidR="00625460" w:rsidRPr="00891173" w:rsidTr="00625460">
        <w:tc>
          <w:tcPr>
            <w:tcW w:w="2053" w:type="dxa"/>
            <w:gridSpan w:val="2"/>
            <w:vMerge w:val="restart"/>
            <w:vAlign w:val="center"/>
          </w:tcPr>
          <w:p w:rsidR="00625460" w:rsidRPr="00891173" w:rsidRDefault="00625460" w:rsidP="001A78F0">
            <w:pPr>
              <w:jc w:val="center"/>
              <w:rPr>
                <w:b/>
                <w:sz w:val="24"/>
                <w:szCs w:val="24"/>
              </w:rPr>
            </w:pPr>
            <w:r w:rsidRPr="00891173">
              <w:rPr>
                <w:b/>
                <w:sz w:val="24"/>
                <w:szCs w:val="24"/>
              </w:rPr>
              <w:t>LYTIS</w:t>
            </w:r>
          </w:p>
        </w:tc>
        <w:tc>
          <w:tcPr>
            <w:tcW w:w="7009" w:type="dxa"/>
            <w:gridSpan w:val="5"/>
            <w:vAlign w:val="center"/>
          </w:tcPr>
          <w:p w:rsidR="00625460" w:rsidRPr="00891173" w:rsidRDefault="00625460" w:rsidP="001A78F0">
            <w:pPr>
              <w:jc w:val="center"/>
              <w:rPr>
                <w:b/>
                <w:sz w:val="24"/>
                <w:szCs w:val="24"/>
              </w:rPr>
            </w:pPr>
            <w:r w:rsidRPr="00891173">
              <w:rPr>
                <w:b/>
                <w:sz w:val="24"/>
                <w:szCs w:val="24"/>
              </w:rPr>
              <w:t>INVESTAVIMO TIKSLAI</w:t>
            </w:r>
          </w:p>
        </w:tc>
        <w:tc>
          <w:tcPr>
            <w:tcW w:w="1031" w:type="dxa"/>
            <w:vMerge w:val="restart"/>
            <w:vAlign w:val="center"/>
          </w:tcPr>
          <w:p w:rsidR="00625460" w:rsidRPr="00891173" w:rsidRDefault="00625460" w:rsidP="001A78F0">
            <w:pPr>
              <w:jc w:val="center"/>
              <w:rPr>
                <w:b/>
                <w:sz w:val="24"/>
                <w:szCs w:val="24"/>
              </w:rPr>
            </w:pPr>
            <w:r w:rsidRPr="00891173">
              <w:rPr>
                <w:b/>
                <w:sz w:val="24"/>
                <w:szCs w:val="24"/>
              </w:rPr>
              <w:t>Iš viso</w:t>
            </w:r>
          </w:p>
        </w:tc>
      </w:tr>
      <w:tr w:rsidR="00625460" w:rsidRPr="00891173" w:rsidTr="00625460">
        <w:tc>
          <w:tcPr>
            <w:tcW w:w="2053" w:type="dxa"/>
            <w:gridSpan w:val="2"/>
            <w:vMerge/>
            <w:vAlign w:val="center"/>
          </w:tcPr>
          <w:p w:rsidR="00625460" w:rsidRPr="00891173" w:rsidRDefault="00625460" w:rsidP="001A78F0">
            <w:pPr>
              <w:jc w:val="center"/>
              <w:rPr>
                <w:b/>
                <w:sz w:val="24"/>
                <w:szCs w:val="24"/>
              </w:rPr>
            </w:pPr>
          </w:p>
        </w:tc>
        <w:tc>
          <w:tcPr>
            <w:tcW w:w="1605" w:type="dxa"/>
            <w:vAlign w:val="center"/>
          </w:tcPr>
          <w:p w:rsidR="00625460" w:rsidRPr="00891173" w:rsidRDefault="00625460" w:rsidP="001A78F0">
            <w:pPr>
              <w:jc w:val="center"/>
              <w:rPr>
                <w:b/>
                <w:sz w:val="24"/>
                <w:szCs w:val="24"/>
              </w:rPr>
            </w:pPr>
            <w:r w:rsidRPr="00891173">
              <w:rPr>
                <w:b/>
                <w:sz w:val="24"/>
                <w:szCs w:val="24"/>
              </w:rPr>
              <w:t>Taupyti senatvei</w:t>
            </w:r>
          </w:p>
        </w:tc>
        <w:tc>
          <w:tcPr>
            <w:tcW w:w="1550" w:type="dxa"/>
            <w:vAlign w:val="center"/>
          </w:tcPr>
          <w:p w:rsidR="00625460" w:rsidRPr="00891173" w:rsidRDefault="00625460" w:rsidP="001A78F0">
            <w:pPr>
              <w:jc w:val="center"/>
              <w:rPr>
                <w:b/>
                <w:sz w:val="24"/>
                <w:szCs w:val="24"/>
              </w:rPr>
            </w:pPr>
            <w:r w:rsidRPr="00891173">
              <w:rPr>
                <w:b/>
                <w:sz w:val="24"/>
                <w:szCs w:val="24"/>
              </w:rPr>
              <w:t>Taupyti brangesniam pirkiniui</w:t>
            </w:r>
          </w:p>
        </w:tc>
        <w:tc>
          <w:tcPr>
            <w:tcW w:w="1577" w:type="dxa"/>
            <w:vAlign w:val="center"/>
          </w:tcPr>
          <w:p w:rsidR="00625460" w:rsidRPr="00891173" w:rsidRDefault="00625460" w:rsidP="001A78F0">
            <w:pPr>
              <w:jc w:val="center"/>
              <w:rPr>
                <w:b/>
                <w:sz w:val="24"/>
                <w:szCs w:val="24"/>
              </w:rPr>
            </w:pPr>
            <w:r w:rsidRPr="00891173">
              <w:rPr>
                <w:b/>
                <w:sz w:val="24"/>
                <w:szCs w:val="24"/>
              </w:rPr>
              <w:t>Spekuliacijos</w:t>
            </w:r>
          </w:p>
        </w:tc>
        <w:tc>
          <w:tcPr>
            <w:tcW w:w="1321" w:type="dxa"/>
            <w:vAlign w:val="center"/>
          </w:tcPr>
          <w:p w:rsidR="00625460" w:rsidRPr="00891173" w:rsidRDefault="00625460" w:rsidP="001A78F0">
            <w:pPr>
              <w:jc w:val="center"/>
              <w:rPr>
                <w:b/>
                <w:sz w:val="24"/>
                <w:szCs w:val="24"/>
              </w:rPr>
            </w:pPr>
            <w:r w:rsidRPr="00891173">
              <w:rPr>
                <w:b/>
                <w:sz w:val="24"/>
                <w:szCs w:val="24"/>
              </w:rPr>
              <w:t>Santaupų apsauga nuo infliacijos</w:t>
            </w:r>
          </w:p>
        </w:tc>
        <w:tc>
          <w:tcPr>
            <w:tcW w:w="956" w:type="dxa"/>
            <w:vAlign w:val="center"/>
          </w:tcPr>
          <w:p w:rsidR="00625460" w:rsidRPr="00891173" w:rsidRDefault="00625460" w:rsidP="001A78F0">
            <w:pPr>
              <w:jc w:val="center"/>
              <w:rPr>
                <w:b/>
                <w:sz w:val="24"/>
                <w:szCs w:val="24"/>
              </w:rPr>
            </w:pPr>
            <w:r w:rsidRPr="00891173">
              <w:rPr>
                <w:b/>
                <w:sz w:val="24"/>
                <w:szCs w:val="24"/>
              </w:rPr>
              <w:t>Kita</w:t>
            </w:r>
          </w:p>
        </w:tc>
        <w:tc>
          <w:tcPr>
            <w:tcW w:w="1031" w:type="dxa"/>
            <w:vMerge/>
            <w:vAlign w:val="center"/>
          </w:tcPr>
          <w:p w:rsidR="00625460" w:rsidRPr="00891173" w:rsidRDefault="00625460" w:rsidP="001A78F0">
            <w:pPr>
              <w:jc w:val="center"/>
              <w:rPr>
                <w:sz w:val="24"/>
                <w:szCs w:val="24"/>
              </w:rPr>
            </w:pPr>
          </w:p>
        </w:tc>
      </w:tr>
      <w:tr w:rsidR="00625460" w:rsidRPr="00891173" w:rsidTr="00625460">
        <w:tc>
          <w:tcPr>
            <w:tcW w:w="1143" w:type="dxa"/>
            <w:vMerge w:val="restart"/>
            <w:tcBorders>
              <w:right w:val="nil"/>
            </w:tcBorders>
            <w:vAlign w:val="center"/>
          </w:tcPr>
          <w:p w:rsidR="00625460" w:rsidRPr="00891173" w:rsidRDefault="00625460" w:rsidP="001A78F0">
            <w:pPr>
              <w:jc w:val="center"/>
              <w:rPr>
                <w:b/>
                <w:sz w:val="24"/>
                <w:szCs w:val="24"/>
              </w:rPr>
            </w:pPr>
            <w:r w:rsidRPr="00891173">
              <w:rPr>
                <w:b/>
                <w:sz w:val="24"/>
                <w:szCs w:val="24"/>
              </w:rPr>
              <w:t>Moteris</w:t>
            </w: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Dažnis</w:t>
            </w:r>
          </w:p>
        </w:tc>
        <w:tc>
          <w:tcPr>
            <w:tcW w:w="1605" w:type="dxa"/>
            <w:vAlign w:val="center"/>
          </w:tcPr>
          <w:p w:rsidR="00625460" w:rsidRPr="00891173" w:rsidRDefault="00625460" w:rsidP="001A78F0">
            <w:pPr>
              <w:jc w:val="center"/>
              <w:rPr>
                <w:sz w:val="24"/>
                <w:szCs w:val="24"/>
              </w:rPr>
            </w:pPr>
            <w:r w:rsidRPr="00891173">
              <w:rPr>
                <w:sz w:val="24"/>
                <w:szCs w:val="24"/>
              </w:rPr>
              <w:t>17</w:t>
            </w:r>
          </w:p>
        </w:tc>
        <w:tc>
          <w:tcPr>
            <w:tcW w:w="1550" w:type="dxa"/>
            <w:vAlign w:val="center"/>
          </w:tcPr>
          <w:p w:rsidR="00625460" w:rsidRPr="00891173" w:rsidRDefault="00625460" w:rsidP="001A78F0">
            <w:pPr>
              <w:jc w:val="center"/>
              <w:rPr>
                <w:sz w:val="24"/>
                <w:szCs w:val="24"/>
              </w:rPr>
            </w:pPr>
            <w:r w:rsidRPr="00891173">
              <w:rPr>
                <w:sz w:val="24"/>
                <w:szCs w:val="24"/>
              </w:rPr>
              <w:t>5</w:t>
            </w:r>
          </w:p>
        </w:tc>
        <w:tc>
          <w:tcPr>
            <w:tcW w:w="1577" w:type="dxa"/>
            <w:vAlign w:val="center"/>
          </w:tcPr>
          <w:p w:rsidR="00625460" w:rsidRPr="00891173" w:rsidRDefault="00625460" w:rsidP="001A78F0">
            <w:pPr>
              <w:jc w:val="center"/>
              <w:rPr>
                <w:sz w:val="24"/>
                <w:szCs w:val="24"/>
              </w:rPr>
            </w:pPr>
            <w:r w:rsidRPr="00891173">
              <w:rPr>
                <w:sz w:val="24"/>
                <w:szCs w:val="24"/>
              </w:rPr>
              <w:t>0</w:t>
            </w:r>
          </w:p>
        </w:tc>
        <w:tc>
          <w:tcPr>
            <w:tcW w:w="1321" w:type="dxa"/>
            <w:vAlign w:val="center"/>
          </w:tcPr>
          <w:p w:rsidR="00625460" w:rsidRPr="00891173" w:rsidRDefault="00625460" w:rsidP="001A78F0">
            <w:pPr>
              <w:jc w:val="center"/>
              <w:rPr>
                <w:sz w:val="24"/>
                <w:szCs w:val="24"/>
              </w:rPr>
            </w:pPr>
            <w:r w:rsidRPr="00891173">
              <w:rPr>
                <w:sz w:val="24"/>
                <w:szCs w:val="24"/>
              </w:rPr>
              <w:t>25</w:t>
            </w:r>
          </w:p>
        </w:tc>
        <w:tc>
          <w:tcPr>
            <w:tcW w:w="956" w:type="dxa"/>
            <w:vAlign w:val="center"/>
          </w:tcPr>
          <w:p w:rsidR="00625460" w:rsidRPr="00891173" w:rsidRDefault="00625460" w:rsidP="001A78F0">
            <w:pPr>
              <w:jc w:val="center"/>
              <w:rPr>
                <w:sz w:val="24"/>
                <w:szCs w:val="24"/>
              </w:rPr>
            </w:pPr>
            <w:r w:rsidRPr="00891173">
              <w:rPr>
                <w:sz w:val="24"/>
                <w:szCs w:val="24"/>
              </w:rPr>
              <w:t>5</w:t>
            </w:r>
          </w:p>
        </w:tc>
        <w:tc>
          <w:tcPr>
            <w:tcW w:w="1031" w:type="dxa"/>
            <w:vAlign w:val="center"/>
          </w:tcPr>
          <w:p w:rsidR="00625460" w:rsidRPr="00891173" w:rsidRDefault="00625460" w:rsidP="001A78F0">
            <w:pPr>
              <w:jc w:val="center"/>
              <w:rPr>
                <w:sz w:val="24"/>
                <w:szCs w:val="24"/>
              </w:rPr>
            </w:pPr>
            <w:r w:rsidRPr="00891173">
              <w:rPr>
                <w:sz w:val="24"/>
                <w:szCs w:val="24"/>
              </w:rPr>
              <w:t>51</w:t>
            </w:r>
          </w:p>
        </w:tc>
      </w:tr>
      <w:tr w:rsidR="00625460" w:rsidRPr="00891173" w:rsidTr="00625460">
        <w:tc>
          <w:tcPr>
            <w:tcW w:w="1143" w:type="dxa"/>
            <w:vMerge/>
            <w:tcBorders>
              <w:right w:val="nil"/>
            </w:tcBorders>
            <w:vAlign w:val="center"/>
          </w:tcPr>
          <w:p w:rsidR="00625460" w:rsidRPr="00891173" w:rsidRDefault="00625460" w:rsidP="001A78F0">
            <w:pPr>
              <w:jc w:val="center"/>
              <w:rPr>
                <w:b/>
                <w:sz w:val="24"/>
                <w:szCs w:val="24"/>
              </w:rPr>
            </w:pP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w:t>
            </w:r>
          </w:p>
        </w:tc>
        <w:tc>
          <w:tcPr>
            <w:tcW w:w="1605" w:type="dxa"/>
            <w:vAlign w:val="center"/>
          </w:tcPr>
          <w:p w:rsidR="00625460" w:rsidRPr="00891173" w:rsidRDefault="00625460" w:rsidP="001A78F0">
            <w:pPr>
              <w:jc w:val="center"/>
              <w:rPr>
                <w:sz w:val="24"/>
                <w:szCs w:val="24"/>
              </w:rPr>
            </w:pPr>
            <w:r w:rsidRPr="00891173">
              <w:rPr>
                <w:sz w:val="24"/>
                <w:szCs w:val="24"/>
              </w:rPr>
              <w:t>33,0%</w:t>
            </w:r>
          </w:p>
        </w:tc>
        <w:tc>
          <w:tcPr>
            <w:tcW w:w="1550" w:type="dxa"/>
            <w:vAlign w:val="center"/>
          </w:tcPr>
          <w:p w:rsidR="00625460" w:rsidRPr="00891173" w:rsidRDefault="00625460" w:rsidP="001A78F0">
            <w:pPr>
              <w:jc w:val="center"/>
              <w:rPr>
                <w:sz w:val="24"/>
                <w:szCs w:val="24"/>
              </w:rPr>
            </w:pPr>
            <w:r w:rsidRPr="00891173">
              <w:rPr>
                <w:sz w:val="24"/>
                <w:szCs w:val="24"/>
              </w:rPr>
              <w:t>10,0%</w:t>
            </w:r>
          </w:p>
        </w:tc>
        <w:tc>
          <w:tcPr>
            <w:tcW w:w="1577" w:type="dxa"/>
            <w:vAlign w:val="center"/>
          </w:tcPr>
          <w:p w:rsidR="00625460" w:rsidRPr="00891173" w:rsidRDefault="00625460" w:rsidP="001A78F0">
            <w:pPr>
              <w:jc w:val="center"/>
              <w:rPr>
                <w:sz w:val="24"/>
                <w:szCs w:val="24"/>
              </w:rPr>
            </w:pPr>
            <w:r w:rsidRPr="00891173">
              <w:rPr>
                <w:sz w:val="24"/>
                <w:szCs w:val="24"/>
              </w:rPr>
              <w:t>0%</w:t>
            </w:r>
          </w:p>
        </w:tc>
        <w:tc>
          <w:tcPr>
            <w:tcW w:w="1321" w:type="dxa"/>
            <w:vAlign w:val="center"/>
          </w:tcPr>
          <w:p w:rsidR="00625460" w:rsidRPr="00891173" w:rsidRDefault="00625460" w:rsidP="001A78F0">
            <w:pPr>
              <w:jc w:val="center"/>
              <w:rPr>
                <w:sz w:val="24"/>
                <w:szCs w:val="24"/>
              </w:rPr>
            </w:pPr>
            <w:r w:rsidRPr="00891173">
              <w:rPr>
                <w:sz w:val="24"/>
                <w:szCs w:val="24"/>
              </w:rPr>
              <w:t>49,0%</w:t>
            </w:r>
          </w:p>
        </w:tc>
        <w:tc>
          <w:tcPr>
            <w:tcW w:w="956" w:type="dxa"/>
            <w:vAlign w:val="center"/>
          </w:tcPr>
          <w:p w:rsidR="00625460" w:rsidRPr="00891173" w:rsidRDefault="00625460" w:rsidP="001A78F0">
            <w:pPr>
              <w:jc w:val="center"/>
              <w:rPr>
                <w:sz w:val="24"/>
                <w:szCs w:val="24"/>
              </w:rPr>
            </w:pPr>
            <w:r w:rsidRPr="00891173">
              <w:rPr>
                <w:sz w:val="24"/>
                <w:szCs w:val="24"/>
              </w:rPr>
              <w:t>8,0%</w:t>
            </w:r>
          </w:p>
        </w:tc>
        <w:tc>
          <w:tcPr>
            <w:tcW w:w="1031" w:type="dxa"/>
            <w:vAlign w:val="center"/>
          </w:tcPr>
          <w:p w:rsidR="00625460" w:rsidRPr="00891173" w:rsidRDefault="00625460" w:rsidP="001A78F0">
            <w:pPr>
              <w:jc w:val="center"/>
              <w:rPr>
                <w:sz w:val="24"/>
                <w:szCs w:val="24"/>
              </w:rPr>
            </w:pPr>
            <w:r w:rsidRPr="00891173">
              <w:rPr>
                <w:sz w:val="24"/>
                <w:szCs w:val="24"/>
              </w:rPr>
              <w:t>100%</w:t>
            </w:r>
          </w:p>
        </w:tc>
      </w:tr>
      <w:tr w:rsidR="00625460" w:rsidRPr="00891173" w:rsidTr="00625460">
        <w:tc>
          <w:tcPr>
            <w:tcW w:w="1143" w:type="dxa"/>
            <w:vMerge w:val="restart"/>
            <w:tcBorders>
              <w:right w:val="nil"/>
            </w:tcBorders>
            <w:vAlign w:val="center"/>
          </w:tcPr>
          <w:p w:rsidR="00625460" w:rsidRPr="00891173" w:rsidRDefault="00625460" w:rsidP="001A78F0">
            <w:pPr>
              <w:jc w:val="center"/>
              <w:rPr>
                <w:b/>
                <w:sz w:val="24"/>
                <w:szCs w:val="24"/>
              </w:rPr>
            </w:pPr>
            <w:r w:rsidRPr="00891173">
              <w:rPr>
                <w:b/>
                <w:sz w:val="24"/>
                <w:szCs w:val="24"/>
              </w:rPr>
              <w:t>Vyras</w:t>
            </w: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Dažnis</w:t>
            </w:r>
          </w:p>
        </w:tc>
        <w:tc>
          <w:tcPr>
            <w:tcW w:w="1605" w:type="dxa"/>
            <w:vAlign w:val="center"/>
          </w:tcPr>
          <w:p w:rsidR="00625460" w:rsidRPr="00891173" w:rsidRDefault="00625460" w:rsidP="001A78F0">
            <w:pPr>
              <w:jc w:val="center"/>
              <w:rPr>
                <w:sz w:val="24"/>
                <w:szCs w:val="24"/>
              </w:rPr>
            </w:pPr>
            <w:r w:rsidRPr="00891173">
              <w:rPr>
                <w:sz w:val="24"/>
                <w:szCs w:val="24"/>
              </w:rPr>
              <w:t>20</w:t>
            </w:r>
          </w:p>
        </w:tc>
        <w:tc>
          <w:tcPr>
            <w:tcW w:w="1550" w:type="dxa"/>
            <w:vAlign w:val="center"/>
          </w:tcPr>
          <w:p w:rsidR="00625460" w:rsidRPr="00891173" w:rsidRDefault="00625460" w:rsidP="001A78F0">
            <w:pPr>
              <w:jc w:val="center"/>
              <w:rPr>
                <w:sz w:val="24"/>
                <w:szCs w:val="24"/>
              </w:rPr>
            </w:pPr>
            <w:r w:rsidRPr="00891173">
              <w:rPr>
                <w:sz w:val="24"/>
                <w:szCs w:val="24"/>
              </w:rPr>
              <w:t>9</w:t>
            </w:r>
          </w:p>
        </w:tc>
        <w:tc>
          <w:tcPr>
            <w:tcW w:w="1577" w:type="dxa"/>
            <w:vAlign w:val="center"/>
          </w:tcPr>
          <w:p w:rsidR="00625460" w:rsidRPr="00891173" w:rsidRDefault="00625460" w:rsidP="001A78F0">
            <w:pPr>
              <w:jc w:val="center"/>
              <w:rPr>
                <w:sz w:val="24"/>
                <w:szCs w:val="24"/>
              </w:rPr>
            </w:pPr>
            <w:r w:rsidRPr="00891173">
              <w:rPr>
                <w:sz w:val="24"/>
                <w:szCs w:val="24"/>
              </w:rPr>
              <w:t>2</w:t>
            </w:r>
          </w:p>
        </w:tc>
        <w:tc>
          <w:tcPr>
            <w:tcW w:w="1321" w:type="dxa"/>
            <w:vAlign w:val="center"/>
          </w:tcPr>
          <w:p w:rsidR="00625460" w:rsidRPr="00891173" w:rsidRDefault="00625460" w:rsidP="001A78F0">
            <w:pPr>
              <w:jc w:val="center"/>
              <w:rPr>
                <w:sz w:val="24"/>
                <w:szCs w:val="24"/>
              </w:rPr>
            </w:pPr>
            <w:r w:rsidRPr="00891173">
              <w:rPr>
                <w:sz w:val="24"/>
                <w:szCs w:val="24"/>
              </w:rPr>
              <w:t>51</w:t>
            </w:r>
          </w:p>
        </w:tc>
        <w:tc>
          <w:tcPr>
            <w:tcW w:w="956" w:type="dxa"/>
            <w:vAlign w:val="center"/>
          </w:tcPr>
          <w:p w:rsidR="00625460" w:rsidRPr="00891173" w:rsidRDefault="00625460" w:rsidP="001A78F0">
            <w:pPr>
              <w:jc w:val="center"/>
              <w:rPr>
                <w:sz w:val="24"/>
                <w:szCs w:val="24"/>
              </w:rPr>
            </w:pPr>
            <w:r w:rsidRPr="00891173">
              <w:rPr>
                <w:sz w:val="24"/>
                <w:szCs w:val="24"/>
              </w:rPr>
              <w:t>15</w:t>
            </w:r>
          </w:p>
        </w:tc>
        <w:tc>
          <w:tcPr>
            <w:tcW w:w="1031" w:type="dxa"/>
            <w:vAlign w:val="center"/>
          </w:tcPr>
          <w:p w:rsidR="00625460" w:rsidRPr="00891173" w:rsidRDefault="00625460" w:rsidP="001A78F0">
            <w:pPr>
              <w:jc w:val="center"/>
              <w:rPr>
                <w:sz w:val="24"/>
                <w:szCs w:val="24"/>
              </w:rPr>
            </w:pPr>
            <w:r w:rsidRPr="00891173">
              <w:rPr>
                <w:sz w:val="24"/>
                <w:szCs w:val="24"/>
              </w:rPr>
              <w:t>97</w:t>
            </w:r>
          </w:p>
        </w:tc>
      </w:tr>
      <w:tr w:rsidR="00625460" w:rsidRPr="00891173" w:rsidTr="00625460">
        <w:tc>
          <w:tcPr>
            <w:tcW w:w="1143" w:type="dxa"/>
            <w:vMerge/>
            <w:tcBorders>
              <w:right w:val="nil"/>
            </w:tcBorders>
            <w:vAlign w:val="center"/>
          </w:tcPr>
          <w:p w:rsidR="00625460" w:rsidRPr="00891173" w:rsidRDefault="00625460" w:rsidP="001A78F0">
            <w:pPr>
              <w:jc w:val="center"/>
              <w:rPr>
                <w:b/>
                <w:sz w:val="24"/>
                <w:szCs w:val="24"/>
              </w:rPr>
            </w:pP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w:t>
            </w:r>
          </w:p>
        </w:tc>
        <w:tc>
          <w:tcPr>
            <w:tcW w:w="1605" w:type="dxa"/>
            <w:vAlign w:val="center"/>
          </w:tcPr>
          <w:p w:rsidR="00625460" w:rsidRPr="00891173" w:rsidRDefault="00625460" w:rsidP="001A78F0">
            <w:pPr>
              <w:jc w:val="center"/>
              <w:rPr>
                <w:sz w:val="24"/>
                <w:szCs w:val="24"/>
              </w:rPr>
            </w:pPr>
            <w:r w:rsidRPr="00891173">
              <w:rPr>
                <w:sz w:val="24"/>
                <w:szCs w:val="24"/>
              </w:rPr>
              <w:t>21,0%</w:t>
            </w:r>
          </w:p>
        </w:tc>
        <w:tc>
          <w:tcPr>
            <w:tcW w:w="1550" w:type="dxa"/>
            <w:vAlign w:val="center"/>
          </w:tcPr>
          <w:p w:rsidR="00625460" w:rsidRPr="00891173" w:rsidRDefault="00625460" w:rsidP="001A78F0">
            <w:pPr>
              <w:jc w:val="center"/>
              <w:rPr>
                <w:sz w:val="24"/>
                <w:szCs w:val="24"/>
              </w:rPr>
            </w:pPr>
            <w:r w:rsidRPr="00891173">
              <w:rPr>
                <w:sz w:val="24"/>
                <w:szCs w:val="24"/>
              </w:rPr>
              <w:t>9,0%</w:t>
            </w:r>
          </w:p>
        </w:tc>
        <w:tc>
          <w:tcPr>
            <w:tcW w:w="1577" w:type="dxa"/>
            <w:vAlign w:val="center"/>
          </w:tcPr>
          <w:p w:rsidR="00625460" w:rsidRPr="00891173" w:rsidRDefault="00625460" w:rsidP="001A78F0">
            <w:pPr>
              <w:jc w:val="center"/>
              <w:rPr>
                <w:sz w:val="24"/>
                <w:szCs w:val="24"/>
              </w:rPr>
            </w:pPr>
            <w:r w:rsidRPr="00891173">
              <w:rPr>
                <w:sz w:val="24"/>
                <w:szCs w:val="24"/>
              </w:rPr>
              <w:t>2,0%</w:t>
            </w:r>
          </w:p>
        </w:tc>
        <w:tc>
          <w:tcPr>
            <w:tcW w:w="1321" w:type="dxa"/>
            <w:vAlign w:val="center"/>
          </w:tcPr>
          <w:p w:rsidR="00625460" w:rsidRPr="00891173" w:rsidRDefault="00625460" w:rsidP="001A78F0">
            <w:pPr>
              <w:jc w:val="center"/>
              <w:rPr>
                <w:sz w:val="24"/>
                <w:szCs w:val="24"/>
              </w:rPr>
            </w:pPr>
            <w:r w:rsidRPr="00891173">
              <w:rPr>
                <w:sz w:val="24"/>
                <w:szCs w:val="24"/>
              </w:rPr>
              <w:t>53,0%</w:t>
            </w:r>
          </w:p>
        </w:tc>
        <w:tc>
          <w:tcPr>
            <w:tcW w:w="956" w:type="dxa"/>
            <w:vAlign w:val="center"/>
          </w:tcPr>
          <w:p w:rsidR="00625460" w:rsidRPr="00891173" w:rsidRDefault="00625460" w:rsidP="001A78F0">
            <w:pPr>
              <w:jc w:val="center"/>
              <w:rPr>
                <w:sz w:val="24"/>
                <w:szCs w:val="24"/>
              </w:rPr>
            </w:pPr>
            <w:r w:rsidRPr="00891173">
              <w:rPr>
                <w:sz w:val="24"/>
                <w:szCs w:val="24"/>
              </w:rPr>
              <w:t>15,0%</w:t>
            </w:r>
          </w:p>
        </w:tc>
        <w:tc>
          <w:tcPr>
            <w:tcW w:w="1031" w:type="dxa"/>
            <w:vAlign w:val="center"/>
          </w:tcPr>
          <w:p w:rsidR="00625460" w:rsidRPr="00891173" w:rsidRDefault="00625460" w:rsidP="001A78F0">
            <w:pPr>
              <w:jc w:val="center"/>
              <w:rPr>
                <w:sz w:val="24"/>
                <w:szCs w:val="24"/>
              </w:rPr>
            </w:pPr>
            <w:r w:rsidRPr="00891173">
              <w:rPr>
                <w:sz w:val="24"/>
                <w:szCs w:val="24"/>
              </w:rPr>
              <w:t>100%</w:t>
            </w:r>
          </w:p>
        </w:tc>
      </w:tr>
      <w:tr w:rsidR="00625460" w:rsidRPr="00891173" w:rsidTr="00625460">
        <w:tc>
          <w:tcPr>
            <w:tcW w:w="1143" w:type="dxa"/>
            <w:vMerge w:val="restart"/>
            <w:tcBorders>
              <w:right w:val="nil"/>
            </w:tcBorders>
            <w:vAlign w:val="center"/>
          </w:tcPr>
          <w:p w:rsidR="00625460" w:rsidRPr="00891173" w:rsidRDefault="00625460" w:rsidP="001A78F0">
            <w:pPr>
              <w:jc w:val="center"/>
              <w:rPr>
                <w:b/>
                <w:sz w:val="24"/>
                <w:szCs w:val="24"/>
              </w:rPr>
            </w:pPr>
            <w:r w:rsidRPr="00891173">
              <w:rPr>
                <w:b/>
                <w:sz w:val="24"/>
                <w:szCs w:val="24"/>
              </w:rPr>
              <w:t>Iš viso</w:t>
            </w: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Dažnis</w:t>
            </w:r>
          </w:p>
        </w:tc>
        <w:tc>
          <w:tcPr>
            <w:tcW w:w="1605" w:type="dxa"/>
            <w:vAlign w:val="center"/>
          </w:tcPr>
          <w:p w:rsidR="00625460" w:rsidRPr="00891173" w:rsidRDefault="00625460" w:rsidP="001A78F0">
            <w:pPr>
              <w:jc w:val="center"/>
              <w:rPr>
                <w:sz w:val="24"/>
                <w:szCs w:val="24"/>
              </w:rPr>
            </w:pPr>
            <w:r w:rsidRPr="00891173">
              <w:rPr>
                <w:sz w:val="24"/>
                <w:szCs w:val="24"/>
              </w:rPr>
              <w:t>37</w:t>
            </w:r>
          </w:p>
        </w:tc>
        <w:tc>
          <w:tcPr>
            <w:tcW w:w="1550" w:type="dxa"/>
            <w:vAlign w:val="center"/>
          </w:tcPr>
          <w:p w:rsidR="00625460" w:rsidRPr="00891173" w:rsidRDefault="00625460" w:rsidP="001A78F0">
            <w:pPr>
              <w:jc w:val="center"/>
              <w:rPr>
                <w:sz w:val="24"/>
                <w:szCs w:val="24"/>
              </w:rPr>
            </w:pPr>
            <w:r w:rsidRPr="00891173">
              <w:rPr>
                <w:sz w:val="24"/>
                <w:szCs w:val="24"/>
              </w:rPr>
              <w:t>14</w:t>
            </w:r>
          </w:p>
        </w:tc>
        <w:tc>
          <w:tcPr>
            <w:tcW w:w="1577" w:type="dxa"/>
            <w:vAlign w:val="center"/>
          </w:tcPr>
          <w:p w:rsidR="00625460" w:rsidRPr="00891173" w:rsidRDefault="00625460" w:rsidP="001A78F0">
            <w:pPr>
              <w:jc w:val="center"/>
              <w:rPr>
                <w:sz w:val="24"/>
                <w:szCs w:val="24"/>
              </w:rPr>
            </w:pPr>
            <w:r w:rsidRPr="00891173">
              <w:rPr>
                <w:sz w:val="24"/>
                <w:szCs w:val="24"/>
              </w:rPr>
              <w:t>2</w:t>
            </w:r>
          </w:p>
        </w:tc>
        <w:tc>
          <w:tcPr>
            <w:tcW w:w="1321" w:type="dxa"/>
            <w:vAlign w:val="center"/>
          </w:tcPr>
          <w:p w:rsidR="00625460" w:rsidRPr="00891173" w:rsidRDefault="00625460" w:rsidP="001A78F0">
            <w:pPr>
              <w:jc w:val="center"/>
              <w:rPr>
                <w:sz w:val="24"/>
                <w:szCs w:val="24"/>
              </w:rPr>
            </w:pPr>
            <w:r w:rsidRPr="00891173">
              <w:rPr>
                <w:sz w:val="24"/>
                <w:szCs w:val="24"/>
              </w:rPr>
              <w:t>76</w:t>
            </w:r>
          </w:p>
        </w:tc>
        <w:tc>
          <w:tcPr>
            <w:tcW w:w="956" w:type="dxa"/>
            <w:vAlign w:val="center"/>
          </w:tcPr>
          <w:p w:rsidR="00625460" w:rsidRPr="00891173" w:rsidRDefault="00625460" w:rsidP="001A78F0">
            <w:pPr>
              <w:jc w:val="center"/>
              <w:rPr>
                <w:sz w:val="24"/>
                <w:szCs w:val="24"/>
              </w:rPr>
            </w:pPr>
            <w:r w:rsidRPr="00891173">
              <w:rPr>
                <w:sz w:val="24"/>
                <w:szCs w:val="24"/>
              </w:rPr>
              <w:t>19</w:t>
            </w:r>
          </w:p>
        </w:tc>
        <w:tc>
          <w:tcPr>
            <w:tcW w:w="1031" w:type="dxa"/>
            <w:vAlign w:val="center"/>
          </w:tcPr>
          <w:p w:rsidR="00625460" w:rsidRPr="00891173" w:rsidRDefault="00625460" w:rsidP="001A78F0">
            <w:pPr>
              <w:jc w:val="center"/>
              <w:rPr>
                <w:sz w:val="24"/>
                <w:szCs w:val="24"/>
              </w:rPr>
            </w:pPr>
            <w:r w:rsidRPr="00891173">
              <w:rPr>
                <w:sz w:val="24"/>
                <w:szCs w:val="24"/>
              </w:rPr>
              <w:t>148</w:t>
            </w:r>
          </w:p>
        </w:tc>
      </w:tr>
      <w:tr w:rsidR="00625460" w:rsidRPr="00891173" w:rsidTr="00625460">
        <w:tc>
          <w:tcPr>
            <w:tcW w:w="1143" w:type="dxa"/>
            <w:vMerge/>
            <w:tcBorders>
              <w:right w:val="nil"/>
            </w:tcBorders>
            <w:vAlign w:val="center"/>
          </w:tcPr>
          <w:p w:rsidR="00625460" w:rsidRPr="00891173" w:rsidRDefault="00625460" w:rsidP="001A78F0">
            <w:pPr>
              <w:jc w:val="center"/>
              <w:rPr>
                <w:b/>
                <w:sz w:val="24"/>
                <w:szCs w:val="24"/>
              </w:rPr>
            </w:pPr>
          </w:p>
        </w:tc>
        <w:tc>
          <w:tcPr>
            <w:tcW w:w="910" w:type="dxa"/>
            <w:tcBorders>
              <w:left w:val="nil"/>
            </w:tcBorders>
            <w:vAlign w:val="center"/>
          </w:tcPr>
          <w:p w:rsidR="00625460" w:rsidRPr="00891173" w:rsidRDefault="00625460" w:rsidP="001A78F0">
            <w:pPr>
              <w:jc w:val="center"/>
              <w:rPr>
                <w:b/>
                <w:sz w:val="24"/>
                <w:szCs w:val="24"/>
              </w:rPr>
            </w:pPr>
            <w:r w:rsidRPr="00891173">
              <w:rPr>
                <w:b/>
                <w:sz w:val="24"/>
                <w:szCs w:val="24"/>
              </w:rPr>
              <w:t>%</w:t>
            </w:r>
          </w:p>
        </w:tc>
        <w:tc>
          <w:tcPr>
            <w:tcW w:w="1605" w:type="dxa"/>
            <w:vAlign w:val="center"/>
          </w:tcPr>
          <w:p w:rsidR="00625460" w:rsidRPr="00891173" w:rsidRDefault="00625460" w:rsidP="001A78F0">
            <w:pPr>
              <w:jc w:val="center"/>
              <w:rPr>
                <w:color w:val="000000"/>
                <w:sz w:val="24"/>
                <w:szCs w:val="24"/>
              </w:rPr>
            </w:pPr>
            <w:r w:rsidRPr="00891173">
              <w:rPr>
                <w:color w:val="000000"/>
                <w:sz w:val="24"/>
                <w:szCs w:val="24"/>
              </w:rPr>
              <w:t>25,0</w:t>
            </w:r>
            <w:r w:rsidRPr="00891173">
              <w:rPr>
                <w:sz w:val="24"/>
                <w:szCs w:val="24"/>
              </w:rPr>
              <w:t>%</w:t>
            </w:r>
          </w:p>
        </w:tc>
        <w:tc>
          <w:tcPr>
            <w:tcW w:w="1550" w:type="dxa"/>
            <w:vAlign w:val="center"/>
          </w:tcPr>
          <w:p w:rsidR="00625460" w:rsidRPr="00891173" w:rsidRDefault="00625460" w:rsidP="001A78F0">
            <w:pPr>
              <w:jc w:val="center"/>
              <w:rPr>
                <w:color w:val="000000"/>
                <w:sz w:val="24"/>
                <w:szCs w:val="24"/>
              </w:rPr>
            </w:pPr>
            <w:r w:rsidRPr="00891173">
              <w:rPr>
                <w:color w:val="000000"/>
                <w:sz w:val="24"/>
                <w:szCs w:val="24"/>
              </w:rPr>
              <w:t>9,46</w:t>
            </w:r>
            <w:r w:rsidRPr="00891173">
              <w:rPr>
                <w:sz w:val="24"/>
                <w:szCs w:val="24"/>
              </w:rPr>
              <w:t>%</w:t>
            </w:r>
          </w:p>
        </w:tc>
        <w:tc>
          <w:tcPr>
            <w:tcW w:w="1577" w:type="dxa"/>
            <w:vAlign w:val="center"/>
          </w:tcPr>
          <w:p w:rsidR="00625460" w:rsidRPr="00891173" w:rsidRDefault="00625460" w:rsidP="001A78F0">
            <w:pPr>
              <w:jc w:val="center"/>
              <w:rPr>
                <w:color w:val="000000"/>
                <w:sz w:val="24"/>
                <w:szCs w:val="24"/>
              </w:rPr>
            </w:pPr>
            <w:r w:rsidRPr="00891173">
              <w:rPr>
                <w:color w:val="000000"/>
                <w:sz w:val="24"/>
                <w:szCs w:val="24"/>
              </w:rPr>
              <w:t>1,35</w:t>
            </w:r>
            <w:r w:rsidRPr="00891173">
              <w:rPr>
                <w:sz w:val="24"/>
                <w:szCs w:val="24"/>
              </w:rPr>
              <w:t>%</w:t>
            </w:r>
          </w:p>
        </w:tc>
        <w:tc>
          <w:tcPr>
            <w:tcW w:w="1321" w:type="dxa"/>
            <w:vAlign w:val="center"/>
          </w:tcPr>
          <w:p w:rsidR="00625460" w:rsidRPr="00891173" w:rsidRDefault="00625460" w:rsidP="001A78F0">
            <w:pPr>
              <w:jc w:val="center"/>
              <w:rPr>
                <w:color w:val="000000"/>
                <w:sz w:val="24"/>
                <w:szCs w:val="24"/>
              </w:rPr>
            </w:pPr>
            <w:r w:rsidRPr="00891173">
              <w:rPr>
                <w:color w:val="000000"/>
                <w:sz w:val="24"/>
                <w:szCs w:val="24"/>
              </w:rPr>
              <w:t>51,35</w:t>
            </w:r>
            <w:r w:rsidRPr="00891173">
              <w:rPr>
                <w:sz w:val="24"/>
                <w:szCs w:val="24"/>
              </w:rPr>
              <w:t>%</w:t>
            </w:r>
          </w:p>
        </w:tc>
        <w:tc>
          <w:tcPr>
            <w:tcW w:w="956" w:type="dxa"/>
            <w:vAlign w:val="center"/>
          </w:tcPr>
          <w:p w:rsidR="00625460" w:rsidRPr="00891173" w:rsidRDefault="00625460" w:rsidP="001A78F0">
            <w:pPr>
              <w:jc w:val="center"/>
              <w:rPr>
                <w:color w:val="000000"/>
                <w:sz w:val="24"/>
                <w:szCs w:val="24"/>
              </w:rPr>
            </w:pPr>
            <w:r w:rsidRPr="00891173">
              <w:rPr>
                <w:color w:val="000000"/>
                <w:sz w:val="24"/>
                <w:szCs w:val="24"/>
              </w:rPr>
              <w:t>12,84</w:t>
            </w:r>
            <w:r w:rsidRPr="00891173">
              <w:rPr>
                <w:sz w:val="24"/>
                <w:szCs w:val="24"/>
              </w:rPr>
              <w:t>%</w:t>
            </w:r>
          </w:p>
        </w:tc>
        <w:tc>
          <w:tcPr>
            <w:tcW w:w="1031" w:type="dxa"/>
            <w:vAlign w:val="center"/>
          </w:tcPr>
          <w:p w:rsidR="00625460" w:rsidRPr="00891173" w:rsidRDefault="00625460" w:rsidP="001A78F0">
            <w:pPr>
              <w:jc w:val="center"/>
              <w:rPr>
                <w:sz w:val="24"/>
                <w:szCs w:val="24"/>
              </w:rPr>
            </w:pPr>
            <w:r w:rsidRPr="00891173">
              <w:rPr>
                <w:sz w:val="24"/>
                <w:szCs w:val="24"/>
              </w:rPr>
              <w:t>100</w:t>
            </w:r>
          </w:p>
        </w:tc>
      </w:tr>
    </w:tbl>
    <w:p w:rsidR="00625460" w:rsidRPr="00891173" w:rsidRDefault="00625460" w:rsidP="000944BB">
      <w:pPr>
        <w:spacing w:before="120" w:after="120" w:line="360" w:lineRule="auto"/>
        <w:ind w:firstLine="567"/>
        <w:rPr>
          <w:sz w:val="20"/>
          <w:szCs w:val="20"/>
        </w:rPr>
      </w:pPr>
      <w:r w:rsidRPr="00891173">
        <w:rPr>
          <w:b/>
          <w:sz w:val="20"/>
          <w:szCs w:val="20"/>
        </w:rPr>
        <w:t xml:space="preserve">Šaltinis: </w:t>
      </w:r>
      <w:r w:rsidRPr="00891173">
        <w:rPr>
          <w:sz w:val="20"/>
          <w:szCs w:val="20"/>
        </w:rPr>
        <w:t>sudaryta autorės, remiantis tyrimo duomenimis</w:t>
      </w:r>
    </w:p>
    <w:p w:rsidR="00625460" w:rsidRPr="00891173" w:rsidRDefault="00CB27C3" w:rsidP="000944BB">
      <w:pPr>
        <w:spacing w:after="120" w:line="360" w:lineRule="auto"/>
        <w:ind w:firstLine="567"/>
        <w:jc w:val="both"/>
      </w:pPr>
      <w:r w:rsidRPr="00891173">
        <w:t>Kaip matyti iš 5</w:t>
      </w:r>
      <w:r w:rsidR="00625460" w:rsidRPr="00891173">
        <w:t xml:space="preserve"> lentelės duomenų, pagrindinis investavimo tikslas ir moterims (49 proc.), ir vyrams (53 proc.) yra santaupų apsauga nuo infliacijos. Tuo tarpu investavimą spekuliavimo tik</w:t>
      </w:r>
      <w:r w:rsidR="0060770D">
        <w:t>s</w:t>
      </w:r>
      <w:r w:rsidR="00625460" w:rsidRPr="00891173">
        <w:t xml:space="preserve">lais </w:t>
      </w:r>
      <w:r w:rsidR="00625460" w:rsidRPr="00891173">
        <w:lastRenderedPageBreak/>
        <w:t>nurodė tik vyrai – tai sudaro 1,35</w:t>
      </w:r>
      <w:r w:rsidR="00D97144">
        <w:t xml:space="preserve"> </w:t>
      </w:r>
      <w:r w:rsidR="00625460" w:rsidRPr="00891173">
        <w:t>proc. nuo visų apklaustųjų. Galima pastebėti, antroje vietoje pagal svarbumą moterims yra turėti sutaupytų senatvėje (33 proc.). Vyrų nuomone, antroje vietoje pagal svarbumą yra taip pat taupymas senatvei (21 proc.), o po to seka kitos priežastys, kurias patys nurodė (15</w:t>
      </w:r>
      <w:r w:rsidR="00D345C1" w:rsidRPr="00891173">
        <w:t xml:space="preserve"> </w:t>
      </w:r>
      <w:r w:rsidR="00625460" w:rsidRPr="00891173">
        <w:t>proc.). Tarp nurodytų priežasčių galima išsskirti gauti papildomų pinigų ir kaip papildomas užsiėmimas – hobis.</w:t>
      </w:r>
    </w:p>
    <w:p w:rsidR="00B446B4" w:rsidRPr="00891173" w:rsidRDefault="00B446B4" w:rsidP="00F30CFC">
      <w:pPr>
        <w:spacing w:line="360" w:lineRule="auto"/>
        <w:ind w:firstLine="567"/>
        <w:jc w:val="both"/>
        <w:rPr>
          <w:b/>
        </w:rPr>
      </w:pPr>
      <w:r w:rsidRPr="00891173">
        <w:rPr>
          <w:b/>
        </w:rPr>
        <w:t>Respondentų socialinis demografinis portretas</w:t>
      </w:r>
    </w:p>
    <w:p w:rsidR="00420F43" w:rsidRPr="00891173" w:rsidRDefault="00E95DAF" w:rsidP="0056550A">
      <w:pPr>
        <w:spacing w:line="360" w:lineRule="auto"/>
        <w:ind w:firstLine="567"/>
        <w:jc w:val="both"/>
      </w:pPr>
      <w:r w:rsidRPr="00891173">
        <w:t>Respondentai pagal amžių buvo suskirstyti į</w:t>
      </w:r>
      <w:r w:rsidR="0056550A" w:rsidRPr="00891173">
        <w:t xml:space="preserve"> 4 grupes. </w:t>
      </w:r>
      <w:r w:rsidR="00B446B4" w:rsidRPr="00891173">
        <w:t>Didžiausią dalį, t. y. 42 proc., sudarė respondentai, kurių amžius nuo 25 iki 29 metų. 34 proc. apklaustųjų buvo 30-39 metų amžiaus ir 17 proc. respondentų amžius buvo 18-24 metai. Mažiausiai respondentų buv</w:t>
      </w:r>
      <w:r w:rsidR="00621559" w:rsidRPr="00891173">
        <w:t>o daugiau nei 40 metų amžiaus</w:t>
      </w:r>
      <w:r w:rsidR="00B446B4" w:rsidRPr="00891173">
        <w:t xml:space="preserve"> ir tai tesudarė 7 proc. visų apklaustųjų.</w:t>
      </w:r>
    </w:p>
    <w:p w:rsidR="00C44A74" w:rsidRPr="00891173" w:rsidRDefault="00621559" w:rsidP="0056550A">
      <w:pPr>
        <w:spacing w:line="360" w:lineRule="auto"/>
        <w:ind w:firstLine="567"/>
        <w:jc w:val="both"/>
        <w:rPr>
          <w:sz w:val="20"/>
          <w:szCs w:val="20"/>
        </w:rPr>
      </w:pPr>
      <w:r w:rsidRPr="00891173">
        <w:t>Tyrimo metu paaiškėjo, kad didžioji dalis respondentų turi</w:t>
      </w:r>
      <w:r w:rsidR="00D97144">
        <w:t xml:space="preserve"> aukštajį išsilavinimą. Daugiau</w:t>
      </w:r>
      <w:r w:rsidRPr="00891173">
        <w:t xml:space="preserve"> nei pusė respondentų tu</w:t>
      </w:r>
      <w:r w:rsidR="00D97144">
        <w:t>ri</w:t>
      </w:r>
      <w:r w:rsidRPr="00891173">
        <w:t xml:space="preserve"> aukštajį universitetinį išsilavinimą (52 proc.). Dvigubai mažiau, t.y. 26 proc. respondentų, yra įgyję aukštajį neuniversitet</w:t>
      </w:r>
      <w:r w:rsidR="00D97144">
        <w:t>inį išsilavinimą. 16 proc. respondentų yra</w:t>
      </w:r>
      <w:r w:rsidRPr="00891173">
        <w:t xml:space="preserve"> vis dar siekiantys įgyti aukštajį išsilavinimą. Tik 6 proc. respondentų sudaro vidurinį ir profesinį išsilavinimą turinčius apklaustuosius.</w:t>
      </w:r>
      <w:r w:rsidR="0056550A" w:rsidRPr="00891173">
        <w:rPr>
          <w:sz w:val="20"/>
          <w:szCs w:val="20"/>
        </w:rPr>
        <w:t xml:space="preserve"> </w:t>
      </w:r>
    </w:p>
    <w:p w:rsidR="002F144B" w:rsidRPr="00891173" w:rsidRDefault="00ED14ED" w:rsidP="00875712">
      <w:pPr>
        <w:spacing w:line="360" w:lineRule="auto"/>
        <w:ind w:firstLine="567"/>
        <w:jc w:val="both"/>
      </w:pPr>
      <w:r w:rsidRPr="00891173">
        <w:t>Pagal pajamas, tenkančias vienam šeimos nariui per mėnesį, respondentai pasiskirstė taip: 39 proc. apklaustųjų vienam šeimos nariui per mėnesį tenka nuo 1001 iki 1500</w:t>
      </w:r>
      <w:r w:rsidR="00C44A74" w:rsidRPr="00891173">
        <w:t xml:space="preserve"> </w:t>
      </w:r>
      <w:r w:rsidRPr="00891173">
        <w:t>L</w:t>
      </w:r>
      <w:r w:rsidR="00C44A74" w:rsidRPr="00891173">
        <w:t>T</w:t>
      </w:r>
      <w:r w:rsidRPr="00891173">
        <w:t>,  33 proc. – nuo 501 iki 1000</w:t>
      </w:r>
      <w:r w:rsidR="00C44A74" w:rsidRPr="00891173">
        <w:t xml:space="preserve"> LT</w:t>
      </w:r>
      <w:r w:rsidRPr="00891173">
        <w:t>, 20 proc. – nuo 1501 iki 2000 L</w:t>
      </w:r>
      <w:r w:rsidR="00C44A74" w:rsidRPr="00891173">
        <w:t>T</w:t>
      </w:r>
      <w:r w:rsidRPr="00891173">
        <w:t>. Mažiausiai respondentų nurodė, kad vienam šeimos nariui per mėnesį tenka iki 500</w:t>
      </w:r>
      <w:r w:rsidR="00C44A74" w:rsidRPr="00891173">
        <w:t xml:space="preserve"> </w:t>
      </w:r>
      <w:r w:rsidRPr="00891173">
        <w:t>L</w:t>
      </w:r>
      <w:r w:rsidR="00C44A74" w:rsidRPr="00891173">
        <w:t>T</w:t>
      </w:r>
      <w:r w:rsidRPr="00891173">
        <w:t xml:space="preserve"> ir daugiau nei 2000</w:t>
      </w:r>
      <w:r w:rsidR="00C44A74" w:rsidRPr="00891173">
        <w:t xml:space="preserve"> </w:t>
      </w:r>
      <w:r w:rsidRPr="00891173">
        <w:t>L</w:t>
      </w:r>
      <w:r w:rsidR="00C44A74" w:rsidRPr="00891173">
        <w:t>T</w:t>
      </w:r>
      <w:r w:rsidRPr="00891173">
        <w:t>, atitinkamai nurodė po 2 proc. ir 6 proc. respond</w:t>
      </w:r>
      <w:r w:rsidR="00875712" w:rsidRPr="00891173">
        <w:t>entų.</w:t>
      </w:r>
    </w:p>
    <w:p w:rsidR="006F0750" w:rsidRPr="00891173" w:rsidRDefault="00C75DCF" w:rsidP="00C75DCF">
      <w:pPr>
        <w:spacing w:after="200" w:line="360" w:lineRule="auto"/>
        <w:ind w:firstLine="567"/>
        <w:jc w:val="both"/>
      </w:pPr>
      <w:r w:rsidRPr="00891173">
        <w:t>Apibendrinus tyrimo duomenis ir visą aukščiau pateiktą informaciją, galima teigti</w:t>
      </w:r>
      <w:r w:rsidR="00530A61" w:rsidRPr="00891173">
        <w:t>,</w:t>
      </w:r>
      <w:r w:rsidRPr="00891173">
        <w:t xml:space="preserve"> kad investavimas į investicinius fondus yra patrauklus investavimo būdas. Kiekvienais metais vis didėja jų skaičius ir pasirinkimas, nes galima investuoti ne tik į nuosavybės ar skolos vertybinius popierius ir kitas investavimo priemones, bet ir į </w:t>
      </w:r>
      <w:r w:rsidR="00530A61" w:rsidRPr="00891173">
        <w:t xml:space="preserve">jų </w:t>
      </w:r>
      <w:r w:rsidRPr="00891173">
        <w:t xml:space="preserve">derinius. Kadangi investuojant į investicinius fondus, juos </w:t>
      </w:r>
      <w:r w:rsidR="006822A8" w:rsidRPr="00891173">
        <w:t xml:space="preserve">gali </w:t>
      </w:r>
      <w:r w:rsidRPr="00891173">
        <w:t>sudar</w:t>
      </w:r>
      <w:r w:rsidR="00530A61" w:rsidRPr="00891173">
        <w:t>yti</w:t>
      </w:r>
      <w:r w:rsidRPr="00891173">
        <w:t xml:space="preserve"> įvairios investavimo priemonės ir šalys, t.y. neapsiribojama viena investicija, sumažėja rizika patirti nuostolį, bet kartu negalima pasiekti tokio pelno, kurį </w:t>
      </w:r>
      <w:r w:rsidR="006822A8" w:rsidRPr="00891173">
        <w:t xml:space="preserve">galėtų </w:t>
      </w:r>
      <w:r w:rsidRPr="00891173">
        <w:t>garantuot</w:t>
      </w:r>
      <w:r w:rsidR="006822A8" w:rsidRPr="00891173">
        <w:t>i</w:t>
      </w:r>
      <w:r w:rsidRPr="00891173">
        <w:t xml:space="preserve"> </w:t>
      </w:r>
      <w:r w:rsidR="006822A8" w:rsidRPr="00891173">
        <w:t>kitos investavimo p</w:t>
      </w:r>
      <w:r w:rsidR="00D97144">
        <w:t>r</w:t>
      </w:r>
      <w:r w:rsidR="006822A8" w:rsidRPr="00891173">
        <w:t>iemonės.</w:t>
      </w:r>
      <w:r w:rsidR="005C628B" w:rsidRPr="00891173">
        <w:t xml:space="preserve"> Tyrimas atskleidė, kad </w:t>
      </w:r>
      <w:r w:rsidR="002F0A86" w:rsidRPr="00891173">
        <w:t xml:space="preserve">apklaustieji yra patenkinti savo investavimu į investicinius fondus ir jiems </w:t>
      </w:r>
      <w:r w:rsidR="005C628B" w:rsidRPr="00891173">
        <w:t>yra svarbūs visi fondo pasirinkimo kriterijai, tik skiriasi jų reikšmingumas.</w:t>
      </w:r>
      <w:r w:rsidR="007C2763" w:rsidRPr="00891173">
        <w:t xml:space="preserve"> Tačiau nevertėtų rinktis fondo tik pagal fondo valdytoją, nes kaip parodė fondų veiklos rezultatai, kad to paties fondo valdymo bendrovės fondai gali būti tarp didžiausią ir mažiausią grąžą, atsižvelgiant į riziką, siūlomų fondų sąrašų.</w:t>
      </w:r>
      <w:r w:rsidR="002F0A86" w:rsidRPr="00891173">
        <w:t xml:space="preserve"> </w:t>
      </w:r>
      <w:r w:rsidR="006F0750" w:rsidRPr="00891173">
        <w:t xml:space="preserve">Tyrimo pradžioje iškeltą hipotezę, kad investicinių fondų pasirinkimą lemia jų praeities rezultatai, galima teigti, kad yra patvirtinta, nes apie 40 proc. apklaustųjų nurodė, kad svarbiausias kriterijus, pasirenkant fondą yra jo pelningumas ir rizika, kurie įvertinami analizuojant praeities rezultatus. </w:t>
      </w:r>
      <w:r w:rsidR="00402DF6" w:rsidRPr="00891173">
        <w:t>Deja vertėtų pabrėžti, kad praeities rezultatai, ne visada garantuoja ateities rezultatus, nes nagrinėjant fondų veiklą, matyti, kad įvairiu laikotarpiu skiriasi valdomas investicinių fondų turtas.</w:t>
      </w:r>
    </w:p>
    <w:p w:rsidR="003E4054" w:rsidRPr="00891173" w:rsidRDefault="003E4054" w:rsidP="00D35728">
      <w:pPr>
        <w:pStyle w:val="Heading1"/>
        <w:spacing w:before="0" w:after="240"/>
        <w:rPr>
          <w:b/>
          <w:sz w:val="24"/>
          <w:szCs w:val="24"/>
        </w:rPr>
      </w:pPr>
      <w:bookmarkStart w:id="13" w:name="_Toc343602005"/>
      <w:r w:rsidRPr="00891173">
        <w:rPr>
          <w:b/>
          <w:sz w:val="24"/>
          <w:szCs w:val="24"/>
        </w:rPr>
        <w:lastRenderedPageBreak/>
        <w:t>IŠVADOS</w:t>
      </w:r>
      <w:bookmarkEnd w:id="13"/>
    </w:p>
    <w:p w:rsidR="003E4054" w:rsidRPr="00891173" w:rsidRDefault="003E4054" w:rsidP="00203D2D">
      <w:pPr>
        <w:pStyle w:val="ListParagraph"/>
        <w:numPr>
          <w:ilvl w:val="0"/>
          <w:numId w:val="28"/>
        </w:numPr>
        <w:tabs>
          <w:tab w:val="left" w:pos="993"/>
        </w:tabs>
        <w:autoSpaceDE w:val="0"/>
        <w:autoSpaceDN w:val="0"/>
        <w:adjustRightInd w:val="0"/>
        <w:spacing w:line="360" w:lineRule="auto"/>
        <w:ind w:left="0" w:firstLine="567"/>
        <w:jc w:val="both"/>
      </w:pPr>
      <w:r w:rsidRPr="00891173">
        <w:t>Investicinių fondų są</w:t>
      </w:r>
      <w:r w:rsidR="00FD5482" w:rsidRPr="00891173">
        <w:t xml:space="preserve">vokos apibrėžimas mokslinėje </w:t>
      </w:r>
      <w:r w:rsidRPr="00891173">
        <w:t xml:space="preserve">literatūroje nėra toks svarbus, nes dėmesys daugiau kreipiamas į pačių investicinių fondų veiklą ir problemas. Tačiau įvairioje literatūroje fondai apibrėžiami </w:t>
      </w:r>
      <w:r w:rsidR="00FD5482" w:rsidRPr="00891173">
        <w:t>esminiais</w:t>
      </w:r>
      <w:r w:rsidRPr="00891173">
        <w:t xml:space="preserve"> fondo ypatumai</w:t>
      </w:r>
      <w:r w:rsidR="00FD5482" w:rsidRPr="00891173">
        <w:t>s</w:t>
      </w:r>
      <w:r w:rsidRPr="00891173">
        <w:t>, t.y. 1) fondo lėšos sukauptos iš pavienių investuotojų, 2) jas valdo profesionalūs valdytojai, kurie priima atsakingus sprendimus, susijusius su fondo valdymu, 3) pagal investavimo tikslus, skiriasi fondai.  Investicinius fondus galima suskirstyti įvairiai, priklausomai nuo pasirinkto kriterijaus.</w:t>
      </w:r>
    </w:p>
    <w:p w:rsidR="003E4054" w:rsidRPr="00891173" w:rsidRDefault="003E4054" w:rsidP="00203D2D">
      <w:pPr>
        <w:pStyle w:val="ListParagraph"/>
        <w:numPr>
          <w:ilvl w:val="0"/>
          <w:numId w:val="28"/>
        </w:numPr>
        <w:tabs>
          <w:tab w:val="left" w:pos="709"/>
          <w:tab w:val="left" w:pos="993"/>
        </w:tabs>
        <w:autoSpaceDE w:val="0"/>
        <w:autoSpaceDN w:val="0"/>
        <w:adjustRightInd w:val="0"/>
        <w:spacing w:line="360" w:lineRule="auto"/>
        <w:ind w:left="0" w:firstLine="567"/>
        <w:jc w:val="both"/>
        <w:rPr>
          <w:color w:val="000000"/>
        </w:rPr>
      </w:pPr>
      <w:r w:rsidRPr="00891173">
        <w:t>Investicinių fondų veiklą vertinti galima pelningumo, rizikos ir pelningumo</w:t>
      </w:r>
      <w:r w:rsidR="00FD5482" w:rsidRPr="00891173">
        <w:t>,</w:t>
      </w:r>
      <w:r w:rsidRPr="00891173">
        <w:t xml:space="preserve"> susieto su rizika metodais. Norint kuo tiksliau įvertinti jų veiklą, svarbiausia vertinti pelningumą</w:t>
      </w:r>
      <w:r w:rsidR="00FD5482" w:rsidRPr="00891173">
        <w:t>,</w:t>
      </w:r>
      <w:r w:rsidRPr="00891173">
        <w:t xml:space="preserve"> susietą su rizika</w:t>
      </w:r>
      <w:r w:rsidR="00FD5482" w:rsidRPr="00891173">
        <w:t>,</w:t>
      </w:r>
      <w:r w:rsidRPr="00891173">
        <w:t xml:space="preserve"> ir vienas iš objektyviausių metodų – Šarpo</w:t>
      </w:r>
      <w:r w:rsidR="004D441A" w:rsidRPr="00891173">
        <w:t xml:space="preserve"> rodiklis</w:t>
      </w:r>
      <w:r w:rsidRPr="00891173">
        <w:t xml:space="preserve">. Jis padeda efektyviai palyginti investicinius fondus, nes parodo, koks </w:t>
      </w:r>
      <w:r w:rsidRPr="00891173">
        <w:rPr>
          <w:color w:val="000000"/>
        </w:rPr>
        <w:t>gr</w:t>
      </w:r>
      <w:r w:rsidRPr="00891173">
        <w:rPr>
          <w:rFonts w:eastAsia="TTE175E358t00"/>
          <w:color w:val="000000"/>
        </w:rPr>
        <w:t>ą</w:t>
      </w:r>
      <w:r w:rsidRPr="00891173">
        <w:rPr>
          <w:color w:val="000000"/>
        </w:rPr>
        <w:t>žos dydis, tenka</w:t>
      </w:r>
      <w:r w:rsidRPr="00891173">
        <w:rPr>
          <w:rFonts w:eastAsia="TTE175E358t00"/>
          <w:color w:val="000000"/>
        </w:rPr>
        <w:t xml:space="preserve"> </w:t>
      </w:r>
      <w:r w:rsidRPr="00891173">
        <w:rPr>
          <w:color w:val="000000"/>
        </w:rPr>
        <w:t xml:space="preserve">vienam rizikos (standartinio nuokrypio) vienetui. </w:t>
      </w:r>
      <w:r w:rsidR="000174EC" w:rsidRPr="00891173">
        <w:rPr>
          <w:color w:val="000000"/>
        </w:rPr>
        <w:t>Tačiau, kuo daugiau vertinimo metodų naudojama, tuo tinkamesnį fondą galima pasirinkti investavimui.</w:t>
      </w:r>
      <w:r w:rsidR="00FD5482" w:rsidRPr="00891173">
        <w:rPr>
          <w:color w:val="000000"/>
        </w:rPr>
        <w:t xml:space="preserve"> Taip pat </w:t>
      </w:r>
      <w:r w:rsidR="00FD5482" w:rsidRPr="00891173">
        <w:t>kokį metodą</w:t>
      </w:r>
      <w:r w:rsidR="004D441A" w:rsidRPr="00891173">
        <w:t xml:space="preserve"> rinktis ar spręsti pagal jų derinius, nusprendžia tik patys investuotojai.</w:t>
      </w:r>
    </w:p>
    <w:p w:rsidR="004D441A" w:rsidRPr="00891173" w:rsidRDefault="00B17EC3" w:rsidP="00203D2D">
      <w:pPr>
        <w:pStyle w:val="ListParagraph"/>
        <w:numPr>
          <w:ilvl w:val="0"/>
          <w:numId w:val="28"/>
        </w:numPr>
        <w:tabs>
          <w:tab w:val="left" w:pos="709"/>
          <w:tab w:val="left" w:pos="993"/>
        </w:tabs>
        <w:autoSpaceDE w:val="0"/>
        <w:autoSpaceDN w:val="0"/>
        <w:adjustRightInd w:val="0"/>
        <w:spacing w:line="360" w:lineRule="auto"/>
        <w:ind w:left="0" w:firstLine="567"/>
        <w:jc w:val="both"/>
        <w:rPr>
          <w:color w:val="000000"/>
        </w:rPr>
      </w:pPr>
      <w:r w:rsidRPr="00891173">
        <w:rPr>
          <w:color w:val="000000"/>
        </w:rPr>
        <w:t>Lietuvos investicinių fondų rinka prad</w:t>
      </w:r>
      <w:r w:rsidR="00763A3D">
        <w:rPr>
          <w:color w:val="000000"/>
        </w:rPr>
        <w:t>ėjo kurtis 2001 m., kai buvo įr</w:t>
      </w:r>
      <w:r w:rsidRPr="00891173">
        <w:rPr>
          <w:color w:val="000000"/>
        </w:rPr>
        <w:t>egistruotas pirmas investicinis fondas. 2003 m. priėmus Kolektyvinio investavimo subjektų įstatymą, atsiv</w:t>
      </w:r>
      <w:r w:rsidR="00FD5482" w:rsidRPr="00891173">
        <w:rPr>
          <w:color w:val="000000"/>
        </w:rPr>
        <w:t>ėrė palankios galimybės plėtoti</w:t>
      </w:r>
      <w:r w:rsidRPr="00891173">
        <w:rPr>
          <w:color w:val="000000"/>
        </w:rPr>
        <w:t>s investicinių fondų rinkai ir jau 2004 m. Lietuvoje buvo regi</w:t>
      </w:r>
      <w:r w:rsidR="00763A3D">
        <w:rPr>
          <w:color w:val="000000"/>
        </w:rPr>
        <w:t>struota</w:t>
      </w:r>
      <w:r w:rsidR="00FD5482" w:rsidRPr="00891173">
        <w:rPr>
          <w:color w:val="000000"/>
        </w:rPr>
        <w:t xml:space="preserve"> 10 Lietuvos investicinių fondų</w:t>
      </w:r>
      <w:r w:rsidRPr="00891173">
        <w:rPr>
          <w:color w:val="000000"/>
        </w:rPr>
        <w:t xml:space="preserve">. </w:t>
      </w:r>
      <w:r w:rsidR="00FD5482" w:rsidRPr="00891173">
        <w:rPr>
          <w:color w:val="000000"/>
        </w:rPr>
        <w:t>2012 m. III ketv. duo</w:t>
      </w:r>
      <w:r w:rsidR="00763A3D">
        <w:rPr>
          <w:color w:val="000000"/>
        </w:rPr>
        <w:t>m</w:t>
      </w:r>
      <w:r w:rsidR="00FD5482" w:rsidRPr="00891173">
        <w:rPr>
          <w:color w:val="000000"/>
        </w:rPr>
        <w:t>enimis,</w:t>
      </w:r>
      <w:r w:rsidRPr="00891173">
        <w:rPr>
          <w:color w:val="000000"/>
        </w:rPr>
        <w:t xml:space="preserve"> turime net 34</w:t>
      </w:r>
      <w:r w:rsidR="00FD5482" w:rsidRPr="00891173">
        <w:rPr>
          <w:color w:val="000000"/>
        </w:rPr>
        <w:t xml:space="preserve"> kolektyvinio investavimo subjektus, kurių skaičius dar padi</w:t>
      </w:r>
      <w:r w:rsidRPr="00891173">
        <w:rPr>
          <w:color w:val="000000"/>
        </w:rPr>
        <w:t>dėtų, jei išskirtume investicinių fondų subfondus.</w:t>
      </w:r>
      <w:r w:rsidR="00503EE5" w:rsidRPr="00891173">
        <w:rPr>
          <w:color w:val="000000"/>
        </w:rPr>
        <w:t xml:space="preserve"> Investicinių fondų veiklą prižiūri Lietuvos bankas, kuris nu 2012 m. šią veiklą perėmė iš panaikintos Vertybinių popierių komisijos.</w:t>
      </w:r>
    </w:p>
    <w:p w:rsidR="004E6541" w:rsidRPr="00891173" w:rsidRDefault="00503EE5" w:rsidP="00203D2D">
      <w:pPr>
        <w:pStyle w:val="ListParagraph"/>
        <w:numPr>
          <w:ilvl w:val="0"/>
          <w:numId w:val="28"/>
        </w:numPr>
        <w:tabs>
          <w:tab w:val="left" w:pos="709"/>
          <w:tab w:val="left" w:pos="993"/>
        </w:tabs>
        <w:autoSpaceDE w:val="0"/>
        <w:autoSpaceDN w:val="0"/>
        <w:adjustRightInd w:val="0"/>
        <w:spacing w:line="360" w:lineRule="auto"/>
        <w:ind w:left="0" w:firstLine="567"/>
        <w:jc w:val="both"/>
        <w:rPr>
          <w:color w:val="000000"/>
        </w:rPr>
      </w:pPr>
      <w:r w:rsidRPr="00891173">
        <w:rPr>
          <w:color w:val="000000"/>
        </w:rPr>
        <w:t xml:space="preserve">Per dešimtmetį investicinių fondų skaičius Lietuvoje išaugo 20 kartų. </w:t>
      </w:r>
      <w:r w:rsidR="004E6541" w:rsidRPr="00891173">
        <w:rPr>
          <w:color w:val="000000"/>
        </w:rPr>
        <w:t>Nuo 2008 m., kai pasaulį užgriuvo finansinė krizė, pradėjo augti užsienio investicinių fondų, platinamų Lietuvoje, populiarumas – auga ne tik fondų skaičius, bet ir jų vertė. Pastebimas ir in</w:t>
      </w:r>
      <w:r w:rsidR="00FD5482" w:rsidRPr="00891173">
        <w:rPr>
          <w:color w:val="000000"/>
        </w:rPr>
        <w:t>vestuotojų skaičiaus pasiketimas</w:t>
      </w:r>
      <w:r w:rsidR="004E6541" w:rsidRPr="00891173">
        <w:rPr>
          <w:color w:val="000000"/>
        </w:rPr>
        <w:t>, t.y. nuo 2008 m. mažėja investuotojų skaičius į Lietuvos licenzijuotus investicinius fondus, bet didėja į užsienio viešai platinamus fondus. 2012 m. III ketv. užsienio fondų dalyvių skaičius dvigubai didesnis, nei Lietuvos licenzijuotų fondų.</w:t>
      </w:r>
    </w:p>
    <w:p w:rsidR="005404EA" w:rsidRPr="00891173" w:rsidRDefault="004E6541" w:rsidP="00203D2D">
      <w:pPr>
        <w:pStyle w:val="ListParagraph"/>
        <w:numPr>
          <w:ilvl w:val="0"/>
          <w:numId w:val="28"/>
        </w:numPr>
        <w:tabs>
          <w:tab w:val="left" w:pos="709"/>
          <w:tab w:val="left" w:pos="993"/>
        </w:tabs>
        <w:autoSpaceDE w:val="0"/>
        <w:autoSpaceDN w:val="0"/>
        <w:adjustRightInd w:val="0"/>
        <w:spacing w:line="360" w:lineRule="auto"/>
        <w:ind w:left="0" w:firstLine="567"/>
        <w:jc w:val="both"/>
        <w:rPr>
          <w:color w:val="000000"/>
        </w:rPr>
      </w:pPr>
      <w:r w:rsidRPr="00891173">
        <w:rPr>
          <w:color w:val="000000"/>
        </w:rPr>
        <w:t xml:space="preserve">Nagrinėjant Lietuvos licenzijuotų fondų veiklą, beveik trečdalį visų investicinių fondų skaičiaus sudaro </w:t>
      </w:r>
      <w:r w:rsidR="00F60480" w:rsidRPr="00891173">
        <w:rPr>
          <w:color w:val="000000"/>
        </w:rPr>
        <w:t>fondai, investuojantys į nuosavybės vertybinius popierius, ir šiek tiek mažiau – mišrūs fondai. Pastarųjų skaičius pradėjo augti nuo 2008 m., kuomet atėjus finansų krizei, atsirado poreikis išskirstyti investicijas. Pastebima, kad kasmet vis auga kitų investicinių fondų skaičius – tai būtų nekilnojamojo turto, pinigų rinkos ir fondų, investuojančių į kitus fondus. Palyginus IF pagal valdomą turtą, situacija yra panaši į fondų skaičiaus analizę. Daugiausiai turto valdo nuosavybės vertybinių popierių ir mišrūs investiciniai fondai. Tačiau nagrinėtu laikotarpiu</w:t>
      </w:r>
      <w:r w:rsidR="00190CE5" w:rsidRPr="00891173">
        <w:rPr>
          <w:color w:val="000000"/>
        </w:rPr>
        <w:t xml:space="preserve"> (2006-2012 m. III ketv.)</w:t>
      </w:r>
      <w:r w:rsidR="00F60480" w:rsidRPr="00891173">
        <w:rPr>
          <w:color w:val="000000"/>
        </w:rPr>
        <w:t xml:space="preserve"> nuosavybės VP fondų turtas </w:t>
      </w:r>
      <w:r w:rsidR="00190CE5" w:rsidRPr="00891173">
        <w:rPr>
          <w:color w:val="000000"/>
        </w:rPr>
        <w:t>sumažėjo 2,65 karto, o mišrių investicinių fondų – pastebima turto augimo tendencija.</w:t>
      </w:r>
    </w:p>
    <w:p w:rsidR="00F44CBA" w:rsidRPr="00891173" w:rsidRDefault="005404EA" w:rsidP="00203D2D">
      <w:pPr>
        <w:pStyle w:val="ListParagraph"/>
        <w:numPr>
          <w:ilvl w:val="0"/>
          <w:numId w:val="28"/>
        </w:numPr>
        <w:tabs>
          <w:tab w:val="left" w:pos="993"/>
        </w:tabs>
        <w:spacing w:line="360" w:lineRule="auto"/>
        <w:ind w:left="0" w:firstLine="567"/>
        <w:jc w:val="both"/>
      </w:pPr>
      <w:r w:rsidRPr="00891173">
        <w:rPr>
          <w:color w:val="000000"/>
        </w:rPr>
        <w:lastRenderedPageBreak/>
        <w:t>Atlikus Lietuvos investicinių fondų vertinimą, atsižvelgiant į riziką, buvo skaičiuojamas Šarpo rodiklis, kuris parodė, kad daugiausia</w:t>
      </w:r>
      <w:r w:rsidR="0008094F" w:rsidRPr="00891173">
        <w:rPr>
          <w:color w:val="000000"/>
        </w:rPr>
        <w:t>i</w:t>
      </w:r>
      <w:r w:rsidRPr="00891173">
        <w:t xml:space="preserve"> grąžos už vieną rizikos vienetą gali pasiūlyti</w:t>
      </w:r>
      <w:r w:rsidR="00B87ACE" w:rsidRPr="00891173">
        <w:t xml:space="preserve"> „Finasta besivystančios Europos obligacijų subfondas“,</w:t>
      </w:r>
      <w:r w:rsidRPr="00891173">
        <w:t xml:space="preserve"> </w:t>
      </w:r>
      <w:r w:rsidR="00B87ACE" w:rsidRPr="00891173">
        <w:t>„OMX Baltic Benchmark Fund“, „Finasta Naujosios Europos TOP 20 subfondas“ ir „</w:t>
      </w:r>
      <w:r w:rsidR="00B87ACE" w:rsidRPr="00891173">
        <w:rPr>
          <w:rFonts w:eastAsia="ArialNarrow"/>
          <w:lang w:eastAsia="en-US"/>
        </w:rPr>
        <w:t>SEB aktyviai valdomas fondų portfelis 60“</w:t>
      </w:r>
      <w:r w:rsidR="00B87ACE" w:rsidRPr="00891173">
        <w:t xml:space="preserve">. Tuo tarpu mažiausiai grąžos vienetų už vieną rizikos vienetą teikia: „Ūkio banko Rusijos subfondas“, „ZPR Amerikos mažos kapitalizacijos bendrovių akcijų atviras investicinis fondas“ ir „Finasta Rusijos TOP20 subfondas“. </w:t>
      </w:r>
      <w:r w:rsidR="0078180A" w:rsidRPr="00891173">
        <w:t xml:space="preserve">Tai parodo, kad </w:t>
      </w:r>
      <w:r w:rsidRPr="00891173">
        <w:t>rinktis investicinį fondą pagal valdymo ar pl</w:t>
      </w:r>
      <w:r w:rsidR="0078180A" w:rsidRPr="00891173">
        <w:t>atinimo bendrovę neverta, nes tos</w:t>
      </w:r>
      <w:r w:rsidRPr="00891173">
        <w:t xml:space="preserve"> pači</w:t>
      </w:r>
      <w:r w:rsidR="0078180A" w:rsidRPr="00891173">
        <w:t xml:space="preserve">os bendrovės („Finasta“) fondai </w:t>
      </w:r>
      <w:r w:rsidRPr="00891173">
        <w:t xml:space="preserve"> yra tarp didžiausią ir mažiausią grąž</w:t>
      </w:r>
      <w:r w:rsidR="009830AC" w:rsidRPr="00891173">
        <w:t>ą</w:t>
      </w:r>
      <w:r w:rsidRPr="00891173">
        <w:t xml:space="preserve"> </w:t>
      </w:r>
      <w:r w:rsidR="009830AC" w:rsidRPr="00891173">
        <w:t xml:space="preserve">už vieną rizikos vienetą siūlančių fondų. </w:t>
      </w:r>
      <w:r w:rsidR="0078180A" w:rsidRPr="00891173">
        <w:t>Taip pat nustatyta, kad esant tam pačiam pajamingumui, vertėtų rinktis tokį, fondą, kurio grąžos nuostolis yra mažiausias. O esant tam pačiam grąžos ir rizikos santykiui, reikia rinktis tą, kuris generuoja didesnę grąžą</w:t>
      </w:r>
      <w:r w:rsidR="00D357F6" w:rsidRPr="00891173">
        <w:t>. Taigi vien grąžos ir rizikos santykiu vertinti fondus neverta ir papildomai reikėtų vertinti grąžą.</w:t>
      </w:r>
    </w:p>
    <w:p w:rsidR="00E815F8" w:rsidRPr="00891173" w:rsidRDefault="000F4774" w:rsidP="00203D2D">
      <w:pPr>
        <w:pStyle w:val="ListParagraph"/>
        <w:numPr>
          <w:ilvl w:val="0"/>
          <w:numId w:val="28"/>
        </w:numPr>
        <w:tabs>
          <w:tab w:val="left" w:pos="993"/>
        </w:tabs>
        <w:autoSpaceDE w:val="0"/>
        <w:autoSpaceDN w:val="0"/>
        <w:adjustRightInd w:val="0"/>
        <w:spacing w:after="240" w:line="360" w:lineRule="auto"/>
        <w:ind w:left="0" w:firstLine="567"/>
        <w:jc w:val="both"/>
        <w:rPr>
          <w:color w:val="000000"/>
        </w:rPr>
      </w:pPr>
      <w:r w:rsidRPr="00891173">
        <w:rPr>
          <w:color w:val="000000"/>
        </w:rPr>
        <w:t>Anketinės apklausos rezultatų analizė atskleidė, kad jaunesniojo amžiaus respondentai apie investavimą į investicinius fondus sužinojo iš aukštojo mokslo institucijos ir interneto, o vyresniojo amžiaus respondentams buvo pasiūlyta banke ir draugų ar pažįstamų. Renkantis fondo platinimo bendrovę, respondentams svarbiausia fondo praeities rezultatai. Daugiausiai investuojama į mišrius ir nuosavybės VP investicinius fondus, o investuotojai daugiausiai (54 proc. apklaustųjų) siekia greito investuotų lėšų padidėjimo</w:t>
      </w:r>
      <w:r w:rsidR="004B5CF8" w:rsidRPr="00891173">
        <w:rPr>
          <w:color w:val="000000"/>
        </w:rPr>
        <w:t>, nors skiriamų pajamų dalis investicijoms yra maža – iki 14 proc. nuo gauna</w:t>
      </w:r>
      <w:r w:rsidR="00B85755" w:rsidRPr="00891173">
        <w:rPr>
          <w:color w:val="000000"/>
        </w:rPr>
        <w:t xml:space="preserve">mų pajamų. Tačiau respondentai </w:t>
      </w:r>
      <w:r w:rsidR="004B5CF8" w:rsidRPr="00891173">
        <w:rPr>
          <w:color w:val="000000"/>
        </w:rPr>
        <w:t>savo fondų rezultatus vertina teigiamai ir yra optimistiškai nusiteikę padidinti jų vertę, todėl 62 proc. apklaustųjų dar neketina parduoti investicinių fondų vienetų. Tyrimas atskleidė, kad investicinius fondus respondentai renkasi pagal mokesčius, nes juos tenkina taikomi fondų mokesčiai. Svarbiausia, kad visi apklausos tyrime nagrinėti fondų pasirinkimo kriterijai yra svarbūs Lietuvos investuotojams, tačiau didžiausią dėmesį teikia investicinių fondų pelningumui ir rizikai, bei taikomiems mokesčiams. Vadinasi, tyrimo pradžioje iškelta hipotezė yra patvirtinta</w:t>
      </w:r>
      <w:r w:rsidR="00B85755" w:rsidRPr="00891173">
        <w:rPr>
          <w:color w:val="000000"/>
        </w:rPr>
        <w:t>.</w:t>
      </w:r>
    </w:p>
    <w:p w:rsidR="004B5CF8" w:rsidRPr="00891173" w:rsidRDefault="004B5CF8" w:rsidP="00E815F8">
      <w:pPr>
        <w:pStyle w:val="ListParagraph"/>
        <w:autoSpaceDE w:val="0"/>
        <w:autoSpaceDN w:val="0"/>
        <w:adjustRightInd w:val="0"/>
        <w:spacing w:before="240" w:line="360" w:lineRule="auto"/>
        <w:ind w:left="567"/>
        <w:jc w:val="both"/>
        <w:rPr>
          <w:b/>
          <w:color w:val="000000"/>
        </w:rPr>
      </w:pPr>
      <w:r w:rsidRPr="00891173">
        <w:rPr>
          <w:b/>
          <w:color w:val="000000"/>
        </w:rPr>
        <w:t>Pasiūlymai:</w:t>
      </w:r>
    </w:p>
    <w:p w:rsidR="0089740F" w:rsidRPr="00891173" w:rsidRDefault="0059288E" w:rsidP="00203D2D">
      <w:pPr>
        <w:pStyle w:val="ListParagraph"/>
        <w:numPr>
          <w:ilvl w:val="0"/>
          <w:numId w:val="29"/>
        </w:numPr>
        <w:tabs>
          <w:tab w:val="left" w:pos="851"/>
        </w:tabs>
        <w:autoSpaceDE w:val="0"/>
        <w:autoSpaceDN w:val="0"/>
        <w:adjustRightInd w:val="0"/>
        <w:spacing w:line="360" w:lineRule="auto"/>
        <w:ind w:left="0" w:firstLine="567"/>
        <w:jc w:val="both"/>
        <w:rPr>
          <w:color w:val="000000"/>
        </w:rPr>
      </w:pPr>
      <w:r w:rsidRPr="00891173">
        <w:rPr>
          <w:color w:val="000000"/>
        </w:rPr>
        <w:t xml:space="preserve">Remiantis kokie nusistatyti investavimo tikslai, reikia atsakingai rinktis vertinimo metodus. Jeigu svarbiausia rizika – siūloma remtis standartiniu nuokrypiu, jei pelningumas – grąžos rodikliais, jei norima palyginti pagal pelningumą ir riziką – Šarpo rodiklis. </w:t>
      </w:r>
      <w:r w:rsidR="00115562" w:rsidRPr="00891173">
        <w:rPr>
          <w:color w:val="000000"/>
        </w:rPr>
        <w:t>Norint kuo teisingiau pasirinkti investic</w:t>
      </w:r>
      <w:r w:rsidR="0089740F" w:rsidRPr="00891173">
        <w:rPr>
          <w:color w:val="000000"/>
        </w:rPr>
        <w:t xml:space="preserve">inį fondą, neužtenka jų veiklą </w:t>
      </w:r>
      <w:r w:rsidR="00115562" w:rsidRPr="00891173">
        <w:rPr>
          <w:color w:val="000000"/>
        </w:rPr>
        <w:t xml:space="preserve">vertinti vienu metodu. </w:t>
      </w:r>
      <w:r w:rsidR="0089740F" w:rsidRPr="00891173">
        <w:rPr>
          <w:color w:val="000000"/>
        </w:rPr>
        <w:t xml:space="preserve">Patartina </w:t>
      </w:r>
      <w:r w:rsidR="00CC4938" w:rsidRPr="00891173">
        <w:rPr>
          <w:color w:val="000000"/>
        </w:rPr>
        <w:t>naudoti</w:t>
      </w:r>
      <w:r w:rsidR="0089740F" w:rsidRPr="00891173">
        <w:rPr>
          <w:color w:val="000000"/>
        </w:rPr>
        <w:t xml:space="preserve"> Šarpo</w:t>
      </w:r>
      <w:r w:rsidR="00CC4938" w:rsidRPr="00891173">
        <w:rPr>
          <w:color w:val="000000"/>
        </w:rPr>
        <w:t xml:space="preserve"> rodiklį, nes galima palyginti skirtingos investavimo strategijos fondus tarpusavyje. Taip pat</w:t>
      </w:r>
      <w:r w:rsidR="00406C1A" w:rsidRPr="00891173">
        <w:rPr>
          <w:color w:val="000000"/>
        </w:rPr>
        <w:t xml:space="preserve"> kartu</w:t>
      </w:r>
      <w:r w:rsidR="00CC4938" w:rsidRPr="00891173">
        <w:rPr>
          <w:color w:val="000000"/>
        </w:rPr>
        <w:t xml:space="preserve"> naudoti</w:t>
      </w:r>
      <w:r w:rsidR="0089740F" w:rsidRPr="00891173">
        <w:rPr>
          <w:color w:val="000000"/>
        </w:rPr>
        <w:t xml:space="preserve"> grąžos dydžius, nes tik platus fondų veiklos </w:t>
      </w:r>
      <w:r w:rsidR="00115562" w:rsidRPr="00891173">
        <w:rPr>
          <w:color w:val="000000"/>
        </w:rPr>
        <w:t xml:space="preserve">vertinimas, </w:t>
      </w:r>
      <w:r w:rsidR="009C0229" w:rsidRPr="00891173">
        <w:rPr>
          <w:color w:val="000000"/>
        </w:rPr>
        <w:t>derinant</w:t>
      </w:r>
      <w:r w:rsidR="003F08F8" w:rsidRPr="00891173">
        <w:rPr>
          <w:color w:val="000000"/>
        </w:rPr>
        <w:t xml:space="preserve"> įvairius vertinimo metodus, gali padėti išsirinkti tinkamiausią fondą</w:t>
      </w:r>
      <w:r w:rsidR="009C0229" w:rsidRPr="00891173">
        <w:rPr>
          <w:color w:val="000000"/>
        </w:rPr>
        <w:t>.</w:t>
      </w:r>
      <w:r w:rsidR="000C22D0" w:rsidRPr="00891173">
        <w:rPr>
          <w:color w:val="000000"/>
        </w:rPr>
        <w:t xml:space="preserve"> </w:t>
      </w:r>
    </w:p>
    <w:p w:rsidR="0059288E" w:rsidRPr="00891173" w:rsidRDefault="003F08F8" w:rsidP="00203D2D">
      <w:pPr>
        <w:pStyle w:val="ListParagraph"/>
        <w:numPr>
          <w:ilvl w:val="0"/>
          <w:numId w:val="29"/>
        </w:numPr>
        <w:tabs>
          <w:tab w:val="left" w:pos="851"/>
        </w:tabs>
        <w:autoSpaceDE w:val="0"/>
        <w:autoSpaceDN w:val="0"/>
        <w:adjustRightInd w:val="0"/>
        <w:spacing w:after="200" w:line="360" w:lineRule="auto"/>
        <w:ind w:left="0" w:firstLine="567"/>
        <w:jc w:val="both"/>
      </w:pPr>
      <w:r w:rsidRPr="00891173">
        <w:rPr>
          <w:color w:val="000000"/>
        </w:rPr>
        <w:t xml:space="preserve">Lietuvos gyventojai siekia greito pajamų padidėjimo, tačiau investavimas </w:t>
      </w:r>
      <w:r w:rsidR="00130FAE" w:rsidRPr="00891173">
        <w:rPr>
          <w:color w:val="000000"/>
        </w:rPr>
        <w:t>į fondus yra ilgalaikė investavimo priemonė</w:t>
      </w:r>
      <w:r w:rsidR="00EC5ABA" w:rsidRPr="00891173">
        <w:rPr>
          <w:color w:val="000000"/>
        </w:rPr>
        <w:t xml:space="preserve">. Todėl siekiant investuoti tam tikram terminui, reikėtų rinktis investicijas </w:t>
      </w:r>
      <w:r w:rsidR="0059288E" w:rsidRPr="00891173">
        <w:rPr>
          <w:color w:val="000000"/>
        </w:rPr>
        <w:t>pagal rizikingumo lygį.</w:t>
      </w:r>
      <w:r w:rsidR="0059288E" w:rsidRPr="00891173">
        <w:br w:type="page"/>
      </w:r>
    </w:p>
    <w:p w:rsidR="00676026" w:rsidRPr="00891173" w:rsidRDefault="00676026" w:rsidP="0082397E">
      <w:pPr>
        <w:pStyle w:val="Heading1"/>
        <w:spacing w:before="0" w:after="120"/>
        <w:rPr>
          <w:b/>
          <w:sz w:val="24"/>
          <w:szCs w:val="24"/>
        </w:rPr>
      </w:pPr>
      <w:bookmarkStart w:id="14" w:name="_Toc343602006"/>
      <w:r w:rsidRPr="00891173">
        <w:rPr>
          <w:b/>
          <w:sz w:val="24"/>
          <w:szCs w:val="24"/>
        </w:rPr>
        <w:lastRenderedPageBreak/>
        <w:t>LITERATŪRA</w:t>
      </w:r>
      <w:bookmarkEnd w:id="14"/>
    </w:p>
    <w:p w:rsidR="00676026" w:rsidRPr="00891173" w:rsidRDefault="00676026" w:rsidP="00676026">
      <w:pPr>
        <w:autoSpaceDE w:val="0"/>
        <w:autoSpaceDN w:val="0"/>
        <w:adjustRightInd w:val="0"/>
        <w:spacing w:line="360" w:lineRule="auto"/>
        <w:jc w:val="center"/>
      </w:pPr>
    </w:p>
    <w:p w:rsidR="00676026" w:rsidRPr="00891173" w:rsidRDefault="00676026" w:rsidP="00203D2D">
      <w:pPr>
        <w:pStyle w:val="Default"/>
        <w:numPr>
          <w:ilvl w:val="0"/>
          <w:numId w:val="4"/>
        </w:numPr>
        <w:tabs>
          <w:tab w:val="clear" w:pos="1080"/>
          <w:tab w:val="left" w:pos="426"/>
        </w:tabs>
        <w:spacing w:line="360" w:lineRule="auto"/>
        <w:ind w:left="0" w:firstLine="0"/>
        <w:jc w:val="both"/>
      </w:pPr>
      <w:r w:rsidRPr="00891173">
        <w:rPr>
          <w:b/>
          <w:bCs/>
        </w:rPr>
        <w:t>Artikis G. P</w:t>
      </w:r>
      <w:r w:rsidRPr="00891173">
        <w:t xml:space="preserve">. Performance evaluation: A Case study of the Greek Balanced Mutual Funds // Managerial Finance. - Barmarick Publications, 2003, Nr. 29(9), p. 1-8. - ISSN: 0307-4358 </w:t>
      </w:r>
    </w:p>
    <w:p w:rsidR="00676026" w:rsidRPr="00891173" w:rsidRDefault="00676026" w:rsidP="00203D2D">
      <w:pPr>
        <w:numPr>
          <w:ilvl w:val="0"/>
          <w:numId w:val="4"/>
        </w:numPr>
        <w:tabs>
          <w:tab w:val="clear" w:pos="1080"/>
          <w:tab w:val="num" w:pos="426"/>
        </w:tabs>
        <w:autoSpaceDE w:val="0"/>
        <w:autoSpaceDN w:val="0"/>
        <w:adjustRightInd w:val="0"/>
        <w:spacing w:line="360" w:lineRule="auto"/>
        <w:ind w:left="0" w:firstLine="0"/>
        <w:jc w:val="both"/>
      </w:pPr>
      <w:r w:rsidRPr="00891173">
        <w:rPr>
          <w:b/>
        </w:rPr>
        <w:t>Bagdonas</w:t>
      </w:r>
      <w:r w:rsidRPr="00891173">
        <w:t xml:space="preserve"> A. Vertybinių portfelio sudarymas ir valdymas Lietuvoje. Lietuvos žemės ūkio universitetas.  </w:t>
      </w:r>
      <w:hyperlink r:id="rId34" w:history="1">
        <w:r w:rsidRPr="00891173">
          <w:rPr>
            <w:rStyle w:val="Hyperlink"/>
            <w:color w:val="auto"/>
            <w:u w:val="none"/>
          </w:rPr>
          <w:t>http://www.lzuu.lt/jaunasis_mokslininkas/smk_2006/finansai/Bagdonas%20Aivaras.pdf</w:t>
        </w:r>
      </w:hyperlink>
      <w:r w:rsidRPr="00891173">
        <w:t xml:space="preserve"> </w:t>
      </w:r>
      <w:r w:rsidR="004709E0" w:rsidRPr="00891173">
        <w:t>[žiūrėta 2012-02-</w:t>
      </w:r>
      <w:r w:rsidRPr="00891173">
        <w:t>20]</w:t>
      </w:r>
    </w:p>
    <w:p w:rsidR="00676026" w:rsidRPr="00891173" w:rsidRDefault="00676026" w:rsidP="00203D2D">
      <w:pPr>
        <w:numPr>
          <w:ilvl w:val="0"/>
          <w:numId w:val="4"/>
        </w:numPr>
        <w:tabs>
          <w:tab w:val="clear" w:pos="1080"/>
          <w:tab w:val="num" w:pos="426"/>
        </w:tabs>
        <w:autoSpaceDE w:val="0"/>
        <w:autoSpaceDN w:val="0"/>
        <w:adjustRightInd w:val="0"/>
        <w:spacing w:line="360" w:lineRule="auto"/>
        <w:ind w:left="0" w:firstLine="0"/>
        <w:jc w:val="both"/>
      </w:pPr>
      <w:r w:rsidRPr="00891173">
        <w:rPr>
          <w:rFonts w:eastAsiaTheme="minorHAnsi"/>
          <w:b/>
          <w:lang w:eastAsia="en-US"/>
        </w:rPr>
        <w:t>Balčienė N</w:t>
      </w:r>
      <w:r w:rsidRPr="00891173">
        <w:rPr>
          <w:rFonts w:eastAsiaTheme="minorHAnsi"/>
          <w:lang w:eastAsia="en-US"/>
        </w:rPr>
        <w:t xml:space="preserve">. Lietuvos privačių pensijų fondų vertinimo reikšmingumas. Lietuvos žemės ūkio universitetas. </w:t>
      </w:r>
      <w:hyperlink r:id="rId35" w:history="1">
        <w:r w:rsidRPr="00891173">
          <w:rPr>
            <w:rStyle w:val="Hyperlink"/>
            <w:color w:val="auto"/>
            <w:u w:val="none"/>
          </w:rPr>
          <w:t>http://www.danskebankas.lt/investavimas/vertazinoti/ifondus</w:t>
        </w:r>
      </w:hyperlink>
      <w:r w:rsidRPr="00891173">
        <w:t xml:space="preserve"> [žiūrėta </w:t>
      </w:r>
      <w:r w:rsidR="004709E0" w:rsidRPr="00891173">
        <w:t>2012-02-</w:t>
      </w:r>
      <w:r w:rsidRPr="00891173">
        <w:t>18]</w:t>
      </w:r>
    </w:p>
    <w:p w:rsidR="000476DC" w:rsidRPr="00891173" w:rsidRDefault="000476DC" w:rsidP="00203D2D">
      <w:pPr>
        <w:numPr>
          <w:ilvl w:val="0"/>
          <w:numId w:val="4"/>
        </w:numPr>
        <w:tabs>
          <w:tab w:val="clear" w:pos="1080"/>
          <w:tab w:val="num" w:pos="426"/>
        </w:tabs>
        <w:autoSpaceDE w:val="0"/>
        <w:autoSpaceDN w:val="0"/>
        <w:adjustRightInd w:val="0"/>
        <w:spacing w:line="360" w:lineRule="auto"/>
        <w:ind w:left="0" w:firstLine="0"/>
        <w:jc w:val="both"/>
      </w:pPr>
      <w:r w:rsidRPr="00891173">
        <w:rPr>
          <w:rFonts w:eastAsiaTheme="minorHAnsi"/>
          <w:b/>
          <w:lang w:eastAsia="en-US"/>
        </w:rPr>
        <w:t>Barkauskienė K., Snieška V.</w:t>
      </w:r>
      <w:r w:rsidR="00AE2C9E" w:rsidRPr="00891173">
        <w:rPr>
          <w:rFonts w:eastAsiaTheme="minorHAnsi"/>
          <w:b/>
          <w:lang w:eastAsia="en-US"/>
        </w:rPr>
        <w:t xml:space="preserve"> </w:t>
      </w:r>
      <w:r w:rsidRPr="00891173">
        <w:rPr>
          <w:rFonts w:eastAsiaTheme="minorHAnsi"/>
          <w:lang w:eastAsia="en-US"/>
        </w:rPr>
        <w:t>Lietuvos investuotojų fondų pasirinkimą lemiantys kriterijai // Ekonomika ir vadyba</w:t>
      </w:r>
      <w:r w:rsidR="00AE2C9E" w:rsidRPr="00891173">
        <w:rPr>
          <w:rFonts w:eastAsiaTheme="minorHAnsi"/>
          <w:lang w:eastAsia="en-US"/>
        </w:rPr>
        <w:t>. 2011, Nr. 16, p. 101-108.</w:t>
      </w:r>
    </w:p>
    <w:p w:rsidR="008409C5" w:rsidRPr="00891173" w:rsidRDefault="008409C5" w:rsidP="00203D2D">
      <w:pPr>
        <w:pStyle w:val="ListParagraph"/>
        <w:numPr>
          <w:ilvl w:val="0"/>
          <w:numId w:val="4"/>
        </w:numPr>
        <w:tabs>
          <w:tab w:val="clear" w:pos="1080"/>
          <w:tab w:val="num" w:pos="426"/>
        </w:tabs>
        <w:autoSpaceDE w:val="0"/>
        <w:autoSpaceDN w:val="0"/>
        <w:adjustRightInd w:val="0"/>
        <w:spacing w:line="360" w:lineRule="auto"/>
        <w:ind w:left="0" w:firstLine="0"/>
        <w:jc w:val="both"/>
        <w:rPr>
          <w:rFonts w:eastAsiaTheme="minorHAnsi"/>
          <w:lang w:eastAsia="en-US"/>
        </w:rPr>
      </w:pPr>
      <w:r w:rsidRPr="00891173">
        <w:rPr>
          <w:rFonts w:eastAsiaTheme="minorHAnsi"/>
          <w:b/>
          <w:lang w:eastAsia="en-US"/>
        </w:rPr>
        <w:t xml:space="preserve">Barker B., Hui, B. </w:t>
      </w:r>
      <w:r w:rsidRPr="00891173">
        <w:rPr>
          <w:rFonts w:eastAsiaTheme="minorHAnsi"/>
          <w:lang w:eastAsia="en-US"/>
        </w:rPr>
        <w:t xml:space="preserve"> Hedge fund – the way forward? // Balance sheet. – 2003, Nr. 1, p. 32-36</w:t>
      </w:r>
    </w:p>
    <w:p w:rsidR="00676026" w:rsidRPr="00891173" w:rsidRDefault="00676026" w:rsidP="00203D2D">
      <w:pPr>
        <w:pStyle w:val="ListParagraph"/>
        <w:numPr>
          <w:ilvl w:val="0"/>
          <w:numId w:val="4"/>
        </w:numPr>
        <w:tabs>
          <w:tab w:val="clear" w:pos="1080"/>
          <w:tab w:val="num" w:pos="426"/>
        </w:tabs>
        <w:autoSpaceDE w:val="0"/>
        <w:autoSpaceDN w:val="0"/>
        <w:adjustRightInd w:val="0"/>
        <w:spacing w:line="360" w:lineRule="auto"/>
        <w:ind w:left="0" w:firstLine="0"/>
        <w:jc w:val="both"/>
        <w:rPr>
          <w:rFonts w:eastAsiaTheme="minorHAnsi"/>
          <w:lang w:eastAsia="en-US"/>
        </w:rPr>
      </w:pPr>
      <w:r w:rsidRPr="00891173">
        <w:rPr>
          <w:rFonts w:eastAsiaTheme="minorHAnsi"/>
          <w:b/>
          <w:lang w:eastAsia="en-US"/>
        </w:rPr>
        <w:t>Bivainis J., Volodzkienė L.</w:t>
      </w:r>
      <w:r w:rsidRPr="00891173">
        <w:rPr>
          <w:rFonts w:eastAsiaTheme="minorHAnsi"/>
          <w:lang w:eastAsia="en-US"/>
        </w:rPr>
        <w:t xml:space="preserve"> Nekilnojamojo turto investiciniai fondai: vieta investicinių fondų įvairovėje // Verslas: teorija ir praktika. – 2008, Nr. 9(3), p. 149-159.</w:t>
      </w:r>
    </w:p>
    <w:p w:rsidR="00676026" w:rsidRPr="00891173" w:rsidRDefault="00676026" w:rsidP="00203D2D">
      <w:pPr>
        <w:pStyle w:val="ListParagraph"/>
        <w:numPr>
          <w:ilvl w:val="0"/>
          <w:numId w:val="4"/>
        </w:numPr>
        <w:tabs>
          <w:tab w:val="clear" w:pos="1080"/>
          <w:tab w:val="num" w:pos="426"/>
        </w:tabs>
        <w:autoSpaceDE w:val="0"/>
        <w:autoSpaceDN w:val="0"/>
        <w:adjustRightInd w:val="0"/>
        <w:spacing w:line="360" w:lineRule="auto"/>
        <w:ind w:left="0" w:firstLine="0"/>
        <w:jc w:val="both"/>
        <w:rPr>
          <w:rFonts w:eastAsiaTheme="minorHAnsi"/>
          <w:lang w:eastAsia="en-US"/>
        </w:rPr>
      </w:pPr>
      <w:r w:rsidRPr="00891173">
        <w:rPr>
          <w:rFonts w:eastAsiaTheme="minorHAnsi"/>
          <w:b/>
          <w:lang w:eastAsia="en-US"/>
        </w:rPr>
        <w:t>Bodie, Z., et al</w:t>
      </w:r>
      <w:r w:rsidRPr="00891173">
        <w:rPr>
          <w:rFonts w:eastAsiaTheme="minorHAnsi"/>
          <w:lang w:eastAsia="en-US"/>
        </w:rPr>
        <w:t xml:space="preserve">.. </w:t>
      </w:r>
      <w:r w:rsidRPr="00891173">
        <w:rPr>
          <w:rFonts w:eastAsiaTheme="minorHAnsi"/>
          <w:iCs/>
          <w:lang w:eastAsia="en-US"/>
        </w:rPr>
        <w:t>Investments</w:t>
      </w:r>
      <w:r w:rsidRPr="00891173">
        <w:rPr>
          <w:rFonts w:eastAsiaTheme="minorHAnsi"/>
          <w:lang w:eastAsia="en-US"/>
        </w:rPr>
        <w:t>. – New York: McGr</w:t>
      </w:r>
      <w:r w:rsidR="008409C5" w:rsidRPr="00891173">
        <w:rPr>
          <w:rFonts w:eastAsiaTheme="minorHAnsi"/>
          <w:lang w:eastAsia="en-US"/>
        </w:rPr>
        <w:t>aw-Hill Higher Education, 2002.</w:t>
      </w:r>
    </w:p>
    <w:p w:rsidR="00676026" w:rsidRPr="00891173" w:rsidRDefault="00676026" w:rsidP="00203D2D">
      <w:pPr>
        <w:pStyle w:val="ListParagraph"/>
        <w:numPr>
          <w:ilvl w:val="0"/>
          <w:numId w:val="4"/>
        </w:numPr>
        <w:tabs>
          <w:tab w:val="clear" w:pos="1080"/>
          <w:tab w:val="num" w:pos="426"/>
        </w:tabs>
        <w:autoSpaceDE w:val="0"/>
        <w:autoSpaceDN w:val="0"/>
        <w:adjustRightInd w:val="0"/>
        <w:spacing w:line="360" w:lineRule="auto"/>
        <w:ind w:left="0" w:firstLine="0"/>
        <w:jc w:val="both"/>
        <w:rPr>
          <w:rFonts w:eastAsiaTheme="minorHAnsi"/>
          <w:lang w:eastAsia="en-US"/>
        </w:rPr>
      </w:pPr>
      <w:r w:rsidRPr="00891173">
        <w:rPr>
          <w:rFonts w:eastAsia="MinionPro-Regular"/>
          <w:b/>
          <w:lang w:eastAsia="en-US"/>
        </w:rPr>
        <w:t>Čepinskis, J.; Kuzmickas, D.</w:t>
      </w:r>
      <w:r w:rsidRPr="00891173">
        <w:rPr>
          <w:rFonts w:eastAsia="MinionPro-Regular"/>
          <w:lang w:eastAsia="en-US"/>
        </w:rPr>
        <w:t xml:space="preserve"> Investiciniai fondai ir finansų valdymas // </w:t>
      </w:r>
      <w:r w:rsidRPr="00891173">
        <w:rPr>
          <w:rFonts w:eastAsia="MinionPro-It"/>
          <w:iCs/>
          <w:lang w:eastAsia="en-US"/>
        </w:rPr>
        <w:t xml:space="preserve">Organizacijų vadyba: sisteminiai tyrimai. – 1997, Nr. </w:t>
      </w:r>
      <w:r w:rsidRPr="00891173">
        <w:rPr>
          <w:rFonts w:eastAsia="MinionPro-Regular"/>
          <w:lang w:eastAsia="en-US"/>
        </w:rPr>
        <w:t>4, p. 7–23.</w:t>
      </w:r>
    </w:p>
    <w:p w:rsidR="00012C66" w:rsidRPr="00891173" w:rsidRDefault="003E7ED5" w:rsidP="00203D2D">
      <w:pPr>
        <w:pStyle w:val="ListParagraph"/>
        <w:numPr>
          <w:ilvl w:val="0"/>
          <w:numId w:val="4"/>
        </w:numPr>
        <w:tabs>
          <w:tab w:val="clear" w:pos="1080"/>
          <w:tab w:val="num" w:pos="426"/>
        </w:tabs>
        <w:autoSpaceDE w:val="0"/>
        <w:autoSpaceDN w:val="0"/>
        <w:adjustRightInd w:val="0"/>
        <w:spacing w:line="360" w:lineRule="auto"/>
        <w:ind w:left="0" w:firstLine="0"/>
        <w:jc w:val="both"/>
        <w:rPr>
          <w:sz w:val="23"/>
          <w:szCs w:val="23"/>
        </w:rPr>
      </w:pPr>
      <w:r w:rsidRPr="00891173">
        <w:rPr>
          <w:rFonts w:eastAsia="MinionPro-Regular"/>
          <w:b/>
          <w:lang w:eastAsia="en-US"/>
        </w:rPr>
        <w:t>DNB investiciniai fondai.</w:t>
      </w:r>
      <w:r w:rsidRPr="00891173">
        <w:rPr>
          <w:rFonts w:eastAsiaTheme="minorHAnsi"/>
          <w:lang w:eastAsia="en-US"/>
        </w:rPr>
        <w:t xml:space="preserve"> </w:t>
      </w:r>
      <w:hyperlink r:id="rId36" w:history="1">
        <w:r w:rsidRPr="00891173">
          <w:rPr>
            <w:rStyle w:val="Hyperlink"/>
            <w:rFonts w:eastAsiaTheme="minorHAnsi"/>
            <w:color w:val="auto"/>
            <w:u w:val="none"/>
            <w:lang w:eastAsia="en-US"/>
          </w:rPr>
          <w:t>http://www.dnb.lt/lt/investiciju-valdymas/investiciniai-fondai/</w:t>
        </w:r>
      </w:hyperlink>
      <w:r w:rsidRPr="00891173">
        <w:rPr>
          <w:rFonts w:eastAsiaTheme="minorHAnsi"/>
          <w:lang w:eastAsia="en-US"/>
        </w:rPr>
        <w:t xml:space="preserve"> [žiūrėta 2012-11-15]</w:t>
      </w:r>
    </w:p>
    <w:p w:rsidR="00012C66" w:rsidRPr="00891173" w:rsidRDefault="00012C66" w:rsidP="00203D2D">
      <w:pPr>
        <w:pStyle w:val="ListParagraph"/>
        <w:numPr>
          <w:ilvl w:val="0"/>
          <w:numId w:val="4"/>
        </w:numPr>
        <w:tabs>
          <w:tab w:val="clear" w:pos="1080"/>
          <w:tab w:val="num" w:pos="426"/>
        </w:tabs>
        <w:autoSpaceDE w:val="0"/>
        <w:autoSpaceDN w:val="0"/>
        <w:adjustRightInd w:val="0"/>
        <w:spacing w:line="360" w:lineRule="auto"/>
        <w:ind w:left="0" w:firstLine="0"/>
        <w:jc w:val="both"/>
      </w:pPr>
      <w:r w:rsidRPr="00891173">
        <w:rPr>
          <w:b/>
        </w:rPr>
        <w:t>Dzikevičius A.</w:t>
      </w:r>
      <w:r w:rsidRPr="00891173">
        <w:t xml:space="preserve"> Vertinimo, koreguoto pagal riziką, metodikų palyginamoji analizė // LŽŪU moklso darbai. – 2004, Nr. 64 (17), p. 97-103.</w:t>
      </w:r>
    </w:p>
    <w:p w:rsidR="006F1160" w:rsidRPr="00891173" w:rsidRDefault="006F1160" w:rsidP="00203D2D">
      <w:pPr>
        <w:pStyle w:val="ListParagraph"/>
        <w:numPr>
          <w:ilvl w:val="0"/>
          <w:numId w:val="4"/>
        </w:numPr>
        <w:tabs>
          <w:tab w:val="clear" w:pos="1080"/>
          <w:tab w:val="num" w:pos="426"/>
        </w:tabs>
        <w:spacing w:line="360" w:lineRule="auto"/>
        <w:ind w:left="0" w:firstLine="0"/>
        <w:jc w:val="both"/>
        <w:rPr>
          <w:rFonts w:eastAsia="MinionPro-Regular"/>
        </w:rPr>
      </w:pPr>
      <w:r w:rsidRPr="00891173">
        <w:rPr>
          <w:rFonts w:eastAsia="MinionPro-Regular"/>
          <w:b/>
        </w:rPr>
        <w:t>Gavrilova I.</w:t>
      </w:r>
      <w:r w:rsidRPr="00891173">
        <w:rPr>
          <w:rFonts w:eastAsia="MinionPro-Regular"/>
        </w:rPr>
        <w:t xml:space="preserve"> Lietuvos investicinių fondų veiklos vertinimas, atsižvelgiant į riziką ir savalaikiškumą // Mokslas – Lietuvos ateitis. – 2011, 3(4), p. 5-12.</w:t>
      </w:r>
    </w:p>
    <w:p w:rsidR="006F1160" w:rsidRPr="00891173" w:rsidRDefault="006F1160" w:rsidP="00203D2D">
      <w:pPr>
        <w:pStyle w:val="ListParagraph"/>
        <w:numPr>
          <w:ilvl w:val="0"/>
          <w:numId w:val="4"/>
        </w:numPr>
        <w:tabs>
          <w:tab w:val="clear" w:pos="1080"/>
          <w:tab w:val="num" w:pos="426"/>
        </w:tabs>
        <w:spacing w:line="360" w:lineRule="auto"/>
        <w:ind w:left="0" w:firstLine="0"/>
        <w:jc w:val="both"/>
        <w:rPr>
          <w:rFonts w:eastAsia="MinionPro-Regular"/>
        </w:rPr>
      </w:pPr>
      <w:r w:rsidRPr="00891173">
        <w:rPr>
          <w:rFonts w:eastAsia="MinionPro-Regular"/>
          <w:b/>
        </w:rPr>
        <w:t xml:space="preserve">Gourieroux  G., Monfort, A. </w:t>
      </w:r>
      <w:r w:rsidRPr="00891173">
        <w:rPr>
          <w:rFonts w:eastAsia="MinionPro-Regular"/>
        </w:rPr>
        <w:t xml:space="preserve">Allocating Systematic and Unsystematic Risks in a Regulatory Perspective. University of Toronto, 2010. </w:t>
      </w:r>
      <w:hyperlink r:id="rId37" w:history="1">
        <w:r w:rsidRPr="00891173">
          <w:rPr>
            <w:rStyle w:val="Hyperlink"/>
            <w:rFonts w:eastAsia="MinionPro-Regular"/>
            <w:color w:val="auto"/>
            <w:u w:val="none"/>
          </w:rPr>
          <w:t>http://www.greta.it/credit/credit2011/PAPERS/Speakers/Friday_30/6_Monfort.pdf</w:t>
        </w:r>
      </w:hyperlink>
      <w:r w:rsidRPr="00891173">
        <w:rPr>
          <w:rFonts w:eastAsia="MinionPro-Regular"/>
        </w:rPr>
        <w:t xml:space="preserve"> [žiūrėta 2012 02 28]   </w:t>
      </w:r>
    </w:p>
    <w:p w:rsidR="005C37DA" w:rsidRPr="00891173" w:rsidRDefault="005C37DA" w:rsidP="00203D2D">
      <w:pPr>
        <w:pStyle w:val="ListParagraph"/>
        <w:numPr>
          <w:ilvl w:val="0"/>
          <w:numId w:val="4"/>
        </w:numPr>
        <w:tabs>
          <w:tab w:val="clear" w:pos="1080"/>
          <w:tab w:val="num" w:pos="426"/>
        </w:tabs>
        <w:autoSpaceDE w:val="0"/>
        <w:autoSpaceDN w:val="0"/>
        <w:adjustRightInd w:val="0"/>
        <w:spacing w:line="360" w:lineRule="auto"/>
        <w:ind w:left="0" w:firstLine="0"/>
        <w:jc w:val="both"/>
        <w:rPr>
          <w:rFonts w:eastAsiaTheme="minorHAnsi"/>
          <w:lang w:eastAsia="en-US"/>
        </w:rPr>
      </w:pPr>
      <w:r w:rsidRPr="00891173">
        <w:rPr>
          <w:rFonts w:eastAsia="MinionPro-Regular"/>
          <w:b/>
          <w:lang w:eastAsia="en-US"/>
        </w:rPr>
        <w:t>Investiciniai fondai.</w:t>
      </w:r>
      <w:r w:rsidRPr="00891173">
        <w:rPr>
          <w:rFonts w:eastAsiaTheme="minorHAnsi"/>
          <w:lang w:eastAsia="en-US"/>
        </w:rPr>
        <w:t xml:space="preserve"> </w:t>
      </w:r>
      <w:hyperlink r:id="rId38" w:history="1">
        <w:r w:rsidRPr="00891173">
          <w:rPr>
            <w:rStyle w:val="Hyperlink"/>
            <w:rFonts w:eastAsiaTheme="minorHAnsi"/>
            <w:color w:val="auto"/>
            <w:u w:val="none"/>
            <w:lang w:eastAsia="en-US"/>
          </w:rPr>
          <w:t>http://www.lb.lt/investiciniai_fondai</w:t>
        </w:r>
      </w:hyperlink>
      <w:r w:rsidRPr="00891173">
        <w:rPr>
          <w:rFonts w:eastAsiaTheme="minorHAnsi"/>
          <w:lang w:eastAsia="en-US"/>
        </w:rPr>
        <w:t xml:space="preserve"> [žiūrėta 2012-09-05]</w:t>
      </w:r>
    </w:p>
    <w:p w:rsidR="00BD39B7" w:rsidRPr="00891173" w:rsidRDefault="00BD39B7" w:rsidP="00203D2D">
      <w:pPr>
        <w:numPr>
          <w:ilvl w:val="0"/>
          <w:numId w:val="4"/>
        </w:numPr>
        <w:tabs>
          <w:tab w:val="clear" w:pos="1080"/>
          <w:tab w:val="num" w:pos="426"/>
        </w:tabs>
        <w:autoSpaceDE w:val="0"/>
        <w:autoSpaceDN w:val="0"/>
        <w:adjustRightInd w:val="0"/>
        <w:spacing w:line="360" w:lineRule="auto"/>
        <w:ind w:left="0" w:firstLine="0"/>
        <w:jc w:val="both"/>
      </w:pPr>
      <w:r w:rsidRPr="00891173">
        <w:rPr>
          <w:b/>
        </w:rPr>
        <w:t>Investicinių fondų ataskaitos</w:t>
      </w:r>
      <w:r w:rsidRPr="00891173">
        <w:t xml:space="preserve">. </w:t>
      </w:r>
      <w:hyperlink r:id="rId39" w:history="1">
        <w:r w:rsidRPr="00891173">
          <w:rPr>
            <w:rStyle w:val="Hyperlink"/>
            <w:color w:val="auto"/>
            <w:u w:val="none"/>
          </w:rPr>
          <w:t>http://www.finasta.com/lit/lt/taupymas-ir-investavimas/fondu-ataskaitos</w:t>
        </w:r>
      </w:hyperlink>
      <w:r w:rsidRPr="00891173">
        <w:t xml:space="preserve"> </w:t>
      </w:r>
      <w:r w:rsidR="004709E0" w:rsidRPr="00891173">
        <w:t>[žiūrėta 2012-02</w:t>
      </w:r>
      <w:r w:rsidRPr="00891173">
        <w:t>-1</w:t>
      </w:r>
      <w:r w:rsidR="004709E0" w:rsidRPr="00891173">
        <w:t>8</w:t>
      </w:r>
      <w:r w:rsidRPr="00891173">
        <w:t>]</w:t>
      </w:r>
    </w:p>
    <w:p w:rsidR="00676026" w:rsidRPr="00891173" w:rsidRDefault="00676026" w:rsidP="00203D2D">
      <w:pPr>
        <w:numPr>
          <w:ilvl w:val="0"/>
          <w:numId w:val="4"/>
        </w:numPr>
        <w:tabs>
          <w:tab w:val="clear" w:pos="1080"/>
          <w:tab w:val="num" w:pos="426"/>
        </w:tabs>
        <w:autoSpaceDE w:val="0"/>
        <w:autoSpaceDN w:val="0"/>
        <w:adjustRightInd w:val="0"/>
        <w:spacing w:line="360" w:lineRule="auto"/>
        <w:ind w:left="0" w:firstLine="0"/>
        <w:jc w:val="both"/>
      </w:pPr>
      <w:r w:rsidRPr="00891173">
        <w:rPr>
          <w:rStyle w:val="searchrezleft6"/>
          <w:b/>
        </w:rPr>
        <w:t>„Investuok“ fondų knyga, 2008 12 31</w:t>
      </w:r>
      <w:r w:rsidRPr="00891173">
        <w:rPr>
          <w:rStyle w:val="searchrezleft6"/>
        </w:rPr>
        <w:t>. Kaunas : Leidybos studija. 2009. – 255 p.</w:t>
      </w:r>
      <w:r w:rsidRPr="00891173">
        <w:t xml:space="preserve"> – ISBN </w:t>
      </w:r>
      <w:r w:rsidRPr="00891173">
        <w:rPr>
          <w:rStyle w:val="searchrezleft6"/>
        </w:rPr>
        <w:t>978-609-8013-02-3</w:t>
      </w:r>
    </w:p>
    <w:p w:rsidR="00C36D0A" w:rsidRPr="00891173" w:rsidRDefault="00676026" w:rsidP="00203D2D">
      <w:pPr>
        <w:numPr>
          <w:ilvl w:val="0"/>
          <w:numId w:val="4"/>
        </w:numPr>
        <w:tabs>
          <w:tab w:val="clear" w:pos="1080"/>
          <w:tab w:val="num" w:pos="426"/>
        </w:tabs>
        <w:autoSpaceDE w:val="0"/>
        <w:autoSpaceDN w:val="0"/>
        <w:adjustRightInd w:val="0"/>
        <w:spacing w:line="360" w:lineRule="auto"/>
        <w:ind w:left="0" w:firstLine="0"/>
        <w:jc w:val="both"/>
        <w:rPr>
          <w:rStyle w:val="searchrezleft6"/>
        </w:rPr>
      </w:pPr>
      <w:r w:rsidRPr="00891173">
        <w:rPr>
          <w:b/>
        </w:rPr>
        <w:t>Investuotojo ABC</w:t>
      </w:r>
      <w:r w:rsidRPr="00891173">
        <w:rPr>
          <w:rStyle w:val="searchrezleft6"/>
        </w:rPr>
        <w:t>: iliustruotas žinynas apie akcijas, palūkanas, išvestinius finansinius instrumentus, investicinius fondus, pinigus (pataisytas ir papildytas leidimas). – Vilnius: Verslo žinios. 2006. – 107 p. – ISBN 9955-460-25-3</w:t>
      </w:r>
    </w:p>
    <w:p w:rsidR="00E111B2" w:rsidRPr="00891173" w:rsidRDefault="00C36D0A" w:rsidP="00203D2D">
      <w:pPr>
        <w:numPr>
          <w:ilvl w:val="0"/>
          <w:numId w:val="4"/>
        </w:numPr>
        <w:tabs>
          <w:tab w:val="clear" w:pos="1080"/>
          <w:tab w:val="num" w:pos="426"/>
        </w:tabs>
        <w:autoSpaceDE w:val="0"/>
        <w:autoSpaceDN w:val="0"/>
        <w:adjustRightInd w:val="0"/>
        <w:spacing w:line="360" w:lineRule="auto"/>
        <w:ind w:left="0" w:firstLine="0"/>
        <w:jc w:val="both"/>
      </w:pPr>
      <w:r w:rsidRPr="00891173">
        <w:rPr>
          <w:b/>
        </w:rPr>
        <w:lastRenderedPageBreak/>
        <w:t>Jasienė M., Kočiūnaitė D.</w:t>
      </w:r>
      <w:r w:rsidRPr="00891173">
        <w:t xml:space="preserve"> Investicijų grąžos įvertinimo atsižvelgint į riziką pro</w:t>
      </w:r>
      <w:r w:rsidR="00E111B2" w:rsidRPr="00891173">
        <w:t>blema ir jos sprendimo galimybė // Ekonomika. – 2007, Nr. 79, p. 64-76.</w:t>
      </w:r>
      <w:r w:rsidRPr="00891173">
        <w:t xml:space="preserve"> </w:t>
      </w:r>
    </w:p>
    <w:p w:rsidR="00C36D0A" w:rsidRPr="00891173" w:rsidRDefault="00C36D0A" w:rsidP="00203D2D">
      <w:pPr>
        <w:numPr>
          <w:ilvl w:val="0"/>
          <w:numId w:val="4"/>
        </w:numPr>
        <w:tabs>
          <w:tab w:val="clear" w:pos="1080"/>
          <w:tab w:val="num" w:pos="426"/>
        </w:tabs>
        <w:autoSpaceDE w:val="0"/>
        <w:autoSpaceDN w:val="0"/>
        <w:adjustRightInd w:val="0"/>
        <w:spacing w:line="360" w:lineRule="auto"/>
        <w:ind w:left="0" w:firstLine="0"/>
        <w:jc w:val="both"/>
      </w:pPr>
      <w:r w:rsidRPr="00891173">
        <w:rPr>
          <w:rFonts w:eastAsia="MinionPro-Regular"/>
          <w:b/>
        </w:rPr>
        <w:t>Jokšienė I.; Žvirblis A.</w:t>
      </w:r>
      <w:r w:rsidRPr="00891173">
        <w:rPr>
          <w:rFonts w:eastAsia="MinionPro-Regular"/>
        </w:rPr>
        <w:t xml:space="preserve"> </w:t>
      </w:r>
      <w:r w:rsidRPr="00891173">
        <w:rPr>
          <w:rFonts w:eastAsiaTheme="minorHAnsi"/>
          <w:color w:val="000000"/>
          <w:lang w:eastAsia="en-US"/>
        </w:rPr>
        <w:t xml:space="preserve"> </w:t>
      </w:r>
      <w:r w:rsidRPr="00891173">
        <w:rPr>
          <w:rFonts w:eastAsiaTheme="minorHAnsi"/>
          <w:bCs/>
          <w:color w:val="000000"/>
          <w:lang w:eastAsia="en-US"/>
        </w:rPr>
        <w:t>Ekonominių ir socialinių veiksnių įtakos investiciniams fondams vertinimo principai</w:t>
      </w:r>
      <w:r w:rsidRPr="00891173">
        <w:rPr>
          <w:bCs/>
        </w:rPr>
        <w:t xml:space="preserve"> // Verslo ir teisės aktualijos. –</w:t>
      </w:r>
      <w:r w:rsidRPr="00891173">
        <w:t xml:space="preserve"> 2011, 6(2), p. 335–348.  Prieiga per internetą </w:t>
      </w:r>
      <w:hyperlink r:id="rId40" w:history="1">
        <w:r w:rsidRPr="00891173">
          <w:rPr>
            <w:rStyle w:val="Hyperlink"/>
            <w:color w:val="auto"/>
            <w:u w:val="none"/>
          </w:rPr>
          <w:t>http://vta.ttvam.lt/index.php/vta/article/download/136/pdf</w:t>
        </w:r>
      </w:hyperlink>
      <w:r w:rsidRPr="00891173">
        <w:t xml:space="preserve"> </w:t>
      </w:r>
    </w:p>
    <w:p w:rsidR="007C07DA"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bCs/>
        </w:rPr>
        <w:t xml:space="preserve">Kancerevyčius G. </w:t>
      </w:r>
      <w:r w:rsidRPr="00891173">
        <w:t xml:space="preserve">Finansai ir investicijos. – Kaunas: Smaltijos leidykla. 2006. – 904 p. </w:t>
      </w:r>
    </w:p>
    <w:p w:rsidR="00676026"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Kucko, I</w:t>
      </w:r>
      <w:r w:rsidRPr="00891173">
        <w:t xml:space="preserve">. 2003. Investiciniai fondai – finansiniai tarpininkai // </w:t>
      </w:r>
      <w:r w:rsidRPr="00891173">
        <w:rPr>
          <w:iCs/>
        </w:rPr>
        <w:t xml:space="preserve">Ekonomika ir vadyba: aktualijos ir perspektyvos: </w:t>
      </w:r>
      <w:r w:rsidRPr="00891173">
        <w:rPr>
          <w:rFonts w:eastAsiaTheme="minorHAnsi"/>
          <w:lang w:eastAsia="en-US"/>
        </w:rPr>
        <w:t>Ernesto Galvanausko</w:t>
      </w:r>
      <w:r w:rsidRPr="00891173">
        <w:rPr>
          <w:rFonts w:ascii="MSTT31c61900" w:eastAsiaTheme="minorHAnsi" w:hAnsi="MSTT31c61900" w:cs="MSTT31c61900"/>
          <w:sz w:val="19"/>
          <w:szCs w:val="19"/>
          <w:lang w:eastAsia="en-US"/>
        </w:rPr>
        <w:t xml:space="preserve"> </w:t>
      </w:r>
      <w:r w:rsidRPr="00891173">
        <w:rPr>
          <w:rFonts w:eastAsiaTheme="minorHAnsi"/>
          <w:lang w:eastAsia="en-US"/>
        </w:rPr>
        <w:t xml:space="preserve">tarptautinė mokslinė konferencija. </w:t>
      </w:r>
      <w:r w:rsidRPr="00891173">
        <w:rPr>
          <w:iCs/>
        </w:rPr>
        <w:t xml:space="preserve">– </w:t>
      </w:r>
      <w:r w:rsidRPr="00891173">
        <w:t>Šiauliai: Šiauli</w:t>
      </w:r>
      <w:r w:rsidRPr="00891173">
        <w:rPr>
          <w:rFonts w:eastAsia="TimesNewRoman"/>
        </w:rPr>
        <w:t xml:space="preserve">ų </w:t>
      </w:r>
      <w:r w:rsidRPr="00891173">
        <w:t>universiteto leidykl</w:t>
      </w:r>
      <w:r w:rsidR="008B2844" w:rsidRPr="00891173">
        <w:t>a,</w:t>
      </w:r>
      <w:r w:rsidRPr="00891173">
        <w:t xml:space="preserve"> 2002, p. 96–102.</w:t>
      </w:r>
    </w:p>
    <w:p w:rsidR="00676026"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Klimaitė J</w:t>
      </w:r>
      <w:r w:rsidRPr="00891173">
        <w:t xml:space="preserve">. Privačių pensijų fondų vertinimo kriterijai. Lietuvos žemės ūkio universitetas. </w:t>
      </w:r>
      <w:hyperlink r:id="rId41" w:history="1">
        <w:r w:rsidRPr="00891173">
          <w:rPr>
            <w:rStyle w:val="Hyperlink"/>
            <w:color w:val="auto"/>
            <w:u w:val="none"/>
          </w:rPr>
          <w:t>http://www.lzuu.lt/jaunasis_mokslininkas/smk_2006/finansai/Klimaite%20Jurgita.pdf</w:t>
        </w:r>
      </w:hyperlink>
      <w:r w:rsidR="00561E64" w:rsidRPr="00891173">
        <w:t xml:space="preserve"> [žiūrėta 2012-02-</w:t>
      </w:r>
      <w:r w:rsidRPr="00891173">
        <w:t>20]</w:t>
      </w:r>
    </w:p>
    <w:p w:rsidR="008914A0" w:rsidRPr="00891173" w:rsidRDefault="008914A0"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Klimavičienė A., Jurevičienė D.</w:t>
      </w:r>
      <w:r w:rsidRPr="00891173">
        <w:t xml:space="preserve"> Asmens investicijų į finansines priemone plėtros galimybės Lietuvoje // Verslas: teorija ir praktika. – 2007, VIII t., Nr. 1, p. 33-43.</w:t>
      </w:r>
    </w:p>
    <w:p w:rsidR="0001727A" w:rsidRPr="00891173" w:rsidRDefault="0001727A"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Kraujalis Š</w:t>
      </w:r>
      <w:r w:rsidRPr="00891173">
        <w:t>. Lietuvos bankų investavimo kriterijai // Pinigų studijos</w:t>
      </w:r>
      <w:r w:rsidR="008B2844" w:rsidRPr="00891173">
        <w:t>. – 2001, Nr. 4, p. 5-16.</w:t>
      </w:r>
    </w:p>
    <w:p w:rsidR="00676026"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rFonts w:eastAsia="MinionPro-Regular"/>
          <w:b/>
          <w:lang w:eastAsia="en-US"/>
        </w:rPr>
        <w:t>Mačerinskienė, I., Volodzkienė, L</w:t>
      </w:r>
      <w:r w:rsidRPr="00891173">
        <w:rPr>
          <w:rFonts w:eastAsia="MinionPro-Regular"/>
          <w:lang w:eastAsia="en-US"/>
        </w:rPr>
        <w:t xml:space="preserve">. Investicinių fondų klasifikavimo ypatumai // </w:t>
      </w:r>
      <w:r w:rsidRPr="00891173">
        <w:rPr>
          <w:rFonts w:eastAsia="MinionPro-It"/>
          <w:iCs/>
          <w:lang w:eastAsia="en-US"/>
        </w:rPr>
        <w:t>Business Development Possibilities in</w:t>
      </w:r>
      <w:r w:rsidRPr="00891173">
        <w:rPr>
          <w:rFonts w:eastAsia="MinionPro-Regular"/>
          <w:lang w:eastAsia="en-US"/>
        </w:rPr>
        <w:t xml:space="preserve"> </w:t>
      </w:r>
      <w:r w:rsidRPr="00891173">
        <w:rPr>
          <w:rFonts w:eastAsia="MinionPro-It"/>
          <w:iCs/>
          <w:lang w:eastAsia="en-US"/>
        </w:rPr>
        <w:t>the New European Area: tarptautinės mokslinės konferencijos</w:t>
      </w:r>
      <w:r w:rsidRPr="00891173">
        <w:t xml:space="preserve"> </w:t>
      </w:r>
      <w:r w:rsidRPr="00891173">
        <w:rPr>
          <w:rFonts w:eastAsia="MinionPro-It"/>
          <w:iCs/>
          <w:lang w:eastAsia="en-US"/>
        </w:rPr>
        <w:t>medžiaga</w:t>
      </w:r>
      <w:r w:rsidRPr="00891173">
        <w:rPr>
          <w:rFonts w:eastAsia="MinionPro-It"/>
          <w:i/>
          <w:iCs/>
          <w:lang w:eastAsia="en-US"/>
        </w:rPr>
        <w:t xml:space="preserve">. </w:t>
      </w:r>
      <w:r w:rsidRPr="00891173">
        <w:rPr>
          <w:rFonts w:eastAsia="MinionPro-It"/>
          <w:iCs/>
          <w:lang w:eastAsia="en-US"/>
        </w:rPr>
        <w:t xml:space="preserve">– </w:t>
      </w:r>
      <w:r w:rsidRPr="00891173">
        <w:rPr>
          <w:rFonts w:eastAsia="MinionPro-Regular"/>
          <w:lang w:eastAsia="en-US"/>
        </w:rPr>
        <w:t>Vilnius: VU leidykla, 2006, p. 289–302.</w:t>
      </w:r>
    </w:p>
    <w:p w:rsidR="008D1A40" w:rsidRPr="00891173" w:rsidRDefault="008D1A40"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Pr>
      </w:pPr>
      <w:r w:rsidRPr="00891173">
        <w:rPr>
          <w:rFonts w:eastAsia="MinionPro-Regular"/>
          <w:b/>
          <w:lang w:eastAsia="en-US"/>
        </w:rPr>
        <w:t>NASDAQ OMX</w:t>
      </w:r>
      <w:r w:rsidRPr="00891173">
        <w:rPr>
          <w:rStyle w:val="searchrezleft6"/>
        </w:rPr>
        <w:t xml:space="preserve">. Baltijos fondai. </w:t>
      </w:r>
      <w:hyperlink r:id="rId42" w:history="1">
        <w:r w:rsidRPr="00891173">
          <w:rPr>
            <w:rStyle w:val="Hyperlink"/>
            <w:color w:val="auto"/>
            <w:u w:val="none"/>
          </w:rPr>
          <w:t>http://www.nasdaqomxbaltic.com/market/?pg=funds&amp; where_registered=lt&amp;market=all&amp;region=all&amp;asset_manager=all&amp;end_type=all&amp;view=short</w:t>
        </w:r>
      </w:hyperlink>
      <w:r w:rsidRPr="00891173">
        <w:rPr>
          <w:rStyle w:val="searchrezleft6"/>
        </w:rPr>
        <w:t xml:space="preserve"> [žiūrėta 2012-11-20]</w:t>
      </w:r>
    </w:p>
    <w:p w:rsidR="006A12AE" w:rsidRPr="00891173" w:rsidRDefault="006A12AE" w:rsidP="00203D2D">
      <w:pPr>
        <w:pStyle w:val="ListParagraph"/>
        <w:numPr>
          <w:ilvl w:val="0"/>
          <w:numId w:val="4"/>
        </w:numPr>
        <w:tabs>
          <w:tab w:val="clear" w:pos="1080"/>
          <w:tab w:val="num" w:pos="426"/>
        </w:tabs>
        <w:spacing w:line="360" w:lineRule="auto"/>
        <w:ind w:left="0" w:firstLine="0"/>
        <w:jc w:val="both"/>
        <w:rPr>
          <w:rFonts w:eastAsia="MinionPro-Regular"/>
        </w:rPr>
      </w:pPr>
      <w:r w:rsidRPr="00891173">
        <w:rPr>
          <w:rFonts w:eastAsia="MinionPro-Regular"/>
          <w:b/>
        </w:rPr>
        <w:t xml:space="preserve">Lietuvos II ir III pakopos pensijų fondų bei kolektyvinio investavimo subjektų rinkos apžvalga 2012 m. III ketv. </w:t>
      </w:r>
      <w:hyperlink r:id="rId43" w:history="1">
        <w:r w:rsidR="00F22B20" w:rsidRPr="00891173">
          <w:rPr>
            <w:rStyle w:val="Hyperlink"/>
            <w:rFonts w:eastAsia="MinionPro-Regular"/>
            <w:color w:val="auto"/>
            <w:u w:val="none"/>
          </w:rPr>
          <w:t>http://www.lb.lt/ii_ir_iii_pakopos_pensiju_fondu_bei_kolektyvinio_investavimo_subjektu_rinkos_apzvalga_2012_m_iii_ketv</w:t>
        </w:r>
      </w:hyperlink>
      <w:r w:rsidRPr="00891173">
        <w:rPr>
          <w:rFonts w:eastAsia="MinionPro-Regular"/>
        </w:rPr>
        <w:t xml:space="preserve"> [žiūrėta 2012-11-20]</w:t>
      </w:r>
    </w:p>
    <w:p w:rsidR="00676026" w:rsidRPr="00891173" w:rsidRDefault="00676026" w:rsidP="00203D2D">
      <w:pPr>
        <w:pStyle w:val="ListParagraph"/>
        <w:numPr>
          <w:ilvl w:val="0"/>
          <w:numId w:val="4"/>
        </w:numPr>
        <w:tabs>
          <w:tab w:val="clear" w:pos="1080"/>
          <w:tab w:val="num" w:pos="426"/>
        </w:tabs>
        <w:spacing w:line="360" w:lineRule="auto"/>
        <w:ind w:left="0" w:firstLine="0"/>
        <w:jc w:val="both"/>
        <w:rPr>
          <w:rFonts w:eastAsia="MinionPro-Regular"/>
        </w:rPr>
      </w:pPr>
      <w:r w:rsidRPr="00891173">
        <w:rPr>
          <w:rFonts w:eastAsia="MinionPro-Regular"/>
          <w:b/>
        </w:rPr>
        <w:t>Lietuvos Respublikos kolektyvinio investavimo subjektų įstatymo pakei</w:t>
      </w:r>
      <w:r w:rsidR="006E1E67" w:rsidRPr="00891173">
        <w:rPr>
          <w:rFonts w:eastAsia="MinionPro-Regular"/>
          <w:b/>
        </w:rPr>
        <w:t>timo įstatymas</w:t>
      </w:r>
      <w:r w:rsidR="006E1E67" w:rsidRPr="00891173">
        <w:rPr>
          <w:rFonts w:eastAsia="MinionPro-Regular"/>
        </w:rPr>
        <w:t>.</w:t>
      </w:r>
      <w:r w:rsidRPr="00891173">
        <w:rPr>
          <w:rFonts w:eastAsia="MinionPro-Regular"/>
        </w:rPr>
        <w:t xml:space="preserve"> </w:t>
      </w:r>
      <w:hyperlink r:id="rId44" w:history="1">
        <w:r w:rsidR="006E1E67" w:rsidRPr="00891173">
          <w:rPr>
            <w:rStyle w:val="Hyperlink"/>
            <w:rFonts w:eastAsia="MinionPro-Regular"/>
            <w:color w:val="auto"/>
            <w:u w:val="none"/>
          </w:rPr>
          <w:t>http://www3.lrs.lt/pls/inter3/dokpaieska.showdoc_l?p_id=429404&amp;p_query=&amp;p_tr2=2</w:t>
        </w:r>
      </w:hyperlink>
      <w:r w:rsidR="006E1E67" w:rsidRPr="00891173">
        <w:rPr>
          <w:rFonts w:eastAsia="MinionPro-Regular"/>
        </w:rPr>
        <w:t xml:space="preserve"> [žiūrėta 2012-10</w:t>
      </w:r>
      <w:r w:rsidR="00561E64" w:rsidRPr="00891173">
        <w:rPr>
          <w:rFonts w:eastAsia="MinionPro-Regular"/>
        </w:rPr>
        <w:t>-</w:t>
      </w:r>
      <w:r w:rsidR="00677423" w:rsidRPr="00891173">
        <w:rPr>
          <w:rFonts w:eastAsia="MinionPro-Regular"/>
        </w:rPr>
        <w:t xml:space="preserve">29] </w:t>
      </w:r>
      <w:r w:rsidR="00677423" w:rsidRPr="00891173">
        <w:rPr>
          <w:rFonts w:eastAsia="MinionPro-Regular"/>
          <w:b/>
        </w:rPr>
        <w:t xml:space="preserve"> </w:t>
      </w:r>
    </w:p>
    <w:p w:rsidR="00676026"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Lietuvos Respublikos investicijų įstatymas.</w:t>
      </w:r>
      <w:r w:rsidR="00561E64" w:rsidRPr="00891173">
        <w:rPr>
          <w:b/>
        </w:rPr>
        <w:t xml:space="preserve"> </w:t>
      </w:r>
      <w:hyperlink r:id="rId45" w:history="1">
        <w:r w:rsidR="00131B0C" w:rsidRPr="00891173">
          <w:rPr>
            <w:rStyle w:val="Hyperlink"/>
            <w:color w:val="auto"/>
            <w:u w:val="none"/>
          </w:rPr>
          <w:t>http://www3.lrs.lt/pls/inter3/ dokpaieska.showdoc_l?p_id=433578&amp;p_query=&amp;p_tr2=2</w:t>
        </w:r>
      </w:hyperlink>
      <w:r w:rsidR="006E1E67" w:rsidRPr="00891173">
        <w:t xml:space="preserve">  </w:t>
      </w:r>
      <w:r w:rsidRPr="00891173">
        <w:t xml:space="preserve">[žiūrėta </w:t>
      </w:r>
      <w:r w:rsidR="006E1E67" w:rsidRPr="00891173">
        <w:t>2012</w:t>
      </w:r>
      <w:r w:rsidR="00561E64" w:rsidRPr="00891173">
        <w:t>-</w:t>
      </w:r>
      <w:r w:rsidR="006E1E67" w:rsidRPr="00891173">
        <w:t>11-05</w:t>
      </w:r>
      <w:r w:rsidRPr="00891173">
        <w:t>]</w:t>
      </w:r>
    </w:p>
    <w:p w:rsidR="00D55D2A" w:rsidRPr="00891173" w:rsidRDefault="00D55D2A"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Lords LB Baltic Fund I.</w:t>
      </w:r>
      <w:r w:rsidRPr="00891173">
        <w:t xml:space="preserve"> </w:t>
      </w:r>
      <w:hyperlink r:id="rId46" w:history="1">
        <w:r w:rsidRPr="00891173">
          <w:rPr>
            <w:rStyle w:val="Hyperlink"/>
            <w:color w:val="auto"/>
            <w:u w:val="none"/>
          </w:rPr>
          <w:t>http://lordslb.com/lt/lords-lb-baltic-fund-i-185</w:t>
        </w:r>
      </w:hyperlink>
      <w:r w:rsidRPr="00891173">
        <w:t xml:space="preserve"> </w:t>
      </w:r>
      <w:r w:rsidRPr="00891173">
        <w:rPr>
          <w:rFonts w:eastAsia="MinionPro-Regular"/>
        </w:rPr>
        <w:t>[žiūrėta 2012-11-20]</w:t>
      </w:r>
    </w:p>
    <w:p w:rsidR="00212526" w:rsidRPr="00891173" w:rsidRDefault="00212526"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 xml:space="preserve">OMX Baltic Benchmark Fund. </w:t>
      </w:r>
      <w:hyperlink r:id="rId47" w:history="1">
        <w:r w:rsidRPr="00891173">
          <w:rPr>
            <w:rStyle w:val="Hyperlink"/>
            <w:color w:val="auto"/>
            <w:u w:val="none"/>
          </w:rPr>
          <w:t>http://www.</w:t>
        </w:r>
        <w:r w:rsidRPr="00891173">
          <w:rPr>
            <w:rStyle w:val="Hyperlink"/>
            <w:b/>
            <w:color w:val="auto"/>
            <w:u w:val="none"/>
          </w:rPr>
          <w:t>orion</w:t>
        </w:r>
        <w:r w:rsidRPr="00891173">
          <w:rPr>
            <w:rStyle w:val="Hyperlink"/>
            <w:color w:val="auto"/>
            <w:u w:val="none"/>
          </w:rPr>
          <w:t>.lt/fondu-valdymas/omx-baltic-benchmark-fund/?lang=lt</w:t>
        </w:r>
      </w:hyperlink>
      <w:r w:rsidRPr="00891173">
        <w:t xml:space="preserve"> [žiūrėta 2012-11-15]</w:t>
      </w:r>
    </w:p>
    <w:p w:rsidR="00090389"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Pr>
      </w:pPr>
      <w:r w:rsidRPr="00891173">
        <w:rPr>
          <w:b/>
          <w:bCs/>
        </w:rPr>
        <w:t>Pečiulis S.</w:t>
      </w:r>
      <w:r w:rsidRPr="00891173">
        <w:rPr>
          <w:b/>
        </w:rPr>
        <w:t>,</w:t>
      </w:r>
      <w:r w:rsidRPr="00891173">
        <w:t xml:space="preserve"> </w:t>
      </w:r>
      <w:r w:rsidRPr="00891173">
        <w:rPr>
          <w:b/>
        </w:rPr>
        <w:t xml:space="preserve">Šiaudinis S. </w:t>
      </w:r>
      <w:r w:rsidRPr="00891173">
        <w:t xml:space="preserve">Įvadas į vertybinių popierių rinką. – Vilnius: </w:t>
      </w:r>
      <w:r w:rsidRPr="00891173">
        <w:rPr>
          <w:rStyle w:val="searchrezleft6"/>
        </w:rPr>
        <w:t>Lietuvos bankininkystės, draudimo ir finansų institutas. 1998.  – 142 p.</w:t>
      </w:r>
    </w:p>
    <w:p w:rsidR="00090389" w:rsidRPr="00891173" w:rsidRDefault="0082397E" w:rsidP="00090389">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rFonts w:eastAsia="MinionPro-Regular"/>
          <w:b/>
          <w:lang w:eastAsia="en-US"/>
        </w:rPr>
        <w:lastRenderedPageBreak/>
        <w:t>Ramasamy B., Yeung</w:t>
      </w:r>
      <w:r w:rsidR="00090389" w:rsidRPr="00891173">
        <w:rPr>
          <w:rFonts w:eastAsia="MinionPro-Regular"/>
          <w:b/>
          <w:lang w:eastAsia="en-US"/>
        </w:rPr>
        <w:t xml:space="preserve"> M. C. H.</w:t>
      </w:r>
      <w:r w:rsidR="00090389" w:rsidRPr="00891173">
        <w:rPr>
          <w:rFonts w:eastAsia="MinionPro-Regular"/>
          <w:lang w:eastAsia="en-US"/>
        </w:rPr>
        <w:t xml:space="preserve"> Evaluating mutual funds in an emerging market: factors</w:t>
      </w:r>
      <w:r w:rsidRPr="00891173">
        <w:rPr>
          <w:rFonts w:eastAsia="MinionPro-Regular"/>
          <w:lang w:eastAsia="en-US"/>
        </w:rPr>
        <w:t xml:space="preserve"> </w:t>
      </w:r>
      <w:r w:rsidR="00090389" w:rsidRPr="00891173">
        <w:rPr>
          <w:rFonts w:eastAsia="MinionPro-Regular"/>
          <w:lang w:eastAsia="en-US"/>
        </w:rPr>
        <w:t xml:space="preserve">that matter to financial advisors // International Journal of Bank Marketing, 2003, vol. 21, issue 3, p. 122–136. </w:t>
      </w:r>
    </w:p>
    <w:p w:rsidR="00FE08DC" w:rsidRPr="00891173" w:rsidRDefault="00FE08DC"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bCs/>
        </w:rPr>
        <w:t xml:space="preserve">Rutkauskas A. V., Martinkutė R. </w:t>
      </w:r>
      <w:r w:rsidRPr="00891173">
        <w:rPr>
          <w:bCs/>
        </w:rPr>
        <w:t>Investicijų portfelio anatomija ir valdymas: monografija. – Vilnius: Technika, 2007. – 360 p. – ISBN 978-9955-28-216-7</w:t>
      </w:r>
    </w:p>
    <w:p w:rsidR="008409C5" w:rsidRPr="00891173" w:rsidRDefault="008409C5"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Sakalauskas V.</w:t>
      </w:r>
      <w:r w:rsidRPr="00891173">
        <w:t xml:space="preserve"> Investicijų rizikos vertinimas Lietuvos vertybinių popierių rinkoje // Informacijos mokslai. – 2003, Nr. 27, p. 121 – 130.</w:t>
      </w:r>
    </w:p>
    <w:p w:rsidR="009C34DB" w:rsidRPr="00891173" w:rsidRDefault="009C34DB"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SEB aktyviai valdomas fondų portfelis 100 (LTL).</w:t>
      </w:r>
      <w:r w:rsidRPr="00891173">
        <w:t xml:space="preserve"> </w:t>
      </w:r>
      <w:hyperlink r:id="rId48" w:history="1">
        <w:r w:rsidRPr="00891173">
          <w:rPr>
            <w:rStyle w:val="Hyperlink"/>
            <w:color w:val="auto"/>
            <w:u w:val="none"/>
          </w:rPr>
          <w:t>http://fin.seb.lt/vbfin/funds/fpr/review-file.fw?entry_id=107&amp;s_menu=4&amp;lang=lt</w:t>
        </w:r>
      </w:hyperlink>
      <w:r w:rsidRPr="00891173">
        <w:t xml:space="preserve"> [žiūrėta 2012-11-16]</w:t>
      </w:r>
    </w:p>
    <w:p w:rsidR="009C34DB" w:rsidRPr="00891173" w:rsidRDefault="009C34DB" w:rsidP="00203D2D">
      <w:pPr>
        <w:numPr>
          <w:ilvl w:val="0"/>
          <w:numId w:val="4"/>
        </w:numPr>
        <w:tabs>
          <w:tab w:val="clear" w:pos="1080"/>
          <w:tab w:val="num" w:pos="360"/>
          <w:tab w:val="num" w:pos="426"/>
        </w:tabs>
        <w:autoSpaceDE w:val="0"/>
        <w:autoSpaceDN w:val="0"/>
        <w:adjustRightInd w:val="0"/>
        <w:spacing w:line="360" w:lineRule="auto"/>
        <w:ind w:left="0" w:firstLine="0"/>
        <w:jc w:val="both"/>
      </w:pPr>
      <w:r w:rsidRPr="00891173">
        <w:rPr>
          <w:b/>
        </w:rPr>
        <w:t>SEB aktyviai valdomas fondų portfelis 60 (LTL).</w:t>
      </w:r>
      <w:r w:rsidRPr="00891173">
        <w:t xml:space="preserve"> </w:t>
      </w:r>
      <w:hyperlink r:id="rId49" w:history="1">
        <w:r w:rsidRPr="00891173">
          <w:rPr>
            <w:rStyle w:val="Hyperlink"/>
            <w:color w:val="auto"/>
            <w:u w:val="none"/>
          </w:rPr>
          <w:t>http://fin.seb.lt/vbfin/funds/fpr/review-file.fw?entry_id=102&amp;s_menu=4&amp;lang=lt</w:t>
        </w:r>
      </w:hyperlink>
      <w:r w:rsidRPr="00891173">
        <w:t xml:space="preserve"> [žiūrėta 2012-11-16]</w:t>
      </w:r>
    </w:p>
    <w:p w:rsidR="00676026" w:rsidRPr="00891173" w:rsidRDefault="00676026"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Pr>
      </w:pPr>
      <w:r w:rsidRPr="00891173">
        <w:rPr>
          <w:rFonts w:eastAsiaTheme="minorHAnsi"/>
          <w:b/>
          <w:iCs/>
          <w:lang w:eastAsia="en-US"/>
        </w:rPr>
        <w:t>Simanauskas L., Kucko I</w:t>
      </w:r>
      <w:r w:rsidRPr="00891173">
        <w:rPr>
          <w:rFonts w:eastAsiaTheme="minorHAnsi"/>
          <w:lang w:eastAsia="en-US"/>
        </w:rPr>
        <w:t>. Trends of the Investment Fund Industry Development (Investicinių fondų plėtros tendencijos) // Ekonomika. – 2004, Nr. 66, p. 110–131.</w:t>
      </w:r>
    </w:p>
    <w:p w:rsidR="00676026" w:rsidRPr="00891173" w:rsidRDefault="00C36D0A" w:rsidP="00203D2D">
      <w:pPr>
        <w:numPr>
          <w:ilvl w:val="0"/>
          <w:numId w:val="4"/>
        </w:numPr>
        <w:tabs>
          <w:tab w:val="clear" w:pos="1080"/>
          <w:tab w:val="num" w:pos="360"/>
          <w:tab w:val="num" w:pos="426"/>
        </w:tabs>
        <w:autoSpaceDE w:val="0"/>
        <w:autoSpaceDN w:val="0"/>
        <w:adjustRightInd w:val="0"/>
        <w:spacing w:line="360" w:lineRule="auto"/>
        <w:ind w:left="0" w:firstLine="0"/>
        <w:jc w:val="both"/>
        <w:rPr>
          <w:rFonts w:eastAsia="MinionPro-Regular"/>
          <w:lang w:eastAsia="en-US"/>
        </w:rPr>
      </w:pPr>
      <w:r w:rsidRPr="00891173">
        <w:rPr>
          <w:rFonts w:eastAsia="MinionPro-Regular"/>
          <w:b/>
          <w:lang w:eastAsia="en-US"/>
        </w:rPr>
        <w:t>Snieška</w:t>
      </w:r>
      <w:r w:rsidR="00676026" w:rsidRPr="00891173">
        <w:rPr>
          <w:rFonts w:eastAsia="MinionPro-Regular"/>
          <w:b/>
          <w:lang w:eastAsia="en-US"/>
        </w:rPr>
        <w:t xml:space="preserve"> V., Pekarskienė I</w:t>
      </w:r>
      <w:r w:rsidR="00676026" w:rsidRPr="00891173">
        <w:rPr>
          <w:rFonts w:eastAsia="MinionPro-Regular"/>
          <w:lang w:eastAsia="en-US"/>
        </w:rPr>
        <w:t xml:space="preserve">. Investiciniai fondai: užsienio šalių patirtis ir veiklos perspektyvos Lietuvoje // </w:t>
      </w:r>
      <w:r w:rsidR="00676026" w:rsidRPr="00891173">
        <w:rPr>
          <w:rFonts w:eastAsia="MinionPro-It"/>
          <w:iCs/>
          <w:lang w:eastAsia="en-US"/>
        </w:rPr>
        <w:t>Socialiniai</w:t>
      </w:r>
      <w:r w:rsidR="00676026" w:rsidRPr="00891173">
        <w:rPr>
          <w:rFonts w:eastAsia="MinionPro-Regular"/>
          <w:lang w:eastAsia="en-US"/>
        </w:rPr>
        <w:t xml:space="preserve"> </w:t>
      </w:r>
      <w:r w:rsidR="00676026" w:rsidRPr="00891173">
        <w:rPr>
          <w:rFonts w:eastAsia="MinionPro-It"/>
          <w:iCs/>
          <w:lang w:eastAsia="en-US"/>
        </w:rPr>
        <w:t>mokslai. – 1999, Nr.</w:t>
      </w:r>
      <w:r w:rsidR="00676026" w:rsidRPr="00891173">
        <w:rPr>
          <w:rFonts w:eastAsia="MinionPro-It"/>
          <w:i/>
          <w:iCs/>
          <w:lang w:eastAsia="en-US"/>
        </w:rPr>
        <w:t xml:space="preserve"> </w:t>
      </w:r>
      <w:r w:rsidR="00676026" w:rsidRPr="00891173">
        <w:rPr>
          <w:rFonts w:eastAsia="MinionPro-Regular"/>
          <w:lang w:eastAsia="en-US"/>
        </w:rPr>
        <w:t>1, p. 73–78.</w:t>
      </w:r>
    </w:p>
    <w:p w:rsidR="008409C5" w:rsidRPr="00891173" w:rsidRDefault="00C36D0A" w:rsidP="00203D2D">
      <w:pPr>
        <w:numPr>
          <w:ilvl w:val="0"/>
          <w:numId w:val="4"/>
        </w:numPr>
        <w:tabs>
          <w:tab w:val="clear" w:pos="1080"/>
          <w:tab w:val="num" w:pos="360"/>
          <w:tab w:val="num" w:pos="426"/>
        </w:tabs>
        <w:autoSpaceDE w:val="0"/>
        <w:autoSpaceDN w:val="0"/>
        <w:adjustRightInd w:val="0"/>
        <w:spacing w:line="360" w:lineRule="auto"/>
        <w:ind w:left="0" w:firstLine="0"/>
        <w:jc w:val="both"/>
        <w:rPr>
          <w:rFonts w:eastAsia="MinionPro-Regular"/>
          <w:lang w:eastAsia="en-US"/>
        </w:rPr>
      </w:pPr>
      <w:r w:rsidRPr="00891173">
        <w:rPr>
          <w:rFonts w:eastAsia="MinionPro-Regular"/>
          <w:b/>
          <w:lang w:eastAsia="en-US"/>
        </w:rPr>
        <w:t>Snieška</w:t>
      </w:r>
      <w:r w:rsidR="008409C5" w:rsidRPr="00891173">
        <w:rPr>
          <w:rFonts w:eastAsia="MinionPro-Regular"/>
          <w:b/>
          <w:lang w:eastAsia="en-US"/>
        </w:rPr>
        <w:t xml:space="preserve"> V</w:t>
      </w:r>
      <w:r w:rsidR="00ED3868" w:rsidRPr="00891173">
        <w:rPr>
          <w:rFonts w:eastAsia="MinionPro-Regular"/>
          <w:b/>
          <w:lang w:eastAsia="en-US"/>
        </w:rPr>
        <w:t>., Venckuvienė</w:t>
      </w:r>
      <w:r w:rsidR="008409C5" w:rsidRPr="00891173">
        <w:rPr>
          <w:rFonts w:eastAsia="MinionPro-Regular"/>
          <w:b/>
          <w:lang w:eastAsia="en-US"/>
        </w:rPr>
        <w:t xml:space="preserve"> V.</w:t>
      </w:r>
      <w:r w:rsidR="008409C5" w:rsidRPr="00891173">
        <w:rPr>
          <w:rFonts w:eastAsia="MinionPro-Regular"/>
          <w:lang w:eastAsia="en-US"/>
        </w:rPr>
        <w:t xml:space="preserve"> Mišrūs rizikos kapitalo fondai Lietuvoje: motyvai, veiksniai ir esama plėtojimosi stadija // Inžinerinė ekonomika. – 2011, 22(2), p. 157 – 164. </w:t>
      </w:r>
    </w:p>
    <w:p w:rsidR="009C34DB" w:rsidRPr="00891173" w:rsidRDefault="00C36D0A" w:rsidP="00203D2D">
      <w:pPr>
        <w:numPr>
          <w:ilvl w:val="0"/>
          <w:numId w:val="4"/>
        </w:numPr>
        <w:tabs>
          <w:tab w:val="clear" w:pos="1080"/>
          <w:tab w:val="num" w:pos="360"/>
          <w:tab w:val="num" w:pos="426"/>
        </w:tabs>
        <w:autoSpaceDE w:val="0"/>
        <w:autoSpaceDN w:val="0"/>
        <w:adjustRightInd w:val="0"/>
        <w:spacing w:line="360" w:lineRule="auto"/>
        <w:ind w:left="0" w:firstLine="0"/>
        <w:jc w:val="both"/>
        <w:rPr>
          <w:rFonts w:eastAsia="MinionPro-Regular"/>
          <w:lang w:eastAsia="en-US"/>
        </w:rPr>
      </w:pPr>
      <w:r w:rsidRPr="00891173">
        <w:rPr>
          <w:rFonts w:eastAsia="MinionPro-Regular"/>
          <w:b/>
          <w:lang w:eastAsia="en-US"/>
        </w:rPr>
        <w:t>Stankevičienė J., Gavrilova I.</w:t>
      </w:r>
      <w:r w:rsidRPr="00891173">
        <w:rPr>
          <w:rFonts w:eastAsia="MinionPro-Regular"/>
          <w:lang w:eastAsia="en-US"/>
        </w:rPr>
        <w:t xml:space="preserve"> </w:t>
      </w:r>
      <w:r w:rsidR="00C25661" w:rsidRPr="00891173">
        <w:rPr>
          <w:rFonts w:eastAsia="MinionPro-Regular"/>
          <w:lang w:eastAsia="en-US"/>
        </w:rPr>
        <w:t>Lietuvos investicinių fondų veiklos vertinimas taikant kompleksinio vertinimo modelį // Verslas: teorija ir praktika. – 2012, 13(1), p. 94-106.</w:t>
      </w:r>
    </w:p>
    <w:p w:rsidR="00B9549F" w:rsidRPr="00891173" w:rsidRDefault="00B9549F" w:rsidP="00203D2D">
      <w:pPr>
        <w:numPr>
          <w:ilvl w:val="0"/>
          <w:numId w:val="4"/>
        </w:numPr>
        <w:tabs>
          <w:tab w:val="clear" w:pos="1080"/>
          <w:tab w:val="num" w:pos="360"/>
          <w:tab w:val="num" w:pos="426"/>
        </w:tabs>
        <w:autoSpaceDE w:val="0"/>
        <w:autoSpaceDN w:val="0"/>
        <w:adjustRightInd w:val="0"/>
        <w:spacing w:line="360" w:lineRule="auto"/>
        <w:ind w:left="0" w:firstLine="0"/>
        <w:jc w:val="both"/>
        <w:rPr>
          <w:rFonts w:eastAsia="MinionPro-Regular"/>
          <w:lang w:eastAsia="en-US"/>
        </w:rPr>
      </w:pPr>
      <w:r w:rsidRPr="00891173">
        <w:rPr>
          <w:rFonts w:eastAsia="MinionPro-Regular"/>
          <w:b/>
          <w:lang w:eastAsia="en-US"/>
        </w:rPr>
        <w:t>Ūkio banko investiciniai fondai.</w:t>
      </w:r>
      <w:r w:rsidRPr="00891173">
        <w:rPr>
          <w:rFonts w:eastAsia="MinionPro-Regular"/>
          <w:lang w:eastAsia="en-US"/>
        </w:rPr>
        <w:t xml:space="preserve"> </w:t>
      </w:r>
      <w:hyperlink r:id="rId50" w:history="1">
        <w:r w:rsidRPr="00891173">
          <w:rPr>
            <w:rStyle w:val="Hyperlink"/>
            <w:rFonts w:eastAsia="MinionPro-Regular"/>
            <w:color w:val="auto"/>
            <w:u w:val="none"/>
            <w:lang w:eastAsia="en-US"/>
          </w:rPr>
          <w:t>http://www.ub.lt/lt/privatiems/taupymas-ir-investavimas/ukio-banko-investiciniai-fondai</w:t>
        </w:r>
      </w:hyperlink>
      <w:r w:rsidRPr="00891173">
        <w:rPr>
          <w:rFonts w:eastAsia="MinionPro-Regular"/>
          <w:lang w:eastAsia="en-US"/>
        </w:rPr>
        <w:t xml:space="preserve"> [žiūrėta 2012-11-16]</w:t>
      </w:r>
    </w:p>
    <w:p w:rsidR="009C34DB" w:rsidRPr="00891173" w:rsidRDefault="009C34DB" w:rsidP="00203D2D">
      <w:pPr>
        <w:numPr>
          <w:ilvl w:val="0"/>
          <w:numId w:val="4"/>
        </w:numPr>
        <w:tabs>
          <w:tab w:val="clear" w:pos="1080"/>
          <w:tab w:val="num" w:pos="360"/>
          <w:tab w:val="num" w:pos="426"/>
        </w:tabs>
        <w:autoSpaceDE w:val="0"/>
        <w:autoSpaceDN w:val="0"/>
        <w:adjustRightInd w:val="0"/>
        <w:spacing w:line="360" w:lineRule="auto"/>
        <w:ind w:left="0" w:firstLine="0"/>
        <w:jc w:val="both"/>
        <w:rPr>
          <w:rFonts w:eastAsia="MinionPro-Regular"/>
          <w:lang w:eastAsia="en-US"/>
        </w:rPr>
      </w:pPr>
      <w:r w:rsidRPr="00891173">
        <w:rPr>
          <w:rFonts w:eastAsia="MinionPro-Regular"/>
          <w:b/>
          <w:lang w:eastAsia="en-US"/>
        </w:rPr>
        <w:t>Ve</w:t>
      </w:r>
      <w:r w:rsidRPr="00891173">
        <w:rPr>
          <w:b/>
        </w:rPr>
        <w:t>rtybinių popierių kainos</w:t>
      </w:r>
      <w:r w:rsidR="00DA7475" w:rsidRPr="00891173">
        <w:t xml:space="preserve">. AB SEB Vilniaus bankas. </w:t>
      </w:r>
      <w:hyperlink r:id="rId51" w:history="1">
        <w:r w:rsidR="00DA7475" w:rsidRPr="00891173">
          <w:rPr>
            <w:rStyle w:val="Hyperlink"/>
            <w:color w:val="auto"/>
            <w:u w:val="none"/>
          </w:rPr>
          <w:t>http://fin.seb.lt/vbfin/stocks/stocks.fw</w:t>
        </w:r>
      </w:hyperlink>
      <w:r w:rsidR="00DA7475" w:rsidRPr="00891173">
        <w:t xml:space="preserve">   </w:t>
      </w:r>
      <w:r w:rsidRPr="00891173">
        <w:t>[žiūrėta 2012-11-16]</w:t>
      </w:r>
    </w:p>
    <w:p w:rsidR="00676026" w:rsidRPr="00891173" w:rsidRDefault="00676026" w:rsidP="00203D2D">
      <w:pPr>
        <w:pStyle w:val="ListParagraph"/>
        <w:numPr>
          <w:ilvl w:val="0"/>
          <w:numId w:val="4"/>
        </w:numPr>
        <w:tabs>
          <w:tab w:val="clear" w:pos="1080"/>
          <w:tab w:val="num" w:pos="426"/>
        </w:tabs>
        <w:spacing w:line="360" w:lineRule="auto"/>
        <w:ind w:left="0" w:firstLine="0"/>
        <w:jc w:val="both"/>
        <w:rPr>
          <w:rFonts w:eastAsia="MinionPro-Regular"/>
        </w:rPr>
      </w:pPr>
      <w:r w:rsidRPr="00891173">
        <w:rPr>
          <w:rFonts w:eastAsia="MinionPro-Regular"/>
          <w:b/>
        </w:rPr>
        <w:t xml:space="preserve">Vertybinių Popierių Komisija. </w:t>
      </w:r>
      <w:r w:rsidRPr="00891173">
        <w:rPr>
          <w:rFonts w:eastAsia="MinionPro-Regular"/>
        </w:rPr>
        <w:t>Ataskaitos ir publ</w:t>
      </w:r>
      <w:r w:rsidR="00C36D0A" w:rsidRPr="00891173">
        <w:rPr>
          <w:rFonts w:eastAsia="MinionPro-Regular"/>
        </w:rPr>
        <w:t>i</w:t>
      </w:r>
      <w:r w:rsidRPr="00891173">
        <w:rPr>
          <w:rFonts w:eastAsia="MinionPro-Regular"/>
        </w:rPr>
        <w:t xml:space="preserve">kacijos. </w:t>
      </w:r>
      <w:hyperlink r:id="rId52" w:history="1">
        <w:r w:rsidRPr="00891173">
          <w:rPr>
            <w:rStyle w:val="Hyperlink"/>
            <w:rFonts w:eastAsia="MinionPro-Regular"/>
            <w:color w:val="auto"/>
            <w:u w:val="none"/>
          </w:rPr>
          <w:t>http://www.vpk.lt/lt/ataskaitos-ir-publikacijos/komisijos-metu-ataskaitos/</w:t>
        </w:r>
      </w:hyperlink>
      <w:r w:rsidRPr="00891173">
        <w:rPr>
          <w:rFonts w:eastAsia="MinionPro-Regular"/>
        </w:rPr>
        <w:t xml:space="preserve"> </w:t>
      </w:r>
      <w:r w:rsidR="00561E64" w:rsidRPr="00891173">
        <w:rPr>
          <w:rFonts w:eastAsia="MinionPro-Regular"/>
        </w:rPr>
        <w:t>[Žiūrėta 2012-02-</w:t>
      </w:r>
      <w:r w:rsidR="00677423" w:rsidRPr="00891173">
        <w:rPr>
          <w:rFonts w:eastAsia="MinionPro-Regular"/>
        </w:rPr>
        <w:t>28]</w:t>
      </w:r>
    </w:p>
    <w:p w:rsidR="008409C5" w:rsidRPr="00891173" w:rsidRDefault="008409C5"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Fonts w:eastAsia="MinionPro-Regular"/>
          <w:lang w:eastAsia="en-US"/>
        </w:rPr>
      </w:pPr>
      <w:r w:rsidRPr="00891173">
        <w:rPr>
          <w:b/>
          <w:bCs/>
        </w:rPr>
        <w:t>Valentinavičius S.</w:t>
      </w:r>
      <w:r w:rsidRPr="00891173">
        <w:rPr>
          <w:rStyle w:val="searchrezleft6"/>
        </w:rPr>
        <w:t xml:space="preserve"> Investicijų valdymas. Teoriniai ir praktiniai aspektai: monografija. – V</w:t>
      </w:r>
      <w:r w:rsidR="00A216AE" w:rsidRPr="00891173">
        <w:rPr>
          <w:rStyle w:val="searchrezleft6"/>
        </w:rPr>
        <w:t>ilnius: Vilniaus universiteto le</w:t>
      </w:r>
      <w:r w:rsidRPr="00891173">
        <w:rPr>
          <w:rStyle w:val="searchrezleft6"/>
        </w:rPr>
        <w:t>idykla, 2010. – 304 p. – ISBN 978-9955-33-578-8</w:t>
      </w:r>
    </w:p>
    <w:p w:rsidR="00F60758" w:rsidRPr="00891173" w:rsidRDefault="00F60758"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Fonts w:eastAsia="MinionPro-Regular"/>
          <w:lang w:eastAsia="en-US"/>
        </w:rPr>
      </w:pPr>
      <w:r w:rsidRPr="00891173">
        <w:rPr>
          <w:b/>
          <w:bCs/>
        </w:rPr>
        <w:t xml:space="preserve">ZPR Amerikos fondas. </w:t>
      </w:r>
      <w:hyperlink r:id="rId53" w:history="1">
        <w:r w:rsidRPr="00891173">
          <w:rPr>
            <w:rStyle w:val="Hyperlink"/>
            <w:bCs/>
            <w:color w:val="auto"/>
            <w:u w:val="none"/>
          </w:rPr>
          <w:t>http://www.orion.lt/fondu-valdymas/zpr/?lang=lt</w:t>
        </w:r>
      </w:hyperlink>
      <w:r w:rsidRPr="00891173">
        <w:rPr>
          <w:b/>
          <w:bCs/>
        </w:rPr>
        <w:t xml:space="preserve"> </w:t>
      </w:r>
      <w:r w:rsidRPr="00891173">
        <w:rPr>
          <w:bCs/>
        </w:rPr>
        <w:t>[žiūrėta 2012-11-15]</w:t>
      </w:r>
    </w:p>
    <w:p w:rsidR="007A745E" w:rsidRPr="00891173" w:rsidRDefault="007A745E"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Fonts w:eastAsia="MinionPro-Regular"/>
          <w:lang w:eastAsia="en-US"/>
        </w:rPr>
      </w:pPr>
      <w:r w:rsidRPr="00891173">
        <w:rPr>
          <w:b/>
          <w:bCs/>
        </w:rPr>
        <w:t>Žalgirytė L.</w:t>
      </w:r>
      <w:r w:rsidRPr="00891173">
        <w:rPr>
          <w:rStyle w:val="searchrezleft6"/>
          <w:rFonts w:eastAsia="MinionPro-Regular"/>
          <w:b/>
          <w:lang w:eastAsia="en-US"/>
        </w:rPr>
        <w:t xml:space="preserve">, Guzavičius A. </w:t>
      </w:r>
      <w:r w:rsidRPr="00891173">
        <w:rPr>
          <w:rStyle w:val="searchrezleft6"/>
          <w:rFonts w:eastAsia="MinionPro-Regular"/>
          <w:lang w:eastAsia="en-US"/>
        </w:rPr>
        <w:t>Skirtin</w:t>
      </w:r>
      <w:r w:rsidR="00A216AE" w:rsidRPr="00891173">
        <w:rPr>
          <w:rStyle w:val="searchrezleft6"/>
          <w:rFonts w:eastAsia="MinionPro-Regular"/>
          <w:lang w:eastAsia="en-US"/>
        </w:rPr>
        <w:t>g</w:t>
      </w:r>
      <w:r w:rsidRPr="00891173">
        <w:rPr>
          <w:rStyle w:val="searchrezleft6"/>
          <w:rFonts w:eastAsia="MinionPro-Regular"/>
          <w:lang w:eastAsia="en-US"/>
        </w:rPr>
        <w:t xml:space="preserve">ų tipų </w:t>
      </w:r>
      <w:r w:rsidR="00A216AE" w:rsidRPr="00891173">
        <w:rPr>
          <w:rStyle w:val="searchrezleft6"/>
          <w:rFonts w:eastAsia="MinionPro-Regular"/>
          <w:lang w:eastAsia="en-US"/>
        </w:rPr>
        <w:t>TAV platinamų investicinių fondų grąžos ir rizikos analizė 2000-2010 m. // Verslo sistemos ir ekonomika. – Vilnius: Mykolo Romerio universiteto leidykla, 2011, Nr. 1 (1), p. 115-128.</w:t>
      </w:r>
    </w:p>
    <w:p w:rsidR="008409C5" w:rsidRPr="00891173" w:rsidRDefault="008409C5" w:rsidP="00203D2D">
      <w:pPr>
        <w:numPr>
          <w:ilvl w:val="0"/>
          <w:numId w:val="4"/>
        </w:numPr>
        <w:tabs>
          <w:tab w:val="clear" w:pos="1080"/>
          <w:tab w:val="num" w:pos="360"/>
          <w:tab w:val="num" w:pos="426"/>
        </w:tabs>
        <w:autoSpaceDE w:val="0"/>
        <w:autoSpaceDN w:val="0"/>
        <w:adjustRightInd w:val="0"/>
        <w:spacing w:line="360" w:lineRule="auto"/>
        <w:ind w:left="0" w:firstLine="0"/>
        <w:jc w:val="both"/>
        <w:rPr>
          <w:rStyle w:val="searchrezleft6"/>
        </w:rPr>
      </w:pPr>
      <w:r w:rsidRPr="00891173">
        <w:rPr>
          <w:rStyle w:val="searchrezleft6"/>
          <w:b/>
        </w:rPr>
        <w:t>Žvirblis  A.,</w:t>
      </w:r>
      <w:r w:rsidRPr="00891173">
        <w:rPr>
          <w:rStyle w:val="searchrezleft6"/>
        </w:rPr>
        <w:t xml:space="preserve"> </w:t>
      </w:r>
      <w:r w:rsidRPr="00891173">
        <w:rPr>
          <w:b/>
          <w:bCs/>
        </w:rPr>
        <w:t>Rimkevičiutė V.</w:t>
      </w:r>
      <w:r w:rsidRPr="00891173">
        <w:rPr>
          <w:rStyle w:val="searchrezleft6"/>
          <w:b/>
        </w:rPr>
        <w:t xml:space="preserve"> </w:t>
      </w:r>
      <w:r w:rsidRPr="00891173">
        <w:rPr>
          <w:rStyle w:val="searchrezleft6"/>
        </w:rPr>
        <w:t xml:space="preserve">Integruotas investicinių fondų rodiklių ir aplinkos veiksnių vertinimas // </w:t>
      </w:r>
      <w:r w:rsidRPr="00891173">
        <w:t>Business, management and education 2010 : scientific conference : selected papers : conference proceedings book. Vilnius, 2010</w:t>
      </w:r>
      <w:r w:rsidRPr="00891173">
        <w:rPr>
          <w:rStyle w:val="searchrezleft6"/>
        </w:rPr>
        <w:t xml:space="preserve">. Prieiga per internetą </w:t>
      </w:r>
      <w:hyperlink r:id="rId54" w:history="1">
        <w:r w:rsidRPr="00891173">
          <w:rPr>
            <w:rStyle w:val="Hyperlink"/>
            <w:color w:val="auto"/>
            <w:u w:val="none"/>
          </w:rPr>
          <w:t>http://leidykla.vgtu.lt/conferences/BME_2010/001/pdf/Art-Zvirblis-Rimkeviciute.pdf</w:t>
        </w:r>
      </w:hyperlink>
      <w:r w:rsidRPr="00891173">
        <w:rPr>
          <w:rStyle w:val="searchrezleft6"/>
        </w:rPr>
        <w:t xml:space="preserve"> </w:t>
      </w:r>
    </w:p>
    <w:p w:rsidR="004975A5" w:rsidRPr="00891173" w:rsidRDefault="00B960F9" w:rsidP="00042385">
      <w:pPr>
        <w:spacing w:after="200" w:line="360" w:lineRule="auto"/>
        <w:jc w:val="both"/>
      </w:pPr>
      <w:r w:rsidRPr="00891173">
        <w:rPr>
          <w:b/>
        </w:rPr>
        <w:br w:type="page"/>
      </w:r>
      <w:r w:rsidR="004975A5" w:rsidRPr="00891173">
        <w:rPr>
          <w:b/>
        </w:rPr>
        <w:lastRenderedPageBreak/>
        <w:t>Vaičiulionytė E.</w:t>
      </w:r>
      <w:r w:rsidR="004975A5" w:rsidRPr="00891173">
        <w:t xml:space="preserve"> Lietuvos gyvent</w:t>
      </w:r>
      <w:r w:rsidR="00681C91" w:rsidRPr="00891173">
        <w:t>ojų investicijų į investicinius</w:t>
      </w:r>
      <w:r w:rsidR="004975A5" w:rsidRPr="00891173">
        <w:t xml:space="preserve"> fondus pasirinkimo vertinimas / Finansų rinkų magistro baigiamasis darbas. Vadovė </w:t>
      </w:r>
      <w:r w:rsidR="00042385" w:rsidRPr="00891173">
        <w:t>prof.</w:t>
      </w:r>
      <w:r w:rsidR="004975A5" w:rsidRPr="00891173">
        <w:t>dr. D</w:t>
      </w:r>
      <w:r w:rsidR="00042385" w:rsidRPr="00891173">
        <w:t>. Jurevičienė. – Vilnius: Mykol</w:t>
      </w:r>
      <w:r w:rsidR="004975A5" w:rsidRPr="00891173">
        <w:t>o Romerio universitetas, Ekonomikos ir finans</w:t>
      </w:r>
      <w:r w:rsidR="00042385" w:rsidRPr="00891173">
        <w:t>ų valdymo fakultetas, 2012. - 6</w:t>
      </w:r>
      <w:r w:rsidR="0011441A" w:rsidRPr="00891173">
        <w:t>5</w:t>
      </w:r>
      <w:r w:rsidR="004975A5" w:rsidRPr="00891173">
        <w:t xml:space="preserve"> p. </w:t>
      </w:r>
    </w:p>
    <w:p w:rsidR="004975A5" w:rsidRPr="00891173" w:rsidRDefault="004975A5" w:rsidP="00D35728">
      <w:pPr>
        <w:pStyle w:val="Heading1"/>
        <w:rPr>
          <w:b/>
          <w:sz w:val="24"/>
          <w:szCs w:val="24"/>
        </w:rPr>
      </w:pPr>
      <w:bookmarkStart w:id="15" w:name="_Toc343602007"/>
      <w:r w:rsidRPr="00891173">
        <w:rPr>
          <w:b/>
          <w:sz w:val="24"/>
          <w:szCs w:val="24"/>
        </w:rPr>
        <w:t>ANOTACIJA</w:t>
      </w:r>
      <w:bookmarkEnd w:id="15"/>
    </w:p>
    <w:p w:rsidR="00D35728" w:rsidRPr="00891173" w:rsidRDefault="00D35728" w:rsidP="00D35728"/>
    <w:p w:rsidR="004975A5" w:rsidRPr="00891173" w:rsidRDefault="004975A5" w:rsidP="004975A5">
      <w:pPr>
        <w:spacing w:line="360" w:lineRule="auto"/>
        <w:ind w:firstLine="567"/>
        <w:jc w:val="both"/>
      </w:pPr>
      <w:r w:rsidRPr="00891173">
        <w:t>Magistr</w:t>
      </w:r>
      <w:r w:rsidR="00194DCB" w:rsidRPr="00891173">
        <w:t>o baigiamajame darbe išanalizuot</w:t>
      </w:r>
      <w:r w:rsidRPr="00891173">
        <w:t>a investicinių fondų klasifikacija, įvertinta Lietuvos investicinių fondų veikla, nustatyta investicinių fondų pasirinkimo kriterijų svarbumas. Pirmoje darbo dalyje nagrinėjami investicinių fondų teoriniai aspektai, aptariamas jų klasifikavimas</w:t>
      </w:r>
      <w:r w:rsidR="0016236B" w:rsidRPr="00891173">
        <w:t xml:space="preserve">. Taip pat yra pateikiami pagrindiniai investicinių fondų pasirinkimo ir vertinimo metodai. Antroje dalyje </w:t>
      </w:r>
      <w:r w:rsidR="00194DCB" w:rsidRPr="00891173">
        <w:t xml:space="preserve">suformuluotas tyrimo modelis, aptariant konkrečiai kokie metodai bus taikomi, kokie duomenys bus naudojami analizėje. </w:t>
      </w:r>
      <w:r w:rsidR="005A574E" w:rsidRPr="00891173">
        <w:t xml:space="preserve">Trečioje darbo dalyje </w:t>
      </w:r>
      <w:r w:rsidR="00194DCB" w:rsidRPr="00891173">
        <w:t xml:space="preserve">pateikiama informacija apie Lietuvos investicinių fondų veiklos reguliavimą, analizuojama statistinė informacija apie investicinių fondų rinkos dinamiką bei pasiskirstymą, įvertinama investicinių fondų veikla, atsižvelgiant į riziką, apibendrinami anketinio tyrimo </w:t>
      </w:r>
      <w:r w:rsidR="005A574E" w:rsidRPr="00891173">
        <w:t>rezultatai</w:t>
      </w:r>
      <w:r w:rsidR="00D35FCC" w:rsidRPr="00891173">
        <w:t>. Remiantis darbo rezultatais, pateikiami siūlymai.</w:t>
      </w:r>
    </w:p>
    <w:p w:rsidR="00681C91" w:rsidRPr="00891173" w:rsidRDefault="00681C91" w:rsidP="004975A5">
      <w:pPr>
        <w:spacing w:line="360" w:lineRule="auto"/>
        <w:ind w:firstLine="567"/>
        <w:jc w:val="both"/>
      </w:pPr>
    </w:p>
    <w:p w:rsidR="004975A5" w:rsidRPr="00891173" w:rsidRDefault="00D35FCC" w:rsidP="004E48EE">
      <w:pPr>
        <w:spacing w:line="360" w:lineRule="auto"/>
        <w:ind w:firstLine="567"/>
        <w:jc w:val="both"/>
      </w:pPr>
      <w:r w:rsidRPr="00891173">
        <w:rPr>
          <w:b/>
        </w:rPr>
        <w:t xml:space="preserve">Pagrindiniai žodžiai: </w:t>
      </w:r>
      <w:r w:rsidR="00BE1240" w:rsidRPr="00891173">
        <w:t>investicin</w:t>
      </w:r>
      <w:r w:rsidR="004E48EE" w:rsidRPr="00891173">
        <w:t>iai</w:t>
      </w:r>
      <w:r w:rsidRPr="00891173">
        <w:t xml:space="preserve"> fonda</w:t>
      </w:r>
      <w:r w:rsidR="004E48EE" w:rsidRPr="00891173">
        <w:t>i</w:t>
      </w:r>
      <w:r w:rsidRPr="00891173">
        <w:t>, fondų klasifi</w:t>
      </w:r>
      <w:r w:rsidR="00320C70" w:rsidRPr="00891173">
        <w:t>kavimas, pasirinkimo kriterijai, investicinė grąža, rizikingumas</w:t>
      </w:r>
      <w:r w:rsidR="00A679EB" w:rsidRPr="00891173">
        <w:t>.</w:t>
      </w:r>
    </w:p>
    <w:p w:rsidR="00320C70" w:rsidRPr="00891173" w:rsidRDefault="00320C70" w:rsidP="004E48EE">
      <w:pPr>
        <w:spacing w:after="240" w:line="360" w:lineRule="auto"/>
        <w:ind w:firstLine="567"/>
        <w:jc w:val="both"/>
        <w:rPr>
          <w:rStyle w:val="searchrezleft6"/>
          <w:b/>
        </w:rPr>
      </w:pPr>
    </w:p>
    <w:p w:rsidR="004E48EE" w:rsidRPr="00891173" w:rsidRDefault="004E48EE" w:rsidP="004E48EE">
      <w:pPr>
        <w:spacing w:after="240" w:line="360" w:lineRule="auto"/>
        <w:ind w:firstLine="567"/>
        <w:jc w:val="both"/>
      </w:pPr>
      <w:r w:rsidRPr="00891173">
        <w:rPr>
          <w:rStyle w:val="searchrezleft6"/>
          <w:b/>
        </w:rPr>
        <w:t>Vaičiulionytė E.</w:t>
      </w:r>
      <w:r w:rsidRPr="00891173">
        <w:rPr>
          <w:rStyle w:val="searchrezleft6"/>
        </w:rPr>
        <w:t xml:space="preserve"> </w:t>
      </w:r>
      <w:r w:rsidRPr="00891173">
        <w:t xml:space="preserve">Lithuanian household investments in investment funds, choice assessment / Master‘s Work in Financial Markets. Supervisor prof. dr. D. Jurevičienė – Vilnius: Faculty of Economics and Finance Management, Mykolas Romeris University, 2012. – </w:t>
      </w:r>
      <w:r w:rsidR="00042385" w:rsidRPr="00891173">
        <w:t>6</w:t>
      </w:r>
      <w:r w:rsidR="0011441A" w:rsidRPr="00891173">
        <w:t>5</w:t>
      </w:r>
      <w:r w:rsidRPr="00891173">
        <w:t xml:space="preserve"> p.</w:t>
      </w:r>
    </w:p>
    <w:p w:rsidR="004E48EE" w:rsidRPr="00891173" w:rsidRDefault="004E48EE" w:rsidP="00D53421">
      <w:pPr>
        <w:spacing w:after="240" w:line="360" w:lineRule="auto"/>
        <w:jc w:val="center"/>
        <w:rPr>
          <w:rStyle w:val="searchrezleft6"/>
        </w:rPr>
      </w:pPr>
      <w:r w:rsidRPr="00891173">
        <w:rPr>
          <w:rStyle w:val="searchrezleft6"/>
          <w:b/>
        </w:rPr>
        <w:t>ANOTATION</w:t>
      </w:r>
    </w:p>
    <w:p w:rsidR="004E48EE" w:rsidRPr="00891173" w:rsidRDefault="004E48EE" w:rsidP="004E48EE">
      <w:pPr>
        <w:spacing w:line="360" w:lineRule="auto"/>
        <w:ind w:firstLine="567"/>
        <w:jc w:val="both"/>
      </w:pPr>
      <w:r w:rsidRPr="00891173">
        <w:t>Master's thesis analyzed the fund classification, assessed Lithuanian activity of investments funds, set investment fund's selection criteria’s’ significance. First part of work analyzes theoretical aspects of the investment fund, discusses their classification. It is also presents the main investment fund's choice and evaluation methods. In the second part of the research was formulated model, discussing specifically what methods will be used, what data will be used for analysis. The third part contains information about the Lithuanian investment fund's activity regulation, analyzing statistical information about the investment fund market dynamics and the distribution of estimated activity of investments funds, taking into account the risks, summarized questionnaire survey results. On the basis of the results of work, proposals are submitted.</w:t>
      </w:r>
    </w:p>
    <w:p w:rsidR="004E48EE" w:rsidRPr="00891173" w:rsidRDefault="004E48EE" w:rsidP="004E48EE">
      <w:pPr>
        <w:spacing w:line="360" w:lineRule="auto"/>
        <w:ind w:firstLine="567"/>
        <w:jc w:val="both"/>
      </w:pPr>
    </w:p>
    <w:p w:rsidR="004E48EE" w:rsidRPr="00891173" w:rsidRDefault="00320C70" w:rsidP="00320C70">
      <w:pPr>
        <w:autoSpaceDE w:val="0"/>
        <w:autoSpaceDN w:val="0"/>
        <w:adjustRightInd w:val="0"/>
        <w:ind w:firstLine="567"/>
      </w:pPr>
      <w:r w:rsidRPr="00891173">
        <w:rPr>
          <w:b/>
        </w:rPr>
        <w:t>Key w</w:t>
      </w:r>
      <w:r w:rsidR="004E48EE" w:rsidRPr="00891173">
        <w:rPr>
          <w:b/>
        </w:rPr>
        <w:t>ords:</w:t>
      </w:r>
      <w:r w:rsidR="004E48EE" w:rsidRPr="00891173">
        <w:t xml:space="preserve"> in</w:t>
      </w:r>
      <w:r w:rsidRPr="00891173">
        <w:t>vestment funds</w:t>
      </w:r>
      <w:r w:rsidR="004E48EE" w:rsidRPr="00891173">
        <w:t>,</w:t>
      </w:r>
      <w:r w:rsidRPr="00891173">
        <w:t xml:space="preserve"> fund clasification,</w:t>
      </w:r>
      <w:r w:rsidR="004E48EE" w:rsidRPr="00891173">
        <w:t xml:space="preserve"> selection criteria, </w:t>
      </w:r>
      <w:r w:rsidRPr="00891173">
        <w:rPr>
          <w:rFonts w:ascii="TimesNewRomanPSMT" w:eastAsiaTheme="minorHAnsi" w:hAnsi="TimesNewRomanPSMT" w:cs="TimesNewRomanPSMT"/>
          <w:lang w:eastAsia="en-US"/>
        </w:rPr>
        <w:t>management fees, risk.</w:t>
      </w:r>
    </w:p>
    <w:p w:rsidR="00681C91" w:rsidRPr="00891173" w:rsidRDefault="004975A5" w:rsidP="00320C70">
      <w:pPr>
        <w:spacing w:line="360" w:lineRule="auto"/>
        <w:ind w:firstLine="567"/>
        <w:jc w:val="both"/>
      </w:pPr>
      <w:r w:rsidRPr="00891173">
        <w:rPr>
          <w:rStyle w:val="searchrezleft6"/>
        </w:rPr>
        <w:br w:type="page"/>
      </w:r>
      <w:r w:rsidR="00681C91" w:rsidRPr="00891173">
        <w:rPr>
          <w:b/>
        </w:rPr>
        <w:lastRenderedPageBreak/>
        <w:t>Vaičiulionytė E.</w:t>
      </w:r>
      <w:r w:rsidR="00681C91" w:rsidRPr="00891173">
        <w:t xml:space="preserve"> Lietuvos gyventojų investicijų į investicinius fondus pasirinkimo vertinimas / Finansų rinkų magistro baigiamasis darbas. Vadovė </w:t>
      </w:r>
      <w:r w:rsidR="00042385" w:rsidRPr="00891173">
        <w:t xml:space="preserve">prof. </w:t>
      </w:r>
      <w:r w:rsidR="00681C91" w:rsidRPr="00891173">
        <w:t>dr. D. Jurevičienė. – Viln</w:t>
      </w:r>
      <w:r w:rsidR="00042385" w:rsidRPr="00891173">
        <w:t>ius: Mykol</w:t>
      </w:r>
      <w:r w:rsidR="00681C91" w:rsidRPr="00891173">
        <w:t>o Romerio universitetas, Ekonomikos ir finans</w:t>
      </w:r>
      <w:r w:rsidR="00042385" w:rsidRPr="00891173">
        <w:t>ų valdymo fakultetas, 2012. - 6</w:t>
      </w:r>
      <w:r w:rsidR="0011441A" w:rsidRPr="00891173">
        <w:t>5</w:t>
      </w:r>
      <w:r w:rsidR="00681C91" w:rsidRPr="00891173">
        <w:t xml:space="preserve"> p.</w:t>
      </w:r>
    </w:p>
    <w:p w:rsidR="004975A5" w:rsidRPr="00891173" w:rsidRDefault="00CE1527" w:rsidP="00D35728">
      <w:pPr>
        <w:pStyle w:val="Heading1"/>
        <w:rPr>
          <w:rStyle w:val="searchrezleft6"/>
          <w:b/>
          <w:sz w:val="24"/>
          <w:szCs w:val="24"/>
        </w:rPr>
      </w:pPr>
      <w:bookmarkStart w:id="16" w:name="_Toc343602008"/>
      <w:r w:rsidRPr="00891173">
        <w:rPr>
          <w:rStyle w:val="searchrezleft6"/>
          <w:b/>
          <w:sz w:val="24"/>
          <w:szCs w:val="24"/>
        </w:rPr>
        <w:t>SANTRAUKA</w:t>
      </w:r>
      <w:bookmarkEnd w:id="16"/>
    </w:p>
    <w:p w:rsidR="00D35728" w:rsidRPr="00891173" w:rsidRDefault="00D35728" w:rsidP="00D35728"/>
    <w:p w:rsidR="00CE1527" w:rsidRPr="00891173" w:rsidRDefault="00CE1527" w:rsidP="00AE146D">
      <w:pPr>
        <w:spacing w:line="360" w:lineRule="auto"/>
        <w:ind w:firstLine="567"/>
        <w:jc w:val="both"/>
        <w:rPr>
          <w:rStyle w:val="searchrezleft6"/>
        </w:rPr>
      </w:pPr>
      <w:r w:rsidRPr="00891173">
        <w:rPr>
          <w:rStyle w:val="searchrezleft6"/>
        </w:rPr>
        <w:t>Magistr</w:t>
      </w:r>
      <w:r w:rsidR="00264A14" w:rsidRPr="00891173">
        <w:rPr>
          <w:rStyle w:val="searchrezleft6"/>
        </w:rPr>
        <w:t>o baigiamajame darbe nagrinėjami</w:t>
      </w:r>
      <w:r w:rsidRPr="00891173">
        <w:rPr>
          <w:rStyle w:val="searchrezleft6"/>
        </w:rPr>
        <w:t xml:space="preserve"> investicinių fondų teoriniai aspektai, jų klasifikavimas bei vertinimo</w:t>
      </w:r>
      <w:r w:rsidR="00264A14" w:rsidRPr="00891173">
        <w:rPr>
          <w:rStyle w:val="searchrezleft6"/>
        </w:rPr>
        <w:t xml:space="preserve"> metodai. </w:t>
      </w:r>
      <w:r w:rsidR="004109C3" w:rsidRPr="00891173">
        <w:rPr>
          <w:rStyle w:val="searchrezleft6"/>
        </w:rPr>
        <w:t>Lietuvoje investicinių fondų dalyvių skaičius vis didėja, o tai rodo, kad investavimas į juos tampa vis populeresnis. Teisingai nuspręsti, kurį investicinį fondą pasirinkti</w:t>
      </w:r>
      <w:r w:rsidR="005C57F4" w:rsidRPr="00891173">
        <w:rPr>
          <w:rStyle w:val="searchrezleft6"/>
        </w:rPr>
        <w:t>,</w:t>
      </w:r>
      <w:r w:rsidR="004109C3" w:rsidRPr="00891173">
        <w:rPr>
          <w:rStyle w:val="searchrezleft6"/>
        </w:rPr>
        <w:t xml:space="preserve"> yra sudėtinga. Ypač sunku tai padaryti finansinių krizių laikotarpiu. Investuotojai yra įpratę, kad kokie fondų rezultatai buvo praeityje, tokių pačių laukia ir ateityje</w:t>
      </w:r>
      <w:r w:rsidR="00AE146D" w:rsidRPr="00891173">
        <w:rPr>
          <w:rStyle w:val="searchrezleft6"/>
        </w:rPr>
        <w:t>. Deja praeities rezultatai nelemia tokių pačių rezultatų ateityje. Investuotojai patys nusprendžia pagal kokius kriterijus jiems rinktis fodus, todėl ne visada aišku, ar teisingai jie priima investicinius sprendimus, pagal kokius kriterijus jie tai daro.</w:t>
      </w:r>
    </w:p>
    <w:p w:rsidR="00AE146D" w:rsidRPr="00891173" w:rsidRDefault="00AE146D" w:rsidP="00AE146D">
      <w:pPr>
        <w:spacing w:line="360" w:lineRule="auto"/>
        <w:ind w:firstLine="567"/>
        <w:jc w:val="both"/>
      </w:pPr>
      <w:r w:rsidRPr="00891173">
        <w:rPr>
          <w:rStyle w:val="searchrezleft6"/>
        </w:rPr>
        <w:t xml:space="preserve">Darbe sprendžiama problema - </w:t>
      </w:r>
      <w:r w:rsidR="00525787" w:rsidRPr="00891173">
        <w:t>pagal kokius kriterijus ar vertinimo būdus reikėtų pasirinkti investicinius fondus.</w:t>
      </w:r>
    </w:p>
    <w:p w:rsidR="00071BC6" w:rsidRPr="00891173" w:rsidRDefault="00071BC6" w:rsidP="00071BC6">
      <w:pPr>
        <w:spacing w:line="360" w:lineRule="auto"/>
        <w:ind w:firstLine="567"/>
        <w:jc w:val="both"/>
      </w:pPr>
      <w:r w:rsidRPr="00891173">
        <w:t>Tyrimo objektas – Lietuvoje platinami investiciniai fondai.</w:t>
      </w:r>
    </w:p>
    <w:p w:rsidR="00071BC6" w:rsidRPr="00891173" w:rsidRDefault="00071BC6" w:rsidP="00071BC6">
      <w:pPr>
        <w:spacing w:line="360" w:lineRule="auto"/>
        <w:ind w:firstLine="567"/>
        <w:jc w:val="both"/>
      </w:pPr>
      <w:r w:rsidRPr="00891173">
        <w:t xml:space="preserve">Darbo tikslas – įvertinus investicinių fondų veiklą Lietuvoje, nustatyti </w:t>
      </w:r>
      <w:r w:rsidR="005C57F4" w:rsidRPr="00891173">
        <w:t>esminius kriterijus, kuriais</w:t>
      </w:r>
      <w:r w:rsidRPr="00891173">
        <w:t xml:space="preserve"> </w:t>
      </w:r>
      <w:r w:rsidR="005C57F4" w:rsidRPr="00891173">
        <w:t>remiasi Lietuvos gyventojai</w:t>
      </w:r>
      <w:r w:rsidRPr="00891173">
        <w:t xml:space="preserve">, </w:t>
      </w:r>
      <w:r w:rsidR="005C57F4" w:rsidRPr="00891173">
        <w:t>pasirinkdami</w:t>
      </w:r>
      <w:r w:rsidRPr="00891173">
        <w:t xml:space="preserve"> investicinius fondus.</w:t>
      </w:r>
    </w:p>
    <w:p w:rsidR="00071BC6" w:rsidRPr="00891173" w:rsidRDefault="00095E1B" w:rsidP="00095E1B">
      <w:pPr>
        <w:spacing w:line="360" w:lineRule="auto"/>
        <w:ind w:firstLine="567"/>
        <w:jc w:val="both"/>
      </w:pPr>
      <w:r w:rsidRPr="00891173">
        <w:t>M</w:t>
      </w:r>
      <w:r w:rsidR="00071BC6" w:rsidRPr="00891173">
        <w:t>agistro baigiam</w:t>
      </w:r>
      <w:r w:rsidRPr="00891173">
        <w:t>ojo</w:t>
      </w:r>
      <w:r w:rsidR="00071BC6" w:rsidRPr="00891173">
        <w:t xml:space="preserve"> </w:t>
      </w:r>
      <w:r w:rsidRPr="00891173">
        <w:t>darbo</w:t>
      </w:r>
      <w:r w:rsidR="00071BC6" w:rsidRPr="00891173">
        <w:t xml:space="preserve"> uždaviniai</w:t>
      </w:r>
      <w:r w:rsidRPr="00891173">
        <w:t xml:space="preserve"> </w:t>
      </w:r>
      <w:r w:rsidR="00B41B45" w:rsidRPr="00891173">
        <w:t>–</w:t>
      </w:r>
      <w:r w:rsidRPr="00891173">
        <w:t xml:space="preserve"> i</w:t>
      </w:r>
      <w:r w:rsidR="00071BC6" w:rsidRPr="00891173">
        <w:t>šanalizuoti mokslinės literatūros šaltinius, nagrinėjančius investicinius fondus;</w:t>
      </w:r>
      <w:r w:rsidRPr="00891173">
        <w:t xml:space="preserve"> </w:t>
      </w:r>
      <w:r w:rsidR="00071BC6" w:rsidRPr="00891173">
        <w:t>suklasifikuoti investicinius fondus;</w:t>
      </w:r>
      <w:r w:rsidRPr="00891173">
        <w:t xml:space="preserve"> </w:t>
      </w:r>
      <w:r w:rsidR="00071BC6" w:rsidRPr="00891173">
        <w:t>aptarti investicinių fondų pasirinkimo kriterijus;</w:t>
      </w:r>
      <w:r w:rsidRPr="00891173">
        <w:t xml:space="preserve"> </w:t>
      </w:r>
      <w:r w:rsidR="005C57F4" w:rsidRPr="00891173">
        <w:t xml:space="preserve">išnagrinėti investicinių fondų </w:t>
      </w:r>
      <w:r w:rsidR="00071BC6" w:rsidRPr="00891173">
        <w:t>vertinimo rodiklius;</w:t>
      </w:r>
      <w:r w:rsidRPr="00891173">
        <w:t xml:space="preserve"> </w:t>
      </w:r>
      <w:r w:rsidR="00071BC6" w:rsidRPr="00891173">
        <w:t>ištirti Lietuvos investicinių fondų rinką;</w:t>
      </w:r>
      <w:r w:rsidRPr="00891173">
        <w:t xml:space="preserve"> </w:t>
      </w:r>
      <w:r w:rsidR="00071BC6" w:rsidRPr="00891173">
        <w:t>išanalizuoti ir įvertinti Lietuvos gyventojų investavimo į investicinius fondus pasirinkimo kriterijus.</w:t>
      </w:r>
    </w:p>
    <w:p w:rsidR="00914493" w:rsidRPr="00891173" w:rsidRDefault="00095E1B" w:rsidP="00AE146D">
      <w:pPr>
        <w:spacing w:line="360" w:lineRule="auto"/>
        <w:ind w:firstLine="567"/>
        <w:jc w:val="both"/>
        <w:rPr>
          <w:rStyle w:val="searchrezleft6"/>
        </w:rPr>
      </w:pPr>
      <w:r w:rsidRPr="00891173">
        <w:t>Darbo tikslui ir uždaviniams pasiekti naudojami šie tyrimo metodai: sisteminė mokslinės literatūros lyginamoji analizė, statistinių duomenų analizė ir sintezė, palyginamoji rodiklių analizė, grafinis vaizdavimas, anketinė apklausa.</w:t>
      </w:r>
    </w:p>
    <w:p w:rsidR="000E3400" w:rsidRPr="00891173" w:rsidRDefault="006D3A6A" w:rsidP="005C57F4">
      <w:pPr>
        <w:autoSpaceDE w:val="0"/>
        <w:autoSpaceDN w:val="0"/>
        <w:adjustRightInd w:val="0"/>
        <w:spacing w:line="360" w:lineRule="auto"/>
        <w:ind w:firstLine="567"/>
        <w:jc w:val="both"/>
        <w:rPr>
          <w:rStyle w:val="searchrezleft6"/>
        </w:rPr>
      </w:pPr>
      <w:r w:rsidRPr="00891173">
        <w:rPr>
          <w:rStyle w:val="searchrezleft6"/>
        </w:rPr>
        <w:t>Atlikus tyimą, nustatyta, kad nepakanka inveticinius fondus rinktis pagal vieną vertinimo metodą. Norint efektyvaus investavimo</w:t>
      </w:r>
      <w:r w:rsidR="005C57F4" w:rsidRPr="00891173">
        <w:rPr>
          <w:rStyle w:val="searchrezleft6"/>
        </w:rPr>
        <w:t>,</w:t>
      </w:r>
      <w:r w:rsidRPr="00891173">
        <w:rPr>
          <w:rStyle w:val="searchrezleft6"/>
        </w:rPr>
        <w:t xml:space="preserve"> turi būti derinami įvairūs fondų pasirinkimo metodai.</w:t>
      </w:r>
      <w:r w:rsidR="005C57F4" w:rsidRPr="00891173">
        <w:rPr>
          <w:rStyle w:val="searchrezleft6"/>
        </w:rPr>
        <w:t xml:space="preserve"> Siūloma investicinius fondus vertinti pagal Šarpo rodiklį ir grąžos dydžius.</w:t>
      </w:r>
      <w:r w:rsidRPr="00891173">
        <w:rPr>
          <w:rStyle w:val="searchrezleft6"/>
        </w:rPr>
        <w:t xml:space="preserve"> Anketinės apklausos rezultatai parodė, kad Lietuvos gyventojams svarbūs visi investicinių fondų pasirinkimo kriterijai</w:t>
      </w:r>
      <w:r w:rsidR="00CA3ED7" w:rsidRPr="00891173">
        <w:rPr>
          <w:rStyle w:val="searchrezleft6"/>
        </w:rPr>
        <w:t>:</w:t>
      </w:r>
      <w:r w:rsidR="00CA3ED7" w:rsidRPr="00891173">
        <w:t xml:space="preserve"> fondo veiklos rezultatai praeityje, komisiniai mokesčiai, fo</w:t>
      </w:r>
      <w:r w:rsidR="00631F01" w:rsidRPr="00891173">
        <w:t>ndo rizika, valdytojo patirtis ir v</w:t>
      </w:r>
      <w:r w:rsidR="00F129A8" w:rsidRPr="00891173">
        <w:t>a</w:t>
      </w:r>
      <w:r w:rsidR="00631F01" w:rsidRPr="00891173">
        <w:t>ldomų fondų skaičius</w:t>
      </w:r>
      <w:r w:rsidR="00CA3ED7" w:rsidRPr="00891173">
        <w:t xml:space="preserve">, investavimo </w:t>
      </w:r>
      <w:r w:rsidR="00631F01" w:rsidRPr="00891173">
        <w:t>stategija</w:t>
      </w:r>
      <w:r w:rsidR="00CA3ED7" w:rsidRPr="00891173">
        <w:t xml:space="preserve">, </w:t>
      </w:r>
      <w:r w:rsidR="00631F01" w:rsidRPr="00891173">
        <w:t xml:space="preserve">analitikų rekomendacijos, </w:t>
      </w:r>
      <w:r w:rsidR="00CA3ED7" w:rsidRPr="00891173">
        <w:t>draugų</w:t>
      </w:r>
      <w:r w:rsidR="00631F01" w:rsidRPr="00891173">
        <w:t xml:space="preserve"> ar kitų investuotojų nuomonė, fondo egzistavimo trukmė ir dydis,</w:t>
      </w:r>
      <w:r w:rsidRPr="00891173">
        <w:rPr>
          <w:rStyle w:val="searchrezleft6"/>
        </w:rPr>
        <w:t xml:space="preserve"> </w:t>
      </w:r>
      <w:r w:rsidR="00631F01" w:rsidRPr="00891173">
        <w:rPr>
          <w:rStyle w:val="searchrezleft6"/>
        </w:rPr>
        <w:t>informacijos prieinamumas apie fondą.</w:t>
      </w:r>
      <w:r w:rsidR="000500C9" w:rsidRPr="00891173">
        <w:rPr>
          <w:rStyle w:val="searchrezleft6"/>
        </w:rPr>
        <w:t xml:space="preserve"> Vis dėl to past</w:t>
      </w:r>
      <w:r w:rsidR="00F129A8" w:rsidRPr="00891173">
        <w:rPr>
          <w:rStyle w:val="searchrezleft6"/>
        </w:rPr>
        <w:t>e</w:t>
      </w:r>
      <w:r w:rsidR="000500C9" w:rsidRPr="00891173">
        <w:rPr>
          <w:rStyle w:val="searchrezleft6"/>
        </w:rPr>
        <w:t>bėt</w:t>
      </w:r>
      <w:r w:rsidR="00F129A8" w:rsidRPr="00891173">
        <w:rPr>
          <w:rStyle w:val="searchrezleft6"/>
        </w:rPr>
        <w:t>a</w:t>
      </w:r>
      <w:r w:rsidR="000500C9" w:rsidRPr="00891173">
        <w:rPr>
          <w:rStyle w:val="searchrezleft6"/>
        </w:rPr>
        <w:t>, kad šie kriterijai turi ne vienodą svarbą. Lietuvos investuotojui aktualiausia</w:t>
      </w:r>
      <w:r w:rsidR="00093E9F" w:rsidRPr="00891173">
        <w:rPr>
          <w:rStyle w:val="searchrezleft6"/>
        </w:rPr>
        <w:t>,</w:t>
      </w:r>
      <w:r w:rsidR="000500C9" w:rsidRPr="00891173">
        <w:rPr>
          <w:rStyle w:val="searchrezleft6"/>
        </w:rPr>
        <w:t xml:space="preserve"> renkantis investicinį fondą</w:t>
      </w:r>
      <w:r w:rsidR="005C57F4" w:rsidRPr="00891173">
        <w:rPr>
          <w:rStyle w:val="searchrezleft6"/>
        </w:rPr>
        <w:t>,</w:t>
      </w:r>
      <w:r w:rsidR="000500C9" w:rsidRPr="00891173">
        <w:rPr>
          <w:rStyle w:val="searchrezleft6"/>
        </w:rPr>
        <w:t xml:space="preserve"> yra jo pelningumas, rizika ir taikomi mokesčiai, tai sudaro 54 proc. apklaustųjų. Mažiausią įtaką daro </w:t>
      </w:r>
      <w:r w:rsidR="000500C9" w:rsidRPr="00891173">
        <w:rPr>
          <w:rStyle w:val="searchrezleft6"/>
        </w:rPr>
        <w:lastRenderedPageBreak/>
        <w:t>informacijos prieinamumas apie fondą, valdymo bendrovės valdomų fondų skaičius bei draugų ar kitų investuotojų nuomonė. Taigi darbo pradžio</w:t>
      </w:r>
      <w:r w:rsidR="00F129A8" w:rsidRPr="00891173">
        <w:rPr>
          <w:rStyle w:val="searchrezleft6"/>
        </w:rPr>
        <w:t>je</w:t>
      </w:r>
      <w:r w:rsidR="000500C9" w:rsidRPr="00891173">
        <w:rPr>
          <w:rStyle w:val="searchrezleft6"/>
        </w:rPr>
        <w:t xml:space="preserve"> iškelta hipotezė pasitvirtino – Lietuvos gyventojai renkasi investicinius fondus pagal jų veiklos praeities rezultatus.</w:t>
      </w:r>
      <w:r w:rsidR="00492949" w:rsidRPr="00891173">
        <w:rPr>
          <w:rStyle w:val="searchrezleft6"/>
        </w:rPr>
        <w:t xml:space="preserve"> Apibendrinus rezultatus, siūloma:</w:t>
      </w:r>
    </w:p>
    <w:p w:rsidR="000E3400" w:rsidRPr="00891173" w:rsidRDefault="005C57F4" w:rsidP="00203D2D">
      <w:pPr>
        <w:pStyle w:val="ListParagraph"/>
        <w:numPr>
          <w:ilvl w:val="0"/>
          <w:numId w:val="33"/>
        </w:numPr>
        <w:tabs>
          <w:tab w:val="left" w:pos="851"/>
        </w:tabs>
        <w:autoSpaceDE w:val="0"/>
        <w:autoSpaceDN w:val="0"/>
        <w:adjustRightInd w:val="0"/>
        <w:spacing w:line="360" w:lineRule="auto"/>
        <w:ind w:left="0" w:firstLine="567"/>
        <w:jc w:val="both"/>
        <w:rPr>
          <w:color w:val="000000"/>
        </w:rPr>
      </w:pPr>
      <w:r w:rsidRPr="00891173">
        <w:rPr>
          <w:color w:val="000000"/>
        </w:rPr>
        <w:t>atsakingai rinktis vertinimo metodus - patartina naudoti Šarpo rodiklį, nes galima palyginti skirtingos investavimo strategijos fondus tarpusavyje, ir grąžos dydžius</w:t>
      </w:r>
      <w:r w:rsidR="000E3400" w:rsidRPr="00891173">
        <w:rPr>
          <w:color w:val="000000"/>
        </w:rPr>
        <w:t>;</w:t>
      </w:r>
    </w:p>
    <w:p w:rsidR="005C57F4" w:rsidRPr="00891173" w:rsidRDefault="005C57F4" w:rsidP="00203D2D">
      <w:pPr>
        <w:pStyle w:val="ListParagraph"/>
        <w:numPr>
          <w:ilvl w:val="0"/>
          <w:numId w:val="33"/>
        </w:numPr>
        <w:tabs>
          <w:tab w:val="left" w:pos="851"/>
        </w:tabs>
        <w:autoSpaceDE w:val="0"/>
        <w:autoSpaceDN w:val="0"/>
        <w:adjustRightInd w:val="0"/>
        <w:spacing w:line="360" w:lineRule="auto"/>
        <w:ind w:left="0" w:firstLine="567"/>
        <w:jc w:val="both"/>
        <w:rPr>
          <w:color w:val="000000"/>
        </w:rPr>
      </w:pPr>
      <w:r w:rsidRPr="00891173">
        <w:rPr>
          <w:color w:val="000000"/>
        </w:rPr>
        <w:t xml:space="preserve">siekiant investuoti tam tikram terminui, </w:t>
      </w:r>
      <w:r w:rsidR="00093E9F" w:rsidRPr="00891173">
        <w:rPr>
          <w:color w:val="000000"/>
        </w:rPr>
        <w:t xml:space="preserve"> investijas į investicinius fondus</w:t>
      </w:r>
      <w:r w:rsidR="000E3400" w:rsidRPr="00891173">
        <w:rPr>
          <w:color w:val="000000"/>
        </w:rPr>
        <w:t>, reikia</w:t>
      </w:r>
      <w:r w:rsidRPr="00891173">
        <w:rPr>
          <w:color w:val="000000"/>
        </w:rPr>
        <w:t xml:space="preserve"> rinktis pagal rizikingumo lygį.</w:t>
      </w:r>
    </w:p>
    <w:p w:rsidR="00681C91" w:rsidRPr="00891173" w:rsidRDefault="00492949" w:rsidP="00631F01">
      <w:pPr>
        <w:pStyle w:val="Default"/>
        <w:spacing w:line="360" w:lineRule="auto"/>
        <w:ind w:firstLine="567"/>
        <w:jc w:val="both"/>
        <w:rPr>
          <w:rStyle w:val="searchrezleft6"/>
        </w:rPr>
      </w:pPr>
      <w:r w:rsidRPr="00891173">
        <w:rPr>
          <w:rStyle w:val="searchrezleft6"/>
        </w:rPr>
        <w:t xml:space="preserve">Baigiamąjį magistro darbą sudaro </w:t>
      </w:r>
      <w:r w:rsidRPr="00891173">
        <w:t>turinys, priedų, lentelių, paveikslų sąrašai, įvadas, trys skyriai, išvados ir pasiūlymai, literatūros šaltinių sąrašas, anotacija lietuvių ir anglų kalbomis, santrauka lietuvių ir anglų kalbomis bei priedai.</w:t>
      </w:r>
    </w:p>
    <w:p w:rsidR="007F3367" w:rsidRPr="00891173" w:rsidRDefault="007F3367" w:rsidP="00631F01">
      <w:pPr>
        <w:pStyle w:val="Default"/>
        <w:spacing w:line="360" w:lineRule="auto"/>
        <w:ind w:firstLine="567"/>
        <w:jc w:val="both"/>
        <w:rPr>
          <w:rStyle w:val="searchrezleft6"/>
        </w:rPr>
      </w:pPr>
    </w:p>
    <w:p w:rsidR="00320C70" w:rsidRPr="00891173" w:rsidRDefault="00320C70" w:rsidP="00320C70">
      <w:pPr>
        <w:spacing w:after="240" w:line="360" w:lineRule="auto"/>
        <w:ind w:firstLine="567"/>
        <w:jc w:val="both"/>
        <w:rPr>
          <w:rStyle w:val="searchrezleft6"/>
          <w:b/>
        </w:rPr>
      </w:pPr>
    </w:p>
    <w:p w:rsidR="00320C70" w:rsidRPr="00891173" w:rsidRDefault="00320C70" w:rsidP="005A7F78">
      <w:pPr>
        <w:spacing w:after="360" w:line="360" w:lineRule="auto"/>
        <w:ind w:firstLine="567"/>
        <w:jc w:val="both"/>
      </w:pPr>
      <w:r w:rsidRPr="00891173">
        <w:rPr>
          <w:rStyle w:val="searchrezleft6"/>
          <w:b/>
        </w:rPr>
        <w:t>Vaičiulionytė E.</w:t>
      </w:r>
      <w:r w:rsidRPr="00891173">
        <w:rPr>
          <w:rStyle w:val="searchrezleft6"/>
        </w:rPr>
        <w:t xml:space="preserve"> </w:t>
      </w:r>
      <w:r w:rsidRPr="00891173">
        <w:t xml:space="preserve">Lithuanian household investments in investment funds, choice assessment / Master‘s Work in Financial Markets. Supervisor prof. dr. D. Jurevičienė – Vilnius: Faculty of Economics and Finance Management, Mykolas Romeris University, 2012. – </w:t>
      </w:r>
      <w:r w:rsidR="00064DCB" w:rsidRPr="00891173">
        <w:t>6</w:t>
      </w:r>
      <w:r w:rsidR="0011441A" w:rsidRPr="00891173">
        <w:t>5</w:t>
      </w:r>
      <w:r w:rsidRPr="00891173">
        <w:t xml:space="preserve"> p.</w:t>
      </w:r>
    </w:p>
    <w:p w:rsidR="006D3A6A" w:rsidRPr="00891173" w:rsidRDefault="00320C70" w:rsidP="005A7F78">
      <w:pPr>
        <w:spacing w:after="200" w:line="360" w:lineRule="auto"/>
        <w:jc w:val="center"/>
        <w:rPr>
          <w:rStyle w:val="searchrezleft6"/>
          <w:b/>
        </w:rPr>
      </w:pPr>
      <w:r w:rsidRPr="00891173">
        <w:rPr>
          <w:rStyle w:val="searchrezleft6"/>
          <w:b/>
        </w:rPr>
        <w:t>SUMMARY</w:t>
      </w:r>
    </w:p>
    <w:p w:rsidR="00320C70" w:rsidRPr="00891173" w:rsidRDefault="00320C70" w:rsidP="00320C70">
      <w:pPr>
        <w:spacing w:line="360" w:lineRule="auto"/>
        <w:ind w:firstLine="567"/>
        <w:jc w:val="both"/>
      </w:pPr>
      <w:r w:rsidRPr="00891173">
        <w:t>Master's thesis examines the theoretical aspects of the investment funds, their classification and evaluation methods. In Lithuania investment funds number of participants is increasing, which shows that investing in them is becoming more popular. Correctly decide which investment fund to choose, is difficult. It is extremely difficult to do this during the financial crisis. Investors are accustomed that which funds were in the past, waiting for the same in the future. Unfortunately past results do not lead to the same results in the future. Investors themselves decide what criteria they choose funds, it is not always clear whether they make the correct investment decisions according to what criteria do.</w:t>
      </w:r>
    </w:p>
    <w:p w:rsidR="00320C70" w:rsidRPr="00891173" w:rsidRDefault="00320C70" w:rsidP="00320C70">
      <w:pPr>
        <w:spacing w:line="360" w:lineRule="auto"/>
        <w:ind w:firstLine="567"/>
        <w:jc w:val="both"/>
      </w:pPr>
      <w:r w:rsidRPr="00891173">
        <w:t>This work solves the problem - according to what criteria and evaluation methods should be selected mutual funds.</w:t>
      </w:r>
    </w:p>
    <w:p w:rsidR="00320C70" w:rsidRPr="00891173" w:rsidRDefault="00320C70" w:rsidP="00320C70">
      <w:pPr>
        <w:spacing w:line="360" w:lineRule="auto"/>
        <w:ind w:firstLine="567"/>
        <w:jc w:val="both"/>
      </w:pPr>
      <w:r w:rsidRPr="00891173">
        <w:t>The object of investigation - Lithuania has distributed investment funds.</w:t>
      </w:r>
    </w:p>
    <w:p w:rsidR="00320C70" w:rsidRPr="00891173" w:rsidRDefault="00320C70" w:rsidP="00320C70">
      <w:pPr>
        <w:spacing w:line="360" w:lineRule="auto"/>
        <w:ind w:firstLine="567"/>
        <w:jc w:val="both"/>
      </w:pPr>
      <w:r w:rsidRPr="00891173">
        <w:t>The aim of work is to evaluate the investment fund business in Lithuania, to establish basic criteria that underpin the Lithuanian population, by selecting mutual funds.</w:t>
      </w:r>
    </w:p>
    <w:p w:rsidR="00320C70" w:rsidRPr="00891173" w:rsidRDefault="00320C70" w:rsidP="00320C70">
      <w:pPr>
        <w:spacing w:line="360" w:lineRule="auto"/>
        <w:ind w:firstLine="567"/>
        <w:jc w:val="both"/>
      </w:pPr>
      <w:r w:rsidRPr="00891173">
        <w:t>Master's thesis tasks - to analyze the scientific literature dealing with investment funds; to classify investment funds; to discuss of investment funds choice criteria; to examine investment funds performance indicators; explore Lithuanian investment fund market; to analyze and evaluate the Lithuanian population investing in investment funds selection criteria.</w:t>
      </w:r>
    </w:p>
    <w:p w:rsidR="00320C70" w:rsidRPr="00891173" w:rsidRDefault="00320C70" w:rsidP="00320C70">
      <w:pPr>
        <w:spacing w:line="360" w:lineRule="auto"/>
        <w:ind w:firstLine="567"/>
        <w:jc w:val="both"/>
      </w:pPr>
      <w:r w:rsidRPr="00891173">
        <w:lastRenderedPageBreak/>
        <w:t>Work objectives and targets use the following research methods: a systematic literature comparative analysis, statistical data analysis and synthesis, comparative performance analysis, graphical representation, questionnaire survey.</w:t>
      </w:r>
    </w:p>
    <w:p w:rsidR="00320C70" w:rsidRPr="00891173" w:rsidRDefault="00320C70" w:rsidP="00320C70">
      <w:pPr>
        <w:spacing w:line="360" w:lineRule="auto"/>
        <w:ind w:firstLine="567"/>
        <w:jc w:val="both"/>
      </w:pPr>
      <w:r w:rsidRPr="00891173">
        <w:t>Followed an investigation, it was found that there is insufficient investment funds to choose according to a single assessment method. For effective investment must be matched various fund selection methods. It was proposed to assess investment funds by the Sharpe ratio and return values. The questionnaires results showed that for population of Lithuania is important all the criteria for choosing: fund's past performance, commissions, fund risk, manager's experience and the number of funds managed by the investment strategy, analysts recommendations, friends or other investors opinion, fund’s existence duration and size, accessibility of information about the fund. However, it is noted that these criteria are not equally important. Lithuania is most relevant for the investor when choosing an investment fund, is its profitability, risk and applied taxes, it concludes 54 percent of respondents. Lowest affect makes the availability of information about the fund, the management company's managed funds number and friends or other investor’s opinion. So beginning of work raised hypothesis was confirmed - Lithuanian people choose investment funds according to their past performance results. Summarizing the results, it is proposed:</w:t>
      </w:r>
    </w:p>
    <w:p w:rsidR="00320C70" w:rsidRPr="00891173" w:rsidRDefault="00320C70" w:rsidP="005A7F78">
      <w:pPr>
        <w:pStyle w:val="ListParagraph"/>
        <w:numPr>
          <w:ilvl w:val="0"/>
          <w:numId w:val="35"/>
        </w:numPr>
        <w:tabs>
          <w:tab w:val="left" w:pos="993"/>
        </w:tabs>
        <w:spacing w:line="360" w:lineRule="auto"/>
        <w:ind w:left="0" w:firstLine="567"/>
        <w:jc w:val="both"/>
      </w:pPr>
      <w:r w:rsidRPr="00891173">
        <w:t>responsible choice of assessment methods - it is advisable to use the Sharpe ratio, which compares different investment strategies funds between themselves, and return values​​;</w:t>
      </w:r>
    </w:p>
    <w:p w:rsidR="00320C70" w:rsidRPr="00891173" w:rsidRDefault="00320C70" w:rsidP="005A7F78">
      <w:pPr>
        <w:pStyle w:val="ListParagraph"/>
        <w:numPr>
          <w:ilvl w:val="0"/>
          <w:numId w:val="35"/>
        </w:numPr>
        <w:tabs>
          <w:tab w:val="left" w:pos="993"/>
        </w:tabs>
        <w:spacing w:line="360" w:lineRule="auto"/>
        <w:ind w:left="0" w:firstLine="567"/>
        <w:jc w:val="both"/>
      </w:pPr>
      <w:r w:rsidRPr="00891173">
        <w:t>in order to invest in a certain period, investments in investment funds must be chosen according to risk level.</w:t>
      </w:r>
    </w:p>
    <w:p w:rsidR="00320C70" w:rsidRPr="00891173" w:rsidRDefault="00320C70" w:rsidP="00320C70">
      <w:pPr>
        <w:spacing w:line="360" w:lineRule="auto"/>
        <w:ind w:firstLine="567"/>
        <w:jc w:val="both"/>
      </w:pPr>
      <w:r w:rsidRPr="00891173">
        <w:t>Final thesis consists of contents, appendixes, tables, list of figures, introduction, three chapters, conclusions and recommendations, bibliography, abstract in English and Lithuanian, summary in Lithuanian and English languages, and appendixes.</w:t>
      </w:r>
    </w:p>
    <w:p w:rsidR="00320C70" w:rsidRPr="00891173" w:rsidRDefault="00320C70" w:rsidP="00320C70">
      <w:pPr>
        <w:spacing w:after="200" w:line="360" w:lineRule="auto"/>
        <w:ind w:firstLine="567"/>
        <w:jc w:val="center"/>
        <w:rPr>
          <w:rStyle w:val="searchrezleft6"/>
        </w:rPr>
      </w:pPr>
    </w:p>
    <w:p w:rsidR="006D3A6A" w:rsidRPr="00891173" w:rsidRDefault="006D3A6A" w:rsidP="0036332D">
      <w:pPr>
        <w:spacing w:after="200" w:line="360" w:lineRule="auto"/>
        <w:ind w:firstLine="567"/>
        <w:jc w:val="both"/>
        <w:rPr>
          <w:rStyle w:val="searchrezleft6"/>
        </w:rPr>
      </w:pPr>
    </w:p>
    <w:p w:rsidR="006D3A6A" w:rsidRPr="00891173" w:rsidRDefault="006D3A6A">
      <w:pPr>
        <w:spacing w:after="200" w:line="276" w:lineRule="auto"/>
        <w:rPr>
          <w:rStyle w:val="searchrezleft6"/>
        </w:rPr>
      </w:pPr>
      <w:r w:rsidRPr="00891173">
        <w:rPr>
          <w:rStyle w:val="searchrezleft6"/>
        </w:rPr>
        <w:br w:type="page"/>
      </w:r>
    </w:p>
    <w:p w:rsidR="00B81F94" w:rsidRPr="00891173" w:rsidRDefault="00B81F94" w:rsidP="00B81F94">
      <w:pPr>
        <w:spacing w:before="6960" w:line="276" w:lineRule="auto"/>
        <w:jc w:val="center"/>
        <w:rPr>
          <w:rStyle w:val="searchrezleft6"/>
        </w:rPr>
      </w:pPr>
    </w:p>
    <w:p w:rsidR="00974519" w:rsidRPr="00891173" w:rsidRDefault="00676026" w:rsidP="00D35728">
      <w:pPr>
        <w:pStyle w:val="Heading5"/>
        <w:spacing w:before="5400"/>
        <w:rPr>
          <w:rStyle w:val="searchrezleft6"/>
          <w:b w:val="0"/>
          <w:szCs w:val="28"/>
        </w:rPr>
      </w:pPr>
      <w:bookmarkStart w:id="17" w:name="_Toc343602009"/>
      <w:r w:rsidRPr="00891173">
        <w:rPr>
          <w:rStyle w:val="searchrezleft6"/>
          <w:szCs w:val="28"/>
        </w:rPr>
        <w:t>PRIEDAI</w:t>
      </w:r>
      <w:bookmarkEnd w:id="17"/>
    </w:p>
    <w:p w:rsidR="00974519" w:rsidRPr="00891173" w:rsidRDefault="00974519" w:rsidP="00974519">
      <w:pPr>
        <w:spacing w:after="200" w:line="276" w:lineRule="auto"/>
        <w:jc w:val="right"/>
        <w:rPr>
          <w:rStyle w:val="searchrezleft6"/>
          <w:b/>
        </w:rPr>
      </w:pPr>
      <w:r w:rsidRPr="00891173">
        <w:rPr>
          <w:rStyle w:val="searchrezleft6"/>
        </w:rPr>
        <w:br w:type="page"/>
      </w:r>
      <w:r w:rsidRPr="00891173">
        <w:rPr>
          <w:rStyle w:val="searchrezleft6"/>
        </w:rPr>
        <w:lastRenderedPageBreak/>
        <w:t>1</w:t>
      </w:r>
      <w:r w:rsidRPr="00891173">
        <w:rPr>
          <w:rStyle w:val="searchrezleft6"/>
          <w:b/>
        </w:rPr>
        <w:t xml:space="preserve"> </w:t>
      </w:r>
      <w:r w:rsidRPr="00891173">
        <w:rPr>
          <w:rStyle w:val="searchrezleft6"/>
        </w:rPr>
        <w:t>PRIEDAS</w:t>
      </w:r>
      <w:r w:rsidRPr="00891173">
        <w:rPr>
          <w:rStyle w:val="searchrezleft6"/>
          <w:b/>
        </w:rPr>
        <w:t xml:space="preserve"> </w:t>
      </w:r>
    </w:p>
    <w:p w:rsidR="00974519" w:rsidRPr="00891173" w:rsidRDefault="00974519" w:rsidP="00974519">
      <w:pPr>
        <w:spacing w:after="200" w:line="276" w:lineRule="auto"/>
        <w:jc w:val="center"/>
        <w:rPr>
          <w:rStyle w:val="searchrezleft6"/>
          <w:b/>
        </w:rPr>
      </w:pPr>
      <w:r w:rsidRPr="00891173">
        <w:rPr>
          <w:rStyle w:val="searchrezleft6"/>
          <w:b/>
        </w:rPr>
        <w:t>Lietuvos investicinių fondų rinka</w:t>
      </w:r>
    </w:p>
    <w:tbl>
      <w:tblPr>
        <w:tblW w:w="8375" w:type="dxa"/>
        <w:jc w:val="center"/>
        <w:tblInd w:w="-959" w:type="dxa"/>
        <w:tblLook w:val="04A0"/>
      </w:tblPr>
      <w:tblGrid>
        <w:gridCol w:w="2022"/>
        <w:gridCol w:w="1056"/>
        <w:gridCol w:w="1056"/>
        <w:gridCol w:w="1070"/>
        <w:gridCol w:w="1070"/>
        <w:gridCol w:w="990"/>
        <w:gridCol w:w="1209"/>
      </w:tblGrid>
      <w:tr w:rsidR="00974519" w:rsidRPr="00891173" w:rsidTr="00995E0E">
        <w:trPr>
          <w:trHeight w:val="780"/>
          <w:jc w:val="center"/>
        </w:trPr>
        <w:tc>
          <w:tcPr>
            <w:tcW w:w="20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p>
        </w:tc>
        <w:tc>
          <w:tcPr>
            <w:tcW w:w="1056"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rPr>
            </w:pPr>
            <w:r w:rsidRPr="00891173">
              <w:rPr>
                <w:color w:val="000000"/>
              </w:rPr>
              <w:t>Lietuvos IF vert, mln. Lt.</w:t>
            </w:r>
          </w:p>
        </w:tc>
        <w:tc>
          <w:tcPr>
            <w:tcW w:w="1056"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rPr>
            </w:pPr>
            <w:r w:rsidRPr="00891173">
              <w:rPr>
                <w:color w:val="000000"/>
              </w:rPr>
              <w:t>Lietuvos IF skaičius</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u w:val="single"/>
              </w:rPr>
            </w:pPr>
            <w:r w:rsidRPr="00891173">
              <w:rPr>
                <w:color w:val="000000"/>
                <w:u w:val="single"/>
              </w:rPr>
              <w:t>Užsienio IF vertė, mln. Lt.</w:t>
            </w:r>
          </w:p>
        </w:tc>
        <w:tc>
          <w:tcPr>
            <w:tcW w:w="1070"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rPr>
            </w:pPr>
            <w:r w:rsidRPr="00891173">
              <w:rPr>
                <w:color w:val="000000"/>
              </w:rPr>
              <w:t>Užsienio IF skaičius</w:t>
            </w:r>
          </w:p>
        </w:tc>
        <w:tc>
          <w:tcPr>
            <w:tcW w:w="892"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rPr>
            </w:pPr>
            <w:r w:rsidRPr="00891173">
              <w:rPr>
                <w:color w:val="000000"/>
              </w:rPr>
              <w:t xml:space="preserve"> IF skaičius</w:t>
            </w:r>
          </w:p>
        </w:tc>
        <w:tc>
          <w:tcPr>
            <w:tcW w:w="1209" w:type="dxa"/>
            <w:tcBorders>
              <w:top w:val="single" w:sz="4" w:space="0" w:color="auto"/>
              <w:left w:val="nil"/>
              <w:bottom w:val="single" w:sz="4" w:space="0" w:color="auto"/>
              <w:right w:val="single" w:sz="4" w:space="0" w:color="auto"/>
            </w:tcBorders>
            <w:shd w:val="clear" w:color="auto" w:fill="auto"/>
            <w:vAlign w:val="bottom"/>
            <w:hideMark/>
          </w:tcPr>
          <w:p w:rsidR="00974519" w:rsidRPr="00891173" w:rsidRDefault="00974519" w:rsidP="00995E0E">
            <w:pPr>
              <w:jc w:val="center"/>
              <w:rPr>
                <w:color w:val="000000"/>
              </w:rPr>
            </w:pPr>
            <w:r w:rsidRPr="00891173">
              <w:rPr>
                <w:color w:val="000000"/>
              </w:rPr>
              <w:t xml:space="preserve">IF vertė, mln. Lt. </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2001</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1,26</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1</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0</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4</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5</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1,26</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2002</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1,32</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1</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28,9</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4</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5</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30,216</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2003</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23,20</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1</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34,3</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4</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5</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57,5</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2004</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160,60</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10</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41,9</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6</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16</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202,5</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2005</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395,6</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19</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174,3</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29</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48</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569,9</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2006</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832,00</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28</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614,4</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46</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74</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1446,4</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2007</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1261,40</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34</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1210,9</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58</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92</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2472,6</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2008</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386,7</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35</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470,1</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63</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98</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856,8</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2009</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446,95</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35</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857,82</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68</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103</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1304,77</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2010</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601,4</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38</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1269</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68</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106</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both"/>
              <w:rPr>
                <w:color w:val="000000"/>
              </w:rPr>
            </w:pPr>
            <w:r w:rsidRPr="00891173">
              <w:rPr>
                <w:color w:val="000000"/>
              </w:rPr>
              <w:t>1870,4</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2011</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509,75</w:t>
            </w:r>
          </w:p>
        </w:tc>
        <w:tc>
          <w:tcPr>
            <w:tcW w:w="1056"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30</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1005</w:t>
            </w:r>
          </w:p>
        </w:tc>
        <w:tc>
          <w:tcPr>
            <w:tcW w:w="1070"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center"/>
              <w:rPr>
                <w:color w:val="000000"/>
              </w:rPr>
            </w:pPr>
            <w:r w:rsidRPr="00891173">
              <w:rPr>
                <w:color w:val="000000"/>
              </w:rPr>
              <w:t>63</w:t>
            </w:r>
          </w:p>
        </w:tc>
        <w:tc>
          <w:tcPr>
            <w:tcW w:w="892"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92</w:t>
            </w:r>
          </w:p>
        </w:tc>
        <w:tc>
          <w:tcPr>
            <w:tcW w:w="1209" w:type="dxa"/>
            <w:tcBorders>
              <w:top w:val="nil"/>
              <w:left w:val="nil"/>
              <w:bottom w:val="single" w:sz="4" w:space="0" w:color="auto"/>
              <w:right w:val="single" w:sz="4" w:space="0" w:color="auto"/>
            </w:tcBorders>
            <w:shd w:val="clear" w:color="auto" w:fill="auto"/>
            <w:noWrap/>
            <w:vAlign w:val="bottom"/>
            <w:hideMark/>
          </w:tcPr>
          <w:p w:rsidR="00974519" w:rsidRPr="00891173" w:rsidRDefault="00974519" w:rsidP="00995E0E">
            <w:pPr>
              <w:jc w:val="right"/>
              <w:rPr>
                <w:color w:val="000000"/>
              </w:rPr>
            </w:pPr>
            <w:r w:rsidRPr="00891173">
              <w:rPr>
                <w:color w:val="000000"/>
              </w:rPr>
              <w:t>1514,75</w:t>
            </w:r>
          </w:p>
        </w:tc>
      </w:tr>
      <w:tr w:rsidR="00974519" w:rsidRPr="00891173" w:rsidTr="00995E0E">
        <w:trPr>
          <w:trHeight w:val="300"/>
          <w:jc w:val="center"/>
        </w:trPr>
        <w:tc>
          <w:tcPr>
            <w:tcW w:w="2022" w:type="dxa"/>
            <w:tcBorders>
              <w:top w:val="nil"/>
              <w:left w:val="single" w:sz="4" w:space="0" w:color="auto"/>
              <w:bottom w:val="single" w:sz="4" w:space="0" w:color="auto"/>
              <w:right w:val="single" w:sz="4" w:space="0" w:color="auto"/>
            </w:tcBorders>
            <w:shd w:val="clear" w:color="auto" w:fill="auto"/>
            <w:noWrap/>
            <w:vAlign w:val="bottom"/>
          </w:tcPr>
          <w:p w:rsidR="00974519" w:rsidRPr="00891173" w:rsidRDefault="00974519" w:rsidP="00995E0E">
            <w:pPr>
              <w:jc w:val="center"/>
              <w:rPr>
                <w:color w:val="000000"/>
              </w:rPr>
            </w:pPr>
            <w:r w:rsidRPr="00891173">
              <w:rPr>
                <w:color w:val="000000"/>
              </w:rPr>
              <w:t>2012 m. III ketv.</w:t>
            </w:r>
          </w:p>
        </w:tc>
        <w:tc>
          <w:tcPr>
            <w:tcW w:w="1056"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right"/>
              <w:rPr>
                <w:color w:val="000000"/>
              </w:rPr>
            </w:pPr>
            <w:r w:rsidRPr="00891173">
              <w:rPr>
                <w:color w:val="000000"/>
              </w:rPr>
              <w:t>585,65</w:t>
            </w:r>
          </w:p>
        </w:tc>
        <w:tc>
          <w:tcPr>
            <w:tcW w:w="1056"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center"/>
              <w:rPr>
                <w:color w:val="000000"/>
              </w:rPr>
            </w:pPr>
            <w:r w:rsidRPr="00891173">
              <w:rPr>
                <w:color w:val="000000"/>
              </w:rPr>
              <w:t>34</w:t>
            </w:r>
          </w:p>
        </w:tc>
        <w:tc>
          <w:tcPr>
            <w:tcW w:w="1070"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right"/>
              <w:rPr>
                <w:color w:val="000000"/>
              </w:rPr>
            </w:pPr>
            <w:r w:rsidRPr="00891173">
              <w:rPr>
                <w:color w:val="000000"/>
              </w:rPr>
              <w:t>1079</w:t>
            </w:r>
          </w:p>
        </w:tc>
        <w:tc>
          <w:tcPr>
            <w:tcW w:w="1070"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center"/>
              <w:rPr>
                <w:color w:val="000000"/>
              </w:rPr>
            </w:pPr>
            <w:r w:rsidRPr="00891173">
              <w:rPr>
                <w:color w:val="000000"/>
              </w:rPr>
              <w:t>67</w:t>
            </w:r>
          </w:p>
        </w:tc>
        <w:tc>
          <w:tcPr>
            <w:tcW w:w="892"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right"/>
              <w:rPr>
                <w:color w:val="000000"/>
              </w:rPr>
            </w:pPr>
            <w:r w:rsidRPr="00891173">
              <w:rPr>
                <w:color w:val="000000"/>
              </w:rPr>
              <w:t>101</w:t>
            </w:r>
          </w:p>
        </w:tc>
        <w:tc>
          <w:tcPr>
            <w:tcW w:w="1209" w:type="dxa"/>
            <w:tcBorders>
              <w:top w:val="nil"/>
              <w:left w:val="nil"/>
              <w:bottom w:val="single" w:sz="4" w:space="0" w:color="auto"/>
              <w:right w:val="single" w:sz="4" w:space="0" w:color="auto"/>
            </w:tcBorders>
            <w:shd w:val="clear" w:color="auto" w:fill="auto"/>
            <w:noWrap/>
            <w:vAlign w:val="bottom"/>
          </w:tcPr>
          <w:p w:rsidR="00974519" w:rsidRPr="00891173" w:rsidRDefault="00974519" w:rsidP="00995E0E">
            <w:pPr>
              <w:jc w:val="right"/>
              <w:rPr>
                <w:color w:val="000000"/>
              </w:rPr>
            </w:pPr>
            <w:r w:rsidRPr="00891173">
              <w:rPr>
                <w:color w:val="000000"/>
              </w:rPr>
              <w:t>1664,65</w:t>
            </w:r>
          </w:p>
        </w:tc>
      </w:tr>
    </w:tbl>
    <w:p w:rsidR="00974519" w:rsidRPr="00891173" w:rsidRDefault="00974519" w:rsidP="00974519">
      <w:pPr>
        <w:tabs>
          <w:tab w:val="num" w:pos="1080"/>
        </w:tabs>
        <w:autoSpaceDE w:val="0"/>
        <w:autoSpaceDN w:val="0"/>
        <w:adjustRightInd w:val="0"/>
        <w:spacing w:line="360" w:lineRule="auto"/>
        <w:jc w:val="both"/>
        <w:rPr>
          <w:rStyle w:val="searchrezleft6"/>
        </w:rPr>
      </w:pPr>
    </w:p>
    <w:p w:rsidR="004D441A" w:rsidRPr="00891173" w:rsidRDefault="004D441A" w:rsidP="004D441A">
      <w:pPr>
        <w:spacing w:after="200" w:line="276" w:lineRule="auto"/>
        <w:jc w:val="right"/>
        <w:rPr>
          <w:rStyle w:val="searchrezleft6"/>
        </w:rPr>
      </w:pPr>
    </w:p>
    <w:p w:rsidR="00974519" w:rsidRPr="00891173" w:rsidRDefault="00974519" w:rsidP="004D441A">
      <w:pPr>
        <w:spacing w:after="200" w:line="276" w:lineRule="auto"/>
        <w:jc w:val="right"/>
        <w:rPr>
          <w:rStyle w:val="searchrezleft6"/>
        </w:rPr>
      </w:pPr>
      <w:r w:rsidRPr="00891173">
        <w:rPr>
          <w:rStyle w:val="searchrezleft6"/>
        </w:rPr>
        <w:t>2 PRIEDAS</w:t>
      </w:r>
    </w:p>
    <w:p w:rsidR="008A7444" w:rsidRPr="00891173" w:rsidRDefault="008A7444" w:rsidP="008A7444">
      <w:pPr>
        <w:jc w:val="center"/>
        <w:rPr>
          <w:b/>
          <w:color w:val="000000"/>
          <w:szCs w:val="20"/>
        </w:rPr>
      </w:pPr>
      <w:r w:rsidRPr="00891173">
        <w:rPr>
          <w:b/>
          <w:color w:val="000000"/>
          <w:szCs w:val="20"/>
        </w:rPr>
        <w:t>Investicinių fondų dalyvių skaičiaus kaita</w:t>
      </w:r>
    </w:p>
    <w:p w:rsidR="008A7444" w:rsidRPr="00891173" w:rsidRDefault="008A7444" w:rsidP="008A7444">
      <w:pPr>
        <w:jc w:val="center"/>
        <w:rPr>
          <w:b/>
          <w:color w:val="000000"/>
          <w:szCs w:val="20"/>
        </w:rPr>
      </w:pPr>
    </w:p>
    <w:tbl>
      <w:tblPr>
        <w:tblW w:w="6463" w:type="dxa"/>
        <w:jc w:val="center"/>
        <w:tblLook w:val="04A0"/>
      </w:tblPr>
      <w:tblGrid>
        <w:gridCol w:w="1801"/>
        <w:gridCol w:w="1894"/>
        <w:gridCol w:w="1451"/>
        <w:gridCol w:w="1317"/>
      </w:tblGrid>
      <w:tr w:rsidR="008A7444" w:rsidRPr="00891173" w:rsidTr="00BC395B">
        <w:trPr>
          <w:trHeight w:val="1035"/>
          <w:jc w:val="center"/>
        </w:trPr>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b/>
                <w:color w:val="000000"/>
                <w:sz w:val="20"/>
                <w:szCs w:val="20"/>
              </w:rPr>
            </w:pPr>
          </w:p>
        </w:tc>
        <w:tc>
          <w:tcPr>
            <w:tcW w:w="1894"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Lietuvos IF dalyvių skaičius</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Užsienio IF dalyvių skaičius</w:t>
            </w:r>
          </w:p>
        </w:tc>
        <w:tc>
          <w:tcPr>
            <w:tcW w:w="1317" w:type="dxa"/>
            <w:tcBorders>
              <w:top w:val="single" w:sz="4" w:space="0" w:color="auto"/>
              <w:left w:val="nil"/>
              <w:bottom w:val="single" w:sz="4" w:space="0" w:color="auto"/>
              <w:right w:val="single" w:sz="4" w:space="0" w:color="auto"/>
            </w:tcBorders>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Iš viso</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2005</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9713</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3490</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13203</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2006</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19733</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9732</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29465</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2007</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41367</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39276</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80643</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2008</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42442</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37583</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80025</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2009</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38976</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54123</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93099</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2010</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38870</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58861</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97731</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2011</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20981</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54367</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75348</w:t>
            </w:r>
          </w:p>
        </w:tc>
      </w:tr>
      <w:tr w:rsidR="008A7444" w:rsidRPr="00891173" w:rsidTr="00BC395B">
        <w:trPr>
          <w:trHeight w:val="300"/>
          <w:jc w:val="center"/>
        </w:trPr>
        <w:tc>
          <w:tcPr>
            <w:tcW w:w="1801"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2012m. III ketv.</w:t>
            </w:r>
          </w:p>
        </w:tc>
        <w:tc>
          <w:tcPr>
            <w:tcW w:w="189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19287</w:t>
            </w:r>
          </w:p>
        </w:tc>
        <w:tc>
          <w:tcPr>
            <w:tcW w:w="145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54202</w:t>
            </w:r>
          </w:p>
        </w:tc>
        <w:tc>
          <w:tcPr>
            <w:tcW w:w="1317" w:type="dxa"/>
            <w:tcBorders>
              <w:top w:val="nil"/>
              <w:left w:val="nil"/>
              <w:bottom w:val="single" w:sz="4" w:space="0" w:color="auto"/>
              <w:right w:val="single" w:sz="4" w:space="0" w:color="auto"/>
            </w:tcBorders>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73489</w:t>
            </w:r>
          </w:p>
        </w:tc>
      </w:tr>
    </w:tbl>
    <w:p w:rsidR="008A7444" w:rsidRPr="00891173" w:rsidRDefault="008A7444" w:rsidP="00974519">
      <w:pPr>
        <w:tabs>
          <w:tab w:val="num" w:pos="1080"/>
        </w:tabs>
        <w:autoSpaceDE w:val="0"/>
        <w:autoSpaceDN w:val="0"/>
        <w:adjustRightInd w:val="0"/>
        <w:spacing w:line="360" w:lineRule="auto"/>
        <w:jc w:val="right"/>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rsidP="00974519">
      <w:pPr>
        <w:tabs>
          <w:tab w:val="num" w:pos="1080"/>
        </w:tabs>
        <w:autoSpaceDE w:val="0"/>
        <w:autoSpaceDN w:val="0"/>
        <w:adjustRightInd w:val="0"/>
        <w:spacing w:line="360" w:lineRule="auto"/>
        <w:jc w:val="both"/>
        <w:rPr>
          <w:rStyle w:val="searchrezleft6"/>
        </w:rPr>
      </w:pPr>
    </w:p>
    <w:p w:rsidR="00974519" w:rsidRPr="00891173" w:rsidRDefault="00974519">
      <w:pPr>
        <w:spacing w:after="200" w:line="276" w:lineRule="auto"/>
        <w:rPr>
          <w:rStyle w:val="searchrezleft6"/>
        </w:rPr>
      </w:pPr>
      <w:r w:rsidRPr="00891173">
        <w:rPr>
          <w:rStyle w:val="searchrezleft6"/>
        </w:rPr>
        <w:br w:type="page"/>
      </w:r>
    </w:p>
    <w:p w:rsidR="00974519" w:rsidRPr="00891173" w:rsidRDefault="00974519" w:rsidP="00974519">
      <w:pPr>
        <w:tabs>
          <w:tab w:val="num" w:pos="1080"/>
        </w:tabs>
        <w:autoSpaceDE w:val="0"/>
        <w:autoSpaceDN w:val="0"/>
        <w:adjustRightInd w:val="0"/>
        <w:spacing w:line="360" w:lineRule="auto"/>
        <w:jc w:val="right"/>
        <w:rPr>
          <w:rStyle w:val="searchrezleft6"/>
        </w:rPr>
      </w:pPr>
      <w:r w:rsidRPr="00891173">
        <w:rPr>
          <w:rStyle w:val="searchrezleft6"/>
        </w:rPr>
        <w:lastRenderedPageBreak/>
        <w:t>3 PRIEDAS</w:t>
      </w:r>
    </w:p>
    <w:p w:rsidR="008A7444" w:rsidRPr="00891173" w:rsidRDefault="008A7444" w:rsidP="008A7444">
      <w:pPr>
        <w:tabs>
          <w:tab w:val="num" w:pos="1080"/>
        </w:tabs>
        <w:autoSpaceDE w:val="0"/>
        <w:autoSpaceDN w:val="0"/>
        <w:adjustRightInd w:val="0"/>
        <w:spacing w:line="360" w:lineRule="auto"/>
        <w:jc w:val="center"/>
        <w:rPr>
          <w:rStyle w:val="searchrezleft6"/>
          <w:b/>
        </w:rPr>
      </w:pPr>
    </w:p>
    <w:p w:rsidR="008A7444" w:rsidRPr="00891173" w:rsidRDefault="008A7444" w:rsidP="008A7444">
      <w:pPr>
        <w:tabs>
          <w:tab w:val="num" w:pos="1080"/>
        </w:tabs>
        <w:autoSpaceDE w:val="0"/>
        <w:autoSpaceDN w:val="0"/>
        <w:adjustRightInd w:val="0"/>
        <w:spacing w:line="360" w:lineRule="auto"/>
        <w:jc w:val="center"/>
        <w:rPr>
          <w:rStyle w:val="searchrezleft6"/>
          <w:b/>
        </w:rPr>
      </w:pPr>
      <w:r w:rsidRPr="00891173">
        <w:rPr>
          <w:rStyle w:val="searchrezleft6"/>
          <w:b/>
        </w:rPr>
        <w:t>Lietuvos fondų rinkos tipai</w:t>
      </w:r>
    </w:p>
    <w:tbl>
      <w:tblPr>
        <w:tblW w:w="6464" w:type="dxa"/>
        <w:jc w:val="center"/>
        <w:tblInd w:w="-235" w:type="dxa"/>
        <w:tblLook w:val="04A0"/>
      </w:tblPr>
      <w:tblGrid>
        <w:gridCol w:w="1458"/>
        <w:gridCol w:w="1317"/>
        <w:gridCol w:w="924"/>
        <w:gridCol w:w="925"/>
        <w:gridCol w:w="921"/>
        <w:gridCol w:w="919"/>
      </w:tblGrid>
      <w:tr w:rsidR="008A7444" w:rsidRPr="00891173" w:rsidTr="00BC395B">
        <w:trPr>
          <w:trHeight w:val="780"/>
          <w:jc w:val="center"/>
        </w:trPr>
        <w:tc>
          <w:tcPr>
            <w:tcW w:w="1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p>
        </w:tc>
        <w:tc>
          <w:tcPr>
            <w:tcW w:w="1317" w:type="dxa"/>
            <w:tcBorders>
              <w:top w:val="single" w:sz="4" w:space="0" w:color="auto"/>
              <w:left w:val="nil"/>
              <w:bottom w:val="single" w:sz="4" w:space="0" w:color="auto"/>
              <w:right w:val="single" w:sz="4" w:space="0" w:color="auto"/>
            </w:tcBorders>
            <w:shd w:val="clear" w:color="auto" w:fill="auto"/>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Nuosavybės VP fondai</w:t>
            </w:r>
          </w:p>
        </w:tc>
        <w:tc>
          <w:tcPr>
            <w:tcW w:w="924" w:type="dxa"/>
            <w:tcBorders>
              <w:top w:val="single" w:sz="4" w:space="0" w:color="auto"/>
              <w:left w:val="nil"/>
              <w:bottom w:val="single" w:sz="4" w:space="0" w:color="auto"/>
              <w:right w:val="single" w:sz="4" w:space="0" w:color="auto"/>
            </w:tcBorders>
            <w:shd w:val="clear" w:color="auto" w:fill="auto"/>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Mišrūs fondai</w:t>
            </w:r>
          </w:p>
        </w:tc>
        <w:tc>
          <w:tcPr>
            <w:tcW w:w="925" w:type="dxa"/>
            <w:tcBorders>
              <w:top w:val="single" w:sz="4" w:space="0" w:color="auto"/>
              <w:left w:val="nil"/>
              <w:bottom w:val="single" w:sz="4" w:space="0" w:color="auto"/>
              <w:right w:val="single" w:sz="4" w:space="0" w:color="auto"/>
            </w:tcBorders>
            <w:shd w:val="clear" w:color="auto" w:fill="auto"/>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Skolos VP fondai</w:t>
            </w:r>
          </w:p>
        </w:tc>
        <w:tc>
          <w:tcPr>
            <w:tcW w:w="921" w:type="dxa"/>
            <w:tcBorders>
              <w:top w:val="single" w:sz="4" w:space="0" w:color="auto"/>
              <w:left w:val="nil"/>
              <w:bottom w:val="single" w:sz="4" w:space="0" w:color="auto"/>
              <w:right w:val="single" w:sz="4" w:space="0" w:color="auto"/>
            </w:tcBorders>
            <w:shd w:val="clear" w:color="auto" w:fill="auto"/>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Pinigų rinkos fondai</w:t>
            </w:r>
          </w:p>
        </w:tc>
        <w:tc>
          <w:tcPr>
            <w:tcW w:w="919" w:type="dxa"/>
            <w:tcBorders>
              <w:top w:val="single" w:sz="4" w:space="0" w:color="auto"/>
              <w:left w:val="nil"/>
              <w:bottom w:val="single" w:sz="4" w:space="0" w:color="auto"/>
              <w:right w:val="single" w:sz="4" w:space="0" w:color="auto"/>
            </w:tcBorders>
            <w:shd w:val="clear" w:color="auto" w:fill="auto"/>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Kiti fondai</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2001</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2002</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2003</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2004</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7</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2005</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11</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4</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2006</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16</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6</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4</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2007</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16</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5</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5</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6</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2008</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18</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4</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4</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7</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2009</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22</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8</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2010</w:t>
            </w:r>
          </w:p>
        </w:tc>
        <w:tc>
          <w:tcPr>
            <w:tcW w:w="1317"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21</w:t>
            </w:r>
          </w:p>
        </w:tc>
        <w:tc>
          <w:tcPr>
            <w:tcW w:w="924"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9</w:t>
            </w:r>
          </w:p>
        </w:tc>
        <w:tc>
          <w:tcPr>
            <w:tcW w:w="925"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2</w:t>
            </w:r>
          </w:p>
        </w:tc>
        <w:tc>
          <w:tcPr>
            <w:tcW w:w="921"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19" w:type="dxa"/>
            <w:tcBorders>
              <w:top w:val="nil"/>
              <w:left w:val="nil"/>
              <w:bottom w:val="single" w:sz="4" w:space="0" w:color="auto"/>
              <w:right w:val="single" w:sz="4" w:space="0" w:color="auto"/>
            </w:tcBorders>
            <w:shd w:val="clear" w:color="auto" w:fill="auto"/>
            <w:noWrap/>
            <w:vAlign w:val="bottom"/>
            <w:hideMark/>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5</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2011</w:t>
            </w:r>
          </w:p>
        </w:tc>
        <w:tc>
          <w:tcPr>
            <w:tcW w:w="1317"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11</w:t>
            </w:r>
          </w:p>
        </w:tc>
        <w:tc>
          <w:tcPr>
            <w:tcW w:w="924"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7</w:t>
            </w:r>
          </w:p>
        </w:tc>
        <w:tc>
          <w:tcPr>
            <w:tcW w:w="925"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1"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19"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10</w:t>
            </w:r>
          </w:p>
        </w:tc>
      </w:tr>
      <w:tr w:rsidR="008A7444" w:rsidRPr="00891173" w:rsidTr="00BC395B">
        <w:trPr>
          <w:trHeight w:val="300"/>
          <w:jc w:val="center"/>
        </w:trPr>
        <w:tc>
          <w:tcPr>
            <w:tcW w:w="1458" w:type="dxa"/>
            <w:tcBorders>
              <w:top w:val="nil"/>
              <w:left w:val="single" w:sz="4" w:space="0" w:color="auto"/>
              <w:bottom w:val="single" w:sz="4" w:space="0" w:color="auto"/>
              <w:right w:val="single" w:sz="4" w:space="0" w:color="auto"/>
            </w:tcBorders>
            <w:shd w:val="clear" w:color="auto" w:fill="auto"/>
            <w:noWrap/>
            <w:vAlign w:val="bottom"/>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2012 III ketv.</w:t>
            </w:r>
          </w:p>
        </w:tc>
        <w:tc>
          <w:tcPr>
            <w:tcW w:w="1317"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10</w:t>
            </w:r>
          </w:p>
        </w:tc>
        <w:tc>
          <w:tcPr>
            <w:tcW w:w="924"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8</w:t>
            </w:r>
          </w:p>
        </w:tc>
        <w:tc>
          <w:tcPr>
            <w:tcW w:w="925"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21"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w:t>
            </w:r>
          </w:p>
        </w:tc>
        <w:tc>
          <w:tcPr>
            <w:tcW w:w="919" w:type="dxa"/>
            <w:tcBorders>
              <w:top w:val="nil"/>
              <w:left w:val="nil"/>
              <w:bottom w:val="single" w:sz="4" w:space="0" w:color="auto"/>
              <w:right w:val="single" w:sz="4" w:space="0" w:color="auto"/>
            </w:tcBorders>
            <w:shd w:val="clear" w:color="auto" w:fill="auto"/>
            <w:noWrap/>
            <w:vAlign w:val="bottom"/>
          </w:tcPr>
          <w:p w:rsidR="008A7444" w:rsidRPr="00891173" w:rsidRDefault="008A7444" w:rsidP="00BC395B">
            <w:pPr>
              <w:jc w:val="right"/>
              <w:rPr>
                <w:rFonts w:ascii="Arial" w:hAnsi="Arial" w:cs="Arial"/>
                <w:color w:val="000000"/>
                <w:sz w:val="20"/>
                <w:szCs w:val="20"/>
              </w:rPr>
            </w:pPr>
            <w:r w:rsidRPr="00891173">
              <w:rPr>
                <w:rFonts w:ascii="Arial" w:hAnsi="Arial" w:cs="Arial"/>
                <w:color w:val="000000"/>
                <w:sz w:val="20"/>
                <w:szCs w:val="20"/>
              </w:rPr>
              <w:t>14</w:t>
            </w:r>
          </w:p>
        </w:tc>
      </w:tr>
    </w:tbl>
    <w:p w:rsidR="008A7444" w:rsidRPr="00891173" w:rsidRDefault="008A7444" w:rsidP="00974519">
      <w:pPr>
        <w:tabs>
          <w:tab w:val="num" w:pos="1080"/>
        </w:tabs>
        <w:autoSpaceDE w:val="0"/>
        <w:autoSpaceDN w:val="0"/>
        <w:adjustRightInd w:val="0"/>
        <w:spacing w:line="360" w:lineRule="auto"/>
        <w:jc w:val="center"/>
        <w:rPr>
          <w:rStyle w:val="searchrezleft6"/>
        </w:rPr>
      </w:pPr>
    </w:p>
    <w:tbl>
      <w:tblPr>
        <w:tblW w:w="13685" w:type="dxa"/>
        <w:tblInd w:w="108" w:type="dxa"/>
        <w:tblLook w:val="04A0"/>
      </w:tblPr>
      <w:tblGrid>
        <w:gridCol w:w="9498"/>
        <w:gridCol w:w="956"/>
        <w:gridCol w:w="809"/>
        <w:gridCol w:w="808"/>
        <w:gridCol w:w="805"/>
        <w:gridCol w:w="809"/>
      </w:tblGrid>
      <w:tr w:rsidR="00974519" w:rsidRPr="00891173" w:rsidTr="00995E0E">
        <w:trPr>
          <w:trHeight w:val="300"/>
        </w:trPr>
        <w:tc>
          <w:tcPr>
            <w:tcW w:w="9498" w:type="dxa"/>
            <w:tcBorders>
              <w:top w:val="nil"/>
              <w:left w:val="nil"/>
              <w:bottom w:val="nil"/>
              <w:right w:val="nil"/>
            </w:tcBorders>
            <w:shd w:val="clear" w:color="auto" w:fill="auto"/>
            <w:noWrap/>
            <w:vAlign w:val="bottom"/>
            <w:hideMark/>
          </w:tcPr>
          <w:p w:rsidR="00974519" w:rsidRPr="00891173" w:rsidRDefault="00974519" w:rsidP="00995E0E">
            <w:pPr>
              <w:jc w:val="both"/>
              <w:rPr>
                <w:rFonts w:ascii="Arial" w:hAnsi="Arial" w:cs="Arial"/>
                <w:b/>
                <w:color w:val="000000"/>
                <w:sz w:val="20"/>
                <w:szCs w:val="20"/>
              </w:rPr>
            </w:pPr>
            <w:r w:rsidRPr="00891173">
              <w:br w:type="page"/>
            </w:r>
          </w:p>
          <w:p w:rsidR="00974519" w:rsidRPr="00891173" w:rsidRDefault="008A7444" w:rsidP="00995E0E">
            <w:pPr>
              <w:jc w:val="right"/>
              <w:rPr>
                <w:color w:val="000000"/>
                <w:szCs w:val="20"/>
              </w:rPr>
            </w:pPr>
            <w:r w:rsidRPr="00891173">
              <w:rPr>
                <w:color w:val="000000"/>
                <w:szCs w:val="20"/>
              </w:rPr>
              <w:t>4</w:t>
            </w:r>
            <w:r w:rsidR="00974519" w:rsidRPr="00891173">
              <w:rPr>
                <w:color w:val="000000"/>
                <w:szCs w:val="20"/>
              </w:rPr>
              <w:t xml:space="preserve"> PRIEDAS</w:t>
            </w:r>
          </w:p>
          <w:p w:rsidR="00974519" w:rsidRPr="00891173" w:rsidRDefault="00974519" w:rsidP="00995E0E">
            <w:pPr>
              <w:jc w:val="right"/>
              <w:rPr>
                <w:b/>
                <w:color w:val="000000"/>
                <w:szCs w:val="20"/>
              </w:rPr>
            </w:pPr>
          </w:p>
          <w:p w:rsidR="00974519" w:rsidRPr="00891173" w:rsidRDefault="00974519" w:rsidP="00995E0E">
            <w:pPr>
              <w:jc w:val="both"/>
              <w:rPr>
                <w:rFonts w:ascii="Arial" w:hAnsi="Arial" w:cs="Arial"/>
                <w:b/>
                <w:color w:val="000000"/>
                <w:sz w:val="20"/>
                <w:szCs w:val="20"/>
              </w:rPr>
            </w:pPr>
          </w:p>
        </w:tc>
        <w:tc>
          <w:tcPr>
            <w:tcW w:w="956" w:type="dxa"/>
            <w:tcBorders>
              <w:top w:val="nil"/>
              <w:left w:val="nil"/>
              <w:bottom w:val="nil"/>
              <w:right w:val="nil"/>
            </w:tcBorders>
            <w:shd w:val="clear" w:color="auto" w:fill="auto"/>
            <w:noWrap/>
            <w:vAlign w:val="bottom"/>
            <w:hideMark/>
          </w:tcPr>
          <w:p w:rsidR="00974519" w:rsidRPr="00891173" w:rsidRDefault="00974519" w:rsidP="00995E0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974519" w:rsidRPr="00891173" w:rsidRDefault="00974519" w:rsidP="00995E0E">
            <w:pPr>
              <w:jc w:val="right"/>
              <w:rPr>
                <w:rFonts w:ascii="Arial" w:hAnsi="Arial" w:cs="Arial"/>
                <w:color w:val="000000"/>
                <w:sz w:val="20"/>
                <w:szCs w:val="20"/>
              </w:rPr>
            </w:pPr>
          </w:p>
        </w:tc>
        <w:tc>
          <w:tcPr>
            <w:tcW w:w="808" w:type="dxa"/>
            <w:tcBorders>
              <w:top w:val="nil"/>
              <w:left w:val="nil"/>
              <w:bottom w:val="nil"/>
              <w:right w:val="nil"/>
            </w:tcBorders>
            <w:shd w:val="clear" w:color="auto" w:fill="auto"/>
            <w:noWrap/>
            <w:vAlign w:val="bottom"/>
            <w:hideMark/>
          </w:tcPr>
          <w:p w:rsidR="00974519" w:rsidRPr="00891173" w:rsidRDefault="00974519" w:rsidP="00995E0E">
            <w:pPr>
              <w:jc w:val="right"/>
              <w:rPr>
                <w:rFonts w:ascii="Arial" w:hAnsi="Arial" w:cs="Arial"/>
                <w:color w:val="000000"/>
                <w:sz w:val="20"/>
                <w:szCs w:val="20"/>
              </w:rPr>
            </w:pPr>
          </w:p>
        </w:tc>
        <w:tc>
          <w:tcPr>
            <w:tcW w:w="805" w:type="dxa"/>
            <w:tcBorders>
              <w:top w:val="nil"/>
              <w:left w:val="nil"/>
              <w:bottom w:val="nil"/>
              <w:right w:val="nil"/>
            </w:tcBorders>
            <w:shd w:val="clear" w:color="auto" w:fill="auto"/>
            <w:noWrap/>
            <w:vAlign w:val="bottom"/>
            <w:hideMark/>
          </w:tcPr>
          <w:p w:rsidR="00974519" w:rsidRPr="00891173" w:rsidRDefault="00974519" w:rsidP="00995E0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974519" w:rsidRPr="00891173" w:rsidRDefault="00974519" w:rsidP="00995E0E">
            <w:pPr>
              <w:jc w:val="right"/>
              <w:rPr>
                <w:rFonts w:ascii="Arial" w:hAnsi="Arial" w:cs="Arial"/>
                <w:color w:val="000000"/>
                <w:sz w:val="20"/>
                <w:szCs w:val="20"/>
              </w:rPr>
            </w:pPr>
          </w:p>
        </w:tc>
      </w:tr>
    </w:tbl>
    <w:p w:rsidR="00676026" w:rsidRPr="00891173" w:rsidRDefault="00676026" w:rsidP="00676026">
      <w:pPr>
        <w:spacing w:after="200" w:line="276" w:lineRule="auto"/>
        <w:jc w:val="center"/>
        <w:rPr>
          <w:rStyle w:val="searchrezleft6"/>
        </w:rPr>
      </w:pPr>
    </w:p>
    <w:p w:rsidR="008A7444" w:rsidRPr="00891173" w:rsidRDefault="008A7444" w:rsidP="008A7444">
      <w:pPr>
        <w:tabs>
          <w:tab w:val="num" w:pos="1080"/>
        </w:tabs>
        <w:autoSpaceDE w:val="0"/>
        <w:autoSpaceDN w:val="0"/>
        <w:adjustRightInd w:val="0"/>
        <w:spacing w:line="360" w:lineRule="auto"/>
        <w:jc w:val="center"/>
        <w:rPr>
          <w:rStyle w:val="searchrezleft6"/>
          <w:b/>
        </w:rPr>
      </w:pPr>
      <w:r w:rsidRPr="00891173">
        <w:rPr>
          <w:rStyle w:val="searchrezleft6"/>
          <w:b/>
        </w:rPr>
        <w:t xml:space="preserve">Lietuvos IF tipų valdomas turtas, mln. Lt. </w:t>
      </w:r>
    </w:p>
    <w:tbl>
      <w:tblPr>
        <w:tblW w:w="13685" w:type="dxa"/>
        <w:tblInd w:w="108" w:type="dxa"/>
        <w:tblLook w:val="04A0"/>
      </w:tblPr>
      <w:tblGrid>
        <w:gridCol w:w="9498"/>
        <w:gridCol w:w="956"/>
        <w:gridCol w:w="809"/>
        <w:gridCol w:w="808"/>
        <w:gridCol w:w="805"/>
        <w:gridCol w:w="809"/>
      </w:tblGrid>
      <w:tr w:rsidR="008A7444" w:rsidRPr="00891173" w:rsidTr="00BC395B">
        <w:trPr>
          <w:trHeight w:val="780"/>
        </w:trPr>
        <w:tc>
          <w:tcPr>
            <w:tcW w:w="9498" w:type="dxa"/>
            <w:tcBorders>
              <w:top w:val="nil"/>
              <w:left w:val="nil"/>
              <w:bottom w:val="nil"/>
              <w:right w:val="nil"/>
            </w:tcBorders>
            <w:shd w:val="clear" w:color="auto" w:fill="auto"/>
            <w:noWrap/>
            <w:vAlign w:val="bottom"/>
            <w:hideMark/>
          </w:tcPr>
          <w:tbl>
            <w:tblPr>
              <w:tblW w:w="6963" w:type="dxa"/>
              <w:jc w:val="center"/>
              <w:tblLook w:val="04A0"/>
            </w:tblPr>
            <w:tblGrid>
              <w:gridCol w:w="1701"/>
              <w:gridCol w:w="1573"/>
              <w:gridCol w:w="924"/>
              <w:gridCol w:w="923"/>
              <w:gridCol w:w="918"/>
              <w:gridCol w:w="924"/>
            </w:tblGrid>
            <w:tr w:rsidR="008A7444" w:rsidRPr="00891173" w:rsidTr="00BC395B">
              <w:trPr>
                <w:trHeight w:val="780"/>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rPr>
                      <w:rFonts w:ascii="Arial" w:hAnsi="Arial" w:cs="Arial"/>
                      <w:color w:val="000000"/>
                      <w:sz w:val="20"/>
                      <w:szCs w:val="20"/>
                    </w:rPr>
                  </w:pPr>
                  <w:r w:rsidRPr="00891173">
                    <w:rPr>
                      <w:rFonts w:ascii="Arial" w:hAnsi="Arial" w:cs="Arial"/>
                      <w:color w:val="000000"/>
                      <w:sz w:val="20"/>
                      <w:szCs w:val="20"/>
                    </w:rPr>
                    <w:t> </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Nuosavybės VP fondai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Mišrūs fondai</w:t>
                  </w:r>
                </w:p>
              </w:tc>
              <w:tc>
                <w:tcPr>
                  <w:tcW w:w="923"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Skolos VP fondai</w:t>
                  </w:r>
                </w:p>
              </w:tc>
              <w:tc>
                <w:tcPr>
                  <w:tcW w:w="918"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Pinigų rinkos fondai</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Kiti fondai</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2006</w:t>
                  </w:r>
                </w:p>
              </w:tc>
              <w:tc>
                <w:tcPr>
                  <w:tcW w:w="157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594,6</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53,4</w:t>
                  </w:r>
                </w:p>
              </w:tc>
              <w:tc>
                <w:tcPr>
                  <w:tcW w:w="92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80</w:t>
                  </w:r>
                </w:p>
              </w:tc>
              <w:tc>
                <w:tcPr>
                  <w:tcW w:w="918"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40</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64</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2007</w:t>
                  </w:r>
                </w:p>
              </w:tc>
              <w:tc>
                <w:tcPr>
                  <w:tcW w:w="157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749,4</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115,9</w:t>
                  </w:r>
                </w:p>
              </w:tc>
              <w:tc>
                <w:tcPr>
                  <w:tcW w:w="92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89,9</w:t>
                  </w:r>
                </w:p>
              </w:tc>
              <w:tc>
                <w:tcPr>
                  <w:tcW w:w="918"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81,6</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224,7</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2008</w:t>
                  </w:r>
                </w:p>
              </w:tc>
              <w:tc>
                <w:tcPr>
                  <w:tcW w:w="157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142,04</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15,3</w:t>
                  </w:r>
                </w:p>
              </w:tc>
              <w:tc>
                <w:tcPr>
                  <w:tcW w:w="92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55,73</w:t>
                  </w:r>
                </w:p>
              </w:tc>
              <w:tc>
                <w:tcPr>
                  <w:tcW w:w="918"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34,27</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135,14</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2009</w:t>
                  </w:r>
                </w:p>
              </w:tc>
              <w:tc>
                <w:tcPr>
                  <w:tcW w:w="157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237,33</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125,93</w:t>
                  </w:r>
                </w:p>
              </w:tc>
              <w:tc>
                <w:tcPr>
                  <w:tcW w:w="92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14,6</w:t>
                  </w:r>
                </w:p>
              </w:tc>
              <w:tc>
                <w:tcPr>
                  <w:tcW w:w="918"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60,9</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8,18</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2010</w:t>
                  </w:r>
                </w:p>
              </w:tc>
              <w:tc>
                <w:tcPr>
                  <w:tcW w:w="157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300,04</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155,35</w:t>
                  </w:r>
                </w:p>
              </w:tc>
              <w:tc>
                <w:tcPr>
                  <w:tcW w:w="923"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26,6</w:t>
                  </w:r>
                </w:p>
              </w:tc>
              <w:tc>
                <w:tcPr>
                  <w:tcW w:w="918"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79,71</w:t>
                  </w:r>
                </w:p>
              </w:tc>
              <w:tc>
                <w:tcPr>
                  <w:tcW w:w="924" w:type="dxa"/>
                  <w:tcBorders>
                    <w:top w:val="nil"/>
                    <w:left w:val="nil"/>
                    <w:bottom w:val="single" w:sz="4" w:space="0" w:color="auto"/>
                    <w:right w:val="single" w:sz="4" w:space="0" w:color="auto"/>
                  </w:tcBorders>
                  <w:shd w:val="clear" w:color="auto" w:fill="auto"/>
                  <w:noWrap/>
                  <w:vAlign w:val="center"/>
                  <w:hideMark/>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40,32</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2011</w:t>
                  </w:r>
                </w:p>
              </w:tc>
              <w:tc>
                <w:tcPr>
                  <w:tcW w:w="1573"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209,22</w:t>
                  </w:r>
                </w:p>
              </w:tc>
              <w:tc>
                <w:tcPr>
                  <w:tcW w:w="924"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137,95</w:t>
                  </w:r>
                </w:p>
              </w:tc>
              <w:tc>
                <w:tcPr>
                  <w:tcW w:w="923"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28,93</w:t>
                  </w:r>
                </w:p>
              </w:tc>
              <w:tc>
                <w:tcPr>
                  <w:tcW w:w="918"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51,72</w:t>
                  </w:r>
                </w:p>
              </w:tc>
              <w:tc>
                <w:tcPr>
                  <w:tcW w:w="924"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81,93</w:t>
                  </w:r>
                </w:p>
              </w:tc>
            </w:tr>
            <w:tr w:rsidR="008A7444" w:rsidRPr="00891173" w:rsidTr="00BC395B">
              <w:trPr>
                <w:trHeight w:val="300"/>
                <w:jc w:val="center"/>
              </w:trPr>
              <w:tc>
                <w:tcPr>
                  <w:tcW w:w="1701" w:type="dxa"/>
                  <w:tcBorders>
                    <w:top w:val="nil"/>
                    <w:left w:val="single" w:sz="4" w:space="0" w:color="auto"/>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2012m. III ketv.</w:t>
                  </w:r>
                </w:p>
              </w:tc>
              <w:tc>
                <w:tcPr>
                  <w:tcW w:w="1573"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224,03</w:t>
                  </w:r>
                </w:p>
              </w:tc>
              <w:tc>
                <w:tcPr>
                  <w:tcW w:w="924"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149,39</w:t>
                  </w:r>
                </w:p>
              </w:tc>
              <w:tc>
                <w:tcPr>
                  <w:tcW w:w="923"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42,55</w:t>
                  </w:r>
                </w:p>
              </w:tc>
              <w:tc>
                <w:tcPr>
                  <w:tcW w:w="918"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41,7</w:t>
                  </w:r>
                </w:p>
              </w:tc>
              <w:tc>
                <w:tcPr>
                  <w:tcW w:w="924" w:type="dxa"/>
                  <w:tcBorders>
                    <w:top w:val="nil"/>
                    <w:left w:val="nil"/>
                    <w:bottom w:val="single" w:sz="4" w:space="0" w:color="auto"/>
                    <w:right w:val="single" w:sz="4" w:space="0" w:color="auto"/>
                  </w:tcBorders>
                  <w:shd w:val="clear" w:color="auto" w:fill="auto"/>
                  <w:noWrap/>
                  <w:vAlign w:val="center"/>
                </w:tcPr>
                <w:p w:rsidR="008A7444" w:rsidRPr="00891173" w:rsidRDefault="008A7444" w:rsidP="00BC395B">
                  <w:pPr>
                    <w:jc w:val="center"/>
                    <w:rPr>
                      <w:rFonts w:ascii="Arial" w:hAnsi="Arial" w:cs="Arial"/>
                      <w:color w:val="000000"/>
                      <w:sz w:val="20"/>
                      <w:szCs w:val="20"/>
                    </w:rPr>
                  </w:pPr>
                  <w:r w:rsidRPr="00891173">
                    <w:rPr>
                      <w:rFonts w:ascii="Arial" w:hAnsi="Arial" w:cs="Arial"/>
                      <w:color w:val="000000"/>
                      <w:sz w:val="20"/>
                      <w:szCs w:val="20"/>
                    </w:rPr>
                    <w:t>50,98</w:t>
                  </w:r>
                </w:p>
              </w:tc>
            </w:tr>
          </w:tbl>
          <w:p w:rsidR="008A7444" w:rsidRPr="00891173" w:rsidRDefault="008A7444" w:rsidP="00BC395B">
            <w:pPr>
              <w:rPr>
                <w:rFonts w:ascii="Arial" w:hAnsi="Arial" w:cs="Arial"/>
                <w:color w:val="000000"/>
                <w:sz w:val="20"/>
                <w:szCs w:val="20"/>
              </w:rPr>
            </w:pPr>
          </w:p>
        </w:tc>
        <w:tc>
          <w:tcPr>
            <w:tcW w:w="956" w:type="dxa"/>
            <w:tcBorders>
              <w:top w:val="nil"/>
              <w:left w:val="nil"/>
              <w:bottom w:val="nil"/>
              <w:right w:val="nil"/>
            </w:tcBorders>
            <w:shd w:val="clear" w:color="auto" w:fill="auto"/>
            <w:vAlign w:val="bottom"/>
            <w:hideMark/>
          </w:tcPr>
          <w:p w:rsidR="008A7444" w:rsidRPr="00891173" w:rsidRDefault="008A7444" w:rsidP="00BC395B">
            <w:pPr>
              <w:rPr>
                <w:rFonts w:ascii="Arial" w:hAnsi="Arial" w:cs="Arial"/>
                <w:color w:val="000000"/>
                <w:sz w:val="20"/>
                <w:szCs w:val="20"/>
              </w:rPr>
            </w:pPr>
          </w:p>
        </w:tc>
        <w:tc>
          <w:tcPr>
            <w:tcW w:w="809" w:type="dxa"/>
            <w:tcBorders>
              <w:top w:val="nil"/>
              <w:left w:val="nil"/>
              <w:bottom w:val="nil"/>
              <w:right w:val="nil"/>
            </w:tcBorders>
            <w:shd w:val="clear" w:color="auto" w:fill="auto"/>
            <w:vAlign w:val="bottom"/>
            <w:hideMark/>
          </w:tcPr>
          <w:p w:rsidR="008A7444" w:rsidRPr="00891173" w:rsidRDefault="008A7444" w:rsidP="00BC395B">
            <w:pPr>
              <w:rPr>
                <w:rFonts w:ascii="Arial" w:hAnsi="Arial" w:cs="Arial"/>
                <w:color w:val="000000"/>
                <w:sz w:val="20"/>
                <w:szCs w:val="20"/>
              </w:rPr>
            </w:pPr>
          </w:p>
        </w:tc>
        <w:tc>
          <w:tcPr>
            <w:tcW w:w="808" w:type="dxa"/>
            <w:tcBorders>
              <w:top w:val="nil"/>
              <w:left w:val="nil"/>
              <w:bottom w:val="nil"/>
              <w:right w:val="nil"/>
            </w:tcBorders>
            <w:shd w:val="clear" w:color="auto" w:fill="auto"/>
            <w:vAlign w:val="bottom"/>
            <w:hideMark/>
          </w:tcPr>
          <w:p w:rsidR="008A7444" w:rsidRPr="00891173" w:rsidRDefault="008A7444" w:rsidP="00BC395B">
            <w:pPr>
              <w:rPr>
                <w:rFonts w:ascii="Arial" w:hAnsi="Arial" w:cs="Arial"/>
                <w:color w:val="000000"/>
                <w:sz w:val="20"/>
                <w:szCs w:val="20"/>
              </w:rPr>
            </w:pPr>
          </w:p>
        </w:tc>
        <w:tc>
          <w:tcPr>
            <w:tcW w:w="805" w:type="dxa"/>
            <w:tcBorders>
              <w:top w:val="nil"/>
              <w:left w:val="nil"/>
              <w:bottom w:val="nil"/>
              <w:right w:val="nil"/>
            </w:tcBorders>
            <w:shd w:val="clear" w:color="auto" w:fill="auto"/>
            <w:vAlign w:val="bottom"/>
            <w:hideMark/>
          </w:tcPr>
          <w:p w:rsidR="008A7444" w:rsidRPr="00891173" w:rsidRDefault="008A7444" w:rsidP="00BC395B">
            <w:pPr>
              <w:rPr>
                <w:rFonts w:ascii="Arial" w:hAnsi="Arial" w:cs="Arial"/>
                <w:color w:val="000000"/>
                <w:sz w:val="20"/>
                <w:szCs w:val="20"/>
              </w:rPr>
            </w:pPr>
          </w:p>
        </w:tc>
        <w:tc>
          <w:tcPr>
            <w:tcW w:w="809" w:type="dxa"/>
            <w:tcBorders>
              <w:top w:val="nil"/>
              <w:left w:val="nil"/>
              <w:bottom w:val="nil"/>
              <w:right w:val="nil"/>
            </w:tcBorders>
            <w:shd w:val="clear" w:color="auto" w:fill="auto"/>
            <w:vAlign w:val="bottom"/>
            <w:hideMark/>
          </w:tcPr>
          <w:p w:rsidR="008A7444" w:rsidRPr="00891173" w:rsidRDefault="008A7444" w:rsidP="00BC395B">
            <w:pPr>
              <w:rPr>
                <w:rFonts w:ascii="Arial" w:hAnsi="Arial" w:cs="Arial"/>
                <w:color w:val="000000"/>
                <w:sz w:val="20"/>
                <w:szCs w:val="20"/>
              </w:rPr>
            </w:pPr>
          </w:p>
        </w:tc>
      </w:tr>
    </w:tbl>
    <w:p w:rsidR="00995E0E" w:rsidRPr="00891173" w:rsidRDefault="00974519" w:rsidP="00995E0E">
      <w:pPr>
        <w:spacing w:after="200" w:line="276" w:lineRule="auto"/>
        <w:jc w:val="right"/>
      </w:pPr>
      <w:r w:rsidRPr="00891173">
        <w:br w:type="page"/>
      </w:r>
      <w:r w:rsidR="008A7444" w:rsidRPr="00891173">
        <w:lastRenderedPageBreak/>
        <w:t>5</w:t>
      </w:r>
      <w:r w:rsidR="00995E0E" w:rsidRPr="00891173">
        <w:t xml:space="preserve"> PRIEDAS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8"/>
        <w:gridCol w:w="1276"/>
        <w:gridCol w:w="1417"/>
        <w:gridCol w:w="1276"/>
        <w:gridCol w:w="992"/>
        <w:gridCol w:w="1134"/>
        <w:gridCol w:w="1241"/>
      </w:tblGrid>
      <w:tr w:rsidR="00B81F94" w:rsidRPr="00891173" w:rsidTr="00C12C5D">
        <w:tc>
          <w:tcPr>
            <w:tcW w:w="2518" w:type="dxa"/>
          </w:tcPr>
          <w:p w:rsidR="00B81F94" w:rsidRPr="00891173" w:rsidRDefault="00B81F94" w:rsidP="00C12C5D">
            <w:pPr>
              <w:autoSpaceDE w:val="0"/>
              <w:autoSpaceDN w:val="0"/>
              <w:adjustRightInd w:val="0"/>
              <w:jc w:val="both"/>
              <w:rPr>
                <w:b/>
                <w:i/>
                <w:sz w:val="20"/>
                <w:szCs w:val="20"/>
              </w:rPr>
            </w:pPr>
          </w:p>
        </w:tc>
        <w:tc>
          <w:tcPr>
            <w:tcW w:w="1276" w:type="dxa"/>
            <w:vAlign w:val="center"/>
          </w:tcPr>
          <w:p w:rsidR="00B81F94" w:rsidRPr="00891173" w:rsidRDefault="00B81F94" w:rsidP="00C12C5D">
            <w:pPr>
              <w:autoSpaceDE w:val="0"/>
              <w:autoSpaceDN w:val="0"/>
              <w:adjustRightInd w:val="0"/>
              <w:jc w:val="center"/>
              <w:rPr>
                <w:b/>
                <w:sz w:val="20"/>
                <w:szCs w:val="20"/>
              </w:rPr>
            </w:pPr>
            <w:r w:rsidRPr="00891173">
              <w:rPr>
                <w:b/>
                <w:sz w:val="20"/>
                <w:szCs w:val="20"/>
              </w:rPr>
              <w:t>Veiklos pradžia</w:t>
            </w:r>
          </w:p>
        </w:tc>
        <w:tc>
          <w:tcPr>
            <w:tcW w:w="1417" w:type="dxa"/>
            <w:vAlign w:val="center"/>
          </w:tcPr>
          <w:p w:rsidR="00B81F94" w:rsidRPr="00891173" w:rsidRDefault="00B81F94" w:rsidP="00C12C5D">
            <w:pPr>
              <w:autoSpaceDE w:val="0"/>
              <w:autoSpaceDN w:val="0"/>
              <w:adjustRightInd w:val="0"/>
              <w:jc w:val="center"/>
              <w:rPr>
                <w:b/>
                <w:sz w:val="20"/>
                <w:szCs w:val="20"/>
              </w:rPr>
            </w:pPr>
            <w:r w:rsidRPr="00891173">
              <w:rPr>
                <w:b/>
                <w:bCs/>
                <w:sz w:val="20"/>
                <w:szCs w:val="20"/>
              </w:rPr>
              <w:t>Vidutinis metinis vieneto vertės pokytis %</w:t>
            </w:r>
          </w:p>
        </w:tc>
        <w:tc>
          <w:tcPr>
            <w:tcW w:w="1276" w:type="dxa"/>
            <w:vAlign w:val="center"/>
          </w:tcPr>
          <w:p w:rsidR="00B81F94" w:rsidRPr="00891173" w:rsidRDefault="00B81F94" w:rsidP="00C12C5D">
            <w:pPr>
              <w:autoSpaceDE w:val="0"/>
              <w:autoSpaceDN w:val="0"/>
              <w:adjustRightInd w:val="0"/>
              <w:jc w:val="center"/>
              <w:rPr>
                <w:b/>
                <w:sz w:val="20"/>
                <w:szCs w:val="20"/>
              </w:rPr>
            </w:pPr>
            <w:r w:rsidRPr="00891173">
              <w:rPr>
                <w:b/>
                <w:sz w:val="20"/>
                <w:szCs w:val="20"/>
              </w:rPr>
              <w:t>Vidutinis standartinis nuokrypis %</w:t>
            </w:r>
          </w:p>
        </w:tc>
        <w:tc>
          <w:tcPr>
            <w:tcW w:w="992" w:type="dxa"/>
            <w:vAlign w:val="center"/>
          </w:tcPr>
          <w:p w:rsidR="00B81F94" w:rsidRPr="00891173" w:rsidRDefault="00B81F94" w:rsidP="00C12C5D">
            <w:pPr>
              <w:autoSpaceDE w:val="0"/>
              <w:autoSpaceDN w:val="0"/>
              <w:adjustRightInd w:val="0"/>
              <w:jc w:val="center"/>
              <w:rPr>
                <w:b/>
                <w:sz w:val="20"/>
                <w:szCs w:val="20"/>
              </w:rPr>
            </w:pPr>
            <w:r w:rsidRPr="00891173">
              <w:rPr>
                <w:b/>
                <w:sz w:val="20"/>
                <w:szCs w:val="20"/>
              </w:rPr>
              <w:t xml:space="preserve">Šarpo rodiklis </w:t>
            </w:r>
          </w:p>
        </w:tc>
        <w:tc>
          <w:tcPr>
            <w:tcW w:w="1134" w:type="dxa"/>
            <w:vAlign w:val="center"/>
          </w:tcPr>
          <w:p w:rsidR="00B81F94" w:rsidRPr="00891173" w:rsidRDefault="00B81F94" w:rsidP="00C12C5D">
            <w:pPr>
              <w:autoSpaceDE w:val="0"/>
              <w:autoSpaceDN w:val="0"/>
              <w:adjustRightInd w:val="0"/>
              <w:jc w:val="center"/>
              <w:rPr>
                <w:b/>
                <w:sz w:val="20"/>
                <w:szCs w:val="20"/>
              </w:rPr>
            </w:pPr>
            <w:r w:rsidRPr="00891173">
              <w:rPr>
                <w:b/>
                <w:sz w:val="20"/>
                <w:szCs w:val="20"/>
              </w:rPr>
              <w:t>Didžiausia metinė grąža %</w:t>
            </w:r>
          </w:p>
        </w:tc>
        <w:tc>
          <w:tcPr>
            <w:tcW w:w="1241" w:type="dxa"/>
            <w:vAlign w:val="center"/>
          </w:tcPr>
          <w:p w:rsidR="00B81F94" w:rsidRPr="00891173" w:rsidRDefault="00B81F94" w:rsidP="00C12C5D">
            <w:pPr>
              <w:autoSpaceDE w:val="0"/>
              <w:autoSpaceDN w:val="0"/>
              <w:adjustRightInd w:val="0"/>
              <w:jc w:val="center"/>
              <w:rPr>
                <w:b/>
                <w:sz w:val="20"/>
                <w:szCs w:val="20"/>
              </w:rPr>
            </w:pPr>
            <w:r w:rsidRPr="00891173">
              <w:rPr>
                <w:b/>
                <w:sz w:val="20"/>
                <w:szCs w:val="20"/>
              </w:rPr>
              <w:t>Mažiausia metinė grąža %</w:t>
            </w:r>
          </w:p>
        </w:tc>
      </w:tr>
      <w:tr w:rsidR="00B81F94" w:rsidRPr="00891173" w:rsidTr="00C12C5D">
        <w:tc>
          <w:tcPr>
            <w:tcW w:w="2518" w:type="dxa"/>
          </w:tcPr>
          <w:p w:rsidR="00B81F94" w:rsidRPr="00891173" w:rsidRDefault="00B81F94" w:rsidP="00C12C5D">
            <w:pPr>
              <w:autoSpaceDE w:val="0"/>
              <w:autoSpaceDN w:val="0"/>
              <w:adjustRightInd w:val="0"/>
              <w:jc w:val="both"/>
              <w:rPr>
                <w:b/>
                <w:i/>
                <w:sz w:val="20"/>
                <w:szCs w:val="20"/>
              </w:rPr>
            </w:pPr>
          </w:p>
          <w:p w:rsidR="00B81F94" w:rsidRPr="00891173" w:rsidRDefault="00B81F94" w:rsidP="00C12C5D">
            <w:pPr>
              <w:autoSpaceDE w:val="0"/>
              <w:autoSpaceDN w:val="0"/>
              <w:adjustRightInd w:val="0"/>
              <w:jc w:val="both"/>
              <w:rPr>
                <w:b/>
                <w:i/>
                <w:sz w:val="20"/>
                <w:szCs w:val="20"/>
              </w:rPr>
            </w:pPr>
            <w:r w:rsidRPr="00891173">
              <w:rPr>
                <w:b/>
                <w:i/>
                <w:sz w:val="20"/>
                <w:szCs w:val="20"/>
              </w:rPr>
              <w:t>Akcijų fondai</w:t>
            </w:r>
          </w:p>
        </w:tc>
        <w:tc>
          <w:tcPr>
            <w:tcW w:w="1276" w:type="dxa"/>
          </w:tcPr>
          <w:p w:rsidR="00B81F94" w:rsidRPr="00891173" w:rsidRDefault="00B81F94" w:rsidP="00C12C5D">
            <w:pPr>
              <w:autoSpaceDE w:val="0"/>
              <w:autoSpaceDN w:val="0"/>
              <w:adjustRightInd w:val="0"/>
              <w:jc w:val="both"/>
              <w:rPr>
                <w:sz w:val="20"/>
                <w:szCs w:val="20"/>
              </w:rPr>
            </w:pPr>
          </w:p>
        </w:tc>
        <w:tc>
          <w:tcPr>
            <w:tcW w:w="1417" w:type="dxa"/>
          </w:tcPr>
          <w:p w:rsidR="00B81F94" w:rsidRPr="00891173" w:rsidRDefault="00B81F94" w:rsidP="00C12C5D">
            <w:pPr>
              <w:autoSpaceDE w:val="0"/>
              <w:autoSpaceDN w:val="0"/>
              <w:adjustRightInd w:val="0"/>
              <w:jc w:val="both"/>
              <w:rPr>
                <w:b/>
                <w:bCs/>
                <w:sz w:val="20"/>
                <w:szCs w:val="20"/>
              </w:rPr>
            </w:pPr>
          </w:p>
        </w:tc>
        <w:tc>
          <w:tcPr>
            <w:tcW w:w="1276" w:type="dxa"/>
          </w:tcPr>
          <w:p w:rsidR="00B81F94" w:rsidRPr="00891173" w:rsidRDefault="00B81F94" w:rsidP="00C12C5D">
            <w:pPr>
              <w:autoSpaceDE w:val="0"/>
              <w:autoSpaceDN w:val="0"/>
              <w:adjustRightInd w:val="0"/>
              <w:jc w:val="both"/>
              <w:rPr>
                <w:sz w:val="20"/>
                <w:szCs w:val="20"/>
              </w:rPr>
            </w:pPr>
          </w:p>
        </w:tc>
        <w:tc>
          <w:tcPr>
            <w:tcW w:w="992" w:type="dxa"/>
          </w:tcPr>
          <w:p w:rsidR="00B81F94" w:rsidRPr="00891173" w:rsidRDefault="00B81F94" w:rsidP="00C12C5D">
            <w:pPr>
              <w:autoSpaceDE w:val="0"/>
              <w:autoSpaceDN w:val="0"/>
              <w:adjustRightInd w:val="0"/>
              <w:jc w:val="both"/>
              <w:rPr>
                <w:sz w:val="20"/>
                <w:szCs w:val="20"/>
              </w:rPr>
            </w:pPr>
          </w:p>
        </w:tc>
        <w:tc>
          <w:tcPr>
            <w:tcW w:w="1134" w:type="dxa"/>
          </w:tcPr>
          <w:p w:rsidR="00B81F94" w:rsidRPr="00891173" w:rsidRDefault="00B81F94" w:rsidP="00C12C5D">
            <w:pPr>
              <w:autoSpaceDE w:val="0"/>
              <w:autoSpaceDN w:val="0"/>
              <w:adjustRightInd w:val="0"/>
              <w:jc w:val="both"/>
              <w:rPr>
                <w:sz w:val="20"/>
                <w:szCs w:val="20"/>
              </w:rPr>
            </w:pPr>
          </w:p>
        </w:tc>
        <w:tc>
          <w:tcPr>
            <w:tcW w:w="1241" w:type="dxa"/>
          </w:tcPr>
          <w:p w:rsidR="00B81F94" w:rsidRPr="00891173" w:rsidRDefault="00B81F94" w:rsidP="00C12C5D">
            <w:pPr>
              <w:autoSpaceDE w:val="0"/>
              <w:autoSpaceDN w:val="0"/>
              <w:adjustRightInd w:val="0"/>
              <w:jc w:val="both"/>
              <w:rPr>
                <w:sz w:val="20"/>
                <w:szCs w:val="20"/>
              </w:rPr>
            </w:pPr>
          </w:p>
        </w:tc>
      </w:tr>
      <w:tr w:rsidR="00B81F94" w:rsidRPr="00891173" w:rsidTr="00C12C5D">
        <w:tc>
          <w:tcPr>
            <w:tcW w:w="2518" w:type="dxa"/>
          </w:tcPr>
          <w:p w:rsidR="00B81F94" w:rsidRPr="00891173" w:rsidRDefault="00B81F94" w:rsidP="00C12C5D">
            <w:pPr>
              <w:autoSpaceDE w:val="0"/>
              <w:autoSpaceDN w:val="0"/>
              <w:adjustRightInd w:val="0"/>
              <w:rPr>
                <w:sz w:val="20"/>
                <w:szCs w:val="20"/>
              </w:rPr>
            </w:pPr>
            <w:r w:rsidRPr="00891173">
              <w:rPr>
                <w:rFonts w:eastAsiaTheme="minorHAnsi"/>
                <w:iCs/>
                <w:sz w:val="20"/>
                <w:szCs w:val="20"/>
                <w:lang w:eastAsia="en-US"/>
              </w:rPr>
              <w:t>„Finasta“</w:t>
            </w:r>
            <w:r w:rsidRPr="00891173">
              <w:rPr>
                <w:rFonts w:eastAsiaTheme="minorHAnsi"/>
                <w:i/>
                <w:iCs/>
                <w:sz w:val="20"/>
                <w:szCs w:val="20"/>
                <w:lang w:eastAsia="en-US"/>
              </w:rPr>
              <w:t xml:space="preserve"> </w:t>
            </w:r>
            <w:r w:rsidRPr="00891173">
              <w:rPr>
                <w:rFonts w:eastAsia="ArialNarrow"/>
                <w:sz w:val="20"/>
                <w:szCs w:val="20"/>
                <w:lang w:eastAsia="en-US"/>
              </w:rPr>
              <w:t>Naujosios Europos TOP20 subfondas</w:t>
            </w:r>
          </w:p>
        </w:tc>
        <w:tc>
          <w:tcPr>
            <w:tcW w:w="1276" w:type="dxa"/>
          </w:tcPr>
          <w:p w:rsidR="00B81F94" w:rsidRPr="00891173" w:rsidRDefault="00B81F94" w:rsidP="00C12C5D">
            <w:pPr>
              <w:pStyle w:val="NormalWeb"/>
              <w:rPr>
                <w:sz w:val="20"/>
                <w:szCs w:val="20"/>
              </w:rPr>
            </w:pPr>
            <w:r w:rsidRPr="00891173">
              <w:rPr>
                <w:sz w:val="20"/>
                <w:szCs w:val="20"/>
              </w:rPr>
              <w:t>2010-10-29</w:t>
            </w:r>
          </w:p>
        </w:tc>
        <w:tc>
          <w:tcPr>
            <w:tcW w:w="1417" w:type="dxa"/>
          </w:tcPr>
          <w:p w:rsidR="00B81F94" w:rsidRPr="00891173" w:rsidRDefault="00B81F94" w:rsidP="00C12C5D">
            <w:pPr>
              <w:autoSpaceDE w:val="0"/>
              <w:autoSpaceDN w:val="0"/>
              <w:adjustRightInd w:val="0"/>
              <w:jc w:val="center"/>
              <w:rPr>
                <w:sz w:val="20"/>
                <w:szCs w:val="20"/>
              </w:rPr>
            </w:pPr>
            <w:r w:rsidRPr="00891173">
              <w:rPr>
                <w:sz w:val="20"/>
                <w:szCs w:val="20"/>
              </w:rPr>
              <w:t>28,29</w:t>
            </w:r>
          </w:p>
        </w:tc>
        <w:tc>
          <w:tcPr>
            <w:tcW w:w="1276" w:type="dxa"/>
          </w:tcPr>
          <w:p w:rsidR="00B81F94" w:rsidRPr="00891173" w:rsidRDefault="00B81F94" w:rsidP="00C12C5D">
            <w:pPr>
              <w:autoSpaceDE w:val="0"/>
              <w:autoSpaceDN w:val="0"/>
              <w:adjustRightInd w:val="0"/>
              <w:jc w:val="center"/>
              <w:rPr>
                <w:sz w:val="20"/>
                <w:szCs w:val="20"/>
              </w:rPr>
            </w:pPr>
            <w:r w:rsidRPr="00891173">
              <w:rPr>
                <w:sz w:val="20"/>
                <w:szCs w:val="20"/>
              </w:rPr>
              <w:t>19,37</w:t>
            </w:r>
          </w:p>
        </w:tc>
        <w:tc>
          <w:tcPr>
            <w:tcW w:w="992" w:type="dxa"/>
          </w:tcPr>
          <w:p w:rsidR="00B81F94" w:rsidRPr="00891173" w:rsidRDefault="00B81F94" w:rsidP="00C12C5D">
            <w:pPr>
              <w:jc w:val="center"/>
              <w:rPr>
                <w:color w:val="000000"/>
                <w:sz w:val="20"/>
                <w:szCs w:val="20"/>
              </w:rPr>
            </w:pPr>
            <w:r w:rsidRPr="00891173">
              <w:rPr>
                <w:color w:val="000000"/>
                <w:sz w:val="20"/>
                <w:szCs w:val="20"/>
              </w:rPr>
              <w:t>1,1136</w:t>
            </w:r>
          </w:p>
        </w:tc>
        <w:tc>
          <w:tcPr>
            <w:tcW w:w="1134" w:type="dxa"/>
          </w:tcPr>
          <w:p w:rsidR="00B81F94" w:rsidRPr="00891173" w:rsidRDefault="00B81F94" w:rsidP="00C12C5D">
            <w:pPr>
              <w:jc w:val="center"/>
              <w:rPr>
                <w:color w:val="000000"/>
                <w:sz w:val="20"/>
                <w:szCs w:val="20"/>
              </w:rPr>
            </w:pPr>
            <w:r w:rsidRPr="00891173">
              <w:rPr>
                <w:color w:val="000000"/>
                <w:sz w:val="20"/>
                <w:szCs w:val="20"/>
              </w:rPr>
              <w:t>67,03</w:t>
            </w:r>
          </w:p>
        </w:tc>
        <w:tc>
          <w:tcPr>
            <w:tcW w:w="1241" w:type="dxa"/>
          </w:tcPr>
          <w:p w:rsidR="00B81F94" w:rsidRPr="00891173" w:rsidRDefault="00B81F94" w:rsidP="00C12C5D">
            <w:pPr>
              <w:jc w:val="center"/>
              <w:rPr>
                <w:color w:val="000000"/>
                <w:sz w:val="20"/>
                <w:szCs w:val="20"/>
              </w:rPr>
            </w:pPr>
            <w:r w:rsidRPr="00891173">
              <w:rPr>
                <w:color w:val="000000"/>
                <w:sz w:val="20"/>
                <w:szCs w:val="20"/>
              </w:rPr>
              <w:t>-10,45</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„Finasta“ Rusijos TOP20 subfondas</w:t>
            </w:r>
          </w:p>
        </w:tc>
        <w:tc>
          <w:tcPr>
            <w:tcW w:w="1276" w:type="dxa"/>
          </w:tcPr>
          <w:p w:rsidR="00B81F94" w:rsidRPr="00891173" w:rsidRDefault="00B81F94" w:rsidP="00C12C5D">
            <w:pPr>
              <w:pStyle w:val="NormalWeb"/>
              <w:rPr>
                <w:sz w:val="20"/>
                <w:szCs w:val="20"/>
              </w:rPr>
            </w:pPr>
            <w:r w:rsidRPr="00891173">
              <w:rPr>
                <w:sz w:val="20"/>
                <w:szCs w:val="20"/>
              </w:rPr>
              <w:t>2010-10-29</w:t>
            </w:r>
          </w:p>
        </w:tc>
        <w:tc>
          <w:tcPr>
            <w:tcW w:w="1417" w:type="dxa"/>
            <w:tcBorders>
              <w:bottom w:val="single" w:sz="4" w:space="0" w:color="auto"/>
            </w:tcBorders>
          </w:tcPr>
          <w:p w:rsidR="00B81F94" w:rsidRPr="00891173" w:rsidRDefault="00B81F94" w:rsidP="00C12C5D">
            <w:pPr>
              <w:autoSpaceDE w:val="0"/>
              <w:autoSpaceDN w:val="0"/>
              <w:adjustRightInd w:val="0"/>
              <w:jc w:val="center"/>
              <w:rPr>
                <w:sz w:val="20"/>
                <w:szCs w:val="20"/>
              </w:rPr>
            </w:pPr>
            <w:r w:rsidRPr="00891173">
              <w:rPr>
                <w:sz w:val="20"/>
                <w:szCs w:val="20"/>
              </w:rPr>
              <w:t>13,66</w:t>
            </w:r>
          </w:p>
        </w:tc>
        <w:tc>
          <w:tcPr>
            <w:tcW w:w="1276" w:type="dxa"/>
            <w:tcBorders>
              <w:bottom w:val="single" w:sz="4" w:space="0" w:color="auto"/>
            </w:tcBorders>
          </w:tcPr>
          <w:p w:rsidR="00B81F94" w:rsidRPr="00891173" w:rsidRDefault="00B81F94" w:rsidP="00C12C5D">
            <w:pPr>
              <w:autoSpaceDE w:val="0"/>
              <w:autoSpaceDN w:val="0"/>
              <w:adjustRightInd w:val="0"/>
              <w:jc w:val="center"/>
              <w:rPr>
                <w:sz w:val="20"/>
                <w:szCs w:val="20"/>
              </w:rPr>
            </w:pPr>
            <w:r w:rsidRPr="00891173">
              <w:rPr>
                <w:sz w:val="20"/>
                <w:szCs w:val="20"/>
              </w:rPr>
              <w:t>23,87</w:t>
            </w:r>
          </w:p>
        </w:tc>
        <w:tc>
          <w:tcPr>
            <w:tcW w:w="992" w:type="dxa"/>
            <w:tcBorders>
              <w:bottom w:val="single" w:sz="4" w:space="0" w:color="auto"/>
            </w:tcBorders>
          </w:tcPr>
          <w:p w:rsidR="00B81F94" w:rsidRPr="00891173" w:rsidRDefault="00B81F94" w:rsidP="00C12C5D">
            <w:pPr>
              <w:jc w:val="center"/>
              <w:rPr>
                <w:color w:val="000000"/>
                <w:sz w:val="20"/>
                <w:szCs w:val="20"/>
              </w:rPr>
            </w:pPr>
            <w:r w:rsidRPr="00891173">
              <w:rPr>
                <w:color w:val="000000"/>
                <w:sz w:val="20"/>
                <w:szCs w:val="20"/>
              </w:rPr>
              <w:t>0,2907</w:t>
            </w:r>
          </w:p>
        </w:tc>
        <w:tc>
          <w:tcPr>
            <w:tcW w:w="1134" w:type="dxa"/>
            <w:tcBorders>
              <w:bottom w:val="single" w:sz="4" w:space="0" w:color="auto"/>
            </w:tcBorders>
          </w:tcPr>
          <w:p w:rsidR="00B81F94" w:rsidRPr="00891173" w:rsidRDefault="00B81F94" w:rsidP="00C12C5D">
            <w:pPr>
              <w:jc w:val="center"/>
              <w:rPr>
                <w:color w:val="000000"/>
                <w:sz w:val="20"/>
                <w:szCs w:val="20"/>
              </w:rPr>
            </w:pPr>
            <w:r w:rsidRPr="00891173">
              <w:rPr>
                <w:color w:val="000000"/>
                <w:sz w:val="20"/>
                <w:szCs w:val="20"/>
              </w:rPr>
              <w:t>61,40</w:t>
            </w:r>
          </w:p>
        </w:tc>
        <w:tc>
          <w:tcPr>
            <w:tcW w:w="1241" w:type="dxa"/>
          </w:tcPr>
          <w:p w:rsidR="00B81F94" w:rsidRPr="00891173" w:rsidRDefault="00B81F94" w:rsidP="00C12C5D">
            <w:pPr>
              <w:jc w:val="center"/>
              <w:rPr>
                <w:color w:val="000000"/>
                <w:sz w:val="20"/>
                <w:szCs w:val="20"/>
              </w:rPr>
            </w:pPr>
            <w:r w:rsidRPr="00891173">
              <w:rPr>
                <w:color w:val="000000"/>
                <w:sz w:val="20"/>
                <w:szCs w:val="20"/>
              </w:rPr>
              <w:t>-34,08</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„Finasta“ pasaulio akcijų fondų subfondas</w:t>
            </w:r>
          </w:p>
        </w:tc>
        <w:tc>
          <w:tcPr>
            <w:tcW w:w="1276" w:type="dxa"/>
          </w:tcPr>
          <w:p w:rsidR="00B81F94" w:rsidRPr="00891173" w:rsidRDefault="00B81F94" w:rsidP="00C12C5D">
            <w:pPr>
              <w:pStyle w:val="NormalWeb"/>
              <w:rPr>
                <w:sz w:val="20"/>
                <w:szCs w:val="20"/>
              </w:rPr>
            </w:pPr>
            <w:r w:rsidRPr="00891173">
              <w:rPr>
                <w:sz w:val="20"/>
                <w:szCs w:val="20"/>
              </w:rPr>
              <w:t>2010-10-29</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12,19</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11,42</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0,4790</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35,03</w:t>
            </w:r>
          </w:p>
        </w:tc>
        <w:tc>
          <w:tcPr>
            <w:tcW w:w="1241" w:type="dxa"/>
          </w:tcPr>
          <w:p w:rsidR="00B81F94" w:rsidRPr="00891173" w:rsidRDefault="00B81F94" w:rsidP="00C12C5D">
            <w:pPr>
              <w:jc w:val="center"/>
              <w:rPr>
                <w:color w:val="000000"/>
                <w:sz w:val="20"/>
                <w:szCs w:val="20"/>
              </w:rPr>
            </w:pPr>
            <w:r w:rsidRPr="00891173">
              <w:rPr>
                <w:color w:val="000000"/>
                <w:sz w:val="20"/>
                <w:szCs w:val="20"/>
              </w:rPr>
              <w:t>-10,65</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„Finasta Vitality“ fondas</w:t>
            </w:r>
          </w:p>
        </w:tc>
        <w:tc>
          <w:tcPr>
            <w:tcW w:w="1276" w:type="dxa"/>
          </w:tcPr>
          <w:p w:rsidR="00B81F94" w:rsidRPr="00891173" w:rsidRDefault="00B81F94" w:rsidP="00C12C5D">
            <w:pPr>
              <w:pStyle w:val="NormalWeb"/>
              <w:rPr>
                <w:sz w:val="20"/>
                <w:szCs w:val="20"/>
              </w:rPr>
            </w:pPr>
            <w:r w:rsidRPr="00891173">
              <w:rPr>
                <w:sz w:val="20"/>
                <w:szCs w:val="20"/>
              </w:rPr>
              <w:t>2007-07-26</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21,27</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18,03</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0,8070</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57,33</w:t>
            </w:r>
          </w:p>
        </w:tc>
        <w:tc>
          <w:tcPr>
            <w:tcW w:w="1241" w:type="dxa"/>
          </w:tcPr>
          <w:p w:rsidR="00B81F94" w:rsidRPr="00891173" w:rsidRDefault="00B81F94" w:rsidP="00C12C5D">
            <w:pPr>
              <w:jc w:val="center"/>
              <w:rPr>
                <w:color w:val="000000"/>
                <w:sz w:val="20"/>
                <w:szCs w:val="20"/>
              </w:rPr>
            </w:pPr>
            <w:r w:rsidRPr="00891173">
              <w:rPr>
                <w:color w:val="000000"/>
                <w:sz w:val="20"/>
                <w:szCs w:val="20"/>
              </w:rPr>
              <w:t>-14,79</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OMX Baltic Benchmark Fund</w:t>
            </w:r>
          </w:p>
        </w:tc>
        <w:tc>
          <w:tcPr>
            <w:tcW w:w="1276" w:type="dxa"/>
          </w:tcPr>
          <w:p w:rsidR="00B81F94" w:rsidRPr="00891173" w:rsidRDefault="00B81F94" w:rsidP="00C12C5D">
            <w:pPr>
              <w:pStyle w:val="NormalWeb"/>
              <w:rPr>
                <w:sz w:val="20"/>
                <w:szCs w:val="20"/>
              </w:rPr>
            </w:pPr>
            <w:r w:rsidRPr="00891173">
              <w:rPr>
                <w:color w:val="000000"/>
                <w:sz w:val="20"/>
                <w:szCs w:val="20"/>
              </w:rPr>
              <w:t>2001-06-01</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22,67</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13,58</w:t>
            </w:r>
          </w:p>
        </w:tc>
        <w:tc>
          <w:tcPr>
            <w:tcW w:w="992" w:type="dxa"/>
            <w:shd w:val="clear" w:color="auto" w:fill="FFFFFF" w:themeFill="background1"/>
          </w:tcPr>
          <w:p w:rsidR="00B81F94" w:rsidRPr="00891173" w:rsidRDefault="00B81F94" w:rsidP="00C12C5D">
            <w:pPr>
              <w:jc w:val="center"/>
              <w:rPr>
                <w:b/>
                <w:color w:val="FF6600"/>
                <w:sz w:val="20"/>
                <w:szCs w:val="20"/>
              </w:rPr>
            </w:pPr>
            <w:r w:rsidRPr="00891173">
              <w:rPr>
                <w:color w:val="000000"/>
                <w:sz w:val="20"/>
                <w:szCs w:val="20"/>
              </w:rPr>
              <w:t>1,1745</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49,83</w:t>
            </w:r>
          </w:p>
        </w:tc>
        <w:tc>
          <w:tcPr>
            <w:tcW w:w="1241" w:type="dxa"/>
          </w:tcPr>
          <w:p w:rsidR="00B81F94" w:rsidRPr="00891173" w:rsidRDefault="00B81F94" w:rsidP="00C12C5D">
            <w:pPr>
              <w:jc w:val="center"/>
              <w:rPr>
                <w:color w:val="000000"/>
                <w:sz w:val="20"/>
                <w:szCs w:val="20"/>
              </w:rPr>
            </w:pPr>
            <w:r w:rsidRPr="00891173">
              <w:rPr>
                <w:color w:val="000000"/>
                <w:sz w:val="20"/>
                <w:szCs w:val="20"/>
              </w:rPr>
              <w:t>-4,49</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ZPR Amerikos mažos kapitalizacijos bendrovių akcijų atviras investicinis fondas</w:t>
            </w:r>
          </w:p>
        </w:tc>
        <w:tc>
          <w:tcPr>
            <w:tcW w:w="1276" w:type="dxa"/>
          </w:tcPr>
          <w:p w:rsidR="00B81F94" w:rsidRPr="00891173" w:rsidRDefault="00B81F94" w:rsidP="00C12C5D">
            <w:pPr>
              <w:pStyle w:val="NormalWeb"/>
              <w:rPr>
                <w:sz w:val="20"/>
                <w:szCs w:val="20"/>
              </w:rPr>
            </w:pPr>
            <w:r w:rsidRPr="00891173">
              <w:rPr>
                <w:sz w:val="20"/>
                <w:szCs w:val="20"/>
              </w:rPr>
              <w:t>2004-03-12</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10,86</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25,24</w:t>
            </w:r>
          </w:p>
        </w:tc>
        <w:tc>
          <w:tcPr>
            <w:tcW w:w="992"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0,1640</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61,34</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-39,62</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DNB akcijų fondas</w:t>
            </w:r>
          </w:p>
        </w:tc>
        <w:tc>
          <w:tcPr>
            <w:tcW w:w="1276" w:type="dxa"/>
          </w:tcPr>
          <w:p w:rsidR="00B81F94" w:rsidRPr="00891173" w:rsidRDefault="00B81F94" w:rsidP="00C12C5D">
            <w:pPr>
              <w:pStyle w:val="NormalWeb"/>
              <w:rPr>
                <w:sz w:val="20"/>
                <w:szCs w:val="20"/>
              </w:rPr>
            </w:pPr>
            <w:r w:rsidRPr="00891173">
              <w:rPr>
                <w:color w:val="000000"/>
                <w:sz w:val="20"/>
                <w:szCs w:val="20"/>
              </w:rPr>
              <w:t>2006-08-31</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14,33</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11,31</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0,6729</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36,95</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-8,29</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Citadele Baltijos jūros valstybių investicinis akcijų fondas</w:t>
            </w:r>
          </w:p>
        </w:tc>
        <w:tc>
          <w:tcPr>
            <w:tcW w:w="1276" w:type="dxa"/>
          </w:tcPr>
          <w:p w:rsidR="00B81F94" w:rsidRPr="00891173" w:rsidRDefault="00B81F94" w:rsidP="00C12C5D">
            <w:pPr>
              <w:pStyle w:val="NormalWeb"/>
              <w:rPr>
                <w:sz w:val="20"/>
                <w:szCs w:val="20"/>
              </w:rPr>
            </w:pPr>
            <w:r w:rsidRPr="00891173">
              <w:rPr>
                <w:sz w:val="20"/>
                <w:szCs w:val="20"/>
              </w:rPr>
              <w:t xml:space="preserve">2004-07-08 </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23,21</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18,9</w:t>
            </w:r>
          </w:p>
        </w:tc>
        <w:tc>
          <w:tcPr>
            <w:tcW w:w="992"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0,8725</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61,01</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-14,59</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SEB aktyviai valdomas fondų portfelis 100</w:t>
            </w:r>
          </w:p>
        </w:tc>
        <w:tc>
          <w:tcPr>
            <w:tcW w:w="1276" w:type="dxa"/>
          </w:tcPr>
          <w:p w:rsidR="00B81F94" w:rsidRPr="00891173" w:rsidRDefault="00B81F94" w:rsidP="00C12C5D">
            <w:pPr>
              <w:pStyle w:val="NormalWeb"/>
              <w:rPr>
                <w:sz w:val="20"/>
                <w:szCs w:val="20"/>
              </w:rPr>
            </w:pPr>
            <w:r w:rsidRPr="00891173">
              <w:rPr>
                <w:sz w:val="20"/>
                <w:szCs w:val="20"/>
              </w:rPr>
              <w:t>2006-02-09</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16,25</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12,06</w:t>
            </w:r>
          </w:p>
        </w:tc>
        <w:tc>
          <w:tcPr>
            <w:tcW w:w="992" w:type="dxa"/>
            <w:shd w:val="clear" w:color="auto" w:fill="FFFFFF" w:themeFill="background1"/>
          </w:tcPr>
          <w:p w:rsidR="00B81F94" w:rsidRPr="00891173" w:rsidRDefault="00B81F94" w:rsidP="00C12C5D">
            <w:pPr>
              <w:jc w:val="center"/>
              <w:rPr>
                <w:sz w:val="20"/>
                <w:szCs w:val="20"/>
              </w:rPr>
            </w:pPr>
            <w:r w:rsidRPr="00891173">
              <w:rPr>
                <w:sz w:val="20"/>
                <w:szCs w:val="20"/>
              </w:rPr>
              <w:t>0,7902</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40,37</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-7,87</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racionalaus investavimo fondas</w:t>
            </w:r>
          </w:p>
        </w:tc>
        <w:tc>
          <w:tcPr>
            <w:tcW w:w="1276" w:type="dxa"/>
          </w:tcPr>
          <w:p w:rsidR="00B81F94" w:rsidRPr="00891173" w:rsidRDefault="00B81F94" w:rsidP="00C12C5D">
            <w:pPr>
              <w:pStyle w:val="NormalWeb"/>
              <w:rPr>
                <w:sz w:val="20"/>
                <w:szCs w:val="20"/>
              </w:rPr>
            </w:pPr>
            <w:r w:rsidRPr="00891173">
              <w:rPr>
                <w:sz w:val="20"/>
                <w:szCs w:val="20"/>
              </w:rPr>
              <w:t>2007-01-11</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18,26</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20,98</w:t>
            </w:r>
          </w:p>
        </w:tc>
        <w:tc>
          <w:tcPr>
            <w:tcW w:w="992" w:type="dxa"/>
            <w:shd w:val="clear" w:color="auto" w:fill="FFFFFF" w:themeFill="background1"/>
          </w:tcPr>
          <w:p w:rsidR="00B81F94" w:rsidRPr="00891173" w:rsidRDefault="00B81F94" w:rsidP="00C12C5D">
            <w:pPr>
              <w:jc w:val="center"/>
              <w:rPr>
                <w:sz w:val="20"/>
                <w:szCs w:val="20"/>
              </w:rPr>
            </w:pPr>
            <w:r w:rsidRPr="00891173">
              <w:rPr>
                <w:sz w:val="20"/>
                <w:szCs w:val="20"/>
              </w:rPr>
              <w:t>0,5500</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60,22</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-23,7</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Europos subfondas</w:t>
            </w:r>
          </w:p>
        </w:tc>
        <w:tc>
          <w:tcPr>
            <w:tcW w:w="1276" w:type="dxa"/>
          </w:tcPr>
          <w:p w:rsidR="00B81F94" w:rsidRPr="00891173" w:rsidRDefault="00B81F94" w:rsidP="00C12C5D">
            <w:pPr>
              <w:autoSpaceDE w:val="0"/>
              <w:autoSpaceDN w:val="0"/>
              <w:adjustRightInd w:val="0"/>
              <w:jc w:val="both"/>
              <w:rPr>
                <w:color w:val="000000"/>
                <w:sz w:val="20"/>
                <w:szCs w:val="20"/>
              </w:rPr>
            </w:pPr>
            <w:r w:rsidRPr="00891173">
              <w:rPr>
                <w:color w:val="000000"/>
                <w:sz w:val="20"/>
                <w:szCs w:val="20"/>
              </w:rPr>
              <w:t>2009-08-20</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20,03</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14,38</w:t>
            </w:r>
          </w:p>
        </w:tc>
        <w:tc>
          <w:tcPr>
            <w:tcW w:w="992" w:type="dxa"/>
            <w:shd w:val="clear" w:color="auto" w:fill="FFFFFF" w:themeFill="background1"/>
          </w:tcPr>
          <w:p w:rsidR="00B81F94" w:rsidRPr="00891173" w:rsidRDefault="00B81F94" w:rsidP="00C12C5D">
            <w:pPr>
              <w:jc w:val="center"/>
              <w:rPr>
                <w:sz w:val="20"/>
                <w:szCs w:val="20"/>
              </w:rPr>
            </w:pPr>
            <w:r w:rsidRPr="00891173">
              <w:rPr>
                <w:sz w:val="20"/>
                <w:szCs w:val="20"/>
              </w:rPr>
              <w:t>0,9256</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48,79</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-8,73</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JAV subfondas</w:t>
            </w:r>
          </w:p>
        </w:tc>
        <w:tc>
          <w:tcPr>
            <w:tcW w:w="1276" w:type="dxa"/>
          </w:tcPr>
          <w:p w:rsidR="00B81F94" w:rsidRPr="00891173" w:rsidRDefault="00B81F94" w:rsidP="00C12C5D">
            <w:pPr>
              <w:autoSpaceDE w:val="0"/>
              <w:autoSpaceDN w:val="0"/>
              <w:adjustRightInd w:val="0"/>
              <w:jc w:val="both"/>
              <w:rPr>
                <w:color w:val="000000"/>
                <w:sz w:val="20"/>
                <w:szCs w:val="20"/>
              </w:rPr>
            </w:pPr>
            <w:r w:rsidRPr="00891173">
              <w:rPr>
                <w:color w:val="000000"/>
                <w:sz w:val="20"/>
                <w:szCs w:val="20"/>
              </w:rPr>
              <w:t>2009-08-20</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17,12</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15,59</w:t>
            </w:r>
          </w:p>
        </w:tc>
        <w:tc>
          <w:tcPr>
            <w:tcW w:w="992" w:type="dxa"/>
            <w:shd w:val="clear" w:color="auto" w:fill="FFFFFF" w:themeFill="background1"/>
          </w:tcPr>
          <w:p w:rsidR="00B81F94" w:rsidRPr="00891173" w:rsidRDefault="00B81F94" w:rsidP="00C12C5D">
            <w:pPr>
              <w:jc w:val="center"/>
              <w:rPr>
                <w:sz w:val="20"/>
                <w:szCs w:val="20"/>
              </w:rPr>
            </w:pPr>
            <w:r w:rsidRPr="00891173">
              <w:rPr>
                <w:sz w:val="20"/>
                <w:szCs w:val="20"/>
              </w:rPr>
              <w:t>0,6671</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48,3</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-14,06</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Kinijos subfondas</w:t>
            </w:r>
          </w:p>
        </w:tc>
        <w:tc>
          <w:tcPr>
            <w:tcW w:w="1276" w:type="dxa"/>
          </w:tcPr>
          <w:p w:rsidR="00B81F94" w:rsidRPr="00891173" w:rsidRDefault="00B81F94" w:rsidP="00C12C5D">
            <w:pPr>
              <w:autoSpaceDE w:val="0"/>
              <w:autoSpaceDN w:val="0"/>
              <w:adjustRightInd w:val="0"/>
              <w:jc w:val="both"/>
              <w:rPr>
                <w:color w:val="000000"/>
                <w:sz w:val="20"/>
                <w:szCs w:val="20"/>
              </w:rPr>
            </w:pPr>
            <w:r w:rsidRPr="00891173">
              <w:rPr>
                <w:color w:val="000000"/>
                <w:sz w:val="20"/>
                <w:szCs w:val="20"/>
              </w:rPr>
              <w:t>2009-08-20</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18,75</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24,62</w:t>
            </w:r>
          </w:p>
        </w:tc>
        <w:tc>
          <w:tcPr>
            <w:tcW w:w="992" w:type="dxa"/>
            <w:shd w:val="clear" w:color="auto" w:fill="FFFFFF" w:themeFill="background1"/>
          </w:tcPr>
          <w:p w:rsidR="00B81F94" w:rsidRPr="00891173" w:rsidRDefault="00B81F94" w:rsidP="00C12C5D">
            <w:pPr>
              <w:jc w:val="center"/>
              <w:rPr>
                <w:sz w:val="20"/>
                <w:szCs w:val="20"/>
              </w:rPr>
            </w:pPr>
            <w:r w:rsidRPr="00891173">
              <w:rPr>
                <w:sz w:val="20"/>
                <w:szCs w:val="20"/>
              </w:rPr>
              <w:t>0,4886</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67,99</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-30,49</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Rusijos subfondas</w:t>
            </w:r>
          </w:p>
        </w:tc>
        <w:tc>
          <w:tcPr>
            <w:tcW w:w="1276" w:type="dxa"/>
          </w:tcPr>
          <w:p w:rsidR="00B81F94" w:rsidRPr="00891173" w:rsidRDefault="00B81F94" w:rsidP="00C12C5D">
            <w:pPr>
              <w:autoSpaceDE w:val="0"/>
              <w:autoSpaceDN w:val="0"/>
              <w:adjustRightInd w:val="0"/>
              <w:jc w:val="both"/>
              <w:rPr>
                <w:color w:val="000000"/>
                <w:sz w:val="20"/>
                <w:szCs w:val="20"/>
              </w:rPr>
            </w:pPr>
            <w:r w:rsidRPr="00891173">
              <w:rPr>
                <w:color w:val="000000"/>
                <w:sz w:val="20"/>
                <w:szCs w:val="20"/>
              </w:rPr>
              <w:t>2009-08-20</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10,59</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34,68</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0,1116</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79,95</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-58,77</w:t>
            </w:r>
          </w:p>
        </w:tc>
      </w:tr>
      <w:tr w:rsidR="00B81F94" w:rsidRPr="00891173" w:rsidTr="00C12C5D">
        <w:tc>
          <w:tcPr>
            <w:tcW w:w="2518" w:type="dxa"/>
          </w:tcPr>
          <w:p w:rsidR="00B81F94" w:rsidRPr="00891173" w:rsidRDefault="00B81F94" w:rsidP="00C12C5D">
            <w:pPr>
              <w:pStyle w:val="NormalWeb"/>
              <w:spacing w:before="0" w:beforeAutospacing="0" w:after="0" w:afterAutospacing="0"/>
              <w:rPr>
                <w:b/>
                <w:i/>
                <w:sz w:val="20"/>
                <w:szCs w:val="20"/>
              </w:rPr>
            </w:pPr>
          </w:p>
          <w:p w:rsidR="00B81F94" w:rsidRPr="00891173" w:rsidRDefault="00B81F94" w:rsidP="00C12C5D">
            <w:pPr>
              <w:pStyle w:val="NormalWeb"/>
              <w:spacing w:before="0" w:beforeAutospacing="0" w:after="0" w:afterAutospacing="0"/>
              <w:rPr>
                <w:b/>
                <w:i/>
                <w:color w:val="000000"/>
                <w:sz w:val="20"/>
                <w:szCs w:val="20"/>
              </w:rPr>
            </w:pPr>
            <w:r w:rsidRPr="00891173">
              <w:rPr>
                <w:b/>
                <w:i/>
                <w:sz w:val="20"/>
                <w:szCs w:val="20"/>
              </w:rPr>
              <w:t>Obligacijų fondas</w:t>
            </w:r>
          </w:p>
        </w:tc>
        <w:tc>
          <w:tcPr>
            <w:tcW w:w="1276" w:type="dxa"/>
          </w:tcPr>
          <w:p w:rsidR="00B81F94" w:rsidRPr="00891173" w:rsidRDefault="00B81F94" w:rsidP="00C12C5D">
            <w:pPr>
              <w:autoSpaceDE w:val="0"/>
              <w:autoSpaceDN w:val="0"/>
              <w:adjustRightInd w:val="0"/>
              <w:jc w:val="both"/>
              <w:rPr>
                <w:color w:val="000000"/>
                <w:sz w:val="20"/>
                <w:szCs w:val="20"/>
              </w:rPr>
            </w:pP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992"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134"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41" w:type="dxa"/>
            <w:shd w:val="clear" w:color="auto" w:fill="auto"/>
          </w:tcPr>
          <w:p w:rsidR="00B81F94" w:rsidRPr="00891173" w:rsidRDefault="00B81F94" w:rsidP="00C12C5D">
            <w:pPr>
              <w:autoSpaceDE w:val="0"/>
              <w:autoSpaceDN w:val="0"/>
              <w:adjustRightInd w:val="0"/>
              <w:jc w:val="center"/>
              <w:rPr>
                <w:sz w:val="20"/>
                <w:szCs w:val="20"/>
              </w:rPr>
            </w:pPr>
          </w:p>
        </w:tc>
      </w:tr>
      <w:tr w:rsidR="00B81F94" w:rsidRPr="00891173" w:rsidTr="00C12C5D">
        <w:tc>
          <w:tcPr>
            <w:tcW w:w="2518" w:type="dxa"/>
          </w:tcPr>
          <w:p w:rsidR="00B81F94" w:rsidRPr="00891173" w:rsidRDefault="00B81F94" w:rsidP="00C12C5D">
            <w:pPr>
              <w:autoSpaceDE w:val="0"/>
              <w:autoSpaceDN w:val="0"/>
              <w:adjustRightInd w:val="0"/>
              <w:rPr>
                <w:sz w:val="20"/>
                <w:szCs w:val="20"/>
              </w:rPr>
            </w:pPr>
            <w:r w:rsidRPr="00891173">
              <w:rPr>
                <w:sz w:val="20"/>
                <w:szCs w:val="20"/>
              </w:rPr>
              <w:t>„Finasta“ besivystančios Europos obligacijų subfondas</w:t>
            </w:r>
          </w:p>
        </w:tc>
        <w:tc>
          <w:tcPr>
            <w:tcW w:w="1276" w:type="dxa"/>
          </w:tcPr>
          <w:p w:rsidR="00B81F94" w:rsidRPr="00891173" w:rsidRDefault="00B81F94" w:rsidP="00C12C5D">
            <w:pPr>
              <w:pStyle w:val="NormalWeb"/>
              <w:rPr>
                <w:color w:val="000000"/>
                <w:sz w:val="20"/>
                <w:szCs w:val="20"/>
              </w:rPr>
            </w:pPr>
            <w:r w:rsidRPr="00891173">
              <w:rPr>
                <w:color w:val="000000"/>
                <w:sz w:val="20"/>
                <w:szCs w:val="20"/>
              </w:rPr>
              <w:t>2010-10-29</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15,57</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4,52</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1,9580</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24,61</w:t>
            </w:r>
          </w:p>
        </w:tc>
        <w:tc>
          <w:tcPr>
            <w:tcW w:w="1241"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6,53</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Ūkio banko obligacijų fondas</w:t>
            </w:r>
          </w:p>
        </w:tc>
        <w:tc>
          <w:tcPr>
            <w:tcW w:w="1276" w:type="dxa"/>
          </w:tcPr>
          <w:p w:rsidR="00B81F94" w:rsidRPr="00891173" w:rsidRDefault="00B81F94" w:rsidP="00C12C5D">
            <w:pPr>
              <w:pStyle w:val="NormalWeb"/>
              <w:rPr>
                <w:color w:val="000000"/>
                <w:sz w:val="20"/>
                <w:szCs w:val="20"/>
              </w:rPr>
            </w:pPr>
            <w:r w:rsidRPr="00891173">
              <w:rPr>
                <w:sz w:val="20"/>
                <w:szCs w:val="20"/>
              </w:rPr>
              <w:t>2006-07-13</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10,96</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4,74</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0,8945</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20,44</w:t>
            </w:r>
          </w:p>
        </w:tc>
        <w:tc>
          <w:tcPr>
            <w:tcW w:w="1241"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1,48</w:t>
            </w:r>
          </w:p>
        </w:tc>
      </w:tr>
      <w:tr w:rsidR="00B81F94" w:rsidRPr="00891173" w:rsidTr="00C12C5D">
        <w:tc>
          <w:tcPr>
            <w:tcW w:w="2518" w:type="dxa"/>
          </w:tcPr>
          <w:p w:rsidR="00B81F94" w:rsidRPr="00891173" w:rsidRDefault="00B81F94" w:rsidP="00C12C5D">
            <w:pPr>
              <w:autoSpaceDE w:val="0"/>
              <w:autoSpaceDN w:val="0"/>
              <w:adjustRightInd w:val="0"/>
              <w:jc w:val="both"/>
              <w:rPr>
                <w:b/>
                <w:i/>
                <w:sz w:val="20"/>
                <w:szCs w:val="20"/>
              </w:rPr>
            </w:pPr>
          </w:p>
          <w:p w:rsidR="00B81F94" w:rsidRPr="00891173" w:rsidRDefault="00B81F94" w:rsidP="00C12C5D">
            <w:pPr>
              <w:autoSpaceDE w:val="0"/>
              <w:autoSpaceDN w:val="0"/>
              <w:adjustRightInd w:val="0"/>
              <w:jc w:val="both"/>
              <w:rPr>
                <w:b/>
                <w:i/>
                <w:sz w:val="20"/>
                <w:szCs w:val="20"/>
              </w:rPr>
            </w:pPr>
            <w:r w:rsidRPr="00891173">
              <w:rPr>
                <w:b/>
                <w:i/>
                <w:sz w:val="20"/>
                <w:szCs w:val="20"/>
              </w:rPr>
              <w:t>Mišrūs fondai</w:t>
            </w:r>
          </w:p>
        </w:tc>
        <w:tc>
          <w:tcPr>
            <w:tcW w:w="1276" w:type="dxa"/>
          </w:tcPr>
          <w:p w:rsidR="00B81F94" w:rsidRPr="00891173" w:rsidRDefault="00B81F94" w:rsidP="00C12C5D">
            <w:pPr>
              <w:autoSpaceDE w:val="0"/>
              <w:autoSpaceDN w:val="0"/>
              <w:adjustRightInd w:val="0"/>
              <w:jc w:val="both"/>
              <w:rPr>
                <w:sz w:val="20"/>
                <w:szCs w:val="20"/>
              </w:rPr>
            </w:pP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992"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134"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41" w:type="dxa"/>
            <w:shd w:val="clear" w:color="auto" w:fill="FFFFFF" w:themeFill="background1"/>
          </w:tcPr>
          <w:p w:rsidR="00B81F94" w:rsidRPr="00891173" w:rsidRDefault="00B81F94" w:rsidP="00C12C5D">
            <w:pPr>
              <w:autoSpaceDE w:val="0"/>
              <w:autoSpaceDN w:val="0"/>
              <w:adjustRightInd w:val="0"/>
              <w:jc w:val="center"/>
              <w:rPr>
                <w:sz w:val="20"/>
                <w:szCs w:val="20"/>
              </w:rPr>
            </w:pP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„Finasta“ lanksčiosios strategijos subfondas</w:t>
            </w:r>
          </w:p>
        </w:tc>
        <w:tc>
          <w:tcPr>
            <w:tcW w:w="1276" w:type="dxa"/>
          </w:tcPr>
          <w:p w:rsidR="00B81F94" w:rsidRPr="00891173" w:rsidRDefault="00B81F94" w:rsidP="00C12C5D">
            <w:pPr>
              <w:autoSpaceDE w:val="0"/>
              <w:autoSpaceDN w:val="0"/>
              <w:adjustRightInd w:val="0"/>
              <w:jc w:val="both"/>
              <w:rPr>
                <w:sz w:val="20"/>
                <w:szCs w:val="20"/>
              </w:rPr>
            </w:pPr>
            <w:r w:rsidRPr="00891173">
              <w:rPr>
                <w:color w:val="000000"/>
                <w:sz w:val="20"/>
                <w:szCs w:val="20"/>
              </w:rPr>
              <w:t>2010-10-29</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5,66</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4,52</w:t>
            </w:r>
          </w:p>
        </w:tc>
        <w:tc>
          <w:tcPr>
            <w:tcW w:w="992" w:type="dxa"/>
            <w:shd w:val="clear" w:color="auto" w:fill="FFFF00"/>
          </w:tcPr>
          <w:p w:rsidR="00B81F94" w:rsidRPr="00891173" w:rsidRDefault="00B81F94" w:rsidP="00C12C5D">
            <w:pPr>
              <w:jc w:val="center"/>
              <w:rPr>
                <w:color w:val="000000"/>
                <w:sz w:val="20"/>
                <w:szCs w:val="20"/>
              </w:rPr>
            </w:pPr>
            <w:r w:rsidRPr="00891173">
              <w:rPr>
                <w:color w:val="000000"/>
                <w:sz w:val="20"/>
                <w:szCs w:val="20"/>
              </w:rPr>
              <w:t>-0,2345</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14,7</w:t>
            </w:r>
          </w:p>
        </w:tc>
        <w:tc>
          <w:tcPr>
            <w:tcW w:w="1241"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-3,38</w:t>
            </w: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rFonts w:eastAsia="ArialNarrow"/>
                <w:sz w:val="20"/>
                <w:szCs w:val="20"/>
                <w:lang w:eastAsia="en-US"/>
              </w:rPr>
              <w:t>SEB aktyviai valdomas fondų portfelis 60</w:t>
            </w:r>
          </w:p>
        </w:tc>
        <w:tc>
          <w:tcPr>
            <w:tcW w:w="1276" w:type="dxa"/>
          </w:tcPr>
          <w:p w:rsidR="00B81F94" w:rsidRPr="00891173" w:rsidRDefault="00B81F94" w:rsidP="00C12C5D">
            <w:pPr>
              <w:autoSpaceDE w:val="0"/>
              <w:autoSpaceDN w:val="0"/>
              <w:adjustRightInd w:val="0"/>
              <w:jc w:val="both"/>
              <w:rPr>
                <w:color w:val="000000"/>
                <w:sz w:val="20"/>
                <w:szCs w:val="20"/>
              </w:rPr>
            </w:pPr>
            <w:r w:rsidRPr="00891173">
              <w:rPr>
                <w:color w:val="000000"/>
                <w:sz w:val="20"/>
                <w:szCs w:val="20"/>
              </w:rPr>
              <w:t>2005-05-12</w:t>
            </w: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15,65</w:t>
            </w: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8,78</w:t>
            </w:r>
          </w:p>
        </w:tc>
        <w:tc>
          <w:tcPr>
            <w:tcW w:w="992"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1,0171</w:t>
            </w:r>
          </w:p>
        </w:tc>
        <w:tc>
          <w:tcPr>
            <w:tcW w:w="1134" w:type="dxa"/>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33,21</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-1,91</w:t>
            </w:r>
          </w:p>
        </w:tc>
      </w:tr>
      <w:tr w:rsidR="00B81F94" w:rsidRPr="00891173" w:rsidTr="00C12C5D">
        <w:tc>
          <w:tcPr>
            <w:tcW w:w="2518" w:type="dxa"/>
          </w:tcPr>
          <w:p w:rsidR="00B81F94" w:rsidRPr="00891173" w:rsidRDefault="00B81F94" w:rsidP="00C12C5D">
            <w:pPr>
              <w:autoSpaceDE w:val="0"/>
              <w:autoSpaceDN w:val="0"/>
              <w:adjustRightInd w:val="0"/>
              <w:jc w:val="both"/>
              <w:rPr>
                <w:b/>
                <w:i/>
                <w:sz w:val="20"/>
                <w:szCs w:val="20"/>
              </w:rPr>
            </w:pPr>
          </w:p>
          <w:p w:rsidR="00B81F94" w:rsidRPr="00891173" w:rsidRDefault="00B81F94" w:rsidP="00C12C5D">
            <w:pPr>
              <w:autoSpaceDE w:val="0"/>
              <w:autoSpaceDN w:val="0"/>
              <w:adjustRightInd w:val="0"/>
              <w:jc w:val="both"/>
              <w:rPr>
                <w:b/>
                <w:i/>
                <w:sz w:val="20"/>
                <w:szCs w:val="20"/>
              </w:rPr>
            </w:pPr>
            <w:r w:rsidRPr="00891173">
              <w:rPr>
                <w:b/>
                <w:i/>
                <w:sz w:val="20"/>
                <w:szCs w:val="20"/>
              </w:rPr>
              <w:t>Pinigų rinkos fondas</w:t>
            </w:r>
          </w:p>
        </w:tc>
        <w:tc>
          <w:tcPr>
            <w:tcW w:w="1276" w:type="dxa"/>
          </w:tcPr>
          <w:p w:rsidR="00B81F94" w:rsidRPr="00891173" w:rsidRDefault="00B81F94" w:rsidP="00C12C5D">
            <w:pPr>
              <w:autoSpaceDE w:val="0"/>
              <w:autoSpaceDN w:val="0"/>
              <w:adjustRightInd w:val="0"/>
              <w:jc w:val="both"/>
              <w:rPr>
                <w:sz w:val="20"/>
                <w:szCs w:val="20"/>
              </w:rPr>
            </w:pPr>
          </w:p>
        </w:tc>
        <w:tc>
          <w:tcPr>
            <w:tcW w:w="1417"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76" w:type="dxa"/>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992" w:type="dxa"/>
            <w:shd w:val="clear" w:color="auto" w:fill="FFFFFF" w:themeFill="background1"/>
          </w:tcPr>
          <w:p w:rsidR="00B81F94" w:rsidRPr="00891173" w:rsidRDefault="00B81F94" w:rsidP="00C12C5D">
            <w:pPr>
              <w:autoSpaceDE w:val="0"/>
              <w:autoSpaceDN w:val="0"/>
              <w:adjustRightInd w:val="0"/>
              <w:jc w:val="center"/>
              <w:rPr>
                <w:b/>
                <w:color w:val="FF6600"/>
                <w:sz w:val="20"/>
                <w:szCs w:val="20"/>
              </w:rPr>
            </w:pPr>
          </w:p>
        </w:tc>
        <w:tc>
          <w:tcPr>
            <w:tcW w:w="1134" w:type="dxa"/>
            <w:shd w:val="clear" w:color="auto" w:fill="FFFFFF" w:themeFill="background1"/>
          </w:tcPr>
          <w:p w:rsidR="00B81F94" w:rsidRPr="00891173" w:rsidRDefault="00B81F94" w:rsidP="00C12C5D">
            <w:pPr>
              <w:autoSpaceDE w:val="0"/>
              <w:autoSpaceDN w:val="0"/>
              <w:adjustRightInd w:val="0"/>
              <w:jc w:val="center"/>
              <w:rPr>
                <w:b/>
                <w:color w:val="FF6600"/>
                <w:sz w:val="20"/>
                <w:szCs w:val="20"/>
              </w:rPr>
            </w:pPr>
          </w:p>
        </w:tc>
        <w:tc>
          <w:tcPr>
            <w:tcW w:w="1241" w:type="dxa"/>
            <w:shd w:val="clear" w:color="auto" w:fill="auto"/>
          </w:tcPr>
          <w:p w:rsidR="00B81F94" w:rsidRPr="00891173" w:rsidRDefault="00B81F94" w:rsidP="00C12C5D">
            <w:pPr>
              <w:autoSpaceDE w:val="0"/>
              <w:autoSpaceDN w:val="0"/>
              <w:adjustRightInd w:val="0"/>
              <w:jc w:val="center"/>
              <w:rPr>
                <w:b/>
                <w:color w:val="FF6600"/>
                <w:sz w:val="20"/>
                <w:szCs w:val="20"/>
              </w:rPr>
            </w:pP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DNB pinigų rinkos fondas</w:t>
            </w:r>
          </w:p>
        </w:tc>
        <w:tc>
          <w:tcPr>
            <w:tcW w:w="1276" w:type="dxa"/>
          </w:tcPr>
          <w:p w:rsidR="00B81F94" w:rsidRPr="00891173" w:rsidRDefault="00B81F94" w:rsidP="00C12C5D">
            <w:pPr>
              <w:pStyle w:val="NormalWeb"/>
              <w:rPr>
                <w:sz w:val="20"/>
                <w:szCs w:val="20"/>
              </w:rPr>
            </w:pPr>
            <w:r w:rsidRPr="00891173">
              <w:rPr>
                <w:color w:val="000000"/>
                <w:sz w:val="20"/>
                <w:szCs w:val="20"/>
              </w:rPr>
              <w:t>2004-04-22</w:t>
            </w:r>
          </w:p>
        </w:tc>
        <w:tc>
          <w:tcPr>
            <w:tcW w:w="1417" w:type="dxa"/>
            <w:tcBorders>
              <w:bottom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1,62</w:t>
            </w:r>
          </w:p>
        </w:tc>
        <w:tc>
          <w:tcPr>
            <w:tcW w:w="1276" w:type="dxa"/>
            <w:tcBorders>
              <w:bottom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11,31</w:t>
            </w:r>
          </w:p>
        </w:tc>
        <w:tc>
          <w:tcPr>
            <w:tcW w:w="992" w:type="dxa"/>
            <w:tcBorders>
              <w:bottom w:val="single" w:sz="4" w:space="0" w:color="auto"/>
            </w:tcBorders>
            <w:shd w:val="clear" w:color="auto" w:fill="FFFF00"/>
          </w:tcPr>
          <w:p w:rsidR="00B81F94" w:rsidRPr="00891173" w:rsidRDefault="00B81F94" w:rsidP="00C12C5D">
            <w:pPr>
              <w:jc w:val="center"/>
              <w:rPr>
                <w:color w:val="000000"/>
                <w:sz w:val="20"/>
                <w:szCs w:val="20"/>
              </w:rPr>
            </w:pPr>
            <w:r w:rsidRPr="00891173">
              <w:rPr>
                <w:color w:val="000000"/>
                <w:sz w:val="20"/>
                <w:szCs w:val="20"/>
              </w:rPr>
              <w:t>-0,4509</w:t>
            </w:r>
          </w:p>
        </w:tc>
        <w:tc>
          <w:tcPr>
            <w:tcW w:w="1134" w:type="dxa"/>
            <w:tcBorders>
              <w:bottom w:val="single" w:sz="4" w:space="0" w:color="auto"/>
            </w:tcBorders>
            <w:shd w:val="clear" w:color="auto" w:fill="FFFFFF" w:themeFill="background1"/>
          </w:tcPr>
          <w:p w:rsidR="00B81F94" w:rsidRPr="00891173" w:rsidRDefault="00B81F94" w:rsidP="00C12C5D">
            <w:pPr>
              <w:jc w:val="center"/>
              <w:rPr>
                <w:color w:val="000000"/>
                <w:sz w:val="20"/>
                <w:szCs w:val="20"/>
              </w:rPr>
            </w:pPr>
            <w:r w:rsidRPr="00891173">
              <w:rPr>
                <w:color w:val="000000"/>
                <w:sz w:val="20"/>
                <w:szCs w:val="20"/>
              </w:rPr>
              <w:t>24,24</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-21,00</w:t>
            </w:r>
          </w:p>
        </w:tc>
      </w:tr>
      <w:tr w:rsidR="00B81F94" w:rsidRPr="00891173" w:rsidTr="00C12C5D">
        <w:trPr>
          <w:trHeight w:val="299"/>
        </w:trPr>
        <w:tc>
          <w:tcPr>
            <w:tcW w:w="2518" w:type="dxa"/>
          </w:tcPr>
          <w:p w:rsidR="00B81F94" w:rsidRPr="00891173" w:rsidRDefault="00B81F94" w:rsidP="00C12C5D">
            <w:pPr>
              <w:autoSpaceDE w:val="0"/>
              <w:autoSpaceDN w:val="0"/>
              <w:adjustRightInd w:val="0"/>
              <w:jc w:val="both"/>
              <w:rPr>
                <w:sz w:val="20"/>
                <w:szCs w:val="20"/>
              </w:rPr>
            </w:pPr>
          </w:p>
          <w:p w:rsidR="00B81F94" w:rsidRPr="00891173" w:rsidRDefault="00B81F94" w:rsidP="00C12C5D">
            <w:pPr>
              <w:autoSpaceDE w:val="0"/>
              <w:autoSpaceDN w:val="0"/>
              <w:adjustRightInd w:val="0"/>
              <w:jc w:val="both"/>
              <w:rPr>
                <w:b/>
                <w:i/>
                <w:sz w:val="20"/>
                <w:szCs w:val="20"/>
              </w:rPr>
            </w:pPr>
            <w:r w:rsidRPr="00891173">
              <w:rPr>
                <w:b/>
                <w:i/>
                <w:sz w:val="20"/>
                <w:szCs w:val="20"/>
              </w:rPr>
              <w:t>Nekilnojamojo turto fondas</w:t>
            </w:r>
          </w:p>
        </w:tc>
        <w:tc>
          <w:tcPr>
            <w:tcW w:w="1276" w:type="dxa"/>
          </w:tcPr>
          <w:p w:rsidR="00B81F94" w:rsidRPr="00891173" w:rsidRDefault="00B81F94" w:rsidP="00C12C5D">
            <w:pPr>
              <w:pStyle w:val="NormalWeb"/>
              <w:rPr>
                <w:color w:val="000000"/>
                <w:sz w:val="20"/>
                <w:szCs w:val="20"/>
              </w:rPr>
            </w:pPr>
          </w:p>
        </w:tc>
        <w:tc>
          <w:tcPr>
            <w:tcW w:w="1417" w:type="dxa"/>
            <w:tcBorders>
              <w:bottom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1276" w:type="dxa"/>
            <w:tcBorders>
              <w:bottom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p>
        </w:tc>
        <w:tc>
          <w:tcPr>
            <w:tcW w:w="992" w:type="dxa"/>
            <w:tcBorders>
              <w:bottom w:val="single" w:sz="4" w:space="0" w:color="auto"/>
            </w:tcBorders>
            <w:shd w:val="clear" w:color="auto" w:fill="FFFFFF" w:themeFill="background1"/>
          </w:tcPr>
          <w:p w:rsidR="00B81F94" w:rsidRPr="00891173" w:rsidRDefault="00B81F94" w:rsidP="00C12C5D">
            <w:pPr>
              <w:jc w:val="center"/>
              <w:rPr>
                <w:color w:val="000000"/>
                <w:sz w:val="20"/>
                <w:szCs w:val="20"/>
              </w:rPr>
            </w:pPr>
          </w:p>
        </w:tc>
        <w:tc>
          <w:tcPr>
            <w:tcW w:w="1134" w:type="dxa"/>
            <w:tcBorders>
              <w:bottom w:val="single" w:sz="4" w:space="0" w:color="auto"/>
            </w:tcBorders>
            <w:shd w:val="clear" w:color="auto" w:fill="FFFFFF" w:themeFill="background1"/>
          </w:tcPr>
          <w:p w:rsidR="00B81F94" w:rsidRPr="00891173" w:rsidRDefault="00B81F94" w:rsidP="00C12C5D">
            <w:pPr>
              <w:jc w:val="center"/>
              <w:rPr>
                <w:color w:val="000000"/>
                <w:sz w:val="20"/>
                <w:szCs w:val="20"/>
              </w:rPr>
            </w:pPr>
          </w:p>
        </w:tc>
        <w:tc>
          <w:tcPr>
            <w:tcW w:w="1241" w:type="dxa"/>
            <w:shd w:val="clear" w:color="auto" w:fill="auto"/>
          </w:tcPr>
          <w:p w:rsidR="00B81F94" w:rsidRPr="00891173" w:rsidRDefault="00B81F94" w:rsidP="00C12C5D">
            <w:pPr>
              <w:jc w:val="center"/>
              <w:rPr>
                <w:color w:val="000000"/>
                <w:sz w:val="20"/>
                <w:szCs w:val="20"/>
              </w:rPr>
            </w:pPr>
          </w:p>
        </w:tc>
      </w:tr>
      <w:tr w:rsidR="00B81F94" w:rsidRPr="00891173" w:rsidTr="00C12C5D">
        <w:tc>
          <w:tcPr>
            <w:tcW w:w="2518" w:type="dxa"/>
          </w:tcPr>
          <w:p w:rsidR="00B81F94" w:rsidRPr="00891173" w:rsidRDefault="00B81F94" w:rsidP="00C12C5D">
            <w:pPr>
              <w:autoSpaceDE w:val="0"/>
              <w:autoSpaceDN w:val="0"/>
              <w:adjustRightInd w:val="0"/>
              <w:jc w:val="both"/>
              <w:rPr>
                <w:sz w:val="20"/>
                <w:szCs w:val="20"/>
              </w:rPr>
            </w:pPr>
            <w:r w:rsidRPr="00891173">
              <w:rPr>
                <w:sz w:val="20"/>
                <w:szCs w:val="20"/>
              </w:rPr>
              <w:t>Lords LB Baltic Fund I</w:t>
            </w:r>
          </w:p>
        </w:tc>
        <w:tc>
          <w:tcPr>
            <w:tcW w:w="1276" w:type="dxa"/>
          </w:tcPr>
          <w:p w:rsidR="00B81F94" w:rsidRPr="00891173" w:rsidRDefault="00B81F94" w:rsidP="00C12C5D">
            <w:pPr>
              <w:autoSpaceDE w:val="0"/>
              <w:autoSpaceDN w:val="0"/>
              <w:adjustRightInd w:val="0"/>
              <w:jc w:val="both"/>
              <w:rPr>
                <w:sz w:val="20"/>
                <w:szCs w:val="20"/>
              </w:rPr>
            </w:pPr>
            <w:r w:rsidRPr="00891173">
              <w:rPr>
                <w:sz w:val="20"/>
                <w:szCs w:val="20"/>
              </w:rPr>
              <w:t>2009-06-26</w:t>
            </w:r>
          </w:p>
        </w:tc>
        <w:tc>
          <w:tcPr>
            <w:tcW w:w="1417" w:type="dxa"/>
            <w:tcBorders>
              <w:top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0,25</w:t>
            </w:r>
          </w:p>
        </w:tc>
        <w:tc>
          <w:tcPr>
            <w:tcW w:w="1276" w:type="dxa"/>
            <w:tcBorders>
              <w:top w:val="single" w:sz="4" w:space="0" w:color="auto"/>
            </w:tcBorders>
            <w:shd w:val="clear" w:color="auto" w:fill="FFFFFF" w:themeFill="background1"/>
          </w:tcPr>
          <w:p w:rsidR="00B81F94" w:rsidRPr="00891173" w:rsidRDefault="00B81F94" w:rsidP="00C12C5D">
            <w:pPr>
              <w:autoSpaceDE w:val="0"/>
              <w:autoSpaceDN w:val="0"/>
              <w:adjustRightInd w:val="0"/>
              <w:jc w:val="center"/>
              <w:rPr>
                <w:sz w:val="20"/>
                <w:szCs w:val="20"/>
              </w:rPr>
            </w:pPr>
            <w:r w:rsidRPr="00891173">
              <w:rPr>
                <w:sz w:val="20"/>
                <w:szCs w:val="20"/>
              </w:rPr>
              <w:t>9,64</w:t>
            </w:r>
          </w:p>
        </w:tc>
        <w:tc>
          <w:tcPr>
            <w:tcW w:w="992" w:type="dxa"/>
            <w:tcBorders>
              <w:top w:val="single" w:sz="4" w:space="0" w:color="auto"/>
            </w:tcBorders>
            <w:shd w:val="clear" w:color="auto" w:fill="FFFF00"/>
          </w:tcPr>
          <w:p w:rsidR="00B81F94" w:rsidRPr="00891173" w:rsidRDefault="00B81F94" w:rsidP="00C12C5D">
            <w:pPr>
              <w:jc w:val="center"/>
              <w:rPr>
                <w:color w:val="000000"/>
                <w:sz w:val="20"/>
                <w:szCs w:val="20"/>
              </w:rPr>
            </w:pPr>
            <w:r w:rsidRPr="00891173">
              <w:rPr>
                <w:color w:val="000000"/>
                <w:sz w:val="20"/>
                <w:szCs w:val="20"/>
              </w:rPr>
              <w:t>-0,6712</w:t>
            </w:r>
          </w:p>
        </w:tc>
        <w:tc>
          <w:tcPr>
            <w:tcW w:w="1134" w:type="dxa"/>
            <w:tcBorders>
              <w:top w:val="single" w:sz="4" w:space="0" w:color="auto"/>
            </w:tcBorders>
            <w:shd w:val="clear" w:color="auto" w:fill="auto"/>
          </w:tcPr>
          <w:p w:rsidR="00B81F94" w:rsidRPr="00891173" w:rsidRDefault="00B81F94" w:rsidP="00C12C5D">
            <w:pPr>
              <w:jc w:val="center"/>
              <w:rPr>
                <w:color w:val="000000"/>
                <w:sz w:val="20"/>
                <w:szCs w:val="20"/>
              </w:rPr>
            </w:pPr>
            <w:r w:rsidRPr="00891173">
              <w:rPr>
                <w:color w:val="000000"/>
                <w:sz w:val="20"/>
                <w:szCs w:val="20"/>
              </w:rPr>
              <w:t>19,53</w:t>
            </w:r>
          </w:p>
        </w:tc>
        <w:tc>
          <w:tcPr>
            <w:tcW w:w="1241" w:type="dxa"/>
            <w:shd w:val="clear" w:color="auto" w:fill="auto"/>
          </w:tcPr>
          <w:p w:rsidR="00B81F94" w:rsidRPr="00891173" w:rsidRDefault="00B81F94" w:rsidP="00C12C5D">
            <w:pPr>
              <w:jc w:val="center"/>
              <w:rPr>
                <w:color w:val="000000"/>
                <w:sz w:val="20"/>
                <w:szCs w:val="20"/>
              </w:rPr>
            </w:pPr>
            <w:r w:rsidRPr="00891173">
              <w:rPr>
                <w:color w:val="000000"/>
                <w:sz w:val="20"/>
                <w:szCs w:val="20"/>
              </w:rPr>
              <w:t>-19,03</w:t>
            </w:r>
          </w:p>
        </w:tc>
      </w:tr>
    </w:tbl>
    <w:p w:rsidR="00995E0E" w:rsidRPr="00891173" w:rsidRDefault="00995E0E" w:rsidP="00995E0E">
      <w:pPr>
        <w:spacing w:after="200" w:line="276" w:lineRule="auto"/>
        <w:jc w:val="right"/>
      </w:pPr>
    </w:p>
    <w:p w:rsidR="00974519" w:rsidRPr="00891173" w:rsidRDefault="00974519">
      <w:pPr>
        <w:spacing w:after="200" w:line="276" w:lineRule="auto"/>
      </w:pPr>
    </w:p>
    <w:p w:rsidR="00B81F94" w:rsidRPr="00891173" w:rsidRDefault="00B81F94">
      <w:pPr>
        <w:spacing w:after="200" w:line="276" w:lineRule="auto"/>
      </w:pPr>
      <w:r w:rsidRPr="00891173">
        <w:br w:type="page"/>
      </w:r>
    </w:p>
    <w:p w:rsidR="00676026" w:rsidRPr="00891173" w:rsidRDefault="00974519" w:rsidP="00676026">
      <w:pPr>
        <w:spacing w:line="360" w:lineRule="auto"/>
        <w:jc w:val="right"/>
      </w:pPr>
      <w:r w:rsidRPr="00891173">
        <w:lastRenderedPageBreak/>
        <w:t>6 PRIEDAS</w:t>
      </w:r>
    </w:p>
    <w:p w:rsidR="00676026" w:rsidRPr="00891173" w:rsidRDefault="00676026" w:rsidP="00676026">
      <w:pPr>
        <w:spacing w:line="360" w:lineRule="auto"/>
        <w:jc w:val="center"/>
      </w:pPr>
      <w:r w:rsidRPr="00891173">
        <w:t>ANKETA</w:t>
      </w:r>
    </w:p>
    <w:p w:rsidR="00676026" w:rsidRPr="00891173" w:rsidRDefault="00676026" w:rsidP="00676026">
      <w:pPr>
        <w:spacing w:line="360" w:lineRule="auto"/>
        <w:jc w:val="center"/>
      </w:pPr>
    </w:p>
    <w:p w:rsidR="00676026" w:rsidRPr="00891173" w:rsidRDefault="00676026" w:rsidP="00676026">
      <w:pPr>
        <w:spacing w:line="360" w:lineRule="auto"/>
        <w:jc w:val="both"/>
      </w:pPr>
      <w:r w:rsidRPr="00891173">
        <w:tab/>
        <w:t>Gerbiamas, Respondente,</w:t>
      </w:r>
    </w:p>
    <w:p w:rsidR="00676026" w:rsidRPr="00891173" w:rsidRDefault="00676026" w:rsidP="00676026">
      <w:pPr>
        <w:spacing w:line="360" w:lineRule="auto"/>
        <w:jc w:val="both"/>
      </w:pPr>
      <w:r w:rsidRPr="00891173">
        <w:tab/>
        <w:t>esu Mykolo Romerio Universiteto magistrantė ir atlieku Lietuvos investicinių fondų pasirinkimo kriterijų tyrimą. Siekiama sužinoti kokie pagrindiniai investicinių fondų rodikliai yra svarbiausi investuotojams. Anonimiškumas garantuojamas. Ačiū už Jūsų brangų laiką. Sėkmės!</w:t>
      </w:r>
    </w:p>
    <w:p w:rsidR="00676026" w:rsidRPr="00891173" w:rsidRDefault="00676026" w:rsidP="00676026">
      <w:pPr>
        <w:spacing w:line="360" w:lineRule="auto"/>
        <w:jc w:val="both"/>
      </w:pPr>
    </w:p>
    <w:p w:rsidR="00676026" w:rsidRPr="00891173" w:rsidRDefault="00676026" w:rsidP="00203D2D">
      <w:pPr>
        <w:pStyle w:val="ListParagraph"/>
        <w:numPr>
          <w:ilvl w:val="0"/>
          <w:numId w:val="6"/>
        </w:numPr>
        <w:spacing w:line="360" w:lineRule="auto"/>
        <w:jc w:val="both"/>
      </w:pPr>
      <w:r w:rsidRPr="00891173">
        <w:t xml:space="preserve">Ar per paskutinius penkis metus investavote į investicinius fondus? </w:t>
      </w:r>
    </w:p>
    <w:p w:rsidR="00676026" w:rsidRPr="00891173" w:rsidRDefault="00676026" w:rsidP="00676026">
      <w:pPr>
        <w:pStyle w:val="ListParagraph"/>
        <w:spacing w:line="360" w:lineRule="auto"/>
        <w:jc w:val="both"/>
      </w:pPr>
      <w:r w:rsidRPr="00891173">
        <w:t>a. Taip</w:t>
      </w:r>
    </w:p>
    <w:p w:rsidR="00676026" w:rsidRPr="00891173" w:rsidRDefault="00A24320" w:rsidP="00676026">
      <w:pPr>
        <w:pStyle w:val="ListParagraph"/>
        <w:spacing w:line="360" w:lineRule="auto"/>
        <w:jc w:val="both"/>
      </w:pPr>
      <w:r w:rsidRPr="00891173">
        <w:t>b. Ne (pereikite prie 17</w:t>
      </w:r>
      <w:r w:rsidR="00676026" w:rsidRPr="00891173">
        <w:t xml:space="preserve"> klausimo)</w:t>
      </w:r>
    </w:p>
    <w:p w:rsidR="00676026" w:rsidRPr="00891173" w:rsidRDefault="00676026" w:rsidP="00676026">
      <w:pPr>
        <w:spacing w:line="360" w:lineRule="auto"/>
        <w:jc w:val="both"/>
      </w:pPr>
    </w:p>
    <w:p w:rsidR="003503AD" w:rsidRPr="00891173" w:rsidRDefault="003503AD" w:rsidP="00203D2D">
      <w:pPr>
        <w:pStyle w:val="ListParagraph"/>
        <w:numPr>
          <w:ilvl w:val="0"/>
          <w:numId w:val="6"/>
        </w:numPr>
        <w:spacing w:after="200" w:line="360" w:lineRule="auto"/>
        <w:jc w:val="both"/>
      </w:pPr>
      <w:r w:rsidRPr="00891173">
        <w:t>Iš kur žinote apie investicinius fondus?</w:t>
      </w:r>
    </w:p>
    <w:p w:rsidR="003503AD" w:rsidRPr="00891173" w:rsidRDefault="003503AD" w:rsidP="00203D2D">
      <w:pPr>
        <w:pStyle w:val="ListParagraph"/>
        <w:numPr>
          <w:ilvl w:val="0"/>
          <w:numId w:val="15"/>
        </w:numPr>
        <w:spacing w:after="200" w:line="360" w:lineRule="auto"/>
        <w:ind w:left="993" w:hanging="284"/>
        <w:jc w:val="both"/>
      </w:pPr>
      <w:r w:rsidRPr="00891173">
        <w:t>papasakojo draugai, pažįstami;</w:t>
      </w:r>
    </w:p>
    <w:p w:rsidR="003503AD" w:rsidRPr="00891173" w:rsidRDefault="003503AD" w:rsidP="00203D2D">
      <w:pPr>
        <w:pStyle w:val="ListParagraph"/>
        <w:numPr>
          <w:ilvl w:val="0"/>
          <w:numId w:val="15"/>
        </w:numPr>
        <w:spacing w:after="200" w:line="360" w:lineRule="auto"/>
        <w:ind w:left="993" w:hanging="284"/>
        <w:jc w:val="both"/>
      </w:pPr>
      <w:r w:rsidRPr="00891173">
        <w:t>sužinojau internete;</w:t>
      </w:r>
    </w:p>
    <w:p w:rsidR="003503AD" w:rsidRPr="00891173" w:rsidRDefault="003503AD" w:rsidP="00203D2D">
      <w:pPr>
        <w:pStyle w:val="ListParagraph"/>
        <w:numPr>
          <w:ilvl w:val="0"/>
          <w:numId w:val="15"/>
        </w:numPr>
        <w:spacing w:after="200" w:line="360" w:lineRule="auto"/>
        <w:ind w:left="993" w:hanging="284"/>
        <w:jc w:val="both"/>
      </w:pPr>
      <w:r w:rsidRPr="00891173">
        <w:t>pasiūlė banke;</w:t>
      </w:r>
    </w:p>
    <w:p w:rsidR="003503AD" w:rsidRPr="00891173" w:rsidRDefault="003503AD" w:rsidP="00203D2D">
      <w:pPr>
        <w:pStyle w:val="ListParagraph"/>
        <w:numPr>
          <w:ilvl w:val="0"/>
          <w:numId w:val="15"/>
        </w:numPr>
        <w:spacing w:after="200" w:line="360" w:lineRule="auto"/>
        <w:ind w:left="993" w:hanging="284"/>
        <w:jc w:val="both"/>
      </w:pPr>
      <w:r w:rsidRPr="00891173">
        <w:t>pamačiau reklamą;</w:t>
      </w:r>
    </w:p>
    <w:p w:rsidR="00624F8D" w:rsidRPr="00891173" w:rsidRDefault="00624F8D" w:rsidP="00203D2D">
      <w:pPr>
        <w:pStyle w:val="ListParagraph"/>
        <w:numPr>
          <w:ilvl w:val="0"/>
          <w:numId w:val="15"/>
        </w:numPr>
        <w:spacing w:after="200" w:line="360" w:lineRule="auto"/>
        <w:ind w:left="993" w:hanging="284"/>
        <w:jc w:val="both"/>
      </w:pPr>
      <w:r w:rsidRPr="00891173">
        <w:t>universitete, kolegijoje;</w:t>
      </w:r>
    </w:p>
    <w:p w:rsidR="003503AD" w:rsidRPr="00891173" w:rsidRDefault="003503AD" w:rsidP="00203D2D">
      <w:pPr>
        <w:pStyle w:val="ListParagraph"/>
        <w:numPr>
          <w:ilvl w:val="0"/>
          <w:numId w:val="15"/>
        </w:numPr>
        <w:spacing w:after="200" w:line="360" w:lineRule="auto"/>
        <w:ind w:left="993" w:hanging="284"/>
        <w:jc w:val="both"/>
      </w:pPr>
      <w:r w:rsidRPr="00891173">
        <w:t>kita ______________</w:t>
      </w:r>
    </w:p>
    <w:p w:rsidR="003503AD" w:rsidRPr="00891173" w:rsidRDefault="003503AD" w:rsidP="003503AD">
      <w:pPr>
        <w:pStyle w:val="ListParagraph"/>
        <w:spacing w:after="200" w:line="360" w:lineRule="auto"/>
        <w:ind w:left="993"/>
        <w:jc w:val="both"/>
      </w:pPr>
    </w:p>
    <w:p w:rsidR="003503AD" w:rsidRPr="00891173" w:rsidRDefault="003503AD" w:rsidP="00203D2D">
      <w:pPr>
        <w:pStyle w:val="ListParagraph"/>
        <w:numPr>
          <w:ilvl w:val="0"/>
          <w:numId w:val="6"/>
        </w:numPr>
        <w:spacing w:line="360" w:lineRule="auto"/>
        <w:rPr>
          <w:sz w:val="20"/>
          <w:szCs w:val="20"/>
        </w:rPr>
      </w:pPr>
      <w:r w:rsidRPr="00891173">
        <w:t>Kokiame banke ar įmonėje investuojate į investicinius fondus?</w:t>
      </w:r>
    </w:p>
    <w:p w:rsidR="003503AD" w:rsidRPr="00891173" w:rsidRDefault="003503AD" w:rsidP="00203D2D">
      <w:pPr>
        <w:pStyle w:val="ListParagraph"/>
        <w:numPr>
          <w:ilvl w:val="0"/>
          <w:numId w:val="11"/>
        </w:numPr>
        <w:spacing w:line="360" w:lineRule="auto"/>
        <w:ind w:left="993" w:hanging="284"/>
        <w:jc w:val="both"/>
      </w:pPr>
      <w:r w:rsidRPr="00891173">
        <w:t>Citadele;</w:t>
      </w:r>
    </w:p>
    <w:p w:rsidR="003503AD" w:rsidRPr="00891173" w:rsidRDefault="003503AD" w:rsidP="00203D2D">
      <w:pPr>
        <w:pStyle w:val="ListParagraph"/>
        <w:numPr>
          <w:ilvl w:val="0"/>
          <w:numId w:val="11"/>
        </w:numPr>
        <w:spacing w:line="360" w:lineRule="auto"/>
        <w:ind w:left="993" w:hanging="284"/>
        <w:jc w:val="both"/>
      </w:pPr>
      <w:r w:rsidRPr="00891173">
        <w:t>Danske bankas;</w:t>
      </w:r>
    </w:p>
    <w:p w:rsidR="003503AD" w:rsidRPr="00891173" w:rsidRDefault="003503AD" w:rsidP="00203D2D">
      <w:pPr>
        <w:pStyle w:val="ListParagraph"/>
        <w:numPr>
          <w:ilvl w:val="0"/>
          <w:numId w:val="11"/>
        </w:numPr>
        <w:spacing w:line="360" w:lineRule="auto"/>
        <w:ind w:left="993" w:hanging="284"/>
        <w:jc w:val="both"/>
      </w:pPr>
      <w:r w:rsidRPr="00891173">
        <w:t>DNB bankas;</w:t>
      </w:r>
    </w:p>
    <w:p w:rsidR="003503AD" w:rsidRPr="00891173" w:rsidRDefault="003503AD" w:rsidP="00203D2D">
      <w:pPr>
        <w:pStyle w:val="ListParagraph"/>
        <w:numPr>
          <w:ilvl w:val="0"/>
          <w:numId w:val="11"/>
        </w:numPr>
        <w:spacing w:line="360" w:lineRule="auto"/>
        <w:ind w:left="993" w:hanging="284"/>
        <w:jc w:val="both"/>
      </w:pPr>
      <w:r w:rsidRPr="00891173">
        <w:t>Dovre Forvaltning;</w:t>
      </w:r>
    </w:p>
    <w:p w:rsidR="003503AD" w:rsidRPr="00891173" w:rsidRDefault="003503AD" w:rsidP="00203D2D">
      <w:pPr>
        <w:pStyle w:val="ListParagraph"/>
        <w:numPr>
          <w:ilvl w:val="0"/>
          <w:numId w:val="11"/>
        </w:numPr>
        <w:spacing w:line="360" w:lineRule="auto"/>
        <w:ind w:left="993" w:hanging="284"/>
        <w:jc w:val="both"/>
      </w:pPr>
      <w:r w:rsidRPr="00891173">
        <w:t>Evli Securities;</w:t>
      </w:r>
    </w:p>
    <w:p w:rsidR="003503AD" w:rsidRPr="00891173" w:rsidRDefault="003503AD" w:rsidP="00203D2D">
      <w:pPr>
        <w:pStyle w:val="ListParagraph"/>
        <w:numPr>
          <w:ilvl w:val="0"/>
          <w:numId w:val="11"/>
        </w:numPr>
        <w:spacing w:line="360" w:lineRule="auto"/>
        <w:ind w:left="993" w:hanging="284"/>
        <w:jc w:val="both"/>
      </w:pPr>
      <w:r w:rsidRPr="00891173">
        <w:t>Finasta;</w:t>
      </w:r>
    </w:p>
    <w:p w:rsidR="003503AD" w:rsidRPr="00891173" w:rsidRDefault="003503AD" w:rsidP="00203D2D">
      <w:pPr>
        <w:pStyle w:val="ListParagraph"/>
        <w:numPr>
          <w:ilvl w:val="0"/>
          <w:numId w:val="11"/>
        </w:numPr>
        <w:spacing w:line="360" w:lineRule="auto"/>
        <w:ind w:left="993" w:hanging="284"/>
        <w:jc w:val="both"/>
      </w:pPr>
      <w:r w:rsidRPr="00891173">
        <w:t>LORDS LB Asset Management;</w:t>
      </w:r>
    </w:p>
    <w:p w:rsidR="003503AD" w:rsidRPr="00891173" w:rsidRDefault="003503AD" w:rsidP="00203D2D">
      <w:pPr>
        <w:pStyle w:val="ListParagraph"/>
        <w:numPr>
          <w:ilvl w:val="0"/>
          <w:numId w:val="11"/>
        </w:numPr>
        <w:spacing w:line="360" w:lineRule="auto"/>
        <w:ind w:left="993" w:hanging="284"/>
        <w:jc w:val="both"/>
      </w:pPr>
      <w:r w:rsidRPr="00891173">
        <w:t>Nordea;</w:t>
      </w:r>
    </w:p>
    <w:p w:rsidR="003503AD" w:rsidRPr="00891173" w:rsidRDefault="003503AD" w:rsidP="00203D2D">
      <w:pPr>
        <w:pStyle w:val="ListParagraph"/>
        <w:numPr>
          <w:ilvl w:val="0"/>
          <w:numId w:val="11"/>
        </w:numPr>
        <w:spacing w:line="360" w:lineRule="auto"/>
        <w:ind w:left="993" w:hanging="284"/>
        <w:jc w:val="both"/>
      </w:pPr>
      <w:r w:rsidRPr="00891173">
        <w:t>Novus Asset Management;</w:t>
      </w:r>
    </w:p>
    <w:p w:rsidR="003503AD" w:rsidRPr="00891173" w:rsidRDefault="003503AD" w:rsidP="00203D2D">
      <w:pPr>
        <w:pStyle w:val="ListParagraph"/>
        <w:numPr>
          <w:ilvl w:val="0"/>
          <w:numId w:val="11"/>
        </w:numPr>
        <w:spacing w:line="360" w:lineRule="auto"/>
        <w:ind w:left="993" w:hanging="284"/>
        <w:jc w:val="both"/>
      </w:pPr>
      <w:r w:rsidRPr="00891173">
        <w:t>Orion securities;</w:t>
      </w:r>
    </w:p>
    <w:p w:rsidR="003503AD" w:rsidRPr="00891173" w:rsidRDefault="003503AD" w:rsidP="00203D2D">
      <w:pPr>
        <w:pStyle w:val="ListParagraph"/>
        <w:numPr>
          <w:ilvl w:val="0"/>
          <w:numId w:val="11"/>
        </w:numPr>
        <w:spacing w:line="360" w:lineRule="auto"/>
        <w:ind w:left="993" w:hanging="284"/>
        <w:jc w:val="both"/>
      </w:pPr>
      <w:r w:rsidRPr="00891173">
        <w:t>Prudentis;</w:t>
      </w:r>
    </w:p>
    <w:p w:rsidR="003503AD" w:rsidRPr="00891173" w:rsidRDefault="003503AD" w:rsidP="00203D2D">
      <w:pPr>
        <w:pStyle w:val="ListParagraph"/>
        <w:numPr>
          <w:ilvl w:val="0"/>
          <w:numId w:val="11"/>
        </w:numPr>
        <w:spacing w:line="360" w:lineRule="auto"/>
        <w:ind w:left="993" w:hanging="284"/>
        <w:jc w:val="both"/>
      </w:pPr>
      <w:r w:rsidRPr="00891173">
        <w:t>SEB bankas;</w:t>
      </w:r>
    </w:p>
    <w:p w:rsidR="003503AD" w:rsidRPr="00891173" w:rsidRDefault="003503AD" w:rsidP="00203D2D">
      <w:pPr>
        <w:pStyle w:val="ListParagraph"/>
        <w:numPr>
          <w:ilvl w:val="0"/>
          <w:numId w:val="11"/>
        </w:numPr>
        <w:spacing w:line="360" w:lineRule="auto"/>
        <w:ind w:left="993" w:hanging="284"/>
        <w:jc w:val="both"/>
      </w:pPr>
      <w:r w:rsidRPr="00891173">
        <w:t>Synergy finance;</w:t>
      </w:r>
    </w:p>
    <w:p w:rsidR="003503AD" w:rsidRPr="00891173" w:rsidRDefault="003503AD" w:rsidP="00203D2D">
      <w:pPr>
        <w:pStyle w:val="ListParagraph"/>
        <w:numPr>
          <w:ilvl w:val="0"/>
          <w:numId w:val="11"/>
        </w:numPr>
        <w:spacing w:line="360" w:lineRule="auto"/>
        <w:ind w:left="993" w:hanging="284"/>
        <w:jc w:val="both"/>
      </w:pPr>
      <w:r w:rsidRPr="00891173">
        <w:t>Swedbank;</w:t>
      </w:r>
    </w:p>
    <w:p w:rsidR="003503AD" w:rsidRPr="00891173" w:rsidRDefault="003503AD" w:rsidP="00203D2D">
      <w:pPr>
        <w:pStyle w:val="ListParagraph"/>
        <w:numPr>
          <w:ilvl w:val="0"/>
          <w:numId w:val="11"/>
        </w:numPr>
        <w:spacing w:line="360" w:lineRule="auto"/>
        <w:ind w:left="993" w:hanging="284"/>
        <w:jc w:val="both"/>
      </w:pPr>
      <w:r w:rsidRPr="00891173">
        <w:lastRenderedPageBreak/>
        <w:t>Ūkio bankas;</w:t>
      </w:r>
    </w:p>
    <w:p w:rsidR="003503AD" w:rsidRPr="00891173" w:rsidRDefault="003503AD" w:rsidP="00203D2D">
      <w:pPr>
        <w:pStyle w:val="ListParagraph"/>
        <w:numPr>
          <w:ilvl w:val="0"/>
          <w:numId w:val="11"/>
        </w:numPr>
        <w:spacing w:line="360" w:lineRule="auto"/>
        <w:ind w:left="993" w:hanging="284"/>
        <w:jc w:val="both"/>
      </w:pPr>
      <w:r w:rsidRPr="00891173">
        <w:t>kita _____________</w:t>
      </w:r>
    </w:p>
    <w:p w:rsidR="003503AD" w:rsidRPr="00891173" w:rsidRDefault="003503AD" w:rsidP="003503AD">
      <w:pPr>
        <w:pStyle w:val="ListParagraph"/>
        <w:spacing w:after="200" w:line="360" w:lineRule="auto"/>
        <w:jc w:val="both"/>
      </w:pPr>
    </w:p>
    <w:p w:rsidR="003503AD" w:rsidRPr="00891173" w:rsidRDefault="003503AD" w:rsidP="00203D2D">
      <w:pPr>
        <w:pStyle w:val="ListParagraph"/>
        <w:numPr>
          <w:ilvl w:val="0"/>
          <w:numId w:val="6"/>
        </w:numPr>
        <w:spacing w:after="200" w:line="360" w:lineRule="auto"/>
        <w:jc w:val="both"/>
      </w:pPr>
      <w:r w:rsidRPr="00891173">
        <w:t xml:space="preserve">Kas lemia investicinių fondų </w:t>
      </w:r>
      <w:r w:rsidR="005C600F" w:rsidRPr="00891173">
        <w:t>platinimo įmonės pasirinkimą?</w:t>
      </w:r>
    </w:p>
    <w:p w:rsidR="005C600F" w:rsidRPr="00891173" w:rsidRDefault="005C600F" w:rsidP="00203D2D">
      <w:pPr>
        <w:pStyle w:val="ListParagraph"/>
        <w:numPr>
          <w:ilvl w:val="0"/>
          <w:numId w:val="16"/>
        </w:numPr>
        <w:spacing w:after="200" w:line="360" w:lineRule="auto"/>
        <w:ind w:left="993" w:hanging="284"/>
        <w:jc w:val="both"/>
      </w:pPr>
      <w:r w:rsidRPr="00891173">
        <w:t>darbo patirtis;</w:t>
      </w:r>
    </w:p>
    <w:p w:rsidR="005C600F" w:rsidRPr="00891173" w:rsidRDefault="005C600F" w:rsidP="00203D2D">
      <w:pPr>
        <w:pStyle w:val="ListParagraph"/>
        <w:numPr>
          <w:ilvl w:val="0"/>
          <w:numId w:val="16"/>
        </w:numPr>
        <w:spacing w:after="200" w:line="360" w:lineRule="auto"/>
        <w:ind w:left="993" w:hanging="284"/>
        <w:jc w:val="both"/>
      </w:pPr>
      <w:r w:rsidRPr="00891173">
        <w:t>valdomų fondų skaičius;</w:t>
      </w:r>
    </w:p>
    <w:p w:rsidR="005C600F" w:rsidRPr="00891173" w:rsidRDefault="005C600F" w:rsidP="00203D2D">
      <w:pPr>
        <w:pStyle w:val="ListParagraph"/>
        <w:numPr>
          <w:ilvl w:val="0"/>
          <w:numId w:val="16"/>
        </w:numPr>
        <w:spacing w:after="200" w:line="360" w:lineRule="auto"/>
        <w:ind w:left="993" w:hanging="284"/>
        <w:jc w:val="both"/>
      </w:pPr>
      <w:r w:rsidRPr="00891173">
        <w:t>fondų pasirinkimo galimybės;</w:t>
      </w:r>
    </w:p>
    <w:p w:rsidR="005C600F" w:rsidRPr="00891173" w:rsidRDefault="005C600F" w:rsidP="00203D2D">
      <w:pPr>
        <w:pStyle w:val="ListParagraph"/>
        <w:numPr>
          <w:ilvl w:val="0"/>
          <w:numId w:val="16"/>
        </w:numPr>
        <w:spacing w:after="200" w:line="360" w:lineRule="auto"/>
        <w:ind w:left="993" w:hanging="284"/>
        <w:jc w:val="both"/>
      </w:pPr>
      <w:r w:rsidRPr="00891173">
        <w:t>praeities rezultatai;</w:t>
      </w:r>
    </w:p>
    <w:p w:rsidR="005C600F" w:rsidRPr="00891173" w:rsidRDefault="005C600F" w:rsidP="00203D2D">
      <w:pPr>
        <w:pStyle w:val="ListParagraph"/>
        <w:numPr>
          <w:ilvl w:val="0"/>
          <w:numId w:val="16"/>
        </w:numPr>
        <w:spacing w:after="200" w:line="360" w:lineRule="auto"/>
        <w:ind w:left="993" w:hanging="284"/>
        <w:jc w:val="both"/>
      </w:pPr>
      <w:r w:rsidRPr="00891173">
        <w:t>aptarnavimas;</w:t>
      </w:r>
    </w:p>
    <w:p w:rsidR="005C600F" w:rsidRPr="00891173" w:rsidRDefault="005C600F" w:rsidP="00203D2D">
      <w:pPr>
        <w:pStyle w:val="ListParagraph"/>
        <w:numPr>
          <w:ilvl w:val="0"/>
          <w:numId w:val="16"/>
        </w:numPr>
        <w:spacing w:after="200" w:line="360" w:lineRule="auto"/>
        <w:ind w:left="993" w:hanging="284"/>
        <w:jc w:val="both"/>
      </w:pPr>
      <w:r w:rsidRPr="00891173">
        <w:t>reklama;</w:t>
      </w:r>
    </w:p>
    <w:p w:rsidR="005C600F" w:rsidRPr="00891173" w:rsidRDefault="005C600F" w:rsidP="00203D2D">
      <w:pPr>
        <w:pStyle w:val="ListParagraph"/>
        <w:numPr>
          <w:ilvl w:val="0"/>
          <w:numId w:val="16"/>
        </w:numPr>
        <w:spacing w:after="200" w:line="360" w:lineRule="auto"/>
        <w:ind w:left="993" w:hanging="284"/>
        <w:jc w:val="both"/>
      </w:pPr>
      <w:r w:rsidRPr="00891173">
        <w:t>kitų nuomonė.</w:t>
      </w:r>
    </w:p>
    <w:p w:rsidR="005C600F" w:rsidRPr="00891173" w:rsidRDefault="005C600F" w:rsidP="005C600F">
      <w:pPr>
        <w:pStyle w:val="ListParagraph"/>
        <w:spacing w:after="200" w:line="360" w:lineRule="auto"/>
        <w:ind w:left="993"/>
        <w:jc w:val="both"/>
      </w:pPr>
    </w:p>
    <w:p w:rsidR="005C600F" w:rsidRPr="00891173" w:rsidRDefault="005C600F" w:rsidP="00203D2D">
      <w:pPr>
        <w:pStyle w:val="ListParagraph"/>
        <w:numPr>
          <w:ilvl w:val="0"/>
          <w:numId w:val="6"/>
        </w:numPr>
        <w:spacing w:line="360" w:lineRule="auto"/>
        <w:jc w:val="both"/>
      </w:pPr>
      <w:r w:rsidRPr="00891173">
        <w:t>Įvertinkite teiginius apie investicinio fondo platintojus nuo 1 (visiškai nesutinku) iki 5 (visiškai sutinku). Apveskite Jums labiausiai tinkantį atsakymą.</w:t>
      </w:r>
    </w:p>
    <w:tbl>
      <w:tblPr>
        <w:tblW w:w="9360" w:type="dxa"/>
        <w:tblInd w:w="93" w:type="dxa"/>
        <w:tblLook w:val="00A0"/>
      </w:tblPr>
      <w:tblGrid>
        <w:gridCol w:w="3141"/>
        <w:gridCol w:w="1150"/>
        <w:gridCol w:w="1256"/>
        <w:gridCol w:w="1476"/>
        <w:gridCol w:w="1256"/>
        <w:gridCol w:w="1081"/>
      </w:tblGrid>
      <w:tr w:rsidR="005C600F" w:rsidRPr="00891173" w:rsidTr="00AA6D52">
        <w:trPr>
          <w:trHeight w:val="600"/>
        </w:trPr>
        <w:tc>
          <w:tcPr>
            <w:tcW w:w="3327" w:type="dxa"/>
            <w:tcBorders>
              <w:top w:val="single" w:sz="8" w:space="0" w:color="auto"/>
              <w:left w:val="single" w:sz="8" w:space="0" w:color="auto"/>
              <w:bottom w:val="single" w:sz="8" w:space="0" w:color="auto"/>
              <w:right w:val="single" w:sz="8" w:space="0" w:color="auto"/>
            </w:tcBorders>
            <w:vAlign w:val="center"/>
          </w:tcPr>
          <w:p w:rsidR="005C600F" w:rsidRPr="00891173" w:rsidRDefault="005C600F" w:rsidP="00AA6D52">
            <w:pPr>
              <w:jc w:val="center"/>
              <w:rPr>
                <w:rFonts w:eastAsia="Calibri"/>
                <w:color w:val="000000"/>
              </w:rPr>
            </w:pPr>
          </w:p>
          <w:p w:rsidR="005C600F" w:rsidRPr="00891173" w:rsidRDefault="005C600F" w:rsidP="00AA6D52">
            <w:pPr>
              <w:jc w:val="center"/>
              <w:rPr>
                <w:rFonts w:eastAsia="Calibri"/>
                <w:color w:val="000000"/>
              </w:rPr>
            </w:pPr>
            <w:r w:rsidRPr="00891173">
              <w:rPr>
                <w:rFonts w:eastAsia="Calibri"/>
                <w:color w:val="000000"/>
              </w:rPr>
              <w:t> </w:t>
            </w:r>
            <w:r w:rsidRPr="00891173">
              <w:rPr>
                <w:color w:val="000000"/>
              </w:rPr>
              <w:t xml:space="preserve">Teiginys </w:t>
            </w:r>
          </w:p>
        </w:tc>
        <w:tc>
          <w:tcPr>
            <w:tcW w:w="1150" w:type="dxa"/>
            <w:tcBorders>
              <w:top w:val="single" w:sz="8"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Visiškai nesutinku</w:t>
            </w:r>
          </w:p>
        </w:tc>
        <w:tc>
          <w:tcPr>
            <w:tcW w:w="1203" w:type="dxa"/>
            <w:tcBorders>
              <w:top w:val="single" w:sz="8"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Nuosaikiai nesutinku</w:t>
            </w:r>
          </w:p>
        </w:tc>
        <w:tc>
          <w:tcPr>
            <w:tcW w:w="1510" w:type="dxa"/>
            <w:tcBorders>
              <w:top w:val="single" w:sz="8"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Vienodai sutinku ir nesutinku</w:t>
            </w:r>
          </w:p>
        </w:tc>
        <w:tc>
          <w:tcPr>
            <w:tcW w:w="1081" w:type="dxa"/>
            <w:tcBorders>
              <w:top w:val="single" w:sz="8"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Nuosaikiai sutinku</w:t>
            </w:r>
          </w:p>
        </w:tc>
        <w:tc>
          <w:tcPr>
            <w:tcW w:w="1089" w:type="dxa"/>
            <w:tcBorders>
              <w:top w:val="single" w:sz="8"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Visiškai sutinku</w:t>
            </w:r>
          </w:p>
        </w:tc>
      </w:tr>
      <w:tr w:rsidR="005C600F" w:rsidRPr="00891173" w:rsidTr="00AA6D52">
        <w:trPr>
          <w:trHeight w:val="600"/>
        </w:trPr>
        <w:tc>
          <w:tcPr>
            <w:tcW w:w="3327" w:type="dxa"/>
            <w:tcBorders>
              <w:top w:val="nil"/>
              <w:left w:val="single" w:sz="8" w:space="0" w:color="auto"/>
              <w:bottom w:val="single" w:sz="8" w:space="0" w:color="auto"/>
              <w:right w:val="single" w:sz="8" w:space="0" w:color="auto"/>
            </w:tcBorders>
            <w:vAlign w:val="center"/>
          </w:tcPr>
          <w:p w:rsidR="005C600F" w:rsidRPr="00891173" w:rsidRDefault="005C600F" w:rsidP="00AA6D52">
            <w:pPr>
              <w:rPr>
                <w:rFonts w:eastAsia="Calibri"/>
                <w:color w:val="000000"/>
              </w:rPr>
            </w:pPr>
            <w:r w:rsidRPr="00891173">
              <w:rPr>
                <w:color w:val="000000"/>
              </w:rPr>
              <w:t>Investicinio fondo ataskaitas gaunu laiku</w:t>
            </w:r>
          </w:p>
        </w:tc>
        <w:tc>
          <w:tcPr>
            <w:tcW w:w="115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5</w:t>
            </w:r>
          </w:p>
        </w:tc>
      </w:tr>
      <w:tr w:rsidR="005C600F" w:rsidRPr="00891173" w:rsidTr="00AA6D52">
        <w:trPr>
          <w:trHeight w:val="600"/>
        </w:trPr>
        <w:tc>
          <w:tcPr>
            <w:tcW w:w="3327" w:type="dxa"/>
            <w:tcBorders>
              <w:top w:val="nil"/>
              <w:left w:val="single" w:sz="8" w:space="0" w:color="auto"/>
              <w:bottom w:val="single" w:sz="8" w:space="0" w:color="auto"/>
              <w:right w:val="single" w:sz="8" w:space="0" w:color="auto"/>
            </w:tcBorders>
            <w:vAlign w:val="center"/>
          </w:tcPr>
          <w:p w:rsidR="005C600F" w:rsidRPr="00891173" w:rsidRDefault="005C600F" w:rsidP="00AA6D52">
            <w:pPr>
              <w:rPr>
                <w:rFonts w:eastAsia="Calibri"/>
                <w:color w:val="000000"/>
              </w:rPr>
            </w:pPr>
            <w:r w:rsidRPr="00891173">
              <w:rPr>
                <w:rFonts w:eastAsia="Calibri"/>
                <w:color w:val="000000"/>
              </w:rPr>
              <w:t>Investicinio fondo darbuotojai yra malonūs</w:t>
            </w:r>
          </w:p>
        </w:tc>
        <w:tc>
          <w:tcPr>
            <w:tcW w:w="115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5</w:t>
            </w:r>
          </w:p>
        </w:tc>
      </w:tr>
      <w:tr w:rsidR="005C600F" w:rsidRPr="00891173" w:rsidTr="00AA6D52">
        <w:trPr>
          <w:trHeight w:val="600"/>
        </w:trPr>
        <w:tc>
          <w:tcPr>
            <w:tcW w:w="3327" w:type="dxa"/>
            <w:tcBorders>
              <w:top w:val="nil"/>
              <w:left w:val="single" w:sz="8" w:space="0" w:color="auto"/>
              <w:bottom w:val="single" w:sz="8" w:space="0" w:color="auto"/>
              <w:right w:val="single" w:sz="8" w:space="0" w:color="auto"/>
            </w:tcBorders>
            <w:vAlign w:val="center"/>
          </w:tcPr>
          <w:p w:rsidR="005C600F" w:rsidRPr="00891173" w:rsidRDefault="005C600F" w:rsidP="00AA6D52">
            <w:pPr>
              <w:rPr>
                <w:rFonts w:eastAsia="Calibri"/>
                <w:color w:val="000000"/>
              </w:rPr>
            </w:pPr>
            <w:r w:rsidRPr="00891173">
              <w:rPr>
                <w:color w:val="000000"/>
              </w:rPr>
              <w:t>Investicinio fondo valdytojas linkęs atsakyti į visus mano klausimus</w:t>
            </w:r>
          </w:p>
        </w:tc>
        <w:tc>
          <w:tcPr>
            <w:tcW w:w="115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5</w:t>
            </w:r>
          </w:p>
        </w:tc>
      </w:tr>
      <w:tr w:rsidR="005C600F" w:rsidRPr="00891173" w:rsidTr="00AA6D52">
        <w:trPr>
          <w:trHeight w:val="600"/>
        </w:trPr>
        <w:tc>
          <w:tcPr>
            <w:tcW w:w="3327" w:type="dxa"/>
            <w:tcBorders>
              <w:top w:val="nil"/>
              <w:left w:val="single" w:sz="8" w:space="0" w:color="auto"/>
              <w:bottom w:val="single" w:sz="4" w:space="0" w:color="auto"/>
              <w:right w:val="single" w:sz="8" w:space="0" w:color="auto"/>
            </w:tcBorders>
            <w:vAlign w:val="center"/>
          </w:tcPr>
          <w:p w:rsidR="005C600F" w:rsidRPr="00891173" w:rsidRDefault="005C600F" w:rsidP="00AA6D52">
            <w:pPr>
              <w:rPr>
                <w:rFonts w:eastAsia="Calibri"/>
                <w:color w:val="000000"/>
              </w:rPr>
            </w:pPr>
            <w:r w:rsidRPr="00891173">
              <w:rPr>
                <w:rFonts w:eastAsia="Calibri"/>
                <w:color w:val="000000"/>
              </w:rPr>
              <w:t>Investicinio fondo valdytojo patirtis mane tenkina</w:t>
            </w:r>
          </w:p>
        </w:tc>
        <w:tc>
          <w:tcPr>
            <w:tcW w:w="1150" w:type="dxa"/>
            <w:tcBorders>
              <w:top w:val="nil"/>
              <w:left w:val="nil"/>
              <w:bottom w:val="single" w:sz="4"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1</w:t>
            </w:r>
          </w:p>
        </w:tc>
        <w:tc>
          <w:tcPr>
            <w:tcW w:w="1203" w:type="dxa"/>
            <w:tcBorders>
              <w:top w:val="nil"/>
              <w:left w:val="nil"/>
              <w:bottom w:val="single" w:sz="4"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2</w:t>
            </w:r>
          </w:p>
        </w:tc>
        <w:tc>
          <w:tcPr>
            <w:tcW w:w="1510" w:type="dxa"/>
            <w:tcBorders>
              <w:top w:val="nil"/>
              <w:left w:val="nil"/>
              <w:bottom w:val="single" w:sz="4"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3</w:t>
            </w:r>
          </w:p>
        </w:tc>
        <w:tc>
          <w:tcPr>
            <w:tcW w:w="1081" w:type="dxa"/>
            <w:tcBorders>
              <w:top w:val="nil"/>
              <w:left w:val="nil"/>
              <w:bottom w:val="single" w:sz="4"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4</w:t>
            </w:r>
          </w:p>
        </w:tc>
        <w:tc>
          <w:tcPr>
            <w:tcW w:w="1089" w:type="dxa"/>
            <w:tcBorders>
              <w:top w:val="nil"/>
              <w:left w:val="nil"/>
              <w:bottom w:val="single" w:sz="4"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5</w:t>
            </w:r>
          </w:p>
        </w:tc>
      </w:tr>
      <w:tr w:rsidR="005C600F" w:rsidRPr="00891173" w:rsidTr="00AA6D52">
        <w:trPr>
          <w:trHeight w:val="600"/>
        </w:trPr>
        <w:tc>
          <w:tcPr>
            <w:tcW w:w="3327" w:type="dxa"/>
            <w:tcBorders>
              <w:top w:val="single" w:sz="4" w:space="0" w:color="auto"/>
              <w:left w:val="single" w:sz="8" w:space="0" w:color="auto"/>
              <w:bottom w:val="single" w:sz="8" w:space="0" w:color="auto"/>
              <w:right w:val="single" w:sz="8" w:space="0" w:color="auto"/>
            </w:tcBorders>
            <w:vAlign w:val="center"/>
          </w:tcPr>
          <w:p w:rsidR="005C600F" w:rsidRPr="00891173" w:rsidRDefault="005C600F" w:rsidP="00AA6D52">
            <w:pPr>
              <w:rPr>
                <w:rFonts w:eastAsia="Calibri"/>
                <w:color w:val="000000"/>
              </w:rPr>
            </w:pPr>
            <w:r w:rsidRPr="00891173">
              <w:rPr>
                <w:rFonts w:eastAsia="Calibri"/>
                <w:color w:val="000000"/>
              </w:rPr>
              <w:t>mane informuoja apie esamą investicinio fondo padėtį</w:t>
            </w:r>
          </w:p>
        </w:tc>
        <w:tc>
          <w:tcPr>
            <w:tcW w:w="1150" w:type="dxa"/>
            <w:tcBorders>
              <w:top w:val="single" w:sz="4"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1</w:t>
            </w:r>
          </w:p>
        </w:tc>
        <w:tc>
          <w:tcPr>
            <w:tcW w:w="1203" w:type="dxa"/>
            <w:tcBorders>
              <w:top w:val="single" w:sz="4"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2</w:t>
            </w:r>
          </w:p>
        </w:tc>
        <w:tc>
          <w:tcPr>
            <w:tcW w:w="1510" w:type="dxa"/>
            <w:tcBorders>
              <w:top w:val="single" w:sz="4"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3</w:t>
            </w:r>
          </w:p>
        </w:tc>
        <w:tc>
          <w:tcPr>
            <w:tcW w:w="1081" w:type="dxa"/>
            <w:tcBorders>
              <w:top w:val="single" w:sz="4"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4</w:t>
            </w:r>
          </w:p>
        </w:tc>
        <w:tc>
          <w:tcPr>
            <w:tcW w:w="1089" w:type="dxa"/>
            <w:tcBorders>
              <w:top w:val="single" w:sz="4" w:space="0" w:color="auto"/>
              <w:left w:val="nil"/>
              <w:bottom w:val="single" w:sz="8" w:space="0" w:color="auto"/>
              <w:right w:val="single" w:sz="8" w:space="0" w:color="auto"/>
            </w:tcBorders>
            <w:vAlign w:val="center"/>
          </w:tcPr>
          <w:p w:rsidR="005C600F" w:rsidRPr="00891173" w:rsidRDefault="005C600F" w:rsidP="00AA6D52">
            <w:pPr>
              <w:jc w:val="center"/>
              <w:rPr>
                <w:rFonts w:eastAsia="Calibri"/>
                <w:color w:val="000000"/>
              </w:rPr>
            </w:pPr>
            <w:r w:rsidRPr="00891173">
              <w:rPr>
                <w:rFonts w:eastAsia="Calibri"/>
                <w:color w:val="000000"/>
              </w:rPr>
              <w:t>5</w:t>
            </w:r>
          </w:p>
        </w:tc>
      </w:tr>
    </w:tbl>
    <w:p w:rsidR="005C600F" w:rsidRPr="00891173" w:rsidRDefault="005C600F" w:rsidP="005C600F">
      <w:pPr>
        <w:spacing w:after="200" w:line="360" w:lineRule="auto"/>
        <w:jc w:val="both"/>
      </w:pPr>
    </w:p>
    <w:p w:rsidR="00676026" w:rsidRPr="00891173" w:rsidRDefault="00676026" w:rsidP="00203D2D">
      <w:pPr>
        <w:pStyle w:val="ListParagraph"/>
        <w:numPr>
          <w:ilvl w:val="0"/>
          <w:numId w:val="6"/>
        </w:numPr>
        <w:spacing w:after="200" w:line="360" w:lineRule="auto"/>
        <w:jc w:val="both"/>
      </w:pPr>
      <w:r w:rsidRPr="00891173">
        <w:t xml:space="preserve">Ar investuojate savo lėšas į licencijuotus Lietuvos investicinius fondus?  </w:t>
      </w:r>
    </w:p>
    <w:p w:rsidR="00676026" w:rsidRPr="00891173" w:rsidRDefault="009054F4" w:rsidP="00676026">
      <w:pPr>
        <w:pStyle w:val="ListParagraph"/>
        <w:spacing w:line="360" w:lineRule="auto"/>
        <w:jc w:val="both"/>
      </w:pPr>
      <w:r w:rsidRPr="00891173">
        <w:t>a. Taip</w:t>
      </w:r>
    </w:p>
    <w:p w:rsidR="00676026" w:rsidRPr="00891173" w:rsidRDefault="00676026" w:rsidP="00676026">
      <w:pPr>
        <w:pStyle w:val="ListParagraph"/>
        <w:spacing w:line="360" w:lineRule="auto"/>
        <w:jc w:val="both"/>
      </w:pPr>
      <w:r w:rsidRPr="00891173">
        <w:t xml:space="preserve">b. Ne </w:t>
      </w:r>
    </w:p>
    <w:p w:rsidR="00676026" w:rsidRPr="00891173" w:rsidRDefault="00676026" w:rsidP="00676026">
      <w:pPr>
        <w:pStyle w:val="ListParagraph"/>
        <w:spacing w:line="360" w:lineRule="auto"/>
        <w:jc w:val="both"/>
      </w:pPr>
    </w:p>
    <w:p w:rsidR="00676026" w:rsidRPr="00891173" w:rsidRDefault="00676026" w:rsidP="00203D2D">
      <w:pPr>
        <w:pStyle w:val="ListParagraph"/>
        <w:numPr>
          <w:ilvl w:val="0"/>
          <w:numId w:val="6"/>
        </w:numPr>
        <w:spacing w:line="360" w:lineRule="auto"/>
        <w:jc w:val="both"/>
      </w:pPr>
      <w:r w:rsidRPr="00891173">
        <w:t>Kokioje rinkoje investuojate į investicinius fondus? (galim</w:t>
      </w:r>
      <w:r w:rsidR="009054F4" w:rsidRPr="00891173">
        <w:t>a pasirinkti kelis variantus</w:t>
      </w:r>
      <w:r w:rsidRPr="00891173">
        <w:t xml:space="preserve">). </w:t>
      </w:r>
    </w:p>
    <w:p w:rsidR="009054F4" w:rsidRPr="00891173" w:rsidRDefault="00676026" w:rsidP="00203D2D">
      <w:pPr>
        <w:pStyle w:val="ListParagraph"/>
        <w:numPr>
          <w:ilvl w:val="0"/>
          <w:numId w:val="17"/>
        </w:numPr>
        <w:spacing w:line="360" w:lineRule="auto"/>
        <w:ind w:left="993" w:hanging="284"/>
        <w:jc w:val="both"/>
      </w:pPr>
      <w:r w:rsidRPr="00891173">
        <w:t xml:space="preserve">ES </w:t>
      </w:r>
      <w:r w:rsidR="009054F4" w:rsidRPr="00891173">
        <w:t>rinkose;</w:t>
      </w:r>
    </w:p>
    <w:p w:rsidR="009054F4" w:rsidRPr="00891173" w:rsidRDefault="009054F4" w:rsidP="00203D2D">
      <w:pPr>
        <w:pStyle w:val="ListParagraph"/>
        <w:numPr>
          <w:ilvl w:val="0"/>
          <w:numId w:val="17"/>
        </w:numPr>
        <w:spacing w:line="360" w:lineRule="auto"/>
        <w:ind w:left="993" w:hanging="284"/>
        <w:jc w:val="both"/>
      </w:pPr>
      <w:r w:rsidRPr="00891173">
        <w:t>Baltijos šalių rinkose;</w:t>
      </w:r>
    </w:p>
    <w:p w:rsidR="009054F4" w:rsidRPr="00891173" w:rsidRDefault="00676026" w:rsidP="00203D2D">
      <w:pPr>
        <w:pStyle w:val="ListParagraph"/>
        <w:numPr>
          <w:ilvl w:val="0"/>
          <w:numId w:val="17"/>
        </w:numPr>
        <w:spacing w:line="360" w:lineRule="auto"/>
        <w:ind w:left="993" w:hanging="284"/>
        <w:jc w:val="both"/>
      </w:pPr>
      <w:r w:rsidRPr="00891173">
        <w:t>JAV rinkoje;</w:t>
      </w:r>
    </w:p>
    <w:p w:rsidR="00676026" w:rsidRPr="00891173" w:rsidRDefault="00676026" w:rsidP="00203D2D">
      <w:pPr>
        <w:pStyle w:val="ListParagraph"/>
        <w:numPr>
          <w:ilvl w:val="0"/>
          <w:numId w:val="17"/>
        </w:numPr>
        <w:spacing w:line="360" w:lineRule="auto"/>
        <w:ind w:left="993" w:hanging="284"/>
        <w:jc w:val="both"/>
      </w:pPr>
      <w:r w:rsidRPr="00891173">
        <w:t>Rusijos rinkoje;</w:t>
      </w:r>
    </w:p>
    <w:p w:rsidR="009054F4" w:rsidRPr="00891173" w:rsidRDefault="002E0627" w:rsidP="00203D2D">
      <w:pPr>
        <w:pStyle w:val="ListParagraph"/>
        <w:numPr>
          <w:ilvl w:val="0"/>
          <w:numId w:val="17"/>
        </w:numPr>
        <w:spacing w:line="360" w:lineRule="auto"/>
        <w:ind w:left="993" w:hanging="284"/>
        <w:jc w:val="both"/>
      </w:pPr>
      <w:r w:rsidRPr="00891173">
        <w:lastRenderedPageBreak/>
        <w:t>t</w:t>
      </w:r>
      <w:r w:rsidR="009054F4" w:rsidRPr="00891173">
        <w:t>olimųjų rytų rinkose;</w:t>
      </w:r>
    </w:p>
    <w:p w:rsidR="00676026" w:rsidRPr="00891173" w:rsidRDefault="009054F4" w:rsidP="00203D2D">
      <w:pPr>
        <w:pStyle w:val="ListParagraph"/>
        <w:numPr>
          <w:ilvl w:val="0"/>
          <w:numId w:val="17"/>
        </w:numPr>
        <w:spacing w:line="360" w:lineRule="auto"/>
        <w:ind w:left="993" w:hanging="284"/>
        <w:jc w:val="both"/>
      </w:pPr>
      <w:r w:rsidRPr="00891173">
        <w:t>k</w:t>
      </w:r>
      <w:r w:rsidR="00676026" w:rsidRPr="00891173">
        <w:t>ita____________</w:t>
      </w:r>
    </w:p>
    <w:p w:rsidR="00676026" w:rsidRPr="00891173" w:rsidRDefault="00676026" w:rsidP="00A65724">
      <w:pPr>
        <w:pStyle w:val="ListParagraph"/>
        <w:spacing w:line="360" w:lineRule="auto"/>
        <w:jc w:val="both"/>
      </w:pPr>
    </w:p>
    <w:p w:rsidR="00676026" w:rsidRPr="00891173" w:rsidRDefault="00A65724" w:rsidP="00203D2D">
      <w:pPr>
        <w:pStyle w:val="ListParagraph"/>
        <w:numPr>
          <w:ilvl w:val="0"/>
          <w:numId w:val="6"/>
        </w:numPr>
        <w:spacing w:after="200" w:line="360" w:lineRule="auto"/>
        <w:jc w:val="both"/>
      </w:pPr>
      <w:r w:rsidRPr="00891173">
        <w:t xml:space="preserve">Kodėl investuojate į užsienio rinkų </w:t>
      </w:r>
      <w:r w:rsidR="00676026" w:rsidRPr="00891173">
        <w:t>investicinius fondus?</w:t>
      </w:r>
    </w:p>
    <w:p w:rsidR="00676026" w:rsidRPr="00891173" w:rsidRDefault="00A65724" w:rsidP="00203D2D">
      <w:pPr>
        <w:pStyle w:val="ListParagraph"/>
        <w:numPr>
          <w:ilvl w:val="0"/>
          <w:numId w:val="7"/>
        </w:numPr>
        <w:tabs>
          <w:tab w:val="clear" w:pos="720"/>
        </w:tabs>
        <w:spacing w:after="200" w:line="360" w:lineRule="auto"/>
        <w:ind w:left="993" w:hanging="284"/>
        <w:jc w:val="both"/>
      </w:pPr>
      <w:r w:rsidRPr="00891173">
        <w:t>d</w:t>
      </w:r>
      <w:r w:rsidR="00676026" w:rsidRPr="00891173">
        <w:t>idesnis ekonomikos lygis</w:t>
      </w:r>
      <w:r w:rsidRPr="00891173">
        <w:t>;</w:t>
      </w:r>
    </w:p>
    <w:p w:rsidR="00676026" w:rsidRPr="00891173" w:rsidRDefault="00A65724" w:rsidP="00203D2D">
      <w:pPr>
        <w:pStyle w:val="ListParagraph"/>
        <w:numPr>
          <w:ilvl w:val="0"/>
          <w:numId w:val="7"/>
        </w:numPr>
        <w:tabs>
          <w:tab w:val="clear" w:pos="720"/>
          <w:tab w:val="num" w:pos="1134"/>
        </w:tabs>
        <w:spacing w:after="200" w:line="360" w:lineRule="auto"/>
        <w:ind w:left="993" w:hanging="284"/>
        <w:jc w:val="both"/>
      </w:pPr>
      <w:r w:rsidRPr="00891173">
        <w:t>ilgesnė</w:t>
      </w:r>
      <w:r w:rsidR="00676026" w:rsidRPr="00891173">
        <w:t xml:space="preserve"> fondo veikimo trukmė</w:t>
      </w:r>
      <w:r w:rsidRPr="00891173">
        <w:t>;</w:t>
      </w:r>
    </w:p>
    <w:p w:rsidR="00676026" w:rsidRPr="00891173" w:rsidRDefault="00A65724" w:rsidP="00203D2D">
      <w:pPr>
        <w:pStyle w:val="ListParagraph"/>
        <w:numPr>
          <w:ilvl w:val="0"/>
          <w:numId w:val="7"/>
        </w:numPr>
        <w:tabs>
          <w:tab w:val="clear" w:pos="720"/>
          <w:tab w:val="num" w:pos="1134"/>
        </w:tabs>
        <w:spacing w:after="200" w:line="360" w:lineRule="auto"/>
        <w:ind w:left="993" w:hanging="284"/>
        <w:jc w:val="both"/>
      </w:pPr>
      <w:r w:rsidRPr="00891173">
        <w:t>g</w:t>
      </w:r>
      <w:r w:rsidR="00676026" w:rsidRPr="00891173">
        <w:t>ilesnė fondo valdytojo kompetencija</w:t>
      </w:r>
      <w:r w:rsidRPr="00891173">
        <w:t>;</w:t>
      </w:r>
    </w:p>
    <w:p w:rsidR="00676026" w:rsidRPr="00891173" w:rsidRDefault="00A65724" w:rsidP="00203D2D">
      <w:pPr>
        <w:pStyle w:val="ListParagraph"/>
        <w:numPr>
          <w:ilvl w:val="0"/>
          <w:numId w:val="7"/>
        </w:numPr>
        <w:tabs>
          <w:tab w:val="clear" w:pos="720"/>
          <w:tab w:val="num" w:pos="1134"/>
        </w:tabs>
        <w:spacing w:after="200" w:line="360" w:lineRule="auto"/>
        <w:ind w:left="993" w:hanging="284"/>
        <w:jc w:val="both"/>
      </w:pPr>
      <w:r w:rsidRPr="00891173">
        <w:t>p</w:t>
      </w:r>
      <w:r w:rsidR="00676026" w:rsidRPr="00891173">
        <w:t>oreikis investuoti tam tikrame regione</w:t>
      </w:r>
      <w:r w:rsidRPr="00891173">
        <w:t>;</w:t>
      </w:r>
    </w:p>
    <w:p w:rsidR="00676026" w:rsidRPr="00891173" w:rsidRDefault="00A65724" w:rsidP="00203D2D">
      <w:pPr>
        <w:pStyle w:val="ListParagraph"/>
        <w:numPr>
          <w:ilvl w:val="0"/>
          <w:numId w:val="7"/>
        </w:numPr>
        <w:tabs>
          <w:tab w:val="clear" w:pos="720"/>
          <w:tab w:val="num" w:pos="1134"/>
        </w:tabs>
        <w:spacing w:after="200" w:line="360" w:lineRule="auto"/>
        <w:ind w:left="993" w:hanging="284"/>
        <w:jc w:val="both"/>
      </w:pPr>
      <w:r w:rsidRPr="00891173">
        <w:t>k</w:t>
      </w:r>
      <w:r w:rsidR="00676026" w:rsidRPr="00891173">
        <w:t>ita</w:t>
      </w:r>
      <w:r w:rsidRPr="00891173">
        <w:t xml:space="preserve"> __________________</w:t>
      </w:r>
    </w:p>
    <w:p w:rsidR="00676026" w:rsidRPr="00891173" w:rsidRDefault="00676026" w:rsidP="00676026">
      <w:pPr>
        <w:pStyle w:val="ListParagraph"/>
        <w:spacing w:line="360" w:lineRule="auto"/>
        <w:jc w:val="both"/>
      </w:pPr>
    </w:p>
    <w:p w:rsidR="00676026" w:rsidRPr="00891173" w:rsidRDefault="00676026" w:rsidP="00203D2D">
      <w:pPr>
        <w:pStyle w:val="ListParagraph"/>
        <w:numPr>
          <w:ilvl w:val="0"/>
          <w:numId w:val="6"/>
        </w:numPr>
        <w:spacing w:after="200" w:line="360" w:lineRule="auto"/>
        <w:jc w:val="both"/>
      </w:pPr>
      <w:r w:rsidRPr="00891173">
        <w:t>Jei turėtumėte pakankamai laisvų lėšų, ar investuotumėte į Lietuv</w:t>
      </w:r>
      <w:r w:rsidR="00A65724" w:rsidRPr="00891173">
        <w:t>os</w:t>
      </w:r>
      <w:r w:rsidRPr="00891173">
        <w:t xml:space="preserve"> inv</w:t>
      </w:r>
      <w:r w:rsidR="00A65724" w:rsidRPr="00891173">
        <w:t>esticinių fondų rinką</w:t>
      </w:r>
      <w:r w:rsidRPr="00891173">
        <w:t xml:space="preserve">? </w:t>
      </w:r>
    </w:p>
    <w:p w:rsidR="00676026" w:rsidRPr="00891173" w:rsidRDefault="00A65724" w:rsidP="00203D2D">
      <w:pPr>
        <w:pStyle w:val="ListParagraph"/>
        <w:numPr>
          <w:ilvl w:val="0"/>
          <w:numId w:val="18"/>
        </w:numPr>
        <w:spacing w:line="360" w:lineRule="auto"/>
        <w:ind w:left="993" w:hanging="284"/>
        <w:jc w:val="both"/>
      </w:pPr>
      <w:r w:rsidRPr="00891173">
        <w:t>t</w:t>
      </w:r>
      <w:r w:rsidR="00676026" w:rsidRPr="00891173">
        <w:t xml:space="preserve">aip </w:t>
      </w:r>
    </w:p>
    <w:p w:rsidR="00676026" w:rsidRPr="00891173" w:rsidRDefault="00A65724" w:rsidP="00203D2D">
      <w:pPr>
        <w:pStyle w:val="ListParagraph"/>
        <w:numPr>
          <w:ilvl w:val="0"/>
          <w:numId w:val="18"/>
        </w:numPr>
        <w:spacing w:line="360" w:lineRule="auto"/>
        <w:ind w:left="993" w:hanging="284"/>
        <w:jc w:val="both"/>
      </w:pPr>
      <w:r w:rsidRPr="00891173">
        <w:t>n</w:t>
      </w:r>
      <w:r w:rsidR="00676026" w:rsidRPr="00891173">
        <w:t xml:space="preserve">e </w:t>
      </w:r>
    </w:p>
    <w:p w:rsidR="00676026" w:rsidRPr="00891173" w:rsidRDefault="00676026" w:rsidP="00676026">
      <w:pPr>
        <w:pStyle w:val="ListParagraph"/>
        <w:spacing w:line="360" w:lineRule="auto"/>
        <w:jc w:val="both"/>
      </w:pPr>
    </w:p>
    <w:p w:rsidR="00676026" w:rsidRPr="00891173" w:rsidRDefault="00676026" w:rsidP="00203D2D">
      <w:pPr>
        <w:pStyle w:val="ListParagraph"/>
        <w:numPr>
          <w:ilvl w:val="0"/>
          <w:numId w:val="6"/>
        </w:numPr>
        <w:spacing w:after="200" w:line="360" w:lineRule="auto"/>
        <w:jc w:val="both"/>
      </w:pPr>
      <w:r w:rsidRPr="00891173">
        <w:t>Į kokius investicinius fondus investavote? (galima pasirinkti kel</w:t>
      </w:r>
      <w:r w:rsidR="00A65724" w:rsidRPr="00891173">
        <w:t>is variantus</w:t>
      </w:r>
      <w:r w:rsidRPr="00891173">
        <w:t>)</w:t>
      </w:r>
    </w:p>
    <w:p w:rsidR="00676026" w:rsidRPr="00891173" w:rsidRDefault="00A65724" w:rsidP="00203D2D">
      <w:pPr>
        <w:pStyle w:val="ListParagraph"/>
        <w:numPr>
          <w:ilvl w:val="0"/>
          <w:numId w:val="8"/>
        </w:numPr>
        <w:spacing w:after="200" w:line="360" w:lineRule="auto"/>
        <w:ind w:left="993" w:hanging="284"/>
      </w:pPr>
      <w:r w:rsidRPr="00891173">
        <w:t>p</w:t>
      </w:r>
      <w:r w:rsidR="00676026" w:rsidRPr="00891173">
        <w:t>inigų rinkos</w:t>
      </w:r>
      <w:r w:rsidRPr="00891173">
        <w:t>;</w:t>
      </w:r>
    </w:p>
    <w:p w:rsidR="00676026" w:rsidRPr="00891173" w:rsidRDefault="00A65724" w:rsidP="00203D2D">
      <w:pPr>
        <w:pStyle w:val="ListParagraph"/>
        <w:numPr>
          <w:ilvl w:val="0"/>
          <w:numId w:val="8"/>
        </w:numPr>
        <w:spacing w:after="200" w:line="360" w:lineRule="auto"/>
        <w:ind w:left="993" w:hanging="284"/>
      </w:pPr>
      <w:r w:rsidRPr="00891173">
        <w:t>n</w:t>
      </w:r>
      <w:r w:rsidR="00676026" w:rsidRPr="00891173">
        <w:t xml:space="preserve">uosavybės </w:t>
      </w:r>
      <w:r w:rsidRPr="00891173">
        <w:t>vertybinius popierius;</w:t>
      </w:r>
    </w:p>
    <w:p w:rsidR="00676026" w:rsidRPr="00891173" w:rsidRDefault="00A65724" w:rsidP="00203D2D">
      <w:pPr>
        <w:pStyle w:val="ListParagraph"/>
        <w:numPr>
          <w:ilvl w:val="0"/>
          <w:numId w:val="8"/>
        </w:numPr>
        <w:spacing w:after="200" w:line="360" w:lineRule="auto"/>
        <w:ind w:left="993" w:hanging="284"/>
      </w:pPr>
      <w:r w:rsidRPr="00891173">
        <w:t>s</w:t>
      </w:r>
      <w:r w:rsidR="00676026" w:rsidRPr="00891173">
        <w:t>kolos fondus</w:t>
      </w:r>
      <w:r w:rsidRPr="00891173">
        <w:t>;</w:t>
      </w:r>
    </w:p>
    <w:p w:rsidR="00676026" w:rsidRPr="00891173" w:rsidRDefault="00A65724" w:rsidP="00203D2D">
      <w:pPr>
        <w:pStyle w:val="ListParagraph"/>
        <w:numPr>
          <w:ilvl w:val="0"/>
          <w:numId w:val="8"/>
        </w:numPr>
        <w:spacing w:after="200" w:line="360" w:lineRule="auto"/>
        <w:ind w:left="993" w:hanging="284"/>
      </w:pPr>
      <w:r w:rsidRPr="00891173">
        <w:t>i</w:t>
      </w:r>
      <w:r w:rsidR="00676026" w:rsidRPr="00891173">
        <w:t>nvestuojančius į kitus fondus</w:t>
      </w:r>
      <w:r w:rsidRPr="00891173">
        <w:t>;</w:t>
      </w:r>
    </w:p>
    <w:p w:rsidR="00676026" w:rsidRPr="00891173" w:rsidRDefault="00A65724" w:rsidP="00203D2D">
      <w:pPr>
        <w:pStyle w:val="ListParagraph"/>
        <w:numPr>
          <w:ilvl w:val="0"/>
          <w:numId w:val="8"/>
        </w:numPr>
        <w:spacing w:after="200" w:line="360" w:lineRule="auto"/>
        <w:ind w:left="993" w:hanging="284"/>
      </w:pPr>
      <w:r w:rsidRPr="00891173">
        <w:t>m</w:t>
      </w:r>
      <w:r w:rsidR="00676026" w:rsidRPr="00891173">
        <w:t>išrius fondus</w:t>
      </w:r>
    </w:p>
    <w:p w:rsidR="00676026" w:rsidRPr="00891173" w:rsidRDefault="00A65724" w:rsidP="00203D2D">
      <w:pPr>
        <w:pStyle w:val="ListParagraph"/>
        <w:numPr>
          <w:ilvl w:val="0"/>
          <w:numId w:val="8"/>
        </w:numPr>
        <w:spacing w:after="200" w:line="360" w:lineRule="auto"/>
        <w:ind w:left="993" w:hanging="284"/>
      </w:pPr>
      <w:r w:rsidRPr="00891173">
        <w:t>n</w:t>
      </w:r>
      <w:r w:rsidR="00676026" w:rsidRPr="00891173">
        <w:t>ekilnojamojo turto</w:t>
      </w:r>
    </w:p>
    <w:p w:rsidR="00676026" w:rsidRPr="00891173" w:rsidRDefault="00A65724" w:rsidP="00272FA2">
      <w:pPr>
        <w:pStyle w:val="ListParagraph"/>
        <w:spacing w:line="360" w:lineRule="auto"/>
        <w:ind w:left="993" w:hanging="284"/>
        <w:jc w:val="both"/>
      </w:pPr>
      <w:r w:rsidRPr="00891173">
        <w:t>g.    k</w:t>
      </w:r>
      <w:r w:rsidR="00676026" w:rsidRPr="00891173">
        <w:t>ita________</w:t>
      </w:r>
      <w:r w:rsidRPr="00891173">
        <w:t>______________</w:t>
      </w:r>
    </w:p>
    <w:p w:rsidR="00676026" w:rsidRPr="00891173" w:rsidRDefault="00676026" w:rsidP="00676026">
      <w:pPr>
        <w:pStyle w:val="ListParagraph"/>
        <w:spacing w:line="360" w:lineRule="auto"/>
        <w:jc w:val="both"/>
      </w:pPr>
    </w:p>
    <w:p w:rsidR="00676026" w:rsidRPr="00891173" w:rsidRDefault="00272FA2" w:rsidP="00203D2D">
      <w:pPr>
        <w:pStyle w:val="ListParagraph"/>
        <w:numPr>
          <w:ilvl w:val="0"/>
          <w:numId w:val="6"/>
        </w:numPr>
        <w:spacing w:after="200" w:line="360" w:lineRule="auto"/>
        <w:jc w:val="both"/>
      </w:pPr>
      <w:r w:rsidRPr="00891173">
        <w:t xml:space="preserve"> </w:t>
      </w:r>
      <w:r w:rsidR="00676026" w:rsidRPr="00891173">
        <w:t xml:space="preserve">Kuriam laikotarpiui investuojate lėšas į investicinius fondus? </w:t>
      </w:r>
    </w:p>
    <w:p w:rsidR="00676026" w:rsidRPr="00891173" w:rsidRDefault="00272FA2" w:rsidP="00203D2D">
      <w:pPr>
        <w:pStyle w:val="ListParagraph"/>
        <w:numPr>
          <w:ilvl w:val="0"/>
          <w:numId w:val="19"/>
        </w:numPr>
        <w:spacing w:line="360" w:lineRule="auto"/>
        <w:ind w:left="993" w:hanging="284"/>
        <w:jc w:val="both"/>
      </w:pPr>
      <w:r w:rsidRPr="00891173">
        <w:t>iki metų;</w:t>
      </w:r>
    </w:p>
    <w:p w:rsidR="00676026" w:rsidRPr="00891173" w:rsidRDefault="00272FA2" w:rsidP="00203D2D">
      <w:pPr>
        <w:pStyle w:val="ListParagraph"/>
        <w:numPr>
          <w:ilvl w:val="0"/>
          <w:numId w:val="19"/>
        </w:numPr>
        <w:spacing w:line="360" w:lineRule="auto"/>
        <w:ind w:left="993" w:hanging="284"/>
        <w:jc w:val="both"/>
      </w:pPr>
      <w:r w:rsidRPr="00891173">
        <w:t>nuo metų iki trejų metų;</w:t>
      </w:r>
    </w:p>
    <w:p w:rsidR="00676026" w:rsidRPr="00891173" w:rsidRDefault="00272FA2" w:rsidP="00203D2D">
      <w:pPr>
        <w:pStyle w:val="ListParagraph"/>
        <w:numPr>
          <w:ilvl w:val="0"/>
          <w:numId w:val="19"/>
        </w:numPr>
        <w:spacing w:line="360" w:lineRule="auto"/>
        <w:ind w:left="993" w:hanging="284"/>
        <w:jc w:val="both"/>
      </w:pPr>
      <w:r w:rsidRPr="00891173">
        <w:t>nuo trejų metų iki penkerių;</w:t>
      </w:r>
    </w:p>
    <w:p w:rsidR="00676026" w:rsidRPr="00891173" w:rsidRDefault="00272FA2" w:rsidP="00203D2D">
      <w:pPr>
        <w:pStyle w:val="ListParagraph"/>
        <w:numPr>
          <w:ilvl w:val="0"/>
          <w:numId w:val="19"/>
        </w:numPr>
        <w:spacing w:line="360" w:lineRule="auto"/>
        <w:ind w:left="993" w:hanging="284"/>
        <w:jc w:val="both"/>
      </w:pPr>
      <w:r w:rsidRPr="00891173">
        <w:t>daugiau nei penkeriems metams.</w:t>
      </w:r>
    </w:p>
    <w:p w:rsidR="00676026" w:rsidRPr="00891173" w:rsidRDefault="00676026" w:rsidP="00676026">
      <w:pPr>
        <w:pStyle w:val="ListParagraph"/>
        <w:spacing w:line="360" w:lineRule="auto"/>
        <w:jc w:val="both"/>
      </w:pPr>
    </w:p>
    <w:p w:rsidR="00272FA2" w:rsidRPr="00891173" w:rsidRDefault="00676026" w:rsidP="00203D2D">
      <w:pPr>
        <w:pStyle w:val="ListParagraph"/>
        <w:numPr>
          <w:ilvl w:val="0"/>
          <w:numId w:val="6"/>
        </w:numPr>
        <w:spacing w:line="360" w:lineRule="auto"/>
        <w:jc w:val="both"/>
      </w:pPr>
      <w:r w:rsidRPr="00891173">
        <w:t>Kokią savo mėnesinių pajamų dalį investuojate į investicinius fondus?</w:t>
      </w:r>
    </w:p>
    <w:p w:rsidR="00272FA2" w:rsidRPr="00891173" w:rsidRDefault="00272FA2" w:rsidP="00203D2D">
      <w:pPr>
        <w:pStyle w:val="ListParagraph"/>
        <w:numPr>
          <w:ilvl w:val="0"/>
          <w:numId w:val="20"/>
        </w:numPr>
        <w:spacing w:line="360" w:lineRule="auto"/>
        <w:ind w:left="993" w:hanging="284"/>
        <w:jc w:val="both"/>
      </w:pPr>
      <w:r w:rsidRPr="00891173">
        <w:t>0% - 14%;</w:t>
      </w:r>
    </w:p>
    <w:p w:rsidR="00272FA2" w:rsidRPr="00891173" w:rsidRDefault="00272FA2" w:rsidP="00203D2D">
      <w:pPr>
        <w:pStyle w:val="ListParagraph"/>
        <w:numPr>
          <w:ilvl w:val="0"/>
          <w:numId w:val="20"/>
        </w:numPr>
        <w:spacing w:line="360" w:lineRule="auto"/>
        <w:ind w:left="993" w:hanging="284"/>
        <w:jc w:val="both"/>
      </w:pPr>
      <w:r w:rsidRPr="00891173">
        <w:t>15% - 29%;</w:t>
      </w:r>
    </w:p>
    <w:p w:rsidR="00272FA2" w:rsidRPr="00891173" w:rsidRDefault="00676026" w:rsidP="00203D2D">
      <w:pPr>
        <w:pStyle w:val="ListParagraph"/>
        <w:numPr>
          <w:ilvl w:val="0"/>
          <w:numId w:val="20"/>
        </w:numPr>
        <w:spacing w:line="360" w:lineRule="auto"/>
        <w:ind w:left="993" w:hanging="284"/>
        <w:jc w:val="both"/>
      </w:pPr>
      <w:r w:rsidRPr="00891173">
        <w:t>30% - 50%;</w:t>
      </w:r>
    </w:p>
    <w:p w:rsidR="00272FA2" w:rsidRPr="00891173" w:rsidRDefault="00272FA2" w:rsidP="00203D2D">
      <w:pPr>
        <w:pStyle w:val="ListParagraph"/>
        <w:numPr>
          <w:ilvl w:val="0"/>
          <w:numId w:val="20"/>
        </w:numPr>
        <w:spacing w:line="360" w:lineRule="auto"/>
        <w:ind w:left="993" w:hanging="284"/>
        <w:jc w:val="both"/>
      </w:pPr>
      <w:r w:rsidRPr="00891173">
        <w:t>daugiau nei 50%;</w:t>
      </w:r>
    </w:p>
    <w:p w:rsidR="00676026" w:rsidRPr="00891173" w:rsidRDefault="00676026" w:rsidP="00676026">
      <w:pPr>
        <w:pStyle w:val="ListParagraph"/>
        <w:spacing w:line="360" w:lineRule="auto"/>
        <w:jc w:val="both"/>
      </w:pPr>
    </w:p>
    <w:p w:rsidR="00676026" w:rsidRPr="00891173" w:rsidRDefault="00676026" w:rsidP="00203D2D">
      <w:pPr>
        <w:pStyle w:val="ListParagraph"/>
        <w:numPr>
          <w:ilvl w:val="0"/>
          <w:numId w:val="6"/>
        </w:numPr>
        <w:spacing w:line="360" w:lineRule="auto"/>
        <w:jc w:val="both"/>
      </w:pPr>
      <w:r w:rsidRPr="00891173">
        <w:lastRenderedPageBreak/>
        <w:t>Kokia šiuo metu yra Jūsų grąža iš investicinių fondų?</w:t>
      </w:r>
    </w:p>
    <w:p w:rsidR="00676026" w:rsidRPr="00891173" w:rsidRDefault="00676026" w:rsidP="00676026">
      <w:pPr>
        <w:pStyle w:val="ListParagraph"/>
        <w:spacing w:line="360" w:lineRule="auto"/>
        <w:jc w:val="both"/>
      </w:pPr>
      <w:r w:rsidRPr="00891173">
        <w:t>a. nuostolis 50% ir daugiau;</w:t>
      </w:r>
    </w:p>
    <w:p w:rsidR="00676026" w:rsidRPr="00891173" w:rsidRDefault="00676026" w:rsidP="00676026">
      <w:pPr>
        <w:pStyle w:val="ListParagraph"/>
        <w:spacing w:line="360" w:lineRule="auto"/>
        <w:jc w:val="both"/>
      </w:pPr>
      <w:r w:rsidRPr="00891173">
        <w:t>b. nuostolis 49% - 21%;</w:t>
      </w:r>
    </w:p>
    <w:p w:rsidR="00676026" w:rsidRPr="00891173" w:rsidRDefault="00676026" w:rsidP="00676026">
      <w:pPr>
        <w:pStyle w:val="ListParagraph"/>
        <w:spacing w:line="360" w:lineRule="auto"/>
        <w:jc w:val="both"/>
      </w:pPr>
      <w:r w:rsidRPr="00891173">
        <w:t>c. nuostolis 10% - 20%;</w:t>
      </w:r>
    </w:p>
    <w:p w:rsidR="00676026" w:rsidRPr="00891173" w:rsidRDefault="00676026" w:rsidP="00676026">
      <w:pPr>
        <w:pStyle w:val="ListParagraph"/>
        <w:spacing w:line="360" w:lineRule="auto"/>
        <w:jc w:val="both"/>
      </w:pPr>
      <w:r w:rsidRPr="00891173">
        <w:t>d. nuostolis 1% - 9%;</w:t>
      </w:r>
    </w:p>
    <w:p w:rsidR="00676026" w:rsidRPr="00891173" w:rsidRDefault="00676026" w:rsidP="00676026">
      <w:pPr>
        <w:pStyle w:val="ListParagraph"/>
        <w:spacing w:line="360" w:lineRule="auto"/>
        <w:jc w:val="both"/>
      </w:pPr>
      <w:r w:rsidRPr="00891173">
        <w:t>e. lygiai 0%;</w:t>
      </w:r>
    </w:p>
    <w:p w:rsidR="00676026" w:rsidRPr="00891173" w:rsidRDefault="00676026" w:rsidP="00676026">
      <w:pPr>
        <w:pStyle w:val="ListParagraph"/>
        <w:spacing w:line="360" w:lineRule="auto"/>
        <w:jc w:val="both"/>
      </w:pPr>
      <w:r w:rsidRPr="00891173">
        <w:t>f. pelnas 1% 9%;</w:t>
      </w:r>
    </w:p>
    <w:p w:rsidR="00676026" w:rsidRPr="00891173" w:rsidRDefault="00676026" w:rsidP="00676026">
      <w:pPr>
        <w:pStyle w:val="ListParagraph"/>
        <w:spacing w:line="360" w:lineRule="auto"/>
        <w:jc w:val="both"/>
      </w:pPr>
      <w:r w:rsidRPr="00891173">
        <w:t>g. pelnas 10% - 20%</w:t>
      </w:r>
    </w:p>
    <w:p w:rsidR="00676026" w:rsidRPr="00891173" w:rsidRDefault="00676026" w:rsidP="00676026">
      <w:pPr>
        <w:pStyle w:val="ListParagraph"/>
        <w:spacing w:line="360" w:lineRule="auto"/>
        <w:jc w:val="both"/>
      </w:pPr>
      <w:r w:rsidRPr="00891173">
        <w:t>h. pelnas 21% - 49%;</w:t>
      </w:r>
    </w:p>
    <w:p w:rsidR="003F2953" w:rsidRPr="00891173" w:rsidRDefault="00676026" w:rsidP="003503AD">
      <w:pPr>
        <w:pStyle w:val="ListParagraph"/>
        <w:spacing w:line="360" w:lineRule="auto"/>
        <w:jc w:val="both"/>
      </w:pPr>
      <w:r w:rsidRPr="00891173">
        <w:t>i. pelnas 50% ir daugiau</w:t>
      </w:r>
    </w:p>
    <w:p w:rsidR="005D7769" w:rsidRPr="00891173" w:rsidRDefault="005D7769" w:rsidP="005D7769">
      <w:pPr>
        <w:pStyle w:val="ListParagraph"/>
        <w:spacing w:line="360" w:lineRule="auto"/>
        <w:ind w:left="1440"/>
        <w:jc w:val="both"/>
      </w:pPr>
    </w:p>
    <w:p w:rsidR="00312B44" w:rsidRPr="00891173" w:rsidRDefault="00312B44" w:rsidP="00203D2D">
      <w:pPr>
        <w:pStyle w:val="ListParagraph"/>
        <w:numPr>
          <w:ilvl w:val="0"/>
          <w:numId w:val="6"/>
        </w:numPr>
        <w:spacing w:line="360" w:lineRule="auto"/>
        <w:jc w:val="both"/>
      </w:pPr>
      <w:r w:rsidRPr="00891173">
        <w:t>Įvertinkite teiginius apie investicinio fondo rezultatus nuo 1 (visiškai nesutinku) iki 5 (visiškai sutinku). Apveskite Jums labiausiai tinkantį atsakymą.</w:t>
      </w:r>
    </w:p>
    <w:tbl>
      <w:tblPr>
        <w:tblW w:w="9360" w:type="dxa"/>
        <w:tblInd w:w="93" w:type="dxa"/>
        <w:tblLook w:val="00A0"/>
      </w:tblPr>
      <w:tblGrid>
        <w:gridCol w:w="3141"/>
        <w:gridCol w:w="1150"/>
        <w:gridCol w:w="1256"/>
        <w:gridCol w:w="1476"/>
        <w:gridCol w:w="1256"/>
        <w:gridCol w:w="1081"/>
      </w:tblGrid>
      <w:tr w:rsidR="00312B44" w:rsidRPr="00891173" w:rsidTr="00312B44">
        <w:trPr>
          <w:trHeight w:val="600"/>
        </w:trPr>
        <w:tc>
          <w:tcPr>
            <w:tcW w:w="3141" w:type="dxa"/>
            <w:tcBorders>
              <w:top w:val="single" w:sz="8" w:space="0" w:color="auto"/>
              <w:left w:val="single" w:sz="8" w:space="0" w:color="auto"/>
              <w:bottom w:val="single" w:sz="8" w:space="0" w:color="auto"/>
              <w:right w:val="single" w:sz="8" w:space="0" w:color="auto"/>
            </w:tcBorders>
            <w:vAlign w:val="center"/>
          </w:tcPr>
          <w:p w:rsidR="00312B44" w:rsidRPr="00891173" w:rsidRDefault="00312B44" w:rsidP="00AA6D52">
            <w:pPr>
              <w:jc w:val="center"/>
              <w:rPr>
                <w:rFonts w:eastAsia="Calibri"/>
                <w:color w:val="000000"/>
              </w:rPr>
            </w:pPr>
          </w:p>
          <w:p w:rsidR="00312B44" w:rsidRPr="00891173" w:rsidRDefault="00312B44" w:rsidP="00AA6D52">
            <w:pPr>
              <w:jc w:val="center"/>
              <w:rPr>
                <w:rFonts w:eastAsia="Calibri"/>
                <w:color w:val="000000"/>
              </w:rPr>
            </w:pPr>
            <w:r w:rsidRPr="00891173">
              <w:rPr>
                <w:rFonts w:eastAsia="Calibri"/>
                <w:color w:val="000000"/>
              </w:rPr>
              <w:t> </w:t>
            </w:r>
            <w:r w:rsidRPr="00891173">
              <w:rPr>
                <w:color w:val="000000"/>
              </w:rPr>
              <w:t xml:space="preserve">Teiginys </w:t>
            </w:r>
          </w:p>
        </w:tc>
        <w:tc>
          <w:tcPr>
            <w:tcW w:w="1150" w:type="dxa"/>
            <w:tcBorders>
              <w:top w:val="single" w:sz="8" w:space="0" w:color="auto"/>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Visiškai nesutinku</w:t>
            </w:r>
          </w:p>
        </w:tc>
        <w:tc>
          <w:tcPr>
            <w:tcW w:w="1256" w:type="dxa"/>
            <w:tcBorders>
              <w:top w:val="single" w:sz="8" w:space="0" w:color="auto"/>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Nuosaikiai nesutinku</w:t>
            </w:r>
          </w:p>
        </w:tc>
        <w:tc>
          <w:tcPr>
            <w:tcW w:w="1476" w:type="dxa"/>
            <w:tcBorders>
              <w:top w:val="single" w:sz="8" w:space="0" w:color="auto"/>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Vienodai sutinku ir nesutinku</w:t>
            </w:r>
          </w:p>
        </w:tc>
        <w:tc>
          <w:tcPr>
            <w:tcW w:w="1256" w:type="dxa"/>
            <w:tcBorders>
              <w:top w:val="single" w:sz="8" w:space="0" w:color="auto"/>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Nuosaikiai sutinku</w:t>
            </w:r>
          </w:p>
        </w:tc>
        <w:tc>
          <w:tcPr>
            <w:tcW w:w="1081" w:type="dxa"/>
            <w:tcBorders>
              <w:top w:val="single" w:sz="8" w:space="0" w:color="auto"/>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Visiškai sutinku</w:t>
            </w:r>
          </w:p>
        </w:tc>
      </w:tr>
      <w:tr w:rsidR="00312B44" w:rsidRPr="00891173" w:rsidTr="00312B44">
        <w:trPr>
          <w:trHeight w:val="600"/>
        </w:trPr>
        <w:tc>
          <w:tcPr>
            <w:tcW w:w="3141" w:type="dxa"/>
            <w:tcBorders>
              <w:top w:val="nil"/>
              <w:left w:val="single" w:sz="8" w:space="0" w:color="auto"/>
              <w:bottom w:val="single" w:sz="8" w:space="0" w:color="auto"/>
              <w:right w:val="single" w:sz="8" w:space="0" w:color="auto"/>
            </w:tcBorders>
            <w:vAlign w:val="center"/>
          </w:tcPr>
          <w:p w:rsidR="00312B44" w:rsidRPr="00891173" w:rsidRDefault="00312B44" w:rsidP="00AA6D52">
            <w:pPr>
              <w:rPr>
                <w:rFonts w:eastAsia="Calibri"/>
                <w:color w:val="000000"/>
              </w:rPr>
            </w:pPr>
            <w:r w:rsidRPr="00891173">
              <w:rPr>
                <w:color w:val="000000"/>
              </w:rPr>
              <w:t>Mane tenkina fondo metinis rezultatas</w:t>
            </w:r>
          </w:p>
        </w:tc>
        <w:tc>
          <w:tcPr>
            <w:tcW w:w="1150"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1</w:t>
            </w:r>
          </w:p>
        </w:tc>
        <w:tc>
          <w:tcPr>
            <w:tcW w:w="125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2</w:t>
            </w:r>
          </w:p>
        </w:tc>
        <w:tc>
          <w:tcPr>
            <w:tcW w:w="147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3</w:t>
            </w:r>
          </w:p>
        </w:tc>
        <w:tc>
          <w:tcPr>
            <w:tcW w:w="125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4</w:t>
            </w:r>
          </w:p>
        </w:tc>
        <w:tc>
          <w:tcPr>
            <w:tcW w:w="1081"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5</w:t>
            </w:r>
          </w:p>
        </w:tc>
      </w:tr>
      <w:tr w:rsidR="00312B44" w:rsidRPr="00891173" w:rsidTr="00312B44">
        <w:trPr>
          <w:trHeight w:val="600"/>
        </w:trPr>
        <w:tc>
          <w:tcPr>
            <w:tcW w:w="3141" w:type="dxa"/>
            <w:tcBorders>
              <w:top w:val="nil"/>
              <w:left w:val="single" w:sz="8" w:space="0" w:color="auto"/>
              <w:bottom w:val="single" w:sz="8" w:space="0" w:color="auto"/>
              <w:right w:val="single" w:sz="8" w:space="0" w:color="auto"/>
            </w:tcBorders>
            <w:vAlign w:val="center"/>
          </w:tcPr>
          <w:p w:rsidR="00312B44" w:rsidRPr="00891173" w:rsidRDefault="00312B44" w:rsidP="00AA6D52">
            <w:pPr>
              <w:rPr>
                <w:rFonts w:eastAsia="Calibri"/>
                <w:color w:val="000000"/>
              </w:rPr>
            </w:pPr>
            <w:r w:rsidRPr="00891173">
              <w:rPr>
                <w:color w:val="000000"/>
              </w:rPr>
              <w:t>Investicinio fondo rezultatai prastesni lyginant su rinkos rezultatais</w:t>
            </w:r>
          </w:p>
        </w:tc>
        <w:tc>
          <w:tcPr>
            <w:tcW w:w="1150"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1</w:t>
            </w:r>
          </w:p>
        </w:tc>
        <w:tc>
          <w:tcPr>
            <w:tcW w:w="125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2</w:t>
            </w:r>
          </w:p>
        </w:tc>
        <w:tc>
          <w:tcPr>
            <w:tcW w:w="147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3</w:t>
            </w:r>
          </w:p>
        </w:tc>
        <w:tc>
          <w:tcPr>
            <w:tcW w:w="1256"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4</w:t>
            </w:r>
          </w:p>
        </w:tc>
        <w:tc>
          <w:tcPr>
            <w:tcW w:w="1081" w:type="dxa"/>
            <w:tcBorders>
              <w:top w:val="nil"/>
              <w:left w:val="nil"/>
              <w:bottom w:val="single" w:sz="8"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5</w:t>
            </w:r>
          </w:p>
        </w:tc>
      </w:tr>
      <w:tr w:rsidR="00312B44" w:rsidRPr="00891173" w:rsidTr="00312B44">
        <w:trPr>
          <w:trHeight w:val="600"/>
        </w:trPr>
        <w:tc>
          <w:tcPr>
            <w:tcW w:w="3141" w:type="dxa"/>
            <w:tcBorders>
              <w:top w:val="nil"/>
              <w:left w:val="single" w:sz="8" w:space="0" w:color="auto"/>
              <w:bottom w:val="single" w:sz="4" w:space="0" w:color="auto"/>
              <w:right w:val="single" w:sz="8" w:space="0" w:color="auto"/>
            </w:tcBorders>
            <w:vAlign w:val="center"/>
          </w:tcPr>
          <w:p w:rsidR="00312B44" w:rsidRPr="00891173" w:rsidRDefault="00312B44" w:rsidP="00AA6D52">
            <w:pPr>
              <w:rPr>
                <w:rFonts w:eastAsia="Calibri"/>
                <w:color w:val="000000"/>
              </w:rPr>
            </w:pPr>
            <w:r w:rsidRPr="00891173">
              <w:rPr>
                <w:color w:val="000000"/>
              </w:rPr>
              <w:t xml:space="preserve">Artimiausiu metu ketinu parduoti turimus investicinio fondo aktyvus </w:t>
            </w:r>
          </w:p>
        </w:tc>
        <w:tc>
          <w:tcPr>
            <w:tcW w:w="1150" w:type="dxa"/>
            <w:tcBorders>
              <w:top w:val="nil"/>
              <w:left w:val="nil"/>
              <w:bottom w:val="single" w:sz="4"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1</w:t>
            </w:r>
          </w:p>
        </w:tc>
        <w:tc>
          <w:tcPr>
            <w:tcW w:w="1256" w:type="dxa"/>
            <w:tcBorders>
              <w:top w:val="nil"/>
              <w:left w:val="nil"/>
              <w:bottom w:val="single" w:sz="4"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2</w:t>
            </w:r>
          </w:p>
        </w:tc>
        <w:tc>
          <w:tcPr>
            <w:tcW w:w="1476" w:type="dxa"/>
            <w:tcBorders>
              <w:top w:val="nil"/>
              <w:left w:val="nil"/>
              <w:bottom w:val="single" w:sz="4"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3</w:t>
            </w:r>
          </w:p>
        </w:tc>
        <w:tc>
          <w:tcPr>
            <w:tcW w:w="1256" w:type="dxa"/>
            <w:tcBorders>
              <w:top w:val="nil"/>
              <w:left w:val="nil"/>
              <w:bottom w:val="single" w:sz="4"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4</w:t>
            </w:r>
          </w:p>
        </w:tc>
        <w:tc>
          <w:tcPr>
            <w:tcW w:w="1081" w:type="dxa"/>
            <w:tcBorders>
              <w:top w:val="nil"/>
              <w:left w:val="nil"/>
              <w:bottom w:val="single" w:sz="4" w:space="0" w:color="auto"/>
              <w:right w:val="single" w:sz="8" w:space="0" w:color="auto"/>
            </w:tcBorders>
            <w:vAlign w:val="center"/>
          </w:tcPr>
          <w:p w:rsidR="00312B44" w:rsidRPr="00891173" w:rsidRDefault="00312B44" w:rsidP="00AA6D52">
            <w:pPr>
              <w:jc w:val="center"/>
              <w:rPr>
                <w:rFonts w:eastAsia="Calibri"/>
                <w:color w:val="000000"/>
              </w:rPr>
            </w:pPr>
            <w:r w:rsidRPr="00891173">
              <w:rPr>
                <w:rFonts w:eastAsia="Calibri"/>
                <w:color w:val="000000"/>
              </w:rPr>
              <w:t>5</w:t>
            </w:r>
          </w:p>
        </w:tc>
      </w:tr>
    </w:tbl>
    <w:p w:rsidR="00312B44" w:rsidRPr="00891173" w:rsidRDefault="00312B44" w:rsidP="00312B44">
      <w:pPr>
        <w:pStyle w:val="ListParagraph"/>
        <w:spacing w:line="360" w:lineRule="auto"/>
        <w:jc w:val="both"/>
      </w:pPr>
    </w:p>
    <w:p w:rsidR="00676026" w:rsidRPr="00891173" w:rsidRDefault="00676026" w:rsidP="00203D2D">
      <w:pPr>
        <w:pStyle w:val="ListParagraph"/>
        <w:numPr>
          <w:ilvl w:val="0"/>
          <w:numId w:val="6"/>
        </w:numPr>
        <w:spacing w:line="360" w:lineRule="auto"/>
        <w:jc w:val="both"/>
      </w:pPr>
      <w:r w:rsidRPr="00891173">
        <w:t>Įvertinkite teiginius apie investicinio fondo administravimo tarifų politiką nuo 1 (visiškai nesutinku) iki 5 (visiškai sutinku). Apveskite Jums labiausiai tinkantį atsakymą.</w:t>
      </w:r>
    </w:p>
    <w:p w:rsidR="00676026" w:rsidRPr="00891173" w:rsidRDefault="00676026" w:rsidP="00676026">
      <w:pPr>
        <w:pStyle w:val="ListParagraph"/>
        <w:spacing w:line="360" w:lineRule="auto"/>
        <w:jc w:val="both"/>
      </w:pPr>
    </w:p>
    <w:tbl>
      <w:tblPr>
        <w:tblW w:w="9360" w:type="dxa"/>
        <w:tblInd w:w="93" w:type="dxa"/>
        <w:tblLook w:val="00A0"/>
      </w:tblPr>
      <w:tblGrid>
        <w:gridCol w:w="3141"/>
        <w:gridCol w:w="1150"/>
        <w:gridCol w:w="1256"/>
        <w:gridCol w:w="1476"/>
        <w:gridCol w:w="1256"/>
        <w:gridCol w:w="1081"/>
      </w:tblGrid>
      <w:tr w:rsidR="00952B2A" w:rsidRPr="00891173" w:rsidTr="00F416BE">
        <w:trPr>
          <w:trHeight w:val="600"/>
        </w:trPr>
        <w:tc>
          <w:tcPr>
            <w:tcW w:w="3327" w:type="dxa"/>
            <w:tcBorders>
              <w:top w:val="single" w:sz="8" w:space="0" w:color="auto"/>
              <w:left w:val="single" w:sz="8" w:space="0" w:color="auto"/>
              <w:bottom w:val="single" w:sz="8" w:space="0" w:color="auto"/>
              <w:right w:val="single" w:sz="8" w:space="0" w:color="auto"/>
            </w:tcBorders>
            <w:vAlign w:val="center"/>
          </w:tcPr>
          <w:p w:rsidR="00952B2A" w:rsidRPr="00891173" w:rsidRDefault="00952B2A" w:rsidP="00F416BE">
            <w:pPr>
              <w:jc w:val="center"/>
              <w:rPr>
                <w:rFonts w:eastAsia="Calibri"/>
                <w:color w:val="000000"/>
              </w:rPr>
            </w:pPr>
          </w:p>
          <w:p w:rsidR="00952B2A" w:rsidRPr="00891173" w:rsidRDefault="00952B2A" w:rsidP="00F416BE">
            <w:pPr>
              <w:jc w:val="center"/>
              <w:rPr>
                <w:rFonts w:eastAsia="Calibri"/>
                <w:color w:val="000000"/>
              </w:rPr>
            </w:pPr>
            <w:r w:rsidRPr="00891173">
              <w:rPr>
                <w:rFonts w:eastAsia="Calibri"/>
                <w:color w:val="000000"/>
              </w:rPr>
              <w:t> </w:t>
            </w:r>
            <w:r w:rsidRPr="00891173">
              <w:rPr>
                <w:color w:val="000000"/>
              </w:rPr>
              <w:t xml:space="preserve">Teiginys </w:t>
            </w:r>
          </w:p>
        </w:tc>
        <w:tc>
          <w:tcPr>
            <w:tcW w:w="1150" w:type="dxa"/>
            <w:tcBorders>
              <w:top w:val="single" w:sz="8" w:space="0" w:color="auto"/>
              <w:left w:val="nil"/>
              <w:bottom w:val="single" w:sz="8" w:space="0" w:color="auto"/>
              <w:right w:val="single" w:sz="8" w:space="0" w:color="auto"/>
            </w:tcBorders>
            <w:vAlign w:val="center"/>
          </w:tcPr>
          <w:p w:rsidR="00952B2A" w:rsidRPr="00891173" w:rsidRDefault="00952B2A" w:rsidP="003503AD">
            <w:pPr>
              <w:jc w:val="center"/>
              <w:rPr>
                <w:rFonts w:eastAsia="Calibri"/>
                <w:color w:val="000000"/>
              </w:rPr>
            </w:pPr>
            <w:r w:rsidRPr="00891173">
              <w:rPr>
                <w:rFonts w:eastAsia="Calibri"/>
                <w:color w:val="000000"/>
              </w:rPr>
              <w:t>Visiškai nesutinku</w:t>
            </w:r>
          </w:p>
        </w:tc>
        <w:tc>
          <w:tcPr>
            <w:tcW w:w="1203" w:type="dxa"/>
            <w:tcBorders>
              <w:top w:val="single" w:sz="8" w:space="0" w:color="auto"/>
              <w:left w:val="nil"/>
              <w:bottom w:val="single" w:sz="8" w:space="0" w:color="auto"/>
              <w:right w:val="single" w:sz="8" w:space="0" w:color="auto"/>
            </w:tcBorders>
            <w:vAlign w:val="center"/>
          </w:tcPr>
          <w:p w:rsidR="00952B2A" w:rsidRPr="00891173" w:rsidRDefault="00952B2A" w:rsidP="003503AD">
            <w:pPr>
              <w:jc w:val="center"/>
              <w:rPr>
                <w:rFonts w:eastAsia="Calibri"/>
                <w:color w:val="000000"/>
              </w:rPr>
            </w:pPr>
            <w:r w:rsidRPr="00891173">
              <w:rPr>
                <w:rFonts w:eastAsia="Calibri"/>
                <w:color w:val="000000"/>
              </w:rPr>
              <w:t>Nuosaikiai nesutinku</w:t>
            </w:r>
          </w:p>
        </w:tc>
        <w:tc>
          <w:tcPr>
            <w:tcW w:w="1510" w:type="dxa"/>
            <w:tcBorders>
              <w:top w:val="single" w:sz="8" w:space="0" w:color="auto"/>
              <w:left w:val="nil"/>
              <w:bottom w:val="single" w:sz="8" w:space="0" w:color="auto"/>
              <w:right w:val="single" w:sz="8" w:space="0" w:color="auto"/>
            </w:tcBorders>
            <w:vAlign w:val="center"/>
          </w:tcPr>
          <w:p w:rsidR="00952B2A" w:rsidRPr="00891173" w:rsidRDefault="00952B2A" w:rsidP="003503AD">
            <w:pPr>
              <w:jc w:val="center"/>
              <w:rPr>
                <w:rFonts w:eastAsia="Calibri"/>
                <w:color w:val="000000"/>
              </w:rPr>
            </w:pPr>
            <w:r w:rsidRPr="00891173">
              <w:rPr>
                <w:rFonts w:eastAsia="Calibri"/>
                <w:color w:val="000000"/>
              </w:rPr>
              <w:t>Vienodai sutinku ir nesutinku</w:t>
            </w:r>
          </w:p>
        </w:tc>
        <w:tc>
          <w:tcPr>
            <w:tcW w:w="1081" w:type="dxa"/>
            <w:tcBorders>
              <w:top w:val="single" w:sz="8" w:space="0" w:color="auto"/>
              <w:left w:val="nil"/>
              <w:bottom w:val="single" w:sz="8" w:space="0" w:color="auto"/>
              <w:right w:val="single" w:sz="8" w:space="0" w:color="auto"/>
            </w:tcBorders>
            <w:vAlign w:val="center"/>
          </w:tcPr>
          <w:p w:rsidR="00952B2A" w:rsidRPr="00891173" w:rsidRDefault="00952B2A" w:rsidP="003503AD">
            <w:pPr>
              <w:jc w:val="center"/>
              <w:rPr>
                <w:rFonts w:eastAsia="Calibri"/>
                <w:color w:val="000000"/>
              </w:rPr>
            </w:pPr>
            <w:r w:rsidRPr="00891173">
              <w:rPr>
                <w:rFonts w:eastAsia="Calibri"/>
                <w:color w:val="000000"/>
              </w:rPr>
              <w:t>Nuosaikiai sutinku</w:t>
            </w:r>
          </w:p>
        </w:tc>
        <w:tc>
          <w:tcPr>
            <w:tcW w:w="1089" w:type="dxa"/>
            <w:tcBorders>
              <w:top w:val="single" w:sz="8" w:space="0" w:color="auto"/>
              <w:left w:val="nil"/>
              <w:bottom w:val="single" w:sz="8" w:space="0" w:color="auto"/>
              <w:right w:val="single" w:sz="8" w:space="0" w:color="auto"/>
            </w:tcBorders>
            <w:vAlign w:val="center"/>
          </w:tcPr>
          <w:p w:rsidR="00952B2A" w:rsidRPr="00891173" w:rsidRDefault="00952B2A" w:rsidP="003503AD">
            <w:pPr>
              <w:jc w:val="center"/>
              <w:rPr>
                <w:rFonts w:eastAsia="Calibri"/>
                <w:color w:val="000000"/>
              </w:rPr>
            </w:pPr>
            <w:r w:rsidRPr="00891173">
              <w:rPr>
                <w:rFonts w:eastAsia="Calibri"/>
                <w:color w:val="000000"/>
              </w:rPr>
              <w:t>Visiškai sutinku</w:t>
            </w:r>
          </w:p>
        </w:tc>
      </w:tr>
      <w:tr w:rsidR="00676026" w:rsidRPr="00891173" w:rsidTr="00F416BE">
        <w:trPr>
          <w:trHeight w:val="600"/>
        </w:trPr>
        <w:tc>
          <w:tcPr>
            <w:tcW w:w="3327" w:type="dxa"/>
            <w:tcBorders>
              <w:top w:val="nil"/>
              <w:left w:val="single" w:sz="8" w:space="0" w:color="auto"/>
              <w:bottom w:val="single" w:sz="8" w:space="0" w:color="auto"/>
              <w:right w:val="single" w:sz="8" w:space="0" w:color="auto"/>
            </w:tcBorders>
            <w:vAlign w:val="center"/>
          </w:tcPr>
          <w:p w:rsidR="00676026" w:rsidRPr="00891173" w:rsidRDefault="00676026" w:rsidP="00F416BE">
            <w:pPr>
              <w:rPr>
                <w:rFonts w:eastAsia="Calibri"/>
                <w:color w:val="000000"/>
              </w:rPr>
            </w:pPr>
            <w:r w:rsidRPr="00891173">
              <w:rPr>
                <w:color w:val="000000"/>
              </w:rPr>
              <w:t xml:space="preserve">Mane tenkina vienkartinio mokesčio tarifas </w:t>
            </w:r>
          </w:p>
        </w:tc>
        <w:tc>
          <w:tcPr>
            <w:tcW w:w="115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5</w:t>
            </w:r>
          </w:p>
        </w:tc>
      </w:tr>
      <w:tr w:rsidR="00676026" w:rsidRPr="00891173" w:rsidTr="00F416BE">
        <w:trPr>
          <w:trHeight w:val="600"/>
        </w:trPr>
        <w:tc>
          <w:tcPr>
            <w:tcW w:w="3327" w:type="dxa"/>
            <w:tcBorders>
              <w:top w:val="nil"/>
              <w:left w:val="single" w:sz="8" w:space="0" w:color="auto"/>
              <w:bottom w:val="single" w:sz="8" w:space="0" w:color="auto"/>
              <w:right w:val="single" w:sz="8" w:space="0" w:color="auto"/>
            </w:tcBorders>
            <w:vAlign w:val="center"/>
          </w:tcPr>
          <w:p w:rsidR="00676026" w:rsidRPr="00891173" w:rsidRDefault="00676026" w:rsidP="00F416BE">
            <w:pPr>
              <w:rPr>
                <w:rFonts w:eastAsia="Calibri"/>
                <w:color w:val="000000"/>
              </w:rPr>
            </w:pPr>
            <w:r w:rsidRPr="00891173">
              <w:rPr>
                <w:color w:val="000000"/>
              </w:rPr>
              <w:t xml:space="preserve">Mane tenkina valdymo mokestis </w:t>
            </w:r>
          </w:p>
        </w:tc>
        <w:tc>
          <w:tcPr>
            <w:tcW w:w="115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5</w:t>
            </w:r>
          </w:p>
        </w:tc>
      </w:tr>
      <w:tr w:rsidR="00676026" w:rsidRPr="00891173" w:rsidTr="00F416BE">
        <w:trPr>
          <w:trHeight w:val="600"/>
        </w:trPr>
        <w:tc>
          <w:tcPr>
            <w:tcW w:w="3327" w:type="dxa"/>
            <w:tcBorders>
              <w:top w:val="nil"/>
              <w:left w:val="single" w:sz="8" w:space="0" w:color="auto"/>
              <w:bottom w:val="single" w:sz="8" w:space="0" w:color="auto"/>
              <w:right w:val="single" w:sz="8" w:space="0" w:color="auto"/>
            </w:tcBorders>
            <w:vAlign w:val="center"/>
          </w:tcPr>
          <w:p w:rsidR="00676026" w:rsidRPr="00891173" w:rsidRDefault="00676026" w:rsidP="00F416BE">
            <w:pPr>
              <w:rPr>
                <w:rFonts w:eastAsia="Calibri"/>
                <w:color w:val="000000"/>
              </w:rPr>
            </w:pPr>
            <w:r w:rsidRPr="00891173">
              <w:rPr>
                <w:color w:val="000000"/>
              </w:rPr>
              <w:t>Mane tenkina sėkmės mokestis</w:t>
            </w:r>
          </w:p>
        </w:tc>
        <w:tc>
          <w:tcPr>
            <w:tcW w:w="115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5</w:t>
            </w:r>
          </w:p>
        </w:tc>
      </w:tr>
      <w:tr w:rsidR="00676026" w:rsidRPr="00891173" w:rsidTr="00F416BE">
        <w:trPr>
          <w:trHeight w:val="600"/>
        </w:trPr>
        <w:tc>
          <w:tcPr>
            <w:tcW w:w="3327" w:type="dxa"/>
            <w:tcBorders>
              <w:top w:val="nil"/>
              <w:left w:val="single" w:sz="8" w:space="0" w:color="auto"/>
              <w:bottom w:val="single" w:sz="8" w:space="0" w:color="auto"/>
              <w:right w:val="single" w:sz="8" w:space="0" w:color="auto"/>
            </w:tcBorders>
            <w:vAlign w:val="center"/>
          </w:tcPr>
          <w:p w:rsidR="00676026" w:rsidRPr="00891173" w:rsidRDefault="00676026" w:rsidP="00F416BE">
            <w:pPr>
              <w:rPr>
                <w:rFonts w:eastAsia="Calibri"/>
                <w:color w:val="000000"/>
              </w:rPr>
            </w:pPr>
            <w:r w:rsidRPr="00891173">
              <w:rPr>
                <w:rFonts w:eastAsia="Calibri"/>
                <w:color w:val="000000"/>
              </w:rPr>
              <w:t>Mane tenkina ataskaitos parengimo mokestis</w:t>
            </w:r>
          </w:p>
        </w:tc>
        <w:tc>
          <w:tcPr>
            <w:tcW w:w="115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1</w:t>
            </w:r>
          </w:p>
        </w:tc>
        <w:tc>
          <w:tcPr>
            <w:tcW w:w="1203"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2</w:t>
            </w:r>
          </w:p>
        </w:tc>
        <w:tc>
          <w:tcPr>
            <w:tcW w:w="1510"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3</w:t>
            </w:r>
          </w:p>
        </w:tc>
        <w:tc>
          <w:tcPr>
            <w:tcW w:w="1081"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4</w:t>
            </w:r>
          </w:p>
        </w:tc>
        <w:tc>
          <w:tcPr>
            <w:tcW w:w="1089" w:type="dxa"/>
            <w:tcBorders>
              <w:top w:val="nil"/>
              <w:left w:val="nil"/>
              <w:bottom w:val="single" w:sz="8" w:space="0" w:color="auto"/>
              <w:right w:val="single" w:sz="8" w:space="0" w:color="auto"/>
            </w:tcBorders>
            <w:vAlign w:val="center"/>
          </w:tcPr>
          <w:p w:rsidR="00676026" w:rsidRPr="00891173" w:rsidRDefault="00676026" w:rsidP="00F416BE">
            <w:pPr>
              <w:jc w:val="center"/>
              <w:rPr>
                <w:rFonts w:eastAsia="Calibri"/>
                <w:color w:val="000000"/>
              </w:rPr>
            </w:pPr>
            <w:r w:rsidRPr="00891173">
              <w:rPr>
                <w:rFonts w:eastAsia="Calibri"/>
                <w:color w:val="000000"/>
              </w:rPr>
              <w:t>5</w:t>
            </w:r>
          </w:p>
        </w:tc>
      </w:tr>
    </w:tbl>
    <w:p w:rsidR="00676026" w:rsidRPr="00891173" w:rsidRDefault="00676026" w:rsidP="00676026">
      <w:pPr>
        <w:pStyle w:val="ListParagraph"/>
        <w:spacing w:line="360" w:lineRule="auto"/>
        <w:ind w:left="0"/>
        <w:jc w:val="both"/>
      </w:pPr>
    </w:p>
    <w:p w:rsidR="00676026" w:rsidRPr="00891173" w:rsidRDefault="00312B44" w:rsidP="00203D2D">
      <w:pPr>
        <w:pStyle w:val="ListParagraph"/>
        <w:numPr>
          <w:ilvl w:val="0"/>
          <w:numId w:val="6"/>
        </w:numPr>
        <w:spacing w:line="360" w:lineRule="auto"/>
        <w:jc w:val="both"/>
      </w:pPr>
      <w:r w:rsidRPr="00891173">
        <w:t>Kokie pagrindiniai kriterijai lemia investicinių fondų pasirinkimą?</w:t>
      </w:r>
    </w:p>
    <w:p w:rsidR="00312B44" w:rsidRPr="00891173" w:rsidRDefault="00312B44" w:rsidP="00203D2D">
      <w:pPr>
        <w:pStyle w:val="ListParagraph"/>
        <w:numPr>
          <w:ilvl w:val="0"/>
          <w:numId w:val="21"/>
        </w:numPr>
        <w:spacing w:line="360" w:lineRule="auto"/>
        <w:ind w:left="993" w:hanging="284"/>
        <w:jc w:val="both"/>
      </w:pPr>
      <w:r w:rsidRPr="00891173">
        <w:lastRenderedPageBreak/>
        <w:t>fondo valdytojo patirtis;</w:t>
      </w:r>
    </w:p>
    <w:p w:rsidR="00312B44" w:rsidRPr="00891173" w:rsidRDefault="00312B44" w:rsidP="00203D2D">
      <w:pPr>
        <w:pStyle w:val="ListParagraph"/>
        <w:numPr>
          <w:ilvl w:val="0"/>
          <w:numId w:val="21"/>
        </w:numPr>
        <w:spacing w:line="360" w:lineRule="auto"/>
        <w:ind w:left="993" w:hanging="284"/>
        <w:jc w:val="both"/>
      </w:pPr>
      <w:r w:rsidRPr="00891173">
        <w:t>valdytojo valdomų fondų skaičius;</w:t>
      </w:r>
    </w:p>
    <w:p w:rsidR="00312B44" w:rsidRPr="00891173" w:rsidRDefault="00312B44" w:rsidP="00203D2D">
      <w:pPr>
        <w:pStyle w:val="ListParagraph"/>
        <w:numPr>
          <w:ilvl w:val="0"/>
          <w:numId w:val="21"/>
        </w:numPr>
        <w:spacing w:line="360" w:lineRule="auto"/>
        <w:ind w:left="993" w:hanging="284"/>
        <w:jc w:val="both"/>
      </w:pPr>
      <w:r w:rsidRPr="00891173">
        <w:t>fondo pelningumas;</w:t>
      </w:r>
    </w:p>
    <w:p w:rsidR="00312B44" w:rsidRPr="00891173" w:rsidRDefault="00312B44" w:rsidP="00203D2D">
      <w:pPr>
        <w:pStyle w:val="ListParagraph"/>
        <w:numPr>
          <w:ilvl w:val="0"/>
          <w:numId w:val="21"/>
        </w:numPr>
        <w:spacing w:line="360" w:lineRule="auto"/>
        <w:ind w:left="993" w:hanging="284"/>
        <w:jc w:val="both"/>
      </w:pPr>
      <w:r w:rsidRPr="00891173">
        <w:t>fondo rizika;</w:t>
      </w:r>
    </w:p>
    <w:p w:rsidR="00312B44" w:rsidRPr="00891173" w:rsidRDefault="00312B44" w:rsidP="00203D2D">
      <w:pPr>
        <w:pStyle w:val="ListParagraph"/>
        <w:numPr>
          <w:ilvl w:val="0"/>
          <w:numId w:val="21"/>
        </w:numPr>
        <w:spacing w:line="360" w:lineRule="auto"/>
        <w:ind w:left="993" w:hanging="284"/>
        <w:jc w:val="both"/>
      </w:pPr>
      <w:r w:rsidRPr="00891173">
        <w:t>taikomi mokesčiai;</w:t>
      </w:r>
    </w:p>
    <w:p w:rsidR="00312B44" w:rsidRPr="00891173" w:rsidRDefault="00312B44" w:rsidP="00203D2D">
      <w:pPr>
        <w:pStyle w:val="ListParagraph"/>
        <w:numPr>
          <w:ilvl w:val="0"/>
          <w:numId w:val="21"/>
        </w:numPr>
        <w:spacing w:line="360" w:lineRule="auto"/>
        <w:ind w:left="993" w:hanging="284"/>
        <w:jc w:val="both"/>
      </w:pPr>
      <w:r w:rsidRPr="00891173">
        <w:t>analitikų pranešimai;</w:t>
      </w:r>
    </w:p>
    <w:p w:rsidR="00312B44" w:rsidRPr="00891173" w:rsidRDefault="00312B44" w:rsidP="00203D2D">
      <w:pPr>
        <w:pStyle w:val="ListParagraph"/>
        <w:numPr>
          <w:ilvl w:val="0"/>
          <w:numId w:val="21"/>
        </w:numPr>
        <w:spacing w:line="360" w:lineRule="auto"/>
        <w:ind w:left="993" w:hanging="284"/>
        <w:jc w:val="both"/>
      </w:pPr>
      <w:r w:rsidRPr="00891173">
        <w:t>fondo investavimo strategija;</w:t>
      </w:r>
    </w:p>
    <w:p w:rsidR="00312B44" w:rsidRPr="00891173" w:rsidRDefault="00312B44" w:rsidP="00203D2D">
      <w:pPr>
        <w:pStyle w:val="ListParagraph"/>
        <w:numPr>
          <w:ilvl w:val="0"/>
          <w:numId w:val="21"/>
        </w:numPr>
        <w:spacing w:line="360" w:lineRule="auto"/>
        <w:ind w:left="993" w:hanging="284"/>
        <w:jc w:val="both"/>
      </w:pPr>
      <w:r w:rsidRPr="00891173">
        <w:t>informacijos prieinamumas apie fondą;</w:t>
      </w:r>
    </w:p>
    <w:p w:rsidR="00312B44" w:rsidRPr="00891173" w:rsidRDefault="00312B44" w:rsidP="00203D2D">
      <w:pPr>
        <w:pStyle w:val="ListParagraph"/>
        <w:numPr>
          <w:ilvl w:val="0"/>
          <w:numId w:val="21"/>
        </w:numPr>
        <w:spacing w:line="360" w:lineRule="auto"/>
        <w:ind w:left="993" w:hanging="284"/>
        <w:jc w:val="both"/>
      </w:pPr>
      <w:r w:rsidRPr="00891173">
        <w:t>fondo egzistavimo trukmė;</w:t>
      </w:r>
    </w:p>
    <w:p w:rsidR="00312B44" w:rsidRPr="00891173" w:rsidRDefault="00312B44" w:rsidP="00203D2D">
      <w:pPr>
        <w:pStyle w:val="ListParagraph"/>
        <w:numPr>
          <w:ilvl w:val="0"/>
          <w:numId w:val="21"/>
        </w:numPr>
        <w:spacing w:line="360" w:lineRule="auto"/>
        <w:ind w:left="993" w:hanging="284"/>
        <w:jc w:val="both"/>
      </w:pPr>
      <w:r w:rsidRPr="00891173">
        <w:t>fondo dydis;</w:t>
      </w:r>
    </w:p>
    <w:p w:rsidR="00312B44" w:rsidRPr="00891173" w:rsidRDefault="00312B44" w:rsidP="00203D2D">
      <w:pPr>
        <w:pStyle w:val="ListParagraph"/>
        <w:numPr>
          <w:ilvl w:val="0"/>
          <w:numId w:val="21"/>
        </w:numPr>
        <w:spacing w:line="360" w:lineRule="auto"/>
        <w:ind w:left="993" w:hanging="284"/>
        <w:jc w:val="both"/>
      </w:pPr>
      <w:r w:rsidRPr="00891173">
        <w:t>draugų ir kitų investuotojų nuomonė</w:t>
      </w:r>
      <w:r w:rsidR="00A24320" w:rsidRPr="00891173">
        <w:t>.</w:t>
      </w:r>
    </w:p>
    <w:p w:rsidR="00676026" w:rsidRPr="00891173" w:rsidRDefault="00676026" w:rsidP="00676026">
      <w:pPr>
        <w:spacing w:line="360" w:lineRule="auto"/>
        <w:jc w:val="both"/>
      </w:pPr>
    </w:p>
    <w:p w:rsidR="00676026" w:rsidRPr="00891173" w:rsidRDefault="00676026" w:rsidP="00203D2D">
      <w:pPr>
        <w:pStyle w:val="ListParagraph"/>
        <w:numPr>
          <w:ilvl w:val="0"/>
          <w:numId w:val="6"/>
        </w:numPr>
        <w:spacing w:after="200" w:line="360" w:lineRule="auto"/>
        <w:jc w:val="both"/>
      </w:pPr>
      <w:r w:rsidRPr="00891173">
        <w:t xml:space="preserve">Neinvestuojate į investicinius fondus, nes: </w:t>
      </w:r>
    </w:p>
    <w:p w:rsidR="00676026" w:rsidRPr="00891173" w:rsidRDefault="00A24320" w:rsidP="00203D2D">
      <w:pPr>
        <w:pStyle w:val="ListParagraph"/>
        <w:numPr>
          <w:ilvl w:val="0"/>
          <w:numId w:val="9"/>
        </w:numPr>
        <w:spacing w:after="200" w:line="360" w:lineRule="auto"/>
        <w:ind w:left="993" w:hanging="284"/>
        <w:jc w:val="both"/>
      </w:pPr>
      <w:r w:rsidRPr="00891173">
        <w:t>t</w:t>
      </w:r>
      <w:r w:rsidR="00676026" w:rsidRPr="00891173">
        <w:t>rūk</w:t>
      </w:r>
      <w:r w:rsidRPr="00891173">
        <w:t>sta investicinių fondų reklamos;</w:t>
      </w:r>
    </w:p>
    <w:p w:rsidR="00676026" w:rsidRPr="00891173" w:rsidRDefault="00A24320" w:rsidP="00203D2D">
      <w:pPr>
        <w:pStyle w:val="ListParagraph"/>
        <w:numPr>
          <w:ilvl w:val="0"/>
          <w:numId w:val="9"/>
        </w:numPr>
        <w:spacing w:after="200" w:line="360" w:lineRule="auto"/>
        <w:ind w:left="993" w:hanging="284"/>
        <w:jc w:val="both"/>
      </w:pPr>
      <w:r w:rsidRPr="00891173">
        <w:t>trūksta lėšų investavimui;</w:t>
      </w:r>
    </w:p>
    <w:p w:rsidR="00676026" w:rsidRPr="00891173" w:rsidRDefault="00A24320" w:rsidP="00203D2D">
      <w:pPr>
        <w:pStyle w:val="ListParagraph"/>
        <w:numPr>
          <w:ilvl w:val="0"/>
          <w:numId w:val="9"/>
        </w:numPr>
        <w:spacing w:after="200" w:line="360" w:lineRule="auto"/>
        <w:ind w:left="993" w:hanging="284"/>
        <w:jc w:val="both"/>
      </w:pPr>
      <w:r w:rsidRPr="00891173">
        <w:t>b</w:t>
      </w:r>
      <w:r w:rsidR="00676026" w:rsidRPr="00891173">
        <w:t>ijote prarasti pinigus</w:t>
      </w:r>
      <w:r w:rsidRPr="00891173">
        <w:t>;</w:t>
      </w:r>
    </w:p>
    <w:p w:rsidR="00676026" w:rsidRPr="00891173" w:rsidRDefault="00A24320" w:rsidP="00203D2D">
      <w:pPr>
        <w:pStyle w:val="ListParagraph"/>
        <w:numPr>
          <w:ilvl w:val="0"/>
          <w:numId w:val="9"/>
        </w:numPr>
        <w:spacing w:after="200" w:line="360" w:lineRule="auto"/>
        <w:ind w:left="993" w:hanging="284"/>
        <w:jc w:val="both"/>
      </w:pPr>
      <w:r w:rsidRPr="00891173">
        <w:t>t</w:t>
      </w:r>
      <w:r w:rsidR="00676026" w:rsidRPr="00891173">
        <w:t>rūksta žinių, informacijos apie investicinius fondus</w:t>
      </w:r>
      <w:r w:rsidRPr="00891173">
        <w:t>;</w:t>
      </w:r>
      <w:r w:rsidR="00676026" w:rsidRPr="00891173">
        <w:t xml:space="preserve">  </w:t>
      </w:r>
    </w:p>
    <w:p w:rsidR="00676026" w:rsidRPr="00891173" w:rsidRDefault="00A24320" w:rsidP="00203D2D">
      <w:pPr>
        <w:pStyle w:val="ListParagraph"/>
        <w:numPr>
          <w:ilvl w:val="0"/>
          <w:numId w:val="9"/>
        </w:numPr>
        <w:spacing w:after="200" w:line="360" w:lineRule="auto"/>
        <w:ind w:left="993" w:hanging="284"/>
        <w:jc w:val="both"/>
      </w:pPr>
      <w:r w:rsidRPr="00891173">
        <w:t>n</w:t>
      </w:r>
      <w:r w:rsidR="00676026" w:rsidRPr="00891173">
        <w:t>iekas iš pa</w:t>
      </w:r>
      <w:r w:rsidRPr="00891173">
        <w:t>žįstamų neinvestuoja į investic</w:t>
      </w:r>
      <w:r w:rsidR="00676026" w:rsidRPr="00891173">
        <w:t>inius fondus</w:t>
      </w:r>
      <w:r w:rsidRPr="00891173">
        <w:t>;</w:t>
      </w:r>
    </w:p>
    <w:p w:rsidR="00676026" w:rsidRPr="00891173" w:rsidRDefault="00A24320" w:rsidP="00203D2D">
      <w:pPr>
        <w:pStyle w:val="ListParagraph"/>
        <w:numPr>
          <w:ilvl w:val="0"/>
          <w:numId w:val="9"/>
        </w:numPr>
        <w:spacing w:after="200" w:line="360" w:lineRule="auto"/>
        <w:ind w:left="993" w:hanging="284"/>
        <w:jc w:val="both"/>
      </w:pPr>
      <w:r w:rsidRPr="00891173">
        <w:t>k</w:t>
      </w:r>
      <w:r w:rsidR="00676026" w:rsidRPr="00891173">
        <w:t>ita</w:t>
      </w:r>
      <w:r w:rsidRPr="00891173">
        <w:t>_____________________</w:t>
      </w:r>
    </w:p>
    <w:p w:rsidR="00676026" w:rsidRPr="00891173" w:rsidRDefault="00676026" w:rsidP="00676026">
      <w:pPr>
        <w:pStyle w:val="ListParagraph"/>
        <w:ind w:left="1080"/>
      </w:pPr>
    </w:p>
    <w:p w:rsidR="00676026" w:rsidRPr="00891173" w:rsidRDefault="00676026" w:rsidP="00676026">
      <w:pPr>
        <w:pStyle w:val="ListParagraph"/>
        <w:ind w:left="1080"/>
      </w:pPr>
    </w:p>
    <w:p w:rsidR="00676026" w:rsidRPr="00891173" w:rsidRDefault="00676026" w:rsidP="00203D2D">
      <w:pPr>
        <w:pStyle w:val="ListParagraph"/>
        <w:numPr>
          <w:ilvl w:val="0"/>
          <w:numId w:val="6"/>
        </w:numPr>
        <w:spacing w:line="360" w:lineRule="auto"/>
        <w:jc w:val="both"/>
      </w:pPr>
      <w:r w:rsidRPr="00891173">
        <w:t xml:space="preserve">Ar iš viso investuojate savo lėšas? </w:t>
      </w:r>
    </w:p>
    <w:p w:rsidR="00676026" w:rsidRPr="00891173" w:rsidRDefault="00676026" w:rsidP="00203D2D">
      <w:pPr>
        <w:pStyle w:val="ListParagraph"/>
        <w:numPr>
          <w:ilvl w:val="0"/>
          <w:numId w:val="10"/>
        </w:numPr>
        <w:spacing w:line="360" w:lineRule="auto"/>
        <w:ind w:left="993" w:hanging="284"/>
        <w:jc w:val="both"/>
      </w:pPr>
      <w:r w:rsidRPr="00891173">
        <w:t xml:space="preserve"> </w:t>
      </w:r>
      <w:r w:rsidR="00A24320" w:rsidRPr="00891173">
        <w:t>t</w:t>
      </w:r>
      <w:r w:rsidRPr="00891173">
        <w:t>aip, į akcijas</w:t>
      </w:r>
      <w:r w:rsidR="00A24320" w:rsidRPr="00891173">
        <w:t>;</w:t>
      </w:r>
      <w:r w:rsidRPr="00891173">
        <w:t xml:space="preserve"> </w:t>
      </w:r>
    </w:p>
    <w:p w:rsidR="00676026" w:rsidRPr="00891173" w:rsidRDefault="00A24320" w:rsidP="00203D2D">
      <w:pPr>
        <w:pStyle w:val="ListParagraph"/>
        <w:numPr>
          <w:ilvl w:val="0"/>
          <w:numId w:val="10"/>
        </w:numPr>
        <w:spacing w:line="360" w:lineRule="auto"/>
        <w:ind w:left="993" w:hanging="284"/>
        <w:jc w:val="both"/>
      </w:pPr>
      <w:r w:rsidRPr="00891173">
        <w:t xml:space="preserve"> taip, į obligacijas;</w:t>
      </w:r>
    </w:p>
    <w:p w:rsidR="00676026" w:rsidRPr="00891173" w:rsidRDefault="00676026" w:rsidP="00203D2D">
      <w:pPr>
        <w:pStyle w:val="ListParagraph"/>
        <w:numPr>
          <w:ilvl w:val="0"/>
          <w:numId w:val="10"/>
        </w:numPr>
        <w:spacing w:line="360" w:lineRule="auto"/>
        <w:ind w:left="993" w:hanging="284"/>
        <w:jc w:val="both"/>
      </w:pPr>
      <w:r w:rsidRPr="00891173">
        <w:t xml:space="preserve"> </w:t>
      </w:r>
      <w:r w:rsidR="00A24320" w:rsidRPr="00891173">
        <w:t>t</w:t>
      </w:r>
      <w:r w:rsidRPr="00891173">
        <w:t>aip, naudojuosi FMĮ paslaugomis</w:t>
      </w:r>
      <w:r w:rsidR="00A24320" w:rsidRPr="00891173">
        <w:t>;</w:t>
      </w:r>
      <w:r w:rsidRPr="00891173">
        <w:t xml:space="preserve"> </w:t>
      </w:r>
    </w:p>
    <w:p w:rsidR="00676026" w:rsidRPr="00891173" w:rsidRDefault="00A24320" w:rsidP="00203D2D">
      <w:pPr>
        <w:pStyle w:val="ListParagraph"/>
        <w:numPr>
          <w:ilvl w:val="0"/>
          <w:numId w:val="10"/>
        </w:numPr>
        <w:spacing w:line="360" w:lineRule="auto"/>
        <w:ind w:left="993" w:hanging="284"/>
        <w:jc w:val="both"/>
      </w:pPr>
      <w:r w:rsidRPr="00891173">
        <w:t xml:space="preserve"> t</w:t>
      </w:r>
      <w:r w:rsidR="00676026" w:rsidRPr="00891173">
        <w:t>aip, į nekilnojamąjį turtą</w:t>
      </w:r>
      <w:r w:rsidRPr="00891173">
        <w:t>;</w:t>
      </w:r>
      <w:r w:rsidR="00676026" w:rsidRPr="00891173">
        <w:t xml:space="preserve"> </w:t>
      </w:r>
    </w:p>
    <w:p w:rsidR="00676026" w:rsidRPr="00891173" w:rsidRDefault="00A24320" w:rsidP="00203D2D">
      <w:pPr>
        <w:pStyle w:val="ListParagraph"/>
        <w:numPr>
          <w:ilvl w:val="0"/>
          <w:numId w:val="10"/>
        </w:numPr>
        <w:spacing w:line="360" w:lineRule="auto"/>
        <w:ind w:left="993" w:hanging="284"/>
        <w:jc w:val="both"/>
      </w:pPr>
      <w:r w:rsidRPr="00891173">
        <w:t xml:space="preserve"> taip, kita________________</w:t>
      </w:r>
    </w:p>
    <w:p w:rsidR="00676026" w:rsidRPr="00891173" w:rsidRDefault="00A24320" w:rsidP="00203D2D">
      <w:pPr>
        <w:pStyle w:val="ListParagraph"/>
        <w:numPr>
          <w:ilvl w:val="0"/>
          <w:numId w:val="10"/>
        </w:numPr>
        <w:spacing w:line="360" w:lineRule="auto"/>
        <w:ind w:left="993" w:hanging="284"/>
        <w:jc w:val="both"/>
      </w:pPr>
      <w:r w:rsidRPr="00891173">
        <w:t xml:space="preserve"> N</w:t>
      </w:r>
      <w:r w:rsidR="00676026" w:rsidRPr="00891173">
        <w:t>e</w:t>
      </w:r>
      <w:r w:rsidRPr="00891173">
        <w:t>.</w:t>
      </w:r>
    </w:p>
    <w:p w:rsidR="00676026" w:rsidRPr="00891173" w:rsidRDefault="00676026" w:rsidP="00676026">
      <w:pPr>
        <w:pStyle w:val="ListParagraph"/>
        <w:ind w:left="1080"/>
      </w:pPr>
    </w:p>
    <w:p w:rsidR="00676026" w:rsidRPr="00891173" w:rsidRDefault="00676026" w:rsidP="00676026">
      <w:pPr>
        <w:pStyle w:val="ListParagraph"/>
        <w:spacing w:line="360" w:lineRule="auto"/>
        <w:jc w:val="both"/>
      </w:pPr>
    </w:p>
    <w:p w:rsidR="00451A90" w:rsidRPr="00891173" w:rsidRDefault="00676026" w:rsidP="00203D2D">
      <w:pPr>
        <w:pStyle w:val="ListParagraph"/>
        <w:numPr>
          <w:ilvl w:val="0"/>
          <w:numId w:val="6"/>
        </w:numPr>
        <w:spacing w:after="200" w:line="360" w:lineRule="auto"/>
        <w:jc w:val="both"/>
      </w:pPr>
      <w:r w:rsidRPr="00891173">
        <w:t>Jūsų amžius?</w:t>
      </w:r>
    </w:p>
    <w:p w:rsidR="00451A90" w:rsidRPr="00891173" w:rsidRDefault="00676026" w:rsidP="00203D2D">
      <w:pPr>
        <w:pStyle w:val="ListParagraph"/>
        <w:numPr>
          <w:ilvl w:val="0"/>
          <w:numId w:val="22"/>
        </w:numPr>
        <w:spacing w:after="200" w:line="360" w:lineRule="auto"/>
        <w:ind w:left="993" w:hanging="284"/>
        <w:jc w:val="both"/>
      </w:pPr>
      <w:r w:rsidRPr="00891173">
        <w:t>18 – 24 m.;</w:t>
      </w:r>
    </w:p>
    <w:p w:rsidR="00451A90" w:rsidRPr="00891173" w:rsidRDefault="00676026" w:rsidP="00203D2D">
      <w:pPr>
        <w:pStyle w:val="ListParagraph"/>
        <w:numPr>
          <w:ilvl w:val="0"/>
          <w:numId w:val="22"/>
        </w:numPr>
        <w:spacing w:after="200" w:line="360" w:lineRule="auto"/>
        <w:ind w:left="993" w:hanging="284"/>
        <w:jc w:val="both"/>
      </w:pPr>
      <w:r w:rsidRPr="00891173">
        <w:t>25 – 29 m.;</w:t>
      </w:r>
    </w:p>
    <w:p w:rsidR="00451A90" w:rsidRPr="00891173" w:rsidRDefault="00676026" w:rsidP="00203D2D">
      <w:pPr>
        <w:pStyle w:val="ListParagraph"/>
        <w:numPr>
          <w:ilvl w:val="0"/>
          <w:numId w:val="22"/>
        </w:numPr>
        <w:spacing w:after="200" w:line="360" w:lineRule="auto"/>
        <w:ind w:left="993" w:hanging="284"/>
        <w:jc w:val="both"/>
      </w:pPr>
      <w:r w:rsidRPr="00891173">
        <w:t>30 – 40 m.;</w:t>
      </w:r>
    </w:p>
    <w:p w:rsidR="00676026" w:rsidRPr="00891173" w:rsidRDefault="00451A90" w:rsidP="00203D2D">
      <w:pPr>
        <w:pStyle w:val="ListParagraph"/>
        <w:numPr>
          <w:ilvl w:val="0"/>
          <w:numId w:val="22"/>
        </w:numPr>
        <w:spacing w:after="200" w:line="360" w:lineRule="auto"/>
        <w:ind w:left="993" w:hanging="284"/>
        <w:jc w:val="both"/>
      </w:pPr>
      <w:r w:rsidRPr="00891173">
        <w:t>daugiau nei 40 metų.</w:t>
      </w:r>
    </w:p>
    <w:p w:rsidR="00676026" w:rsidRPr="00891173" w:rsidRDefault="00676026" w:rsidP="00676026">
      <w:pPr>
        <w:pStyle w:val="ListParagraph"/>
        <w:spacing w:line="360" w:lineRule="auto"/>
        <w:jc w:val="both"/>
      </w:pPr>
    </w:p>
    <w:p w:rsidR="00451A90" w:rsidRPr="00891173" w:rsidRDefault="00676026" w:rsidP="00203D2D">
      <w:pPr>
        <w:pStyle w:val="ListParagraph"/>
        <w:numPr>
          <w:ilvl w:val="0"/>
          <w:numId w:val="6"/>
        </w:numPr>
        <w:spacing w:after="200" w:line="360" w:lineRule="auto"/>
        <w:jc w:val="both"/>
      </w:pPr>
      <w:r w:rsidRPr="00891173">
        <w:lastRenderedPageBreak/>
        <w:t>Jūsų lytis?</w:t>
      </w:r>
    </w:p>
    <w:p w:rsidR="00451A90" w:rsidRPr="00891173" w:rsidRDefault="00676026" w:rsidP="00203D2D">
      <w:pPr>
        <w:pStyle w:val="ListParagraph"/>
        <w:numPr>
          <w:ilvl w:val="0"/>
          <w:numId w:val="23"/>
        </w:numPr>
        <w:spacing w:after="200" w:line="360" w:lineRule="auto"/>
        <w:ind w:left="993" w:hanging="284"/>
        <w:jc w:val="both"/>
      </w:pPr>
      <w:r w:rsidRPr="00891173">
        <w:t>vyras;</w:t>
      </w:r>
    </w:p>
    <w:p w:rsidR="00676026" w:rsidRPr="00891173" w:rsidRDefault="00451A90" w:rsidP="00203D2D">
      <w:pPr>
        <w:pStyle w:val="ListParagraph"/>
        <w:numPr>
          <w:ilvl w:val="0"/>
          <w:numId w:val="23"/>
        </w:numPr>
        <w:spacing w:after="200" w:line="360" w:lineRule="auto"/>
        <w:ind w:left="993" w:hanging="284"/>
        <w:jc w:val="both"/>
      </w:pPr>
      <w:r w:rsidRPr="00891173">
        <w:t>moteris.</w:t>
      </w:r>
    </w:p>
    <w:p w:rsidR="00676026" w:rsidRPr="00891173" w:rsidRDefault="00676026" w:rsidP="00676026">
      <w:pPr>
        <w:pStyle w:val="ListParagraph"/>
        <w:spacing w:line="360" w:lineRule="auto"/>
        <w:jc w:val="both"/>
      </w:pPr>
    </w:p>
    <w:p w:rsidR="00451A90" w:rsidRPr="00891173" w:rsidRDefault="00676026" w:rsidP="00203D2D">
      <w:pPr>
        <w:pStyle w:val="ListParagraph"/>
        <w:numPr>
          <w:ilvl w:val="0"/>
          <w:numId w:val="6"/>
        </w:numPr>
        <w:spacing w:after="200" w:line="360" w:lineRule="auto"/>
        <w:jc w:val="both"/>
      </w:pPr>
      <w:r w:rsidRPr="00891173">
        <w:t>Jūsų išsilaviniams?</w:t>
      </w:r>
    </w:p>
    <w:p w:rsidR="00451A90" w:rsidRPr="00891173" w:rsidRDefault="00676026" w:rsidP="00203D2D">
      <w:pPr>
        <w:pStyle w:val="ListParagraph"/>
        <w:numPr>
          <w:ilvl w:val="0"/>
          <w:numId w:val="24"/>
        </w:numPr>
        <w:spacing w:after="200" w:line="360" w:lineRule="auto"/>
        <w:ind w:left="993" w:hanging="284"/>
        <w:jc w:val="both"/>
      </w:pPr>
      <w:r w:rsidRPr="00891173">
        <w:t>vidurinis;</w:t>
      </w:r>
    </w:p>
    <w:p w:rsidR="00451A90" w:rsidRPr="00891173" w:rsidRDefault="00676026" w:rsidP="00203D2D">
      <w:pPr>
        <w:pStyle w:val="ListParagraph"/>
        <w:numPr>
          <w:ilvl w:val="0"/>
          <w:numId w:val="24"/>
        </w:numPr>
        <w:spacing w:after="200" w:line="360" w:lineRule="auto"/>
        <w:ind w:left="993" w:hanging="284"/>
        <w:jc w:val="both"/>
      </w:pPr>
      <w:r w:rsidRPr="00891173">
        <w:t>profesinis;</w:t>
      </w:r>
    </w:p>
    <w:p w:rsidR="00676026" w:rsidRPr="00891173" w:rsidRDefault="00451A90" w:rsidP="00203D2D">
      <w:pPr>
        <w:pStyle w:val="ListParagraph"/>
        <w:numPr>
          <w:ilvl w:val="0"/>
          <w:numId w:val="24"/>
        </w:numPr>
        <w:spacing w:after="200" w:line="360" w:lineRule="auto"/>
        <w:ind w:left="993" w:hanging="284"/>
        <w:jc w:val="both"/>
      </w:pPr>
      <w:r w:rsidRPr="00891173">
        <w:t>aukštasis neuniversitetinis;</w:t>
      </w:r>
    </w:p>
    <w:p w:rsidR="00451A90" w:rsidRPr="00891173" w:rsidRDefault="00451A90" w:rsidP="00203D2D">
      <w:pPr>
        <w:pStyle w:val="ListParagraph"/>
        <w:numPr>
          <w:ilvl w:val="0"/>
          <w:numId w:val="24"/>
        </w:numPr>
        <w:spacing w:after="200" w:line="360" w:lineRule="auto"/>
        <w:ind w:left="993" w:hanging="284"/>
        <w:jc w:val="both"/>
      </w:pPr>
      <w:r w:rsidRPr="00891173">
        <w:t>aukštasis universitetinis;</w:t>
      </w:r>
    </w:p>
    <w:p w:rsidR="00676026" w:rsidRPr="00891173" w:rsidRDefault="00451A90" w:rsidP="00203D2D">
      <w:pPr>
        <w:pStyle w:val="ListParagraph"/>
        <w:numPr>
          <w:ilvl w:val="0"/>
          <w:numId w:val="24"/>
        </w:numPr>
        <w:spacing w:after="200" w:line="360" w:lineRule="auto"/>
        <w:ind w:left="993" w:hanging="284"/>
        <w:jc w:val="both"/>
      </w:pPr>
      <w:r w:rsidRPr="00891173">
        <w:t>nebaigtas aukštasis.</w:t>
      </w:r>
    </w:p>
    <w:p w:rsidR="00676026" w:rsidRPr="00891173" w:rsidRDefault="00676026" w:rsidP="00676026">
      <w:pPr>
        <w:pStyle w:val="ListParagraph"/>
        <w:spacing w:line="360" w:lineRule="auto"/>
        <w:jc w:val="both"/>
      </w:pPr>
    </w:p>
    <w:p w:rsidR="00451A90" w:rsidRPr="00891173" w:rsidRDefault="00676026" w:rsidP="00203D2D">
      <w:pPr>
        <w:pStyle w:val="ListParagraph"/>
        <w:numPr>
          <w:ilvl w:val="0"/>
          <w:numId w:val="6"/>
        </w:numPr>
        <w:spacing w:after="200" w:line="360" w:lineRule="auto"/>
        <w:jc w:val="both"/>
      </w:pPr>
      <w:r w:rsidRPr="00891173">
        <w:t>Jūsų pajamos atitenkančios vienam šeimos asmeniui per mėnesį?</w:t>
      </w:r>
    </w:p>
    <w:p w:rsidR="00451A90" w:rsidRPr="00891173" w:rsidRDefault="00676026" w:rsidP="00203D2D">
      <w:pPr>
        <w:pStyle w:val="ListParagraph"/>
        <w:numPr>
          <w:ilvl w:val="0"/>
          <w:numId w:val="25"/>
        </w:numPr>
        <w:spacing w:after="200" w:line="360" w:lineRule="auto"/>
        <w:ind w:left="993" w:hanging="284"/>
        <w:jc w:val="both"/>
      </w:pPr>
      <w:r w:rsidRPr="00891173">
        <w:t>iki 500Lt;</w:t>
      </w:r>
    </w:p>
    <w:p w:rsidR="00451A90" w:rsidRPr="00891173" w:rsidRDefault="00676026" w:rsidP="00203D2D">
      <w:pPr>
        <w:pStyle w:val="ListParagraph"/>
        <w:numPr>
          <w:ilvl w:val="0"/>
          <w:numId w:val="25"/>
        </w:numPr>
        <w:spacing w:after="200" w:line="360" w:lineRule="auto"/>
        <w:ind w:left="993" w:hanging="284"/>
        <w:jc w:val="both"/>
      </w:pPr>
      <w:r w:rsidRPr="00891173">
        <w:t>501 – 1000Lt;</w:t>
      </w:r>
    </w:p>
    <w:p w:rsidR="00451A90" w:rsidRPr="00891173" w:rsidRDefault="00676026" w:rsidP="00203D2D">
      <w:pPr>
        <w:pStyle w:val="ListParagraph"/>
        <w:numPr>
          <w:ilvl w:val="0"/>
          <w:numId w:val="25"/>
        </w:numPr>
        <w:spacing w:after="200" w:line="360" w:lineRule="auto"/>
        <w:ind w:left="993" w:hanging="284"/>
        <w:jc w:val="both"/>
      </w:pPr>
      <w:r w:rsidRPr="00891173">
        <w:t>1001 – 1500Lt;</w:t>
      </w:r>
    </w:p>
    <w:p w:rsidR="00451A90" w:rsidRPr="00891173" w:rsidRDefault="00676026" w:rsidP="00203D2D">
      <w:pPr>
        <w:pStyle w:val="ListParagraph"/>
        <w:numPr>
          <w:ilvl w:val="0"/>
          <w:numId w:val="25"/>
        </w:numPr>
        <w:spacing w:after="200" w:line="360" w:lineRule="auto"/>
        <w:ind w:left="993" w:hanging="284"/>
        <w:jc w:val="both"/>
      </w:pPr>
      <w:r w:rsidRPr="00891173">
        <w:t>1501 – 2000 Lt;</w:t>
      </w:r>
    </w:p>
    <w:p w:rsidR="00676026" w:rsidRPr="00891173" w:rsidRDefault="00676026" w:rsidP="00203D2D">
      <w:pPr>
        <w:pStyle w:val="ListParagraph"/>
        <w:numPr>
          <w:ilvl w:val="0"/>
          <w:numId w:val="25"/>
        </w:numPr>
        <w:spacing w:after="200" w:line="360" w:lineRule="auto"/>
        <w:ind w:left="993" w:hanging="284"/>
        <w:jc w:val="both"/>
      </w:pPr>
      <w:r w:rsidRPr="00891173">
        <w:t xml:space="preserve">daugiau nei 2000Lt. </w:t>
      </w:r>
    </w:p>
    <w:p w:rsidR="00676026" w:rsidRPr="00891173" w:rsidRDefault="00676026" w:rsidP="00676026">
      <w:pPr>
        <w:pStyle w:val="ListParagraph"/>
        <w:spacing w:line="360" w:lineRule="auto"/>
        <w:jc w:val="both"/>
      </w:pPr>
    </w:p>
    <w:p w:rsidR="00676026" w:rsidRPr="00891173" w:rsidRDefault="00676026" w:rsidP="00676026">
      <w:pPr>
        <w:pStyle w:val="ListParagraph"/>
        <w:spacing w:line="360" w:lineRule="auto"/>
        <w:jc w:val="right"/>
      </w:pPr>
      <w:r w:rsidRPr="00891173">
        <w:t>Ačiū už nuoširdžius atsakymus!</w:t>
      </w:r>
    </w:p>
    <w:p w:rsidR="00676026" w:rsidRPr="00891173" w:rsidRDefault="00676026" w:rsidP="00676026">
      <w:pPr>
        <w:spacing w:after="200" w:line="276" w:lineRule="auto"/>
        <w:rPr>
          <w:rStyle w:val="searchrezleft6"/>
        </w:rPr>
      </w:pPr>
    </w:p>
    <w:p w:rsidR="00676026" w:rsidRPr="00891173" w:rsidRDefault="00676026" w:rsidP="00676026">
      <w:pPr>
        <w:spacing w:after="200" w:line="276" w:lineRule="auto"/>
        <w:rPr>
          <w:rStyle w:val="searchrezleft6"/>
        </w:rPr>
      </w:pPr>
    </w:p>
    <w:p w:rsidR="00676026" w:rsidRPr="00891173" w:rsidRDefault="00676026" w:rsidP="00676026">
      <w:pPr>
        <w:spacing w:after="200" w:line="276" w:lineRule="auto"/>
        <w:rPr>
          <w:rStyle w:val="searchrezleft6"/>
        </w:rPr>
      </w:pPr>
    </w:p>
    <w:p w:rsidR="00676026" w:rsidRPr="00891173" w:rsidRDefault="00676026" w:rsidP="00676026">
      <w:pPr>
        <w:spacing w:after="200" w:line="276" w:lineRule="auto"/>
        <w:rPr>
          <w:rStyle w:val="searchrezleft6"/>
        </w:rPr>
      </w:pPr>
    </w:p>
    <w:p w:rsidR="00883F3C" w:rsidRPr="00891173" w:rsidRDefault="00883F3C">
      <w:pPr>
        <w:spacing w:after="200" w:line="276" w:lineRule="auto"/>
        <w:rPr>
          <w:rStyle w:val="searchrezleft6"/>
        </w:rPr>
      </w:pPr>
      <w:r w:rsidRPr="00891173">
        <w:rPr>
          <w:rStyle w:val="searchrezleft6"/>
        </w:rPr>
        <w:br w:type="page"/>
      </w:r>
    </w:p>
    <w:p w:rsidR="00883F3C" w:rsidRPr="00891173" w:rsidRDefault="00883F3C" w:rsidP="00883F3C">
      <w:pPr>
        <w:spacing w:after="200" w:line="276" w:lineRule="auto"/>
        <w:jc w:val="right"/>
        <w:rPr>
          <w:rStyle w:val="searchrezleft6"/>
        </w:rPr>
      </w:pPr>
      <w:r w:rsidRPr="00891173">
        <w:rPr>
          <w:rStyle w:val="searchrezleft6"/>
        </w:rPr>
        <w:lastRenderedPageBreak/>
        <w:t>7 PRIEDAS</w:t>
      </w:r>
    </w:p>
    <w:p w:rsidR="00883F3C" w:rsidRPr="00891173" w:rsidRDefault="00883F3C" w:rsidP="00883F3C">
      <w:pPr>
        <w:spacing w:after="200" w:line="276" w:lineRule="auto"/>
        <w:jc w:val="center"/>
        <w:rPr>
          <w:rStyle w:val="searchrezleft6"/>
        </w:rPr>
      </w:pPr>
      <w:r w:rsidRPr="00891173">
        <w:t>Respondentų pasiskirstymas pagal platinimo bendroves (proc.)</w:t>
      </w:r>
    </w:p>
    <w:p w:rsidR="00676026" w:rsidRPr="00891173" w:rsidRDefault="00883F3C" w:rsidP="00676026">
      <w:pPr>
        <w:spacing w:after="200" w:line="276" w:lineRule="auto"/>
        <w:rPr>
          <w:rStyle w:val="searchrezleft6"/>
        </w:rPr>
      </w:pPr>
      <w:r w:rsidRPr="00891173">
        <w:rPr>
          <w:rStyle w:val="searchrezleft6"/>
        </w:rPr>
        <w:drawing>
          <wp:inline distT="0" distB="0" distL="0" distR="0">
            <wp:extent cx="5867400" cy="3476625"/>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bl>
      <w:tblPr>
        <w:tblW w:w="13685" w:type="dxa"/>
        <w:tblInd w:w="108" w:type="dxa"/>
        <w:tblLook w:val="04A0"/>
      </w:tblPr>
      <w:tblGrid>
        <w:gridCol w:w="9498"/>
        <w:gridCol w:w="956"/>
        <w:gridCol w:w="809"/>
        <w:gridCol w:w="808"/>
        <w:gridCol w:w="805"/>
        <w:gridCol w:w="809"/>
      </w:tblGrid>
      <w:tr w:rsidR="00676026" w:rsidRPr="00891173" w:rsidTr="00F416BE">
        <w:trPr>
          <w:trHeight w:val="300"/>
        </w:trPr>
        <w:tc>
          <w:tcPr>
            <w:tcW w:w="9498" w:type="dxa"/>
            <w:tcBorders>
              <w:top w:val="nil"/>
              <w:left w:val="nil"/>
              <w:bottom w:val="nil"/>
              <w:right w:val="nil"/>
            </w:tcBorders>
            <w:shd w:val="clear" w:color="auto" w:fill="auto"/>
            <w:noWrap/>
            <w:vAlign w:val="bottom"/>
            <w:hideMark/>
          </w:tcPr>
          <w:p w:rsidR="00676026" w:rsidRPr="00891173" w:rsidRDefault="00676026" w:rsidP="00974519">
            <w:pPr>
              <w:spacing w:after="200" w:line="276" w:lineRule="auto"/>
              <w:rPr>
                <w:rFonts w:ascii="Arial" w:hAnsi="Arial" w:cs="Arial"/>
                <w:color w:val="000000"/>
                <w:sz w:val="20"/>
                <w:szCs w:val="20"/>
              </w:rPr>
            </w:pPr>
          </w:p>
        </w:tc>
        <w:tc>
          <w:tcPr>
            <w:tcW w:w="956"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5"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r>
      <w:tr w:rsidR="00676026" w:rsidRPr="00891173" w:rsidTr="00F416BE">
        <w:trPr>
          <w:trHeight w:val="300"/>
        </w:trPr>
        <w:tc>
          <w:tcPr>
            <w:tcW w:w="949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956"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5"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r>
      <w:tr w:rsidR="00676026" w:rsidRPr="00891173" w:rsidTr="00F416BE">
        <w:trPr>
          <w:trHeight w:val="300"/>
        </w:trPr>
        <w:tc>
          <w:tcPr>
            <w:tcW w:w="949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956"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5"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r>
      <w:tr w:rsidR="00676026" w:rsidRPr="00891173" w:rsidTr="00F416BE">
        <w:trPr>
          <w:trHeight w:val="300"/>
        </w:trPr>
        <w:tc>
          <w:tcPr>
            <w:tcW w:w="949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956"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8"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5"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c>
          <w:tcPr>
            <w:tcW w:w="809" w:type="dxa"/>
            <w:tcBorders>
              <w:top w:val="nil"/>
              <w:left w:val="nil"/>
              <w:bottom w:val="nil"/>
              <w:right w:val="nil"/>
            </w:tcBorders>
            <w:shd w:val="clear" w:color="auto" w:fill="auto"/>
            <w:noWrap/>
            <w:vAlign w:val="bottom"/>
            <w:hideMark/>
          </w:tcPr>
          <w:p w:rsidR="00676026" w:rsidRPr="00891173" w:rsidRDefault="00676026" w:rsidP="00F416BE">
            <w:pPr>
              <w:jc w:val="right"/>
              <w:rPr>
                <w:rFonts w:ascii="Arial" w:hAnsi="Arial" w:cs="Arial"/>
                <w:color w:val="000000"/>
                <w:sz w:val="20"/>
                <w:szCs w:val="20"/>
              </w:rPr>
            </w:pPr>
          </w:p>
        </w:tc>
      </w:tr>
    </w:tbl>
    <w:p w:rsidR="00676026" w:rsidRPr="00891173" w:rsidRDefault="00676026" w:rsidP="00676026">
      <w:pPr>
        <w:tabs>
          <w:tab w:val="num" w:pos="1080"/>
        </w:tabs>
        <w:autoSpaceDE w:val="0"/>
        <w:autoSpaceDN w:val="0"/>
        <w:adjustRightInd w:val="0"/>
        <w:spacing w:line="360" w:lineRule="auto"/>
        <w:jc w:val="both"/>
        <w:rPr>
          <w:rStyle w:val="searchrezleft6"/>
        </w:rPr>
      </w:pPr>
    </w:p>
    <w:p w:rsidR="008219DB" w:rsidRPr="00891173" w:rsidRDefault="008219DB"/>
    <w:sectPr w:rsidR="008219DB" w:rsidRPr="00891173" w:rsidSect="00CC6A56">
      <w:headerReference w:type="default" r:id="rId56"/>
      <w:footerReference w:type="default" r:id="rId57"/>
      <w:pgSz w:w="11906" w:h="16838"/>
      <w:pgMar w:top="1134" w:right="567" w:bottom="1134" w:left="1418"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F2A" w:rsidRDefault="003D1F2A" w:rsidP="00676026">
      <w:r>
        <w:separator/>
      </w:r>
    </w:p>
  </w:endnote>
  <w:endnote w:type="continuationSeparator" w:id="0">
    <w:p w:rsidR="003D1F2A" w:rsidRDefault="003D1F2A" w:rsidP="006760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inionPro-Regular">
    <w:altName w:val="MS Mincho"/>
    <w:panose1 w:val="00000000000000000000"/>
    <w:charset w:val="80"/>
    <w:family w:val="auto"/>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7" w:usb1="08070000" w:usb2="00000010" w:usb3="00000000" w:csb0="0002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ItalicMT">
    <w:altName w:val="Times New Roman"/>
    <w:panose1 w:val="00000000000000000000"/>
    <w:charset w:val="00"/>
    <w:family w:val="roman"/>
    <w:notTrueType/>
    <w:pitch w:val="default"/>
    <w:sig w:usb0="00000003" w:usb1="08070000" w:usb2="00000010" w:usb3="00000000" w:csb0="00020001" w:csb1="00000000"/>
  </w:font>
  <w:font w:name="MinionPro-It">
    <w:altName w:val="MS Mincho"/>
    <w:panose1 w:val="00000000000000000000"/>
    <w:charset w:val="80"/>
    <w:family w:val="auto"/>
    <w:notTrueType/>
    <w:pitch w:val="default"/>
    <w:sig w:usb0="00000001" w:usb1="08070000" w:usb2="00000010" w:usb3="00000000" w:csb0="0002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9A2440t00">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ArialNarrow">
    <w:altName w:val="MS Mincho"/>
    <w:panose1 w:val="00000000000000000000"/>
    <w:charset w:val="80"/>
    <w:family w:val="auto"/>
    <w:notTrueType/>
    <w:pitch w:val="default"/>
    <w:sig w:usb0="00000001" w:usb1="08070000" w:usb2="00000010" w:usb3="00000000" w:csb0="00020000" w:csb1="00000000"/>
  </w:font>
  <w:font w:name="TTE175E358t00">
    <w:altName w:val="MS Mincho"/>
    <w:panose1 w:val="00000000000000000000"/>
    <w:charset w:val="80"/>
    <w:family w:val="auto"/>
    <w:notTrueType/>
    <w:pitch w:val="default"/>
    <w:sig w:usb0="00000001" w:usb1="08070000" w:usb2="00000010" w:usb3="00000000" w:csb0="00020000" w:csb1="00000000"/>
  </w:font>
  <w:font w:name="MSTT31c619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82935"/>
      <w:docPartObj>
        <w:docPartGallery w:val="Page Numbers (Bottom of Page)"/>
        <w:docPartUnique/>
      </w:docPartObj>
    </w:sdtPr>
    <w:sdtContent>
      <w:p w:rsidR="000E1A39" w:rsidRDefault="000E1A39">
        <w:pPr>
          <w:pStyle w:val="Footer"/>
          <w:jc w:val="right"/>
        </w:pPr>
      </w:p>
    </w:sdtContent>
  </w:sdt>
  <w:p w:rsidR="000E1A39" w:rsidRDefault="000E1A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F2A" w:rsidRDefault="003D1F2A" w:rsidP="00676026">
      <w:r>
        <w:separator/>
      </w:r>
    </w:p>
  </w:footnote>
  <w:footnote w:type="continuationSeparator" w:id="0">
    <w:p w:rsidR="003D1F2A" w:rsidRDefault="003D1F2A" w:rsidP="00676026">
      <w:r>
        <w:continuationSeparator/>
      </w:r>
    </w:p>
  </w:footnote>
  <w:footnote w:id="1">
    <w:p w:rsidR="000E1A39" w:rsidRDefault="000E1A39" w:rsidP="00676026">
      <w:pPr>
        <w:pStyle w:val="FootnoteText"/>
      </w:pPr>
      <w:r>
        <w:rPr>
          <w:rStyle w:val="FootnoteReference"/>
        </w:rPr>
        <w:footnoteRef/>
      </w:r>
      <w:r>
        <w:t xml:space="preserve"> </w:t>
      </w:r>
      <w:r w:rsidRPr="00746A1D">
        <w:rPr>
          <w:lang w:val="pt-BR"/>
        </w:rPr>
        <w:t>Da</w:t>
      </w:r>
      <w:r>
        <w:t>žnai investicinė bendrovė vadinama investiciniu fondu arba tiesiog fondu, todėl šios sąvokos yra tapačios. (autorės pastaba)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551"/>
      <w:docPartObj>
        <w:docPartGallery w:val="Page Numbers (Top of Page)"/>
        <w:docPartUnique/>
      </w:docPartObj>
    </w:sdtPr>
    <w:sdtContent>
      <w:p w:rsidR="000E1A39" w:rsidRDefault="000E1A39">
        <w:pPr>
          <w:pStyle w:val="Header"/>
          <w:jc w:val="center"/>
        </w:pPr>
        <w:fldSimple w:instr=" PAGE   \* MERGEFORMAT ">
          <w:r w:rsidR="00031823">
            <w:rPr>
              <w:noProof/>
            </w:rPr>
            <w:t>24</w:t>
          </w:r>
        </w:fldSimple>
      </w:p>
    </w:sdtContent>
  </w:sdt>
  <w:p w:rsidR="000E1A39" w:rsidRDefault="000E1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55A46"/>
    <w:multiLevelType w:val="hybridMultilevel"/>
    <w:tmpl w:val="DD244B96"/>
    <w:lvl w:ilvl="0" w:tplc="8952B64C">
      <w:start w:val="1"/>
      <w:numFmt w:val="decimal"/>
      <w:pStyle w:val="Heading4"/>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63B3272"/>
    <w:multiLevelType w:val="hybridMultilevel"/>
    <w:tmpl w:val="F98871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F65038"/>
    <w:multiLevelType w:val="hybridMultilevel"/>
    <w:tmpl w:val="728828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0D0309C"/>
    <w:multiLevelType w:val="hybridMultilevel"/>
    <w:tmpl w:val="0DD64EBE"/>
    <w:lvl w:ilvl="0" w:tplc="108E655E">
      <w:start w:val="1"/>
      <w:numFmt w:val="decimal"/>
      <w:pStyle w:val="Heading2"/>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62F331E"/>
    <w:multiLevelType w:val="hybridMultilevel"/>
    <w:tmpl w:val="A92EE3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6D770C6"/>
    <w:multiLevelType w:val="hybridMultilevel"/>
    <w:tmpl w:val="5B38DF0E"/>
    <w:lvl w:ilvl="0" w:tplc="0427000D">
      <w:start w:val="1"/>
      <w:numFmt w:val="bullet"/>
      <w:lvlText w:val=""/>
      <w:lvlJc w:val="left"/>
      <w:pPr>
        <w:ind w:left="1350" w:hanging="360"/>
      </w:pPr>
      <w:rPr>
        <w:rFonts w:ascii="Wingdings" w:hAnsi="Wingdings"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6">
    <w:nsid w:val="192C53E0"/>
    <w:multiLevelType w:val="hybridMultilevel"/>
    <w:tmpl w:val="E814E90C"/>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nsid w:val="1B455A15"/>
    <w:multiLevelType w:val="hybridMultilevel"/>
    <w:tmpl w:val="21CABC64"/>
    <w:lvl w:ilvl="0" w:tplc="D4707BBE">
      <w:start w:val="1"/>
      <w:numFmt w:val="decimal"/>
      <w:lvlText w:val="%1."/>
      <w:lvlJc w:val="left"/>
      <w:pPr>
        <w:tabs>
          <w:tab w:val="num" w:pos="1080"/>
        </w:tabs>
        <w:ind w:left="1080" w:hanging="360"/>
      </w:pPr>
      <w:rPr>
        <w:b w:val="0"/>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8">
    <w:nsid w:val="211F528C"/>
    <w:multiLevelType w:val="hybridMultilevel"/>
    <w:tmpl w:val="98E2B6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47E2113"/>
    <w:multiLevelType w:val="hybridMultilevel"/>
    <w:tmpl w:val="9148FB94"/>
    <w:lvl w:ilvl="0" w:tplc="FAD094F2">
      <w:start w:val="1"/>
      <w:numFmt w:val="decimal"/>
      <w:pStyle w:val="Heading3"/>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999179D"/>
    <w:multiLevelType w:val="hybridMultilevel"/>
    <w:tmpl w:val="1FAA22A2"/>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AAE7D5B"/>
    <w:multiLevelType w:val="hybridMultilevel"/>
    <w:tmpl w:val="C5A4C550"/>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2ACB5F9F"/>
    <w:multiLevelType w:val="hybridMultilevel"/>
    <w:tmpl w:val="C8FCE0F4"/>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nsid w:val="32203825"/>
    <w:multiLevelType w:val="hybridMultilevel"/>
    <w:tmpl w:val="60A89C6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4">
    <w:nsid w:val="389C75F7"/>
    <w:multiLevelType w:val="hybridMultilevel"/>
    <w:tmpl w:val="B52E59C6"/>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3AD07F0F"/>
    <w:multiLevelType w:val="hybridMultilevel"/>
    <w:tmpl w:val="60EEE30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nsid w:val="3DC73F45"/>
    <w:multiLevelType w:val="multilevel"/>
    <w:tmpl w:val="E332A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4A69CE"/>
    <w:multiLevelType w:val="hybridMultilevel"/>
    <w:tmpl w:val="C95093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16575CF"/>
    <w:multiLevelType w:val="hybridMultilevel"/>
    <w:tmpl w:val="D2524CC2"/>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446F2A52"/>
    <w:multiLevelType w:val="hybridMultilevel"/>
    <w:tmpl w:val="8094298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9EB1231"/>
    <w:multiLevelType w:val="hybridMultilevel"/>
    <w:tmpl w:val="454CE90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nsid w:val="4A0261DA"/>
    <w:multiLevelType w:val="hybridMultilevel"/>
    <w:tmpl w:val="59C4388E"/>
    <w:lvl w:ilvl="0" w:tplc="9B84803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53122353"/>
    <w:multiLevelType w:val="hybridMultilevel"/>
    <w:tmpl w:val="D0828B94"/>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nsid w:val="598211FB"/>
    <w:multiLevelType w:val="hybridMultilevel"/>
    <w:tmpl w:val="F3AEFDCE"/>
    <w:lvl w:ilvl="0" w:tplc="65340F42">
      <w:start w:val="1"/>
      <w:numFmt w:val="lowerLetter"/>
      <w:lvlText w:val="%1."/>
      <w:lvlJc w:val="left"/>
      <w:pPr>
        <w:tabs>
          <w:tab w:val="num" w:pos="720"/>
        </w:tabs>
        <w:ind w:left="720" w:hanging="360"/>
      </w:pPr>
      <w:rPr>
        <w:rFonts w:ascii="Times New Roman" w:eastAsiaTheme="minorHAnsi" w:hAnsi="Times New Roman" w:cs="Times New Roman"/>
      </w:rPr>
    </w:lvl>
    <w:lvl w:ilvl="1" w:tplc="F72C0266" w:tentative="1">
      <w:start w:val="1"/>
      <w:numFmt w:val="bullet"/>
      <w:lvlText w:val=""/>
      <w:lvlJc w:val="left"/>
      <w:pPr>
        <w:tabs>
          <w:tab w:val="num" w:pos="1440"/>
        </w:tabs>
        <w:ind w:left="1440" w:hanging="360"/>
      </w:pPr>
      <w:rPr>
        <w:rFonts w:ascii="Wingdings" w:hAnsi="Wingdings" w:hint="default"/>
      </w:rPr>
    </w:lvl>
    <w:lvl w:ilvl="2" w:tplc="3A9A7500" w:tentative="1">
      <w:start w:val="1"/>
      <w:numFmt w:val="bullet"/>
      <w:lvlText w:val=""/>
      <w:lvlJc w:val="left"/>
      <w:pPr>
        <w:tabs>
          <w:tab w:val="num" w:pos="2160"/>
        </w:tabs>
        <w:ind w:left="2160" w:hanging="360"/>
      </w:pPr>
      <w:rPr>
        <w:rFonts w:ascii="Wingdings" w:hAnsi="Wingdings" w:hint="default"/>
      </w:rPr>
    </w:lvl>
    <w:lvl w:ilvl="3" w:tplc="16680802" w:tentative="1">
      <w:start w:val="1"/>
      <w:numFmt w:val="bullet"/>
      <w:lvlText w:val=""/>
      <w:lvlJc w:val="left"/>
      <w:pPr>
        <w:tabs>
          <w:tab w:val="num" w:pos="2880"/>
        </w:tabs>
        <w:ind w:left="2880" w:hanging="360"/>
      </w:pPr>
      <w:rPr>
        <w:rFonts w:ascii="Wingdings" w:hAnsi="Wingdings" w:hint="default"/>
      </w:rPr>
    </w:lvl>
    <w:lvl w:ilvl="4" w:tplc="868658AC" w:tentative="1">
      <w:start w:val="1"/>
      <w:numFmt w:val="bullet"/>
      <w:lvlText w:val=""/>
      <w:lvlJc w:val="left"/>
      <w:pPr>
        <w:tabs>
          <w:tab w:val="num" w:pos="3600"/>
        </w:tabs>
        <w:ind w:left="3600" w:hanging="360"/>
      </w:pPr>
      <w:rPr>
        <w:rFonts w:ascii="Wingdings" w:hAnsi="Wingdings" w:hint="default"/>
      </w:rPr>
    </w:lvl>
    <w:lvl w:ilvl="5" w:tplc="587E3FBC" w:tentative="1">
      <w:start w:val="1"/>
      <w:numFmt w:val="bullet"/>
      <w:lvlText w:val=""/>
      <w:lvlJc w:val="left"/>
      <w:pPr>
        <w:tabs>
          <w:tab w:val="num" w:pos="4320"/>
        </w:tabs>
        <w:ind w:left="4320" w:hanging="360"/>
      </w:pPr>
      <w:rPr>
        <w:rFonts w:ascii="Wingdings" w:hAnsi="Wingdings" w:hint="default"/>
      </w:rPr>
    </w:lvl>
    <w:lvl w:ilvl="6" w:tplc="7F8ED8DC" w:tentative="1">
      <w:start w:val="1"/>
      <w:numFmt w:val="bullet"/>
      <w:lvlText w:val=""/>
      <w:lvlJc w:val="left"/>
      <w:pPr>
        <w:tabs>
          <w:tab w:val="num" w:pos="5040"/>
        </w:tabs>
        <w:ind w:left="5040" w:hanging="360"/>
      </w:pPr>
      <w:rPr>
        <w:rFonts w:ascii="Wingdings" w:hAnsi="Wingdings" w:hint="default"/>
      </w:rPr>
    </w:lvl>
    <w:lvl w:ilvl="7" w:tplc="F5CE8BD4" w:tentative="1">
      <w:start w:val="1"/>
      <w:numFmt w:val="bullet"/>
      <w:lvlText w:val=""/>
      <w:lvlJc w:val="left"/>
      <w:pPr>
        <w:tabs>
          <w:tab w:val="num" w:pos="5760"/>
        </w:tabs>
        <w:ind w:left="5760" w:hanging="360"/>
      </w:pPr>
      <w:rPr>
        <w:rFonts w:ascii="Wingdings" w:hAnsi="Wingdings" w:hint="default"/>
      </w:rPr>
    </w:lvl>
    <w:lvl w:ilvl="8" w:tplc="BB16C7F4" w:tentative="1">
      <w:start w:val="1"/>
      <w:numFmt w:val="bullet"/>
      <w:lvlText w:val=""/>
      <w:lvlJc w:val="left"/>
      <w:pPr>
        <w:tabs>
          <w:tab w:val="num" w:pos="6480"/>
        </w:tabs>
        <w:ind w:left="6480" w:hanging="360"/>
      </w:pPr>
      <w:rPr>
        <w:rFonts w:ascii="Wingdings" w:hAnsi="Wingdings" w:hint="default"/>
      </w:rPr>
    </w:lvl>
  </w:abstractNum>
  <w:abstractNum w:abstractNumId="24">
    <w:nsid w:val="5D177D72"/>
    <w:multiLevelType w:val="hybridMultilevel"/>
    <w:tmpl w:val="B78E385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61442EB0"/>
    <w:multiLevelType w:val="hybridMultilevel"/>
    <w:tmpl w:val="90942AB2"/>
    <w:lvl w:ilvl="0" w:tplc="04270001">
      <w:start w:val="1"/>
      <w:numFmt w:val="bullet"/>
      <w:lvlText w:val=""/>
      <w:lvlJc w:val="left"/>
      <w:pPr>
        <w:ind w:left="2291" w:hanging="360"/>
      </w:pPr>
      <w:rPr>
        <w:rFonts w:ascii="Symbol" w:hAnsi="Symbol" w:hint="default"/>
      </w:rPr>
    </w:lvl>
    <w:lvl w:ilvl="1" w:tplc="04270003" w:tentative="1">
      <w:start w:val="1"/>
      <w:numFmt w:val="bullet"/>
      <w:lvlText w:val="o"/>
      <w:lvlJc w:val="left"/>
      <w:pPr>
        <w:ind w:left="3011" w:hanging="360"/>
      </w:pPr>
      <w:rPr>
        <w:rFonts w:ascii="Courier New" w:hAnsi="Courier New" w:cs="Courier New" w:hint="default"/>
      </w:rPr>
    </w:lvl>
    <w:lvl w:ilvl="2" w:tplc="04270005" w:tentative="1">
      <w:start w:val="1"/>
      <w:numFmt w:val="bullet"/>
      <w:lvlText w:val=""/>
      <w:lvlJc w:val="left"/>
      <w:pPr>
        <w:ind w:left="3731" w:hanging="360"/>
      </w:pPr>
      <w:rPr>
        <w:rFonts w:ascii="Wingdings" w:hAnsi="Wingdings" w:hint="default"/>
      </w:rPr>
    </w:lvl>
    <w:lvl w:ilvl="3" w:tplc="04270001" w:tentative="1">
      <w:start w:val="1"/>
      <w:numFmt w:val="bullet"/>
      <w:lvlText w:val=""/>
      <w:lvlJc w:val="left"/>
      <w:pPr>
        <w:ind w:left="4451" w:hanging="360"/>
      </w:pPr>
      <w:rPr>
        <w:rFonts w:ascii="Symbol" w:hAnsi="Symbol" w:hint="default"/>
      </w:rPr>
    </w:lvl>
    <w:lvl w:ilvl="4" w:tplc="04270003" w:tentative="1">
      <w:start w:val="1"/>
      <w:numFmt w:val="bullet"/>
      <w:lvlText w:val="o"/>
      <w:lvlJc w:val="left"/>
      <w:pPr>
        <w:ind w:left="5171" w:hanging="360"/>
      </w:pPr>
      <w:rPr>
        <w:rFonts w:ascii="Courier New" w:hAnsi="Courier New" w:cs="Courier New" w:hint="default"/>
      </w:rPr>
    </w:lvl>
    <w:lvl w:ilvl="5" w:tplc="04270005" w:tentative="1">
      <w:start w:val="1"/>
      <w:numFmt w:val="bullet"/>
      <w:lvlText w:val=""/>
      <w:lvlJc w:val="left"/>
      <w:pPr>
        <w:ind w:left="5891" w:hanging="360"/>
      </w:pPr>
      <w:rPr>
        <w:rFonts w:ascii="Wingdings" w:hAnsi="Wingdings" w:hint="default"/>
      </w:rPr>
    </w:lvl>
    <w:lvl w:ilvl="6" w:tplc="04270001" w:tentative="1">
      <w:start w:val="1"/>
      <w:numFmt w:val="bullet"/>
      <w:lvlText w:val=""/>
      <w:lvlJc w:val="left"/>
      <w:pPr>
        <w:ind w:left="6611" w:hanging="360"/>
      </w:pPr>
      <w:rPr>
        <w:rFonts w:ascii="Symbol" w:hAnsi="Symbol" w:hint="default"/>
      </w:rPr>
    </w:lvl>
    <w:lvl w:ilvl="7" w:tplc="04270003" w:tentative="1">
      <w:start w:val="1"/>
      <w:numFmt w:val="bullet"/>
      <w:lvlText w:val="o"/>
      <w:lvlJc w:val="left"/>
      <w:pPr>
        <w:ind w:left="7331" w:hanging="360"/>
      </w:pPr>
      <w:rPr>
        <w:rFonts w:ascii="Courier New" w:hAnsi="Courier New" w:cs="Courier New" w:hint="default"/>
      </w:rPr>
    </w:lvl>
    <w:lvl w:ilvl="8" w:tplc="04270005" w:tentative="1">
      <w:start w:val="1"/>
      <w:numFmt w:val="bullet"/>
      <w:lvlText w:val=""/>
      <w:lvlJc w:val="left"/>
      <w:pPr>
        <w:ind w:left="8051" w:hanging="360"/>
      </w:pPr>
      <w:rPr>
        <w:rFonts w:ascii="Wingdings" w:hAnsi="Wingdings" w:hint="default"/>
      </w:rPr>
    </w:lvl>
  </w:abstractNum>
  <w:abstractNum w:abstractNumId="26">
    <w:nsid w:val="63E06783"/>
    <w:multiLevelType w:val="hybridMultilevel"/>
    <w:tmpl w:val="C302A950"/>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nsid w:val="69FA7A1C"/>
    <w:multiLevelType w:val="hybridMultilevel"/>
    <w:tmpl w:val="ADE4772E"/>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nsid w:val="6FA857B2"/>
    <w:multiLevelType w:val="hybridMultilevel"/>
    <w:tmpl w:val="2124CA74"/>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nsid w:val="70AE2515"/>
    <w:multiLevelType w:val="hybridMultilevel"/>
    <w:tmpl w:val="B52498E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729927F5"/>
    <w:multiLevelType w:val="hybridMultilevel"/>
    <w:tmpl w:val="2EC0EA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nsid w:val="73DA5108"/>
    <w:multiLevelType w:val="hybridMultilevel"/>
    <w:tmpl w:val="EECA3A26"/>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77177174"/>
    <w:multiLevelType w:val="hybridMultilevel"/>
    <w:tmpl w:val="61349E00"/>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33">
    <w:nsid w:val="7A532540"/>
    <w:multiLevelType w:val="hybridMultilevel"/>
    <w:tmpl w:val="DE6EA8F2"/>
    <w:lvl w:ilvl="0" w:tplc="71287856">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4">
    <w:nsid w:val="7C005641"/>
    <w:multiLevelType w:val="hybridMultilevel"/>
    <w:tmpl w:val="E032604E"/>
    <w:lvl w:ilvl="0" w:tplc="EE2482E4">
      <w:start w:val="1"/>
      <w:numFmt w:val="decimal"/>
      <w:lvlText w:val="%1."/>
      <w:lvlJc w:val="left"/>
      <w:pPr>
        <w:ind w:left="720" w:hanging="360"/>
      </w:pPr>
      <w:rPr>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
  </w:num>
  <w:num w:numId="3">
    <w:abstractNumId w:val="25"/>
  </w:num>
  <w:num w:numId="4">
    <w:abstractNumId w:val="7"/>
  </w:num>
  <w:num w:numId="5">
    <w:abstractNumId w:val="15"/>
  </w:num>
  <w:num w:numId="6">
    <w:abstractNumId w:val="34"/>
  </w:num>
  <w:num w:numId="7">
    <w:abstractNumId w:val="23"/>
  </w:num>
  <w:num w:numId="8">
    <w:abstractNumId w:val="24"/>
  </w:num>
  <w:num w:numId="9">
    <w:abstractNumId w:val="21"/>
  </w:num>
  <w:num w:numId="10">
    <w:abstractNumId w:val="29"/>
  </w:num>
  <w:num w:numId="11">
    <w:abstractNumId w:val="31"/>
  </w:num>
  <w:num w:numId="12">
    <w:abstractNumId w:val="4"/>
  </w:num>
  <w:num w:numId="13">
    <w:abstractNumId w:val="32"/>
  </w:num>
  <w:num w:numId="14">
    <w:abstractNumId w:val="2"/>
  </w:num>
  <w:num w:numId="15">
    <w:abstractNumId w:val="12"/>
  </w:num>
  <w:num w:numId="16">
    <w:abstractNumId w:val="14"/>
  </w:num>
  <w:num w:numId="17">
    <w:abstractNumId w:val="13"/>
  </w:num>
  <w:num w:numId="18">
    <w:abstractNumId w:val="18"/>
  </w:num>
  <w:num w:numId="19">
    <w:abstractNumId w:val="10"/>
  </w:num>
  <w:num w:numId="20">
    <w:abstractNumId w:val="20"/>
  </w:num>
  <w:num w:numId="21">
    <w:abstractNumId w:val="26"/>
  </w:num>
  <w:num w:numId="22">
    <w:abstractNumId w:val="28"/>
  </w:num>
  <w:num w:numId="23">
    <w:abstractNumId w:val="11"/>
  </w:num>
  <w:num w:numId="24">
    <w:abstractNumId w:val="22"/>
  </w:num>
  <w:num w:numId="25">
    <w:abstractNumId w:val="27"/>
  </w:num>
  <w:num w:numId="26">
    <w:abstractNumId w:val="19"/>
  </w:num>
  <w:num w:numId="27">
    <w:abstractNumId w:val="17"/>
  </w:num>
  <w:num w:numId="28">
    <w:abstractNumId w:val="8"/>
  </w:num>
  <w:num w:numId="29">
    <w:abstractNumId w:val="30"/>
  </w:num>
  <w:num w:numId="30">
    <w:abstractNumId w:val="3"/>
  </w:num>
  <w:num w:numId="31">
    <w:abstractNumId w:val="9"/>
  </w:num>
  <w:num w:numId="32">
    <w:abstractNumId w:val="0"/>
  </w:num>
  <w:num w:numId="33">
    <w:abstractNumId w:val="5"/>
  </w:num>
  <w:num w:numId="34">
    <w:abstractNumId w:val="33"/>
  </w:num>
  <w:num w:numId="35">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1298"/>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676026"/>
    <w:rsid w:val="0000373A"/>
    <w:rsid w:val="00003963"/>
    <w:rsid w:val="00010977"/>
    <w:rsid w:val="00010DD4"/>
    <w:rsid w:val="00011EFC"/>
    <w:rsid w:val="00012200"/>
    <w:rsid w:val="00012C66"/>
    <w:rsid w:val="0001727A"/>
    <w:rsid w:val="000174EC"/>
    <w:rsid w:val="00026D22"/>
    <w:rsid w:val="000270C6"/>
    <w:rsid w:val="00031823"/>
    <w:rsid w:val="000361FD"/>
    <w:rsid w:val="00040501"/>
    <w:rsid w:val="00040BD4"/>
    <w:rsid w:val="00042385"/>
    <w:rsid w:val="0004435F"/>
    <w:rsid w:val="000476DC"/>
    <w:rsid w:val="000500C9"/>
    <w:rsid w:val="00064505"/>
    <w:rsid w:val="00064DCB"/>
    <w:rsid w:val="0007181B"/>
    <w:rsid w:val="00071BC6"/>
    <w:rsid w:val="000774CA"/>
    <w:rsid w:val="0008094F"/>
    <w:rsid w:val="0008180F"/>
    <w:rsid w:val="00084566"/>
    <w:rsid w:val="000845AC"/>
    <w:rsid w:val="0008714F"/>
    <w:rsid w:val="00090389"/>
    <w:rsid w:val="000939F8"/>
    <w:rsid w:val="00093E9F"/>
    <w:rsid w:val="000944BB"/>
    <w:rsid w:val="000956A3"/>
    <w:rsid w:val="00095E1B"/>
    <w:rsid w:val="000A1C0C"/>
    <w:rsid w:val="000C22D0"/>
    <w:rsid w:val="000C27E2"/>
    <w:rsid w:val="000C78ED"/>
    <w:rsid w:val="000E0539"/>
    <w:rsid w:val="000E1A39"/>
    <w:rsid w:val="000E3400"/>
    <w:rsid w:val="000E6EC4"/>
    <w:rsid w:val="000F16FF"/>
    <w:rsid w:val="000F4774"/>
    <w:rsid w:val="000F61DA"/>
    <w:rsid w:val="00106FF3"/>
    <w:rsid w:val="0011441A"/>
    <w:rsid w:val="00115562"/>
    <w:rsid w:val="001173F5"/>
    <w:rsid w:val="00121123"/>
    <w:rsid w:val="00130FAE"/>
    <w:rsid w:val="00131B0C"/>
    <w:rsid w:val="00134ECA"/>
    <w:rsid w:val="001402B4"/>
    <w:rsid w:val="00143024"/>
    <w:rsid w:val="00145825"/>
    <w:rsid w:val="00145C82"/>
    <w:rsid w:val="001470DA"/>
    <w:rsid w:val="00151E23"/>
    <w:rsid w:val="00152B3A"/>
    <w:rsid w:val="001613B2"/>
    <w:rsid w:val="0016236B"/>
    <w:rsid w:val="001679E1"/>
    <w:rsid w:val="00171AFC"/>
    <w:rsid w:val="0018257B"/>
    <w:rsid w:val="00190CE5"/>
    <w:rsid w:val="00193F1E"/>
    <w:rsid w:val="00194DCB"/>
    <w:rsid w:val="001A6D3A"/>
    <w:rsid w:val="001A78F0"/>
    <w:rsid w:val="001C0227"/>
    <w:rsid w:val="001C2EB5"/>
    <w:rsid w:val="001C457C"/>
    <w:rsid w:val="001D78BC"/>
    <w:rsid w:val="001E641A"/>
    <w:rsid w:val="001F0384"/>
    <w:rsid w:val="001F1EBE"/>
    <w:rsid w:val="001F537F"/>
    <w:rsid w:val="00202504"/>
    <w:rsid w:val="00202B3B"/>
    <w:rsid w:val="00203D2D"/>
    <w:rsid w:val="00210A0E"/>
    <w:rsid w:val="00212526"/>
    <w:rsid w:val="002179F3"/>
    <w:rsid w:val="00224AA8"/>
    <w:rsid w:val="00226D7A"/>
    <w:rsid w:val="002341A8"/>
    <w:rsid w:val="002406BF"/>
    <w:rsid w:val="002421AA"/>
    <w:rsid w:val="00244E81"/>
    <w:rsid w:val="0024665C"/>
    <w:rsid w:val="0025711C"/>
    <w:rsid w:val="00260E6A"/>
    <w:rsid w:val="002631F6"/>
    <w:rsid w:val="002640CE"/>
    <w:rsid w:val="00264A14"/>
    <w:rsid w:val="00270B07"/>
    <w:rsid w:val="00272BB4"/>
    <w:rsid w:val="00272FA2"/>
    <w:rsid w:val="0027305A"/>
    <w:rsid w:val="00297D8F"/>
    <w:rsid w:val="002A0697"/>
    <w:rsid w:val="002C17CB"/>
    <w:rsid w:val="002D1C8D"/>
    <w:rsid w:val="002D438D"/>
    <w:rsid w:val="002E0627"/>
    <w:rsid w:val="002E6830"/>
    <w:rsid w:val="002F0A86"/>
    <w:rsid w:val="002F144B"/>
    <w:rsid w:val="002F29F6"/>
    <w:rsid w:val="002F6A5A"/>
    <w:rsid w:val="00300F18"/>
    <w:rsid w:val="0030650B"/>
    <w:rsid w:val="0030673C"/>
    <w:rsid w:val="00307C2D"/>
    <w:rsid w:val="00312B44"/>
    <w:rsid w:val="00315A3B"/>
    <w:rsid w:val="00320868"/>
    <w:rsid w:val="00320C70"/>
    <w:rsid w:val="00333953"/>
    <w:rsid w:val="0034338F"/>
    <w:rsid w:val="003503AD"/>
    <w:rsid w:val="0036332D"/>
    <w:rsid w:val="00365F3A"/>
    <w:rsid w:val="003712F2"/>
    <w:rsid w:val="00375CAA"/>
    <w:rsid w:val="00384F3F"/>
    <w:rsid w:val="00385159"/>
    <w:rsid w:val="00393392"/>
    <w:rsid w:val="003A105A"/>
    <w:rsid w:val="003B0F3D"/>
    <w:rsid w:val="003C1931"/>
    <w:rsid w:val="003C599D"/>
    <w:rsid w:val="003C61A5"/>
    <w:rsid w:val="003D1F2A"/>
    <w:rsid w:val="003D3F25"/>
    <w:rsid w:val="003D7E58"/>
    <w:rsid w:val="003E085F"/>
    <w:rsid w:val="003E2ACA"/>
    <w:rsid w:val="003E4054"/>
    <w:rsid w:val="003E7ED5"/>
    <w:rsid w:val="003F08F8"/>
    <w:rsid w:val="003F2953"/>
    <w:rsid w:val="003F2ECA"/>
    <w:rsid w:val="003F6CD2"/>
    <w:rsid w:val="00402DF6"/>
    <w:rsid w:val="00404B66"/>
    <w:rsid w:val="00405D87"/>
    <w:rsid w:val="00406C1A"/>
    <w:rsid w:val="004109C3"/>
    <w:rsid w:val="00411246"/>
    <w:rsid w:val="00414ECA"/>
    <w:rsid w:val="00420F43"/>
    <w:rsid w:val="004224D4"/>
    <w:rsid w:val="0043471E"/>
    <w:rsid w:val="0044640D"/>
    <w:rsid w:val="0045041F"/>
    <w:rsid w:val="00451A90"/>
    <w:rsid w:val="00454289"/>
    <w:rsid w:val="00454753"/>
    <w:rsid w:val="00460F16"/>
    <w:rsid w:val="004621E0"/>
    <w:rsid w:val="004654D7"/>
    <w:rsid w:val="00466B9E"/>
    <w:rsid w:val="00466D5B"/>
    <w:rsid w:val="004709E0"/>
    <w:rsid w:val="00472CE2"/>
    <w:rsid w:val="00480D99"/>
    <w:rsid w:val="00480DE2"/>
    <w:rsid w:val="00483847"/>
    <w:rsid w:val="00485882"/>
    <w:rsid w:val="00492949"/>
    <w:rsid w:val="00497344"/>
    <w:rsid w:val="004975A5"/>
    <w:rsid w:val="004A665E"/>
    <w:rsid w:val="004B562C"/>
    <w:rsid w:val="004B5CF8"/>
    <w:rsid w:val="004B6FD9"/>
    <w:rsid w:val="004D441A"/>
    <w:rsid w:val="004E041D"/>
    <w:rsid w:val="004E48EE"/>
    <w:rsid w:val="004E6541"/>
    <w:rsid w:val="004F5323"/>
    <w:rsid w:val="004F6D7C"/>
    <w:rsid w:val="004F6F86"/>
    <w:rsid w:val="004F761C"/>
    <w:rsid w:val="00500AE8"/>
    <w:rsid w:val="00503EE5"/>
    <w:rsid w:val="00503FCE"/>
    <w:rsid w:val="005049FD"/>
    <w:rsid w:val="00516C0D"/>
    <w:rsid w:val="00525787"/>
    <w:rsid w:val="00530A61"/>
    <w:rsid w:val="005404EA"/>
    <w:rsid w:val="005515E1"/>
    <w:rsid w:val="00561E64"/>
    <w:rsid w:val="00564A1E"/>
    <w:rsid w:val="0056550A"/>
    <w:rsid w:val="00567B1E"/>
    <w:rsid w:val="00580219"/>
    <w:rsid w:val="005911CC"/>
    <w:rsid w:val="0059288E"/>
    <w:rsid w:val="00593484"/>
    <w:rsid w:val="005A37EB"/>
    <w:rsid w:val="005A3D01"/>
    <w:rsid w:val="005A574E"/>
    <w:rsid w:val="005A7F78"/>
    <w:rsid w:val="005B2F3A"/>
    <w:rsid w:val="005B7427"/>
    <w:rsid w:val="005C2C31"/>
    <w:rsid w:val="005C37DA"/>
    <w:rsid w:val="005C57F4"/>
    <w:rsid w:val="005C600F"/>
    <w:rsid w:val="005C628B"/>
    <w:rsid w:val="005D0D36"/>
    <w:rsid w:val="005D2877"/>
    <w:rsid w:val="005D6765"/>
    <w:rsid w:val="005D7769"/>
    <w:rsid w:val="005F01F3"/>
    <w:rsid w:val="005F17B0"/>
    <w:rsid w:val="005F1E7F"/>
    <w:rsid w:val="005F2710"/>
    <w:rsid w:val="0060037C"/>
    <w:rsid w:val="0060352E"/>
    <w:rsid w:val="00606DE3"/>
    <w:rsid w:val="0060770D"/>
    <w:rsid w:val="00611C1F"/>
    <w:rsid w:val="00621559"/>
    <w:rsid w:val="00624F8D"/>
    <w:rsid w:val="00625460"/>
    <w:rsid w:val="00626F33"/>
    <w:rsid w:val="00626F9B"/>
    <w:rsid w:val="0062770F"/>
    <w:rsid w:val="00627FBC"/>
    <w:rsid w:val="00631F01"/>
    <w:rsid w:val="00633DDF"/>
    <w:rsid w:val="006343F7"/>
    <w:rsid w:val="00640219"/>
    <w:rsid w:val="00641E45"/>
    <w:rsid w:val="006553D7"/>
    <w:rsid w:val="006601CB"/>
    <w:rsid w:val="00667DC7"/>
    <w:rsid w:val="006714C7"/>
    <w:rsid w:val="00676026"/>
    <w:rsid w:val="0067740B"/>
    <w:rsid w:val="00677423"/>
    <w:rsid w:val="00677427"/>
    <w:rsid w:val="00677CB0"/>
    <w:rsid w:val="00681C91"/>
    <w:rsid w:val="006822A8"/>
    <w:rsid w:val="00685C5E"/>
    <w:rsid w:val="00690804"/>
    <w:rsid w:val="00694E7C"/>
    <w:rsid w:val="006A12AE"/>
    <w:rsid w:val="006A422D"/>
    <w:rsid w:val="006A4AD3"/>
    <w:rsid w:val="006A5F08"/>
    <w:rsid w:val="006B0423"/>
    <w:rsid w:val="006C36E4"/>
    <w:rsid w:val="006D3A6A"/>
    <w:rsid w:val="006D5034"/>
    <w:rsid w:val="006E1E67"/>
    <w:rsid w:val="006E2CE5"/>
    <w:rsid w:val="006E3968"/>
    <w:rsid w:val="006E51FB"/>
    <w:rsid w:val="006E6A39"/>
    <w:rsid w:val="006F0750"/>
    <w:rsid w:val="006F1160"/>
    <w:rsid w:val="006F5218"/>
    <w:rsid w:val="006F6EAB"/>
    <w:rsid w:val="007021F3"/>
    <w:rsid w:val="00705CD4"/>
    <w:rsid w:val="007169B3"/>
    <w:rsid w:val="00716C72"/>
    <w:rsid w:val="0072278E"/>
    <w:rsid w:val="007305D3"/>
    <w:rsid w:val="00730B0D"/>
    <w:rsid w:val="00732C4B"/>
    <w:rsid w:val="00732EEA"/>
    <w:rsid w:val="00754B3A"/>
    <w:rsid w:val="00763A3D"/>
    <w:rsid w:val="007703CE"/>
    <w:rsid w:val="0078180A"/>
    <w:rsid w:val="00784C85"/>
    <w:rsid w:val="007A3B01"/>
    <w:rsid w:val="007A745E"/>
    <w:rsid w:val="007B0E37"/>
    <w:rsid w:val="007B395F"/>
    <w:rsid w:val="007C07DA"/>
    <w:rsid w:val="007C2763"/>
    <w:rsid w:val="007C68AF"/>
    <w:rsid w:val="007D3FFB"/>
    <w:rsid w:val="007D458D"/>
    <w:rsid w:val="007F3367"/>
    <w:rsid w:val="00813C38"/>
    <w:rsid w:val="008219DB"/>
    <w:rsid w:val="00821DAF"/>
    <w:rsid w:val="0082397E"/>
    <w:rsid w:val="00823BD6"/>
    <w:rsid w:val="00823CB2"/>
    <w:rsid w:val="0082538A"/>
    <w:rsid w:val="008348C2"/>
    <w:rsid w:val="008409C5"/>
    <w:rsid w:val="00851FE0"/>
    <w:rsid w:val="00853B73"/>
    <w:rsid w:val="0086232D"/>
    <w:rsid w:val="00875712"/>
    <w:rsid w:val="0088371B"/>
    <w:rsid w:val="00883F3C"/>
    <w:rsid w:val="008869FD"/>
    <w:rsid w:val="00891173"/>
    <w:rsid w:val="008914A0"/>
    <w:rsid w:val="008937B1"/>
    <w:rsid w:val="0089740F"/>
    <w:rsid w:val="008A0EC3"/>
    <w:rsid w:val="008A3759"/>
    <w:rsid w:val="008A629B"/>
    <w:rsid w:val="008A7444"/>
    <w:rsid w:val="008B0688"/>
    <w:rsid w:val="008B2844"/>
    <w:rsid w:val="008B3E43"/>
    <w:rsid w:val="008B4C61"/>
    <w:rsid w:val="008C4885"/>
    <w:rsid w:val="008C5EA6"/>
    <w:rsid w:val="008D103D"/>
    <w:rsid w:val="008D1A40"/>
    <w:rsid w:val="008E12EC"/>
    <w:rsid w:val="008E57E7"/>
    <w:rsid w:val="008E7BB2"/>
    <w:rsid w:val="009004DB"/>
    <w:rsid w:val="009018B8"/>
    <w:rsid w:val="009054F4"/>
    <w:rsid w:val="00914493"/>
    <w:rsid w:val="009204BC"/>
    <w:rsid w:val="00921B4A"/>
    <w:rsid w:val="00931D83"/>
    <w:rsid w:val="009327B9"/>
    <w:rsid w:val="00933309"/>
    <w:rsid w:val="0094290A"/>
    <w:rsid w:val="0094434E"/>
    <w:rsid w:val="00952B2A"/>
    <w:rsid w:val="00953D44"/>
    <w:rsid w:val="009651EF"/>
    <w:rsid w:val="009652BF"/>
    <w:rsid w:val="009665E1"/>
    <w:rsid w:val="00970122"/>
    <w:rsid w:val="00972FB4"/>
    <w:rsid w:val="00974519"/>
    <w:rsid w:val="0097601C"/>
    <w:rsid w:val="00976D07"/>
    <w:rsid w:val="009830AC"/>
    <w:rsid w:val="0098417C"/>
    <w:rsid w:val="00995E0E"/>
    <w:rsid w:val="009A3D78"/>
    <w:rsid w:val="009B0139"/>
    <w:rsid w:val="009B3657"/>
    <w:rsid w:val="009C0229"/>
    <w:rsid w:val="009C1200"/>
    <w:rsid w:val="009C34DB"/>
    <w:rsid w:val="009C4813"/>
    <w:rsid w:val="009C4C5B"/>
    <w:rsid w:val="009C6358"/>
    <w:rsid w:val="009C7F27"/>
    <w:rsid w:val="009D1F49"/>
    <w:rsid w:val="009D203D"/>
    <w:rsid w:val="009E0985"/>
    <w:rsid w:val="009E3339"/>
    <w:rsid w:val="009F5F83"/>
    <w:rsid w:val="00A061EA"/>
    <w:rsid w:val="00A13318"/>
    <w:rsid w:val="00A13BCD"/>
    <w:rsid w:val="00A216AE"/>
    <w:rsid w:val="00A22006"/>
    <w:rsid w:val="00A24320"/>
    <w:rsid w:val="00A41E05"/>
    <w:rsid w:val="00A46CC3"/>
    <w:rsid w:val="00A536A4"/>
    <w:rsid w:val="00A574EA"/>
    <w:rsid w:val="00A60761"/>
    <w:rsid w:val="00A62AC6"/>
    <w:rsid w:val="00A65724"/>
    <w:rsid w:val="00A65E01"/>
    <w:rsid w:val="00A679EB"/>
    <w:rsid w:val="00A7758F"/>
    <w:rsid w:val="00A8183B"/>
    <w:rsid w:val="00A85485"/>
    <w:rsid w:val="00A9036A"/>
    <w:rsid w:val="00A91324"/>
    <w:rsid w:val="00A91874"/>
    <w:rsid w:val="00AA6D52"/>
    <w:rsid w:val="00AB106E"/>
    <w:rsid w:val="00AB2318"/>
    <w:rsid w:val="00AB45FB"/>
    <w:rsid w:val="00AB7469"/>
    <w:rsid w:val="00AC1878"/>
    <w:rsid w:val="00AC37A8"/>
    <w:rsid w:val="00AC7ACD"/>
    <w:rsid w:val="00AD4801"/>
    <w:rsid w:val="00AE146D"/>
    <w:rsid w:val="00AE2C9E"/>
    <w:rsid w:val="00AE7183"/>
    <w:rsid w:val="00AE7A34"/>
    <w:rsid w:val="00B02424"/>
    <w:rsid w:val="00B068A5"/>
    <w:rsid w:val="00B1023C"/>
    <w:rsid w:val="00B1042B"/>
    <w:rsid w:val="00B14BC4"/>
    <w:rsid w:val="00B1780A"/>
    <w:rsid w:val="00B17EC3"/>
    <w:rsid w:val="00B20AB9"/>
    <w:rsid w:val="00B27670"/>
    <w:rsid w:val="00B353ED"/>
    <w:rsid w:val="00B41B45"/>
    <w:rsid w:val="00B446B4"/>
    <w:rsid w:val="00B60CB9"/>
    <w:rsid w:val="00B73C28"/>
    <w:rsid w:val="00B81F94"/>
    <w:rsid w:val="00B85755"/>
    <w:rsid w:val="00B87ACE"/>
    <w:rsid w:val="00B9549F"/>
    <w:rsid w:val="00B960F9"/>
    <w:rsid w:val="00BA2D2B"/>
    <w:rsid w:val="00BB5B9F"/>
    <w:rsid w:val="00BC1AA7"/>
    <w:rsid w:val="00BC395B"/>
    <w:rsid w:val="00BC7491"/>
    <w:rsid w:val="00BD198E"/>
    <w:rsid w:val="00BD39B7"/>
    <w:rsid w:val="00BE0C08"/>
    <w:rsid w:val="00BE1240"/>
    <w:rsid w:val="00BE5669"/>
    <w:rsid w:val="00C07144"/>
    <w:rsid w:val="00C12C5D"/>
    <w:rsid w:val="00C1646D"/>
    <w:rsid w:val="00C25661"/>
    <w:rsid w:val="00C367C7"/>
    <w:rsid w:val="00C36D0A"/>
    <w:rsid w:val="00C373A8"/>
    <w:rsid w:val="00C43476"/>
    <w:rsid w:val="00C446AF"/>
    <w:rsid w:val="00C44A74"/>
    <w:rsid w:val="00C521C3"/>
    <w:rsid w:val="00C614D4"/>
    <w:rsid w:val="00C65B2B"/>
    <w:rsid w:val="00C66793"/>
    <w:rsid w:val="00C75DCF"/>
    <w:rsid w:val="00C940F0"/>
    <w:rsid w:val="00CA3ED7"/>
    <w:rsid w:val="00CB27C3"/>
    <w:rsid w:val="00CB2FAE"/>
    <w:rsid w:val="00CB38EA"/>
    <w:rsid w:val="00CB4428"/>
    <w:rsid w:val="00CC4192"/>
    <w:rsid w:val="00CC4938"/>
    <w:rsid w:val="00CC4DC1"/>
    <w:rsid w:val="00CC50FE"/>
    <w:rsid w:val="00CC6A56"/>
    <w:rsid w:val="00CC72D4"/>
    <w:rsid w:val="00CD62DC"/>
    <w:rsid w:val="00CD7033"/>
    <w:rsid w:val="00CE1527"/>
    <w:rsid w:val="00CE2463"/>
    <w:rsid w:val="00CE2FF8"/>
    <w:rsid w:val="00CF3005"/>
    <w:rsid w:val="00D028B7"/>
    <w:rsid w:val="00D03A53"/>
    <w:rsid w:val="00D05EC8"/>
    <w:rsid w:val="00D13548"/>
    <w:rsid w:val="00D16977"/>
    <w:rsid w:val="00D253A8"/>
    <w:rsid w:val="00D26CDC"/>
    <w:rsid w:val="00D325D8"/>
    <w:rsid w:val="00D345C1"/>
    <w:rsid w:val="00D346CE"/>
    <w:rsid w:val="00D35728"/>
    <w:rsid w:val="00D357F6"/>
    <w:rsid w:val="00D35FCC"/>
    <w:rsid w:val="00D53421"/>
    <w:rsid w:val="00D54158"/>
    <w:rsid w:val="00D55D2A"/>
    <w:rsid w:val="00D64779"/>
    <w:rsid w:val="00D74143"/>
    <w:rsid w:val="00D81807"/>
    <w:rsid w:val="00D877D9"/>
    <w:rsid w:val="00D9656D"/>
    <w:rsid w:val="00D97144"/>
    <w:rsid w:val="00DA1577"/>
    <w:rsid w:val="00DA4CC5"/>
    <w:rsid w:val="00DA6F3A"/>
    <w:rsid w:val="00DA7475"/>
    <w:rsid w:val="00DC63EC"/>
    <w:rsid w:val="00DD2374"/>
    <w:rsid w:val="00DE036D"/>
    <w:rsid w:val="00DE59A7"/>
    <w:rsid w:val="00E048A8"/>
    <w:rsid w:val="00E111B2"/>
    <w:rsid w:val="00E159F3"/>
    <w:rsid w:val="00E163BC"/>
    <w:rsid w:val="00E21068"/>
    <w:rsid w:val="00E2178E"/>
    <w:rsid w:val="00E22A2B"/>
    <w:rsid w:val="00E23049"/>
    <w:rsid w:val="00E27740"/>
    <w:rsid w:val="00E4095B"/>
    <w:rsid w:val="00E43546"/>
    <w:rsid w:val="00E43915"/>
    <w:rsid w:val="00E43CCB"/>
    <w:rsid w:val="00E50B60"/>
    <w:rsid w:val="00E57F9B"/>
    <w:rsid w:val="00E653D8"/>
    <w:rsid w:val="00E70542"/>
    <w:rsid w:val="00E77691"/>
    <w:rsid w:val="00E815F8"/>
    <w:rsid w:val="00E8500B"/>
    <w:rsid w:val="00E95DAF"/>
    <w:rsid w:val="00EB550D"/>
    <w:rsid w:val="00EB63D9"/>
    <w:rsid w:val="00EC3A22"/>
    <w:rsid w:val="00EC4357"/>
    <w:rsid w:val="00EC5126"/>
    <w:rsid w:val="00EC5ABA"/>
    <w:rsid w:val="00EC7238"/>
    <w:rsid w:val="00ED14ED"/>
    <w:rsid w:val="00ED3868"/>
    <w:rsid w:val="00ED5119"/>
    <w:rsid w:val="00EE4880"/>
    <w:rsid w:val="00EE6509"/>
    <w:rsid w:val="00EE73A2"/>
    <w:rsid w:val="00EF51B5"/>
    <w:rsid w:val="00F0418F"/>
    <w:rsid w:val="00F129A8"/>
    <w:rsid w:val="00F20265"/>
    <w:rsid w:val="00F21D54"/>
    <w:rsid w:val="00F22B20"/>
    <w:rsid w:val="00F30CFC"/>
    <w:rsid w:val="00F416BE"/>
    <w:rsid w:val="00F447A5"/>
    <w:rsid w:val="00F44CBA"/>
    <w:rsid w:val="00F47061"/>
    <w:rsid w:val="00F56265"/>
    <w:rsid w:val="00F60480"/>
    <w:rsid w:val="00F60758"/>
    <w:rsid w:val="00F650D2"/>
    <w:rsid w:val="00F81D24"/>
    <w:rsid w:val="00F82609"/>
    <w:rsid w:val="00F8383A"/>
    <w:rsid w:val="00FC245F"/>
    <w:rsid w:val="00FC3D94"/>
    <w:rsid w:val="00FD07A2"/>
    <w:rsid w:val="00FD2D2F"/>
    <w:rsid w:val="00FD5482"/>
    <w:rsid w:val="00FD699E"/>
    <w:rsid w:val="00FE0434"/>
    <w:rsid w:val="00FE08DC"/>
    <w:rsid w:val="00FE3805"/>
    <w:rsid w:val="00FF08C2"/>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rules v:ext="edit">
        <o:r id="V:Rule62" type="connector" idref="#_x0000_s1286">
          <o:proxy end="" idref="#_x0000_s1282" connectloc="1"/>
        </o:r>
        <o:r id="V:Rule63" type="connector" idref="#_x0000_s1045"/>
        <o:r id="V:Rule64" type="connector" idref="#_x0000_s1047"/>
        <o:r id="V:Rule65" type="connector" idref="#_x0000_s1041"/>
        <o:r id="V:Rule66" type="connector" idref="#_x0000_s1273"/>
        <o:r id="V:Rule67" type="connector" idref="#_x0000_s1144">
          <o:proxy start="" idref="#_x0000_s1104" connectloc="1"/>
        </o:r>
        <o:r id="V:Rule68" type="connector" idref="#_x0000_s1223"/>
        <o:r id="V:Rule69" type="connector" idref="#_x0000_s1166">
          <o:proxy end="" idref="#_x0000_s1105" connectloc="3"/>
        </o:r>
        <o:r id="V:Rule70" type="connector" idref="#_x0000_s1272"/>
        <o:r id="V:Rule71" type="connector" idref="#_x0000_s1281">
          <o:proxy start="" idref="#_x0000_s1187" connectloc="0"/>
          <o:proxy end="" idref="#_x0000_s1190" connectloc="1"/>
        </o:r>
        <o:r id="V:Rule72" type="connector" idref="#_x0000_s1137"/>
        <o:r id="V:Rule73" type="connector" idref="#_x0000_s1218"/>
        <o:r id="V:Rule74" type="connector" idref="#_x0000_s1142">
          <o:proxy start="" idref="#_x0000_s1262" connectloc="1"/>
        </o:r>
        <o:r id="V:Rule75" type="connector" idref="#_x0000_s1292">
          <o:proxy end="" idref="#_x0000_s1289" connectloc="1"/>
        </o:r>
        <o:r id="V:Rule76" type="connector" idref="#_x0000_s1253">
          <o:proxy start="" idref="#_x0000_s1251" connectloc="2"/>
          <o:proxy end="" idref="#_x0000_s1249" connectloc="0"/>
        </o:r>
        <o:r id="V:Rule77" type="connector" idref="#_x0000_s1264"/>
        <o:r id="V:Rule78" type="connector" idref="#_x0000_s1035"/>
        <o:r id="V:Rule79" type="connector" idref="#_x0000_s1256">
          <o:proxy end="" idref="#_x0000_s1251" connectloc="3"/>
        </o:r>
        <o:r id="V:Rule80" type="connector" idref="#_x0000_s1247">
          <o:proxy end="" idref="#_x0000_s1243" connectloc="3"/>
        </o:r>
        <o:r id="V:Rule81" type="connector" idref="#_x0000_s1107">
          <o:proxy start="" idref="#_x0000_s1146" connectloc="2"/>
        </o:r>
        <o:r id="V:Rule82" type="connector" idref="#_x0000_s1230"/>
        <o:r id="V:Rule83" type="connector" idref="#_x0000_s1219"/>
        <o:r id="V:Rule84" type="connector" idref="#_x0000_s1254">
          <o:proxy end="" idref="#_x0000_s1250" connectloc="3"/>
        </o:r>
        <o:r id="V:Rule85" type="connector" idref="#_x0000_s1038"/>
        <o:r id="V:Rule86" type="connector" idref="#_x0000_s1033"/>
        <o:r id="V:Rule87" type="connector" idref="#_x0000_s1291">
          <o:proxy start="" idref="#_x0000_s1187" connectloc="3"/>
          <o:proxy end="" idref="#_x0000_s1288" connectloc="1"/>
        </o:r>
        <o:r id="V:Rule88" type="connector" idref="#_x0000_s1044"/>
        <o:r id="V:Rule89" type="connector" idref="#_x0000_s1040"/>
        <o:r id="V:Rule90" type="connector" idref="#_x0000_s1039"/>
        <o:r id="V:Rule91" type="connector" idref="#_x0000_s1255"/>
        <o:r id="V:Rule92" type="connector" idref="#_x0000_s1043"/>
        <o:r id="V:Rule93" type="connector" idref="#_x0000_s1048"/>
        <o:r id="V:Rule94" type="connector" idref="#_x0000_s1042"/>
        <o:r id="V:Rule95" type="connector" idref="#_x0000_s1229"/>
        <o:r id="V:Rule96" type="connector" idref="#_x0000_s1241"/>
        <o:r id="V:Rule97" type="connector" idref="#_x0000_s1032"/>
        <o:r id="V:Rule98" type="connector" idref="#_x0000_s1270">
          <o:proxy start="" idref="#_x0000_s1268" connectloc="2"/>
          <o:proxy end="" idref="#_x0000_s1145" connectloc="3"/>
        </o:r>
        <o:r id="V:Rule99" type="connector" idref="#_x0000_s1238"/>
        <o:r id="V:Rule100" type="connector" idref="#_x0000_s1246"/>
        <o:r id="V:Rule101" type="connector" idref="#_x0000_s1257">
          <o:proxy start="" idref="#_x0000_s1258" connectloc="1"/>
        </o:r>
        <o:r id="V:Rule102" type="connector" idref="#_x0000_s1274"/>
        <o:r id="V:Rule103" type="connector" idref="#_x0000_s1248"/>
        <o:r id="V:Rule104" type="connector" idref="#_x0000_s1036"/>
        <o:r id="V:Rule106" type="connector" idref="#_x0000_s1034"/>
        <o:r id="V:Rule107" type="connector" idref="#_x0000_s1271"/>
        <o:r id="V:Rule108" type="connector" idref="#_x0000_s1237"/>
        <o:r id="V:Rule109" type="connector" idref="#_x0000_s1138">
          <o:proxy start="" idref="#_x0000_s1103" connectloc="1"/>
        </o:r>
        <o:r id="V:Rule110" type="connector" idref="#_x0000_s1233"/>
        <o:r id="V:Rule111" type="connector" idref="#_x0000_s1228"/>
        <o:r id="V:Rule112" type="connector" idref="#_x0000_s1265"/>
        <o:r id="V:Rule113" type="connector" idref="#_x0000_s1037"/>
        <o:r id="V:Rule114" type="connector" idref="#_x0000_s1239"/>
        <o:r id="V:Rule115" type="connector" idref="#_x0000_s1227"/>
        <o:r id="V:Rule116" type="connector" idref="#_x0000_s1141">
          <o:proxy start="" idref="#_x0000_s1100" connectloc="1"/>
        </o:r>
        <o:r id="V:Rule117" type="connector" idref="#_x0000_s1293">
          <o:proxy start="" idref="#_x0000_s1187" connectloc="2"/>
          <o:proxy end="" idref="#_x0000_s1290" connectloc="1"/>
        </o:r>
        <o:r id="V:Rule118" type="connector" idref="#_x0000_s1140">
          <o:proxy end="" idref="#_x0000_s1263" connectloc="3"/>
        </o:r>
        <o:r id="V:Rule119" type="connector" idref="#_x0000_s1267"/>
        <o:r id="V:Rule120" type="connector" idref="#_x0000_s1046"/>
        <o:r id="V:Rule121" type="connector" idref="#_x0000_s1222"/>
        <o:r id="V:Rule122" type="connector" idref="#_x0000_s1285">
          <o:proxy end="" idref="#_x0000_s1284"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026"/>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D35728"/>
    <w:pPr>
      <w:keepNext/>
      <w:keepLines/>
      <w:spacing w:before="480"/>
      <w:jc w:val="center"/>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D35728"/>
    <w:pPr>
      <w:keepNext/>
      <w:keepLines/>
      <w:numPr>
        <w:numId w:val="30"/>
      </w:numPr>
      <w:spacing w:before="200"/>
      <w:jc w:val="center"/>
      <w:outlineLvl w:val="1"/>
    </w:pPr>
    <w:rPr>
      <w:rFonts w:eastAsiaTheme="majorEastAsia" w:cstheme="majorBidi"/>
      <w:bCs/>
      <w:szCs w:val="26"/>
    </w:rPr>
  </w:style>
  <w:style w:type="paragraph" w:styleId="Heading3">
    <w:name w:val="heading 3"/>
    <w:basedOn w:val="Normal"/>
    <w:next w:val="Normal"/>
    <w:link w:val="Heading3Char"/>
    <w:uiPriority w:val="9"/>
    <w:unhideWhenUsed/>
    <w:qFormat/>
    <w:rsid w:val="00D35728"/>
    <w:pPr>
      <w:keepNext/>
      <w:keepLines/>
      <w:numPr>
        <w:numId w:val="31"/>
      </w:numPr>
      <w:spacing w:before="440" w:after="240"/>
      <w:jc w:val="center"/>
      <w:outlineLvl w:val="2"/>
    </w:pPr>
    <w:rPr>
      <w:rFonts w:eastAsiaTheme="majorEastAsia" w:cstheme="majorBidi"/>
      <w:bCs/>
    </w:rPr>
  </w:style>
  <w:style w:type="paragraph" w:styleId="Heading4">
    <w:name w:val="heading 4"/>
    <w:basedOn w:val="Normal"/>
    <w:next w:val="Normal"/>
    <w:link w:val="Heading4Char"/>
    <w:uiPriority w:val="9"/>
    <w:unhideWhenUsed/>
    <w:qFormat/>
    <w:rsid w:val="00D35728"/>
    <w:pPr>
      <w:keepNext/>
      <w:keepLines/>
      <w:numPr>
        <w:numId w:val="32"/>
      </w:numPr>
      <w:spacing w:before="200"/>
      <w:jc w:val="center"/>
      <w:outlineLvl w:val="3"/>
    </w:pPr>
    <w:rPr>
      <w:rFonts w:eastAsiaTheme="majorEastAsia" w:cstheme="majorBidi"/>
      <w:bCs/>
      <w:iCs/>
    </w:rPr>
  </w:style>
  <w:style w:type="paragraph" w:styleId="Heading5">
    <w:name w:val="heading 5"/>
    <w:basedOn w:val="Normal"/>
    <w:next w:val="Normal"/>
    <w:link w:val="Heading5Char"/>
    <w:uiPriority w:val="9"/>
    <w:unhideWhenUsed/>
    <w:qFormat/>
    <w:rsid w:val="00D35728"/>
    <w:pPr>
      <w:keepNext/>
      <w:keepLines/>
      <w:spacing w:before="200"/>
      <w:jc w:val="center"/>
      <w:outlineLvl w:val="4"/>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76026"/>
    <w:rPr>
      <w:sz w:val="20"/>
      <w:szCs w:val="20"/>
    </w:rPr>
  </w:style>
  <w:style w:type="character" w:customStyle="1" w:styleId="FootnoteTextChar">
    <w:name w:val="Footnote Text Char"/>
    <w:basedOn w:val="DefaultParagraphFont"/>
    <w:link w:val="FootnoteText"/>
    <w:semiHidden/>
    <w:rsid w:val="00676026"/>
    <w:rPr>
      <w:rFonts w:ascii="Times New Roman" w:eastAsia="Times New Roman" w:hAnsi="Times New Roman" w:cs="Times New Roman"/>
      <w:sz w:val="20"/>
      <w:szCs w:val="20"/>
      <w:lang w:eastAsia="lt-LT"/>
    </w:rPr>
  </w:style>
  <w:style w:type="character" w:styleId="FootnoteReference">
    <w:name w:val="footnote reference"/>
    <w:basedOn w:val="DefaultParagraphFont"/>
    <w:semiHidden/>
    <w:rsid w:val="00676026"/>
    <w:rPr>
      <w:vertAlign w:val="superscript"/>
    </w:rPr>
  </w:style>
  <w:style w:type="character" w:customStyle="1" w:styleId="searchrezleft6">
    <w:name w:val="searchrezleft6"/>
    <w:basedOn w:val="DefaultParagraphFont"/>
    <w:rsid w:val="00676026"/>
  </w:style>
  <w:style w:type="paragraph" w:styleId="ListParagraph">
    <w:name w:val="List Paragraph"/>
    <w:basedOn w:val="Normal"/>
    <w:uiPriority w:val="34"/>
    <w:qFormat/>
    <w:rsid w:val="00676026"/>
    <w:pPr>
      <w:ind w:left="720"/>
      <w:contextualSpacing/>
    </w:pPr>
  </w:style>
  <w:style w:type="character" w:styleId="Hyperlink">
    <w:name w:val="Hyperlink"/>
    <w:basedOn w:val="DefaultParagraphFont"/>
    <w:uiPriority w:val="99"/>
    <w:rsid w:val="00676026"/>
    <w:rPr>
      <w:color w:val="0000FF"/>
      <w:u w:val="single"/>
    </w:rPr>
  </w:style>
  <w:style w:type="paragraph" w:styleId="BalloonText">
    <w:name w:val="Balloon Text"/>
    <w:basedOn w:val="Normal"/>
    <w:link w:val="BalloonTextChar"/>
    <w:uiPriority w:val="99"/>
    <w:semiHidden/>
    <w:unhideWhenUsed/>
    <w:rsid w:val="00676026"/>
    <w:rPr>
      <w:rFonts w:ascii="Tahoma" w:hAnsi="Tahoma" w:cs="Tahoma"/>
      <w:sz w:val="16"/>
      <w:szCs w:val="16"/>
    </w:rPr>
  </w:style>
  <w:style w:type="character" w:customStyle="1" w:styleId="BalloonTextChar">
    <w:name w:val="Balloon Text Char"/>
    <w:basedOn w:val="DefaultParagraphFont"/>
    <w:link w:val="BalloonText"/>
    <w:uiPriority w:val="99"/>
    <w:semiHidden/>
    <w:rsid w:val="00676026"/>
    <w:rPr>
      <w:rFonts w:ascii="Tahoma" w:eastAsia="Times New Roman" w:hAnsi="Tahoma" w:cs="Tahoma"/>
      <w:sz w:val="16"/>
      <w:szCs w:val="16"/>
      <w:lang w:eastAsia="lt-LT"/>
    </w:rPr>
  </w:style>
  <w:style w:type="paragraph" w:styleId="NormalWeb">
    <w:name w:val="Normal (Web)"/>
    <w:basedOn w:val="Normal"/>
    <w:rsid w:val="00676026"/>
    <w:pPr>
      <w:spacing w:before="100" w:beforeAutospacing="1" w:after="100" w:afterAutospacing="1"/>
    </w:pPr>
  </w:style>
  <w:style w:type="paragraph" w:customStyle="1" w:styleId="Default">
    <w:name w:val="Default"/>
    <w:rsid w:val="00676026"/>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rsid w:val="00676026"/>
    <w:pPr>
      <w:tabs>
        <w:tab w:val="center" w:pos="4819"/>
        <w:tab w:val="right" w:pos="9638"/>
      </w:tabs>
    </w:pPr>
  </w:style>
  <w:style w:type="character" w:customStyle="1" w:styleId="FooterChar">
    <w:name w:val="Footer Char"/>
    <w:basedOn w:val="DefaultParagraphFont"/>
    <w:link w:val="Footer"/>
    <w:uiPriority w:val="99"/>
    <w:rsid w:val="00676026"/>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676026"/>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676026"/>
    <w:pPr>
      <w:tabs>
        <w:tab w:val="center" w:pos="4819"/>
        <w:tab w:val="right" w:pos="9638"/>
      </w:tabs>
    </w:pPr>
  </w:style>
  <w:style w:type="character" w:styleId="FollowedHyperlink">
    <w:name w:val="FollowedHyperlink"/>
    <w:basedOn w:val="DefaultParagraphFont"/>
    <w:uiPriority w:val="99"/>
    <w:semiHidden/>
    <w:unhideWhenUsed/>
    <w:rsid w:val="009018B8"/>
    <w:rPr>
      <w:color w:val="800080" w:themeColor="followedHyperlink"/>
      <w:u w:val="single"/>
    </w:rPr>
  </w:style>
  <w:style w:type="table" w:styleId="TableGrid">
    <w:name w:val="Table Grid"/>
    <w:basedOn w:val="TableNormal"/>
    <w:uiPriority w:val="59"/>
    <w:rsid w:val="00D741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F01F3"/>
    <w:rPr>
      <w:color w:val="808080"/>
    </w:rPr>
  </w:style>
  <w:style w:type="character" w:customStyle="1" w:styleId="A2">
    <w:name w:val="A2"/>
    <w:uiPriority w:val="99"/>
    <w:rsid w:val="00C36D0A"/>
    <w:rPr>
      <w:rFonts w:cs="Minion Pro"/>
      <w:color w:val="000000"/>
      <w:sz w:val="15"/>
      <w:szCs w:val="15"/>
    </w:rPr>
  </w:style>
  <w:style w:type="character" w:customStyle="1" w:styleId="A4">
    <w:name w:val="A4"/>
    <w:uiPriority w:val="99"/>
    <w:rsid w:val="00C36D0A"/>
    <w:rPr>
      <w:rFonts w:cs="Minion Pro"/>
      <w:color w:val="000000"/>
      <w:sz w:val="20"/>
      <w:szCs w:val="20"/>
    </w:rPr>
  </w:style>
  <w:style w:type="character" w:customStyle="1" w:styleId="Heading1Char">
    <w:name w:val="Heading 1 Char"/>
    <w:basedOn w:val="DefaultParagraphFont"/>
    <w:link w:val="Heading1"/>
    <w:uiPriority w:val="9"/>
    <w:rsid w:val="00D35728"/>
    <w:rPr>
      <w:rFonts w:ascii="Times New Roman" w:eastAsiaTheme="majorEastAsia" w:hAnsi="Times New Roman" w:cstheme="majorBidi"/>
      <w:bCs/>
      <w:sz w:val="28"/>
      <w:szCs w:val="28"/>
      <w:lang w:eastAsia="lt-LT"/>
    </w:rPr>
  </w:style>
  <w:style w:type="character" w:customStyle="1" w:styleId="Heading2Char">
    <w:name w:val="Heading 2 Char"/>
    <w:basedOn w:val="DefaultParagraphFont"/>
    <w:link w:val="Heading2"/>
    <w:uiPriority w:val="9"/>
    <w:rsid w:val="00D35728"/>
    <w:rPr>
      <w:rFonts w:ascii="Times New Roman" w:eastAsiaTheme="majorEastAsia" w:hAnsi="Times New Roman" w:cstheme="majorBidi"/>
      <w:bCs/>
      <w:sz w:val="24"/>
      <w:szCs w:val="26"/>
      <w:lang w:eastAsia="lt-LT"/>
    </w:rPr>
  </w:style>
  <w:style w:type="character" w:customStyle="1" w:styleId="Heading3Char">
    <w:name w:val="Heading 3 Char"/>
    <w:basedOn w:val="DefaultParagraphFont"/>
    <w:link w:val="Heading3"/>
    <w:uiPriority w:val="9"/>
    <w:rsid w:val="00D35728"/>
    <w:rPr>
      <w:rFonts w:ascii="Times New Roman" w:eastAsiaTheme="majorEastAsia" w:hAnsi="Times New Roman" w:cstheme="majorBidi"/>
      <w:bCs/>
      <w:sz w:val="24"/>
      <w:szCs w:val="24"/>
      <w:lang w:eastAsia="lt-LT"/>
    </w:rPr>
  </w:style>
  <w:style w:type="character" w:customStyle="1" w:styleId="Heading4Char">
    <w:name w:val="Heading 4 Char"/>
    <w:basedOn w:val="DefaultParagraphFont"/>
    <w:link w:val="Heading4"/>
    <w:uiPriority w:val="9"/>
    <w:rsid w:val="00D35728"/>
    <w:rPr>
      <w:rFonts w:ascii="Times New Roman" w:eastAsiaTheme="majorEastAsia" w:hAnsi="Times New Roman" w:cstheme="majorBidi"/>
      <w:bCs/>
      <w:iCs/>
      <w:sz w:val="24"/>
      <w:szCs w:val="24"/>
      <w:lang w:eastAsia="lt-LT"/>
    </w:rPr>
  </w:style>
  <w:style w:type="character" w:customStyle="1" w:styleId="Heading5Char">
    <w:name w:val="Heading 5 Char"/>
    <w:basedOn w:val="DefaultParagraphFont"/>
    <w:link w:val="Heading5"/>
    <w:uiPriority w:val="9"/>
    <w:rsid w:val="00D35728"/>
    <w:rPr>
      <w:rFonts w:ascii="Times New Roman" w:eastAsiaTheme="majorEastAsia" w:hAnsi="Times New Roman" w:cstheme="majorBidi"/>
      <w:b/>
      <w:sz w:val="28"/>
      <w:szCs w:val="24"/>
      <w:lang w:eastAsia="lt-LT"/>
    </w:rPr>
  </w:style>
  <w:style w:type="paragraph" w:styleId="TOCHeading">
    <w:name w:val="TOC Heading"/>
    <w:basedOn w:val="Heading1"/>
    <w:next w:val="Normal"/>
    <w:uiPriority w:val="39"/>
    <w:unhideWhenUsed/>
    <w:qFormat/>
    <w:rsid w:val="00C12C5D"/>
    <w:pPr>
      <w:spacing w:line="276" w:lineRule="auto"/>
      <w:jc w:val="left"/>
      <w:outlineLvl w:val="9"/>
    </w:pPr>
    <w:rPr>
      <w:rFonts w:asciiTheme="majorHAnsi" w:hAnsiTheme="majorHAnsi"/>
      <w:b/>
      <w:color w:val="365F91" w:themeColor="accent1" w:themeShade="BF"/>
      <w:lang w:val="en-US" w:eastAsia="en-US"/>
    </w:rPr>
  </w:style>
  <w:style w:type="paragraph" w:styleId="TOC1">
    <w:name w:val="toc 1"/>
    <w:basedOn w:val="Normal"/>
    <w:next w:val="Normal"/>
    <w:autoRedefine/>
    <w:uiPriority w:val="39"/>
    <w:unhideWhenUsed/>
    <w:rsid w:val="00C12C5D"/>
    <w:pPr>
      <w:spacing w:after="100"/>
    </w:pPr>
  </w:style>
  <w:style w:type="paragraph" w:styleId="TOC2">
    <w:name w:val="toc 2"/>
    <w:basedOn w:val="Normal"/>
    <w:next w:val="Normal"/>
    <w:autoRedefine/>
    <w:uiPriority w:val="39"/>
    <w:unhideWhenUsed/>
    <w:rsid w:val="007C68AF"/>
    <w:pPr>
      <w:tabs>
        <w:tab w:val="left" w:pos="660"/>
        <w:tab w:val="right" w:leader="dot" w:pos="9911"/>
      </w:tabs>
      <w:spacing w:after="100"/>
      <w:ind w:left="240" w:hanging="240"/>
    </w:pPr>
  </w:style>
  <w:style w:type="paragraph" w:styleId="TOC3">
    <w:name w:val="toc 3"/>
    <w:basedOn w:val="Normal"/>
    <w:next w:val="Normal"/>
    <w:autoRedefine/>
    <w:uiPriority w:val="39"/>
    <w:unhideWhenUsed/>
    <w:rsid w:val="00C12C5D"/>
    <w:pPr>
      <w:spacing w:after="100"/>
      <w:ind w:left="480"/>
    </w:pPr>
  </w:style>
  <w:style w:type="paragraph" w:styleId="TOC4">
    <w:name w:val="toc 4"/>
    <w:basedOn w:val="Normal"/>
    <w:next w:val="Normal"/>
    <w:autoRedefine/>
    <w:uiPriority w:val="39"/>
    <w:unhideWhenUsed/>
    <w:rsid w:val="007C68AF"/>
    <w:pPr>
      <w:spacing w:after="100"/>
      <w:ind w:left="720"/>
    </w:pPr>
  </w:style>
  <w:style w:type="paragraph" w:styleId="TOC5">
    <w:name w:val="toc 5"/>
    <w:basedOn w:val="Normal"/>
    <w:next w:val="Normal"/>
    <w:autoRedefine/>
    <w:uiPriority w:val="39"/>
    <w:unhideWhenUsed/>
    <w:rsid w:val="007C68AF"/>
    <w:pPr>
      <w:tabs>
        <w:tab w:val="right" w:leader="dot" w:pos="9911"/>
      </w:tabs>
      <w:spacing w:after="100"/>
    </w:pPr>
  </w:style>
  <w:style w:type="paragraph" w:customStyle="1" w:styleId="CharCharDiagramaDiagramaDiagramaDiagramaDiagramaDiagramaDiagrama">
    <w:name w:val="Char Char Diagrama Diagrama Diagrama Diagrama Diagrama Diagrama Diagrama"/>
    <w:basedOn w:val="Normal"/>
    <w:rsid w:val="00FE08DC"/>
    <w:pPr>
      <w:spacing w:after="160" w:line="240" w:lineRule="exact"/>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677971288">
      <w:bodyDiv w:val="1"/>
      <w:marLeft w:val="0"/>
      <w:marRight w:val="0"/>
      <w:marTop w:val="0"/>
      <w:marBottom w:val="0"/>
      <w:divBdr>
        <w:top w:val="none" w:sz="0" w:space="0" w:color="auto"/>
        <w:left w:val="none" w:sz="0" w:space="0" w:color="auto"/>
        <w:bottom w:val="none" w:sz="0" w:space="0" w:color="auto"/>
        <w:right w:val="none" w:sz="0" w:space="0" w:color="auto"/>
      </w:divBdr>
    </w:div>
    <w:div w:id="116570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vpk.lt/lt/ataskaitos-ir-publikacijos/komisijos-metu-ataskaitos/" TargetMode="External"/><Relationship Id="rId18" Type="http://schemas.openxmlformats.org/officeDocument/2006/relationships/chart" Target="charts/chart3.xml"/><Relationship Id="rId26" Type="http://schemas.openxmlformats.org/officeDocument/2006/relationships/chart" Target="charts/chart6.xml"/><Relationship Id="rId39" Type="http://schemas.openxmlformats.org/officeDocument/2006/relationships/hyperlink" Target="http://www.finasta.com/lit/lt/taupymas-ir-investavimas/fondu-ataskaitos" TargetMode="External"/><Relationship Id="rId21" Type="http://schemas.openxmlformats.org/officeDocument/2006/relationships/hyperlink" Target="http://www.vpk.lt/lt/ataskaitos-ir-publikacijos/komisijos-metu-ataskaitos/" TargetMode="External"/><Relationship Id="rId34" Type="http://schemas.openxmlformats.org/officeDocument/2006/relationships/hyperlink" Target="http://www.lzuu.lt/jaunasis_mokslininkas/smk_2006/finansai/Bagdonas%20Aivaras.pdf" TargetMode="External"/><Relationship Id="rId42" Type="http://schemas.openxmlformats.org/officeDocument/2006/relationships/hyperlink" Target="http://www.nasdaqomxbaltic.com/market/?pg=funds&amp;%20where_registered=lt&amp;market=all&amp;region=all&amp;asset_manager=all&amp;end_type=all&amp;view=short" TargetMode="External"/><Relationship Id="rId47" Type="http://schemas.openxmlformats.org/officeDocument/2006/relationships/hyperlink" Target="http://www.orion.lt/fondu-valdymas/omx-baltic-benchmark-fund/?lang=lt" TargetMode="External"/><Relationship Id="rId50" Type="http://schemas.openxmlformats.org/officeDocument/2006/relationships/hyperlink" Target="http://www.ub.lt/lt/privatiems/taupymas-ir-investavimas/ukio-banko-investiciniai-fondai" TargetMode="External"/><Relationship Id="rId55"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www.lb.lt/ii_ir_iii_pakopos_pensiju_fondu_bei_kolektyvinio_investavimo_subjektu_rinkos_apzvalga_2012_m_i_psumetis" TargetMode="External"/><Relationship Id="rId25" Type="http://schemas.openxmlformats.org/officeDocument/2006/relationships/hyperlink" Target="http://www.lb.lt/ii_ir_iii_pakopos_pensiju_fondu_bei_kolektyvinio_investavimo_subjektu_rinkos_apzvalga_2012_m_iii_ketv" TargetMode="External"/><Relationship Id="rId33" Type="http://schemas.openxmlformats.org/officeDocument/2006/relationships/chart" Target="charts/chart13.xml"/><Relationship Id="rId38" Type="http://schemas.openxmlformats.org/officeDocument/2006/relationships/hyperlink" Target="http://www.lb.lt/investiciniai_fondai" TargetMode="External"/><Relationship Id="rId46" Type="http://schemas.openxmlformats.org/officeDocument/2006/relationships/hyperlink" Target="http://lordslb.com/lt/lords-lb-baltic-fund-i-185"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vpk.lt/lt/ataskaitos-ir-publikacijos/komisijos-metu-ataskaitos/" TargetMode="External"/><Relationship Id="rId20" Type="http://schemas.openxmlformats.org/officeDocument/2006/relationships/chart" Target="charts/chart4.xml"/><Relationship Id="rId29" Type="http://schemas.openxmlformats.org/officeDocument/2006/relationships/chart" Target="charts/chart9.xml"/><Relationship Id="rId41" Type="http://schemas.openxmlformats.org/officeDocument/2006/relationships/hyperlink" Target="http://www.lzuu.lt/jaunasis_mokslininkas/smk_2006/finansai/Klimaite%20Jurgita.pdf" TargetMode="External"/><Relationship Id="rId54" Type="http://schemas.openxmlformats.org/officeDocument/2006/relationships/hyperlink" Target="http://leidykla.vgtu.lt/conferences/BME_2010/001/pdf/Art-Zvirblis-Rimkeviciut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n.seb.lt/vbfin/stocks/stocks.fw" TargetMode="External"/><Relationship Id="rId24" Type="http://schemas.openxmlformats.org/officeDocument/2006/relationships/hyperlink" Target="http://www.vpk.lt/lt/ataskaitos-ir-publikacijos/komisijos-metu-ataskaitos/" TargetMode="External"/><Relationship Id="rId32" Type="http://schemas.openxmlformats.org/officeDocument/2006/relationships/chart" Target="charts/chart12.xml"/><Relationship Id="rId37" Type="http://schemas.openxmlformats.org/officeDocument/2006/relationships/hyperlink" Target="http://www.greta.it/credit/credit2011/PAPERS/Speakers/Friday_30/6_Monfort.pdf" TargetMode="External"/><Relationship Id="rId40" Type="http://schemas.openxmlformats.org/officeDocument/2006/relationships/hyperlink" Target="http://vta.ttvam.lt/index.php/vta/article/download/136/pdf" TargetMode="External"/><Relationship Id="rId45" Type="http://schemas.openxmlformats.org/officeDocument/2006/relationships/hyperlink" Target="http://www3.lrs.lt/pls/inter3/%20dokpaieska.showdoc_l?p_id=433578&amp;p_query=&amp;p_tr2=2" TargetMode="External"/><Relationship Id="rId53" Type="http://schemas.openxmlformats.org/officeDocument/2006/relationships/hyperlink" Target="http://www.orion.lt/fondu-valdymas/zpr/?lang=lt"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5.xml"/><Relationship Id="rId28" Type="http://schemas.openxmlformats.org/officeDocument/2006/relationships/chart" Target="charts/chart8.xml"/><Relationship Id="rId36" Type="http://schemas.openxmlformats.org/officeDocument/2006/relationships/hyperlink" Target="http://www.dnb.lt/lt/investiciju-valdymas/investiciniai-fondai/" TargetMode="External"/><Relationship Id="rId49" Type="http://schemas.openxmlformats.org/officeDocument/2006/relationships/hyperlink" Target="http://fin.seb.lt/vbfin/funds/fpr/review-file.fw?entry_id=102&amp;s_menu=4&amp;lang=lt" TargetMode="External"/><Relationship Id="rId57" Type="http://schemas.openxmlformats.org/officeDocument/2006/relationships/footer" Target="footer1.xml"/><Relationship Id="rId10" Type="http://schemas.openxmlformats.org/officeDocument/2006/relationships/hyperlink" Target="http://fin.seb.lt/vbfin/stocks/stockData.fw?id=2124278734637169015&amp;lang=lt&amp;s_menu=4" TargetMode="External"/><Relationship Id="rId19" Type="http://schemas.openxmlformats.org/officeDocument/2006/relationships/hyperlink" Target="http://www.lb.lt/ii_ir_iii_pakopos_pensiju_fondu_bei_kolektyvinio_investavimo_subjektu_rinkos_apzvalga_2012_m_iii_ketv" TargetMode="External"/><Relationship Id="rId31" Type="http://schemas.openxmlformats.org/officeDocument/2006/relationships/chart" Target="charts/chart11.xml"/><Relationship Id="rId44" Type="http://schemas.openxmlformats.org/officeDocument/2006/relationships/hyperlink" Target="http://www3.lrs.lt/pls/inter3/dokpaieska.showdoc_l?p_id=429404&amp;p_query=&amp;p_tr2=2" TargetMode="External"/><Relationship Id="rId52" Type="http://schemas.openxmlformats.org/officeDocument/2006/relationships/hyperlink" Target="http://www.vpk.lt/lt/ataskaitos-ir-publikacijos/komisijos-metu-ataskaitos/" TargetMode="External"/><Relationship Id="rId4" Type="http://schemas.openxmlformats.org/officeDocument/2006/relationships/settings" Target="settings.xml"/><Relationship Id="rId9" Type="http://schemas.openxmlformats.org/officeDocument/2006/relationships/hyperlink" Target="http://fin.seb.lt/vbfin/stocks/stocks.fw" TargetMode="External"/><Relationship Id="rId14" Type="http://schemas.openxmlformats.org/officeDocument/2006/relationships/hyperlink" Target="http://www.lb.lt/ii_ir_iii_pakopos_pensiju_fondu_bei_kolektyvinio_investavimo_subjektu_rinkos_apzvalga_2012_m_i_psumetis" TargetMode="External"/><Relationship Id="rId22" Type="http://schemas.openxmlformats.org/officeDocument/2006/relationships/hyperlink" Target="http://www.lb.lt/ii_ir_iii_pakopos_pensiju_fondu_bei_kolektyvinio_investavimo_subjektu_rinkos_apzvalga_2012_m_iii_ketv" TargetMode="Externa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hyperlink" Target="http://www.danskebankas.lt/investavimas/vertazinoti/ifondus" TargetMode="External"/><Relationship Id="rId43" Type="http://schemas.openxmlformats.org/officeDocument/2006/relationships/hyperlink" Target="http://www.lb.lt/ii_ir_iii_pakopos_pensiju_fondu_bei_kolektyvinio_investavimo_subjektu_rinkos_apzvalga_2012_m_iii_ketv" TargetMode="External"/><Relationship Id="rId48" Type="http://schemas.openxmlformats.org/officeDocument/2006/relationships/hyperlink" Target="http://fin.seb.lt/vbfin/funds/fpr/review-file.fw?entry_id=107&amp;s_menu=4&amp;lang=lt" TargetMode="External"/><Relationship Id="rId56" Type="http://schemas.openxmlformats.org/officeDocument/2006/relationships/header" Target="header1.xml"/><Relationship Id="rId8" Type="http://schemas.openxmlformats.org/officeDocument/2006/relationships/hyperlink" Target="http://fin.seb.lt/vbfin/stocks/stockData.fw?id=2124278734637169015&amp;lang=lt&amp;s_menu=4" TargetMode="External"/><Relationship Id="rId51" Type="http://schemas.openxmlformats.org/officeDocument/2006/relationships/hyperlink" Target="http://fin.seb.lt/vbfin/stocks/stocks.fw"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dita\Desktop\grafika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dita\Desktop\grafika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Edita\Desktop\sprendim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Edita\Desktop\sprendim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Edita\Desktop\apsklauso%20rezultata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1"/>
          <c:order val="1"/>
          <c:tx>
            <c:strRef>
              <c:f>Sheet1!$G$2</c:f>
              <c:strCache>
                <c:ptCount val="1"/>
                <c:pt idx="0">
                  <c:v>IF vertė, mln. Lt. </c:v>
                </c:pt>
              </c:strCache>
            </c:strRef>
          </c:tx>
          <c:dLbls>
            <c:dLblPos val="ctr"/>
            <c:showVal val="1"/>
          </c:dLbls>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Sheet1!$G$3:$G$14</c:f>
              <c:numCache>
                <c:formatCode>General</c:formatCode>
                <c:ptCount val="12"/>
                <c:pt idx="0">
                  <c:v>1.26</c:v>
                </c:pt>
                <c:pt idx="1">
                  <c:v>30.216000000000001</c:v>
                </c:pt>
                <c:pt idx="2">
                  <c:v>57.5</c:v>
                </c:pt>
                <c:pt idx="3">
                  <c:v>202.5</c:v>
                </c:pt>
                <c:pt idx="4">
                  <c:v>569.9</c:v>
                </c:pt>
                <c:pt idx="5">
                  <c:v>1446.4</c:v>
                </c:pt>
                <c:pt idx="6">
                  <c:v>2472.6</c:v>
                </c:pt>
                <c:pt idx="7">
                  <c:v>856.8</c:v>
                </c:pt>
                <c:pt idx="8">
                  <c:v>1304.77</c:v>
                </c:pt>
                <c:pt idx="9">
                  <c:v>1870.4</c:v>
                </c:pt>
                <c:pt idx="10">
                  <c:v>1514.75</c:v>
                </c:pt>
                <c:pt idx="11">
                  <c:v>1664.6499999999999</c:v>
                </c:pt>
              </c:numCache>
            </c:numRef>
          </c:val>
        </c:ser>
        <c:axId val="93891968"/>
        <c:axId val="93897856"/>
      </c:barChart>
      <c:lineChart>
        <c:grouping val="standard"/>
        <c:ser>
          <c:idx val="0"/>
          <c:order val="0"/>
          <c:tx>
            <c:strRef>
              <c:f>Sheet1!$F$2</c:f>
              <c:strCache>
                <c:ptCount val="1"/>
                <c:pt idx="0">
                  <c:v> IF skaičius</c:v>
                </c:pt>
              </c:strCache>
            </c:strRef>
          </c:tx>
          <c:marker>
            <c:symbol val="none"/>
          </c:marker>
          <c:dLbls>
            <c:dLbl>
              <c:idx val="0"/>
              <c:layout>
                <c:manualLayout>
                  <c:x val="1.6877634638635779E-2"/>
                  <c:y val="-5.5096402797798913E-2"/>
                </c:manualLayout>
              </c:layout>
              <c:showVal val="1"/>
            </c:dLbl>
            <c:dLbl>
              <c:idx val="1"/>
              <c:layout>
                <c:manualLayout>
                  <c:x val="5.6258782128785064E-3"/>
                  <c:y val="-5.5096402797798913E-2"/>
                </c:manualLayout>
              </c:layout>
              <c:showVal val="1"/>
            </c:dLbl>
            <c:dLbl>
              <c:idx val="2"/>
              <c:layout>
                <c:manualLayout>
                  <c:x val="5.6258782128785064E-3"/>
                  <c:y val="-6.6115683357357902E-2"/>
                </c:manualLayout>
              </c:layout>
              <c:showVal val="1"/>
            </c:dLbl>
            <c:showVal val="1"/>
          </c:dLbls>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Sheet1!$F$3:$F$14</c:f>
              <c:numCache>
                <c:formatCode>General</c:formatCode>
                <c:ptCount val="12"/>
                <c:pt idx="0">
                  <c:v>5</c:v>
                </c:pt>
                <c:pt idx="1">
                  <c:v>5</c:v>
                </c:pt>
                <c:pt idx="2">
                  <c:v>5</c:v>
                </c:pt>
                <c:pt idx="3">
                  <c:v>16</c:v>
                </c:pt>
                <c:pt idx="4">
                  <c:v>48</c:v>
                </c:pt>
                <c:pt idx="5">
                  <c:v>74</c:v>
                </c:pt>
                <c:pt idx="6">
                  <c:v>92</c:v>
                </c:pt>
                <c:pt idx="7">
                  <c:v>98</c:v>
                </c:pt>
                <c:pt idx="8">
                  <c:v>103</c:v>
                </c:pt>
                <c:pt idx="9">
                  <c:v>106</c:v>
                </c:pt>
                <c:pt idx="10">
                  <c:v>92</c:v>
                </c:pt>
                <c:pt idx="11">
                  <c:v>101</c:v>
                </c:pt>
              </c:numCache>
            </c:numRef>
          </c:val>
        </c:ser>
        <c:marker val="1"/>
        <c:axId val="93938432"/>
        <c:axId val="93899776"/>
      </c:lineChart>
      <c:catAx>
        <c:axId val="93891968"/>
        <c:scaling>
          <c:orientation val="minMax"/>
        </c:scaling>
        <c:axPos val="b"/>
        <c:tickLblPos val="nextTo"/>
        <c:crossAx val="93897856"/>
        <c:crosses val="autoZero"/>
        <c:auto val="1"/>
        <c:lblAlgn val="ctr"/>
        <c:lblOffset val="100"/>
      </c:catAx>
      <c:valAx>
        <c:axId val="93897856"/>
        <c:scaling>
          <c:orientation val="minMax"/>
        </c:scaling>
        <c:axPos val="l"/>
        <c:majorGridlines/>
        <c:numFmt formatCode="General" sourceLinked="1"/>
        <c:tickLblPos val="nextTo"/>
        <c:crossAx val="93891968"/>
        <c:crosses val="autoZero"/>
        <c:crossBetween val="between"/>
      </c:valAx>
      <c:valAx>
        <c:axId val="93899776"/>
        <c:scaling>
          <c:orientation val="minMax"/>
        </c:scaling>
        <c:axPos val="r"/>
        <c:numFmt formatCode="General" sourceLinked="1"/>
        <c:tickLblPos val="nextTo"/>
        <c:crossAx val="93938432"/>
        <c:crosses val="max"/>
        <c:crossBetween val="between"/>
      </c:valAx>
      <c:catAx>
        <c:axId val="93938432"/>
        <c:scaling>
          <c:orientation val="minMax"/>
        </c:scaling>
        <c:delete val="1"/>
        <c:axPos val="b"/>
        <c:tickLblPos val="none"/>
        <c:crossAx val="93899776"/>
        <c:crosses val="autoZero"/>
        <c:auto val="1"/>
        <c:lblAlgn val="ctr"/>
        <c:lblOffset val="100"/>
      </c:catAx>
    </c:plotArea>
    <c:legend>
      <c:legendPos val="b"/>
    </c:legend>
    <c:plotVisOnly val="1"/>
    <c:dispBlanksAs val="zero"/>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percentStacked"/>
        <c:ser>
          <c:idx val="0"/>
          <c:order val="0"/>
          <c:tx>
            <c:strRef>
              <c:f>Sheet2!$B$17</c:f>
              <c:strCache>
                <c:ptCount val="1"/>
                <c:pt idx="0">
                  <c:v>Visiškai nesutinku</c:v>
                </c:pt>
              </c:strCache>
            </c:strRef>
          </c:tx>
          <c:cat>
            <c:strRef>
              <c:f>Sheet2!$C$16:$G$16</c:f>
              <c:strCache>
                <c:ptCount val="5"/>
                <c:pt idx="0">
                  <c:v>investicinio fondo ataskaitas gaunu laiku</c:v>
                </c:pt>
                <c:pt idx="1">
                  <c:v>investicinio fondo darbuotojai yra malonūs</c:v>
                </c:pt>
                <c:pt idx="2">
                  <c:v>investicinio fondo platinimo bendrovė  linkusi atsakyti į visus mano klausimus</c:v>
                </c:pt>
                <c:pt idx="3">
                  <c:v>investicinio fondo valdytojo patirtis mane tenkina</c:v>
                </c:pt>
                <c:pt idx="4">
                  <c:v>mane informuoja apie esamą investicinio fondo padėtį</c:v>
                </c:pt>
              </c:strCache>
            </c:strRef>
          </c:cat>
          <c:val>
            <c:numRef>
              <c:f>Sheet2!$C$17:$G$17</c:f>
              <c:numCache>
                <c:formatCode>General</c:formatCode>
                <c:ptCount val="5"/>
                <c:pt idx="0">
                  <c:v>2.29</c:v>
                </c:pt>
                <c:pt idx="1">
                  <c:v>0.76000000000000711</c:v>
                </c:pt>
                <c:pt idx="2">
                  <c:v>0</c:v>
                </c:pt>
                <c:pt idx="3">
                  <c:v>0.76000000000000711</c:v>
                </c:pt>
                <c:pt idx="4">
                  <c:v>3.05</c:v>
                </c:pt>
              </c:numCache>
            </c:numRef>
          </c:val>
        </c:ser>
        <c:ser>
          <c:idx val="1"/>
          <c:order val="1"/>
          <c:tx>
            <c:strRef>
              <c:f>Sheet2!$B$18</c:f>
              <c:strCache>
                <c:ptCount val="1"/>
                <c:pt idx="0">
                  <c:v>2</c:v>
                </c:pt>
              </c:strCache>
            </c:strRef>
          </c:tx>
          <c:dLbls>
            <c:dLbl>
              <c:idx val="1"/>
              <c:delete val="1"/>
            </c:dLbl>
            <c:dLbl>
              <c:idx val="3"/>
              <c:delete val="1"/>
            </c:dLbl>
            <c:showVal val="1"/>
          </c:dLbls>
          <c:cat>
            <c:strRef>
              <c:f>Sheet2!$C$16:$G$16</c:f>
              <c:strCache>
                <c:ptCount val="5"/>
                <c:pt idx="0">
                  <c:v>investicinio fondo ataskaitas gaunu laiku</c:v>
                </c:pt>
                <c:pt idx="1">
                  <c:v>investicinio fondo darbuotojai yra malonūs</c:v>
                </c:pt>
                <c:pt idx="2">
                  <c:v>investicinio fondo platinimo bendrovė  linkusi atsakyti į visus mano klausimus</c:v>
                </c:pt>
                <c:pt idx="3">
                  <c:v>investicinio fondo valdytojo patirtis mane tenkina</c:v>
                </c:pt>
                <c:pt idx="4">
                  <c:v>mane informuoja apie esamą investicinio fondo padėtį</c:v>
                </c:pt>
              </c:strCache>
            </c:strRef>
          </c:cat>
          <c:val>
            <c:numRef>
              <c:f>Sheet2!$C$18:$G$18</c:f>
              <c:numCache>
                <c:formatCode>General</c:formatCode>
                <c:ptCount val="5"/>
                <c:pt idx="0">
                  <c:v>5.34</c:v>
                </c:pt>
                <c:pt idx="1">
                  <c:v>0.76000000000000711</c:v>
                </c:pt>
                <c:pt idx="2">
                  <c:v>3.82</c:v>
                </c:pt>
                <c:pt idx="3">
                  <c:v>2.29</c:v>
                </c:pt>
                <c:pt idx="4">
                  <c:v>9.16</c:v>
                </c:pt>
              </c:numCache>
            </c:numRef>
          </c:val>
        </c:ser>
        <c:ser>
          <c:idx val="2"/>
          <c:order val="2"/>
          <c:tx>
            <c:strRef>
              <c:f>Sheet2!$B$19</c:f>
              <c:strCache>
                <c:ptCount val="1"/>
                <c:pt idx="0">
                  <c:v>3</c:v>
                </c:pt>
              </c:strCache>
            </c:strRef>
          </c:tx>
          <c:dLbls>
            <c:dLbl>
              <c:idx val="2"/>
              <c:delete val="1"/>
            </c:dLbl>
            <c:showVal val="1"/>
          </c:dLbls>
          <c:cat>
            <c:strRef>
              <c:f>Sheet2!$C$16:$G$16</c:f>
              <c:strCache>
                <c:ptCount val="5"/>
                <c:pt idx="0">
                  <c:v>investicinio fondo ataskaitas gaunu laiku</c:v>
                </c:pt>
                <c:pt idx="1">
                  <c:v>investicinio fondo darbuotojai yra malonūs</c:v>
                </c:pt>
                <c:pt idx="2">
                  <c:v>investicinio fondo platinimo bendrovė  linkusi atsakyti į visus mano klausimus</c:v>
                </c:pt>
                <c:pt idx="3">
                  <c:v>investicinio fondo valdytojo patirtis mane tenkina</c:v>
                </c:pt>
                <c:pt idx="4">
                  <c:v>mane informuoja apie esamą investicinio fondo padėtį</c:v>
                </c:pt>
              </c:strCache>
            </c:strRef>
          </c:cat>
          <c:val>
            <c:numRef>
              <c:f>Sheet2!$C$19:$G$19</c:f>
              <c:numCache>
                <c:formatCode>General</c:formatCode>
                <c:ptCount val="5"/>
                <c:pt idx="0">
                  <c:v>24.43</c:v>
                </c:pt>
                <c:pt idx="1">
                  <c:v>4.58</c:v>
                </c:pt>
                <c:pt idx="2">
                  <c:v>5.34</c:v>
                </c:pt>
                <c:pt idx="3">
                  <c:v>20.610000000000031</c:v>
                </c:pt>
                <c:pt idx="4">
                  <c:v>33.590000000000003</c:v>
                </c:pt>
              </c:numCache>
            </c:numRef>
          </c:val>
        </c:ser>
        <c:ser>
          <c:idx val="3"/>
          <c:order val="3"/>
          <c:tx>
            <c:strRef>
              <c:f>Sheet2!$B$20</c:f>
              <c:strCache>
                <c:ptCount val="1"/>
                <c:pt idx="0">
                  <c:v>4</c:v>
                </c:pt>
              </c:strCache>
            </c:strRef>
          </c:tx>
          <c:dLbls>
            <c:numFmt formatCode="General" sourceLinked="0"/>
            <c:showVal val="1"/>
          </c:dLbls>
          <c:cat>
            <c:strRef>
              <c:f>Sheet2!$C$16:$G$16</c:f>
              <c:strCache>
                <c:ptCount val="5"/>
                <c:pt idx="0">
                  <c:v>investicinio fondo ataskaitas gaunu laiku</c:v>
                </c:pt>
                <c:pt idx="1">
                  <c:v>investicinio fondo darbuotojai yra malonūs</c:v>
                </c:pt>
                <c:pt idx="2">
                  <c:v>investicinio fondo platinimo bendrovė  linkusi atsakyti į visus mano klausimus</c:v>
                </c:pt>
                <c:pt idx="3">
                  <c:v>investicinio fondo valdytojo patirtis mane tenkina</c:v>
                </c:pt>
                <c:pt idx="4">
                  <c:v>mane informuoja apie esamą investicinio fondo padėtį</c:v>
                </c:pt>
              </c:strCache>
            </c:strRef>
          </c:cat>
          <c:val>
            <c:numRef>
              <c:f>Sheet2!$C$20:$G$20</c:f>
              <c:numCache>
                <c:formatCode>General</c:formatCode>
                <c:ptCount val="5"/>
                <c:pt idx="0">
                  <c:v>51.15</c:v>
                </c:pt>
                <c:pt idx="1">
                  <c:v>25.959999999999987</c:v>
                </c:pt>
                <c:pt idx="2">
                  <c:v>14.5</c:v>
                </c:pt>
                <c:pt idx="3">
                  <c:v>53.44</c:v>
                </c:pt>
                <c:pt idx="4">
                  <c:v>41.220000000000013</c:v>
                </c:pt>
              </c:numCache>
            </c:numRef>
          </c:val>
        </c:ser>
        <c:ser>
          <c:idx val="4"/>
          <c:order val="4"/>
          <c:tx>
            <c:strRef>
              <c:f>Sheet2!$B$21</c:f>
              <c:strCache>
                <c:ptCount val="1"/>
                <c:pt idx="0">
                  <c:v>Visiškai sutinku</c:v>
                </c:pt>
              </c:strCache>
            </c:strRef>
          </c:tx>
          <c:dLbls>
            <c:showVal val="1"/>
          </c:dLbls>
          <c:cat>
            <c:strRef>
              <c:f>Sheet2!$C$16:$G$16</c:f>
              <c:strCache>
                <c:ptCount val="5"/>
                <c:pt idx="0">
                  <c:v>investicinio fondo ataskaitas gaunu laiku</c:v>
                </c:pt>
                <c:pt idx="1">
                  <c:v>investicinio fondo darbuotojai yra malonūs</c:v>
                </c:pt>
                <c:pt idx="2">
                  <c:v>investicinio fondo platinimo bendrovė  linkusi atsakyti į visus mano klausimus</c:v>
                </c:pt>
                <c:pt idx="3">
                  <c:v>investicinio fondo valdytojo patirtis mane tenkina</c:v>
                </c:pt>
                <c:pt idx="4">
                  <c:v>mane informuoja apie esamą investicinio fondo padėtį</c:v>
                </c:pt>
              </c:strCache>
            </c:strRef>
          </c:cat>
          <c:val>
            <c:numRef>
              <c:f>Sheet2!$C$21:$G$21</c:f>
              <c:numCache>
                <c:formatCode>General</c:formatCode>
                <c:ptCount val="5"/>
                <c:pt idx="0">
                  <c:v>16.79</c:v>
                </c:pt>
                <c:pt idx="1">
                  <c:v>67.940000000000026</c:v>
                </c:pt>
                <c:pt idx="2">
                  <c:v>76.34</c:v>
                </c:pt>
                <c:pt idx="3">
                  <c:v>22.9</c:v>
                </c:pt>
                <c:pt idx="4">
                  <c:v>12.98</c:v>
                </c:pt>
              </c:numCache>
            </c:numRef>
          </c:val>
        </c:ser>
        <c:gapWidth val="96"/>
        <c:overlap val="100"/>
        <c:axId val="94392320"/>
        <c:axId val="94393856"/>
      </c:barChart>
      <c:catAx>
        <c:axId val="94392320"/>
        <c:scaling>
          <c:orientation val="minMax"/>
        </c:scaling>
        <c:axPos val="l"/>
        <c:tickLblPos val="nextTo"/>
        <c:crossAx val="94393856"/>
        <c:crosses val="autoZero"/>
        <c:auto val="1"/>
        <c:lblAlgn val="ctr"/>
        <c:lblOffset val="100"/>
      </c:catAx>
      <c:valAx>
        <c:axId val="94393856"/>
        <c:scaling>
          <c:orientation val="minMax"/>
        </c:scaling>
        <c:axPos val="b"/>
        <c:majorGridlines/>
        <c:numFmt formatCode="0%" sourceLinked="1"/>
        <c:tickLblPos val="nextTo"/>
        <c:crossAx val="94392320"/>
        <c:crosses val="autoZero"/>
        <c:crossBetween val="between"/>
      </c:valAx>
    </c:plotArea>
    <c:legend>
      <c:legendPos val="b"/>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3964184845606647"/>
          <c:y val="4.5665443909301974E-2"/>
          <c:w val="0.5692467501398859"/>
          <c:h val="0.75035711880794465"/>
        </c:manualLayout>
      </c:layout>
      <c:barChart>
        <c:barDir val="bar"/>
        <c:grouping val="percentStacked"/>
        <c:ser>
          <c:idx val="0"/>
          <c:order val="0"/>
          <c:tx>
            <c:strRef>
              <c:f>Sheet2!$B$55</c:f>
              <c:strCache>
                <c:ptCount val="1"/>
                <c:pt idx="0">
                  <c:v>Visiškai nesutinku</c:v>
                </c:pt>
              </c:strCache>
            </c:strRef>
          </c:tx>
          <c:dLbls>
            <c:txPr>
              <a:bodyPr/>
              <a:lstStyle/>
              <a:p>
                <a:pPr>
                  <a:defRPr sz="900" baseline="0"/>
                </a:pPr>
                <a:endParaRPr lang="lt-LT"/>
              </a:p>
            </c:txPr>
            <c:dLblPos val="ctr"/>
            <c:showVal val="1"/>
          </c:dLbls>
          <c:cat>
            <c:strRef>
              <c:f>Sheet2!$C$54:$E$54</c:f>
              <c:strCache>
                <c:ptCount val="3"/>
                <c:pt idx="0">
                  <c:v>Mane tenkina fondo metinis rezultatas</c:v>
                </c:pt>
                <c:pt idx="1">
                  <c:v>Investicinio fondo rezultatai prastesni lyginant su rinkos rezultatais</c:v>
                </c:pt>
                <c:pt idx="2">
                  <c:v>Artimiausiu metu ketinu parduoti turimus investicinio fondo aktyvus</c:v>
                </c:pt>
              </c:strCache>
            </c:strRef>
          </c:cat>
          <c:val>
            <c:numRef>
              <c:f>Sheet2!$C$55:$E$55</c:f>
              <c:numCache>
                <c:formatCode>0.00%</c:formatCode>
                <c:ptCount val="3"/>
                <c:pt idx="0">
                  <c:v>7.6300000000000021E-2</c:v>
                </c:pt>
                <c:pt idx="1">
                  <c:v>0.16789999999999999</c:v>
                </c:pt>
                <c:pt idx="2">
                  <c:v>0.26720000000000005</c:v>
                </c:pt>
              </c:numCache>
            </c:numRef>
          </c:val>
        </c:ser>
        <c:ser>
          <c:idx val="1"/>
          <c:order val="1"/>
          <c:tx>
            <c:strRef>
              <c:f>Sheet2!$B$56</c:f>
              <c:strCache>
                <c:ptCount val="1"/>
                <c:pt idx="0">
                  <c:v>2</c:v>
                </c:pt>
              </c:strCache>
            </c:strRef>
          </c:tx>
          <c:dLbls>
            <c:txPr>
              <a:bodyPr/>
              <a:lstStyle/>
              <a:p>
                <a:pPr>
                  <a:defRPr sz="900" baseline="0"/>
                </a:pPr>
                <a:endParaRPr lang="lt-LT"/>
              </a:p>
            </c:txPr>
            <c:dLblPos val="ctr"/>
            <c:showVal val="1"/>
          </c:dLbls>
          <c:cat>
            <c:strRef>
              <c:f>Sheet2!$C$54:$E$54</c:f>
              <c:strCache>
                <c:ptCount val="3"/>
                <c:pt idx="0">
                  <c:v>Mane tenkina fondo metinis rezultatas</c:v>
                </c:pt>
                <c:pt idx="1">
                  <c:v>Investicinio fondo rezultatai prastesni lyginant su rinkos rezultatais</c:v>
                </c:pt>
                <c:pt idx="2">
                  <c:v>Artimiausiu metu ketinu parduoti turimus investicinio fondo aktyvus</c:v>
                </c:pt>
              </c:strCache>
            </c:strRef>
          </c:cat>
          <c:val>
            <c:numRef>
              <c:f>Sheet2!$C$56:$E$56</c:f>
              <c:numCache>
                <c:formatCode>0.00%</c:formatCode>
                <c:ptCount val="3"/>
                <c:pt idx="0">
                  <c:v>0.1298</c:v>
                </c:pt>
                <c:pt idx="1">
                  <c:v>0.27480000000000032</c:v>
                </c:pt>
                <c:pt idx="2">
                  <c:v>0.35880000000000356</c:v>
                </c:pt>
              </c:numCache>
            </c:numRef>
          </c:val>
        </c:ser>
        <c:ser>
          <c:idx val="2"/>
          <c:order val="2"/>
          <c:tx>
            <c:strRef>
              <c:f>Sheet2!$B$57</c:f>
              <c:strCache>
                <c:ptCount val="1"/>
                <c:pt idx="0">
                  <c:v>3</c:v>
                </c:pt>
              </c:strCache>
            </c:strRef>
          </c:tx>
          <c:dLbls>
            <c:txPr>
              <a:bodyPr/>
              <a:lstStyle/>
              <a:p>
                <a:pPr>
                  <a:defRPr sz="900" baseline="0"/>
                </a:pPr>
                <a:endParaRPr lang="lt-LT"/>
              </a:p>
            </c:txPr>
            <c:showVal val="1"/>
          </c:dLbls>
          <c:cat>
            <c:strRef>
              <c:f>Sheet2!$C$54:$E$54</c:f>
              <c:strCache>
                <c:ptCount val="3"/>
                <c:pt idx="0">
                  <c:v>Mane tenkina fondo metinis rezultatas</c:v>
                </c:pt>
                <c:pt idx="1">
                  <c:v>Investicinio fondo rezultatai prastesni lyginant su rinkos rezultatais</c:v>
                </c:pt>
                <c:pt idx="2">
                  <c:v>Artimiausiu metu ketinu parduoti turimus investicinio fondo aktyvus</c:v>
                </c:pt>
              </c:strCache>
            </c:strRef>
          </c:cat>
          <c:val>
            <c:numRef>
              <c:f>Sheet2!$C$57:$E$57</c:f>
              <c:numCache>
                <c:formatCode>0.00%</c:formatCode>
                <c:ptCount val="3"/>
                <c:pt idx="0">
                  <c:v>0.26720000000000005</c:v>
                </c:pt>
                <c:pt idx="1">
                  <c:v>0.3053000000000039</c:v>
                </c:pt>
                <c:pt idx="2">
                  <c:v>0.29010000000000002</c:v>
                </c:pt>
              </c:numCache>
            </c:numRef>
          </c:val>
        </c:ser>
        <c:ser>
          <c:idx val="3"/>
          <c:order val="3"/>
          <c:tx>
            <c:strRef>
              <c:f>Sheet2!$B$58</c:f>
              <c:strCache>
                <c:ptCount val="1"/>
                <c:pt idx="0">
                  <c:v>4</c:v>
                </c:pt>
              </c:strCache>
            </c:strRef>
          </c:tx>
          <c:dLbls>
            <c:dLbl>
              <c:idx val="2"/>
              <c:layout>
                <c:manualLayout>
                  <c:x val="-1.5289489018053843E-2"/>
                  <c:y val="-4.1514039917547882E-3"/>
                </c:manualLayout>
              </c:layout>
              <c:showVal val="1"/>
            </c:dLbl>
            <c:txPr>
              <a:bodyPr/>
              <a:lstStyle/>
              <a:p>
                <a:pPr>
                  <a:defRPr sz="900" baseline="0"/>
                </a:pPr>
                <a:endParaRPr lang="lt-LT"/>
              </a:p>
            </c:txPr>
            <c:showVal val="1"/>
          </c:dLbls>
          <c:cat>
            <c:strRef>
              <c:f>Sheet2!$C$54:$E$54</c:f>
              <c:strCache>
                <c:ptCount val="3"/>
                <c:pt idx="0">
                  <c:v>Mane tenkina fondo metinis rezultatas</c:v>
                </c:pt>
                <c:pt idx="1">
                  <c:v>Investicinio fondo rezultatai prastesni lyginant su rinkos rezultatais</c:v>
                </c:pt>
                <c:pt idx="2">
                  <c:v>Artimiausiu metu ketinu parduoti turimus investicinio fondo aktyvus</c:v>
                </c:pt>
              </c:strCache>
            </c:strRef>
          </c:cat>
          <c:val>
            <c:numRef>
              <c:f>Sheet2!$C$58:$E$58</c:f>
              <c:numCache>
                <c:formatCode>0.00%</c:formatCode>
                <c:ptCount val="3"/>
                <c:pt idx="0">
                  <c:v>0.38930000000000475</c:v>
                </c:pt>
                <c:pt idx="1">
                  <c:v>0.20610000000000001</c:v>
                </c:pt>
                <c:pt idx="2">
                  <c:v>5.3400000000000003E-2</c:v>
                </c:pt>
              </c:numCache>
            </c:numRef>
          </c:val>
        </c:ser>
        <c:ser>
          <c:idx val="4"/>
          <c:order val="4"/>
          <c:tx>
            <c:strRef>
              <c:f>Sheet2!$B$59</c:f>
              <c:strCache>
                <c:ptCount val="1"/>
                <c:pt idx="0">
                  <c:v>Visiškai sutinku</c:v>
                </c:pt>
              </c:strCache>
            </c:strRef>
          </c:tx>
          <c:dLbls>
            <c:dLbl>
              <c:idx val="2"/>
              <c:layout>
                <c:manualLayout>
                  <c:x val="1.3904104806437756E-2"/>
                  <c:y val="-8.3028079835095747E-3"/>
                </c:manualLayout>
              </c:layout>
              <c:showVal val="1"/>
            </c:dLbl>
            <c:txPr>
              <a:bodyPr/>
              <a:lstStyle/>
              <a:p>
                <a:pPr>
                  <a:defRPr sz="900" baseline="0"/>
                </a:pPr>
                <a:endParaRPr lang="lt-LT"/>
              </a:p>
            </c:txPr>
            <c:showVal val="1"/>
          </c:dLbls>
          <c:cat>
            <c:strRef>
              <c:f>Sheet2!$C$54:$E$54</c:f>
              <c:strCache>
                <c:ptCount val="3"/>
                <c:pt idx="0">
                  <c:v>Mane tenkina fondo metinis rezultatas</c:v>
                </c:pt>
                <c:pt idx="1">
                  <c:v>Investicinio fondo rezultatai prastesni lyginant su rinkos rezultatais</c:v>
                </c:pt>
                <c:pt idx="2">
                  <c:v>Artimiausiu metu ketinu parduoti turimus investicinio fondo aktyvus</c:v>
                </c:pt>
              </c:strCache>
            </c:strRef>
          </c:cat>
          <c:val>
            <c:numRef>
              <c:f>Sheet2!$C$59:$E$59</c:f>
              <c:numCache>
                <c:formatCode>0.00%</c:formatCode>
                <c:ptCount val="3"/>
                <c:pt idx="0">
                  <c:v>0.13739999999999999</c:v>
                </c:pt>
                <c:pt idx="1">
                  <c:v>4.5800000000000014E-2</c:v>
                </c:pt>
                <c:pt idx="2">
                  <c:v>3.0500000000000006E-2</c:v>
                </c:pt>
              </c:numCache>
            </c:numRef>
          </c:val>
        </c:ser>
        <c:overlap val="100"/>
        <c:axId val="95558656"/>
        <c:axId val="95838976"/>
      </c:barChart>
      <c:catAx>
        <c:axId val="95558656"/>
        <c:scaling>
          <c:orientation val="minMax"/>
        </c:scaling>
        <c:axPos val="l"/>
        <c:tickLblPos val="nextTo"/>
        <c:crossAx val="95838976"/>
        <c:crosses val="autoZero"/>
        <c:auto val="1"/>
        <c:lblAlgn val="ctr"/>
        <c:lblOffset val="100"/>
      </c:catAx>
      <c:valAx>
        <c:axId val="95838976"/>
        <c:scaling>
          <c:orientation val="minMax"/>
        </c:scaling>
        <c:axPos val="b"/>
        <c:majorGridlines/>
        <c:numFmt formatCode="0%" sourceLinked="1"/>
        <c:tickLblPos val="nextTo"/>
        <c:crossAx val="95558656"/>
        <c:crosses val="autoZero"/>
        <c:crossBetween val="between"/>
      </c:valAx>
    </c:plotArea>
    <c:legend>
      <c:legendPos val="b"/>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34340646920914997"/>
          <c:y val="4.7159699892819033E-2"/>
          <c:w val="0.61584031533424965"/>
          <c:h val="0.74218835185793852"/>
        </c:manualLayout>
      </c:layout>
      <c:barChart>
        <c:barDir val="bar"/>
        <c:grouping val="percentStacked"/>
        <c:ser>
          <c:idx val="0"/>
          <c:order val="0"/>
          <c:tx>
            <c:strRef>
              <c:f>Sheet2!$B$39</c:f>
              <c:strCache>
                <c:ptCount val="1"/>
                <c:pt idx="0">
                  <c:v>Visiškai nesutinku</c:v>
                </c:pt>
              </c:strCache>
            </c:strRef>
          </c:tx>
          <c:dLbls>
            <c:dLbl>
              <c:idx val="0"/>
              <c:layout>
                <c:manualLayout>
                  <c:x val="-2.3724792408066431E-3"/>
                  <c:y val="1.2861736334405243E-2"/>
                </c:manualLayout>
              </c:layout>
              <c:showVal val="1"/>
            </c:dLbl>
            <c:dLbl>
              <c:idx val="2"/>
              <c:layout>
                <c:manualLayout>
                  <c:x val="-1.675063748704006E-2"/>
                  <c:y val="1.2861736334405243E-2"/>
                </c:manualLayout>
              </c:layout>
              <c:showVal val="1"/>
            </c:dLbl>
            <c:txPr>
              <a:bodyPr/>
              <a:lstStyle/>
              <a:p>
                <a:pPr>
                  <a:defRPr sz="800" baseline="0"/>
                </a:pPr>
                <a:endParaRPr lang="lt-LT"/>
              </a:p>
            </c:txPr>
            <c:showVal val="1"/>
          </c:dLbls>
          <c:cat>
            <c:strRef>
              <c:f>Sheet2!$C$38:$F$38</c:f>
              <c:strCache>
                <c:ptCount val="4"/>
                <c:pt idx="0">
                  <c:v>Mane tenkina vienkartinio mokesčio tarifas</c:v>
                </c:pt>
                <c:pt idx="1">
                  <c:v>Mane tenkina valdymo mokestis </c:v>
                </c:pt>
                <c:pt idx="2">
                  <c:v>Mane tenkina sėkmės mokestis</c:v>
                </c:pt>
                <c:pt idx="3">
                  <c:v>Mane tenkina ataskaitos parengimo mokestis</c:v>
                </c:pt>
              </c:strCache>
            </c:strRef>
          </c:cat>
          <c:val>
            <c:numRef>
              <c:f>Sheet2!$C$39:$F$39</c:f>
              <c:numCache>
                <c:formatCode>0.00%</c:formatCode>
                <c:ptCount val="4"/>
                <c:pt idx="0">
                  <c:v>4.5800000000000014E-2</c:v>
                </c:pt>
                <c:pt idx="1">
                  <c:v>4.5800000000000014E-2</c:v>
                </c:pt>
                <c:pt idx="2">
                  <c:v>0.1145</c:v>
                </c:pt>
                <c:pt idx="3">
                  <c:v>0.1298</c:v>
                </c:pt>
              </c:numCache>
            </c:numRef>
          </c:val>
        </c:ser>
        <c:ser>
          <c:idx val="1"/>
          <c:order val="1"/>
          <c:tx>
            <c:strRef>
              <c:f>Sheet2!$B$40</c:f>
              <c:strCache>
                <c:ptCount val="1"/>
                <c:pt idx="0">
                  <c:v>2</c:v>
                </c:pt>
              </c:strCache>
            </c:strRef>
          </c:tx>
          <c:dLbls>
            <c:dLbl>
              <c:idx val="0"/>
              <c:layout>
                <c:manualLayout>
                  <c:x val="9.4899169632265724E-3"/>
                  <c:y val="-2.1436227224008612E-2"/>
                </c:manualLayout>
              </c:layout>
              <c:showVal val="1"/>
            </c:dLbl>
            <c:dLbl>
              <c:idx val="1"/>
              <c:layout>
                <c:manualLayout>
                  <c:x val="9.4899169632265724E-3"/>
                  <c:y val="0"/>
                </c:manualLayout>
              </c:layout>
              <c:showVal val="1"/>
            </c:dLbl>
            <c:dLbl>
              <c:idx val="2"/>
              <c:layout>
                <c:manualLayout>
                  <c:x val="-4.7449584816132914E-3"/>
                  <c:y val="-1.2861736334405243E-2"/>
                </c:manualLayout>
              </c:layout>
              <c:showVal val="1"/>
            </c:dLbl>
            <c:txPr>
              <a:bodyPr/>
              <a:lstStyle/>
              <a:p>
                <a:pPr>
                  <a:defRPr sz="800" baseline="0"/>
                </a:pPr>
                <a:endParaRPr lang="lt-LT"/>
              </a:p>
            </c:txPr>
            <c:showVal val="1"/>
          </c:dLbls>
          <c:cat>
            <c:strRef>
              <c:f>Sheet2!$C$38:$F$38</c:f>
              <c:strCache>
                <c:ptCount val="4"/>
                <c:pt idx="0">
                  <c:v>Mane tenkina vienkartinio mokesčio tarifas</c:v>
                </c:pt>
                <c:pt idx="1">
                  <c:v>Mane tenkina valdymo mokestis </c:v>
                </c:pt>
                <c:pt idx="2">
                  <c:v>Mane tenkina sėkmės mokestis</c:v>
                </c:pt>
                <c:pt idx="3">
                  <c:v>Mane tenkina ataskaitos parengimo mokestis</c:v>
                </c:pt>
              </c:strCache>
            </c:strRef>
          </c:cat>
          <c:val>
            <c:numRef>
              <c:f>Sheet2!$C$40:$F$40</c:f>
              <c:numCache>
                <c:formatCode>0.00%</c:formatCode>
                <c:ptCount val="4"/>
                <c:pt idx="0">
                  <c:v>6.8699999999999997E-2</c:v>
                </c:pt>
                <c:pt idx="1">
                  <c:v>0.15270000000000167</c:v>
                </c:pt>
                <c:pt idx="2">
                  <c:v>3.0500000000000006E-2</c:v>
                </c:pt>
                <c:pt idx="3">
                  <c:v>0.11449999999999998</c:v>
                </c:pt>
              </c:numCache>
            </c:numRef>
          </c:val>
        </c:ser>
        <c:ser>
          <c:idx val="2"/>
          <c:order val="2"/>
          <c:tx>
            <c:strRef>
              <c:f>Sheet2!$B$41</c:f>
              <c:strCache>
                <c:ptCount val="1"/>
                <c:pt idx="0">
                  <c:v>3</c:v>
                </c:pt>
              </c:strCache>
            </c:strRef>
          </c:tx>
          <c:dLbls>
            <c:dLbl>
              <c:idx val="2"/>
              <c:layout>
                <c:manualLayout>
                  <c:x val="2.3724792408066431E-3"/>
                  <c:y val="1.7148981779206901E-2"/>
                </c:manualLayout>
              </c:layout>
              <c:showVal val="1"/>
            </c:dLbl>
            <c:txPr>
              <a:bodyPr/>
              <a:lstStyle/>
              <a:p>
                <a:pPr>
                  <a:defRPr sz="800" baseline="0"/>
                </a:pPr>
                <a:endParaRPr lang="lt-LT"/>
              </a:p>
            </c:txPr>
            <c:showVal val="1"/>
          </c:dLbls>
          <c:cat>
            <c:strRef>
              <c:f>Sheet2!$C$38:$F$38</c:f>
              <c:strCache>
                <c:ptCount val="4"/>
                <c:pt idx="0">
                  <c:v>Mane tenkina vienkartinio mokesčio tarifas</c:v>
                </c:pt>
                <c:pt idx="1">
                  <c:v>Mane tenkina valdymo mokestis </c:v>
                </c:pt>
                <c:pt idx="2">
                  <c:v>Mane tenkina sėkmės mokestis</c:v>
                </c:pt>
                <c:pt idx="3">
                  <c:v>Mane tenkina ataskaitos parengimo mokestis</c:v>
                </c:pt>
              </c:strCache>
            </c:strRef>
          </c:cat>
          <c:val>
            <c:numRef>
              <c:f>Sheet2!$C$41:$F$41</c:f>
              <c:numCache>
                <c:formatCode>0.00%</c:formatCode>
                <c:ptCount val="4"/>
                <c:pt idx="0">
                  <c:v>0.13739999999999999</c:v>
                </c:pt>
                <c:pt idx="1">
                  <c:v>0.1908</c:v>
                </c:pt>
                <c:pt idx="2">
                  <c:v>6.8699999999999997E-2</c:v>
                </c:pt>
                <c:pt idx="3">
                  <c:v>0.2366</c:v>
                </c:pt>
              </c:numCache>
            </c:numRef>
          </c:val>
        </c:ser>
        <c:ser>
          <c:idx val="3"/>
          <c:order val="3"/>
          <c:tx>
            <c:strRef>
              <c:f>Sheet2!$B$42</c:f>
              <c:strCache>
                <c:ptCount val="1"/>
                <c:pt idx="0">
                  <c:v>4</c:v>
                </c:pt>
              </c:strCache>
            </c:strRef>
          </c:tx>
          <c:dLbls>
            <c:txPr>
              <a:bodyPr/>
              <a:lstStyle/>
              <a:p>
                <a:pPr>
                  <a:defRPr sz="800" baseline="0"/>
                </a:pPr>
                <a:endParaRPr lang="lt-LT"/>
              </a:p>
            </c:txPr>
            <c:showVal val="1"/>
          </c:dLbls>
          <c:cat>
            <c:strRef>
              <c:f>Sheet2!$C$38:$F$38</c:f>
              <c:strCache>
                <c:ptCount val="4"/>
                <c:pt idx="0">
                  <c:v>Mane tenkina vienkartinio mokesčio tarifas</c:v>
                </c:pt>
                <c:pt idx="1">
                  <c:v>Mane tenkina valdymo mokestis </c:v>
                </c:pt>
                <c:pt idx="2">
                  <c:v>Mane tenkina sėkmės mokestis</c:v>
                </c:pt>
                <c:pt idx="3">
                  <c:v>Mane tenkina ataskaitos parengimo mokestis</c:v>
                </c:pt>
              </c:strCache>
            </c:strRef>
          </c:cat>
          <c:val>
            <c:numRef>
              <c:f>Sheet2!$C$42:$F$42</c:f>
              <c:numCache>
                <c:formatCode>0.00%</c:formatCode>
                <c:ptCount val="4"/>
                <c:pt idx="0">
                  <c:v>0.26720000000000005</c:v>
                </c:pt>
                <c:pt idx="1">
                  <c:v>0.32060000000000038</c:v>
                </c:pt>
                <c:pt idx="2">
                  <c:v>0.15270000000000167</c:v>
                </c:pt>
                <c:pt idx="3">
                  <c:v>0.32820000000000032</c:v>
                </c:pt>
              </c:numCache>
            </c:numRef>
          </c:val>
        </c:ser>
        <c:ser>
          <c:idx val="4"/>
          <c:order val="4"/>
          <c:tx>
            <c:strRef>
              <c:f>Sheet2!$B$43</c:f>
              <c:strCache>
                <c:ptCount val="1"/>
                <c:pt idx="0">
                  <c:v>Visiškai sutinku</c:v>
                </c:pt>
              </c:strCache>
            </c:strRef>
          </c:tx>
          <c:dLbls>
            <c:txPr>
              <a:bodyPr/>
              <a:lstStyle/>
              <a:p>
                <a:pPr>
                  <a:defRPr sz="800" baseline="0"/>
                </a:pPr>
                <a:endParaRPr lang="lt-LT"/>
              </a:p>
            </c:txPr>
            <c:showVal val="1"/>
          </c:dLbls>
          <c:cat>
            <c:strRef>
              <c:f>Sheet2!$C$38:$F$38</c:f>
              <c:strCache>
                <c:ptCount val="4"/>
                <c:pt idx="0">
                  <c:v>Mane tenkina vienkartinio mokesčio tarifas</c:v>
                </c:pt>
                <c:pt idx="1">
                  <c:v>Mane tenkina valdymo mokestis </c:v>
                </c:pt>
                <c:pt idx="2">
                  <c:v>Mane tenkina sėkmės mokestis</c:v>
                </c:pt>
                <c:pt idx="3">
                  <c:v>Mane tenkina ataskaitos parengimo mokestis</c:v>
                </c:pt>
              </c:strCache>
            </c:strRef>
          </c:cat>
          <c:val>
            <c:numRef>
              <c:f>Sheet2!$C$43:$F$43</c:f>
              <c:numCache>
                <c:formatCode>0.00%</c:formatCode>
                <c:ptCount val="4"/>
                <c:pt idx="0">
                  <c:v>0.48090000000000038</c:v>
                </c:pt>
                <c:pt idx="1">
                  <c:v>0.29010000000000002</c:v>
                </c:pt>
                <c:pt idx="2">
                  <c:v>0.63359999999999994</c:v>
                </c:pt>
                <c:pt idx="3">
                  <c:v>0.18050000000000024</c:v>
                </c:pt>
              </c:numCache>
            </c:numRef>
          </c:val>
        </c:ser>
        <c:overlap val="100"/>
        <c:axId val="95962240"/>
        <c:axId val="95963776"/>
      </c:barChart>
      <c:catAx>
        <c:axId val="95962240"/>
        <c:scaling>
          <c:orientation val="minMax"/>
        </c:scaling>
        <c:axPos val="l"/>
        <c:tickLblPos val="nextTo"/>
        <c:crossAx val="95963776"/>
        <c:crosses val="autoZero"/>
        <c:auto val="1"/>
        <c:lblAlgn val="ctr"/>
        <c:lblOffset val="100"/>
      </c:catAx>
      <c:valAx>
        <c:axId val="95963776"/>
        <c:scaling>
          <c:orientation val="minMax"/>
        </c:scaling>
        <c:axPos val="b"/>
        <c:majorGridlines/>
        <c:numFmt formatCode="0%" sourceLinked="1"/>
        <c:tickLblPos val="nextTo"/>
        <c:crossAx val="95962240"/>
        <c:crosses val="autoZero"/>
        <c:crossBetween val="between"/>
      </c:valAx>
    </c:plotArea>
    <c:legend>
      <c:legendPos val="b"/>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percentStacked"/>
        <c:ser>
          <c:idx val="0"/>
          <c:order val="0"/>
          <c:tx>
            <c:strRef>
              <c:f>Sheet3!$A$3</c:f>
              <c:strCache>
                <c:ptCount val="1"/>
                <c:pt idx="0">
                  <c:v>fondo pelningumas</c:v>
                </c:pt>
              </c:strCache>
            </c:strRef>
          </c:tx>
          <c:dLbls>
            <c:txPr>
              <a:bodyPr/>
              <a:lstStyle/>
              <a:p>
                <a:pPr>
                  <a:defRPr sz="900" baseline="0"/>
                </a:pPr>
                <a:endParaRPr lang="lt-LT"/>
              </a:p>
            </c:txPr>
            <c:showVal val="1"/>
          </c:dLbls>
          <c:val>
            <c:numRef>
              <c:f>Sheet3!$C$3</c:f>
              <c:numCache>
                <c:formatCode>0.00</c:formatCode>
                <c:ptCount val="1"/>
                <c:pt idx="0">
                  <c:v>23.66412213740459</c:v>
                </c:pt>
              </c:numCache>
            </c:numRef>
          </c:val>
        </c:ser>
        <c:ser>
          <c:idx val="1"/>
          <c:order val="1"/>
          <c:tx>
            <c:strRef>
              <c:f>Sheet3!$A$4</c:f>
              <c:strCache>
                <c:ptCount val="1"/>
                <c:pt idx="0">
                  <c:v>fondo rizika</c:v>
                </c:pt>
              </c:strCache>
            </c:strRef>
          </c:tx>
          <c:dLbls>
            <c:txPr>
              <a:bodyPr/>
              <a:lstStyle/>
              <a:p>
                <a:pPr>
                  <a:defRPr sz="900" baseline="0"/>
                </a:pPr>
                <a:endParaRPr lang="lt-LT"/>
              </a:p>
            </c:txPr>
            <c:showVal val="1"/>
          </c:dLbls>
          <c:val>
            <c:numRef>
              <c:f>Sheet3!$C$4</c:f>
              <c:numCache>
                <c:formatCode>0.00</c:formatCode>
                <c:ptCount val="1"/>
                <c:pt idx="0">
                  <c:v>16.793893129770993</c:v>
                </c:pt>
              </c:numCache>
            </c:numRef>
          </c:val>
        </c:ser>
        <c:ser>
          <c:idx val="2"/>
          <c:order val="2"/>
          <c:tx>
            <c:strRef>
              <c:f>Sheet3!$A$5</c:f>
              <c:strCache>
                <c:ptCount val="1"/>
                <c:pt idx="0">
                  <c:v>taikomi mokesčiai</c:v>
                </c:pt>
              </c:strCache>
            </c:strRef>
          </c:tx>
          <c:dLbls>
            <c:txPr>
              <a:bodyPr/>
              <a:lstStyle/>
              <a:p>
                <a:pPr>
                  <a:defRPr sz="900" baseline="0"/>
                </a:pPr>
                <a:endParaRPr lang="lt-LT"/>
              </a:p>
            </c:txPr>
            <c:showVal val="1"/>
          </c:dLbls>
          <c:val>
            <c:numRef>
              <c:f>Sheet3!$C$5</c:f>
              <c:numCache>
                <c:formatCode>0.00</c:formatCode>
                <c:ptCount val="1"/>
                <c:pt idx="0">
                  <c:v>13.740458015267173</c:v>
                </c:pt>
              </c:numCache>
            </c:numRef>
          </c:val>
        </c:ser>
        <c:ser>
          <c:idx val="3"/>
          <c:order val="3"/>
          <c:tx>
            <c:strRef>
              <c:f>Sheet3!$A$6</c:f>
              <c:strCache>
                <c:ptCount val="1"/>
                <c:pt idx="0">
                  <c:v>fondo valdytojo patirtis</c:v>
                </c:pt>
              </c:strCache>
            </c:strRef>
          </c:tx>
          <c:dLbls>
            <c:txPr>
              <a:bodyPr/>
              <a:lstStyle/>
              <a:p>
                <a:pPr>
                  <a:defRPr sz="900" baseline="0"/>
                </a:pPr>
                <a:endParaRPr lang="lt-LT"/>
              </a:p>
            </c:txPr>
            <c:showVal val="1"/>
          </c:dLbls>
          <c:val>
            <c:numRef>
              <c:f>Sheet3!$C$6</c:f>
              <c:numCache>
                <c:formatCode>0.00</c:formatCode>
                <c:ptCount val="1"/>
                <c:pt idx="0">
                  <c:v>8.3969465648855248</c:v>
                </c:pt>
              </c:numCache>
            </c:numRef>
          </c:val>
        </c:ser>
        <c:ser>
          <c:idx val="4"/>
          <c:order val="4"/>
          <c:tx>
            <c:strRef>
              <c:f>Sheet3!$A$7</c:f>
              <c:strCache>
                <c:ptCount val="1"/>
                <c:pt idx="0">
                  <c:v>fondo investavimo strategija</c:v>
                </c:pt>
              </c:strCache>
            </c:strRef>
          </c:tx>
          <c:dLbls>
            <c:txPr>
              <a:bodyPr/>
              <a:lstStyle/>
              <a:p>
                <a:pPr>
                  <a:defRPr sz="900" baseline="0"/>
                </a:pPr>
                <a:endParaRPr lang="lt-LT"/>
              </a:p>
            </c:txPr>
            <c:showVal val="1"/>
          </c:dLbls>
          <c:val>
            <c:numRef>
              <c:f>Sheet3!$C$7</c:f>
              <c:numCache>
                <c:formatCode>0.00</c:formatCode>
                <c:ptCount val="1"/>
                <c:pt idx="0">
                  <c:v>7.6335877862595405</c:v>
                </c:pt>
              </c:numCache>
            </c:numRef>
          </c:val>
        </c:ser>
        <c:ser>
          <c:idx val="5"/>
          <c:order val="5"/>
          <c:tx>
            <c:strRef>
              <c:f>Sheet3!$A$8</c:f>
              <c:strCache>
                <c:ptCount val="1"/>
                <c:pt idx="0">
                  <c:v>analitikų pranešimai</c:v>
                </c:pt>
              </c:strCache>
            </c:strRef>
          </c:tx>
          <c:dLbls>
            <c:dLbl>
              <c:idx val="0"/>
              <c:layout>
                <c:manualLayout>
                  <c:x val="4.5197740112994404E-3"/>
                  <c:y val="3.8872691933916424E-2"/>
                </c:manualLayout>
              </c:layout>
              <c:showVal val="1"/>
            </c:dLbl>
            <c:txPr>
              <a:bodyPr/>
              <a:lstStyle/>
              <a:p>
                <a:pPr>
                  <a:defRPr sz="900" baseline="0"/>
                </a:pPr>
                <a:endParaRPr lang="lt-LT"/>
              </a:p>
            </c:txPr>
            <c:showVal val="1"/>
          </c:dLbls>
          <c:val>
            <c:numRef>
              <c:f>Sheet3!$C$8</c:f>
              <c:numCache>
                <c:formatCode>0.00</c:formatCode>
                <c:ptCount val="1"/>
                <c:pt idx="0">
                  <c:v>6.8702290076336592</c:v>
                </c:pt>
              </c:numCache>
            </c:numRef>
          </c:val>
        </c:ser>
        <c:ser>
          <c:idx val="6"/>
          <c:order val="6"/>
          <c:tx>
            <c:strRef>
              <c:f>Sheet3!$A$9</c:f>
              <c:strCache>
                <c:ptCount val="1"/>
                <c:pt idx="0">
                  <c:v>fondo egzistavimo trukmė</c:v>
                </c:pt>
              </c:strCache>
            </c:strRef>
          </c:tx>
          <c:dLbls>
            <c:dLbl>
              <c:idx val="0"/>
              <c:layout>
                <c:manualLayout>
                  <c:x val="0"/>
                  <c:y val="-3.1098153547133151E-2"/>
                </c:manualLayout>
              </c:layout>
              <c:showVal val="1"/>
            </c:dLbl>
            <c:txPr>
              <a:bodyPr/>
              <a:lstStyle/>
              <a:p>
                <a:pPr>
                  <a:defRPr sz="900" baseline="0"/>
                </a:pPr>
                <a:endParaRPr lang="lt-LT"/>
              </a:p>
            </c:txPr>
            <c:showVal val="1"/>
          </c:dLbls>
          <c:val>
            <c:numRef>
              <c:f>Sheet3!$C$9</c:f>
              <c:numCache>
                <c:formatCode>0.00</c:formatCode>
                <c:ptCount val="1"/>
                <c:pt idx="0">
                  <c:v>6.106870229007634</c:v>
                </c:pt>
              </c:numCache>
            </c:numRef>
          </c:val>
        </c:ser>
        <c:ser>
          <c:idx val="7"/>
          <c:order val="7"/>
          <c:tx>
            <c:strRef>
              <c:f>Sheet3!$A$10</c:f>
              <c:strCache>
                <c:ptCount val="1"/>
                <c:pt idx="0">
                  <c:v>fondo dydis</c:v>
                </c:pt>
              </c:strCache>
            </c:strRef>
          </c:tx>
          <c:dLbls>
            <c:dLbl>
              <c:idx val="0"/>
              <c:layout>
                <c:manualLayout>
                  <c:x val="0"/>
                  <c:y val="3.4985422740524796E-2"/>
                </c:manualLayout>
              </c:layout>
              <c:spPr/>
              <c:txPr>
                <a:bodyPr/>
                <a:lstStyle/>
                <a:p>
                  <a:pPr>
                    <a:defRPr sz="900" baseline="0"/>
                  </a:pPr>
                  <a:endParaRPr lang="lt-LT"/>
                </a:p>
              </c:txPr>
              <c:showVal val="1"/>
            </c:dLbl>
            <c:showVal val="1"/>
          </c:dLbls>
          <c:val>
            <c:numRef>
              <c:f>Sheet3!$C$10</c:f>
              <c:numCache>
                <c:formatCode>0.00</c:formatCode>
                <c:ptCount val="1"/>
                <c:pt idx="0">
                  <c:v>5.343511450381679</c:v>
                </c:pt>
              </c:numCache>
            </c:numRef>
          </c:val>
        </c:ser>
        <c:ser>
          <c:idx val="8"/>
          <c:order val="8"/>
          <c:tx>
            <c:strRef>
              <c:f>Sheet3!$A$11</c:f>
              <c:strCache>
                <c:ptCount val="1"/>
                <c:pt idx="0">
                  <c:v>draugų ir kitų investuotojų nuomonė</c:v>
                </c:pt>
              </c:strCache>
            </c:strRef>
          </c:tx>
          <c:dLbls>
            <c:dLbl>
              <c:idx val="0"/>
              <c:layout>
                <c:manualLayout>
                  <c:x val="2.2598870056497202E-3"/>
                  <c:y val="-3.4985422740524796E-2"/>
                </c:manualLayout>
              </c:layout>
              <c:spPr/>
              <c:txPr>
                <a:bodyPr/>
                <a:lstStyle/>
                <a:p>
                  <a:pPr>
                    <a:defRPr sz="900" baseline="0"/>
                  </a:pPr>
                  <a:endParaRPr lang="lt-LT"/>
                </a:p>
              </c:txPr>
              <c:showVal val="1"/>
            </c:dLbl>
            <c:showVal val="1"/>
          </c:dLbls>
          <c:val>
            <c:numRef>
              <c:f>Sheet3!$C$11</c:f>
              <c:numCache>
                <c:formatCode>0.00</c:formatCode>
                <c:ptCount val="1"/>
                <c:pt idx="0">
                  <c:v>4.5801526717557248</c:v>
                </c:pt>
              </c:numCache>
            </c:numRef>
          </c:val>
        </c:ser>
        <c:ser>
          <c:idx val="9"/>
          <c:order val="9"/>
          <c:tx>
            <c:strRef>
              <c:f>Sheet3!$A$12</c:f>
              <c:strCache>
                <c:ptCount val="1"/>
                <c:pt idx="0">
                  <c:v>valdytojo valdomų fondų skaičius</c:v>
                </c:pt>
              </c:strCache>
            </c:strRef>
          </c:tx>
          <c:dLbls>
            <c:dLbl>
              <c:idx val="0"/>
              <c:layout>
                <c:manualLayout>
                  <c:x val="-2.2598870056497202E-3"/>
                  <c:y val="3.8872385849727992E-2"/>
                </c:manualLayout>
              </c:layout>
              <c:showVal val="1"/>
            </c:dLbl>
            <c:txPr>
              <a:bodyPr/>
              <a:lstStyle/>
              <a:p>
                <a:pPr>
                  <a:defRPr sz="900" baseline="0"/>
                </a:pPr>
                <a:endParaRPr lang="lt-LT"/>
              </a:p>
            </c:txPr>
            <c:showVal val="1"/>
          </c:dLbls>
          <c:val>
            <c:numRef>
              <c:f>Sheet3!$C$12</c:f>
              <c:numCache>
                <c:formatCode>0.00</c:formatCode>
                <c:ptCount val="1"/>
                <c:pt idx="0">
                  <c:v>3.8167938931297334</c:v>
                </c:pt>
              </c:numCache>
            </c:numRef>
          </c:val>
        </c:ser>
        <c:ser>
          <c:idx val="10"/>
          <c:order val="10"/>
          <c:tx>
            <c:strRef>
              <c:f>Sheet3!$A$13</c:f>
              <c:strCache>
                <c:ptCount val="1"/>
                <c:pt idx="0">
                  <c:v>informacijos prieinamumas apie fondą</c:v>
                </c:pt>
              </c:strCache>
            </c:strRef>
          </c:tx>
          <c:dLbls>
            <c:dLbl>
              <c:idx val="0"/>
              <c:layout>
                <c:manualLayout>
                  <c:x val="6.7796610169492937E-3"/>
                  <c:y val="-2.3323615160349854E-2"/>
                </c:manualLayout>
              </c:layout>
              <c:showVal val="1"/>
            </c:dLbl>
            <c:txPr>
              <a:bodyPr/>
              <a:lstStyle/>
              <a:p>
                <a:pPr>
                  <a:defRPr sz="900" baseline="0"/>
                </a:pPr>
                <a:endParaRPr lang="lt-LT"/>
              </a:p>
            </c:txPr>
            <c:showVal val="1"/>
          </c:dLbls>
          <c:val>
            <c:numRef>
              <c:f>Sheet3!$C$13</c:f>
              <c:numCache>
                <c:formatCode>0.00</c:formatCode>
                <c:ptCount val="1"/>
                <c:pt idx="0">
                  <c:v>3.0534351145037801</c:v>
                </c:pt>
              </c:numCache>
            </c:numRef>
          </c:val>
        </c:ser>
        <c:overlap val="100"/>
        <c:axId val="106302464"/>
        <c:axId val="106316544"/>
      </c:barChart>
      <c:catAx>
        <c:axId val="106302464"/>
        <c:scaling>
          <c:orientation val="minMax"/>
        </c:scaling>
        <c:axPos val="l"/>
        <c:tickLblPos val="nextTo"/>
        <c:crossAx val="106316544"/>
        <c:crosses val="autoZero"/>
        <c:auto val="1"/>
        <c:lblAlgn val="ctr"/>
        <c:lblOffset val="100"/>
      </c:catAx>
      <c:valAx>
        <c:axId val="106316544"/>
        <c:scaling>
          <c:orientation val="minMax"/>
        </c:scaling>
        <c:axPos val="b"/>
        <c:majorGridlines/>
        <c:numFmt formatCode="0%" sourceLinked="1"/>
        <c:tickLblPos val="nextTo"/>
        <c:crossAx val="106302464"/>
        <c:crosses val="autoZero"/>
        <c:crossBetween val="between"/>
      </c:valAx>
      <c:spPr>
        <a:solidFill>
          <a:schemeClr val="bg1">
            <a:lumMod val="85000"/>
          </a:schemeClr>
        </a:solidFill>
      </c:spPr>
    </c:plotArea>
    <c:legend>
      <c:legendPos val="r"/>
      <c:layout>
        <c:manualLayout>
          <c:xMode val="edge"/>
          <c:yMode val="edge"/>
          <c:x val="0.64166666666666672"/>
          <c:y val="3.9363517060367455E-2"/>
          <c:w val="0.34166666666667045"/>
          <c:h val="0.93402814444112869"/>
        </c:manualLayout>
      </c:layout>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chart>
    <c:view3D>
      <c:rotX val="30"/>
      <c:perspective val="30"/>
    </c:view3D>
    <c:plotArea>
      <c:layout/>
      <c:pie3DChart>
        <c:varyColors val="1"/>
        <c:ser>
          <c:idx val="0"/>
          <c:order val="0"/>
          <c:dLbls>
            <c:dLbl>
              <c:idx val="0"/>
              <c:layout>
                <c:manualLayout>
                  <c:x val="-0.11041364147663531"/>
                  <c:y val="-2.0384712184949899E-3"/>
                </c:manualLayout>
              </c:layout>
              <c:showCatName val="1"/>
              <c:showPercent val="1"/>
            </c:dLbl>
            <c:dLbl>
              <c:idx val="1"/>
              <c:layout>
                <c:manualLayout>
                  <c:x val="-4.0474827010260082E-2"/>
                  <c:y val="-2.8763527846664741E-7"/>
                </c:manualLayout>
              </c:layout>
              <c:showCatName val="1"/>
              <c:showPercent val="1"/>
            </c:dLbl>
            <c:dLbl>
              <c:idx val="4"/>
              <c:layout>
                <c:manualLayout>
                  <c:x val="0.18981175648498491"/>
                  <c:y val="3.8460575989645182E-2"/>
                </c:manualLayout>
              </c:layout>
              <c:showCatName val="1"/>
              <c:showPercent val="1"/>
            </c:dLbl>
            <c:dLbl>
              <c:idx val="6"/>
              <c:layout>
                <c:manualLayout>
                  <c:x val="-9.7930940450625557E-4"/>
                  <c:y val="-0.10841577679502402"/>
                </c:manualLayout>
              </c:layout>
              <c:showCatName val="1"/>
              <c:showPercent val="1"/>
            </c:dLbl>
            <c:dLbl>
              <c:idx val="8"/>
              <c:layout>
                <c:manualLayout>
                  <c:x val="-2.6098442240174602E-2"/>
                  <c:y val="0.28546564556142812"/>
                </c:manualLayout>
              </c:layout>
              <c:showCatName val="1"/>
              <c:showPercent val="1"/>
            </c:dLbl>
            <c:dLbl>
              <c:idx val="10"/>
              <c:layout>
                <c:manualLayout>
                  <c:x val="-3.0182022701707792E-3"/>
                  <c:y val="0.10203228706000812"/>
                </c:manualLayout>
              </c:layout>
              <c:showCatName val="1"/>
              <c:showPercent val="1"/>
            </c:dLbl>
            <c:dLbl>
              <c:idx val="14"/>
              <c:layout>
                <c:manualLayout>
                  <c:x val="-0.16051402665575887"/>
                  <c:y val="3.8682342789343897E-2"/>
                </c:manualLayout>
              </c:layout>
              <c:showCatName val="1"/>
              <c:showPercent val="1"/>
            </c:dLbl>
            <c:dLbl>
              <c:idx val="15"/>
              <c:layout>
                <c:manualLayout>
                  <c:x val="-0.15161570712751821"/>
                  <c:y val="-2.0384712184949899E-3"/>
                </c:manualLayout>
              </c:layout>
              <c:showCatName val="1"/>
              <c:showPercent val="1"/>
            </c:dLbl>
            <c:showCatName val="1"/>
            <c:showPercent val="1"/>
            <c:showLeaderLines val="1"/>
          </c:dLbls>
          <c:cat>
            <c:strRef>
              <c:f>Sheet1!$A$27:$A$42</c:f>
              <c:strCache>
                <c:ptCount val="16"/>
                <c:pt idx="0">
                  <c:v>Citadele</c:v>
                </c:pt>
                <c:pt idx="1">
                  <c:v>Danske bankas</c:v>
                </c:pt>
                <c:pt idx="2">
                  <c:v>DNB bankas</c:v>
                </c:pt>
                <c:pt idx="3">
                  <c:v>Dovre Forvaltning</c:v>
                </c:pt>
                <c:pt idx="4">
                  <c:v>Evli Securities</c:v>
                </c:pt>
                <c:pt idx="5">
                  <c:v>Finasta</c:v>
                </c:pt>
                <c:pt idx="6">
                  <c:v>LORDS LB Asset Management</c:v>
                </c:pt>
                <c:pt idx="7">
                  <c:v>Nordea</c:v>
                </c:pt>
                <c:pt idx="8">
                  <c:v>Novus Asset Management</c:v>
                </c:pt>
                <c:pt idx="9">
                  <c:v>Orion securities</c:v>
                </c:pt>
                <c:pt idx="10">
                  <c:v>Prudentis</c:v>
                </c:pt>
                <c:pt idx="11">
                  <c:v>SEB bankas</c:v>
                </c:pt>
                <c:pt idx="12">
                  <c:v>Synergy finance</c:v>
                </c:pt>
                <c:pt idx="13">
                  <c:v>Swedbank</c:v>
                </c:pt>
                <c:pt idx="14">
                  <c:v>Ūkio bankas</c:v>
                </c:pt>
                <c:pt idx="15">
                  <c:v>kita</c:v>
                </c:pt>
              </c:strCache>
            </c:strRef>
          </c:cat>
          <c:val>
            <c:numRef>
              <c:f>Sheet1!$B$27:$B$42</c:f>
              <c:numCache>
                <c:formatCode>General</c:formatCode>
                <c:ptCount val="16"/>
                <c:pt idx="0">
                  <c:v>1</c:v>
                </c:pt>
                <c:pt idx="1">
                  <c:v>2</c:v>
                </c:pt>
                <c:pt idx="2">
                  <c:v>8</c:v>
                </c:pt>
                <c:pt idx="3">
                  <c:v>0</c:v>
                </c:pt>
                <c:pt idx="4">
                  <c:v>0</c:v>
                </c:pt>
                <c:pt idx="5">
                  <c:v>21</c:v>
                </c:pt>
                <c:pt idx="6">
                  <c:v>1</c:v>
                </c:pt>
                <c:pt idx="7">
                  <c:v>6</c:v>
                </c:pt>
                <c:pt idx="8">
                  <c:v>0</c:v>
                </c:pt>
                <c:pt idx="9">
                  <c:v>0</c:v>
                </c:pt>
                <c:pt idx="10">
                  <c:v>0</c:v>
                </c:pt>
                <c:pt idx="11">
                  <c:v>48</c:v>
                </c:pt>
                <c:pt idx="12">
                  <c:v>0</c:v>
                </c:pt>
                <c:pt idx="13">
                  <c:v>36</c:v>
                </c:pt>
                <c:pt idx="14">
                  <c:v>5</c:v>
                </c:pt>
                <c:pt idx="15">
                  <c:v>3</c:v>
                </c:pt>
              </c:numCache>
            </c:numRef>
          </c:val>
        </c:ser>
      </c:pie3DChart>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Sheet1!$B$2</c:f>
              <c:strCache>
                <c:ptCount val="1"/>
                <c:pt idx="0">
                  <c:v>Lietuvos IF vert, mln. Lt.</c:v>
                </c:pt>
              </c:strCache>
            </c:strRef>
          </c:tx>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Sheet1!$B$3:$B$14</c:f>
              <c:numCache>
                <c:formatCode>General</c:formatCode>
                <c:ptCount val="12"/>
                <c:pt idx="0">
                  <c:v>1.26</c:v>
                </c:pt>
                <c:pt idx="1">
                  <c:v>1.32</c:v>
                </c:pt>
                <c:pt idx="2">
                  <c:v>23.2</c:v>
                </c:pt>
                <c:pt idx="3">
                  <c:v>160.6</c:v>
                </c:pt>
                <c:pt idx="4">
                  <c:v>395.6</c:v>
                </c:pt>
                <c:pt idx="5">
                  <c:v>832</c:v>
                </c:pt>
                <c:pt idx="6">
                  <c:v>1261.4000000000001</c:v>
                </c:pt>
                <c:pt idx="7">
                  <c:v>386.7</c:v>
                </c:pt>
                <c:pt idx="8">
                  <c:v>446.95</c:v>
                </c:pt>
                <c:pt idx="9">
                  <c:v>601.4</c:v>
                </c:pt>
                <c:pt idx="10">
                  <c:v>509.75</c:v>
                </c:pt>
                <c:pt idx="11">
                  <c:v>585.65</c:v>
                </c:pt>
              </c:numCache>
            </c:numRef>
          </c:val>
        </c:ser>
        <c:ser>
          <c:idx val="2"/>
          <c:order val="2"/>
          <c:tx>
            <c:strRef>
              <c:f>Sheet1!$D$2</c:f>
              <c:strCache>
                <c:ptCount val="1"/>
                <c:pt idx="0">
                  <c:v>Užsienio IF vertė, mln. Lt.</c:v>
                </c:pt>
              </c:strCache>
            </c:strRef>
          </c:tx>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Sheet1!$D$3:$D$14</c:f>
              <c:numCache>
                <c:formatCode>General</c:formatCode>
                <c:ptCount val="12"/>
                <c:pt idx="0">
                  <c:v>0</c:v>
                </c:pt>
                <c:pt idx="1">
                  <c:v>28.9</c:v>
                </c:pt>
                <c:pt idx="2">
                  <c:v>34.300000000000004</c:v>
                </c:pt>
                <c:pt idx="3">
                  <c:v>41.9</c:v>
                </c:pt>
                <c:pt idx="4">
                  <c:v>174.3</c:v>
                </c:pt>
                <c:pt idx="5">
                  <c:v>614.4</c:v>
                </c:pt>
                <c:pt idx="6">
                  <c:v>1210.9000000000001</c:v>
                </c:pt>
                <c:pt idx="7">
                  <c:v>470.1</c:v>
                </c:pt>
                <c:pt idx="8">
                  <c:v>857.81999999999948</c:v>
                </c:pt>
                <c:pt idx="9">
                  <c:v>1269</c:v>
                </c:pt>
                <c:pt idx="10">
                  <c:v>1005</c:v>
                </c:pt>
                <c:pt idx="11">
                  <c:v>1079</c:v>
                </c:pt>
              </c:numCache>
            </c:numRef>
          </c:val>
        </c:ser>
        <c:axId val="94262400"/>
        <c:axId val="94264704"/>
      </c:barChart>
      <c:lineChart>
        <c:grouping val="standard"/>
        <c:ser>
          <c:idx val="1"/>
          <c:order val="1"/>
          <c:tx>
            <c:strRef>
              <c:f>Sheet1!$C$2</c:f>
              <c:strCache>
                <c:ptCount val="1"/>
                <c:pt idx="0">
                  <c:v>Lietuvos IF skaičius</c:v>
                </c:pt>
              </c:strCache>
            </c:strRef>
          </c:tx>
          <c:marker>
            <c:symbol val="none"/>
          </c:marker>
          <c:dLbls>
            <c:showVal val="1"/>
          </c:dLbls>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Sheet1!$C$3:$C$14</c:f>
              <c:numCache>
                <c:formatCode>General</c:formatCode>
                <c:ptCount val="12"/>
                <c:pt idx="0">
                  <c:v>1</c:v>
                </c:pt>
                <c:pt idx="1">
                  <c:v>1</c:v>
                </c:pt>
                <c:pt idx="2">
                  <c:v>1</c:v>
                </c:pt>
                <c:pt idx="3">
                  <c:v>10</c:v>
                </c:pt>
                <c:pt idx="4">
                  <c:v>19</c:v>
                </c:pt>
                <c:pt idx="5">
                  <c:v>28</c:v>
                </c:pt>
                <c:pt idx="6">
                  <c:v>34</c:v>
                </c:pt>
                <c:pt idx="7">
                  <c:v>35</c:v>
                </c:pt>
                <c:pt idx="8">
                  <c:v>35</c:v>
                </c:pt>
                <c:pt idx="9">
                  <c:v>38</c:v>
                </c:pt>
                <c:pt idx="10">
                  <c:v>30</c:v>
                </c:pt>
                <c:pt idx="11">
                  <c:v>34</c:v>
                </c:pt>
              </c:numCache>
            </c:numRef>
          </c:val>
        </c:ser>
        <c:ser>
          <c:idx val="3"/>
          <c:order val="3"/>
          <c:tx>
            <c:strRef>
              <c:f>Sheet1!$E$2</c:f>
              <c:strCache>
                <c:ptCount val="1"/>
                <c:pt idx="0">
                  <c:v>Užsienio IF skaičius</c:v>
                </c:pt>
              </c:strCache>
            </c:strRef>
          </c:tx>
          <c:marker>
            <c:symbol val="none"/>
          </c:marker>
          <c:dLbls>
            <c:showVal val="1"/>
          </c:dLbls>
          <c:cat>
            <c:strRef>
              <c:f>Sheet1!$A$3:$A$14</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m. III ketv.</c:v>
                </c:pt>
              </c:strCache>
            </c:strRef>
          </c:cat>
          <c:val>
            <c:numRef>
              <c:f>Sheet1!$E$3:$E$14</c:f>
              <c:numCache>
                <c:formatCode>General</c:formatCode>
                <c:ptCount val="12"/>
                <c:pt idx="0">
                  <c:v>4</c:v>
                </c:pt>
                <c:pt idx="1">
                  <c:v>4</c:v>
                </c:pt>
                <c:pt idx="2">
                  <c:v>4</c:v>
                </c:pt>
                <c:pt idx="3">
                  <c:v>6</c:v>
                </c:pt>
                <c:pt idx="4">
                  <c:v>29</c:v>
                </c:pt>
                <c:pt idx="5">
                  <c:v>46</c:v>
                </c:pt>
                <c:pt idx="6">
                  <c:v>58</c:v>
                </c:pt>
                <c:pt idx="7">
                  <c:v>63</c:v>
                </c:pt>
                <c:pt idx="8">
                  <c:v>68</c:v>
                </c:pt>
                <c:pt idx="9">
                  <c:v>68</c:v>
                </c:pt>
                <c:pt idx="10">
                  <c:v>63</c:v>
                </c:pt>
                <c:pt idx="11">
                  <c:v>67</c:v>
                </c:pt>
              </c:numCache>
            </c:numRef>
          </c:val>
        </c:ser>
        <c:marker val="1"/>
        <c:axId val="94370432"/>
        <c:axId val="94368896"/>
      </c:lineChart>
      <c:catAx>
        <c:axId val="94262400"/>
        <c:scaling>
          <c:orientation val="minMax"/>
        </c:scaling>
        <c:axPos val="b"/>
        <c:tickLblPos val="nextTo"/>
        <c:crossAx val="94264704"/>
        <c:crosses val="autoZero"/>
        <c:auto val="1"/>
        <c:lblAlgn val="ctr"/>
        <c:lblOffset val="100"/>
      </c:catAx>
      <c:valAx>
        <c:axId val="94264704"/>
        <c:scaling>
          <c:orientation val="minMax"/>
        </c:scaling>
        <c:axPos val="l"/>
        <c:majorGridlines/>
        <c:numFmt formatCode="General" sourceLinked="1"/>
        <c:tickLblPos val="nextTo"/>
        <c:crossAx val="94262400"/>
        <c:crosses val="autoZero"/>
        <c:crossBetween val="between"/>
      </c:valAx>
      <c:valAx>
        <c:axId val="94368896"/>
        <c:scaling>
          <c:orientation val="minMax"/>
          <c:max val="70"/>
        </c:scaling>
        <c:axPos val="r"/>
        <c:numFmt formatCode="General" sourceLinked="1"/>
        <c:tickLblPos val="nextTo"/>
        <c:crossAx val="94370432"/>
        <c:crosses val="max"/>
        <c:crossBetween val="between"/>
      </c:valAx>
      <c:catAx>
        <c:axId val="94370432"/>
        <c:scaling>
          <c:orientation val="minMax"/>
        </c:scaling>
        <c:delete val="1"/>
        <c:axPos val="b"/>
        <c:tickLblPos val="none"/>
        <c:crossAx val="94368896"/>
        <c:crossesAt val="0"/>
        <c:auto val="1"/>
        <c:lblAlgn val="ctr"/>
        <c:lblOffset val="100"/>
      </c:catAx>
    </c:plotArea>
    <c:legend>
      <c:legendPos val="b"/>
      <c:layout>
        <c:manualLayout>
          <c:xMode val="edge"/>
          <c:yMode val="edge"/>
          <c:x val="0.24201850157694144"/>
          <c:y val="0.85132010154291726"/>
          <c:w val="0.57798735535416568"/>
          <c:h val="0.10472728767911862"/>
        </c:manualLayout>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Sheet2!$B$1</c:f>
              <c:strCache>
                <c:ptCount val="1"/>
                <c:pt idx="0">
                  <c:v>Lietuvos IF dalyvių skaičius</c:v>
                </c:pt>
              </c:strCache>
            </c:strRef>
          </c:tx>
          <c:dLbls>
            <c:dLbl>
              <c:idx val="2"/>
              <c:layout>
                <c:manualLayout>
                  <c:x val="-1.179940783696248E-2"/>
                  <c:y val="0"/>
                </c:manualLayout>
              </c:layout>
              <c:showVal val="1"/>
            </c:dLbl>
            <c:showVal val="1"/>
          </c:dLbls>
          <c:cat>
            <c:strRef>
              <c:f>Sheet2!$A$2:$A$9</c:f>
              <c:strCache>
                <c:ptCount val="8"/>
                <c:pt idx="0">
                  <c:v>2005</c:v>
                </c:pt>
                <c:pt idx="1">
                  <c:v>2006</c:v>
                </c:pt>
                <c:pt idx="2">
                  <c:v>2007</c:v>
                </c:pt>
                <c:pt idx="3">
                  <c:v>2008</c:v>
                </c:pt>
                <c:pt idx="4">
                  <c:v>2009</c:v>
                </c:pt>
                <c:pt idx="5">
                  <c:v>2010</c:v>
                </c:pt>
                <c:pt idx="6">
                  <c:v>2011</c:v>
                </c:pt>
                <c:pt idx="7">
                  <c:v>2012m. III ketv.</c:v>
                </c:pt>
              </c:strCache>
            </c:strRef>
          </c:cat>
          <c:val>
            <c:numRef>
              <c:f>Sheet2!$B$2:$B$9</c:f>
              <c:numCache>
                <c:formatCode>General</c:formatCode>
                <c:ptCount val="8"/>
                <c:pt idx="0">
                  <c:v>9713</c:v>
                </c:pt>
                <c:pt idx="1">
                  <c:v>19733</c:v>
                </c:pt>
                <c:pt idx="2">
                  <c:v>41367</c:v>
                </c:pt>
                <c:pt idx="3">
                  <c:v>42442</c:v>
                </c:pt>
                <c:pt idx="4">
                  <c:v>38976</c:v>
                </c:pt>
                <c:pt idx="5">
                  <c:v>38870</c:v>
                </c:pt>
                <c:pt idx="6">
                  <c:v>20981</c:v>
                </c:pt>
                <c:pt idx="7">
                  <c:v>19287</c:v>
                </c:pt>
              </c:numCache>
            </c:numRef>
          </c:val>
        </c:ser>
        <c:ser>
          <c:idx val="1"/>
          <c:order val="1"/>
          <c:tx>
            <c:strRef>
              <c:f>Sheet2!$C$1</c:f>
              <c:strCache>
                <c:ptCount val="1"/>
                <c:pt idx="0">
                  <c:v>Užsienio IF dalyvių skaičius</c:v>
                </c:pt>
              </c:strCache>
            </c:strRef>
          </c:tx>
          <c:dLbls>
            <c:dLbl>
              <c:idx val="0"/>
              <c:layout>
                <c:manualLayout>
                  <c:x val="1.4159289404354736E-2"/>
                  <c:y val="3.8872691933916422E-3"/>
                </c:manualLayout>
              </c:layout>
              <c:showVal val="1"/>
            </c:dLbl>
            <c:dLbl>
              <c:idx val="1"/>
              <c:layout>
                <c:manualLayout>
                  <c:x val="1.8879052539139657E-2"/>
                  <c:y val="-3.8872691933916422E-3"/>
                </c:manualLayout>
              </c:layout>
              <c:showVal val="1"/>
            </c:dLbl>
            <c:dLbl>
              <c:idx val="2"/>
              <c:layout>
                <c:manualLayout>
                  <c:x val="2.1238934106532114E-2"/>
                  <c:y val="1.1661807580174927E-2"/>
                </c:manualLayout>
              </c:layout>
              <c:showVal val="1"/>
            </c:dLbl>
            <c:dLbl>
              <c:idx val="3"/>
              <c:layout>
                <c:manualLayout>
                  <c:x val="1.65191709717472E-2"/>
                  <c:y val="1.1661807580174927E-2"/>
                </c:manualLayout>
              </c:layout>
              <c:showVal val="1"/>
            </c:dLbl>
            <c:showVal val="1"/>
          </c:dLbls>
          <c:cat>
            <c:strRef>
              <c:f>Sheet2!$A$2:$A$9</c:f>
              <c:strCache>
                <c:ptCount val="8"/>
                <c:pt idx="0">
                  <c:v>2005</c:v>
                </c:pt>
                <c:pt idx="1">
                  <c:v>2006</c:v>
                </c:pt>
                <c:pt idx="2">
                  <c:v>2007</c:v>
                </c:pt>
                <c:pt idx="3">
                  <c:v>2008</c:v>
                </c:pt>
                <c:pt idx="4">
                  <c:v>2009</c:v>
                </c:pt>
                <c:pt idx="5">
                  <c:v>2010</c:v>
                </c:pt>
                <c:pt idx="6">
                  <c:v>2011</c:v>
                </c:pt>
                <c:pt idx="7">
                  <c:v>2012m. III ketv.</c:v>
                </c:pt>
              </c:strCache>
            </c:strRef>
          </c:cat>
          <c:val>
            <c:numRef>
              <c:f>Sheet2!$C$2:$C$9</c:f>
              <c:numCache>
                <c:formatCode>General</c:formatCode>
                <c:ptCount val="8"/>
                <c:pt idx="0">
                  <c:v>3490</c:v>
                </c:pt>
                <c:pt idx="1">
                  <c:v>9732</c:v>
                </c:pt>
                <c:pt idx="2">
                  <c:v>39276</c:v>
                </c:pt>
                <c:pt idx="3">
                  <c:v>37583</c:v>
                </c:pt>
                <c:pt idx="4">
                  <c:v>54123</c:v>
                </c:pt>
                <c:pt idx="5">
                  <c:v>58861</c:v>
                </c:pt>
                <c:pt idx="6">
                  <c:v>54367</c:v>
                </c:pt>
                <c:pt idx="7">
                  <c:v>54202</c:v>
                </c:pt>
              </c:numCache>
            </c:numRef>
          </c:val>
        </c:ser>
        <c:axId val="95869184"/>
        <c:axId val="103785216"/>
      </c:barChart>
      <c:catAx>
        <c:axId val="95869184"/>
        <c:scaling>
          <c:orientation val="minMax"/>
        </c:scaling>
        <c:axPos val="b"/>
        <c:tickLblPos val="nextTo"/>
        <c:crossAx val="103785216"/>
        <c:crosses val="autoZero"/>
        <c:auto val="1"/>
        <c:lblAlgn val="ctr"/>
        <c:lblOffset val="100"/>
      </c:catAx>
      <c:valAx>
        <c:axId val="103785216"/>
        <c:scaling>
          <c:orientation val="minMax"/>
        </c:scaling>
        <c:axPos val="l"/>
        <c:majorGridlines/>
        <c:numFmt formatCode="General" sourceLinked="1"/>
        <c:tickLblPos val="nextTo"/>
        <c:crossAx val="95869184"/>
        <c:crosses val="autoZero"/>
        <c:crossBetween val="between"/>
      </c:valAx>
    </c:plotArea>
    <c:legend>
      <c:legendPos val="b"/>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plotArea>
      <c:layout/>
      <c:lineChart>
        <c:grouping val="standard"/>
        <c:ser>
          <c:idx val="0"/>
          <c:order val="0"/>
          <c:tx>
            <c:strRef>
              <c:f>Sheet3!$B$1</c:f>
              <c:strCache>
                <c:ptCount val="1"/>
                <c:pt idx="0">
                  <c:v>Nuosavybės VP fondai</c:v>
                </c:pt>
              </c:strCache>
            </c:strRef>
          </c:tx>
          <c:marker>
            <c:symbol val="none"/>
          </c:marker>
          <c:cat>
            <c:strRef>
              <c:f>Sheet3!$A$2:$A$13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III ketv.</c:v>
                </c:pt>
              </c:strCache>
            </c:strRef>
          </c:cat>
          <c:val>
            <c:numRef>
              <c:f>Sheet3!$B$2:$B$13</c:f>
              <c:numCache>
                <c:formatCode>General</c:formatCode>
                <c:ptCount val="12"/>
                <c:pt idx="0">
                  <c:v>1</c:v>
                </c:pt>
                <c:pt idx="1">
                  <c:v>1</c:v>
                </c:pt>
                <c:pt idx="2">
                  <c:v>1</c:v>
                </c:pt>
                <c:pt idx="3">
                  <c:v>7</c:v>
                </c:pt>
                <c:pt idx="4">
                  <c:v>11</c:v>
                </c:pt>
                <c:pt idx="5">
                  <c:v>16</c:v>
                </c:pt>
                <c:pt idx="6">
                  <c:v>16</c:v>
                </c:pt>
                <c:pt idx="7">
                  <c:v>18</c:v>
                </c:pt>
                <c:pt idx="8">
                  <c:v>22</c:v>
                </c:pt>
                <c:pt idx="9">
                  <c:v>21</c:v>
                </c:pt>
                <c:pt idx="10">
                  <c:v>11</c:v>
                </c:pt>
                <c:pt idx="11">
                  <c:v>10</c:v>
                </c:pt>
              </c:numCache>
            </c:numRef>
          </c:val>
        </c:ser>
        <c:ser>
          <c:idx val="1"/>
          <c:order val="1"/>
          <c:tx>
            <c:strRef>
              <c:f>Sheet3!$C$1</c:f>
              <c:strCache>
                <c:ptCount val="1"/>
                <c:pt idx="0">
                  <c:v>Mišrūs fondai</c:v>
                </c:pt>
              </c:strCache>
            </c:strRef>
          </c:tx>
          <c:marker>
            <c:symbol val="none"/>
          </c:marker>
          <c:cat>
            <c:strRef>
              <c:f>Sheet3!$A$2:$A$13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III ketv.</c:v>
                </c:pt>
              </c:strCache>
            </c:strRef>
          </c:cat>
          <c:val>
            <c:numRef>
              <c:f>Sheet3!$C$2:$C$13</c:f>
              <c:numCache>
                <c:formatCode>General</c:formatCode>
                <c:ptCount val="12"/>
                <c:pt idx="0">
                  <c:v>0</c:v>
                </c:pt>
                <c:pt idx="1">
                  <c:v>0</c:v>
                </c:pt>
                <c:pt idx="2">
                  <c:v>0</c:v>
                </c:pt>
                <c:pt idx="3">
                  <c:v>0</c:v>
                </c:pt>
                <c:pt idx="4">
                  <c:v>2</c:v>
                </c:pt>
                <c:pt idx="5">
                  <c:v>6</c:v>
                </c:pt>
                <c:pt idx="6">
                  <c:v>5</c:v>
                </c:pt>
                <c:pt idx="7">
                  <c:v>4</c:v>
                </c:pt>
                <c:pt idx="8">
                  <c:v>8</c:v>
                </c:pt>
                <c:pt idx="9">
                  <c:v>9</c:v>
                </c:pt>
                <c:pt idx="10">
                  <c:v>7</c:v>
                </c:pt>
                <c:pt idx="11">
                  <c:v>8</c:v>
                </c:pt>
              </c:numCache>
            </c:numRef>
          </c:val>
        </c:ser>
        <c:ser>
          <c:idx val="2"/>
          <c:order val="2"/>
          <c:tx>
            <c:strRef>
              <c:f>Sheet3!$D$1</c:f>
              <c:strCache>
                <c:ptCount val="1"/>
                <c:pt idx="0">
                  <c:v>Skolos VP fondai</c:v>
                </c:pt>
              </c:strCache>
            </c:strRef>
          </c:tx>
          <c:marker>
            <c:symbol val="none"/>
          </c:marker>
          <c:cat>
            <c:strRef>
              <c:f>Sheet3!$A$2:$A$13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III ketv.</c:v>
                </c:pt>
              </c:strCache>
            </c:strRef>
          </c:cat>
          <c:val>
            <c:numRef>
              <c:f>Sheet3!$D$2:$D$13</c:f>
              <c:numCache>
                <c:formatCode>General</c:formatCode>
                <c:ptCount val="12"/>
                <c:pt idx="0">
                  <c:v>0</c:v>
                </c:pt>
                <c:pt idx="1">
                  <c:v>0</c:v>
                </c:pt>
                <c:pt idx="2">
                  <c:v>0</c:v>
                </c:pt>
                <c:pt idx="3">
                  <c:v>1</c:v>
                </c:pt>
                <c:pt idx="4">
                  <c:v>4</c:v>
                </c:pt>
                <c:pt idx="5">
                  <c:v>4</c:v>
                </c:pt>
                <c:pt idx="6">
                  <c:v>5</c:v>
                </c:pt>
                <c:pt idx="7">
                  <c:v>4</c:v>
                </c:pt>
                <c:pt idx="8">
                  <c:v>2</c:v>
                </c:pt>
                <c:pt idx="9">
                  <c:v>2</c:v>
                </c:pt>
                <c:pt idx="10">
                  <c:v>1</c:v>
                </c:pt>
                <c:pt idx="11">
                  <c:v>1</c:v>
                </c:pt>
              </c:numCache>
            </c:numRef>
          </c:val>
        </c:ser>
        <c:ser>
          <c:idx val="3"/>
          <c:order val="3"/>
          <c:tx>
            <c:strRef>
              <c:f>Sheet3!$E$1</c:f>
              <c:strCache>
                <c:ptCount val="1"/>
                <c:pt idx="0">
                  <c:v>Pinigų rinkos fondai</c:v>
                </c:pt>
              </c:strCache>
            </c:strRef>
          </c:tx>
          <c:marker>
            <c:symbol val="none"/>
          </c:marker>
          <c:cat>
            <c:strRef>
              <c:f>Sheet3!$A$2:$A$13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III ketv.</c:v>
                </c:pt>
              </c:strCache>
            </c:strRef>
          </c:cat>
          <c:val>
            <c:numRef>
              <c:f>Sheet3!$E$2:$E$13</c:f>
              <c:numCache>
                <c:formatCode>General</c:formatCode>
                <c:ptCount val="12"/>
                <c:pt idx="0">
                  <c:v>0</c:v>
                </c:pt>
                <c:pt idx="1">
                  <c:v>0</c:v>
                </c:pt>
                <c:pt idx="2">
                  <c:v>0</c:v>
                </c:pt>
                <c:pt idx="3">
                  <c:v>2</c:v>
                </c:pt>
                <c:pt idx="4">
                  <c:v>2</c:v>
                </c:pt>
                <c:pt idx="5">
                  <c:v>2</c:v>
                </c:pt>
                <c:pt idx="6">
                  <c:v>2</c:v>
                </c:pt>
                <c:pt idx="7">
                  <c:v>2</c:v>
                </c:pt>
                <c:pt idx="8">
                  <c:v>1</c:v>
                </c:pt>
                <c:pt idx="9">
                  <c:v>1</c:v>
                </c:pt>
                <c:pt idx="10">
                  <c:v>1</c:v>
                </c:pt>
                <c:pt idx="11">
                  <c:v>1</c:v>
                </c:pt>
              </c:numCache>
            </c:numRef>
          </c:val>
        </c:ser>
        <c:ser>
          <c:idx val="4"/>
          <c:order val="4"/>
          <c:tx>
            <c:strRef>
              <c:f>Sheet3!$F$1</c:f>
              <c:strCache>
                <c:ptCount val="1"/>
                <c:pt idx="0">
                  <c:v>Kiti fondai</c:v>
                </c:pt>
              </c:strCache>
            </c:strRef>
          </c:tx>
          <c:marker>
            <c:symbol val="none"/>
          </c:marker>
          <c:cat>
            <c:strRef>
              <c:f>Sheet3!$A$2:$A$13</c:f>
              <c:strCache>
                <c:ptCount val="12"/>
                <c:pt idx="0">
                  <c:v>2001</c:v>
                </c:pt>
                <c:pt idx="1">
                  <c:v>2002</c:v>
                </c:pt>
                <c:pt idx="2">
                  <c:v>2003</c:v>
                </c:pt>
                <c:pt idx="3">
                  <c:v>2004</c:v>
                </c:pt>
                <c:pt idx="4">
                  <c:v>2005</c:v>
                </c:pt>
                <c:pt idx="5">
                  <c:v>2006</c:v>
                </c:pt>
                <c:pt idx="6">
                  <c:v>2007</c:v>
                </c:pt>
                <c:pt idx="7">
                  <c:v>2008</c:v>
                </c:pt>
                <c:pt idx="8">
                  <c:v>2009</c:v>
                </c:pt>
                <c:pt idx="9">
                  <c:v>2010</c:v>
                </c:pt>
                <c:pt idx="10">
                  <c:v>2011</c:v>
                </c:pt>
                <c:pt idx="11">
                  <c:v>2012 III ketv.</c:v>
                </c:pt>
              </c:strCache>
            </c:strRef>
          </c:cat>
          <c:val>
            <c:numRef>
              <c:f>Sheet3!$F$2:$F$13</c:f>
              <c:numCache>
                <c:formatCode>General</c:formatCode>
                <c:ptCount val="12"/>
                <c:pt idx="0">
                  <c:v>0</c:v>
                </c:pt>
                <c:pt idx="1">
                  <c:v>0</c:v>
                </c:pt>
                <c:pt idx="2">
                  <c:v>0</c:v>
                </c:pt>
                <c:pt idx="3">
                  <c:v>0</c:v>
                </c:pt>
                <c:pt idx="4">
                  <c:v>0</c:v>
                </c:pt>
                <c:pt idx="5">
                  <c:v>0</c:v>
                </c:pt>
                <c:pt idx="6">
                  <c:v>6</c:v>
                </c:pt>
                <c:pt idx="7">
                  <c:v>7</c:v>
                </c:pt>
                <c:pt idx="8">
                  <c:v>2</c:v>
                </c:pt>
                <c:pt idx="9">
                  <c:v>5</c:v>
                </c:pt>
                <c:pt idx="10">
                  <c:v>10</c:v>
                </c:pt>
                <c:pt idx="11">
                  <c:v>14</c:v>
                </c:pt>
              </c:numCache>
            </c:numRef>
          </c:val>
        </c:ser>
        <c:marker val="1"/>
        <c:axId val="105732736"/>
        <c:axId val="106272256"/>
      </c:lineChart>
      <c:catAx>
        <c:axId val="105732736"/>
        <c:scaling>
          <c:orientation val="minMax"/>
        </c:scaling>
        <c:axPos val="b"/>
        <c:tickLblPos val="nextTo"/>
        <c:crossAx val="106272256"/>
        <c:crosses val="autoZero"/>
        <c:auto val="1"/>
        <c:lblAlgn val="ctr"/>
        <c:lblOffset val="100"/>
      </c:catAx>
      <c:valAx>
        <c:axId val="106272256"/>
        <c:scaling>
          <c:orientation val="minMax"/>
        </c:scaling>
        <c:axPos val="l"/>
        <c:majorGridlines/>
        <c:numFmt formatCode="General" sourceLinked="1"/>
        <c:tickLblPos val="nextTo"/>
        <c:crossAx val="105732736"/>
        <c:crosses val="autoZero"/>
        <c:crossBetween val="between"/>
      </c:valAx>
    </c:plotArea>
    <c:legend>
      <c:legendPos val="b"/>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plotArea>
      <c:layout/>
      <c:lineChart>
        <c:grouping val="standard"/>
        <c:ser>
          <c:idx val="0"/>
          <c:order val="0"/>
          <c:tx>
            <c:strRef>
              <c:f>Sheet4!$B$1</c:f>
              <c:strCache>
                <c:ptCount val="1"/>
                <c:pt idx="0">
                  <c:v>Nuosavybės VP fondai</c:v>
                </c:pt>
              </c:strCache>
            </c:strRef>
          </c:tx>
          <c:cat>
            <c:strRef>
              <c:f>Sheet4!$A$2:$A$8</c:f>
              <c:strCache>
                <c:ptCount val="7"/>
                <c:pt idx="0">
                  <c:v>2006</c:v>
                </c:pt>
                <c:pt idx="1">
                  <c:v>2007</c:v>
                </c:pt>
                <c:pt idx="2">
                  <c:v>2008</c:v>
                </c:pt>
                <c:pt idx="3">
                  <c:v>2009</c:v>
                </c:pt>
                <c:pt idx="4">
                  <c:v>2010</c:v>
                </c:pt>
                <c:pt idx="5">
                  <c:v>2011</c:v>
                </c:pt>
                <c:pt idx="6">
                  <c:v>2012m. III ketv.</c:v>
                </c:pt>
              </c:strCache>
            </c:strRef>
          </c:cat>
          <c:val>
            <c:numRef>
              <c:f>Sheet4!$B$2:$B$8</c:f>
              <c:numCache>
                <c:formatCode>General</c:formatCode>
                <c:ptCount val="7"/>
                <c:pt idx="0">
                  <c:v>594.6</c:v>
                </c:pt>
                <c:pt idx="1">
                  <c:v>749.4</c:v>
                </c:pt>
                <c:pt idx="2">
                  <c:v>142.04</c:v>
                </c:pt>
                <c:pt idx="3">
                  <c:v>237.33</c:v>
                </c:pt>
                <c:pt idx="4">
                  <c:v>300.04000000000002</c:v>
                </c:pt>
                <c:pt idx="5">
                  <c:v>209.22</c:v>
                </c:pt>
                <c:pt idx="6">
                  <c:v>224.03</c:v>
                </c:pt>
              </c:numCache>
            </c:numRef>
          </c:val>
        </c:ser>
        <c:ser>
          <c:idx val="1"/>
          <c:order val="1"/>
          <c:tx>
            <c:strRef>
              <c:f>Sheet4!$C$1</c:f>
              <c:strCache>
                <c:ptCount val="1"/>
                <c:pt idx="0">
                  <c:v>Mišrūs fondai</c:v>
                </c:pt>
              </c:strCache>
            </c:strRef>
          </c:tx>
          <c:cat>
            <c:strRef>
              <c:f>Sheet4!$A$2:$A$8</c:f>
              <c:strCache>
                <c:ptCount val="7"/>
                <c:pt idx="0">
                  <c:v>2006</c:v>
                </c:pt>
                <c:pt idx="1">
                  <c:v>2007</c:v>
                </c:pt>
                <c:pt idx="2">
                  <c:v>2008</c:v>
                </c:pt>
                <c:pt idx="3">
                  <c:v>2009</c:v>
                </c:pt>
                <c:pt idx="4">
                  <c:v>2010</c:v>
                </c:pt>
                <c:pt idx="5">
                  <c:v>2011</c:v>
                </c:pt>
                <c:pt idx="6">
                  <c:v>2012m. III ketv.</c:v>
                </c:pt>
              </c:strCache>
            </c:strRef>
          </c:cat>
          <c:val>
            <c:numRef>
              <c:f>Sheet4!$C$2:$C$8</c:f>
              <c:numCache>
                <c:formatCode>General</c:formatCode>
                <c:ptCount val="7"/>
                <c:pt idx="0">
                  <c:v>53.4</c:v>
                </c:pt>
                <c:pt idx="1">
                  <c:v>115.9</c:v>
                </c:pt>
                <c:pt idx="2">
                  <c:v>15.3</c:v>
                </c:pt>
                <c:pt idx="3">
                  <c:v>125.93</c:v>
                </c:pt>
                <c:pt idx="4">
                  <c:v>155.35000000000107</c:v>
                </c:pt>
                <c:pt idx="5">
                  <c:v>137.94999999999999</c:v>
                </c:pt>
                <c:pt idx="6">
                  <c:v>149.39000000000001</c:v>
                </c:pt>
              </c:numCache>
            </c:numRef>
          </c:val>
        </c:ser>
        <c:ser>
          <c:idx val="2"/>
          <c:order val="2"/>
          <c:tx>
            <c:strRef>
              <c:f>Sheet4!$D$1</c:f>
              <c:strCache>
                <c:ptCount val="1"/>
                <c:pt idx="0">
                  <c:v>Skolos VP fondai</c:v>
                </c:pt>
              </c:strCache>
            </c:strRef>
          </c:tx>
          <c:cat>
            <c:strRef>
              <c:f>Sheet4!$A$2:$A$8</c:f>
              <c:strCache>
                <c:ptCount val="7"/>
                <c:pt idx="0">
                  <c:v>2006</c:v>
                </c:pt>
                <c:pt idx="1">
                  <c:v>2007</c:v>
                </c:pt>
                <c:pt idx="2">
                  <c:v>2008</c:v>
                </c:pt>
                <c:pt idx="3">
                  <c:v>2009</c:v>
                </c:pt>
                <c:pt idx="4">
                  <c:v>2010</c:v>
                </c:pt>
                <c:pt idx="5">
                  <c:v>2011</c:v>
                </c:pt>
                <c:pt idx="6">
                  <c:v>2012m. III ketv.</c:v>
                </c:pt>
              </c:strCache>
            </c:strRef>
          </c:cat>
          <c:val>
            <c:numRef>
              <c:f>Sheet4!$D$2:$D$8</c:f>
              <c:numCache>
                <c:formatCode>General</c:formatCode>
                <c:ptCount val="7"/>
                <c:pt idx="0">
                  <c:v>80</c:v>
                </c:pt>
                <c:pt idx="1">
                  <c:v>89.9</c:v>
                </c:pt>
                <c:pt idx="2">
                  <c:v>55.730000000000011</c:v>
                </c:pt>
                <c:pt idx="3">
                  <c:v>14.6</c:v>
                </c:pt>
                <c:pt idx="4">
                  <c:v>26.6</c:v>
                </c:pt>
                <c:pt idx="5">
                  <c:v>28.93</c:v>
                </c:pt>
                <c:pt idx="6">
                  <c:v>42.55</c:v>
                </c:pt>
              </c:numCache>
            </c:numRef>
          </c:val>
        </c:ser>
        <c:ser>
          <c:idx val="3"/>
          <c:order val="3"/>
          <c:tx>
            <c:strRef>
              <c:f>Sheet4!$E$1</c:f>
              <c:strCache>
                <c:ptCount val="1"/>
                <c:pt idx="0">
                  <c:v>Pinigų rinkos fondai</c:v>
                </c:pt>
              </c:strCache>
            </c:strRef>
          </c:tx>
          <c:cat>
            <c:strRef>
              <c:f>Sheet4!$A$2:$A$8</c:f>
              <c:strCache>
                <c:ptCount val="7"/>
                <c:pt idx="0">
                  <c:v>2006</c:v>
                </c:pt>
                <c:pt idx="1">
                  <c:v>2007</c:v>
                </c:pt>
                <c:pt idx="2">
                  <c:v>2008</c:v>
                </c:pt>
                <c:pt idx="3">
                  <c:v>2009</c:v>
                </c:pt>
                <c:pt idx="4">
                  <c:v>2010</c:v>
                </c:pt>
                <c:pt idx="5">
                  <c:v>2011</c:v>
                </c:pt>
                <c:pt idx="6">
                  <c:v>2012m. III ketv.</c:v>
                </c:pt>
              </c:strCache>
            </c:strRef>
          </c:cat>
          <c:val>
            <c:numRef>
              <c:f>Sheet4!$E$2:$E$8</c:f>
              <c:numCache>
                <c:formatCode>General</c:formatCode>
                <c:ptCount val="7"/>
                <c:pt idx="0">
                  <c:v>40</c:v>
                </c:pt>
                <c:pt idx="1">
                  <c:v>81.599999999999994</c:v>
                </c:pt>
                <c:pt idx="2">
                  <c:v>34.270000000000003</c:v>
                </c:pt>
                <c:pt idx="3">
                  <c:v>60.9</c:v>
                </c:pt>
                <c:pt idx="4">
                  <c:v>79.709999999999994</c:v>
                </c:pt>
                <c:pt idx="5">
                  <c:v>51.720000000000013</c:v>
                </c:pt>
                <c:pt idx="6">
                  <c:v>41.7</c:v>
                </c:pt>
              </c:numCache>
            </c:numRef>
          </c:val>
        </c:ser>
        <c:ser>
          <c:idx val="4"/>
          <c:order val="4"/>
          <c:tx>
            <c:strRef>
              <c:f>Sheet4!$F$1</c:f>
              <c:strCache>
                <c:ptCount val="1"/>
                <c:pt idx="0">
                  <c:v>Kiti fondai</c:v>
                </c:pt>
              </c:strCache>
            </c:strRef>
          </c:tx>
          <c:cat>
            <c:strRef>
              <c:f>Sheet4!$A$2:$A$8</c:f>
              <c:strCache>
                <c:ptCount val="7"/>
                <c:pt idx="0">
                  <c:v>2006</c:v>
                </c:pt>
                <c:pt idx="1">
                  <c:v>2007</c:v>
                </c:pt>
                <c:pt idx="2">
                  <c:v>2008</c:v>
                </c:pt>
                <c:pt idx="3">
                  <c:v>2009</c:v>
                </c:pt>
                <c:pt idx="4">
                  <c:v>2010</c:v>
                </c:pt>
                <c:pt idx="5">
                  <c:v>2011</c:v>
                </c:pt>
                <c:pt idx="6">
                  <c:v>2012m. III ketv.</c:v>
                </c:pt>
              </c:strCache>
            </c:strRef>
          </c:cat>
          <c:val>
            <c:numRef>
              <c:f>Sheet4!$F$2:$F$8</c:f>
              <c:numCache>
                <c:formatCode>General</c:formatCode>
                <c:ptCount val="7"/>
                <c:pt idx="0">
                  <c:v>64</c:v>
                </c:pt>
                <c:pt idx="1">
                  <c:v>224.7</c:v>
                </c:pt>
                <c:pt idx="2">
                  <c:v>135.13999999999999</c:v>
                </c:pt>
                <c:pt idx="3">
                  <c:v>8.18</c:v>
                </c:pt>
                <c:pt idx="4">
                  <c:v>40.32</c:v>
                </c:pt>
                <c:pt idx="5">
                  <c:v>81.93</c:v>
                </c:pt>
                <c:pt idx="6">
                  <c:v>50.98</c:v>
                </c:pt>
              </c:numCache>
            </c:numRef>
          </c:val>
        </c:ser>
        <c:marker val="1"/>
        <c:axId val="131958656"/>
        <c:axId val="131974272"/>
      </c:lineChart>
      <c:catAx>
        <c:axId val="131958656"/>
        <c:scaling>
          <c:orientation val="minMax"/>
        </c:scaling>
        <c:axPos val="b"/>
        <c:tickLblPos val="nextTo"/>
        <c:crossAx val="131974272"/>
        <c:crosses val="autoZero"/>
        <c:auto val="1"/>
        <c:lblAlgn val="ctr"/>
        <c:lblOffset val="100"/>
      </c:catAx>
      <c:valAx>
        <c:axId val="131974272"/>
        <c:scaling>
          <c:orientation val="minMax"/>
        </c:scaling>
        <c:axPos val="l"/>
        <c:majorGridlines/>
        <c:numFmt formatCode="General" sourceLinked="1"/>
        <c:tickLblPos val="nextTo"/>
        <c:crossAx val="131958656"/>
        <c:crosses val="autoZero"/>
        <c:crossBetween val="between"/>
      </c:valAx>
    </c:plotArea>
    <c:legend>
      <c:legendPos val="b"/>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lt-LT"/>
  <c:chart>
    <c:plotArea>
      <c:layout/>
      <c:lineChart>
        <c:grouping val="standard"/>
        <c:ser>
          <c:idx val="0"/>
          <c:order val="0"/>
          <c:dLbls>
            <c:showVal val="1"/>
          </c:dLbls>
          <c:cat>
            <c:strRef>
              <c:f>Sheet3!$B$2:$B$18</c:f>
              <c:strCache>
                <c:ptCount val="17"/>
                <c:pt idx="0">
                  <c:v>„Finasta“ Naujosios Europos TOP20 subfondas</c:v>
                </c:pt>
                <c:pt idx="1">
                  <c:v>„Finasta“ Rusijos TOP20 subfondas</c:v>
                </c:pt>
                <c:pt idx="2">
                  <c:v>„Finasta“ pasaulio akcijų fondų subfondas</c:v>
                </c:pt>
                <c:pt idx="3">
                  <c:v>„Finasta Vitality“ fondas</c:v>
                </c:pt>
                <c:pt idx="4">
                  <c:v>OMX Baltic Benchmark Fund</c:v>
                </c:pt>
                <c:pt idx="5">
                  <c:v>ZPR Amerikos mažos kapitalizacijos bendrovių akcijų atviras investicinis fondas</c:v>
                </c:pt>
                <c:pt idx="6">
                  <c:v>DNB akcijų fondas</c:v>
                </c:pt>
                <c:pt idx="7">
                  <c:v>Citadele Baltijos jūros valstybių investicinis akcijų fondas</c:v>
                </c:pt>
                <c:pt idx="8">
                  <c:v>SEB aktyviai valdomas fondų portfelis 100</c:v>
                </c:pt>
                <c:pt idx="9">
                  <c:v>Ūkio banko racionalaus investavimo fondas</c:v>
                </c:pt>
                <c:pt idx="10">
                  <c:v>Ūkio banko Europos subfondas</c:v>
                </c:pt>
                <c:pt idx="11">
                  <c:v>Ūkio banko JAV subfondas</c:v>
                </c:pt>
                <c:pt idx="12">
                  <c:v>Ūkio banko Kinijos subfondas</c:v>
                </c:pt>
                <c:pt idx="13">
                  <c:v>Ūkio banko Rusijos subfondas</c:v>
                </c:pt>
                <c:pt idx="14">
                  <c:v>„Finasta“ besivystančios Europos obligacijų subfondas</c:v>
                </c:pt>
                <c:pt idx="15">
                  <c:v>Ūkio banko obligacijų fondas</c:v>
                </c:pt>
                <c:pt idx="16">
                  <c:v>SEB aktyviai valdomas fondų portfelis 60</c:v>
                </c:pt>
              </c:strCache>
            </c:strRef>
          </c:cat>
          <c:val>
            <c:numRef>
              <c:f>Sheet3!$E$2:$E$18</c:f>
              <c:numCache>
                <c:formatCode>0.00</c:formatCode>
                <c:ptCount val="17"/>
                <c:pt idx="0">
                  <c:v>1.1135776974703138</c:v>
                </c:pt>
                <c:pt idx="1">
                  <c:v>0.29074151654796815</c:v>
                </c:pt>
                <c:pt idx="2">
                  <c:v>0.47898423817863472</c:v>
                </c:pt>
                <c:pt idx="3">
                  <c:v>0.80698835274542424</c:v>
                </c:pt>
                <c:pt idx="4">
                  <c:v>1.1745213549337263</c:v>
                </c:pt>
                <c:pt idx="5">
                  <c:v>0.16402535657686262</c:v>
                </c:pt>
                <c:pt idx="6">
                  <c:v>0.67285587975243288</c:v>
                </c:pt>
                <c:pt idx="7">
                  <c:v>0.87248677248677264</c:v>
                </c:pt>
                <c:pt idx="8">
                  <c:v>0.79021558872304987</c:v>
                </c:pt>
                <c:pt idx="9">
                  <c:v>0.55004766444232611</c:v>
                </c:pt>
                <c:pt idx="10">
                  <c:v>0.92559109874826151</c:v>
                </c:pt>
                <c:pt idx="11">
                  <c:v>0.66709429121231734</c:v>
                </c:pt>
                <c:pt idx="12">
                  <c:v>0.4886271324126728</c:v>
                </c:pt>
                <c:pt idx="13">
                  <c:v>0.11159169550173012</c:v>
                </c:pt>
                <c:pt idx="14">
                  <c:v>1.9579646017699091</c:v>
                </c:pt>
                <c:pt idx="15">
                  <c:v>0.89451476793248785</c:v>
                </c:pt>
                <c:pt idx="16">
                  <c:v>1.0170842824601325</c:v>
                </c:pt>
              </c:numCache>
            </c:numRef>
          </c:val>
        </c:ser>
        <c:marker val="1"/>
        <c:axId val="94062464"/>
        <c:axId val="94064000"/>
      </c:lineChart>
      <c:catAx>
        <c:axId val="94062464"/>
        <c:scaling>
          <c:orientation val="minMax"/>
        </c:scaling>
        <c:axPos val="b"/>
        <c:tickLblPos val="nextTo"/>
        <c:txPr>
          <a:bodyPr rot="-5400000" vert="horz"/>
          <a:lstStyle/>
          <a:p>
            <a:pPr>
              <a:defRPr/>
            </a:pPr>
            <a:endParaRPr lang="lt-LT"/>
          </a:p>
        </c:txPr>
        <c:crossAx val="94064000"/>
        <c:crosses val="autoZero"/>
        <c:auto val="1"/>
        <c:lblAlgn val="ctr"/>
        <c:lblOffset val="100"/>
      </c:catAx>
      <c:valAx>
        <c:axId val="94064000"/>
        <c:scaling>
          <c:orientation val="minMax"/>
        </c:scaling>
        <c:axPos val="l"/>
        <c:majorGridlines/>
        <c:numFmt formatCode="0.00" sourceLinked="1"/>
        <c:tickLblPos val="nextTo"/>
        <c:crossAx val="94062464"/>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1"/>
          <c:order val="1"/>
          <c:tx>
            <c:strRef>
              <c:f>Sheet3!$D$25</c:f>
              <c:strCache>
                <c:ptCount val="1"/>
                <c:pt idx="0">
                  <c:v>Didžiausia metinė grąža</c:v>
                </c:pt>
              </c:strCache>
            </c:strRef>
          </c:tx>
          <c:cat>
            <c:strRef>
              <c:f>Sheet3!$B$26:$B$42</c:f>
              <c:strCache>
                <c:ptCount val="17"/>
                <c:pt idx="0">
                  <c:v>„Finasta“ Naujosios Europos TOP20 subfondas</c:v>
                </c:pt>
                <c:pt idx="1">
                  <c:v>„Finasta“ Rusijos TOP20 subfondas</c:v>
                </c:pt>
                <c:pt idx="2">
                  <c:v>„Finasta“ pasaulio akcijų fondų subfondas</c:v>
                </c:pt>
                <c:pt idx="3">
                  <c:v>„Finasta Vitality“ fondas</c:v>
                </c:pt>
                <c:pt idx="4">
                  <c:v>OMX Baltic Benchmark Fund</c:v>
                </c:pt>
                <c:pt idx="5">
                  <c:v>ZPR Amerikos mažos kapitalizacijos bendrovių akcijų atviras investicinis fondas</c:v>
                </c:pt>
                <c:pt idx="6">
                  <c:v>DNB akcijų fondas</c:v>
                </c:pt>
                <c:pt idx="7">
                  <c:v>Citadele Baltijos jūros valstybių investicinis akcijų fondas</c:v>
                </c:pt>
                <c:pt idx="8">
                  <c:v>SEB aktyviai valdomas fondų portfelis 100</c:v>
                </c:pt>
                <c:pt idx="9">
                  <c:v>Ūkio banko racionalaus investavimo fondas</c:v>
                </c:pt>
                <c:pt idx="10">
                  <c:v>Ūkio banko Europos subfondas</c:v>
                </c:pt>
                <c:pt idx="11">
                  <c:v>Ūkio banko JAV subfondas</c:v>
                </c:pt>
                <c:pt idx="12">
                  <c:v>Ūkio banko Kinijos subfondas</c:v>
                </c:pt>
                <c:pt idx="13">
                  <c:v>Ūkio banko Rusijos subfondas</c:v>
                </c:pt>
                <c:pt idx="14">
                  <c:v>„Finasta“ besivystančios Europos obligacijų subfondas</c:v>
                </c:pt>
                <c:pt idx="15">
                  <c:v>Ūkio banko obligacijų fondas</c:v>
                </c:pt>
                <c:pt idx="16">
                  <c:v>SEB aktyviai valdomas fondų portfelis 60</c:v>
                </c:pt>
              </c:strCache>
            </c:strRef>
          </c:cat>
          <c:val>
            <c:numRef>
              <c:f>Sheet3!$D$26:$D$42</c:f>
              <c:numCache>
                <c:formatCode>General</c:formatCode>
                <c:ptCount val="17"/>
                <c:pt idx="0">
                  <c:v>67.03</c:v>
                </c:pt>
                <c:pt idx="1">
                  <c:v>61.4</c:v>
                </c:pt>
                <c:pt idx="2">
                  <c:v>35.03</c:v>
                </c:pt>
                <c:pt idx="3">
                  <c:v>57.33</c:v>
                </c:pt>
                <c:pt idx="4">
                  <c:v>49.83</c:v>
                </c:pt>
                <c:pt idx="5">
                  <c:v>61.339999999999996</c:v>
                </c:pt>
                <c:pt idx="6">
                  <c:v>36.949999999999996</c:v>
                </c:pt>
                <c:pt idx="7">
                  <c:v>61.01</c:v>
                </c:pt>
                <c:pt idx="8">
                  <c:v>40.370000000000005</c:v>
                </c:pt>
                <c:pt idx="9">
                  <c:v>60.220000000000013</c:v>
                </c:pt>
                <c:pt idx="10">
                  <c:v>48.790000000000013</c:v>
                </c:pt>
                <c:pt idx="11">
                  <c:v>48.3</c:v>
                </c:pt>
                <c:pt idx="12">
                  <c:v>67.989999999999995</c:v>
                </c:pt>
                <c:pt idx="13">
                  <c:v>79.95</c:v>
                </c:pt>
                <c:pt idx="14">
                  <c:v>24.610000000000031</c:v>
                </c:pt>
                <c:pt idx="15">
                  <c:v>20.439999999999987</c:v>
                </c:pt>
                <c:pt idx="16">
                  <c:v>33.21</c:v>
                </c:pt>
              </c:numCache>
            </c:numRef>
          </c:val>
        </c:ser>
        <c:ser>
          <c:idx val="2"/>
          <c:order val="2"/>
          <c:tx>
            <c:strRef>
              <c:f>Sheet3!$E$25</c:f>
              <c:strCache>
                <c:ptCount val="1"/>
                <c:pt idx="0">
                  <c:v>Mažiausia metinė grąža</c:v>
                </c:pt>
              </c:strCache>
            </c:strRef>
          </c:tx>
          <c:cat>
            <c:strRef>
              <c:f>Sheet3!$B$26:$B$42</c:f>
              <c:strCache>
                <c:ptCount val="17"/>
                <c:pt idx="0">
                  <c:v>„Finasta“ Naujosios Europos TOP20 subfondas</c:v>
                </c:pt>
                <c:pt idx="1">
                  <c:v>„Finasta“ Rusijos TOP20 subfondas</c:v>
                </c:pt>
                <c:pt idx="2">
                  <c:v>„Finasta“ pasaulio akcijų fondų subfondas</c:v>
                </c:pt>
                <c:pt idx="3">
                  <c:v>„Finasta Vitality“ fondas</c:v>
                </c:pt>
                <c:pt idx="4">
                  <c:v>OMX Baltic Benchmark Fund</c:v>
                </c:pt>
                <c:pt idx="5">
                  <c:v>ZPR Amerikos mažos kapitalizacijos bendrovių akcijų atviras investicinis fondas</c:v>
                </c:pt>
                <c:pt idx="6">
                  <c:v>DNB akcijų fondas</c:v>
                </c:pt>
                <c:pt idx="7">
                  <c:v>Citadele Baltijos jūros valstybių investicinis akcijų fondas</c:v>
                </c:pt>
                <c:pt idx="8">
                  <c:v>SEB aktyviai valdomas fondų portfelis 100</c:v>
                </c:pt>
                <c:pt idx="9">
                  <c:v>Ūkio banko racionalaus investavimo fondas</c:v>
                </c:pt>
                <c:pt idx="10">
                  <c:v>Ūkio banko Europos subfondas</c:v>
                </c:pt>
                <c:pt idx="11">
                  <c:v>Ūkio banko JAV subfondas</c:v>
                </c:pt>
                <c:pt idx="12">
                  <c:v>Ūkio banko Kinijos subfondas</c:v>
                </c:pt>
                <c:pt idx="13">
                  <c:v>Ūkio banko Rusijos subfondas</c:v>
                </c:pt>
                <c:pt idx="14">
                  <c:v>„Finasta“ besivystančios Europos obligacijų subfondas</c:v>
                </c:pt>
                <c:pt idx="15">
                  <c:v>Ūkio banko obligacijų fondas</c:v>
                </c:pt>
                <c:pt idx="16">
                  <c:v>SEB aktyviai valdomas fondų portfelis 60</c:v>
                </c:pt>
              </c:strCache>
            </c:strRef>
          </c:cat>
          <c:val>
            <c:numRef>
              <c:f>Sheet3!$E$26:$E$42</c:f>
              <c:numCache>
                <c:formatCode>General</c:formatCode>
                <c:ptCount val="17"/>
                <c:pt idx="0">
                  <c:v>-10.450000000000006</c:v>
                </c:pt>
                <c:pt idx="1">
                  <c:v>-34.08</c:v>
                </c:pt>
                <c:pt idx="2">
                  <c:v>-10.65</c:v>
                </c:pt>
                <c:pt idx="3">
                  <c:v>-14.79</c:v>
                </c:pt>
                <c:pt idx="4">
                  <c:v>-4.49</c:v>
                </c:pt>
                <c:pt idx="5">
                  <c:v>-39.620000000000012</c:v>
                </c:pt>
                <c:pt idx="6">
                  <c:v>-8.2900000000000009</c:v>
                </c:pt>
                <c:pt idx="7">
                  <c:v>-14.59</c:v>
                </c:pt>
                <c:pt idx="8">
                  <c:v>-7.87</c:v>
                </c:pt>
                <c:pt idx="9">
                  <c:v>-23.7</c:v>
                </c:pt>
                <c:pt idx="10">
                  <c:v>-8.7299999999999986</c:v>
                </c:pt>
                <c:pt idx="11">
                  <c:v>-14.06</c:v>
                </c:pt>
                <c:pt idx="12">
                  <c:v>-30.49</c:v>
                </c:pt>
                <c:pt idx="13">
                  <c:v>-58.77</c:v>
                </c:pt>
                <c:pt idx="14">
                  <c:v>6.53</c:v>
                </c:pt>
                <c:pt idx="15">
                  <c:v>1.48</c:v>
                </c:pt>
                <c:pt idx="16">
                  <c:v>-1.9100000000000001</c:v>
                </c:pt>
              </c:numCache>
            </c:numRef>
          </c:val>
        </c:ser>
        <c:axId val="94086656"/>
        <c:axId val="94088192"/>
      </c:barChart>
      <c:lineChart>
        <c:grouping val="standard"/>
        <c:ser>
          <c:idx val="0"/>
          <c:order val="0"/>
          <c:tx>
            <c:strRef>
              <c:f>Sheet3!$C$25</c:f>
              <c:strCache>
                <c:ptCount val="1"/>
                <c:pt idx="0">
                  <c:v>Šarpo rodiklis</c:v>
                </c:pt>
              </c:strCache>
            </c:strRef>
          </c:tx>
          <c:dLbls>
            <c:dLbl>
              <c:idx val="16"/>
              <c:layout>
                <c:manualLayout>
                  <c:x val="-1.9212295869356393E-2"/>
                  <c:y val="-1.1569050149099563E-2"/>
                </c:manualLayout>
              </c:layout>
              <c:showVal val="1"/>
            </c:dLbl>
            <c:txPr>
              <a:bodyPr/>
              <a:lstStyle/>
              <a:p>
                <a:pPr>
                  <a:defRPr sz="800" baseline="0"/>
                </a:pPr>
                <a:endParaRPr lang="lt-LT"/>
              </a:p>
            </c:txPr>
            <c:showVal val="1"/>
          </c:dLbls>
          <c:cat>
            <c:strRef>
              <c:f>Sheet3!$B$26:$B$42</c:f>
              <c:strCache>
                <c:ptCount val="17"/>
                <c:pt idx="0">
                  <c:v>„Finasta“ Naujosios Europos TOP20 subfondas</c:v>
                </c:pt>
                <c:pt idx="1">
                  <c:v>„Finasta“ Rusijos TOP20 subfondas</c:v>
                </c:pt>
                <c:pt idx="2">
                  <c:v>„Finasta“ pasaulio akcijų fondų subfondas</c:v>
                </c:pt>
                <c:pt idx="3">
                  <c:v>„Finasta Vitality“ fondas</c:v>
                </c:pt>
                <c:pt idx="4">
                  <c:v>OMX Baltic Benchmark Fund</c:v>
                </c:pt>
                <c:pt idx="5">
                  <c:v>ZPR Amerikos mažos kapitalizacijos bendrovių akcijų atviras investicinis fondas</c:v>
                </c:pt>
                <c:pt idx="6">
                  <c:v>DNB akcijų fondas</c:v>
                </c:pt>
                <c:pt idx="7">
                  <c:v>Citadele Baltijos jūros valstybių investicinis akcijų fondas</c:v>
                </c:pt>
                <c:pt idx="8">
                  <c:v>SEB aktyviai valdomas fondų portfelis 100</c:v>
                </c:pt>
                <c:pt idx="9">
                  <c:v>Ūkio banko racionalaus investavimo fondas</c:v>
                </c:pt>
                <c:pt idx="10">
                  <c:v>Ūkio banko Europos subfondas</c:v>
                </c:pt>
                <c:pt idx="11">
                  <c:v>Ūkio banko JAV subfondas</c:v>
                </c:pt>
                <c:pt idx="12">
                  <c:v>Ūkio banko Kinijos subfondas</c:v>
                </c:pt>
                <c:pt idx="13">
                  <c:v>Ūkio banko Rusijos subfondas</c:v>
                </c:pt>
                <c:pt idx="14">
                  <c:v>„Finasta“ besivystančios Europos obligacijų subfondas</c:v>
                </c:pt>
                <c:pt idx="15">
                  <c:v>Ūkio banko obligacijų fondas</c:v>
                </c:pt>
                <c:pt idx="16">
                  <c:v>SEB aktyviai valdomas fondų portfelis 60</c:v>
                </c:pt>
              </c:strCache>
            </c:strRef>
          </c:cat>
          <c:val>
            <c:numRef>
              <c:f>Sheet3!$C$26:$C$42</c:f>
              <c:numCache>
                <c:formatCode>0.00</c:formatCode>
                <c:ptCount val="17"/>
                <c:pt idx="0">
                  <c:v>1.1135999999999968</c:v>
                </c:pt>
                <c:pt idx="1">
                  <c:v>0.29070000000000001</c:v>
                </c:pt>
                <c:pt idx="2">
                  <c:v>0.47900000000000031</c:v>
                </c:pt>
                <c:pt idx="3">
                  <c:v>0.80700000000000005</c:v>
                </c:pt>
                <c:pt idx="4">
                  <c:v>1.1745000000000001</c:v>
                </c:pt>
                <c:pt idx="5">
                  <c:v>0.16400000000000001</c:v>
                </c:pt>
                <c:pt idx="6">
                  <c:v>0.67290000000000194</c:v>
                </c:pt>
                <c:pt idx="7">
                  <c:v>0.87250000000000005</c:v>
                </c:pt>
                <c:pt idx="8">
                  <c:v>0.79020000000000001</c:v>
                </c:pt>
                <c:pt idx="9">
                  <c:v>0.55000000000000004</c:v>
                </c:pt>
                <c:pt idx="10">
                  <c:v>0.92559999999999998</c:v>
                </c:pt>
                <c:pt idx="11">
                  <c:v>0.66710000000000191</c:v>
                </c:pt>
                <c:pt idx="12">
                  <c:v>0.48860000000000031</c:v>
                </c:pt>
                <c:pt idx="13">
                  <c:v>0.1116</c:v>
                </c:pt>
                <c:pt idx="14">
                  <c:v>1.9580000000000028</c:v>
                </c:pt>
                <c:pt idx="15">
                  <c:v>0.89449999999999996</c:v>
                </c:pt>
                <c:pt idx="16">
                  <c:v>1.0170999999999968</c:v>
                </c:pt>
              </c:numCache>
            </c:numRef>
          </c:val>
        </c:ser>
        <c:marker val="1"/>
        <c:axId val="94120192"/>
        <c:axId val="94118656"/>
      </c:lineChart>
      <c:catAx>
        <c:axId val="94086656"/>
        <c:scaling>
          <c:orientation val="minMax"/>
        </c:scaling>
        <c:axPos val="b"/>
        <c:tickLblPos val="low"/>
        <c:txPr>
          <a:bodyPr rot="-5400000" vert="horz" anchor="t" anchorCtr="0"/>
          <a:lstStyle/>
          <a:p>
            <a:pPr>
              <a:defRPr sz="900" baseline="0"/>
            </a:pPr>
            <a:endParaRPr lang="lt-LT"/>
          </a:p>
        </c:txPr>
        <c:crossAx val="94088192"/>
        <c:crosses val="autoZero"/>
        <c:auto val="1"/>
        <c:lblAlgn val="ctr"/>
        <c:lblOffset val="100"/>
      </c:catAx>
      <c:valAx>
        <c:axId val="94088192"/>
        <c:scaling>
          <c:orientation val="minMax"/>
        </c:scaling>
        <c:axPos val="l"/>
        <c:majorGridlines/>
        <c:numFmt formatCode="General" sourceLinked="1"/>
        <c:tickLblPos val="nextTo"/>
        <c:crossAx val="94086656"/>
        <c:crosses val="autoZero"/>
        <c:crossBetween val="between"/>
      </c:valAx>
      <c:valAx>
        <c:axId val="94118656"/>
        <c:scaling>
          <c:orientation val="minMax"/>
        </c:scaling>
        <c:axPos val="r"/>
        <c:numFmt formatCode="0.00" sourceLinked="1"/>
        <c:tickLblPos val="nextTo"/>
        <c:crossAx val="94120192"/>
        <c:crosses val="max"/>
        <c:crossBetween val="between"/>
      </c:valAx>
      <c:catAx>
        <c:axId val="94120192"/>
        <c:scaling>
          <c:orientation val="minMax"/>
        </c:scaling>
        <c:delete val="1"/>
        <c:axPos val="b"/>
        <c:tickLblPos val="none"/>
        <c:crossAx val="94118656"/>
        <c:crosses val="autoZero"/>
        <c:auto val="1"/>
        <c:lblAlgn val="ctr"/>
        <c:lblOffset val="100"/>
      </c:catAx>
    </c:plotArea>
    <c:legend>
      <c:legendPos val="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chart>
    <c:plotArea>
      <c:layout>
        <c:manualLayout>
          <c:layoutTarget val="inner"/>
          <c:xMode val="edge"/>
          <c:yMode val="edge"/>
          <c:x val="0.16234693410864348"/>
          <c:y val="3.8698328935795952E-2"/>
          <c:w val="0.66330776819467074"/>
          <c:h val="0.87316920477288662"/>
        </c:manualLayout>
      </c:layout>
      <c:barChart>
        <c:barDir val="bar"/>
        <c:grouping val="clustered"/>
        <c:ser>
          <c:idx val="0"/>
          <c:order val="0"/>
          <c:tx>
            <c:strRef>
              <c:f>Sheet4!$B$31</c:f>
              <c:strCache>
                <c:ptCount val="1"/>
                <c:pt idx="0">
                  <c:v>Papasakojo draugai, pažįstami</c:v>
                </c:pt>
              </c:strCache>
            </c:strRef>
          </c:tx>
          <c:dLbls>
            <c:showVal val="1"/>
          </c:dLbls>
          <c:cat>
            <c:strRef>
              <c:f>Sheet4!$A$32:$A$36</c:f>
              <c:strCache>
                <c:ptCount val="5"/>
                <c:pt idx="0">
                  <c:v>18-24 m.</c:v>
                </c:pt>
                <c:pt idx="1">
                  <c:v>25-29 m.</c:v>
                </c:pt>
                <c:pt idx="2">
                  <c:v>30-39 m.</c:v>
                </c:pt>
                <c:pt idx="3">
                  <c:v>40 m. ir daugiau</c:v>
                </c:pt>
                <c:pt idx="4">
                  <c:v>Iš viso</c:v>
                </c:pt>
              </c:strCache>
            </c:strRef>
          </c:cat>
          <c:val>
            <c:numRef>
              <c:f>Sheet4!$B$32:$B$36</c:f>
              <c:numCache>
                <c:formatCode>0.00%</c:formatCode>
                <c:ptCount val="5"/>
                <c:pt idx="0">
                  <c:v>4.5500000000000013E-2</c:v>
                </c:pt>
                <c:pt idx="1">
                  <c:v>4.8400000000000012E-2</c:v>
                </c:pt>
                <c:pt idx="2" formatCode="0.0%">
                  <c:v>0.14000000000000001</c:v>
                </c:pt>
                <c:pt idx="3" formatCode="0.0%">
                  <c:v>0.25</c:v>
                </c:pt>
                <c:pt idx="4" formatCode="0.0%">
                  <c:v>8.4000000000000047E-2</c:v>
                </c:pt>
              </c:numCache>
            </c:numRef>
          </c:val>
        </c:ser>
        <c:ser>
          <c:idx val="1"/>
          <c:order val="1"/>
          <c:tx>
            <c:strRef>
              <c:f>Sheet4!$C$31</c:f>
              <c:strCache>
                <c:ptCount val="1"/>
                <c:pt idx="0">
                  <c:v>Internetas</c:v>
                </c:pt>
              </c:strCache>
            </c:strRef>
          </c:tx>
          <c:dLbls>
            <c:dLbl>
              <c:idx val="3"/>
              <c:delete val="1"/>
            </c:dLbl>
            <c:showVal val="1"/>
          </c:dLbls>
          <c:cat>
            <c:strRef>
              <c:f>Sheet4!$A$32:$A$36</c:f>
              <c:strCache>
                <c:ptCount val="5"/>
                <c:pt idx="0">
                  <c:v>18-24 m.</c:v>
                </c:pt>
                <c:pt idx="1">
                  <c:v>25-29 m.</c:v>
                </c:pt>
                <c:pt idx="2">
                  <c:v>30-39 m.</c:v>
                </c:pt>
                <c:pt idx="3">
                  <c:v>40 m. ir daugiau</c:v>
                </c:pt>
                <c:pt idx="4">
                  <c:v>Iš viso</c:v>
                </c:pt>
              </c:strCache>
            </c:strRef>
          </c:cat>
          <c:val>
            <c:numRef>
              <c:f>Sheet4!$C$32:$C$36</c:f>
              <c:numCache>
                <c:formatCode>0.00%</c:formatCode>
                <c:ptCount val="5"/>
                <c:pt idx="0">
                  <c:v>0.2727</c:v>
                </c:pt>
                <c:pt idx="1">
                  <c:v>0.19359999999999999</c:v>
                </c:pt>
                <c:pt idx="2">
                  <c:v>0.16300000000000001</c:v>
                </c:pt>
                <c:pt idx="3">
                  <c:v>0</c:v>
                </c:pt>
                <c:pt idx="4" formatCode="0.0%">
                  <c:v>0.191</c:v>
                </c:pt>
              </c:numCache>
            </c:numRef>
          </c:val>
        </c:ser>
        <c:ser>
          <c:idx val="2"/>
          <c:order val="2"/>
          <c:tx>
            <c:strRef>
              <c:f>Sheet4!$D$31</c:f>
              <c:strCache>
                <c:ptCount val="1"/>
                <c:pt idx="0">
                  <c:v>Pasiūlė banke</c:v>
                </c:pt>
              </c:strCache>
            </c:strRef>
          </c:tx>
          <c:dLbls>
            <c:dLbl>
              <c:idx val="0"/>
              <c:delete val="1"/>
            </c:dLbl>
            <c:showVal val="1"/>
          </c:dLbls>
          <c:cat>
            <c:strRef>
              <c:f>Sheet4!$A$32:$A$36</c:f>
              <c:strCache>
                <c:ptCount val="5"/>
                <c:pt idx="0">
                  <c:v>18-24 m.</c:v>
                </c:pt>
                <c:pt idx="1">
                  <c:v>25-29 m.</c:v>
                </c:pt>
                <c:pt idx="2">
                  <c:v>30-39 m.</c:v>
                </c:pt>
                <c:pt idx="3">
                  <c:v>40 m. ir daugiau</c:v>
                </c:pt>
                <c:pt idx="4">
                  <c:v>Iš viso</c:v>
                </c:pt>
              </c:strCache>
            </c:strRef>
          </c:cat>
          <c:val>
            <c:numRef>
              <c:f>Sheet4!$D$32:$D$36</c:f>
              <c:numCache>
                <c:formatCode>0.00%</c:formatCode>
                <c:ptCount val="5"/>
                <c:pt idx="0" formatCode="0%">
                  <c:v>0</c:v>
                </c:pt>
                <c:pt idx="1">
                  <c:v>0.24190000000000081</c:v>
                </c:pt>
                <c:pt idx="2">
                  <c:v>0.41900000000000032</c:v>
                </c:pt>
                <c:pt idx="3">
                  <c:v>0.5</c:v>
                </c:pt>
                <c:pt idx="4" formatCode="0.0%">
                  <c:v>0.26700000000000002</c:v>
                </c:pt>
              </c:numCache>
            </c:numRef>
          </c:val>
        </c:ser>
        <c:ser>
          <c:idx val="3"/>
          <c:order val="3"/>
          <c:tx>
            <c:strRef>
              <c:f>Sheet4!$E$31</c:f>
              <c:strCache>
                <c:ptCount val="1"/>
                <c:pt idx="0">
                  <c:v>Pamačiau reklamą</c:v>
                </c:pt>
              </c:strCache>
            </c:strRef>
          </c:tx>
          <c:dLbls>
            <c:dLbl>
              <c:idx val="0"/>
              <c:delete val="1"/>
            </c:dLbl>
            <c:showVal val="1"/>
          </c:dLbls>
          <c:cat>
            <c:strRef>
              <c:f>Sheet4!$A$32:$A$36</c:f>
              <c:strCache>
                <c:ptCount val="5"/>
                <c:pt idx="0">
                  <c:v>18-24 m.</c:v>
                </c:pt>
                <c:pt idx="1">
                  <c:v>25-29 m.</c:v>
                </c:pt>
                <c:pt idx="2">
                  <c:v>30-39 m.</c:v>
                </c:pt>
                <c:pt idx="3">
                  <c:v>40 m. ir daugiau</c:v>
                </c:pt>
                <c:pt idx="4">
                  <c:v>Iš viso</c:v>
                </c:pt>
              </c:strCache>
            </c:strRef>
          </c:cat>
          <c:val>
            <c:numRef>
              <c:f>Sheet4!$E$32:$E$36</c:f>
              <c:numCache>
                <c:formatCode>0.00%</c:formatCode>
                <c:ptCount val="5"/>
                <c:pt idx="0">
                  <c:v>0</c:v>
                </c:pt>
                <c:pt idx="1">
                  <c:v>1.6100000000000041E-2</c:v>
                </c:pt>
                <c:pt idx="2">
                  <c:v>7.0000000000000021E-2</c:v>
                </c:pt>
                <c:pt idx="3">
                  <c:v>0.25</c:v>
                </c:pt>
                <c:pt idx="4" formatCode="0.0%">
                  <c:v>3.7999999999999999E-2</c:v>
                </c:pt>
              </c:numCache>
            </c:numRef>
          </c:val>
        </c:ser>
        <c:ser>
          <c:idx val="4"/>
          <c:order val="4"/>
          <c:tx>
            <c:strRef>
              <c:f>Sheet4!$F$31</c:f>
              <c:strCache>
                <c:ptCount val="1"/>
                <c:pt idx="0">
                  <c:v>Universtitete, kolegijoje</c:v>
                </c:pt>
              </c:strCache>
            </c:strRef>
          </c:tx>
          <c:dLbls>
            <c:dLbl>
              <c:idx val="3"/>
              <c:delete val="1"/>
            </c:dLbl>
            <c:showVal val="1"/>
          </c:dLbls>
          <c:cat>
            <c:strRef>
              <c:f>Sheet4!$A$32:$A$36</c:f>
              <c:strCache>
                <c:ptCount val="5"/>
                <c:pt idx="0">
                  <c:v>18-24 m.</c:v>
                </c:pt>
                <c:pt idx="1">
                  <c:v>25-29 m.</c:v>
                </c:pt>
                <c:pt idx="2">
                  <c:v>30-39 m.</c:v>
                </c:pt>
                <c:pt idx="3">
                  <c:v>40 m. ir daugiau</c:v>
                </c:pt>
                <c:pt idx="4">
                  <c:v>Iš viso</c:v>
                </c:pt>
              </c:strCache>
            </c:strRef>
          </c:cat>
          <c:val>
            <c:numRef>
              <c:f>Sheet4!$F$32:$F$36</c:f>
              <c:numCache>
                <c:formatCode>0.00%</c:formatCode>
                <c:ptCount val="5"/>
                <c:pt idx="0">
                  <c:v>0.63630000000000064</c:v>
                </c:pt>
                <c:pt idx="1">
                  <c:v>0.5</c:v>
                </c:pt>
                <c:pt idx="2">
                  <c:v>0.20900000000000021</c:v>
                </c:pt>
                <c:pt idx="3">
                  <c:v>0</c:v>
                </c:pt>
                <c:pt idx="4" formatCode="0.0%">
                  <c:v>0.41200000000000031</c:v>
                </c:pt>
              </c:numCache>
            </c:numRef>
          </c:val>
        </c:ser>
        <c:ser>
          <c:idx val="5"/>
          <c:order val="5"/>
          <c:tx>
            <c:strRef>
              <c:f>Sheet4!$G$31</c:f>
              <c:strCache>
                <c:ptCount val="1"/>
                <c:pt idx="0">
                  <c:v>Kita</c:v>
                </c:pt>
              </c:strCache>
            </c:strRef>
          </c:tx>
          <c:dLbls>
            <c:dLbl>
              <c:idx val="1"/>
              <c:delete val="1"/>
            </c:dLbl>
            <c:dLbl>
              <c:idx val="2"/>
              <c:delete val="1"/>
            </c:dLbl>
            <c:dLbl>
              <c:idx val="3"/>
              <c:delete val="1"/>
            </c:dLbl>
            <c:showVal val="1"/>
          </c:dLbls>
          <c:cat>
            <c:strRef>
              <c:f>Sheet4!$A$32:$A$36</c:f>
              <c:strCache>
                <c:ptCount val="5"/>
                <c:pt idx="0">
                  <c:v>18-24 m.</c:v>
                </c:pt>
                <c:pt idx="1">
                  <c:v>25-29 m.</c:v>
                </c:pt>
                <c:pt idx="2">
                  <c:v>30-39 m.</c:v>
                </c:pt>
                <c:pt idx="3">
                  <c:v>40 m. ir daugiau</c:v>
                </c:pt>
                <c:pt idx="4">
                  <c:v>Iš viso</c:v>
                </c:pt>
              </c:strCache>
            </c:strRef>
          </c:cat>
          <c:val>
            <c:numRef>
              <c:f>Sheet4!$G$32:$G$36</c:f>
              <c:numCache>
                <c:formatCode>0%</c:formatCode>
                <c:ptCount val="5"/>
                <c:pt idx="0" formatCode="0.00%">
                  <c:v>4.5500000000000013E-2</c:v>
                </c:pt>
                <c:pt idx="1">
                  <c:v>0</c:v>
                </c:pt>
                <c:pt idx="2">
                  <c:v>0</c:v>
                </c:pt>
                <c:pt idx="3">
                  <c:v>0</c:v>
                </c:pt>
                <c:pt idx="4" formatCode="0.0%">
                  <c:v>8.0000000000000227E-3</c:v>
                </c:pt>
              </c:numCache>
            </c:numRef>
          </c:val>
        </c:ser>
        <c:axId val="94161536"/>
        <c:axId val="94310784"/>
      </c:barChart>
      <c:catAx>
        <c:axId val="94161536"/>
        <c:scaling>
          <c:orientation val="minMax"/>
        </c:scaling>
        <c:axPos val="l"/>
        <c:tickLblPos val="nextTo"/>
        <c:crossAx val="94310784"/>
        <c:crosses val="autoZero"/>
        <c:auto val="1"/>
        <c:lblAlgn val="ctr"/>
        <c:lblOffset val="100"/>
      </c:catAx>
      <c:valAx>
        <c:axId val="94310784"/>
        <c:scaling>
          <c:orientation val="minMax"/>
        </c:scaling>
        <c:axPos val="b"/>
        <c:majorGridlines/>
        <c:numFmt formatCode="0.00%" sourceLinked="1"/>
        <c:tickLblPos val="nextTo"/>
        <c:crossAx val="94161536"/>
        <c:crosses val="autoZero"/>
        <c:crossBetween val="between"/>
      </c:valAx>
    </c:plotArea>
    <c:legend>
      <c:legendPos val="r"/>
      <c:layout>
        <c:manualLayout>
          <c:xMode val="edge"/>
          <c:yMode val="edge"/>
          <c:x val="0.82956184802649069"/>
          <c:y val="0.11917755663127863"/>
          <c:w val="0.15846210595154567"/>
          <c:h val="0.70535613127514729"/>
        </c:manualLayout>
      </c:layout>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tx>
            <c:strRef>
              <c:f>Sheet5!$B$1</c:f>
              <c:strCache>
                <c:ptCount val="1"/>
                <c:pt idx="0">
                  <c:v>moterys</c:v>
                </c:pt>
              </c:strCache>
            </c:strRef>
          </c:tx>
          <c:dLbls>
            <c:dLbl>
              <c:idx val="0"/>
              <c:layout>
                <c:manualLayout>
                  <c:x val="-5.2910052910052924E-3"/>
                  <c:y val="8.800880088008849E-3"/>
                </c:manualLayout>
              </c:layout>
              <c:showVal val="1"/>
            </c:dLbl>
            <c:txPr>
              <a:bodyPr/>
              <a:lstStyle/>
              <a:p>
                <a:pPr>
                  <a:defRPr sz="900" baseline="0"/>
                </a:pPr>
                <a:endParaRPr lang="lt-LT"/>
              </a:p>
            </c:txPr>
            <c:showVal val="1"/>
          </c:dLbls>
          <c:cat>
            <c:strRef>
              <c:f>Sheet5!$A$2:$A$8</c:f>
              <c:strCache>
                <c:ptCount val="7"/>
                <c:pt idx="0">
                  <c:v>darbo patirtis</c:v>
                </c:pt>
                <c:pt idx="1">
                  <c:v>valdomų fondų skaičius</c:v>
                </c:pt>
                <c:pt idx="2">
                  <c:v>fondų pasirinkimo galimybės</c:v>
                </c:pt>
                <c:pt idx="3">
                  <c:v>praeities rezultatai</c:v>
                </c:pt>
                <c:pt idx="4">
                  <c:v>aptarnavimas</c:v>
                </c:pt>
                <c:pt idx="5">
                  <c:v>reklama</c:v>
                </c:pt>
                <c:pt idx="6">
                  <c:v>kitų nuomonė</c:v>
                </c:pt>
              </c:strCache>
            </c:strRef>
          </c:cat>
          <c:val>
            <c:numRef>
              <c:f>Sheet5!$B$2:$B$8</c:f>
              <c:numCache>
                <c:formatCode>General</c:formatCode>
                <c:ptCount val="7"/>
                <c:pt idx="0">
                  <c:v>45.449999999999996</c:v>
                </c:pt>
                <c:pt idx="1">
                  <c:v>25</c:v>
                </c:pt>
                <c:pt idx="2">
                  <c:v>31.03</c:v>
                </c:pt>
                <c:pt idx="3">
                  <c:v>16.329999999999988</c:v>
                </c:pt>
                <c:pt idx="4">
                  <c:v>100</c:v>
                </c:pt>
                <c:pt idx="5">
                  <c:v>66.669999999999987</c:v>
                </c:pt>
                <c:pt idx="6">
                  <c:v>28.57</c:v>
                </c:pt>
              </c:numCache>
            </c:numRef>
          </c:val>
        </c:ser>
        <c:ser>
          <c:idx val="1"/>
          <c:order val="1"/>
          <c:tx>
            <c:strRef>
              <c:f>Sheet5!$C$1</c:f>
              <c:strCache>
                <c:ptCount val="1"/>
                <c:pt idx="0">
                  <c:v>vyrai</c:v>
                </c:pt>
              </c:strCache>
            </c:strRef>
          </c:tx>
          <c:dLbls>
            <c:dLbl>
              <c:idx val="0"/>
              <c:layout>
                <c:manualLayout>
                  <c:x val="1.058201058201058E-2"/>
                  <c:y val="0"/>
                </c:manualLayout>
              </c:layout>
              <c:showVal val="1"/>
            </c:dLbl>
            <c:dLbl>
              <c:idx val="4"/>
              <c:delete val="1"/>
            </c:dLbl>
            <c:txPr>
              <a:bodyPr/>
              <a:lstStyle/>
              <a:p>
                <a:pPr>
                  <a:defRPr sz="900" baseline="0"/>
                </a:pPr>
                <a:endParaRPr lang="lt-LT"/>
              </a:p>
            </c:txPr>
            <c:showVal val="1"/>
          </c:dLbls>
          <c:cat>
            <c:strRef>
              <c:f>Sheet5!$A$2:$A$8</c:f>
              <c:strCache>
                <c:ptCount val="7"/>
                <c:pt idx="0">
                  <c:v>darbo patirtis</c:v>
                </c:pt>
                <c:pt idx="1">
                  <c:v>valdomų fondų skaičius</c:v>
                </c:pt>
                <c:pt idx="2">
                  <c:v>fondų pasirinkimo galimybės</c:v>
                </c:pt>
                <c:pt idx="3">
                  <c:v>praeities rezultatai</c:v>
                </c:pt>
                <c:pt idx="4">
                  <c:v>aptarnavimas</c:v>
                </c:pt>
                <c:pt idx="5">
                  <c:v>reklama</c:v>
                </c:pt>
                <c:pt idx="6">
                  <c:v>kitų nuomonė</c:v>
                </c:pt>
              </c:strCache>
            </c:strRef>
          </c:cat>
          <c:val>
            <c:numRef>
              <c:f>Sheet5!$C$2:$C$8</c:f>
              <c:numCache>
                <c:formatCode>General</c:formatCode>
                <c:ptCount val="7"/>
                <c:pt idx="0">
                  <c:v>54.55</c:v>
                </c:pt>
                <c:pt idx="1">
                  <c:v>75</c:v>
                </c:pt>
                <c:pt idx="2">
                  <c:v>68.97</c:v>
                </c:pt>
                <c:pt idx="3">
                  <c:v>83.669999999999987</c:v>
                </c:pt>
                <c:pt idx="4">
                  <c:v>0</c:v>
                </c:pt>
                <c:pt idx="5">
                  <c:v>33.33</c:v>
                </c:pt>
                <c:pt idx="6">
                  <c:v>71.430000000000007</c:v>
                </c:pt>
              </c:numCache>
            </c:numRef>
          </c:val>
        </c:ser>
        <c:ser>
          <c:idx val="2"/>
          <c:order val="2"/>
          <c:tx>
            <c:strRef>
              <c:f>Sheet5!$D$1</c:f>
              <c:strCache>
                <c:ptCount val="1"/>
                <c:pt idx="0">
                  <c:v>iš viso</c:v>
                </c:pt>
              </c:strCache>
            </c:strRef>
          </c:tx>
          <c:dLbls>
            <c:dLbl>
              <c:idx val="4"/>
              <c:layout>
                <c:manualLayout>
                  <c:x val="5.2910052910052924E-3"/>
                  <c:y val="-4.4004400440044219E-3"/>
                </c:manualLayout>
              </c:layout>
              <c:showVal val="1"/>
            </c:dLbl>
            <c:dLbl>
              <c:idx val="5"/>
              <c:layout>
                <c:manualLayout>
                  <c:x val="7.9365079365079413E-3"/>
                  <c:y val="0"/>
                </c:manualLayout>
              </c:layout>
              <c:showVal val="1"/>
            </c:dLbl>
            <c:dLbl>
              <c:idx val="6"/>
              <c:layout>
                <c:manualLayout>
                  <c:x val="7.9365079365079413E-3"/>
                  <c:y val="0"/>
                </c:manualLayout>
              </c:layout>
              <c:showVal val="1"/>
            </c:dLbl>
            <c:txPr>
              <a:bodyPr/>
              <a:lstStyle/>
              <a:p>
                <a:pPr>
                  <a:defRPr sz="900" baseline="0"/>
                </a:pPr>
                <a:endParaRPr lang="lt-LT"/>
              </a:p>
            </c:txPr>
            <c:showVal val="1"/>
          </c:dLbls>
          <c:cat>
            <c:strRef>
              <c:f>Sheet5!$A$2:$A$8</c:f>
              <c:strCache>
                <c:ptCount val="7"/>
                <c:pt idx="0">
                  <c:v>darbo patirtis</c:v>
                </c:pt>
                <c:pt idx="1">
                  <c:v>valdomų fondų skaičius</c:v>
                </c:pt>
                <c:pt idx="2">
                  <c:v>fondų pasirinkimo galimybės</c:v>
                </c:pt>
                <c:pt idx="3">
                  <c:v>praeities rezultatai</c:v>
                </c:pt>
                <c:pt idx="4">
                  <c:v>aptarnavimas</c:v>
                </c:pt>
                <c:pt idx="5">
                  <c:v>reklama</c:v>
                </c:pt>
                <c:pt idx="6">
                  <c:v>kitų nuomonė</c:v>
                </c:pt>
              </c:strCache>
            </c:strRef>
          </c:cat>
          <c:val>
            <c:numRef>
              <c:f>Sheet5!$D$2:$D$8</c:f>
              <c:numCache>
                <c:formatCode>General</c:formatCode>
                <c:ptCount val="7"/>
                <c:pt idx="0">
                  <c:v>25.19</c:v>
                </c:pt>
                <c:pt idx="1">
                  <c:v>6.1099999999999985</c:v>
                </c:pt>
                <c:pt idx="2">
                  <c:v>22.14</c:v>
                </c:pt>
                <c:pt idx="3">
                  <c:v>37.4</c:v>
                </c:pt>
                <c:pt idx="4">
                  <c:v>1.53</c:v>
                </c:pt>
                <c:pt idx="5">
                  <c:v>2.29</c:v>
                </c:pt>
                <c:pt idx="6">
                  <c:v>5.34</c:v>
                </c:pt>
              </c:numCache>
            </c:numRef>
          </c:val>
        </c:ser>
        <c:axId val="94326144"/>
        <c:axId val="94332032"/>
      </c:barChart>
      <c:catAx>
        <c:axId val="94326144"/>
        <c:scaling>
          <c:orientation val="minMax"/>
        </c:scaling>
        <c:axPos val="b"/>
        <c:tickLblPos val="nextTo"/>
        <c:txPr>
          <a:bodyPr rot="-5400000" vert="horz"/>
          <a:lstStyle/>
          <a:p>
            <a:pPr>
              <a:defRPr/>
            </a:pPr>
            <a:endParaRPr lang="lt-LT"/>
          </a:p>
        </c:txPr>
        <c:crossAx val="94332032"/>
        <c:crosses val="autoZero"/>
        <c:auto val="1"/>
        <c:lblAlgn val="ctr"/>
        <c:lblOffset val="100"/>
      </c:catAx>
      <c:valAx>
        <c:axId val="94332032"/>
        <c:scaling>
          <c:orientation val="minMax"/>
        </c:scaling>
        <c:axPos val="l"/>
        <c:majorGridlines/>
        <c:numFmt formatCode="General" sourceLinked="1"/>
        <c:tickLblPos val="nextTo"/>
        <c:crossAx val="9432614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45D40C-32D7-4CF3-A284-5E9B42BC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65</Pages>
  <Words>83188</Words>
  <Characters>47418</Characters>
  <Application>Microsoft Office Word</Application>
  <DocSecurity>0</DocSecurity>
  <Lines>395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Edita</cp:lastModifiedBy>
  <cp:revision>50</cp:revision>
  <cp:lastPrinted>2012-12-18T06:32:00Z</cp:lastPrinted>
  <dcterms:created xsi:type="dcterms:W3CDTF">2012-12-18T05:49:00Z</dcterms:created>
  <dcterms:modified xsi:type="dcterms:W3CDTF">2013-01-15T20:37:00Z</dcterms:modified>
</cp:coreProperties>
</file>